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91BB3" w14:textId="77777777" w:rsidR="00040C3A" w:rsidRPr="0090270B" w:rsidRDefault="00D306D1" w:rsidP="00627C9F">
      <w:pPr>
        <w:jc w:val="both"/>
        <w:rPr>
          <w:rFonts w:asciiTheme="majorHAnsi" w:hAnsiTheme="majorHAnsi" w:cs="Univers"/>
          <w:b/>
          <w:bCs/>
          <w:sz w:val="22"/>
          <w:szCs w:val="22"/>
          <w:lang w:val="es-ES_tradnl"/>
        </w:rPr>
      </w:pPr>
      <w:r w:rsidRPr="0090270B">
        <w:rPr>
          <w:rFonts w:asciiTheme="majorHAnsi" w:hAnsiTheme="majorHAnsi"/>
          <w:noProof/>
          <w:sz w:val="22"/>
          <w:szCs w:val="22"/>
          <w:lang w:val="es-419" w:eastAsia="es-419"/>
        </w:rPr>
        <mc:AlternateContent>
          <mc:Choice Requires="wps">
            <w:drawing>
              <wp:anchor distT="0" distB="0" distL="114300" distR="114300" simplePos="0" relativeHeight="251658240" behindDoc="0" locked="0" layoutInCell="1" allowOverlap="1" wp14:anchorId="179A3F0F" wp14:editId="1371D494">
                <wp:simplePos x="0" y="0"/>
                <wp:positionH relativeFrom="column">
                  <wp:posOffset>-416115</wp:posOffset>
                </wp:positionH>
                <wp:positionV relativeFrom="paragraph">
                  <wp:posOffset>-439420</wp:posOffset>
                </wp:positionV>
                <wp:extent cx="1543050" cy="9096375"/>
                <wp:effectExtent l="0" t="0" r="0" b="9525"/>
                <wp:wrapNone/>
                <wp:docPr id="1" name="Rectangle 1"/>
                <wp:cNvGraphicFramePr/>
                <a:graphic xmlns:a="http://schemas.openxmlformats.org/drawingml/2006/main">
                  <a:graphicData uri="http://schemas.microsoft.com/office/word/2010/wordprocessingShape">
                    <wps:wsp>
                      <wps:cNvSpPr/>
                      <wps:spPr>
                        <a:xfrm>
                          <a:off x="0" y="0"/>
                          <a:ext cx="1543050" cy="9096375"/>
                        </a:xfrm>
                        <a:prstGeom prst="rect">
                          <a:avLst/>
                        </a:prstGeom>
                        <a:solidFill>
                          <a:srgbClr val="4A7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DDCC40">
              <v:rect id="Rectangle 1" style="position:absolute;margin-left:-32.75pt;margin-top:-34.6pt;width:121.5pt;height:716.2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7194" stroked="f" strokeweight="2pt" w14:anchorId="3474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"/>
            </w:pict>
          </mc:Fallback>
        </mc:AlternateContent>
      </w:r>
      <w:r w:rsidR="003E6CA1" w:rsidRPr="0090270B">
        <w:rPr>
          <w:rFonts w:asciiTheme="majorHAnsi" w:hAnsiTheme="majorHAnsi"/>
          <w:noProof/>
          <w:sz w:val="22"/>
          <w:szCs w:val="22"/>
          <w:lang w:val="es-419" w:eastAsia="es-419"/>
        </w:rPr>
        <mc:AlternateContent>
          <mc:Choice Requires="wps">
            <w:drawing>
              <wp:anchor distT="0" distB="0" distL="114300" distR="114300" simplePos="0" relativeHeight="251658244" behindDoc="0" locked="0" layoutInCell="1" allowOverlap="1" wp14:anchorId="10F4F91A" wp14:editId="21050AED">
                <wp:simplePos x="0" y="0"/>
                <wp:positionH relativeFrom="column">
                  <wp:posOffset>1282065</wp:posOffset>
                </wp:positionH>
                <wp:positionV relativeFrom="paragraph">
                  <wp:posOffset>-424180</wp:posOffset>
                </wp:positionV>
                <wp:extent cx="5248275" cy="9023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48275" cy="902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218F2" w14:textId="0208E50D" w:rsidR="00CB2660" w:rsidRDefault="00AE5488" w:rsidP="00AE5488">
                            <w:r>
                              <w:rPr>
                                <w:noProof/>
                                <w:lang w:val="es-419" w:eastAsia="es-419"/>
                              </w:rPr>
                              <w:drawing>
                                <wp:inline distT="0" distB="0" distL="0" distR="0" wp14:anchorId="7A21157D" wp14:editId="62425977">
                                  <wp:extent cx="2647666" cy="509676"/>
                                  <wp:effectExtent l="0" t="0" r="635" b="5080"/>
                                  <wp:docPr id="12" name="Picture 12" descr="C:\Users\mfontana\Documents\Eva Fontana\GRAFICA CIDH\cartas\logos\cid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ontana\Documents\Eva Fontana\GRAFICA CIDH\cartas\logos\cidh-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3322" cy="510765"/>
                                          </a:xfrm>
                                          <a:prstGeom prst="rect">
                                            <a:avLst/>
                                          </a:prstGeom>
                                          <a:noFill/>
                                          <a:ln>
                                            <a:noFill/>
                                          </a:ln>
                                        </pic:spPr>
                                      </pic:pic>
                                    </a:graphicData>
                                  </a:graphic>
                                </wp:inline>
                              </w:drawing>
                            </w:r>
                            <w:r w:rsidR="007A5817">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4F91A" id="_x0000_t202" coordsize="21600,21600" o:spt="202" path="m,l,21600r21600,l21600,xe">
                <v:stroke joinstyle="miter"/>
                <v:path gradientshapeok="t" o:connecttype="rect"/>
              </v:shapetype>
              <v:shape id="Text Box 11" o:spid="_x0000_s1026" type="#_x0000_t202" style="position:absolute;left:0;text-align:left;margin-left:100.95pt;margin-top:-33.4pt;width:413.25pt;height:7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" filled="f" stroked="f" strokeweight=".5pt">
                <v:textbox>
                  <w:txbxContent>
                    <w:p w14:paraId="349218F2" w14:textId="0208E50D" w:rsidR="00CB2660" w:rsidRDefault="00AE5488" w:rsidP="00AE5488">
                      <w:r>
                        <w:rPr>
                          <w:noProof/>
                          <w:lang w:val="es-419" w:eastAsia="es-419"/>
                        </w:rPr>
                        <w:drawing>
                          <wp:inline distT="0" distB="0" distL="0" distR="0" wp14:anchorId="7A21157D" wp14:editId="62425977">
                            <wp:extent cx="2647666" cy="509676"/>
                            <wp:effectExtent l="0" t="0" r="635" b="5080"/>
                            <wp:docPr id="12" name="Picture 12" descr="C:\Users\mfontana\Documents\Eva Fontana\GRAFICA CIDH\cartas\logos\cid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ontana\Documents\Eva Fontana\GRAFICA CIDH\cartas\logos\cidh-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3322" cy="510765"/>
                                    </a:xfrm>
                                    <a:prstGeom prst="rect">
                                      <a:avLst/>
                                    </a:prstGeom>
                                    <a:noFill/>
                                    <a:ln>
                                      <a:noFill/>
                                    </a:ln>
                                  </pic:spPr>
                                </pic:pic>
                              </a:graphicData>
                            </a:graphic>
                          </wp:inline>
                        </w:drawing>
                      </w:r>
                      <w:r w:rsidR="007A5817">
                        <w:tab/>
                        <w:t xml:space="preserve"> </w:t>
                      </w:r>
                    </w:p>
                  </w:txbxContent>
                </v:textbox>
              </v:shape>
            </w:pict>
          </mc:Fallback>
        </mc:AlternateContent>
      </w:r>
    </w:p>
    <w:p w14:paraId="47386BAF" w14:textId="77777777" w:rsidR="00040C3A" w:rsidRPr="0090270B" w:rsidRDefault="00040C3A" w:rsidP="00040C3A">
      <w:pPr>
        <w:tabs>
          <w:tab w:val="center" w:pos="5400"/>
        </w:tabs>
        <w:suppressAutoHyphens/>
        <w:jc w:val="both"/>
        <w:rPr>
          <w:rFonts w:asciiTheme="majorHAnsi" w:hAnsiTheme="majorHAnsi"/>
          <w:sz w:val="22"/>
          <w:szCs w:val="22"/>
          <w:lang w:val="es-ES"/>
        </w:rPr>
      </w:pPr>
    </w:p>
    <w:p w14:paraId="5A87E141" w14:textId="77777777" w:rsidR="00040C3A" w:rsidRPr="0090270B" w:rsidRDefault="00040C3A" w:rsidP="00040C3A">
      <w:pPr>
        <w:tabs>
          <w:tab w:val="center" w:pos="5400"/>
        </w:tabs>
        <w:suppressAutoHyphens/>
        <w:jc w:val="both"/>
        <w:rPr>
          <w:rFonts w:asciiTheme="majorHAnsi" w:hAnsiTheme="majorHAnsi"/>
          <w:sz w:val="22"/>
          <w:szCs w:val="22"/>
          <w:lang w:val="es-ES"/>
        </w:rPr>
      </w:pPr>
    </w:p>
    <w:p w14:paraId="29D95BCC" w14:textId="77777777" w:rsidR="005128E4" w:rsidRPr="0090270B" w:rsidRDefault="005128E4" w:rsidP="00040C3A">
      <w:pPr>
        <w:tabs>
          <w:tab w:val="center" w:pos="5400"/>
        </w:tabs>
        <w:suppressAutoHyphens/>
        <w:rPr>
          <w:rFonts w:asciiTheme="majorHAnsi" w:hAnsiTheme="majorHAnsi"/>
          <w:sz w:val="22"/>
          <w:szCs w:val="22"/>
          <w:lang w:val="es-ES_tradnl"/>
        </w:rPr>
      </w:pPr>
    </w:p>
    <w:p w14:paraId="12A36B24" w14:textId="77777777" w:rsidR="005128E4" w:rsidRPr="0090270B" w:rsidRDefault="005128E4" w:rsidP="00040C3A">
      <w:pPr>
        <w:tabs>
          <w:tab w:val="center" w:pos="5400"/>
        </w:tabs>
        <w:suppressAutoHyphens/>
        <w:rPr>
          <w:rFonts w:asciiTheme="majorHAnsi" w:hAnsiTheme="majorHAnsi"/>
          <w:sz w:val="22"/>
          <w:szCs w:val="22"/>
          <w:lang w:val="es-ES_tradnl"/>
        </w:rPr>
      </w:pPr>
    </w:p>
    <w:p w14:paraId="2252093D" w14:textId="77777777" w:rsidR="005128E4" w:rsidRPr="0090270B" w:rsidRDefault="005128E4" w:rsidP="00040C3A">
      <w:pPr>
        <w:tabs>
          <w:tab w:val="center" w:pos="5400"/>
        </w:tabs>
        <w:suppressAutoHyphens/>
        <w:rPr>
          <w:rFonts w:asciiTheme="majorHAnsi" w:hAnsiTheme="majorHAnsi"/>
          <w:sz w:val="22"/>
          <w:szCs w:val="22"/>
          <w:lang w:val="es-ES_tradnl"/>
        </w:rPr>
      </w:pPr>
    </w:p>
    <w:p w14:paraId="403935BD" w14:textId="77777777" w:rsidR="00040C3A" w:rsidRPr="0090270B" w:rsidRDefault="00040C3A" w:rsidP="005128E4">
      <w:pPr>
        <w:tabs>
          <w:tab w:val="center" w:pos="5400"/>
        </w:tabs>
        <w:suppressAutoHyphens/>
        <w:jc w:val="center"/>
        <w:rPr>
          <w:rFonts w:asciiTheme="majorHAnsi" w:hAnsiTheme="majorHAnsi"/>
          <w:sz w:val="22"/>
          <w:szCs w:val="22"/>
          <w:lang w:val="es-ES_tradnl"/>
        </w:rPr>
      </w:pPr>
    </w:p>
    <w:p w14:paraId="6DCF5F8F" w14:textId="77777777" w:rsidR="00040C3A" w:rsidRPr="0090270B" w:rsidRDefault="00040C3A" w:rsidP="005128E4">
      <w:pPr>
        <w:tabs>
          <w:tab w:val="center" w:pos="5400"/>
        </w:tabs>
        <w:suppressAutoHyphens/>
        <w:jc w:val="center"/>
        <w:rPr>
          <w:rFonts w:asciiTheme="majorHAnsi" w:hAnsiTheme="majorHAnsi"/>
          <w:sz w:val="22"/>
          <w:szCs w:val="22"/>
          <w:lang w:val="es-ES_tradnl"/>
        </w:rPr>
      </w:pPr>
    </w:p>
    <w:p w14:paraId="4791F13A" w14:textId="77777777" w:rsidR="005B52B0" w:rsidRPr="0090270B" w:rsidRDefault="005B52B0" w:rsidP="005128E4">
      <w:pPr>
        <w:tabs>
          <w:tab w:val="center" w:pos="5400"/>
        </w:tabs>
        <w:suppressAutoHyphens/>
        <w:jc w:val="center"/>
        <w:rPr>
          <w:rFonts w:asciiTheme="majorHAnsi" w:hAnsiTheme="majorHAnsi"/>
          <w:sz w:val="22"/>
          <w:szCs w:val="22"/>
          <w:lang w:val="es-ES_tradnl"/>
        </w:rPr>
      </w:pPr>
    </w:p>
    <w:p w14:paraId="44E016B6" w14:textId="77777777" w:rsidR="005B52B0" w:rsidRPr="0090270B" w:rsidRDefault="005B52B0" w:rsidP="005128E4">
      <w:pPr>
        <w:tabs>
          <w:tab w:val="center" w:pos="5400"/>
        </w:tabs>
        <w:suppressAutoHyphens/>
        <w:jc w:val="center"/>
        <w:rPr>
          <w:rFonts w:asciiTheme="majorHAnsi" w:hAnsiTheme="majorHAnsi"/>
          <w:sz w:val="22"/>
          <w:szCs w:val="22"/>
          <w:lang w:val="es-ES_tradnl"/>
        </w:rPr>
      </w:pPr>
    </w:p>
    <w:p w14:paraId="63D41962" w14:textId="77777777" w:rsidR="005B52B0" w:rsidRPr="0090270B" w:rsidRDefault="005B52B0" w:rsidP="005128E4">
      <w:pPr>
        <w:tabs>
          <w:tab w:val="center" w:pos="5400"/>
        </w:tabs>
        <w:suppressAutoHyphens/>
        <w:jc w:val="center"/>
        <w:rPr>
          <w:rFonts w:asciiTheme="majorHAnsi" w:hAnsiTheme="majorHAnsi"/>
          <w:sz w:val="22"/>
          <w:szCs w:val="22"/>
          <w:lang w:val="es-ES_tradnl"/>
        </w:rPr>
      </w:pPr>
    </w:p>
    <w:p w14:paraId="5ADEB990"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2D81B7E8"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64791D04" w14:textId="77777777" w:rsidR="00040C3A" w:rsidRPr="0090270B" w:rsidRDefault="003D3BC2" w:rsidP="00040C3A">
      <w:pPr>
        <w:tabs>
          <w:tab w:val="center" w:pos="5400"/>
        </w:tabs>
        <w:suppressAutoHyphens/>
        <w:jc w:val="center"/>
        <w:rPr>
          <w:rFonts w:asciiTheme="majorHAnsi" w:hAnsiTheme="majorHAnsi"/>
          <w:sz w:val="22"/>
          <w:szCs w:val="22"/>
          <w:lang w:val="es-ES_tradnl"/>
        </w:rPr>
      </w:pPr>
      <w:r w:rsidRPr="0090270B">
        <w:rPr>
          <w:rFonts w:asciiTheme="majorHAnsi" w:hAnsiTheme="majorHAnsi"/>
          <w:noProof/>
          <w:sz w:val="22"/>
          <w:szCs w:val="22"/>
          <w:lang w:val="es-419" w:eastAsia="es-419"/>
        </w:rPr>
        <mc:AlternateContent>
          <mc:Choice Requires="wps">
            <w:drawing>
              <wp:anchor distT="0" distB="0" distL="114300" distR="114300" simplePos="0" relativeHeight="251658241" behindDoc="0" locked="0" layoutInCell="1" allowOverlap="1" wp14:anchorId="5980ED94" wp14:editId="6208B2A2">
                <wp:simplePos x="0" y="0"/>
                <wp:positionH relativeFrom="column">
                  <wp:posOffset>1348966</wp:posOffset>
                </wp:positionH>
                <wp:positionV relativeFrom="paragraph">
                  <wp:posOffset>107051</wp:posOffset>
                </wp:positionV>
                <wp:extent cx="4852658" cy="2181225"/>
                <wp:effectExtent l="0" t="0" r="0" b="0"/>
                <wp:wrapNone/>
                <wp:docPr id="5" name="Text Box 5"/>
                <wp:cNvGraphicFramePr/>
                <a:graphic xmlns:a="http://schemas.openxmlformats.org/drawingml/2006/main">
                  <a:graphicData uri="http://schemas.microsoft.com/office/word/2010/wordprocessingShape">
                    <wps:wsp>
                      <wps:cNvSpPr txBox="1"/>
                      <wps:spPr>
                        <a:xfrm>
                          <a:off x="0" y="0"/>
                          <a:ext cx="4852658"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FE29C" w14:textId="1A9BE591" w:rsidR="005B52B0" w:rsidRPr="004E2649" w:rsidRDefault="005B52B0" w:rsidP="00997BC5">
                            <w:pPr>
                              <w:spacing w:line="276" w:lineRule="auto"/>
                              <w:rPr>
                                <w:rFonts w:asciiTheme="majorHAnsi" w:hAnsiTheme="majorHAnsi" w:cs="Arial"/>
                                <w:b/>
                                <w:bCs/>
                                <w:color w:val="0D0D0D" w:themeColor="text1" w:themeTint="F2"/>
                                <w:sz w:val="36"/>
                                <w:szCs w:val="22"/>
                                <w:lang w:val="es-ES_tradnl"/>
                              </w:rPr>
                            </w:pPr>
                            <w:r w:rsidRPr="004E2649">
                              <w:rPr>
                                <w:rFonts w:asciiTheme="majorHAnsi" w:hAnsiTheme="majorHAnsi" w:cs="Arial"/>
                                <w:b/>
                                <w:bCs/>
                                <w:color w:val="0D0D0D" w:themeColor="text1" w:themeTint="F2"/>
                                <w:sz w:val="36"/>
                                <w:szCs w:val="22"/>
                                <w:lang w:val="es-ES_tradnl"/>
                              </w:rPr>
                              <w:t xml:space="preserve">INFORME </w:t>
                            </w:r>
                            <w:r w:rsidR="00477592" w:rsidRPr="00DC7023">
                              <w:rPr>
                                <w:rFonts w:asciiTheme="majorHAnsi" w:hAnsiTheme="majorHAnsi" w:cs="Arial"/>
                                <w:b/>
                                <w:bCs/>
                                <w:color w:val="0D0D0D" w:themeColor="text1" w:themeTint="F2"/>
                                <w:sz w:val="36"/>
                                <w:szCs w:val="40"/>
                                <w:lang w:val="es-ES_tradnl"/>
                              </w:rPr>
                              <w:t>No.</w:t>
                            </w:r>
                            <w:r w:rsidR="007B05C4">
                              <w:rPr>
                                <w:rFonts w:asciiTheme="majorHAnsi" w:hAnsiTheme="majorHAnsi" w:cs="Arial"/>
                                <w:b/>
                                <w:bCs/>
                                <w:color w:val="0D0D0D" w:themeColor="text1" w:themeTint="F2"/>
                                <w:sz w:val="36"/>
                                <w:szCs w:val="22"/>
                                <w:lang w:val="es-ES_tradnl"/>
                              </w:rPr>
                              <w:t xml:space="preserve"> </w:t>
                            </w:r>
                            <w:r w:rsidR="006734B6">
                              <w:rPr>
                                <w:rFonts w:asciiTheme="majorHAnsi" w:hAnsiTheme="majorHAnsi" w:cs="Arial"/>
                                <w:b/>
                                <w:bCs/>
                                <w:color w:val="0D0D0D" w:themeColor="text1" w:themeTint="F2"/>
                                <w:sz w:val="36"/>
                                <w:szCs w:val="22"/>
                                <w:lang w:val="es-ES_tradnl"/>
                              </w:rPr>
                              <w:t>70</w:t>
                            </w:r>
                            <w:r w:rsidR="007B05C4">
                              <w:rPr>
                                <w:rFonts w:asciiTheme="majorHAnsi" w:hAnsiTheme="majorHAnsi" w:cs="Arial"/>
                                <w:b/>
                                <w:bCs/>
                                <w:color w:val="0D0D0D" w:themeColor="text1" w:themeTint="F2"/>
                                <w:sz w:val="36"/>
                                <w:szCs w:val="22"/>
                                <w:lang w:val="es-ES_tradnl"/>
                              </w:rPr>
                              <w:t>/</w:t>
                            </w:r>
                            <w:r w:rsidR="00C23BA4">
                              <w:rPr>
                                <w:rFonts w:asciiTheme="majorHAnsi" w:hAnsiTheme="majorHAnsi" w:cs="Arial"/>
                                <w:b/>
                                <w:bCs/>
                                <w:color w:val="0D0D0D" w:themeColor="text1" w:themeTint="F2"/>
                                <w:sz w:val="36"/>
                                <w:szCs w:val="22"/>
                                <w:lang w:val="es-ES_tradnl"/>
                              </w:rPr>
                              <w:t>2</w:t>
                            </w:r>
                            <w:r w:rsidR="00401D83">
                              <w:rPr>
                                <w:rFonts w:asciiTheme="majorHAnsi" w:hAnsiTheme="majorHAnsi" w:cs="Arial"/>
                                <w:b/>
                                <w:bCs/>
                                <w:color w:val="0D0D0D" w:themeColor="text1" w:themeTint="F2"/>
                                <w:sz w:val="36"/>
                                <w:szCs w:val="22"/>
                                <w:lang w:val="es-ES_tradnl"/>
                              </w:rPr>
                              <w:t>3</w:t>
                            </w:r>
                          </w:p>
                          <w:p w14:paraId="09C54AB3" w14:textId="14DC458F" w:rsidR="007B05C4" w:rsidRDefault="005B52B0" w:rsidP="00997BC5">
                            <w:pPr>
                              <w:spacing w:line="276" w:lineRule="auto"/>
                              <w:rPr>
                                <w:rFonts w:asciiTheme="majorHAnsi" w:hAnsiTheme="majorHAnsi" w:cs="Arial"/>
                                <w:b/>
                                <w:color w:val="0D0D0D" w:themeColor="text1" w:themeTint="F2"/>
                                <w:sz w:val="36"/>
                                <w:szCs w:val="22"/>
                                <w:lang w:val="es-ES_tradnl"/>
                              </w:rPr>
                            </w:pPr>
                            <w:r w:rsidRPr="004E2649">
                              <w:rPr>
                                <w:rFonts w:asciiTheme="majorHAnsi" w:hAnsiTheme="majorHAnsi" w:cs="Arial"/>
                                <w:b/>
                                <w:color w:val="0D0D0D" w:themeColor="text1" w:themeTint="F2"/>
                                <w:sz w:val="36"/>
                                <w:szCs w:val="22"/>
                                <w:lang w:val="es-ES_tradnl"/>
                              </w:rPr>
                              <w:t xml:space="preserve">PETICIÓN </w:t>
                            </w:r>
                            <w:r w:rsidR="009135C4">
                              <w:rPr>
                                <w:rFonts w:asciiTheme="majorHAnsi" w:hAnsiTheme="majorHAnsi" w:cs="Arial"/>
                                <w:b/>
                                <w:color w:val="0D0D0D" w:themeColor="text1" w:themeTint="F2"/>
                                <w:sz w:val="36"/>
                                <w:szCs w:val="22"/>
                                <w:lang w:val="es-ES_tradnl"/>
                              </w:rPr>
                              <w:t>1771</w:t>
                            </w:r>
                            <w:r w:rsidR="00246D1F" w:rsidRPr="004E2649">
                              <w:rPr>
                                <w:rFonts w:asciiTheme="majorHAnsi" w:hAnsiTheme="majorHAnsi" w:cs="Arial"/>
                                <w:b/>
                                <w:color w:val="0D0D0D" w:themeColor="text1" w:themeTint="F2"/>
                                <w:sz w:val="36"/>
                                <w:szCs w:val="22"/>
                                <w:lang w:val="es-ES_tradnl"/>
                              </w:rPr>
                              <w:t>-</w:t>
                            </w:r>
                            <w:r w:rsidR="009135C4">
                              <w:rPr>
                                <w:rFonts w:asciiTheme="majorHAnsi" w:hAnsiTheme="majorHAnsi" w:cs="Arial"/>
                                <w:b/>
                                <w:color w:val="0D0D0D" w:themeColor="text1" w:themeTint="F2"/>
                                <w:sz w:val="36"/>
                                <w:szCs w:val="22"/>
                                <w:lang w:val="es-ES_tradnl"/>
                              </w:rPr>
                              <w:t>14</w:t>
                            </w:r>
                            <w:r w:rsidR="00246D1F" w:rsidRPr="004E2649">
                              <w:rPr>
                                <w:rFonts w:asciiTheme="majorHAnsi" w:hAnsiTheme="majorHAnsi" w:cs="Arial"/>
                                <w:b/>
                                <w:color w:val="0D0D0D" w:themeColor="text1" w:themeTint="F2"/>
                                <w:sz w:val="36"/>
                                <w:szCs w:val="22"/>
                                <w:lang w:val="es-ES_tradnl"/>
                              </w:rPr>
                              <w:t xml:space="preserve"> </w:t>
                            </w:r>
                          </w:p>
                          <w:p w14:paraId="70CF6833" w14:textId="41D7C246" w:rsidR="00CD046C" w:rsidRPr="0010736F" w:rsidRDefault="005B52B0" w:rsidP="00997BC5">
                            <w:pPr>
                              <w:spacing w:line="276" w:lineRule="auto"/>
                              <w:rPr>
                                <w:rFonts w:asciiTheme="majorHAnsi" w:hAnsiTheme="majorHAnsi" w:cs="Arial"/>
                                <w:color w:val="0D0D0D" w:themeColor="text1" w:themeTint="F2"/>
                                <w:szCs w:val="22"/>
                                <w:lang w:val="es-ES_tradnl"/>
                              </w:rPr>
                            </w:pPr>
                            <w:r w:rsidRPr="0010736F">
                              <w:rPr>
                                <w:rFonts w:asciiTheme="majorHAnsi" w:hAnsiTheme="majorHAnsi" w:cs="Arial"/>
                                <w:color w:val="0D0D0D" w:themeColor="text1" w:themeTint="F2"/>
                                <w:szCs w:val="22"/>
                                <w:lang w:val="es-ES_tradnl"/>
                              </w:rPr>
                              <w:t>INFORME DE ADMISIBILIDAD</w:t>
                            </w:r>
                            <w:r w:rsidR="00F519CF" w:rsidRPr="0010736F">
                              <w:rPr>
                                <w:rFonts w:asciiTheme="majorHAnsi" w:hAnsiTheme="majorHAnsi" w:cs="Arial"/>
                                <w:color w:val="0D0D0D" w:themeColor="text1" w:themeTint="F2"/>
                                <w:szCs w:val="22"/>
                                <w:lang w:val="es-ES_tradnl"/>
                              </w:rPr>
                              <w:t xml:space="preserve"> </w:t>
                            </w:r>
                          </w:p>
                          <w:p w14:paraId="5FDD6F0D" w14:textId="77777777" w:rsidR="008F1912" w:rsidRPr="0010736F" w:rsidRDefault="008F1912" w:rsidP="00997BC5">
                            <w:pPr>
                              <w:spacing w:line="276" w:lineRule="auto"/>
                              <w:rPr>
                                <w:rFonts w:asciiTheme="majorHAnsi" w:hAnsiTheme="majorHAnsi" w:cs="Arial"/>
                                <w:color w:val="0D0D0D" w:themeColor="text1" w:themeTint="F2"/>
                                <w:szCs w:val="22"/>
                                <w:lang w:val="es-ES_tradnl"/>
                              </w:rPr>
                            </w:pPr>
                            <w:bookmarkStart w:id="0" w:name="_ftnref1"/>
                          </w:p>
                          <w:p w14:paraId="4CFA2FBF" w14:textId="6C2C8056" w:rsidR="005B52B0" w:rsidRPr="00D143FC" w:rsidRDefault="0016379C" w:rsidP="00997BC5">
                            <w:pPr>
                              <w:spacing w:line="276" w:lineRule="auto"/>
                              <w:rPr>
                                <w:rFonts w:asciiTheme="majorHAnsi" w:hAnsiTheme="majorHAnsi" w:cs="Arial"/>
                                <w:color w:val="0D0D0D" w:themeColor="text1" w:themeTint="F2"/>
                                <w:szCs w:val="22"/>
                                <w:lang w:val="es-US"/>
                              </w:rPr>
                            </w:pPr>
                            <w:r>
                              <w:rPr>
                                <w:rFonts w:asciiTheme="majorHAnsi" w:hAnsiTheme="majorHAnsi" w:cs="Arial"/>
                                <w:color w:val="0D0D0D" w:themeColor="text1" w:themeTint="F2"/>
                                <w:szCs w:val="22"/>
                                <w:lang w:val="es-US"/>
                              </w:rPr>
                              <w:t xml:space="preserve">UNIÓN NACIONAL DE </w:t>
                            </w:r>
                            <w:r w:rsidR="007A5873">
                              <w:rPr>
                                <w:rFonts w:asciiTheme="majorHAnsi" w:hAnsiTheme="majorHAnsi" w:cs="Arial"/>
                                <w:color w:val="0D0D0D" w:themeColor="text1" w:themeTint="F2"/>
                                <w:szCs w:val="22"/>
                                <w:lang w:val="es-US"/>
                              </w:rPr>
                              <w:t>EX-P</w:t>
                            </w:r>
                            <w:r>
                              <w:rPr>
                                <w:rFonts w:asciiTheme="majorHAnsi" w:hAnsiTheme="majorHAnsi" w:cs="Arial"/>
                                <w:color w:val="0D0D0D" w:themeColor="text1" w:themeTint="F2"/>
                                <w:szCs w:val="22"/>
                                <w:lang w:val="es-US"/>
                              </w:rPr>
                              <w:t>RESOS Y EXILIADOS POLÍTICOS DE BOLIVIA</w:t>
                            </w:r>
                          </w:p>
                          <w:bookmarkEnd w:id="0"/>
                          <w:p w14:paraId="575DFD52" w14:textId="7E6FDB68" w:rsidR="005B52B0" w:rsidRPr="00D143FC" w:rsidRDefault="009135C4" w:rsidP="007A5817">
                            <w:pPr>
                              <w:rPr>
                                <w:color w:val="0D0D0D" w:themeColor="text1" w:themeTint="F2"/>
                                <w:lang w:val="es-US"/>
                              </w:rPr>
                            </w:pPr>
                            <w:r>
                              <w:rPr>
                                <w:rFonts w:asciiTheme="majorHAnsi" w:hAnsiTheme="majorHAnsi" w:cs="Arial"/>
                                <w:color w:val="0D0D0D" w:themeColor="text1" w:themeTint="F2"/>
                                <w:szCs w:val="22"/>
                                <w:lang w:val="es-US"/>
                              </w:rPr>
                              <w:t>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ED94" id="Text Box 5" o:spid="_x0000_s1027" type="#_x0000_t202" style="position:absolute;left:0;text-align:left;margin-left:106.2pt;margin-top:8.45pt;width:382.1pt;height:17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" filled="f" stroked="f" strokeweight=".5pt">
                <v:textbox>
                  <w:txbxContent>
                    <w:p w14:paraId="4D9FE29C" w14:textId="1A9BE591" w:rsidR="005B52B0" w:rsidRPr="004E2649" w:rsidRDefault="005B52B0" w:rsidP="00997BC5">
                      <w:pPr>
                        <w:spacing w:line="276" w:lineRule="auto"/>
                        <w:rPr>
                          <w:rFonts w:asciiTheme="majorHAnsi" w:hAnsiTheme="majorHAnsi" w:cs="Arial"/>
                          <w:b/>
                          <w:bCs/>
                          <w:color w:val="0D0D0D" w:themeColor="text1" w:themeTint="F2"/>
                          <w:sz w:val="36"/>
                          <w:szCs w:val="22"/>
                          <w:lang w:val="es-ES_tradnl"/>
                        </w:rPr>
                      </w:pPr>
                      <w:r w:rsidRPr="004E2649">
                        <w:rPr>
                          <w:rFonts w:asciiTheme="majorHAnsi" w:hAnsiTheme="majorHAnsi" w:cs="Arial"/>
                          <w:b/>
                          <w:bCs/>
                          <w:color w:val="0D0D0D" w:themeColor="text1" w:themeTint="F2"/>
                          <w:sz w:val="36"/>
                          <w:szCs w:val="22"/>
                          <w:lang w:val="es-ES_tradnl"/>
                        </w:rPr>
                        <w:t xml:space="preserve">INFORME </w:t>
                      </w:r>
                      <w:r w:rsidR="00477592" w:rsidRPr="00DC7023">
                        <w:rPr>
                          <w:rFonts w:asciiTheme="majorHAnsi" w:hAnsiTheme="majorHAnsi" w:cs="Arial"/>
                          <w:b/>
                          <w:bCs/>
                          <w:color w:val="0D0D0D" w:themeColor="text1" w:themeTint="F2"/>
                          <w:sz w:val="36"/>
                          <w:szCs w:val="40"/>
                          <w:lang w:val="es-ES_tradnl"/>
                        </w:rPr>
                        <w:t>No.</w:t>
                      </w:r>
                      <w:r w:rsidR="007B05C4">
                        <w:rPr>
                          <w:rFonts w:asciiTheme="majorHAnsi" w:hAnsiTheme="majorHAnsi" w:cs="Arial"/>
                          <w:b/>
                          <w:bCs/>
                          <w:color w:val="0D0D0D" w:themeColor="text1" w:themeTint="F2"/>
                          <w:sz w:val="36"/>
                          <w:szCs w:val="22"/>
                          <w:lang w:val="es-ES_tradnl"/>
                        </w:rPr>
                        <w:t xml:space="preserve"> </w:t>
                      </w:r>
                      <w:r w:rsidR="006734B6">
                        <w:rPr>
                          <w:rFonts w:asciiTheme="majorHAnsi" w:hAnsiTheme="majorHAnsi" w:cs="Arial"/>
                          <w:b/>
                          <w:bCs/>
                          <w:color w:val="0D0D0D" w:themeColor="text1" w:themeTint="F2"/>
                          <w:sz w:val="36"/>
                          <w:szCs w:val="22"/>
                          <w:lang w:val="es-ES_tradnl"/>
                        </w:rPr>
                        <w:t>70</w:t>
                      </w:r>
                      <w:r w:rsidR="007B05C4">
                        <w:rPr>
                          <w:rFonts w:asciiTheme="majorHAnsi" w:hAnsiTheme="majorHAnsi" w:cs="Arial"/>
                          <w:b/>
                          <w:bCs/>
                          <w:color w:val="0D0D0D" w:themeColor="text1" w:themeTint="F2"/>
                          <w:sz w:val="36"/>
                          <w:szCs w:val="22"/>
                          <w:lang w:val="es-ES_tradnl"/>
                        </w:rPr>
                        <w:t>/</w:t>
                      </w:r>
                      <w:r w:rsidR="00C23BA4">
                        <w:rPr>
                          <w:rFonts w:asciiTheme="majorHAnsi" w:hAnsiTheme="majorHAnsi" w:cs="Arial"/>
                          <w:b/>
                          <w:bCs/>
                          <w:color w:val="0D0D0D" w:themeColor="text1" w:themeTint="F2"/>
                          <w:sz w:val="36"/>
                          <w:szCs w:val="22"/>
                          <w:lang w:val="es-ES_tradnl"/>
                        </w:rPr>
                        <w:t>2</w:t>
                      </w:r>
                      <w:r w:rsidR="00401D83">
                        <w:rPr>
                          <w:rFonts w:asciiTheme="majorHAnsi" w:hAnsiTheme="majorHAnsi" w:cs="Arial"/>
                          <w:b/>
                          <w:bCs/>
                          <w:color w:val="0D0D0D" w:themeColor="text1" w:themeTint="F2"/>
                          <w:sz w:val="36"/>
                          <w:szCs w:val="22"/>
                          <w:lang w:val="es-ES_tradnl"/>
                        </w:rPr>
                        <w:t>3</w:t>
                      </w:r>
                    </w:p>
                    <w:p w14:paraId="09C54AB3" w14:textId="14DC458F" w:rsidR="007B05C4" w:rsidRDefault="005B52B0" w:rsidP="00997BC5">
                      <w:pPr>
                        <w:spacing w:line="276" w:lineRule="auto"/>
                        <w:rPr>
                          <w:rFonts w:asciiTheme="majorHAnsi" w:hAnsiTheme="majorHAnsi" w:cs="Arial"/>
                          <w:b/>
                          <w:color w:val="0D0D0D" w:themeColor="text1" w:themeTint="F2"/>
                          <w:sz w:val="36"/>
                          <w:szCs w:val="22"/>
                          <w:lang w:val="es-ES_tradnl"/>
                        </w:rPr>
                      </w:pPr>
                      <w:r w:rsidRPr="004E2649">
                        <w:rPr>
                          <w:rFonts w:asciiTheme="majorHAnsi" w:hAnsiTheme="majorHAnsi" w:cs="Arial"/>
                          <w:b/>
                          <w:color w:val="0D0D0D" w:themeColor="text1" w:themeTint="F2"/>
                          <w:sz w:val="36"/>
                          <w:szCs w:val="22"/>
                          <w:lang w:val="es-ES_tradnl"/>
                        </w:rPr>
                        <w:t xml:space="preserve">PETICIÓN </w:t>
                      </w:r>
                      <w:r w:rsidR="009135C4">
                        <w:rPr>
                          <w:rFonts w:asciiTheme="majorHAnsi" w:hAnsiTheme="majorHAnsi" w:cs="Arial"/>
                          <w:b/>
                          <w:color w:val="0D0D0D" w:themeColor="text1" w:themeTint="F2"/>
                          <w:sz w:val="36"/>
                          <w:szCs w:val="22"/>
                          <w:lang w:val="es-ES_tradnl"/>
                        </w:rPr>
                        <w:t>1771</w:t>
                      </w:r>
                      <w:r w:rsidR="00246D1F" w:rsidRPr="004E2649">
                        <w:rPr>
                          <w:rFonts w:asciiTheme="majorHAnsi" w:hAnsiTheme="majorHAnsi" w:cs="Arial"/>
                          <w:b/>
                          <w:color w:val="0D0D0D" w:themeColor="text1" w:themeTint="F2"/>
                          <w:sz w:val="36"/>
                          <w:szCs w:val="22"/>
                          <w:lang w:val="es-ES_tradnl"/>
                        </w:rPr>
                        <w:t>-</w:t>
                      </w:r>
                      <w:r w:rsidR="009135C4">
                        <w:rPr>
                          <w:rFonts w:asciiTheme="majorHAnsi" w:hAnsiTheme="majorHAnsi" w:cs="Arial"/>
                          <w:b/>
                          <w:color w:val="0D0D0D" w:themeColor="text1" w:themeTint="F2"/>
                          <w:sz w:val="36"/>
                          <w:szCs w:val="22"/>
                          <w:lang w:val="es-ES_tradnl"/>
                        </w:rPr>
                        <w:t>14</w:t>
                      </w:r>
                      <w:r w:rsidR="00246D1F" w:rsidRPr="004E2649">
                        <w:rPr>
                          <w:rFonts w:asciiTheme="majorHAnsi" w:hAnsiTheme="majorHAnsi" w:cs="Arial"/>
                          <w:b/>
                          <w:color w:val="0D0D0D" w:themeColor="text1" w:themeTint="F2"/>
                          <w:sz w:val="36"/>
                          <w:szCs w:val="22"/>
                          <w:lang w:val="es-ES_tradnl"/>
                        </w:rPr>
                        <w:t xml:space="preserve"> </w:t>
                      </w:r>
                    </w:p>
                    <w:p w14:paraId="70CF6833" w14:textId="41D7C246" w:rsidR="00CD046C" w:rsidRPr="0010736F" w:rsidRDefault="005B52B0" w:rsidP="00997BC5">
                      <w:pPr>
                        <w:spacing w:line="276" w:lineRule="auto"/>
                        <w:rPr>
                          <w:rFonts w:asciiTheme="majorHAnsi" w:hAnsiTheme="majorHAnsi" w:cs="Arial"/>
                          <w:color w:val="0D0D0D" w:themeColor="text1" w:themeTint="F2"/>
                          <w:szCs w:val="22"/>
                          <w:lang w:val="es-ES_tradnl"/>
                        </w:rPr>
                      </w:pPr>
                      <w:r w:rsidRPr="0010736F">
                        <w:rPr>
                          <w:rFonts w:asciiTheme="majorHAnsi" w:hAnsiTheme="majorHAnsi" w:cs="Arial"/>
                          <w:color w:val="0D0D0D" w:themeColor="text1" w:themeTint="F2"/>
                          <w:szCs w:val="22"/>
                          <w:lang w:val="es-ES_tradnl"/>
                        </w:rPr>
                        <w:t>INFORME DE ADMISIBILIDAD</w:t>
                      </w:r>
                      <w:r w:rsidR="00F519CF" w:rsidRPr="0010736F">
                        <w:rPr>
                          <w:rFonts w:asciiTheme="majorHAnsi" w:hAnsiTheme="majorHAnsi" w:cs="Arial"/>
                          <w:color w:val="0D0D0D" w:themeColor="text1" w:themeTint="F2"/>
                          <w:szCs w:val="22"/>
                          <w:lang w:val="es-ES_tradnl"/>
                        </w:rPr>
                        <w:t xml:space="preserve"> </w:t>
                      </w:r>
                    </w:p>
                    <w:p w14:paraId="5FDD6F0D" w14:textId="77777777" w:rsidR="008F1912" w:rsidRPr="0010736F" w:rsidRDefault="008F1912" w:rsidP="00997BC5">
                      <w:pPr>
                        <w:spacing w:line="276" w:lineRule="auto"/>
                        <w:rPr>
                          <w:rFonts w:asciiTheme="majorHAnsi" w:hAnsiTheme="majorHAnsi" w:cs="Arial"/>
                          <w:color w:val="0D0D0D" w:themeColor="text1" w:themeTint="F2"/>
                          <w:szCs w:val="22"/>
                          <w:lang w:val="es-ES_tradnl"/>
                        </w:rPr>
                      </w:pPr>
                      <w:bookmarkStart w:id="1" w:name="_ftnref1"/>
                    </w:p>
                    <w:p w14:paraId="4CFA2FBF" w14:textId="6C2C8056" w:rsidR="005B52B0" w:rsidRPr="00D143FC" w:rsidRDefault="0016379C" w:rsidP="00997BC5">
                      <w:pPr>
                        <w:spacing w:line="276" w:lineRule="auto"/>
                        <w:rPr>
                          <w:rFonts w:asciiTheme="majorHAnsi" w:hAnsiTheme="majorHAnsi" w:cs="Arial"/>
                          <w:color w:val="0D0D0D" w:themeColor="text1" w:themeTint="F2"/>
                          <w:szCs w:val="22"/>
                          <w:lang w:val="es-US"/>
                        </w:rPr>
                      </w:pPr>
                      <w:r>
                        <w:rPr>
                          <w:rFonts w:asciiTheme="majorHAnsi" w:hAnsiTheme="majorHAnsi" w:cs="Arial"/>
                          <w:color w:val="0D0D0D" w:themeColor="text1" w:themeTint="F2"/>
                          <w:szCs w:val="22"/>
                          <w:lang w:val="es-US"/>
                        </w:rPr>
                        <w:t xml:space="preserve">UNIÓN NACIONAL DE </w:t>
                      </w:r>
                      <w:r w:rsidR="007A5873">
                        <w:rPr>
                          <w:rFonts w:asciiTheme="majorHAnsi" w:hAnsiTheme="majorHAnsi" w:cs="Arial"/>
                          <w:color w:val="0D0D0D" w:themeColor="text1" w:themeTint="F2"/>
                          <w:szCs w:val="22"/>
                          <w:lang w:val="es-US"/>
                        </w:rPr>
                        <w:t>EX-P</w:t>
                      </w:r>
                      <w:r>
                        <w:rPr>
                          <w:rFonts w:asciiTheme="majorHAnsi" w:hAnsiTheme="majorHAnsi" w:cs="Arial"/>
                          <w:color w:val="0D0D0D" w:themeColor="text1" w:themeTint="F2"/>
                          <w:szCs w:val="22"/>
                          <w:lang w:val="es-US"/>
                        </w:rPr>
                        <w:t>RESOS Y EXILIADOS POLÍTICOS DE BOLIVIA</w:t>
                      </w:r>
                    </w:p>
                    <w:bookmarkEnd w:id="1"/>
                    <w:p w14:paraId="575DFD52" w14:textId="7E6FDB68" w:rsidR="005B52B0" w:rsidRPr="00D143FC" w:rsidRDefault="009135C4" w:rsidP="007A5817">
                      <w:pPr>
                        <w:rPr>
                          <w:color w:val="0D0D0D" w:themeColor="text1" w:themeTint="F2"/>
                          <w:lang w:val="es-US"/>
                        </w:rPr>
                      </w:pPr>
                      <w:r>
                        <w:rPr>
                          <w:rFonts w:asciiTheme="majorHAnsi" w:hAnsiTheme="majorHAnsi" w:cs="Arial"/>
                          <w:color w:val="0D0D0D" w:themeColor="text1" w:themeTint="F2"/>
                          <w:szCs w:val="22"/>
                          <w:lang w:val="es-US"/>
                        </w:rPr>
                        <w:t>BOLIVIA</w:t>
                      </w:r>
                    </w:p>
                  </w:txbxContent>
                </v:textbox>
              </v:shape>
            </w:pict>
          </mc:Fallback>
        </mc:AlternateContent>
      </w:r>
      <w:r w:rsidR="004E2649" w:rsidRPr="0090270B">
        <w:rPr>
          <w:rFonts w:asciiTheme="majorHAnsi" w:hAnsiTheme="majorHAnsi"/>
          <w:noProof/>
          <w:sz w:val="22"/>
          <w:szCs w:val="22"/>
          <w:lang w:val="es-419" w:eastAsia="es-419"/>
        </w:rPr>
        <mc:AlternateContent>
          <mc:Choice Requires="wps">
            <w:drawing>
              <wp:anchor distT="0" distB="0" distL="114300" distR="114300" simplePos="0" relativeHeight="251658243" behindDoc="0" locked="0" layoutInCell="1" allowOverlap="1" wp14:anchorId="73BE5919" wp14:editId="686CF99C">
                <wp:simplePos x="0" y="0"/>
                <wp:positionH relativeFrom="column">
                  <wp:posOffset>-342900</wp:posOffset>
                </wp:positionH>
                <wp:positionV relativeFrom="paragraph">
                  <wp:posOffset>164465</wp:posOffset>
                </wp:positionV>
                <wp:extent cx="1390650" cy="137731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90650" cy="137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0BAF6" w14:textId="6A0D1097" w:rsidR="00627C9F" w:rsidRPr="007A5873" w:rsidRDefault="00834D49" w:rsidP="007A5817">
                            <w:pPr>
                              <w:spacing w:line="276" w:lineRule="auto"/>
                              <w:jc w:val="right"/>
                              <w:rPr>
                                <w:rFonts w:asciiTheme="minorHAnsi" w:hAnsiTheme="minorHAnsi"/>
                                <w:color w:val="FFFFFF" w:themeColor="background1"/>
                                <w:sz w:val="22"/>
                                <w:lang w:val="es-ES"/>
                              </w:rPr>
                            </w:pPr>
                            <w:r w:rsidRPr="007A5873">
                              <w:rPr>
                                <w:rFonts w:asciiTheme="minorHAnsi" w:hAnsiTheme="minorHAnsi"/>
                                <w:color w:val="FFFFFF" w:themeColor="background1"/>
                                <w:sz w:val="22"/>
                                <w:lang w:val="es-ES"/>
                              </w:rPr>
                              <w:t>OEA/Ser.L/V/II</w:t>
                            </w:r>
                          </w:p>
                          <w:p w14:paraId="6A41611B" w14:textId="13565BD4" w:rsidR="00627C9F" w:rsidRPr="007A5873" w:rsidRDefault="00627C9F" w:rsidP="007A5817">
                            <w:pPr>
                              <w:spacing w:line="276" w:lineRule="auto"/>
                              <w:jc w:val="right"/>
                              <w:rPr>
                                <w:rFonts w:asciiTheme="minorHAnsi" w:hAnsiTheme="minorHAnsi"/>
                                <w:color w:val="FFFFFF" w:themeColor="background1"/>
                                <w:sz w:val="22"/>
                                <w:lang w:val="es-ES"/>
                              </w:rPr>
                            </w:pPr>
                            <w:r w:rsidRPr="007A5873">
                              <w:rPr>
                                <w:rFonts w:asciiTheme="minorHAnsi" w:hAnsiTheme="minorHAnsi"/>
                                <w:color w:val="FFFFFF" w:themeColor="background1"/>
                                <w:sz w:val="22"/>
                                <w:lang w:val="es-ES"/>
                              </w:rPr>
                              <w:t xml:space="preserve">Doc. </w:t>
                            </w:r>
                            <w:r w:rsidR="006734B6" w:rsidRPr="007A5873">
                              <w:rPr>
                                <w:rFonts w:asciiTheme="minorHAnsi" w:hAnsiTheme="minorHAnsi"/>
                                <w:color w:val="FFFFFF" w:themeColor="background1"/>
                                <w:sz w:val="22"/>
                                <w:lang w:val="es-ES"/>
                              </w:rPr>
                              <w:t>78</w:t>
                            </w:r>
                          </w:p>
                          <w:p w14:paraId="69373ED2" w14:textId="6EC02F37" w:rsidR="00627C9F" w:rsidRPr="00C25ADB" w:rsidRDefault="0023555F" w:rsidP="007A5817">
                            <w:pPr>
                              <w:spacing w:line="276" w:lineRule="auto"/>
                              <w:jc w:val="right"/>
                              <w:rPr>
                                <w:rFonts w:asciiTheme="minorHAnsi" w:hAnsiTheme="minorHAnsi"/>
                                <w:color w:val="FFFFFF" w:themeColor="background1"/>
                                <w:sz w:val="22"/>
                                <w:lang w:val="es-PA"/>
                              </w:rPr>
                            </w:pPr>
                            <w:r>
                              <w:rPr>
                                <w:rFonts w:asciiTheme="minorHAnsi" w:hAnsiTheme="minorHAnsi"/>
                                <w:color w:val="FFFFFF" w:themeColor="background1"/>
                                <w:sz w:val="22"/>
                                <w:lang w:val="es-PA"/>
                              </w:rPr>
                              <w:t>7 junio</w:t>
                            </w:r>
                            <w:r w:rsidR="007B05C4" w:rsidRPr="00C25ADB">
                              <w:rPr>
                                <w:rFonts w:asciiTheme="minorHAnsi" w:hAnsiTheme="minorHAnsi"/>
                                <w:color w:val="FFFFFF" w:themeColor="background1"/>
                                <w:sz w:val="22"/>
                                <w:lang w:val="es-PA"/>
                              </w:rPr>
                              <w:t xml:space="preserve"> </w:t>
                            </w:r>
                            <w:r w:rsidR="00627C9F" w:rsidRPr="00C25ADB">
                              <w:rPr>
                                <w:rFonts w:asciiTheme="minorHAnsi" w:hAnsiTheme="minorHAnsi"/>
                                <w:color w:val="FFFFFF" w:themeColor="background1"/>
                                <w:sz w:val="22"/>
                                <w:lang w:val="es-PA"/>
                              </w:rPr>
                              <w:t>20</w:t>
                            </w:r>
                            <w:r w:rsidR="00C23BA4" w:rsidRPr="00C25ADB">
                              <w:rPr>
                                <w:rFonts w:asciiTheme="minorHAnsi" w:hAnsiTheme="minorHAnsi"/>
                                <w:color w:val="FFFFFF" w:themeColor="background1"/>
                                <w:sz w:val="22"/>
                                <w:lang w:val="es-PA"/>
                              </w:rPr>
                              <w:t>2</w:t>
                            </w:r>
                            <w:r w:rsidR="00401D83">
                              <w:rPr>
                                <w:rFonts w:asciiTheme="minorHAnsi" w:hAnsiTheme="minorHAnsi"/>
                                <w:color w:val="FFFFFF" w:themeColor="background1"/>
                                <w:sz w:val="22"/>
                                <w:lang w:val="es-PA"/>
                              </w:rPr>
                              <w:t>3</w:t>
                            </w:r>
                          </w:p>
                          <w:p w14:paraId="0771DB5B" w14:textId="77777777" w:rsidR="00627C9F" w:rsidRPr="00C25ADB" w:rsidRDefault="00E0340B" w:rsidP="007A5817">
                            <w:pPr>
                              <w:spacing w:line="276" w:lineRule="auto"/>
                              <w:jc w:val="right"/>
                              <w:rPr>
                                <w:rFonts w:asciiTheme="minorHAnsi" w:hAnsiTheme="minorHAnsi"/>
                                <w:color w:val="FFFFFF" w:themeColor="background1"/>
                                <w:sz w:val="22"/>
                                <w:lang w:val="es-PA"/>
                              </w:rPr>
                            </w:pPr>
                            <w:r w:rsidRPr="00C25ADB">
                              <w:rPr>
                                <w:rFonts w:asciiTheme="minorHAnsi" w:hAnsiTheme="minorHAnsi"/>
                                <w:color w:val="FFFFFF" w:themeColor="background1"/>
                                <w:sz w:val="22"/>
                                <w:lang w:val="es-PA"/>
                              </w:rPr>
                              <w:t xml:space="preserve">Original: </w:t>
                            </w:r>
                            <w:r w:rsidR="008B12F5" w:rsidRPr="00C25ADB">
                              <w:rPr>
                                <w:rFonts w:asciiTheme="minorHAnsi" w:hAnsiTheme="minorHAnsi"/>
                                <w:color w:val="FFFFFF" w:themeColor="background1"/>
                                <w:sz w:val="22"/>
                                <w:lang w:val="es-PA"/>
                              </w:rPr>
                              <w:t>e</w:t>
                            </w:r>
                            <w:r w:rsidR="00627C9F" w:rsidRPr="00C25ADB">
                              <w:rPr>
                                <w:rFonts w:asciiTheme="minorHAnsi" w:hAnsiTheme="minorHAnsi"/>
                                <w:color w:val="FFFFFF" w:themeColor="background1"/>
                                <w:sz w:val="22"/>
                                <w:lang w:val="es-PA"/>
                              </w:rPr>
                              <w:t>spañol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E5919" id="Text Box 8" o:spid="_x0000_s1028" type="#_x0000_t202" style="position:absolute;left:0;text-align:left;margin-left:-27pt;margin-top:12.95pt;width:109.5pt;height:108.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" filled="f" stroked="f" strokeweight=".5pt">
                <v:textbox>
                  <w:txbxContent>
                    <w:p w14:paraId="6CF0BAF6" w14:textId="6A0D1097" w:rsidR="00627C9F" w:rsidRPr="007A5873" w:rsidRDefault="00834D49" w:rsidP="007A5817">
                      <w:pPr>
                        <w:spacing w:line="276" w:lineRule="auto"/>
                        <w:jc w:val="right"/>
                        <w:rPr>
                          <w:rFonts w:asciiTheme="minorHAnsi" w:hAnsiTheme="minorHAnsi"/>
                          <w:color w:val="FFFFFF" w:themeColor="background1"/>
                          <w:sz w:val="22"/>
                          <w:lang w:val="es-ES"/>
                        </w:rPr>
                      </w:pPr>
                      <w:r w:rsidRPr="007A5873">
                        <w:rPr>
                          <w:rFonts w:asciiTheme="minorHAnsi" w:hAnsiTheme="minorHAnsi"/>
                          <w:color w:val="FFFFFF" w:themeColor="background1"/>
                          <w:sz w:val="22"/>
                          <w:lang w:val="es-ES"/>
                        </w:rPr>
                        <w:t>OEA/Ser.L/V/II</w:t>
                      </w:r>
                    </w:p>
                    <w:p w14:paraId="6A41611B" w14:textId="13565BD4" w:rsidR="00627C9F" w:rsidRPr="007A5873" w:rsidRDefault="00627C9F" w:rsidP="007A5817">
                      <w:pPr>
                        <w:spacing w:line="276" w:lineRule="auto"/>
                        <w:jc w:val="right"/>
                        <w:rPr>
                          <w:rFonts w:asciiTheme="minorHAnsi" w:hAnsiTheme="minorHAnsi"/>
                          <w:color w:val="FFFFFF" w:themeColor="background1"/>
                          <w:sz w:val="22"/>
                          <w:lang w:val="es-ES"/>
                        </w:rPr>
                      </w:pPr>
                      <w:r w:rsidRPr="007A5873">
                        <w:rPr>
                          <w:rFonts w:asciiTheme="minorHAnsi" w:hAnsiTheme="minorHAnsi"/>
                          <w:color w:val="FFFFFF" w:themeColor="background1"/>
                          <w:sz w:val="22"/>
                          <w:lang w:val="es-ES"/>
                        </w:rPr>
                        <w:t xml:space="preserve">Doc. </w:t>
                      </w:r>
                      <w:r w:rsidR="006734B6" w:rsidRPr="007A5873">
                        <w:rPr>
                          <w:rFonts w:asciiTheme="minorHAnsi" w:hAnsiTheme="minorHAnsi"/>
                          <w:color w:val="FFFFFF" w:themeColor="background1"/>
                          <w:sz w:val="22"/>
                          <w:lang w:val="es-ES"/>
                        </w:rPr>
                        <w:t>78</w:t>
                      </w:r>
                    </w:p>
                    <w:p w14:paraId="69373ED2" w14:textId="6EC02F37" w:rsidR="00627C9F" w:rsidRPr="00C25ADB" w:rsidRDefault="0023555F" w:rsidP="007A5817">
                      <w:pPr>
                        <w:spacing w:line="276" w:lineRule="auto"/>
                        <w:jc w:val="right"/>
                        <w:rPr>
                          <w:rFonts w:asciiTheme="minorHAnsi" w:hAnsiTheme="minorHAnsi"/>
                          <w:color w:val="FFFFFF" w:themeColor="background1"/>
                          <w:sz w:val="22"/>
                          <w:lang w:val="es-PA"/>
                        </w:rPr>
                      </w:pPr>
                      <w:r>
                        <w:rPr>
                          <w:rFonts w:asciiTheme="minorHAnsi" w:hAnsiTheme="minorHAnsi"/>
                          <w:color w:val="FFFFFF" w:themeColor="background1"/>
                          <w:sz w:val="22"/>
                          <w:lang w:val="es-PA"/>
                        </w:rPr>
                        <w:t>7 junio</w:t>
                      </w:r>
                      <w:r w:rsidR="007B05C4" w:rsidRPr="00C25ADB">
                        <w:rPr>
                          <w:rFonts w:asciiTheme="minorHAnsi" w:hAnsiTheme="minorHAnsi"/>
                          <w:color w:val="FFFFFF" w:themeColor="background1"/>
                          <w:sz w:val="22"/>
                          <w:lang w:val="es-PA"/>
                        </w:rPr>
                        <w:t xml:space="preserve"> </w:t>
                      </w:r>
                      <w:r w:rsidR="00627C9F" w:rsidRPr="00C25ADB">
                        <w:rPr>
                          <w:rFonts w:asciiTheme="minorHAnsi" w:hAnsiTheme="minorHAnsi"/>
                          <w:color w:val="FFFFFF" w:themeColor="background1"/>
                          <w:sz w:val="22"/>
                          <w:lang w:val="es-PA"/>
                        </w:rPr>
                        <w:t>20</w:t>
                      </w:r>
                      <w:r w:rsidR="00C23BA4" w:rsidRPr="00C25ADB">
                        <w:rPr>
                          <w:rFonts w:asciiTheme="minorHAnsi" w:hAnsiTheme="minorHAnsi"/>
                          <w:color w:val="FFFFFF" w:themeColor="background1"/>
                          <w:sz w:val="22"/>
                          <w:lang w:val="es-PA"/>
                        </w:rPr>
                        <w:t>2</w:t>
                      </w:r>
                      <w:r w:rsidR="00401D83">
                        <w:rPr>
                          <w:rFonts w:asciiTheme="minorHAnsi" w:hAnsiTheme="minorHAnsi"/>
                          <w:color w:val="FFFFFF" w:themeColor="background1"/>
                          <w:sz w:val="22"/>
                          <w:lang w:val="es-PA"/>
                        </w:rPr>
                        <w:t>3</w:t>
                      </w:r>
                    </w:p>
                    <w:p w14:paraId="0771DB5B" w14:textId="77777777" w:rsidR="00627C9F" w:rsidRPr="00C25ADB" w:rsidRDefault="00E0340B" w:rsidP="007A5817">
                      <w:pPr>
                        <w:spacing w:line="276" w:lineRule="auto"/>
                        <w:jc w:val="right"/>
                        <w:rPr>
                          <w:rFonts w:asciiTheme="minorHAnsi" w:hAnsiTheme="minorHAnsi"/>
                          <w:color w:val="FFFFFF" w:themeColor="background1"/>
                          <w:sz w:val="22"/>
                          <w:lang w:val="es-PA"/>
                        </w:rPr>
                      </w:pPr>
                      <w:r w:rsidRPr="00C25ADB">
                        <w:rPr>
                          <w:rFonts w:asciiTheme="minorHAnsi" w:hAnsiTheme="minorHAnsi"/>
                          <w:color w:val="FFFFFF" w:themeColor="background1"/>
                          <w:sz w:val="22"/>
                          <w:lang w:val="es-PA"/>
                        </w:rPr>
                        <w:t xml:space="preserve">Original: </w:t>
                      </w:r>
                      <w:r w:rsidR="008B12F5" w:rsidRPr="00C25ADB">
                        <w:rPr>
                          <w:rFonts w:asciiTheme="minorHAnsi" w:hAnsiTheme="minorHAnsi"/>
                          <w:color w:val="FFFFFF" w:themeColor="background1"/>
                          <w:sz w:val="22"/>
                          <w:lang w:val="es-PA"/>
                        </w:rPr>
                        <w:t>e</w:t>
                      </w:r>
                      <w:r w:rsidR="00627C9F" w:rsidRPr="00C25ADB">
                        <w:rPr>
                          <w:rFonts w:asciiTheme="minorHAnsi" w:hAnsiTheme="minorHAnsi"/>
                          <w:color w:val="FFFFFF" w:themeColor="background1"/>
                          <w:sz w:val="22"/>
                          <w:lang w:val="es-PA"/>
                        </w:rPr>
                        <w:t>spañol</w:t>
                      </w:r>
                    </w:p>
                  </w:txbxContent>
                </v:textbox>
              </v:shape>
            </w:pict>
          </mc:Fallback>
        </mc:AlternateContent>
      </w:r>
    </w:p>
    <w:p w14:paraId="155B0536"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5FE3AB87"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3C383BC0" w14:textId="77777777" w:rsidR="00040C3A" w:rsidRPr="0090270B" w:rsidRDefault="00040C3A" w:rsidP="00040C3A">
      <w:pPr>
        <w:tabs>
          <w:tab w:val="center" w:pos="5400"/>
        </w:tabs>
        <w:suppressAutoHyphens/>
        <w:jc w:val="center"/>
        <w:rPr>
          <w:rFonts w:asciiTheme="majorHAnsi" w:hAnsiTheme="majorHAnsi" w:cs="Arial"/>
          <w:sz w:val="22"/>
          <w:szCs w:val="22"/>
          <w:lang w:val="es-ES_tradnl"/>
        </w:rPr>
      </w:pPr>
    </w:p>
    <w:p w14:paraId="54590931"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76C291D6"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2161B44F"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3C4EEE07"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3B0E4647" w14:textId="77777777" w:rsidR="005128E4" w:rsidRPr="0090270B" w:rsidRDefault="005128E4" w:rsidP="00040C3A">
      <w:pPr>
        <w:tabs>
          <w:tab w:val="center" w:pos="5400"/>
        </w:tabs>
        <w:suppressAutoHyphens/>
        <w:jc w:val="center"/>
        <w:rPr>
          <w:rFonts w:asciiTheme="majorHAnsi" w:hAnsiTheme="majorHAnsi"/>
          <w:sz w:val="22"/>
          <w:szCs w:val="22"/>
          <w:lang w:val="es-ES_tradnl"/>
        </w:rPr>
      </w:pPr>
    </w:p>
    <w:p w14:paraId="2DAAF36D"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12496A14" w14:textId="77777777" w:rsidR="005128E4" w:rsidRPr="0090270B" w:rsidRDefault="005128E4" w:rsidP="00040C3A">
      <w:pPr>
        <w:tabs>
          <w:tab w:val="center" w:pos="5400"/>
        </w:tabs>
        <w:suppressAutoHyphens/>
        <w:jc w:val="center"/>
        <w:rPr>
          <w:rFonts w:asciiTheme="majorHAnsi" w:hAnsiTheme="majorHAnsi"/>
          <w:sz w:val="22"/>
          <w:szCs w:val="22"/>
          <w:lang w:val="es-ES_tradnl"/>
        </w:rPr>
      </w:pPr>
    </w:p>
    <w:p w14:paraId="25772DB3" w14:textId="77777777" w:rsidR="005128E4" w:rsidRPr="0090270B" w:rsidRDefault="005128E4" w:rsidP="00040C3A">
      <w:pPr>
        <w:tabs>
          <w:tab w:val="center" w:pos="5400"/>
        </w:tabs>
        <w:suppressAutoHyphens/>
        <w:jc w:val="center"/>
        <w:rPr>
          <w:rFonts w:asciiTheme="majorHAnsi" w:hAnsiTheme="majorHAnsi"/>
          <w:sz w:val="22"/>
          <w:szCs w:val="22"/>
          <w:lang w:val="es-ES_tradnl"/>
        </w:rPr>
      </w:pPr>
    </w:p>
    <w:p w14:paraId="6820FADA" w14:textId="77777777" w:rsidR="005128E4" w:rsidRPr="0090270B" w:rsidRDefault="005128E4" w:rsidP="00040C3A">
      <w:pPr>
        <w:tabs>
          <w:tab w:val="center" w:pos="5400"/>
        </w:tabs>
        <w:suppressAutoHyphens/>
        <w:jc w:val="center"/>
        <w:rPr>
          <w:rFonts w:asciiTheme="majorHAnsi" w:hAnsiTheme="majorHAnsi"/>
          <w:sz w:val="22"/>
          <w:szCs w:val="22"/>
          <w:lang w:val="es-ES_tradnl"/>
        </w:rPr>
      </w:pPr>
    </w:p>
    <w:p w14:paraId="54445A55"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5D4A4040" w14:textId="77777777" w:rsidR="00040C3A" w:rsidRPr="0090270B" w:rsidRDefault="00040C3A" w:rsidP="00040C3A">
      <w:pPr>
        <w:tabs>
          <w:tab w:val="center" w:pos="5400"/>
        </w:tabs>
        <w:suppressAutoHyphens/>
        <w:jc w:val="center"/>
        <w:rPr>
          <w:rFonts w:asciiTheme="majorHAnsi" w:hAnsiTheme="majorHAnsi"/>
          <w:sz w:val="22"/>
          <w:szCs w:val="22"/>
          <w:lang w:val="es-ES_tradnl"/>
        </w:rPr>
      </w:pPr>
    </w:p>
    <w:p w14:paraId="048FBB22"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190ABFB3"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4C690048"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733CA438"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7874DEEB"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3698D0D6"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1F907823"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045D9AC1"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16068EE5"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14A4A430"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0B3B735F"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02C5C441"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7806A2B0"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319C392B"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514A0182" w14:textId="77777777" w:rsidR="00A50FCF" w:rsidRPr="0090270B" w:rsidRDefault="0090270B" w:rsidP="00040C3A">
      <w:pPr>
        <w:tabs>
          <w:tab w:val="center" w:pos="5400"/>
        </w:tabs>
        <w:suppressAutoHyphens/>
        <w:jc w:val="center"/>
        <w:rPr>
          <w:rFonts w:asciiTheme="majorHAnsi" w:hAnsiTheme="majorHAnsi"/>
          <w:sz w:val="18"/>
          <w:szCs w:val="22"/>
          <w:lang w:val="es-ES_tradnl"/>
        </w:rPr>
      </w:pPr>
      <w:r w:rsidRPr="0090270B">
        <w:rPr>
          <w:rFonts w:asciiTheme="majorHAnsi" w:hAnsiTheme="majorHAnsi"/>
          <w:noProof/>
          <w:sz w:val="22"/>
          <w:szCs w:val="22"/>
          <w:lang w:val="es-419" w:eastAsia="es-419"/>
        </w:rPr>
        <mc:AlternateContent>
          <mc:Choice Requires="wps">
            <w:drawing>
              <wp:anchor distT="0" distB="0" distL="114300" distR="114300" simplePos="0" relativeHeight="251658242" behindDoc="0" locked="0" layoutInCell="1" allowOverlap="1" wp14:anchorId="37B0B44F" wp14:editId="1101FDFD">
                <wp:simplePos x="0" y="0"/>
                <wp:positionH relativeFrom="column">
                  <wp:posOffset>1341755</wp:posOffset>
                </wp:positionH>
                <wp:positionV relativeFrom="paragraph">
                  <wp:posOffset>22860</wp:posOffset>
                </wp:positionV>
                <wp:extent cx="4933950" cy="664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4933950" cy="664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4B4F7" w14:textId="0DDDB1A9" w:rsidR="00DD3D86" w:rsidRPr="00890650" w:rsidRDefault="00DD3D86" w:rsidP="00DD3D86">
                            <w:pPr>
                              <w:tabs>
                                <w:tab w:val="center" w:pos="5400"/>
                              </w:tabs>
                              <w:suppressAutoHyphens/>
                              <w:spacing w:before="60"/>
                              <w:rPr>
                                <w:rFonts w:asciiTheme="majorHAnsi" w:hAnsiTheme="majorHAnsi"/>
                                <w:color w:val="0D0D0D" w:themeColor="text1" w:themeTint="F2"/>
                                <w:sz w:val="18"/>
                                <w:szCs w:val="22"/>
                                <w:lang w:val="es-ES"/>
                              </w:rPr>
                            </w:pPr>
                            <w:r w:rsidRPr="00890650">
                              <w:rPr>
                                <w:rFonts w:asciiTheme="majorHAnsi" w:hAnsiTheme="majorHAnsi"/>
                                <w:color w:val="0D0D0D" w:themeColor="text1" w:themeTint="F2"/>
                                <w:sz w:val="18"/>
                                <w:szCs w:val="22"/>
                                <w:lang w:val="es-ES"/>
                              </w:rPr>
                              <w:t>Aprobado electr</w:t>
                            </w:r>
                            <w:r w:rsidRPr="00890650">
                              <w:rPr>
                                <w:rFonts w:asciiTheme="majorHAnsi" w:hAnsiTheme="majorHAnsi"/>
                                <w:color w:val="0D0D0D" w:themeColor="text1" w:themeTint="F2"/>
                                <w:sz w:val="18"/>
                                <w:szCs w:val="22"/>
                                <w:lang w:val="es-ES_tradnl"/>
                              </w:rPr>
                              <w:t>ónicamente</w:t>
                            </w:r>
                            <w:r w:rsidRPr="00890650">
                              <w:rPr>
                                <w:rFonts w:asciiTheme="majorHAnsi" w:hAnsiTheme="majorHAnsi"/>
                                <w:color w:val="0D0D0D" w:themeColor="text1" w:themeTint="F2"/>
                                <w:sz w:val="18"/>
                                <w:szCs w:val="22"/>
                                <w:lang w:val="es-ES"/>
                              </w:rPr>
                              <w:t xml:space="preserve"> por la Comisión el </w:t>
                            </w:r>
                            <w:r w:rsidR="003118CA">
                              <w:rPr>
                                <w:rFonts w:asciiTheme="majorHAnsi" w:hAnsiTheme="majorHAnsi"/>
                                <w:color w:val="0D0D0D" w:themeColor="text1" w:themeTint="F2"/>
                                <w:sz w:val="18"/>
                                <w:szCs w:val="22"/>
                                <w:lang w:val="es-ES"/>
                              </w:rPr>
                              <w:t>7</w:t>
                            </w:r>
                            <w:r w:rsidRPr="00890650">
                              <w:rPr>
                                <w:rFonts w:asciiTheme="majorHAnsi" w:hAnsiTheme="majorHAnsi"/>
                                <w:color w:val="0D0D0D" w:themeColor="text1" w:themeTint="F2"/>
                                <w:sz w:val="18"/>
                                <w:szCs w:val="22"/>
                                <w:lang w:val="es-ES"/>
                              </w:rPr>
                              <w:t xml:space="preserve"> de </w:t>
                            </w:r>
                            <w:r w:rsidR="003118CA">
                              <w:rPr>
                                <w:rFonts w:asciiTheme="majorHAnsi" w:hAnsiTheme="majorHAnsi"/>
                                <w:color w:val="0D0D0D" w:themeColor="text1" w:themeTint="F2"/>
                                <w:sz w:val="18"/>
                                <w:szCs w:val="22"/>
                                <w:lang w:val="es-ES"/>
                              </w:rPr>
                              <w:t>junio</w:t>
                            </w:r>
                            <w:r w:rsidR="00F81BB8">
                              <w:rPr>
                                <w:rFonts w:asciiTheme="majorHAnsi" w:hAnsiTheme="majorHAnsi"/>
                                <w:color w:val="0D0D0D" w:themeColor="text1" w:themeTint="F2"/>
                                <w:sz w:val="18"/>
                                <w:szCs w:val="22"/>
                                <w:lang w:val="es-ES"/>
                              </w:rPr>
                              <w:t xml:space="preserve"> </w:t>
                            </w:r>
                            <w:r w:rsidRPr="00890650">
                              <w:rPr>
                                <w:rFonts w:asciiTheme="majorHAnsi" w:hAnsiTheme="majorHAnsi"/>
                                <w:color w:val="0D0D0D" w:themeColor="text1" w:themeTint="F2"/>
                                <w:sz w:val="18"/>
                                <w:szCs w:val="22"/>
                                <w:lang w:val="es-ES"/>
                              </w:rPr>
                              <w:t>de 20</w:t>
                            </w:r>
                            <w:r w:rsidR="00C23BA4">
                              <w:rPr>
                                <w:rFonts w:asciiTheme="majorHAnsi" w:hAnsiTheme="majorHAnsi"/>
                                <w:color w:val="0D0D0D" w:themeColor="text1" w:themeTint="F2"/>
                                <w:sz w:val="18"/>
                                <w:szCs w:val="22"/>
                                <w:lang w:val="es-ES"/>
                              </w:rPr>
                              <w:t>2</w:t>
                            </w:r>
                            <w:r w:rsidR="00401D83">
                              <w:rPr>
                                <w:rFonts w:asciiTheme="majorHAnsi" w:hAnsiTheme="majorHAnsi"/>
                                <w:color w:val="0D0D0D" w:themeColor="text1" w:themeTint="F2"/>
                                <w:sz w:val="18"/>
                                <w:szCs w:val="22"/>
                                <w:lang w:val="es-ES"/>
                              </w:rPr>
                              <w:t>3</w:t>
                            </w:r>
                            <w:r w:rsidR="00EF03A2">
                              <w:rPr>
                                <w:rFonts w:asciiTheme="majorHAnsi" w:hAnsiTheme="majorHAnsi"/>
                                <w:color w:val="0D0D0D" w:themeColor="text1" w:themeTint="F2"/>
                                <w:sz w:val="18"/>
                                <w:szCs w:val="22"/>
                                <w:lang w:val="es-ES"/>
                              </w:rPr>
                              <w:t>.</w:t>
                            </w:r>
                          </w:p>
                          <w:p w14:paraId="4BDF3581" w14:textId="77777777" w:rsidR="00DD3D86" w:rsidRPr="007A5817" w:rsidRDefault="00DD3D86" w:rsidP="00247403">
                            <w:pPr>
                              <w:tabs>
                                <w:tab w:val="center" w:pos="5400"/>
                              </w:tabs>
                              <w:suppressAutoHyphens/>
                              <w:spacing w:before="60"/>
                              <w:rPr>
                                <w:rFonts w:asciiTheme="minorHAnsi" w:hAnsiTheme="minorHAnsi" w:cs="Univers"/>
                                <w:color w:val="0D0D0D" w:themeColor="text1" w:themeTint="F2"/>
                                <w:sz w:val="20"/>
                                <w:szCs w:val="20"/>
                                <w:lang w:val="es-ES"/>
                              </w:rPr>
                            </w:pPr>
                          </w:p>
                          <w:p w14:paraId="4D148488" w14:textId="77777777" w:rsidR="005B52B0" w:rsidRPr="00167A34" w:rsidRDefault="005B52B0" w:rsidP="0059191A">
                            <w:pPr>
                              <w:tabs>
                                <w:tab w:val="center" w:pos="5400"/>
                              </w:tabs>
                              <w:suppressAutoHyphens/>
                              <w:spacing w:before="60"/>
                              <w:rPr>
                                <w:rFonts w:ascii="Calibri" w:hAnsi="Calibri"/>
                                <w:color w:val="FFFFFF" w:themeColor="background1"/>
                                <w:spacing w:val="-2"/>
                                <w:sz w:val="1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0B44F" id="Text Box 7" o:spid="_x0000_s1029" type="#_x0000_t202" style="position:absolute;left:0;text-align:left;margin-left:105.65pt;margin-top:1.8pt;width:388.5pt;height:52.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" filled="f" stroked="f" strokeweight=".5pt">
                <v:textbox>
                  <w:txbxContent>
                    <w:p w14:paraId="2944B4F7" w14:textId="0DDDB1A9" w:rsidR="00DD3D86" w:rsidRPr="00890650" w:rsidRDefault="00DD3D86" w:rsidP="00DD3D86">
                      <w:pPr>
                        <w:tabs>
                          <w:tab w:val="center" w:pos="5400"/>
                        </w:tabs>
                        <w:suppressAutoHyphens/>
                        <w:spacing w:before="60"/>
                        <w:rPr>
                          <w:rFonts w:asciiTheme="majorHAnsi" w:hAnsiTheme="majorHAnsi"/>
                          <w:color w:val="0D0D0D" w:themeColor="text1" w:themeTint="F2"/>
                          <w:sz w:val="18"/>
                          <w:szCs w:val="22"/>
                          <w:lang w:val="es-ES"/>
                        </w:rPr>
                      </w:pPr>
                      <w:r w:rsidRPr="00890650">
                        <w:rPr>
                          <w:rFonts w:asciiTheme="majorHAnsi" w:hAnsiTheme="majorHAnsi"/>
                          <w:color w:val="0D0D0D" w:themeColor="text1" w:themeTint="F2"/>
                          <w:sz w:val="18"/>
                          <w:szCs w:val="22"/>
                          <w:lang w:val="es-ES"/>
                        </w:rPr>
                        <w:t>Aprobado electr</w:t>
                      </w:r>
                      <w:r w:rsidRPr="00890650">
                        <w:rPr>
                          <w:rFonts w:asciiTheme="majorHAnsi" w:hAnsiTheme="majorHAnsi"/>
                          <w:color w:val="0D0D0D" w:themeColor="text1" w:themeTint="F2"/>
                          <w:sz w:val="18"/>
                          <w:szCs w:val="22"/>
                          <w:lang w:val="es-ES_tradnl"/>
                        </w:rPr>
                        <w:t>ónicamente</w:t>
                      </w:r>
                      <w:r w:rsidRPr="00890650">
                        <w:rPr>
                          <w:rFonts w:asciiTheme="majorHAnsi" w:hAnsiTheme="majorHAnsi"/>
                          <w:color w:val="0D0D0D" w:themeColor="text1" w:themeTint="F2"/>
                          <w:sz w:val="18"/>
                          <w:szCs w:val="22"/>
                          <w:lang w:val="es-ES"/>
                        </w:rPr>
                        <w:t xml:space="preserve"> por la Comisión el </w:t>
                      </w:r>
                      <w:r w:rsidR="003118CA">
                        <w:rPr>
                          <w:rFonts w:asciiTheme="majorHAnsi" w:hAnsiTheme="majorHAnsi"/>
                          <w:color w:val="0D0D0D" w:themeColor="text1" w:themeTint="F2"/>
                          <w:sz w:val="18"/>
                          <w:szCs w:val="22"/>
                          <w:lang w:val="es-ES"/>
                        </w:rPr>
                        <w:t>7</w:t>
                      </w:r>
                      <w:r w:rsidRPr="00890650">
                        <w:rPr>
                          <w:rFonts w:asciiTheme="majorHAnsi" w:hAnsiTheme="majorHAnsi"/>
                          <w:color w:val="0D0D0D" w:themeColor="text1" w:themeTint="F2"/>
                          <w:sz w:val="18"/>
                          <w:szCs w:val="22"/>
                          <w:lang w:val="es-ES"/>
                        </w:rPr>
                        <w:t xml:space="preserve"> de </w:t>
                      </w:r>
                      <w:r w:rsidR="003118CA">
                        <w:rPr>
                          <w:rFonts w:asciiTheme="majorHAnsi" w:hAnsiTheme="majorHAnsi"/>
                          <w:color w:val="0D0D0D" w:themeColor="text1" w:themeTint="F2"/>
                          <w:sz w:val="18"/>
                          <w:szCs w:val="22"/>
                          <w:lang w:val="es-ES"/>
                        </w:rPr>
                        <w:t>junio</w:t>
                      </w:r>
                      <w:r w:rsidR="00F81BB8">
                        <w:rPr>
                          <w:rFonts w:asciiTheme="majorHAnsi" w:hAnsiTheme="majorHAnsi"/>
                          <w:color w:val="0D0D0D" w:themeColor="text1" w:themeTint="F2"/>
                          <w:sz w:val="18"/>
                          <w:szCs w:val="22"/>
                          <w:lang w:val="es-ES"/>
                        </w:rPr>
                        <w:t xml:space="preserve"> </w:t>
                      </w:r>
                      <w:r w:rsidRPr="00890650">
                        <w:rPr>
                          <w:rFonts w:asciiTheme="majorHAnsi" w:hAnsiTheme="majorHAnsi"/>
                          <w:color w:val="0D0D0D" w:themeColor="text1" w:themeTint="F2"/>
                          <w:sz w:val="18"/>
                          <w:szCs w:val="22"/>
                          <w:lang w:val="es-ES"/>
                        </w:rPr>
                        <w:t>de 20</w:t>
                      </w:r>
                      <w:r w:rsidR="00C23BA4">
                        <w:rPr>
                          <w:rFonts w:asciiTheme="majorHAnsi" w:hAnsiTheme="majorHAnsi"/>
                          <w:color w:val="0D0D0D" w:themeColor="text1" w:themeTint="F2"/>
                          <w:sz w:val="18"/>
                          <w:szCs w:val="22"/>
                          <w:lang w:val="es-ES"/>
                        </w:rPr>
                        <w:t>2</w:t>
                      </w:r>
                      <w:r w:rsidR="00401D83">
                        <w:rPr>
                          <w:rFonts w:asciiTheme="majorHAnsi" w:hAnsiTheme="majorHAnsi"/>
                          <w:color w:val="0D0D0D" w:themeColor="text1" w:themeTint="F2"/>
                          <w:sz w:val="18"/>
                          <w:szCs w:val="22"/>
                          <w:lang w:val="es-ES"/>
                        </w:rPr>
                        <w:t>3</w:t>
                      </w:r>
                      <w:r w:rsidR="00EF03A2">
                        <w:rPr>
                          <w:rFonts w:asciiTheme="majorHAnsi" w:hAnsiTheme="majorHAnsi"/>
                          <w:color w:val="0D0D0D" w:themeColor="text1" w:themeTint="F2"/>
                          <w:sz w:val="18"/>
                          <w:szCs w:val="22"/>
                          <w:lang w:val="es-ES"/>
                        </w:rPr>
                        <w:t>.</w:t>
                      </w:r>
                    </w:p>
                    <w:p w14:paraId="4BDF3581" w14:textId="77777777" w:rsidR="00DD3D86" w:rsidRPr="007A5817" w:rsidRDefault="00DD3D86" w:rsidP="00247403">
                      <w:pPr>
                        <w:tabs>
                          <w:tab w:val="center" w:pos="5400"/>
                        </w:tabs>
                        <w:suppressAutoHyphens/>
                        <w:spacing w:before="60"/>
                        <w:rPr>
                          <w:rFonts w:asciiTheme="minorHAnsi" w:hAnsiTheme="minorHAnsi" w:cs="Univers"/>
                          <w:color w:val="0D0D0D" w:themeColor="text1" w:themeTint="F2"/>
                          <w:sz w:val="20"/>
                          <w:szCs w:val="20"/>
                          <w:lang w:val="es-ES"/>
                        </w:rPr>
                      </w:pPr>
                    </w:p>
                    <w:p w14:paraId="4D148488" w14:textId="77777777" w:rsidR="005B52B0" w:rsidRPr="00167A34" w:rsidRDefault="005B52B0" w:rsidP="0059191A">
                      <w:pPr>
                        <w:tabs>
                          <w:tab w:val="center" w:pos="5400"/>
                        </w:tabs>
                        <w:suppressAutoHyphens/>
                        <w:spacing w:before="60"/>
                        <w:rPr>
                          <w:rFonts w:ascii="Calibri" w:hAnsi="Calibri"/>
                          <w:color w:val="FFFFFF" w:themeColor="background1"/>
                          <w:spacing w:val="-2"/>
                          <w:sz w:val="16"/>
                          <w:lang w:val="es-ES"/>
                        </w:rPr>
                      </w:pPr>
                    </w:p>
                  </w:txbxContent>
                </v:textbox>
              </v:shape>
            </w:pict>
          </mc:Fallback>
        </mc:AlternateContent>
      </w:r>
    </w:p>
    <w:p w14:paraId="1F28BEBB"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7929D1FD"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5469D0BE"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7A79F059"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330672AE" w14:textId="77777777" w:rsidR="00A50FCF" w:rsidRPr="0090270B" w:rsidRDefault="0090270B" w:rsidP="00040C3A">
      <w:pPr>
        <w:tabs>
          <w:tab w:val="center" w:pos="5400"/>
        </w:tabs>
        <w:suppressAutoHyphens/>
        <w:jc w:val="center"/>
        <w:rPr>
          <w:rFonts w:asciiTheme="majorHAnsi" w:hAnsiTheme="majorHAnsi"/>
          <w:sz w:val="18"/>
          <w:szCs w:val="22"/>
          <w:lang w:val="es-ES_tradnl"/>
        </w:rPr>
      </w:pPr>
      <w:r w:rsidRPr="0090270B">
        <w:rPr>
          <w:rFonts w:asciiTheme="majorHAnsi" w:hAnsiTheme="majorHAnsi"/>
          <w:noProof/>
          <w:sz w:val="18"/>
          <w:szCs w:val="22"/>
          <w:lang w:val="es-419" w:eastAsia="es-419"/>
        </w:rPr>
        <mc:AlternateContent>
          <mc:Choice Requires="wps">
            <w:drawing>
              <wp:anchor distT="0" distB="0" distL="114300" distR="114300" simplePos="0" relativeHeight="251658245" behindDoc="0" locked="0" layoutInCell="1" allowOverlap="1" wp14:anchorId="14798ABC" wp14:editId="6379A8C4">
                <wp:simplePos x="0" y="0"/>
                <wp:positionH relativeFrom="column">
                  <wp:posOffset>1333500</wp:posOffset>
                </wp:positionH>
                <wp:positionV relativeFrom="paragraph">
                  <wp:posOffset>5715</wp:posOffset>
                </wp:positionV>
                <wp:extent cx="4943475" cy="6572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9434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7A58B" w14:textId="77777777" w:rsidR="00771329" w:rsidRDefault="00113F73" w:rsidP="00113F73">
                            <w:pPr>
                              <w:spacing w:line="276" w:lineRule="auto"/>
                              <w:rPr>
                                <w:rFonts w:asciiTheme="majorHAnsi" w:hAnsiTheme="majorHAnsi"/>
                                <w:color w:val="595959" w:themeColor="text1" w:themeTint="A6"/>
                                <w:sz w:val="18"/>
                                <w:szCs w:val="18"/>
                                <w:lang w:val="es-ES_tradnl"/>
                              </w:rPr>
                            </w:pPr>
                            <w:r w:rsidRPr="00890650">
                              <w:rPr>
                                <w:rFonts w:asciiTheme="majorHAnsi" w:hAnsiTheme="majorHAnsi"/>
                                <w:b/>
                                <w:color w:val="595959" w:themeColor="text1" w:themeTint="A6"/>
                                <w:sz w:val="18"/>
                                <w:szCs w:val="18"/>
                                <w:lang w:val="pt-BR"/>
                              </w:rPr>
                              <w:t>Citar como:</w:t>
                            </w:r>
                            <w:r w:rsidRPr="00890650">
                              <w:rPr>
                                <w:rFonts w:asciiTheme="majorHAnsi" w:hAnsiTheme="majorHAnsi"/>
                                <w:color w:val="595959" w:themeColor="text1" w:themeTint="A6"/>
                                <w:sz w:val="18"/>
                                <w:szCs w:val="18"/>
                                <w:lang w:val="pt-BR"/>
                              </w:rPr>
                              <w:t xml:space="preserve"> CIDH, Informe No. </w:t>
                            </w:r>
                            <w:r w:rsidR="00E470CC" w:rsidRPr="00BC4BD5">
                              <w:rPr>
                                <w:rFonts w:asciiTheme="majorHAnsi" w:hAnsiTheme="majorHAnsi"/>
                                <w:color w:val="595959" w:themeColor="text1" w:themeTint="A6"/>
                                <w:sz w:val="18"/>
                                <w:szCs w:val="18"/>
                                <w:lang w:val="pt-BR"/>
                              </w:rPr>
                              <w:t>70</w:t>
                            </w:r>
                            <w:r w:rsidR="007B05C4" w:rsidRPr="00BC4BD5">
                              <w:rPr>
                                <w:rFonts w:asciiTheme="majorHAnsi" w:hAnsiTheme="majorHAnsi"/>
                                <w:color w:val="595959" w:themeColor="text1" w:themeTint="A6"/>
                                <w:sz w:val="18"/>
                                <w:szCs w:val="18"/>
                                <w:lang w:val="pt-BR"/>
                              </w:rPr>
                              <w:t>/</w:t>
                            </w:r>
                            <w:r w:rsidR="00BC4BD5" w:rsidRPr="00BC4BD5">
                              <w:rPr>
                                <w:rFonts w:asciiTheme="majorHAnsi" w:hAnsiTheme="majorHAnsi"/>
                                <w:color w:val="595959" w:themeColor="text1" w:themeTint="A6"/>
                                <w:sz w:val="18"/>
                                <w:szCs w:val="18"/>
                                <w:lang w:val="pt-BR"/>
                              </w:rPr>
                              <w:t>23</w:t>
                            </w:r>
                            <w:r w:rsidRPr="00BC4BD5">
                              <w:rPr>
                                <w:rFonts w:asciiTheme="majorHAnsi" w:hAnsiTheme="majorHAnsi"/>
                                <w:color w:val="595959" w:themeColor="text1" w:themeTint="A6"/>
                                <w:sz w:val="18"/>
                                <w:szCs w:val="18"/>
                                <w:lang w:val="pt-BR"/>
                              </w:rPr>
                              <w:t xml:space="preserve">. </w:t>
                            </w:r>
                            <w:r w:rsidR="000433C9">
                              <w:rPr>
                                <w:rFonts w:asciiTheme="majorHAnsi" w:hAnsiTheme="majorHAnsi"/>
                                <w:color w:val="595959" w:themeColor="text1" w:themeTint="A6"/>
                                <w:sz w:val="18"/>
                                <w:szCs w:val="18"/>
                                <w:lang w:val="es-ES_tradnl"/>
                              </w:rPr>
                              <w:t>Petici</w:t>
                            </w:r>
                            <w:r w:rsidR="000433C9">
                              <w:rPr>
                                <w:rFonts w:asciiTheme="majorHAnsi" w:hAnsiTheme="majorHAnsi"/>
                                <w:color w:val="595959" w:themeColor="text1" w:themeTint="A6"/>
                                <w:sz w:val="18"/>
                                <w:szCs w:val="18"/>
                                <w:lang w:val="es-ES"/>
                              </w:rPr>
                              <w:t xml:space="preserve">ón </w:t>
                            </w:r>
                            <w:r w:rsidR="009F3B79">
                              <w:rPr>
                                <w:rFonts w:asciiTheme="majorHAnsi" w:hAnsiTheme="majorHAnsi"/>
                                <w:color w:val="595959" w:themeColor="text1" w:themeTint="A6"/>
                                <w:sz w:val="18"/>
                                <w:szCs w:val="18"/>
                                <w:lang w:val="es-ES"/>
                              </w:rPr>
                              <w:t>1</w:t>
                            </w:r>
                            <w:r w:rsidR="004D20C3">
                              <w:rPr>
                                <w:rFonts w:asciiTheme="majorHAnsi" w:hAnsiTheme="majorHAnsi"/>
                                <w:color w:val="595959" w:themeColor="text1" w:themeTint="A6"/>
                                <w:sz w:val="18"/>
                                <w:szCs w:val="18"/>
                                <w:lang w:val="es-ES"/>
                              </w:rPr>
                              <w:t>771</w:t>
                            </w:r>
                            <w:r w:rsidR="00744FFD">
                              <w:rPr>
                                <w:rFonts w:asciiTheme="majorHAnsi" w:hAnsiTheme="majorHAnsi"/>
                                <w:color w:val="595959" w:themeColor="text1" w:themeTint="A6"/>
                                <w:sz w:val="18"/>
                                <w:szCs w:val="18"/>
                                <w:lang w:val="es-ES"/>
                              </w:rPr>
                              <w:t>-</w:t>
                            </w:r>
                            <w:r w:rsidR="004D20C3">
                              <w:rPr>
                                <w:rFonts w:asciiTheme="majorHAnsi" w:hAnsiTheme="majorHAnsi"/>
                                <w:color w:val="595959" w:themeColor="text1" w:themeTint="A6"/>
                                <w:sz w:val="18"/>
                                <w:szCs w:val="18"/>
                                <w:lang w:val="es-ES"/>
                              </w:rPr>
                              <w:t>14</w:t>
                            </w:r>
                            <w:r w:rsidR="000433C9">
                              <w:rPr>
                                <w:rFonts w:asciiTheme="majorHAnsi" w:hAnsiTheme="majorHAnsi"/>
                                <w:color w:val="595959" w:themeColor="text1" w:themeTint="A6"/>
                                <w:sz w:val="18"/>
                                <w:szCs w:val="18"/>
                                <w:lang w:val="es-ES"/>
                              </w:rPr>
                              <w:t xml:space="preserve">. </w:t>
                            </w:r>
                            <w:r w:rsidRPr="00890650">
                              <w:rPr>
                                <w:rFonts w:asciiTheme="majorHAnsi" w:hAnsiTheme="majorHAnsi"/>
                                <w:color w:val="595959" w:themeColor="text1" w:themeTint="A6"/>
                                <w:sz w:val="18"/>
                                <w:szCs w:val="18"/>
                                <w:lang w:val="es-ES_tradnl"/>
                              </w:rPr>
                              <w:t xml:space="preserve">Admisibilidad. </w:t>
                            </w:r>
                            <w:r w:rsidR="004D20C3">
                              <w:rPr>
                                <w:rFonts w:asciiTheme="majorHAnsi" w:hAnsiTheme="majorHAnsi"/>
                                <w:color w:val="595959" w:themeColor="text1" w:themeTint="A6"/>
                                <w:sz w:val="18"/>
                                <w:szCs w:val="18"/>
                                <w:lang w:val="es-ES_tradnl"/>
                              </w:rPr>
                              <w:t xml:space="preserve">Unión Nacional de </w:t>
                            </w:r>
                          </w:p>
                          <w:p w14:paraId="0D1B22CF" w14:textId="2EED60BF" w:rsidR="00113F73" w:rsidRPr="007B05C4" w:rsidRDefault="00DF1FBD" w:rsidP="00113F73">
                            <w:pPr>
                              <w:spacing w:line="276" w:lineRule="auto"/>
                              <w:rPr>
                                <w:rFonts w:asciiTheme="majorHAnsi" w:hAnsiTheme="majorHAnsi"/>
                                <w:color w:val="595959" w:themeColor="text1" w:themeTint="A6"/>
                                <w:sz w:val="18"/>
                                <w:szCs w:val="18"/>
                                <w:lang w:val="es-ES"/>
                              </w:rPr>
                            </w:pPr>
                            <w:r>
                              <w:rPr>
                                <w:rFonts w:asciiTheme="majorHAnsi" w:hAnsiTheme="majorHAnsi"/>
                                <w:color w:val="595959" w:themeColor="text1" w:themeTint="A6"/>
                                <w:sz w:val="18"/>
                                <w:szCs w:val="18"/>
                                <w:lang w:val="es-ES_tradnl"/>
                              </w:rPr>
                              <w:t>e</w:t>
                            </w:r>
                            <w:r w:rsidR="000D0472">
                              <w:rPr>
                                <w:rFonts w:asciiTheme="majorHAnsi" w:hAnsiTheme="majorHAnsi"/>
                                <w:color w:val="595959" w:themeColor="text1" w:themeTint="A6"/>
                                <w:sz w:val="18"/>
                                <w:szCs w:val="18"/>
                                <w:lang w:val="es-ES_tradnl"/>
                              </w:rPr>
                              <w:t>x-</w:t>
                            </w:r>
                            <w:r>
                              <w:rPr>
                                <w:rFonts w:asciiTheme="majorHAnsi" w:hAnsiTheme="majorHAnsi"/>
                                <w:color w:val="595959" w:themeColor="text1" w:themeTint="A6"/>
                                <w:sz w:val="18"/>
                                <w:szCs w:val="18"/>
                                <w:lang w:val="es-ES_tradnl"/>
                              </w:rPr>
                              <w:t>p</w:t>
                            </w:r>
                            <w:r w:rsidR="000D0472">
                              <w:rPr>
                                <w:rFonts w:asciiTheme="majorHAnsi" w:hAnsiTheme="majorHAnsi"/>
                                <w:color w:val="595959" w:themeColor="text1" w:themeTint="A6"/>
                                <w:sz w:val="18"/>
                                <w:szCs w:val="18"/>
                                <w:lang w:val="es-ES_tradnl"/>
                              </w:rPr>
                              <w:t>r</w:t>
                            </w:r>
                            <w:r w:rsidR="000C11F4">
                              <w:rPr>
                                <w:rFonts w:asciiTheme="majorHAnsi" w:hAnsiTheme="majorHAnsi"/>
                                <w:color w:val="595959" w:themeColor="text1" w:themeTint="A6"/>
                                <w:sz w:val="18"/>
                                <w:szCs w:val="18"/>
                                <w:lang w:val="es-ES_tradnl"/>
                              </w:rPr>
                              <w:t xml:space="preserve">esos y </w:t>
                            </w:r>
                            <w:r>
                              <w:rPr>
                                <w:rFonts w:asciiTheme="majorHAnsi" w:hAnsiTheme="majorHAnsi"/>
                                <w:color w:val="595959" w:themeColor="text1" w:themeTint="A6"/>
                                <w:sz w:val="18"/>
                                <w:szCs w:val="18"/>
                                <w:lang w:val="es-ES_tradnl"/>
                              </w:rPr>
                              <w:t>e</w:t>
                            </w:r>
                            <w:r w:rsidR="000C11F4">
                              <w:rPr>
                                <w:rFonts w:asciiTheme="majorHAnsi" w:hAnsiTheme="majorHAnsi"/>
                                <w:color w:val="595959" w:themeColor="text1" w:themeTint="A6"/>
                                <w:sz w:val="18"/>
                                <w:szCs w:val="18"/>
                                <w:lang w:val="es-ES_tradnl"/>
                              </w:rPr>
                              <w:t xml:space="preserve">xiliados </w:t>
                            </w:r>
                            <w:r>
                              <w:rPr>
                                <w:rFonts w:asciiTheme="majorHAnsi" w:hAnsiTheme="majorHAnsi"/>
                                <w:color w:val="595959" w:themeColor="text1" w:themeTint="A6"/>
                                <w:sz w:val="18"/>
                                <w:szCs w:val="18"/>
                                <w:lang w:val="es-ES_tradnl"/>
                              </w:rPr>
                              <w:t>p</w:t>
                            </w:r>
                            <w:r w:rsidR="000C11F4">
                              <w:rPr>
                                <w:rFonts w:asciiTheme="majorHAnsi" w:hAnsiTheme="majorHAnsi"/>
                                <w:color w:val="595959" w:themeColor="text1" w:themeTint="A6"/>
                                <w:sz w:val="18"/>
                                <w:szCs w:val="18"/>
                                <w:lang w:val="es-ES_tradnl"/>
                              </w:rPr>
                              <w:t>olíticos</w:t>
                            </w:r>
                            <w:r w:rsidR="00E64110">
                              <w:rPr>
                                <w:rFonts w:asciiTheme="majorHAnsi" w:hAnsiTheme="majorHAnsi"/>
                                <w:color w:val="595959" w:themeColor="text1" w:themeTint="A6"/>
                                <w:sz w:val="18"/>
                                <w:szCs w:val="18"/>
                                <w:lang w:val="es-ES_tradnl"/>
                              </w:rPr>
                              <w:t xml:space="preserve"> de Bolivia</w:t>
                            </w:r>
                            <w:r w:rsidR="00113F73" w:rsidRPr="00890650">
                              <w:rPr>
                                <w:rFonts w:asciiTheme="majorHAnsi" w:hAnsiTheme="majorHAnsi"/>
                                <w:color w:val="595959" w:themeColor="text1" w:themeTint="A6"/>
                                <w:sz w:val="18"/>
                                <w:szCs w:val="18"/>
                                <w:lang w:val="es-ES_tradnl"/>
                              </w:rPr>
                              <w:t xml:space="preserve">. </w:t>
                            </w:r>
                            <w:r w:rsidR="005E48F3">
                              <w:rPr>
                                <w:rFonts w:asciiTheme="majorHAnsi" w:hAnsiTheme="majorHAnsi"/>
                                <w:color w:val="595959" w:themeColor="text1" w:themeTint="A6"/>
                                <w:sz w:val="18"/>
                                <w:szCs w:val="18"/>
                                <w:lang w:val="es-ES_tradnl"/>
                              </w:rPr>
                              <w:t>Bolivia</w:t>
                            </w:r>
                            <w:r w:rsidR="00113F73" w:rsidRPr="00890650">
                              <w:rPr>
                                <w:rFonts w:asciiTheme="majorHAnsi" w:hAnsiTheme="majorHAnsi"/>
                                <w:color w:val="595959" w:themeColor="text1" w:themeTint="A6"/>
                                <w:sz w:val="18"/>
                                <w:szCs w:val="18"/>
                                <w:lang w:val="es-ES_tradnl"/>
                              </w:rPr>
                              <w:t xml:space="preserve">. </w:t>
                            </w:r>
                            <w:r w:rsidR="00921594">
                              <w:rPr>
                                <w:rFonts w:asciiTheme="majorHAnsi" w:hAnsiTheme="majorHAnsi"/>
                                <w:color w:val="595959" w:themeColor="text1" w:themeTint="A6"/>
                                <w:sz w:val="18"/>
                                <w:szCs w:val="18"/>
                                <w:lang w:val="es-ES"/>
                              </w:rPr>
                              <w:t>7 de junio de 2023</w:t>
                            </w:r>
                            <w:r w:rsidR="00113F73" w:rsidRPr="007B05C4">
                              <w:rPr>
                                <w:rFonts w:asciiTheme="majorHAnsi" w:hAnsiTheme="majorHAnsi"/>
                                <w:color w:val="595959" w:themeColor="text1" w:themeTint="A6"/>
                                <w:sz w:val="18"/>
                                <w:szCs w:val="18"/>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8ABC" id="Text Box 10" o:spid="_x0000_s1030" type="#_x0000_t202" style="position:absolute;left:0;text-align:left;margin-left:105pt;margin-top:.45pt;width:389.25pt;height:51.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" filled="f" stroked="f" strokeweight=".5pt">
                <v:textbox>
                  <w:txbxContent>
                    <w:p w14:paraId="38C7A58B" w14:textId="77777777" w:rsidR="00771329" w:rsidRDefault="00113F73" w:rsidP="00113F73">
                      <w:pPr>
                        <w:spacing w:line="276" w:lineRule="auto"/>
                        <w:rPr>
                          <w:rFonts w:asciiTheme="majorHAnsi" w:hAnsiTheme="majorHAnsi"/>
                          <w:color w:val="595959" w:themeColor="text1" w:themeTint="A6"/>
                          <w:sz w:val="18"/>
                          <w:szCs w:val="18"/>
                          <w:lang w:val="es-ES_tradnl"/>
                        </w:rPr>
                      </w:pPr>
                      <w:r w:rsidRPr="00890650">
                        <w:rPr>
                          <w:rFonts w:asciiTheme="majorHAnsi" w:hAnsiTheme="majorHAnsi"/>
                          <w:b/>
                          <w:color w:val="595959" w:themeColor="text1" w:themeTint="A6"/>
                          <w:sz w:val="18"/>
                          <w:szCs w:val="18"/>
                          <w:lang w:val="pt-BR"/>
                        </w:rPr>
                        <w:t>Citar como:</w:t>
                      </w:r>
                      <w:r w:rsidRPr="00890650">
                        <w:rPr>
                          <w:rFonts w:asciiTheme="majorHAnsi" w:hAnsiTheme="majorHAnsi"/>
                          <w:color w:val="595959" w:themeColor="text1" w:themeTint="A6"/>
                          <w:sz w:val="18"/>
                          <w:szCs w:val="18"/>
                          <w:lang w:val="pt-BR"/>
                        </w:rPr>
                        <w:t xml:space="preserve"> CIDH, Informe No. </w:t>
                      </w:r>
                      <w:r w:rsidR="00E470CC" w:rsidRPr="00BC4BD5">
                        <w:rPr>
                          <w:rFonts w:asciiTheme="majorHAnsi" w:hAnsiTheme="majorHAnsi"/>
                          <w:color w:val="595959" w:themeColor="text1" w:themeTint="A6"/>
                          <w:sz w:val="18"/>
                          <w:szCs w:val="18"/>
                          <w:lang w:val="pt-BR"/>
                        </w:rPr>
                        <w:t>70</w:t>
                      </w:r>
                      <w:r w:rsidR="007B05C4" w:rsidRPr="00BC4BD5">
                        <w:rPr>
                          <w:rFonts w:asciiTheme="majorHAnsi" w:hAnsiTheme="majorHAnsi"/>
                          <w:color w:val="595959" w:themeColor="text1" w:themeTint="A6"/>
                          <w:sz w:val="18"/>
                          <w:szCs w:val="18"/>
                          <w:lang w:val="pt-BR"/>
                        </w:rPr>
                        <w:t>/</w:t>
                      </w:r>
                      <w:r w:rsidR="00BC4BD5" w:rsidRPr="00BC4BD5">
                        <w:rPr>
                          <w:rFonts w:asciiTheme="majorHAnsi" w:hAnsiTheme="majorHAnsi"/>
                          <w:color w:val="595959" w:themeColor="text1" w:themeTint="A6"/>
                          <w:sz w:val="18"/>
                          <w:szCs w:val="18"/>
                          <w:lang w:val="pt-BR"/>
                        </w:rPr>
                        <w:t>23</w:t>
                      </w:r>
                      <w:r w:rsidRPr="00BC4BD5">
                        <w:rPr>
                          <w:rFonts w:asciiTheme="majorHAnsi" w:hAnsiTheme="majorHAnsi"/>
                          <w:color w:val="595959" w:themeColor="text1" w:themeTint="A6"/>
                          <w:sz w:val="18"/>
                          <w:szCs w:val="18"/>
                          <w:lang w:val="pt-BR"/>
                        </w:rPr>
                        <w:t xml:space="preserve">. </w:t>
                      </w:r>
                      <w:r w:rsidR="000433C9">
                        <w:rPr>
                          <w:rFonts w:asciiTheme="majorHAnsi" w:hAnsiTheme="majorHAnsi"/>
                          <w:color w:val="595959" w:themeColor="text1" w:themeTint="A6"/>
                          <w:sz w:val="18"/>
                          <w:szCs w:val="18"/>
                          <w:lang w:val="es-ES_tradnl"/>
                        </w:rPr>
                        <w:t>Petici</w:t>
                      </w:r>
                      <w:r w:rsidR="000433C9">
                        <w:rPr>
                          <w:rFonts w:asciiTheme="majorHAnsi" w:hAnsiTheme="majorHAnsi"/>
                          <w:color w:val="595959" w:themeColor="text1" w:themeTint="A6"/>
                          <w:sz w:val="18"/>
                          <w:szCs w:val="18"/>
                          <w:lang w:val="es-ES"/>
                        </w:rPr>
                        <w:t xml:space="preserve">ón </w:t>
                      </w:r>
                      <w:r w:rsidR="009F3B79">
                        <w:rPr>
                          <w:rFonts w:asciiTheme="majorHAnsi" w:hAnsiTheme="majorHAnsi"/>
                          <w:color w:val="595959" w:themeColor="text1" w:themeTint="A6"/>
                          <w:sz w:val="18"/>
                          <w:szCs w:val="18"/>
                          <w:lang w:val="es-ES"/>
                        </w:rPr>
                        <w:t>1</w:t>
                      </w:r>
                      <w:r w:rsidR="004D20C3">
                        <w:rPr>
                          <w:rFonts w:asciiTheme="majorHAnsi" w:hAnsiTheme="majorHAnsi"/>
                          <w:color w:val="595959" w:themeColor="text1" w:themeTint="A6"/>
                          <w:sz w:val="18"/>
                          <w:szCs w:val="18"/>
                          <w:lang w:val="es-ES"/>
                        </w:rPr>
                        <w:t>771</w:t>
                      </w:r>
                      <w:r w:rsidR="00744FFD">
                        <w:rPr>
                          <w:rFonts w:asciiTheme="majorHAnsi" w:hAnsiTheme="majorHAnsi"/>
                          <w:color w:val="595959" w:themeColor="text1" w:themeTint="A6"/>
                          <w:sz w:val="18"/>
                          <w:szCs w:val="18"/>
                          <w:lang w:val="es-ES"/>
                        </w:rPr>
                        <w:t>-</w:t>
                      </w:r>
                      <w:r w:rsidR="004D20C3">
                        <w:rPr>
                          <w:rFonts w:asciiTheme="majorHAnsi" w:hAnsiTheme="majorHAnsi"/>
                          <w:color w:val="595959" w:themeColor="text1" w:themeTint="A6"/>
                          <w:sz w:val="18"/>
                          <w:szCs w:val="18"/>
                          <w:lang w:val="es-ES"/>
                        </w:rPr>
                        <w:t>14</w:t>
                      </w:r>
                      <w:r w:rsidR="000433C9">
                        <w:rPr>
                          <w:rFonts w:asciiTheme="majorHAnsi" w:hAnsiTheme="majorHAnsi"/>
                          <w:color w:val="595959" w:themeColor="text1" w:themeTint="A6"/>
                          <w:sz w:val="18"/>
                          <w:szCs w:val="18"/>
                          <w:lang w:val="es-ES"/>
                        </w:rPr>
                        <w:t xml:space="preserve">. </w:t>
                      </w:r>
                      <w:r w:rsidRPr="00890650">
                        <w:rPr>
                          <w:rFonts w:asciiTheme="majorHAnsi" w:hAnsiTheme="majorHAnsi"/>
                          <w:color w:val="595959" w:themeColor="text1" w:themeTint="A6"/>
                          <w:sz w:val="18"/>
                          <w:szCs w:val="18"/>
                          <w:lang w:val="es-ES_tradnl"/>
                        </w:rPr>
                        <w:t xml:space="preserve">Admisibilidad. </w:t>
                      </w:r>
                      <w:r w:rsidR="004D20C3">
                        <w:rPr>
                          <w:rFonts w:asciiTheme="majorHAnsi" w:hAnsiTheme="majorHAnsi"/>
                          <w:color w:val="595959" w:themeColor="text1" w:themeTint="A6"/>
                          <w:sz w:val="18"/>
                          <w:szCs w:val="18"/>
                          <w:lang w:val="es-ES_tradnl"/>
                        </w:rPr>
                        <w:t xml:space="preserve">Unión Nacional de </w:t>
                      </w:r>
                    </w:p>
                    <w:p w14:paraId="0D1B22CF" w14:textId="2EED60BF" w:rsidR="00113F73" w:rsidRPr="007B05C4" w:rsidRDefault="00DF1FBD" w:rsidP="00113F73">
                      <w:pPr>
                        <w:spacing w:line="276" w:lineRule="auto"/>
                        <w:rPr>
                          <w:rFonts w:asciiTheme="majorHAnsi" w:hAnsiTheme="majorHAnsi"/>
                          <w:color w:val="595959" w:themeColor="text1" w:themeTint="A6"/>
                          <w:sz w:val="18"/>
                          <w:szCs w:val="18"/>
                          <w:lang w:val="es-ES"/>
                        </w:rPr>
                      </w:pPr>
                      <w:r>
                        <w:rPr>
                          <w:rFonts w:asciiTheme="majorHAnsi" w:hAnsiTheme="majorHAnsi"/>
                          <w:color w:val="595959" w:themeColor="text1" w:themeTint="A6"/>
                          <w:sz w:val="18"/>
                          <w:szCs w:val="18"/>
                          <w:lang w:val="es-ES_tradnl"/>
                        </w:rPr>
                        <w:t>e</w:t>
                      </w:r>
                      <w:r w:rsidR="000D0472">
                        <w:rPr>
                          <w:rFonts w:asciiTheme="majorHAnsi" w:hAnsiTheme="majorHAnsi"/>
                          <w:color w:val="595959" w:themeColor="text1" w:themeTint="A6"/>
                          <w:sz w:val="18"/>
                          <w:szCs w:val="18"/>
                          <w:lang w:val="es-ES_tradnl"/>
                        </w:rPr>
                        <w:t>x-</w:t>
                      </w:r>
                      <w:r>
                        <w:rPr>
                          <w:rFonts w:asciiTheme="majorHAnsi" w:hAnsiTheme="majorHAnsi"/>
                          <w:color w:val="595959" w:themeColor="text1" w:themeTint="A6"/>
                          <w:sz w:val="18"/>
                          <w:szCs w:val="18"/>
                          <w:lang w:val="es-ES_tradnl"/>
                        </w:rPr>
                        <w:t>p</w:t>
                      </w:r>
                      <w:r w:rsidR="000D0472">
                        <w:rPr>
                          <w:rFonts w:asciiTheme="majorHAnsi" w:hAnsiTheme="majorHAnsi"/>
                          <w:color w:val="595959" w:themeColor="text1" w:themeTint="A6"/>
                          <w:sz w:val="18"/>
                          <w:szCs w:val="18"/>
                          <w:lang w:val="es-ES_tradnl"/>
                        </w:rPr>
                        <w:t>r</w:t>
                      </w:r>
                      <w:r w:rsidR="000C11F4">
                        <w:rPr>
                          <w:rFonts w:asciiTheme="majorHAnsi" w:hAnsiTheme="majorHAnsi"/>
                          <w:color w:val="595959" w:themeColor="text1" w:themeTint="A6"/>
                          <w:sz w:val="18"/>
                          <w:szCs w:val="18"/>
                          <w:lang w:val="es-ES_tradnl"/>
                        </w:rPr>
                        <w:t xml:space="preserve">esos y </w:t>
                      </w:r>
                      <w:r>
                        <w:rPr>
                          <w:rFonts w:asciiTheme="majorHAnsi" w:hAnsiTheme="majorHAnsi"/>
                          <w:color w:val="595959" w:themeColor="text1" w:themeTint="A6"/>
                          <w:sz w:val="18"/>
                          <w:szCs w:val="18"/>
                          <w:lang w:val="es-ES_tradnl"/>
                        </w:rPr>
                        <w:t>e</w:t>
                      </w:r>
                      <w:r w:rsidR="000C11F4">
                        <w:rPr>
                          <w:rFonts w:asciiTheme="majorHAnsi" w:hAnsiTheme="majorHAnsi"/>
                          <w:color w:val="595959" w:themeColor="text1" w:themeTint="A6"/>
                          <w:sz w:val="18"/>
                          <w:szCs w:val="18"/>
                          <w:lang w:val="es-ES_tradnl"/>
                        </w:rPr>
                        <w:t xml:space="preserve">xiliados </w:t>
                      </w:r>
                      <w:r>
                        <w:rPr>
                          <w:rFonts w:asciiTheme="majorHAnsi" w:hAnsiTheme="majorHAnsi"/>
                          <w:color w:val="595959" w:themeColor="text1" w:themeTint="A6"/>
                          <w:sz w:val="18"/>
                          <w:szCs w:val="18"/>
                          <w:lang w:val="es-ES_tradnl"/>
                        </w:rPr>
                        <w:t>p</w:t>
                      </w:r>
                      <w:r w:rsidR="000C11F4">
                        <w:rPr>
                          <w:rFonts w:asciiTheme="majorHAnsi" w:hAnsiTheme="majorHAnsi"/>
                          <w:color w:val="595959" w:themeColor="text1" w:themeTint="A6"/>
                          <w:sz w:val="18"/>
                          <w:szCs w:val="18"/>
                          <w:lang w:val="es-ES_tradnl"/>
                        </w:rPr>
                        <w:t>olíticos</w:t>
                      </w:r>
                      <w:r w:rsidR="00E64110">
                        <w:rPr>
                          <w:rFonts w:asciiTheme="majorHAnsi" w:hAnsiTheme="majorHAnsi"/>
                          <w:color w:val="595959" w:themeColor="text1" w:themeTint="A6"/>
                          <w:sz w:val="18"/>
                          <w:szCs w:val="18"/>
                          <w:lang w:val="es-ES_tradnl"/>
                        </w:rPr>
                        <w:t xml:space="preserve"> de Bolivia</w:t>
                      </w:r>
                      <w:r w:rsidR="00113F73" w:rsidRPr="00890650">
                        <w:rPr>
                          <w:rFonts w:asciiTheme="majorHAnsi" w:hAnsiTheme="majorHAnsi"/>
                          <w:color w:val="595959" w:themeColor="text1" w:themeTint="A6"/>
                          <w:sz w:val="18"/>
                          <w:szCs w:val="18"/>
                          <w:lang w:val="es-ES_tradnl"/>
                        </w:rPr>
                        <w:t xml:space="preserve">. </w:t>
                      </w:r>
                      <w:r w:rsidR="005E48F3">
                        <w:rPr>
                          <w:rFonts w:asciiTheme="majorHAnsi" w:hAnsiTheme="majorHAnsi"/>
                          <w:color w:val="595959" w:themeColor="text1" w:themeTint="A6"/>
                          <w:sz w:val="18"/>
                          <w:szCs w:val="18"/>
                          <w:lang w:val="es-ES_tradnl"/>
                        </w:rPr>
                        <w:t>Bolivia</w:t>
                      </w:r>
                      <w:r w:rsidR="00113F73" w:rsidRPr="00890650">
                        <w:rPr>
                          <w:rFonts w:asciiTheme="majorHAnsi" w:hAnsiTheme="majorHAnsi"/>
                          <w:color w:val="595959" w:themeColor="text1" w:themeTint="A6"/>
                          <w:sz w:val="18"/>
                          <w:szCs w:val="18"/>
                          <w:lang w:val="es-ES_tradnl"/>
                        </w:rPr>
                        <w:t xml:space="preserve">. </w:t>
                      </w:r>
                      <w:r w:rsidR="00921594">
                        <w:rPr>
                          <w:rFonts w:asciiTheme="majorHAnsi" w:hAnsiTheme="majorHAnsi"/>
                          <w:color w:val="595959" w:themeColor="text1" w:themeTint="A6"/>
                          <w:sz w:val="18"/>
                          <w:szCs w:val="18"/>
                          <w:lang w:val="es-ES"/>
                        </w:rPr>
                        <w:t>7 de junio de 2023</w:t>
                      </w:r>
                      <w:r w:rsidR="00113F73" w:rsidRPr="007B05C4">
                        <w:rPr>
                          <w:rFonts w:asciiTheme="majorHAnsi" w:hAnsiTheme="majorHAnsi"/>
                          <w:color w:val="595959" w:themeColor="text1" w:themeTint="A6"/>
                          <w:sz w:val="18"/>
                          <w:szCs w:val="18"/>
                          <w:lang w:val="es-ES"/>
                        </w:rPr>
                        <w:t>.</w:t>
                      </w:r>
                    </w:p>
                  </w:txbxContent>
                </v:textbox>
              </v:shape>
            </w:pict>
          </mc:Fallback>
        </mc:AlternateContent>
      </w:r>
    </w:p>
    <w:p w14:paraId="196A49DE" w14:textId="77777777" w:rsidR="00A50FCF" w:rsidRPr="0090270B" w:rsidRDefault="00A50FCF" w:rsidP="00040C3A">
      <w:pPr>
        <w:tabs>
          <w:tab w:val="center" w:pos="5400"/>
        </w:tabs>
        <w:suppressAutoHyphens/>
        <w:jc w:val="center"/>
        <w:rPr>
          <w:rFonts w:asciiTheme="majorHAnsi" w:hAnsiTheme="majorHAnsi"/>
          <w:sz w:val="18"/>
          <w:szCs w:val="22"/>
          <w:lang w:val="es-ES_tradnl"/>
        </w:rPr>
      </w:pPr>
    </w:p>
    <w:p w14:paraId="1DA07629" w14:textId="77777777" w:rsidR="0090270B" w:rsidRDefault="00D306D1" w:rsidP="005516A1">
      <w:pPr>
        <w:tabs>
          <w:tab w:val="center" w:pos="5400"/>
        </w:tabs>
        <w:suppressAutoHyphens/>
        <w:jc w:val="center"/>
        <w:rPr>
          <w:rFonts w:asciiTheme="majorHAnsi" w:hAnsiTheme="majorHAnsi"/>
          <w:b/>
          <w:sz w:val="20"/>
          <w:lang w:val="es-ES_tradnl"/>
        </w:rPr>
      </w:pPr>
      <w:r>
        <w:rPr>
          <w:rFonts w:asciiTheme="majorHAnsi" w:hAnsiTheme="majorHAnsi"/>
          <w:noProof/>
          <w:sz w:val="18"/>
          <w:szCs w:val="22"/>
          <w:lang w:val="es-419" w:eastAsia="es-419"/>
        </w:rPr>
        <mc:AlternateContent>
          <mc:Choice Requires="wps">
            <w:drawing>
              <wp:anchor distT="0" distB="0" distL="114300" distR="114300" simplePos="0" relativeHeight="251658246" behindDoc="0" locked="0" layoutInCell="1" allowOverlap="1" wp14:anchorId="50472543" wp14:editId="546D5F4B">
                <wp:simplePos x="0" y="0"/>
                <wp:positionH relativeFrom="column">
                  <wp:posOffset>1329690</wp:posOffset>
                </wp:positionH>
                <wp:positionV relativeFrom="paragraph">
                  <wp:posOffset>638497</wp:posOffset>
                </wp:positionV>
                <wp:extent cx="4096385" cy="56705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4096385" cy="567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ECD3C" w14:textId="69F7E1B7" w:rsidR="00D72DC6" w:rsidRPr="00D72DC6" w:rsidRDefault="00BE14D7" w:rsidP="00F02AD1">
                            <w:pPr>
                              <w:rPr>
                                <w:color w:val="FFFFFF" w:themeColor="background1"/>
                                <w14:textFill>
                                  <w14:noFill/>
                                </w14:textFill>
                              </w:rPr>
                            </w:pPr>
                            <w:r>
                              <w:rPr>
                                <w:noProof/>
                                <w:color w:val="FFFFFF" w:themeColor="background1"/>
                              </w:rPr>
                              <w:drawing>
                                <wp:inline distT="0" distB="0" distL="0" distR="0" wp14:anchorId="659B16A6" wp14:editId="09C0D119">
                                  <wp:extent cx="1824355" cy="469265"/>
                                  <wp:effectExtent l="0" t="0" r="4445" b="698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a:stretch>
                                            <a:fillRect/>
                                          </a:stretch>
                                        </pic:blipFill>
                                        <pic:spPr>
                                          <a:xfrm>
                                            <a:off x="0" y="0"/>
                                            <a:ext cx="1824355" cy="469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2543" id="Text Box 9" o:spid="_x0000_s1031" type="#_x0000_t202" style="position:absolute;left:0;text-align:left;margin-left:104.7pt;margin-top:50.3pt;width:322.55pt;height:44.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" fillcolor="white [3201]" stroked="f" strokeweight=".5pt">
                <v:textbox>
                  <w:txbxContent>
                    <w:p w14:paraId="2A1ECD3C" w14:textId="69F7E1B7" w:rsidR="00D72DC6" w:rsidRPr="00D72DC6" w:rsidRDefault="00BE14D7" w:rsidP="00F02AD1">
                      <w:pPr>
                        <w:rPr>
                          <w:color w:val="FFFFFF" w:themeColor="background1"/>
                          <w14:textFill>
                            <w14:noFill/>
                          </w14:textFill>
                        </w:rPr>
                      </w:pPr>
                      <w:r>
                        <w:rPr>
                          <w:noProof/>
                          <w:color w:val="FFFFFF" w:themeColor="background1"/>
                        </w:rPr>
                        <w:drawing>
                          <wp:inline distT="0" distB="0" distL="0" distR="0" wp14:anchorId="659B16A6" wp14:editId="09C0D119">
                            <wp:extent cx="1824355" cy="469265"/>
                            <wp:effectExtent l="0" t="0" r="4445" b="698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a:stretch>
                                      <a:fillRect/>
                                    </a:stretch>
                                  </pic:blipFill>
                                  <pic:spPr>
                                    <a:xfrm>
                                      <a:off x="0" y="0"/>
                                      <a:ext cx="1824355" cy="469265"/>
                                    </a:xfrm>
                                    <a:prstGeom prst="rect">
                                      <a:avLst/>
                                    </a:prstGeom>
                                  </pic:spPr>
                                </pic:pic>
                              </a:graphicData>
                            </a:graphic>
                          </wp:inline>
                        </w:drawing>
                      </w:r>
                    </w:p>
                  </w:txbxContent>
                </v:textbox>
              </v:shape>
            </w:pict>
          </mc:Fallback>
        </mc:AlternateContent>
      </w:r>
      <w:r w:rsidRPr="00625030">
        <w:rPr>
          <w:rFonts w:asciiTheme="majorHAnsi" w:hAnsiTheme="majorHAnsi"/>
          <w:noProof/>
          <w:sz w:val="22"/>
          <w:szCs w:val="22"/>
          <w:lang w:val="es-419" w:eastAsia="es-419"/>
        </w:rPr>
        <mc:AlternateContent>
          <mc:Choice Requires="wps">
            <w:drawing>
              <wp:anchor distT="0" distB="0" distL="114300" distR="114300" simplePos="0" relativeHeight="251658247" behindDoc="0" locked="0" layoutInCell="1" allowOverlap="1" wp14:anchorId="02EDA5EE" wp14:editId="72033B3A">
                <wp:simplePos x="0" y="0"/>
                <wp:positionH relativeFrom="column">
                  <wp:posOffset>-272225</wp:posOffset>
                </wp:positionH>
                <wp:positionV relativeFrom="paragraph">
                  <wp:posOffset>915035</wp:posOffset>
                </wp:positionV>
                <wp:extent cx="1181100" cy="33274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110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0DBC3" w14:textId="77777777" w:rsidR="00D306D1" w:rsidRPr="004B7EB6" w:rsidRDefault="00D306D1" w:rsidP="00D306D1">
                            <w:pPr>
                              <w:jc w:val="center"/>
                              <w:rPr>
                                <w:rFonts w:asciiTheme="minorHAnsi" w:hAnsiTheme="minorHAnsi"/>
                                <w:b/>
                                <w:color w:val="FFFFFF" w:themeColor="background1"/>
                              </w:rPr>
                            </w:pPr>
                            <w:r w:rsidRPr="004B7EB6">
                              <w:rPr>
                                <w:rFonts w:asciiTheme="minorHAnsi" w:hAnsiTheme="minorHAnsi"/>
                                <w:b/>
                                <w:color w:val="FFFFFF" w:themeColor="background1"/>
                                <w:lang w:val="pt-BR"/>
                              </w:rPr>
                              <w:t>www.cidh.org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A5EE" id="Text Box 4" o:spid="_x0000_s1032" type="#_x0000_t202" style="position:absolute;left:0;text-align:left;margin-left:-21.45pt;margin-top:72.05pt;width:93pt;height:26.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" filled="f" stroked="f" strokeweight=".5pt">
                <v:textbox>
                  <w:txbxContent>
                    <w:p w14:paraId="6EA0DBC3" w14:textId="77777777" w:rsidR="00D306D1" w:rsidRPr="004B7EB6" w:rsidRDefault="00D306D1" w:rsidP="00D306D1">
                      <w:pPr>
                        <w:jc w:val="center"/>
                        <w:rPr>
                          <w:rFonts w:asciiTheme="minorHAnsi" w:hAnsiTheme="minorHAnsi"/>
                          <w:b/>
                          <w:color w:val="FFFFFF" w:themeColor="background1"/>
                        </w:rPr>
                      </w:pPr>
                      <w:r w:rsidRPr="004B7EB6">
                        <w:rPr>
                          <w:rFonts w:asciiTheme="minorHAnsi" w:hAnsiTheme="minorHAnsi"/>
                          <w:b/>
                          <w:color w:val="FFFFFF" w:themeColor="background1"/>
                          <w:lang w:val="pt-BR"/>
                        </w:rPr>
                        <w:t>www.cidh.org</w:t>
                      </w:r>
                    </w:p>
                  </w:txbxContent>
                </v:textbox>
              </v:shape>
            </w:pict>
          </mc:Fallback>
        </mc:AlternateContent>
      </w:r>
    </w:p>
    <w:p w14:paraId="2FE1B253" w14:textId="4E43B8E7" w:rsidR="0070697F" w:rsidRDefault="004A6A54" w:rsidP="005516A1">
      <w:pPr>
        <w:tabs>
          <w:tab w:val="center" w:pos="5400"/>
        </w:tabs>
        <w:suppressAutoHyphens/>
        <w:jc w:val="center"/>
        <w:rPr>
          <w:rFonts w:asciiTheme="majorHAnsi" w:hAnsiTheme="majorHAnsi"/>
          <w:b/>
          <w:sz w:val="20"/>
          <w:lang w:val="es-ES_tradnl"/>
        </w:rPr>
        <w:sectPr w:rsidR="0070697F" w:rsidSect="00C054DF">
          <w:headerReference w:type="even" r:id="rId10"/>
          <w:headerReference w:type="default" r:id="rId11"/>
          <w:footerReference w:type="default" r:id="rId12"/>
          <w:footerReference w:type="first" r:id="rId13"/>
          <w:type w:val="oddPage"/>
          <w:pgSz w:w="12240" w:h="15840"/>
          <w:pgMar w:top="1440" w:right="1440" w:bottom="1440" w:left="1440" w:header="720" w:footer="720" w:gutter="0"/>
          <w:pgNumType w:start="0"/>
          <w:cols w:space="720"/>
          <w:titlePg/>
          <w:docGrid w:linePitch="326"/>
        </w:sectPr>
      </w:pPr>
      <w:r>
        <w:rPr>
          <w:rFonts w:asciiTheme="majorHAnsi" w:hAnsiTheme="majorHAnsi"/>
          <w:b/>
          <w:sz w:val="20"/>
          <w:lang w:val="es-ES_tradnl"/>
        </w:rPr>
        <w:tab/>
      </w:r>
    </w:p>
    <w:p w14:paraId="376DDC8B" w14:textId="77777777" w:rsidR="003239B8" w:rsidRPr="000419AD" w:rsidRDefault="003239B8" w:rsidP="004A6A54">
      <w:pPr>
        <w:spacing w:after="240"/>
        <w:ind w:firstLine="720"/>
        <w:jc w:val="both"/>
        <w:rPr>
          <w:rFonts w:asciiTheme="majorHAnsi" w:hAnsiTheme="majorHAnsi"/>
          <w:b/>
          <w:bCs/>
          <w:sz w:val="20"/>
          <w:szCs w:val="20"/>
          <w:lang w:val="es-ES"/>
        </w:rPr>
      </w:pPr>
      <w:r w:rsidRPr="000419AD">
        <w:rPr>
          <w:rFonts w:asciiTheme="majorHAnsi" w:hAnsiTheme="majorHAnsi"/>
          <w:b/>
          <w:bCs/>
          <w:sz w:val="20"/>
          <w:szCs w:val="20"/>
          <w:lang w:val="es-ES"/>
        </w:rPr>
        <w:lastRenderedPageBreak/>
        <w:t>I.</w:t>
      </w:r>
      <w:r w:rsidRPr="000419AD">
        <w:rPr>
          <w:rFonts w:asciiTheme="majorHAnsi" w:hAnsiTheme="majorHAnsi"/>
          <w:b/>
          <w:bCs/>
          <w:sz w:val="20"/>
          <w:szCs w:val="20"/>
          <w:lang w:val="es-ES"/>
        </w:rPr>
        <w:tab/>
        <w:t xml:space="preserve">DATOS DE LA PETICIÓN </w:t>
      </w:r>
    </w:p>
    <w:tbl>
      <w:tblPr>
        <w:tblStyle w:val="TableGrid"/>
        <w:tblW w:w="9360" w:type="dxa"/>
        <w:tblInd w:w="108" w:type="dxa"/>
        <w:tblBorders>
          <w:insideH w:val="single" w:sz="6" w:space="0" w:color="auto"/>
          <w:insideV w:val="single" w:sz="6" w:space="0" w:color="auto"/>
        </w:tblBorders>
        <w:tblLook w:val="04A0" w:firstRow="1" w:lastRow="0" w:firstColumn="1" w:lastColumn="0" w:noHBand="0" w:noVBand="1"/>
      </w:tblPr>
      <w:tblGrid>
        <w:gridCol w:w="3600"/>
        <w:gridCol w:w="5760"/>
      </w:tblGrid>
      <w:tr w:rsidR="003239B8" w:rsidRPr="00132B79" w14:paraId="5A79D1F7" w14:textId="77777777" w:rsidTr="004A6A54">
        <w:tc>
          <w:tcPr>
            <w:tcW w:w="3600" w:type="dxa"/>
            <w:tcBorders>
              <w:top w:val="single" w:sz="4" w:space="0" w:color="auto"/>
              <w:bottom w:val="single" w:sz="6" w:space="0" w:color="auto"/>
            </w:tcBorders>
            <w:shd w:val="clear" w:color="auto" w:fill="386294"/>
            <w:vAlign w:val="center"/>
          </w:tcPr>
          <w:p w14:paraId="0CB2A43B" w14:textId="77777777" w:rsidR="003239B8" w:rsidRPr="000D05CB" w:rsidRDefault="003239B8">
            <w:pPr>
              <w:jc w:val="center"/>
              <w:rPr>
                <w:rFonts w:ascii="Cambria" w:hAnsi="Cambria"/>
                <w:b/>
                <w:bCs/>
                <w:color w:val="FFFFFF" w:themeColor="background1"/>
                <w:sz w:val="20"/>
                <w:szCs w:val="20"/>
              </w:rPr>
            </w:pPr>
            <w:r w:rsidRPr="000D05CB">
              <w:rPr>
                <w:rFonts w:ascii="Cambria" w:hAnsi="Cambria"/>
                <w:b/>
                <w:bCs/>
                <w:color w:val="FFFFFF" w:themeColor="background1"/>
                <w:sz w:val="20"/>
                <w:szCs w:val="20"/>
              </w:rPr>
              <w:t>Parte peticionaria:</w:t>
            </w:r>
          </w:p>
        </w:tc>
        <w:tc>
          <w:tcPr>
            <w:tcW w:w="5760" w:type="dxa"/>
            <w:vAlign w:val="center"/>
          </w:tcPr>
          <w:p w14:paraId="3C5315D8" w14:textId="4E0EF101" w:rsidR="003239B8" w:rsidRPr="00EC247C" w:rsidRDefault="00EC247C">
            <w:pPr>
              <w:jc w:val="both"/>
              <w:rPr>
                <w:rFonts w:ascii="Cambria" w:hAnsi="Cambria"/>
                <w:bCs/>
                <w:sz w:val="20"/>
                <w:szCs w:val="20"/>
                <w:lang w:val="es-US"/>
              </w:rPr>
            </w:pPr>
            <w:r w:rsidRPr="00EC247C">
              <w:rPr>
                <w:rFonts w:ascii="Cambria" w:hAnsi="Cambria"/>
                <w:bCs/>
                <w:sz w:val="20"/>
                <w:szCs w:val="20"/>
                <w:lang w:val="es-US"/>
              </w:rPr>
              <w:t>Asamblea Permanente de Derechos Humanos de La</w:t>
            </w:r>
            <w:r>
              <w:rPr>
                <w:rFonts w:ascii="Cambria" w:hAnsi="Cambria"/>
                <w:bCs/>
                <w:sz w:val="20"/>
                <w:szCs w:val="20"/>
                <w:lang w:val="es-US"/>
              </w:rPr>
              <w:t xml:space="preserve"> Paz y Roberto Quiroz Guillén</w:t>
            </w:r>
          </w:p>
        </w:tc>
      </w:tr>
      <w:tr w:rsidR="003239B8" w:rsidRPr="00132B79" w14:paraId="593A7E45" w14:textId="77777777" w:rsidTr="004A6A54">
        <w:tc>
          <w:tcPr>
            <w:tcW w:w="3600" w:type="dxa"/>
            <w:tcBorders>
              <w:top w:val="single" w:sz="6" w:space="0" w:color="auto"/>
              <w:bottom w:val="single" w:sz="6" w:space="0" w:color="auto"/>
            </w:tcBorders>
            <w:shd w:val="clear" w:color="auto" w:fill="386294"/>
            <w:vAlign w:val="center"/>
          </w:tcPr>
          <w:p w14:paraId="0E78CA0C" w14:textId="77777777" w:rsidR="003239B8" w:rsidRPr="000D05CB" w:rsidRDefault="007B444B">
            <w:pPr>
              <w:jc w:val="center"/>
              <w:rPr>
                <w:rFonts w:ascii="Cambria" w:hAnsi="Cambria"/>
                <w:b/>
                <w:bCs/>
                <w:color w:val="FFFFFF" w:themeColor="background1"/>
                <w:sz w:val="20"/>
                <w:szCs w:val="20"/>
              </w:rPr>
            </w:pPr>
            <w:sdt>
              <w:sdtPr>
                <w:rPr>
                  <w:rFonts w:ascii="Cambria" w:hAnsi="Cambria"/>
                  <w:b/>
                  <w:bCs/>
                  <w:color w:val="FFFFFF" w:themeColor="background1"/>
                  <w:sz w:val="20"/>
                  <w:szCs w:val="20"/>
                </w:rPr>
                <w:alias w:val="Elegir una opción"/>
                <w:tag w:val="Elegir una opción"/>
                <w:id w:val="931095713"/>
                <w:placeholder>
                  <w:docPart w:val="EF85E8F873F2494CB1B0EF413DA4B061"/>
                </w:placeholder>
                <w:dropDownList>
                  <w:listItem w:value="Choose an item."/>
                  <w:listItem w:displayText="Presunta víctima" w:value="Presunta víctima"/>
                  <w:listItem w:displayText="Presuntas víctimas" w:value="Presuntas víctimas"/>
                </w:dropDownList>
              </w:sdtPr>
              <w:sdtEndPr/>
              <w:sdtContent>
                <w:r w:rsidR="003239B8" w:rsidRPr="000D05CB">
                  <w:rPr>
                    <w:rFonts w:ascii="Cambria" w:hAnsi="Cambria"/>
                    <w:b/>
                    <w:bCs/>
                    <w:color w:val="FFFFFF" w:themeColor="background1"/>
                    <w:sz w:val="20"/>
                    <w:szCs w:val="20"/>
                  </w:rPr>
                  <w:t>Presunta víctima</w:t>
                </w:r>
              </w:sdtContent>
            </w:sdt>
            <w:r w:rsidR="003239B8" w:rsidRPr="000D05CB">
              <w:rPr>
                <w:rFonts w:ascii="Cambria" w:hAnsi="Cambria"/>
                <w:b/>
                <w:bCs/>
                <w:color w:val="FFFFFF" w:themeColor="background1"/>
                <w:sz w:val="20"/>
                <w:szCs w:val="20"/>
              </w:rPr>
              <w:t>:</w:t>
            </w:r>
          </w:p>
        </w:tc>
        <w:tc>
          <w:tcPr>
            <w:tcW w:w="5760" w:type="dxa"/>
            <w:vAlign w:val="center"/>
          </w:tcPr>
          <w:p w14:paraId="4AEBF59E" w14:textId="597EBE84" w:rsidR="003239B8" w:rsidRPr="00916C1D" w:rsidRDefault="00EC247C" w:rsidP="00A37CBC">
            <w:pPr>
              <w:jc w:val="both"/>
              <w:rPr>
                <w:lang w:val="es-US"/>
              </w:rPr>
            </w:pPr>
            <w:r>
              <w:rPr>
                <w:rFonts w:ascii="Cambria" w:hAnsi="Cambria"/>
                <w:bCs/>
                <w:sz w:val="20"/>
                <w:szCs w:val="20"/>
                <w:lang w:val="es-US"/>
              </w:rPr>
              <w:t xml:space="preserve">Unión Nacional de </w:t>
            </w:r>
            <w:r w:rsidR="00DF1FBD">
              <w:rPr>
                <w:rFonts w:ascii="Cambria" w:hAnsi="Cambria"/>
                <w:bCs/>
                <w:sz w:val="20"/>
                <w:szCs w:val="20"/>
                <w:lang w:val="es-US"/>
              </w:rPr>
              <w:t>ex-</w:t>
            </w:r>
            <w:r>
              <w:rPr>
                <w:rFonts w:ascii="Cambria" w:hAnsi="Cambria"/>
                <w:bCs/>
                <w:sz w:val="20"/>
                <w:szCs w:val="20"/>
                <w:lang w:val="es-US"/>
              </w:rPr>
              <w:t>presos y exiliados políticos de Bolivia (UNEXPEPB)</w:t>
            </w:r>
            <w:r w:rsidR="00F9796E">
              <w:rPr>
                <w:rStyle w:val="FootnoteReference"/>
                <w:rFonts w:ascii="Cambria" w:hAnsi="Cambria"/>
                <w:bCs/>
                <w:sz w:val="20"/>
                <w:szCs w:val="20"/>
                <w:lang w:val="es-US"/>
              </w:rPr>
              <w:footnoteReference w:id="2"/>
            </w:r>
            <w:r w:rsidR="006D0F37" w:rsidRPr="00916C1D">
              <w:rPr>
                <w:rFonts w:ascii="Cambria" w:hAnsi="Cambria"/>
                <w:bCs/>
                <w:sz w:val="20"/>
                <w:szCs w:val="20"/>
                <w:lang w:val="es-US"/>
              </w:rPr>
              <w:t xml:space="preserve"> </w:t>
            </w:r>
            <w:r w:rsidR="00684BFC" w:rsidRPr="00916C1D">
              <w:rPr>
                <w:lang w:val="es-US"/>
              </w:rPr>
              <w:t xml:space="preserve"> </w:t>
            </w:r>
          </w:p>
        </w:tc>
      </w:tr>
      <w:tr w:rsidR="003239B8" w14:paraId="3E62E1D3" w14:textId="77777777" w:rsidTr="004A6A54">
        <w:tc>
          <w:tcPr>
            <w:tcW w:w="3600" w:type="dxa"/>
            <w:tcBorders>
              <w:top w:val="single" w:sz="6" w:space="0" w:color="auto"/>
              <w:bottom w:val="single" w:sz="6" w:space="0" w:color="auto"/>
            </w:tcBorders>
            <w:shd w:val="clear" w:color="auto" w:fill="386294"/>
            <w:vAlign w:val="center"/>
          </w:tcPr>
          <w:p w14:paraId="340B0F09" w14:textId="77777777" w:rsidR="003239B8" w:rsidRPr="000D05CB" w:rsidRDefault="003239B8">
            <w:pPr>
              <w:jc w:val="center"/>
              <w:rPr>
                <w:rFonts w:ascii="Cambria" w:hAnsi="Cambria"/>
                <w:b/>
                <w:bCs/>
                <w:color w:val="FFFFFF" w:themeColor="background1"/>
                <w:sz w:val="20"/>
                <w:szCs w:val="20"/>
              </w:rPr>
            </w:pPr>
            <w:r w:rsidRPr="000D05CB">
              <w:rPr>
                <w:rFonts w:ascii="Cambria" w:hAnsi="Cambria"/>
                <w:b/>
                <w:bCs/>
                <w:color w:val="FFFFFF" w:themeColor="background1"/>
                <w:sz w:val="20"/>
                <w:szCs w:val="20"/>
              </w:rPr>
              <w:t>Estado denunciado:</w:t>
            </w:r>
          </w:p>
        </w:tc>
        <w:tc>
          <w:tcPr>
            <w:tcW w:w="5760" w:type="dxa"/>
            <w:vAlign w:val="center"/>
          </w:tcPr>
          <w:p w14:paraId="274C8A50" w14:textId="58EAB397" w:rsidR="003239B8" w:rsidRPr="000D05CB" w:rsidRDefault="006720F1">
            <w:pPr>
              <w:jc w:val="both"/>
              <w:rPr>
                <w:rFonts w:ascii="Cambria" w:hAnsi="Cambria"/>
                <w:bCs/>
                <w:sz w:val="20"/>
                <w:szCs w:val="20"/>
              </w:rPr>
            </w:pPr>
            <w:r>
              <w:rPr>
                <w:rFonts w:ascii="Cambria" w:hAnsi="Cambria"/>
                <w:bCs/>
                <w:sz w:val="20"/>
                <w:szCs w:val="20"/>
              </w:rPr>
              <w:t>Bolivia</w:t>
            </w:r>
          </w:p>
        </w:tc>
      </w:tr>
      <w:tr w:rsidR="00223A29" w:rsidRPr="00132B79" w14:paraId="632511BC" w14:textId="77777777" w:rsidTr="004A6A54">
        <w:tc>
          <w:tcPr>
            <w:tcW w:w="3600" w:type="dxa"/>
            <w:tcBorders>
              <w:top w:val="single" w:sz="6" w:space="0" w:color="auto"/>
              <w:bottom w:val="single" w:sz="6" w:space="0" w:color="auto"/>
            </w:tcBorders>
            <w:shd w:val="clear" w:color="auto" w:fill="386294"/>
            <w:vAlign w:val="center"/>
          </w:tcPr>
          <w:p w14:paraId="727E2F6B" w14:textId="60AEE329" w:rsidR="00223A29" w:rsidRPr="000D05CB" w:rsidRDefault="001B3A00" w:rsidP="00E4118C">
            <w:pPr>
              <w:jc w:val="center"/>
              <w:rPr>
                <w:rFonts w:ascii="Cambria" w:hAnsi="Cambria"/>
                <w:b/>
                <w:bCs/>
                <w:color w:val="FFFFFF" w:themeColor="background1"/>
                <w:sz w:val="20"/>
                <w:szCs w:val="20"/>
              </w:rPr>
            </w:pPr>
            <w:r w:rsidRPr="000D05CB">
              <w:rPr>
                <w:rFonts w:ascii="Cambria" w:hAnsi="Cambria"/>
                <w:b/>
                <w:bCs/>
                <w:color w:val="FFFFFF" w:themeColor="background1"/>
                <w:sz w:val="20"/>
                <w:szCs w:val="20"/>
              </w:rPr>
              <w:t xml:space="preserve">Derechos </w:t>
            </w:r>
            <w:r w:rsidR="00E4118C" w:rsidRPr="000D05CB">
              <w:rPr>
                <w:rFonts w:ascii="Cambria" w:hAnsi="Cambria"/>
                <w:b/>
                <w:bCs/>
                <w:color w:val="FFFFFF" w:themeColor="background1"/>
                <w:sz w:val="20"/>
                <w:szCs w:val="20"/>
              </w:rPr>
              <w:t>invocados</w:t>
            </w:r>
            <w:r w:rsidRPr="000D05CB">
              <w:rPr>
                <w:rFonts w:ascii="Cambria" w:hAnsi="Cambria"/>
                <w:b/>
                <w:bCs/>
                <w:color w:val="FFFFFF" w:themeColor="background1"/>
                <w:sz w:val="20"/>
                <w:szCs w:val="20"/>
              </w:rPr>
              <w:t>:</w:t>
            </w:r>
          </w:p>
        </w:tc>
        <w:tc>
          <w:tcPr>
            <w:tcW w:w="5760" w:type="dxa"/>
            <w:vAlign w:val="center"/>
          </w:tcPr>
          <w:p w14:paraId="6DEE1EEB" w14:textId="2BACCEE5" w:rsidR="00223A29" w:rsidRPr="00406D7B" w:rsidRDefault="006E0217">
            <w:pPr>
              <w:jc w:val="both"/>
              <w:rPr>
                <w:rFonts w:ascii="Cambria" w:hAnsi="Cambria"/>
                <w:bCs/>
                <w:sz w:val="20"/>
                <w:szCs w:val="20"/>
                <w:lang w:val="es-US"/>
              </w:rPr>
            </w:pPr>
            <w:r>
              <w:rPr>
                <w:rFonts w:ascii="Cambria" w:hAnsi="Cambria"/>
                <w:bCs/>
                <w:sz w:val="20"/>
                <w:szCs w:val="20"/>
                <w:lang w:val="es-ES"/>
              </w:rPr>
              <w:t xml:space="preserve">Artículos 10 (derecho a indemnización), 11 (protección de la honra y de la dignidad), </w:t>
            </w:r>
            <w:r w:rsidR="000219F0">
              <w:rPr>
                <w:rFonts w:ascii="Cambria" w:hAnsi="Cambria"/>
                <w:bCs/>
                <w:sz w:val="20"/>
                <w:szCs w:val="20"/>
                <w:lang w:val="es-ES"/>
              </w:rPr>
              <w:t xml:space="preserve">14 (derecho de rectificación o respuesta), </w:t>
            </w:r>
            <w:r w:rsidR="00B739CB">
              <w:rPr>
                <w:rFonts w:ascii="Cambria" w:hAnsi="Cambria"/>
                <w:bCs/>
                <w:sz w:val="20"/>
                <w:szCs w:val="20"/>
                <w:lang w:val="es-ES"/>
              </w:rPr>
              <w:t xml:space="preserve">15 (derecho de reunión), 24 (igualdad ante la ley) y 25 (protección judicial) </w:t>
            </w:r>
            <w:r w:rsidR="00406D7B">
              <w:rPr>
                <w:rFonts w:ascii="Cambria" w:hAnsi="Cambria"/>
                <w:bCs/>
                <w:sz w:val="20"/>
                <w:szCs w:val="20"/>
                <w:lang w:val="es-ES"/>
              </w:rPr>
              <w:t>de la Convención Americana sobre Derechos Humanos</w:t>
            </w:r>
            <w:r w:rsidR="00916C1D">
              <w:rPr>
                <w:rStyle w:val="FootnoteReference"/>
                <w:rFonts w:ascii="Cambria" w:hAnsi="Cambria"/>
                <w:bCs/>
                <w:sz w:val="20"/>
                <w:szCs w:val="20"/>
                <w:lang w:val="es-ES"/>
              </w:rPr>
              <w:footnoteReference w:id="3"/>
            </w:r>
            <w:r w:rsidR="000A5D42">
              <w:rPr>
                <w:rFonts w:ascii="Cambria" w:hAnsi="Cambria"/>
                <w:bCs/>
                <w:sz w:val="20"/>
                <w:szCs w:val="20"/>
                <w:lang w:val="es-ES"/>
              </w:rPr>
              <w:t xml:space="preserve"> y otros tratados</w:t>
            </w:r>
            <w:r w:rsidR="000A5D42">
              <w:rPr>
                <w:rStyle w:val="FootnoteReference"/>
                <w:rFonts w:ascii="Cambria" w:hAnsi="Cambria"/>
                <w:bCs/>
                <w:sz w:val="20"/>
                <w:szCs w:val="20"/>
                <w:lang w:val="es-ES"/>
              </w:rPr>
              <w:footnoteReference w:id="4"/>
            </w:r>
          </w:p>
        </w:tc>
      </w:tr>
    </w:tbl>
    <w:p w14:paraId="20263696" w14:textId="77777777" w:rsidR="003239B8" w:rsidRPr="00E4118C" w:rsidRDefault="003239B8" w:rsidP="003239B8">
      <w:pPr>
        <w:spacing w:before="240" w:after="240"/>
        <w:ind w:firstLine="720"/>
        <w:jc w:val="both"/>
        <w:rPr>
          <w:rFonts w:asciiTheme="majorHAnsi" w:hAnsiTheme="majorHAnsi"/>
          <w:b/>
          <w:bCs/>
          <w:sz w:val="20"/>
          <w:szCs w:val="20"/>
          <w:lang w:val="es-ES"/>
        </w:rPr>
      </w:pPr>
      <w:r w:rsidRPr="004C2312">
        <w:rPr>
          <w:rFonts w:asciiTheme="majorHAnsi" w:hAnsiTheme="majorHAnsi"/>
          <w:b/>
          <w:bCs/>
          <w:sz w:val="20"/>
          <w:szCs w:val="20"/>
          <w:lang w:val="es-ES"/>
        </w:rPr>
        <w:t>II.</w:t>
      </w:r>
      <w:r w:rsidRPr="004C2312">
        <w:rPr>
          <w:rFonts w:asciiTheme="majorHAnsi" w:hAnsiTheme="majorHAnsi"/>
          <w:b/>
          <w:bCs/>
          <w:sz w:val="20"/>
          <w:szCs w:val="20"/>
          <w:lang w:val="es-ES"/>
        </w:rPr>
        <w:tab/>
        <w:t>TRÁMITE ANTE LA CIDH</w:t>
      </w:r>
      <w:r w:rsidR="008E3BFE" w:rsidRPr="008E3BFE">
        <w:rPr>
          <w:rStyle w:val="FootnoteReference"/>
          <w:rFonts w:ascii="Cambria" w:hAnsi="Cambria"/>
          <w:b/>
          <w:sz w:val="20"/>
          <w:szCs w:val="20"/>
        </w:rPr>
        <w:footnoteReference w:id="5"/>
      </w:r>
    </w:p>
    <w:tbl>
      <w:tblPr>
        <w:tblStyle w:val="TableGrid"/>
        <w:tblW w:w="9360" w:type="dxa"/>
        <w:tblInd w:w="108" w:type="dxa"/>
        <w:tblBorders>
          <w:insideH w:val="single" w:sz="6" w:space="0" w:color="auto"/>
          <w:insideV w:val="single" w:sz="6" w:space="0" w:color="auto"/>
        </w:tblBorders>
        <w:tblLook w:val="04A0" w:firstRow="1" w:lastRow="0" w:firstColumn="1" w:lastColumn="0" w:noHBand="0" w:noVBand="1"/>
      </w:tblPr>
      <w:tblGrid>
        <w:gridCol w:w="3600"/>
        <w:gridCol w:w="5760"/>
      </w:tblGrid>
      <w:tr w:rsidR="004C2312" w:rsidRPr="004A6A54" w14:paraId="306EFCB0" w14:textId="77777777" w:rsidTr="004A6A54">
        <w:tc>
          <w:tcPr>
            <w:tcW w:w="3600" w:type="dxa"/>
            <w:tcBorders>
              <w:top w:val="single" w:sz="6" w:space="0" w:color="auto"/>
              <w:bottom w:val="single" w:sz="6" w:space="0" w:color="auto"/>
            </w:tcBorders>
            <w:shd w:val="clear" w:color="auto" w:fill="386294"/>
            <w:vAlign w:val="center"/>
          </w:tcPr>
          <w:p w14:paraId="7508D16F" w14:textId="653461D7" w:rsidR="004C2312" w:rsidRPr="003239B8" w:rsidRDefault="004A6A54" w:rsidP="004A6A54">
            <w:pPr>
              <w:jc w:val="center"/>
              <w:rPr>
                <w:rFonts w:ascii="Cambria" w:hAnsi="Cambria"/>
                <w:b/>
                <w:bCs/>
                <w:color w:val="FFFFFF" w:themeColor="background1"/>
                <w:sz w:val="20"/>
                <w:szCs w:val="20"/>
                <w:lang w:val="es-ES"/>
              </w:rPr>
            </w:pPr>
            <w:r>
              <w:rPr>
                <w:rFonts w:ascii="Cambria" w:hAnsi="Cambria"/>
                <w:b/>
                <w:bCs/>
                <w:color w:val="FFFFFF" w:themeColor="background1"/>
                <w:sz w:val="20"/>
                <w:szCs w:val="20"/>
                <w:lang w:val="es-ES"/>
              </w:rPr>
              <w:t>P</w:t>
            </w:r>
            <w:r w:rsidR="004C2312" w:rsidRPr="003239B8">
              <w:rPr>
                <w:rFonts w:ascii="Cambria" w:hAnsi="Cambria"/>
                <w:b/>
                <w:bCs/>
                <w:color w:val="FFFFFF" w:themeColor="background1"/>
                <w:sz w:val="20"/>
                <w:szCs w:val="20"/>
                <w:lang w:val="es-ES"/>
              </w:rPr>
              <w:t>resentación de la petición:</w:t>
            </w:r>
          </w:p>
        </w:tc>
        <w:tc>
          <w:tcPr>
            <w:tcW w:w="5760" w:type="dxa"/>
            <w:vAlign w:val="center"/>
          </w:tcPr>
          <w:p w14:paraId="6E579153" w14:textId="2F13BCEE" w:rsidR="004C2312" w:rsidRPr="003239B8" w:rsidRDefault="002536EC">
            <w:pPr>
              <w:jc w:val="both"/>
              <w:rPr>
                <w:rFonts w:ascii="Cambria" w:hAnsi="Cambria"/>
                <w:bCs/>
                <w:sz w:val="20"/>
                <w:szCs w:val="20"/>
                <w:lang w:val="es-ES"/>
              </w:rPr>
            </w:pPr>
            <w:r>
              <w:rPr>
                <w:rFonts w:ascii="Cambria" w:hAnsi="Cambria"/>
                <w:bCs/>
                <w:sz w:val="20"/>
                <w:szCs w:val="20"/>
                <w:lang w:val="es-ES"/>
              </w:rPr>
              <w:t>27 de diciembre de 2014</w:t>
            </w:r>
          </w:p>
        </w:tc>
      </w:tr>
      <w:tr w:rsidR="0080493E" w:rsidRPr="00132B79" w14:paraId="79EBA584" w14:textId="77777777" w:rsidTr="004A6A54">
        <w:tc>
          <w:tcPr>
            <w:tcW w:w="3600" w:type="dxa"/>
            <w:tcBorders>
              <w:top w:val="single" w:sz="6" w:space="0" w:color="auto"/>
              <w:bottom w:val="single" w:sz="6" w:space="0" w:color="auto"/>
            </w:tcBorders>
            <w:shd w:val="clear" w:color="auto" w:fill="386294"/>
            <w:vAlign w:val="center"/>
          </w:tcPr>
          <w:p w14:paraId="371D250B" w14:textId="5B15DB17" w:rsidR="0080493E" w:rsidRDefault="00FA1333" w:rsidP="004A6A54">
            <w:pPr>
              <w:jc w:val="center"/>
              <w:rPr>
                <w:rFonts w:ascii="Cambria" w:hAnsi="Cambria"/>
                <w:b/>
                <w:bCs/>
                <w:color w:val="FFFFFF" w:themeColor="background1"/>
                <w:sz w:val="20"/>
                <w:szCs w:val="20"/>
                <w:lang w:val="es-ES"/>
              </w:rPr>
            </w:pPr>
            <w:r>
              <w:rPr>
                <w:rFonts w:ascii="Cambria" w:hAnsi="Cambria"/>
                <w:b/>
                <w:bCs/>
                <w:color w:val="FFFFFF" w:themeColor="background1"/>
                <w:sz w:val="20"/>
                <w:szCs w:val="20"/>
                <w:lang w:val="es-ES"/>
              </w:rPr>
              <w:t>Información adicional recibida durante la etapa de estudio</w:t>
            </w:r>
          </w:p>
        </w:tc>
        <w:tc>
          <w:tcPr>
            <w:tcW w:w="5760" w:type="dxa"/>
            <w:vAlign w:val="center"/>
          </w:tcPr>
          <w:p w14:paraId="7422E658" w14:textId="1F628EED" w:rsidR="0080493E" w:rsidRDefault="00466456">
            <w:pPr>
              <w:jc w:val="both"/>
              <w:rPr>
                <w:rFonts w:ascii="Cambria" w:hAnsi="Cambria"/>
                <w:bCs/>
                <w:sz w:val="20"/>
                <w:szCs w:val="20"/>
                <w:lang w:val="es-ES"/>
              </w:rPr>
            </w:pPr>
            <w:r>
              <w:rPr>
                <w:rFonts w:ascii="Cambria" w:hAnsi="Cambria"/>
                <w:bCs/>
                <w:sz w:val="20"/>
                <w:szCs w:val="20"/>
                <w:lang w:val="es-ES"/>
              </w:rPr>
              <w:t>11 de octub</w:t>
            </w:r>
            <w:r w:rsidR="00DF5C5B">
              <w:rPr>
                <w:rFonts w:ascii="Cambria" w:hAnsi="Cambria"/>
                <w:bCs/>
                <w:sz w:val="20"/>
                <w:szCs w:val="20"/>
                <w:lang w:val="es-ES"/>
              </w:rPr>
              <w:t xml:space="preserve">re de 2016, </w:t>
            </w:r>
            <w:r w:rsidR="004F4270">
              <w:rPr>
                <w:rFonts w:ascii="Cambria" w:hAnsi="Cambria"/>
                <w:bCs/>
                <w:sz w:val="20"/>
                <w:szCs w:val="20"/>
                <w:lang w:val="es-ES"/>
              </w:rPr>
              <w:t>26 de octubre de 2016</w:t>
            </w:r>
            <w:r w:rsidR="000C52C8">
              <w:rPr>
                <w:rFonts w:ascii="Cambria" w:hAnsi="Cambria"/>
                <w:bCs/>
                <w:sz w:val="20"/>
                <w:szCs w:val="20"/>
                <w:lang w:val="es-ES"/>
              </w:rPr>
              <w:t xml:space="preserve"> y 22 de diciembre de 2016</w:t>
            </w:r>
            <w:r w:rsidR="00487A82">
              <w:rPr>
                <w:rFonts w:ascii="Cambria" w:hAnsi="Cambria"/>
                <w:bCs/>
                <w:sz w:val="20"/>
                <w:szCs w:val="20"/>
                <w:lang w:val="es-ES"/>
              </w:rPr>
              <w:t xml:space="preserve">, </w:t>
            </w:r>
            <w:r w:rsidR="00350CE2">
              <w:rPr>
                <w:rFonts w:ascii="Cambria" w:hAnsi="Cambria"/>
                <w:bCs/>
                <w:sz w:val="20"/>
                <w:szCs w:val="20"/>
                <w:lang w:val="es-ES"/>
              </w:rPr>
              <w:t>6 de febrero de 2017</w:t>
            </w:r>
            <w:r w:rsidR="001F5661">
              <w:rPr>
                <w:rFonts w:ascii="Cambria" w:hAnsi="Cambria"/>
                <w:bCs/>
                <w:sz w:val="20"/>
                <w:szCs w:val="20"/>
                <w:lang w:val="es-ES"/>
              </w:rPr>
              <w:t xml:space="preserve">, 7 de marzo de 2017, </w:t>
            </w:r>
            <w:r w:rsidR="003B7279">
              <w:rPr>
                <w:rFonts w:ascii="Cambria" w:hAnsi="Cambria"/>
                <w:bCs/>
                <w:sz w:val="20"/>
                <w:szCs w:val="20"/>
                <w:lang w:val="es-ES"/>
              </w:rPr>
              <w:t xml:space="preserve">14 de marzo de 2017, </w:t>
            </w:r>
            <w:r w:rsidR="00F30AEB">
              <w:rPr>
                <w:rFonts w:ascii="Cambria" w:hAnsi="Cambria"/>
                <w:bCs/>
                <w:sz w:val="20"/>
                <w:szCs w:val="20"/>
                <w:lang w:val="es-ES"/>
              </w:rPr>
              <w:t>12 de abril de 2017</w:t>
            </w:r>
            <w:r w:rsidR="002B6F4F">
              <w:rPr>
                <w:rFonts w:ascii="Cambria" w:hAnsi="Cambria"/>
                <w:bCs/>
                <w:sz w:val="20"/>
                <w:szCs w:val="20"/>
                <w:lang w:val="es-ES"/>
              </w:rPr>
              <w:t xml:space="preserve">, 28 de marzo de 2017, </w:t>
            </w:r>
            <w:r w:rsidR="00386959">
              <w:rPr>
                <w:rFonts w:ascii="Cambria" w:hAnsi="Cambria"/>
                <w:bCs/>
                <w:sz w:val="20"/>
                <w:szCs w:val="20"/>
                <w:lang w:val="es-ES"/>
              </w:rPr>
              <w:t>31 de agosto de 2017</w:t>
            </w:r>
            <w:r w:rsidR="005E46A6">
              <w:rPr>
                <w:rFonts w:ascii="Cambria" w:hAnsi="Cambria"/>
                <w:bCs/>
                <w:sz w:val="20"/>
                <w:szCs w:val="20"/>
                <w:lang w:val="es-ES"/>
              </w:rPr>
              <w:t xml:space="preserve"> y</w:t>
            </w:r>
            <w:r w:rsidR="00E72DDF">
              <w:rPr>
                <w:rFonts w:ascii="Cambria" w:hAnsi="Cambria"/>
                <w:bCs/>
                <w:sz w:val="20"/>
                <w:szCs w:val="20"/>
                <w:lang w:val="es-ES"/>
              </w:rPr>
              <w:t xml:space="preserve"> 16 de marzo de 2018</w:t>
            </w:r>
          </w:p>
        </w:tc>
      </w:tr>
      <w:tr w:rsidR="004C2312" w:rsidRPr="009135C4" w14:paraId="1BDCD5C6" w14:textId="77777777" w:rsidTr="004A6A54">
        <w:tc>
          <w:tcPr>
            <w:tcW w:w="3600" w:type="dxa"/>
            <w:tcBorders>
              <w:top w:val="single" w:sz="6" w:space="0" w:color="auto"/>
              <w:bottom w:val="single" w:sz="6" w:space="0" w:color="auto"/>
            </w:tcBorders>
            <w:shd w:val="clear" w:color="auto" w:fill="386294"/>
            <w:vAlign w:val="center"/>
          </w:tcPr>
          <w:p w14:paraId="7A18664F" w14:textId="73FE510C" w:rsidR="004C2312" w:rsidRPr="003239B8" w:rsidRDefault="004A6A54" w:rsidP="004A6A54">
            <w:pPr>
              <w:jc w:val="center"/>
              <w:rPr>
                <w:rFonts w:ascii="Cambria" w:hAnsi="Cambria"/>
                <w:b/>
                <w:bCs/>
                <w:color w:val="FFFFFF" w:themeColor="background1"/>
                <w:sz w:val="20"/>
                <w:szCs w:val="20"/>
                <w:lang w:val="es-ES"/>
              </w:rPr>
            </w:pPr>
            <w:r>
              <w:rPr>
                <w:rFonts w:ascii="Cambria" w:hAnsi="Cambria"/>
                <w:b/>
                <w:color w:val="FFFFFF" w:themeColor="background1"/>
                <w:sz w:val="20"/>
                <w:szCs w:val="20"/>
                <w:lang w:val="es-ES"/>
              </w:rPr>
              <w:t>N</w:t>
            </w:r>
            <w:r w:rsidR="004C2312" w:rsidRPr="003239B8">
              <w:rPr>
                <w:rFonts w:ascii="Cambria" w:hAnsi="Cambria"/>
                <w:b/>
                <w:color w:val="FFFFFF" w:themeColor="background1"/>
                <w:sz w:val="20"/>
                <w:szCs w:val="20"/>
                <w:lang w:val="es-ES"/>
              </w:rPr>
              <w:t>otificación de la petición al Estado:</w:t>
            </w:r>
          </w:p>
        </w:tc>
        <w:tc>
          <w:tcPr>
            <w:tcW w:w="5760" w:type="dxa"/>
            <w:vAlign w:val="center"/>
          </w:tcPr>
          <w:p w14:paraId="1519DA6A" w14:textId="73ED5947" w:rsidR="004C2312" w:rsidRPr="003239B8" w:rsidRDefault="00E74D7E">
            <w:pPr>
              <w:jc w:val="both"/>
              <w:rPr>
                <w:rFonts w:ascii="Cambria" w:hAnsi="Cambria"/>
                <w:bCs/>
                <w:sz w:val="20"/>
                <w:szCs w:val="20"/>
                <w:lang w:val="es-ES"/>
              </w:rPr>
            </w:pPr>
            <w:r>
              <w:rPr>
                <w:rFonts w:ascii="Cambria" w:hAnsi="Cambria"/>
                <w:bCs/>
                <w:sz w:val="20"/>
                <w:szCs w:val="20"/>
                <w:lang w:val="es-ES"/>
              </w:rPr>
              <w:t>3 de octubre de 2019</w:t>
            </w:r>
          </w:p>
        </w:tc>
      </w:tr>
      <w:tr w:rsidR="004C2312" w:rsidRPr="004A6A54" w14:paraId="6147A8D5" w14:textId="77777777" w:rsidTr="004A6A54">
        <w:tc>
          <w:tcPr>
            <w:tcW w:w="3600" w:type="dxa"/>
            <w:tcBorders>
              <w:top w:val="single" w:sz="6" w:space="0" w:color="auto"/>
              <w:bottom w:val="single" w:sz="6" w:space="0" w:color="auto"/>
            </w:tcBorders>
            <w:shd w:val="clear" w:color="auto" w:fill="386294"/>
            <w:vAlign w:val="center"/>
          </w:tcPr>
          <w:p w14:paraId="0201C86D" w14:textId="4A5EC6F9" w:rsidR="004C2312" w:rsidRPr="003239B8" w:rsidRDefault="004A6A54" w:rsidP="004A6A54">
            <w:pPr>
              <w:jc w:val="center"/>
              <w:rPr>
                <w:rFonts w:ascii="Cambria" w:hAnsi="Cambria"/>
                <w:b/>
                <w:bCs/>
                <w:color w:val="FFFFFF" w:themeColor="background1"/>
                <w:sz w:val="20"/>
                <w:szCs w:val="20"/>
                <w:lang w:val="es-ES"/>
              </w:rPr>
            </w:pPr>
            <w:r>
              <w:rPr>
                <w:rFonts w:ascii="Cambria" w:hAnsi="Cambria"/>
                <w:b/>
                <w:color w:val="FFFFFF" w:themeColor="background1"/>
                <w:sz w:val="20"/>
                <w:szCs w:val="20"/>
                <w:lang w:val="es-ES"/>
              </w:rPr>
              <w:t>P</w:t>
            </w:r>
            <w:r w:rsidR="004C2312" w:rsidRPr="003239B8">
              <w:rPr>
                <w:rFonts w:ascii="Cambria" w:hAnsi="Cambria"/>
                <w:b/>
                <w:color w:val="FFFFFF" w:themeColor="background1"/>
                <w:sz w:val="20"/>
                <w:szCs w:val="20"/>
                <w:lang w:val="es-ES"/>
              </w:rPr>
              <w:t>rimera respuesta del Estado:</w:t>
            </w:r>
          </w:p>
        </w:tc>
        <w:tc>
          <w:tcPr>
            <w:tcW w:w="5760" w:type="dxa"/>
            <w:vAlign w:val="center"/>
          </w:tcPr>
          <w:p w14:paraId="1972B99E" w14:textId="5644C084" w:rsidR="004C2312" w:rsidRPr="003239B8" w:rsidRDefault="00782965">
            <w:pPr>
              <w:jc w:val="both"/>
              <w:rPr>
                <w:rFonts w:ascii="Cambria" w:hAnsi="Cambria"/>
                <w:bCs/>
                <w:sz w:val="20"/>
                <w:szCs w:val="20"/>
                <w:lang w:val="es-ES"/>
              </w:rPr>
            </w:pPr>
            <w:r>
              <w:rPr>
                <w:rFonts w:ascii="Cambria" w:hAnsi="Cambria"/>
                <w:bCs/>
                <w:sz w:val="20"/>
                <w:szCs w:val="20"/>
                <w:lang w:val="es-ES"/>
              </w:rPr>
              <w:t>1 de diciembre de 2020</w:t>
            </w:r>
          </w:p>
        </w:tc>
      </w:tr>
      <w:tr w:rsidR="00855ADB" w:rsidRPr="009135C4" w14:paraId="370C6B67" w14:textId="77777777" w:rsidTr="004A6A54">
        <w:tc>
          <w:tcPr>
            <w:tcW w:w="3600" w:type="dxa"/>
            <w:tcBorders>
              <w:top w:val="single" w:sz="6" w:space="0" w:color="auto"/>
              <w:bottom w:val="single" w:sz="6" w:space="0" w:color="auto"/>
            </w:tcBorders>
            <w:shd w:val="clear" w:color="auto" w:fill="386294"/>
            <w:vAlign w:val="center"/>
          </w:tcPr>
          <w:p w14:paraId="673449BE" w14:textId="0058B676" w:rsidR="00855ADB" w:rsidRDefault="00855ADB" w:rsidP="004A6A54">
            <w:pPr>
              <w:jc w:val="center"/>
              <w:rPr>
                <w:rFonts w:ascii="Cambria" w:hAnsi="Cambria"/>
                <w:b/>
                <w:color w:val="FFFFFF" w:themeColor="background1"/>
                <w:sz w:val="20"/>
                <w:szCs w:val="20"/>
                <w:lang w:val="es-ES"/>
              </w:rPr>
            </w:pPr>
            <w:r>
              <w:rPr>
                <w:rFonts w:ascii="Cambria" w:hAnsi="Cambria"/>
                <w:b/>
                <w:color w:val="FFFFFF" w:themeColor="background1"/>
                <w:sz w:val="20"/>
                <w:szCs w:val="20"/>
                <w:lang w:val="es-ES"/>
              </w:rPr>
              <w:t>Observaciones adicionales de la parte peticionaria</w:t>
            </w:r>
          </w:p>
        </w:tc>
        <w:tc>
          <w:tcPr>
            <w:tcW w:w="5760" w:type="dxa"/>
            <w:vAlign w:val="center"/>
          </w:tcPr>
          <w:p w14:paraId="5BFDEA25" w14:textId="008A1666" w:rsidR="00855ADB" w:rsidRDefault="00F103BB">
            <w:pPr>
              <w:jc w:val="both"/>
              <w:rPr>
                <w:rFonts w:ascii="Cambria" w:hAnsi="Cambria"/>
                <w:bCs/>
                <w:sz w:val="20"/>
                <w:szCs w:val="20"/>
                <w:lang w:val="es-ES"/>
              </w:rPr>
            </w:pPr>
            <w:r>
              <w:rPr>
                <w:rFonts w:ascii="Cambria" w:hAnsi="Cambria"/>
                <w:bCs/>
                <w:sz w:val="20"/>
                <w:szCs w:val="20"/>
                <w:lang w:val="es-ES"/>
              </w:rPr>
              <w:t>26 de febrero de 2021</w:t>
            </w:r>
          </w:p>
        </w:tc>
      </w:tr>
    </w:tbl>
    <w:p w14:paraId="21DAA666" w14:textId="77777777" w:rsidR="003239B8" w:rsidRPr="003239B8" w:rsidRDefault="003239B8" w:rsidP="003239B8">
      <w:pPr>
        <w:spacing w:before="240" w:after="240"/>
        <w:ind w:firstLine="720"/>
        <w:jc w:val="both"/>
        <w:rPr>
          <w:rFonts w:asciiTheme="majorHAnsi" w:hAnsiTheme="majorHAnsi"/>
          <w:b/>
          <w:bCs/>
          <w:sz w:val="20"/>
          <w:szCs w:val="20"/>
          <w:lang w:val="es-ES"/>
        </w:rPr>
      </w:pPr>
      <w:r w:rsidRPr="003239B8">
        <w:rPr>
          <w:rFonts w:asciiTheme="majorHAnsi" w:hAnsiTheme="majorHAnsi"/>
          <w:b/>
          <w:bCs/>
          <w:sz w:val="20"/>
          <w:szCs w:val="20"/>
          <w:lang w:val="es-ES"/>
        </w:rPr>
        <w:t xml:space="preserve">III. </w:t>
      </w:r>
      <w:r w:rsidRPr="003239B8">
        <w:rPr>
          <w:rFonts w:asciiTheme="majorHAnsi" w:hAnsiTheme="majorHAnsi"/>
          <w:b/>
          <w:bCs/>
          <w:sz w:val="20"/>
          <w:szCs w:val="20"/>
          <w:lang w:val="es-ES"/>
        </w:rPr>
        <w:tab/>
        <w:t>COMPETENCIA</w:t>
      </w:r>
      <w:r w:rsidR="00EE00E9">
        <w:rPr>
          <w:rFonts w:asciiTheme="majorHAnsi" w:hAnsiTheme="majorHAnsi"/>
          <w:b/>
          <w:bCs/>
          <w:sz w:val="20"/>
          <w:szCs w:val="20"/>
          <w:lang w:val="es-ES"/>
        </w:rPr>
        <w:t xml:space="preserve"> </w:t>
      </w:r>
    </w:p>
    <w:tbl>
      <w:tblPr>
        <w:tblStyle w:val="TableGrid"/>
        <w:tblW w:w="0" w:type="auto"/>
        <w:tblInd w:w="108" w:type="dxa"/>
        <w:tblBorders>
          <w:insideH w:val="single" w:sz="6" w:space="0" w:color="auto"/>
          <w:insideV w:val="single" w:sz="6" w:space="0" w:color="auto"/>
        </w:tblBorders>
        <w:tblLook w:val="04A0" w:firstRow="1" w:lastRow="0" w:firstColumn="1" w:lastColumn="0" w:noHBand="0" w:noVBand="1"/>
      </w:tblPr>
      <w:tblGrid>
        <w:gridCol w:w="3561"/>
        <w:gridCol w:w="5681"/>
      </w:tblGrid>
      <w:tr w:rsidR="003239B8" w:rsidRPr="00540F17" w14:paraId="072532AD" w14:textId="77777777" w:rsidTr="004A6A54">
        <w:trPr>
          <w:cantSplit/>
        </w:trPr>
        <w:tc>
          <w:tcPr>
            <w:tcW w:w="3600" w:type="dxa"/>
            <w:tcBorders>
              <w:top w:val="single" w:sz="4" w:space="0" w:color="auto"/>
              <w:bottom w:val="single" w:sz="6" w:space="0" w:color="auto"/>
            </w:tcBorders>
            <w:shd w:val="clear" w:color="auto" w:fill="386294"/>
            <w:vAlign w:val="center"/>
          </w:tcPr>
          <w:p w14:paraId="5C2E4B34" w14:textId="77777777" w:rsidR="003239B8" w:rsidRPr="00B3745F" w:rsidRDefault="003239B8">
            <w:pPr>
              <w:jc w:val="center"/>
              <w:rPr>
                <w:rFonts w:ascii="Cambria" w:hAnsi="Cambria"/>
                <w:b/>
                <w:bCs/>
                <w:i/>
                <w:color w:val="FFFFFF" w:themeColor="background1"/>
                <w:sz w:val="20"/>
                <w:szCs w:val="20"/>
              </w:rPr>
            </w:pPr>
            <w:r w:rsidRPr="00B3745F">
              <w:rPr>
                <w:rFonts w:ascii="Cambria" w:hAnsi="Cambria"/>
                <w:b/>
                <w:bCs/>
                <w:color w:val="FFFFFF" w:themeColor="background1"/>
                <w:sz w:val="20"/>
                <w:szCs w:val="20"/>
              </w:rPr>
              <w:t>Competencia</w:t>
            </w:r>
            <w:r w:rsidRPr="00B3745F">
              <w:rPr>
                <w:rFonts w:ascii="Cambria" w:hAnsi="Cambria"/>
                <w:b/>
                <w:bCs/>
                <w:i/>
                <w:color w:val="FFFFFF" w:themeColor="background1"/>
                <w:sz w:val="20"/>
                <w:szCs w:val="20"/>
              </w:rPr>
              <w:t xml:space="preserve"> Ratione personae:</w:t>
            </w:r>
          </w:p>
        </w:tc>
        <w:tc>
          <w:tcPr>
            <w:tcW w:w="5760" w:type="dxa"/>
            <w:vAlign w:val="center"/>
          </w:tcPr>
          <w:p w14:paraId="7707F3E9" w14:textId="473D63A6" w:rsidR="003239B8" w:rsidRPr="00B3745F" w:rsidRDefault="004A12C7">
            <w:pPr>
              <w:rPr>
                <w:rFonts w:ascii="Cambria" w:hAnsi="Cambria"/>
                <w:bCs/>
                <w:sz w:val="20"/>
                <w:szCs w:val="20"/>
              </w:rPr>
            </w:pPr>
            <w:r>
              <w:rPr>
                <w:rFonts w:ascii="Cambria" w:hAnsi="Cambria"/>
                <w:bCs/>
                <w:sz w:val="20"/>
                <w:szCs w:val="20"/>
                <w:lang w:val="es-ES"/>
              </w:rPr>
              <w:t>Sí</w:t>
            </w:r>
          </w:p>
        </w:tc>
      </w:tr>
      <w:tr w:rsidR="003239B8" w:rsidRPr="00540F17" w14:paraId="4B8802DA" w14:textId="77777777" w:rsidTr="004A6A54">
        <w:trPr>
          <w:cantSplit/>
        </w:trPr>
        <w:tc>
          <w:tcPr>
            <w:tcW w:w="3600" w:type="dxa"/>
            <w:tcBorders>
              <w:top w:val="single" w:sz="6" w:space="0" w:color="auto"/>
              <w:bottom w:val="single" w:sz="6" w:space="0" w:color="auto"/>
            </w:tcBorders>
            <w:shd w:val="clear" w:color="auto" w:fill="386294"/>
            <w:vAlign w:val="center"/>
          </w:tcPr>
          <w:p w14:paraId="3915C23B" w14:textId="77777777" w:rsidR="003239B8" w:rsidRPr="00B3745F" w:rsidRDefault="003239B8">
            <w:pPr>
              <w:jc w:val="center"/>
              <w:rPr>
                <w:rFonts w:ascii="Cambria" w:hAnsi="Cambria"/>
                <w:b/>
                <w:bCs/>
                <w:color w:val="FFFFFF" w:themeColor="background1"/>
                <w:sz w:val="20"/>
                <w:szCs w:val="20"/>
              </w:rPr>
            </w:pPr>
            <w:r w:rsidRPr="00B3745F">
              <w:rPr>
                <w:rFonts w:ascii="Cambria" w:hAnsi="Cambria"/>
                <w:b/>
                <w:bCs/>
                <w:color w:val="FFFFFF" w:themeColor="background1"/>
                <w:sz w:val="20"/>
                <w:szCs w:val="20"/>
              </w:rPr>
              <w:t>Competencia</w:t>
            </w:r>
            <w:r w:rsidRPr="00B3745F">
              <w:rPr>
                <w:rFonts w:ascii="Cambria" w:hAnsi="Cambria"/>
                <w:b/>
                <w:bCs/>
                <w:i/>
                <w:color w:val="FFFFFF" w:themeColor="background1"/>
                <w:sz w:val="20"/>
                <w:szCs w:val="20"/>
              </w:rPr>
              <w:t xml:space="preserve"> Ratione loci</w:t>
            </w:r>
            <w:r w:rsidRPr="00B3745F">
              <w:rPr>
                <w:rFonts w:ascii="Cambria" w:hAnsi="Cambria"/>
                <w:b/>
                <w:bCs/>
                <w:color w:val="FFFFFF" w:themeColor="background1"/>
                <w:sz w:val="20"/>
                <w:szCs w:val="20"/>
              </w:rPr>
              <w:t>:</w:t>
            </w:r>
          </w:p>
        </w:tc>
        <w:tc>
          <w:tcPr>
            <w:tcW w:w="5760" w:type="dxa"/>
            <w:vAlign w:val="center"/>
          </w:tcPr>
          <w:p w14:paraId="12C931CB" w14:textId="5804B26A" w:rsidR="003239B8" w:rsidRPr="00B3745F" w:rsidRDefault="004A12C7">
            <w:pPr>
              <w:rPr>
                <w:rFonts w:ascii="Cambria" w:hAnsi="Cambria"/>
                <w:bCs/>
                <w:sz w:val="20"/>
                <w:szCs w:val="20"/>
              </w:rPr>
            </w:pPr>
            <w:r>
              <w:rPr>
                <w:rFonts w:ascii="Cambria" w:hAnsi="Cambria"/>
                <w:bCs/>
                <w:sz w:val="20"/>
                <w:szCs w:val="20"/>
                <w:lang w:val="es-ES"/>
              </w:rPr>
              <w:t>Sí</w:t>
            </w:r>
          </w:p>
        </w:tc>
      </w:tr>
      <w:tr w:rsidR="003239B8" w:rsidRPr="00540F17" w14:paraId="4362FDF3" w14:textId="77777777" w:rsidTr="004A6A54">
        <w:trPr>
          <w:cantSplit/>
        </w:trPr>
        <w:tc>
          <w:tcPr>
            <w:tcW w:w="3600" w:type="dxa"/>
            <w:tcBorders>
              <w:top w:val="single" w:sz="6" w:space="0" w:color="auto"/>
              <w:bottom w:val="single" w:sz="6" w:space="0" w:color="auto"/>
            </w:tcBorders>
            <w:shd w:val="clear" w:color="auto" w:fill="386294"/>
            <w:vAlign w:val="center"/>
          </w:tcPr>
          <w:p w14:paraId="3BE23153" w14:textId="77777777" w:rsidR="003239B8" w:rsidRPr="00B3745F" w:rsidRDefault="003239B8">
            <w:pPr>
              <w:jc w:val="center"/>
              <w:rPr>
                <w:rFonts w:ascii="Cambria" w:hAnsi="Cambria"/>
                <w:b/>
                <w:bCs/>
                <w:color w:val="FFFFFF" w:themeColor="background1"/>
                <w:sz w:val="20"/>
                <w:szCs w:val="20"/>
              </w:rPr>
            </w:pPr>
            <w:r w:rsidRPr="00B3745F">
              <w:rPr>
                <w:rFonts w:ascii="Cambria" w:hAnsi="Cambria"/>
                <w:b/>
                <w:bCs/>
                <w:color w:val="FFFFFF" w:themeColor="background1"/>
                <w:sz w:val="20"/>
                <w:szCs w:val="20"/>
              </w:rPr>
              <w:t>Competencia</w:t>
            </w:r>
            <w:r w:rsidRPr="00B3745F">
              <w:rPr>
                <w:rFonts w:ascii="Cambria" w:hAnsi="Cambria"/>
                <w:b/>
                <w:bCs/>
                <w:i/>
                <w:color w:val="FFFFFF" w:themeColor="background1"/>
                <w:sz w:val="20"/>
                <w:szCs w:val="20"/>
              </w:rPr>
              <w:t xml:space="preserve"> Ratione temporis</w:t>
            </w:r>
            <w:r w:rsidRPr="00B3745F">
              <w:rPr>
                <w:rFonts w:ascii="Cambria" w:hAnsi="Cambria"/>
                <w:b/>
                <w:bCs/>
                <w:color w:val="FFFFFF" w:themeColor="background1"/>
                <w:sz w:val="20"/>
                <w:szCs w:val="20"/>
              </w:rPr>
              <w:t>:</w:t>
            </w:r>
          </w:p>
        </w:tc>
        <w:tc>
          <w:tcPr>
            <w:tcW w:w="5760" w:type="dxa"/>
            <w:vAlign w:val="center"/>
          </w:tcPr>
          <w:p w14:paraId="6F8B059B" w14:textId="5851DFD4" w:rsidR="003239B8" w:rsidRPr="00B3745F" w:rsidRDefault="004A12C7">
            <w:pPr>
              <w:rPr>
                <w:rFonts w:ascii="Cambria" w:hAnsi="Cambria"/>
                <w:bCs/>
                <w:sz w:val="20"/>
                <w:szCs w:val="20"/>
              </w:rPr>
            </w:pPr>
            <w:r>
              <w:rPr>
                <w:rFonts w:ascii="Cambria" w:hAnsi="Cambria"/>
                <w:bCs/>
                <w:sz w:val="20"/>
                <w:szCs w:val="20"/>
                <w:lang w:val="es-ES"/>
              </w:rPr>
              <w:t>Sí</w:t>
            </w:r>
          </w:p>
        </w:tc>
      </w:tr>
      <w:tr w:rsidR="003239B8" w:rsidRPr="00132B79" w14:paraId="30ABEC3E" w14:textId="77777777" w:rsidTr="004A6A54">
        <w:trPr>
          <w:cantSplit/>
        </w:trPr>
        <w:tc>
          <w:tcPr>
            <w:tcW w:w="3600" w:type="dxa"/>
            <w:tcBorders>
              <w:top w:val="single" w:sz="6" w:space="0" w:color="auto"/>
              <w:bottom w:val="single" w:sz="6" w:space="0" w:color="auto"/>
            </w:tcBorders>
            <w:shd w:val="clear" w:color="auto" w:fill="386294"/>
            <w:vAlign w:val="center"/>
          </w:tcPr>
          <w:p w14:paraId="47B529D2" w14:textId="77777777" w:rsidR="003239B8" w:rsidRPr="00B3745F" w:rsidRDefault="003239B8">
            <w:pPr>
              <w:jc w:val="center"/>
              <w:rPr>
                <w:rFonts w:ascii="Cambria" w:hAnsi="Cambria"/>
                <w:b/>
                <w:bCs/>
                <w:color w:val="FFFFFF" w:themeColor="background1"/>
                <w:sz w:val="20"/>
                <w:szCs w:val="20"/>
              </w:rPr>
            </w:pPr>
            <w:r w:rsidRPr="00B3745F">
              <w:rPr>
                <w:rFonts w:ascii="Cambria" w:hAnsi="Cambria"/>
                <w:b/>
                <w:bCs/>
                <w:color w:val="FFFFFF" w:themeColor="background1"/>
                <w:sz w:val="20"/>
                <w:szCs w:val="20"/>
              </w:rPr>
              <w:t>Competencia</w:t>
            </w:r>
            <w:r w:rsidRPr="00B3745F">
              <w:rPr>
                <w:rFonts w:ascii="Cambria" w:hAnsi="Cambria"/>
                <w:b/>
                <w:bCs/>
                <w:i/>
                <w:color w:val="FFFFFF" w:themeColor="background1"/>
                <w:sz w:val="20"/>
                <w:szCs w:val="20"/>
              </w:rPr>
              <w:t xml:space="preserve"> Ratione materia</w:t>
            </w:r>
            <w:r w:rsidR="00EE00E9" w:rsidRPr="00B3745F">
              <w:rPr>
                <w:rFonts w:ascii="Cambria" w:hAnsi="Cambria"/>
                <w:b/>
                <w:bCs/>
                <w:i/>
                <w:color w:val="FFFFFF" w:themeColor="background1"/>
                <w:sz w:val="20"/>
                <w:szCs w:val="20"/>
              </w:rPr>
              <w:t>e</w:t>
            </w:r>
            <w:r w:rsidRPr="00B3745F">
              <w:rPr>
                <w:rFonts w:ascii="Cambria" w:hAnsi="Cambria"/>
                <w:b/>
                <w:bCs/>
                <w:color w:val="FFFFFF" w:themeColor="background1"/>
                <w:sz w:val="20"/>
                <w:szCs w:val="20"/>
              </w:rPr>
              <w:t>:</w:t>
            </w:r>
          </w:p>
        </w:tc>
        <w:tc>
          <w:tcPr>
            <w:tcW w:w="5760" w:type="dxa"/>
            <w:vAlign w:val="center"/>
          </w:tcPr>
          <w:p w14:paraId="0C122F44" w14:textId="08D57355" w:rsidR="003239B8" w:rsidRPr="00B3745F" w:rsidRDefault="004A12C7">
            <w:pPr>
              <w:jc w:val="both"/>
              <w:rPr>
                <w:rFonts w:ascii="Cambria" w:hAnsi="Cambria"/>
                <w:bCs/>
                <w:sz w:val="20"/>
                <w:szCs w:val="20"/>
                <w:lang w:val="es-ES"/>
              </w:rPr>
            </w:pPr>
            <w:r>
              <w:rPr>
                <w:rFonts w:ascii="Cambria" w:hAnsi="Cambria"/>
                <w:bCs/>
                <w:sz w:val="20"/>
                <w:szCs w:val="20"/>
                <w:lang w:val="es-ES"/>
              </w:rPr>
              <w:t xml:space="preserve">Sí, Convención Americana (depósito del instrumento de ratificación realizado el </w:t>
            </w:r>
            <w:r w:rsidR="00C00B55">
              <w:rPr>
                <w:rFonts w:ascii="Cambria" w:hAnsi="Cambria"/>
                <w:bCs/>
                <w:sz w:val="20"/>
                <w:szCs w:val="20"/>
                <w:lang w:val="es-ES"/>
              </w:rPr>
              <w:t>19</w:t>
            </w:r>
            <w:r>
              <w:rPr>
                <w:rFonts w:ascii="Cambria" w:hAnsi="Cambria"/>
                <w:bCs/>
                <w:sz w:val="20"/>
                <w:szCs w:val="20"/>
                <w:lang w:val="es-ES"/>
              </w:rPr>
              <w:t xml:space="preserve"> de </w:t>
            </w:r>
            <w:r w:rsidR="00C25C23">
              <w:rPr>
                <w:rFonts w:ascii="Cambria" w:hAnsi="Cambria"/>
                <w:bCs/>
                <w:sz w:val="20"/>
                <w:szCs w:val="20"/>
                <w:lang w:val="es-ES"/>
              </w:rPr>
              <w:t>julio</w:t>
            </w:r>
            <w:r>
              <w:rPr>
                <w:rFonts w:ascii="Cambria" w:hAnsi="Cambria"/>
                <w:bCs/>
                <w:sz w:val="20"/>
                <w:szCs w:val="20"/>
                <w:lang w:val="es-ES"/>
              </w:rPr>
              <w:t xml:space="preserve"> de 197</w:t>
            </w:r>
            <w:r w:rsidR="00C25C23">
              <w:rPr>
                <w:rFonts w:ascii="Cambria" w:hAnsi="Cambria"/>
                <w:bCs/>
                <w:sz w:val="20"/>
                <w:szCs w:val="20"/>
                <w:lang w:val="es-ES"/>
              </w:rPr>
              <w:t>9</w:t>
            </w:r>
            <w:r>
              <w:rPr>
                <w:rFonts w:ascii="Cambria" w:hAnsi="Cambria"/>
                <w:bCs/>
                <w:sz w:val="20"/>
                <w:szCs w:val="20"/>
                <w:lang w:val="es-ES"/>
              </w:rPr>
              <w:t>)</w:t>
            </w:r>
          </w:p>
        </w:tc>
      </w:tr>
    </w:tbl>
    <w:p w14:paraId="4E92C444" w14:textId="140CB1E7" w:rsidR="003239B8" w:rsidRPr="003239B8" w:rsidRDefault="003239B8" w:rsidP="003239B8">
      <w:pPr>
        <w:spacing w:before="240" w:after="240"/>
        <w:ind w:firstLine="720"/>
        <w:jc w:val="both"/>
        <w:rPr>
          <w:rFonts w:asciiTheme="majorHAnsi" w:hAnsiTheme="majorHAnsi"/>
          <w:b/>
          <w:bCs/>
          <w:sz w:val="20"/>
          <w:szCs w:val="20"/>
          <w:lang w:val="es-ES"/>
        </w:rPr>
      </w:pPr>
      <w:r w:rsidRPr="003239B8">
        <w:rPr>
          <w:rFonts w:asciiTheme="majorHAnsi" w:hAnsiTheme="majorHAnsi"/>
          <w:b/>
          <w:bCs/>
          <w:sz w:val="20"/>
          <w:szCs w:val="20"/>
          <w:lang w:val="es-ES"/>
        </w:rPr>
        <w:t xml:space="preserve">IV. </w:t>
      </w:r>
      <w:r w:rsidRPr="003239B8">
        <w:rPr>
          <w:rFonts w:asciiTheme="majorHAnsi" w:hAnsiTheme="majorHAnsi"/>
          <w:b/>
          <w:bCs/>
          <w:sz w:val="20"/>
          <w:szCs w:val="20"/>
          <w:lang w:val="es-ES"/>
        </w:rPr>
        <w:tab/>
      </w:r>
      <w:r w:rsidR="00EE00E9" w:rsidRPr="003239B8">
        <w:rPr>
          <w:rFonts w:asciiTheme="majorHAnsi" w:hAnsiTheme="majorHAnsi"/>
          <w:b/>
          <w:bCs/>
          <w:sz w:val="20"/>
          <w:szCs w:val="20"/>
          <w:lang w:val="es-ES"/>
        </w:rPr>
        <w:t>DUPLICACIÓN</w:t>
      </w:r>
      <w:r w:rsidR="00EE00E9" w:rsidRPr="003239B8">
        <w:rPr>
          <w:rFonts w:asciiTheme="majorHAnsi" w:hAnsiTheme="majorHAnsi"/>
          <w:b/>
          <w:bCs/>
          <w:color w:val="FFFFFF" w:themeColor="background1"/>
          <w:sz w:val="20"/>
          <w:szCs w:val="20"/>
          <w:lang w:val="es-ES"/>
        </w:rPr>
        <w:t xml:space="preserve"> </w:t>
      </w:r>
      <w:r w:rsidR="00EE00E9" w:rsidRPr="003239B8">
        <w:rPr>
          <w:rFonts w:asciiTheme="majorHAnsi" w:hAnsiTheme="majorHAnsi"/>
          <w:b/>
          <w:bCs/>
          <w:sz w:val="20"/>
          <w:szCs w:val="20"/>
          <w:lang w:val="es-ES"/>
        </w:rPr>
        <w:t>DE PROCEDIMIENTOS Y COSA JUZGADA</w:t>
      </w:r>
      <w:r w:rsidR="00EE00E9" w:rsidRPr="003239B8">
        <w:rPr>
          <w:rFonts w:asciiTheme="majorHAnsi" w:hAnsiTheme="majorHAnsi"/>
          <w:b/>
          <w:bCs/>
          <w:i/>
          <w:sz w:val="20"/>
          <w:szCs w:val="20"/>
          <w:lang w:val="es-ES"/>
        </w:rPr>
        <w:t xml:space="preserve"> </w:t>
      </w:r>
      <w:r w:rsidR="00EE00E9" w:rsidRPr="003239B8">
        <w:rPr>
          <w:rFonts w:asciiTheme="majorHAnsi" w:hAnsiTheme="majorHAnsi"/>
          <w:b/>
          <w:bCs/>
          <w:sz w:val="20"/>
          <w:szCs w:val="20"/>
          <w:lang w:val="es-ES"/>
        </w:rPr>
        <w:t>INTERNACIONAL</w:t>
      </w:r>
      <w:r w:rsidR="005D38F9">
        <w:rPr>
          <w:rFonts w:asciiTheme="majorHAnsi" w:hAnsiTheme="majorHAnsi"/>
          <w:b/>
          <w:bCs/>
          <w:sz w:val="20"/>
          <w:szCs w:val="20"/>
          <w:lang w:val="es-ES"/>
        </w:rPr>
        <w:t>,</w:t>
      </w:r>
      <w:r w:rsidRPr="003239B8">
        <w:rPr>
          <w:rFonts w:asciiTheme="majorHAnsi" w:hAnsiTheme="majorHAnsi"/>
          <w:b/>
          <w:bCs/>
          <w:sz w:val="20"/>
          <w:szCs w:val="20"/>
          <w:lang w:val="es-ES"/>
        </w:rPr>
        <w:t xml:space="preserve"> CARACTERIZACIÓN, </w:t>
      </w:r>
      <w:r w:rsidRPr="003239B8">
        <w:rPr>
          <w:rFonts w:asciiTheme="majorHAnsi" w:hAnsiTheme="majorHAnsi"/>
          <w:b/>
          <w:sz w:val="20"/>
          <w:szCs w:val="20"/>
          <w:lang w:val="es-ES"/>
        </w:rPr>
        <w:t>AGOTAMIENTO DE LOS RECURSOS INTERNOS Y PLAZO DE PRESENTACIÓN</w:t>
      </w:r>
    </w:p>
    <w:tbl>
      <w:tblPr>
        <w:tblStyle w:val="TableGrid"/>
        <w:tblW w:w="0" w:type="auto"/>
        <w:tblInd w:w="108" w:type="dxa"/>
        <w:tblBorders>
          <w:insideH w:val="single" w:sz="6" w:space="0" w:color="auto"/>
          <w:insideV w:val="single" w:sz="6" w:space="0" w:color="auto"/>
        </w:tblBorders>
        <w:tblLook w:val="04A0" w:firstRow="1" w:lastRow="0" w:firstColumn="1" w:lastColumn="0" w:noHBand="0" w:noVBand="1"/>
      </w:tblPr>
      <w:tblGrid>
        <w:gridCol w:w="3565"/>
        <w:gridCol w:w="5677"/>
      </w:tblGrid>
      <w:tr w:rsidR="00EE00E9" w:rsidRPr="00256D77" w14:paraId="1231C988" w14:textId="77777777" w:rsidTr="004A6A54">
        <w:trPr>
          <w:cantSplit/>
        </w:trPr>
        <w:tc>
          <w:tcPr>
            <w:tcW w:w="3600" w:type="dxa"/>
            <w:tcBorders>
              <w:top w:val="single" w:sz="4" w:space="0" w:color="auto"/>
              <w:bottom w:val="single" w:sz="6" w:space="0" w:color="auto"/>
            </w:tcBorders>
            <w:shd w:val="clear" w:color="auto" w:fill="386294"/>
            <w:vAlign w:val="center"/>
          </w:tcPr>
          <w:p w14:paraId="6F8031F4" w14:textId="77777777" w:rsidR="00EE00E9" w:rsidRPr="00DC24E3" w:rsidRDefault="00EE00E9">
            <w:pPr>
              <w:jc w:val="center"/>
              <w:rPr>
                <w:rFonts w:ascii="Cambria" w:hAnsi="Cambria"/>
                <w:b/>
                <w:bCs/>
                <w:color w:val="FFFFFF" w:themeColor="background1"/>
                <w:sz w:val="20"/>
                <w:szCs w:val="20"/>
                <w:lang w:val="es-ES"/>
              </w:rPr>
            </w:pPr>
            <w:r w:rsidRPr="00DC24E3">
              <w:rPr>
                <w:rFonts w:ascii="Cambria" w:hAnsi="Cambria"/>
                <w:b/>
                <w:bCs/>
                <w:color w:val="FFFFFF" w:themeColor="background1"/>
                <w:sz w:val="20"/>
                <w:szCs w:val="20"/>
                <w:lang w:val="es-ES"/>
              </w:rPr>
              <w:t>Duplicación de procedimientos y cosa juzgada internacional:</w:t>
            </w:r>
          </w:p>
        </w:tc>
        <w:tc>
          <w:tcPr>
            <w:tcW w:w="5760" w:type="dxa"/>
            <w:vAlign w:val="center"/>
          </w:tcPr>
          <w:p w14:paraId="240941E6" w14:textId="5517ABC9" w:rsidR="00EE00E9" w:rsidRPr="00DC24E3" w:rsidRDefault="00092747">
            <w:pPr>
              <w:jc w:val="both"/>
              <w:rPr>
                <w:rFonts w:ascii="Cambria" w:hAnsi="Cambria"/>
                <w:bCs/>
                <w:sz w:val="20"/>
                <w:szCs w:val="20"/>
                <w:lang w:val="es-ES"/>
              </w:rPr>
            </w:pPr>
            <w:r>
              <w:rPr>
                <w:rFonts w:ascii="Cambria" w:hAnsi="Cambria"/>
                <w:bCs/>
                <w:sz w:val="20"/>
                <w:szCs w:val="20"/>
                <w:lang w:val="es-ES"/>
              </w:rPr>
              <w:t>No</w:t>
            </w:r>
          </w:p>
        </w:tc>
      </w:tr>
      <w:tr w:rsidR="003239B8" w:rsidRPr="00132B79" w14:paraId="15FAA7D1" w14:textId="77777777" w:rsidTr="004A6A54">
        <w:trPr>
          <w:cantSplit/>
        </w:trPr>
        <w:tc>
          <w:tcPr>
            <w:tcW w:w="3600" w:type="dxa"/>
            <w:tcBorders>
              <w:top w:val="single" w:sz="4" w:space="0" w:color="auto"/>
              <w:bottom w:val="single" w:sz="6" w:space="0" w:color="auto"/>
            </w:tcBorders>
            <w:shd w:val="clear" w:color="auto" w:fill="386294"/>
            <w:vAlign w:val="center"/>
          </w:tcPr>
          <w:p w14:paraId="1B0D29FF" w14:textId="77777777" w:rsidR="003239B8" w:rsidRPr="00DC24E3" w:rsidRDefault="003239B8">
            <w:pPr>
              <w:jc w:val="center"/>
              <w:rPr>
                <w:rFonts w:ascii="Cambria" w:hAnsi="Cambria"/>
                <w:b/>
                <w:bCs/>
                <w:i/>
                <w:color w:val="FFFFFF" w:themeColor="background1"/>
                <w:sz w:val="20"/>
                <w:szCs w:val="20"/>
              </w:rPr>
            </w:pPr>
            <w:r w:rsidRPr="00DC24E3">
              <w:rPr>
                <w:rFonts w:ascii="Cambria" w:hAnsi="Cambria"/>
                <w:b/>
                <w:bCs/>
                <w:color w:val="FFFFFF" w:themeColor="background1"/>
                <w:sz w:val="20"/>
                <w:szCs w:val="20"/>
              </w:rPr>
              <w:t>Derechos declarados admisibles</w:t>
            </w:r>
            <w:r w:rsidRPr="00DC24E3">
              <w:rPr>
                <w:rFonts w:ascii="Cambria" w:hAnsi="Cambria"/>
                <w:b/>
                <w:bCs/>
                <w:i/>
                <w:color w:val="FFFFFF" w:themeColor="background1"/>
                <w:sz w:val="20"/>
                <w:szCs w:val="20"/>
              </w:rPr>
              <w:t>:</w:t>
            </w:r>
          </w:p>
        </w:tc>
        <w:tc>
          <w:tcPr>
            <w:tcW w:w="5760" w:type="dxa"/>
            <w:vAlign w:val="center"/>
          </w:tcPr>
          <w:p w14:paraId="6310C8F7" w14:textId="1BEF9317" w:rsidR="003239B8" w:rsidRPr="00092747" w:rsidRDefault="00092747">
            <w:pPr>
              <w:jc w:val="both"/>
              <w:rPr>
                <w:rFonts w:ascii="Cambria" w:hAnsi="Cambria"/>
                <w:bCs/>
                <w:sz w:val="20"/>
                <w:szCs w:val="20"/>
                <w:lang w:val="es-US"/>
              </w:rPr>
            </w:pPr>
            <w:r>
              <w:rPr>
                <w:rFonts w:ascii="Cambria" w:hAnsi="Cambria"/>
                <w:bCs/>
                <w:sz w:val="20"/>
                <w:szCs w:val="20"/>
                <w:lang w:val="es-ES"/>
              </w:rPr>
              <w:t>Artículos 8 (garantías judiciales), 24 (igualdad ante la ley) y 25 (protección judicial) de la Convención Americana</w:t>
            </w:r>
          </w:p>
        </w:tc>
      </w:tr>
      <w:tr w:rsidR="003239B8" w:rsidRPr="00132B79" w14:paraId="4EFD141E" w14:textId="77777777" w:rsidTr="004A6A54">
        <w:trPr>
          <w:cantSplit/>
        </w:trPr>
        <w:tc>
          <w:tcPr>
            <w:tcW w:w="3600" w:type="dxa"/>
            <w:tcBorders>
              <w:top w:val="single" w:sz="6" w:space="0" w:color="auto"/>
              <w:bottom w:val="single" w:sz="6" w:space="0" w:color="auto"/>
            </w:tcBorders>
            <w:shd w:val="clear" w:color="auto" w:fill="386294"/>
            <w:vAlign w:val="center"/>
          </w:tcPr>
          <w:p w14:paraId="4C04A89C" w14:textId="77777777" w:rsidR="003239B8" w:rsidRPr="00DC24E3" w:rsidRDefault="003239B8">
            <w:pPr>
              <w:jc w:val="center"/>
              <w:rPr>
                <w:rFonts w:ascii="Cambria" w:hAnsi="Cambria"/>
                <w:b/>
                <w:bCs/>
                <w:color w:val="FFFFFF" w:themeColor="background1"/>
                <w:sz w:val="20"/>
                <w:szCs w:val="20"/>
                <w:lang w:val="es-ES"/>
              </w:rPr>
            </w:pPr>
            <w:r w:rsidRPr="00DC24E3">
              <w:rPr>
                <w:rFonts w:ascii="Cambria" w:hAnsi="Cambria"/>
                <w:b/>
                <w:bCs/>
                <w:color w:val="FFFFFF" w:themeColor="background1"/>
                <w:sz w:val="20"/>
                <w:szCs w:val="20"/>
                <w:lang w:val="es-ES"/>
              </w:rPr>
              <w:t>Agotamiento de recursos internos</w:t>
            </w:r>
            <w:r w:rsidR="00EE00E9" w:rsidRPr="00DC24E3">
              <w:rPr>
                <w:rFonts w:ascii="Cambria" w:hAnsi="Cambria"/>
                <w:b/>
                <w:bCs/>
                <w:color w:val="FFFFFF" w:themeColor="background1"/>
                <w:sz w:val="20"/>
                <w:szCs w:val="20"/>
                <w:lang w:val="es-ES"/>
              </w:rPr>
              <w:t xml:space="preserve"> o procedencia de una excepción</w:t>
            </w:r>
            <w:r w:rsidRPr="00DC24E3">
              <w:rPr>
                <w:rFonts w:ascii="Cambria" w:hAnsi="Cambria"/>
                <w:b/>
                <w:bCs/>
                <w:color w:val="FFFFFF" w:themeColor="background1"/>
                <w:sz w:val="20"/>
                <w:szCs w:val="20"/>
                <w:lang w:val="es-ES"/>
              </w:rPr>
              <w:t>:</w:t>
            </w:r>
          </w:p>
        </w:tc>
        <w:tc>
          <w:tcPr>
            <w:tcW w:w="5760" w:type="dxa"/>
            <w:vAlign w:val="center"/>
          </w:tcPr>
          <w:p w14:paraId="69C53E8A" w14:textId="75052AA4" w:rsidR="003239B8" w:rsidRPr="00DC24E3" w:rsidRDefault="00231915">
            <w:pPr>
              <w:rPr>
                <w:rFonts w:ascii="Cambria" w:hAnsi="Cambria"/>
                <w:bCs/>
                <w:sz w:val="20"/>
                <w:szCs w:val="20"/>
                <w:lang w:val="es-ES"/>
              </w:rPr>
            </w:pPr>
            <w:r>
              <w:rPr>
                <w:rFonts w:ascii="Cambria" w:hAnsi="Cambria"/>
                <w:bCs/>
                <w:sz w:val="20"/>
                <w:szCs w:val="20"/>
                <w:lang w:val="es-ES"/>
              </w:rPr>
              <w:t>Sí, en los términos de la sección VI</w:t>
            </w:r>
          </w:p>
        </w:tc>
      </w:tr>
      <w:tr w:rsidR="003239B8" w:rsidRPr="00132B79" w14:paraId="52B5BA17" w14:textId="77777777" w:rsidTr="004A6A54">
        <w:trPr>
          <w:cantSplit/>
        </w:trPr>
        <w:tc>
          <w:tcPr>
            <w:tcW w:w="3600" w:type="dxa"/>
            <w:tcBorders>
              <w:top w:val="single" w:sz="6" w:space="0" w:color="auto"/>
              <w:bottom w:val="single" w:sz="6" w:space="0" w:color="auto"/>
            </w:tcBorders>
            <w:shd w:val="clear" w:color="auto" w:fill="386294"/>
            <w:vAlign w:val="center"/>
          </w:tcPr>
          <w:p w14:paraId="5DF99086" w14:textId="77777777" w:rsidR="003239B8" w:rsidRPr="00DC24E3" w:rsidRDefault="003239B8">
            <w:pPr>
              <w:jc w:val="center"/>
              <w:rPr>
                <w:rFonts w:ascii="Cambria" w:hAnsi="Cambria"/>
                <w:b/>
                <w:bCs/>
                <w:color w:val="FFFFFF" w:themeColor="background1"/>
                <w:sz w:val="20"/>
                <w:szCs w:val="20"/>
              </w:rPr>
            </w:pPr>
            <w:r w:rsidRPr="00DC24E3">
              <w:rPr>
                <w:rFonts w:ascii="Cambria" w:hAnsi="Cambria"/>
                <w:b/>
                <w:bCs/>
                <w:color w:val="FFFFFF" w:themeColor="background1"/>
                <w:sz w:val="20"/>
                <w:szCs w:val="20"/>
              </w:rPr>
              <w:t>Presentación dentro de plazo:</w:t>
            </w:r>
          </w:p>
        </w:tc>
        <w:tc>
          <w:tcPr>
            <w:tcW w:w="5760" w:type="dxa"/>
            <w:vAlign w:val="center"/>
          </w:tcPr>
          <w:p w14:paraId="4A2A4569" w14:textId="1E37B4AB" w:rsidR="003239B8" w:rsidRPr="00231915" w:rsidRDefault="00231915">
            <w:pPr>
              <w:rPr>
                <w:rFonts w:ascii="Cambria" w:hAnsi="Cambria"/>
                <w:bCs/>
                <w:sz w:val="20"/>
                <w:szCs w:val="20"/>
                <w:lang w:val="es-US"/>
              </w:rPr>
            </w:pPr>
            <w:r w:rsidRPr="00231915">
              <w:rPr>
                <w:rFonts w:ascii="Cambria" w:hAnsi="Cambria"/>
                <w:bCs/>
                <w:sz w:val="20"/>
                <w:szCs w:val="20"/>
                <w:lang w:val="es-US"/>
              </w:rPr>
              <w:t>Sí, en los términos d</w:t>
            </w:r>
            <w:r>
              <w:rPr>
                <w:rFonts w:ascii="Cambria" w:hAnsi="Cambria"/>
                <w:bCs/>
                <w:sz w:val="20"/>
                <w:szCs w:val="20"/>
                <w:lang w:val="es-US"/>
              </w:rPr>
              <w:t>e la sección VI</w:t>
            </w:r>
          </w:p>
        </w:tc>
      </w:tr>
    </w:tbl>
    <w:p w14:paraId="422F800C" w14:textId="77777777" w:rsidR="00A37CBC" w:rsidRDefault="00A37CBC" w:rsidP="005542E5">
      <w:pPr>
        <w:spacing w:before="240" w:after="120"/>
        <w:ind w:firstLine="720"/>
        <w:jc w:val="both"/>
        <w:rPr>
          <w:rFonts w:asciiTheme="majorHAnsi" w:hAnsiTheme="majorHAnsi"/>
          <w:b/>
          <w:sz w:val="20"/>
          <w:szCs w:val="20"/>
          <w:lang w:val="es-UY"/>
        </w:rPr>
      </w:pPr>
    </w:p>
    <w:p w14:paraId="18E6423B" w14:textId="2EF683EA" w:rsidR="003239B8" w:rsidRDefault="00223A29" w:rsidP="005542E5">
      <w:pPr>
        <w:spacing w:before="240" w:after="120"/>
        <w:ind w:firstLine="720"/>
        <w:jc w:val="both"/>
        <w:rPr>
          <w:rFonts w:asciiTheme="majorHAnsi" w:hAnsiTheme="majorHAnsi"/>
          <w:b/>
          <w:sz w:val="20"/>
          <w:szCs w:val="20"/>
          <w:lang w:val="es-UY"/>
        </w:rPr>
      </w:pPr>
      <w:r>
        <w:rPr>
          <w:rFonts w:asciiTheme="majorHAnsi" w:hAnsiTheme="majorHAnsi"/>
          <w:b/>
          <w:sz w:val="20"/>
          <w:szCs w:val="20"/>
          <w:lang w:val="es-UY"/>
        </w:rPr>
        <w:lastRenderedPageBreak/>
        <w:t xml:space="preserve">V. </w:t>
      </w:r>
      <w:r>
        <w:rPr>
          <w:rFonts w:asciiTheme="majorHAnsi" w:hAnsiTheme="majorHAnsi"/>
          <w:b/>
          <w:sz w:val="20"/>
          <w:szCs w:val="20"/>
          <w:lang w:val="es-UY"/>
        </w:rPr>
        <w:tab/>
      </w:r>
      <w:r w:rsidR="0039144C">
        <w:rPr>
          <w:rFonts w:asciiTheme="majorHAnsi" w:hAnsiTheme="majorHAnsi"/>
          <w:b/>
          <w:sz w:val="20"/>
          <w:szCs w:val="20"/>
          <w:lang w:val="es-UY"/>
        </w:rPr>
        <w:t>POSICIÓN DE LAS PARTES</w:t>
      </w:r>
      <w:r w:rsidR="003239B8">
        <w:rPr>
          <w:rFonts w:asciiTheme="majorHAnsi" w:hAnsiTheme="majorHAnsi"/>
          <w:b/>
          <w:sz w:val="20"/>
          <w:szCs w:val="20"/>
          <w:lang w:val="es-UY"/>
        </w:rPr>
        <w:t xml:space="preserve"> </w:t>
      </w:r>
    </w:p>
    <w:p w14:paraId="4E5D072C" w14:textId="3914FD97" w:rsidR="006678C8" w:rsidRPr="006678C8" w:rsidRDefault="006678C8" w:rsidP="005542E5">
      <w:pPr>
        <w:spacing w:before="240" w:after="120"/>
        <w:ind w:firstLine="720"/>
        <w:jc w:val="both"/>
        <w:rPr>
          <w:rFonts w:asciiTheme="majorHAnsi" w:hAnsiTheme="majorHAnsi"/>
          <w:bCs/>
          <w:i/>
          <w:iCs/>
          <w:sz w:val="20"/>
          <w:szCs w:val="20"/>
          <w:lang w:val="es-UY"/>
        </w:rPr>
      </w:pPr>
      <w:r w:rsidRPr="006678C8">
        <w:rPr>
          <w:rFonts w:asciiTheme="majorHAnsi" w:hAnsiTheme="majorHAnsi"/>
          <w:bCs/>
          <w:i/>
          <w:iCs/>
          <w:sz w:val="20"/>
          <w:szCs w:val="20"/>
          <w:lang w:val="es-UY"/>
        </w:rPr>
        <w:t>Alegatos de la parte peticionaria</w:t>
      </w:r>
    </w:p>
    <w:p w14:paraId="19EBAEB3" w14:textId="6A3C6C53" w:rsidR="008C5E2D" w:rsidRPr="00894EFD" w:rsidRDefault="005A5735" w:rsidP="005542E5">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both"/>
        <w:rPr>
          <w:rFonts w:ascii="Cambria" w:hAnsi="Cambria"/>
          <w:sz w:val="20"/>
          <w:szCs w:val="20"/>
          <w:lang w:val="es-AR"/>
        </w:rPr>
      </w:pPr>
      <w:r w:rsidRPr="00894EFD">
        <w:rPr>
          <w:rFonts w:ascii="Cambria" w:hAnsi="Cambria"/>
          <w:sz w:val="20"/>
          <w:szCs w:val="20"/>
          <w:lang w:val="es-AR"/>
        </w:rPr>
        <w:t>La parte peticionaria denuncia que</w:t>
      </w:r>
      <w:r w:rsidR="00653D0F">
        <w:rPr>
          <w:rFonts w:ascii="Cambria" w:hAnsi="Cambria"/>
          <w:sz w:val="20"/>
          <w:szCs w:val="20"/>
          <w:lang w:val="es-AR"/>
        </w:rPr>
        <w:t xml:space="preserve"> el Estado no ha cumplido con su obligación de garantizar una reparación a las presuntas víctimas por los hechos de violencia que sufrieron </w:t>
      </w:r>
      <w:r w:rsidR="001B2F52">
        <w:rPr>
          <w:rFonts w:ascii="Cambria" w:hAnsi="Cambria"/>
          <w:sz w:val="20"/>
          <w:szCs w:val="20"/>
          <w:lang w:val="es-AR"/>
        </w:rPr>
        <w:t xml:space="preserve">durante los gobiernos dictatoriales ocurridos entre </w:t>
      </w:r>
      <w:r w:rsidR="00653D0F">
        <w:rPr>
          <w:rFonts w:ascii="Cambria" w:hAnsi="Cambria"/>
          <w:sz w:val="20"/>
          <w:szCs w:val="20"/>
          <w:lang w:val="es-AR"/>
        </w:rPr>
        <w:t xml:space="preserve">1964 y 1982. Arguye que a pesar de que existe un marco normativo que regula un procedimiento para tal fin, este no ha resultado eficaz debido contiene requisitos imposibles de cumplir. </w:t>
      </w:r>
    </w:p>
    <w:p w14:paraId="338AF2B6" w14:textId="6F7B29FA" w:rsidR="00256D77" w:rsidRPr="00996A7F" w:rsidRDefault="00996A7F" w:rsidP="00256D7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jc w:val="both"/>
        <w:rPr>
          <w:rFonts w:ascii="Cambria" w:hAnsi="Cambria"/>
          <w:i/>
          <w:iCs/>
          <w:sz w:val="20"/>
          <w:szCs w:val="20"/>
          <w:lang w:val="es-AR"/>
        </w:rPr>
      </w:pPr>
      <w:r w:rsidRPr="00996A7F">
        <w:rPr>
          <w:rFonts w:ascii="Cambria" w:hAnsi="Cambria"/>
          <w:i/>
          <w:iCs/>
          <w:sz w:val="20"/>
          <w:szCs w:val="20"/>
          <w:lang w:val="es-AR"/>
        </w:rPr>
        <w:t xml:space="preserve">Hechos ocurridos </w:t>
      </w:r>
      <w:r>
        <w:rPr>
          <w:rFonts w:ascii="Cambria" w:hAnsi="Cambria"/>
          <w:i/>
          <w:iCs/>
          <w:sz w:val="20"/>
          <w:szCs w:val="20"/>
          <w:lang w:val="es-AR"/>
        </w:rPr>
        <w:t xml:space="preserve">entre 1964 y 1982 y la </w:t>
      </w:r>
      <w:r w:rsidRPr="00996A7F">
        <w:rPr>
          <w:rFonts w:ascii="Cambria" w:hAnsi="Cambria"/>
          <w:i/>
          <w:iCs/>
          <w:sz w:val="20"/>
          <w:szCs w:val="20"/>
          <w:lang w:val="es-AR"/>
        </w:rPr>
        <w:t>Ley N.º 2640</w:t>
      </w:r>
    </w:p>
    <w:p w14:paraId="6FBC5DC9" w14:textId="4F1114C5" w:rsidR="00F366FF" w:rsidRPr="007B13B3" w:rsidRDefault="00B06B9A" w:rsidP="007B13B3">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La parte peticionaria e</w:t>
      </w:r>
      <w:r w:rsidR="00202EE8">
        <w:rPr>
          <w:rFonts w:ascii="Cambria" w:hAnsi="Cambria"/>
          <w:sz w:val="20"/>
          <w:szCs w:val="20"/>
          <w:lang w:val="es-AR"/>
        </w:rPr>
        <w:t xml:space="preserve">xplica que desde el 4 de noviembre de 1964 </w:t>
      </w:r>
      <w:r w:rsidR="00807E1B">
        <w:rPr>
          <w:rFonts w:ascii="Cambria" w:hAnsi="Cambria"/>
          <w:sz w:val="20"/>
          <w:szCs w:val="20"/>
          <w:lang w:val="es-AR"/>
        </w:rPr>
        <w:t xml:space="preserve">hasta el 10 de octubre de 1982 </w:t>
      </w:r>
      <w:r w:rsidR="00202EE8">
        <w:rPr>
          <w:rFonts w:ascii="Cambria" w:hAnsi="Cambria"/>
          <w:sz w:val="20"/>
          <w:szCs w:val="20"/>
          <w:lang w:val="es-AR"/>
        </w:rPr>
        <w:t>se sucedieron una serie de dictaduras y gobiernos de facto</w:t>
      </w:r>
      <w:r w:rsidR="00E675EE">
        <w:rPr>
          <w:rFonts w:ascii="Cambria" w:hAnsi="Cambria"/>
          <w:sz w:val="20"/>
          <w:szCs w:val="20"/>
          <w:lang w:val="es-AR"/>
        </w:rPr>
        <w:t xml:space="preserve"> en Bolivia, en los cuales </w:t>
      </w:r>
      <w:r w:rsidR="006500BD">
        <w:rPr>
          <w:rFonts w:ascii="Cambria" w:hAnsi="Cambria"/>
          <w:sz w:val="20"/>
          <w:szCs w:val="20"/>
          <w:lang w:val="es-AR"/>
        </w:rPr>
        <w:t xml:space="preserve">desde el Estado se perpetraron graves violaciones de derechos humanos, como desapariciones forzadas, </w:t>
      </w:r>
      <w:r w:rsidR="002362DF">
        <w:rPr>
          <w:rFonts w:ascii="Cambria" w:hAnsi="Cambria"/>
          <w:sz w:val="20"/>
          <w:szCs w:val="20"/>
          <w:lang w:val="es-AR"/>
        </w:rPr>
        <w:t>ejecuciones sumarias, torturas, entre otros.</w:t>
      </w:r>
      <w:r w:rsidR="00BC2671">
        <w:rPr>
          <w:rFonts w:ascii="Cambria" w:hAnsi="Cambria"/>
          <w:sz w:val="20"/>
          <w:szCs w:val="20"/>
          <w:lang w:val="es-AR"/>
        </w:rPr>
        <w:t xml:space="preserve"> Detalla que las víctimas de dicho periodo llegan a cerca de 10,000 personas</w:t>
      </w:r>
      <w:r w:rsidR="00C27369">
        <w:rPr>
          <w:rFonts w:ascii="Cambria" w:hAnsi="Cambria"/>
          <w:sz w:val="20"/>
          <w:szCs w:val="20"/>
          <w:lang w:val="es-AR"/>
        </w:rPr>
        <w:t>,</w:t>
      </w:r>
      <w:r w:rsidR="00BC2671">
        <w:rPr>
          <w:rFonts w:ascii="Cambria" w:hAnsi="Cambria"/>
          <w:sz w:val="20"/>
          <w:szCs w:val="20"/>
          <w:lang w:val="es-AR"/>
        </w:rPr>
        <w:t xml:space="preserve"> y que de este contingente, un gran número falleció sin que mínimamente se les haya brindado siquiera un reconocimiento moral. </w:t>
      </w:r>
      <w:r w:rsidR="001E2FEB">
        <w:rPr>
          <w:rFonts w:ascii="Cambria" w:hAnsi="Cambria"/>
          <w:sz w:val="20"/>
          <w:szCs w:val="20"/>
          <w:lang w:val="es-US"/>
        </w:rPr>
        <w:t>E</w:t>
      </w:r>
      <w:r w:rsidR="00910FCC" w:rsidRPr="007B13B3">
        <w:rPr>
          <w:rFonts w:ascii="Cambria" w:hAnsi="Cambria"/>
          <w:sz w:val="20"/>
          <w:szCs w:val="20"/>
          <w:lang w:val="es-US"/>
        </w:rPr>
        <w:t>n este contexto, las presuntas víctimas</w:t>
      </w:r>
      <w:r w:rsidR="00294A5A" w:rsidRPr="007B13B3">
        <w:rPr>
          <w:rFonts w:ascii="Cambria" w:hAnsi="Cambria"/>
          <w:sz w:val="20"/>
          <w:szCs w:val="20"/>
          <w:lang w:val="es-US"/>
        </w:rPr>
        <w:t xml:space="preserve"> fueron quienes sufrieron particulares daños, dada su condición de calidad de dirigentes sindicales, sociales, de comité de base y militantes de partidos </w:t>
      </w:r>
      <w:r w:rsidR="00A0325A" w:rsidRPr="007B13B3">
        <w:rPr>
          <w:rFonts w:ascii="Cambria" w:hAnsi="Cambria"/>
          <w:sz w:val="20"/>
          <w:szCs w:val="20"/>
          <w:lang w:val="es-US"/>
        </w:rPr>
        <w:t xml:space="preserve">políticos </w:t>
      </w:r>
      <w:r w:rsidR="00294A5A" w:rsidRPr="007B13B3">
        <w:rPr>
          <w:rFonts w:ascii="Cambria" w:hAnsi="Cambria"/>
          <w:sz w:val="20"/>
          <w:szCs w:val="20"/>
          <w:lang w:val="es-US"/>
        </w:rPr>
        <w:t>de izquierda</w:t>
      </w:r>
      <w:r w:rsidR="007B13B3" w:rsidRPr="007B13B3">
        <w:rPr>
          <w:rFonts w:ascii="Cambria" w:hAnsi="Cambria"/>
          <w:sz w:val="20"/>
          <w:szCs w:val="20"/>
          <w:lang w:val="es-US"/>
        </w:rPr>
        <w:t>.</w:t>
      </w:r>
    </w:p>
    <w:p w14:paraId="5D56F43C" w14:textId="2F4DCF39" w:rsidR="007B13B3" w:rsidRDefault="00EA4029" w:rsidP="007B13B3">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T</w:t>
      </w:r>
      <w:r w:rsidR="0024305A">
        <w:rPr>
          <w:rFonts w:ascii="Cambria" w:hAnsi="Cambria"/>
          <w:sz w:val="20"/>
          <w:szCs w:val="20"/>
          <w:lang w:val="es-AR"/>
        </w:rPr>
        <w:t xml:space="preserve">ras varios años sin brindar una reparación por estos hechos, </w:t>
      </w:r>
      <w:r w:rsidR="0037337D">
        <w:rPr>
          <w:rFonts w:ascii="Cambria" w:hAnsi="Cambria"/>
          <w:sz w:val="20"/>
          <w:szCs w:val="20"/>
          <w:lang w:val="es-AR"/>
        </w:rPr>
        <w:t xml:space="preserve">el 11 de marzo de 2004 </w:t>
      </w:r>
      <w:r w:rsidR="002F0EB5">
        <w:rPr>
          <w:rFonts w:ascii="Cambria" w:hAnsi="Cambria"/>
          <w:sz w:val="20"/>
          <w:szCs w:val="20"/>
          <w:lang w:val="es-AR"/>
        </w:rPr>
        <w:t>el Estado promulgó la Ley</w:t>
      </w:r>
      <w:r w:rsidR="00DE1CB3">
        <w:rPr>
          <w:rFonts w:ascii="Cambria" w:hAnsi="Cambria"/>
          <w:sz w:val="20"/>
          <w:szCs w:val="20"/>
          <w:lang w:val="es-AR"/>
        </w:rPr>
        <w:t xml:space="preserve"> N</w:t>
      </w:r>
      <w:r w:rsidR="00DE1CB3" w:rsidRPr="00DE1CB3">
        <w:rPr>
          <w:rFonts w:ascii="Cambria" w:hAnsi="Cambria"/>
          <w:sz w:val="20"/>
          <w:szCs w:val="20"/>
          <w:lang w:val="es-AR"/>
        </w:rPr>
        <w:t>.º</w:t>
      </w:r>
      <w:r w:rsidR="00DE1CB3">
        <w:rPr>
          <w:rFonts w:ascii="Cambria" w:hAnsi="Cambria"/>
          <w:sz w:val="20"/>
          <w:szCs w:val="20"/>
          <w:lang w:val="es-AR"/>
        </w:rPr>
        <w:t xml:space="preserve"> 2640</w:t>
      </w:r>
      <w:r w:rsidR="00CC314D">
        <w:rPr>
          <w:rFonts w:ascii="Cambria" w:hAnsi="Cambria"/>
          <w:sz w:val="20"/>
          <w:szCs w:val="20"/>
          <w:lang w:val="es-AR"/>
        </w:rPr>
        <w:t xml:space="preserve">, destinada a resarcir a quienes </w:t>
      </w:r>
      <w:r w:rsidR="00A0325A">
        <w:rPr>
          <w:rFonts w:ascii="Cambria" w:hAnsi="Cambria"/>
          <w:sz w:val="20"/>
          <w:szCs w:val="20"/>
          <w:lang w:val="es-AR"/>
        </w:rPr>
        <w:t xml:space="preserve">hubieran sufrido </w:t>
      </w:r>
      <w:r w:rsidR="00CC314D">
        <w:rPr>
          <w:rFonts w:ascii="Cambria" w:hAnsi="Cambria"/>
          <w:sz w:val="20"/>
          <w:szCs w:val="20"/>
          <w:lang w:val="es-AR"/>
        </w:rPr>
        <w:t>actos de violencia política</w:t>
      </w:r>
      <w:r w:rsidR="00A65755">
        <w:rPr>
          <w:rFonts w:ascii="Cambria" w:hAnsi="Cambria"/>
          <w:sz w:val="20"/>
          <w:szCs w:val="20"/>
          <w:lang w:val="es-AR"/>
        </w:rPr>
        <w:t xml:space="preserve"> entre 1964 y 1982</w:t>
      </w:r>
      <w:r w:rsidR="00071BC7">
        <w:rPr>
          <w:rStyle w:val="FootnoteReference"/>
          <w:rFonts w:ascii="Cambria" w:hAnsi="Cambria"/>
          <w:sz w:val="20"/>
          <w:szCs w:val="20"/>
          <w:lang w:val="es-AR"/>
        </w:rPr>
        <w:footnoteReference w:id="6"/>
      </w:r>
      <w:r w:rsidR="00A65755">
        <w:rPr>
          <w:rFonts w:ascii="Cambria" w:hAnsi="Cambria"/>
          <w:sz w:val="20"/>
          <w:szCs w:val="20"/>
          <w:lang w:val="es-AR"/>
        </w:rPr>
        <w:t>.</w:t>
      </w:r>
      <w:r w:rsidR="00060671">
        <w:rPr>
          <w:rFonts w:ascii="Cambria" w:hAnsi="Cambria"/>
          <w:sz w:val="20"/>
          <w:szCs w:val="20"/>
          <w:lang w:val="es-AR"/>
        </w:rPr>
        <w:t xml:space="preserve"> Para lograr tal objetivo, </w:t>
      </w:r>
      <w:r w:rsidR="005D27B7">
        <w:rPr>
          <w:rFonts w:ascii="Cambria" w:hAnsi="Cambria"/>
          <w:sz w:val="20"/>
          <w:szCs w:val="20"/>
          <w:lang w:val="es-AR"/>
        </w:rPr>
        <w:t>esta norma</w:t>
      </w:r>
      <w:r w:rsidR="00060671">
        <w:rPr>
          <w:rFonts w:ascii="Cambria" w:hAnsi="Cambria"/>
          <w:sz w:val="20"/>
          <w:szCs w:val="20"/>
          <w:lang w:val="es-AR"/>
        </w:rPr>
        <w:t xml:space="preserve"> establece un procedimiento </w:t>
      </w:r>
      <w:r w:rsidR="000D0136">
        <w:rPr>
          <w:rFonts w:ascii="Cambria" w:hAnsi="Cambria"/>
          <w:sz w:val="20"/>
          <w:szCs w:val="20"/>
          <w:lang w:val="es-AR"/>
        </w:rPr>
        <w:t>administrativo</w:t>
      </w:r>
      <w:r w:rsidR="005D27B7">
        <w:rPr>
          <w:rFonts w:ascii="Cambria" w:hAnsi="Cambria"/>
          <w:sz w:val="20"/>
          <w:szCs w:val="20"/>
          <w:lang w:val="es-AR"/>
        </w:rPr>
        <w:t xml:space="preserve"> que</w:t>
      </w:r>
      <w:r w:rsidR="00FD5817">
        <w:rPr>
          <w:rFonts w:ascii="Cambria" w:hAnsi="Cambria"/>
          <w:sz w:val="20"/>
          <w:szCs w:val="20"/>
          <w:lang w:val="es-AR"/>
        </w:rPr>
        <w:t xml:space="preserve"> permite que las víctimas puedan conseguir una reparación </w:t>
      </w:r>
      <w:r w:rsidR="00BE7C8C">
        <w:rPr>
          <w:rFonts w:ascii="Cambria" w:hAnsi="Cambria"/>
          <w:sz w:val="20"/>
          <w:szCs w:val="20"/>
          <w:lang w:val="es-AR"/>
        </w:rPr>
        <w:t xml:space="preserve">si demuestran que </w:t>
      </w:r>
      <w:r w:rsidR="00FD5817">
        <w:rPr>
          <w:rFonts w:ascii="Cambria" w:hAnsi="Cambria"/>
          <w:sz w:val="20"/>
          <w:szCs w:val="20"/>
          <w:lang w:val="es-AR"/>
        </w:rPr>
        <w:t>sufrieron</w:t>
      </w:r>
      <w:r w:rsidR="005F002B">
        <w:rPr>
          <w:rFonts w:ascii="Cambria" w:hAnsi="Cambria"/>
          <w:sz w:val="20"/>
          <w:szCs w:val="20"/>
          <w:lang w:val="es-AR"/>
        </w:rPr>
        <w:t xml:space="preserve"> alguno de los siguientes cr</w:t>
      </w:r>
      <w:r w:rsidR="00413738">
        <w:rPr>
          <w:rFonts w:ascii="Cambria" w:hAnsi="Cambria"/>
          <w:sz w:val="20"/>
          <w:szCs w:val="20"/>
          <w:lang w:val="es-AR"/>
        </w:rPr>
        <w:t>ímenes:</w:t>
      </w:r>
      <w:r w:rsidR="00FD5817">
        <w:rPr>
          <w:rFonts w:ascii="Cambria" w:hAnsi="Cambria"/>
          <w:sz w:val="20"/>
          <w:szCs w:val="20"/>
          <w:lang w:val="es-AR"/>
        </w:rPr>
        <w:t xml:space="preserve"> a) detención y prisión arbitraria; b) tortura; c) exilio o destierro; d) lesiones e incapacidad calificadas; e) muerte en el </w:t>
      </w:r>
      <w:r w:rsidR="00996A7F">
        <w:rPr>
          <w:rFonts w:ascii="Cambria" w:hAnsi="Cambria"/>
          <w:sz w:val="20"/>
          <w:szCs w:val="20"/>
          <w:lang w:val="es-AR"/>
        </w:rPr>
        <w:t>país en</w:t>
      </w:r>
      <w:r w:rsidR="00FD5817">
        <w:rPr>
          <w:rFonts w:ascii="Cambria" w:hAnsi="Cambria"/>
          <w:sz w:val="20"/>
          <w:szCs w:val="20"/>
          <w:lang w:val="es-AR"/>
        </w:rPr>
        <w:t xml:space="preserve"> el exterior por razones de violencia política; f) desaparición forzada; y g) p</w:t>
      </w:r>
      <w:r w:rsidR="00BE7C8C">
        <w:rPr>
          <w:rFonts w:ascii="Cambria" w:hAnsi="Cambria"/>
          <w:sz w:val="20"/>
          <w:szCs w:val="20"/>
          <w:lang w:val="es-AR"/>
        </w:rPr>
        <w:t xml:space="preserve">erseguido por razones </w:t>
      </w:r>
      <w:r w:rsidR="00996A7F">
        <w:rPr>
          <w:rFonts w:ascii="Cambria" w:hAnsi="Cambria"/>
          <w:sz w:val="20"/>
          <w:szCs w:val="20"/>
          <w:lang w:val="es-AR"/>
        </w:rPr>
        <w:t>político-sindicales</w:t>
      </w:r>
      <w:r w:rsidR="00EE7A8F">
        <w:rPr>
          <w:rStyle w:val="FootnoteReference"/>
          <w:rFonts w:ascii="Cambria" w:hAnsi="Cambria"/>
          <w:sz w:val="20"/>
          <w:szCs w:val="20"/>
          <w:lang w:val="es-AR"/>
        </w:rPr>
        <w:footnoteReference w:id="7"/>
      </w:r>
      <w:r w:rsidR="00BE7C8C">
        <w:rPr>
          <w:rFonts w:ascii="Cambria" w:hAnsi="Cambria"/>
          <w:sz w:val="20"/>
          <w:szCs w:val="20"/>
          <w:lang w:val="es-AR"/>
        </w:rPr>
        <w:t xml:space="preserve">. </w:t>
      </w:r>
    </w:p>
    <w:p w14:paraId="50AD1B0C" w14:textId="5FEA3510" w:rsidR="00996A7F" w:rsidRPr="00996A7F" w:rsidRDefault="00996A7F" w:rsidP="00996A7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jc w:val="both"/>
        <w:rPr>
          <w:rFonts w:ascii="Cambria" w:hAnsi="Cambria"/>
          <w:i/>
          <w:iCs/>
          <w:sz w:val="20"/>
          <w:szCs w:val="20"/>
          <w:lang w:val="es-AR"/>
        </w:rPr>
      </w:pPr>
      <w:r w:rsidRPr="00996A7F">
        <w:rPr>
          <w:rFonts w:ascii="Cambria" w:hAnsi="Cambria"/>
          <w:i/>
          <w:iCs/>
          <w:sz w:val="20"/>
          <w:szCs w:val="20"/>
          <w:lang w:val="es-AR"/>
        </w:rPr>
        <w:t>Problemas con el cumplimiento de la Ley N.º 2640</w:t>
      </w:r>
    </w:p>
    <w:p w14:paraId="06AA9AE0" w14:textId="629CBCEC" w:rsidR="00663B5C" w:rsidRPr="00055B52" w:rsidRDefault="00413738" w:rsidP="00055B52">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A pesar de la promulgación del citado marco normativo</w:t>
      </w:r>
      <w:r w:rsidR="00663B5C">
        <w:rPr>
          <w:rFonts w:ascii="Cambria" w:hAnsi="Cambria"/>
          <w:sz w:val="20"/>
          <w:szCs w:val="20"/>
          <w:lang w:val="es-AR"/>
        </w:rPr>
        <w:t>,</w:t>
      </w:r>
      <w:r>
        <w:rPr>
          <w:rFonts w:ascii="Cambria" w:hAnsi="Cambria"/>
          <w:sz w:val="20"/>
          <w:szCs w:val="20"/>
          <w:lang w:val="es-AR"/>
        </w:rPr>
        <w:t xml:space="preserve"> la parte peticionaria</w:t>
      </w:r>
      <w:r w:rsidR="00663B5C">
        <w:rPr>
          <w:rFonts w:ascii="Cambria" w:hAnsi="Cambria"/>
          <w:sz w:val="20"/>
          <w:szCs w:val="20"/>
          <w:lang w:val="es-AR"/>
        </w:rPr>
        <w:t xml:space="preserve"> denuncia que existió una falta de voluntad política de par</w:t>
      </w:r>
      <w:r w:rsidR="00D72E75">
        <w:rPr>
          <w:rFonts w:ascii="Cambria" w:hAnsi="Cambria"/>
          <w:sz w:val="20"/>
          <w:szCs w:val="20"/>
          <w:lang w:val="es-AR"/>
        </w:rPr>
        <w:t xml:space="preserve">te de quienes tenían la obligación de cumplir y aplicar lo dispuesto en </w:t>
      </w:r>
      <w:r>
        <w:rPr>
          <w:rFonts w:ascii="Cambria" w:hAnsi="Cambria"/>
          <w:sz w:val="20"/>
          <w:szCs w:val="20"/>
          <w:lang w:val="es-AR"/>
        </w:rPr>
        <w:t>la ley</w:t>
      </w:r>
      <w:r w:rsidR="00D72E75">
        <w:rPr>
          <w:rFonts w:ascii="Cambria" w:hAnsi="Cambria"/>
          <w:sz w:val="20"/>
          <w:szCs w:val="20"/>
          <w:lang w:val="es-AR"/>
        </w:rPr>
        <w:t xml:space="preserve">, pues actuaron con dilaciones y obstáculos. </w:t>
      </w:r>
      <w:r w:rsidR="004B383F">
        <w:rPr>
          <w:rFonts w:ascii="Cambria" w:hAnsi="Cambria"/>
          <w:sz w:val="20"/>
          <w:szCs w:val="20"/>
          <w:lang w:val="es-AR"/>
        </w:rPr>
        <w:t>Al respecto, resalta que a pesar de que el artículo 6 de la Ley N</w:t>
      </w:r>
      <w:r w:rsidR="004B383F" w:rsidRPr="00DE1CB3">
        <w:rPr>
          <w:rFonts w:ascii="Cambria" w:hAnsi="Cambria"/>
          <w:sz w:val="20"/>
          <w:szCs w:val="20"/>
          <w:lang w:val="es-AR"/>
        </w:rPr>
        <w:t>.º</w:t>
      </w:r>
      <w:r w:rsidR="004B383F">
        <w:rPr>
          <w:rFonts w:ascii="Cambria" w:hAnsi="Cambria"/>
          <w:sz w:val="20"/>
          <w:szCs w:val="20"/>
          <w:lang w:val="es-AR"/>
        </w:rPr>
        <w:t xml:space="preserve"> 2640 dispone</w:t>
      </w:r>
      <w:r w:rsidR="00722C72">
        <w:rPr>
          <w:rFonts w:ascii="Cambria" w:hAnsi="Cambria"/>
          <w:sz w:val="20"/>
          <w:szCs w:val="20"/>
          <w:lang w:val="es-AR"/>
        </w:rPr>
        <w:t xml:space="preserve"> que se otorgue a las víctimas atención médica gratuita y medicamentos, tal disposición nunca se cumplió, dado que ni siquiera hay una norma específica que disponga el cumplimiento de dicha </w:t>
      </w:r>
      <w:r w:rsidR="00E918B2">
        <w:rPr>
          <w:rFonts w:ascii="Cambria" w:hAnsi="Cambria"/>
          <w:sz w:val="20"/>
          <w:szCs w:val="20"/>
          <w:lang w:val="es-AR"/>
        </w:rPr>
        <w:t>disposición</w:t>
      </w:r>
      <w:r>
        <w:rPr>
          <w:rStyle w:val="FootnoteReference"/>
          <w:rFonts w:ascii="Cambria" w:hAnsi="Cambria"/>
          <w:sz w:val="20"/>
          <w:szCs w:val="20"/>
          <w:lang w:val="es-AR"/>
        </w:rPr>
        <w:footnoteReference w:id="8"/>
      </w:r>
      <w:r w:rsidR="00722C72">
        <w:rPr>
          <w:rFonts w:ascii="Cambria" w:hAnsi="Cambria"/>
          <w:sz w:val="20"/>
          <w:szCs w:val="20"/>
          <w:lang w:val="es-AR"/>
        </w:rPr>
        <w:t xml:space="preserve">. Asimismo, </w:t>
      </w:r>
      <w:r w:rsidR="00513AEC">
        <w:rPr>
          <w:rFonts w:ascii="Cambria" w:hAnsi="Cambria"/>
          <w:sz w:val="20"/>
          <w:szCs w:val="20"/>
          <w:lang w:val="es-AR"/>
        </w:rPr>
        <w:t xml:space="preserve">destaca que </w:t>
      </w:r>
      <w:r w:rsidR="00865CD3">
        <w:rPr>
          <w:rFonts w:ascii="Cambria" w:hAnsi="Cambria"/>
          <w:sz w:val="20"/>
          <w:szCs w:val="20"/>
          <w:lang w:val="es-AR"/>
        </w:rPr>
        <w:t>a pesar de que</w:t>
      </w:r>
      <w:r w:rsidR="00513AEC">
        <w:rPr>
          <w:rFonts w:ascii="Cambria" w:hAnsi="Cambria"/>
          <w:sz w:val="20"/>
          <w:szCs w:val="20"/>
          <w:lang w:val="es-AR"/>
        </w:rPr>
        <w:t xml:space="preserve"> el artículo 16</w:t>
      </w:r>
      <w:r w:rsidR="00136FBF">
        <w:rPr>
          <w:rFonts w:ascii="Cambria" w:hAnsi="Cambria"/>
          <w:sz w:val="20"/>
          <w:szCs w:val="20"/>
          <w:lang w:val="es-AR"/>
        </w:rPr>
        <w:t xml:space="preserve"> </w:t>
      </w:r>
      <w:r w:rsidR="00FD5E32">
        <w:rPr>
          <w:rFonts w:ascii="Cambria" w:hAnsi="Cambria"/>
          <w:sz w:val="20"/>
          <w:szCs w:val="20"/>
          <w:lang w:val="es-AR"/>
        </w:rPr>
        <w:t xml:space="preserve">de </w:t>
      </w:r>
      <w:r w:rsidR="00136FBF">
        <w:rPr>
          <w:rFonts w:ascii="Cambria" w:hAnsi="Cambria"/>
          <w:sz w:val="20"/>
          <w:szCs w:val="20"/>
          <w:lang w:val="es-AR"/>
        </w:rPr>
        <w:t>la referida ley</w:t>
      </w:r>
      <w:r w:rsidR="00513AEC">
        <w:rPr>
          <w:rFonts w:ascii="Cambria" w:hAnsi="Cambria"/>
          <w:sz w:val="20"/>
          <w:szCs w:val="20"/>
          <w:lang w:val="es-AR"/>
        </w:rPr>
        <w:t xml:space="preserve"> </w:t>
      </w:r>
      <w:r w:rsidR="00FD5E32">
        <w:rPr>
          <w:rFonts w:ascii="Cambria" w:hAnsi="Cambria"/>
          <w:sz w:val="20"/>
          <w:szCs w:val="20"/>
          <w:lang w:val="es-AR"/>
        </w:rPr>
        <w:t>señala</w:t>
      </w:r>
      <w:r w:rsidR="00513AEC">
        <w:rPr>
          <w:rFonts w:ascii="Cambria" w:hAnsi="Cambria"/>
          <w:sz w:val="20"/>
          <w:szCs w:val="20"/>
          <w:lang w:val="es-AR"/>
        </w:rPr>
        <w:t xml:space="preserve"> que el Estado</w:t>
      </w:r>
      <w:r w:rsidR="00475EB3">
        <w:rPr>
          <w:rFonts w:ascii="Cambria" w:hAnsi="Cambria"/>
          <w:sz w:val="20"/>
          <w:szCs w:val="20"/>
          <w:lang w:val="es-AR"/>
        </w:rPr>
        <w:t xml:space="preserve"> </w:t>
      </w:r>
      <w:r w:rsidR="00F357E1">
        <w:rPr>
          <w:rFonts w:ascii="Cambria" w:hAnsi="Cambria"/>
          <w:sz w:val="20"/>
          <w:szCs w:val="20"/>
          <w:lang w:val="es-AR"/>
        </w:rPr>
        <w:t>dispondrá un 20% del Tesoro de la Nacional para cumplir con los montos de resarcimiento que corresponden a las víctimas</w:t>
      </w:r>
      <w:r w:rsidR="008646F3">
        <w:rPr>
          <w:rFonts w:ascii="Cambria" w:hAnsi="Cambria"/>
          <w:sz w:val="20"/>
          <w:szCs w:val="20"/>
          <w:lang w:val="es-AR"/>
        </w:rPr>
        <w:t>,</w:t>
      </w:r>
      <w:r w:rsidR="00F357E1">
        <w:rPr>
          <w:rFonts w:ascii="Cambria" w:hAnsi="Cambria"/>
          <w:sz w:val="20"/>
          <w:szCs w:val="20"/>
          <w:lang w:val="es-AR"/>
        </w:rPr>
        <w:t xml:space="preserve"> y</w:t>
      </w:r>
      <w:r w:rsidR="008646F3">
        <w:rPr>
          <w:rFonts w:ascii="Cambria" w:hAnsi="Cambria"/>
          <w:sz w:val="20"/>
          <w:szCs w:val="20"/>
          <w:lang w:val="es-AR"/>
        </w:rPr>
        <w:t xml:space="preserve"> que</w:t>
      </w:r>
      <w:r w:rsidR="00F357E1">
        <w:rPr>
          <w:rFonts w:ascii="Cambria" w:hAnsi="Cambria"/>
          <w:sz w:val="20"/>
          <w:szCs w:val="20"/>
          <w:lang w:val="es-AR"/>
        </w:rPr>
        <w:t xml:space="preserve"> posteriormente </w:t>
      </w:r>
      <w:r w:rsidR="00055B52">
        <w:rPr>
          <w:rFonts w:ascii="Cambria" w:hAnsi="Cambria"/>
          <w:sz w:val="20"/>
          <w:szCs w:val="20"/>
          <w:lang w:val="es-AR"/>
        </w:rPr>
        <w:t xml:space="preserve">gestionará </w:t>
      </w:r>
      <w:r w:rsidR="00055B52" w:rsidRPr="00055B52">
        <w:rPr>
          <w:rFonts w:ascii="Cambria" w:hAnsi="Cambria"/>
          <w:sz w:val="20"/>
          <w:szCs w:val="20"/>
          <w:lang w:val="es-US"/>
        </w:rPr>
        <w:t xml:space="preserve">donaciones del sector privado hasta cubrir el 80% </w:t>
      </w:r>
      <w:r w:rsidR="00055B52">
        <w:rPr>
          <w:rFonts w:ascii="Cambria" w:hAnsi="Cambria"/>
          <w:sz w:val="20"/>
          <w:szCs w:val="20"/>
          <w:lang w:val="es-US"/>
        </w:rPr>
        <w:t xml:space="preserve">restante de la reparación, </w:t>
      </w:r>
      <w:r w:rsidR="00055B52">
        <w:rPr>
          <w:rFonts w:ascii="Cambria" w:hAnsi="Cambria"/>
          <w:sz w:val="20"/>
          <w:szCs w:val="20"/>
          <w:lang w:val="es-AR"/>
        </w:rPr>
        <w:t xml:space="preserve">el gobierno hasta la fecha no </w:t>
      </w:r>
      <w:r w:rsidR="00136FBF">
        <w:rPr>
          <w:rFonts w:ascii="Cambria" w:hAnsi="Cambria"/>
          <w:sz w:val="20"/>
          <w:szCs w:val="20"/>
          <w:lang w:val="es-AR"/>
        </w:rPr>
        <w:t xml:space="preserve">ha </w:t>
      </w:r>
      <w:r w:rsidR="00055B52">
        <w:rPr>
          <w:rFonts w:ascii="Cambria" w:hAnsi="Cambria"/>
          <w:sz w:val="20"/>
          <w:szCs w:val="20"/>
          <w:lang w:val="es-AR"/>
        </w:rPr>
        <w:t>cumpli</w:t>
      </w:r>
      <w:r w:rsidR="00136FBF">
        <w:rPr>
          <w:rFonts w:ascii="Cambria" w:hAnsi="Cambria"/>
          <w:sz w:val="20"/>
          <w:szCs w:val="20"/>
          <w:lang w:val="es-AR"/>
        </w:rPr>
        <w:t xml:space="preserve">do </w:t>
      </w:r>
      <w:r w:rsidR="005B30EF" w:rsidRPr="00055B52">
        <w:rPr>
          <w:rFonts w:ascii="Cambria" w:hAnsi="Cambria"/>
          <w:sz w:val="20"/>
          <w:szCs w:val="20"/>
          <w:lang w:val="es-AR"/>
        </w:rPr>
        <w:t>con tramitar tales desembol</w:t>
      </w:r>
      <w:r w:rsidR="00D33074" w:rsidRPr="00055B52">
        <w:rPr>
          <w:rFonts w:ascii="Cambria" w:hAnsi="Cambria"/>
          <w:sz w:val="20"/>
          <w:szCs w:val="20"/>
          <w:lang w:val="es-AR"/>
        </w:rPr>
        <w:t xml:space="preserve">sos, provocando que </w:t>
      </w:r>
      <w:r w:rsidR="00055B52">
        <w:rPr>
          <w:rFonts w:ascii="Cambria" w:hAnsi="Cambria"/>
          <w:sz w:val="20"/>
          <w:szCs w:val="20"/>
          <w:lang w:val="es-AR"/>
        </w:rPr>
        <w:t xml:space="preserve">aún </w:t>
      </w:r>
      <w:r w:rsidR="00D33074" w:rsidRPr="00055B52">
        <w:rPr>
          <w:rFonts w:ascii="Cambria" w:hAnsi="Cambria"/>
          <w:sz w:val="20"/>
          <w:szCs w:val="20"/>
          <w:lang w:val="es-AR"/>
        </w:rPr>
        <w:t>no</w:t>
      </w:r>
      <w:r w:rsidR="00055B52">
        <w:rPr>
          <w:rFonts w:ascii="Cambria" w:hAnsi="Cambria"/>
          <w:sz w:val="20"/>
          <w:szCs w:val="20"/>
          <w:lang w:val="es-AR"/>
        </w:rPr>
        <w:t xml:space="preserve"> se</w:t>
      </w:r>
      <w:r w:rsidR="00D33074" w:rsidRPr="00055B52">
        <w:rPr>
          <w:rFonts w:ascii="Cambria" w:hAnsi="Cambria"/>
          <w:sz w:val="20"/>
          <w:szCs w:val="20"/>
          <w:lang w:val="es-AR"/>
        </w:rPr>
        <w:t xml:space="preserve"> repare a nadie en su totalidad</w:t>
      </w:r>
      <w:r w:rsidR="00136FBF">
        <w:rPr>
          <w:rStyle w:val="FootnoteReference"/>
          <w:rFonts w:ascii="Cambria" w:hAnsi="Cambria"/>
          <w:sz w:val="20"/>
          <w:szCs w:val="20"/>
          <w:lang w:val="es-AR"/>
        </w:rPr>
        <w:footnoteReference w:id="9"/>
      </w:r>
      <w:r w:rsidR="00D33074" w:rsidRPr="00055B52">
        <w:rPr>
          <w:rFonts w:ascii="Cambria" w:hAnsi="Cambria"/>
          <w:sz w:val="20"/>
          <w:szCs w:val="20"/>
          <w:lang w:val="es-AR"/>
        </w:rPr>
        <w:t xml:space="preserve">. </w:t>
      </w:r>
    </w:p>
    <w:p w14:paraId="2BD5FEED" w14:textId="0A23E98A" w:rsidR="00A6435D" w:rsidRDefault="00F31708" w:rsidP="007B13B3">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lastRenderedPageBreak/>
        <w:t>Adicionalmente, a</w:t>
      </w:r>
      <w:r w:rsidR="00593F23">
        <w:rPr>
          <w:rFonts w:ascii="Cambria" w:hAnsi="Cambria"/>
          <w:sz w:val="20"/>
          <w:szCs w:val="20"/>
          <w:lang w:val="es-AR"/>
        </w:rPr>
        <w:t xml:space="preserve">grega que el gobierno promulgó una serie de normas legales que dificultaron el acceso de las presuntas víctimas a obtener una reparación. En particular, sostiene que </w:t>
      </w:r>
      <w:r>
        <w:rPr>
          <w:rFonts w:ascii="Cambria" w:hAnsi="Cambria"/>
          <w:sz w:val="20"/>
          <w:szCs w:val="20"/>
          <w:lang w:val="es-AR"/>
        </w:rPr>
        <w:t xml:space="preserve">el </w:t>
      </w:r>
      <w:r w:rsidR="00593F23">
        <w:rPr>
          <w:rFonts w:ascii="Cambria" w:hAnsi="Cambria"/>
          <w:sz w:val="20"/>
          <w:szCs w:val="20"/>
          <w:lang w:val="es-AR"/>
        </w:rPr>
        <w:t>22 de febrero de 2005 se promulgó el Decreto Supremo N</w:t>
      </w:r>
      <w:r w:rsidR="00593F23" w:rsidRPr="00DE1CB3">
        <w:rPr>
          <w:rFonts w:ascii="Cambria" w:hAnsi="Cambria"/>
          <w:sz w:val="20"/>
          <w:szCs w:val="20"/>
          <w:lang w:val="es-AR"/>
        </w:rPr>
        <w:t>.º</w:t>
      </w:r>
      <w:r w:rsidR="00593F23">
        <w:rPr>
          <w:rFonts w:ascii="Cambria" w:hAnsi="Cambria"/>
          <w:sz w:val="20"/>
          <w:szCs w:val="20"/>
          <w:lang w:val="es-AR"/>
        </w:rPr>
        <w:t xml:space="preserve"> 28015</w:t>
      </w:r>
      <w:r w:rsidR="00990749">
        <w:rPr>
          <w:rFonts w:ascii="Cambria" w:hAnsi="Cambria"/>
          <w:sz w:val="20"/>
          <w:szCs w:val="20"/>
          <w:lang w:val="es-AR"/>
        </w:rPr>
        <w:t>, el cual creó requisitos y problemas que fueron utilizados para incumplir el mandato de la Ley N</w:t>
      </w:r>
      <w:r w:rsidR="00990749" w:rsidRPr="00DE1CB3">
        <w:rPr>
          <w:rFonts w:ascii="Cambria" w:hAnsi="Cambria"/>
          <w:sz w:val="20"/>
          <w:szCs w:val="20"/>
          <w:lang w:val="es-AR"/>
        </w:rPr>
        <w:t>.º</w:t>
      </w:r>
      <w:r w:rsidR="00990749">
        <w:rPr>
          <w:rFonts w:ascii="Cambria" w:hAnsi="Cambria"/>
          <w:sz w:val="20"/>
          <w:szCs w:val="20"/>
          <w:lang w:val="es-AR"/>
        </w:rPr>
        <w:t xml:space="preserve"> 2640, a pesar de que su </w:t>
      </w:r>
      <w:r w:rsidR="008F16E8">
        <w:rPr>
          <w:rFonts w:ascii="Cambria" w:hAnsi="Cambria"/>
          <w:sz w:val="20"/>
          <w:szCs w:val="20"/>
          <w:lang w:val="es-AR"/>
        </w:rPr>
        <w:t>función</w:t>
      </w:r>
      <w:r w:rsidR="00990749">
        <w:rPr>
          <w:rFonts w:ascii="Cambria" w:hAnsi="Cambria"/>
          <w:sz w:val="20"/>
          <w:szCs w:val="20"/>
          <w:lang w:val="es-AR"/>
        </w:rPr>
        <w:t xml:space="preserve"> </w:t>
      </w:r>
      <w:r w:rsidR="008F16E8">
        <w:rPr>
          <w:rFonts w:ascii="Cambria" w:hAnsi="Cambria"/>
          <w:sz w:val="20"/>
          <w:szCs w:val="20"/>
          <w:lang w:val="es-AR"/>
        </w:rPr>
        <w:t xml:space="preserve">solo </w:t>
      </w:r>
      <w:r w:rsidR="00990749">
        <w:rPr>
          <w:rFonts w:ascii="Cambria" w:hAnsi="Cambria"/>
          <w:sz w:val="20"/>
          <w:szCs w:val="20"/>
          <w:lang w:val="es-AR"/>
        </w:rPr>
        <w:t xml:space="preserve">era </w:t>
      </w:r>
      <w:r w:rsidR="008F16E8">
        <w:rPr>
          <w:rFonts w:ascii="Cambria" w:hAnsi="Cambria"/>
          <w:sz w:val="20"/>
          <w:szCs w:val="20"/>
          <w:lang w:val="es-AR"/>
        </w:rPr>
        <w:t xml:space="preserve">reglamentarla. Así, afirma que el artículo 2 de dicho decreto </w:t>
      </w:r>
      <w:r w:rsidR="00522492">
        <w:rPr>
          <w:rFonts w:ascii="Cambria" w:hAnsi="Cambria"/>
          <w:sz w:val="20"/>
          <w:szCs w:val="20"/>
          <w:lang w:val="es-AR"/>
        </w:rPr>
        <w:t>dispone</w:t>
      </w:r>
      <w:r w:rsidR="008F16E8">
        <w:rPr>
          <w:rFonts w:ascii="Cambria" w:hAnsi="Cambria"/>
          <w:sz w:val="20"/>
          <w:szCs w:val="20"/>
          <w:lang w:val="es-AR"/>
        </w:rPr>
        <w:t xml:space="preserve"> que </w:t>
      </w:r>
      <w:r w:rsidR="00BB6D25">
        <w:rPr>
          <w:rFonts w:ascii="Cambria" w:hAnsi="Cambria"/>
          <w:sz w:val="20"/>
          <w:szCs w:val="20"/>
          <w:lang w:val="es-AR"/>
        </w:rPr>
        <w:t xml:space="preserve">las víctimas directas deben acreditar documentación fehaciente que demuestre </w:t>
      </w:r>
      <w:r w:rsidR="003C432E">
        <w:rPr>
          <w:rFonts w:ascii="Cambria" w:hAnsi="Cambria"/>
          <w:sz w:val="20"/>
          <w:szCs w:val="20"/>
          <w:lang w:val="es-AR"/>
        </w:rPr>
        <w:t>que sufrieron</w:t>
      </w:r>
      <w:r w:rsidR="00BB6D25">
        <w:rPr>
          <w:rFonts w:ascii="Cambria" w:hAnsi="Cambria"/>
          <w:sz w:val="20"/>
          <w:szCs w:val="20"/>
          <w:lang w:val="es-AR"/>
        </w:rPr>
        <w:t xml:space="preserve"> persecución, violencia o daño político</w:t>
      </w:r>
      <w:r w:rsidR="005E2AAE">
        <w:rPr>
          <w:rStyle w:val="FootnoteReference"/>
          <w:rFonts w:ascii="Cambria" w:hAnsi="Cambria"/>
          <w:sz w:val="20"/>
          <w:szCs w:val="20"/>
          <w:lang w:val="es-AR"/>
        </w:rPr>
        <w:footnoteReference w:id="10"/>
      </w:r>
      <w:r w:rsidR="002327D8">
        <w:rPr>
          <w:rFonts w:ascii="Cambria" w:hAnsi="Cambria"/>
          <w:sz w:val="20"/>
          <w:szCs w:val="20"/>
          <w:lang w:val="es-AR"/>
        </w:rPr>
        <w:t>. A juicio de la parte peticionaria, esta disposició</w:t>
      </w:r>
      <w:r w:rsidR="00796B30">
        <w:rPr>
          <w:rFonts w:ascii="Cambria" w:hAnsi="Cambria"/>
          <w:sz w:val="20"/>
          <w:szCs w:val="20"/>
          <w:lang w:val="es-AR"/>
        </w:rPr>
        <w:t xml:space="preserve">n es imposible de cumplir y contraviene el Derecho Internacional de los Derechos Humanos, </w:t>
      </w:r>
      <w:r w:rsidR="001B747C">
        <w:rPr>
          <w:rFonts w:ascii="Cambria" w:hAnsi="Cambria"/>
          <w:sz w:val="20"/>
          <w:szCs w:val="20"/>
          <w:lang w:val="es-AR"/>
        </w:rPr>
        <w:t xml:space="preserve">dado que no define qué medios de prueba se tienen que aportar para acreditar haber sido víctima de persecución. </w:t>
      </w:r>
      <w:r w:rsidR="00121E4B">
        <w:rPr>
          <w:rFonts w:ascii="Cambria" w:hAnsi="Cambria"/>
          <w:sz w:val="20"/>
          <w:szCs w:val="20"/>
          <w:lang w:val="es-AR"/>
        </w:rPr>
        <w:t xml:space="preserve">En ese sentido, añade que el inciso IV del artículo 4 del decreto </w:t>
      </w:r>
      <w:r w:rsidR="00261FB9">
        <w:rPr>
          <w:rFonts w:ascii="Cambria" w:hAnsi="Cambria"/>
          <w:sz w:val="20"/>
          <w:szCs w:val="20"/>
          <w:lang w:val="es-AR"/>
        </w:rPr>
        <w:t xml:space="preserve">trasgrede el ordenamiento legal, al colocar la carga de probar las violaciones sufridas en la víctima y no en el Estado, dado que este último tiene toda la información sobre </w:t>
      </w:r>
      <w:r w:rsidR="00D923FD">
        <w:rPr>
          <w:rFonts w:ascii="Cambria" w:hAnsi="Cambria"/>
          <w:sz w:val="20"/>
          <w:szCs w:val="20"/>
          <w:lang w:val="es-AR"/>
        </w:rPr>
        <w:t>la política, seguridad interna y actividades realizadas por sus instituciones u organismos de seguridad interna, política o justicia</w:t>
      </w:r>
      <w:r w:rsidR="00605C0B">
        <w:rPr>
          <w:rStyle w:val="FootnoteReference"/>
          <w:rFonts w:ascii="Cambria" w:hAnsi="Cambria"/>
          <w:sz w:val="20"/>
          <w:szCs w:val="20"/>
          <w:lang w:val="es-AR"/>
        </w:rPr>
        <w:footnoteReference w:id="11"/>
      </w:r>
      <w:r w:rsidR="00D923FD">
        <w:rPr>
          <w:rFonts w:ascii="Cambria" w:hAnsi="Cambria"/>
          <w:sz w:val="20"/>
          <w:szCs w:val="20"/>
          <w:lang w:val="es-AR"/>
        </w:rPr>
        <w:t xml:space="preserve">. </w:t>
      </w:r>
    </w:p>
    <w:p w14:paraId="2290C0BC" w14:textId="0F69B304" w:rsidR="00865CD3" w:rsidRDefault="00231741" w:rsidP="007B13B3">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Los peticionarios alegan</w:t>
      </w:r>
      <w:r w:rsidR="00A6435D">
        <w:rPr>
          <w:rFonts w:ascii="Cambria" w:hAnsi="Cambria"/>
          <w:sz w:val="20"/>
          <w:szCs w:val="20"/>
          <w:lang w:val="es-AR"/>
        </w:rPr>
        <w:t xml:space="preserve"> que producto de esta regulación</w:t>
      </w:r>
      <w:r w:rsidR="00E1523B">
        <w:rPr>
          <w:rFonts w:ascii="Cambria" w:hAnsi="Cambria"/>
          <w:sz w:val="20"/>
          <w:szCs w:val="20"/>
          <w:lang w:val="es-AR"/>
        </w:rPr>
        <w:t xml:space="preserve"> los órganos encargados de </w:t>
      </w:r>
      <w:r w:rsidR="00F27C96">
        <w:rPr>
          <w:rFonts w:ascii="Cambria" w:hAnsi="Cambria"/>
          <w:sz w:val="20"/>
          <w:szCs w:val="20"/>
          <w:lang w:val="es-AR"/>
        </w:rPr>
        <w:t xml:space="preserve">gestionar el procedimiento de reparación utilizaron criterios muy rígidos y más parecidos al de un proceso civil ordinario, lo que provocó que </w:t>
      </w:r>
      <w:r w:rsidR="00290B8E">
        <w:rPr>
          <w:rFonts w:ascii="Cambria" w:hAnsi="Cambria"/>
          <w:sz w:val="20"/>
          <w:szCs w:val="20"/>
          <w:lang w:val="es-AR"/>
        </w:rPr>
        <w:t xml:space="preserve">los </w:t>
      </w:r>
      <w:r w:rsidR="00F27C96">
        <w:rPr>
          <w:rFonts w:ascii="Cambria" w:hAnsi="Cambria"/>
          <w:sz w:val="20"/>
          <w:szCs w:val="20"/>
          <w:lang w:val="es-AR"/>
        </w:rPr>
        <w:t xml:space="preserve">reclamos </w:t>
      </w:r>
      <w:r w:rsidR="00290B8E">
        <w:rPr>
          <w:rFonts w:ascii="Cambria" w:hAnsi="Cambria"/>
          <w:sz w:val="20"/>
          <w:szCs w:val="20"/>
          <w:lang w:val="es-AR"/>
        </w:rPr>
        <w:t xml:space="preserve">de las presuntas víctimas </w:t>
      </w:r>
      <w:r w:rsidR="00F27C96">
        <w:rPr>
          <w:rFonts w:ascii="Cambria" w:hAnsi="Cambria"/>
          <w:sz w:val="20"/>
          <w:szCs w:val="20"/>
          <w:lang w:val="es-AR"/>
        </w:rPr>
        <w:t xml:space="preserve">sean rechazados. </w:t>
      </w:r>
      <w:r w:rsidR="00B02FC0">
        <w:rPr>
          <w:rFonts w:ascii="Cambria" w:hAnsi="Cambria"/>
          <w:sz w:val="20"/>
          <w:szCs w:val="20"/>
          <w:lang w:val="es-AR"/>
        </w:rPr>
        <w:t xml:space="preserve">Al respecto, la parte peticionaria sostiene que en muchos casos les exigieron documentos imposibles de conseguir, toda vez que no se puede exigir a las víctimas que recaben pruebas al momento en que sufrieron las violaciones de sus derechos. </w:t>
      </w:r>
      <w:r w:rsidR="004F0003">
        <w:rPr>
          <w:rFonts w:ascii="Cambria" w:hAnsi="Cambria"/>
          <w:sz w:val="20"/>
          <w:szCs w:val="20"/>
          <w:lang w:val="es-AR"/>
        </w:rPr>
        <w:t xml:space="preserve">A modo de ejemplo, la parte peticionaria detalla que </w:t>
      </w:r>
      <w:r w:rsidR="00890E01">
        <w:rPr>
          <w:rFonts w:ascii="Cambria" w:hAnsi="Cambria"/>
          <w:sz w:val="20"/>
          <w:szCs w:val="20"/>
          <w:lang w:val="es-AR"/>
        </w:rPr>
        <w:t xml:space="preserve">la </w:t>
      </w:r>
      <w:r w:rsidR="00F22247">
        <w:rPr>
          <w:rFonts w:ascii="Cambria" w:hAnsi="Cambria"/>
          <w:sz w:val="20"/>
          <w:szCs w:val="20"/>
          <w:lang w:val="es-AR"/>
        </w:rPr>
        <w:t xml:space="preserve">Comisión Nacional </w:t>
      </w:r>
      <w:r w:rsidR="008D410B">
        <w:rPr>
          <w:rFonts w:ascii="Cambria" w:hAnsi="Cambria"/>
          <w:sz w:val="20"/>
          <w:szCs w:val="20"/>
          <w:lang w:val="es-AR"/>
        </w:rPr>
        <w:t xml:space="preserve">para el Resarcimiento a Víctimas de Violencia Política (en adelante, CONREVIP) </w:t>
      </w:r>
      <w:r w:rsidR="00D46F80">
        <w:rPr>
          <w:rFonts w:ascii="Cambria" w:hAnsi="Cambria"/>
          <w:sz w:val="20"/>
          <w:szCs w:val="20"/>
          <w:lang w:val="es-AR"/>
        </w:rPr>
        <w:t>generó los siguientes problemas en cada tipo de casos</w:t>
      </w:r>
      <w:r w:rsidR="004F0003">
        <w:rPr>
          <w:rFonts w:ascii="Cambria" w:hAnsi="Cambria"/>
          <w:sz w:val="20"/>
          <w:szCs w:val="20"/>
          <w:lang w:val="es-AR"/>
        </w:rPr>
        <w:t xml:space="preserve">: </w:t>
      </w:r>
    </w:p>
    <w:p w14:paraId="72AF199D" w14:textId="4B76EC72" w:rsidR="004F0003" w:rsidRDefault="002C6DED" w:rsidP="00D579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right="720"/>
        <w:jc w:val="both"/>
        <w:rPr>
          <w:rFonts w:ascii="Cambria" w:hAnsi="Cambria"/>
          <w:sz w:val="20"/>
          <w:szCs w:val="20"/>
          <w:lang w:val="es-AR"/>
        </w:rPr>
      </w:pPr>
      <w:r>
        <w:rPr>
          <w:rFonts w:ascii="Cambria" w:hAnsi="Cambria"/>
          <w:sz w:val="20"/>
          <w:szCs w:val="20"/>
          <w:lang w:val="es-AR"/>
        </w:rPr>
        <w:t xml:space="preserve">i. En casos de exiliados: </w:t>
      </w:r>
      <w:r w:rsidR="00FD164D">
        <w:rPr>
          <w:rFonts w:ascii="Cambria" w:hAnsi="Cambria"/>
          <w:sz w:val="20"/>
          <w:szCs w:val="20"/>
          <w:lang w:val="es-AR"/>
        </w:rPr>
        <w:t xml:space="preserve">la CONREVIP </w:t>
      </w:r>
      <w:r w:rsidR="00D46F80">
        <w:rPr>
          <w:rFonts w:ascii="Cambria" w:hAnsi="Cambria"/>
          <w:sz w:val="20"/>
          <w:szCs w:val="20"/>
          <w:lang w:val="es-AR"/>
        </w:rPr>
        <w:t>requirió presentar</w:t>
      </w:r>
      <w:r>
        <w:rPr>
          <w:rFonts w:ascii="Cambria" w:hAnsi="Cambria"/>
          <w:sz w:val="20"/>
          <w:szCs w:val="20"/>
          <w:lang w:val="es-AR"/>
        </w:rPr>
        <w:t xml:space="preserve"> certificados de exilio, pasaporte con ingreso y salida, y certificaciones de los países. </w:t>
      </w:r>
      <w:r w:rsidR="00FD164D">
        <w:rPr>
          <w:rFonts w:ascii="Cambria" w:hAnsi="Cambria"/>
          <w:sz w:val="20"/>
          <w:szCs w:val="20"/>
          <w:lang w:val="es-AR"/>
        </w:rPr>
        <w:t>Al respecto, la parte peticionaria indica</w:t>
      </w:r>
      <w:r w:rsidR="00D46F80">
        <w:rPr>
          <w:rFonts w:ascii="Cambria" w:hAnsi="Cambria"/>
          <w:sz w:val="20"/>
          <w:szCs w:val="20"/>
          <w:lang w:val="es-AR"/>
        </w:rPr>
        <w:t xml:space="preserve"> que en muchos casos tal documentación no era suficiente y tampoco se consideró otro tipo de información, como certificados expedidos por ACNUR y publicaciones de pesan. </w:t>
      </w:r>
    </w:p>
    <w:p w14:paraId="55D38831" w14:textId="55533E18" w:rsidR="00D46F80" w:rsidRDefault="006F63BA" w:rsidP="00D579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right="720"/>
        <w:jc w:val="both"/>
        <w:rPr>
          <w:rFonts w:ascii="Cambria" w:hAnsi="Cambria"/>
          <w:sz w:val="20"/>
          <w:szCs w:val="20"/>
          <w:lang w:val="es-AR"/>
        </w:rPr>
      </w:pPr>
      <w:r>
        <w:rPr>
          <w:rFonts w:ascii="Cambria" w:hAnsi="Cambria"/>
          <w:sz w:val="20"/>
          <w:szCs w:val="20"/>
          <w:lang w:val="es-AR"/>
        </w:rPr>
        <w:t>i</w:t>
      </w:r>
      <w:r w:rsidR="00D46F80">
        <w:rPr>
          <w:rFonts w:ascii="Cambria" w:hAnsi="Cambria"/>
          <w:sz w:val="20"/>
          <w:szCs w:val="20"/>
          <w:lang w:val="es-AR"/>
        </w:rPr>
        <w:t xml:space="preserve">i. </w:t>
      </w:r>
      <w:r w:rsidR="005A1B74">
        <w:rPr>
          <w:rFonts w:ascii="Cambria" w:hAnsi="Cambria"/>
          <w:sz w:val="20"/>
          <w:szCs w:val="20"/>
          <w:lang w:val="es-AR"/>
        </w:rPr>
        <w:t xml:space="preserve">En casos de personas detenidas: </w:t>
      </w:r>
      <w:r w:rsidR="00FD164D">
        <w:rPr>
          <w:rFonts w:ascii="Cambria" w:hAnsi="Cambria"/>
          <w:sz w:val="20"/>
          <w:szCs w:val="20"/>
          <w:lang w:val="es-AR"/>
        </w:rPr>
        <w:t xml:space="preserve">la CONREVIP </w:t>
      </w:r>
      <w:r w:rsidR="005A1B74">
        <w:rPr>
          <w:rFonts w:ascii="Cambria" w:hAnsi="Cambria"/>
          <w:sz w:val="20"/>
          <w:szCs w:val="20"/>
          <w:lang w:val="es-AR"/>
        </w:rPr>
        <w:t xml:space="preserve">exigió certificados o documentos que acrediten la detención en celdas policiales, cuarteles o centros militares, casa de seguridad, recortes de prensa, testigos, declaraciones </w:t>
      </w:r>
      <w:r w:rsidR="00397978">
        <w:rPr>
          <w:rFonts w:ascii="Cambria" w:hAnsi="Cambria"/>
          <w:sz w:val="20"/>
          <w:szCs w:val="20"/>
          <w:lang w:val="es-AR"/>
        </w:rPr>
        <w:t>o cartas de retiro de las empresas. Afirma que, como resulta lógico, tales documentos eran imposibles de obtener y acreditar en el trámite</w:t>
      </w:r>
      <w:r w:rsidR="000B3B4D">
        <w:rPr>
          <w:rFonts w:ascii="Cambria" w:hAnsi="Cambria"/>
          <w:sz w:val="20"/>
          <w:szCs w:val="20"/>
          <w:lang w:val="es-AR"/>
        </w:rPr>
        <w:t xml:space="preserve">, e incluso presentándolos a veces no resultó suficiente para que la persona sea reconocida como víctima. </w:t>
      </w:r>
    </w:p>
    <w:p w14:paraId="1D517553" w14:textId="1DDA6D5C" w:rsidR="006F63BA" w:rsidRDefault="006F63BA" w:rsidP="00D579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right="720"/>
        <w:jc w:val="both"/>
        <w:rPr>
          <w:rFonts w:ascii="Cambria" w:hAnsi="Cambria"/>
          <w:sz w:val="20"/>
          <w:szCs w:val="20"/>
          <w:lang w:val="es-AR"/>
        </w:rPr>
      </w:pPr>
      <w:r>
        <w:rPr>
          <w:rFonts w:ascii="Cambria" w:hAnsi="Cambria"/>
          <w:sz w:val="20"/>
          <w:szCs w:val="20"/>
          <w:lang w:val="es-AR"/>
        </w:rPr>
        <w:t xml:space="preserve">iii. En casos de familiares de personas desaparecidas: </w:t>
      </w:r>
      <w:r w:rsidR="00FD164D">
        <w:rPr>
          <w:rFonts w:ascii="Cambria" w:hAnsi="Cambria"/>
          <w:sz w:val="20"/>
          <w:szCs w:val="20"/>
          <w:lang w:val="es-AR"/>
        </w:rPr>
        <w:t xml:space="preserve">la CONREVIP </w:t>
      </w:r>
      <w:r>
        <w:rPr>
          <w:rFonts w:ascii="Cambria" w:hAnsi="Cambria"/>
          <w:sz w:val="20"/>
          <w:szCs w:val="20"/>
          <w:lang w:val="es-AR"/>
        </w:rPr>
        <w:t>requirió certificados de desaparición, de defunción, declaratoria de herederos y declaratoria o sentencia de presunción de muerte. Arguye que estos requisitos</w:t>
      </w:r>
      <w:r w:rsidR="00AA1F85">
        <w:rPr>
          <w:rFonts w:ascii="Cambria" w:hAnsi="Cambria"/>
          <w:sz w:val="20"/>
          <w:szCs w:val="20"/>
          <w:lang w:val="es-AR"/>
        </w:rPr>
        <w:t xml:space="preserve"> resultan un despropósito, pues los documentos requeridos solo se consiguen mediante un trámite de índole civil y contradicen la naturaleza del derecho de reparación a nivel administrativo. Además, algunos de estos implican aceptar la muerte de quienes son víctimas de represión política. </w:t>
      </w:r>
    </w:p>
    <w:p w14:paraId="795B0409" w14:textId="12E72FB7" w:rsidR="00AA1F85" w:rsidRDefault="00AA1F85" w:rsidP="00D579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right="720"/>
        <w:jc w:val="both"/>
        <w:rPr>
          <w:rFonts w:ascii="Cambria" w:hAnsi="Cambria"/>
          <w:sz w:val="20"/>
          <w:szCs w:val="20"/>
          <w:lang w:val="es-AR"/>
        </w:rPr>
      </w:pPr>
      <w:r>
        <w:rPr>
          <w:rFonts w:ascii="Cambria" w:hAnsi="Cambria"/>
          <w:sz w:val="20"/>
          <w:szCs w:val="20"/>
          <w:lang w:val="es-AR"/>
        </w:rPr>
        <w:t>iv. En casos de malos tratos, torturas, tratos crueles e inhumanos y violaciones:</w:t>
      </w:r>
      <w:r w:rsidR="004C18E9">
        <w:rPr>
          <w:rFonts w:ascii="Cambria" w:hAnsi="Cambria"/>
          <w:sz w:val="20"/>
          <w:szCs w:val="20"/>
          <w:lang w:val="es-AR"/>
        </w:rPr>
        <w:t xml:space="preserve"> </w:t>
      </w:r>
      <w:r w:rsidR="00FD164D">
        <w:rPr>
          <w:rFonts w:ascii="Cambria" w:hAnsi="Cambria"/>
          <w:sz w:val="20"/>
          <w:szCs w:val="20"/>
          <w:lang w:val="es-AR"/>
        </w:rPr>
        <w:t xml:space="preserve">la CONREVIP </w:t>
      </w:r>
      <w:r w:rsidR="004C18E9">
        <w:rPr>
          <w:rFonts w:ascii="Cambria" w:hAnsi="Cambria"/>
          <w:sz w:val="20"/>
          <w:szCs w:val="20"/>
          <w:lang w:val="es-AR"/>
        </w:rPr>
        <w:t>solicitó certificados médicos-forenses</w:t>
      </w:r>
      <w:r w:rsidR="00F564A8">
        <w:rPr>
          <w:rFonts w:ascii="Cambria" w:hAnsi="Cambria"/>
          <w:sz w:val="20"/>
          <w:szCs w:val="20"/>
          <w:lang w:val="es-AR"/>
        </w:rPr>
        <w:t>, declaraciones de dos o más testigos que señalen hechos, lugares, fechas y horas en que se cometieron los abusos</w:t>
      </w:r>
      <w:r w:rsidR="00766676">
        <w:rPr>
          <w:rFonts w:ascii="Cambria" w:hAnsi="Cambria"/>
          <w:sz w:val="20"/>
          <w:szCs w:val="20"/>
          <w:lang w:val="es-AR"/>
        </w:rPr>
        <w:t xml:space="preserve">. Al respecto, cuestiona que, como es conocido, las prácticas de tortura ocurren en ambientes sin testigos y correspondía </w:t>
      </w:r>
      <w:r w:rsidR="00897FD2">
        <w:rPr>
          <w:rFonts w:ascii="Cambria" w:hAnsi="Cambria"/>
          <w:sz w:val="20"/>
          <w:szCs w:val="20"/>
          <w:lang w:val="es-AR"/>
        </w:rPr>
        <w:t>las autoridades evalúen los acontecimientos en el marco histórico respectivo.</w:t>
      </w:r>
    </w:p>
    <w:p w14:paraId="2AEEBC6A" w14:textId="59E68B56" w:rsidR="00AA1F85" w:rsidRDefault="00AA1F85" w:rsidP="00D579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right="720"/>
        <w:jc w:val="both"/>
        <w:rPr>
          <w:rFonts w:ascii="Cambria" w:hAnsi="Cambria"/>
          <w:sz w:val="20"/>
          <w:szCs w:val="20"/>
          <w:lang w:val="es-AR"/>
        </w:rPr>
      </w:pPr>
      <w:r>
        <w:rPr>
          <w:rFonts w:ascii="Cambria" w:hAnsi="Cambria"/>
          <w:sz w:val="20"/>
          <w:szCs w:val="20"/>
          <w:lang w:val="es-AR"/>
        </w:rPr>
        <w:lastRenderedPageBreak/>
        <w:t>v.</w:t>
      </w:r>
      <w:r w:rsidR="00422C00">
        <w:rPr>
          <w:rFonts w:ascii="Cambria" w:hAnsi="Cambria"/>
          <w:sz w:val="20"/>
          <w:szCs w:val="20"/>
          <w:lang w:val="es-AR"/>
        </w:rPr>
        <w:t xml:space="preserve"> En caso de confinamientos y destierros:</w:t>
      </w:r>
      <w:r w:rsidR="00897FD2">
        <w:rPr>
          <w:rFonts w:ascii="Cambria" w:hAnsi="Cambria"/>
          <w:sz w:val="20"/>
          <w:szCs w:val="20"/>
          <w:lang w:val="es-AR"/>
        </w:rPr>
        <w:t xml:space="preserve"> </w:t>
      </w:r>
      <w:r w:rsidR="00FD164D">
        <w:rPr>
          <w:rFonts w:ascii="Cambria" w:hAnsi="Cambria"/>
          <w:sz w:val="20"/>
          <w:szCs w:val="20"/>
          <w:lang w:val="es-AR"/>
        </w:rPr>
        <w:t xml:space="preserve">la CONREVIP </w:t>
      </w:r>
      <w:r w:rsidR="00897FD2">
        <w:rPr>
          <w:rFonts w:ascii="Cambria" w:hAnsi="Cambria"/>
          <w:sz w:val="20"/>
          <w:szCs w:val="20"/>
          <w:lang w:val="es-AR"/>
        </w:rPr>
        <w:t>requirió certificados del lugar de destierro, pasaporte o salvoconducto con registro de ingreso y salida. Afirma que tales pruebas tampoco se pueden conseguir, pues cuando se desterraba y confinaba a alguien no se le otorgaban este tipo de documentos y, por el contrario, se les trasladaba de un lugar a otro sin previo aviso.</w:t>
      </w:r>
    </w:p>
    <w:p w14:paraId="08447105" w14:textId="4D66BD42" w:rsidR="00422C00" w:rsidRDefault="00422C00" w:rsidP="00D579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right="720"/>
        <w:jc w:val="both"/>
        <w:rPr>
          <w:rFonts w:ascii="Cambria" w:hAnsi="Cambria"/>
          <w:sz w:val="20"/>
          <w:szCs w:val="20"/>
          <w:lang w:val="es-AR"/>
        </w:rPr>
      </w:pPr>
      <w:r>
        <w:rPr>
          <w:rFonts w:ascii="Cambria" w:hAnsi="Cambria"/>
          <w:sz w:val="20"/>
          <w:szCs w:val="20"/>
          <w:lang w:val="es-AR"/>
        </w:rPr>
        <w:t>vi. En casos de allanamientos:</w:t>
      </w:r>
      <w:r w:rsidR="00FD164D">
        <w:rPr>
          <w:rFonts w:ascii="Cambria" w:hAnsi="Cambria"/>
          <w:sz w:val="20"/>
          <w:szCs w:val="20"/>
          <w:lang w:val="es-AR"/>
        </w:rPr>
        <w:t xml:space="preserve"> la CONREVIP</w:t>
      </w:r>
      <w:r w:rsidR="00044E84">
        <w:rPr>
          <w:rFonts w:ascii="Cambria" w:hAnsi="Cambria"/>
          <w:sz w:val="20"/>
          <w:szCs w:val="20"/>
          <w:lang w:val="es-AR"/>
        </w:rPr>
        <w:t xml:space="preserve"> solicitó aportar las denuncias efectuadas ante el Ministerio Público o la Policía Nacional</w:t>
      </w:r>
      <w:r w:rsidR="009501F5">
        <w:rPr>
          <w:rFonts w:ascii="Cambria" w:hAnsi="Cambria"/>
          <w:sz w:val="20"/>
          <w:szCs w:val="20"/>
          <w:lang w:val="es-AR"/>
        </w:rPr>
        <w:t>. Sobre este punto, la parte peticionaria replica que, dado el contexto político, era imposible acudir a las citadas autoridades para interponer un reclamo</w:t>
      </w:r>
      <w:r w:rsidR="0015086D">
        <w:rPr>
          <w:rFonts w:ascii="Cambria" w:hAnsi="Cambria"/>
          <w:sz w:val="20"/>
          <w:szCs w:val="20"/>
          <w:lang w:val="es-AR"/>
        </w:rPr>
        <w:t>, pues estaban comprometidas con la dictadura del momento.</w:t>
      </w:r>
    </w:p>
    <w:p w14:paraId="03C9808C" w14:textId="79775AAD" w:rsidR="000B3B4D" w:rsidRDefault="00422C00" w:rsidP="00D579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right="720"/>
        <w:jc w:val="both"/>
        <w:rPr>
          <w:rFonts w:ascii="Cambria" w:hAnsi="Cambria"/>
          <w:sz w:val="20"/>
          <w:szCs w:val="20"/>
          <w:lang w:val="es-AR"/>
        </w:rPr>
      </w:pPr>
      <w:r>
        <w:rPr>
          <w:rFonts w:ascii="Cambria" w:hAnsi="Cambria"/>
          <w:sz w:val="20"/>
          <w:szCs w:val="20"/>
          <w:lang w:val="es-AR"/>
        </w:rPr>
        <w:t>vii. En caso de despidos:</w:t>
      </w:r>
      <w:r w:rsidR="0015086D">
        <w:rPr>
          <w:rFonts w:ascii="Cambria" w:hAnsi="Cambria"/>
          <w:sz w:val="20"/>
          <w:szCs w:val="20"/>
          <w:lang w:val="es-AR"/>
        </w:rPr>
        <w:t xml:space="preserve"> </w:t>
      </w:r>
      <w:r w:rsidR="00FD164D">
        <w:rPr>
          <w:rFonts w:ascii="Cambria" w:hAnsi="Cambria"/>
          <w:sz w:val="20"/>
          <w:szCs w:val="20"/>
          <w:lang w:val="es-AR"/>
        </w:rPr>
        <w:t>la CONREVIP r</w:t>
      </w:r>
      <w:r w:rsidR="0015086D">
        <w:rPr>
          <w:rFonts w:ascii="Cambria" w:hAnsi="Cambria"/>
          <w:sz w:val="20"/>
          <w:szCs w:val="20"/>
          <w:lang w:val="es-AR"/>
        </w:rPr>
        <w:t xml:space="preserve">equirió presentar los memorándums de despido, certificaciones de las Direcciones de Trabajo o Ministerio del Trabajo. Al respecto, la parte peticionaria </w:t>
      </w:r>
      <w:r w:rsidR="00730E5F">
        <w:rPr>
          <w:rFonts w:ascii="Cambria" w:hAnsi="Cambria"/>
          <w:sz w:val="20"/>
          <w:szCs w:val="20"/>
          <w:lang w:val="es-AR"/>
        </w:rPr>
        <w:t>señala que estos documentos son imposibles de conseguir y, a pesar de que se presentaron medios de prueba alternativos, como resoluciones del Ministerio de Trabajo, estos no fueron tomados en cuenta.</w:t>
      </w:r>
    </w:p>
    <w:p w14:paraId="3EB98164" w14:textId="7AA02E09" w:rsidR="00C229DE" w:rsidRDefault="00730E5F" w:rsidP="007B13B3">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A juicio de la parte</w:t>
      </w:r>
      <w:r w:rsidR="00C229DE">
        <w:rPr>
          <w:rFonts w:ascii="Cambria" w:hAnsi="Cambria"/>
          <w:sz w:val="20"/>
          <w:szCs w:val="20"/>
          <w:lang w:val="es-AR"/>
        </w:rPr>
        <w:t xml:space="preserve"> peticionaria</w:t>
      </w:r>
      <w:r>
        <w:rPr>
          <w:rFonts w:ascii="Cambria" w:hAnsi="Cambria"/>
          <w:sz w:val="20"/>
          <w:szCs w:val="20"/>
          <w:lang w:val="es-AR"/>
        </w:rPr>
        <w:t>, el CONREVIP y el resto de</w:t>
      </w:r>
      <w:r w:rsidR="00C229DE">
        <w:rPr>
          <w:rFonts w:ascii="Cambria" w:hAnsi="Cambria"/>
          <w:sz w:val="20"/>
          <w:szCs w:val="20"/>
          <w:lang w:val="es-AR"/>
        </w:rPr>
        <w:t xml:space="preserve"> órganos encargados de gestionar la reparación debieron valorar de manera conjunta la documentación</w:t>
      </w:r>
      <w:r w:rsidR="00A7110F">
        <w:rPr>
          <w:rFonts w:ascii="Cambria" w:hAnsi="Cambria"/>
          <w:sz w:val="20"/>
          <w:szCs w:val="20"/>
          <w:lang w:val="es-AR"/>
        </w:rPr>
        <w:t xml:space="preserve"> y </w:t>
      </w:r>
      <w:r w:rsidR="00C229DE">
        <w:rPr>
          <w:rFonts w:ascii="Cambria" w:hAnsi="Cambria"/>
          <w:sz w:val="20"/>
          <w:szCs w:val="20"/>
          <w:lang w:val="es-AR"/>
        </w:rPr>
        <w:t>las pruebas</w:t>
      </w:r>
      <w:r>
        <w:rPr>
          <w:rFonts w:ascii="Cambria" w:hAnsi="Cambria"/>
          <w:sz w:val="20"/>
          <w:szCs w:val="20"/>
          <w:lang w:val="es-AR"/>
        </w:rPr>
        <w:t xml:space="preserve"> presentadas en cada caso</w:t>
      </w:r>
      <w:r w:rsidR="00C229DE">
        <w:rPr>
          <w:rFonts w:ascii="Cambria" w:hAnsi="Cambria"/>
          <w:sz w:val="20"/>
          <w:szCs w:val="20"/>
          <w:lang w:val="es-AR"/>
        </w:rPr>
        <w:t xml:space="preserve"> </w:t>
      </w:r>
      <w:r w:rsidR="00A7110F">
        <w:rPr>
          <w:rFonts w:ascii="Cambria" w:hAnsi="Cambria"/>
          <w:sz w:val="20"/>
          <w:szCs w:val="20"/>
          <w:lang w:val="es-AR"/>
        </w:rPr>
        <w:t xml:space="preserve">con base </w:t>
      </w:r>
      <w:r>
        <w:rPr>
          <w:rFonts w:ascii="Cambria" w:hAnsi="Cambria"/>
          <w:sz w:val="20"/>
          <w:szCs w:val="20"/>
          <w:lang w:val="es-AR"/>
        </w:rPr>
        <w:t>al</w:t>
      </w:r>
      <w:r w:rsidR="00A7110F">
        <w:rPr>
          <w:rFonts w:ascii="Cambria" w:hAnsi="Cambria"/>
          <w:sz w:val="20"/>
          <w:szCs w:val="20"/>
          <w:lang w:val="es-AR"/>
        </w:rPr>
        <w:t xml:space="preserve"> contexto</w:t>
      </w:r>
      <w:r w:rsidR="00C229DE">
        <w:rPr>
          <w:rFonts w:ascii="Cambria" w:hAnsi="Cambria"/>
          <w:sz w:val="20"/>
          <w:szCs w:val="20"/>
          <w:lang w:val="es-AR"/>
        </w:rPr>
        <w:t xml:space="preserve"> histórico</w:t>
      </w:r>
      <w:r>
        <w:rPr>
          <w:rFonts w:ascii="Cambria" w:hAnsi="Cambria"/>
          <w:sz w:val="20"/>
          <w:szCs w:val="20"/>
          <w:lang w:val="es-AR"/>
        </w:rPr>
        <w:t xml:space="preserve"> de la época</w:t>
      </w:r>
      <w:r w:rsidR="00A7110F">
        <w:rPr>
          <w:rFonts w:ascii="Cambria" w:hAnsi="Cambria"/>
          <w:sz w:val="20"/>
          <w:szCs w:val="20"/>
          <w:lang w:val="es-AR"/>
        </w:rPr>
        <w:t>, a efectos de describir</w:t>
      </w:r>
      <w:r>
        <w:rPr>
          <w:rFonts w:ascii="Cambria" w:hAnsi="Cambria"/>
          <w:sz w:val="20"/>
          <w:szCs w:val="20"/>
          <w:lang w:val="es-AR"/>
        </w:rPr>
        <w:t xml:space="preserve">, </w:t>
      </w:r>
      <w:r w:rsidR="00A7110F">
        <w:rPr>
          <w:rFonts w:ascii="Cambria" w:hAnsi="Cambria"/>
          <w:sz w:val="20"/>
          <w:szCs w:val="20"/>
          <w:lang w:val="es-AR"/>
        </w:rPr>
        <w:t>fundamentar y resolver cada</w:t>
      </w:r>
      <w:r>
        <w:rPr>
          <w:rFonts w:ascii="Cambria" w:hAnsi="Cambria"/>
          <w:sz w:val="20"/>
          <w:szCs w:val="20"/>
          <w:lang w:val="es-AR"/>
        </w:rPr>
        <w:t xml:space="preserve"> pedido de reparación</w:t>
      </w:r>
      <w:r w:rsidR="00A7110F">
        <w:rPr>
          <w:rFonts w:ascii="Cambria" w:hAnsi="Cambria"/>
          <w:sz w:val="20"/>
          <w:szCs w:val="20"/>
          <w:lang w:val="es-AR"/>
        </w:rPr>
        <w:t xml:space="preserve">. Sin embargo, arguye que esto no ocurrió, </w:t>
      </w:r>
      <w:r w:rsidR="007A23EC">
        <w:rPr>
          <w:rFonts w:ascii="Cambria" w:hAnsi="Cambria"/>
          <w:sz w:val="20"/>
          <w:szCs w:val="20"/>
          <w:lang w:val="es-AR"/>
        </w:rPr>
        <w:t xml:space="preserve">dado que las resoluciones únicamente utilizaron una calificación forzada y distorsionada de los hechos, </w:t>
      </w:r>
      <w:r w:rsidR="00784CAC">
        <w:rPr>
          <w:rFonts w:ascii="Cambria" w:hAnsi="Cambria"/>
          <w:sz w:val="20"/>
          <w:szCs w:val="20"/>
          <w:lang w:val="es-AR"/>
        </w:rPr>
        <w:t xml:space="preserve">realizando análisis discrecionales en cada reclamo, a pesar de que se trataba en muchos casos de situaciones similares, enmarcadas en un mismo patrón de conducta. </w:t>
      </w:r>
    </w:p>
    <w:p w14:paraId="02B48A50" w14:textId="348054AD" w:rsidR="00DF5763" w:rsidRPr="00807E1B" w:rsidRDefault="00DF5763" w:rsidP="00DF576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jc w:val="both"/>
        <w:rPr>
          <w:rFonts w:ascii="Cambria" w:hAnsi="Cambria"/>
          <w:i/>
          <w:iCs/>
          <w:sz w:val="20"/>
          <w:szCs w:val="20"/>
        </w:rPr>
      </w:pPr>
      <w:r w:rsidRPr="00DF5763">
        <w:rPr>
          <w:rFonts w:ascii="Cambria" w:hAnsi="Cambria"/>
          <w:i/>
          <w:iCs/>
          <w:sz w:val="20"/>
          <w:szCs w:val="20"/>
          <w:lang w:val="es-AR"/>
        </w:rPr>
        <w:t>Agotamiento de los recursos internos</w:t>
      </w:r>
    </w:p>
    <w:p w14:paraId="341EDF3D" w14:textId="6E26300B" w:rsidR="00CE2AC4" w:rsidRDefault="00963820" w:rsidP="00CE2AC4">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Indica que el 25 de febrero de 2013</w:t>
      </w:r>
      <w:r w:rsidR="000D66D5">
        <w:rPr>
          <w:rFonts w:ascii="Cambria" w:hAnsi="Cambria"/>
          <w:sz w:val="20"/>
          <w:szCs w:val="20"/>
          <w:lang w:val="es-AR"/>
        </w:rPr>
        <w:t xml:space="preserve"> otras agrupaciones y ciudadanos</w:t>
      </w:r>
      <w:r w:rsidR="0097108C">
        <w:rPr>
          <w:rFonts w:ascii="Cambria" w:hAnsi="Cambria"/>
          <w:sz w:val="20"/>
          <w:szCs w:val="20"/>
          <w:lang w:val="es-AR"/>
        </w:rPr>
        <w:t xml:space="preserve"> con la misma calidad y condiciones que las presuntas víctimas</w:t>
      </w:r>
      <w:r>
        <w:rPr>
          <w:rFonts w:ascii="Cambria" w:hAnsi="Cambria"/>
          <w:sz w:val="20"/>
          <w:szCs w:val="20"/>
          <w:lang w:val="es-AR"/>
        </w:rPr>
        <w:t xml:space="preserve"> </w:t>
      </w:r>
      <w:r w:rsidR="0012106D">
        <w:rPr>
          <w:rFonts w:ascii="Cambria" w:hAnsi="Cambria"/>
          <w:sz w:val="20"/>
          <w:szCs w:val="20"/>
          <w:lang w:val="es-AR"/>
        </w:rPr>
        <w:t>present</w:t>
      </w:r>
      <w:r w:rsidR="0097108C">
        <w:rPr>
          <w:rFonts w:ascii="Cambria" w:hAnsi="Cambria"/>
          <w:sz w:val="20"/>
          <w:szCs w:val="20"/>
          <w:lang w:val="es-AR"/>
        </w:rPr>
        <w:t>aron</w:t>
      </w:r>
      <w:r w:rsidR="0012106D">
        <w:rPr>
          <w:rFonts w:ascii="Cambria" w:hAnsi="Cambria"/>
          <w:sz w:val="20"/>
          <w:szCs w:val="20"/>
          <w:lang w:val="es-AR"/>
        </w:rPr>
        <w:t xml:space="preserve"> una acción de amparo</w:t>
      </w:r>
      <w:r w:rsidR="0012106D" w:rsidRPr="00F366FF">
        <w:rPr>
          <w:rFonts w:ascii="Cambria" w:hAnsi="Cambria"/>
          <w:sz w:val="20"/>
          <w:szCs w:val="20"/>
          <w:lang w:val="es-AR"/>
        </w:rPr>
        <w:t>,</w:t>
      </w:r>
      <w:r w:rsidR="007E24A4" w:rsidRPr="00F366FF">
        <w:rPr>
          <w:rFonts w:ascii="Cambria" w:hAnsi="Cambria"/>
          <w:sz w:val="20"/>
          <w:szCs w:val="20"/>
          <w:lang w:val="es-AR"/>
        </w:rPr>
        <w:t xml:space="preserve"> </w:t>
      </w:r>
      <w:r w:rsidR="00910E4B" w:rsidRPr="00F366FF">
        <w:rPr>
          <w:rFonts w:ascii="Cambria" w:hAnsi="Cambria"/>
          <w:sz w:val="20"/>
          <w:szCs w:val="20"/>
          <w:lang w:val="es-AR"/>
        </w:rPr>
        <w:t>solicitando</w:t>
      </w:r>
      <w:r w:rsidR="007E24A4" w:rsidRPr="00F366FF">
        <w:rPr>
          <w:rFonts w:ascii="Cambria" w:hAnsi="Cambria"/>
          <w:sz w:val="20"/>
          <w:szCs w:val="20"/>
          <w:lang w:val="es-AR"/>
        </w:rPr>
        <w:t>:</w:t>
      </w:r>
      <w:r w:rsidR="00910E4B" w:rsidRPr="00F366FF">
        <w:rPr>
          <w:rFonts w:ascii="Cambria" w:hAnsi="Cambria"/>
          <w:sz w:val="20"/>
          <w:szCs w:val="20"/>
          <w:lang w:val="es-AR"/>
        </w:rPr>
        <w:t xml:space="preserve"> i) revisar</w:t>
      </w:r>
      <w:r w:rsidR="00910E4B">
        <w:rPr>
          <w:rFonts w:ascii="Cambria" w:hAnsi="Cambria"/>
          <w:sz w:val="20"/>
          <w:szCs w:val="20"/>
          <w:lang w:val="es-AR"/>
        </w:rPr>
        <w:t xml:space="preserve"> la totalidad de los expedientes correspondientes para los cuales los pagos fueron declarados procedentes, realizando los ajustes y el cálculo matemático; ii) reponer las resoluciones </w:t>
      </w:r>
      <w:r w:rsidR="00F31B7E">
        <w:rPr>
          <w:rFonts w:ascii="Cambria" w:hAnsi="Cambria"/>
          <w:sz w:val="20"/>
          <w:szCs w:val="20"/>
          <w:lang w:val="es-AR"/>
        </w:rPr>
        <w:t>que rechazaron el pago en casos de exilio, persecución política-sindical, detención y prisión arbitraria</w:t>
      </w:r>
      <w:r w:rsidR="00672BC5">
        <w:rPr>
          <w:rFonts w:ascii="Cambria" w:hAnsi="Cambria"/>
          <w:sz w:val="20"/>
          <w:szCs w:val="20"/>
          <w:lang w:val="es-AR"/>
        </w:rPr>
        <w:t>; iii) complementar los expedientes en los que las resoluciones ejecutoriadas no hacen referencia a la tortura, persecución político sindical, sin pronunciarse con relación a los hechos resarcibles;</w:t>
      </w:r>
      <w:r w:rsidR="00F27893">
        <w:rPr>
          <w:rFonts w:ascii="Cambria" w:hAnsi="Cambria"/>
          <w:sz w:val="20"/>
          <w:szCs w:val="20"/>
          <w:lang w:val="es-AR"/>
        </w:rPr>
        <w:t xml:space="preserve"> y</w:t>
      </w:r>
      <w:r w:rsidR="00672BC5">
        <w:rPr>
          <w:rFonts w:ascii="Cambria" w:hAnsi="Cambria"/>
          <w:sz w:val="20"/>
          <w:szCs w:val="20"/>
          <w:lang w:val="es-AR"/>
        </w:rPr>
        <w:t xml:space="preserve"> iv) emitir los instrumentos legales correspondientes en cada caso para reparar las injusticias cometidas con la </w:t>
      </w:r>
      <w:r w:rsidR="00DD16B8">
        <w:rPr>
          <w:rFonts w:ascii="Cambria" w:hAnsi="Cambria"/>
          <w:sz w:val="20"/>
          <w:szCs w:val="20"/>
          <w:lang w:val="es-AR"/>
        </w:rPr>
        <w:t xml:space="preserve">aplicación de la Ley </w:t>
      </w:r>
      <w:r w:rsidR="003C1B46">
        <w:rPr>
          <w:rFonts w:ascii="Cambria" w:hAnsi="Cambria"/>
          <w:sz w:val="20"/>
          <w:szCs w:val="20"/>
          <w:lang w:val="es-AR"/>
        </w:rPr>
        <w:t>N</w:t>
      </w:r>
      <w:r w:rsidR="003C1B46" w:rsidRPr="00DE1CB3">
        <w:rPr>
          <w:rFonts w:ascii="Cambria" w:hAnsi="Cambria"/>
          <w:sz w:val="20"/>
          <w:szCs w:val="20"/>
          <w:lang w:val="es-AR"/>
        </w:rPr>
        <w:t>.º</w:t>
      </w:r>
      <w:r w:rsidR="003C1B46">
        <w:rPr>
          <w:rFonts w:ascii="Cambria" w:hAnsi="Cambria"/>
          <w:sz w:val="20"/>
          <w:szCs w:val="20"/>
          <w:lang w:val="es-AR"/>
        </w:rPr>
        <w:t xml:space="preserve"> </w:t>
      </w:r>
      <w:r w:rsidR="00DD16B8">
        <w:rPr>
          <w:rFonts w:ascii="Cambria" w:hAnsi="Cambria"/>
          <w:sz w:val="20"/>
          <w:szCs w:val="20"/>
          <w:lang w:val="es-AR"/>
        </w:rPr>
        <w:t>2640</w:t>
      </w:r>
      <w:r w:rsidR="00F27893">
        <w:rPr>
          <w:rFonts w:ascii="Cambria" w:hAnsi="Cambria"/>
          <w:sz w:val="20"/>
          <w:szCs w:val="20"/>
          <w:lang w:val="es-AR"/>
        </w:rPr>
        <w:t>.</w:t>
      </w:r>
      <w:r w:rsidR="00DD16B8">
        <w:rPr>
          <w:rFonts w:ascii="Cambria" w:hAnsi="Cambria"/>
          <w:sz w:val="20"/>
          <w:szCs w:val="20"/>
          <w:lang w:val="es-AR"/>
        </w:rPr>
        <w:t xml:space="preserve"> </w:t>
      </w:r>
    </w:p>
    <w:p w14:paraId="2308A9A1" w14:textId="7C08942C" w:rsidR="00963820" w:rsidRDefault="007E24A4" w:rsidP="00A27B69">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sidRPr="00CE2AC4">
        <w:rPr>
          <w:rFonts w:ascii="Cambria" w:hAnsi="Cambria"/>
          <w:sz w:val="20"/>
          <w:szCs w:val="20"/>
          <w:lang w:val="es-AR"/>
        </w:rPr>
        <w:t>Sin embargo,</w:t>
      </w:r>
      <w:r w:rsidR="0012106D" w:rsidRPr="00CE2AC4">
        <w:rPr>
          <w:rFonts w:ascii="Cambria" w:hAnsi="Cambria"/>
          <w:sz w:val="20"/>
          <w:szCs w:val="20"/>
          <w:lang w:val="es-AR"/>
        </w:rPr>
        <w:t xml:space="preserve"> el </w:t>
      </w:r>
      <w:r w:rsidR="003D207D" w:rsidRPr="00CE2AC4">
        <w:rPr>
          <w:rFonts w:ascii="Cambria" w:hAnsi="Cambria"/>
          <w:sz w:val="20"/>
          <w:szCs w:val="20"/>
          <w:lang w:val="es-AR"/>
        </w:rPr>
        <w:t xml:space="preserve">21 de marzo </w:t>
      </w:r>
      <w:r w:rsidR="008E3E15">
        <w:rPr>
          <w:rFonts w:ascii="Cambria" w:hAnsi="Cambria"/>
          <w:sz w:val="20"/>
          <w:szCs w:val="20"/>
          <w:lang w:val="es-AR"/>
        </w:rPr>
        <w:t>d</w:t>
      </w:r>
      <w:r w:rsidR="003D207D" w:rsidRPr="00CE2AC4">
        <w:rPr>
          <w:rFonts w:ascii="Cambria" w:hAnsi="Cambria"/>
          <w:sz w:val="20"/>
          <w:szCs w:val="20"/>
          <w:lang w:val="es-AR"/>
        </w:rPr>
        <w:t>e 2013 la Sala Segunda del Tribunal Departamental de La Paz, mediante Resolución 18/2013, desestimó el reclamo</w:t>
      </w:r>
      <w:r w:rsidR="00CE2AC4">
        <w:rPr>
          <w:rFonts w:ascii="Cambria" w:hAnsi="Cambria"/>
          <w:sz w:val="20"/>
          <w:szCs w:val="20"/>
          <w:lang w:val="es-AR"/>
        </w:rPr>
        <w:t xml:space="preserve">, </w:t>
      </w:r>
      <w:r w:rsidR="00816F12">
        <w:rPr>
          <w:rFonts w:ascii="Cambria" w:hAnsi="Cambria"/>
          <w:sz w:val="20"/>
          <w:szCs w:val="20"/>
          <w:lang w:val="es-AR"/>
        </w:rPr>
        <w:t>considerando</w:t>
      </w:r>
      <w:r w:rsidR="00CE2AC4">
        <w:rPr>
          <w:rFonts w:ascii="Cambria" w:hAnsi="Cambria"/>
          <w:sz w:val="20"/>
          <w:szCs w:val="20"/>
          <w:lang w:val="es-AR"/>
        </w:rPr>
        <w:t xml:space="preserve"> que </w:t>
      </w:r>
      <w:r w:rsidR="00816F12">
        <w:rPr>
          <w:rFonts w:ascii="Cambria" w:hAnsi="Cambria"/>
          <w:sz w:val="20"/>
          <w:szCs w:val="20"/>
          <w:lang w:val="es-AR"/>
        </w:rPr>
        <w:t xml:space="preserve">los artículos </w:t>
      </w:r>
      <w:r w:rsidR="008077CC">
        <w:rPr>
          <w:rFonts w:ascii="Cambria" w:hAnsi="Cambria"/>
          <w:sz w:val="20"/>
          <w:szCs w:val="20"/>
          <w:lang w:val="es-AR"/>
        </w:rPr>
        <w:t>129.II y 55 del Código Procesal Constitucional establecen un plazo falta de seis meses para la interposición de amparo constitucional</w:t>
      </w:r>
      <w:r w:rsidR="00816F12">
        <w:rPr>
          <w:rFonts w:ascii="Cambria" w:hAnsi="Cambria"/>
          <w:sz w:val="20"/>
          <w:szCs w:val="20"/>
          <w:lang w:val="es-AR"/>
        </w:rPr>
        <w:t>;</w:t>
      </w:r>
      <w:r w:rsidR="00C1388D">
        <w:rPr>
          <w:rFonts w:ascii="Cambria" w:hAnsi="Cambria"/>
          <w:sz w:val="20"/>
          <w:szCs w:val="20"/>
          <w:lang w:val="es-AR"/>
        </w:rPr>
        <w:t xml:space="preserve"> y, por ende, en el caso concreto, las presuntas víctimas interpusieron de manera extemporánea su </w:t>
      </w:r>
      <w:r w:rsidR="00A27B69">
        <w:rPr>
          <w:rFonts w:ascii="Cambria" w:hAnsi="Cambria"/>
          <w:sz w:val="20"/>
          <w:szCs w:val="20"/>
          <w:lang w:val="es-AR"/>
        </w:rPr>
        <w:t>demanda.</w:t>
      </w:r>
      <w:r w:rsidR="003D207D" w:rsidRPr="00A27B69">
        <w:rPr>
          <w:rFonts w:ascii="Cambria" w:hAnsi="Cambria"/>
          <w:sz w:val="20"/>
          <w:szCs w:val="20"/>
          <w:lang w:val="es-AR"/>
        </w:rPr>
        <w:t xml:space="preserve"> Posteriormente, el 1 de agosto de 2013 el Tribunal Constitucional Plurinacional, </w:t>
      </w:r>
      <w:r w:rsidR="0012106D" w:rsidRPr="00A27B69">
        <w:rPr>
          <w:rFonts w:ascii="Cambria" w:hAnsi="Cambria"/>
          <w:sz w:val="20"/>
          <w:szCs w:val="20"/>
          <w:lang w:val="es-AR"/>
        </w:rPr>
        <w:t xml:space="preserve">la sentencia constitucional 1223/2013, </w:t>
      </w:r>
      <w:r w:rsidR="003D207D" w:rsidRPr="00A27B69">
        <w:rPr>
          <w:rFonts w:ascii="Cambria" w:hAnsi="Cambria"/>
          <w:sz w:val="20"/>
          <w:szCs w:val="20"/>
          <w:lang w:val="es-AR"/>
        </w:rPr>
        <w:t>confirmó esta determinación</w:t>
      </w:r>
      <w:r w:rsidR="00A27B69">
        <w:rPr>
          <w:rFonts w:ascii="Cambria" w:hAnsi="Cambria"/>
          <w:sz w:val="20"/>
          <w:szCs w:val="20"/>
          <w:lang w:val="es-AR"/>
        </w:rPr>
        <w:t xml:space="preserve">, sin ingresar al análisis de fondo de la cuestión planteada. </w:t>
      </w:r>
    </w:p>
    <w:p w14:paraId="6F197FD7" w14:textId="786F6A62" w:rsidR="005B2A95" w:rsidRDefault="0053711D" w:rsidP="005B2A95">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La parte peticionaria explica que la citada decisión cerró la vía de amparo como mecanismo adecuado para la tutela del derecho a la reparación de las presuntas víctimas</w:t>
      </w:r>
      <w:r w:rsidR="00B41BD0">
        <w:rPr>
          <w:rFonts w:ascii="Cambria" w:hAnsi="Cambria"/>
          <w:sz w:val="20"/>
          <w:szCs w:val="20"/>
          <w:lang w:val="es-AR"/>
        </w:rPr>
        <w:t>,</w:t>
      </w:r>
      <w:r>
        <w:rPr>
          <w:rFonts w:ascii="Cambria" w:hAnsi="Cambria"/>
          <w:sz w:val="20"/>
          <w:szCs w:val="20"/>
          <w:lang w:val="es-AR"/>
        </w:rPr>
        <w:t xml:space="preserve"> y por </w:t>
      </w:r>
      <w:r w:rsidR="00D44DBE">
        <w:rPr>
          <w:rFonts w:ascii="Cambria" w:hAnsi="Cambria"/>
          <w:sz w:val="20"/>
          <w:szCs w:val="20"/>
          <w:lang w:val="es-AR"/>
        </w:rPr>
        <w:t>eso</w:t>
      </w:r>
      <w:r>
        <w:rPr>
          <w:rFonts w:ascii="Cambria" w:hAnsi="Cambria"/>
          <w:sz w:val="20"/>
          <w:szCs w:val="20"/>
          <w:lang w:val="es-AR"/>
        </w:rPr>
        <w:t xml:space="preserve"> el 11 de enero de 2013 estas</w:t>
      </w:r>
      <w:r w:rsidR="008E3E15">
        <w:rPr>
          <w:rFonts w:ascii="Cambria" w:hAnsi="Cambria"/>
          <w:sz w:val="20"/>
          <w:szCs w:val="20"/>
          <w:lang w:val="es-AR"/>
        </w:rPr>
        <w:t xml:space="preserve"> presentaron una acción de cumplimiento,</w:t>
      </w:r>
      <w:r w:rsidR="00235F15">
        <w:rPr>
          <w:rFonts w:ascii="Cambria" w:hAnsi="Cambria"/>
          <w:sz w:val="20"/>
          <w:szCs w:val="20"/>
          <w:lang w:val="es-AR"/>
        </w:rPr>
        <w:t xml:space="preserve"> </w:t>
      </w:r>
      <w:r w:rsidR="005B2A95">
        <w:rPr>
          <w:rFonts w:ascii="Cambria" w:hAnsi="Cambria"/>
          <w:sz w:val="20"/>
          <w:szCs w:val="20"/>
          <w:lang w:val="es-AR"/>
        </w:rPr>
        <w:t>solicitando que las autoridades cumplan con su deber de calificar correctamente la calidad de víctima de las personas demandantes, debiendo revisarse para tal efecto todas las calificaciones parciales, incluyendo no sólo un hecho sino integralmente todos; e, igualmente, que se califique integralmente todo el daño causado y se disponga el pago del 100% del resarcimiento. Para justificar tal petitorio, en la demanda se arguyó que la CONREVIP exigió una serie de requisitos incomprensibles y</w:t>
      </w:r>
      <w:r w:rsidR="008305E0" w:rsidRPr="009B6017">
        <w:rPr>
          <w:rFonts w:ascii="Cambria" w:hAnsi="Cambria"/>
          <w:sz w:val="20"/>
          <w:szCs w:val="20"/>
          <w:highlight w:val="yellow"/>
          <w:lang w:val="es-AR"/>
        </w:rPr>
        <w:t xml:space="preserve"> </w:t>
      </w:r>
      <w:r w:rsidR="008305E0" w:rsidRPr="005B2A95">
        <w:rPr>
          <w:rFonts w:ascii="Cambria" w:hAnsi="Cambria"/>
          <w:sz w:val="20"/>
          <w:szCs w:val="20"/>
          <w:lang w:val="es-AR"/>
        </w:rPr>
        <w:t>absurdos que obstaculizaron el derecho a acceder a una reparación</w:t>
      </w:r>
      <w:r w:rsidR="005B2A95">
        <w:rPr>
          <w:rFonts w:ascii="Cambria" w:hAnsi="Cambria"/>
          <w:sz w:val="20"/>
          <w:szCs w:val="20"/>
          <w:lang w:val="es-AR"/>
        </w:rPr>
        <w:t xml:space="preserve"> y que, en el caso de las personas que ya habían sido reconocidas como víctimas, hasta ese momento solo se había brindado como máximo un 20% del monto de reparación dispuesto en la ley, quedando pendiente un 80% de la indemnización. </w:t>
      </w:r>
    </w:p>
    <w:p w14:paraId="68C24850" w14:textId="445051A1" w:rsidR="008E3E15" w:rsidRDefault="00235F15" w:rsidP="0053711D">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 xml:space="preserve">No obstante, </w:t>
      </w:r>
      <w:r w:rsidR="00AD1B0A">
        <w:rPr>
          <w:rFonts w:ascii="Cambria" w:hAnsi="Cambria"/>
          <w:sz w:val="20"/>
          <w:szCs w:val="20"/>
          <w:lang w:val="es-AR"/>
        </w:rPr>
        <w:t xml:space="preserve">señala que </w:t>
      </w:r>
      <w:r w:rsidR="008E3E15">
        <w:rPr>
          <w:rFonts w:ascii="Cambria" w:hAnsi="Cambria"/>
          <w:sz w:val="20"/>
          <w:szCs w:val="20"/>
          <w:lang w:val="es-AR"/>
        </w:rPr>
        <w:t xml:space="preserve">el 24 de enero de 2013 la Sala Penal Primera del Tribunal Departamental de Justicia de La Paz, mediante la </w:t>
      </w:r>
      <w:r w:rsidR="00053BD6">
        <w:rPr>
          <w:rFonts w:ascii="Cambria" w:hAnsi="Cambria"/>
          <w:sz w:val="20"/>
          <w:szCs w:val="20"/>
          <w:lang w:val="es-AR"/>
        </w:rPr>
        <w:t>R</w:t>
      </w:r>
      <w:r w:rsidR="008E3E15">
        <w:rPr>
          <w:rFonts w:ascii="Cambria" w:hAnsi="Cambria"/>
          <w:sz w:val="20"/>
          <w:szCs w:val="20"/>
          <w:lang w:val="es-AR"/>
        </w:rPr>
        <w:t>esolución</w:t>
      </w:r>
      <w:r w:rsidR="00053BD6">
        <w:rPr>
          <w:rFonts w:ascii="Cambria" w:hAnsi="Cambria"/>
          <w:sz w:val="20"/>
          <w:szCs w:val="20"/>
          <w:lang w:val="es-AR"/>
        </w:rPr>
        <w:t xml:space="preserve"> 03/2013, declaró improcedente el reclamo, al </w:t>
      </w:r>
      <w:r w:rsidR="00053BD6">
        <w:rPr>
          <w:rFonts w:ascii="Cambria" w:hAnsi="Cambria"/>
          <w:sz w:val="20"/>
          <w:szCs w:val="20"/>
          <w:lang w:val="es-AR"/>
        </w:rPr>
        <w:lastRenderedPageBreak/>
        <w:t>considerar que no se cumplió con el principio de subsi</w:t>
      </w:r>
      <w:r w:rsidR="00C43614">
        <w:rPr>
          <w:rFonts w:ascii="Cambria" w:hAnsi="Cambria"/>
          <w:sz w:val="20"/>
          <w:szCs w:val="20"/>
          <w:lang w:val="es-AR"/>
        </w:rPr>
        <w:t>diariedad e inmediatez</w:t>
      </w:r>
      <w:r w:rsidR="006F3C0C">
        <w:rPr>
          <w:rFonts w:ascii="Cambria" w:hAnsi="Cambria"/>
          <w:sz w:val="20"/>
          <w:szCs w:val="20"/>
          <w:lang w:val="es-AR"/>
        </w:rPr>
        <w:t xml:space="preserve">, pues se debió utilizar la vía de amparo, y que </w:t>
      </w:r>
      <w:r w:rsidR="005003C4">
        <w:rPr>
          <w:rFonts w:ascii="Cambria" w:hAnsi="Cambria"/>
          <w:sz w:val="20"/>
          <w:szCs w:val="20"/>
          <w:lang w:val="es-AR"/>
        </w:rPr>
        <w:t>no se identificaba el incumplimiento de un deber específico, sino uno solo de carácter general</w:t>
      </w:r>
      <w:r w:rsidR="00C43614">
        <w:rPr>
          <w:rFonts w:ascii="Cambria" w:hAnsi="Cambria"/>
          <w:sz w:val="20"/>
          <w:szCs w:val="20"/>
          <w:lang w:val="es-AR"/>
        </w:rPr>
        <w:t xml:space="preserve">. </w:t>
      </w:r>
      <w:r w:rsidR="00B93F08">
        <w:rPr>
          <w:rFonts w:ascii="Cambria" w:hAnsi="Cambria"/>
          <w:sz w:val="20"/>
          <w:szCs w:val="20"/>
          <w:lang w:val="es-AR"/>
        </w:rPr>
        <w:t xml:space="preserve">Indica que el 31 de enero de 2013 </w:t>
      </w:r>
      <w:r>
        <w:rPr>
          <w:rFonts w:ascii="Cambria" w:hAnsi="Cambria"/>
          <w:sz w:val="20"/>
          <w:szCs w:val="20"/>
          <w:lang w:val="es-AR"/>
        </w:rPr>
        <w:t>las presuntas víctimas impugnaron esta determinación, pero el 6 de marzo de 2013</w:t>
      </w:r>
      <w:r w:rsidR="004F0886">
        <w:rPr>
          <w:rFonts w:ascii="Cambria" w:hAnsi="Cambria"/>
          <w:sz w:val="20"/>
          <w:szCs w:val="20"/>
          <w:lang w:val="es-AR"/>
        </w:rPr>
        <w:t xml:space="preserve"> el Tribunal Constitucional Plurinacional, mediante el Auto Constitucional 0044/2013-RCA </w:t>
      </w:r>
      <w:r w:rsidR="00195E65">
        <w:rPr>
          <w:rFonts w:ascii="Cambria" w:hAnsi="Cambria"/>
          <w:sz w:val="20"/>
          <w:szCs w:val="20"/>
          <w:lang w:val="es-AR"/>
        </w:rPr>
        <w:t xml:space="preserve">dispuso revocar la resolución impugnada y dispuso que el Tribunal de Garantías admita la acción y someta la causa al trámite previsto por ley. </w:t>
      </w:r>
    </w:p>
    <w:p w14:paraId="6012157F" w14:textId="3B89D3B7" w:rsidR="009C0A90" w:rsidRDefault="00195E65" w:rsidP="00AD0329">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En razón a ello, el 14 de junio de 2013 la Sala Primera del Tribunal Departamental de La Paz celebró audiencia pública</w:t>
      </w:r>
      <w:r w:rsidR="00B009B5">
        <w:rPr>
          <w:rFonts w:ascii="Cambria" w:hAnsi="Cambria"/>
          <w:sz w:val="20"/>
          <w:szCs w:val="20"/>
          <w:lang w:val="es-AR"/>
        </w:rPr>
        <w:t>,</w:t>
      </w:r>
      <w:r w:rsidR="00ED737B">
        <w:rPr>
          <w:rFonts w:ascii="Cambria" w:hAnsi="Cambria"/>
          <w:sz w:val="20"/>
          <w:szCs w:val="20"/>
          <w:lang w:val="es-AR"/>
        </w:rPr>
        <w:t xml:space="preserve"> y tras deliberar la causa, rechazó nuevamente la demanda, argumentando que la acción de cumplimiento no era el mecanismo adecuado para establecer las alegadas vulneraciones de derechos f</w:t>
      </w:r>
      <w:r w:rsidR="002C4E24">
        <w:rPr>
          <w:rFonts w:ascii="Cambria" w:hAnsi="Cambria"/>
          <w:sz w:val="20"/>
          <w:szCs w:val="20"/>
          <w:lang w:val="es-AR"/>
        </w:rPr>
        <w:t xml:space="preserve">undamentales durante el proceso de calificación de la violencia política. </w:t>
      </w:r>
      <w:r w:rsidR="00C84008">
        <w:rPr>
          <w:rFonts w:ascii="Cambria" w:hAnsi="Cambria"/>
          <w:sz w:val="20"/>
          <w:szCs w:val="20"/>
          <w:lang w:val="es-AR"/>
        </w:rPr>
        <w:t xml:space="preserve">Tras ello, siguiendo el trámite procesal, el 15 de </w:t>
      </w:r>
      <w:r w:rsidR="00E9775D">
        <w:rPr>
          <w:rFonts w:ascii="Cambria" w:hAnsi="Cambria"/>
          <w:sz w:val="20"/>
          <w:szCs w:val="20"/>
          <w:lang w:val="es-AR"/>
        </w:rPr>
        <w:t xml:space="preserve">agosto </w:t>
      </w:r>
      <w:r w:rsidR="00C84008">
        <w:rPr>
          <w:rFonts w:ascii="Cambria" w:hAnsi="Cambria"/>
          <w:sz w:val="20"/>
          <w:szCs w:val="20"/>
          <w:lang w:val="es-AR"/>
        </w:rPr>
        <w:t>de 2013 el Tribunal Constitucional Plurinacional volvió a conocer la causa y</w:t>
      </w:r>
      <w:r w:rsidR="00F8604B">
        <w:rPr>
          <w:rFonts w:ascii="Cambria" w:hAnsi="Cambria"/>
          <w:sz w:val="20"/>
          <w:szCs w:val="20"/>
          <w:lang w:val="es-AR"/>
        </w:rPr>
        <w:t xml:space="preserve"> confirmó la decisión de rechazar la tutela solicitada, al considerar que existían aspectos que no correspondían que sean impugnados en la vía de acción de cumplimiento sino mediante acción de amparo. </w:t>
      </w:r>
      <w:r w:rsidR="007D6B88">
        <w:rPr>
          <w:rFonts w:ascii="Cambria" w:hAnsi="Cambria"/>
          <w:sz w:val="20"/>
          <w:szCs w:val="20"/>
          <w:lang w:val="es-AR"/>
        </w:rPr>
        <w:t>En concreto, dicha instancia arguyo lo siguiente:</w:t>
      </w:r>
    </w:p>
    <w:p w14:paraId="648074C1" w14:textId="77777777" w:rsidR="009C0A90" w:rsidRDefault="009C0A90" w:rsidP="00AD0329">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ind w:right="720"/>
        <w:jc w:val="both"/>
        <w:rPr>
          <w:sz w:val="20"/>
          <w:szCs w:val="20"/>
          <w:lang w:val="es-AR"/>
        </w:rPr>
      </w:pPr>
      <w:r w:rsidRPr="009C0A90">
        <w:rPr>
          <w:sz w:val="20"/>
          <w:szCs w:val="20"/>
          <w:lang w:val="es-AR"/>
        </w:rPr>
        <w:t xml:space="preserve">Cuando la Ley Fundamental establece como objeto de esta acción el cumplimiento de la Constitución y la ley, hace referencia a un deber específico previsto en dichas normas, pues como señala el art. 134 parágrafo tercero de la CPE, el Juez que conozca la acción, de encontrar cierta y efectiva la demanda, debe ordenar el cumplimiento del deber omitido. </w:t>
      </w:r>
    </w:p>
    <w:p w14:paraId="51DE8A2D" w14:textId="77777777" w:rsidR="00631BFF" w:rsidRPr="009C0A90" w:rsidRDefault="00631BFF" w:rsidP="00AD0329">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ind w:right="720"/>
        <w:jc w:val="both"/>
        <w:rPr>
          <w:sz w:val="20"/>
          <w:szCs w:val="20"/>
          <w:lang w:val="es-AR"/>
        </w:rPr>
      </w:pPr>
    </w:p>
    <w:p w14:paraId="2F0C0587" w14:textId="2B0B4F70" w:rsidR="009C0A90" w:rsidRDefault="00631BFF" w:rsidP="00AD0329">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ind w:right="720"/>
        <w:jc w:val="both"/>
        <w:rPr>
          <w:sz w:val="20"/>
          <w:szCs w:val="20"/>
          <w:lang w:val="es-AR"/>
        </w:rPr>
      </w:pPr>
      <w:r>
        <w:rPr>
          <w:sz w:val="20"/>
          <w:szCs w:val="20"/>
          <w:lang w:val="es-AR"/>
        </w:rPr>
        <w:t>[</w:t>
      </w:r>
      <w:r w:rsidR="009C0A90" w:rsidRPr="009C0A90">
        <w:rPr>
          <w:sz w:val="20"/>
          <w:szCs w:val="20"/>
          <w:lang w:val="es-AR"/>
        </w:rPr>
        <w:t>…</w:t>
      </w:r>
      <w:r>
        <w:rPr>
          <w:sz w:val="20"/>
          <w:szCs w:val="20"/>
          <w:lang w:val="es-AR"/>
        </w:rPr>
        <w:t>]</w:t>
      </w:r>
    </w:p>
    <w:p w14:paraId="61E3262E" w14:textId="77777777" w:rsidR="00631BFF" w:rsidRPr="009C0A90" w:rsidRDefault="00631BFF" w:rsidP="00AD0329">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ind w:right="720"/>
        <w:jc w:val="both"/>
        <w:rPr>
          <w:sz w:val="20"/>
          <w:szCs w:val="20"/>
          <w:lang w:val="es-AR"/>
        </w:rPr>
      </w:pPr>
    </w:p>
    <w:p w14:paraId="7B3CD7B8" w14:textId="77777777" w:rsidR="009C0A90" w:rsidRPr="009C0A90" w:rsidRDefault="009C0A90" w:rsidP="00AD0329">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ind w:right="720"/>
        <w:jc w:val="both"/>
        <w:rPr>
          <w:sz w:val="20"/>
          <w:szCs w:val="20"/>
          <w:lang w:val="es-AR"/>
        </w:rPr>
      </w:pPr>
      <w:r w:rsidRPr="009C0A90">
        <w:rPr>
          <w:sz w:val="20"/>
          <w:szCs w:val="20"/>
          <w:lang w:val="es-AR"/>
        </w:rPr>
        <w:t xml:space="preserve">Para establecer una diferenciación, debe partirse del ámbito de la protección de la acción de cumplimiento, la cual es garantizar la materialización de un deber omitido, que tiene que estar de manera expresa y en forma específica previsto en la norma constitucional o legal. En ese entendido, el deber al que hace referencia la norma constitucional no es genérico – como el cumplimiento de la ley – sino un deber concreto, que pueda ser exigido de manera cierta e indubitable a los servidores públicos; es decir, el deber tiene que derivar de un mandato específico y determinado y debe predicarse de una entidad concreta competente. </w:t>
      </w:r>
    </w:p>
    <w:p w14:paraId="1F0413CB" w14:textId="77777777" w:rsidR="00631BFF" w:rsidRDefault="00631BFF" w:rsidP="00AD0329">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ind w:right="720"/>
        <w:jc w:val="both"/>
        <w:rPr>
          <w:sz w:val="20"/>
          <w:szCs w:val="20"/>
          <w:lang w:val="es-AR"/>
        </w:rPr>
      </w:pPr>
    </w:p>
    <w:p w14:paraId="682C9937" w14:textId="2B17D676" w:rsidR="009C0A90" w:rsidRDefault="00631BFF" w:rsidP="00AD0329">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ind w:right="720"/>
        <w:jc w:val="both"/>
        <w:rPr>
          <w:sz w:val="20"/>
          <w:szCs w:val="20"/>
          <w:lang w:val="es-AR"/>
        </w:rPr>
      </w:pPr>
      <w:r>
        <w:rPr>
          <w:sz w:val="20"/>
          <w:szCs w:val="20"/>
          <w:lang w:val="es-AR"/>
        </w:rPr>
        <w:t>[</w:t>
      </w:r>
      <w:r w:rsidR="009C0A90" w:rsidRPr="009C0A90">
        <w:rPr>
          <w:sz w:val="20"/>
          <w:szCs w:val="20"/>
          <w:lang w:val="es-AR"/>
        </w:rPr>
        <w:t>…</w:t>
      </w:r>
      <w:r>
        <w:rPr>
          <w:sz w:val="20"/>
          <w:szCs w:val="20"/>
          <w:lang w:val="es-AR"/>
        </w:rPr>
        <w:t>]</w:t>
      </w:r>
    </w:p>
    <w:p w14:paraId="48E003C6" w14:textId="77777777" w:rsidR="00631BFF" w:rsidRPr="009C0A90" w:rsidRDefault="00631BFF" w:rsidP="00AD0329">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ind w:right="720"/>
        <w:jc w:val="both"/>
        <w:rPr>
          <w:sz w:val="20"/>
          <w:szCs w:val="20"/>
          <w:lang w:val="es-AR"/>
        </w:rPr>
      </w:pPr>
    </w:p>
    <w:p w14:paraId="387D0BF2" w14:textId="2FC0C1EE" w:rsidR="009C0A90" w:rsidRDefault="009C0A90" w:rsidP="00AD0329">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ind w:right="720"/>
        <w:jc w:val="both"/>
        <w:rPr>
          <w:sz w:val="20"/>
          <w:szCs w:val="20"/>
          <w:lang w:val="es-AR"/>
        </w:rPr>
      </w:pPr>
      <w:r w:rsidRPr="009C0A90">
        <w:rPr>
          <w:sz w:val="20"/>
          <w:szCs w:val="20"/>
          <w:lang w:val="es-AR"/>
        </w:rPr>
        <w:t>En tanto que, si el deber omitido no reúne las características anotadas, sino que se trata de un deber genérico, pero vinculado a la lesión de derechos o garantías fundamentales – como por ejemplo el deber de motivación de las resoluciones cuyo cumplimiento general lesion</w:t>
      </w:r>
      <w:r w:rsidR="00553828">
        <w:rPr>
          <w:sz w:val="20"/>
          <w:szCs w:val="20"/>
          <w:lang w:val="es-AR"/>
        </w:rPr>
        <w:t>a</w:t>
      </w:r>
      <w:r w:rsidRPr="009C0A90">
        <w:rPr>
          <w:sz w:val="20"/>
          <w:szCs w:val="20"/>
          <w:lang w:val="es-AR"/>
        </w:rPr>
        <w:t xml:space="preserve"> al debido proceso – corresponde la formulación de la acción de amparo constitucional por omisión. </w:t>
      </w:r>
    </w:p>
    <w:p w14:paraId="3E3CB6A7" w14:textId="77777777" w:rsidR="009C0A90" w:rsidRDefault="009C0A90" w:rsidP="009C0A90">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sz w:val="20"/>
          <w:szCs w:val="20"/>
          <w:lang w:val="es-AR"/>
        </w:rPr>
      </w:pPr>
    </w:p>
    <w:p w14:paraId="7DAB7815" w14:textId="71FD7753" w:rsidR="009F4B83" w:rsidRDefault="00AA27D1" w:rsidP="009C0A90">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 xml:space="preserve">Afirma que las presuntas víctimas presentaron una solicitud de complementación e enmienda de esta decisión, pero el 30 de mayo de 2014 el Tribunal Constitucional Plurinacional les notificó </w:t>
      </w:r>
      <w:r w:rsidR="00270B59">
        <w:rPr>
          <w:rFonts w:ascii="Cambria" w:hAnsi="Cambria"/>
          <w:sz w:val="20"/>
          <w:szCs w:val="20"/>
          <w:lang w:val="es-AR"/>
        </w:rPr>
        <w:t xml:space="preserve">el rechazo de tal pedido. </w:t>
      </w:r>
      <w:r>
        <w:rPr>
          <w:rFonts w:ascii="Cambria" w:hAnsi="Cambria"/>
          <w:sz w:val="20"/>
          <w:szCs w:val="20"/>
          <w:lang w:val="es-AR"/>
        </w:rPr>
        <w:t xml:space="preserve"> </w:t>
      </w:r>
    </w:p>
    <w:p w14:paraId="3B0030C1" w14:textId="070AB5C0" w:rsidR="009F4B83" w:rsidRPr="009F4B83" w:rsidRDefault="009F4B83" w:rsidP="009F4B8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jc w:val="both"/>
        <w:rPr>
          <w:rFonts w:ascii="Cambria" w:hAnsi="Cambria"/>
          <w:i/>
          <w:iCs/>
          <w:sz w:val="20"/>
          <w:szCs w:val="20"/>
          <w:lang w:val="es-AR"/>
        </w:rPr>
      </w:pPr>
      <w:r w:rsidRPr="009F4B83">
        <w:rPr>
          <w:rFonts w:ascii="Cambria" w:hAnsi="Cambria"/>
          <w:i/>
          <w:iCs/>
          <w:sz w:val="20"/>
          <w:szCs w:val="20"/>
          <w:lang w:val="es-AR"/>
        </w:rPr>
        <w:t>Consideraciones finales</w:t>
      </w:r>
    </w:p>
    <w:p w14:paraId="0AA57A1E" w14:textId="7C1299B7" w:rsidR="0058176C" w:rsidRDefault="006C6CA2" w:rsidP="009C0A90">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Con base en las citadas consideraciones de hecho, la parte peticionaria a</w:t>
      </w:r>
      <w:r w:rsidR="002E7486">
        <w:rPr>
          <w:rFonts w:ascii="Cambria" w:hAnsi="Cambria"/>
          <w:sz w:val="20"/>
          <w:szCs w:val="20"/>
          <w:lang w:val="es-AR"/>
        </w:rPr>
        <w:t>lega que</w:t>
      </w:r>
      <w:r w:rsidR="00653D0F">
        <w:rPr>
          <w:rFonts w:ascii="Cambria" w:hAnsi="Cambria"/>
          <w:sz w:val="20"/>
          <w:szCs w:val="20"/>
          <w:lang w:val="es-AR"/>
        </w:rPr>
        <w:t xml:space="preserve">, pese al tiempo transcurrido desde que se recuperó la democracia, el Estado </w:t>
      </w:r>
      <w:r>
        <w:rPr>
          <w:rFonts w:ascii="Cambria" w:hAnsi="Cambria"/>
          <w:sz w:val="20"/>
          <w:szCs w:val="20"/>
          <w:lang w:val="es-AR"/>
        </w:rPr>
        <w:t>hasta el momento no ha efectuado</w:t>
      </w:r>
      <w:r w:rsidR="002E7486">
        <w:rPr>
          <w:rFonts w:ascii="Cambria" w:hAnsi="Cambria"/>
          <w:sz w:val="20"/>
          <w:szCs w:val="20"/>
          <w:lang w:val="es-AR"/>
        </w:rPr>
        <w:t xml:space="preserve"> ninguna acción positiva y efectiva tendiente a reparar los daños morales y materiales infligidos a las víctimas de las dictaduras. Por el contrario, sostiene que las normas legales y acciones excepcionales adoptadas no se efectivizaron, de manera que nunca se adoptaron las medidas que reparen integralmente el daño causado a quienes sufrieron los efectos de las dictaduras. </w:t>
      </w:r>
    </w:p>
    <w:p w14:paraId="39959DA8" w14:textId="017A5621" w:rsidR="00953766" w:rsidRDefault="00953766" w:rsidP="009C0A90">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 xml:space="preserve">Afirma que, contrario a lo argumentado por el Tribunal Constitucional Plurinacional, el Estado se muestra renuente a cumplir la ley y omite el cumplimiento de un deber claro, expreso y exigible, como es el resarcimiento por causas </w:t>
      </w:r>
      <w:r w:rsidR="00730798">
        <w:rPr>
          <w:rFonts w:ascii="Cambria" w:hAnsi="Cambria"/>
          <w:sz w:val="20"/>
          <w:szCs w:val="20"/>
          <w:lang w:val="es-AR"/>
        </w:rPr>
        <w:t>político-sindicales</w:t>
      </w:r>
      <w:r>
        <w:rPr>
          <w:rFonts w:ascii="Cambria" w:hAnsi="Cambria"/>
          <w:sz w:val="20"/>
          <w:szCs w:val="20"/>
          <w:lang w:val="es-AR"/>
        </w:rPr>
        <w:t xml:space="preserve">, cuyo incumplimiento motivó la interposición de la acción de </w:t>
      </w:r>
      <w:r>
        <w:rPr>
          <w:rFonts w:ascii="Cambria" w:hAnsi="Cambria"/>
          <w:sz w:val="20"/>
          <w:szCs w:val="20"/>
          <w:lang w:val="es-AR"/>
        </w:rPr>
        <w:lastRenderedPageBreak/>
        <w:t xml:space="preserve">cumplimiento. </w:t>
      </w:r>
      <w:r w:rsidR="00730798">
        <w:rPr>
          <w:rFonts w:ascii="Cambria" w:hAnsi="Cambria"/>
          <w:sz w:val="20"/>
          <w:szCs w:val="20"/>
          <w:lang w:val="es-AR"/>
        </w:rPr>
        <w:t>Así, resalta que la Ley</w:t>
      </w:r>
      <w:r w:rsidR="00730798" w:rsidRPr="00730798">
        <w:rPr>
          <w:rFonts w:ascii="Cambria" w:hAnsi="Cambria"/>
          <w:sz w:val="20"/>
          <w:szCs w:val="20"/>
          <w:lang w:val="es-AR"/>
        </w:rPr>
        <w:t xml:space="preserve"> </w:t>
      </w:r>
      <w:r w:rsidR="00730798">
        <w:rPr>
          <w:rFonts w:ascii="Cambria" w:hAnsi="Cambria"/>
          <w:sz w:val="20"/>
          <w:szCs w:val="20"/>
          <w:lang w:val="es-AR"/>
        </w:rPr>
        <w:t>N</w:t>
      </w:r>
      <w:r w:rsidR="00730798" w:rsidRPr="00DE1CB3">
        <w:rPr>
          <w:rFonts w:ascii="Cambria" w:hAnsi="Cambria"/>
          <w:sz w:val="20"/>
          <w:szCs w:val="20"/>
          <w:lang w:val="es-AR"/>
        </w:rPr>
        <w:t>.º</w:t>
      </w:r>
      <w:r w:rsidR="00730798">
        <w:rPr>
          <w:rFonts w:ascii="Cambria" w:hAnsi="Cambria"/>
          <w:sz w:val="20"/>
          <w:szCs w:val="20"/>
          <w:lang w:val="es-AR"/>
        </w:rPr>
        <w:t xml:space="preserve"> 2640 contiene un mandato imperativo, toda vez que reconoce q</w:t>
      </w:r>
      <w:r w:rsidR="006832D7">
        <w:rPr>
          <w:rFonts w:ascii="Cambria" w:hAnsi="Cambria"/>
          <w:sz w:val="20"/>
          <w:szCs w:val="20"/>
          <w:lang w:val="es-AR"/>
        </w:rPr>
        <w:t>ue el Estado “</w:t>
      </w:r>
      <w:r w:rsidR="006832D7" w:rsidRPr="00F303A0">
        <w:rPr>
          <w:rFonts w:ascii="Cambria" w:hAnsi="Cambria"/>
          <w:i/>
          <w:iCs/>
          <w:sz w:val="20"/>
          <w:szCs w:val="20"/>
          <w:lang w:val="es-AR"/>
        </w:rPr>
        <w:t>conculcó los Derechos Humanos y las garantías consagradas en la Constitución Política del Estado y el Pacto Internacional de los Derechos, Civiles y Políticos</w:t>
      </w:r>
      <w:r w:rsidR="006832D7">
        <w:rPr>
          <w:rFonts w:ascii="Cambria" w:hAnsi="Cambria"/>
          <w:sz w:val="20"/>
          <w:szCs w:val="20"/>
          <w:lang w:val="es-AR"/>
        </w:rPr>
        <w:t xml:space="preserve">” y establece un procedimiento que busca </w:t>
      </w:r>
      <w:r w:rsidR="00F303A0">
        <w:rPr>
          <w:rFonts w:ascii="Cambria" w:hAnsi="Cambria"/>
          <w:sz w:val="20"/>
          <w:szCs w:val="20"/>
          <w:lang w:val="es-AR"/>
        </w:rPr>
        <w:t xml:space="preserve">garantizar el derecho de las víctimas a ser resarcidas. </w:t>
      </w:r>
      <w:r w:rsidR="00CC47DE">
        <w:rPr>
          <w:rFonts w:ascii="Cambria" w:hAnsi="Cambria"/>
          <w:sz w:val="20"/>
          <w:szCs w:val="20"/>
          <w:lang w:val="es-AR"/>
        </w:rPr>
        <w:t xml:space="preserve">Por ello, </w:t>
      </w:r>
      <w:r w:rsidR="009534DF">
        <w:rPr>
          <w:rFonts w:ascii="Cambria" w:hAnsi="Cambria"/>
          <w:sz w:val="20"/>
          <w:szCs w:val="20"/>
          <w:lang w:val="es-AR"/>
        </w:rPr>
        <w:t xml:space="preserve">la parte peticionaria considera inaudito que se considere que </w:t>
      </w:r>
      <w:r w:rsidR="00280042">
        <w:rPr>
          <w:rFonts w:ascii="Cambria" w:hAnsi="Cambria"/>
          <w:sz w:val="20"/>
          <w:szCs w:val="20"/>
          <w:lang w:val="es-AR"/>
        </w:rPr>
        <w:t xml:space="preserve">las disposiciones reclamadas no impliquen un deber imperativo y directo respecto de las presuntas víctimas. </w:t>
      </w:r>
    </w:p>
    <w:p w14:paraId="0CD1F4BB" w14:textId="33D6E47D" w:rsidR="00EF0FF2" w:rsidRPr="009C0A90" w:rsidRDefault="00EF0FF2" w:rsidP="009C0A90">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 xml:space="preserve">Sobre tal entendimiento, arguye que </w:t>
      </w:r>
      <w:r w:rsidR="00735E30">
        <w:rPr>
          <w:rFonts w:ascii="Cambria" w:hAnsi="Cambria"/>
          <w:sz w:val="20"/>
          <w:szCs w:val="20"/>
          <w:lang w:val="es-AR"/>
        </w:rPr>
        <w:t>la acción de cumplimiento</w:t>
      </w:r>
      <w:r w:rsidR="000271B0">
        <w:rPr>
          <w:rFonts w:ascii="Cambria" w:hAnsi="Cambria"/>
          <w:sz w:val="20"/>
          <w:szCs w:val="20"/>
          <w:lang w:val="es-AR"/>
        </w:rPr>
        <w:t xml:space="preserve"> utilizada</w:t>
      </w:r>
      <w:r w:rsidR="00735E30">
        <w:rPr>
          <w:rFonts w:ascii="Cambria" w:hAnsi="Cambria"/>
          <w:sz w:val="20"/>
          <w:szCs w:val="20"/>
          <w:lang w:val="es-AR"/>
        </w:rPr>
        <w:t xml:space="preserve"> era la vía </w:t>
      </w:r>
      <w:r w:rsidR="003D3979">
        <w:rPr>
          <w:rFonts w:ascii="Cambria" w:hAnsi="Cambria"/>
          <w:sz w:val="20"/>
          <w:szCs w:val="20"/>
          <w:lang w:val="es-AR"/>
        </w:rPr>
        <w:t xml:space="preserve">accesible, </w:t>
      </w:r>
      <w:r w:rsidR="00735E30">
        <w:rPr>
          <w:rFonts w:ascii="Cambria" w:hAnsi="Cambria"/>
          <w:sz w:val="20"/>
          <w:szCs w:val="20"/>
          <w:lang w:val="es-AR"/>
        </w:rPr>
        <w:t>adec</w:t>
      </w:r>
      <w:r w:rsidR="003D3979">
        <w:rPr>
          <w:rFonts w:ascii="Cambria" w:hAnsi="Cambria"/>
          <w:sz w:val="20"/>
          <w:szCs w:val="20"/>
          <w:lang w:val="es-AR"/>
        </w:rPr>
        <w:t>u</w:t>
      </w:r>
      <w:r w:rsidR="00735E30">
        <w:rPr>
          <w:rFonts w:ascii="Cambria" w:hAnsi="Cambria"/>
          <w:sz w:val="20"/>
          <w:szCs w:val="20"/>
          <w:lang w:val="es-AR"/>
        </w:rPr>
        <w:t xml:space="preserve">ada y eficaz para exigir el cumplimiento de la obligación de reparar integralmente a las presuntas víctimas, en tanto </w:t>
      </w:r>
      <w:r w:rsidR="000271B0">
        <w:rPr>
          <w:rFonts w:ascii="Cambria" w:hAnsi="Cambria"/>
          <w:sz w:val="20"/>
          <w:szCs w:val="20"/>
          <w:lang w:val="es-AR"/>
        </w:rPr>
        <w:t>buscó el cumplimiento del artículo 113.I de la Convención y de la Ley</w:t>
      </w:r>
      <w:r w:rsidR="000271B0" w:rsidRPr="00730798">
        <w:rPr>
          <w:rFonts w:ascii="Cambria" w:hAnsi="Cambria"/>
          <w:sz w:val="20"/>
          <w:szCs w:val="20"/>
          <w:lang w:val="es-AR"/>
        </w:rPr>
        <w:t xml:space="preserve"> </w:t>
      </w:r>
      <w:r w:rsidR="000271B0">
        <w:rPr>
          <w:rFonts w:ascii="Cambria" w:hAnsi="Cambria"/>
          <w:sz w:val="20"/>
          <w:szCs w:val="20"/>
          <w:lang w:val="es-AR"/>
        </w:rPr>
        <w:t>N</w:t>
      </w:r>
      <w:r w:rsidR="000271B0" w:rsidRPr="00DE1CB3">
        <w:rPr>
          <w:rFonts w:ascii="Cambria" w:hAnsi="Cambria"/>
          <w:sz w:val="20"/>
          <w:szCs w:val="20"/>
          <w:lang w:val="es-AR"/>
        </w:rPr>
        <w:t>.º</w:t>
      </w:r>
      <w:r w:rsidR="000271B0">
        <w:rPr>
          <w:rFonts w:ascii="Cambria" w:hAnsi="Cambria"/>
          <w:sz w:val="20"/>
          <w:szCs w:val="20"/>
          <w:lang w:val="es-AR"/>
        </w:rPr>
        <w:t xml:space="preserve"> 2640</w:t>
      </w:r>
      <w:r w:rsidR="00031C9D">
        <w:rPr>
          <w:rFonts w:ascii="Cambria" w:hAnsi="Cambria"/>
          <w:sz w:val="20"/>
          <w:szCs w:val="20"/>
          <w:lang w:val="es-AR"/>
        </w:rPr>
        <w:t xml:space="preserve">. Asimismo, manifiesta que entre la petición presentada y la demanda de cumplimiento existe congruencia </w:t>
      </w:r>
      <w:r w:rsidR="00F9796E">
        <w:rPr>
          <w:rFonts w:ascii="Cambria" w:hAnsi="Cambria"/>
          <w:sz w:val="20"/>
          <w:szCs w:val="20"/>
          <w:lang w:val="es-AR"/>
        </w:rPr>
        <w:t>en relación con el</w:t>
      </w:r>
      <w:r w:rsidR="00031C9D">
        <w:rPr>
          <w:rFonts w:ascii="Cambria" w:hAnsi="Cambria"/>
          <w:sz w:val="20"/>
          <w:szCs w:val="20"/>
          <w:lang w:val="es-AR"/>
        </w:rPr>
        <w:t xml:space="preserve"> reclamo principal, pues ambas tenían como objeto denunciar el incumplimiento continuó de la obligación de brindar una reparación integral a las presuntas víctimas. </w:t>
      </w:r>
    </w:p>
    <w:p w14:paraId="3CEF3D69" w14:textId="026798EF" w:rsidR="0054547C" w:rsidRPr="0054547C" w:rsidRDefault="0054547C" w:rsidP="0054547C">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ind w:left="720"/>
        <w:jc w:val="both"/>
        <w:rPr>
          <w:rFonts w:ascii="Cambria" w:hAnsi="Cambria"/>
          <w:i/>
          <w:iCs/>
          <w:sz w:val="20"/>
          <w:szCs w:val="20"/>
          <w:lang w:val="es-AR"/>
        </w:rPr>
      </w:pPr>
      <w:r w:rsidRPr="0054547C">
        <w:rPr>
          <w:rFonts w:ascii="Cambria" w:hAnsi="Cambria"/>
          <w:i/>
          <w:iCs/>
          <w:sz w:val="20"/>
          <w:szCs w:val="20"/>
          <w:lang w:val="es-AR"/>
        </w:rPr>
        <w:t>Alegatos del Estado</w:t>
      </w:r>
      <w:r w:rsidR="00E024F7">
        <w:rPr>
          <w:rFonts w:ascii="Cambria" w:hAnsi="Cambria"/>
          <w:i/>
          <w:iCs/>
          <w:sz w:val="20"/>
          <w:szCs w:val="20"/>
          <w:lang w:val="es-AR"/>
        </w:rPr>
        <w:t xml:space="preserve"> boliviano</w:t>
      </w:r>
    </w:p>
    <w:p w14:paraId="6F845F09" w14:textId="7EA17F22" w:rsidR="00402BE9" w:rsidRPr="00A54EA7" w:rsidRDefault="00A54EA7" w:rsidP="00A54EA7">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El Estado, por su parte</w:t>
      </w:r>
      <w:r w:rsidR="00F9796E">
        <w:rPr>
          <w:rFonts w:ascii="Cambria" w:hAnsi="Cambria"/>
          <w:sz w:val="20"/>
          <w:szCs w:val="20"/>
          <w:lang w:val="es-AR"/>
        </w:rPr>
        <w:t>,</w:t>
      </w:r>
      <w:r w:rsidR="007C1351">
        <w:rPr>
          <w:rFonts w:ascii="Cambria" w:hAnsi="Cambria"/>
          <w:sz w:val="20"/>
          <w:szCs w:val="20"/>
          <w:lang w:val="es-AR"/>
        </w:rPr>
        <w:t xml:space="preserve"> el </w:t>
      </w:r>
      <w:r>
        <w:rPr>
          <w:rFonts w:ascii="Cambria" w:hAnsi="Cambria"/>
          <w:sz w:val="20"/>
          <w:szCs w:val="20"/>
          <w:lang w:val="es-AR"/>
        </w:rPr>
        <w:t>complementa la información aportada por la parte peticionaria y explica que</w:t>
      </w:r>
      <w:r w:rsidR="00B514CC" w:rsidRPr="00A54EA7">
        <w:rPr>
          <w:rFonts w:ascii="Cambria" w:hAnsi="Cambria"/>
          <w:sz w:val="20"/>
          <w:szCs w:val="20"/>
          <w:lang w:val="es-AR"/>
        </w:rPr>
        <w:t>, la petición está formulada en favor de 464 miembros afiliados</w:t>
      </w:r>
      <w:r w:rsidR="005818C9">
        <w:rPr>
          <w:rFonts w:ascii="Cambria" w:hAnsi="Cambria"/>
          <w:sz w:val="20"/>
          <w:szCs w:val="20"/>
          <w:lang w:val="es-AR"/>
        </w:rPr>
        <w:t xml:space="preserve"> a la UNEXPEPB</w:t>
      </w:r>
      <w:r w:rsidR="00B514CC" w:rsidRPr="00A54EA7">
        <w:rPr>
          <w:rFonts w:ascii="Cambria" w:hAnsi="Cambria"/>
          <w:sz w:val="20"/>
          <w:szCs w:val="20"/>
          <w:lang w:val="es-AR"/>
        </w:rPr>
        <w:t>, los cuales deben dividirse en dos grupos: i) por un lado, aquellas personas que al present</w:t>
      </w:r>
      <w:r w:rsidR="002442D8" w:rsidRPr="00A54EA7">
        <w:rPr>
          <w:rFonts w:ascii="Cambria" w:hAnsi="Cambria"/>
          <w:sz w:val="20"/>
          <w:szCs w:val="20"/>
          <w:lang w:val="es-AR"/>
        </w:rPr>
        <w:t>ar su solicitud para la reparación excepcional lograron calificar y consiguientemente acceder al pago; y ii) por</w:t>
      </w:r>
      <w:r w:rsidR="00295C5B">
        <w:rPr>
          <w:rFonts w:ascii="Cambria" w:hAnsi="Cambria"/>
          <w:sz w:val="20"/>
          <w:szCs w:val="20"/>
          <w:lang w:val="es-AR"/>
        </w:rPr>
        <w:t xml:space="preserve"> otro</w:t>
      </w:r>
      <w:r w:rsidR="002442D8" w:rsidRPr="00A54EA7">
        <w:rPr>
          <w:rFonts w:ascii="Cambria" w:hAnsi="Cambria"/>
          <w:sz w:val="20"/>
          <w:szCs w:val="20"/>
          <w:lang w:val="es-AR"/>
        </w:rPr>
        <w:t xml:space="preserve">, las presuntas víctimas que no calificaron. Asimismo, de este último grupo, se identifica </w:t>
      </w:r>
      <w:r w:rsidR="006D127E" w:rsidRPr="00A54EA7">
        <w:rPr>
          <w:rFonts w:ascii="Cambria" w:hAnsi="Cambria"/>
          <w:sz w:val="20"/>
          <w:szCs w:val="20"/>
          <w:lang w:val="es-AR"/>
        </w:rPr>
        <w:t xml:space="preserve">a quienes presentaron el recurso de reconsideración y las personas que no utilizaron esta vía o lo hicieron fuera de plazo. </w:t>
      </w:r>
    </w:p>
    <w:p w14:paraId="165AC7D9" w14:textId="36871C18" w:rsidR="006F3BFD" w:rsidRDefault="006F3BFD" w:rsidP="00344977">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 xml:space="preserve">Al respecto, informa que sobre la base del número de integrantes que la UNEXPEPB señaló en su petición, se procedió a revisar los archivos de la </w:t>
      </w:r>
      <w:r w:rsidR="001720F9">
        <w:rPr>
          <w:rFonts w:ascii="Cambria" w:hAnsi="Cambria"/>
          <w:sz w:val="20"/>
          <w:szCs w:val="20"/>
          <w:lang w:val="es-AR"/>
        </w:rPr>
        <w:t>CONREVIP</w:t>
      </w:r>
      <w:r>
        <w:rPr>
          <w:rFonts w:ascii="Cambria" w:hAnsi="Cambria"/>
          <w:sz w:val="20"/>
          <w:szCs w:val="20"/>
          <w:lang w:val="es-AR"/>
        </w:rPr>
        <w:t xml:space="preserve">, habiéndose obtenido los siguientes resultados: i) 296 solicitudes calificaron para acceder a la reparación integral; ii) 160 solicitudes no calificaron para acceder a la reparación integral; iii) 2 solicitudes que calificaron no realizaron el cobro correspondiente; y iv) 6 nombres de miembros de </w:t>
      </w:r>
      <w:r w:rsidR="003D22E0">
        <w:rPr>
          <w:rFonts w:ascii="Cambria" w:hAnsi="Cambria"/>
          <w:sz w:val="20"/>
          <w:szCs w:val="20"/>
          <w:lang w:val="es-AR"/>
        </w:rPr>
        <w:t xml:space="preserve">UNEXPEPB, cuyos registro de solicitud no se encuentran en los archivos. </w:t>
      </w:r>
    </w:p>
    <w:p w14:paraId="79E2940E" w14:textId="33390B44" w:rsidR="005F0EF3" w:rsidRPr="00C74E79" w:rsidRDefault="008C5E2D" w:rsidP="005F0EF3">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sidRPr="00083781">
        <w:rPr>
          <w:rFonts w:ascii="Cambria" w:hAnsi="Cambria"/>
          <w:sz w:val="20"/>
          <w:szCs w:val="20"/>
          <w:lang w:val="es-AR"/>
        </w:rPr>
        <w:t xml:space="preserve"> </w:t>
      </w:r>
      <w:r w:rsidR="00C74E79" w:rsidRPr="00083781">
        <w:rPr>
          <w:rFonts w:ascii="Cambria" w:hAnsi="Cambria"/>
          <w:sz w:val="20"/>
          <w:szCs w:val="20"/>
          <w:lang w:val="es-AR"/>
        </w:rPr>
        <w:t>Con base en las citadas consideraciones de hecho, el Estado rep</w:t>
      </w:r>
      <w:r w:rsidR="00AE2E75">
        <w:rPr>
          <w:rFonts w:ascii="Cambria" w:hAnsi="Cambria"/>
          <w:sz w:val="20"/>
          <w:szCs w:val="20"/>
          <w:lang w:val="es-AR"/>
        </w:rPr>
        <w:t>l</w:t>
      </w:r>
      <w:r w:rsidR="00C74E79" w:rsidRPr="00083781">
        <w:rPr>
          <w:rFonts w:ascii="Cambria" w:hAnsi="Cambria"/>
          <w:sz w:val="20"/>
          <w:szCs w:val="20"/>
          <w:lang w:val="es-AR"/>
        </w:rPr>
        <w:t>ica que la petición es inadmisible</w:t>
      </w:r>
      <w:r w:rsidR="001362E4" w:rsidRPr="00083781">
        <w:rPr>
          <w:rFonts w:ascii="Cambria" w:hAnsi="Cambria"/>
          <w:sz w:val="20"/>
          <w:szCs w:val="20"/>
          <w:lang w:val="es-AR"/>
        </w:rPr>
        <w:t xml:space="preserve">, dado que la Comisión carece de competencia personal </w:t>
      </w:r>
      <w:r w:rsidR="00831385" w:rsidRPr="00083781">
        <w:rPr>
          <w:rFonts w:ascii="Cambria" w:hAnsi="Cambria"/>
          <w:sz w:val="20"/>
          <w:szCs w:val="20"/>
          <w:lang w:val="es-AR"/>
        </w:rPr>
        <w:t xml:space="preserve">para emitir un pronunciamiento, dada la abstracción del reclamo. </w:t>
      </w:r>
      <w:r w:rsidR="00E24BFD">
        <w:rPr>
          <w:rFonts w:ascii="Cambria" w:hAnsi="Cambria"/>
          <w:sz w:val="20"/>
          <w:szCs w:val="20"/>
          <w:lang w:val="es-AR"/>
        </w:rPr>
        <w:t>S</w:t>
      </w:r>
      <w:r w:rsidR="00831385" w:rsidRPr="00083781">
        <w:rPr>
          <w:rFonts w:ascii="Cambria" w:hAnsi="Cambria"/>
          <w:sz w:val="20"/>
          <w:szCs w:val="20"/>
          <w:lang w:val="es-AR"/>
        </w:rPr>
        <w:t xml:space="preserve">ostiene </w:t>
      </w:r>
      <w:r w:rsidR="00132B79" w:rsidRPr="00083781">
        <w:rPr>
          <w:rFonts w:ascii="Cambria" w:hAnsi="Cambria"/>
          <w:sz w:val="20"/>
          <w:szCs w:val="20"/>
          <w:lang w:val="es-AR"/>
        </w:rPr>
        <w:t>que,</w:t>
      </w:r>
      <w:r w:rsidR="00831385" w:rsidRPr="00083781">
        <w:rPr>
          <w:rFonts w:ascii="Cambria" w:hAnsi="Cambria"/>
          <w:sz w:val="20"/>
          <w:szCs w:val="20"/>
          <w:lang w:val="es-AR"/>
        </w:rPr>
        <w:t xml:space="preserve"> </w:t>
      </w:r>
      <w:r w:rsidR="005F0EF3">
        <w:rPr>
          <w:rFonts w:ascii="Cambria" w:hAnsi="Cambria"/>
          <w:sz w:val="20"/>
          <w:szCs w:val="20"/>
          <w:lang w:val="es-AR"/>
        </w:rPr>
        <w:t>si bien la UNEXPEPB establece un número de integrantes que sufrieron alguna clase de vulneración en la dictadura militar, de estos</w:t>
      </w:r>
      <w:r w:rsidR="005D1208">
        <w:rPr>
          <w:rFonts w:ascii="Cambria" w:hAnsi="Cambria"/>
          <w:sz w:val="20"/>
          <w:szCs w:val="20"/>
          <w:lang w:val="es-AR"/>
        </w:rPr>
        <w:t>,</w:t>
      </w:r>
      <w:r w:rsidR="005F0EF3">
        <w:rPr>
          <w:rFonts w:ascii="Cambria" w:hAnsi="Cambria"/>
          <w:sz w:val="20"/>
          <w:szCs w:val="20"/>
          <w:lang w:val="es-AR"/>
        </w:rPr>
        <w:t xml:space="preserve"> no todos están en la misma situación, pues cada uno tiene una historia propia respecto a sus lamentables experiencias</w:t>
      </w:r>
      <w:r w:rsidR="005D1208">
        <w:rPr>
          <w:rFonts w:ascii="Cambria" w:hAnsi="Cambria"/>
          <w:sz w:val="20"/>
          <w:szCs w:val="20"/>
          <w:lang w:val="es-AR"/>
        </w:rPr>
        <w:t>,</w:t>
      </w:r>
      <w:r w:rsidR="005F0EF3">
        <w:rPr>
          <w:rFonts w:ascii="Cambria" w:hAnsi="Cambria"/>
          <w:sz w:val="20"/>
          <w:szCs w:val="20"/>
          <w:lang w:val="es-AR"/>
        </w:rPr>
        <w:t xml:space="preserve"> y por consiguiente es obvio que el proceso de calificación de cada uno tuvo sus particularidades. Asimismo, considera que se debe tomar en cuenta que los hechos referidos datan de un extenso periodo que abarc</w:t>
      </w:r>
      <w:r w:rsidR="00F86EFF">
        <w:rPr>
          <w:rFonts w:ascii="Cambria" w:hAnsi="Cambria"/>
          <w:sz w:val="20"/>
          <w:szCs w:val="20"/>
          <w:lang w:val="es-AR"/>
        </w:rPr>
        <w:t>ó</w:t>
      </w:r>
      <w:r w:rsidR="005F0EF3">
        <w:rPr>
          <w:rFonts w:ascii="Cambria" w:hAnsi="Cambria"/>
          <w:sz w:val="20"/>
          <w:szCs w:val="20"/>
          <w:lang w:val="es-AR"/>
        </w:rPr>
        <w:t xml:space="preserve"> </w:t>
      </w:r>
      <w:r w:rsidR="00F86EFF">
        <w:rPr>
          <w:rFonts w:ascii="Cambria" w:hAnsi="Cambria"/>
          <w:sz w:val="20"/>
          <w:szCs w:val="20"/>
          <w:lang w:val="es-AR"/>
        </w:rPr>
        <w:t>de</w:t>
      </w:r>
      <w:r w:rsidR="005F0EF3">
        <w:rPr>
          <w:rFonts w:ascii="Cambria" w:hAnsi="Cambria"/>
          <w:sz w:val="20"/>
          <w:szCs w:val="20"/>
          <w:lang w:val="es-AR"/>
        </w:rPr>
        <w:t xml:space="preserve"> 1964 a 1982</w:t>
      </w:r>
      <w:r w:rsidR="007F2C63">
        <w:rPr>
          <w:rFonts w:ascii="Cambria" w:hAnsi="Cambria"/>
          <w:sz w:val="20"/>
          <w:szCs w:val="20"/>
          <w:lang w:val="es-AR"/>
        </w:rPr>
        <w:t>. Debido a ello, el Estado arguye que el presente reclamo deviene en abstracto, dado</w:t>
      </w:r>
      <w:r w:rsidR="00613163">
        <w:rPr>
          <w:rFonts w:ascii="Cambria" w:hAnsi="Cambria"/>
          <w:sz w:val="20"/>
          <w:szCs w:val="20"/>
          <w:lang w:val="es-AR"/>
        </w:rPr>
        <w:t xml:space="preserve"> que no se ha considerado las particularidades de cada una de las presuntas víctimas, por lo que existe una deficiencia en la individualización.</w:t>
      </w:r>
    </w:p>
    <w:p w14:paraId="4D138DD9" w14:textId="5A591840" w:rsidR="00083781" w:rsidRDefault="00881D3B">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240"/>
        <w:jc w:val="both"/>
        <w:rPr>
          <w:rFonts w:ascii="Cambria" w:hAnsi="Cambria"/>
          <w:sz w:val="20"/>
          <w:szCs w:val="20"/>
          <w:lang w:val="es-UY"/>
        </w:rPr>
      </w:pPr>
      <w:r>
        <w:rPr>
          <w:rFonts w:ascii="Cambria" w:hAnsi="Cambria"/>
          <w:sz w:val="20"/>
          <w:szCs w:val="20"/>
          <w:lang w:val="es-UY"/>
        </w:rPr>
        <w:t>En sentido similar, plan</w:t>
      </w:r>
      <w:r w:rsidR="00616F8E">
        <w:rPr>
          <w:rFonts w:ascii="Cambria" w:hAnsi="Cambria"/>
          <w:sz w:val="20"/>
          <w:szCs w:val="20"/>
          <w:lang w:val="es-UY"/>
        </w:rPr>
        <w:t>t</w:t>
      </w:r>
      <w:r>
        <w:rPr>
          <w:rFonts w:ascii="Cambria" w:hAnsi="Cambria"/>
          <w:sz w:val="20"/>
          <w:szCs w:val="20"/>
          <w:lang w:val="es-UY"/>
        </w:rPr>
        <w:t xml:space="preserve">ea que la Comisión también carece de competencia material para pronunciarse sobre las supuestas transgresiones a preceptos establecidos en los instrumentos internacionales del Sistema Universal de Protección de Derechos Humanos. </w:t>
      </w:r>
    </w:p>
    <w:p w14:paraId="201BC499" w14:textId="0BE8F393" w:rsidR="00F3265E" w:rsidRDefault="00E7777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240"/>
        <w:jc w:val="both"/>
        <w:rPr>
          <w:rFonts w:ascii="Cambria" w:hAnsi="Cambria"/>
          <w:sz w:val="20"/>
          <w:szCs w:val="20"/>
          <w:lang w:val="es-UY"/>
        </w:rPr>
      </w:pPr>
      <w:r>
        <w:rPr>
          <w:rFonts w:ascii="Cambria" w:hAnsi="Cambria"/>
          <w:sz w:val="20"/>
          <w:szCs w:val="20"/>
          <w:lang w:val="es-UY"/>
        </w:rPr>
        <w:t xml:space="preserve">Sin perjuicio de ello, el Estado </w:t>
      </w:r>
      <w:r w:rsidR="0036590B">
        <w:rPr>
          <w:rFonts w:ascii="Cambria" w:hAnsi="Cambria"/>
          <w:sz w:val="20"/>
          <w:szCs w:val="20"/>
          <w:lang w:val="es-UY"/>
        </w:rPr>
        <w:t>alega</w:t>
      </w:r>
      <w:r>
        <w:rPr>
          <w:rFonts w:ascii="Cambria" w:hAnsi="Cambria"/>
          <w:sz w:val="20"/>
          <w:szCs w:val="20"/>
          <w:lang w:val="es-UY"/>
        </w:rPr>
        <w:t xml:space="preserve"> que en caso a CIDH considere que tiene competencia para resolver este reclamo, la petición es inadmisible por falta de agotamiento de la jurisdicción interna. </w:t>
      </w:r>
      <w:r w:rsidR="002A537B">
        <w:rPr>
          <w:rFonts w:ascii="Cambria" w:hAnsi="Cambria"/>
          <w:sz w:val="20"/>
          <w:szCs w:val="20"/>
          <w:lang w:val="es-UY"/>
        </w:rPr>
        <w:t xml:space="preserve">En primer lugar, afirma que las presuntas víctimas, de manera individual, no promovieron un proceso penal, </w:t>
      </w:r>
      <w:r w:rsidR="00B46CF4">
        <w:rPr>
          <w:rFonts w:ascii="Cambria" w:hAnsi="Cambria"/>
          <w:sz w:val="20"/>
          <w:szCs w:val="20"/>
          <w:lang w:val="es-UY"/>
        </w:rPr>
        <w:t xml:space="preserve">a efectos que las autoridades analicen cada caso con sus respectivas particularidades. </w:t>
      </w:r>
      <w:r w:rsidR="000C69B9">
        <w:rPr>
          <w:rFonts w:ascii="Cambria" w:hAnsi="Cambria"/>
          <w:sz w:val="20"/>
          <w:szCs w:val="20"/>
          <w:lang w:val="es-UY"/>
        </w:rPr>
        <w:t>En esa línea, agrega que tampoco se constituyeron en parte</w:t>
      </w:r>
      <w:r w:rsidR="001F7B52">
        <w:rPr>
          <w:rFonts w:ascii="Cambria" w:hAnsi="Cambria"/>
          <w:sz w:val="20"/>
          <w:szCs w:val="20"/>
          <w:lang w:val="es-UY"/>
        </w:rPr>
        <w:t xml:space="preserve"> en los procesos realizados para juzgar y sancionar a los responsables de las violaciones de derechos humanos cometidas durante la dictadura</w:t>
      </w:r>
      <w:r w:rsidR="003F5C79">
        <w:rPr>
          <w:rFonts w:ascii="Cambria" w:hAnsi="Cambria"/>
          <w:sz w:val="20"/>
          <w:szCs w:val="20"/>
          <w:lang w:val="es-UY"/>
        </w:rPr>
        <w:t xml:space="preserve"> y</w:t>
      </w:r>
      <w:r w:rsidR="001F7B52">
        <w:rPr>
          <w:rFonts w:ascii="Cambria" w:hAnsi="Cambria"/>
          <w:sz w:val="20"/>
          <w:szCs w:val="20"/>
          <w:lang w:val="es-UY"/>
        </w:rPr>
        <w:t xml:space="preserve"> </w:t>
      </w:r>
      <w:r w:rsidR="003F5C79">
        <w:rPr>
          <w:rFonts w:ascii="Cambria" w:hAnsi="Cambria"/>
          <w:sz w:val="20"/>
          <w:szCs w:val="20"/>
          <w:lang w:val="es-UY"/>
        </w:rPr>
        <w:t>r</w:t>
      </w:r>
      <w:r w:rsidR="00533E96">
        <w:rPr>
          <w:rFonts w:ascii="Cambria" w:hAnsi="Cambria"/>
          <w:sz w:val="20"/>
          <w:szCs w:val="20"/>
          <w:lang w:val="es-UY"/>
        </w:rPr>
        <w:t>esalta que la parte peticionaria no justific</w:t>
      </w:r>
      <w:r w:rsidR="003F5C79">
        <w:rPr>
          <w:rFonts w:ascii="Cambria" w:hAnsi="Cambria"/>
          <w:sz w:val="20"/>
          <w:szCs w:val="20"/>
          <w:lang w:val="es-UY"/>
        </w:rPr>
        <w:t>ó</w:t>
      </w:r>
      <w:r w:rsidR="00533E96">
        <w:rPr>
          <w:rFonts w:ascii="Cambria" w:hAnsi="Cambria"/>
          <w:sz w:val="20"/>
          <w:szCs w:val="20"/>
          <w:lang w:val="es-UY"/>
        </w:rPr>
        <w:t xml:space="preserve"> los motivos por los cuáles no se adoptó ninguna acción al respecto o las razones por las que cada uno de ellos no activó la acción penal. En consecuencia, alega que no se agotaron los recursos disponibles a nivel interno. </w:t>
      </w:r>
    </w:p>
    <w:p w14:paraId="28915D90" w14:textId="40B05F4E" w:rsidR="00533E96" w:rsidRPr="00083781" w:rsidRDefault="00E8541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240"/>
        <w:jc w:val="both"/>
        <w:rPr>
          <w:rFonts w:ascii="Cambria" w:hAnsi="Cambria"/>
          <w:sz w:val="20"/>
          <w:szCs w:val="20"/>
          <w:lang w:val="es-UY"/>
        </w:rPr>
      </w:pPr>
      <w:r>
        <w:rPr>
          <w:rFonts w:ascii="Cambria" w:hAnsi="Cambria"/>
          <w:sz w:val="20"/>
          <w:szCs w:val="20"/>
          <w:lang w:val="es-UY"/>
        </w:rPr>
        <w:t xml:space="preserve">Adicionalmente, plantea que las presuntas víctimas utilizaron de forma incorrecta la vía constitucional. Al respecto, </w:t>
      </w:r>
      <w:r w:rsidR="00151550">
        <w:rPr>
          <w:rFonts w:ascii="Cambria" w:hAnsi="Cambria"/>
          <w:sz w:val="20"/>
          <w:szCs w:val="20"/>
          <w:lang w:val="es-UY"/>
        </w:rPr>
        <w:t xml:space="preserve">indica que los integrantes de la UNEXPEPB </w:t>
      </w:r>
      <w:r>
        <w:rPr>
          <w:rFonts w:ascii="Cambria" w:hAnsi="Cambria"/>
          <w:sz w:val="20"/>
          <w:szCs w:val="20"/>
          <w:lang w:val="es-UY"/>
        </w:rPr>
        <w:t>supusieron erróneamente que la acción que debían interponer era la acción de cumplimiento y no la acción de amparo constitucional.</w:t>
      </w:r>
      <w:r w:rsidR="00151550">
        <w:rPr>
          <w:rFonts w:ascii="Cambria" w:hAnsi="Cambria"/>
          <w:sz w:val="20"/>
          <w:szCs w:val="20"/>
          <w:lang w:val="es-UY"/>
        </w:rPr>
        <w:t xml:space="preserve"> Resalta que </w:t>
      </w:r>
      <w:r w:rsidR="00BF3481">
        <w:rPr>
          <w:rFonts w:ascii="Cambria" w:hAnsi="Cambria"/>
          <w:sz w:val="20"/>
          <w:szCs w:val="20"/>
          <w:lang w:val="es-UY"/>
        </w:rPr>
        <w:t xml:space="preserve">en </w:t>
      </w:r>
      <w:r w:rsidR="00151550">
        <w:rPr>
          <w:rFonts w:ascii="Cambria" w:hAnsi="Cambria"/>
          <w:sz w:val="20"/>
          <w:szCs w:val="20"/>
          <w:lang w:val="es-UY"/>
        </w:rPr>
        <w:t>la Sentencia Constitucional 1223/2013,</w:t>
      </w:r>
      <w:r w:rsidR="00BF3481">
        <w:rPr>
          <w:rFonts w:ascii="Cambria" w:hAnsi="Cambria"/>
          <w:sz w:val="20"/>
          <w:szCs w:val="20"/>
          <w:lang w:val="es-UY"/>
        </w:rPr>
        <w:t xml:space="preserve"> mediante la cual el Tribunal Constitucional Plurinacional </w:t>
      </w:r>
      <w:r w:rsidR="00151550">
        <w:rPr>
          <w:rFonts w:ascii="Cambria" w:hAnsi="Cambria"/>
          <w:sz w:val="20"/>
          <w:szCs w:val="20"/>
          <w:lang w:val="es-UY"/>
        </w:rPr>
        <w:t xml:space="preserve">rechazó un </w:t>
      </w:r>
      <w:r w:rsidR="00151550">
        <w:rPr>
          <w:rFonts w:ascii="Cambria" w:hAnsi="Cambria"/>
          <w:sz w:val="20"/>
          <w:szCs w:val="20"/>
          <w:lang w:val="es-UY"/>
        </w:rPr>
        <w:lastRenderedPageBreak/>
        <w:t xml:space="preserve">reclamo </w:t>
      </w:r>
      <w:r w:rsidR="00BF3481">
        <w:rPr>
          <w:rFonts w:ascii="Cambria" w:hAnsi="Cambria"/>
          <w:sz w:val="20"/>
          <w:szCs w:val="20"/>
          <w:lang w:val="es-UY"/>
        </w:rPr>
        <w:t xml:space="preserve">de personas en condiciones similares a las presuntas víctimas, en ningún momento se </w:t>
      </w:r>
      <w:r w:rsidR="00185AA3">
        <w:rPr>
          <w:rFonts w:ascii="Cambria" w:hAnsi="Cambria"/>
          <w:sz w:val="20"/>
          <w:szCs w:val="20"/>
          <w:lang w:val="es-UY"/>
        </w:rPr>
        <w:t>estableció</w:t>
      </w:r>
      <w:r w:rsidR="00BF3481">
        <w:rPr>
          <w:rFonts w:ascii="Cambria" w:hAnsi="Cambria"/>
          <w:sz w:val="20"/>
          <w:szCs w:val="20"/>
          <w:lang w:val="es-UY"/>
        </w:rPr>
        <w:t xml:space="preserve"> que la vía aplicable era la acción de cumplimiento. </w:t>
      </w:r>
      <w:r w:rsidR="00185AA3">
        <w:rPr>
          <w:rFonts w:ascii="Cambria" w:hAnsi="Cambria"/>
          <w:sz w:val="20"/>
          <w:szCs w:val="20"/>
          <w:lang w:val="es-UY"/>
        </w:rPr>
        <w:t>Por el contrario, dich</w:t>
      </w:r>
      <w:r w:rsidR="00220050">
        <w:rPr>
          <w:rFonts w:ascii="Cambria" w:hAnsi="Cambria"/>
          <w:sz w:val="20"/>
          <w:szCs w:val="20"/>
          <w:lang w:val="es-UY"/>
        </w:rPr>
        <w:t xml:space="preserve">o tribunal </w:t>
      </w:r>
      <w:r w:rsidR="00602818">
        <w:rPr>
          <w:rFonts w:ascii="Cambria" w:hAnsi="Cambria"/>
          <w:sz w:val="20"/>
          <w:szCs w:val="20"/>
          <w:lang w:val="es-UY"/>
        </w:rPr>
        <w:t xml:space="preserve">solo </w:t>
      </w:r>
      <w:r w:rsidR="00220050">
        <w:rPr>
          <w:rFonts w:ascii="Cambria" w:hAnsi="Cambria"/>
          <w:sz w:val="20"/>
          <w:szCs w:val="20"/>
          <w:lang w:val="es-UY"/>
        </w:rPr>
        <w:t xml:space="preserve">destacó que la acción de cumplimiento solo procede cando se trata de deberes concretos y específicos, y no así en el caso de </w:t>
      </w:r>
      <w:r w:rsidR="009F2FE4">
        <w:rPr>
          <w:rFonts w:ascii="Cambria" w:hAnsi="Cambria"/>
          <w:sz w:val="20"/>
          <w:szCs w:val="20"/>
          <w:lang w:val="es-UY"/>
        </w:rPr>
        <w:t>deberes</w:t>
      </w:r>
      <w:r w:rsidR="00220050">
        <w:rPr>
          <w:rFonts w:ascii="Cambria" w:hAnsi="Cambria"/>
          <w:sz w:val="20"/>
          <w:szCs w:val="20"/>
          <w:lang w:val="es-UY"/>
        </w:rPr>
        <w:t xml:space="preserve"> genéricos. </w:t>
      </w:r>
      <w:r w:rsidR="009F2FE4">
        <w:rPr>
          <w:rFonts w:ascii="Cambria" w:hAnsi="Cambria"/>
          <w:sz w:val="20"/>
          <w:szCs w:val="20"/>
          <w:lang w:val="es-UY"/>
        </w:rPr>
        <w:t>En tal sentido, el Estado indica que las presuntas víctimas</w:t>
      </w:r>
      <w:r w:rsidR="00195E69">
        <w:rPr>
          <w:rFonts w:ascii="Cambria" w:hAnsi="Cambria"/>
          <w:sz w:val="20"/>
          <w:szCs w:val="20"/>
          <w:lang w:val="es-UY"/>
        </w:rPr>
        <w:t xml:space="preserve"> que considerase</w:t>
      </w:r>
      <w:r w:rsidR="00574000">
        <w:rPr>
          <w:rFonts w:ascii="Cambria" w:hAnsi="Cambria"/>
          <w:sz w:val="20"/>
          <w:szCs w:val="20"/>
          <w:lang w:val="es-UY"/>
        </w:rPr>
        <w:t xml:space="preserve"> agraviados sus derechos</w:t>
      </w:r>
      <w:r w:rsidR="009F2FE4">
        <w:rPr>
          <w:rFonts w:ascii="Cambria" w:hAnsi="Cambria"/>
          <w:sz w:val="20"/>
          <w:szCs w:val="20"/>
          <w:lang w:val="es-UY"/>
        </w:rPr>
        <w:t xml:space="preserve"> debieron utilizar la vía de amparo, la cual era el medio adecuado y efectivo para atender su petición, toda vez que </w:t>
      </w:r>
      <w:r w:rsidR="00702193">
        <w:rPr>
          <w:rFonts w:ascii="Cambria" w:hAnsi="Cambria"/>
          <w:sz w:val="20"/>
          <w:szCs w:val="20"/>
          <w:lang w:val="es-UY"/>
        </w:rPr>
        <w:t xml:space="preserve">este permite cuestionar actos y omisiones ilegales o indebidos cometidos por particulares o servidores públicos que restrinjan, supriman o amenacen restringir o suprimir los derechos reconocidos en el bloque de constitucionalidad. En consecuencia, toda vez que las presuntas víctimas decidieron voluntariamente no utilizar la acción de amparo, solicita a la CIDH que declare que el presente asunto no cumple con el requisito previsto en el artículo 46.1.a) de la Convención y, por ende, disponga su archivo. </w:t>
      </w:r>
    </w:p>
    <w:p w14:paraId="6F4D4171" w14:textId="1069FCCA" w:rsidR="003239B8" w:rsidRPr="00083781" w:rsidRDefault="003239B8" w:rsidP="0008378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240"/>
        <w:ind w:left="720"/>
        <w:jc w:val="both"/>
        <w:rPr>
          <w:rFonts w:ascii="Cambria" w:hAnsi="Cambria"/>
          <w:sz w:val="20"/>
          <w:szCs w:val="20"/>
          <w:lang w:val="es-UY"/>
        </w:rPr>
      </w:pPr>
      <w:r w:rsidRPr="00083781">
        <w:rPr>
          <w:rFonts w:asciiTheme="majorHAnsi" w:eastAsia="Cambria" w:hAnsiTheme="majorHAnsi" w:cs="Cambria"/>
          <w:b/>
          <w:bCs/>
          <w:color w:val="000000"/>
          <w:sz w:val="20"/>
          <w:szCs w:val="20"/>
          <w:u w:color="000000"/>
          <w:lang w:val="es-ES" w:eastAsia="es-ES"/>
        </w:rPr>
        <w:t>VI.</w:t>
      </w:r>
      <w:r w:rsidRPr="00083781">
        <w:rPr>
          <w:rFonts w:asciiTheme="majorHAnsi" w:eastAsia="Cambria" w:hAnsiTheme="majorHAnsi" w:cs="Cambria"/>
          <w:b/>
          <w:bCs/>
          <w:color w:val="000000"/>
          <w:sz w:val="20"/>
          <w:szCs w:val="20"/>
          <w:u w:color="000000"/>
          <w:lang w:val="es-ES" w:eastAsia="es-ES"/>
        </w:rPr>
        <w:tab/>
      </w:r>
      <w:r w:rsidR="004A6A54" w:rsidRPr="00083781">
        <w:rPr>
          <w:rFonts w:asciiTheme="majorHAnsi" w:hAnsiTheme="majorHAnsi"/>
          <w:b/>
          <w:bCs/>
          <w:sz w:val="20"/>
          <w:szCs w:val="20"/>
          <w:lang w:val="es-ES_tradnl"/>
        </w:rPr>
        <w:t xml:space="preserve">ANÁLISIS DE </w:t>
      </w:r>
      <w:r w:rsidR="00C21FEF" w:rsidRPr="00083781">
        <w:rPr>
          <w:rFonts w:asciiTheme="majorHAnsi" w:hAnsiTheme="majorHAnsi"/>
          <w:b/>
          <w:sz w:val="20"/>
          <w:szCs w:val="20"/>
          <w:lang w:val="es-ES"/>
        </w:rPr>
        <w:t>AGOTAMIENTO DE LOS RECURSOS INTERNOS Y PLAZO DE PRESENTACIÓN</w:t>
      </w:r>
      <w:r w:rsidR="00C21FEF" w:rsidRPr="00083781">
        <w:rPr>
          <w:rFonts w:asciiTheme="majorHAnsi" w:eastAsia="Cambria" w:hAnsiTheme="majorHAnsi" w:cs="Cambria"/>
          <w:b/>
          <w:bCs/>
          <w:color w:val="000000"/>
          <w:sz w:val="20"/>
          <w:szCs w:val="20"/>
          <w:u w:color="000000"/>
          <w:lang w:val="es-ES" w:eastAsia="es-ES"/>
        </w:rPr>
        <w:t xml:space="preserve"> </w:t>
      </w:r>
    </w:p>
    <w:p w14:paraId="09DBF3E7" w14:textId="740D577F" w:rsidR="006F73A3" w:rsidRPr="00245C4B" w:rsidRDefault="006F73A3" w:rsidP="006F73A3">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lang w:val="es-ES_tradnl"/>
        </w:rPr>
      </w:pPr>
      <w:r w:rsidRPr="0074237A">
        <w:rPr>
          <w:rFonts w:ascii="Cambria" w:hAnsi="Cambria"/>
          <w:sz w:val="20"/>
          <w:szCs w:val="20"/>
          <w:lang w:val="es-ES_tradnl"/>
        </w:rPr>
        <w:t>La CIDH considera que para efectos de evaluar la idoneidad de los recursos disponibles a un determinado peticionario bajo el ordenamiento nacional, la CIDH usualmente establece con precisión cuál es el reclamo específico que se ha formulado en sede interamericana, para luego identificar los recursos judiciales provistos por el sistema jurídico doméstico que estaban disponibles y eran adecuados para ventilar ese reclamo en particular; en ello consiste, precisamente, la idoneidad y efectividad de cada recurso considerado en concreto</w:t>
      </w:r>
      <w:r>
        <w:rPr>
          <w:rFonts w:ascii="Cambria" w:hAnsi="Cambria"/>
          <w:sz w:val="20"/>
          <w:szCs w:val="20"/>
          <w:lang w:val="es-ES_tradnl"/>
        </w:rPr>
        <w:t xml:space="preserve">, </w:t>
      </w:r>
      <w:r w:rsidRPr="0074237A">
        <w:rPr>
          <w:rFonts w:ascii="Cambria" w:hAnsi="Cambria"/>
          <w:sz w:val="20"/>
          <w:szCs w:val="20"/>
          <w:lang w:val="es-ES_tradnl"/>
        </w:rPr>
        <w:t>en que provea una oportunidad real para que la alegada lesión a los derechos humanos sea remediada y resuelta por los jueces nacionales, de manera efectiva y oportuna, a</w:t>
      </w:r>
      <w:r w:rsidRPr="00245C4B">
        <w:rPr>
          <w:rFonts w:ascii="Cambria" w:hAnsi="Cambria"/>
          <w:sz w:val="20"/>
          <w:szCs w:val="20"/>
          <w:lang w:val="es-ES_tradnl"/>
        </w:rPr>
        <w:t>ntes de que se pueda acudir al Sistema Interamericano de protección</w:t>
      </w:r>
      <w:r w:rsidR="001B35F0">
        <w:rPr>
          <w:rStyle w:val="FootnoteReference"/>
          <w:rFonts w:ascii="Cambria" w:hAnsi="Cambria"/>
          <w:sz w:val="20"/>
          <w:szCs w:val="20"/>
          <w:lang w:val="es-ES_tradnl"/>
        </w:rPr>
        <w:footnoteReference w:id="12"/>
      </w:r>
      <w:r w:rsidRPr="00245C4B">
        <w:rPr>
          <w:rFonts w:ascii="Cambria" w:hAnsi="Cambria"/>
          <w:sz w:val="20"/>
          <w:szCs w:val="20"/>
          <w:lang w:val="es-ES_tradnl"/>
        </w:rPr>
        <w:t xml:space="preserve">. </w:t>
      </w:r>
    </w:p>
    <w:p w14:paraId="4A6D5247" w14:textId="475D2AF9" w:rsidR="001B35F0" w:rsidRDefault="006F73A3" w:rsidP="006F73A3">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Theme="majorHAnsi" w:hAnsiTheme="majorHAnsi"/>
          <w:sz w:val="20"/>
          <w:szCs w:val="20"/>
          <w:lang w:val="es-ES_tradnl"/>
        </w:rPr>
      </w:pPr>
      <w:r>
        <w:rPr>
          <w:rFonts w:asciiTheme="majorHAnsi" w:hAnsiTheme="majorHAnsi"/>
          <w:sz w:val="20"/>
          <w:szCs w:val="20"/>
          <w:lang w:val="es-ES_tradnl"/>
        </w:rPr>
        <w:t xml:space="preserve">En el presente asunto, la Comisión observa que </w:t>
      </w:r>
      <w:r w:rsidR="00DF2711">
        <w:rPr>
          <w:rFonts w:asciiTheme="majorHAnsi" w:hAnsiTheme="majorHAnsi"/>
          <w:sz w:val="20"/>
          <w:szCs w:val="20"/>
          <w:lang w:val="es-ES_tradnl"/>
        </w:rPr>
        <w:t xml:space="preserve">la parte peticionaria cuestiona que el Estado viene incumpliendo su obligación de garantizar una reparación a las presuntas víctimas por las violaciones de derechos humanos que sufrieron durante </w:t>
      </w:r>
      <w:r w:rsidR="001B2F52">
        <w:rPr>
          <w:rFonts w:asciiTheme="majorHAnsi" w:hAnsiTheme="majorHAnsi"/>
          <w:sz w:val="20"/>
          <w:szCs w:val="20"/>
          <w:lang w:val="es-ES_tradnl"/>
        </w:rPr>
        <w:t xml:space="preserve">los gobiernos dictatoriales de 1964 a 1982, dado que no ha facilitado una vía adecuada para que pueda hacer valer este derecho. </w:t>
      </w:r>
      <w:r w:rsidR="000D13AD">
        <w:rPr>
          <w:rFonts w:asciiTheme="majorHAnsi" w:hAnsiTheme="majorHAnsi"/>
          <w:sz w:val="20"/>
          <w:szCs w:val="20"/>
          <w:lang w:val="es-ES_tradnl"/>
        </w:rPr>
        <w:t>En consecuencia, la CIDH</w:t>
      </w:r>
      <w:r w:rsidR="009F7CE0">
        <w:rPr>
          <w:rFonts w:asciiTheme="majorHAnsi" w:hAnsiTheme="majorHAnsi"/>
          <w:sz w:val="20"/>
          <w:szCs w:val="20"/>
          <w:lang w:val="es-ES_tradnl"/>
        </w:rPr>
        <w:t xml:space="preserve"> se centrará en analizar los recursos utilizados para tal cuestionar tal situación. </w:t>
      </w:r>
    </w:p>
    <w:p w14:paraId="21BB1C3C" w14:textId="77777777" w:rsidR="004878AB" w:rsidRDefault="001B2F52" w:rsidP="004878AB">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Theme="majorHAnsi" w:hAnsiTheme="majorHAnsi"/>
          <w:sz w:val="20"/>
          <w:szCs w:val="20"/>
          <w:lang w:val="es-ES_tradnl"/>
        </w:rPr>
        <w:t>Sobre este punto, el Estado cuestiona que la</w:t>
      </w:r>
      <w:r w:rsidR="009F7CE0">
        <w:rPr>
          <w:rFonts w:asciiTheme="majorHAnsi" w:hAnsiTheme="majorHAnsi"/>
          <w:sz w:val="20"/>
          <w:szCs w:val="20"/>
          <w:lang w:val="es-ES_tradnl"/>
        </w:rPr>
        <w:t>s</w:t>
      </w:r>
      <w:r>
        <w:rPr>
          <w:rFonts w:asciiTheme="majorHAnsi" w:hAnsiTheme="majorHAnsi"/>
          <w:sz w:val="20"/>
          <w:szCs w:val="20"/>
          <w:lang w:val="es-ES_tradnl"/>
        </w:rPr>
        <w:t xml:space="preserve"> </w:t>
      </w:r>
      <w:r w:rsidR="009F7CE0">
        <w:rPr>
          <w:rFonts w:asciiTheme="majorHAnsi" w:hAnsiTheme="majorHAnsi"/>
          <w:sz w:val="20"/>
          <w:szCs w:val="20"/>
          <w:lang w:val="es-ES_tradnl"/>
        </w:rPr>
        <w:t>presuntas víctimas</w:t>
      </w:r>
      <w:r>
        <w:rPr>
          <w:rFonts w:asciiTheme="majorHAnsi" w:hAnsiTheme="majorHAnsi"/>
          <w:sz w:val="20"/>
          <w:szCs w:val="20"/>
          <w:lang w:val="es-ES_tradnl"/>
        </w:rPr>
        <w:t xml:space="preserve"> no agot</w:t>
      </w:r>
      <w:r w:rsidR="009F7CE0">
        <w:rPr>
          <w:rFonts w:asciiTheme="majorHAnsi" w:hAnsiTheme="majorHAnsi"/>
          <w:sz w:val="20"/>
          <w:szCs w:val="20"/>
          <w:lang w:val="es-ES_tradnl"/>
        </w:rPr>
        <w:t>aron</w:t>
      </w:r>
      <w:r>
        <w:rPr>
          <w:rFonts w:asciiTheme="majorHAnsi" w:hAnsiTheme="majorHAnsi"/>
          <w:sz w:val="20"/>
          <w:szCs w:val="20"/>
          <w:lang w:val="es-ES_tradnl"/>
        </w:rPr>
        <w:t xml:space="preserve"> correctamente la jurisdicción doméstica, alegando que debi</w:t>
      </w:r>
      <w:r w:rsidR="009F7CE0">
        <w:rPr>
          <w:rFonts w:asciiTheme="majorHAnsi" w:hAnsiTheme="majorHAnsi"/>
          <w:sz w:val="20"/>
          <w:szCs w:val="20"/>
          <w:lang w:val="es-ES_tradnl"/>
        </w:rPr>
        <w:t>eron</w:t>
      </w:r>
      <w:r>
        <w:rPr>
          <w:rFonts w:asciiTheme="majorHAnsi" w:hAnsiTheme="majorHAnsi"/>
          <w:sz w:val="20"/>
          <w:szCs w:val="20"/>
          <w:lang w:val="es-ES_tradnl"/>
        </w:rPr>
        <w:t xml:space="preserve"> utilizar la vía de amparo para c</w:t>
      </w:r>
      <w:r w:rsidR="009F7CE0">
        <w:rPr>
          <w:rFonts w:asciiTheme="majorHAnsi" w:hAnsiTheme="majorHAnsi"/>
          <w:sz w:val="20"/>
          <w:szCs w:val="20"/>
          <w:lang w:val="es-ES_tradnl"/>
        </w:rPr>
        <w:t xml:space="preserve">analizar sus reclamos </w:t>
      </w:r>
      <w:r w:rsidR="005A3330">
        <w:rPr>
          <w:rFonts w:asciiTheme="majorHAnsi" w:hAnsiTheme="majorHAnsi"/>
          <w:sz w:val="20"/>
          <w:szCs w:val="20"/>
          <w:lang w:val="es-ES_tradnl"/>
        </w:rPr>
        <w:t>respecto a la regulación y aplicación de la</w:t>
      </w:r>
      <w:r w:rsidR="009F7CE0">
        <w:rPr>
          <w:rFonts w:ascii="Cambria" w:hAnsi="Cambria"/>
          <w:sz w:val="20"/>
          <w:szCs w:val="20"/>
          <w:lang w:val="es-AR"/>
        </w:rPr>
        <w:t xml:space="preserve"> Ley N</w:t>
      </w:r>
      <w:r w:rsidR="009F7CE0" w:rsidRPr="00DE1CB3">
        <w:rPr>
          <w:rFonts w:ascii="Cambria" w:hAnsi="Cambria"/>
          <w:sz w:val="20"/>
          <w:szCs w:val="20"/>
          <w:lang w:val="es-AR"/>
        </w:rPr>
        <w:t>.º</w:t>
      </w:r>
      <w:r w:rsidR="009F7CE0">
        <w:rPr>
          <w:rFonts w:ascii="Cambria" w:hAnsi="Cambria"/>
          <w:sz w:val="20"/>
          <w:szCs w:val="20"/>
          <w:lang w:val="es-AR"/>
        </w:rPr>
        <w:t xml:space="preserve"> 2640</w:t>
      </w:r>
      <w:r w:rsidR="005A3330">
        <w:rPr>
          <w:rFonts w:ascii="Cambria" w:hAnsi="Cambria"/>
          <w:sz w:val="20"/>
          <w:szCs w:val="20"/>
          <w:lang w:val="es-AR"/>
        </w:rPr>
        <w:t xml:space="preserve"> y el Decreto Supremo N</w:t>
      </w:r>
      <w:r w:rsidR="005A3330" w:rsidRPr="00DE1CB3">
        <w:rPr>
          <w:rFonts w:ascii="Cambria" w:hAnsi="Cambria"/>
          <w:sz w:val="20"/>
          <w:szCs w:val="20"/>
          <w:lang w:val="es-AR"/>
        </w:rPr>
        <w:t>.º</w:t>
      </w:r>
      <w:r w:rsidR="005A3330">
        <w:rPr>
          <w:rFonts w:ascii="Cambria" w:hAnsi="Cambria"/>
          <w:sz w:val="20"/>
          <w:szCs w:val="20"/>
          <w:lang w:val="es-AR"/>
        </w:rPr>
        <w:t xml:space="preserve"> 28015</w:t>
      </w:r>
      <w:r w:rsidR="004D66B3">
        <w:rPr>
          <w:rFonts w:ascii="Cambria" w:hAnsi="Cambria"/>
          <w:sz w:val="20"/>
          <w:szCs w:val="20"/>
          <w:lang w:val="es-AR"/>
        </w:rPr>
        <w:t xml:space="preserve">. </w:t>
      </w:r>
      <w:r w:rsidR="004D66B3" w:rsidRPr="004D66B3">
        <w:rPr>
          <w:rFonts w:ascii="Cambria" w:hAnsi="Cambria"/>
          <w:sz w:val="20"/>
          <w:szCs w:val="20"/>
          <w:lang w:val="es-AR"/>
        </w:rPr>
        <w:t>Al respecto, la Comisión reitera que el requisito de agotamiento de los recursos internos no</w:t>
      </w:r>
      <w:r w:rsidR="004D66B3">
        <w:rPr>
          <w:rFonts w:ascii="Cambria" w:hAnsi="Cambria"/>
          <w:sz w:val="20"/>
          <w:szCs w:val="20"/>
          <w:lang w:val="es-AR"/>
        </w:rPr>
        <w:t xml:space="preserve"> </w:t>
      </w:r>
      <w:r w:rsidR="004D66B3" w:rsidRPr="004D66B3">
        <w:rPr>
          <w:rFonts w:ascii="Cambria" w:hAnsi="Cambria"/>
          <w:sz w:val="20"/>
          <w:szCs w:val="20"/>
          <w:lang w:val="es-AR"/>
        </w:rPr>
        <w:t>implica que las presuntas víctimas tengan la obligación de agotar todos los recursos posibles a su disposición.</w:t>
      </w:r>
      <w:r w:rsidR="004D66B3">
        <w:rPr>
          <w:rFonts w:ascii="Cambria" w:hAnsi="Cambria"/>
          <w:sz w:val="20"/>
          <w:szCs w:val="20"/>
          <w:lang w:val="es-AR"/>
        </w:rPr>
        <w:t xml:space="preserve"> </w:t>
      </w:r>
      <w:r w:rsidR="004D66B3" w:rsidRPr="004D66B3">
        <w:rPr>
          <w:rFonts w:ascii="Cambria" w:hAnsi="Cambria"/>
          <w:sz w:val="20"/>
          <w:szCs w:val="20"/>
          <w:lang w:val="es-AR"/>
        </w:rPr>
        <w:t>En este sentido, la CIDH ha mantenido que si la presunta víctima planteó la cuestión por alguna de las</w:t>
      </w:r>
      <w:r w:rsidR="004D66B3">
        <w:rPr>
          <w:rFonts w:ascii="Cambria" w:hAnsi="Cambria"/>
          <w:sz w:val="20"/>
          <w:szCs w:val="20"/>
          <w:lang w:val="es-AR"/>
        </w:rPr>
        <w:t xml:space="preserve"> </w:t>
      </w:r>
      <w:r w:rsidR="004D66B3" w:rsidRPr="004D66B3">
        <w:rPr>
          <w:rFonts w:ascii="Cambria" w:hAnsi="Cambria"/>
          <w:sz w:val="20"/>
          <w:szCs w:val="20"/>
          <w:lang w:val="es-AR"/>
        </w:rPr>
        <w:t>alternativas válidas y adecuadas según el ordenamiento jurídico interno y el Estado tuvo la oportunidad de</w:t>
      </w:r>
      <w:r w:rsidR="004D66B3">
        <w:rPr>
          <w:rFonts w:ascii="Cambria" w:hAnsi="Cambria"/>
          <w:sz w:val="20"/>
          <w:szCs w:val="20"/>
          <w:lang w:val="es-AR"/>
        </w:rPr>
        <w:t xml:space="preserve"> </w:t>
      </w:r>
      <w:r w:rsidR="004D66B3" w:rsidRPr="004D66B3">
        <w:rPr>
          <w:rFonts w:ascii="Cambria" w:hAnsi="Cambria"/>
          <w:sz w:val="20"/>
          <w:szCs w:val="20"/>
          <w:lang w:val="es-AR"/>
        </w:rPr>
        <w:t>remediar la cuestión en su jurisdicción, la finalidad de la norma internacional está cumplida</w:t>
      </w:r>
      <w:r w:rsidR="004D66B3">
        <w:rPr>
          <w:rStyle w:val="FootnoteReference"/>
          <w:rFonts w:ascii="Cambria" w:hAnsi="Cambria"/>
          <w:sz w:val="20"/>
          <w:szCs w:val="20"/>
          <w:lang w:val="es-AR"/>
        </w:rPr>
        <w:footnoteReference w:id="13"/>
      </w:r>
      <w:r w:rsidR="00553828">
        <w:rPr>
          <w:rFonts w:ascii="Cambria" w:hAnsi="Cambria"/>
          <w:sz w:val="20"/>
          <w:szCs w:val="20"/>
          <w:lang w:val="es-AR"/>
        </w:rPr>
        <w:t>. En el presente asunto, conforme a la información aportada por la parte peticionaria, la Comisión considera que las presuntas víctimas</w:t>
      </w:r>
      <w:r w:rsidR="00D15B9B">
        <w:rPr>
          <w:rFonts w:ascii="Cambria" w:hAnsi="Cambria"/>
          <w:sz w:val="20"/>
          <w:szCs w:val="20"/>
          <w:lang w:val="es-AR"/>
        </w:rPr>
        <w:t>, mediante la presentación de una acción de cumplimiento,</w:t>
      </w:r>
      <w:r w:rsidR="00553828">
        <w:rPr>
          <w:rFonts w:ascii="Cambria" w:hAnsi="Cambria"/>
          <w:sz w:val="20"/>
          <w:szCs w:val="20"/>
          <w:lang w:val="es-AR"/>
        </w:rPr>
        <w:t xml:space="preserve"> utilizaron una vía con expectativas razonables de éxito, toda vez que habría</w:t>
      </w:r>
      <w:r w:rsidR="00D15B9B">
        <w:rPr>
          <w:rFonts w:ascii="Cambria" w:hAnsi="Cambria"/>
          <w:sz w:val="20"/>
          <w:szCs w:val="20"/>
          <w:lang w:val="es-AR"/>
        </w:rPr>
        <w:t>n</w:t>
      </w:r>
      <w:r w:rsidR="00553828">
        <w:rPr>
          <w:rFonts w:ascii="Cambria" w:hAnsi="Cambria"/>
          <w:sz w:val="20"/>
          <w:szCs w:val="20"/>
          <w:lang w:val="es-AR"/>
        </w:rPr>
        <w:t xml:space="preserve"> reclamado</w:t>
      </w:r>
      <w:r w:rsidR="00D15B9B">
        <w:rPr>
          <w:rFonts w:ascii="Cambria" w:hAnsi="Cambria"/>
          <w:sz w:val="20"/>
          <w:szCs w:val="20"/>
          <w:lang w:val="es-AR"/>
        </w:rPr>
        <w:t xml:space="preserve"> en dicho proceso</w:t>
      </w:r>
      <w:r w:rsidR="00553828">
        <w:rPr>
          <w:rFonts w:ascii="Cambria" w:hAnsi="Cambria"/>
          <w:sz w:val="20"/>
          <w:szCs w:val="20"/>
          <w:lang w:val="es-AR"/>
        </w:rPr>
        <w:t xml:space="preserve"> la falta de cumplimiento de un deber específico reconocido una norma con rango de ley. En tal sentido, la CIDH considera pertinente realizar un análisis más profundo de tal decisión en etapa de fondo, conforme a los artículos 8 y 25 de la Convención Americana. </w:t>
      </w:r>
      <w:r w:rsidR="00553828" w:rsidRPr="004878AB">
        <w:rPr>
          <w:rFonts w:ascii="Cambria" w:hAnsi="Cambria"/>
          <w:sz w:val="20"/>
          <w:szCs w:val="20"/>
          <w:lang w:val="es-AR"/>
        </w:rPr>
        <w:t xml:space="preserve">Por las razones expuestas, la Comisión considera que la presente petición cumple con el requisito previsto en el artículo 46.1.a) de la Convención Americana. </w:t>
      </w:r>
    </w:p>
    <w:p w14:paraId="76DFFF9B" w14:textId="5ADB6EE7" w:rsidR="00826C16" w:rsidRDefault="00826C16" w:rsidP="00826C16">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 xml:space="preserve">Respecto al plazo de presentación, la Comisión observa que recibió el presente reclamo el 27 de diciembre de 2014 mediante correo postal. Sobre este punto, la </w:t>
      </w:r>
      <w:r w:rsidR="003B3E31" w:rsidRPr="003B3E31">
        <w:rPr>
          <w:rFonts w:ascii="Cambria" w:hAnsi="Cambria"/>
          <w:sz w:val="20"/>
          <w:szCs w:val="20"/>
          <w:lang w:val="es-AR"/>
        </w:rPr>
        <w:t>Comisión</w:t>
      </w:r>
      <w:r w:rsidR="00C33D21">
        <w:rPr>
          <w:rFonts w:ascii="Cambria" w:hAnsi="Cambria"/>
          <w:sz w:val="20"/>
          <w:szCs w:val="20"/>
          <w:lang w:val="es-AR"/>
        </w:rPr>
        <w:t xml:space="preserve"> recuerda que</w:t>
      </w:r>
      <w:r w:rsidR="003B3E31" w:rsidRPr="003B3E31">
        <w:rPr>
          <w:rFonts w:ascii="Cambria" w:hAnsi="Cambria"/>
          <w:sz w:val="20"/>
          <w:szCs w:val="20"/>
          <w:lang w:val="es-AR"/>
        </w:rPr>
        <w:t xml:space="preserve"> ha tenido la práctica consistente, desde sus informes 69/08 y 79/08 de Argentina, </w:t>
      </w:r>
      <w:r w:rsidR="00C33D21">
        <w:rPr>
          <w:rFonts w:ascii="Cambria" w:hAnsi="Cambria"/>
          <w:sz w:val="20"/>
          <w:szCs w:val="20"/>
          <w:lang w:val="es-AR"/>
        </w:rPr>
        <w:t xml:space="preserve">de </w:t>
      </w:r>
      <w:r w:rsidR="003B3E31" w:rsidRPr="003B3E31">
        <w:rPr>
          <w:rFonts w:ascii="Cambria" w:hAnsi="Cambria"/>
          <w:sz w:val="20"/>
          <w:szCs w:val="20"/>
          <w:lang w:val="es-AR"/>
        </w:rPr>
        <w:t>aceptar como presentadas en tiempo oportuno peticiones que se recibieron por vía postal algunos días después de los mencionados seis meses. Así, a partir de los precedentes citados del 2008, la CIDH ha tolerado esta ligera flexibilidad de días indicando: “</w:t>
      </w:r>
      <w:r w:rsidR="003B3E31" w:rsidRPr="00C33D21">
        <w:rPr>
          <w:rFonts w:ascii="Cambria" w:hAnsi="Cambria"/>
          <w:i/>
          <w:iCs/>
          <w:sz w:val="20"/>
          <w:szCs w:val="20"/>
          <w:lang w:val="es-AR"/>
        </w:rPr>
        <w:t>presumiendo los días que transcurrieron mientras la petición estuvo en el correo postal, la Comisión considera que la petición fue presentada de forma oportuna</w:t>
      </w:r>
      <w:r w:rsidR="003B3E31" w:rsidRPr="003B3E31">
        <w:rPr>
          <w:rFonts w:ascii="Cambria" w:hAnsi="Cambria"/>
          <w:sz w:val="20"/>
          <w:szCs w:val="20"/>
          <w:lang w:val="es-AR"/>
        </w:rPr>
        <w:t>”.</w:t>
      </w:r>
      <w:r w:rsidR="0050446A" w:rsidRPr="0050446A">
        <w:rPr>
          <w:lang w:val="es-ES"/>
        </w:rPr>
        <w:t xml:space="preserve"> </w:t>
      </w:r>
      <w:r w:rsidR="0050446A" w:rsidRPr="0050446A">
        <w:rPr>
          <w:rFonts w:ascii="Cambria" w:hAnsi="Cambria"/>
          <w:sz w:val="20"/>
          <w:szCs w:val="20"/>
          <w:lang w:val="es-AR"/>
        </w:rPr>
        <w:t xml:space="preserve">En este sentido, y valorando lo que ha sido su práctica, la Comisión </w:t>
      </w:r>
      <w:r w:rsidR="0050446A" w:rsidRPr="0050446A">
        <w:rPr>
          <w:rFonts w:ascii="Cambria" w:hAnsi="Cambria"/>
          <w:sz w:val="20"/>
          <w:szCs w:val="20"/>
          <w:lang w:val="es-AR"/>
        </w:rPr>
        <w:lastRenderedPageBreak/>
        <w:t>Interamericana considera que aceptar una petición presentada por correo postal convencional que llega a sus oficinas algunos días después del plazo de los seis meses no afecta materialmente el equilibrio procesal de las partes ni genera incerteza jurídica en el Estado demandado.</w:t>
      </w:r>
    </w:p>
    <w:p w14:paraId="0A69D851" w14:textId="2AD9CD90" w:rsidR="00D15B9B" w:rsidRPr="00826C16" w:rsidRDefault="00C33D21" w:rsidP="00826C16">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AR"/>
        </w:rPr>
      </w:pPr>
      <w:r>
        <w:rPr>
          <w:rFonts w:ascii="Cambria" w:hAnsi="Cambria"/>
          <w:sz w:val="20"/>
          <w:szCs w:val="20"/>
          <w:lang w:val="es-AR"/>
        </w:rPr>
        <w:t xml:space="preserve">Con base en ello, </w:t>
      </w:r>
      <w:r w:rsidR="00D15B9B" w:rsidRPr="00826C16">
        <w:rPr>
          <w:rFonts w:ascii="Cambria" w:hAnsi="Cambria"/>
          <w:sz w:val="20"/>
          <w:szCs w:val="20"/>
          <w:lang w:val="es-AR"/>
        </w:rPr>
        <w:t xml:space="preserve">dado que el 30 de mayo de 2014 el Tribunal Constitucional Plurinacional le notificó a la parte peticionaria el rechazo de su pedido de complementación </w:t>
      </w:r>
      <w:r w:rsidR="00CC43A8" w:rsidRPr="00826C16">
        <w:rPr>
          <w:rFonts w:ascii="Cambria" w:hAnsi="Cambria"/>
          <w:sz w:val="20"/>
          <w:szCs w:val="20"/>
          <w:lang w:val="es-AR"/>
        </w:rPr>
        <w:t>y</w:t>
      </w:r>
      <w:r w:rsidR="00D15B9B" w:rsidRPr="00826C16">
        <w:rPr>
          <w:rFonts w:ascii="Cambria" w:hAnsi="Cambria"/>
          <w:sz w:val="20"/>
          <w:szCs w:val="20"/>
          <w:lang w:val="es-AR"/>
        </w:rPr>
        <w:t xml:space="preserve"> enmienda y que el Estado no ha cuestionado el plazo de presentación, la Comisión considera que este reclamo también cumple con el requisito previsto en el artículo 46.1.b)</w:t>
      </w:r>
      <w:r w:rsidR="006F4C0B">
        <w:rPr>
          <w:rFonts w:ascii="Cambria" w:hAnsi="Cambria"/>
          <w:sz w:val="20"/>
          <w:szCs w:val="20"/>
          <w:lang w:val="es-AR"/>
        </w:rPr>
        <w:t xml:space="preserve"> de la Convención</w:t>
      </w:r>
      <w:r w:rsidR="004878AB" w:rsidRPr="00826C16">
        <w:rPr>
          <w:rFonts w:ascii="Cambria" w:hAnsi="Cambria"/>
          <w:bCs/>
          <w:sz w:val="20"/>
          <w:szCs w:val="20"/>
          <w:lang w:val="es-ES"/>
        </w:rPr>
        <w:t xml:space="preserve">. </w:t>
      </w:r>
    </w:p>
    <w:p w14:paraId="4FFBE378" w14:textId="03DCFE9C" w:rsidR="003239B8" w:rsidRPr="005B50D1" w:rsidRDefault="003239B8" w:rsidP="006F73A3">
      <w:pPr>
        <w:pStyle w:val="ListParagraph"/>
        <w:spacing w:before="240" w:after="240"/>
        <w:jc w:val="both"/>
        <w:rPr>
          <w:rFonts w:asciiTheme="majorHAnsi" w:hAnsiTheme="majorHAnsi"/>
          <w:b/>
          <w:sz w:val="20"/>
          <w:szCs w:val="20"/>
          <w:lang w:val="es-ES"/>
        </w:rPr>
      </w:pPr>
      <w:r w:rsidRPr="00E64C3D">
        <w:rPr>
          <w:rFonts w:asciiTheme="majorHAnsi" w:hAnsiTheme="majorHAnsi"/>
          <w:b/>
          <w:bCs/>
          <w:sz w:val="20"/>
          <w:szCs w:val="20"/>
          <w:lang w:val="es-ES"/>
        </w:rPr>
        <w:t>VII.</w:t>
      </w:r>
      <w:r w:rsidRPr="00E64C3D">
        <w:rPr>
          <w:rFonts w:asciiTheme="majorHAnsi" w:hAnsiTheme="majorHAnsi"/>
          <w:b/>
          <w:bCs/>
          <w:sz w:val="20"/>
          <w:szCs w:val="20"/>
          <w:lang w:val="es-ES"/>
        </w:rPr>
        <w:tab/>
      </w:r>
      <w:r w:rsidR="004A6A54" w:rsidRPr="00E64C3D">
        <w:rPr>
          <w:rFonts w:asciiTheme="majorHAnsi" w:hAnsiTheme="majorHAnsi"/>
          <w:b/>
          <w:bCs/>
          <w:sz w:val="20"/>
          <w:szCs w:val="20"/>
          <w:lang w:val="es-ES_tradnl"/>
        </w:rPr>
        <w:t xml:space="preserve">ANÁLISIS DE </w:t>
      </w:r>
      <w:r w:rsidR="00C21FEF" w:rsidRPr="00E64C3D">
        <w:rPr>
          <w:rFonts w:asciiTheme="majorHAnsi" w:hAnsiTheme="majorHAnsi"/>
          <w:b/>
          <w:bCs/>
          <w:sz w:val="20"/>
          <w:szCs w:val="20"/>
          <w:lang w:val="es-ES"/>
        </w:rPr>
        <w:t xml:space="preserve">CARACTERIZACIÓN </w:t>
      </w:r>
      <w:r w:rsidR="00C21FEF" w:rsidRPr="00E64C3D">
        <w:rPr>
          <w:rFonts w:asciiTheme="majorHAnsi" w:hAnsiTheme="majorHAnsi"/>
          <w:b/>
          <w:bCs/>
          <w:sz w:val="20"/>
          <w:szCs w:val="20"/>
          <w:lang w:val="es-UY"/>
        </w:rPr>
        <w:t>DE LOS HECH</w:t>
      </w:r>
      <w:r w:rsidR="00C21FEF" w:rsidRPr="005B50D1">
        <w:rPr>
          <w:rFonts w:asciiTheme="majorHAnsi" w:hAnsiTheme="majorHAnsi"/>
          <w:b/>
          <w:bCs/>
          <w:sz w:val="20"/>
          <w:szCs w:val="20"/>
          <w:lang w:val="es-UY"/>
        </w:rPr>
        <w:t>OS ALEGADOS</w:t>
      </w:r>
    </w:p>
    <w:p w14:paraId="1E6B8497" w14:textId="77777777" w:rsidR="005B50D1" w:rsidRPr="005B50D1" w:rsidRDefault="005B50D1" w:rsidP="00E64C3D">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Theme="majorHAnsi" w:hAnsiTheme="majorHAnsi"/>
          <w:sz w:val="20"/>
          <w:szCs w:val="20"/>
          <w:lang w:val="es-ES"/>
        </w:rPr>
      </w:pPr>
      <w:r w:rsidRPr="005B50D1">
        <w:rPr>
          <w:rFonts w:ascii="Cambria" w:hAnsi="Cambria"/>
          <w:sz w:val="20"/>
          <w:szCs w:val="20"/>
          <w:lang w:val="es-ES"/>
        </w:rPr>
        <w:t>Conforme a la información aportada por el Estado</w:t>
      </w:r>
      <w:r>
        <w:rPr>
          <w:rFonts w:ascii="Cambria" w:hAnsi="Cambria"/>
          <w:sz w:val="20"/>
          <w:szCs w:val="20"/>
          <w:lang w:val="es-ES"/>
        </w:rPr>
        <w:t xml:space="preserve">, las presuntas víctimas pueden dividirse en </w:t>
      </w:r>
      <w:r w:rsidRPr="00A54EA7">
        <w:rPr>
          <w:rFonts w:ascii="Cambria" w:hAnsi="Cambria"/>
          <w:sz w:val="20"/>
          <w:szCs w:val="20"/>
          <w:lang w:val="es-AR"/>
        </w:rPr>
        <w:t>dos grupos: i) por un lado, aquellas personas que al presentar su solicitud para la reparación excepcional lograron calificar y consiguientemente acceder al pago; y ii) y, por otra parte, las presuntas víctimas que no calificaron durante.</w:t>
      </w:r>
      <w:r>
        <w:rPr>
          <w:rFonts w:ascii="Cambria" w:hAnsi="Cambria"/>
          <w:sz w:val="20"/>
          <w:szCs w:val="20"/>
          <w:lang w:val="es-AR"/>
        </w:rPr>
        <w:t xml:space="preserve"> </w:t>
      </w:r>
    </w:p>
    <w:p w14:paraId="6098816E" w14:textId="35000718" w:rsidR="009B6017" w:rsidRPr="005B50D1" w:rsidRDefault="005B50D1" w:rsidP="00E64C3D">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Theme="majorHAnsi" w:hAnsiTheme="majorHAnsi"/>
          <w:sz w:val="20"/>
          <w:szCs w:val="20"/>
          <w:lang w:val="es-ES"/>
        </w:rPr>
      </w:pPr>
      <w:r>
        <w:rPr>
          <w:rFonts w:ascii="Cambria" w:hAnsi="Cambria"/>
          <w:sz w:val="20"/>
          <w:szCs w:val="20"/>
          <w:lang w:val="es-AR"/>
        </w:rPr>
        <w:t>A partir de ello, de acuerdo con los alegatos de la parte peticionaria, la Comisión observa que existirían dos problemas de distinta índole. Por un lado, respecto de quienes lograron su reconocimiento como víctimas, se aprecia que hasta la fecha no habrían recibido el monto total de la reparación prevista en la ley, debido a que el Estado no habría gestionado los fondos para cubrir el 80% del monto pendiente de pago.</w:t>
      </w:r>
      <w:r w:rsidR="00531FC8">
        <w:rPr>
          <w:rFonts w:ascii="Cambria" w:hAnsi="Cambria"/>
          <w:sz w:val="20"/>
          <w:szCs w:val="20"/>
          <w:lang w:val="es-AR"/>
        </w:rPr>
        <w:t xml:space="preserve"> Mientras que,</w:t>
      </w:r>
      <w:r>
        <w:rPr>
          <w:rFonts w:ascii="Cambria" w:hAnsi="Cambria"/>
          <w:sz w:val="20"/>
          <w:szCs w:val="20"/>
          <w:lang w:val="es-AR"/>
        </w:rPr>
        <w:t xml:space="preserve"> </w:t>
      </w:r>
      <w:r w:rsidR="00531FC8">
        <w:rPr>
          <w:rFonts w:ascii="Cambria" w:hAnsi="Cambria"/>
          <w:sz w:val="20"/>
          <w:szCs w:val="20"/>
          <w:lang w:val="es-AR"/>
        </w:rPr>
        <w:t>e</w:t>
      </w:r>
      <w:r>
        <w:rPr>
          <w:rFonts w:ascii="Cambria" w:hAnsi="Cambria"/>
          <w:sz w:val="20"/>
          <w:szCs w:val="20"/>
          <w:lang w:val="es-AR"/>
        </w:rPr>
        <w:t xml:space="preserve">n relación con las personas </w:t>
      </w:r>
      <w:r w:rsidR="003A7582">
        <w:rPr>
          <w:rFonts w:ascii="Cambria" w:hAnsi="Cambria"/>
          <w:sz w:val="20"/>
          <w:szCs w:val="20"/>
          <w:lang w:val="es-AR"/>
        </w:rPr>
        <w:t xml:space="preserve">a quienes se les rechazó su solicitud de reconocimiento de víctima, la CIDH aprecia que, su cuestionamiento central, serían los obstáculos generados por la regulación y práctica del CONREVIP de </w:t>
      </w:r>
      <w:r w:rsidR="00531FC8">
        <w:rPr>
          <w:rFonts w:ascii="Cambria" w:hAnsi="Cambria"/>
          <w:sz w:val="20"/>
          <w:szCs w:val="20"/>
          <w:lang w:val="es-AR"/>
        </w:rPr>
        <w:t>exigir requisitos de difícil cumplimiento, dada la situación política del país entre 1964 y 1982.</w:t>
      </w:r>
    </w:p>
    <w:p w14:paraId="6A019134" w14:textId="5B1A0C7A" w:rsidR="005B50D1" w:rsidRPr="005B50D1" w:rsidRDefault="00720128" w:rsidP="005B50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Theme="majorHAnsi" w:hAnsiTheme="majorHAnsi"/>
          <w:sz w:val="20"/>
          <w:szCs w:val="20"/>
          <w:lang w:val="es-ES"/>
        </w:rPr>
      </w:pPr>
      <w:r w:rsidRPr="005B50D1">
        <w:rPr>
          <w:rFonts w:asciiTheme="majorHAnsi" w:hAnsiTheme="majorHAnsi"/>
          <w:sz w:val="20"/>
          <w:szCs w:val="20"/>
          <w:lang w:val="es-ES_tradnl"/>
        </w:rPr>
        <w:t>Con base en ello, tras examinar los elementos de hecho y de derecho expuestos por las partes, la Comisión estima que las alegaciones de la parte peticionaria alusivas</w:t>
      </w:r>
      <w:r w:rsidR="005B50D1">
        <w:rPr>
          <w:rFonts w:asciiTheme="majorHAnsi" w:hAnsiTheme="majorHAnsi"/>
          <w:sz w:val="20"/>
          <w:szCs w:val="20"/>
          <w:lang w:val="es-ES_tradnl"/>
        </w:rPr>
        <w:t xml:space="preserve"> a la ausencia a la ausencia de una vía a</w:t>
      </w:r>
      <w:r w:rsidR="00531FC8">
        <w:rPr>
          <w:rFonts w:asciiTheme="majorHAnsi" w:hAnsiTheme="majorHAnsi"/>
          <w:sz w:val="20"/>
          <w:szCs w:val="20"/>
          <w:lang w:val="es-ES_tradnl"/>
        </w:rPr>
        <w:t>ccesible</w:t>
      </w:r>
      <w:r w:rsidR="005B50D1">
        <w:rPr>
          <w:rFonts w:asciiTheme="majorHAnsi" w:hAnsiTheme="majorHAnsi"/>
          <w:sz w:val="20"/>
          <w:szCs w:val="20"/>
          <w:lang w:val="es-ES_tradnl"/>
        </w:rPr>
        <w:t xml:space="preserve"> para lograr una reparación oportuna por las violaciones de derechos humanos sufridas por las presuntas víctimas </w:t>
      </w:r>
      <w:r w:rsidRPr="005B50D1">
        <w:rPr>
          <w:rFonts w:asciiTheme="majorHAnsi" w:hAnsiTheme="majorHAnsi"/>
          <w:sz w:val="20"/>
          <w:szCs w:val="20"/>
          <w:lang w:val="es-ES_tradnl"/>
        </w:rPr>
        <w:t>no resultan manifiestamente infundadas y requieren un estudio de fondo, pues los hechos alegados, de corroborarse, podrían caracterizar violaciones a los artículos</w:t>
      </w:r>
      <w:r w:rsidRPr="005B50D1">
        <w:rPr>
          <w:rFonts w:asciiTheme="majorHAnsi" w:hAnsiTheme="majorHAnsi"/>
          <w:bCs/>
          <w:sz w:val="20"/>
          <w:szCs w:val="20"/>
          <w:lang w:val="es-ES_tradnl"/>
        </w:rPr>
        <w:t xml:space="preserve"> 8 (garantías judiciales)</w:t>
      </w:r>
      <w:r w:rsidR="005B50D1" w:rsidRPr="005B50D1">
        <w:rPr>
          <w:rFonts w:asciiTheme="majorHAnsi" w:hAnsiTheme="majorHAnsi"/>
          <w:bCs/>
          <w:sz w:val="20"/>
          <w:szCs w:val="20"/>
          <w:lang w:val="es-ES_tradnl"/>
        </w:rPr>
        <w:t>, 24 (igualdad ante la ley)</w:t>
      </w:r>
      <w:r w:rsidRPr="005B50D1">
        <w:rPr>
          <w:rFonts w:asciiTheme="majorHAnsi" w:hAnsiTheme="majorHAnsi"/>
          <w:bCs/>
          <w:sz w:val="20"/>
          <w:szCs w:val="20"/>
          <w:lang w:val="es-ES_tradnl"/>
        </w:rPr>
        <w:t xml:space="preserve"> y 25 (protección judicial) de la Convención Americana, en relación con sus artículos 1.1 (obligación de respetar los derechos) y 2 (deber de adoptar disposiciones de derecho interno), en perjuicio </w:t>
      </w:r>
      <w:r w:rsidR="005B50D1">
        <w:rPr>
          <w:rFonts w:asciiTheme="majorHAnsi" w:hAnsiTheme="majorHAnsi"/>
          <w:bCs/>
          <w:sz w:val="20"/>
          <w:szCs w:val="20"/>
          <w:lang w:val="es-ES_tradnl"/>
        </w:rPr>
        <w:t xml:space="preserve">de las presuntas víctimas. </w:t>
      </w:r>
    </w:p>
    <w:p w14:paraId="09E8CD22" w14:textId="18377C31" w:rsidR="005B50D1" w:rsidRPr="005B50D1" w:rsidRDefault="005B50D1" w:rsidP="005B50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Theme="majorHAnsi" w:hAnsiTheme="majorHAnsi"/>
          <w:sz w:val="20"/>
          <w:szCs w:val="20"/>
          <w:lang w:val="es-ES"/>
        </w:rPr>
      </w:pPr>
      <w:r w:rsidRPr="005B50D1">
        <w:rPr>
          <w:rFonts w:asciiTheme="majorHAnsi" w:hAnsiTheme="majorHAnsi"/>
          <w:bCs/>
          <w:sz w:val="20"/>
          <w:szCs w:val="20"/>
          <w:lang w:val="es-ES"/>
        </w:rPr>
        <w:t>Respecto de</w:t>
      </w:r>
      <w:r>
        <w:rPr>
          <w:rFonts w:asciiTheme="majorHAnsi" w:hAnsiTheme="majorHAnsi"/>
          <w:bCs/>
          <w:sz w:val="20"/>
          <w:szCs w:val="20"/>
          <w:lang w:val="es-ES"/>
        </w:rPr>
        <w:t xml:space="preserve"> </w:t>
      </w:r>
      <w:r w:rsidRPr="005B50D1">
        <w:rPr>
          <w:rFonts w:asciiTheme="majorHAnsi" w:hAnsiTheme="majorHAnsi"/>
          <w:bCs/>
          <w:sz w:val="20"/>
          <w:szCs w:val="20"/>
          <w:lang w:val="es-ES"/>
        </w:rPr>
        <w:t>l</w:t>
      </w:r>
      <w:r>
        <w:rPr>
          <w:rFonts w:asciiTheme="majorHAnsi" w:hAnsiTheme="majorHAnsi"/>
          <w:bCs/>
          <w:sz w:val="20"/>
          <w:szCs w:val="20"/>
          <w:lang w:val="es-ES"/>
        </w:rPr>
        <w:t>os</w:t>
      </w:r>
      <w:r w:rsidRPr="005B50D1">
        <w:rPr>
          <w:rFonts w:asciiTheme="majorHAnsi" w:hAnsiTheme="majorHAnsi"/>
          <w:bCs/>
          <w:sz w:val="20"/>
          <w:szCs w:val="20"/>
          <w:lang w:val="es-ES"/>
        </w:rPr>
        <w:t xml:space="preserve"> artículo</w:t>
      </w:r>
      <w:r>
        <w:rPr>
          <w:rFonts w:asciiTheme="majorHAnsi" w:hAnsiTheme="majorHAnsi"/>
          <w:bCs/>
          <w:sz w:val="20"/>
          <w:szCs w:val="20"/>
          <w:lang w:val="es-ES"/>
        </w:rPr>
        <w:t>s</w:t>
      </w:r>
      <w:r w:rsidRPr="005B50D1">
        <w:rPr>
          <w:rFonts w:asciiTheme="majorHAnsi" w:hAnsiTheme="majorHAnsi"/>
          <w:bCs/>
          <w:sz w:val="20"/>
          <w:szCs w:val="20"/>
          <w:lang w:val="es-ES"/>
        </w:rPr>
        <w:t xml:space="preserve"> </w:t>
      </w:r>
      <w:r>
        <w:rPr>
          <w:rFonts w:asciiTheme="majorHAnsi" w:hAnsiTheme="majorHAnsi"/>
          <w:bCs/>
          <w:sz w:val="20"/>
          <w:szCs w:val="20"/>
          <w:lang w:val="es-ES"/>
        </w:rPr>
        <w:t>10 (derecho a indemnización), 11 (protección de la honra y de la dignidad), 14 (derecho de rectificación o respuesta) y 15 (derecho de reunión)</w:t>
      </w:r>
      <w:r w:rsidRPr="005B50D1">
        <w:rPr>
          <w:rFonts w:asciiTheme="majorHAnsi" w:hAnsiTheme="majorHAnsi"/>
          <w:bCs/>
          <w:sz w:val="20"/>
          <w:szCs w:val="20"/>
          <w:lang w:val="es-ES"/>
        </w:rPr>
        <w:t xml:space="preserve"> de la Convención Americana, la Comisión considera que la parte peticionaria no aporta argumentos o información que permitan, </w:t>
      </w:r>
      <w:r w:rsidRPr="005B50D1">
        <w:rPr>
          <w:rFonts w:asciiTheme="majorHAnsi" w:hAnsiTheme="majorHAnsi"/>
          <w:bCs/>
          <w:i/>
          <w:iCs/>
          <w:sz w:val="20"/>
          <w:szCs w:val="20"/>
          <w:lang w:val="es-ES"/>
        </w:rPr>
        <w:t>prima facie</w:t>
      </w:r>
      <w:r w:rsidRPr="005B50D1">
        <w:rPr>
          <w:rFonts w:asciiTheme="majorHAnsi" w:hAnsiTheme="majorHAnsi"/>
          <w:bCs/>
          <w:sz w:val="20"/>
          <w:szCs w:val="20"/>
          <w:lang w:val="es-ES"/>
        </w:rPr>
        <w:t xml:space="preserve">, identificar su posible vulneración. </w:t>
      </w:r>
    </w:p>
    <w:p w14:paraId="29BB41F5" w14:textId="77777777" w:rsidR="003239B8" w:rsidRPr="0078770A" w:rsidRDefault="003239B8" w:rsidP="003239B8">
      <w:pPr>
        <w:pStyle w:val="ListParagraph"/>
        <w:spacing w:before="240" w:after="240"/>
        <w:jc w:val="both"/>
        <w:rPr>
          <w:rFonts w:asciiTheme="majorHAnsi" w:hAnsiTheme="majorHAnsi"/>
          <w:b/>
          <w:bCs/>
          <w:sz w:val="20"/>
          <w:szCs w:val="20"/>
          <w:lang w:val="es-ES"/>
        </w:rPr>
      </w:pPr>
      <w:r w:rsidRPr="0078770A">
        <w:rPr>
          <w:rFonts w:asciiTheme="majorHAnsi" w:hAnsiTheme="majorHAnsi"/>
          <w:b/>
          <w:bCs/>
          <w:sz w:val="20"/>
          <w:szCs w:val="20"/>
          <w:lang w:val="es-ES"/>
        </w:rPr>
        <w:t xml:space="preserve">VIII. </w:t>
      </w:r>
      <w:r>
        <w:rPr>
          <w:rFonts w:asciiTheme="majorHAnsi" w:hAnsiTheme="majorHAnsi"/>
          <w:b/>
          <w:bCs/>
          <w:sz w:val="20"/>
          <w:szCs w:val="20"/>
          <w:lang w:val="es-ES"/>
        </w:rPr>
        <w:tab/>
      </w:r>
      <w:r w:rsidRPr="0078770A">
        <w:rPr>
          <w:rFonts w:asciiTheme="majorHAnsi" w:hAnsiTheme="majorHAnsi"/>
          <w:b/>
          <w:bCs/>
          <w:sz w:val="20"/>
          <w:szCs w:val="20"/>
          <w:lang w:val="es-ES"/>
        </w:rPr>
        <w:t>DECISIÓN</w:t>
      </w:r>
    </w:p>
    <w:p w14:paraId="0FDE1D10" w14:textId="535360E6" w:rsidR="003239B8" w:rsidRPr="000419AD" w:rsidRDefault="003239B8" w:rsidP="00AE7C19">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Cambria" w:hAnsi="Cambria"/>
          <w:sz w:val="20"/>
          <w:szCs w:val="20"/>
          <w:lang w:val="es-ES"/>
        </w:rPr>
      </w:pPr>
      <w:r w:rsidRPr="003239B8">
        <w:rPr>
          <w:rFonts w:asciiTheme="majorHAnsi" w:hAnsiTheme="majorHAnsi"/>
          <w:sz w:val="20"/>
          <w:szCs w:val="20"/>
          <w:lang w:val="es-ES"/>
        </w:rPr>
        <w:t xml:space="preserve">Declarar admisible la presente petición en relación con </w:t>
      </w:r>
      <w:r w:rsidR="005B50D1">
        <w:rPr>
          <w:rFonts w:asciiTheme="majorHAnsi" w:hAnsiTheme="majorHAnsi"/>
          <w:sz w:val="20"/>
          <w:szCs w:val="20"/>
          <w:lang w:val="es-ES"/>
        </w:rPr>
        <w:t>8, 24 y 25 de la Convención Americana</w:t>
      </w:r>
      <w:r w:rsidR="00A758AA">
        <w:rPr>
          <w:rFonts w:asciiTheme="majorHAnsi" w:hAnsiTheme="majorHAnsi"/>
          <w:sz w:val="20"/>
          <w:szCs w:val="20"/>
          <w:lang w:val="es-ES"/>
        </w:rPr>
        <w:t>;</w:t>
      </w:r>
      <w:r w:rsidR="007B76D3">
        <w:rPr>
          <w:rFonts w:asciiTheme="majorHAnsi" w:hAnsiTheme="majorHAnsi"/>
          <w:sz w:val="20"/>
          <w:szCs w:val="20"/>
          <w:lang w:val="es-ES"/>
        </w:rPr>
        <w:t xml:space="preserve"> </w:t>
      </w:r>
    </w:p>
    <w:p w14:paraId="41AA5BF6" w14:textId="30ABE6BE" w:rsidR="000419AD" w:rsidRPr="00AE7C19" w:rsidRDefault="000419AD" w:rsidP="00AE7C19">
      <w:pPr>
        <w:pStyle w:val="ListParagraph"/>
        <w:numPr>
          <w:ilvl w:val="0"/>
          <w:numId w:val="109"/>
        </w:numPr>
        <w:spacing w:after="240"/>
        <w:jc w:val="both"/>
        <w:rPr>
          <w:rFonts w:eastAsia="Arial Unicode MS" w:cs="Times New Roman"/>
          <w:color w:val="auto"/>
          <w:sz w:val="20"/>
          <w:szCs w:val="20"/>
          <w:lang w:val="es-ES" w:eastAsia="en-US"/>
        </w:rPr>
      </w:pPr>
      <w:r w:rsidRPr="1E418DF5">
        <w:rPr>
          <w:rFonts w:eastAsia="Arial Unicode MS" w:cs="Times New Roman"/>
          <w:color w:val="auto"/>
          <w:sz w:val="20"/>
          <w:szCs w:val="20"/>
          <w:lang w:val="es-ES" w:eastAsia="en-US"/>
        </w:rPr>
        <w:t xml:space="preserve">Declarar inadmisible la presente petición en relación con </w:t>
      </w:r>
      <w:r w:rsidR="005B50D1" w:rsidRPr="1E418DF5">
        <w:rPr>
          <w:rFonts w:eastAsia="Arial Unicode MS" w:cs="Times New Roman"/>
          <w:color w:val="auto"/>
          <w:sz w:val="20"/>
          <w:szCs w:val="20"/>
          <w:lang w:val="es-ES" w:eastAsia="en-US"/>
        </w:rPr>
        <w:t>10, 11, 14 y 15 de la Convención Americana</w:t>
      </w:r>
      <w:r w:rsidR="00A758AA" w:rsidRPr="1E418DF5">
        <w:rPr>
          <w:rFonts w:eastAsia="Arial Unicode MS" w:cs="Times New Roman"/>
          <w:color w:val="auto"/>
          <w:sz w:val="20"/>
          <w:szCs w:val="20"/>
          <w:lang w:val="es-ES" w:eastAsia="en-US"/>
        </w:rPr>
        <w:t>;</w:t>
      </w:r>
      <w:r w:rsidR="004A6A54" w:rsidRPr="1E418DF5">
        <w:rPr>
          <w:rFonts w:eastAsia="Arial Unicode MS" w:cs="Times New Roman"/>
          <w:color w:val="auto"/>
          <w:sz w:val="20"/>
          <w:szCs w:val="20"/>
          <w:lang w:val="es-ES" w:eastAsia="en-US"/>
        </w:rPr>
        <w:t xml:space="preserve"> y</w:t>
      </w:r>
    </w:p>
    <w:p w14:paraId="12A7002C" w14:textId="77777777" w:rsidR="004A6A54" w:rsidRDefault="004A6A54" w:rsidP="00AE7C19">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Theme="majorHAnsi" w:hAnsiTheme="majorHAnsi"/>
          <w:sz w:val="20"/>
          <w:szCs w:val="20"/>
          <w:lang w:val="es-ES"/>
        </w:rPr>
      </w:pPr>
      <w:r w:rsidRPr="009B7794">
        <w:rPr>
          <w:rFonts w:asciiTheme="majorHAnsi" w:hAnsiTheme="majorHAnsi"/>
          <w:sz w:val="20"/>
          <w:szCs w:val="20"/>
          <w:lang w:val="es-ES"/>
        </w:rPr>
        <w:t>Notificar a las partes la presente decisión; continuar con el análisis del fondo de la cuestión; y publicar esta decisión e incluirla en su Informe Anual a la Asamblea General de la Organización de los Estados Americanos.</w:t>
      </w:r>
    </w:p>
    <w:p w14:paraId="30E04917" w14:textId="77777777" w:rsidR="0076135C" w:rsidRDefault="0076135C" w:rsidP="0076135C">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Theme="majorHAnsi" w:hAnsiTheme="majorHAnsi"/>
          <w:sz w:val="20"/>
          <w:szCs w:val="20"/>
          <w:lang w:val="es-ES"/>
        </w:rPr>
      </w:pPr>
    </w:p>
    <w:p w14:paraId="44B9FCB5" w14:textId="77777777" w:rsidR="0076135C" w:rsidRDefault="0076135C" w:rsidP="0076135C">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Theme="majorHAnsi" w:hAnsiTheme="majorHAnsi"/>
          <w:sz w:val="20"/>
          <w:szCs w:val="20"/>
          <w:lang w:val="es-ES"/>
        </w:rPr>
      </w:pPr>
    </w:p>
    <w:p w14:paraId="2EF45DF0" w14:textId="77777777" w:rsidR="0076135C" w:rsidRDefault="0076135C" w:rsidP="0076135C">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both"/>
        <w:rPr>
          <w:rFonts w:asciiTheme="majorHAnsi" w:hAnsiTheme="majorHAnsi"/>
          <w:sz w:val="20"/>
          <w:szCs w:val="20"/>
          <w:lang w:val="es-ES"/>
        </w:rPr>
      </w:pPr>
    </w:p>
    <w:p w14:paraId="1A3F21AD" w14:textId="03295645" w:rsidR="0076135C" w:rsidRPr="00407104" w:rsidRDefault="0076135C" w:rsidP="0076135C">
      <w:pPr>
        <w:pStyle w:val="paragraph"/>
        <w:spacing w:before="0" w:beforeAutospacing="0" w:after="0" w:afterAutospacing="0"/>
        <w:ind w:firstLine="720"/>
        <w:jc w:val="both"/>
        <w:textAlignment w:val="baseline"/>
        <w:rPr>
          <w:rFonts w:ascii="Segoe UI" w:hAnsi="Segoe UI" w:cs="Segoe UI"/>
          <w:sz w:val="18"/>
          <w:szCs w:val="18"/>
          <w:lang w:val="es-ES"/>
        </w:rPr>
      </w:pPr>
      <w:r>
        <w:rPr>
          <w:rStyle w:val="normaltextrun"/>
          <w:rFonts w:ascii="Cambria" w:eastAsia="Trebuchet MS" w:hAnsi="Cambria" w:cs="Segoe UI"/>
          <w:sz w:val="20"/>
          <w:szCs w:val="20"/>
          <w:lang w:val="es-CL"/>
        </w:rPr>
        <w:lastRenderedPageBreak/>
        <w:t>Aprobado por la Comisión Interamericana de Derechos Humanos a los 7 días del mes de junio de 2023.  (Firmado): Esmeralda Arosemena de Troitiño, Primer</w:t>
      </w:r>
      <w:r w:rsidR="00132B79">
        <w:rPr>
          <w:rStyle w:val="normaltextrun"/>
          <w:rFonts w:ascii="Cambria" w:eastAsia="Trebuchet MS" w:hAnsi="Cambria" w:cs="Segoe UI"/>
          <w:sz w:val="20"/>
          <w:szCs w:val="20"/>
          <w:lang w:val="es-CL"/>
        </w:rPr>
        <w:t>a</w:t>
      </w:r>
      <w:r>
        <w:rPr>
          <w:rStyle w:val="normaltextrun"/>
          <w:rFonts w:ascii="Cambria" w:eastAsia="Trebuchet MS" w:hAnsi="Cambria" w:cs="Segoe UI"/>
          <w:sz w:val="20"/>
          <w:szCs w:val="20"/>
          <w:lang w:val="es-CL"/>
        </w:rPr>
        <w:t xml:space="preserve"> Vicepresident</w:t>
      </w:r>
      <w:r w:rsidR="00132B79">
        <w:rPr>
          <w:rStyle w:val="normaltextrun"/>
          <w:rFonts w:ascii="Cambria" w:eastAsia="Trebuchet MS" w:hAnsi="Cambria" w:cs="Segoe UI"/>
          <w:sz w:val="20"/>
          <w:szCs w:val="20"/>
          <w:lang w:val="es-CL"/>
        </w:rPr>
        <w:t>a</w:t>
      </w:r>
      <w:r>
        <w:rPr>
          <w:rStyle w:val="normaltextrun"/>
          <w:rFonts w:ascii="Cambria" w:eastAsia="Trebuchet MS" w:hAnsi="Cambria" w:cs="Segoe UI"/>
          <w:sz w:val="20"/>
          <w:szCs w:val="20"/>
          <w:lang w:val="es-CL"/>
        </w:rPr>
        <w:t xml:space="preserve">; Joel Hernández García, Julissa Mantilla Falcón y Stuardo Ralón Orellana, </w:t>
      </w:r>
      <w:r w:rsidR="00132B79">
        <w:rPr>
          <w:rStyle w:val="normaltextrun"/>
          <w:rFonts w:ascii="Cambria" w:eastAsia="Trebuchet MS" w:hAnsi="Cambria" w:cs="Segoe UI"/>
          <w:sz w:val="20"/>
          <w:szCs w:val="20"/>
          <w:lang w:val="es-CL"/>
        </w:rPr>
        <w:t>m</w:t>
      </w:r>
      <w:r>
        <w:rPr>
          <w:rStyle w:val="normaltextrun"/>
          <w:rFonts w:ascii="Cambria" w:eastAsia="Trebuchet MS" w:hAnsi="Cambria" w:cs="Segoe UI"/>
          <w:sz w:val="20"/>
          <w:szCs w:val="20"/>
          <w:lang w:val="es-CL"/>
        </w:rPr>
        <w:t xml:space="preserve">iembros de la Comisión. </w:t>
      </w:r>
      <w:r w:rsidRPr="00407104">
        <w:rPr>
          <w:rStyle w:val="eop"/>
          <w:rFonts w:ascii="Cambria" w:eastAsia="Trebuchet MS" w:hAnsi="Cambria" w:cs="Segoe UI"/>
          <w:sz w:val="20"/>
          <w:szCs w:val="20"/>
          <w:lang w:val="es-ES"/>
        </w:rPr>
        <w:t> </w:t>
      </w:r>
    </w:p>
    <w:p w14:paraId="02FBA01A" w14:textId="77777777" w:rsidR="0076135C" w:rsidRPr="00407104" w:rsidRDefault="0076135C" w:rsidP="0076135C">
      <w:pPr>
        <w:pStyle w:val="paragraph"/>
        <w:spacing w:before="0" w:beforeAutospacing="0" w:after="0" w:afterAutospacing="0"/>
        <w:ind w:firstLine="720"/>
        <w:jc w:val="both"/>
        <w:textAlignment w:val="baseline"/>
        <w:rPr>
          <w:rFonts w:ascii="Segoe UI" w:hAnsi="Segoe UI" w:cs="Segoe UI"/>
          <w:sz w:val="18"/>
          <w:szCs w:val="18"/>
          <w:lang w:val="es-ES"/>
        </w:rPr>
      </w:pPr>
      <w:r w:rsidRPr="00407104">
        <w:rPr>
          <w:rStyle w:val="eop"/>
          <w:rFonts w:ascii="Cambria" w:eastAsia="Trebuchet MS" w:hAnsi="Cambria" w:cs="Segoe UI"/>
          <w:sz w:val="20"/>
          <w:szCs w:val="20"/>
          <w:lang w:val="es-ES"/>
        </w:rPr>
        <w:t> </w:t>
      </w:r>
    </w:p>
    <w:p w14:paraId="60A3A7FF" w14:textId="22C52B13" w:rsidR="0076135C" w:rsidRPr="00943FC4" w:rsidRDefault="0076135C" w:rsidP="0076135C">
      <w:pPr>
        <w:pStyle w:val="paragraph"/>
        <w:spacing w:before="0" w:beforeAutospacing="0" w:after="0" w:afterAutospacing="0"/>
        <w:jc w:val="center"/>
        <w:textAlignment w:val="baseline"/>
        <w:rPr>
          <w:rFonts w:ascii="Segoe UI" w:hAnsi="Segoe UI" w:cs="Segoe UI"/>
          <w:sz w:val="18"/>
          <w:szCs w:val="18"/>
          <w:lang w:val="es-ES"/>
        </w:rPr>
      </w:pPr>
    </w:p>
    <w:p w14:paraId="0170D4B9" w14:textId="77777777" w:rsidR="0076135C" w:rsidRPr="00943FC4" w:rsidRDefault="0076135C" w:rsidP="0076135C">
      <w:pPr>
        <w:pStyle w:val="paragraph"/>
        <w:spacing w:before="0" w:beforeAutospacing="0" w:after="0" w:afterAutospacing="0"/>
        <w:jc w:val="center"/>
        <w:textAlignment w:val="baseline"/>
        <w:rPr>
          <w:rStyle w:val="normaltextrun"/>
          <w:rFonts w:ascii="Cambria" w:eastAsia="Trebuchet MS" w:hAnsi="Cambria" w:cs="Segoe UI"/>
          <w:sz w:val="20"/>
          <w:szCs w:val="20"/>
          <w:lang w:val="es-ES"/>
        </w:rPr>
      </w:pPr>
    </w:p>
    <w:p w14:paraId="609D6165" w14:textId="77777777" w:rsidR="0076135C" w:rsidRPr="00943FC4" w:rsidRDefault="0076135C" w:rsidP="0076135C">
      <w:pPr>
        <w:pStyle w:val="paragraph"/>
        <w:spacing w:before="0" w:beforeAutospacing="0" w:after="0" w:afterAutospacing="0"/>
        <w:jc w:val="center"/>
        <w:textAlignment w:val="baseline"/>
        <w:rPr>
          <w:rStyle w:val="normaltextrun"/>
          <w:rFonts w:ascii="Cambria" w:eastAsia="Trebuchet MS" w:hAnsi="Cambria" w:cs="Segoe UI"/>
          <w:lang w:val="es-ES"/>
        </w:rPr>
      </w:pPr>
    </w:p>
    <w:p w14:paraId="10AE55A2" w14:textId="77777777" w:rsidR="0076135C" w:rsidRPr="00943FC4" w:rsidRDefault="0076135C" w:rsidP="0076135C">
      <w:pPr>
        <w:pStyle w:val="paragraph"/>
        <w:spacing w:before="0" w:beforeAutospacing="0" w:after="0" w:afterAutospacing="0"/>
        <w:jc w:val="center"/>
        <w:textAlignment w:val="baseline"/>
        <w:rPr>
          <w:rStyle w:val="normaltextrun"/>
          <w:rFonts w:ascii="Cambria" w:eastAsia="Trebuchet MS" w:hAnsi="Cambria" w:cs="Segoe UI"/>
          <w:lang w:val="es-ES"/>
        </w:rPr>
      </w:pPr>
    </w:p>
    <w:p w14:paraId="5B7FB2E9" w14:textId="2F9606EF" w:rsidR="000D113F" w:rsidRPr="00132B79" w:rsidRDefault="000D113F">
      <w:pPr>
        <w:rPr>
          <w:rStyle w:val="normaltextrun"/>
          <w:rFonts w:ascii="Cambria" w:eastAsia="Trebuchet MS" w:hAnsi="Cambria" w:cs="Segoe UI"/>
          <w:sz w:val="20"/>
          <w:szCs w:val="20"/>
          <w:bdr w:val="none" w:sz="0" w:space="0" w:color="auto"/>
          <w:lang w:val="es-AR"/>
        </w:rPr>
      </w:pPr>
      <w:r w:rsidRPr="00132B79">
        <w:rPr>
          <w:rStyle w:val="normaltextrun"/>
          <w:rFonts w:ascii="Cambria" w:eastAsia="Trebuchet MS" w:hAnsi="Cambria" w:cs="Segoe UI"/>
          <w:sz w:val="20"/>
          <w:szCs w:val="20"/>
          <w:lang w:val="es-AR"/>
        </w:rPr>
        <w:br w:type="page"/>
      </w:r>
    </w:p>
    <w:p w14:paraId="2994D42B" w14:textId="716579BB" w:rsidR="000D113F" w:rsidRDefault="00BD0764" w:rsidP="00F45B82">
      <w:pPr>
        <w:pStyle w:val="paragraph"/>
        <w:spacing w:before="0" w:beforeAutospacing="0" w:after="0" w:afterAutospacing="0"/>
        <w:jc w:val="center"/>
        <w:textAlignment w:val="baseline"/>
        <w:rPr>
          <w:rFonts w:asciiTheme="majorHAnsi" w:hAnsiTheme="majorHAnsi" w:cs="Calibri"/>
          <w:sz w:val="20"/>
          <w:szCs w:val="20"/>
          <w:lang w:val="es-ES_tradnl"/>
        </w:rPr>
      </w:pPr>
      <w:r w:rsidRPr="00BD0764">
        <w:rPr>
          <w:rFonts w:asciiTheme="majorHAnsi" w:hAnsiTheme="majorHAnsi" w:cs="Calibri"/>
          <w:noProof/>
          <w:sz w:val="20"/>
          <w:szCs w:val="20"/>
          <w:lang w:val="es-ES_tradnl"/>
        </w:rPr>
        <w:lastRenderedPageBreak/>
        <w:drawing>
          <wp:inline distT="0" distB="0" distL="0" distR="0" wp14:anchorId="5CFBF810" wp14:editId="496864D7">
            <wp:extent cx="4744112" cy="7259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4112" cy="7259063"/>
                    </a:xfrm>
                    <a:prstGeom prst="rect">
                      <a:avLst/>
                    </a:prstGeom>
                  </pic:spPr>
                </pic:pic>
              </a:graphicData>
            </a:graphic>
          </wp:inline>
        </w:drawing>
      </w:r>
    </w:p>
    <w:p w14:paraId="3046F23C" w14:textId="2CC7B6B3" w:rsidR="00736059" w:rsidRDefault="00736059" w:rsidP="00F45B82">
      <w:pPr>
        <w:jc w:val="center"/>
        <w:rPr>
          <w:rFonts w:asciiTheme="majorHAnsi" w:eastAsia="Times New Roman" w:hAnsiTheme="majorHAnsi" w:cs="Calibri"/>
          <w:sz w:val="20"/>
          <w:szCs w:val="20"/>
          <w:bdr w:val="none" w:sz="0" w:space="0" w:color="auto"/>
          <w:lang w:val="es-ES_tradnl"/>
        </w:rPr>
      </w:pPr>
      <w:r>
        <w:rPr>
          <w:rFonts w:asciiTheme="majorHAnsi" w:hAnsiTheme="majorHAnsi" w:cs="Calibri"/>
          <w:sz w:val="20"/>
          <w:szCs w:val="20"/>
          <w:lang w:val="es-ES_tradnl"/>
        </w:rPr>
        <w:br w:type="page"/>
      </w:r>
    </w:p>
    <w:p w14:paraId="04B8AEC6" w14:textId="4B2A33AD" w:rsidR="00736059" w:rsidRDefault="00A06DCB" w:rsidP="00F45B82">
      <w:pPr>
        <w:pStyle w:val="paragraph"/>
        <w:spacing w:before="0" w:beforeAutospacing="0" w:after="0" w:afterAutospacing="0"/>
        <w:jc w:val="center"/>
        <w:textAlignment w:val="baseline"/>
        <w:rPr>
          <w:rFonts w:asciiTheme="majorHAnsi" w:hAnsiTheme="majorHAnsi" w:cs="Calibri"/>
          <w:sz w:val="20"/>
          <w:szCs w:val="20"/>
          <w:lang w:val="es-ES_tradnl"/>
        </w:rPr>
      </w:pPr>
      <w:r w:rsidRPr="00A06DCB">
        <w:rPr>
          <w:rFonts w:asciiTheme="majorHAnsi" w:hAnsiTheme="majorHAnsi" w:cs="Calibri"/>
          <w:noProof/>
          <w:sz w:val="20"/>
          <w:szCs w:val="20"/>
          <w:lang w:val="es-ES_tradnl"/>
        </w:rPr>
        <w:lastRenderedPageBreak/>
        <w:drawing>
          <wp:inline distT="0" distB="0" distL="0" distR="0" wp14:anchorId="2D0D43CC" wp14:editId="70EEBBAD">
            <wp:extent cx="4667901" cy="724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7901" cy="7240010"/>
                    </a:xfrm>
                    <a:prstGeom prst="rect">
                      <a:avLst/>
                    </a:prstGeom>
                  </pic:spPr>
                </pic:pic>
              </a:graphicData>
            </a:graphic>
          </wp:inline>
        </w:drawing>
      </w:r>
    </w:p>
    <w:p w14:paraId="46435C89" w14:textId="2141DBEC" w:rsidR="00283886" w:rsidRDefault="00283886" w:rsidP="00F45B82">
      <w:pPr>
        <w:jc w:val="center"/>
        <w:rPr>
          <w:rFonts w:asciiTheme="majorHAnsi" w:eastAsia="Times New Roman" w:hAnsiTheme="majorHAnsi" w:cs="Calibri"/>
          <w:sz w:val="20"/>
          <w:szCs w:val="20"/>
          <w:bdr w:val="none" w:sz="0" w:space="0" w:color="auto"/>
          <w:lang w:val="es-ES_tradnl"/>
        </w:rPr>
      </w:pPr>
      <w:r>
        <w:rPr>
          <w:rFonts w:asciiTheme="majorHAnsi" w:hAnsiTheme="majorHAnsi" w:cs="Calibri"/>
          <w:sz w:val="20"/>
          <w:szCs w:val="20"/>
          <w:lang w:val="es-ES_tradnl"/>
        </w:rPr>
        <w:br w:type="page"/>
      </w:r>
    </w:p>
    <w:p w14:paraId="769EB2A4" w14:textId="22542251" w:rsidR="00283886" w:rsidRDefault="00282AF0" w:rsidP="00F45B82">
      <w:pPr>
        <w:pStyle w:val="paragraph"/>
        <w:spacing w:before="0" w:beforeAutospacing="0" w:after="0" w:afterAutospacing="0"/>
        <w:jc w:val="center"/>
        <w:textAlignment w:val="baseline"/>
        <w:rPr>
          <w:rFonts w:asciiTheme="majorHAnsi" w:hAnsiTheme="majorHAnsi" w:cs="Calibri"/>
          <w:sz w:val="20"/>
          <w:szCs w:val="20"/>
          <w:lang w:val="es-ES_tradnl"/>
        </w:rPr>
      </w:pPr>
      <w:r w:rsidRPr="00282AF0">
        <w:rPr>
          <w:rFonts w:asciiTheme="majorHAnsi" w:hAnsiTheme="majorHAnsi" w:cs="Calibri"/>
          <w:noProof/>
          <w:sz w:val="20"/>
          <w:szCs w:val="20"/>
          <w:lang w:val="es-ES_tradnl"/>
        </w:rPr>
        <w:lastRenderedPageBreak/>
        <w:drawing>
          <wp:inline distT="0" distB="0" distL="0" distR="0" wp14:anchorId="10B53613" wp14:editId="12E836AB">
            <wp:extent cx="4667901" cy="72590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7901" cy="7259063"/>
                    </a:xfrm>
                    <a:prstGeom prst="rect">
                      <a:avLst/>
                    </a:prstGeom>
                  </pic:spPr>
                </pic:pic>
              </a:graphicData>
            </a:graphic>
          </wp:inline>
        </w:drawing>
      </w:r>
    </w:p>
    <w:p w14:paraId="75CB8076" w14:textId="1B0C3391" w:rsidR="00425E39" w:rsidRDefault="00425E39" w:rsidP="00F45B82">
      <w:pPr>
        <w:jc w:val="center"/>
        <w:rPr>
          <w:rFonts w:asciiTheme="majorHAnsi" w:eastAsia="Times New Roman" w:hAnsiTheme="majorHAnsi" w:cs="Calibri"/>
          <w:sz w:val="20"/>
          <w:szCs w:val="20"/>
          <w:bdr w:val="none" w:sz="0" w:space="0" w:color="auto"/>
          <w:lang w:val="es-ES_tradnl"/>
        </w:rPr>
      </w:pPr>
      <w:r>
        <w:rPr>
          <w:rFonts w:asciiTheme="majorHAnsi" w:hAnsiTheme="majorHAnsi" w:cs="Calibri"/>
          <w:sz w:val="20"/>
          <w:szCs w:val="20"/>
          <w:lang w:val="es-ES_tradnl"/>
        </w:rPr>
        <w:br w:type="page"/>
      </w:r>
    </w:p>
    <w:p w14:paraId="3E230F87" w14:textId="7875360F" w:rsidR="00425E39" w:rsidRPr="00020146" w:rsidRDefault="00D62621" w:rsidP="00F45B82">
      <w:pPr>
        <w:pStyle w:val="paragraph"/>
        <w:spacing w:before="0" w:beforeAutospacing="0" w:after="0" w:afterAutospacing="0"/>
        <w:jc w:val="center"/>
        <w:textAlignment w:val="baseline"/>
        <w:rPr>
          <w:rFonts w:asciiTheme="majorHAnsi" w:hAnsiTheme="majorHAnsi" w:cs="Calibri"/>
          <w:sz w:val="20"/>
          <w:szCs w:val="20"/>
          <w:lang w:val="es-ES_tradnl"/>
        </w:rPr>
      </w:pPr>
      <w:r w:rsidRPr="00D62621">
        <w:rPr>
          <w:rFonts w:asciiTheme="majorHAnsi" w:hAnsiTheme="majorHAnsi" w:cs="Calibri"/>
          <w:noProof/>
          <w:sz w:val="20"/>
          <w:szCs w:val="20"/>
          <w:lang w:val="es-ES_tradnl"/>
        </w:rPr>
        <w:lastRenderedPageBreak/>
        <w:drawing>
          <wp:inline distT="0" distB="0" distL="0" distR="0" wp14:anchorId="43A7C719" wp14:editId="168DE86B">
            <wp:extent cx="4658375" cy="7230484"/>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8375" cy="7230484"/>
                    </a:xfrm>
                    <a:prstGeom prst="rect">
                      <a:avLst/>
                    </a:prstGeom>
                  </pic:spPr>
                </pic:pic>
              </a:graphicData>
            </a:graphic>
          </wp:inline>
        </w:drawing>
      </w:r>
    </w:p>
    <w:p w14:paraId="62420823" w14:textId="77777777" w:rsidR="0076135C" w:rsidRPr="009B7794" w:rsidRDefault="0076135C" w:rsidP="00F45B8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40"/>
        <w:jc w:val="center"/>
        <w:rPr>
          <w:rFonts w:asciiTheme="majorHAnsi" w:hAnsiTheme="majorHAnsi"/>
          <w:sz w:val="20"/>
          <w:szCs w:val="20"/>
          <w:lang w:val="es-ES"/>
        </w:rPr>
      </w:pPr>
    </w:p>
    <w:p w14:paraId="7CD4DFBD" w14:textId="77777777" w:rsidR="003239B8" w:rsidRPr="00D33A79" w:rsidRDefault="003239B8" w:rsidP="00F45B82">
      <w:pPr>
        <w:pStyle w:val="ListParagraph"/>
        <w:suppressAutoHyphens/>
        <w:spacing w:before="240" w:after="240"/>
        <w:jc w:val="center"/>
        <w:rPr>
          <w:rFonts w:asciiTheme="majorHAnsi" w:hAnsiTheme="majorHAnsi"/>
          <w:sz w:val="20"/>
          <w:szCs w:val="20"/>
          <w:lang w:val="es-ES"/>
        </w:rPr>
      </w:pPr>
    </w:p>
    <w:p w14:paraId="0D98495A" w14:textId="77777777" w:rsidR="008D768D" w:rsidRPr="003239B8" w:rsidRDefault="008D768D" w:rsidP="00F45B82">
      <w:pPr>
        <w:tabs>
          <w:tab w:val="center" w:pos="5400"/>
        </w:tabs>
        <w:suppressAutoHyphens/>
        <w:spacing w:line="276" w:lineRule="auto"/>
        <w:jc w:val="center"/>
        <w:rPr>
          <w:rFonts w:asciiTheme="majorHAnsi" w:hAnsiTheme="majorHAnsi"/>
          <w:sz w:val="20"/>
          <w:szCs w:val="20"/>
          <w:lang w:val="es-ES"/>
        </w:rPr>
      </w:pPr>
    </w:p>
    <w:p w14:paraId="2642C68E" w14:textId="77777777" w:rsidR="008D768D" w:rsidRPr="007253B8" w:rsidRDefault="008D768D" w:rsidP="00F45B82">
      <w:pPr>
        <w:tabs>
          <w:tab w:val="center" w:pos="5400"/>
        </w:tabs>
        <w:suppressAutoHyphens/>
        <w:spacing w:line="276" w:lineRule="auto"/>
        <w:jc w:val="center"/>
        <w:rPr>
          <w:rFonts w:asciiTheme="majorHAnsi" w:hAnsiTheme="majorHAnsi"/>
          <w:sz w:val="20"/>
          <w:szCs w:val="20"/>
          <w:lang w:val="es-ES_tradnl"/>
        </w:rPr>
      </w:pPr>
    </w:p>
    <w:p w14:paraId="6AC80CA6" w14:textId="54F8AD4D" w:rsidR="00722C9F" w:rsidRDefault="00166B81" w:rsidP="00F45B82">
      <w:pPr>
        <w:jc w:val="center"/>
        <w:rPr>
          <w:rFonts w:ascii="Cambria" w:hAnsi="Cambria" w:cs="Calibri"/>
          <w:sz w:val="20"/>
          <w:szCs w:val="20"/>
          <w:lang w:val="es-ES"/>
        </w:rPr>
      </w:pPr>
      <w:r w:rsidRPr="00166B81">
        <w:rPr>
          <w:rFonts w:ascii="Cambria" w:hAnsi="Cambria" w:cs="Calibri"/>
          <w:noProof/>
          <w:sz w:val="20"/>
          <w:szCs w:val="20"/>
          <w:lang w:val="es-ES"/>
        </w:rPr>
        <w:lastRenderedPageBreak/>
        <w:drawing>
          <wp:inline distT="0" distB="0" distL="0" distR="0" wp14:anchorId="631D57EF" wp14:editId="77C35A6A">
            <wp:extent cx="4620270" cy="7249537"/>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0270" cy="7249537"/>
                    </a:xfrm>
                    <a:prstGeom prst="rect">
                      <a:avLst/>
                    </a:prstGeom>
                  </pic:spPr>
                </pic:pic>
              </a:graphicData>
            </a:graphic>
          </wp:inline>
        </w:drawing>
      </w:r>
    </w:p>
    <w:p w14:paraId="3B848A81" w14:textId="66C24204" w:rsidR="00884F67" w:rsidRDefault="00884F67" w:rsidP="00F45B82">
      <w:pPr>
        <w:jc w:val="center"/>
        <w:rPr>
          <w:rFonts w:ascii="Cambria" w:hAnsi="Cambria" w:cs="Calibri"/>
          <w:sz w:val="20"/>
          <w:szCs w:val="20"/>
          <w:lang w:val="es-ES"/>
        </w:rPr>
      </w:pPr>
      <w:r>
        <w:rPr>
          <w:rFonts w:ascii="Cambria" w:hAnsi="Cambria" w:cs="Calibri"/>
          <w:sz w:val="20"/>
          <w:szCs w:val="20"/>
          <w:lang w:val="es-ES"/>
        </w:rPr>
        <w:br w:type="page"/>
      </w:r>
    </w:p>
    <w:p w14:paraId="456B7469" w14:textId="627C99EF" w:rsidR="00884F67" w:rsidRDefault="007D0325" w:rsidP="00F45B82">
      <w:pPr>
        <w:jc w:val="center"/>
        <w:rPr>
          <w:rFonts w:ascii="Cambria" w:hAnsi="Cambria" w:cs="Calibri"/>
          <w:sz w:val="20"/>
          <w:szCs w:val="20"/>
          <w:lang w:val="es-ES"/>
        </w:rPr>
      </w:pPr>
      <w:r w:rsidRPr="007D0325">
        <w:rPr>
          <w:rFonts w:ascii="Cambria" w:hAnsi="Cambria" w:cs="Calibri"/>
          <w:noProof/>
          <w:sz w:val="20"/>
          <w:szCs w:val="20"/>
          <w:lang w:val="es-ES"/>
        </w:rPr>
        <w:lastRenderedPageBreak/>
        <w:drawing>
          <wp:inline distT="0" distB="0" distL="0" distR="0" wp14:anchorId="612A4642" wp14:editId="2DD63A0E">
            <wp:extent cx="4629796" cy="7268589"/>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9796" cy="7268589"/>
                    </a:xfrm>
                    <a:prstGeom prst="rect">
                      <a:avLst/>
                    </a:prstGeom>
                  </pic:spPr>
                </pic:pic>
              </a:graphicData>
            </a:graphic>
          </wp:inline>
        </w:drawing>
      </w:r>
    </w:p>
    <w:p w14:paraId="66B8A6DD" w14:textId="54E666F2" w:rsidR="00BE1112" w:rsidRDefault="00BE1112" w:rsidP="00F45B82">
      <w:pPr>
        <w:jc w:val="center"/>
        <w:rPr>
          <w:rFonts w:ascii="Cambria" w:hAnsi="Cambria" w:cs="Calibri"/>
          <w:sz w:val="20"/>
          <w:szCs w:val="20"/>
          <w:lang w:val="es-ES"/>
        </w:rPr>
      </w:pPr>
      <w:r>
        <w:rPr>
          <w:rFonts w:ascii="Cambria" w:hAnsi="Cambria" w:cs="Calibri"/>
          <w:sz w:val="20"/>
          <w:szCs w:val="20"/>
          <w:lang w:val="es-ES"/>
        </w:rPr>
        <w:br w:type="page"/>
      </w:r>
    </w:p>
    <w:p w14:paraId="260829A8" w14:textId="2BE4F9D2" w:rsidR="00BE1112" w:rsidRDefault="00AA6774" w:rsidP="00F45B82">
      <w:pPr>
        <w:jc w:val="center"/>
        <w:rPr>
          <w:rFonts w:ascii="Cambria" w:hAnsi="Cambria" w:cs="Calibri"/>
          <w:sz w:val="20"/>
          <w:szCs w:val="20"/>
          <w:lang w:val="es-ES"/>
        </w:rPr>
      </w:pPr>
      <w:r w:rsidRPr="00AA6774">
        <w:rPr>
          <w:rFonts w:ascii="Cambria" w:hAnsi="Cambria" w:cs="Calibri"/>
          <w:noProof/>
          <w:sz w:val="20"/>
          <w:szCs w:val="20"/>
          <w:lang w:val="es-ES"/>
        </w:rPr>
        <w:lastRenderedPageBreak/>
        <w:drawing>
          <wp:inline distT="0" distB="0" distL="0" distR="0" wp14:anchorId="0A50B42D" wp14:editId="551CCF61">
            <wp:extent cx="4620270" cy="725906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0270" cy="7259063"/>
                    </a:xfrm>
                    <a:prstGeom prst="rect">
                      <a:avLst/>
                    </a:prstGeom>
                  </pic:spPr>
                </pic:pic>
              </a:graphicData>
            </a:graphic>
          </wp:inline>
        </w:drawing>
      </w:r>
    </w:p>
    <w:p w14:paraId="0F1AA3F3" w14:textId="0C104F49" w:rsidR="00AA6774" w:rsidRDefault="00AA6774" w:rsidP="00F45B82">
      <w:pPr>
        <w:jc w:val="center"/>
        <w:rPr>
          <w:rFonts w:ascii="Cambria" w:hAnsi="Cambria" w:cs="Calibri"/>
          <w:sz w:val="20"/>
          <w:szCs w:val="20"/>
          <w:lang w:val="es-ES"/>
        </w:rPr>
      </w:pPr>
      <w:r>
        <w:rPr>
          <w:rFonts w:ascii="Cambria" w:hAnsi="Cambria" w:cs="Calibri"/>
          <w:sz w:val="20"/>
          <w:szCs w:val="20"/>
          <w:lang w:val="es-ES"/>
        </w:rPr>
        <w:br w:type="page"/>
      </w:r>
    </w:p>
    <w:p w14:paraId="68BE6B39" w14:textId="649EE193" w:rsidR="00AA6774" w:rsidRDefault="001B391E" w:rsidP="007D0113">
      <w:pPr>
        <w:jc w:val="center"/>
        <w:rPr>
          <w:rFonts w:ascii="Cambria" w:hAnsi="Cambria" w:cs="Calibri"/>
          <w:sz w:val="20"/>
          <w:szCs w:val="20"/>
          <w:lang w:val="es-ES"/>
        </w:rPr>
      </w:pPr>
      <w:r w:rsidRPr="001B391E">
        <w:rPr>
          <w:rFonts w:ascii="Cambria" w:hAnsi="Cambria" w:cs="Calibri"/>
          <w:noProof/>
          <w:sz w:val="20"/>
          <w:szCs w:val="20"/>
          <w:lang w:val="es-ES"/>
        </w:rPr>
        <w:lastRenderedPageBreak/>
        <w:drawing>
          <wp:inline distT="0" distB="0" distL="0" distR="0" wp14:anchorId="3E40BEFC" wp14:editId="54EBA9AE">
            <wp:extent cx="4648849" cy="724953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8849" cy="7249537"/>
                    </a:xfrm>
                    <a:prstGeom prst="rect">
                      <a:avLst/>
                    </a:prstGeom>
                  </pic:spPr>
                </pic:pic>
              </a:graphicData>
            </a:graphic>
          </wp:inline>
        </w:drawing>
      </w:r>
    </w:p>
    <w:p w14:paraId="7F6FAB6B" w14:textId="7A1015A3" w:rsidR="001B391E" w:rsidRDefault="001B391E">
      <w:pPr>
        <w:rPr>
          <w:rFonts w:ascii="Cambria" w:hAnsi="Cambria" w:cs="Calibri"/>
          <w:sz w:val="20"/>
          <w:szCs w:val="20"/>
          <w:lang w:val="es-ES"/>
        </w:rPr>
      </w:pPr>
      <w:r>
        <w:rPr>
          <w:rFonts w:ascii="Cambria" w:hAnsi="Cambria" w:cs="Calibri"/>
          <w:sz w:val="20"/>
          <w:szCs w:val="20"/>
          <w:lang w:val="es-ES"/>
        </w:rPr>
        <w:br w:type="page"/>
      </w:r>
    </w:p>
    <w:p w14:paraId="561B1276" w14:textId="47B22DA2" w:rsidR="001B391E" w:rsidRDefault="007D3D0C" w:rsidP="00F45B82">
      <w:pPr>
        <w:jc w:val="center"/>
        <w:rPr>
          <w:rFonts w:ascii="Cambria" w:hAnsi="Cambria" w:cs="Calibri"/>
          <w:sz w:val="20"/>
          <w:szCs w:val="20"/>
          <w:lang w:val="es-ES"/>
        </w:rPr>
      </w:pPr>
      <w:r w:rsidRPr="007D3D0C">
        <w:rPr>
          <w:rFonts w:ascii="Cambria" w:hAnsi="Cambria" w:cs="Calibri"/>
          <w:noProof/>
          <w:sz w:val="20"/>
          <w:szCs w:val="20"/>
          <w:lang w:val="es-ES"/>
        </w:rPr>
        <w:lastRenderedPageBreak/>
        <w:drawing>
          <wp:inline distT="0" distB="0" distL="0" distR="0" wp14:anchorId="198D6B28" wp14:editId="6154A60F">
            <wp:extent cx="4658375" cy="7287642"/>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58375" cy="7287642"/>
                    </a:xfrm>
                    <a:prstGeom prst="rect">
                      <a:avLst/>
                    </a:prstGeom>
                  </pic:spPr>
                </pic:pic>
              </a:graphicData>
            </a:graphic>
          </wp:inline>
        </w:drawing>
      </w:r>
    </w:p>
    <w:p w14:paraId="76111CB8" w14:textId="0987A99F" w:rsidR="007D3D0C" w:rsidRDefault="007D3D0C">
      <w:pPr>
        <w:rPr>
          <w:rFonts w:ascii="Cambria" w:hAnsi="Cambria" w:cs="Calibri"/>
          <w:sz w:val="20"/>
          <w:szCs w:val="20"/>
          <w:lang w:val="es-ES"/>
        </w:rPr>
      </w:pPr>
      <w:r>
        <w:rPr>
          <w:rFonts w:ascii="Cambria" w:hAnsi="Cambria" w:cs="Calibri"/>
          <w:sz w:val="20"/>
          <w:szCs w:val="20"/>
          <w:lang w:val="es-ES"/>
        </w:rPr>
        <w:br w:type="page"/>
      </w:r>
    </w:p>
    <w:p w14:paraId="3482E618" w14:textId="5E2984D5" w:rsidR="007D3D0C" w:rsidRDefault="00173F2C" w:rsidP="00F45B82">
      <w:pPr>
        <w:jc w:val="center"/>
        <w:rPr>
          <w:rFonts w:ascii="Cambria" w:hAnsi="Cambria" w:cs="Calibri"/>
          <w:sz w:val="20"/>
          <w:szCs w:val="20"/>
          <w:lang w:val="es-ES"/>
        </w:rPr>
      </w:pPr>
      <w:r w:rsidRPr="00173F2C">
        <w:rPr>
          <w:rFonts w:ascii="Cambria" w:hAnsi="Cambria" w:cs="Calibri"/>
          <w:noProof/>
          <w:sz w:val="20"/>
          <w:szCs w:val="20"/>
          <w:lang w:val="es-ES"/>
        </w:rPr>
        <w:lastRenderedPageBreak/>
        <w:drawing>
          <wp:inline distT="0" distB="0" distL="0" distR="0" wp14:anchorId="79D9D098" wp14:editId="342442AB">
            <wp:extent cx="4620270" cy="7249537"/>
            <wp:effectExtent l="0"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0270" cy="7249537"/>
                    </a:xfrm>
                    <a:prstGeom prst="rect">
                      <a:avLst/>
                    </a:prstGeom>
                  </pic:spPr>
                </pic:pic>
              </a:graphicData>
            </a:graphic>
          </wp:inline>
        </w:drawing>
      </w:r>
    </w:p>
    <w:p w14:paraId="1E5118B3" w14:textId="282D5C7A" w:rsidR="00173F2C" w:rsidRDefault="00173F2C">
      <w:pPr>
        <w:rPr>
          <w:rFonts w:ascii="Cambria" w:hAnsi="Cambria" w:cs="Calibri"/>
          <w:sz w:val="20"/>
          <w:szCs w:val="20"/>
          <w:lang w:val="es-ES"/>
        </w:rPr>
      </w:pPr>
      <w:r>
        <w:rPr>
          <w:rFonts w:ascii="Cambria" w:hAnsi="Cambria" w:cs="Calibri"/>
          <w:sz w:val="20"/>
          <w:szCs w:val="20"/>
          <w:lang w:val="es-ES"/>
        </w:rPr>
        <w:br w:type="page"/>
      </w:r>
    </w:p>
    <w:p w14:paraId="6F4178CD" w14:textId="0FD369E6" w:rsidR="00173F2C" w:rsidRDefault="00C52110" w:rsidP="00445E08">
      <w:pPr>
        <w:jc w:val="center"/>
        <w:rPr>
          <w:rFonts w:ascii="Cambria" w:hAnsi="Cambria" w:cs="Calibri"/>
          <w:sz w:val="20"/>
          <w:szCs w:val="20"/>
          <w:lang w:val="es-ES"/>
        </w:rPr>
      </w:pPr>
      <w:r w:rsidRPr="00C52110">
        <w:rPr>
          <w:rFonts w:ascii="Cambria" w:hAnsi="Cambria" w:cs="Calibri"/>
          <w:noProof/>
          <w:sz w:val="20"/>
          <w:szCs w:val="20"/>
          <w:lang w:val="es-ES"/>
        </w:rPr>
        <w:lastRenderedPageBreak/>
        <w:drawing>
          <wp:inline distT="0" distB="0" distL="0" distR="0" wp14:anchorId="3C9265C3" wp14:editId="5756AF13">
            <wp:extent cx="4629796" cy="7230484"/>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9796" cy="7230484"/>
                    </a:xfrm>
                    <a:prstGeom prst="rect">
                      <a:avLst/>
                    </a:prstGeom>
                  </pic:spPr>
                </pic:pic>
              </a:graphicData>
            </a:graphic>
          </wp:inline>
        </w:drawing>
      </w:r>
    </w:p>
    <w:p w14:paraId="6699E68E" w14:textId="7B70A92C" w:rsidR="00C019E4" w:rsidRDefault="00C019E4">
      <w:pPr>
        <w:rPr>
          <w:rFonts w:ascii="Cambria" w:hAnsi="Cambria" w:cs="Calibri"/>
          <w:sz w:val="20"/>
          <w:szCs w:val="20"/>
          <w:lang w:val="es-ES"/>
        </w:rPr>
      </w:pPr>
      <w:r>
        <w:rPr>
          <w:rFonts w:ascii="Cambria" w:hAnsi="Cambria" w:cs="Calibri"/>
          <w:sz w:val="20"/>
          <w:szCs w:val="20"/>
          <w:lang w:val="es-ES"/>
        </w:rPr>
        <w:br w:type="page"/>
      </w:r>
    </w:p>
    <w:p w14:paraId="2C16ED27" w14:textId="49B6CBF2" w:rsidR="00C52110" w:rsidRPr="00974491" w:rsidRDefault="00B27991" w:rsidP="00974491">
      <w:pPr>
        <w:rPr>
          <w:rFonts w:ascii="Cambria" w:hAnsi="Cambria" w:cs="Calibri"/>
          <w:sz w:val="20"/>
          <w:szCs w:val="20"/>
          <w:lang w:val="es-ES"/>
        </w:rPr>
      </w:pPr>
      <w:r>
        <w:rPr>
          <w:rFonts w:ascii="Cambria" w:hAnsi="Cambria" w:cs="Calibri"/>
          <w:sz w:val="20"/>
          <w:szCs w:val="20"/>
          <w:lang w:val="es-ES"/>
        </w:rPr>
        <w:lastRenderedPageBreak/>
        <w:t xml:space="preserve">                                      </w:t>
      </w:r>
      <w:r w:rsidR="00445E08">
        <w:rPr>
          <w:rFonts w:ascii="Cambria" w:hAnsi="Cambria" w:cs="Calibri"/>
          <w:sz w:val="20"/>
          <w:szCs w:val="20"/>
          <w:lang w:val="es-ES"/>
        </w:rPr>
        <w:t xml:space="preserve">         </w:t>
      </w:r>
      <w:r w:rsidRPr="00B27991">
        <w:rPr>
          <w:rFonts w:ascii="Cambria" w:hAnsi="Cambria" w:cs="Calibri"/>
          <w:noProof/>
          <w:sz w:val="20"/>
          <w:szCs w:val="20"/>
          <w:lang w:val="es-ES"/>
        </w:rPr>
        <w:drawing>
          <wp:inline distT="0" distB="0" distL="0" distR="0" wp14:anchorId="0356BA1A" wp14:editId="312E1C50">
            <wp:extent cx="4410691" cy="7259063"/>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691" cy="7259063"/>
                    </a:xfrm>
                    <a:prstGeom prst="rect">
                      <a:avLst/>
                    </a:prstGeom>
                  </pic:spPr>
                </pic:pic>
              </a:graphicData>
            </a:graphic>
          </wp:inline>
        </w:drawing>
      </w:r>
    </w:p>
    <w:sectPr w:rsidR="00C52110" w:rsidRPr="00974491" w:rsidSect="00934A2C">
      <w:type w:val="oddPage"/>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4AAF1" w14:textId="77777777" w:rsidR="000114EC" w:rsidRDefault="000114EC">
      <w:r>
        <w:separator/>
      </w:r>
    </w:p>
  </w:endnote>
  <w:endnote w:type="continuationSeparator" w:id="0">
    <w:p w14:paraId="379BF15B" w14:textId="77777777" w:rsidR="000114EC" w:rsidRDefault="000114EC">
      <w:r>
        <w:continuationSeparator/>
      </w:r>
    </w:p>
  </w:endnote>
  <w:endnote w:type="continuationNotice" w:id="1">
    <w:p w14:paraId="7B12340B" w14:textId="77777777" w:rsidR="000114EC" w:rsidRDefault="000114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081886"/>
      <w:docPartObj>
        <w:docPartGallery w:val="Page Numbers (Bottom of Page)"/>
        <w:docPartUnique/>
      </w:docPartObj>
    </w:sdtPr>
    <w:sdtEndPr>
      <w:rPr>
        <w:noProof/>
        <w:sz w:val="16"/>
        <w:szCs w:val="22"/>
      </w:rPr>
    </w:sdtEndPr>
    <w:sdtContent>
      <w:p w14:paraId="29E243E2" w14:textId="25B7F197" w:rsidR="0070697F" w:rsidRPr="00934A2C" w:rsidRDefault="0070697F">
        <w:pPr>
          <w:pStyle w:val="Footer"/>
          <w:jc w:val="center"/>
          <w:rPr>
            <w:sz w:val="16"/>
            <w:szCs w:val="22"/>
          </w:rPr>
        </w:pPr>
        <w:r w:rsidRPr="00934A2C">
          <w:rPr>
            <w:sz w:val="16"/>
            <w:szCs w:val="22"/>
          </w:rPr>
          <w:fldChar w:fldCharType="begin"/>
        </w:r>
        <w:r w:rsidRPr="00934A2C">
          <w:rPr>
            <w:sz w:val="16"/>
            <w:szCs w:val="22"/>
          </w:rPr>
          <w:instrText xml:space="preserve"> PAGE   \* MERGEFORMAT </w:instrText>
        </w:r>
        <w:r w:rsidRPr="00934A2C">
          <w:rPr>
            <w:sz w:val="16"/>
            <w:szCs w:val="22"/>
          </w:rPr>
          <w:fldChar w:fldCharType="separate"/>
        </w:r>
        <w:r w:rsidR="005D38F9">
          <w:rPr>
            <w:noProof/>
            <w:sz w:val="16"/>
            <w:szCs w:val="22"/>
          </w:rPr>
          <w:t>2</w:t>
        </w:r>
        <w:r w:rsidRPr="00934A2C">
          <w:rPr>
            <w:noProof/>
            <w:sz w:val="16"/>
            <w:szCs w:val="22"/>
          </w:rPr>
          <w:fldChar w:fldCharType="end"/>
        </w:r>
      </w:p>
    </w:sdtContent>
  </w:sdt>
  <w:p w14:paraId="68530E6A" w14:textId="77777777" w:rsidR="0070697F" w:rsidRDefault="007069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4FDC" w14:textId="77777777" w:rsidR="0070697F" w:rsidRPr="00934A2C" w:rsidRDefault="0070697F">
    <w:pPr>
      <w:pStyle w:val="Footer"/>
      <w:jc w:val="center"/>
      <w:rPr>
        <w:sz w:val="16"/>
        <w:szCs w:val="22"/>
      </w:rPr>
    </w:pPr>
  </w:p>
  <w:p w14:paraId="49059CE3" w14:textId="77777777" w:rsidR="0070697F" w:rsidRDefault="00706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30C02" w14:textId="77777777" w:rsidR="000114EC" w:rsidRPr="000F35ED" w:rsidRDefault="000114EC">
      <w:pPr>
        <w:rPr>
          <w:rFonts w:asciiTheme="majorHAnsi" w:hAnsiTheme="majorHAnsi"/>
          <w:sz w:val="16"/>
          <w:szCs w:val="16"/>
        </w:rPr>
      </w:pPr>
      <w:r w:rsidRPr="000F35ED">
        <w:rPr>
          <w:rFonts w:asciiTheme="majorHAnsi" w:hAnsiTheme="majorHAnsi"/>
          <w:sz w:val="16"/>
          <w:szCs w:val="16"/>
        </w:rPr>
        <w:separator/>
      </w:r>
    </w:p>
  </w:footnote>
  <w:footnote w:type="continuationSeparator" w:id="0">
    <w:p w14:paraId="4396B6D4" w14:textId="77777777" w:rsidR="000114EC" w:rsidRPr="000F35ED" w:rsidRDefault="000114EC" w:rsidP="000F35ED">
      <w:pPr>
        <w:rPr>
          <w:rFonts w:asciiTheme="majorHAnsi" w:hAnsiTheme="majorHAnsi"/>
          <w:sz w:val="16"/>
          <w:szCs w:val="16"/>
        </w:rPr>
      </w:pPr>
      <w:r w:rsidRPr="000F35ED">
        <w:rPr>
          <w:rFonts w:asciiTheme="majorHAnsi" w:hAnsiTheme="majorHAnsi"/>
          <w:sz w:val="16"/>
          <w:szCs w:val="16"/>
        </w:rPr>
        <w:separator/>
      </w:r>
    </w:p>
    <w:p w14:paraId="07F0C09B" w14:textId="77777777" w:rsidR="000114EC" w:rsidRPr="000F35ED" w:rsidRDefault="000114EC" w:rsidP="000F35ED">
      <w:pPr>
        <w:pStyle w:val="Footer"/>
        <w:rPr>
          <w:rFonts w:asciiTheme="majorHAnsi" w:hAnsiTheme="majorHAnsi"/>
          <w:sz w:val="16"/>
          <w:szCs w:val="16"/>
        </w:rPr>
      </w:pPr>
      <w:r>
        <w:rPr>
          <w:rFonts w:asciiTheme="majorHAnsi" w:hAnsiTheme="majorHAnsi"/>
          <w:sz w:val="16"/>
          <w:szCs w:val="16"/>
        </w:rPr>
        <w:t>[… c</w:t>
      </w:r>
      <w:r w:rsidRPr="000F35ED">
        <w:rPr>
          <w:rFonts w:asciiTheme="majorHAnsi" w:hAnsiTheme="majorHAnsi"/>
          <w:sz w:val="16"/>
          <w:szCs w:val="16"/>
        </w:rPr>
        <w:t>ontinuación</w:t>
      </w:r>
      <w:r>
        <w:rPr>
          <w:rFonts w:asciiTheme="majorHAnsi" w:hAnsiTheme="majorHAnsi"/>
          <w:sz w:val="16"/>
          <w:szCs w:val="16"/>
        </w:rPr>
        <w:t>]</w:t>
      </w:r>
    </w:p>
  </w:footnote>
  <w:footnote w:type="continuationNotice" w:id="1">
    <w:p w14:paraId="056C325C" w14:textId="77777777" w:rsidR="000114EC" w:rsidRPr="000F35ED" w:rsidRDefault="000114EC" w:rsidP="000F35ED">
      <w:pPr>
        <w:jc w:val="right"/>
        <w:rPr>
          <w:rFonts w:asciiTheme="majorHAnsi" w:hAnsiTheme="majorHAnsi"/>
          <w:sz w:val="16"/>
          <w:szCs w:val="16"/>
          <w:lang w:val="es-ES"/>
        </w:rPr>
      </w:pPr>
      <w:r>
        <w:rPr>
          <w:rFonts w:asciiTheme="majorHAnsi" w:hAnsiTheme="majorHAnsi"/>
          <w:sz w:val="16"/>
          <w:szCs w:val="16"/>
          <w:lang w:val="es-ES"/>
        </w:rPr>
        <w:t>[c</w:t>
      </w:r>
      <w:r w:rsidRPr="000F35ED">
        <w:rPr>
          <w:rFonts w:asciiTheme="majorHAnsi" w:hAnsiTheme="majorHAnsi"/>
          <w:sz w:val="16"/>
          <w:szCs w:val="16"/>
          <w:lang w:val="es-ES"/>
        </w:rPr>
        <w:t>ontinúa…</w:t>
      </w:r>
      <w:r>
        <w:rPr>
          <w:rFonts w:asciiTheme="majorHAnsi" w:hAnsiTheme="majorHAnsi"/>
          <w:sz w:val="16"/>
          <w:szCs w:val="16"/>
          <w:lang w:val="es-ES"/>
        </w:rPr>
        <w:t>]</w:t>
      </w:r>
    </w:p>
  </w:footnote>
  <w:footnote w:id="2">
    <w:p w14:paraId="5AE4D464" w14:textId="3AC59F69" w:rsidR="00F9796E" w:rsidRPr="00F9796E" w:rsidRDefault="00F9796E" w:rsidP="003321DB">
      <w:pPr>
        <w:pStyle w:val="FootnoteText"/>
        <w:ind w:firstLine="720"/>
        <w:jc w:val="both"/>
        <w:rPr>
          <w:rFonts w:asciiTheme="majorHAnsi" w:hAnsiTheme="majorHAnsi"/>
          <w:sz w:val="16"/>
          <w:szCs w:val="16"/>
          <w:lang w:val="es-US"/>
        </w:rPr>
      </w:pPr>
      <w:r w:rsidRPr="00F9796E">
        <w:rPr>
          <w:rStyle w:val="FootnoteReference"/>
          <w:rFonts w:asciiTheme="majorHAnsi" w:hAnsiTheme="majorHAnsi"/>
          <w:sz w:val="16"/>
          <w:szCs w:val="16"/>
        </w:rPr>
        <w:footnoteRef/>
      </w:r>
      <w:r w:rsidRPr="00651C84">
        <w:rPr>
          <w:rFonts w:asciiTheme="majorHAnsi" w:hAnsiTheme="majorHAnsi"/>
          <w:sz w:val="16"/>
          <w:szCs w:val="16"/>
          <w:lang w:val="es-US"/>
        </w:rPr>
        <w:t xml:space="preserve"> </w:t>
      </w:r>
      <w:r w:rsidR="00651C84">
        <w:rPr>
          <w:rFonts w:asciiTheme="majorHAnsi" w:hAnsiTheme="majorHAnsi"/>
          <w:sz w:val="16"/>
          <w:szCs w:val="16"/>
          <w:lang w:val="es-US"/>
        </w:rPr>
        <w:t xml:space="preserve">Conforme a la información proporcionada, </w:t>
      </w:r>
      <w:r w:rsidR="00651C84">
        <w:rPr>
          <w:rFonts w:ascii="Cambria" w:hAnsi="Cambria"/>
          <w:sz w:val="16"/>
          <w:szCs w:val="16"/>
          <w:lang w:val="es-AR"/>
        </w:rPr>
        <w:t>l</w:t>
      </w:r>
      <w:r w:rsidR="00651C84" w:rsidRPr="00651C84">
        <w:rPr>
          <w:rFonts w:ascii="Cambria" w:hAnsi="Cambria"/>
          <w:sz w:val="16"/>
          <w:szCs w:val="16"/>
          <w:lang w:val="es-AR"/>
        </w:rPr>
        <w:t>a UNEXPPB es una organizari6n que representa a las víctimas de vulneraciones de derechos humanos ocurridas durante el periodo dictatorial</w:t>
      </w:r>
      <w:r w:rsidR="00651C84">
        <w:rPr>
          <w:rFonts w:ascii="Cambria" w:hAnsi="Cambria"/>
          <w:sz w:val="16"/>
          <w:szCs w:val="16"/>
          <w:lang w:val="es-AR"/>
        </w:rPr>
        <w:t xml:space="preserve"> de 1964 a 1982</w:t>
      </w:r>
      <w:r w:rsidR="00651C84" w:rsidRPr="00651C84">
        <w:rPr>
          <w:rFonts w:ascii="Cambria" w:hAnsi="Cambria"/>
          <w:sz w:val="16"/>
          <w:szCs w:val="16"/>
          <w:lang w:val="es-AR"/>
        </w:rPr>
        <w:t xml:space="preserve"> y tiene como objetivo principal lograr la aprobación de la ley de resarcimiento a víctimas de la violencia política. </w:t>
      </w:r>
      <w:r w:rsidR="00651C84">
        <w:rPr>
          <w:rFonts w:ascii="Cambria" w:hAnsi="Cambria"/>
          <w:sz w:val="16"/>
          <w:szCs w:val="16"/>
          <w:lang w:val="es-AR"/>
        </w:rPr>
        <w:t>En ese marco, la parte peticionaria</w:t>
      </w:r>
      <w:r w:rsidR="00D81669" w:rsidRPr="00651C84">
        <w:rPr>
          <w:rFonts w:asciiTheme="majorHAnsi" w:hAnsiTheme="majorHAnsi"/>
          <w:sz w:val="16"/>
          <w:szCs w:val="16"/>
          <w:lang w:val="es-US"/>
        </w:rPr>
        <w:t xml:space="preserve"> identifica a 465 personas naturales, quienes serían las presuntas víctimas e integrantes de la UNEXPEPB. Tal listado se encuentra anexo al final de este informe. </w:t>
      </w:r>
    </w:p>
  </w:footnote>
  <w:footnote w:id="3">
    <w:p w14:paraId="39449C52" w14:textId="0A98B7DE" w:rsidR="00916C1D" w:rsidRPr="000A5D42" w:rsidRDefault="00916C1D" w:rsidP="000A5D42">
      <w:pPr>
        <w:pStyle w:val="FootnoteText"/>
        <w:ind w:firstLine="720"/>
        <w:jc w:val="both"/>
        <w:rPr>
          <w:rFonts w:asciiTheme="majorHAnsi" w:hAnsiTheme="majorHAnsi"/>
          <w:sz w:val="16"/>
          <w:szCs w:val="16"/>
          <w:lang w:val="es-US"/>
        </w:rPr>
      </w:pPr>
      <w:r w:rsidRPr="00F9796E">
        <w:rPr>
          <w:rStyle w:val="FootnoteReference"/>
          <w:rFonts w:asciiTheme="majorHAnsi" w:hAnsiTheme="majorHAnsi"/>
          <w:sz w:val="16"/>
          <w:szCs w:val="16"/>
        </w:rPr>
        <w:footnoteRef/>
      </w:r>
      <w:r w:rsidRPr="00F9796E">
        <w:rPr>
          <w:rFonts w:asciiTheme="majorHAnsi" w:hAnsiTheme="majorHAnsi"/>
          <w:sz w:val="16"/>
          <w:szCs w:val="16"/>
          <w:lang w:val="es-US"/>
        </w:rPr>
        <w:t xml:space="preserve"> E</w:t>
      </w:r>
      <w:r w:rsidRPr="000A5D42">
        <w:rPr>
          <w:rFonts w:asciiTheme="majorHAnsi" w:hAnsiTheme="majorHAnsi"/>
          <w:sz w:val="16"/>
          <w:szCs w:val="16"/>
          <w:lang w:val="es-US"/>
        </w:rPr>
        <w:t>n adelante, “la Convención Americana” o “la Convención”</w:t>
      </w:r>
    </w:p>
  </w:footnote>
  <w:footnote w:id="4">
    <w:p w14:paraId="1F89DEA4" w14:textId="4CB6F0B2" w:rsidR="000A5D42" w:rsidRPr="000A5D42" w:rsidRDefault="000A5D42" w:rsidP="000A5D42">
      <w:pPr>
        <w:pStyle w:val="FootnoteText"/>
        <w:ind w:firstLine="720"/>
        <w:jc w:val="both"/>
        <w:rPr>
          <w:rFonts w:asciiTheme="majorHAnsi" w:hAnsiTheme="majorHAnsi"/>
          <w:sz w:val="16"/>
          <w:szCs w:val="16"/>
          <w:lang w:val="es-US"/>
        </w:rPr>
      </w:pPr>
      <w:r w:rsidRPr="000A5D42">
        <w:rPr>
          <w:rStyle w:val="FootnoteReference"/>
          <w:rFonts w:asciiTheme="majorHAnsi" w:hAnsiTheme="majorHAnsi"/>
          <w:sz w:val="16"/>
          <w:szCs w:val="16"/>
        </w:rPr>
        <w:footnoteRef/>
      </w:r>
      <w:r w:rsidRPr="000A5D42">
        <w:rPr>
          <w:rFonts w:asciiTheme="majorHAnsi" w:hAnsiTheme="majorHAnsi"/>
          <w:sz w:val="16"/>
          <w:szCs w:val="16"/>
          <w:lang w:val="es-US"/>
        </w:rPr>
        <w:t xml:space="preserve"> </w:t>
      </w:r>
      <w:r>
        <w:rPr>
          <w:rFonts w:asciiTheme="majorHAnsi" w:hAnsiTheme="majorHAnsi"/>
          <w:sz w:val="16"/>
          <w:szCs w:val="16"/>
          <w:lang w:val="es-US"/>
        </w:rPr>
        <w:t xml:space="preserve">Declaración Americana de los Derechos y Deberes del Hombre, Declaración Universal de los Derechos Humanos y Pacto Internacional de Derechos Civiles y Políticos. </w:t>
      </w:r>
    </w:p>
  </w:footnote>
  <w:footnote w:id="5">
    <w:p w14:paraId="79F07139" w14:textId="77777777" w:rsidR="008E3BFE" w:rsidRPr="00537490" w:rsidRDefault="008E3BFE" w:rsidP="000337EF">
      <w:pPr>
        <w:pStyle w:val="FootnoteText"/>
        <w:spacing w:after="120"/>
        <w:ind w:firstLine="720"/>
        <w:jc w:val="both"/>
        <w:rPr>
          <w:rFonts w:ascii="Cambria" w:hAnsi="Cambria"/>
          <w:sz w:val="16"/>
          <w:szCs w:val="16"/>
          <w:lang w:val="es-ES"/>
        </w:rPr>
      </w:pPr>
      <w:r w:rsidRPr="00537490">
        <w:rPr>
          <w:rStyle w:val="FootnoteReference"/>
          <w:rFonts w:ascii="Cambria" w:hAnsi="Cambria"/>
          <w:sz w:val="16"/>
          <w:szCs w:val="16"/>
        </w:rPr>
        <w:footnoteRef/>
      </w:r>
      <w:r w:rsidRPr="00537490">
        <w:rPr>
          <w:rFonts w:ascii="Cambria" w:hAnsi="Cambria"/>
          <w:sz w:val="16"/>
          <w:szCs w:val="16"/>
          <w:lang w:val="es-ES"/>
        </w:rPr>
        <w:t xml:space="preserve"> </w:t>
      </w:r>
      <w:r>
        <w:rPr>
          <w:rFonts w:ascii="Cambria" w:hAnsi="Cambria"/>
          <w:sz w:val="16"/>
          <w:szCs w:val="16"/>
          <w:lang w:val="es-ES"/>
        </w:rPr>
        <w:t>Las observaciones de cada parte fueron debidamente trasladadas a la parte contraria.</w:t>
      </w:r>
    </w:p>
  </w:footnote>
  <w:footnote w:id="6">
    <w:p w14:paraId="2BA6E8E9" w14:textId="61E2294E" w:rsidR="00071BC7" w:rsidRPr="006409B0" w:rsidRDefault="00071BC7" w:rsidP="00071BC7">
      <w:pPr>
        <w:pStyle w:val="FootnoteText"/>
        <w:ind w:firstLine="720"/>
        <w:jc w:val="both"/>
        <w:rPr>
          <w:rFonts w:asciiTheme="majorHAnsi" w:hAnsiTheme="majorHAnsi"/>
          <w:sz w:val="16"/>
          <w:szCs w:val="16"/>
          <w:lang w:val="es-US"/>
        </w:rPr>
      </w:pPr>
      <w:r w:rsidRPr="00071BC7">
        <w:rPr>
          <w:rStyle w:val="FootnoteReference"/>
          <w:rFonts w:asciiTheme="majorHAnsi" w:hAnsiTheme="majorHAnsi"/>
          <w:sz w:val="16"/>
          <w:szCs w:val="16"/>
        </w:rPr>
        <w:footnoteRef/>
      </w:r>
      <w:r w:rsidRPr="00071BC7">
        <w:rPr>
          <w:rFonts w:asciiTheme="majorHAnsi" w:hAnsiTheme="majorHAnsi"/>
          <w:sz w:val="16"/>
          <w:szCs w:val="16"/>
          <w:lang w:val="es-US"/>
        </w:rPr>
        <w:t xml:space="preserve"> Ley </w:t>
      </w:r>
      <w:r w:rsidR="006409B0" w:rsidRPr="006409B0">
        <w:rPr>
          <w:rFonts w:asciiTheme="majorHAnsi" w:hAnsiTheme="majorHAnsi"/>
          <w:sz w:val="16"/>
          <w:szCs w:val="16"/>
          <w:lang w:val="es-AR"/>
        </w:rPr>
        <w:t>N.º</w:t>
      </w:r>
      <w:r w:rsidR="006409B0" w:rsidRPr="006409B0">
        <w:rPr>
          <w:rFonts w:asciiTheme="majorHAnsi" w:hAnsiTheme="majorHAnsi"/>
          <w:sz w:val="16"/>
          <w:szCs w:val="16"/>
          <w:lang w:val="es-US"/>
        </w:rPr>
        <w:t xml:space="preserve"> </w:t>
      </w:r>
      <w:r w:rsidRPr="00071BC7">
        <w:rPr>
          <w:rFonts w:asciiTheme="majorHAnsi" w:hAnsiTheme="majorHAnsi"/>
          <w:sz w:val="16"/>
          <w:szCs w:val="16"/>
          <w:lang w:val="es-US"/>
        </w:rPr>
        <w:t>2640</w:t>
      </w:r>
      <w:r>
        <w:rPr>
          <w:rFonts w:asciiTheme="majorHAnsi" w:hAnsiTheme="majorHAnsi"/>
          <w:sz w:val="16"/>
          <w:szCs w:val="16"/>
          <w:lang w:val="es-US"/>
        </w:rPr>
        <w:t xml:space="preserve">. </w:t>
      </w:r>
      <w:r w:rsidRPr="00071BC7">
        <w:rPr>
          <w:rFonts w:asciiTheme="majorHAnsi" w:hAnsiTheme="majorHAnsi"/>
          <w:sz w:val="16"/>
          <w:szCs w:val="16"/>
          <w:lang w:val="es-US"/>
        </w:rPr>
        <w:t>Artículo 1°. - (Objeto) La presente Ley tiene por objeto establecer el procedimiento destinado a resarcir a las personas contra quienes se hubiera cometido actos de violencia política, mediante los agentes de Gobiernos Inconstitucionales, que violaron y co</w:t>
      </w:r>
      <w:r w:rsidRPr="006409B0">
        <w:rPr>
          <w:rFonts w:asciiTheme="majorHAnsi" w:hAnsiTheme="majorHAnsi"/>
          <w:sz w:val="16"/>
          <w:szCs w:val="16"/>
          <w:lang w:val="es-US"/>
        </w:rPr>
        <w:t>nculcaron los Derechos Humanos y las garantías consagradas en la Constitución Política del Estado y el Pacto Internacional de los Derechos Civiles y Políticos, ratificado por el Estado boliviano.</w:t>
      </w:r>
    </w:p>
  </w:footnote>
  <w:footnote w:id="7">
    <w:p w14:paraId="7DDEFF4A" w14:textId="00D71885" w:rsidR="00EE7A8F" w:rsidRPr="00246FA9" w:rsidRDefault="00EE7A8F" w:rsidP="00246FA9">
      <w:pPr>
        <w:pStyle w:val="FootnoteText"/>
        <w:ind w:firstLine="720"/>
        <w:jc w:val="both"/>
        <w:rPr>
          <w:rFonts w:asciiTheme="majorHAnsi" w:hAnsiTheme="majorHAnsi"/>
          <w:sz w:val="16"/>
          <w:szCs w:val="16"/>
          <w:lang w:val="es-US"/>
        </w:rPr>
      </w:pPr>
      <w:r w:rsidRPr="006409B0">
        <w:rPr>
          <w:rStyle w:val="FootnoteReference"/>
          <w:rFonts w:asciiTheme="majorHAnsi" w:hAnsiTheme="majorHAnsi"/>
          <w:sz w:val="16"/>
          <w:szCs w:val="16"/>
        </w:rPr>
        <w:footnoteRef/>
      </w:r>
      <w:r w:rsidRPr="006409B0">
        <w:rPr>
          <w:rFonts w:asciiTheme="majorHAnsi" w:hAnsiTheme="majorHAnsi"/>
          <w:sz w:val="16"/>
          <w:szCs w:val="16"/>
          <w:lang w:val="es-US"/>
        </w:rPr>
        <w:t xml:space="preserve"> </w:t>
      </w:r>
      <w:r w:rsidR="006409B0" w:rsidRPr="006409B0">
        <w:rPr>
          <w:rFonts w:asciiTheme="majorHAnsi" w:hAnsiTheme="majorHAnsi"/>
          <w:sz w:val="16"/>
          <w:szCs w:val="16"/>
          <w:lang w:val="es-US"/>
        </w:rPr>
        <w:t>L</w:t>
      </w:r>
      <w:r w:rsidR="006409B0" w:rsidRPr="00071BC7">
        <w:rPr>
          <w:rFonts w:asciiTheme="majorHAnsi" w:hAnsiTheme="majorHAnsi"/>
          <w:sz w:val="16"/>
          <w:szCs w:val="16"/>
          <w:lang w:val="es-US"/>
        </w:rPr>
        <w:t xml:space="preserve">ey </w:t>
      </w:r>
      <w:r w:rsidR="006409B0" w:rsidRPr="006409B0">
        <w:rPr>
          <w:rFonts w:asciiTheme="majorHAnsi" w:hAnsiTheme="majorHAnsi"/>
          <w:sz w:val="16"/>
          <w:szCs w:val="16"/>
          <w:lang w:val="es-AR"/>
        </w:rPr>
        <w:t>N.º</w:t>
      </w:r>
      <w:r w:rsidR="006409B0" w:rsidRPr="006409B0">
        <w:rPr>
          <w:rFonts w:asciiTheme="majorHAnsi" w:hAnsiTheme="majorHAnsi"/>
          <w:sz w:val="16"/>
          <w:szCs w:val="16"/>
          <w:lang w:val="es-US"/>
        </w:rPr>
        <w:t xml:space="preserve"> </w:t>
      </w:r>
      <w:r w:rsidR="006409B0" w:rsidRPr="00071BC7">
        <w:rPr>
          <w:rFonts w:asciiTheme="majorHAnsi" w:hAnsiTheme="majorHAnsi"/>
          <w:sz w:val="16"/>
          <w:szCs w:val="16"/>
          <w:lang w:val="es-US"/>
        </w:rPr>
        <w:t>2640</w:t>
      </w:r>
      <w:r w:rsidR="006409B0">
        <w:rPr>
          <w:rFonts w:asciiTheme="majorHAnsi" w:hAnsiTheme="majorHAnsi"/>
          <w:sz w:val="16"/>
          <w:szCs w:val="16"/>
          <w:lang w:val="es-US"/>
        </w:rPr>
        <w:t>.</w:t>
      </w:r>
      <w:r w:rsidR="000A175B">
        <w:rPr>
          <w:rFonts w:asciiTheme="majorHAnsi" w:hAnsiTheme="majorHAnsi"/>
          <w:sz w:val="16"/>
          <w:szCs w:val="16"/>
          <w:lang w:val="es-US"/>
        </w:rPr>
        <w:t xml:space="preserve"> </w:t>
      </w:r>
      <w:r w:rsidR="000A175B" w:rsidRPr="000A175B">
        <w:rPr>
          <w:rFonts w:asciiTheme="majorHAnsi" w:hAnsiTheme="majorHAnsi"/>
          <w:sz w:val="16"/>
          <w:szCs w:val="16"/>
          <w:lang w:val="es-US"/>
        </w:rPr>
        <w:t>Artículo 4</w:t>
      </w:r>
      <w:r w:rsidR="00E518AD" w:rsidRPr="000A175B">
        <w:rPr>
          <w:rFonts w:asciiTheme="majorHAnsi" w:hAnsiTheme="majorHAnsi"/>
          <w:sz w:val="16"/>
          <w:szCs w:val="16"/>
          <w:lang w:val="es-US"/>
        </w:rPr>
        <w:t>°. -</w:t>
      </w:r>
      <w:r w:rsidR="000A175B" w:rsidRPr="000A175B">
        <w:rPr>
          <w:rFonts w:asciiTheme="majorHAnsi" w:hAnsiTheme="majorHAnsi"/>
          <w:sz w:val="16"/>
          <w:szCs w:val="16"/>
          <w:lang w:val="es-US"/>
        </w:rPr>
        <w:t xml:space="preserve"> (Hechos Resarcibles)</w:t>
      </w:r>
      <w:r w:rsidR="000A175B">
        <w:rPr>
          <w:rFonts w:asciiTheme="majorHAnsi" w:hAnsiTheme="majorHAnsi"/>
          <w:sz w:val="16"/>
          <w:szCs w:val="16"/>
          <w:lang w:val="es-US"/>
        </w:rPr>
        <w:t xml:space="preserve">. </w:t>
      </w:r>
      <w:r w:rsidR="000A175B" w:rsidRPr="000A175B">
        <w:rPr>
          <w:rFonts w:asciiTheme="majorHAnsi" w:hAnsiTheme="majorHAnsi"/>
          <w:sz w:val="16"/>
          <w:szCs w:val="16"/>
          <w:lang w:val="es-US"/>
        </w:rPr>
        <w:t>Los hechos materia de resarcimiento dentro de la concepción de la violencia política, en el período señalado en el Artículo 2° de esta Ley, serán procedentes en los casos siguientes:</w:t>
      </w:r>
      <w:r w:rsidR="000A175B">
        <w:rPr>
          <w:rFonts w:asciiTheme="majorHAnsi" w:hAnsiTheme="majorHAnsi"/>
          <w:sz w:val="16"/>
          <w:szCs w:val="16"/>
          <w:lang w:val="es-US"/>
        </w:rPr>
        <w:t xml:space="preserve"> </w:t>
      </w:r>
      <w:r w:rsidR="000A175B" w:rsidRPr="000A175B">
        <w:rPr>
          <w:rFonts w:asciiTheme="majorHAnsi" w:hAnsiTheme="majorHAnsi"/>
          <w:sz w:val="16"/>
          <w:szCs w:val="16"/>
          <w:lang w:val="es-US"/>
        </w:rPr>
        <w:t>Detención y prisión arbitraria;</w:t>
      </w:r>
      <w:r w:rsidR="000A175B">
        <w:rPr>
          <w:rFonts w:asciiTheme="majorHAnsi" w:hAnsiTheme="majorHAnsi"/>
          <w:sz w:val="16"/>
          <w:szCs w:val="16"/>
          <w:lang w:val="es-US"/>
        </w:rPr>
        <w:t xml:space="preserve"> </w:t>
      </w:r>
      <w:r w:rsidR="000A175B" w:rsidRPr="000A175B">
        <w:rPr>
          <w:rFonts w:asciiTheme="majorHAnsi" w:hAnsiTheme="majorHAnsi"/>
          <w:sz w:val="16"/>
          <w:szCs w:val="16"/>
          <w:lang w:val="es-US"/>
        </w:rPr>
        <w:t>Tortura;</w:t>
      </w:r>
      <w:r w:rsidR="000A175B">
        <w:rPr>
          <w:rFonts w:asciiTheme="majorHAnsi" w:hAnsiTheme="majorHAnsi"/>
          <w:sz w:val="16"/>
          <w:szCs w:val="16"/>
          <w:lang w:val="es-US"/>
        </w:rPr>
        <w:t xml:space="preserve"> </w:t>
      </w:r>
      <w:r w:rsidR="000A175B" w:rsidRPr="000A175B">
        <w:rPr>
          <w:rFonts w:asciiTheme="majorHAnsi" w:hAnsiTheme="majorHAnsi"/>
          <w:sz w:val="16"/>
          <w:szCs w:val="16"/>
          <w:lang w:val="es-US"/>
        </w:rPr>
        <w:t>Exilio o destierro;</w:t>
      </w:r>
      <w:r w:rsidR="000A175B">
        <w:rPr>
          <w:rFonts w:asciiTheme="majorHAnsi" w:hAnsiTheme="majorHAnsi"/>
          <w:sz w:val="16"/>
          <w:szCs w:val="16"/>
          <w:lang w:val="es-US"/>
        </w:rPr>
        <w:t xml:space="preserve"> </w:t>
      </w:r>
      <w:r w:rsidR="000A175B" w:rsidRPr="000A175B">
        <w:rPr>
          <w:rFonts w:asciiTheme="majorHAnsi" w:hAnsiTheme="majorHAnsi"/>
          <w:sz w:val="16"/>
          <w:szCs w:val="16"/>
          <w:lang w:val="es-US"/>
        </w:rPr>
        <w:t>Lesiones e incapacidad calificadas;</w:t>
      </w:r>
      <w:r w:rsidR="000A175B">
        <w:rPr>
          <w:rFonts w:asciiTheme="majorHAnsi" w:hAnsiTheme="majorHAnsi"/>
          <w:sz w:val="16"/>
          <w:szCs w:val="16"/>
          <w:lang w:val="es-US"/>
        </w:rPr>
        <w:t xml:space="preserve"> </w:t>
      </w:r>
      <w:r w:rsidR="000A175B" w:rsidRPr="000A175B">
        <w:rPr>
          <w:rFonts w:asciiTheme="majorHAnsi" w:hAnsiTheme="majorHAnsi"/>
          <w:sz w:val="16"/>
          <w:szCs w:val="16"/>
          <w:lang w:val="es-US"/>
        </w:rPr>
        <w:t>Muerte en el país o en el exterior por razones de violencia política;</w:t>
      </w:r>
      <w:r w:rsidR="000A175B">
        <w:rPr>
          <w:rFonts w:asciiTheme="majorHAnsi" w:hAnsiTheme="majorHAnsi"/>
          <w:sz w:val="16"/>
          <w:szCs w:val="16"/>
          <w:lang w:val="es-US"/>
        </w:rPr>
        <w:t xml:space="preserve"> </w:t>
      </w:r>
      <w:r w:rsidR="000A175B" w:rsidRPr="000A175B">
        <w:rPr>
          <w:rFonts w:asciiTheme="majorHAnsi" w:hAnsiTheme="majorHAnsi"/>
          <w:sz w:val="16"/>
          <w:szCs w:val="16"/>
          <w:lang w:val="es-US"/>
        </w:rPr>
        <w:t>Desaparición forzada;</w:t>
      </w:r>
      <w:r w:rsidR="000A175B">
        <w:rPr>
          <w:rFonts w:asciiTheme="majorHAnsi" w:hAnsiTheme="majorHAnsi"/>
          <w:sz w:val="16"/>
          <w:szCs w:val="16"/>
          <w:lang w:val="es-US"/>
        </w:rPr>
        <w:t xml:space="preserve"> </w:t>
      </w:r>
      <w:r w:rsidR="000A175B" w:rsidRPr="000A175B">
        <w:rPr>
          <w:rFonts w:asciiTheme="majorHAnsi" w:hAnsiTheme="majorHAnsi"/>
          <w:sz w:val="16"/>
          <w:szCs w:val="16"/>
          <w:lang w:val="es-US"/>
        </w:rPr>
        <w:t>Perseguido por razones político sindicales, conforme a Reglamento.</w:t>
      </w:r>
      <w:r w:rsidR="000A175B">
        <w:rPr>
          <w:rFonts w:asciiTheme="majorHAnsi" w:hAnsiTheme="majorHAnsi"/>
          <w:sz w:val="16"/>
          <w:szCs w:val="16"/>
          <w:lang w:val="es-US"/>
        </w:rPr>
        <w:t xml:space="preserve"> </w:t>
      </w:r>
      <w:r w:rsidR="000A175B" w:rsidRPr="000A175B">
        <w:rPr>
          <w:rFonts w:asciiTheme="majorHAnsi" w:hAnsiTheme="majorHAnsi"/>
          <w:sz w:val="16"/>
          <w:szCs w:val="16"/>
          <w:lang w:val="es-US"/>
        </w:rPr>
        <w:t>Los hechos o acciones de violencia serán resarcibles previa presentac</w:t>
      </w:r>
      <w:r w:rsidR="000A175B" w:rsidRPr="00246FA9">
        <w:rPr>
          <w:rFonts w:asciiTheme="majorHAnsi" w:hAnsiTheme="majorHAnsi"/>
          <w:sz w:val="16"/>
          <w:szCs w:val="16"/>
          <w:lang w:val="es-US"/>
        </w:rPr>
        <w:t>ión de pruebas, a través de los medios idóneos y legales a que hubiera lugar conforme a Ley</w:t>
      </w:r>
    </w:p>
  </w:footnote>
  <w:footnote w:id="8">
    <w:p w14:paraId="19209719" w14:textId="5CEEC741" w:rsidR="00413738" w:rsidRPr="00246FA9" w:rsidRDefault="00413738" w:rsidP="00246FA9">
      <w:pPr>
        <w:pStyle w:val="FootnoteText"/>
        <w:ind w:firstLine="720"/>
        <w:jc w:val="both"/>
        <w:rPr>
          <w:rFonts w:asciiTheme="majorHAnsi" w:hAnsiTheme="majorHAnsi"/>
          <w:sz w:val="16"/>
          <w:szCs w:val="16"/>
          <w:lang w:val="es-ES_tradnl"/>
        </w:rPr>
      </w:pPr>
      <w:r w:rsidRPr="00246FA9">
        <w:rPr>
          <w:rStyle w:val="FootnoteReference"/>
          <w:rFonts w:asciiTheme="majorHAnsi" w:hAnsiTheme="majorHAnsi"/>
          <w:sz w:val="16"/>
          <w:szCs w:val="16"/>
        </w:rPr>
        <w:footnoteRef/>
      </w:r>
      <w:r w:rsidRPr="00246FA9">
        <w:rPr>
          <w:rFonts w:asciiTheme="majorHAnsi" w:hAnsiTheme="majorHAnsi"/>
          <w:sz w:val="16"/>
          <w:szCs w:val="16"/>
          <w:lang w:val="es-US"/>
        </w:rPr>
        <w:t xml:space="preserve"> </w:t>
      </w:r>
      <w:r w:rsidR="000662FA" w:rsidRPr="00246FA9">
        <w:rPr>
          <w:rFonts w:asciiTheme="majorHAnsi" w:hAnsiTheme="majorHAnsi"/>
          <w:sz w:val="16"/>
          <w:szCs w:val="16"/>
          <w:lang w:val="es-US"/>
        </w:rPr>
        <w:t xml:space="preserve">Ley </w:t>
      </w:r>
      <w:r w:rsidR="000662FA" w:rsidRPr="00246FA9">
        <w:rPr>
          <w:rFonts w:asciiTheme="majorHAnsi" w:hAnsiTheme="majorHAnsi"/>
          <w:sz w:val="16"/>
          <w:szCs w:val="16"/>
          <w:lang w:val="es-AR"/>
        </w:rPr>
        <w:t>N.º</w:t>
      </w:r>
      <w:r w:rsidR="000662FA" w:rsidRPr="00246FA9">
        <w:rPr>
          <w:rFonts w:asciiTheme="majorHAnsi" w:hAnsiTheme="majorHAnsi"/>
          <w:sz w:val="16"/>
          <w:szCs w:val="16"/>
          <w:lang w:val="es-US"/>
        </w:rPr>
        <w:t xml:space="preserve"> 2640. </w:t>
      </w:r>
      <w:r w:rsidR="00702F9D" w:rsidRPr="00246FA9">
        <w:rPr>
          <w:rFonts w:asciiTheme="majorHAnsi" w:hAnsiTheme="majorHAnsi"/>
          <w:sz w:val="16"/>
          <w:szCs w:val="16"/>
          <w:lang w:val="es-US"/>
        </w:rPr>
        <w:t xml:space="preserve">Artículo 6°. - (Prestación Social) Se establecen los siguientes derechos y beneficios en favor de las víctimas de la violencia política: I. </w:t>
      </w:r>
      <w:r w:rsidR="00702F9D" w:rsidRPr="00702F9D">
        <w:rPr>
          <w:rFonts w:asciiTheme="majorHAnsi" w:hAnsiTheme="majorHAnsi"/>
          <w:sz w:val="16"/>
          <w:szCs w:val="16"/>
          <w:lang w:val="es-US"/>
        </w:rPr>
        <w:t>Atención Médica Gratuita. Las víctimas de la violencia política que no tengan seguro de salud, gozarán del derecho a recibir gratuitamente atención médica, de emergencia, quirúrgica, salud mental y rehabilitación, mediante la Caja Nacional de Salud (CNS).</w:t>
      </w:r>
      <w:r w:rsidR="00702F9D" w:rsidRPr="00246FA9">
        <w:rPr>
          <w:rFonts w:asciiTheme="majorHAnsi" w:hAnsiTheme="majorHAnsi"/>
          <w:sz w:val="16"/>
          <w:szCs w:val="16"/>
          <w:lang w:val="es-US"/>
        </w:rPr>
        <w:t xml:space="preserve"> II. </w:t>
      </w:r>
      <w:r w:rsidR="00702F9D" w:rsidRPr="00702F9D">
        <w:rPr>
          <w:rFonts w:asciiTheme="majorHAnsi" w:hAnsiTheme="majorHAnsi"/>
          <w:sz w:val="16"/>
          <w:szCs w:val="16"/>
          <w:lang w:val="es-US"/>
        </w:rPr>
        <w:t>Medicamentos. Gozarán de la atención de medicamentos y del equipo de rehabilitación física o psicológica que fuera necesaria, en procura de su recuperación</w:t>
      </w:r>
      <w:r w:rsidR="00375AF0" w:rsidRPr="00246FA9">
        <w:rPr>
          <w:rFonts w:asciiTheme="majorHAnsi" w:hAnsiTheme="majorHAnsi"/>
          <w:sz w:val="16"/>
          <w:szCs w:val="16"/>
          <w:lang w:val="es-US"/>
        </w:rPr>
        <w:t>.</w:t>
      </w:r>
    </w:p>
  </w:footnote>
  <w:footnote w:id="9">
    <w:p w14:paraId="567C27A4" w14:textId="1F288F2F" w:rsidR="00136FBF" w:rsidRPr="00246FA9" w:rsidRDefault="00136FBF" w:rsidP="00246FA9">
      <w:pPr>
        <w:pStyle w:val="FootnoteText"/>
        <w:ind w:firstLine="720"/>
        <w:jc w:val="both"/>
        <w:rPr>
          <w:rFonts w:asciiTheme="majorHAnsi" w:hAnsiTheme="majorHAnsi"/>
          <w:sz w:val="16"/>
          <w:szCs w:val="16"/>
          <w:lang w:val="es-ES_tradnl"/>
        </w:rPr>
      </w:pPr>
      <w:r w:rsidRPr="00246FA9">
        <w:rPr>
          <w:rStyle w:val="FootnoteReference"/>
          <w:rFonts w:asciiTheme="majorHAnsi" w:hAnsiTheme="majorHAnsi"/>
          <w:sz w:val="16"/>
          <w:szCs w:val="16"/>
          <w:lang w:val="es-ES_tradnl"/>
        </w:rPr>
        <w:footnoteRef/>
      </w:r>
      <w:r w:rsidRPr="00246FA9">
        <w:rPr>
          <w:rFonts w:asciiTheme="majorHAnsi" w:hAnsiTheme="majorHAnsi"/>
          <w:sz w:val="16"/>
          <w:szCs w:val="16"/>
          <w:lang w:val="es-ES_tradnl"/>
        </w:rPr>
        <w:t xml:space="preserve"> </w:t>
      </w:r>
      <w:r w:rsidR="00375AF0" w:rsidRPr="00246FA9">
        <w:rPr>
          <w:rFonts w:asciiTheme="majorHAnsi" w:hAnsiTheme="majorHAnsi"/>
          <w:sz w:val="16"/>
          <w:szCs w:val="16"/>
          <w:lang w:val="es-US"/>
        </w:rPr>
        <w:t xml:space="preserve">Ley </w:t>
      </w:r>
      <w:r w:rsidR="00375AF0" w:rsidRPr="00246FA9">
        <w:rPr>
          <w:rFonts w:asciiTheme="majorHAnsi" w:hAnsiTheme="majorHAnsi"/>
          <w:sz w:val="16"/>
          <w:szCs w:val="16"/>
          <w:lang w:val="es-AR"/>
        </w:rPr>
        <w:t>N.º</w:t>
      </w:r>
      <w:r w:rsidR="00375AF0" w:rsidRPr="00246FA9">
        <w:rPr>
          <w:rFonts w:asciiTheme="majorHAnsi" w:hAnsiTheme="majorHAnsi"/>
          <w:sz w:val="16"/>
          <w:szCs w:val="16"/>
          <w:lang w:val="es-US"/>
        </w:rPr>
        <w:t xml:space="preserve"> 2640. </w:t>
      </w:r>
      <w:r w:rsidR="00375AF0" w:rsidRPr="00246FA9">
        <w:rPr>
          <w:rFonts w:asciiTheme="majorHAnsi" w:hAnsiTheme="majorHAnsi"/>
          <w:sz w:val="16"/>
          <w:szCs w:val="16"/>
          <w:lang w:val="es-ES_tradnl"/>
        </w:rPr>
        <w:t xml:space="preserve">Artículo 16°.- (Recursos Económicos) Los recursos para el resarcimiento a las víctimas provendrán de las siguientes fuentes: </w:t>
      </w:r>
      <w:r w:rsidR="00BA16DE" w:rsidRPr="00246FA9">
        <w:rPr>
          <w:rFonts w:asciiTheme="majorHAnsi" w:hAnsiTheme="majorHAnsi"/>
          <w:sz w:val="16"/>
          <w:szCs w:val="16"/>
          <w:lang w:val="es-ES_tradnl"/>
        </w:rPr>
        <w:t xml:space="preserve">a. </w:t>
      </w:r>
      <w:r w:rsidR="00375AF0" w:rsidRPr="00246FA9">
        <w:rPr>
          <w:rFonts w:asciiTheme="majorHAnsi" w:hAnsiTheme="majorHAnsi"/>
          <w:sz w:val="16"/>
          <w:szCs w:val="16"/>
          <w:lang w:val="es-ES_tradnl"/>
        </w:rPr>
        <w:t>El Tesoro General de la Nación (TGN) asignará una Partida Especial como aporte del 20% con un monto de 3, 6 Millones de Dólares Americanos, con un desembolso anual de 1, 2 Millones de Dólares con cargo a las Gestiones Presupuestarias: 2005, 2006 y 2007.</w:t>
      </w:r>
      <w:r w:rsidR="00BA16DE" w:rsidRPr="00246FA9">
        <w:rPr>
          <w:rFonts w:asciiTheme="majorHAnsi" w:hAnsiTheme="majorHAnsi"/>
          <w:sz w:val="16"/>
          <w:szCs w:val="16"/>
          <w:lang w:val="es-ES_tradnl"/>
        </w:rPr>
        <w:t xml:space="preserve"> b. </w:t>
      </w:r>
      <w:r w:rsidR="00375AF0" w:rsidRPr="00246FA9">
        <w:rPr>
          <w:rFonts w:asciiTheme="majorHAnsi" w:hAnsiTheme="majorHAnsi"/>
          <w:sz w:val="16"/>
          <w:szCs w:val="16"/>
          <w:lang w:val="es-ES_tradnl"/>
        </w:rPr>
        <w:t xml:space="preserve">Queda encargado el Poder Ejecutivo de tramitar aportes porcentuales anualmente, por donaciones del sector privado o extranjero y de organismos internacionales hasta cubrir el 80% del total del resarcimiento Calificado por el CONREVIP. </w:t>
      </w:r>
      <w:r w:rsidR="00BA16DE" w:rsidRPr="00246FA9">
        <w:rPr>
          <w:rFonts w:asciiTheme="majorHAnsi" w:hAnsiTheme="majorHAnsi"/>
          <w:sz w:val="16"/>
          <w:szCs w:val="16"/>
          <w:lang w:val="es-ES_tradnl"/>
        </w:rPr>
        <w:t xml:space="preserve">c. </w:t>
      </w:r>
      <w:r w:rsidR="00375AF0" w:rsidRPr="00246FA9">
        <w:rPr>
          <w:rFonts w:asciiTheme="majorHAnsi" w:hAnsiTheme="majorHAnsi"/>
          <w:sz w:val="16"/>
          <w:szCs w:val="16"/>
          <w:lang w:val="es-ES_tradnl"/>
        </w:rPr>
        <w:t xml:space="preserve">A partir del mes de enero de la Gestión 2005, se procederá a la cancelación porcentual hasta cubrir el 100% del resarcimiento calificado a cada una de las </w:t>
      </w:r>
      <w:r w:rsidR="00BA16DE" w:rsidRPr="00246FA9">
        <w:rPr>
          <w:rFonts w:asciiTheme="majorHAnsi" w:hAnsiTheme="majorHAnsi"/>
          <w:sz w:val="16"/>
          <w:szCs w:val="16"/>
          <w:lang w:val="es-ES_tradnl"/>
        </w:rPr>
        <w:t>víctimas</w:t>
      </w:r>
      <w:r w:rsidR="00375AF0" w:rsidRPr="00246FA9">
        <w:rPr>
          <w:rFonts w:asciiTheme="majorHAnsi" w:hAnsiTheme="majorHAnsi"/>
          <w:sz w:val="16"/>
          <w:szCs w:val="16"/>
          <w:lang w:val="es-ES_tradnl"/>
        </w:rPr>
        <w:t xml:space="preserve"> de la Violencia Política, viudas o viudos, o en su caso a los herederos hasta finalizar la Gestión 2007.</w:t>
      </w:r>
    </w:p>
  </w:footnote>
  <w:footnote w:id="10">
    <w:p w14:paraId="265925C1" w14:textId="23F2E4F8" w:rsidR="005E2AAE" w:rsidRPr="005E2AAE" w:rsidRDefault="005E2AAE" w:rsidP="00246FA9">
      <w:pPr>
        <w:pStyle w:val="FootnoteText"/>
        <w:ind w:firstLine="720"/>
        <w:jc w:val="both"/>
        <w:rPr>
          <w:lang w:val="es-US"/>
        </w:rPr>
      </w:pPr>
      <w:r w:rsidRPr="00246FA9">
        <w:rPr>
          <w:rStyle w:val="FootnoteReference"/>
          <w:rFonts w:asciiTheme="majorHAnsi" w:hAnsiTheme="majorHAnsi"/>
          <w:sz w:val="16"/>
          <w:szCs w:val="16"/>
          <w:lang w:val="es-ES_tradnl"/>
        </w:rPr>
        <w:footnoteRef/>
      </w:r>
      <w:r w:rsidRPr="00246FA9">
        <w:rPr>
          <w:rFonts w:asciiTheme="majorHAnsi" w:hAnsiTheme="majorHAnsi"/>
          <w:sz w:val="16"/>
          <w:szCs w:val="16"/>
          <w:lang w:val="es-ES_tradnl"/>
        </w:rPr>
        <w:t xml:space="preserve"> </w:t>
      </w:r>
      <w:r w:rsidR="0088606A" w:rsidRPr="00246FA9">
        <w:rPr>
          <w:rFonts w:asciiTheme="majorHAnsi" w:hAnsiTheme="majorHAnsi"/>
          <w:sz w:val="16"/>
          <w:szCs w:val="16"/>
          <w:lang w:val="es-ES_tradnl"/>
        </w:rPr>
        <w:t xml:space="preserve">Decreto Supremo N.º 28015. </w:t>
      </w:r>
      <w:r w:rsidR="00246FA9" w:rsidRPr="00246FA9">
        <w:rPr>
          <w:rFonts w:asciiTheme="majorHAnsi" w:hAnsiTheme="majorHAnsi"/>
          <w:sz w:val="16"/>
          <w:szCs w:val="16"/>
          <w:lang w:val="es-ES_tradnl"/>
        </w:rPr>
        <w:t>Artículo 2.- (Ámbito de aplicación e interpretación). Para acreditar la condición de beneficiarios de conformidad a lo determinado por el Artículo 3 de la Ley N.º 2640, los interesados deberán: a) Las víctimas directas, acreditar documentación fehaciente que demuestre haber sufrido persecución, violencia o daño político, en el marco de lo establecido por el Artículo 4 de la Ley N.º 2640</w:t>
      </w:r>
      <w:r w:rsidR="00F933FC">
        <w:rPr>
          <w:rFonts w:asciiTheme="majorHAnsi" w:hAnsiTheme="majorHAnsi"/>
          <w:sz w:val="16"/>
          <w:szCs w:val="16"/>
          <w:lang w:val="es-ES_tradnl"/>
        </w:rPr>
        <w:t>.</w:t>
      </w:r>
      <w:r w:rsidR="00246FA9">
        <w:rPr>
          <w:rFonts w:asciiTheme="majorHAnsi" w:hAnsiTheme="majorHAnsi"/>
          <w:sz w:val="16"/>
          <w:szCs w:val="16"/>
          <w:lang w:val="es-ES_tradnl"/>
        </w:rPr>
        <w:t xml:space="preserve"> </w:t>
      </w:r>
    </w:p>
  </w:footnote>
  <w:footnote w:id="11">
    <w:p w14:paraId="637CBD0A" w14:textId="4C3DE9E9" w:rsidR="00605C0B" w:rsidRPr="006E4F2A" w:rsidRDefault="00605C0B" w:rsidP="006E4F2A">
      <w:pPr>
        <w:pStyle w:val="FootnoteText"/>
        <w:ind w:firstLine="720"/>
        <w:jc w:val="both"/>
        <w:rPr>
          <w:rFonts w:asciiTheme="majorHAnsi" w:hAnsiTheme="majorHAnsi"/>
          <w:sz w:val="16"/>
          <w:szCs w:val="16"/>
          <w:lang w:val="es-US"/>
        </w:rPr>
      </w:pPr>
      <w:r w:rsidRPr="006E4F2A">
        <w:rPr>
          <w:rStyle w:val="FootnoteReference"/>
          <w:rFonts w:asciiTheme="majorHAnsi" w:hAnsiTheme="majorHAnsi"/>
          <w:sz w:val="16"/>
          <w:szCs w:val="16"/>
        </w:rPr>
        <w:footnoteRef/>
      </w:r>
      <w:r w:rsidRPr="006E4F2A">
        <w:rPr>
          <w:rFonts w:asciiTheme="majorHAnsi" w:hAnsiTheme="majorHAnsi"/>
          <w:sz w:val="16"/>
          <w:szCs w:val="16"/>
          <w:lang w:val="es-US"/>
        </w:rPr>
        <w:t xml:space="preserve"> </w:t>
      </w:r>
      <w:r w:rsidR="00627F33" w:rsidRPr="006E4F2A">
        <w:rPr>
          <w:rFonts w:asciiTheme="majorHAnsi" w:hAnsiTheme="majorHAnsi"/>
          <w:sz w:val="16"/>
          <w:szCs w:val="16"/>
          <w:lang w:val="es-ES_tradnl"/>
        </w:rPr>
        <w:t xml:space="preserve">Decreto Supremo N.º 28015. Artículo 4.- (Responsabilidad, indicios de prueba </w:t>
      </w:r>
      <w:r w:rsidR="00890E01" w:rsidRPr="006E4F2A">
        <w:rPr>
          <w:rFonts w:asciiTheme="majorHAnsi" w:hAnsiTheme="majorHAnsi"/>
          <w:sz w:val="16"/>
          <w:szCs w:val="16"/>
          <w:lang w:val="es-ES_tradnl"/>
        </w:rPr>
        <w:t xml:space="preserve">y normativa aplicable). (…) IV. La carga de la prueba estará bajo responsabilidad del potencial beneficiario. En lo relativo a la valoración, la CONREVIP admitirá todas aquellas establecidas por el ordenamiento legal vigente. </w:t>
      </w:r>
      <w:r w:rsidR="00890E01" w:rsidRPr="006E4F2A">
        <w:rPr>
          <w:rFonts w:asciiTheme="majorHAnsi" w:hAnsiTheme="majorHAnsi"/>
          <w:sz w:val="16"/>
          <w:szCs w:val="16"/>
          <w:lang w:val="es-US"/>
        </w:rPr>
        <w:t> </w:t>
      </w:r>
    </w:p>
  </w:footnote>
  <w:footnote w:id="12">
    <w:p w14:paraId="3EE2A98F" w14:textId="41CD810F" w:rsidR="001B35F0" w:rsidRPr="00A217C3" w:rsidRDefault="001B35F0" w:rsidP="00A217C3">
      <w:pPr>
        <w:pStyle w:val="FootnoteText"/>
        <w:ind w:firstLine="720"/>
        <w:rPr>
          <w:rFonts w:asciiTheme="majorHAnsi" w:hAnsiTheme="majorHAnsi"/>
          <w:sz w:val="16"/>
          <w:szCs w:val="16"/>
          <w:lang w:val="es-US"/>
        </w:rPr>
      </w:pPr>
      <w:r w:rsidRPr="001B35F0">
        <w:rPr>
          <w:rStyle w:val="FootnoteReference"/>
          <w:rFonts w:asciiTheme="majorHAnsi" w:hAnsiTheme="majorHAnsi"/>
          <w:sz w:val="16"/>
          <w:szCs w:val="16"/>
        </w:rPr>
        <w:footnoteRef/>
      </w:r>
      <w:r w:rsidRPr="001B35F0">
        <w:rPr>
          <w:rFonts w:asciiTheme="majorHAnsi" w:hAnsiTheme="majorHAnsi"/>
          <w:sz w:val="16"/>
          <w:szCs w:val="16"/>
          <w:lang w:val="es-US"/>
        </w:rPr>
        <w:t xml:space="preserve"> CIDH, Informe No. 56/08, Petición 11.602. Admisibilidad. Trabajadores despedidos de Petróleos Del Perú (Petroperú) Zona Noroeste –Talara. Perú. 24 de julio de 2008, párr. 58.</w:t>
      </w:r>
    </w:p>
  </w:footnote>
  <w:footnote w:id="13">
    <w:p w14:paraId="54B26F6D" w14:textId="77777777" w:rsidR="00A217C3" w:rsidRPr="00A217C3" w:rsidRDefault="004D66B3" w:rsidP="00A217C3">
      <w:pPr>
        <w:pStyle w:val="FootnoteText"/>
        <w:ind w:firstLine="720"/>
        <w:rPr>
          <w:rFonts w:asciiTheme="majorHAnsi" w:hAnsiTheme="majorHAnsi"/>
          <w:sz w:val="16"/>
          <w:szCs w:val="16"/>
          <w:lang w:val="es-US"/>
        </w:rPr>
      </w:pPr>
      <w:r w:rsidRPr="00A217C3">
        <w:rPr>
          <w:rStyle w:val="FootnoteReference"/>
          <w:rFonts w:asciiTheme="majorHAnsi" w:hAnsiTheme="majorHAnsi"/>
          <w:sz w:val="16"/>
          <w:szCs w:val="16"/>
        </w:rPr>
        <w:footnoteRef/>
      </w:r>
      <w:r w:rsidRPr="00A217C3">
        <w:rPr>
          <w:rFonts w:asciiTheme="majorHAnsi" w:hAnsiTheme="majorHAnsi"/>
          <w:sz w:val="16"/>
          <w:szCs w:val="16"/>
          <w:lang w:val="es-US"/>
        </w:rPr>
        <w:t xml:space="preserve"> </w:t>
      </w:r>
      <w:r w:rsidR="00A217C3" w:rsidRPr="00A217C3">
        <w:rPr>
          <w:rFonts w:asciiTheme="majorHAnsi" w:hAnsiTheme="majorHAnsi"/>
          <w:sz w:val="16"/>
          <w:szCs w:val="16"/>
          <w:lang w:val="es-US"/>
        </w:rPr>
        <w:t>CIDH, Informe No. 70/04, Petición 667/01, Admisibilidad, Jesús Manuel Naranjo Cárdenas y otros, Jubilados de la empresa</w:t>
      </w:r>
    </w:p>
    <w:p w14:paraId="14BF33D0" w14:textId="5C698223" w:rsidR="004D66B3" w:rsidRDefault="00A217C3" w:rsidP="00A217C3">
      <w:pPr>
        <w:pStyle w:val="FootnoteText"/>
      </w:pPr>
      <w:r w:rsidRPr="00A217C3">
        <w:rPr>
          <w:rFonts w:asciiTheme="majorHAnsi" w:hAnsiTheme="majorHAnsi"/>
          <w:sz w:val="16"/>
          <w:szCs w:val="16"/>
          <w:lang w:val="es-US"/>
        </w:rPr>
        <w:t>venezolana de aviación VIASA. Venezuela, 15 de octubre de 2004, párr. 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00DB" w14:textId="77777777" w:rsidR="00040C3A" w:rsidRDefault="00040C3A">
    <w:pPr>
      <w:pStyle w:val="Header"/>
      <w:framePr w:wrap="around" w:vAnchor="text" w:hAnchor="margin" w:xAlign="center" w:y="1"/>
      <w:rPr>
        <w:rStyle w:val="PageNumber"/>
        <w:rFonts w:eastAsia="Trebuchet MS"/>
      </w:rPr>
    </w:pPr>
    <w:r>
      <w:rPr>
        <w:rStyle w:val="PageNumber"/>
        <w:rFonts w:eastAsia="Trebuchet MS"/>
      </w:rPr>
      <w:fldChar w:fldCharType="begin"/>
    </w:r>
    <w:r>
      <w:rPr>
        <w:rStyle w:val="PageNumber"/>
        <w:rFonts w:eastAsia="Trebuchet MS"/>
      </w:rPr>
      <w:instrText xml:space="preserve">PAGE  </w:instrText>
    </w:r>
    <w:r>
      <w:rPr>
        <w:rStyle w:val="PageNumber"/>
        <w:rFonts w:eastAsia="Trebuchet MS"/>
      </w:rPr>
      <w:fldChar w:fldCharType="end"/>
    </w:r>
  </w:p>
  <w:p w14:paraId="598FAFAB" w14:textId="77777777" w:rsidR="00040C3A" w:rsidRDefault="00040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01BB" w14:textId="77777777" w:rsidR="00A50FCF" w:rsidRDefault="00A50FCF" w:rsidP="00A50FCF">
    <w:pPr>
      <w:pStyle w:val="Header"/>
      <w:tabs>
        <w:tab w:val="clear" w:pos="4320"/>
        <w:tab w:val="clear" w:pos="8640"/>
      </w:tabs>
      <w:jc w:val="center"/>
      <w:rPr>
        <w:sz w:val="22"/>
        <w:szCs w:val="22"/>
      </w:rPr>
    </w:pPr>
    <w:r>
      <w:rPr>
        <w:noProof/>
        <w:sz w:val="22"/>
        <w:szCs w:val="22"/>
        <w:lang w:val="es-419" w:eastAsia="es-419"/>
      </w:rPr>
      <w:drawing>
        <wp:inline distT="0" distB="0" distL="0" distR="0" wp14:anchorId="49B70CC6" wp14:editId="0E71EB96">
          <wp:extent cx="1972237" cy="104775"/>
          <wp:effectExtent l="0" t="0" r="9525" b="0"/>
          <wp:docPr id="16" name="Picture 16" descr="C:\Users\mfontana\Documents\Eva Fontana\GRAFICA CIDH\cartas\logos\cidh-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ntana\Documents\Eva Fontana\GRAFICA CIDH\cartas\logos\cidh-pe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2237" cy="104775"/>
                  </a:xfrm>
                  <a:prstGeom prst="rect">
                    <a:avLst/>
                  </a:prstGeom>
                  <a:noFill/>
                  <a:ln>
                    <a:noFill/>
                  </a:ln>
                </pic:spPr>
              </pic:pic>
            </a:graphicData>
          </a:graphic>
        </wp:inline>
      </w:drawing>
    </w:r>
  </w:p>
  <w:p w14:paraId="1CF3204D" w14:textId="77777777" w:rsidR="00040C3A" w:rsidRPr="00EC7D62" w:rsidRDefault="007B444B" w:rsidP="00A50FCF">
    <w:pPr>
      <w:pStyle w:val="Header"/>
      <w:tabs>
        <w:tab w:val="clear" w:pos="4320"/>
        <w:tab w:val="clear" w:pos="8640"/>
      </w:tabs>
      <w:jc w:val="center"/>
      <w:rPr>
        <w:sz w:val="22"/>
        <w:szCs w:val="22"/>
      </w:rPr>
    </w:pPr>
    <w:r>
      <w:rPr>
        <w:sz w:val="22"/>
        <w:szCs w:val="22"/>
      </w:rPr>
      <w:pict w14:anchorId="4367A34C">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6D6D"/>
    <w:multiLevelType w:val="multilevel"/>
    <w:tmpl w:val="37C4B254"/>
    <w:styleLink w:val="List16"/>
    <w:lvl w:ilvl="0">
      <w:start w:val="1"/>
      <w:numFmt w:val="decimal"/>
      <w:lvlText w:val="%1."/>
      <w:lvlJc w:val="left"/>
      <w:pPr>
        <w:tabs>
          <w:tab w:val="num" w:pos="690"/>
        </w:tabs>
        <w:ind w:left="690" w:hanging="330"/>
      </w:pPr>
      <w:rPr>
        <w:rFonts w:ascii="Calibri" w:eastAsia="Calibri" w:hAnsi="Calibri" w:cs="Calibri"/>
        <w:b/>
        <w:bCs/>
        <w:color w:val="000000"/>
        <w:position w:val="0"/>
        <w:sz w:val="22"/>
        <w:szCs w:val="22"/>
        <w:u w:val="single" w:color="000000"/>
        <w:lang w:val="es-ES_tradnl"/>
      </w:rPr>
    </w:lvl>
    <w:lvl w:ilvl="1">
      <w:start w:val="1"/>
      <w:numFmt w:val="decimal"/>
      <w:lvlText w:val="%1.%2."/>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val="single" w:color="000000"/>
        <w:lang w:val="es-ES_tradnl"/>
      </w:rPr>
    </w:lvl>
  </w:abstractNum>
  <w:abstractNum w:abstractNumId="1" w15:restartNumberingAfterBreak="0">
    <w:nsid w:val="06080900"/>
    <w:multiLevelType w:val="multilevel"/>
    <w:tmpl w:val="6724711E"/>
    <w:styleLink w:val="List36"/>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 w15:restartNumberingAfterBreak="0">
    <w:nsid w:val="0A481FED"/>
    <w:multiLevelType w:val="multilevel"/>
    <w:tmpl w:val="4C060580"/>
    <w:styleLink w:val="List2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 w15:restartNumberingAfterBreak="0">
    <w:nsid w:val="0A5E79E3"/>
    <w:multiLevelType w:val="multilevel"/>
    <w:tmpl w:val="E38020DC"/>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heme="minorHAnsi" w:eastAsia="Trebuchet MS" w:hAnsiTheme="minorHAnsi" w:cstheme="minorHAnsi" w:hint="default"/>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 w15:restartNumberingAfterBreak="0">
    <w:nsid w:val="0CE97965"/>
    <w:multiLevelType w:val="hybridMultilevel"/>
    <w:tmpl w:val="D270B59A"/>
    <w:lvl w:ilvl="0" w:tplc="C7B2990C">
      <w:start w:val="2"/>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0E0C22D1"/>
    <w:multiLevelType w:val="multilevel"/>
    <w:tmpl w:val="C8D88BBA"/>
    <w:styleLink w:val="List1"/>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6" w15:restartNumberingAfterBreak="0">
    <w:nsid w:val="0E1D2261"/>
    <w:multiLevelType w:val="hybridMultilevel"/>
    <w:tmpl w:val="61C8A326"/>
    <w:lvl w:ilvl="0" w:tplc="7BF632AE">
      <w:start w:val="1"/>
      <w:numFmt w:val="decimal"/>
      <w:lvlText w:val="%1."/>
      <w:lvlJc w:val="left"/>
      <w:pPr>
        <w:tabs>
          <w:tab w:val="num" w:pos="720"/>
        </w:tabs>
        <w:ind w:left="0" w:firstLine="720"/>
      </w:pPr>
      <w:rPr>
        <w:rFonts w:asciiTheme="majorHAnsi" w:hAnsiTheme="majorHAnsi"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BA2819"/>
    <w:multiLevelType w:val="multilevel"/>
    <w:tmpl w:val="DE3EA646"/>
    <w:styleLink w:val="List41"/>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8" w15:restartNumberingAfterBreak="0">
    <w:nsid w:val="1CB44B54"/>
    <w:multiLevelType w:val="multilevel"/>
    <w:tmpl w:val="10C6C0C6"/>
    <w:styleLink w:val="List11"/>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rebuchet MS" w:eastAsia="Trebuchet MS" w:hAnsi="Trebuchet MS" w:cs="Trebuchet M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9" w15:restartNumberingAfterBreak="0">
    <w:nsid w:val="1CC26445"/>
    <w:multiLevelType w:val="multilevel"/>
    <w:tmpl w:val="F8FA56EE"/>
    <w:styleLink w:val="List15"/>
    <w:lvl w:ilvl="0">
      <w:start w:val="2"/>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decimal"/>
      <w:lvlText w:val="%1.%2."/>
      <w:lvlJc w:val="left"/>
      <w:pPr>
        <w:tabs>
          <w:tab w:val="num" w:pos="690"/>
        </w:tabs>
        <w:ind w:left="690" w:hanging="330"/>
      </w:pPr>
      <w:rPr>
        <w:rFonts w:ascii="Calibri" w:eastAsia="Calibri" w:hAnsi="Calibri" w:cs="Calibri"/>
        <w:b/>
        <w:bCs/>
        <w:color w:val="000000"/>
        <w:position w:val="0"/>
        <w:sz w:val="22"/>
        <w:szCs w:val="22"/>
        <w:u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color="000000"/>
        <w:lang w:val="es-ES_tradnl"/>
      </w:rPr>
    </w:lvl>
  </w:abstractNum>
  <w:abstractNum w:abstractNumId="10" w15:restartNumberingAfterBreak="0">
    <w:nsid w:val="1DE80067"/>
    <w:multiLevelType w:val="multilevel"/>
    <w:tmpl w:val="3FC4BF5E"/>
    <w:styleLink w:val="List14"/>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1" w15:restartNumberingAfterBreak="0">
    <w:nsid w:val="1E932978"/>
    <w:multiLevelType w:val="multilevel"/>
    <w:tmpl w:val="E8F2423E"/>
    <w:styleLink w:val="List23"/>
    <w:lvl w:ilvl="0">
      <w:start w:val="6"/>
      <w:numFmt w:val="decimal"/>
      <w:lvlText w:val="%1."/>
      <w:lvlJc w:val="left"/>
      <w:pPr>
        <w:tabs>
          <w:tab w:val="num" w:pos="360"/>
        </w:tabs>
        <w:ind w:left="36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2" w15:restartNumberingAfterBreak="0">
    <w:nsid w:val="1F0B1FF7"/>
    <w:multiLevelType w:val="multilevel"/>
    <w:tmpl w:val="788E63B4"/>
    <w:styleLink w:val="List19"/>
    <w:lvl w:ilvl="0">
      <w:start w:val="2"/>
      <w:numFmt w:val="upperLetter"/>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13" w15:restartNumberingAfterBreak="0">
    <w:nsid w:val="1F7A4C80"/>
    <w:multiLevelType w:val="multilevel"/>
    <w:tmpl w:val="3886B7F0"/>
    <w:styleLink w:val="List4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4" w15:restartNumberingAfterBreak="0">
    <w:nsid w:val="1F9B2B89"/>
    <w:multiLevelType w:val="hybridMultilevel"/>
    <w:tmpl w:val="B906B13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252647F"/>
    <w:multiLevelType w:val="multilevel"/>
    <w:tmpl w:val="BB5E788C"/>
    <w:styleLink w:val="List4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6" w15:restartNumberingAfterBreak="0">
    <w:nsid w:val="227B0583"/>
    <w:multiLevelType w:val="multilevel"/>
    <w:tmpl w:val="A344CEF6"/>
    <w:styleLink w:val="List9"/>
    <w:lvl w:ilvl="0">
      <w:start w:val="1"/>
      <w:numFmt w:val="upperLetter"/>
      <w:lvlText w:val="%1."/>
      <w:lvlJc w:val="left"/>
      <w:pPr>
        <w:tabs>
          <w:tab w:val="num" w:pos="1080"/>
        </w:tabs>
        <w:ind w:left="1080" w:hanging="72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17" w15:restartNumberingAfterBreak="0">
    <w:nsid w:val="271929A4"/>
    <w:multiLevelType w:val="multilevel"/>
    <w:tmpl w:val="67BE493C"/>
    <w:styleLink w:val="List43"/>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8" w15:restartNumberingAfterBreak="0">
    <w:nsid w:val="274D5C2C"/>
    <w:multiLevelType w:val="multilevel"/>
    <w:tmpl w:val="CA4E8B5A"/>
    <w:styleLink w:val="List46"/>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9" w15:restartNumberingAfterBreak="0">
    <w:nsid w:val="2BCE4512"/>
    <w:multiLevelType w:val="multilevel"/>
    <w:tmpl w:val="140087A8"/>
    <w:styleLink w:val="List3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0" w15:restartNumberingAfterBreak="0">
    <w:nsid w:val="2C89495E"/>
    <w:multiLevelType w:val="multilevel"/>
    <w:tmpl w:val="DF9876EC"/>
    <w:styleLink w:val="List1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1" w15:restartNumberingAfterBreak="0">
    <w:nsid w:val="2D5856E2"/>
    <w:multiLevelType w:val="multilevel"/>
    <w:tmpl w:val="CA84D204"/>
    <w:styleLink w:val="List33"/>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2" w15:restartNumberingAfterBreak="0">
    <w:nsid w:val="31CB6708"/>
    <w:multiLevelType w:val="multilevel"/>
    <w:tmpl w:val="B6544A0C"/>
    <w:styleLink w:val="List31"/>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3" w15:restartNumberingAfterBreak="0">
    <w:nsid w:val="329F3307"/>
    <w:multiLevelType w:val="multilevel"/>
    <w:tmpl w:val="A7887534"/>
    <w:styleLink w:val="List7"/>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4" w15:restartNumberingAfterBreak="0">
    <w:nsid w:val="33D07097"/>
    <w:multiLevelType w:val="multilevel"/>
    <w:tmpl w:val="D0E0C7B8"/>
    <w:styleLink w:val="List1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5" w15:restartNumberingAfterBreak="0">
    <w:nsid w:val="34031D1B"/>
    <w:multiLevelType w:val="multilevel"/>
    <w:tmpl w:val="E5488B9E"/>
    <w:styleLink w:val="List22"/>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rebuchet MS" w:eastAsia="Trebuchet MS" w:hAnsi="Trebuchet MS" w:cs="Trebuchet M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6" w15:restartNumberingAfterBreak="0">
    <w:nsid w:val="34276F4B"/>
    <w:multiLevelType w:val="multilevel"/>
    <w:tmpl w:val="4FF24EAA"/>
    <w:styleLink w:val="List47"/>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7" w15:restartNumberingAfterBreak="0">
    <w:nsid w:val="35AD781F"/>
    <w:multiLevelType w:val="multilevel"/>
    <w:tmpl w:val="0158ED6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15:restartNumberingAfterBreak="0">
    <w:nsid w:val="363418E0"/>
    <w:multiLevelType w:val="hybridMultilevel"/>
    <w:tmpl w:val="D9F4012E"/>
    <w:lvl w:ilvl="0" w:tplc="6EF2BC78">
      <w:start w:val="2"/>
      <w:numFmt w:val="lowerLetter"/>
      <w:lvlText w:val="%1."/>
      <w:lvlJc w:val="left"/>
      <w:pPr>
        <w:ind w:left="1440" w:hanging="360"/>
      </w:pPr>
      <w:rPr>
        <w:rFonts w:eastAsia="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8776F36"/>
    <w:multiLevelType w:val="multilevel"/>
    <w:tmpl w:val="86862554"/>
    <w:styleLink w:val="List2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0" w15:restartNumberingAfterBreak="0">
    <w:nsid w:val="39F534D0"/>
    <w:multiLevelType w:val="multilevel"/>
    <w:tmpl w:val="9F6C6C32"/>
    <w:styleLink w:val="List10"/>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31" w15:restartNumberingAfterBreak="0">
    <w:nsid w:val="3ACB3728"/>
    <w:multiLevelType w:val="multilevel"/>
    <w:tmpl w:val="024A16C2"/>
    <w:styleLink w:val="List0"/>
    <w:lvl w:ilvl="0">
      <w:start w:val="1"/>
      <w:numFmt w:val="upperRoman"/>
      <w:lvlText w:val="%1."/>
      <w:lvlJc w:val="left"/>
      <w:pPr>
        <w:tabs>
          <w:tab w:val="num" w:pos="1080"/>
        </w:tabs>
        <w:ind w:left="1080" w:hanging="72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32" w15:restartNumberingAfterBreak="0">
    <w:nsid w:val="3C432398"/>
    <w:multiLevelType w:val="hybridMultilevel"/>
    <w:tmpl w:val="D710180A"/>
    <w:lvl w:ilvl="0" w:tplc="6F2A060E">
      <w:start w:val="2"/>
      <w:numFmt w:val="none"/>
      <w:lvlText w:val="B."/>
      <w:lvlJc w:val="left"/>
      <w:pPr>
        <w:tabs>
          <w:tab w:val="num" w:pos="1440"/>
        </w:tabs>
        <w:ind w:left="1440" w:hanging="720"/>
      </w:pPr>
      <w:rPr>
        <w:rFonts w:hint="default"/>
      </w:rPr>
    </w:lvl>
    <w:lvl w:ilvl="1" w:tplc="83BC664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0AB1693"/>
    <w:multiLevelType w:val="multilevel"/>
    <w:tmpl w:val="93E42B6E"/>
    <w:styleLink w:val="List3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4" w15:restartNumberingAfterBreak="0">
    <w:nsid w:val="42DF19D7"/>
    <w:multiLevelType w:val="multilevel"/>
    <w:tmpl w:val="E7265BB0"/>
    <w:styleLink w:val="List51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5" w15:restartNumberingAfterBreak="0">
    <w:nsid w:val="431F2FA9"/>
    <w:multiLevelType w:val="multilevel"/>
    <w:tmpl w:val="7D50E14C"/>
    <w:styleLink w:val="List2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6" w15:restartNumberingAfterBreak="0">
    <w:nsid w:val="444006B9"/>
    <w:multiLevelType w:val="multilevel"/>
    <w:tmpl w:val="1090D1D4"/>
    <w:styleLink w:val="List3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bullet"/>
      <w:lvlText w:val="•"/>
      <w:lvlJc w:val="left"/>
      <w:pPr>
        <w:tabs>
          <w:tab w:val="num" w:pos="1740"/>
        </w:tabs>
        <w:ind w:left="1740" w:hanging="66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7" w15:restartNumberingAfterBreak="0">
    <w:nsid w:val="46685386"/>
    <w:multiLevelType w:val="multilevel"/>
    <w:tmpl w:val="340C02A0"/>
    <w:styleLink w:val="List1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8" w15:restartNumberingAfterBreak="0">
    <w:nsid w:val="489949EB"/>
    <w:multiLevelType w:val="multilevel"/>
    <w:tmpl w:val="3844DD14"/>
    <w:styleLink w:val="List5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9" w15:restartNumberingAfterBreak="0">
    <w:nsid w:val="492723E7"/>
    <w:multiLevelType w:val="multilevel"/>
    <w:tmpl w:val="0CF8CC36"/>
    <w:styleLink w:val="List210"/>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0" w15:restartNumberingAfterBreak="0">
    <w:nsid w:val="4A207B30"/>
    <w:multiLevelType w:val="multilevel"/>
    <w:tmpl w:val="677A4662"/>
    <w:lvl w:ilvl="0">
      <w:start w:val="1"/>
      <w:numFmt w:val="lowerLetter"/>
      <w:lvlText w:val="%1."/>
      <w:lvlJc w:val="left"/>
      <w:pPr>
        <w:tabs>
          <w:tab w:val="num" w:pos="720"/>
        </w:tabs>
        <w:ind w:left="720" w:hanging="360"/>
      </w:pPr>
      <w:rPr>
        <w:rFonts w:asciiTheme="minorHAnsi" w:eastAsia="Trebuchet MS" w:hAnsiTheme="minorHAnsi" w:cs="Trebuchet MS" w:hint="default"/>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1" w15:restartNumberingAfterBreak="0">
    <w:nsid w:val="4C7B4261"/>
    <w:multiLevelType w:val="multilevel"/>
    <w:tmpl w:val="BA48D7F6"/>
    <w:styleLink w:val="List34"/>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770"/>
        </w:tabs>
        <w:ind w:left="177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495"/>
        </w:tabs>
        <w:ind w:left="249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3210"/>
        </w:tabs>
        <w:ind w:left="321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930"/>
        </w:tabs>
        <w:ind w:left="393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655"/>
        </w:tabs>
        <w:ind w:left="465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370"/>
        </w:tabs>
        <w:ind w:left="537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6090"/>
        </w:tabs>
        <w:ind w:left="609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815"/>
        </w:tabs>
        <w:ind w:left="6815" w:hanging="271"/>
      </w:pPr>
      <w:rPr>
        <w:rFonts w:ascii="Calibri" w:eastAsia="Calibri" w:hAnsi="Calibri" w:cs="Calibri"/>
        <w:b/>
        <w:bCs/>
        <w:color w:val="000000"/>
        <w:position w:val="0"/>
        <w:sz w:val="22"/>
        <w:szCs w:val="22"/>
        <w:u w:val="single" w:color="000000"/>
        <w:lang w:val="es-ES_tradnl"/>
      </w:rPr>
    </w:lvl>
  </w:abstractNum>
  <w:abstractNum w:abstractNumId="42" w15:restartNumberingAfterBreak="0">
    <w:nsid w:val="4CF77151"/>
    <w:multiLevelType w:val="multilevel"/>
    <w:tmpl w:val="CEEAA058"/>
    <w:styleLink w:val="List42"/>
    <w:lvl w:ilvl="0">
      <w:start w:val="1"/>
      <w:numFmt w:val="decimal"/>
      <w:lvlText w:val="%1."/>
      <w:lvlJc w:val="left"/>
      <w:pPr>
        <w:tabs>
          <w:tab w:val="num" w:pos="690"/>
        </w:tabs>
        <w:ind w:left="690" w:hanging="330"/>
      </w:pPr>
      <w:rPr>
        <w:rFonts w:ascii="Calibri" w:eastAsia="Calibri" w:hAnsi="Calibri" w:cs="Calibri"/>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abstractNum w:abstractNumId="43" w15:restartNumberingAfterBreak="0">
    <w:nsid w:val="4FB46B4D"/>
    <w:multiLevelType w:val="multilevel"/>
    <w:tmpl w:val="85382D78"/>
    <w:styleLink w:val="List4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4" w15:restartNumberingAfterBreak="0">
    <w:nsid w:val="50521DA1"/>
    <w:multiLevelType w:val="multilevel"/>
    <w:tmpl w:val="06207D7E"/>
    <w:styleLink w:val="List44"/>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5" w15:restartNumberingAfterBreak="0">
    <w:nsid w:val="5087187A"/>
    <w:multiLevelType w:val="multilevel"/>
    <w:tmpl w:val="D5303458"/>
    <w:styleLink w:val="List21"/>
    <w:lvl w:ilvl="0">
      <w:start w:val="1"/>
      <w:numFmt w:val="upperLetter"/>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6" w15:restartNumberingAfterBreak="0">
    <w:nsid w:val="54533009"/>
    <w:multiLevelType w:val="multilevel"/>
    <w:tmpl w:val="E592B904"/>
    <w:styleLink w:val="List52"/>
    <w:lvl w:ilvl="0">
      <w:start w:val="3"/>
      <w:numFmt w:val="upperRoman"/>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7" w15:restartNumberingAfterBreak="0">
    <w:nsid w:val="560E281B"/>
    <w:multiLevelType w:val="hybridMultilevel"/>
    <w:tmpl w:val="D4EA90BE"/>
    <w:lvl w:ilvl="0" w:tplc="11044AE4">
      <w:start w:val="1"/>
      <w:numFmt w:val="decimal"/>
      <w:lvlText w:val="%1."/>
      <w:lvlJc w:val="left"/>
      <w:pPr>
        <w:tabs>
          <w:tab w:val="num" w:pos="720"/>
        </w:tabs>
        <w:ind w:left="0" w:firstLine="720"/>
      </w:pPr>
      <w:rPr>
        <w:rFonts w:hint="default"/>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A931108"/>
    <w:multiLevelType w:val="multilevel"/>
    <w:tmpl w:val="901AD374"/>
    <w:styleLink w:val="List24"/>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abstractNum w:abstractNumId="49" w15:restartNumberingAfterBreak="0">
    <w:nsid w:val="5BF62682"/>
    <w:multiLevelType w:val="multilevel"/>
    <w:tmpl w:val="44B09150"/>
    <w:styleLink w:val="List51"/>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50" w15:restartNumberingAfterBreak="0">
    <w:nsid w:val="61291D94"/>
    <w:multiLevelType w:val="multilevel"/>
    <w:tmpl w:val="6C22F246"/>
    <w:styleLink w:val="List2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1" w15:restartNumberingAfterBreak="0">
    <w:nsid w:val="637E3506"/>
    <w:multiLevelType w:val="hybridMultilevel"/>
    <w:tmpl w:val="38BAC68E"/>
    <w:lvl w:ilvl="0" w:tplc="8C82E214">
      <w:start w:val="1"/>
      <w:numFmt w:val="decimal"/>
      <w:lvlText w:val="%1."/>
      <w:lvlJc w:val="left"/>
      <w:pPr>
        <w:tabs>
          <w:tab w:val="num" w:pos="720"/>
        </w:tabs>
        <w:ind w:left="0" w:firstLine="720"/>
      </w:pPr>
      <w:rPr>
        <w:rFonts w:hint="default"/>
      </w:rPr>
    </w:lvl>
    <w:lvl w:ilvl="1" w:tplc="F2CAD2CA">
      <w:start w:val="34"/>
      <w:numFmt w:val="decimal"/>
      <w:lvlText w:val="%2."/>
      <w:lvlJc w:val="left"/>
      <w:pPr>
        <w:tabs>
          <w:tab w:val="num" w:pos="2520"/>
        </w:tabs>
        <w:ind w:left="252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6260CBE"/>
    <w:multiLevelType w:val="multilevel"/>
    <w:tmpl w:val="1D885D8E"/>
    <w:styleLink w:val="List8"/>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53" w15:restartNumberingAfterBreak="0">
    <w:nsid w:val="6A074BF8"/>
    <w:multiLevelType w:val="multilevel"/>
    <w:tmpl w:val="E1B8E896"/>
    <w:styleLink w:val="List13"/>
    <w:lvl w:ilvl="0">
      <w:start w:val="1"/>
      <w:numFmt w:val="upperRoman"/>
      <w:lvlText w:val="%1."/>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1">
      <w:start w:val="2"/>
      <w:numFmt w:val="decimal"/>
      <w:lvlText w:val="%1.%2."/>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val="single" w:color="000000"/>
        <w:lang w:val="es-ES_tradnl"/>
      </w:rPr>
    </w:lvl>
  </w:abstractNum>
  <w:abstractNum w:abstractNumId="54" w15:restartNumberingAfterBreak="0">
    <w:nsid w:val="6A772C1F"/>
    <w:multiLevelType w:val="multilevel"/>
    <w:tmpl w:val="CB540D3E"/>
    <w:lvl w:ilvl="0">
      <w:start w:val="1"/>
      <w:numFmt w:val="decimal"/>
      <w:lvlText w:val="%1"/>
      <w:lvlJc w:val="left"/>
      <w:pPr>
        <w:ind w:left="360" w:hanging="360"/>
      </w:pPr>
      <w:rPr>
        <w:rFonts w:eastAsia="Calibri" w:cs="Calibri" w:hint="default"/>
      </w:rPr>
    </w:lvl>
    <w:lvl w:ilvl="1">
      <w:start w:val="2"/>
      <w:numFmt w:val="decimal"/>
      <w:lvlText w:val="%1.%2"/>
      <w:lvlJc w:val="left"/>
      <w:pPr>
        <w:ind w:left="1068" w:hanging="360"/>
      </w:pPr>
      <w:rPr>
        <w:rFonts w:eastAsia="Calibri" w:cs="Calibri" w:hint="default"/>
      </w:rPr>
    </w:lvl>
    <w:lvl w:ilvl="2">
      <w:start w:val="1"/>
      <w:numFmt w:val="decimal"/>
      <w:lvlText w:val="%1.%2.%3"/>
      <w:lvlJc w:val="left"/>
      <w:pPr>
        <w:ind w:left="2136" w:hanging="720"/>
      </w:pPr>
      <w:rPr>
        <w:rFonts w:eastAsia="Calibri" w:cs="Calibri" w:hint="default"/>
      </w:rPr>
    </w:lvl>
    <w:lvl w:ilvl="3">
      <w:start w:val="1"/>
      <w:numFmt w:val="decimal"/>
      <w:lvlText w:val="%1.%2.%3.%4"/>
      <w:lvlJc w:val="left"/>
      <w:pPr>
        <w:ind w:left="2844" w:hanging="720"/>
      </w:pPr>
      <w:rPr>
        <w:rFonts w:eastAsia="Calibri" w:cs="Calibri" w:hint="default"/>
      </w:rPr>
    </w:lvl>
    <w:lvl w:ilvl="4">
      <w:start w:val="1"/>
      <w:numFmt w:val="decimal"/>
      <w:lvlText w:val="%1.%2.%3.%4.%5"/>
      <w:lvlJc w:val="left"/>
      <w:pPr>
        <w:ind w:left="3912" w:hanging="1080"/>
      </w:pPr>
      <w:rPr>
        <w:rFonts w:eastAsia="Calibri" w:cs="Calibri" w:hint="default"/>
      </w:rPr>
    </w:lvl>
    <w:lvl w:ilvl="5">
      <w:start w:val="1"/>
      <w:numFmt w:val="decimal"/>
      <w:lvlText w:val="%1.%2.%3.%4.%5.%6"/>
      <w:lvlJc w:val="left"/>
      <w:pPr>
        <w:ind w:left="4620" w:hanging="1080"/>
      </w:pPr>
      <w:rPr>
        <w:rFonts w:eastAsia="Calibri" w:cs="Calibri" w:hint="default"/>
      </w:rPr>
    </w:lvl>
    <w:lvl w:ilvl="6">
      <w:start w:val="1"/>
      <w:numFmt w:val="decimal"/>
      <w:lvlText w:val="%1.%2.%3.%4.%5.%6.%7"/>
      <w:lvlJc w:val="left"/>
      <w:pPr>
        <w:ind w:left="5688" w:hanging="1440"/>
      </w:pPr>
      <w:rPr>
        <w:rFonts w:eastAsia="Calibri" w:cs="Calibri" w:hint="default"/>
      </w:rPr>
    </w:lvl>
    <w:lvl w:ilvl="7">
      <w:start w:val="1"/>
      <w:numFmt w:val="decimal"/>
      <w:lvlText w:val="%1.%2.%3.%4.%5.%6.%7.%8"/>
      <w:lvlJc w:val="left"/>
      <w:pPr>
        <w:ind w:left="6396" w:hanging="1440"/>
      </w:pPr>
      <w:rPr>
        <w:rFonts w:eastAsia="Calibri" w:cs="Calibri" w:hint="default"/>
      </w:rPr>
    </w:lvl>
    <w:lvl w:ilvl="8">
      <w:start w:val="1"/>
      <w:numFmt w:val="decimal"/>
      <w:lvlText w:val="%1.%2.%3.%4.%5.%6.%7.%8.%9"/>
      <w:lvlJc w:val="left"/>
      <w:pPr>
        <w:ind w:left="7464" w:hanging="1800"/>
      </w:pPr>
      <w:rPr>
        <w:rFonts w:eastAsia="Calibri" w:cs="Calibri" w:hint="default"/>
      </w:rPr>
    </w:lvl>
  </w:abstractNum>
  <w:abstractNum w:abstractNumId="55" w15:restartNumberingAfterBreak="0">
    <w:nsid w:val="6BF15681"/>
    <w:multiLevelType w:val="hybridMultilevel"/>
    <w:tmpl w:val="3438A16C"/>
    <w:lvl w:ilvl="0" w:tplc="4D787168">
      <w:start w:val="1"/>
      <w:numFmt w:val="decimal"/>
      <w:lvlText w:val="%1."/>
      <w:lvlJc w:val="left"/>
      <w:pPr>
        <w:tabs>
          <w:tab w:val="num" w:pos="4320"/>
        </w:tabs>
        <w:ind w:left="4320" w:hanging="360"/>
      </w:pPr>
      <w:rPr>
        <w:rFonts w:hint="default"/>
        <w:b w:val="0"/>
        <w:color w:val="auto"/>
        <w:sz w:val="20"/>
        <w:szCs w:val="20"/>
      </w:rPr>
    </w:lvl>
    <w:lvl w:ilvl="1" w:tplc="04090019">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56" w15:restartNumberingAfterBreak="0">
    <w:nsid w:val="6EC377F7"/>
    <w:multiLevelType w:val="multilevel"/>
    <w:tmpl w:val="46768850"/>
    <w:styleLink w:val="List20"/>
    <w:lvl w:ilvl="0">
      <w:start w:val="2"/>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7" w15:restartNumberingAfterBreak="0">
    <w:nsid w:val="70786ED7"/>
    <w:multiLevelType w:val="hybridMultilevel"/>
    <w:tmpl w:val="0004DB54"/>
    <w:lvl w:ilvl="0" w:tplc="69020C3E">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5A711E"/>
    <w:multiLevelType w:val="multilevel"/>
    <w:tmpl w:val="ED88159C"/>
    <w:styleLink w:val="List410"/>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9" w15:restartNumberingAfterBreak="0">
    <w:nsid w:val="769866C8"/>
    <w:multiLevelType w:val="multilevel"/>
    <w:tmpl w:val="E38020DC"/>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heme="minorHAnsi" w:eastAsia="Trebuchet MS" w:hAnsiTheme="minorHAnsi" w:cstheme="minorHAnsi" w:hint="default"/>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0" w15:restartNumberingAfterBreak="0">
    <w:nsid w:val="78C26FCF"/>
    <w:multiLevelType w:val="multilevel"/>
    <w:tmpl w:val="2FCAD168"/>
    <w:styleLink w:val="List31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1" w15:restartNumberingAfterBreak="0">
    <w:nsid w:val="78D002EC"/>
    <w:multiLevelType w:val="multilevel"/>
    <w:tmpl w:val="83CCC372"/>
    <w:styleLink w:val="List6"/>
    <w:lvl w:ilvl="0">
      <w:start w:val="1"/>
      <w:numFmt w:val="bullet"/>
      <w:lvlText w:val="•"/>
      <w:lvlJc w:val="left"/>
      <w:pPr>
        <w:tabs>
          <w:tab w:val="num" w:pos="720"/>
        </w:tabs>
        <w:ind w:left="720" w:hanging="360"/>
      </w:pPr>
      <w:rPr>
        <w:rFonts w:ascii="Trebuchet MS" w:eastAsia="Trebuchet MS" w:hAnsi="Trebuchet MS" w:cs="Trebuchet MS"/>
        <w:b/>
        <w:bC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b/>
        <w:bCs/>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b/>
        <w:bCs/>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b/>
        <w:bCs/>
        <w:color w:val="000000"/>
        <w:position w:val="0"/>
        <w:sz w:val="22"/>
        <w:szCs w:val="22"/>
        <w:u w:color="000000"/>
        <w:lang w:val="es-ES_tradnl"/>
      </w:rPr>
    </w:lvl>
  </w:abstractNum>
  <w:abstractNum w:abstractNumId="62" w15:restartNumberingAfterBreak="0">
    <w:nsid w:val="79D11DEC"/>
    <w:multiLevelType w:val="multilevel"/>
    <w:tmpl w:val="CA907696"/>
    <w:styleLink w:val="List3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3" w15:restartNumberingAfterBreak="0">
    <w:nsid w:val="7C2D1397"/>
    <w:multiLevelType w:val="multilevel"/>
    <w:tmpl w:val="0D6A0264"/>
    <w:styleLink w:val="List3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4" w15:restartNumberingAfterBreak="0">
    <w:nsid w:val="7C5B116A"/>
    <w:multiLevelType w:val="multilevel"/>
    <w:tmpl w:val="6C927F16"/>
    <w:styleLink w:val="List3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5" w15:restartNumberingAfterBreak="0">
    <w:nsid w:val="7EAB4C36"/>
    <w:multiLevelType w:val="multilevel"/>
    <w:tmpl w:val="DBBC6382"/>
    <w:styleLink w:val="List26"/>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6" w15:restartNumberingAfterBreak="0">
    <w:nsid w:val="7EB246CE"/>
    <w:multiLevelType w:val="hybridMultilevel"/>
    <w:tmpl w:val="1BFAA196"/>
    <w:lvl w:ilvl="0" w:tplc="820EDAD6">
      <w:start w:val="1"/>
      <w:numFmt w:val="decimal"/>
      <w:lvlText w:val="%1."/>
      <w:lvlJc w:val="left"/>
      <w:pPr>
        <w:tabs>
          <w:tab w:val="num" w:pos="1260"/>
        </w:tabs>
        <w:ind w:left="1260" w:hanging="720"/>
      </w:pPr>
      <w:rPr>
        <w:rFonts w:ascii="Cambria" w:hAnsi="Cambria" w:cs="Calibri" w:hint="default"/>
        <w:color w:val="auto"/>
        <w:sz w:val="20"/>
        <w:szCs w:val="20"/>
      </w:rPr>
    </w:lvl>
    <w:lvl w:ilvl="1" w:tplc="7A0A6BBA">
      <w:start w:val="1"/>
      <w:numFmt w:val="upperLetter"/>
      <w:lvlText w:val="%2."/>
      <w:lvlJc w:val="left"/>
      <w:pPr>
        <w:tabs>
          <w:tab w:val="num" w:pos="2160"/>
        </w:tabs>
        <w:ind w:left="2160" w:hanging="720"/>
      </w:pPr>
      <w:rPr>
        <w:rFonts w:ascii="Calibri" w:hAnsi="Calibri" w:cs="Aria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15:restartNumberingAfterBreak="0">
    <w:nsid w:val="7F215946"/>
    <w:multiLevelType w:val="multilevel"/>
    <w:tmpl w:val="15D01EAA"/>
    <w:styleLink w:val="List48"/>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num w:numId="1" w16cid:durableId="784422901">
    <w:abstractNumId w:val="31"/>
    <w:lvlOverride w:ilvl="0">
      <w:lvl w:ilvl="0">
        <w:start w:val="1"/>
        <w:numFmt w:val="upperRoman"/>
        <w:lvlText w:val="%1."/>
        <w:lvlJc w:val="left"/>
        <w:pPr>
          <w:tabs>
            <w:tab w:val="num" w:pos="1080"/>
          </w:tabs>
          <w:ind w:left="1080" w:hanging="720"/>
        </w:pPr>
        <w:rPr>
          <w:rFonts w:asciiTheme="minorHAnsi" w:eastAsia="Trebuchet MS" w:hAnsiTheme="minorHAnsi" w:cstheme="minorHAnsi" w:hint="default"/>
          <w:b/>
          <w:bCs/>
          <w:color w:val="000000"/>
          <w:position w:val="0"/>
          <w:sz w:val="24"/>
          <w:szCs w:val="22"/>
          <w:u w:color="000000"/>
          <w:lang w:val="es-ES_tradnl"/>
        </w:rPr>
      </w:lvl>
    </w:lvlOverride>
  </w:num>
  <w:num w:numId="2" w16cid:durableId="872813378">
    <w:abstractNumId w:val="5"/>
  </w:num>
  <w:num w:numId="3" w16cid:durableId="401412268">
    <w:abstractNumId w:val="45"/>
    <w:lvlOverride w:ilvl="0">
      <w:lvl w:ilvl="0">
        <w:start w:val="1"/>
        <w:numFmt w:val="upperLetter"/>
        <w:lvlText w:val="%1."/>
        <w:lvlJc w:val="left"/>
        <w:pPr>
          <w:tabs>
            <w:tab w:val="num" w:pos="720"/>
          </w:tabs>
          <w:ind w:left="720" w:hanging="360"/>
        </w:pPr>
        <w:rPr>
          <w:rFonts w:asciiTheme="minorHAnsi" w:eastAsia="Trebuchet MS" w:hAnsiTheme="minorHAnsi" w:cstheme="minorHAnsi" w:hint="default"/>
          <w:b/>
          <w:bCs/>
          <w:color w:val="000000"/>
          <w:position w:val="0"/>
          <w:sz w:val="22"/>
          <w:szCs w:val="22"/>
          <w:u w:color="000000"/>
          <w:lang w:val="es-ES_tradnl"/>
        </w:rPr>
      </w:lvl>
    </w:lvlOverride>
  </w:num>
  <w:num w:numId="4" w16cid:durableId="128860888">
    <w:abstractNumId w:val="22"/>
    <w:lvlOverride w:ilvl="0">
      <w:lvl w:ilvl="0">
        <w:start w:val="1"/>
        <w:numFmt w:val="decimal"/>
        <w:lvlText w:val="%1."/>
        <w:lvlJc w:val="left"/>
        <w:pPr>
          <w:tabs>
            <w:tab w:val="num" w:pos="720"/>
          </w:tabs>
          <w:ind w:left="720" w:hanging="360"/>
        </w:pPr>
        <w:rPr>
          <w:rFonts w:asciiTheme="minorHAnsi" w:eastAsia="Trebuchet MS" w:hAnsiTheme="minorHAnsi" w:cstheme="minorHAnsi" w:hint="default"/>
          <w:b/>
          <w:bCs/>
          <w:color w:val="000000"/>
          <w:position w:val="0"/>
          <w:sz w:val="22"/>
          <w:szCs w:val="22"/>
          <w:u w:color="000000"/>
          <w:lang w:val="es-ES_tradnl"/>
        </w:rPr>
      </w:lvl>
    </w:lvlOverride>
  </w:num>
  <w:num w:numId="5" w16cid:durableId="1813330237">
    <w:abstractNumId w:val="7"/>
  </w:num>
  <w:num w:numId="6" w16cid:durableId="893662297">
    <w:abstractNumId w:val="49"/>
    <w:lvlOverride w:ilvl="0">
      <w:lvl w:ilvl="0">
        <w:start w:val="1"/>
        <w:numFmt w:val="decimal"/>
        <w:lvlText w:val="%1."/>
        <w:lvlJc w:val="left"/>
        <w:pPr>
          <w:tabs>
            <w:tab w:val="num" w:pos="720"/>
          </w:tabs>
          <w:ind w:left="720" w:hanging="360"/>
        </w:pPr>
        <w:rPr>
          <w:rFonts w:asciiTheme="minorHAnsi" w:eastAsia="Trebuchet MS" w:hAnsiTheme="minorHAnsi" w:cs="Trebuchet MS" w:hint="default"/>
          <w:b/>
          <w:bCs/>
          <w:i w:val="0"/>
          <w:color w:val="000000"/>
          <w:position w:val="0"/>
          <w:sz w:val="22"/>
          <w:szCs w:val="22"/>
          <w:u w:color="000000"/>
          <w:lang w:val="es-ES_tradnl"/>
        </w:rPr>
      </w:lvl>
    </w:lvlOverride>
  </w:num>
  <w:num w:numId="7" w16cid:durableId="1532187907">
    <w:abstractNumId w:val="61"/>
  </w:num>
  <w:num w:numId="8" w16cid:durableId="1933658824">
    <w:abstractNumId w:val="23"/>
  </w:num>
  <w:num w:numId="9" w16cid:durableId="102309653">
    <w:abstractNumId w:val="52"/>
  </w:num>
  <w:num w:numId="10" w16cid:durableId="359858344">
    <w:abstractNumId w:val="16"/>
    <w:lvlOverride w:ilvl="0">
      <w:lvl w:ilvl="0">
        <w:start w:val="1"/>
        <w:numFmt w:val="upperLetter"/>
        <w:lvlText w:val="%1."/>
        <w:lvlJc w:val="left"/>
        <w:pPr>
          <w:tabs>
            <w:tab w:val="num" w:pos="1080"/>
          </w:tabs>
          <w:ind w:left="1080" w:hanging="720"/>
        </w:pPr>
        <w:rPr>
          <w:rFonts w:asciiTheme="minorHAnsi" w:eastAsia="Trebuchet MS" w:hAnsiTheme="minorHAnsi" w:cstheme="minorHAnsi" w:hint="default"/>
          <w:b/>
          <w:bCs/>
          <w:color w:val="000000"/>
          <w:position w:val="0"/>
          <w:sz w:val="22"/>
          <w:szCs w:val="22"/>
          <w:u w:color="000000"/>
          <w:lang w:val="es-ES_tradnl"/>
        </w:rPr>
      </w:lvl>
    </w:lvlOverride>
  </w:num>
  <w:num w:numId="11" w16cid:durableId="119616561">
    <w:abstractNumId w:val="30"/>
  </w:num>
  <w:num w:numId="12" w16cid:durableId="1031029938">
    <w:abstractNumId w:val="59"/>
  </w:num>
  <w:num w:numId="13" w16cid:durableId="669716046">
    <w:abstractNumId w:val="37"/>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14" w16cid:durableId="1714454448">
    <w:abstractNumId w:val="10"/>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15" w16cid:durableId="385763071">
    <w:abstractNumId w:val="9"/>
    <w:lvlOverride w:ilvl="0">
      <w:lvl w:ilvl="0">
        <w:start w:val="2"/>
        <w:numFmt w:val="decimal"/>
        <w:lvlText w:val="%1."/>
        <w:lvlJc w:val="left"/>
        <w:pPr>
          <w:tabs>
            <w:tab w:val="num" w:pos="720"/>
          </w:tabs>
          <w:ind w:left="720" w:hanging="360"/>
        </w:pPr>
        <w:rPr>
          <w:rFonts w:asciiTheme="minorHAnsi" w:eastAsia="Trebuchet MS" w:hAnsiTheme="minorHAnsi" w:cstheme="minorHAnsi" w:hint="default"/>
          <w:b/>
          <w:bCs/>
          <w:color w:val="000000"/>
          <w:position w:val="0"/>
          <w:sz w:val="22"/>
          <w:szCs w:val="22"/>
          <w:u w:color="000000"/>
          <w:lang w:val="es-ES_tradnl"/>
        </w:rPr>
      </w:lvl>
    </w:lvlOverride>
  </w:num>
  <w:num w:numId="16" w16cid:durableId="2123501088">
    <w:abstractNumId w:val="20"/>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17" w16cid:durableId="1381981762">
    <w:abstractNumId w:val="24"/>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18" w16cid:durableId="565453193">
    <w:abstractNumId w:val="12"/>
    <w:lvlOverride w:ilvl="0">
      <w:lvl w:ilvl="0">
        <w:start w:val="2"/>
        <w:numFmt w:val="upperLetter"/>
        <w:lvlText w:val="%1."/>
        <w:lvlJc w:val="left"/>
        <w:pPr>
          <w:tabs>
            <w:tab w:val="num" w:pos="720"/>
          </w:tabs>
          <w:ind w:left="720" w:hanging="360"/>
        </w:pPr>
        <w:rPr>
          <w:rFonts w:asciiTheme="minorHAnsi" w:eastAsia="Trebuchet MS" w:hAnsiTheme="minorHAnsi" w:cstheme="minorHAnsi" w:hint="default"/>
          <w:b/>
          <w:bCs/>
          <w:color w:val="000000"/>
          <w:position w:val="0"/>
          <w:sz w:val="22"/>
          <w:szCs w:val="22"/>
          <w:u w:color="000000"/>
          <w:lang w:val="es-ES_tradnl"/>
        </w:rPr>
      </w:lvl>
    </w:lvlOverride>
  </w:num>
  <w:num w:numId="19" w16cid:durableId="870269286">
    <w:abstractNumId w:val="56"/>
    <w:lvlOverride w:ilvl="0">
      <w:lvl w:ilvl="0">
        <w:start w:val="2"/>
        <w:numFmt w:val="decimal"/>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20" w16cid:durableId="1374312286">
    <w:abstractNumId w:val="8"/>
  </w:num>
  <w:num w:numId="21" w16cid:durableId="1760907783">
    <w:abstractNumId w:val="39"/>
    <w:lvlOverride w:ilvl="0">
      <w:lvl w:ilvl="0">
        <w:start w:val="1"/>
        <w:numFmt w:val="lowerLetter"/>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1965501360">
    <w:abstractNumId w:val="25"/>
    <w:lvlOverride w:ilvl="0">
      <w:lvl w:ilvl="0">
        <w:start w:val="1"/>
        <w:numFmt w:val="decimal"/>
        <w:lvlText w:val="%1."/>
        <w:lvlJc w:val="left"/>
        <w:pPr>
          <w:ind w:left="1440" w:hanging="360"/>
        </w:pPr>
        <w:rPr>
          <w:rFonts w:hint="default"/>
          <w:color w:val="auto"/>
        </w:rPr>
      </w:lvl>
    </w:lvlOverride>
    <w:lvlOverride w:ilvl="1">
      <w:lvl w:ilvl="1">
        <w:start w:val="1"/>
        <w:numFmt w:val="lowerLetter"/>
        <w:lvlText w:val="%2."/>
        <w:lvlJc w:val="left"/>
        <w:pPr>
          <w:ind w:left="2160" w:hanging="360"/>
        </w:pPr>
      </w:lvl>
    </w:lvlOverride>
    <w:lvlOverride w:ilvl="2">
      <w:lvl w:ilvl="2" w:tentative="1">
        <w:start w:val="1"/>
        <w:numFmt w:val="lowerRoman"/>
        <w:lvlText w:val="%3."/>
        <w:lvlJc w:val="right"/>
        <w:pPr>
          <w:ind w:left="2880" w:hanging="180"/>
        </w:pPr>
      </w:lvl>
    </w:lvlOverride>
    <w:lvlOverride w:ilvl="3">
      <w:lvl w:ilvl="3" w:tentative="1">
        <w:start w:val="1"/>
        <w:numFmt w:val="decimal"/>
        <w:lvlText w:val="%4."/>
        <w:lvlJc w:val="left"/>
        <w:pPr>
          <w:ind w:left="3600" w:hanging="360"/>
        </w:pPr>
      </w:lvl>
    </w:lvlOverride>
    <w:lvlOverride w:ilvl="4">
      <w:lvl w:ilvl="4" w:tentative="1">
        <w:start w:val="1"/>
        <w:numFmt w:val="lowerLetter"/>
        <w:lvlText w:val="%5."/>
        <w:lvlJc w:val="left"/>
        <w:pPr>
          <w:ind w:left="4320" w:hanging="360"/>
        </w:pPr>
      </w:lvl>
    </w:lvlOverride>
    <w:lvlOverride w:ilvl="5">
      <w:lvl w:ilvl="5" w:tentative="1">
        <w:start w:val="1"/>
        <w:numFmt w:val="lowerRoman"/>
        <w:lvlText w:val="%6."/>
        <w:lvlJc w:val="right"/>
        <w:pPr>
          <w:ind w:left="5040" w:hanging="180"/>
        </w:pPr>
      </w:lvl>
    </w:lvlOverride>
    <w:lvlOverride w:ilvl="6">
      <w:lvl w:ilvl="6" w:tentative="1">
        <w:start w:val="1"/>
        <w:numFmt w:val="decimal"/>
        <w:lvlText w:val="%7."/>
        <w:lvlJc w:val="left"/>
        <w:pPr>
          <w:ind w:left="5760" w:hanging="360"/>
        </w:pPr>
      </w:lvl>
    </w:lvlOverride>
    <w:lvlOverride w:ilvl="7">
      <w:lvl w:ilvl="7" w:tentative="1">
        <w:start w:val="1"/>
        <w:numFmt w:val="lowerLetter"/>
        <w:lvlText w:val="%8."/>
        <w:lvlJc w:val="left"/>
        <w:pPr>
          <w:ind w:left="6480" w:hanging="360"/>
        </w:pPr>
      </w:lvl>
    </w:lvlOverride>
    <w:lvlOverride w:ilvl="8">
      <w:lvl w:ilvl="8" w:tentative="1">
        <w:start w:val="1"/>
        <w:numFmt w:val="lowerRoman"/>
        <w:lvlText w:val="%9."/>
        <w:lvlJc w:val="right"/>
        <w:pPr>
          <w:ind w:left="7200" w:hanging="180"/>
        </w:pPr>
      </w:lvl>
    </w:lvlOverride>
  </w:num>
  <w:num w:numId="23" w16cid:durableId="1526360857">
    <w:abstractNumId w:val="11"/>
    <w:lvlOverride w:ilvl="0">
      <w:lvl w:ilvl="0">
        <w:start w:val="6"/>
        <w:numFmt w:val="decimal"/>
        <w:lvlText w:val="%1."/>
        <w:lvlJc w:val="left"/>
        <w:pPr>
          <w:tabs>
            <w:tab w:val="num" w:pos="360"/>
          </w:tabs>
          <w:ind w:left="360" w:hanging="360"/>
        </w:pPr>
        <w:rPr>
          <w:rFonts w:asciiTheme="minorHAnsi" w:eastAsia="Trebuchet MS" w:hAnsiTheme="minorHAnsi" w:cstheme="minorHAnsi" w:hint="default"/>
          <w:color w:val="000000"/>
          <w:position w:val="0"/>
          <w:sz w:val="22"/>
          <w:szCs w:val="22"/>
          <w:u w:color="000000"/>
          <w:lang w:val="es-ES_tradnl"/>
        </w:rPr>
      </w:lvl>
    </w:lvlOverride>
  </w:num>
  <w:num w:numId="24" w16cid:durableId="1768116925">
    <w:abstractNumId w:val="48"/>
    <w:lvlOverride w:ilvl="0">
      <w:lvl w:ilvl="0">
        <w:start w:val="1"/>
        <w:numFmt w:val="decimal"/>
        <w:lvlText w:val="%1."/>
        <w:lvlJc w:val="left"/>
        <w:pPr>
          <w:tabs>
            <w:tab w:val="num" w:pos="720"/>
          </w:tabs>
          <w:ind w:left="720" w:hanging="360"/>
        </w:pPr>
        <w:rPr>
          <w:rFonts w:asciiTheme="minorHAnsi" w:eastAsia="Trebuchet MS" w:hAnsiTheme="minorHAnsi" w:cstheme="minorHAnsi" w:hint="default"/>
          <w:b/>
          <w:bCs/>
          <w:color w:val="000000"/>
          <w:position w:val="0"/>
          <w:sz w:val="22"/>
          <w:szCs w:val="22"/>
          <w:u w:val="none"/>
          <w:lang w:val="es-ES_tradnl"/>
        </w:rPr>
      </w:lvl>
    </w:lvlOverride>
  </w:num>
  <w:num w:numId="25" w16cid:durableId="1101949704">
    <w:abstractNumId w:val="2"/>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26" w16cid:durableId="629363202">
    <w:abstractNumId w:val="65"/>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27" w16cid:durableId="280383921">
    <w:abstractNumId w:val="50"/>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28" w16cid:durableId="941448981">
    <w:abstractNumId w:val="29"/>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29" w16cid:durableId="2064979425">
    <w:abstractNumId w:val="35"/>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30" w16cid:durableId="1386684641">
    <w:abstractNumId w:val="33"/>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31" w16cid:durableId="1851480280">
    <w:abstractNumId w:val="60"/>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32" w16cid:durableId="950167288">
    <w:abstractNumId w:val="64"/>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33" w16cid:durableId="364915212">
    <w:abstractNumId w:val="21"/>
    <w:lvlOverride w:ilvl="0">
      <w:lvl w:ilvl="0">
        <w:start w:val="1"/>
        <w:numFmt w:val="lowerLetter"/>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4" w16cid:durableId="470943003">
    <w:abstractNumId w:val="41"/>
    <w:lvlOverride w:ilvl="0">
      <w:lvl w:ilvl="0">
        <w:start w:val="1"/>
        <w:numFmt w:val="decimal"/>
        <w:lvlText w:val="%1."/>
        <w:lvlJc w:val="left"/>
        <w:pPr>
          <w:tabs>
            <w:tab w:val="num" w:pos="720"/>
          </w:tabs>
          <w:ind w:left="720" w:hanging="360"/>
        </w:pPr>
        <w:rPr>
          <w:rFonts w:asciiTheme="minorHAnsi" w:eastAsia="Trebuchet MS" w:hAnsiTheme="minorHAnsi" w:cstheme="minorHAnsi" w:hint="default"/>
          <w:b/>
          <w:bCs/>
          <w:color w:val="000000"/>
          <w:position w:val="0"/>
          <w:sz w:val="22"/>
          <w:szCs w:val="22"/>
          <w:u w:val="none"/>
          <w:lang w:val="es-ES_tradnl"/>
        </w:rPr>
      </w:lvl>
    </w:lvlOverride>
  </w:num>
  <w:num w:numId="35" w16cid:durableId="1356929234">
    <w:abstractNumId w:val="19"/>
  </w:num>
  <w:num w:numId="36" w16cid:durableId="1435130447">
    <w:abstractNumId w:val="1"/>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37" w16cid:durableId="671031709">
    <w:abstractNumId w:val="63"/>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38" w16cid:durableId="531383334">
    <w:abstractNumId w:val="36"/>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39" w16cid:durableId="222834436">
    <w:abstractNumId w:val="62"/>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40" w16cid:durableId="1356151706">
    <w:abstractNumId w:val="15"/>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41" w16cid:durableId="11230333">
    <w:abstractNumId w:val="58"/>
    <w:lvlOverride w:ilvl="0">
      <w:lvl w:ilvl="0">
        <w:start w:val="1"/>
        <w:numFmt w:val="lowerLetter"/>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2" w16cid:durableId="382481005">
    <w:abstractNumId w:val="42"/>
  </w:num>
  <w:num w:numId="43" w16cid:durableId="1016346536">
    <w:abstractNumId w:val="17"/>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44" w16cid:durableId="2142921111">
    <w:abstractNumId w:val="44"/>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45" w16cid:durableId="28653544">
    <w:abstractNumId w:val="13"/>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46" w16cid:durableId="247614077">
    <w:abstractNumId w:val="18"/>
    <w:lvlOverride w:ilvl="0">
      <w:lvl w:ilvl="0">
        <w:start w:val="1"/>
        <w:numFmt w:val="decimal"/>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47" w16cid:durableId="1720088346">
    <w:abstractNumId w:val="26"/>
    <w:lvlOverride w:ilvl="0">
      <w:lvl w:ilvl="0">
        <w:start w:val="1"/>
        <w:numFmt w:val="lowerLetter"/>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8" w16cid:durableId="1941451639">
    <w:abstractNumId w:val="67"/>
    <w:lvlOverride w:ilvl="0">
      <w:lvl w:ilvl="0">
        <w:start w:val="1"/>
        <w:numFmt w:val="decimal"/>
        <w:lvlText w:val="%1."/>
        <w:lvlJc w:val="left"/>
        <w:pPr>
          <w:tabs>
            <w:tab w:val="num" w:pos="720"/>
          </w:tabs>
          <w:ind w:left="720" w:hanging="360"/>
        </w:pPr>
        <w:rPr>
          <w:rFonts w:asciiTheme="minorHAnsi" w:eastAsia="Trebuchet MS" w:hAnsiTheme="minorHAnsi" w:cstheme="minorHAnsi" w:hint="default"/>
          <w:b/>
          <w:bCs/>
          <w:color w:val="000000"/>
          <w:position w:val="0"/>
          <w:sz w:val="22"/>
          <w:szCs w:val="22"/>
          <w:u w:val="none"/>
          <w:lang w:val="es-ES_tradnl"/>
        </w:rPr>
      </w:lvl>
    </w:lvlOverride>
  </w:num>
  <w:num w:numId="49" w16cid:durableId="1590381648">
    <w:abstractNumId w:val="43"/>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50" w16cid:durableId="295574869">
    <w:abstractNumId w:val="38"/>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51" w16cid:durableId="595603269">
    <w:abstractNumId w:val="34"/>
    <w:lvlOverride w:ilvl="0">
      <w:lvl w:ilvl="0">
        <w:start w:val="1"/>
        <w:numFmt w:val="lowerLetter"/>
        <w:lvlText w:val="%1."/>
        <w:lvlJc w:val="left"/>
        <w:pPr>
          <w:tabs>
            <w:tab w:val="num" w:pos="720"/>
          </w:tabs>
          <w:ind w:left="720" w:hanging="360"/>
        </w:pPr>
        <w:rPr>
          <w:rFonts w:asciiTheme="minorHAnsi" w:eastAsia="Trebuchet MS" w:hAnsiTheme="minorHAnsi" w:cstheme="minorHAnsi" w:hint="default"/>
          <w:color w:val="000000"/>
          <w:position w:val="0"/>
          <w:sz w:val="22"/>
          <w:szCs w:val="22"/>
          <w:u w:color="000000"/>
          <w:lang w:val="es-ES_tradnl"/>
        </w:rPr>
      </w:lvl>
    </w:lvlOverride>
  </w:num>
  <w:num w:numId="52" w16cid:durableId="1767651536">
    <w:abstractNumId w:val="46"/>
  </w:num>
  <w:num w:numId="53" w16cid:durableId="993338501">
    <w:abstractNumId w:val="0"/>
  </w:num>
  <w:num w:numId="54" w16cid:durableId="783113306">
    <w:abstractNumId w:val="41"/>
  </w:num>
  <w:num w:numId="55" w16cid:durableId="1627199839">
    <w:abstractNumId w:val="42"/>
  </w:num>
  <w:num w:numId="56" w16cid:durableId="906108081">
    <w:abstractNumId w:val="48"/>
  </w:num>
  <w:num w:numId="57" w16cid:durableId="1662195483">
    <w:abstractNumId w:val="1"/>
  </w:num>
  <w:num w:numId="58" w16cid:durableId="1422067352">
    <w:abstractNumId w:val="2"/>
  </w:num>
  <w:num w:numId="59" w16cid:durableId="728697696">
    <w:abstractNumId w:val="9"/>
  </w:num>
  <w:num w:numId="60" w16cid:durableId="532697137">
    <w:abstractNumId w:val="10"/>
  </w:num>
  <w:num w:numId="61" w16cid:durableId="1882203984">
    <w:abstractNumId w:val="11"/>
  </w:num>
  <w:num w:numId="62" w16cid:durableId="1351371818">
    <w:abstractNumId w:val="12"/>
  </w:num>
  <w:num w:numId="63" w16cid:durableId="1675113195">
    <w:abstractNumId w:val="13"/>
  </w:num>
  <w:num w:numId="64" w16cid:durableId="1955670201">
    <w:abstractNumId w:val="15"/>
  </w:num>
  <w:num w:numId="65" w16cid:durableId="574364452">
    <w:abstractNumId w:val="16"/>
  </w:num>
  <w:num w:numId="66" w16cid:durableId="223028224">
    <w:abstractNumId w:val="17"/>
  </w:num>
  <w:num w:numId="67" w16cid:durableId="839083034">
    <w:abstractNumId w:val="18"/>
  </w:num>
  <w:num w:numId="68" w16cid:durableId="1048453737">
    <w:abstractNumId w:val="20"/>
  </w:num>
  <w:num w:numId="69" w16cid:durableId="1026640194">
    <w:abstractNumId w:val="21"/>
  </w:num>
  <w:num w:numId="70" w16cid:durableId="1329288156">
    <w:abstractNumId w:val="24"/>
  </w:num>
  <w:num w:numId="71" w16cid:durableId="1809085151">
    <w:abstractNumId w:val="25"/>
  </w:num>
  <w:num w:numId="72" w16cid:durableId="1080827732">
    <w:abstractNumId w:val="26"/>
  </w:num>
  <w:num w:numId="73" w16cid:durableId="2036301683">
    <w:abstractNumId w:val="29"/>
  </w:num>
  <w:num w:numId="74" w16cid:durableId="126708259">
    <w:abstractNumId w:val="31"/>
  </w:num>
  <w:num w:numId="75" w16cid:durableId="2058167483">
    <w:abstractNumId w:val="33"/>
  </w:num>
  <w:num w:numId="76" w16cid:durableId="2058311766">
    <w:abstractNumId w:val="34"/>
  </w:num>
  <w:num w:numId="77" w16cid:durableId="410128829">
    <w:abstractNumId w:val="35"/>
  </w:num>
  <w:num w:numId="78" w16cid:durableId="1761218776">
    <w:abstractNumId w:val="36"/>
  </w:num>
  <w:num w:numId="79" w16cid:durableId="1781222947">
    <w:abstractNumId w:val="37"/>
  </w:num>
  <w:num w:numId="80" w16cid:durableId="1311638866">
    <w:abstractNumId w:val="38"/>
  </w:num>
  <w:num w:numId="81" w16cid:durableId="1285455016">
    <w:abstractNumId w:val="39"/>
  </w:num>
  <w:num w:numId="82" w16cid:durableId="1160926393">
    <w:abstractNumId w:val="43"/>
  </w:num>
  <w:num w:numId="83" w16cid:durableId="1364018377">
    <w:abstractNumId w:val="44"/>
  </w:num>
  <w:num w:numId="84" w16cid:durableId="80612354">
    <w:abstractNumId w:val="50"/>
  </w:num>
  <w:num w:numId="85" w16cid:durableId="1691254366">
    <w:abstractNumId w:val="53"/>
  </w:num>
  <w:num w:numId="86" w16cid:durableId="580339032">
    <w:abstractNumId w:val="56"/>
  </w:num>
  <w:num w:numId="87" w16cid:durableId="379717792">
    <w:abstractNumId w:val="58"/>
  </w:num>
  <w:num w:numId="88" w16cid:durableId="1044066421">
    <w:abstractNumId w:val="60"/>
  </w:num>
  <w:num w:numId="89" w16cid:durableId="2091930067">
    <w:abstractNumId w:val="62"/>
  </w:num>
  <w:num w:numId="90" w16cid:durableId="532546517">
    <w:abstractNumId w:val="63"/>
  </w:num>
  <w:num w:numId="91" w16cid:durableId="414666162">
    <w:abstractNumId w:val="64"/>
  </w:num>
  <w:num w:numId="92" w16cid:durableId="1269311212">
    <w:abstractNumId w:val="65"/>
  </w:num>
  <w:num w:numId="93" w16cid:durableId="1631939513">
    <w:abstractNumId w:val="67"/>
  </w:num>
  <w:num w:numId="94" w16cid:durableId="1834564849">
    <w:abstractNumId w:val="22"/>
  </w:num>
  <w:num w:numId="95" w16cid:durableId="205724164">
    <w:abstractNumId w:val="45"/>
  </w:num>
  <w:num w:numId="96" w16cid:durableId="949429864">
    <w:abstractNumId w:val="57"/>
  </w:num>
  <w:num w:numId="97" w16cid:durableId="288970792">
    <w:abstractNumId w:val="54"/>
  </w:num>
  <w:num w:numId="98" w16cid:durableId="952714129">
    <w:abstractNumId w:val="49"/>
  </w:num>
  <w:num w:numId="99" w16cid:durableId="1523976620">
    <w:abstractNumId w:val="40"/>
  </w:num>
  <w:num w:numId="100" w16cid:durableId="156654599">
    <w:abstractNumId w:val="3"/>
  </w:num>
  <w:num w:numId="101" w16cid:durableId="1936327866">
    <w:abstractNumId w:val="28"/>
  </w:num>
  <w:num w:numId="102" w16cid:durableId="1754089481">
    <w:abstractNumId w:val="51"/>
  </w:num>
  <w:num w:numId="103" w16cid:durableId="219633537">
    <w:abstractNumId w:val="6"/>
  </w:num>
  <w:num w:numId="104" w16cid:durableId="195585926">
    <w:abstractNumId w:val="66"/>
  </w:num>
  <w:num w:numId="105" w16cid:durableId="525605381">
    <w:abstractNumId w:val="55"/>
  </w:num>
  <w:num w:numId="106" w16cid:durableId="202910152">
    <w:abstractNumId w:val="4"/>
  </w:num>
  <w:num w:numId="107" w16cid:durableId="1026829289">
    <w:abstractNumId w:val="32"/>
  </w:num>
  <w:num w:numId="108" w16cid:durableId="681589062">
    <w:abstractNumId w:val="14"/>
  </w:num>
  <w:num w:numId="109" w16cid:durableId="546839422">
    <w:abstractNumId w:val="47"/>
  </w:num>
  <w:num w:numId="110" w16cid:durableId="1049458210">
    <w:abstractNumId w:val="2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removePersonalInformation/>
  <w:removeDateAndTim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D5C"/>
    <w:rsid w:val="0000036F"/>
    <w:rsid w:val="00000CDA"/>
    <w:rsid w:val="00006E1F"/>
    <w:rsid w:val="000070D7"/>
    <w:rsid w:val="000114EC"/>
    <w:rsid w:val="00015BDC"/>
    <w:rsid w:val="0001788C"/>
    <w:rsid w:val="000216DE"/>
    <w:rsid w:val="000219F0"/>
    <w:rsid w:val="000271B0"/>
    <w:rsid w:val="00031C9D"/>
    <w:rsid w:val="000337EF"/>
    <w:rsid w:val="00040C3A"/>
    <w:rsid w:val="000419AD"/>
    <w:rsid w:val="00042C75"/>
    <w:rsid w:val="000433C9"/>
    <w:rsid w:val="00044E84"/>
    <w:rsid w:val="00053BD6"/>
    <w:rsid w:val="00055B52"/>
    <w:rsid w:val="00060671"/>
    <w:rsid w:val="0006546B"/>
    <w:rsid w:val="000662FA"/>
    <w:rsid w:val="000716C5"/>
    <w:rsid w:val="00071BC7"/>
    <w:rsid w:val="00075E23"/>
    <w:rsid w:val="000834F8"/>
    <w:rsid w:val="00083781"/>
    <w:rsid w:val="00092747"/>
    <w:rsid w:val="0009344A"/>
    <w:rsid w:val="000A175B"/>
    <w:rsid w:val="000A392E"/>
    <w:rsid w:val="000A575F"/>
    <w:rsid w:val="000A5D42"/>
    <w:rsid w:val="000A6654"/>
    <w:rsid w:val="000B3B4D"/>
    <w:rsid w:val="000C11F4"/>
    <w:rsid w:val="000C52C8"/>
    <w:rsid w:val="000C69B9"/>
    <w:rsid w:val="000D0136"/>
    <w:rsid w:val="000D0472"/>
    <w:rsid w:val="000D05CB"/>
    <w:rsid w:val="000D10DB"/>
    <w:rsid w:val="000D113F"/>
    <w:rsid w:val="000D13AD"/>
    <w:rsid w:val="000D66D5"/>
    <w:rsid w:val="000E5EB5"/>
    <w:rsid w:val="000F35ED"/>
    <w:rsid w:val="000F3680"/>
    <w:rsid w:val="00107131"/>
    <w:rsid w:val="0010736F"/>
    <w:rsid w:val="00113F73"/>
    <w:rsid w:val="0012106D"/>
    <w:rsid w:val="00121CC2"/>
    <w:rsid w:val="00121E4B"/>
    <w:rsid w:val="00130A0D"/>
    <w:rsid w:val="00131425"/>
    <w:rsid w:val="00132B79"/>
    <w:rsid w:val="00132E34"/>
    <w:rsid w:val="00133EE5"/>
    <w:rsid w:val="001362E4"/>
    <w:rsid w:val="00136FBF"/>
    <w:rsid w:val="0015086D"/>
    <w:rsid w:val="00151550"/>
    <w:rsid w:val="0016379C"/>
    <w:rsid w:val="00166B81"/>
    <w:rsid w:val="00167A34"/>
    <w:rsid w:val="001720F9"/>
    <w:rsid w:val="00173F2C"/>
    <w:rsid w:val="00185AA3"/>
    <w:rsid w:val="00195E65"/>
    <w:rsid w:val="00195E69"/>
    <w:rsid w:val="001A6A9B"/>
    <w:rsid w:val="001A7870"/>
    <w:rsid w:val="001B2F52"/>
    <w:rsid w:val="001B35F0"/>
    <w:rsid w:val="001B391E"/>
    <w:rsid w:val="001B3A00"/>
    <w:rsid w:val="001B747C"/>
    <w:rsid w:val="001C1B41"/>
    <w:rsid w:val="001C332E"/>
    <w:rsid w:val="001C5294"/>
    <w:rsid w:val="001D65EF"/>
    <w:rsid w:val="001E1BC1"/>
    <w:rsid w:val="001E2FEB"/>
    <w:rsid w:val="001E49E7"/>
    <w:rsid w:val="001F5661"/>
    <w:rsid w:val="001F7201"/>
    <w:rsid w:val="001F7B52"/>
    <w:rsid w:val="00202EE8"/>
    <w:rsid w:val="00220050"/>
    <w:rsid w:val="002201C3"/>
    <w:rsid w:val="00223A29"/>
    <w:rsid w:val="002250A3"/>
    <w:rsid w:val="00231741"/>
    <w:rsid w:val="00231915"/>
    <w:rsid w:val="002327D8"/>
    <w:rsid w:val="00235217"/>
    <w:rsid w:val="0023555F"/>
    <w:rsid w:val="00235F15"/>
    <w:rsid w:val="002362DF"/>
    <w:rsid w:val="0024305A"/>
    <w:rsid w:val="002442D8"/>
    <w:rsid w:val="00246D1F"/>
    <w:rsid w:val="00246FA9"/>
    <w:rsid w:val="00247403"/>
    <w:rsid w:val="00247542"/>
    <w:rsid w:val="002536EC"/>
    <w:rsid w:val="00256D77"/>
    <w:rsid w:val="00261FB9"/>
    <w:rsid w:val="0026683A"/>
    <w:rsid w:val="00266B61"/>
    <w:rsid w:val="0026712A"/>
    <w:rsid w:val="00267AC1"/>
    <w:rsid w:val="002704DB"/>
    <w:rsid w:val="00270B59"/>
    <w:rsid w:val="00280042"/>
    <w:rsid w:val="00282AF0"/>
    <w:rsid w:val="00283886"/>
    <w:rsid w:val="00290B8E"/>
    <w:rsid w:val="00294A5A"/>
    <w:rsid w:val="00295C5B"/>
    <w:rsid w:val="002A0AAE"/>
    <w:rsid w:val="002A537B"/>
    <w:rsid w:val="002A5820"/>
    <w:rsid w:val="002B4477"/>
    <w:rsid w:val="002B6F4F"/>
    <w:rsid w:val="002C4E24"/>
    <w:rsid w:val="002C6DED"/>
    <w:rsid w:val="002D2790"/>
    <w:rsid w:val="002D2B26"/>
    <w:rsid w:val="002D7EA2"/>
    <w:rsid w:val="002E187C"/>
    <w:rsid w:val="002E7486"/>
    <w:rsid w:val="002F0EB5"/>
    <w:rsid w:val="00302733"/>
    <w:rsid w:val="003071F7"/>
    <w:rsid w:val="003118CA"/>
    <w:rsid w:val="00314078"/>
    <w:rsid w:val="0031535D"/>
    <w:rsid w:val="003239B8"/>
    <w:rsid w:val="00330D36"/>
    <w:rsid w:val="0033169F"/>
    <w:rsid w:val="003321DB"/>
    <w:rsid w:val="00344977"/>
    <w:rsid w:val="00346C95"/>
    <w:rsid w:val="00350CE2"/>
    <w:rsid w:val="00356185"/>
    <w:rsid w:val="003577A5"/>
    <w:rsid w:val="00360380"/>
    <w:rsid w:val="0036590B"/>
    <w:rsid w:val="00371F59"/>
    <w:rsid w:val="0037337D"/>
    <w:rsid w:val="0037519E"/>
    <w:rsid w:val="00375AF0"/>
    <w:rsid w:val="00386959"/>
    <w:rsid w:val="00386CF0"/>
    <w:rsid w:val="0039144C"/>
    <w:rsid w:val="00392EAF"/>
    <w:rsid w:val="00394049"/>
    <w:rsid w:val="00397978"/>
    <w:rsid w:val="003A7582"/>
    <w:rsid w:val="003B3C2A"/>
    <w:rsid w:val="003B3E31"/>
    <w:rsid w:val="003B70FB"/>
    <w:rsid w:val="003B7279"/>
    <w:rsid w:val="003C1B46"/>
    <w:rsid w:val="003C432E"/>
    <w:rsid w:val="003C676B"/>
    <w:rsid w:val="003D207D"/>
    <w:rsid w:val="003D22E0"/>
    <w:rsid w:val="003D3979"/>
    <w:rsid w:val="003D3BC2"/>
    <w:rsid w:val="003E2980"/>
    <w:rsid w:val="003E5CDC"/>
    <w:rsid w:val="003E6CA1"/>
    <w:rsid w:val="003F5C79"/>
    <w:rsid w:val="00401D83"/>
    <w:rsid w:val="00401DBA"/>
    <w:rsid w:val="00402BE9"/>
    <w:rsid w:val="00405F9C"/>
    <w:rsid w:val="004065A8"/>
    <w:rsid w:val="00406D7B"/>
    <w:rsid w:val="00413738"/>
    <w:rsid w:val="0041526F"/>
    <w:rsid w:val="004165C2"/>
    <w:rsid w:val="00422C00"/>
    <w:rsid w:val="00425E39"/>
    <w:rsid w:val="00434766"/>
    <w:rsid w:val="00441ECB"/>
    <w:rsid w:val="00445193"/>
    <w:rsid w:val="00445C2D"/>
    <w:rsid w:val="00445E08"/>
    <w:rsid w:val="00453D87"/>
    <w:rsid w:val="0046211E"/>
    <w:rsid w:val="00462C1B"/>
    <w:rsid w:val="00466456"/>
    <w:rsid w:val="00467B7E"/>
    <w:rsid w:val="00473BB4"/>
    <w:rsid w:val="004747AD"/>
    <w:rsid w:val="00475EB3"/>
    <w:rsid w:val="00477592"/>
    <w:rsid w:val="00486F1C"/>
    <w:rsid w:val="004878AB"/>
    <w:rsid w:val="00487A82"/>
    <w:rsid w:val="0049419D"/>
    <w:rsid w:val="004A12C7"/>
    <w:rsid w:val="004A47CF"/>
    <w:rsid w:val="004A6A54"/>
    <w:rsid w:val="004B383F"/>
    <w:rsid w:val="004C18E9"/>
    <w:rsid w:val="004C20D2"/>
    <w:rsid w:val="004C2312"/>
    <w:rsid w:val="004C3DC3"/>
    <w:rsid w:val="004C4B62"/>
    <w:rsid w:val="004C54C9"/>
    <w:rsid w:val="004D0AE0"/>
    <w:rsid w:val="004D20C3"/>
    <w:rsid w:val="004D4ABA"/>
    <w:rsid w:val="004D6025"/>
    <w:rsid w:val="004D66B3"/>
    <w:rsid w:val="004E2649"/>
    <w:rsid w:val="004F0003"/>
    <w:rsid w:val="004F0886"/>
    <w:rsid w:val="004F148A"/>
    <w:rsid w:val="004F2A48"/>
    <w:rsid w:val="004F4270"/>
    <w:rsid w:val="004F626F"/>
    <w:rsid w:val="005003C4"/>
    <w:rsid w:val="00501399"/>
    <w:rsid w:val="0050446A"/>
    <w:rsid w:val="0050633D"/>
    <w:rsid w:val="00507BC4"/>
    <w:rsid w:val="005128E4"/>
    <w:rsid w:val="00512BFD"/>
    <w:rsid w:val="005133DB"/>
    <w:rsid w:val="00513AEC"/>
    <w:rsid w:val="00514504"/>
    <w:rsid w:val="00522492"/>
    <w:rsid w:val="00525560"/>
    <w:rsid w:val="00525F6F"/>
    <w:rsid w:val="00531FC8"/>
    <w:rsid w:val="00533E96"/>
    <w:rsid w:val="0053711D"/>
    <w:rsid w:val="00542CBB"/>
    <w:rsid w:val="00544C49"/>
    <w:rsid w:val="0054547C"/>
    <w:rsid w:val="005516A1"/>
    <w:rsid w:val="00551FF0"/>
    <w:rsid w:val="00553828"/>
    <w:rsid w:val="005542E5"/>
    <w:rsid w:val="005559EF"/>
    <w:rsid w:val="00560A39"/>
    <w:rsid w:val="00563557"/>
    <w:rsid w:val="00574000"/>
    <w:rsid w:val="0057402A"/>
    <w:rsid w:val="005771D0"/>
    <w:rsid w:val="0058176C"/>
    <w:rsid w:val="005818C9"/>
    <w:rsid w:val="0059191A"/>
    <w:rsid w:val="005921FF"/>
    <w:rsid w:val="00593F23"/>
    <w:rsid w:val="005A1B74"/>
    <w:rsid w:val="005A1DD8"/>
    <w:rsid w:val="005A24ED"/>
    <w:rsid w:val="005A3330"/>
    <w:rsid w:val="005A5735"/>
    <w:rsid w:val="005A6D0E"/>
    <w:rsid w:val="005B2A95"/>
    <w:rsid w:val="005B30EF"/>
    <w:rsid w:val="005B50D1"/>
    <w:rsid w:val="005B52B0"/>
    <w:rsid w:val="005B6806"/>
    <w:rsid w:val="005C4225"/>
    <w:rsid w:val="005C6BCF"/>
    <w:rsid w:val="005D1208"/>
    <w:rsid w:val="005D27B7"/>
    <w:rsid w:val="005D38F9"/>
    <w:rsid w:val="005E2AAE"/>
    <w:rsid w:val="005E46A6"/>
    <w:rsid w:val="005E48F3"/>
    <w:rsid w:val="005F002B"/>
    <w:rsid w:val="005F0DAD"/>
    <w:rsid w:val="005F0EF3"/>
    <w:rsid w:val="005F0F33"/>
    <w:rsid w:val="00600DEB"/>
    <w:rsid w:val="00602818"/>
    <w:rsid w:val="00605C0B"/>
    <w:rsid w:val="006108FA"/>
    <w:rsid w:val="00613163"/>
    <w:rsid w:val="00616F8E"/>
    <w:rsid w:val="00627C9F"/>
    <w:rsid w:val="00627F33"/>
    <w:rsid w:val="006311E9"/>
    <w:rsid w:val="00631BFF"/>
    <w:rsid w:val="00632354"/>
    <w:rsid w:val="00635421"/>
    <w:rsid w:val="006409B0"/>
    <w:rsid w:val="00642810"/>
    <w:rsid w:val="006500BD"/>
    <w:rsid w:val="00651C84"/>
    <w:rsid w:val="00652333"/>
    <w:rsid w:val="00653D0F"/>
    <w:rsid w:val="00663B5C"/>
    <w:rsid w:val="0066687D"/>
    <w:rsid w:val="006678C8"/>
    <w:rsid w:val="006720F1"/>
    <w:rsid w:val="00672BC5"/>
    <w:rsid w:val="006734B6"/>
    <w:rsid w:val="0068009E"/>
    <w:rsid w:val="006832D7"/>
    <w:rsid w:val="00684BFC"/>
    <w:rsid w:val="00691C2C"/>
    <w:rsid w:val="00692219"/>
    <w:rsid w:val="006A17D2"/>
    <w:rsid w:val="006A3F10"/>
    <w:rsid w:val="006A73E6"/>
    <w:rsid w:val="006B2D5C"/>
    <w:rsid w:val="006C4EB1"/>
    <w:rsid w:val="006C6CA2"/>
    <w:rsid w:val="006D0F37"/>
    <w:rsid w:val="006D127E"/>
    <w:rsid w:val="006D5973"/>
    <w:rsid w:val="006E0166"/>
    <w:rsid w:val="006E0217"/>
    <w:rsid w:val="006E2FFB"/>
    <w:rsid w:val="006E3705"/>
    <w:rsid w:val="006E4F2A"/>
    <w:rsid w:val="006E7B34"/>
    <w:rsid w:val="006F3BFD"/>
    <w:rsid w:val="006F3C0C"/>
    <w:rsid w:val="006F4C0B"/>
    <w:rsid w:val="006F63BA"/>
    <w:rsid w:val="006F73A3"/>
    <w:rsid w:val="00702193"/>
    <w:rsid w:val="00702F9D"/>
    <w:rsid w:val="0070697F"/>
    <w:rsid w:val="00720128"/>
    <w:rsid w:val="0072199C"/>
    <w:rsid w:val="00722C72"/>
    <w:rsid w:val="00722C9F"/>
    <w:rsid w:val="00723FBA"/>
    <w:rsid w:val="007253B8"/>
    <w:rsid w:val="00730798"/>
    <w:rsid w:val="00730E5F"/>
    <w:rsid w:val="00735E30"/>
    <w:rsid w:val="00736059"/>
    <w:rsid w:val="0073741F"/>
    <w:rsid w:val="00744F21"/>
    <w:rsid w:val="00744FFD"/>
    <w:rsid w:val="0076135C"/>
    <w:rsid w:val="0076643F"/>
    <w:rsid w:val="00766676"/>
    <w:rsid w:val="00771329"/>
    <w:rsid w:val="007729C9"/>
    <w:rsid w:val="00772B23"/>
    <w:rsid w:val="00777F63"/>
    <w:rsid w:val="00782965"/>
    <w:rsid w:val="00784CAC"/>
    <w:rsid w:val="00796B30"/>
    <w:rsid w:val="007976DB"/>
    <w:rsid w:val="007A20DA"/>
    <w:rsid w:val="007A23EC"/>
    <w:rsid w:val="007A5817"/>
    <w:rsid w:val="007A5873"/>
    <w:rsid w:val="007B05C4"/>
    <w:rsid w:val="007B13B3"/>
    <w:rsid w:val="007B444B"/>
    <w:rsid w:val="007B60E9"/>
    <w:rsid w:val="007B6CC3"/>
    <w:rsid w:val="007B76D3"/>
    <w:rsid w:val="007B7742"/>
    <w:rsid w:val="007C1351"/>
    <w:rsid w:val="007C1BD2"/>
    <w:rsid w:val="007C3334"/>
    <w:rsid w:val="007C7562"/>
    <w:rsid w:val="007D0113"/>
    <w:rsid w:val="007D0325"/>
    <w:rsid w:val="007D2B98"/>
    <w:rsid w:val="007D3D0C"/>
    <w:rsid w:val="007D6B88"/>
    <w:rsid w:val="007E21BC"/>
    <w:rsid w:val="007E24A4"/>
    <w:rsid w:val="007E7C82"/>
    <w:rsid w:val="007F2697"/>
    <w:rsid w:val="007F2AA1"/>
    <w:rsid w:val="007F2C63"/>
    <w:rsid w:val="007F588D"/>
    <w:rsid w:val="00803F1C"/>
    <w:rsid w:val="0080493E"/>
    <w:rsid w:val="00804C15"/>
    <w:rsid w:val="0080600E"/>
    <w:rsid w:val="008077CC"/>
    <w:rsid w:val="00807E1B"/>
    <w:rsid w:val="00810376"/>
    <w:rsid w:val="00814688"/>
    <w:rsid w:val="00816AAB"/>
    <w:rsid w:val="00816F12"/>
    <w:rsid w:val="00817612"/>
    <w:rsid w:val="00823D85"/>
    <w:rsid w:val="00826C16"/>
    <w:rsid w:val="008305E0"/>
    <w:rsid w:val="00831385"/>
    <w:rsid w:val="008338A4"/>
    <w:rsid w:val="008342EB"/>
    <w:rsid w:val="00834D49"/>
    <w:rsid w:val="00837C45"/>
    <w:rsid w:val="00840541"/>
    <w:rsid w:val="00844730"/>
    <w:rsid w:val="008457C2"/>
    <w:rsid w:val="00854E72"/>
    <w:rsid w:val="00855ADB"/>
    <w:rsid w:val="00857A82"/>
    <w:rsid w:val="008646F3"/>
    <w:rsid w:val="00865CD3"/>
    <w:rsid w:val="00873836"/>
    <w:rsid w:val="00881D3B"/>
    <w:rsid w:val="00884A44"/>
    <w:rsid w:val="00884F67"/>
    <w:rsid w:val="00885737"/>
    <w:rsid w:val="0088606A"/>
    <w:rsid w:val="00890650"/>
    <w:rsid w:val="00890E01"/>
    <w:rsid w:val="00894EFD"/>
    <w:rsid w:val="00896020"/>
    <w:rsid w:val="00897C3D"/>
    <w:rsid w:val="00897E12"/>
    <w:rsid w:val="00897FD2"/>
    <w:rsid w:val="008A7E0F"/>
    <w:rsid w:val="008B12F5"/>
    <w:rsid w:val="008C5E2D"/>
    <w:rsid w:val="008D410B"/>
    <w:rsid w:val="008D768D"/>
    <w:rsid w:val="008E3759"/>
    <w:rsid w:val="008E3BFE"/>
    <w:rsid w:val="008E3E15"/>
    <w:rsid w:val="008E5C49"/>
    <w:rsid w:val="008F04A5"/>
    <w:rsid w:val="008F16E8"/>
    <w:rsid w:val="008F1912"/>
    <w:rsid w:val="0090270B"/>
    <w:rsid w:val="009041DC"/>
    <w:rsid w:val="00910E4B"/>
    <w:rsid w:val="00910FCC"/>
    <w:rsid w:val="009115AD"/>
    <w:rsid w:val="00912A07"/>
    <w:rsid w:val="009135C4"/>
    <w:rsid w:val="009148AD"/>
    <w:rsid w:val="00916C1D"/>
    <w:rsid w:val="00917B5A"/>
    <w:rsid w:val="00920A58"/>
    <w:rsid w:val="00920A8C"/>
    <w:rsid w:val="00921594"/>
    <w:rsid w:val="00934A2C"/>
    <w:rsid w:val="009501F5"/>
    <w:rsid w:val="009534DF"/>
    <w:rsid w:val="00953766"/>
    <w:rsid w:val="00963820"/>
    <w:rsid w:val="0096706E"/>
    <w:rsid w:val="00970595"/>
    <w:rsid w:val="0097108C"/>
    <w:rsid w:val="00974491"/>
    <w:rsid w:val="00975C4E"/>
    <w:rsid w:val="00981A0B"/>
    <w:rsid w:val="00981FBA"/>
    <w:rsid w:val="0098362F"/>
    <w:rsid w:val="00990749"/>
    <w:rsid w:val="00996A7F"/>
    <w:rsid w:val="00997BC5"/>
    <w:rsid w:val="009A4F41"/>
    <w:rsid w:val="009B381B"/>
    <w:rsid w:val="009B6017"/>
    <w:rsid w:val="009C0A90"/>
    <w:rsid w:val="009D1753"/>
    <w:rsid w:val="009D2008"/>
    <w:rsid w:val="009D7611"/>
    <w:rsid w:val="009E0B61"/>
    <w:rsid w:val="009E0F16"/>
    <w:rsid w:val="009E53DE"/>
    <w:rsid w:val="009F0259"/>
    <w:rsid w:val="009F2FE4"/>
    <w:rsid w:val="009F3B79"/>
    <w:rsid w:val="009F4B83"/>
    <w:rsid w:val="009F7CE0"/>
    <w:rsid w:val="00A0325A"/>
    <w:rsid w:val="00A06DCB"/>
    <w:rsid w:val="00A111B9"/>
    <w:rsid w:val="00A11212"/>
    <w:rsid w:val="00A11E44"/>
    <w:rsid w:val="00A16F37"/>
    <w:rsid w:val="00A207CA"/>
    <w:rsid w:val="00A217C3"/>
    <w:rsid w:val="00A27B69"/>
    <w:rsid w:val="00A30100"/>
    <w:rsid w:val="00A32470"/>
    <w:rsid w:val="00A328B3"/>
    <w:rsid w:val="00A36856"/>
    <w:rsid w:val="00A37CBC"/>
    <w:rsid w:val="00A50FCF"/>
    <w:rsid w:val="00A528D1"/>
    <w:rsid w:val="00A54EA7"/>
    <w:rsid w:val="00A570C2"/>
    <w:rsid w:val="00A610CD"/>
    <w:rsid w:val="00A6435D"/>
    <w:rsid w:val="00A65755"/>
    <w:rsid w:val="00A7110F"/>
    <w:rsid w:val="00A758AA"/>
    <w:rsid w:val="00AA09A2"/>
    <w:rsid w:val="00AA1F85"/>
    <w:rsid w:val="00AA27D1"/>
    <w:rsid w:val="00AA6774"/>
    <w:rsid w:val="00AA7996"/>
    <w:rsid w:val="00AB7136"/>
    <w:rsid w:val="00AC19CB"/>
    <w:rsid w:val="00AC21C0"/>
    <w:rsid w:val="00AC7891"/>
    <w:rsid w:val="00AC7FB2"/>
    <w:rsid w:val="00AD0329"/>
    <w:rsid w:val="00AD1B0A"/>
    <w:rsid w:val="00AE2E75"/>
    <w:rsid w:val="00AE5488"/>
    <w:rsid w:val="00AE6F91"/>
    <w:rsid w:val="00AE7C19"/>
    <w:rsid w:val="00AF40CB"/>
    <w:rsid w:val="00AF5571"/>
    <w:rsid w:val="00B009B5"/>
    <w:rsid w:val="00B02FC0"/>
    <w:rsid w:val="00B06B9A"/>
    <w:rsid w:val="00B07341"/>
    <w:rsid w:val="00B11F71"/>
    <w:rsid w:val="00B17BFE"/>
    <w:rsid w:val="00B27991"/>
    <w:rsid w:val="00B30539"/>
    <w:rsid w:val="00B314DB"/>
    <w:rsid w:val="00B361F2"/>
    <w:rsid w:val="00B3718B"/>
    <w:rsid w:val="00B3745F"/>
    <w:rsid w:val="00B41BD0"/>
    <w:rsid w:val="00B4632A"/>
    <w:rsid w:val="00B46CF4"/>
    <w:rsid w:val="00B5001F"/>
    <w:rsid w:val="00B514CC"/>
    <w:rsid w:val="00B530F1"/>
    <w:rsid w:val="00B739CB"/>
    <w:rsid w:val="00B75528"/>
    <w:rsid w:val="00B82E09"/>
    <w:rsid w:val="00B93F08"/>
    <w:rsid w:val="00BA16DE"/>
    <w:rsid w:val="00BA276C"/>
    <w:rsid w:val="00BB306F"/>
    <w:rsid w:val="00BB6D25"/>
    <w:rsid w:val="00BC2671"/>
    <w:rsid w:val="00BC4BD5"/>
    <w:rsid w:val="00BC5E0B"/>
    <w:rsid w:val="00BD0764"/>
    <w:rsid w:val="00BD4B89"/>
    <w:rsid w:val="00BD5922"/>
    <w:rsid w:val="00BE1112"/>
    <w:rsid w:val="00BE14D7"/>
    <w:rsid w:val="00BE7866"/>
    <w:rsid w:val="00BE7C8C"/>
    <w:rsid w:val="00BF02CB"/>
    <w:rsid w:val="00BF3481"/>
    <w:rsid w:val="00BF6FD8"/>
    <w:rsid w:val="00C00B55"/>
    <w:rsid w:val="00C019E4"/>
    <w:rsid w:val="00C03680"/>
    <w:rsid w:val="00C054DF"/>
    <w:rsid w:val="00C1388D"/>
    <w:rsid w:val="00C21762"/>
    <w:rsid w:val="00C21FEF"/>
    <w:rsid w:val="00C229DE"/>
    <w:rsid w:val="00C23BA4"/>
    <w:rsid w:val="00C24543"/>
    <w:rsid w:val="00C256A2"/>
    <w:rsid w:val="00C25ADB"/>
    <w:rsid w:val="00C25C23"/>
    <w:rsid w:val="00C27369"/>
    <w:rsid w:val="00C33D21"/>
    <w:rsid w:val="00C43614"/>
    <w:rsid w:val="00C46F3B"/>
    <w:rsid w:val="00C51515"/>
    <w:rsid w:val="00C52110"/>
    <w:rsid w:val="00C5660B"/>
    <w:rsid w:val="00C66B72"/>
    <w:rsid w:val="00C74E79"/>
    <w:rsid w:val="00C84008"/>
    <w:rsid w:val="00C852B1"/>
    <w:rsid w:val="00C87AC4"/>
    <w:rsid w:val="00C9567A"/>
    <w:rsid w:val="00CB212D"/>
    <w:rsid w:val="00CB2660"/>
    <w:rsid w:val="00CC314D"/>
    <w:rsid w:val="00CC43A8"/>
    <w:rsid w:val="00CC47DE"/>
    <w:rsid w:val="00CC4AC6"/>
    <w:rsid w:val="00CC5E90"/>
    <w:rsid w:val="00CD046C"/>
    <w:rsid w:val="00CE076C"/>
    <w:rsid w:val="00CE2AC4"/>
    <w:rsid w:val="00CE5199"/>
    <w:rsid w:val="00CE66D5"/>
    <w:rsid w:val="00CF637A"/>
    <w:rsid w:val="00D0053A"/>
    <w:rsid w:val="00D029F8"/>
    <w:rsid w:val="00D059DE"/>
    <w:rsid w:val="00D05ABD"/>
    <w:rsid w:val="00D13BC5"/>
    <w:rsid w:val="00D13FCE"/>
    <w:rsid w:val="00D143FC"/>
    <w:rsid w:val="00D15B9B"/>
    <w:rsid w:val="00D17D2E"/>
    <w:rsid w:val="00D306D1"/>
    <w:rsid w:val="00D30800"/>
    <w:rsid w:val="00D33074"/>
    <w:rsid w:val="00D34786"/>
    <w:rsid w:val="00D37BFC"/>
    <w:rsid w:val="00D44DBE"/>
    <w:rsid w:val="00D46F80"/>
    <w:rsid w:val="00D47A8E"/>
    <w:rsid w:val="00D52D14"/>
    <w:rsid w:val="00D579C8"/>
    <w:rsid w:val="00D62621"/>
    <w:rsid w:val="00D62D78"/>
    <w:rsid w:val="00D712D3"/>
    <w:rsid w:val="00D71422"/>
    <w:rsid w:val="00D72DC6"/>
    <w:rsid w:val="00D72E75"/>
    <w:rsid w:val="00D7558D"/>
    <w:rsid w:val="00D81669"/>
    <w:rsid w:val="00D81D92"/>
    <w:rsid w:val="00D876F9"/>
    <w:rsid w:val="00D923FD"/>
    <w:rsid w:val="00D9497D"/>
    <w:rsid w:val="00D97E0C"/>
    <w:rsid w:val="00DA7B5F"/>
    <w:rsid w:val="00DB5600"/>
    <w:rsid w:val="00DC11E7"/>
    <w:rsid w:val="00DC24E3"/>
    <w:rsid w:val="00DC7023"/>
    <w:rsid w:val="00DC769A"/>
    <w:rsid w:val="00DD16B8"/>
    <w:rsid w:val="00DD3D86"/>
    <w:rsid w:val="00DD457A"/>
    <w:rsid w:val="00DD4AD2"/>
    <w:rsid w:val="00DE1CB3"/>
    <w:rsid w:val="00DF1EC4"/>
    <w:rsid w:val="00DF1FBD"/>
    <w:rsid w:val="00DF2711"/>
    <w:rsid w:val="00DF5763"/>
    <w:rsid w:val="00DF5C5B"/>
    <w:rsid w:val="00E024F7"/>
    <w:rsid w:val="00E0340B"/>
    <w:rsid w:val="00E04A90"/>
    <w:rsid w:val="00E0551F"/>
    <w:rsid w:val="00E151B6"/>
    <w:rsid w:val="00E1523B"/>
    <w:rsid w:val="00E219C7"/>
    <w:rsid w:val="00E24BFD"/>
    <w:rsid w:val="00E345B0"/>
    <w:rsid w:val="00E402FF"/>
    <w:rsid w:val="00E4118C"/>
    <w:rsid w:val="00E43157"/>
    <w:rsid w:val="00E461CE"/>
    <w:rsid w:val="00E470CC"/>
    <w:rsid w:val="00E50F18"/>
    <w:rsid w:val="00E518AD"/>
    <w:rsid w:val="00E573E4"/>
    <w:rsid w:val="00E60858"/>
    <w:rsid w:val="00E64110"/>
    <w:rsid w:val="00E64C3D"/>
    <w:rsid w:val="00E675EE"/>
    <w:rsid w:val="00E720CA"/>
    <w:rsid w:val="00E72DDF"/>
    <w:rsid w:val="00E74D7E"/>
    <w:rsid w:val="00E77771"/>
    <w:rsid w:val="00E84EB5"/>
    <w:rsid w:val="00E85411"/>
    <w:rsid w:val="00E85662"/>
    <w:rsid w:val="00E86D8C"/>
    <w:rsid w:val="00E8789F"/>
    <w:rsid w:val="00E87E14"/>
    <w:rsid w:val="00E918B2"/>
    <w:rsid w:val="00E9775D"/>
    <w:rsid w:val="00E97821"/>
    <w:rsid w:val="00E97B71"/>
    <w:rsid w:val="00EA3D34"/>
    <w:rsid w:val="00EA4029"/>
    <w:rsid w:val="00EB1FA6"/>
    <w:rsid w:val="00EB454D"/>
    <w:rsid w:val="00EC247C"/>
    <w:rsid w:val="00ED0603"/>
    <w:rsid w:val="00ED3C8B"/>
    <w:rsid w:val="00ED549D"/>
    <w:rsid w:val="00ED737B"/>
    <w:rsid w:val="00ED76BE"/>
    <w:rsid w:val="00EE00E9"/>
    <w:rsid w:val="00EE7A8F"/>
    <w:rsid w:val="00EF03A2"/>
    <w:rsid w:val="00EF0FF2"/>
    <w:rsid w:val="00EF1AAA"/>
    <w:rsid w:val="00EF3167"/>
    <w:rsid w:val="00EF619B"/>
    <w:rsid w:val="00F00B55"/>
    <w:rsid w:val="00F02AD1"/>
    <w:rsid w:val="00F103BB"/>
    <w:rsid w:val="00F159F6"/>
    <w:rsid w:val="00F22247"/>
    <w:rsid w:val="00F253CC"/>
    <w:rsid w:val="00F27893"/>
    <w:rsid w:val="00F27C96"/>
    <w:rsid w:val="00F303A0"/>
    <w:rsid w:val="00F30AEB"/>
    <w:rsid w:val="00F31708"/>
    <w:rsid w:val="00F31B7E"/>
    <w:rsid w:val="00F3265E"/>
    <w:rsid w:val="00F350A8"/>
    <w:rsid w:val="00F357E1"/>
    <w:rsid w:val="00F366FF"/>
    <w:rsid w:val="00F37106"/>
    <w:rsid w:val="00F44E25"/>
    <w:rsid w:val="00F45B82"/>
    <w:rsid w:val="00F519CF"/>
    <w:rsid w:val="00F564A8"/>
    <w:rsid w:val="00F56BA5"/>
    <w:rsid w:val="00F60E22"/>
    <w:rsid w:val="00F7715F"/>
    <w:rsid w:val="00F81395"/>
    <w:rsid w:val="00F81BB8"/>
    <w:rsid w:val="00F8604B"/>
    <w:rsid w:val="00F86EFF"/>
    <w:rsid w:val="00F90C64"/>
    <w:rsid w:val="00F917D1"/>
    <w:rsid w:val="00F933FC"/>
    <w:rsid w:val="00F9653B"/>
    <w:rsid w:val="00F9796E"/>
    <w:rsid w:val="00FA1333"/>
    <w:rsid w:val="00FB62CF"/>
    <w:rsid w:val="00FD164D"/>
    <w:rsid w:val="00FD3C3B"/>
    <w:rsid w:val="00FD5817"/>
    <w:rsid w:val="00FD5E32"/>
    <w:rsid w:val="00FE07DD"/>
    <w:rsid w:val="00FE6B45"/>
    <w:rsid w:val="00FF04D5"/>
    <w:rsid w:val="00FF1BEE"/>
    <w:rsid w:val="00FF55F3"/>
    <w:rsid w:val="00FF5851"/>
    <w:rsid w:val="00FF7B79"/>
    <w:rsid w:val="1E418DF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CE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81D92"/>
    <w:pPr>
      <w:keepNext/>
      <w:keepLines/>
      <w:numPr>
        <w:numId w:val="9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F1EC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Arial" w:eastAsia="Times New Roman" w:hAnsi="Arial" w:cs="Arial"/>
      <w:b/>
      <w:bCs/>
      <w:i/>
      <w:iCs/>
      <w:sz w:val="28"/>
      <w:szCs w:val="28"/>
      <w:bdr w:val="none" w:sz="0" w:space="0" w:color="auto"/>
    </w:rPr>
  </w:style>
  <w:style w:type="paragraph" w:styleId="Heading3">
    <w:name w:val="heading 3"/>
    <w:basedOn w:val="Normal"/>
    <w:next w:val="Normal"/>
    <w:link w:val="Heading3Char"/>
    <w:qFormat/>
    <w:rsid w:val="00DF1EC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Arial" w:eastAsia="Times New Roman" w:hAnsi="Arial" w:cs="Arial"/>
      <w:b/>
      <w:bCs/>
      <w:sz w:val="26"/>
      <w:szCs w:val="2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513"/>
        <w:tab w:val="right" w:pos="9026"/>
      </w:tabs>
    </w:pPr>
    <w:rPr>
      <w:rFonts w:ascii="Cambria" w:eastAsia="Cambria" w:hAnsi="Cambria" w:cs="Cambria"/>
      <w:color w:val="000000"/>
      <w:sz w:val="24"/>
      <w:szCs w:val="24"/>
      <w:u w:color="000000"/>
      <w:lang w:val="en-US"/>
    </w:rPr>
  </w:style>
  <w:style w:type="paragraph" w:customStyle="1" w:styleId="Cuerpo">
    <w:name w:val="Cuerpo"/>
    <w:rPr>
      <w:rFonts w:ascii="Cambria" w:eastAsia="Cambria" w:hAnsi="Cambria" w:cs="Cambria"/>
      <w:color w:val="000000"/>
      <w:sz w:val="24"/>
      <w:szCs w:val="24"/>
      <w:u w:color="000000"/>
    </w:rPr>
  </w:style>
  <w:style w:type="paragraph" w:styleId="BodyTextIndent">
    <w:name w:val="Body Text Indent"/>
    <w:pPr>
      <w:ind w:left="2160" w:hanging="720"/>
    </w:pPr>
    <w:rPr>
      <w:rFonts w:eastAsia="Times New Roman"/>
      <w:color w:val="000000"/>
      <w:sz w:val="24"/>
      <w:szCs w:val="24"/>
      <w:u w:color="000000"/>
      <w:lang w:val="es-ES_tradnl"/>
    </w:rPr>
  </w:style>
  <w:style w:type="paragraph" w:styleId="ListParagraph">
    <w:name w:val="List Paragraph"/>
    <w:uiPriority w:val="34"/>
    <w:qFormat/>
    <w:pPr>
      <w:ind w:left="720"/>
    </w:pPr>
    <w:rPr>
      <w:rFonts w:ascii="Cambria" w:eastAsia="Cambria" w:hAnsi="Cambria" w:cs="Cambria"/>
      <w:color w:val="000000"/>
      <w:sz w:val="24"/>
      <w:szCs w:val="24"/>
      <w:u w:color="000000"/>
      <w:lang w:val="en-US"/>
    </w:rPr>
  </w:style>
  <w:style w:type="numbering" w:customStyle="1" w:styleId="List0">
    <w:name w:val="List 0"/>
    <w:basedOn w:val="NoList"/>
    <w:pPr>
      <w:numPr>
        <w:numId w:val="74"/>
      </w:numPr>
    </w:pPr>
  </w:style>
  <w:style w:type="paragraph" w:styleId="NormalWeb">
    <w:name w:val="Normal (Web)"/>
    <w:basedOn w:val="Normal"/>
    <w:uiPriority w:val="99"/>
    <w:semiHidden/>
    <w:unhideWhenUsed/>
    <w:rsid w:val="00702F9D"/>
  </w:style>
  <w:style w:type="numbering" w:customStyle="1" w:styleId="List1">
    <w:name w:val="List 1"/>
    <w:basedOn w:val="NoList"/>
    <w:pPr>
      <w:numPr>
        <w:numId w:val="2"/>
      </w:numPr>
    </w:pPr>
  </w:style>
  <w:style w:type="numbering" w:customStyle="1" w:styleId="List21">
    <w:name w:val="List 21"/>
    <w:basedOn w:val="NoList"/>
    <w:pPr>
      <w:numPr>
        <w:numId w:val="95"/>
      </w:numPr>
    </w:pPr>
  </w:style>
  <w:style w:type="numbering" w:customStyle="1" w:styleId="List31">
    <w:name w:val="List 31"/>
    <w:basedOn w:val="NoList"/>
    <w:pPr>
      <w:numPr>
        <w:numId w:val="94"/>
      </w:numPr>
    </w:pPr>
  </w:style>
  <w:style w:type="numbering" w:customStyle="1" w:styleId="List41">
    <w:name w:val="List 41"/>
    <w:basedOn w:val="NoList"/>
    <w:pPr>
      <w:numPr>
        <w:numId w:val="5"/>
      </w:numPr>
    </w:pPr>
  </w:style>
  <w:style w:type="numbering" w:customStyle="1" w:styleId="List51">
    <w:name w:val="List 51"/>
    <w:basedOn w:val="NoList"/>
    <w:pPr>
      <w:numPr>
        <w:numId w:val="98"/>
      </w:numPr>
    </w:pPr>
  </w:style>
  <w:style w:type="numbering" w:customStyle="1" w:styleId="List6">
    <w:name w:val="List 6"/>
    <w:basedOn w:val="NoList"/>
    <w:pPr>
      <w:numPr>
        <w:numId w:val="7"/>
      </w:numPr>
    </w:pPr>
  </w:style>
  <w:style w:type="numbering" w:customStyle="1" w:styleId="List7">
    <w:name w:val="List 7"/>
    <w:basedOn w:val="NoList"/>
    <w:pPr>
      <w:numPr>
        <w:numId w:val="8"/>
      </w:numPr>
    </w:pPr>
  </w:style>
  <w:style w:type="numbering" w:customStyle="1" w:styleId="List8">
    <w:name w:val="List 8"/>
    <w:basedOn w:val="NoList"/>
    <w:pPr>
      <w:numPr>
        <w:numId w:val="9"/>
      </w:numPr>
    </w:pPr>
  </w:style>
  <w:style w:type="numbering" w:customStyle="1" w:styleId="List9">
    <w:name w:val="List 9"/>
    <w:basedOn w:val="NoList"/>
    <w:pPr>
      <w:numPr>
        <w:numId w:val="65"/>
      </w:numPr>
    </w:pPr>
  </w:style>
  <w:style w:type="numbering" w:customStyle="1" w:styleId="List10">
    <w:name w:val="List 10"/>
    <w:basedOn w:val="NoList"/>
    <w:pPr>
      <w:numPr>
        <w:numId w:val="11"/>
      </w:numPr>
    </w:pPr>
  </w:style>
  <w:style w:type="numbering" w:customStyle="1" w:styleId="List11">
    <w:name w:val="List 11"/>
    <w:basedOn w:val="NoList"/>
    <w:pPr>
      <w:numPr>
        <w:numId w:val="20"/>
      </w:numPr>
    </w:pPr>
  </w:style>
  <w:style w:type="numbering" w:customStyle="1" w:styleId="List12">
    <w:name w:val="List 12"/>
    <w:basedOn w:val="NoList"/>
    <w:pPr>
      <w:numPr>
        <w:numId w:val="79"/>
      </w:numPr>
    </w:pPr>
  </w:style>
  <w:style w:type="numbering" w:customStyle="1" w:styleId="List13">
    <w:name w:val="List 13"/>
    <w:basedOn w:val="NoList"/>
    <w:pPr>
      <w:numPr>
        <w:numId w:val="85"/>
      </w:numPr>
    </w:pPr>
  </w:style>
  <w:style w:type="numbering" w:customStyle="1" w:styleId="List14">
    <w:name w:val="List 14"/>
    <w:basedOn w:val="NoList"/>
    <w:pPr>
      <w:numPr>
        <w:numId w:val="60"/>
      </w:numPr>
    </w:pPr>
  </w:style>
  <w:style w:type="numbering" w:customStyle="1" w:styleId="List15">
    <w:name w:val="List 15"/>
    <w:basedOn w:val="NoList"/>
    <w:pPr>
      <w:numPr>
        <w:numId w:val="59"/>
      </w:numPr>
    </w:pPr>
  </w:style>
  <w:style w:type="numbering" w:customStyle="1" w:styleId="List16">
    <w:name w:val="List 16"/>
    <w:basedOn w:val="NoList"/>
    <w:pPr>
      <w:numPr>
        <w:numId w:val="53"/>
      </w:numPr>
    </w:pPr>
  </w:style>
  <w:style w:type="numbering" w:customStyle="1" w:styleId="List17">
    <w:name w:val="List 17"/>
    <w:basedOn w:val="NoList"/>
    <w:pPr>
      <w:numPr>
        <w:numId w:val="68"/>
      </w:numPr>
    </w:pPr>
  </w:style>
  <w:style w:type="numbering" w:customStyle="1" w:styleId="List18">
    <w:name w:val="List 18"/>
    <w:basedOn w:val="NoList"/>
    <w:pPr>
      <w:numPr>
        <w:numId w:val="70"/>
      </w:numPr>
    </w:pPr>
  </w:style>
  <w:style w:type="numbering" w:customStyle="1" w:styleId="List19">
    <w:name w:val="List 19"/>
    <w:basedOn w:val="NoList"/>
    <w:pPr>
      <w:numPr>
        <w:numId w:val="62"/>
      </w:numPr>
    </w:pPr>
  </w:style>
  <w:style w:type="numbering" w:customStyle="1" w:styleId="List20">
    <w:name w:val="List 20"/>
    <w:basedOn w:val="NoList"/>
    <w:pPr>
      <w:numPr>
        <w:numId w:val="86"/>
      </w:numPr>
    </w:pPr>
  </w:style>
  <w:style w:type="numbering" w:customStyle="1" w:styleId="List210">
    <w:name w:val="List 210"/>
    <w:basedOn w:val="NoList"/>
    <w:pPr>
      <w:numPr>
        <w:numId w:val="81"/>
      </w:numPr>
    </w:pPr>
  </w:style>
  <w:style w:type="numbering" w:customStyle="1" w:styleId="List22">
    <w:name w:val="List 22"/>
    <w:basedOn w:val="NoList"/>
    <w:pPr>
      <w:numPr>
        <w:numId w:val="71"/>
      </w:numPr>
    </w:pPr>
  </w:style>
  <w:style w:type="numbering" w:customStyle="1" w:styleId="List23">
    <w:name w:val="List 23"/>
    <w:basedOn w:val="NoList"/>
    <w:pPr>
      <w:numPr>
        <w:numId w:val="61"/>
      </w:numPr>
    </w:pPr>
  </w:style>
  <w:style w:type="numbering" w:customStyle="1" w:styleId="List24">
    <w:name w:val="List 24"/>
    <w:basedOn w:val="NoList"/>
    <w:pPr>
      <w:numPr>
        <w:numId w:val="56"/>
      </w:numPr>
    </w:pPr>
  </w:style>
  <w:style w:type="numbering" w:customStyle="1" w:styleId="List25">
    <w:name w:val="List 25"/>
    <w:basedOn w:val="NoList"/>
    <w:pPr>
      <w:numPr>
        <w:numId w:val="58"/>
      </w:numPr>
    </w:pPr>
  </w:style>
  <w:style w:type="numbering" w:customStyle="1" w:styleId="List26">
    <w:name w:val="List 26"/>
    <w:basedOn w:val="NoList"/>
    <w:pPr>
      <w:numPr>
        <w:numId w:val="92"/>
      </w:numPr>
    </w:pPr>
  </w:style>
  <w:style w:type="numbering" w:customStyle="1" w:styleId="List27">
    <w:name w:val="List 27"/>
    <w:basedOn w:val="NoList"/>
    <w:pPr>
      <w:numPr>
        <w:numId w:val="84"/>
      </w:numPr>
    </w:pPr>
  </w:style>
  <w:style w:type="numbering" w:customStyle="1" w:styleId="List28">
    <w:name w:val="List 28"/>
    <w:basedOn w:val="NoList"/>
    <w:pPr>
      <w:numPr>
        <w:numId w:val="73"/>
      </w:numPr>
    </w:pPr>
  </w:style>
  <w:style w:type="numbering" w:customStyle="1" w:styleId="List29">
    <w:name w:val="List 29"/>
    <w:basedOn w:val="NoList"/>
    <w:pPr>
      <w:numPr>
        <w:numId w:val="77"/>
      </w:numPr>
    </w:pPr>
  </w:style>
  <w:style w:type="numbering" w:customStyle="1" w:styleId="List30">
    <w:name w:val="List 30"/>
    <w:basedOn w:val="NoList"/>
    <w:pPr>
      <w:numPr>
        <w:numId w:val="75"/>
      </w:numPr>
    </w:pPr>
  </w:style>
  <w:style w:type="numbering" w:customStyle="1" w:styleId="List310">
    <w:name w:val="List 310"/>
    <w:basedOn w:val="NoList"/>
    <w:pPr>
      <w:numPr>
        <w:numId w:val="88"/>
      </w:numPr>
    </w:pPr>
  </w:style>
  <w:style w:type="numbering" w:customStyle="1" w:styleId="List32">
    <w:name w:val="List 32"/>
    <w:basedOn w:val="NoList"/>
    <w:pPr>
      <w:numPr>
        <w:numId w:val="91"/>
      </w:numPr>
    </w:p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ootnote text,Ca"/>
    <w:link w:val="FootnoteTextChar"/>
    <w:rPr>
      <w:rFonts w:ascii="Calibri" w:eastAsia="Calibri" w:hAnsi="Calibri" w:cs="Calibri"/>
      <w:color w:val="000000"/>
      <w:u w:color="000000"/>
      <w:lang w:val="en-US"/>
    </w:rPr>
  </w:style>
  <w:style w:type="numbering" w:customStyle="1" w:styleId="List33">
    <w:name w:val="List 33"/>
    <w:basedOn w:val="NoList"/>
    <w:pPr>
      <w:numPr>
        <w:numId w:val="69"/>
      </w:numPr>
    </w:pPr>
  </w:style>
  <w:style w:type="numbering" w:customStyle="1" w:styleId="List34">
    <w:name w:val="List 34"/>
    <w:basedOn w:val="NoList"/>
    <w:pPr>
      <w:numPr>
        <w:numId w:val="54"/>
      </w:numPr>
    </w:pPr>
  </w:style>
  <w:style w:type="numbering" w:customStyle="1" w:styleId="List35">
    <w:name w:val="List 35"/>
    <w:basedOn w:val="NoList"/>
    <w:pPr>
      <w:numPr>
        <w:numId w:val="35"/>
      </w:numPr>
    </w:pPr>
  </w:style>
  <w:style w:type="numbering" w:customStyle="1" w:styleId="List36">
    <w:name w:val="List 36"/>
    <w:basedOn w:val="NoList"/>
    <w:pPr>
      <w:numPr>
        <w:numId w:val="57"/>
      </w:numPr>
    </w:pPr>
  </w:style>
  <w:style w:type="numbering" w:customStyle="1" w:styleId="List37">
    <w:name w:val="List 37"/>
    <w:basedOn w:val="NoList"/>
    <w:pPr>
      <w:numPr>
        <w:numId w:val="90"/>
      </w:numPr>
    </w:pPr>
  </w:style>
  <w:style w:type="numbering" w:customStyle="1" w:styleId="List38">
    <w:name w:val="List 38"/>
    <w:basedOn w:val="NoList"/>
    <w:pPr>
      <w:numPr>
        <w:numId w:val="78"/>
      </w:numPr>
    </w:pPr>
  </w:style>
  <w:style w:type="numbering" w:customStyle="1" w:styleId="List39">
    <w:name w:val="List 39"/>
    <w:basedOn w:val="NoList"/>
    <w:pPr>
      <w:numPr>
        <w:numId w:val="89"/>
      </w:numPr>
    </w:pPr>
  </w:style>
  <w:style w:type="numbering" w:customStyle="1" w:styleId="List40">
    <w:name w:val="List 40"/>
    <w:basedOn w:val="NoList"/>
    <w:pPr>
      <w:numPr>
        <w:numId w:val="64"/>
      </w:numPr>
    </w:pPr>
  </w:style>
  <w:style w:type="numbering" w:customStyle="1" w:styleId="List410">
    <w:name w:val="List 410"/>
    <w:basedOn w:val="NoList"/>
    <w:pPr>
      <w:numPr>
        <w:numId w:val="87"/>
      </w:numPr>
    </w:pPr>
  </w:style>
  <w:style w:type="numbering" w:customStyle="1" w:styleId="List42">
    <w:name w:val="List 42"/>
    <w:basedOn w:val="NoList"/>
    <w:pPr>
      <w:numPr>
        <w:numId w:val="42"/>
      </w:numPr>
    </w:pPr>
  </w:style>
  <w:style w:type="numbering" w:customStyle="1" w:styleId="List43">
    <w:name w:val="List 43"/>
    <w:basedOn w:val="NoList"/>
    <w:pPr>
      <w:numPr>
        <w:numId w:val="66"/>
      </w:numPr>
    </w:pPr>
  </w:style>
  <w:style w:type="numbering" w:customStyle="1" w:styleId="List44">
    <w:name w:val="List 44"/>
    <w:basedOn w:val="NoList"/>
    <w:pPr>
      <w:numPr>
        <w:numId w:val="83"/>
      </w:numPr>
    </w:pPr>
  </w:style>
  <w:style w:type="numbering" w:customStyle="1" w:styleId="List45">
    <w:name w:val="List 45"/>
    <w:basedOn w:val="NoList"/>
    <w:pPr>
      <w:numPr>
        <w:numId w:val="63"/>
      </w:numPr>
    </w:pPr>
  </w:style>
  <w:style w:type="numbering" w:customStyle="1" w:styleId="List46">
    <w:name w:val="List 46"/>
    <w:basedOn w:val="NoList"/>
    <w:pPr>
      <w:numPr>
        <w:numId w:val="67"/>
      </w:numPr>
    </w:pPr>
  </w:style>
  <w:style w:type="numbering" w:customStyle="1" w:styleId="List47">
    <w:name w:val="List 47"/>
    <w:basedOn w:val="NoList"/>
    <w:pPr>
      <w:numPr>
        <w:numId w:val="72"/>
      </w:numPr>
    </w:pPr>
  </w:style>
  <w:style w:type="numbering" w:customStyle="1" w:styleId="List48">
    <w:name w:val="List 48"/>
    <w:basedOn w:val="NoList"/>
    <w:pPr>
      <w:numPr>
        <w:numId w:val="93"/>
      </w:numPr>
    </w:pPr>
  </w:style>
  <w:style w:type="numbering" w:customStyle="1" w:styleId="List49">
    <w:name w:val="List 49"/>
    <w:basedOn w:val="NoList"/>
    <w:pPr>
      <w:numPr>
        <w:numId w:val="82"/>
      </w:numPr>
    </w:pPr>
  </w:style>
  <w:style w:type="numbering" w:customStyle="1" w:styleId="List50">
    <w:name w:val="List 50"/>
    <w:basedOn w:val="NoList"/>
    <w:pPr>
      <w:numPr>
        <w:numId w:val="80"/>
      </w:numPr>
    </w:pPr>
  </w:style>
  <w:style w:type="numbering" w:customStyle="1" w:styleId="List510">
    <w:name w:val="List 510"/>
    <w:basedOn w:val="NoList"/>
    <w:pPr>
      <w:numPr>
        <w:numId w:val="76"/>
      </w:numPr>
    </w:pPr>
  </w:style>
  <w:style w:type="numbering" w:customStyle="1" w:styleId="List52">
    <w:name w:val="List 52"/>
    <w:basedOn w:val="NoList"/>
    <w:pPr>
      <w:numPr>
        <w:numId w:val="52"/>
      </w:numPr>
    </w:pPr>
  </w:style>
  <w:style w:type="paragraph" w:styleId="BalloonText">
    <w:name w:val="Balloon Text"/>
    <w:basedOn w:val="Normal"/>
    <w:link w:val="BalloonTextChar"/>
    <w:uiPriority w:val="99"/>
    <w:semiHidden/>
    <w:unhideWhenUsed/>
    <w:rsid w:val="009B381B"/>
    <w:rPr>
      <w:rFonts w:ascii="Tahoma" w:hAnsi="Tahoma" w:cs="Tahoma"/>
      <w:sz w:val="16"/>
      <w:szCs w:val="16"/>
    </w:rPr>
  </w:style>
  <w:style w:type="character" w:customStyle="1" w:styleId="BalloonTextChar">
    <w:name w:val="Balloon Text Char"/>
    <w:basedOn w:val="DefaultParagraphFont"/>
    <w:link w:val="BalloonText"/>
    <w:uiPriority w:val="99"/>
    <w:semiHidden/>
    <w:rsid w:val="009B381B"/>
    <w:rPr>
      <w:rFonts w:ascii="Tahoma" w:hAnsi="Tahoma" w:cs="Tahoma"/>
      <w:sz w:val="16"/>
      <w:szCs w:val="16"/>
      <w:lang w:val="en-US" w:eastAsia="en-US"/>
    </w:rPr>
  </w:style>
  <w:style w:type="paragraph" w:styleId="Header">
    <w:name w:val="header"/>
    <w:aliases w:val="encabezado"/>
    <w:basedOn w:val="Normal"/>
    <w:link w:val="HeaderChar"/>
    <w:rsid w:val="00D81D9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napToGrid w:val="0"/>
    </w:pPr>
    <w:rPr>
      <w:rFonts w:ascii="Univers" w:eastAsia="Times New Roman" w:hAnsi="Univers" w:cs="Univers"/>
      <w:bdr w:val="none" w:sz="0" w:space="0" w:color="auto"/>
    </w:rPr>
  </w:style>
  <w:style w:type="character" w:customStyle="1" w:styleId="HeaderChar">
    <w:name w:val="Header Char"/>
    <w:aliases w:val="encabezado Char"/>
    <w:basedOn w:val="DefaultParagraphFont"/>
    <w:link w:val="Header"/>
    <w:uiPriority w:val="99"/>
    <w:rsid w:val="00D81D92"/>
    <w:rPr>
      <w:rFonts w:ascii="Univers" w:eastAsia="Times New Roman" w:hAnsi="Univers" w:cs="Univers"/>
      <w:sz w:val="24"/>
      <w:szCs w:val="24"/>
      <w:bdr w:val="none" w:sz="0" w:space="0" w:color="auto"/>
      <w:lang w:val="en-US" w:eastAsia="en-US"/>
    </w:rPr>
  </w:style>
  <w:style w:type="character" w:customStyle="1" w:styleId="Heading1Char">
    <w:name w:val="Heading 1 Char"/>
    <w:basedOn w:val="DefaultParagraphFont"/>
    <w:link w:val="Heading1"/>
    <w:uiPriority w:val="9"/>
    <w:rsid w:val="00D81D92"/>
    <w:rPr>
      <w:rFonts w:asciiTheme="majorHAnsi" w:eastAsiaTheme="majorEastAsia" w:hAnsiTheme="majorHAnsi" w:cstheme="majorBidi"/>
      <w:b/>
      <w:bCs/>
      <w:color w:val="365F91" w:themeColor="accent1" w:themeShade="BF"/>
      <w:sz w:val="28"/>
      <w:szCs w:val="28"/>
      <w:lang w:val="en-US" w:eastAsia="en-US"/>
    </w:rPr>
  </w:style>
  <w:style w:type="table" w:styleId="MediumShading1-Accent1">
    <w:name w:val="Medium Shading 1 Accent 1"/>
    <w:basedOn w:val="TableNormal"/>
    <w:uiPriority w:val="63"/>
    <w:rsid w:val="006A17D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5C4225"/>
    <w:pPr>
      <w:tabs>
        <w:tab w:val="left" w:pos="1440"/>
        <w:tab w:val="right" w:leader="dot" w:pos="9350"/>
      </w:tabs>
      <w:spacing w:after="100"/>
      <w:ind w:left="1440" w:hanging="720"/>
    </w:pPr>
  </w:style>
  <w:style w:type="paragraph" w:styleId="TOC1">
    <w:name w:val="toc 1"/>
    <w:basedOn w:val="Normal"/>
    <w:next w:val="Normal"/>
    <w:autoRedefine/>
    <w:uiPriority w:val="39"/>
    <w:unhideWhenUsed/>
    <w:rsid w:val="005C4225"/>
    <w:pPr>
      <w:spacing w:after="100"/>
    </w:pPr>
    <w:rPr>
      <w:rFonts w:asciiTheme="minorHAnsi" w:hAnsiTheme="minorHAnsi"/>
      <w:sz w:val="22"/>
    </w:rPr>
  </w:style>
  <w:style w:type="paragraph" w:styleId="TOC3">
    <w:name w:val="toc 3"/>
    <w:basedOn w:val="Normal"/>
    <w:next w:val="Normal"/>
    <w:autoRedefine/>
    <w:uiPriority w:val="39"/>
    <w:unhideWhenUsed/>
    <w:rsid w:val="005C4225"/>
    <w:pPr>
      <w:tabs>
        <w:tab w:val="left" w:pos="880"/>
        <w:tab w:val="right" w:leader="dot" w:pos="9350"/>
      </w:tabs>
      <w:spacing w:after="100"/>
      <w:ind w:left="2160" w:hanging="720"/>
    </w:pPr>
  </w:style>
  <w:style w:type="paragraph" w:styleId="TOC4">
    <w:name w:val="toc 4"/>
    <w:basedOn w:val="Normal"/>
    <w:next w:val="Normal"/>
    <w:autoRedefine/>
    <w:uiPriority w:val="39"/>
    <w:unhideWhenUsed/>
    <w:rsid w:val="005C4225"/>
    <w:pPr>
      <w:spacing w:after="100"/>
      <w:ind w:left="720"/>
    </w:pPr>
  </w:style>
  <w:style w:type="character" w:styleId="PageNumber">
    <w:name w:val="page number"/>
    <w:basedOn w:val="DefaultParagraphFont"/>
    <w:rsid w:val="00040C3A"/>
  </w:style>
  <w:style w:type="character" w:customStyle="1" w:styleId="FooterChar">
    <w:name w:val="Footer Char"/>
    <w:basedOn w:val="DefaultParagraphFont"/>
    <w:link w:val="Footer"/>
    <w:uiPriority w:val="99"/>
    <w:rsid w:val="00A50FCF"/>
    <w:rPr>
      <w:rFonts w:ascii="Cambria" w:eastAsia="Cambria" w:hAnsi="Cambria" w:cs="Cambria"/>
      <w:color w:val="000000"/>
      <w:sz w:val="24"/>
      <w:szCs w:val="24"/>
      <w:u w:color="000000"/>
      <w:lang w:val="en-US"/>
    </w:rPr>
  </w:style>
  <w:style w:type="character" w:styleId="FootnoteReference">
    <w:name w:val="footnote reference"/>
    <w:aliases w:val="Footnotes refss,Ref. de nota al pie.,Texto de nota al pie,Appel note de bas de page,referencia nota al pie,BVI fnr,Footnote number,f,Footnote symbol,Footnote,4_G,16 Point,Superscript 6 Point,Texto nota al pie,Ref,de nota al pie,norma"/>
    <w:basedOn w:val="DefaultParagraphFont"/>
    <w:unhideWhenUsed/>
    <w:rsid w:val="000F35ED"/>
    <w:rPr>
      <w:vertAlign w:val="superscript"/>
    </w:rPr>
  </w:style>
  <w:style w:type="paragraph" w:styleId="BodyTextIndent2">
    <w:name w:val="Body Text Indent 2"/>
    <w:basedOn w:val="Normal"/>
    <w:link w:val="BodyTextIndent2Char"/>
    <w:uiPriority w:val="99"/>
    <w:semiHidden/>
    <w:unhideWhenUsed/>
    <w:rsid w:val="000F35ED"/>
    <w:pPr>
      <w:spacing w:after="120" w:line="480" w:lineRule="auto"/>
      <w:ind w:left="360"/>
    </w:pPr>
  </w:style>
  <w:style w:type="character" w:customStyle="1" w:styleId="BodyTextIndent2Char">
    <w:name w:val="Body Text Indent 2 Char"/>
    <w:basedOn w:val="DefaultParagraphFont"/>
    <w:link w:val="BodyTextIndent2"/>
    <w:uiPriority w:val="99"/>
    <w:semiHidden/>
    <w:rsid w:val="000F35ED"/>
    <w:rPr>
      <w:sz w:val="24"/>
      <w:szCs w:val="24"/>
      <w:lang w:val="en-US" w:eastAsia="en-US"/>
    </w:rPr>
  </w:style>
  <w:style w:type="paragraph" w:styleId="BodyText">
    <w:name w:val="Body Text"/>
    <w:basedOn w:val="Normal"/>
    <w:link w:val="BodyTextChar"/>
    <w:uiPriority w:val="99"/>
    <w:semiHidden/>
    <w:unhideWhenUsed/>
    <w:rsid w:val="0031535D"/>
    <w:pPr>
      <w:spacing w:after="120"/>
    </w:pPr>
  </w:style>
  <w:style w:type="character" w:customStyle="1" w:styleId="BodyTextChar">
    <w:name w:val="Body Text Char"/>
    <w:basedOn w:val="DefaultParagraphFont"/>
    <w:link w:val="BodyText"/>
    <w:uiPriority w:val="99"/>
    <w:semiHidden/>
    <w:rsid w:val="0031535D"/>
    <w:rPr>
      <w:sz w:val="24"/>
      <w:szCs w:val="24"/>
      <w:lang w:val="en-US" w:eastAsia="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
    <w:link w:val="FootnoteText"/>
    <w:locked/>
    <w:rsid w:val="0031535D"/>
    <w:rPr>
      <w:rFonts w:ascii="Calibri" w:eastAsia="Calibri" w:hAnsi="Calibri" w:cs="Calibri"/>
      <w:color w:val="000000"/>
      <w:u w:color="000000"/>
      <w:lang w:val="en-US"/>
    </w:rPr>
  </w:style>
  <w:style w:type="character" w:customStyle="1" w:styleId="Heading2Char">
    <w:name w:val="Heading 2 Char"/>
    <w:basedOn w:val="DefaultParagraphFont"/>
    <w:link w:val="Heading2"/>
    <w:rsid w:val="00DF1EC4"/>
    <w:rPr>
      <w:rFonts w:ascii="Arial" w:eastAsia="Times New Roman" w:hAnsi="Arial" w:cs="Arial"/>
      <w:b/>
      <w:bCs/>
      <w:i/>
      <w:iCs/>
      <w:sz w:val="28"/>
      <w:szCs w:val="28"/>
      <w:bdr w:val="none" w:sz="0" w:space="0" w:color="auto"/>
      <w:lang w:val="en-US" w:eastAsia="en-US"/>
    </w:rPr>
  </w:style>
  <w:style w:type="character" w:customStyle="1" w:styleId="Heading3Char">
    <w:name w:val="Heading 3 Char"/>
    <w:basedOn w:val="DefaultParagraphFont"/>
    <w:link w:val="Heading3"/>
    <w:rsid w:val="00DF1EC4"/>
    <w:rPr>
      <w:rFonts w:ascii="Arial" w:eastAsia="Times New Roman" w:hAnsi="Arial" w:cs="Arial"/>
      <w:b/>
      <w:bCs/>
      <w:sz w:val="26"/>
      <w:szCs w:val="26"/>
      <w:bdr w:val="none" w:sz="0" w:space="0" w:color="auto"/>
      <w:lang w:val="en-US" w:eastAsia="en-US"/>
    </w:rPr>
  </w:style>
  <w:style w:type="paragraph" w:customStyle="1" w:styleId="Default">
    <w:name w:val="Default"/>
    <w:link w:val="DefaultChar"/>
    <w:rsid w:val="00DF1E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lang w:val="en-US" w:eastAsia="en-US"/>
    </w:rPr>
  </w:style>
  <w:style w:type="paragraph" w:styleId="EndnoteText">
    <w:name w:val="endnote text"/>
    <w:basedOn w:val="Normal"/>
    <w:link w:val="EndnoteTextChar"/>
    <w:rsid w:val="00DF1EC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EndnoteTextChar">
    <w:name w:val="Endnote Text Char"/>
    <w:basedOn w:val="DefaultParagraphFont"/>
    <w:link w:val="EndnoteText"/>
    <w:rsid w:val="00DF1EC4"/>
    <w:rPr>
      <w:rFonts w:eastAsia="Times New Roman"/>
      <w:sz w:val="24"/>
      <w:szCs w:val="24"/>
      <w:bdr w:val="none" w:sz="0" w:space="0" w:color="auto"/>
      <w:lang w:val="en-US" w:eastAsia="en-US"/>
    </w:rPr>
  </w:style>
  <w:style w:type="character" w:customStyle="1" w:styleId="DefaultChar">
    <w:name w:val="Default Char"/>
    <w:link w:val="Default"/>
    <w:rsid w:val="00DF1EC4"/>
    <w:rPr>
      <w:rFonts w:eastAsia="Times New Roman"/>
      <w:color w:val="000000"/>
      <w:sz w:val="24"/>
      <w:szCs w:val="24"/>
      <w:bdr w:val="none" w:sz="0" w:space="0" w:color="auto"/>
      <w:lang w:val="en-US" w:eastAsia="en-US"/>
    </w:rPr>
  </w:style>
  <w:style w:type="table" w:styleId="TableGrid">
    <w:name w:val="Table Grid"/>
    <w:basedOn w:val="TableNormal"/>
    <w:uiPriority w:val="59"/>
    <w:rsid w:val="00323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613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normaltextrun">
    <w:name w:val="normaltextrun"/>
    <w:basedOn w:val="DefaultParagraphFont"/>
    <w:rsid w:val="0076135C"/>
  </w:style>
  <w:style w:type="character" w:customStyle="1" w:styleId="eop">
    <w:name w:val="eop"/>
    <w:basedOn w:val="DefaultParagraphFont"/>
    <w:rsid w:val="00761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0602">
      <w:bodyDiv w:val="1"/>
      <w:marLeft w:val="0"/>
      <w:marRight w:val="0"/>
      <w:marTop w:val="0"/>
      <w:marBottom w:val="0"/>
      <w:divBdr>
        <w:top w:val="none" w:sz="0" w:space="0" w:color="auto"/>
        <w:left w:val="none" w:sz="0" w:space="0" w:color="auto"/>
        <w:bottom w:val="none" w:sz="0" w:space="0" w:color="auto"/>
        <w:right w:val="none" w:sz="0" w:space="0" w:color="auto"/>
      </w:divBdr>
    </w:div>
    <w:div w:id="1001814879">
      <w:bodyDiv w:val="1"/>
      <w:marLeft w:val="0"/>
      <w:marRight w:val="0"/>
      <w:marTop w:val="0"/>
      <w:marBottom w:val="0"/>
      <w:divBdr>
        <w:top w:val="none" w:sz="0" w:space="0" w:color="auto"/>
        <w:left w:val="none" w:sz="0" w:space="0" w:color="auto"/>
        <w:bottom w:val="none" w:sz="0" w:space="0" w:color="auto"/>
        <w:right w:val="none" w:sz="0" w:space="0" w:color="auto"/>
      </w:divBdr>
    </w:div>
    <w:div w:id="1232959834">
      <w:bodyDiv w:val="1"/>
      <w:marLeft w:val="0"/>
      <w:marRight w:val="0"/>
      <w:marTop w:val="0"/>
      <w:marBottom w:val="0"/>
      <w:divBdr>
        <w:top w:val="none" w:sz="0" w:space="0" w:color="auto"/>
        <w:left w:val="none" w:sz="0" w:space="0" w:color="auto"/>
        <w:bottom w:val="none" w:sz="0" w:space="0" w:color="auto"/>
        <w:right w:val="none" w:sz="0" w:space="0" w:color="auto"/>
      </w:divBdr>
    </w:div>
    <w:div w:id="1418556663">
      <w:bodyDiv w:val="1"/>
      <w:marLeft w:val="0"/>
      <w:marRight w:val="0"/>
      <w:marTop w:val="0"/>
      <w:marBottom w:val="0"/>
      <w:divBdr>
        <w:top w:val="none" w:sz="0" w:space="0" w:color="auto"/>
        <w:left w:val="none" w:sz="0" w:space="0" w:color="auto"/>
        <w:bottom w:val="none" w:sz="0" w:space="0" w:color="auto"/>
        <w:right w:val="none" w:sz="0" w:space="0" w:color="auto"/>
      </w:divBdr>
    </w:div>
    <w:div w:id="1537424551">
      <w:bodyDiv w:val="1"/>
      <w:marLeft w:val="0"/>
      <w:marRight w:val="0"/>
      <w:marTop w:val="0"/>
      <w:marBottom w:val="0"/>
      <w:divBdr>
        <w:top w:val="none" w:sz="0" w:space="0" w:color="auto"/>
        <w:left w:val="none" w:sz="0" w:space="0" w:color="auto"/>
        <w:bottom w:val="none" w:sz="0" w:space="0" w:color="auto"/>
        <w:right w:val="none" w:sz="0" w:space="0" w:color="auto"/>
      </w:divBdr>
    </w:div>
    <w:div w:id="1789354569">
      <w:bodyDiv w:val="1"/>
      <w:marLeft w:val="0"/>
      <w:marRight w:val="0"/>
      <w:marTop w:val="0"/>
      <w:marBottom w:val="0"/>
      <w:divBdr>
        <w:top w:val="none" w:sz="0" w:space="0" w:color="auto"/>
        <w:left w:val="none" w:sz="0" w:space="0" w:color="auto"/>
        <w:bottom w:val="none" w:sz="0" w:space="0" w:color="auto"/>
        <w:right w:val="none" w:sz="0" w:space="0" w:color="auto"/>
      </w:divBdr>
    </w:div>
    <w:div w:id="1803227868">
      <w:bodyDiv w:val="1"/>
      <w:marLeft w:val="0"/>
      <w:marRight w:val="0"/>
      <w:marTop w:val="0"/>
      <w:marBottom w:val="0"/>
      <w:divBdr>
        <w:top w:val="none" w:sz="0" w:space="0" w:color="auto"/>
        <w:left w:val="none" w:sz="0" w:space="0" w:color="auto"/>
        <w:bottom w:val="none" w:sz="0" w:space="0" w:color="auto"/>
        <w:right w:val="none" w:sz="0" w:space="0" w:color="auto"/>
      </w:divBdr>
    </w:div>
    <w:div w:id="1942907660">
      <w:bodyDiv w:val="1"/>
      <w:marLeft w:val="0"/>
      <w:marRight w:val="0"/>
      <w:marTop w:val="0"/>
      <w:marBottom w:val="0"/>
      <w:divBdr>
        <w:top w:val="none" w:sz="0" w:space="0" w:color="auto"/>
        <w:left w:val="none" w:sz="0" w:space="0" w:color="auto"/>
        <w:bottom w:val="none" w:sz="0" w:space="0" w:color="auto"/>
        <w:right w:val="none" w:sz="0" w:space="0" w:color="auto"/>
      </w:divBdr>
    </w:div>
    <w:div w:id="2032533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85E8F873F2494CB1B0EF413DA4B061"/>
        <w:category>
          <w:name w:val="General"/>
          <w:gallery w:val="placeholder"/>
        </w:category>
        <w:types>
          <w:type w:val="bbPlcHdr"/>
        </w:types>
        <w:behaviors>
          <w:behavior w:val="content"/>
        </w:behaviors>
        <w:guid w:val="{D8906C78-F73E-46FC-BA4D-5AB127412529}"/>
      </w:docPartPr>
      <w:docPartBody>
        <w:p w:rsidR="009A261B" w:rsidRDefault="00394049" w:rsidP="00394049">
          <w:pPr>
            <w:pStyle w:val="EF85E8F873F2494CB1B0EF413DA4B061"/>
          </w:pPr>
          <w:r w:rsidRPr="003C689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4049"/>
    <w:rsid w:val="000204AE"/>
    <w:rsid w:val="000A5BBE"/>
    <w:rsid w:val="001E66FE"/>
    <w:rsid w:val="00200821"/>
    <w:rsid w:val="0025245B"/>
    <w:rsid w:val="002A3923"/>
    <w:rsid w:val="003200CD"/>
    <w:rsid w:val="00394049"/>
    <w:rsid w:val="003F6C18"/>
    <w:rsid w:val="00460F61"/>
    <w:rsid w:val="004B5BBB"/>
    <w:rsid w:val="004C5378"/>
    <w:rsid w:val="004F2DF8"/>
    <w:rsid w:val="005C7B55"/>
    <w:rsid w:val="0061797F"/>
    <w:rsid w:val="006A5C15"/>
    <w:rsid w:val="006F24A1"/>
    <w:rsid w:val="007376C5"/>
    <w:rsid w:val="00792D33"/>
    <w:rsid w:val="00863288"/>
    <w:rsid w:val="00886A41"/>
    <w:rsid w:val="009A261B"/>
    <w:rsid w:val="009E257B"/>
    <w:rsid w:val="009F171F"/>
    <w:rsid w:val="009F4BCF"/>
    <w:rsid w:val="00AA2E17"/>
    <w:rsid w:val="00AC15A4"/>
    <w:rsid w:val="00B0336C"/>
    <w:rsid w:val="00B14B8B"/>
    <w:rsid w:val="00CE1D10"/>
    <w:rsid w:val="00D241E9"/>
    <w:rsid w:val="00D7750D"/>
    <w:rsid w:val="00D80801"/>
    <w:rsid w:val="00DA3189"/>
    <w:rsid w:val="00DB40EF"/>
    <w:rsid w:val="00E40BA5"/>
    <w:rsid w:val="00F00D2F"/>
    <w:rsid w:val="00F128DF"/>
    <w:rsid w:val="00F506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336C"/>
    <w:rPr>
      <w:color w:val="808080"/>
    </w:rPr>
  </w:style>
  <w:style w:type="paragraph" w:customStyle="1" w:styleId="EF85E8F873F2494CB1B0EF413DA4B061">
    <w:name w:val="EF85E8F873F2494CB1B0EF413DA4B061"/>
    <w:rsid w:val="003940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126BE-6309-409F-9A97-9BD99ECB8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4490</Words>
  <Characters>25597</Characters>
  <Application>Microsoft Office Word</Application>
  <DocSecurity>0</DocSecurity>
  <Lines>213</Lines>
  <Paragraphs>60</Paragraphs>
  <ScaleCrop>false</ScaleCrop>
  <Company/>
  <LinksUpToDate>false</LinksUpToDate>
  <CharactersWithSpaces>30027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2023-07-10T21:35:00Z</dcterms:created>
  <dcterms:modified xsi:type="dcterms:W3CDTF">2023-07-10T21:35:00Z</dcterms:modified>
</cp:coreProperties>
</file>