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D5F8B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6AAEE1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32CE8">
                              <w:rPr>
                                <w:rFonts w:asciiTheme="majorHAnsi" w:hAnsiTheme="majorHAnsi" w:cs="Arial"/>
                                <w:b/>
                                <w:bCs/>
                                <w:color w:val="0D0D0D" w:themeColor="text1" w:themeTint="F2"/>
                                <w:sz w:val="36"/>
                                <w:szCs w:val="22"/>
                                <w:lang w:val="es-ES_tradnl"/>
                              </w:rPr>
                              <w:t>157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1789B65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C3364">
                              <w:rPr>
                                <w:rFonts w:asciiTheme="majorHAnsi" w:hAnsiTheme="majorHAnsi" w:cs="Arial"/>
                                <w:b/>
                                <w:color w:val="0D0D0D" w:themeColor="text1" w:themeTint="F2"/>
                                <w:sz w:val="36"/>
                                <w:szCs w:val="22"/>
                                <w:lang w:val="es-ES_tradnl"/>
                              </w:rPr>
                              <w:t>2065-19</w:t>
                            </w:r>
                          </w:p>
                          <w:p w14:paraId="70CF6833" w14:textId="7AF02744" w:rsidR="00CD046C" w:rsidRPr="00BC3364" w:rsidRDefault="005B52B0" w:rsidP="00997BC5">
                            <w:pPr>
                              <w:spacing w:line="276" w:lineRule="auto"/>
                              <w:rPr>
                                <w:rFonts w:asciiTheme="majorHAnsi" w:hAnsiTheme="majorHAnsi" w:cs="Arial"/>
                                <w:color w:val="0D0D0D" w:themeColor="text1" w:themeTint="F2"/>
                                <w:lang w:val="es-ES_tradnl"/>
                              </w:rPr>
                            </w:pPr>
                            <w:r w:rsidRPr="00BC3364">
                              <w:rPr>
                                <w:rFonts w:asciiTheme="majorHAnsi" w:hAnsiTheme="majorHAnsi" w:cs="Arial"/>
                                <w:color w:val="0D0D0D" w:themeColor="text1" w:themeTint="F2"/>
                                <w:lang w:val="es-ES_tradnl"/>
                              </w:rPr>
                              <w:t>INFORME DE ADMISIBILIDAD</w:t>
                            </w:r>
                            <w:r w:rsidR="00F519CF" w:rsidRPr="00BC3364">
                              <w:rPr>
                                <w:rFonts w:asciiTheme="majorHAnsi" w:hAnsiTheme="majorHAnsi" w:cs="Arial"/>
                                <w:color w:val="0D0D0D" w:themeColor="text1" w:themeTint="F2"/>
                                <w:lang w:val="es-ES_tradnl"/>
                              </w:rPr>
                              <w:t xml:space="preserve"> </w:t>
                            </w:r>
                          </w:p>
                          <w:p w14:paraId="24A30A9B" w14:textId="77777777" w:rsidR="00732CE8" w:rsidRDefault="00732CE8" w:rsidP="00997BC5">
                            <w:pPr>
                              <w:spacing w:line="276" w:lineRule="auto"/>
                              <w:rPr>
                                <w:rFonts w:ascii="Cambria" w:hAnsi="Cambria"/>
                                <w:bCs/>
                                <w:lang w:val="es-PE"/>
                              </w:rPr>
                            </w:pPr>
                          </w:p>
                          <w:p w14:paraId="01E3C4E2" w14:textId="526FC345" w:rsidR="00EB197F" w:rsidRPr="00BC3364" w:rsidRDefault="0095421C" w:rsidP="00997BC5">
                            <w:pPr>
                              <w:spacing w:line="276" w:lineRule="auto"/>
                              <w:rPr>
                                <w:rFonts w:asciiTheme="majorHAnsi" w:hAnsiTheme="majorHAnsi" w:cs="Arial"/>
                                <w:color w:val="0D0D0D" w:themeColor="text1" w:themeTint="F2"/>
                                <w:lang w:val="es-ES_tradnl"/>
                              </w:rPr>
                            </w:pPr>
                            <w:r w:rsidRPr="00BC3364">
                              <w:rPr>
                                <w:rFonts w:ascii="Cambria" w:hAnsi="Cambria"/>
                                <w:bCs/>
                                <w:lang w:val="es-PE"/>
                              </w:rPr>
                              <w:t>V</w:t>
                            </w:r>
                            <w:r w:rsidR="00BC1B5B">
                              <w:rPr>
                                <w:rFonts w:ascii="Cambria" w:hAnsi="Cambria"/>
                                <w:bCs/>
                                <w:lang w:val="es-ES"/>
                              </w:rPr>
                              <w:t>Í</w:t>
                            </w:r>
                            <w:r w:rsidRPr="00BC3364">
                              <w:rPr>
                                <w:rFonts w:ascii="Cambria" w:hAnsi="Cambria"/>
                                <w:bCs/>
                                <w:lang w:val="es-PE"/>
                              </w:rPr>
                              <w:t>CTOR FRANCISCO Y</w:t>
                            </w:r>
                            <w:r w:rsidR="00BC1B5B">
                              <w:rPr>
                                <w:rFonts w:ascii="Cambria" w:hAnsi="Cambria"/>
                                <w:bCs/>
                                <w:lang w:val="es-PE"/>
                              </w:rPr>
                              <w:t>Á</w:t>
                            </w:r>
                            <w:r w:rsidRPr="00BC3364">
                              <w:rPr>
                                <w:rFonts w:ascii="Cambria" w:hAnsi="Cambria"/>
                                <w:bCs/>
                                <w:lang w:val="es-PE"/>
                              </w:rPr>
                              <w:t>ÑEZ CORTES</w:t>
                            </w:r>
                            <w:r w:rsidR="00021FDF" w:rsidRPr="00BC3364">
                              <w:rPr>
                                <w:rFonts w:ascii="Cambria" w:hAnsi="Cambria"/>
                                <w:bCs/>
                                <w:lang w:val="es-PE"/>
                              </w:rPr>
                              <w:t xml:space="preserve"> Y OTROS</w:t>
                            </w:r>
                          </w:p>
                          <w:p w14:paraId="575DFD52" w14:textId="31A5AAE8" w:rsidR="005B52B0" w:rsidRPr="00EB197F" w:rsidRDefault="0095421C" w:rsidP="007A5817">
                            <w:pPr>
                              <w:rPr>
                                <w:color w:val="0D0D0D" w:themeColor="text1" w:themeTint="F2"/>
                                <w:lang w:val="es-PE"/>
                              </w:rPr>
                            </w:pPr>
                            <w:r>
                              <w:rPr>
                                <w:rFonts w:asciiTheme="majorHAnsi" w:hAnsiTheme="majorHAnsi" w:cs="Arial"/>
                                <w:color w:val="0D0D0D" w:themeColor="text1" w:themeTint="F2"/>
                                <w:szCs w:val="22"/>
                                <w:lang w:val="es-PE"/>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6AAEE1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32CE8">
                        <w:rPr>
                          <w:rFonts w:asciiTheme="majorHAnsi" w:hAnsiTheme="majorHAnsi" w:cs="Arial"/>
                          <w:b/>
                          <w:bCs/>
                          <w:color w:val="0D0D0D" w:themeColor="text1" w:themeTint="F2"/>
                          <w:sz w:val="36"/>
                          <w:szCs w:val="22"/>
                          <w:lang w:val="es-ES_tradnl"/>
                        </w:rPr>
                        <w:t>157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1789B65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C3364">
                        <w:rPr>
                          <w:rFonts w:asciiTheme="majorHAnsi" w:hAnsiTheme="majorHAnsi" w:cs="Arial"/>
                          <w:b/>
                          <w:color w:val="0D0D0D" w:themeColor="text1" w:themeTint="F2"/>
                          <w:sz w:val="36"/>
                          <w:szCs w:val="22"/>
                          <w:lang w:val="es-ES_tradnl"/>
                        </w:rPr>
                        <w:t>2065-19</w:t>
                      </w:r>
                    </w:p>
                    <w:p w14:paraId="70CF6833" w14:textId="7AF02744" w:rsidR="00CD046C" w:rsidRPr="00BC3364" w:rsidRDefault="005B52B0" w:rsidP="00997BC5">
                      <w:pPr>
                        <w:spacing w:line="276" w:lineRule="auto"/>
                        <w:rPr>
                          <w:rFonts w:asciiTheme="majorHAnsi" w:hAnsiTheme="majorHAnsi" w:cs="Arial"/>
                          <w:color w:val="0D0D0D" w:themeColor="text1" w:themeTint="F2"/>
                          <w:lang w:val="es-ES_tradnl"/>
                        </w:rPr>
                      </w:pPr>
                      <w:r w:rsidRPr="00BC3364">
                        <w:rPr>
                          <w:rFonts w:asciiTheme="majorHAnsi" w:hAnsiTheme="majorHAnsi" w:cs="Arial"/>
                          <w:color w:val="0D0D0D" w:themeColor="text1" w:themeTint="F2"/>
                          <w:lang w:val="es-ES_tradnl"/>
                        </w:rPr>
                        <w:t>INFORME DE ADMISIBILIDAD</w:t>
                      </w:r>
                      <w:r w:rsidR="00F519CF" w:rsidRPr="00BC3364">
                        <w:rPr>
                          <w:rFonts w:asciiTheme="majorHAnsi" w:hAnsiTheme="majorHAnsi" w:cs="Arial"/>
                          <w:color w:val="0D0D0D" w:themeColor="text1" w:themeTint="F2"/>
                          <w:lang w:val="es-ES_tradnl"/>
                        </w:rPr>
                        <w:t xml:space="preserve"> </w:t>
                      </w:r>
                    </w:p>
                    <w:p w14:paraId="24A30A9B" w14:textId="77777777" w:rsidR="00732CE8" w:rsidRDefault="00732CE8" w:rsidP="00997BC5">
                      <w:pPr>
                        <w:spacing w:line="276" w:lineRule="auto"/>
                        <w:rPr>
                          <w:rFonts w:ascii="Cambria" w:hAnsi="Cambria"/>
                          <w:bCs/>
                          <w:lang w:val="es-PE"/>
                        </w:rPr>
                      </w:pPr>
                    </w:p>
                    <w:p w14:paraId="01E3C4E2" w14:textId="526FC345" w:rsidR="00EB197F" w:rsidRPr="00BC3364" w:rsidRDefault="0095421C" w:rsidP="00997BC5">
                      <w:pPr>
                        <w:spacing w:line="276" w:lineRule="auto"/>
                        <w:rPr>
                          <w:rFonts w:asciiTheme="majorHAnsi" w:hAnsiTheme="majorHAnsi" w:cs="Arial"/>
                          <w:color w:val="0D0D0D" w:themeColor="text1" w:themeTint="F2"/>
                          <w:lang w:val="es-ES_tradnl"/>
                        </w:rPr>
                      </w:pPr>
                      <w:r w:rsidRPr="00BC3364">
                        <w:rPr>
                          <w:rFonts w:ascii="Cambria" w:hAnsi="Cambria"/>
                          <w:bCs/>
                          <w:lang w:val="es-PE"/>
                        </w:rPr>
                        <w:t>V</w:t>
                      </w:r>
                      <w:r w:rsidR="00BC1B5B">
                        <w:rPr>
                          <w:rFonts w:ascii="Cambria" w:hAnsi="Cambria"/>
                          <w:bCs/>
                          <w:lang w:val="es-ES"/>
                        </w:rPr>
                        <w:t>Í</w:t>
                      </w:r>
                      <w:r w:rsidRPr="00BC3364">
                        <w:rPr>
                          <w:rFonts w:ascii="Cambria" w:hAnsi="Cambria"/>
                          <w:bCs/>
                          <w:lang w:val="es-PE"/>
                        </w:rPr>
                        <w:t>CTOR FRANCISCO Y</w:t>
                      </w:r>
                      <w:r w:rsidR="00BC1B5B">
                        <w:rPr>
                          <w:rFonts w:ascii="Cambria" w:hAnsi="Cambria"/>
                          <w:bCs/>
                          <w:lang w:val="es-PE"/>
                        </w:rPr>
                        <w:t>Á</w:t>
                      </w:r>
                      <w:r w:rsidRPr="00BC3364">
                        <w:rPr>
                          <w:rFonts w:ascii="Cambria" w:hAnsi="Cambria"/>
                          <w:bCs/>
                          <w:lang w:val="es-PE"/>
                        </w:rPr>
                        <w:t>ÑEZ CORTES</w:t>
                      </w:r>
                      <w:r w:rsidR="00021FDF" w:rsidRPr="00BC3364">
                        <w:rPr>
                          <w:rFonts w:ascii="Cambria" w:hAnsi="Cambria"/>
                          <w:bCs/>
                          <w:lang w:val="es-PE"/>
                        </w:rPr>
                        <w:t xml:space="preserve"> Y OTROS</w:t>
                      </w:r>
                    </w:p>
                    <w:p w14:paraId="575DFD52" w14:textId="31A5AAE8" w:rsidR="005B52B0" w:rsidRPr="00EB197F" w:rsidRDefault="0095421C" w:rsidP="007A5817">
                      <w:pPr>
                        <w:rPr>
                          <w:color w:val="0D0D0D" w:themeColor="text1" w:themeTint="F2"/>
                          <w:lang w:val="es-PE"/>
                        </w:rPr>
                      </w:pPr>
                      <w:r>
                        <w:rPr>
                          <w:rFonts w:asciiTheme="majorHAnsi" w:hAnsiTheme="majorHAnsi" w:cs="Arial"/>
                          <w:color w:val="0D0D0D" w:themeColor="text1" w:themeTint="F2"/>
                          <w:szCs w:val="22"/>
                          <w:lang w:val="es-PE"/>
                        </w:rPr>
                        <w:t>BOLIVIA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E0E5AD3" w:rsidR="00627C9F" w:rsidRPr="00C40FCF" w:rsidRDefault="00834D49" w:rsidP="007A5817">
                            <w:pPr>
                              <w:spacing w:line="276" w:lineRule="auto"/>
                              <w:jc w:val="right"/>
                              <w:rPr>
                                <w:rFonts w:asciiTheme="minorHAnsi" w:hAnsiTheme="minorHAnsi"/>
                                <w:color w:val="FFFFFF" w:themeColor="background1"/>
                                <w:sz w:val="22"/>
                                <w:lang w:val="es-AR"/>
                              </w:rPr>
                            </w:pPr>
                            <w:r w:rsidRPr="00C40FCF">
                              <w:rPr>
                                <w:rFonts w:asciiTheme="minorHAnsi" w:hAnsiTheme="minorHAnsi"/>
                                <w:color w:val="FFFFFF" w:themeColor="background1"/>
                                <w:sz w:val="22"/>
                                <w:lang w:val="es-AR"/>
                              </w:rPr>
                              <w:t>OEA/Ser.L/V/II</w:t>
                            </w:r>
                          </w:p>
                          <w:p w14:paraId="6A41611B" w14:textId="413A6463" w:rsidR="00627C9F" w:rsidRPr="00C40FCF" w:rsidRDefault="00627C9F" w:rsidP="007A5817">
                            <w:pPr>
                              <w:spacing w:line="276" w:lineRule="auto"/>
                              <w:jc w:val="right"/>
                              <w:rPr>
                                <w:rFonts w:asciiTheme="minorHAnsi" w:hAnsiTheme="minorHAnsi"/>
                                <w:color w:val="FFFFFF" w:themeColor="background1"/>
                                <w:sz w:val="22"/>
                                <w:lang w:val="es-AR"/>
                              </w:rPr>
                            </w:pPr>
                            <w:r w:rsidRPr="00C40FCF">
                              <w:rPr>
                                <w:rFonts w:asciiTheme="minorHAnsi" w:hAnsiTheme="minorHAnsi"/>
                                <w:color w:val="FFFFFF" w:themeColor="background1"/>
                                <w:sz w:val="22"/>
                                <w:lang w:val="es-AR"/>
                              </w:rPr>
                              <w:t xml:space="preserve">Doc. </w:t>
                            </w:r>
                            <w:r w:rsidR="00C23ECF" w:rsidRPr="00C40FCF">
                              <w:rPr>
                                <w:rFonts w:asciiTheme="minorHAnsi" w:hAnsiTheme="minorHAnsi"/>
                                <w:color w:val="FFFFFF" w:themeColor="background1"/>
                                <w:sz w:val="22"/>
                                <w:lang w:val="es-AR"/>
                              </w:rPr>
                              <w:t>16</w:t>
                            </w:r>
                            <w:r w:rsidR="00732CE8" w:rsidRPr="00C40FCF">
                              <w:rPr>
                                <w:rFonts w:asciiTheme="minorHAnsi" w:hAnsiTheme="minorHAnsi"/>
                                <w:color w:val="FFFFFF" w:themeColor="background1"/>
                                <w:sz w:val="22"/>
                                <w:lang w:val="es-AR"/>
                              </w:rPr>
                              <w:t>5</w:t>
                            </w:r>
                          </w:p>
                          <w:p w14:paraId="69373ED2" w14:textId="4492276D" w:rsidR="00627C9F" w:rsidRPr="00C25ADB" w:rsidRDefault="00732CE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C23ECF">
                              <w:rPr>
                                <w:rFonts w:asciiTheme="minorHAnsi" w:hAnsiTheme="minorHAnsi"/>
                                <w:color w:val="FFFFFF" w:themeColor="background1"/>
                                <w:sz w:val="22"/>
                                <w:lang w:val="es-PA"/>
                              </w:rPr>
                              <w:t xml:space="preserve">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E0E5AD3" w:rsidR="00627C9F" w:rsidRPr="00C40FCF" w:rsidRDefault="00834D49" w:rsidP="007A5817">
                      <w:pPr>
                        <w:spacing w:line="276" w:lineRule="auto"/>
                        <w:jc w:val="right"/>
                        <w:rPr>
                          <w:rFonts w:asciiTheme="minorHAnsi" w:hAnsiTheme="minorHAnsi"/>
                          <w:color w:val="FFFFFF" w:themeColor="background1"/>
                          <w:sz w:val="22"/>
                          <w:lang w:val="es-AR"/>
                        </w:rPr>
                      </w:pPr>
                      <w:r w:rsidRPr="00C40FCF">
                        <w:rPr>
                          <w:rFonts w:asciiTheme="minorHAnsi" w:hAnsiTheme="minorHAnsi"/>
                          <w:color w:val="FFFFFF" w:themeColor="background1"/>
                          <w:sz w:val="22"/>
                          <w:lang w:val="es-AR"/>
                        </w:rPr>
                        <w:t>OEA/Ser.L/V/II</w:t>
                      </w:r>
                    </w:p>
                    <w:p w14:paraId="6A41611B" w14:textId="413A6463" w:rsidR="00627C9F" w:rsidRPr="00C40FCF" w:rsidRDefault="00627C9F" w:rsidP="007A5817">
                      <w:pPr>
                        <w:spacing w:line="276" w:lineRule="auto"/>
                        <w:jc w:val="right"/>
                        <w:rPr>
                          <w:rFonts w:asciiTheme="minorHAnsi" w:hAnsiTheme="minorHAnsi"/>
                          <w:color w:val="FFFFFF" w:themeColor="background1"/>
                          <w:sz w:val="22"/>
                          <w:lang w:val="es-AR"/>
                        </w:rPr>
                      </w:pPr>
                      <w:r w:rsidRPr="00C40FCF">
                        <w:rPr>
                          <w:rFonts w:asciiTheme="minorHAnsi" w:hAnsiTheme="minorHAnsi"/>
                          <w:color w:val="FFFFFF" w:themeColor="background1"/>
                          <w:sz w:val="22"/>
                          <w:lang w:val="es-AR"/>
                        </w:rPr>
                        <w:t xml:space="preserve">Doc. </w:t>
                      </w:r>
                      <w:r w:rsidR="00C23ECF" w:rsidRPr="00C40FCF">
                        <w:rPr>
                          <w:rFonts w:asciiTheme="minorHAnsi" w:hAnsiTheme="minorHAnsi"/>
                          <w:color w:val="FFFFFF" w:themeColor="background1"/>
                          <w:sz w:val="22"/>
                          <w:lang w:val="es-AR"/>
                        </w:rPr>
                        <w:t>16</w:t>
                      </w:r>
                      <w:r w:rsidR="00732CE8" w:rsidRPr="00C40FCF">
                        <w:rPr>
                          <w:rFonts w:asciiTheme="minorHAnsi" w:hAnsiTheme="minorHAnsi"/>
                          <w:color w:val="FFFFFF" w:themeColor="background1"/>
                          <w:sz w:val="22"/>
                          <w:lang w:val="es-AR"/>
                        </w:rPr>
                        <w:t>5</w:t>
                      </w:r>
                    </w:p>
                    <w:p w14:paraId="69373ED2" w14:textId="4492276D" w:rsidR="00627C9F" w:rsidRPr="00C25ADB" w:rsidRDefault="00732CE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C23ECF">
                        <w:rPr>
                          <w:rFonts w:asciiTheme="minorHAnsi" w:hAnsiTheme="minorHAnsi"/>
                          <w:color w:val="FFFFFF" w:themeColor="background1"/>
                          <w:sz w:val="22"/>
                          <w:lang w:val="es-PA"/>
                        </w:rPr>
                        <w:t xml:space="preserve">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1CC28AD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503B3">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C503B3">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C503B3">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1CC28AD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503B3">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C503B3">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C503B3">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BF88B4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503B3" w:rsidRPr="00C503B3">
                              <w:rPr>
                                <w:rFonts w:asciiTheme="majorHAnsi" w:hAnsiTheme="majorHAnsi"/>
                                <w:color w:val="595959" w:themeColor="text1" w:themeTint="A6"/>
                                <w:sz w:val="18"/>
                                <w:szCs w:val="18"/>
                                <w:lang w:val="pt-BR"/>
                              </w:rPr>
                              <w:t>157</w:t>
                            </w:r>
                            <w:r w:rsidR="007B05C4" w:rsidRPr="00C503B3">
                              <w:rPr>
                                <w:rFonts w:asciiTheme="majorHAnsi" w:hAnsiTheme="majorHAnsi"/>
                                <w:color w:val="595959" w:themeColor="text1" w:themeTint="A6"/>
                                <w:sz w:val="18"/>
                                <w:szCs w:val="18"/>
                                <w:lang w:val="pt-BR"/>
                              </w:rPr>
                              <w:t>/</w:t>
                            </w:r>
                            <w:r w:rsidR="00C503B3" w:rsidRPr="00C503B3">
                              <w:rPr>
                                <w:rFonts w:asciiTheme="majorHAnsi" w:hAnsiTheme="majorHAnsi"/>
                                <w:color w:val="595959" w:themeColor="text1" w:themeTint="A6"/>
                                <w:sz w:val="18"/>
                                <w:szCs w:val="18"/>
                                <w:lang w:val="pt-BR"/>
                              </w:rPr>
                              <w:t>24</w:t>
                            </w:r>
                            <w:r w:rsidRPr="00C503B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C3364">
                              <w:rPr>
                                <w:rFonts w:asciiTheme="majorHAnsi" w:hAnsiTheme="majorHAnsi"/>
                                <w:color w:val="595959" w:themeColor="text1" w:themeTint="A6"/>
                                <w:sz w:val="18"/>
                                <w:szCs w:val="18"/>
                                <w:lang w:val="es-ES"/>
                              </w:rPr>
                              <w:t>2065-19</w:t>
                            </w:r>
                            <w:r w:rsidR="000433C9">
                              <w:rPr>
                                <w:rFonts w:asciiTheme="majorHAnsi" w:hAnsiTheme="majorHAnsi"/>
                                <w:color w:val="595959" w:themeColor="text1" w:themeTint="A6"/>
                                <w:sz w:val="18"/>
                                <w:szCs w:val="18"/>
                                <w:lang w:val="es-ES"/>
                              </w:rPr>
                              <w:t xml:space="preserve">. </w:t>
                            </w:r>
                            <w:r w:rsidR="00BC3364">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C3364">
                              <w:rPr>
                                <w:rFonts w:asciiTheme="majorHAnsi" w:hAnsiTheme="majorHAnsi"/>
                                <w:color w:val="595959" w:themeColor="text1" w:themeTint="A6"/>
                                <w:sz w:val="18"/>
                                <w:szCs w:val="18"/>
                                <w:lang w:val="es-ES_tradnl"/>
                              </w:rPr>
                              <w:t>Víctor Francisco Yañez Cortes y otros</w:t>
                            </w:r>
                            <w:r w:rsidRPr="00890650">
                              <w:rPr>
                                <w:rFonts w:asciiTheme="majorHAnsi" w:hAnsiTheme="majorHAnsi"/>
                                <w:color w:val="595959" w:themeColor="text1" w:themeTint="A6"/>
                                <w:sz w:val="18"/>
                                <w:szCs w:val="18"/>
                                <w:lang w:val="es-ES_tradnl"/>
                              </w:rPr>
                              <w:t xml:space="preserve">. </w:t>
                            </w:r>
                            <w:r w:rsidR="00BC3364">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C503B3">
                              <w:rPr>
                                <w:rFonts w:asciiTheme="majorHAnsi" w:hAnsiTheme="majorHAnsi"/>
                                <w:color w:val="595959" w:themeColor="text1" w:themeTint="A6"/>
                                <w:sz w:val="18"/>
                                <w:szCs w:val="18"/>
                                <w:lang w:val="es-ES"/>
                              </w:rPr>
                              <w:t>19 de septiembre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BF88B4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503B3" w:rsidRPr="00C503B3">
                        <w:rPr>
                          <w:rFonts w:asciiTheme="majorHAnsi" w:hAnsiTheme="majorHAnsi"/>
                          <w:color w:val="595959" w:themeColor="text1" w:themeTint="A6"/>
                          <w:sz w:val="18"/>
                          <w:szCs w:val="18"/>
                          <w:lang w:val="pt-BR"/>
                        </w:rPr>
                        <w:t>157</w:t>
                      </w:r>
                      <w:r w:rsidR="007B05C4" w:rsidRPr="00C503B3">
                        <w:rPr>
                          <w:rFonts w:asciiTheme="majorHAnsi" w:hAnsiTheme="majorHAnsi"/>
                          <w:color w:val="595959" w:themeColor="text1" w:themeTint="A6"/>
                          <w:sz w:val="18"/>
                          <w:szCs w:val="18"/>
                          <w:lang w:val="pt-BR"/>
                        </w:rPr>
                        <w:t>/</w:t>
                      </w:r>
                      <w:r w:rsidR="00C503B3" w:rsidRPr="00C503B3">
                        <w:rPr>
                          <w:rFonts w:asciiTheme="majorHAnsi" w:hAnsiTheme="majorHAnsi"/>
                          <w:color w:val="595959" w:themeColor="text1" w:themeTint="A6"/>
                          <w:sz w:val="18"/>
                          <w:szCs w:val="18"/>
                          <w:lang w:val="pt-BR"/>
                        </w:rPr>
                        <w:t>24</w:t>
                      </w:r>
                      <w:r w:rsidRPr="00C503B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C3364">
                        <w:rPr>
                          <w:rFonts w:asciiTheme="majorHAnsi" w:hAnsiTheme="majorHAnsi"/>
                          <w:color w:val="595959" w:themeColor="text1" w:themeTint="A6"/>
                          <w:sz w:val="18"/>
                          <w:szCs w:val="18"/>
                          <w:lang w:val="es-ES"/>
                        </w:rPr>
                        <w:t>2065-19</w:t>
                      </w:r>
                      <w:r w:rsidR="000433C9">
                        <w:rPr>
                          <w:rFonts w:asciiTheme="majorHAnsi" w:hAnsiTheme="majorHAnsi"/>
                          <w:color w:val="595959" w:themeColor="text1" w:themeTint="A6"/>
                          <w:sz w:val="18"/>
                          <w:szCs w:val="18"/>
                          <w:lang w:val="es-ES"/>
                        </w:rPr>
                        <w:t xml:space="preserve">. </w:t>
                      </w:r>
                      <w:r w:rsidR="00BC3364">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C3364">
                        <w:rPr>
                          <w:rFonts w:asciiTheme="majorHAnsi" w:hAnsiTheme="majorHAnsi"/>
                          <w:color w:val="595959" w:themeColor="text1" w:themeTint="A6"/>
                          <w:sz w:val="18"/>
                          <w:szCs w:val="18"/>
                          <w:lang w:val="es-ES_tradnl"/>
                        </w:rPr>
                        <w:t>Víctor Francisco Yañez Cortes y otros</w:t>
                      </w:r>
                      <w:r w:rsidRPr="00890650">
                        <w:rPr>
                          <w:rFonts w:asciiTheme="majorHAnsi" w:hAnsiTheme="majorHAnsi"/>
                          <w:color w:val="595959" w:themeColor="text1" w:themeTint="A6"/>
                          <w:sz w:val="18"/>
                          <w:szCs w:val="18"/>
                          <w:lang w:val="es-ES_tradnl"/>
                        </w:rPr>
                        <w:t xml:space="preserve">. </w:t>
                      </w:r>
                      <w:r w:rsidR="00BC3364">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C503B3">
                        <w:rPr>
                          <w:rFonts w:asciiTheme="majorHAnsi" w:hAnsiTheme="majorHAnsi"/>
                          <w:color w:val="595959" w:themeColor="text1" w:themeTint="A6"/>
                          <w:sz w:val="18"/>
                          <w:szCs w:val="18"/>
                          <w:lang w:val="es-ES"/>
                        </w:rPr>
                        <w:t>19 de septiembre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B61D2D1" w:rsidR="00D72DC6" w:rsidRPr="00D72DC6" w:rsidRDefault="00C503B3" w:rsidP="00F02AD1">
                            <w:pPr>
                              <w:rPr>
                                <w:color w:val="FFFFFF" w:themeColor="background1"/>
                                <w14:textFill>
                                  <w14:noFill/>
                                </w14:textFill>
                              </w:rPr>
                            </w:pPr>
                            <w:r>
                              <w:rPr>
                                <w:noProof/>
                                <w:color w:val="FFFFFF" w:themeColor="background1"/>
                              </w:rPr>
                              <w:drawing>
                                <wp:inline distT="0" distB="0" distL="0" distR="0" wp14:anchorId="22E1850D" wp14:editId="40BA1791">
                                  <wp:extent cx="1824355" cy="469265"/>
                                  <wp:effectExtent l="0" t="0" r="4445" b="6985"/>
                                  <wp:docPr id="1353305994" name="Picture 13533059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B61D2D1" w:rsidR="00D72DC6" w:rsidRPr="00D72DC6" w:rsidRDefault="00C503B3" w:rsidP="00F02AD1">
                      <w:pPr>
                        <w:rPr>
                          <w:color w:val="FFFFFF" w:themeColor="background1"/>
                          <w14:textFill>
                            <w14:noFill/>
                          </w14:textFill>
                        </w:rPr>
                      </w:pPr>
                      <w:r>
                        <w:rPr>
                          <w:noProof/>
                          <w:color w:val="FFFFFF" w:themeColor="background1"/>
                        </w:rPr>
                        <w:drawing>
                          <wp:inline distT="0" distB="0" distL="0" distR="0" wp14:anchorId="22E1850D" wp14:editId="40BA1791">
                            <wp:extent cx="1824355" cy="469265"/>
                            <wp:effectExtent l="0" t="0" r="4445" b="6985"/>
                            <wp:docPr id="1353305994" name="Picture 13533059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21FDF"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C79943C" w:rsidR="003239B8" w:rsidRPr="00D13530" w:rsidRDefault="00911B21" w:rsidP="00D13530">
            <w:pPr>
              <w:jc w:val="both"/>
              <w:rPr>
                <w:rFonts w:ascii="Cambria" w:hAnsi="Cambria"/>
                <w:bCs/>
                <w:sz w:val="20"/>
                <w:szCs w:val="20"/>
                <w:lang w:val="es-PE"/>
              </w:rPr>
            </w:pPr>
            <w:r w:rsidRPr="00911B21">
              <w:rPr>
                <w:rFonts w:ascii="Cambria" w:hAnsi="Cambria"/>
                <w:bCs/>
                <w:sz w:val="20"/>
                <w:szCs w:val="20"/>
                <w:lang w:val="es-PE"/>
              </w:rPr>
              <w:t>Arturo Y</w:t>
            </w:r>
            <w:r w:rsidR="00B11D67">
              <w:rPr>
                <w:rFonts w:ascii="Cambria" w:hAnsi="Cambria"/>
                <w:bCs/>
                <w:sz w:val="20"/>
                <w:szCs w:val="20"/>
                <w:lang w:val="es-PE"/>
              </w:rPr>
              <w:t>á</w:t>
            </w:r>
            <w:r w:rsidRPr="00911B21">
              <w:rPr>
                <w:rFonts w:ascii="Cambria" w:hAnsi="Cambria"/>
                <w:bCs/>
                <w:sz w:val="20"/>
                <w:szCs w:val="20"/>
                <w:lang w:val="es-PE"/>
              </w:rPr>
              <w:t>ñez Cortes</w:t>
            </w:r>
          </w:p>
        </w:tc>
      </w:tr>
      <w:tr w:rsidR="003239B8" w:rsidRPr="002D3F2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E7118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442C792" w:rsidR="003239B8" w:rsidRPr="00BC3364" w:rsidRDefault="00911B21" w:rsidP="008D2290">
            <w:pPr>
              <w:jc w:val="both"/>
              <w:rPr>
                <w:rFonts w:ascii="Cambria" w:hAnsi="Cambria"/>
                <w:bCs/>
                <w:sz w:val="20"/>
                <w:szCs w:val="20"/>
              </w:rPr>
            </w:pPr>
            <w:r w:rsidRPr="00BC3364">
              <w:rPr>
                <w:rFonts w:ascii="Cambria" w:hAnsi="Cambria"/>
                <w:bCs/>
                <w:sz w:val="20"/>
                <w:szCs w:val="20"/>
              </w:rPr>
              <w:t>V</w:t>
            </w:r>
            <w:r w:rsidR="00BC1B5B">
              <w:rPr>
                <w:rFonts w:ascii="Cambria" w:hAnsi="Cambria"/>
                <w:bCs/>
                <w:sz w:val="20"/>
                <w:szCs w:val="20"/>
              </w:rPr>
              <w:t>í</w:t>
            </w:r>
            <w:r w:rsidRPr="00BC3364">
              <w:rPr>
                <w:rFonts w:ascii="Cambria" w:hAnsi="Cambria"/>
                <w:bCs/>
                <w:sz w:val="20"/>
                <w:szCs w:val="20"/>
              </w:rPr>
              <w:t>ctor Francisco Y</w:t>
            </w:r>
            <w:r w:rsidR="00CF6475">
              <w:rPr>
                <w:rFonts w:ascii="Cambria" w:hAnsi="Cambria"/>
                <w:bCs/>
                <w:sz w:val="20"/>
                <w:szCs w:val="20"/>
              </w:rPr>
              <w:t>á</w:t>
            </w:r>
            <w:r w:rsidRPr="00BC3364">
              <w:rPr>
                <w:rFonts w:ascii="Cambria" w:hAnsi="Cambria"/>
                <w:bCs/>
                <w:sz w:val="20"/>
                <w:szCs w:val="20"/>
              </w:rPr>
              <w:t>ñez Cortes</w:t>
            </w:r>
            <w:r w:rsidR="00021FDF" w:rsidRPr="00BC3364">
              <w:rPr>
                <w:rFonts w:ascii="Cambria" w:hAnsi="Cambria"/>
                <w:bCs/>
                <w:sz w:val="20"/>
                <w:szCs w:val="20"/>
              </w:rPr>
              <w:t xml:space="preserve">, Victor Castro Gonzales, Jorge Rolando Bernal Quiroz, Walter Armando Romero Carrasco, Miguel </w:t>
            </w:r>
            <w:r w:rsidR="00794381" w:rsidRPr="00BC3364">
              <w:rPr>
                <w:rFonts w:ascii="Cambria" w:hAnsi="Cambria"/>
                <w:bCs/>
                <w:sz w:val="20"/>
                <w:szCs w:val="20"/>
              </w:rPr>
              <w:t>Ángel</w:t>
            </w:r>
            <w:r w:rsidR="00021FDF" w:rsidRPr="00BC3364">
              <w:rPr>
                <w:rFonts w:ascii="Cambria" w:hAnsi="Cambria"/>
                <w:bCs/>
                <w:sz w:val="20"/>
                <w:szCs w:val="20"/>
              </w:rPr>
              <w:t xml:space="preserve"> Pacheco Sandoval y Fortunato Lopez Licoña.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1B563C3" w:rsidR="003239B8" w:rsidRPr="000D05CB" w:rsidRDefault="005E0F38" w:rsidP="008D2290">
            <w:pPr>
              <w:jc w:val="both"/>
              <w:rPr>
                <w:rFonts w:ascii="Cambria" w:hAnsi="Cambria"/>
                <w:bCs/>
                <w:sz w:val="20"/>
                <w:szCs w:val="20"/>
              </w:rPr>
            </w:pPr>
            <w:r>
              <w:rPr>
                <w:rFonts w:ascii="Cambria" w:hAnsi="Cambria"/>
                <w:bCs/>
                <w:sz w:val="20"/>
                <w:szCs w:val="20"/>
              </w:rPr>
              <w:t>Bolivia</w:t>
            </w:r>
          </w:p>
        </w:tc>
      </w:tr>
      <w:tr w:rsidR="00223A29" w:rsidRPr="00C40FCF"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71A0A47" w:rsidR="006E5DC9" w:rsidRPr="000212FF" w:rsidRDefault="000212FF" w:rsidP="006E5DC9">
            <w:pPr>
              <w:jc w:val="both"/>
              <w:rPr>
                <w:rFonts w:ascii="Cambria" w:hAnsi="Cambria"/>
                <w:bCs/>
                <w:sz w:val="20"/>
                <w:szCs w:val="20"/>
                <w:lang w:val="es-PE"/>
              </w:rPr>
            </w:pPr>
            <w:r>
              <w:rPr>
                <w:rFonts w:ascii="Cambria" w:hAnsi="Cambria"/>
                <w:bCs/>
                <w:sz w:val="20"/>
                <w:szCs w:val="20"/>
                <w:lang w:val="es-PE"/>
              </w:rPr>
              <w:t>A</w:t>
            </w:r>
            <w:r w:rsidRPr="000212FF">
              <w:rPr>
                <w:rFonts w:ascii="Cambria" w:hAnsi="Cambria"/>
                <w:bCs/>
                <w:sz w:val="20"/>
                <w:szCs w:val="20"/>
                <w:lang w:val="es-PE"/>
              </w:rPr>
              <w:t>rt</w:t>
            </w:r>
            <w:r>
              <w:rPr>
                <w:rFonts w:ascii="Cambria" w:hAnsi="Cambria"/>
                <w:bCs/>
                <w:sz w:val="20"/>
                <w:szCs w:val="20"/>
                <w:lang w:val="es-PE"/>
              </w:rPr>
              <w:t>í</w:t>
            </w:r>
            <w:r w:rsidRPr="000212FF">
              <w:rPr>
                <w:rFonts w:ascii="Cambria" w:hAnsi="Cambria"/>
                <w:bCs/>
                <w:sz w:val="20"/>
                <w:szCs w:val="20"/>
                <w:lang w:val="es-PE"/>
              </w:rPr>
              <w:t>culos 8 (</w:t>
            </w:r>
            <w:r w:rsidR="00BC3364">
              <w:rPr>
                <w:rFonts w:ascii="Cambria" w:hAnsi="Cambria"/>
                <w:bCs/>
                <w:sz w:val="20"/>
                <w:szCs w:val="20"/>
                <w:lang w:val="es-PE"/>
              </w:rPr>
              <w:t>g</w:t>
            </w:r>
            <w:r w:rsidRPr="000212FF">
              <w:rPr>
                <w:rFonts w:ascii="Cambria" w:hAnsi="Cambria"/>
                <w:bCs/>
                <w:sz w:val="20"/>
                <w:szCs w:val="20"/>
                <w:lang w:val="es-PE"/>
              </w:rPr>
              <w:t>arant</w:t>
            </w:r>
            <w:r>
              <w:rPr>
                <w:rFonts w:ascii="Cambria" w:hAnsi="Cambria"/>
                <w:bCs/>
                <w:sz w:val="20"/>
                <w:szCs w:val="20"/>
                <w:lang w:val="es-PE"/>
              </w:rPr>
              <w:t>ía</w:t>
            </w:r>
            <w:r w:rsidRPr="000212FF">
              <w:rPr>
                <w:rFonts w:ascii="Cambria" w:hAnsi="Cambria"/>
                <w:bCs/>
                <w:sz w:val="20"/>
                <w:szCs w:val="20"/>
                <w:lang w:val="es-PE"/>
              </w:rPr>
              <w:t xml:space="preserve">s </w:t>
            </w:r>
            <w:r w:rsidR="00BC3364">
              <w:rPr>
                <w:rFonts w:ascii="Cambria" w:hAnsi="Cambria"/>
                <w:bCs/>
                <w:sz w:val="20"/>
                <w:szCs w:val="20"/>
                <w:lang w:val="es-PE"/>
              </w:rPr>
              <w:t>j</w:t>
            </w:r>
            <w:r w:rsidRPr="000212FF">
              <w:rPr>
                <w:rFonts w:ascii="Cambria" w:hAnsi="Cambria"/>
                <w:bCs/>
                <w:sz w:val="20"/>
                <w:szCs w:val="20"/>
                <w:lang w:val="es-PE"/>
              </w:rPr>
              <w:t>u</w:t>
            </w:r>
            <w:r>
              <w:rPr>
                <w:rFonts w:ascii="Cambria" w:hAnsi="Cambria"/>
                <w:bCs/>
                <w:sz w:val="20"/>
                <w:szCs w:val="20"/>
                <w:lang w:val="es-PE"/>
              </w:rPr>
              <w:t>d</w:t>
            </w:r>
            <w:r w:rsidRPr="000212FF">
              <w:rPr>
                <w:rFonts w:ascii="Cambria" w:hAnsi="Cambria"/>
                <w:bCs/>
                <w:sz w:val="20"/>
                <w:szCs w:val="20"/>
                <w:lang w:val="es-PE"/>
              </w:rPr>
              <w:t>iciales), 11 (Protección de la Honra y de</w:t>
            </w:r>
            <w:r>
              <w:rPr>
                <w:rFonts w:ascii="Cambria" w:hAnsi="Cambria"/>
                <w:bCs/>
                <w:sz w:val="20"/>
                <w:szCs w:val="20"/>
                <w:lang w:val="es-PE"/>
              </w:rPr>
              <w:t xml:space="preserve"> </w:t>
            </w:r>
            <w:r w:rsidRPr="000212FF">
              <w:rPr>
                <w:rFonts w:ascii="Cambria" w:hAnsi="Cambria"/>
                <w:bCs/>
                <w:sz w:val="20"/>
                <w:szCs w:val="20"/>
                <w:lang w:val="es-PE"/>
              </w:rPr>
              <w:t xml:space="preserve">la Dignidad), 21 (Derecho a la Propiedad </w:t>
            </w:r>
            <w:r>
              <w:rPr>
                <w:rFonts w:ascii="Cambria" w:hAnsi="Cambria"/>
                <w:bCs/>
                <w:sz w:val="20"/>
                <w:szCs w:val="20"/>
                <w:lang w:val="es-PE"/>
              </w:rPr>
              <w:t>Privada</w:t>
            </w:r>
            <w:r w:rsidRPr="000212FF">
              <w:rPr>
                <w:rFonts w:ascii="Cambria" w:hAnsi="Cambria"/>
                <w:bCs/>
                <w:sz w:val="20"/>
                <w:szCs w:val="20"/>
                <w:lang w:val="es-PE"/>
              </w:rPr>
              <w:t>), 25 (Protección judicial) y 26 (</w:t>
            </w:r>
            <w:r w:rsidR="007A3159">
              <w:rPr>
                <w:rFonts w:ascii="Cambria" w:hAnsi="Cambria"/>
                <w:bCs/>
                <w:sz w:val="20"/>
                <w:szCs w:val="20"/>
                <w:lang w:val="es-PE"/>
              </w:rPr>
              <w:t>Derechos Económicos, Sociales y Culturales</w:t>
            </w:r>
            <w:r w:rsidRPr="000212FF">
              <w:rPr>
                <w:rFonts w:ascii="Cambria" w:hAnsi="Cambria"/>
                <w:bCs/>
                <w:sz w:val="20"/>
                <w:szCs w:val="20"/>
                <w:lang w:val="es-PE"/>
              </w:rPr>
              <w:t>) de la Convenció</w:t>
            </w:r>
            <w:r>
              <w:rPr>
                <w:rFonts w:ascii="Cambria" w:hAnsi="Cambria"/>
                <w:bCs/>
                <w:sz w:val="20"/>
                <w:szCs w:val="20"/>
                <w:lang w:val="es-PE"/>
              </w:rPr>
              <w:t>n</w:t>
            </w:r>
            <w:r w:rsidRPr="000212FF">
              <w:rPr>
                <w:rFonts w:ascii="Cambria" w:hAnsi="Cambria"/>
                <w:bCs/>
                <w:sz w:val="20"/>
                <w:szCs w:val="20"/>
                <w:lang w:val="es-PE"/>
              </w:rPr>
              <w:t xml:space="preserve"> Americana</w:t>
            </w:r>
            <w:r w:rsidR="00972E10">
              <w:rPr>
                <w:rFonts w:ascii="Cambria" w:hAnsi="Cambria"/>
                <w:bCs/>
                <w:sz w:val="20"/>
                <w:szCs w:val="20"/>
                <w:lang w:val="es-PE"/>
              </w:rPr>
              <w:t xml:space="preserve"> sobre Derechos Humanos</w:t>
            </w:r>
            <w:r w:rsidR="00290F38">
              <w:rPr>
                <w:rStyle w:val="FootnoteReference"/>
                <w:rFonts w:ascii="Cambria" w:hAnsi="Cambria"/>
                <w:bCs/>
                <w:sz w:val="20"/>
                <w:szCs w:val="20"/>
                <w:lang w:val="es-PE"/>
              </w:rPr>
              <w:footnoteReference w:id="2"/>
            </w:r>
            <w:r w:rsidR="00BA0376">
              <w:rPr>
                <w:rFonts w:ascii="Cambria" w:hAnsi="Cambria"/>
                <w:bCs/>
                <w:sz w:val="20"/>
                <w:szCs w:val="20"/>
                <w:lang w:val="es-PE"/>
              </w:rPr>
              <w:t xml:space="preserve"> y otros instrumentos internacionales</w:t>
            </w:r>
            <w:r w:rsidR="00BA0376">
              <w:rPr>
                <w:rStyle w:val="FootnoteReference"/>
                <w:rFonts w:ascii="Cambria" w:hAnsi="Cambria"/>
                <w:bCs/>
                <w:sz w:val="20"/>
                <w:szCs w:val="20"/>
                <w:lang w:val="es-PE"/>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B60E372" w:rsidR="004C2312" w:rsidRPr="003239B8" w:rsidRDefault="00BC3364" w:rsidP="002625EA">
            <w:pPr>
              <w:jc w:val="both"/>
              <w:rPr>
                <w:rFonts w:ascii="Cambria" w:hAnsi="Cambria"/>
                <w:bCs/>
                <w:sz w:val="20"/>
                <w:szCs w:val="20"/>
                <w:lang w:val="es-ES"/>
              </w:rPr>
            </w:pPr>
            <w:r>
              <w:rPr>
                <w:rFonts w:ascii="Cambria" w:hAnsi="Cambria"/>
                <w:bCs/>
                <w:sz w:val="20"/>
                <w:szCs w:val="20"/>
                <w:lang w:val="es-ES"/>
              </w:rPr>
              <w:t>26 de septiembre de 2019</w:t>
            </w:r>
          </w:p>
        </w:tc>
      </w:tr>
      <w:tr w:rsidR="00131425" w:rsidRPr="00C40FCF"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6212934" w:rsidR="00131425" w:rsidRPr="003239B8" w:rsidRDefault="00BC3364" w:rsidP="002625EA">
            <w:pPr>
              <w:jc w:val="both"/>
              <w:rPr>
                <w:rFonts w:ascii="Cambria" w:hAnsi="Cambria"/>
                <w:bCs/>
                <w:sz w:val="20"/>
                <w:szCs w:val="20"/>
                <w:lang w:val="es-ES"/>
              </w:rPr>
            </w:pPr>
            <w:r>
              <w:rPr>
                <w:rFonts w:ascii="Cambria" w:hAnsi="Cambria"/>
                <w:bCs/>
                <w:sz w:val="20"/>
                <w:szCs w:val="20"/>
                <w:lang w:val="es-ES"/>
              </w:rPr>
              <w:t>9 de octubre de 2019, 15 de octubre de 2019, 29 de octubre de 2019 y 27 de enero de 2021</w:t>
            </w:r>
          </w:p>
        </w:tc>
      </w:tr>
      <w:tr w:rsidR="004C2312" w:rsidRPr="00BC336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CD7DD6A" w:rsidR="004C2312" w:rsidRPr="003239B8" w:rsidRDefault="00BC3364" w:rsidP="008D2290">
            <w:pPr>
              <w:jc w:val="both"/>
              <w:rPr>
                <w:rFonts w:ascii="Cambria" w:hAnsi="Cambria"/>
                <w:bCs/>
                <w:sz w:val="20"/>
                <w:szCs w:val="20"/>
                <w:lang w:val="es-ES"/>
              </w:rPr>
            </w:pPr>
            <w:r>
              <w:rPr>
                <w:rFonts w:ascii="Cambria" w:hAnsi="Cambria"/>
                <w:bCs/>
                <w:sz w:val="20"/>
                <w:szCs w:val="20"/>
                <w:lang w:val="es-ES"/>
              </w:rPr>
              <w:t>10 de diciembre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A4F4357" w:rsidR="004C2312" w:rsidRPr="003239B8" w:rsidRDefault="00BC3364" w:rsidP="008D2290">
            <w:pPr>
              <w:jc w:val="both"/>
              <w:rPr>
                <w:rFonts w:ascii="Cambria" w:hAnsi="Cambria"/>
                <w:bCs/>
                <w:sz w:val="20"/>
                <w:szCs w:val="20"/>
                <w:lang w:val="es-ES"/>
              </w:rPr>
            </w:pPr>
            <w:r>
              <w:rPr>
                <w:rFonts w:ascii="Cambria" w:hAnsi="Cambria"/>
                <w:bCs/>
                <w:sz w:val="20"/>
                <w:szCs w:val="20"/>
                <w:lang w:val="es-ES"/>
              </w:rPr>
              <w:t>8 de abril de 2022</w:t>
            </w:r>
          </w:p>
        </w:tc>
      </w:tr>
      <w:tr w:rsidR="004C2312" w:rsidRPr="00C40FCF"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6C4F09B3" w:rsidR="004C2312" w:rsidRPr="003239B8" w:rsidRDefault="00BC3364" w:rsidP="008D2290">
            <w:pPr>
              <w:jc w:val="both"/>
              <w:rPr>
                <w:rFonts w:ascii="Cambria" w:hAnsi="Cambria"/>
                <w:bCs/>
                <w:sz w:val="20"/>
                <w:szCs w:val="20"/>
                <w:lang w:val="es-ES"/>
              </w:rPr>
            </w:pPr>
            <w:r>
              <w:rPr>
                <w:rFonts w:ascii="Cambria" w:hAnsi="Cambria"/>
                <w:bCs/>
                <w:sz w:val="20"/>
                <w:szCs w:val="20"/>
                <w:lang w:val="es-ES"/>
              </w:rPr>
              <w:t>15 de junio de 2022, 18 de julio de 2023, 11 de septiembre de 2023 y 26 de abril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BA0376" w14:paraId="072532AD" w14:textId="77777777" w:rsidTr="00B11D67">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70A28291" w:rsidR="003239B8" w:rsidRPr="00BC3364" w:rsidRDefault="00BC3364" w:rsidP="008D2290">
            <w:pPr>
              <w:rPr>
                <w:rFonts w:ascii="Cambria" w:hAnsi="Cambria"/>
                <w:bCs/>
                <w:sz w:val="20"/>
                <w:szCs w:val="20"/>
                <w:lang w:val="es-PE"/>
              </w:rPr>
            </w:pPr>
            <w:r w:rsidRPr="00212944">
              <w:rPr>
                <w:rFonts w:ascii="Cambria" w:hAnsi="Cambria"/>
                <w:bCs/>
                <w:sz w:val="20"/>
                <w:szCs w:val="20"/>
                <w:lang w:val="es-PE"/>
              </w:rPr>
              <w:t>Sí</w:t>
            </w:r>
          </w:p>
        </w:tc>
      </w:tr>
      <w:tr w:rsidR="003239B8" w:rsidRPr="00BA0376" w14:paraId="4B8802DA" w14:textId="77777777" w:rsidTr="00B11D67">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2577F242" w:rsidR="003239B8" w:rsidRPr="00BC3364" w:rsidRDefault="00BC3364" w:rsidP="008D2290">
            <w:pPr>
              <w:rPr>
                <w:rFonts w:ascii="Cambria" w:hAnsi="Cambria"/>
                <w:bCs/>
                <w:sz w:val="20"/>
                <w:szCs w:val="20"/>
                <w:lang w:val="es-PE"/>
              </w:rPr>
            </w:pPr>
            <w:r w:rsidRPr="00212944">
              <w:rPr>
                <w:rFonts w:ascii="Cambria" w:hAnsi="Cambria"/>
                <w:bCs/>
                <w:sz w:val="20"/>
                <w:szCs w:val="20"/>
                <w:lang w:val="es-PE"/>
              </w:rPr>
              <w:t>Sí</w:t>
            </w:r>
          </w:p>
        </w:tc>
      </w:tr>
      <w:tr w:rsidR="003239B8" w:rsidRPr="00BA0376" w14:paraId="4362FDF3" w14:textId="77777777" w:rsidTr="00B11D67">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059591F1" w:rsidR="003239B8" w:rsidRPr="00BC3364" w:rsidRDefault="00BC3364" w:rsidP="008D2290">
            <w:pPr>
              <w:rPr>
                <w:rFonts w:ascii="Cambria" w:hAnsi="Cambria"/>
                <w:bCs/>
                <w:sz w:val="20"/>
                <w:szCs w:val="20"/>
                <w:lang w:val="es-PE"/>
              </w:rPr>
            </w:pPr>
            <w:r w:rsidRPr="00212944">
              <w:rPr>
                <w:rFonts w:ascii="Cambria" w:hAnsi="Cambria"/>
                <w:bCs/>
                <w:sz w:val="20"/>
                <w:szCs w:val="20"/>
                <w:lang w:val="es-PE"/>
              </w:rPr>
              <w:t>Sí</w:t>
            </w:r>
          </w:p>
        </w:tc>
      </w:tr>
      <w:tr w:rsidR="003239B8" w:rsidRPr="00C40FCF" w14:paraId="30ABEC3E" w14:textId="77777777" w:rsidTr="00B11D67">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2C030A15" w:rsidR="003239B8" w:rsidRPr="00B3745F" w:rsidRDefault="00BC3364" w:rsidP="008D2290">
            <w:pPr>
              <w:jc w:val="both"/>
              <w:rPr>
                <w:rFonts w:ascii="Cambria" w:hAnsi="Cambria"/>
                <w:bCs/>
                <w:sz w:val="20"/>
                <w:szCs w:val="20"/>
                <w:lang w:val="es-ES"/>
              </w:rPr>
            </w:pPr>
            <w:r w:rsidRPr="00212944">
              <w:rPr>
                <w:rFonts w:ascii="Cambria" w:hAnsi="Cambria"/>
                <w:bCs/>
                <w:sz w:val="20"/>
                <w:szCs w:val="20"/>
                <w:lang w:val="es-ES"/>
              </w:rPr>
              <w:t>Sí, Convención Americana (depósito del instrumento de ratificación realizado el 19 de julio de 1979</w:t>
            </w:r>
            <w:r w:rsidR="0039658D">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0"/>
        <w:gridCol w:w="5672"/>
      </w:tblGrid>
      <w:tr w:rsidR="00BC3364" w:rsidRPr="00C40FCF" w14:paraId="1231C988" w14:textId="77777777" w:rsidTr="00BC3364">
        <w:trPr>
          <w:cantSplit/>
        </w:trPr>
        <w:tc>
          <w:tcPr>
            <w:tcW w:w="3570" w:type="dxa"/>
            <w:tcBorders>
              <w:top w:val="single" w:sz="4" w:space="0" w:color="auto"/>
              <w:bottom w:val="single" w:sz="6" w:space="0" w:color="auto"/>
            </w:tcBorders>
            <w:shd w:val="clear" w:color="auto" w:fill="386294"/>
            <w:vAlign w:val="center"/>
          </w:tcPr>
          <w:p w14:paraId="6F8031F4" w14:textId="77777777" w:rsidR="00BC3364" w:rsidRPr="00DC24E3" w:rsidRDefault="00BC3364" w:rsidP="00BC3364">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2" w:type="dxa"/>
            <w:vAlign w:val="center"/>
          </w:tcPr>
          <w:p w14:paraId="240941E6" w14:textId="63EC1E26" w:rsidR="00BC3364" w:rsidRPr="00DC24E3" w:rsidRDefault="00BC3364" w:rsidP="00BC3364">
            <w:pPr>
              <w:jc w:val="both"/>
              <w:rPr>
                <w:rFonts w:ascii="Cambria" w:hAnsi="Cambria"/>
                <w:bCs/>
                <w:sz w:val="20"/>
                <w:szCs w:val="20"/>
                <w:lang w:val="es-ES"/>
              </w:rPr>
            </w:pPr>
            <w:r w:rsidRPr="009B11FC">
              <w:rPr>
                <w:rFonts w:ascii="Cambria" w:hAnsi="Cambria"/>
                <w:bCs/>
                <w:sz w:val="20"/>
                <w:szCs w:val="20"/>
                <w:lang w:val="es-PE"/>
              </w:rPr>
              <w:t>No, en ninguna de las peticiones</w:t>
            </w:r>
          </w:p>
        </w:tc>
      </w:tr>
      <w:tr w:rsidR="00BC3364" w:rsidRPr="00C40FCF" w14:paraId="15FAA7D1" w14:textId="77777777" w:rsidTr="00BC3364">
        <w:trPr>
          <w:cantSplit/>
        </w:trPr>
        <w:tc>
          <w:tcPr>
            <w:tcW w:w="3570" w:type="dxa"/>
            <w:tcBorders>
              <w:top w:val="single" w:sz="4" w:space="0" w:color="auto"/>
              <w:bottom w:val="single" w:sz="6" w:space="0" w:color="auto"/>
            </w:tcBorders>
            <w:shd w:val="clear" w:color="auto" w:fill="386294"/>
            <w:vAlign w:val="center"/>
          </w:tcPr>
          <w:p w14:paraId="1B0D29FF" w14:textId="77777777" w:rsidR="00BC3364" w:rsidRPr="00DC24E3" w:rsidRDefault="00BC3364" w:rsidP="00BC3364">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2" w:type="dxa"/>
            <w:vAlign w:val="center"/>
          </w:tcPr>
          <w:p w14:paraId="6310C8F7" w14:textId="6375B6E7" w:rsidR="00BC3364" w:rsidRPr="007A3159" w:rsidRDefault="007A3159" w:rsidP="00BC3364">
            <w:pPr>
              <w:jc w:val="both"/>
              <w:rPr>
                <w:rFonts w:ascii="Cambria" w:hAnsi="Cambria"/>
                <w:bCs/>
                <w:sz w:val="20"/>
                <w:szCs w:val="20"/>
                <w:lang w:val="es-PE"/>
              </w:rPr>
            </w:pPr>
            <w:r>
              <w:rPr>
                <w:rFonts w:ascii="Cambria" w:hAnsi="Cambria"/>
                <w:bCs/>
                <w:sz w:val="20"/>
                <w:szCs w:val="20"/>
                <w:lang w:val="es-PE"/>
              </w:rPr>
              <w:t>A</w:t>
            </w:r>
            <w:r w:rsidRPr="000212FF">
              <w:rPr>
                <w:rFonts w:ascii="Cambria" w:hAnsi="Cambria"/>
                <w:bCs/>
                <w:sz w:val="20"/>
                <w:szCs w:val="20"/>
                <w:lang w:val="es-PE"/>
              </w:rPr>
              <w:t>rt</w:t>
            </w:r>
            <w:r>
              <w:rPr>
                <w:rFonts w:ascii="Cambria" w:hAnsi="Cambria"/>
                <w:bCs/>
                <w:sz w:val="20"/>
                <w:szCs w:val="20"/>
                <w:lang w:val="es-PE"/>
              </w:rPr>
              <w:t>í</w:t>
            </w:r>
            <w:r w:rsidRPr="000212FF">
              <w:rPr>
                <w:rFonts w:ascii="Cambria" w:hAnsi="Cambria"/>
                <w:bCs/>
                <w:sz w:val="20"/>
                <w:szCs w:val="20"/>
                <w:lang w:val="es-PE"/>
              </w:rPr>
              <w:t>culos 8 (</w:t>
            </w:r>
            <w:r>
              <w:rPr>
                <w:rFonts w:ascii="Cambria" w:hAnsi="Cambria"/>
                <w:bCs/>
                <w:sz w:val="20"/>
                <w:szCs w:val="20"/>
                <w:lang w:val="es-PE"/>
              </w:rPr>
              <w:t>g</w:t>
            </w:r>
            <w:r w:rsidRPr="000212FF">
              <w:rPr>
                <w:rFonts w:ascii="Cambria" w:hAnsi="Cambria"/>
                <w:bCs/>
                <w:sz w:val="20"/>
                <w:szCs w:val="20"/>
                <w:lang w:val="es-PE"/>
              </w:rPr>
              <w:t>arant</w:t>
            </w:r>
            <w:r>
              <w:rPr>
                <w:rFonts w:ascii="Cambria" w:hAnsi="Cambria"/>
                <w:bCs/>
                <w:sz w:val="20"/>
                <w:szCs w:val="20"/>
                <w:lang w:val="es-PE"/>
              </w:rPr>
              <w:t>ía</w:t>
            </w:r>
            <w:r w:rsidRPr="000212FF">
              <w:rPr>
                <w:rFonts w:ascii="Cambria" w:hAnsi="Cambria"/>
                <w:bCs/>
                <w:sz w:val="20"/>
                <w:szCs w:val="20"/>
                <w:lang w:val="es-PE"/>
              </w:rPr>
              <w:t xml:space="preserve">s </w:t>
            </w:r>
            <w:r>
              <w:rPr>
                <w:rFonts w:ascii="Cambria" w:hAnsi="Cambria"/>
                <w:bCs/>
                <w:sz w:val="20"/>
                <w:szCs w:val="20"/>
                <w:lang w:val="es-PE"/>
              </w:rPr>
              <w:t>j</w:t>
            </w:r>
            <w:r w:rsidRPr="000212FF">
              <w:rPr>
                <w:rFonts w:ascii="Cambria" w:hAnsi="Cambria"/>
                <w:bCs/>
                <w:sz w:val="20"/>
                <w:szCs w:val="20"/>
                <w:lang w:val="es-PE"/>
              </w:rPr>
              <w:t>u</w:t>
            </w:r>
            <w:r>
              <w:rPr>
                <w:rFonts w:ascii="Cambria" w:hAnsi="Cambria"/>
                <w:bCs/>
                <w:sz w:val="20"/>
                <w:szCs w:val="20"/>
                <w:lang w:val="es-PE"/>
              </w:rPr>
              <w:t>d</w:t>
            </w:r>
            <w:r w:rsidRPr="000212FF">
              <w:rPr>
                <w:rFonts w:ascii="Cambria" w:hAnsi="Cambria"/>
                <w:bCs/>
                <w:sz w:val="20"/>
                <w:szCs w:val="20"/>
                <w:lang w:val="es-PE"/>
              </w:rPr>
              <w:t xml:space="preserve">iciales), 21 (Derecho a la Propiedad </w:t>
            </w:r>
            <w:r>
              <w:rPr>
                <w:rFonts w:ascii="Cambria" w:hAnsi="Cambria"/>
                <w:bCs/>
                <w:sz w:val="20"/>
                <w:szCs w:val="20"/>
                <w:lang w:val="es-PE"/>
              </w:rPr>
              <w:t>Privada</w:t>
            </w:r>
            <w:r w:rsidRPr="000212FF">
              <w:rPr>
                <w:rFonts w:ascii="Cambria" w:hAnsi="Cambria"/>
                <w:bCs/>
                <w:sz w:val="20"/>
                <w:szCs w:val="20"/>
                <w:lang w:val="es-PE"/>
              </w:rPr>
              <w:t>), 25 (Protección judicial) y 26 (</w:t>
            </w:r>
            <w:r>
              <w:rPr>
                <w:rFonts w:ascii="Cambria" w:hAnsi="Cambria"/>
                <w:bCs/>
                <w:sz w:val="20"/>
                <w:szCs w:val="20"/>
                <w:lang w:val="es-PE"/>
              </w:rPr>
              <w:t>Derechos Económicos, Sociales y Culturales</w:t>
            </w:r>
            <w:r w:rsidRPr="000212FF">
              <w:rPr>
                <w:rFonts w:ascii="Cambria" w:hAnsi="Cambria"/>
                <w:bCs/>
                <w:sz w:val="20"/>
                <w:szCs w:val="20"/>
                <w:lang w:val="es-PE"/>
              </w:rPr>
              <w:t>) de la Convenció</w:t>
            </w:r>
            <w:r>
              <w:rPr>
                <w:rFonts w:ascii="Cambria" w:hAnsi="Cambria"/>
                <w:bCs/>
                <w:sz w:val="20"/>
                <w:szCs w:val="20"/>
                <w:lang w:val="es-PE"/>
              </w:rPr>
              <w:t>n</w:t>
            </w:r>
            <w:r w:rsidRPr="000212FF">
              <w:rPr>
                <w:rFonts w:ascii="Cambria" w:hAnsi="Cambria"/>
                <w:bCs/>
                <w:sz w:val="20"/>
                <w:szCs w:val="20"/>
                <w:lang w:val="es-PE"/>
              </w:rPr>
              <w:t xml:space="preserve"> Americana</w:t>
            </w:r>
            <w:r w:rsidR="00CF6475">
              <w:rPr>
                <w:rFonts w:ascii="Cambria" w:hAnsi="Cambria"/>
                <w:bCs/>
                <w:sz w:val="20"/>
                <w:szCs w:val="20"/>
                <w:lang w:val="es-PE"/>
              </w:rPr>
              <w:t>, en relación con su artículo 1.1 (obligación de respetar los derechos)</w:t>
            </w:r>
          </w:p>
        </w:tc>
      </w:tr>
      <w:tr w:rsidR="00BC3364" w:rsidRPr="00C40FCF" w14:paraId="4EFD141E" w14:textId="77777777" w:rsidTr="00BC3364">
        <w:trPr>
          <w:cantSplit/>
        </w:trPr>
        <w:tc>
          <w:tcPr>
            <w:tcW w:w="3570" w:type="dxa"/>
            <w:tcBorders>
              <w:top w:val="single" w:sz="6" w:space="0" w:color="auto"/>
              <w:bottom w:val="single" w:sz="6" w:space="0" w:color="auto"/>
            </w:tcBorders>
            <w:shd w:val="clear" w:color="auto" w:fill="386294"/>
            <w:vAlign w:val="center"/>
          </w:tcPr>
          <w:p w14:paraId="4C04A89C" w14:textId="77777777" w:rsidR="00BC3364" w:rsidRPr="00DC24E3" w:rsidRDefault="00BC3364" w:rsidP="00BC3364">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2" w:type="dxa"/>
            <w:vAlign w:val="center"/>
          </w:tcPr>
          <w:p w14:paraId="69C53E8A" w14:textId="2C13949E" w:rsidR="00BC3364" w:rsidRPr="00DC24E3" w:rsidRDefault="00BC3364" w:rsidP="00BC3364">
            <w:pPr>
              <w:rPr>
                <w:rFonts w:ascii="Cambria" w:hAnsi="Cambria"/>
                <w:bCs/>
                <w:sz w:val="20"/>
                <w:szCs w:val="20"/>
                <w:lang w:val="es-ES"/>
              </w:rPr>
            </w:pPr>
            <w:r w:rsidRPr="00BD2AE6">
              <w:rPr>
                <w:rFonts w:ascii="Cambria" w:hAnsi="Cambria"/>
                <w:bCs/>
                <w:sz w:val="20"/>
                <w:szCs w:val="20"/>
                <w:lang w:val="es-PE"/>
              </w:rPr>
              <w:t>Sí, en los términos de la sección VI</w:t>
            </w:r>
          </w:p>
        </w:tc>
      </w:tr>
      <w:tr w:rsidR="00BC3364" w:rsidRPr="00C40FCF" w14:paraId="52B5BA17" w14:textId="77777777" w:rsidTr="00BC3364">
        <w:trPr>
          <w:cantSplit/>
        </w:trPr>
        <w:tc>
          <w:tcPr>
            <w:tcW w:w="3570" w:type="dxa"/>
            <w:tcBorders>
              <w:top w:val="single" w:sz="6" w:space="0" w:color="auto"/>
              <w:bottom w:val="single" w:sz="6" w:space="0" w:color="auto"/>
            </w:tcBorders>
            <w:shd w:val="clear" w:color="auto" w:fill="386294"/>
            <w:vAlign w:val="center"/>
          </w:tcPr>
          <w:p w14:paraId="5DF99086" w14:textId="77777777" w:rsidR="00BC3364" w:rsidRPr="00DC24E3" w:rsidRDefault="00BC3364" w:rsidP="00BC3364">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672" w:type="dxa"/>
            <w:vAlign w:val="center"/>
          </w:tcPr>
          <w:p w14:paraId="4A2A4569" w14:textId="06394386" w:rsidR="00BC3364" w:rsidRPr="00BC3364" w:rsidRDefault="00BC3364" w:rsidP="00BC3364">
            <w:pPr>
              <w:rPr>
                <w:rFonts w:ascii="Cambria" w:hAnsi="Cambria"/>
                <w:bCs/>
                <w:sz w:val="20"/>
                <w:szCs w:val="20"/>
                <w:lang w:val="es-PE"/>
              </w:rPr>
            </w:pPr>
            <w:r w:rsidRPr="00BD2AE6">
              <w:rPr>
                <w:rFonts w:ascii="Cambria" w:hAnsi="Cambria"/>
                <w:bCs/>
                <w:sz w:val="20"/>
                <w:szCs w:val="20"/>
                <w:lang w:val="es-PE"/>
              </w:rPr>
              <w:t>Sí, en los términos de la sección VI</w:t>
            </w:r>
          </w:p>
        </w:tc>
      </w:tr>
    </w:tbl>
    <w:p w14:paraId="5A141F12" w14:textId="77777777" w:rsidR="00873E2B" w:rsidRDefault="00873E2B" w:rsidP="003239B8">
      <w:pPr>
        <w:spacing w:before="240" w:after="240"/>
        <w:ind w:firstLine="720"/>
        <w:jc w:val="both"/>
        <w:rPr>
          <w:rFonts w:asciiTheme="majorHAnsi" w:hAnsiTheme="majorHAnsi"/>
          <w:b/>
          <w:sz w:val="20"/>
          <w:szCs w:val="20"/>
          <w:lang w:val="es-UY"/>
        </w:rPr>
      </w:pPr>
    </w:p>
    <w:p w14:paraId="763DF6A1" w14:textId="77777777" w:rsidR="00873E2B" w:rsidRDefault="00873E2B" w:rsidP="003239B8">
      <w:pPr>
        <w:spacing w:before="240" w:after="240"/>
        <w:ind w:firstLine="720"/>
        <w:jc w:val="both"/>
        <w:rPr>
          <w:rFonts w:asciiTheme="majorHAnsi" w:hAnsiTheme="majorHAnsi"/>
          <w:b/>
          <w:sz w:val="20"/>
          <w:szCs w:val="20"/>
          <w:lang w:val="es-UY"/>
        </w:rPr>
      </w:pPr>
    </w:p>
    <w:p w14:paraId="18E6423B" w14:textId="50F8DCDD" w:rsidR="003239B8" w:rsidRPr="00152589"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152589">
        <w:rPr>
          <w:rFonts w:asciiTheme="majorHAnsi" w:hAnsiTheme="majorHAnsi"/>
          <w:b/>
          <w:sz w:val="20"/>
          <w:szCs w:val="20"/>
          <w:lang w:val="es-UY"/>
        </w:rPr>
        <w:t>POSICIÓN DE LAS PARTES</w:t>
      </w:r>
    </w:p>
    <w:p w14:paraId="507245D3" w14:textId="2330068C" w:rsidR="0077080F" w:rsidRPr="00152589" w:rsidRDefault="00CF6475" w:rsidP="00E64C8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PE"/>
        </w:rPr>
      </w:pPr>
      <w:r w:rsidRPr="00152589">
        <w:rPr>
          <w:rFonts w:asciiTheme="majorHAnsi" w:hAnsiTheme="majorHAnsi"/>
          <w:b/>
          <w:bCs/>
          <w:sz w:val="20"/>
          <w:szCs w:val="20"/>
          <w:lang w:val="es-PE"/>
        </w:rPr>
        <w:t>E</w:t>
      </w:r>
      <w:r w:rsidR="0077080F" w:rsidRPr="00152589">
        <w:rPr>
          <w:rFonts w:asciiTheme="majorHAnsi" w:hAnsiTheme="majorHAnsi"/>
          <w:b/>
          <w:bCs/>
          <w:sz w:val="20"/>
          <w:szCs w:val="20"/>
          <w:lang w:val="es-PE"/>
        </w:rPr>
        <w:t>l peticionario</w:t>
      </w:r>
    </w:p>
    <w:p w14:paraId="0A600C58" w14:textId="6646B53E" w:rsidR="0065195C" w:rsidRPr="00152589" w:rsidRDefault="00FD504F" w:rsidP="00972E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152589">
        <w:rPr>
          <w:rFonts w:asciiTheme="majorHAnsi" w:hAnsiTheme="majorHAnsi"/>
          <w:sz w:val="20"/>
          <w:szCs w:val="20"/>
          <w:lang w:val="es-AR"/>
        </w:rPr>
        <w:t xml:space="preserve">El peticionario denuncia que </w:t>
      </w:r>
      <w:r w:rsidR="006A0EF5" w:rsidRPr="00152589">
        <w:rPr>
          <w:rFonts w:asciiTheme="majorHAnsi" w:hAnsiTheme="majorHAnsi"/>
          <w:sz w:val="20"/>
          <w:szCs w:val="20"/>
          <w:lang w:val="es-AR"/>
        </w:rPr>
        <w:t xml:space="preserve">el Estado </w:t>
      </w:r>
      <w:r w:rsidR="003056AE" w:rsidRPr="00152589">
        <w:rPr>
          <w:rFonts w:asciiTheme="majorHAnsi" w:hAnsiTheme="majorHAnsi"/>
          <w:sz w:val="20"/>
          <w:szCs w:val="20"/>
          <w:lang w:val="es-AR"/>
        </w:rPr>
        <w:t xml:space="preserve">modificó </w:t>
      </w:r>
      <w:r w:rsidR="00870A46" w:rsidRPr="00152589">
        <w:rPr>
          <w:rFonts w:asciiTheme="majorHAnsi" w:hAnsiTheme="majorHAnsi"/>
          <w:sz w:val="20"/>
          <w:szCs w:val="20"/>
          <w:lang w:val="es-AR"/>
        </w:rPr>
        <w:t>el régimen de jubilación de las presuntas víctimas, provocando que</w:t>
      </w:r>
      <w:r w:rsidR="00B44FE6" w:rsidRPr="00152589">
        <w:rPr>
          <w:rFonts w:asciiTheme="majorHAnsi" w:hAnsiTheme="majorHAnsi"/>
          <w:sz w:val="20"/>
          <w:szCs w:val="20"/>
          <w:lang w:val="es-AR"/>
        </w:rPr>
        <w:t xml:space="preserve"> el monto que debían recibir como pensión disminuya</w:t>
      </w:r>
      <w:r w:rsidR="007B24E3" w:rsidRPr="00152589">
        <w:rPr>
          <w:rFonts w:asciiTheme="majorHAnsi" w:hAnsiTheme="majorHAnsi"/>
          <w:sz w:val="20"/>
          <w:szCs w:val="20"/>
          <w:lang w:val="es-AR"/>
        </w:rPr>
        <w:t>, por lo que c</w:t>
      </w:r>
      <w:r w:rsidR="00B44FE6" w:rsidRPr="00152589">
        <w:rPr>
          <w:rFonts w:asciiTheme="majorHAnsi" w:hAnsiTheme="majorHAnsi"/>
          <w:sz w:val="20"/>
          <w:szCs w:val="20"/>
          <w:lang w:val="es-AR"/>
        </w:rPr>
        <w:t>onsi</w:t>
      </w:r>
      <w:r w:rsidR="00104B02" w:rsidRPr="00152589">
        <w:rPr>
          <w:rFonts w:asciiTheme="majorHAnsi" w:hAnsiTheme="majorHAnsi"/>
          <w:sz w:val="20"/>
          <w:szCs w:val="20"/>
          <w:lang w:val="es-AR"/>
        </w:rPr>
        <w:t xml:space="preserve">dera que esto constituye una regresión a su derecho a la seguridad social. </w:t>
      </w:r>
    </w:p>
    <w:p w14:paraId="1DDEFCF0" w14:textId="4CD20FEF" w:rsidR="009350D9" w:rsidRPr="00152589" w:rsidRDefault="00CC0924" w:rsidP="009350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PE"/>
        </w:rPr>
      </w:pPr>
      <w:r w:rsidRPr="00152589">
        <w:rPr>
          <w:rFonts w:asciiTheme="majorHAnsi" w:hAnsiTheme="majorHAnsi"/>
          <w:i/>
          <w:iCs/>
          <w:sz w:val="20"/>
          <w:szCs w:val="20"/>
          <w:lang w:val="es-AR"/>
        </w:rPr>
        <w:t>Sobre</w:t>
      </w:r>
      <w:r w:rsidR="009350D9" w:rsidRPr="00152589">
        <w:rPr>
          <w:rFonts w:asciiTheme="majorHAnsi" w:hAnsiTheme="majorHAnsi"/>
          <w:i/>
          <w:iCs/>
          <w:sz w:val="20"/>
          <w:szCs w:val="20"/>
          <w:lang w:val="es-AR"/>
        </w:rPr>
        <w:t xml:space="preserve"> el </w:t>
      </w:r>
      <w:r w:rsidR="00B44FE6" w:rsidRPr="00152589">
        <w:rPr>
          <w:rFonts w:asciiTheme="majorHAnsi" w:hAnsiTheme="majorHAnsi"/>
          <w:i/>
          <w:iCs/>
          <w:sz w:val="20"/>
          <w:szCs w:val="20"/>
          <w:lang w:val="es-AR"/>
        </w:rPr>
        <w:t>s</w:t>
      </w:r>
      <w:r w:rsidR="009350D9" w:rsidRPr="00152589">
        <w:rPr>
          <w:rFonts w:asciiTheme="majorHAnsi" w:hAnsiTheme="majorHAnsi"/>
          <w:i/>
          <w:iCs/>
          <w:sz w:val="20"/>
          <w:szCs w:val="20"/>
          <w:lang w:val="es-AR"/>
        </w:rPr>
        <w:t xml:space="preserve">istema de </w:t>
      </w:r>
      <w:r w:rsidR="00B44FE6" w:rsidRPr="00152589">
        <w:rPr>
          <w:rFonts w:asciiTheme="majorHAnsi" w:hAnsiTheme="majorHAnsi"/>
          <w:i/>
          <w:iCs/>
          <w:sz w:val="20"/>
          <w:szCs w:val="20"/>
          <w:lang w:val="es-AR"/>
        </w:rPr>
        <w:t>p</w:t>
      </w:r>
      <w:r w:rsidR="009350D9" w:rsidRPr="00152589">
        <w:rPr>
          <w:rFonts w:asciiTheme="majorHAnsi" w:hAnsiTheme="majorHAnsi"/>
          <w:i/>
          <w:iCs/>
          <w:sz w:val="20"/>
          <w:szCs w:val="20"/>
          <w:lang w:val="es-AR"/>
        </w:rPr>
        <w:t>ensiones</w:t>
      </w:r>
      <w:r w:rsidR="00D11EA5" w:rsidRPr="00152589">
        <w:rPr>
          <w:rFonts w:asciiTheme="majorHAnsi" w:hAnsiTheme="majorHAnsi"/>
          <w:i/>
          <w:iCs/>
          <w:sz w:val="20"/>
          <w:szCs w:val="20"/>
          <w:lang w:val="es-AR"/>
        </w:rPr>
        <w:t xml:space="preserve"> y la situación de las presuntas víctimas</w:t>
      </w:r>
    </w:p>
    <w:p w14:paraId="307AB29B" w14:textId="5EA19A1B" w:rsidR="00513D30" w:rsidRPr="00152589" w:rsidRDefault="00513D30" w:rsidP="00513D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152589">
        <w:rPr>
          <w:rFonts w:asciiTheme="majorHAnsi" w:hAnsiTheme="majorHAnsi"/>
          <w:sz w:val="20"/>
          <w:szCs w:val="20"/>
          <w:lang w:val="es-AR"/>
        </w:rPr>
        <w:t>E</w:t>
      </w:r>
      <w:r w:rsidR="00155C07" w:rsidRPr="00152589">
        <w:rPr>
          <w:rFonts w:asciiTheme="majorHAnsi" w:hAnsiTheme="majorHAnsi"/>
          <w:sz w:val="20"/>
          <w:szCs w:val="20"/>
          <w:lang w:val="es-AR"/>
        </w:rPr>
        <w:t>l peticionario e</w:t>
      </w:r>
      <w:r w:rsidRPr="00152589">
        <w:rPr>
          <w:rFonts w:asciiTheme="majorHAnsi" w:hAnsiTheme="majorHAnsi"/>
          <w:sz w:val="20"/>
          <w:szCs w:val="20"/>
          <w:lang w:val="es-AR"/>
        </w:rPr>
        <w:t xml:space="preserve">xplica que la Ley de Pensiones N°1732 de noviembre de 1996 incrementó </w:t>
      </w:r>
      <w:r w:rsidR="0086003D" w:rsidRPr="00152589">
        <w:rPr>
          <w:rFonts w:asciiTheme="majorHAnsi" w:hAnsiTheme="majorHAnsi"/>
          <w:sz w:val="20"/>
          <w:szCs w:val="20"/>
          <w:lang w:val="es-AR"/>
        </w:rPr>
        <w:t xml:space="preserve">en diez años </w:t>
      </w:r>
      <w:r w:rsidRPr="00152589">
        <w:rPr>
          <w:rFonts w:asciiTheme="majorHAnsi" w:hAnsiTheme="majorHAnsi"/>
          <w:sz w:val="20"/>
          <w:szCs w:val="20"/>
          <w:lang w:val="es-AR"/>
        </w:rPr>
        <w:t>la edad para obtener una jubilación, provocando que los hombres recién pudiesen pensionarse a los 6</w:t>
      </w:r>
      <w:r w:rsidR="00AF313B" w:rsidRPr="00152589">
        <w:rPr>
          <w:rFonts w:asciiTheme="majorHAnsi" w:hAnsiTheme="majorHAnsi"/>
          <w:sz w:val="20"/>
          <w:szCs w:val="20"/>
          <w:lang w:val="es-AR"/>
        </w:rPr>
        <w:t>5</w:t>
      </w:r>
      <w:r w:rsidRPr="00152589">
        <w:rPr>
          <w:rFonts w:asciiTheme="majorHAnsi" w:hAnsiTheme="majorHAnsi"/>
          <w:sz w:val="20"/>
          <w:szCs w:val="20"/>
          <w:lang w:val="es-AR"/>
        </w:rPr>
        <w:t xml:space="preserve"> años, en lugar de a los 55 como estaba previsto en la normativa interna desde 1959. </w:t>
      </w:r>
      <w:r w:rsidR="008D3E27" w:rsidRPr="00152589">
        <w:rPr>
          <w:rFonts w:asciiTheme="majorHAnsi" w:hAnsiTheme="majorHAnsi"/>
          <w:sz w:val="20"/>
          <w:szCs w:val="20"/>
          <w:lang w:val="es-AR"/>
        </w:rPr>
        <w:t>Esta</w:t>
      </w:r>
      <w:r w:rsidRPr="00152589">
        <w:rPr>
          <w:rFonts w:asciiTheme="majorHAnsi" w:hAnsiTheme="majorHAnsi"/>
          <w:sz w:val="20"/>
          <w:szCs w:val="20"/>
          <w:lang w:val="es-AR"/>
        </w:rPr>
        <w:t xml:space="preserve"> situación no solo </w:t>
      </w:r>
      <w:r w:rsidR="008D3E27" w:rsidRPr="00152589">
        <w:rPr>
          <w:rFonts w:asciiTheme="majorHAnsi" w:hAnsiTheme="majorHAnsi"/>
          <w:sz w:val="20"/>
          <w:szCs w:val="20"/>
          <w:lang w:val="es-AR"/>
        </w:rPr>
        <w:t>habría</w:t>
      </w:r>
      <w:r w:rsidR="00155C07" w:rsidRPr="00152589">
        <w:rPr>
          <w:rFonts w:asciiTheme="majorHAnsi" w:hAnsiTheme="majorHAnsi"/>
          <w:sz w:val="20"/>
          <w:szCs w:val="20"/>
          <w:lang w:val="es-AR"/>
        </w:rPr>
        <w:t xml:space="preserve"> afectado</w:t>
      </w:r>
      <w:r w:rsidRPr="00152589">
        <w:rPr>
          <w:rFonts w:asciiTheme="majorHAnsi" w:hAnsiTheme="majorHAnsi"/>
          <w:sz w:val="20"/>
          <w:szCs w:val="20"/>
          <w:lang w:val="es-AR"/>
        </w:rPr>
        <w:t xml:space="preserve"> a las personas que estaban próximas a retirarse, sino también a </w:t>
      </w:r>
      <w:r w:rsidR="00C570F9" w:rsidRPr="00152589">
        <w:rPr>
          <w:rFonts w:asciiTheme="majorHAnsi" w:hAnsiTheme="majorHAnsi"/>
          <w:sz w:val="20"/>
          <w:szCs w:val="20"/>
          <w:lang w:val="es-AR"/>
        </w:rPr>
        <w:t>aquellas que</w:t>
      </w:r>
      <w:r w:rsidRPr="00152589">
        <w:rPr>
          <w:rFonts w:asciiTheme="majorHAnsi" w:hAnsiTheme="majorHAnsi"/>
          <w:sz w:val="20"/>
          <w:szCs w:val="20"/>
          <w:lang w:val="es-AR"/>
        </w:rPr>
        <w:t xml:space="preserve"> no contaban con un empleo y/o no tenían perspectivas de obtenerlo prontamente.</w:t>
      </w:r>
    </w:p>
    <w:p w14:paraId="279F8F4A" w14:textId="19A58C86" w:rsidR="0040285C" w:rsidRPr="00152589" w:rsidRDefault="00FB0D9F" w:rsidP="00FB0D9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152589">
        <w:rPr>
          <w:rFonts w:asciiTheme="majorHAnsi" w:hAnsiTheme="majorHAnsi"/>
          <w:sz w:val="20"/>
          <w:szCs w:val="20"/>
          <w:lang w:val="es-AR"/>
        </w:rPr>
        <w:t>Señala que con el fin de atender a esta última población, el 21 de julio de 1997</w:t>
      </w:r>
      <w:r w:rsidR="002E0D86" w:rsidRPr="00152589">
        <w:rPr>
          <w:rFonts w:asciiTheme="majorHAnsi" w:hAnsiTheme="majorHAnsi"/>
          <w:sz w:val="20"/>
          <w:szCs w:val="20"/>
          <w:lang w:val="es-AR"/>
        </w:rPr>
        <w:t xml:space="preserve">, mediante </w:t>
      </w:r>
      <w:r w:rsidR="0066478C" w:rsidRPr="00152589">
        <w:rPr>
          <w:rFonts w:asciiTheme="majorHAnsi" w:hAnsiTheme="majorHAnsi"/>
          <w:sz w:val="20"/>
          <w:szCs w:val="20"/>
          <w:lang w:val="es-AR"/>
        </w:rPr>
        <w:t xml:space="preserve">Resolución Secretarial, </w:t>
      </w:r>
      <w:r w:rsidRPr="00152589">
        <w:rPr>
          <w:rFonts w:asciiTheme="majorHAnsi" w:hAnsiTheme="majorHAnsi"/>
          <w:sz w:val="20"/>
          <w:szCs w:val="20"/>
          <w:lang w:val="es-AR"/>
        </w:rPr>
        <w:t xml:space="preserve">se promulgó el “Manual de Prestaciones de Rentas en Curso de Pago y Adquisición de la Unidad de Recaudaciones”, el cual estableció la posibilidad de que las personas aseguradas que no pudieran acreditar actividad laboral pensionable obtuvieran una </w:t>
      </w:r>
      <w:r w:rsidR="00AF313B" w:rsidRPr="00152589">
        <w:rPr>
          <w:rFonts w:asciiTheme="majorHAnsi" w:hAnsiTheme="majorHAnsi"/>
          <w:sz w:val="20"/>
          <w:szCs w:val="20"/>
          <w:lang w:val="es-AR"/>
        </w:rPr>
        <w:t>r</w:t>
      </w:r>
      <w:r w:rsidRPr="00152589">
        <w:rPr>
          <w:rFonts w:asciiTheme="majorHAnsi" w:hAnsiTheme="majorHAnsi"/>
          <w:sz w:val="20"/>
          <w:szCs w:val="20"/>
          <w:lang w:val="es-AR"/>
        </w:rPr>
        <w:t xml:space="preserve">enta de </w:t>
      </w:r>
      <w:r w:rsidR="00AF313B" w:rsidRPr="00152589">
        <w:rPr>
          <w:rFonts w:asciiTheme="majorHAnsi" w:hAnsiTheme="majorHAnsi"/>
          <w:sz w:val="20"/>
          <w:szCs w:val="20"/>
          <w:lang w:val="es-AR"/>
        </w:rPr>
        <w:t>j</w:t>
      </w:r>
      <w:r w:rsidRPr="00152589">
        <w:rPr>
          <w:rFonts w:asciiTheme="majorHAnsi" w:hAnsiTheme="majorHAnsi"/>
          <w:sz w:val="20"/>
          <w:szCs w:val="20"/>
          <w:lang w:val="es-AR"/>
        </w:rPr>
        <w:t xml:space="preserve">ubilación con </w:t>
      </w:r>
      <w:r w:rsidR="00AF313B" w:rsidRPr="00152589">
        <w:rPr>
          <w:rFonts w:asciiTheme="majorHAnsi" w:hAnsiTheme="majorHAnsi"/>
          <w:sz w:val="20"/>
          <w:szCs w:val="20"/>
          <w:lang w:val="es-AR"/>
        </w:rPr>
        <w:t>r</w:t>
      </w:r>
      <w:r w:rsidRPr="00152589">
        <w:rPr>
          <w:rFonts w:asciiTheme="majorHAnsi" w:hAnsiTheme="majorHAnsi"/>
          <w:sz w:val="20"/>
          <w:szCs w:val="20"/>
          <w:lang w:val="es-AR"/>
        </w:rPr>
        <w:t xml:space="preserve">educción de </w:t>
      </w:r>
      <w:r w:rsidR="00AF313B" w:rsidRPr="00152589">
        <w:rPr>
          <w:rFonts w:asciiTheme="majorHAnsi" w:hAnsiTheme="majorHAnsi"/>
          <w:sz w:val="20"/>
          <w:szCs w:val="20"/>
          <w:lang w:val="es-AR"/>
        </w:rPr>
        <w:t>e</w:t>
      </w:r>
      <w:r w:rsidRPr="00152589">
        <w:rPr>
          <w:rFonts w:asciiTheme="majorHAnsi" w:hAnsiTheme="majorHAnsi"/>
          <w:sz w:val="20"/>
          <w:szCs w:val="20"/>
          <w:lang w:val="es-AR"/>
        </w:rPr>
        <w:t>dad, cuyo monto variaba en función de la cantidad de años que les faltaran para alcanzar la edad de retiro. De esta manera, el beneficio se reducía en un 8% por cada año faltante para cumplir con dicho requisito</w:t>
      </w:r>
      <w:r w:rsidR="007B5128" w:rsidRPr="00152589">
        <w:rPr>
          <w:rFonts w:asciiTheme="majorHAnsi" w:hAnsiTheme="majorHAnsi"/>
          <w:sz w:val="20"/>
          <w:szCs w:val="20"/>
          <w:lang w:val="es-AR"/>
        </w:rPr>
        <w:t xml:space="preserve">. Además, la renta así calculada </w:t>
      </w:r>
      <w:r w:rsidR="00825601" w:rsidRPr="00152589">
        <w:rPr>
          <w:rFonts w:asciiTheme="majorHAnsi" w:hAnsiTheme="majorHAnsi"/>
          <w:sz w:val="20"/>
          <w:szCs w:val="20"/>
          <w:lang w:val="es-AR"/>
        </w:rPr>
        <w:t>sería</w:t>
      </w:r>
      <w:r w:rsidR="007B5128" w:rsidRPr="00152589">
        <w:rPr>
          <w:rFonts w:asciiTheme="majorHAnsi" w:hAnsiTheme="majorHAnsi"/>
          <w:sz w:val="20"/>
          <w:szCs w:val="20"/>
          <w:lang w:val="es-AR"/>
        </w:rPr>
        <w:t xml:space="preserve"> de carácter definitiva y no podr</w:t>
      </w:r>
      <w:r w:rsidR="00825601" w:rsidRPr="00152589">
        <w:rPr>
          <w:rFonts w:asciiTheme="majorHAnsi" w:hAnsiTheme="majorHAnsi"/>
          <w:sz w:val="20"/>
          <w:szCs w:val="20"/>
          <w:lang w:val="es-AR"/>
        </w:rPr>
        <w:t>ía</w:t>
      </w:r>
      <w:r w:rsidR="007B5128" w:rsidRPr="00152589">
        <w:rPr>
          <w:rFonts w:asciiTheme="majorHAnsi" w:hAnsiTheme="majorHAnsi"/>
          <w:sz w:val="20"/>
          <w:szCs w:val="20"/>
          <w:lang w:val="es-AR"/>
        </w:rPr>
        <w:t xml:space="preserve"> ser recalculada al cumplimiento de las edades mínimas de jubilación</w:t>
      </w:r>
      <w:r w:rsidR="0040285C" w:rsidRPr="00152589">
        <w:rPr>
          <w:rStyle w:val="FootnoteReference"/>
          <w:rFonts w:asciiTheme="majorHAnsi" w:hAnsiTheme="majorHAnsi"/>
          <w:sz w:val="20"/>
          <w:szCs w:val="20"/>
          <w:lang w:val="es-PE"/>
        </w:rPr>
        <w:footnoteReference w:id="5"/>
      </w:r>
      <w:r w:rsidR="0040285C" w:rsidRPr="00152589">
        <w:rPr>
          <w:rFonts w:asciiTheme="majorHAnsi" w:hAnsiTheme="majorHAnsi"/>
          <w:sz w:val="20"/>
          <w:szCs w:val="20"/>
          <w:lang w:val="es-AR"/>
        </w:rPr>
        <w:t>.</w:t>
      </w:r>
    </w:p>
    <w:p w14:paraId="47C52683" w14:textId="5CD860FE" w:rsidR="00F93027" w:rsidRPr="00152589" w:rsidRDefault="00484752" w:rsidP="001E5F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152589">
        <w:rPr>
          <w:rFonts w:asciiTheme="majorHAnsi" w:hAnsiTheme="majorHAnsi"/>
          <w:sz w:val="20"/>
          <w:szCs w:val="20"/>
          <w:lang w:val="es-AR"/>
        </w:rPr>
        <w:t>M</w:t>
      </w:r>
      <w:r w:rsidR="00F93027" w:rsidRPr="00152589">
        <w:rPr>
          <w:rFonts w:asciiTheme="majorHAnsi" w:hAnsiTheme="majorHAnsi"/>
          <w:sz w:val="20"/>
          <w:szCs w:val="20"/>
          <w:lang w:val="es-AR"/>
        </w:rPr>
        <w:t xml:space="preserve">eses después, el 4 de diciembre de 1997 el gobierno emitió la Resolución Ministerial Nº 1361, </w:t>
      </w:r>
      <w:r w:rsidR="009340DE" w:rsidRPr="00152589">
        <w:rPr>
          <w:rFonts w:asciiTheme="majorHAnsi" w:hAnsiTheme="majorHAnsi"/>
          <w:sz w:val="20"/>
          <w:szCs w:val="20"/>
          <w:lang w:val="es-AR"/>
        </w:rPr>
        <w:t>que contenía</w:t>
      </w:r>
      <w:r w:rsidR="001E5F82" w:rsidRPr="00152589">
        <w:rPr>
          <w:rFonts w:asciiTheme="majorHAnsi" w:hAnsiTheme="majorHAnsi"/>
          <w:sz w:val="20"/>
          <w:szCs w:val="20"/>
          <w:lang w:val="es-AR"/>
        </w:rPr>
        <w:t xml:space="preserve"> la siguiente disposición </w:t>
      </w:r>
      <w:r w:rsidR="009340DE" w:rsidRPr="00152589">
        <w:rPr>
          <w:rFonts w:asciiTheme="majorHAnsi" w:hAnsiTheme="majorHAnsi"/>
          <w:sz w:val="20"/>
          <w:szCs w:val="20"/>
          <w:lang w:val="es-AR"/>
        </w:rPr>
        <w:t xml:space="preserve">con </w:t>
      </w:r>
      <w:r w:rsidR="001E5F82" w:rsidRPr="00152589">
        <w:rPr>
          <w:rFonts w:asciiTheme="majorHAnsi" w:hAnsiTheme="majorHAnsi"/>
          <w:sz w:val="20"/>
          <w:szCs w:val="20"/>
          <w:lang w:val="es-AR"/>
        </w:rPr>
        <w:t xml:space="preserve">respecto a la </w:t>
      </w:r>
      <w:r w:rsidR="00AF313B" w:rsidRPr="00152589">
        <w:rPr>
          <w:rFonts w:asciiTheme="majorHAnsi" w:hAnsiTheme="majorHAnsi"/>
          <w:sz w:val="20"/>
          <w:szCs w:val="20"/>
          <w:lang w:val="es-AR"/>
        </w:rPr>
        <w:t>r</w:t>
      </w:r>
      <w:r w:rsidR="001E5F82" w:rsidRPr="00152589">
        <w:rPr>
          <w:rFonts w:asciiTheme="majorHAnsi" w:hAnsiTheme="majorHAnsi"/>
          <w:sz w:val="20"/>
          <w:szCs w:val="20"/>
          <w:lang w:val="es-AR"/>
        </w:rPr>
        <w:t xml:space="preserve">enta de </w:t>
      </w:r>
      <w:r w:rsidR="00AF313B" w:rsidRPr="00152589">
        <w:rPr>
          <w:rFonts w:asciiTheme="majorHAnsi" w:hAnsiTheme="majorHAnsi"/>
          <w:sz w:val="20"/>
          <w:szCs w:val="20"/>
          <w:lang w:val="es-AR"/>
        </w:rPr>
        <w:t>j</w:t>
      </w:r>
      <w:r w:rsidR="001E5F82" w:rsidRPr="00152589">
        <w:rPr>
          <w:rFonts w:asciiTheme="majorHAnsi" w:hAnsiTheme="majorHAnsi"/>
          <w:sz w:val="20"/>
          <w:szCs w:val="20"/>
          <w:lang w:val="es-AR"/>
        </w:rPr>
        <w:t xml:space="preserve">ubilación con </w:t>
      </w:r>
      <w:r w:rsidR="00AF313B" w:rsidRPr="00152589">
        <w:rPr>
          <w:rFonts w:asciiTheme="majorHAnsi" w:hAnsiTheme="majorHAnsi"/>
          <w:sz w:val="20"/>
          <w:szCs w:val="20"/>
          <w:lang w:val="es-AR"/>
        </w:rPr>
        <w:t>r</w:t>
      </w:r>
      <w:r w:rsidR="001E5F82" w:rsidRPr="00152589">
        <w:rPr>
          <w:rFonts w:asciiTheme="majorHAnsi" w:hAnsiTheme="majorHAnsi"/>
          <w:sz w:val="20"/>
          <w:szCs w:val="20"/>
          <w:lang w:val="es-AR"/>
        </w:rPr>
        <w:t xml:space="preserve">educción de </w:t>
      </w:r>
      <w:r w:rsidR="00AF313B" w:rsidRPr="00152589">
        <w:rPr>
          <w:rFonts w:asciiTheme="majorHAnsi" w:hAnsiTheme="majorHAnsi"/>
          <w:sz w:val="20"/>
          <w:szCs w:val="20"/>
          <w:lang w:val="es-AR"/>
        </w:rPr>
        <w:t>e</w:t>
      </w:r>
      <w:r w:rsidR="001E5F82" w:rsidRPr="00152589">
        <w:rPr>
          <w:rFonts w:asciiTheme="majorHAnsi" w:hAnsiTheme="majorHAnsi"/>
          <w:sz w:val="20"/>
          <w:szCs w:val="20"/>
          <w:lang w:val="es-AR"/>
        </w:rPr>
        <w:t>dad: “</w:t>
      </w:r>
      <w:r w:rsidR="001E5F82" w:rsidRPr="00152589">
        <w:rPr>
          <w:rFonts w:asciiTheme="majorHAnsi" w:hAnsiTheme="majorHAnsi"/>
          <w:i/>
          <w:iCs/>
          <w:sz w:val="20"/>
          <w:szCs w:val="20"/>
          <w:lang w:val="es-AR"/>
        </w:rPr>
        <w:t>Los asegurados que hubieran cumplido con un mínimo de ciento ochenta (180) cotizaciones y cuenten con al menos 45 años las mujeres y 50 los varones al 1 de mayo de 1997, podrán acogerse a la renta con reducción de un 8% por cada año de disminución de la edad, hasta llegar a las edades mínimas absolutas de 50 años para las mujeres y de 55 años para los varones</w:t>
      </w:r>
      <w:r w:rsidR="001E5F82" w:rsidRPr="00152589">
        <w:rPr>
          <w:rFonts w:asciiTheme="majorHAnsi" w:hAnsiTheme="majorHAnsi"/>
          <w:sz w:val="20"/>
          <w:szCs w:val="20"/>
          <w:lang w:val="es-AR"/>
        </w:rPr>
        <w:t xml:space="preserve">”. </w:t>
      </w:r>
      <w:r w:rsidR="0028771E" w:rsidRPr="00152589">
        <w:rPr>
          <w:rFonts w:asciiTheme="majorHAnsi" w:hAnsiTheme="majorHAnsi"/>
          <w:sz w:val="20"/>
          <w:szCs w:val="20"/>
          <w:lang w:val="es-AR"/>
        </w:rPr>
        <w:t xml:space="preserve">A criterio del peticionario, esta nueva </w:t>
      </w:r>
      <w:r w:rsidR="001E5F82" w:rsidRPr="00152589">
        <w:rPr>
          <w:rFonts w:asciiTheme="majorHAnsi" w:hAnsiTheme="majorHAnsi"/>
          <w:sz w:val="20"/>
          <w:szCs w:val="20"/>
          <w:lang w:val="es-AR"/>
        </w:rPr>
        <w:t>norma</w:t>
      </w:r>
      <w:r w:rsidR="007B5128" w:rsidRPr="00152589">
        <w:rPr>
          <w:rFonts w:asciiTheme="majorHAnsi" w:hAnsiTheme="majorHAnsi"/>
          <w:sz w:val="20"/>
          <w:szCs w:val="20"/>
          <w:lang w:val="es-AR"/>
        </w:rPr>
        <w:t xml:space="preserve"> derogó la regulación anterior y</w:t>
      </w:r>
      <w:r w:rsidR="0028771E" w:rsidRPr="00152589">
        <w:rPr>
          <w:rFonts w:asciiTheme="majorHAnsi" w:hAnsiTheme="majorHAnsi"/>
          <w:sz w:val="20"/>
          <w:szCs w:val="20"/>
          <w:lang w:val="es-AR"/>
        </w:rPr>
        <w:t xml:space="preserve"> esclarec</w:t>
      </w:r>
      <w:r w:rsidR="001E5F82" w:rsidRPr="00152589">
        <w:rPr>
          <w:rFonts w:asciiTheme="majorHAnsi" w:hAnsiTheme="majorHAnsi"/>
          <w:sz w:val="20"/>
          <w:szCs w:val="20"/>
          <w:lang w:val="es-AR"/>
        </w:rPr>
        <w:t>ió</w:t>
      </w:r>
      <w:r w:rsidR="0028771E" w:rsidRPr="00152589">
        <w:rPr>
          <w:rFonts w:asciiTheme="majorHAnsi" w:hAnsiTheme="majorHAnsi"/>
          <w:sz w:val="20"/>
          <w:szCs w:val="20"/>
          <w:lang w:val="es-AR"/>
        </w:rPr>
        <w:t xml:space="preserve"> que la reducción del 8% solo aplicaría hasta </w:t>
      </w:r>
      <w:r w:rsidR="00E61B48" w:rsidRPr="00152589">
        <w:rPr>
          <w:rFonts w:asciiTheme="majorHAnsi" w:hAnsiTheme="majorHAnsi"/>
          <w:sz w:val="20"/>
          <w:szCs w:val="20"/>
          <w:lang w:val="es-AR"/>
        </w:rPr>
        <w:t xml:space="preserve">que </w:t>
      </w:r>
      <w:r w:rsidR="009C5DA1" w:rsidRPr="00152589">
        <w:rPr>
          <w:rFonts w:asciiTheme="majorHAnsi" w:hAnsiTheme="majorHAnsi"/>
          <w:sz w:val="20"/>
          <w:szCs w:val="20"/>
          <w:lang w:val="es-AR"/>
        </w:rPr>
        <w:t>el beneficiario</w:t>
      </w:r>
      <w:r w:rsidR="0028771E" w:rsidRPr="00152589">
        <w:rPr>
          <w:rFonts w:asciiTheme="majorHAnsi" w:hAnsiTheme="majorHAnsi"/>
          <w:sz w:val="20"/>
          <w:szCs w:val="20"/>
          <w:lang w:val="es-AR"/>
        </w:rPr>
        <w:t xml:space="preserve"> cumpla la edad establecida para el retiro. </w:t>
      </w:r>
      <w:r w:rsidR="007B5128" w:rsidRPr="00152589">
        <w:rPr>
          <w:rFonts w:asciiTheme="majorHAnsi" w:hAnsiTheme="majorHAnsi"/>
          <w:sz w:val="20"/>
          <w:szCs w:val="20"/>
          <w:lang w:val="es-AR"/>
        </w:rPr>
        <w:t xml:space="preserve">Es decir, que sí se recalcularía al momento de cumplir la edad requerida para obtener una pensión ordinaria. </w:t>
      </w:r>
    </w:p>
    <w:p w14:paraId="6CA9669B" w14:textId="7606656D" w:rsidR="00D11EA5" w:rsidRPr="00152589" w:rsidRDefault="00091399" w:rsidP="00972E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152589">
        <w:rPr>
          <w:rFonts w:asciiTheme="majorHAnsi" w:hAnsiTheme="majorHAnsi"/>
          <w:sz w:val="20"/>
          <w:szCs w:val="20"/>
          <w:lang w:val="es-PE"/>
        </w:rPr>
        <w:t>En este contexto</w:t>
      </w:r>
      <w:r w:rsidR="00EC422D" w:rsidRPr="00152589">
        <w:rPr>
          <w:rFonts w:asciiTheme="majorHAnsi" w:hAnsiTheme="majorHAnsi"/>
          <w:sz w:val="20"/>
          <w:szCs w:val="20"/>
          <w:lang w:val="es-PE"/>
        </w:rPr>
        <w:t>,</w:t>
      </w:r>
      <w:r w:rsidR="00862266" w:rsidRPr="00152589">
        <w:rPr>
          <w:rFonts w:asciiTheme="majorHAnsi" w:hAnsiTheme="majorHAnsi"/>
          <w:sz w:val="20"/>
          <w:szCs w:val="20"/>
          <w:lang w:val="es-PE"/>
        </w:rPr>
        <w:t xml:space="preserve"> en aquella época,</w:t>
      </w:r>
      <w:r w:rsidR="00EC422D" w:rsidRPr="00152589">
        <w:rPr>
          <w:rFonts w:asciiTheme="majorHAnsi" w:hAnsiTheme="majorHAnsi"/>
          <w:sz w:val="20"/>
          <w:szCs w:val="20"/>
          <w:lang w:val="es-PE"/>
        </w:rPr>
        <w:t xml:space="preserve"> </w:t>
      </w:r>
      <w:r w:rsidR="00DC537E" w:rsidRPr="00152589">
        <w:rPr>
          <w:rFonts w:asciiTheme="majorHAnsi" w:hAnsiTheme="majorHAnsi"/>
          <w:sz w:val="20"/>
          <w:szCs w:val="20"/>
          <w:lang w:val="es-PE"/>
        </w:rPr>
        <w:t xml:space="preserve">las presuntas víctimas </w:t>
      </w:r>
      <w:r w:rsidR="00EC422D" w:rsidRPr="00152589">
        <w:rPr>
          <w:rFonts w:asciiTheme="majorHAnsi" w:hAnsiTheme="majorHAnsi"/>
          <w:sz w:val="20"/>
          <w:szCs w:val="20"/>
          <w:lang w:val="es-PE"/>
        </w:rPr>
        <w:t>vieron como única opción o</w:t>
      </w:r>
      <w:r w:rsidR="009350D9" w:rsidRPr="00152589">
        <w:rPr>
          <w:rFonts w:asciiTheme="majorHAnsi" w:hAnsiTheme="majorHAnsi"/>
          <w:sz w:val="20"/>
          <w:szCs w:val="20"/>
          <w:lang w:val="es-PE"/>
        </w:rPr>
        <w:t xml:space="preserve">ptar por la </w:t>
      </w:r>
      <w:r w:rsidR="00AF313B" w:rsidRPr="00152589">
        <w:rPr>
          <w:rFonts w:asciiTheme="majorHAnsi" w:hAnsiTheme="majorHAnsi"/>
          <w:sz w:val="20"/>
          <w:szCs w:val="20"/>
          <w:lang w:val="es-PE"/>
        </w:rPr>
        <w:t>r</w:t>
      </w:r>
      <w:r w:rsidR="009350D9" w:rsidRPr="00152589">
        <w:rPr>
          <w:rFonts w:asciiTheme="majorHAnsi" w:hAnsiTheme="majorHAnsi"/>
          <w:sz w:val="20"/>
          <w:szCs w:val="20"/>
          <w:lang w:val="es-PE"/>
        </w:rPr>
        <w:t xml:space="preserve">enta de </w:t>
      </w:r>
      <w:r w:rsidR="00AF313B" w:rsidRPr="00152589">
        <w:rPr>
          <w:rFonts w:asciiTheme="majorHAnsi" w:hAnsiTheme="majorHAnsi"/>
          <w:sz w:val="20"/>
          <w:szCs w:val="20"/>
          <w:lang w:val="es-PE"/>
        </w:rPr>
        <w:t>j</w:t>
      </w:r>
      <w:r w:rsidR="009350D9" w:rsidRPr="00152589">
        <w:rPr>
          <w:rFonts w:asciiTheme="majorHAnsi" w:hAnsiTheme="majorHAnsi"/>
          <w:sz w:val="20"/>
          <w:szCs w:val="20"/>
          <w:lang w:val="es-PE"/>
        </w:rPr>
        <w:t xml:space="preserve">ubilación con </w:t>
      </w:r>
      <w:r w:rsidR="00AF313B" w:rsidRPr="00152589">
        <w:rPr>
          <w:rFonts w:asciiTheme="majorHAnsi" w:hAnsiTheme="majorHAnsi"/>
          <w:sz w:val="20"/>
          <w:szCs w:val="20"/>
          <w:lang w:val="es-PE"/>
        </w:rPr>
        <w:t>r</w:t>
      </w:r>
      <w:r w:rsidR="009350D9" w:rsidRPr="00152589">
        <w:rPr>
          <w:rFonts w:asciiTheme="majorHAnsi" w:hAnsiTheme="majorHAnsi"/>
          <w:sz w:val="20"/>
          <w:szCs w:val="20"/>
          <w:lang w:val="es-PE"/>
        </w:rPr>
        <w:t xml:space="preserve">educción de </w:t>
      </w:r>
      <w:r w:rsidR="00AF313B" w:rsidRPr="00152589">
        <w:rPr>
          <w:rFonts w:asciiTheme="majorHAnsi" w:hAnsiTheme="majorHAnsi"/>
          <w:sz w:val="20"/>
          <w:szCs w:val="20"/>
          <w:lang w:val="es-PE"/>
        </w:rPr>
        <w:t>e</w:t>
      </w:r>
      <w:r w:rsidR="009350D9" w:rsidRPr="00152589">
        <w:rPr>
          <w:rFonts w:asciiTheme="majorHAnsi" w:hAnsiTheme="majorHAnsi"/>
          <w:sz w:val="20"/>
          <w:szCs w:val="20"/>
          <w:lang w:val="es-PE"/>
        </w:rPr>
        <w:t>dad</w:t>
      </w:r>
      <w:r w:rsidR="00DC537E" w:rsidRPr="00152589">
        <w:rPr>
          <w:rFonts w:asciiTheme="majorHAnsi" w:hAnsiTheme="majorHAnsi"/>
          <w:sz w:val="20"/>
          <w:szCs w:val="20"/>
          <w:lang w:val="es-PE"/>
        </w:rPr>
        <w:t xml:space="preserve">. No obstante, tomaron </w:t>
      </w:r>
      <w:r w:rsidR="007C4142" w:rsidRPr="00152589">
        <w:rPr>
          <w:rFonts w:asciiTheme="majorHAnsi" w:hAnsiTheme="majorHAnsi"/>
          <w:sz w:val="20"/>
          <w:szCs w:val="20"/>
          <w:lang w:val="es-PE"/>
        </w:rPr>
        <w:t>esta</w:t>
      </w:r>
      <w:r w:rsidR="00DC537E" w:rsidRPr="00152589">
        <w:rPr>
          <w:rFonts w:asciiTheme="majorHAnsi" w:hAnsiTheme="majorHAnsi"/>
          <w:sz w:val="20"/>
          <w:szCs w:val="20"/>
          <w:lang w:val="es-PE"/>
        </w:rPr>
        <w:t xml:space="preserve"> decisión, </w:t>
      </w:r>
      <w:r w:rsidR="00F1473A" w:rsidRPr="00152589">
        <w:rPr>
          <w:rFonts w:asciiTheme="majorHAnsi" w:hAnsiTheme="majorHAnsi"/>
          <w:sz w:val="20"/>
          <w:szCs w:val="20"/>
          <w:lang w:val="es-PE"/>
        </w:rPr>
        <w:t>en el entendido de</w:t>
      </w:r>
      <w:r w:rsidR="00DC537E" w:rsidRPr="00152589">
        <w:rPr>
          <w:rFonts w:asciiTheme="majorHAnsi" w:hAnsiTheme="majorHAnsi"/>
          <w:sz w:val="20"/>
          <w:szCs w:val="20"/>
          <w:lang w:val="es-PE"/>
        </w:rPr>
        <w:t xml:space="preserve"> que apenas </w:t>
      </w:r>
      <w:r w:rsidR="00120BD8" w:rsidRPr="00152589">
        <w:rPr>
          <w:rFonts w:asciiTheme="majorHAnsi" w:hAnsiTheme="majorHAnsi"/>
          <w:sz w:val="20"/>
          <w:szCs w:val="20"/>
          <w:lang w:val="es-PE"/>
        </w:rPr>
        <w:t>cumpliesen</w:t>
      </w:r>
      <w:r w:rsidR="00DC537E" w:rsidRPr="00152589">
        <w:rPr>
          <w:rFonts w:asciiTheme="majorHAnsi" w:hAnsiTheme="majorHAnsi"/>
          <w:sz w:val="20"/>
          <w:szCs w:val="20"/>
          <w:lang w:val="es-PE"/>
        </w:rPr>
        <w:t xml:space="preserve"> 55 años </w:t>
      </w:r>
      <w:r w:rsidR="0028771E" w:rsidRPr="00152589">
        <w:rPr>
          <w:rFonts w:asciiTheme="majorHAnsi" w:hAnsiTheme="majorHAnsi"/>
          <w:sz w:val="20"/>
          <w:szCs w:val="20"/>
          <w:lang w:val="es-PE"/>
        </w:rPr>
        <w:t>(</w:t>
      </w:r>
      <w:r w:rsidR="00DC537E" w:rsidRPr="00152589">
        <w:rPr>
          <w:rFonts w:asciiTheme="majorHAnsi" w:hAnsiTheme="majorHAnsi"/>
          <w:sz w:val="20"/>
          <w:szCs w:val="20"/>
          <w:lang w:val="es-PE"/>
        </w:rPr>
        <w:t>edad mínima de jubilación para los hombres</w:t>
      </w:r>
      <w:r w:rsidR="0028771E" w:rsidRPr="00152589">
        <w:rPr>
          <w:rFonts w:asciiTheme="majorHAnsi" w:hAnsiTheme="majorHAnsi"/>
          <w:sz w:val="20"/>
          <w:szCs w:val="20"/>
          <w:lang w:val="es-PE"/>
        </w:rPr>
        <w:t>)</w:t>
      </w:r>
      <w:r w:rsidR="00DC537E" w:rsidRPr="00152589">
        <w:rPr>
          <w:rFonts w:asciiTheme="majorHAnsi" w:hAnsiTheme="majorHAnsi"/>
          <w:sz w:val="20"/>
          <w:szCs w:val="20"/>
          <w:lang w:val="es-PE"/>
        </w:rPr>
        <w:t>, ya no se les aplicaría el descuento del 8% por año restante</w:t>
      </w:r>
      <w:r w:rsidR="008C3B20" w:rsidRPr="00152589">
        <w:rPr>
          <w:rFonts w:asciiTheme="majorHAnsi" w:hAnsiTheme="majorHAnsi"/>
          <w:sz w:val="20"/>
          <w:szCs w:val="20"/>
          <w:lang w:val="es-PE"/>
        </w:rPr>
        <w:t xml:space="preserve">, en función de </w:t>
      </w:r>
      <w:r w:rsidR="008C3B20" w:rsidRPr="00152589">
        <w:rPr>
          <w:rFonts w:asciiTheme="majorHAnsi" w:hAnsiTheme="majorHAnsi"/>
          <w:sz w:val="20"/>
          <w:szCs w:val="20"/>
          <w:lang w:val="es-AR"/>
        </w:rPr>
        <w:t>la citada Resolución Ministerial Nº 1361</w:t>
      </w:r>
      <w:r w:rsidR="00120BD8" w:rsidRPr="00152589">
        <w:rPr>
          <w:rFonts w:asciiTheme="majorHAnsi" w:hAnsiTheme="majorHAnsi"/>
          <w:sz w:val="20"/>
          <w:szCs w:val="20"/>
          <w:lang w:val="es-AR"/>
        </w:rPr>
        <w:t xml:space="preserve">. </w:t>
      </w:r>
      <w:r w:rsidR="00D11EA5" w:rsidRPr="00152589">
        <w:rPr>
          <w:rFonts w:asciiTheme="majorHAnsi" w:hAnsiTheme="majorHAnsi"/>
          <w:sz w:val="20"/>
          <w:szCs w:val="20"/>
          <w:lang w:val="es-AR"/>
        </w:rPr>
        <w:t xml:space="preserve">De este modo, las presuntas víctimas </w:t>
      </w:r>
      <w:r w:rsidR="009D57A1" w:rsidRPr="00152589">
        <w:rPr>
          <w:rFonts w:asciiTheme="majorHAnsi" w:hAnsiTheme="majorHAnsi"/>
          <w:sz w:val="20"/>
          <w:szCs w:val="20"/>
          <w:lang w:val="es-AR"/>
        </w:rPr>
        <w:lastRenderedPageBreak/>
        <w:t xml:space="preserve">accedieron al citado régimen de seguridad social cuando estaban vigor las reglas establecidas en </w:t>
      </w:r>
      <w:r w:rsidR="00D312B3" w:rsidRPr="00152589">
        <w:rPr>
          <w:rFonts w:asciiTheme="majorHAnsi" w:hAnsiTheme="majorHAnsi"/>
          <w:sz w:val="20"/>
          <w:szCs w:val="20"/>
          <w:lang w:val="es-AR"/>
        </w:rPr>
        <w:t>esa</w:t>
      </w:r>
      <w:r w:rsidR="009D57A1" w:rsidRPr="00152589">
        <w:rPr>
          <w:rFonts w:asciiTheme="majorHAnsi" w:hAnsiTheme="majorHAnsi"/>
          <w:sz w:val="20"/>
          <w:szCs w:val="20"/>
          <w:lang w:val="es-AR"/>
        </w:rPr>
        <w:t xml:space="preserve"> norma,</w:t>
      </w:r>
      <w:r w:rsidR="00D11EA5" w:rsidRPr="00152589">
        <w:rPr>
          <w:rFonts w:asciiTheme="majorHAnsi" w:hAnsiTheme="majorHAnsi"/>
          <w:sz w:val="20"/>
          <w:szCs w:val="20"/>
          <w:lang w:val="es-AR"/>
        </w:rPr>
        <w:t xml:space="preserve"> </w:t>
      </w:r>
      <w:r w:rsidR="00C427ED" w:rsidRPr="00152589">
        <w:rPr>
          <w:rFonts w:asciiTheme="majorHAnsi" w:hAnsiTheme="majorHAnsi"/>
          <w:sz w:val="20"/>
          <w:szCs w:val="20"/>
          <w:lang w:val="es-AR"/>
        </w:rPr>
        <w:t>teniendo lugar</w:t>
      </w:r>
      <w:r w:rsidR="009D57A1" w:rsidRPr="00152589">
        <w:rPr>
          <w:rFonts w:asciiTheme="majorHAnsi" w:hAnsiTheme="majorHAnsi"/>
          <w:sz w:val="20"/>
          <w:szCs w:val="20"/>
          <w:lang w:val="es-AR"/>
        </w:rPr>
        <w:t xml:space="preserve"> sus resoluciones de jubilación </w:t>
      </w:r>
      <w:r w:rsidR="00D11EA5" w:rsidRPr="00152589">
        <w:rPr>
          <w:rFonts w:asciiTheme="majorHAnsi" w:hAnsiTheme="majorHAnsi"/>
          <w:sz w:val="20"/>
          <w:szCs w:val="20"/>
          <w:lang w:val="es-AR"/>
        </w:rPr>
        <w:t xml:space="preserve">en las siguientes fechas: </w:t>
      </w:r>
    </w:p>
    <w:tbl>
      <w:tblPr>
        <w:tblStyle w:val="TableGrid"/>
        <w:tblW w:w="0" w:type="auto"/>
        <w:tblInd w:w="720" w:type="dxa"/>
        <w:tblLook w:val="04A0" w:firstRow="1" w:lastRow="0" w:firstColumn="1" w:lastColumn="0" w:noHBand="0" w:noVBand="1"/>
      </w:tblPr>
      <w:tblGrid>
        <w:gridCol w:w="2868"/>
        <w:gridCol w:w="2883"/>
        <w:gridCol w:w="2879"/>
      </w:tblGrid>
      <w:tr w:rsidR="00E21A76" w:rsidRPr="00152589" w14:paraId="26ADC930" w14:textId="77777777" w:rsidTr="00E21A76">
        <w:trPr>
          <w:trHeight w:val="278"/>
        </w:trPr>
        <w:tc>
          <w:tcPr>
            <w:tcW w:w="3116" w:type="dxa"/>
            <w:shd w:val="clear" w:color="auto" w:fill="4F81BD" w:themeFill="accent1"/>
          </w:tcPr>
          <w:p w14:paraId="0BCA697E" w14:textId="43AA5920"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color w:val="FFFFFF" w:themeColor="background1"/>
                <w:sz w:val="18"/>
                <w:szCs w:val="18"/>
                <w:lang w:val="es-AR"/>
              </w:rPr>
            </w:pPr>
            <w:r w:rsidRPr="00152589">
              <w:rPr>
                <w:rFonts w:asciiTheme="majorHAnsi" w:hAnsiTheme="majorHAnsi"/>
                <w:b/>
                <w:bCs/>
                <w:color w:val="FFFFFF" w:themeColor="background1"/>
                <w:sz w:val="18"/>
                <w:szCs w:val="18"/>
                <w:lang w:val="es-AR"/>
              </w:rPr>
              <w:t>Presunta víctima</w:t>
            </w:r>
          </w:p>
        </w:tc>
        <w:tc>
          <w:tcPr>
            <w:tcW w:w="3117" w:type="dxa"/>
            <w:shd w:val="clear" w:color="auto" w:fill="4F81BD" w:themeFill="accent1"/>
          </w:tcPr>
          <w:p w14:paraId="6F3DBE5E" w14:textId="009285B6"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color w:val="FFFFFF" w:themeColor="background1"/>
                <w:sz w:val="18"/>
                <w:szCs w:val="18"/>
                <w:lang w:val="es-AR"/>
              </w:rPr>
            </w:pPr>
            <w:r w:rsidRPr="00152589">
              <w:rPr>
                <w:rFonts w:asciiTheme="majorHAnsi" w:hAnsiTheme="majorHAnsi"/>
                <w:b/>
                <w:bCs/>
                <w:color w:val="FFFFFF" w:themeColor="background1"/>
                <w:sz w:val="18"/>
                <w:szCs w:val="18"/>
                <w:lang w:val="es-AR"/>
              </w:rPr>
              <w:t>Resolución de Jubilación</w:t>
            </w:r>
          </w:p>
        </w:tc>
        <w:tc>
          <w:tcPr>
            <w:tcW w:w="3117" w:type="dxa"/>
            <w:shd w:val="clear" w:color="auto" w:fill="4F81BD" w:themeFill="accent1"/>
          </w:tcPr>
          <w:p w14:paraId="2EBD13CF" w14:textId="54A48CFA"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color w:val="FFFFFF" w:themeColor="background1"/>
                <w:sz w:val="18"/>
                <w:szCs w:val="18"/>
                <w:lang w:val="es-AR"/>
              </w:rPr>
            </w:pPr>
            <w:r w:rsidRPr="00152589">
              <w:rPr>
                <w:rFonts w:asciiTheme="majorHAnsi" w:hAnsiTheme="majorHAnsi"/>
                <w:b/>
                <w:bCs/>
                <w:color w:val="FFFFFF" w:themeColor="background1"/>
                <w:sz w:val="18"/>
                <w:szCs w:val="18"/>
                <w:lang w:val="es-AR"/>
              </w:rPr>
              <w:t>Fecha</w:t>
            </w:r>
            <w:r w:rsidR="00AF313B" w:rsidRPr="00152589">
              <w:rPr>
                <w:rFonts w:asciiTheme="majorHAnsi" w:hAnsiTheme="majorHAnsi"/>
                <w:b/>
                <w:bCs/>
                <w:color w:val="FFFFFF" w:themeColor="background1"/>
                <w:sz w:val="18"/>
                <w:szCs w:val="18"/>
                <w:lang w:val="es-AR"/>
              </w:rPr>
              <w:t xml:space="preserve"> de la resolución</w:t>
            </w:r>
          </w:p>
        </w:tc>
      </w:tr>
      <w:tr w:rsidR="00E21A76" w:rsidRPr="00152589" w14:paraId="6B87383A" w14:textId="77777777" w:rsidTr="00E21A76">
        <w:tc>
          <w:tcPr>
            <w:tcW w:w="3116" w:type="dxa"/>
          </w:tcPr>
          <w:p w14:paraId="740BF9DF" w14:textId="2EEC512D"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es-AR"/>
              </w:rPr>
            </w:pPr>
            <w:r w:rsidRPr="00152589">
              <w:rPr>
                <w:rFonts w:asciiTheme="majorHAnsi" w:hAnsiTheme="majorHAnsi"/>
                <w:sz w:val="18"/>
                <w:szCs w:val="18"/>
                <w:lang w:val="es-AR"/>
              </w:rPr>
              <w:t>Víctor Francisco Yáñez Cortés</w:t>
            </w:r>
          </w:p>
        </w:tc>
        <w:tc>
          <w:tcPr>
            <w:tcW w:w="3117" w:type="dxa"/>
          </w:tcPr>
          <w:p w14:paraId="0A7DCC23" w14:textId="5CB5C05E"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es-AR"/>
              </w:rPr>
            </w:pPr>
            <w:r w:rsidRPr="00152589">
              <w:rPr>
                <w:rFonts w:asciiTheme="majorHAnsi" w:hAnsiTheme="majorHAnsi"/>
                <w:sz w:val="18"/>
                <w:szCs w:val="18"/>
                <w:lang w:val="es-AR"/>
              </w:rPr>
              <w:t>Res. Nº 010214</w:t>
            </w:r>
          </w:p>
        </w:tc>
        <w:tc>
          <w:tcPr>
            <w:tcW w:w="3117" w:type="dxa"/>
          </w:tcPr>
          <w:p w14:paraId="170D1264" w14:textId="7555BFE6"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es-AR"/>
              </w:rPr>
            </w:pPr>
            <w:r w:rsidRPr="00152589">
              <w:rPr>
                <w:rFonts w:asciiTheme="majorHAnsi" w:hAnsiTheme="majorHAnsi"/>
                <w:sz w:val="18"/>
                <w:szCs w:val="18"/>
                <w:lang w:val="es-AR"/>
              </w:rPr>
              <w:t>19 de junio de 2000</w:t>
            </w:r>
          </w:p>
        </w:tc>
      </w:tr>
      <w:tr w:rsidR="00E21A76" w:rsidRPr="00152589" w14:paraId="25D12105" w14:textId="77777777" w:rsidTr="00E21A76">
        <w:tc>
          <w:tcPr>
            <w:tcW w:w="3116" w:type="dxa"/>
          </w:tcPr>
          <w:p w14:paraId="3D850839" w14:textId="48F73DF5"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es-AR"/>
              </w:rPr>
            </w:pPr>
            <w:r w:rsidRPr="00152589">
              <w:rPr>
                <w:rFonts w:asciiTheme="majorHAnsi" w:hAnsiTheme="majorHAnsi"/>
                <w:sz w:val="18"/>
                <w:szCs w:val="18"/>
                <w:lang w:val="es-AR"/>
              </w:rPr>
              <w:t>Víctor Castro Gonzáles</w:t>
            </w:r>
          </w:p>
        </w:tc>
        <w:tc>
          <w:tcPr>
            <w:tcW w:w="3117" w:type="dxa"/>
          </w:tcPr>
          <w:p w14:paraId="339955FD" w14:textId="1D637306"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es-AR"/>
              </w:rPr>
            </w:pPr>
            <w:r w:rsidRPr="00152589">
              <w:rPr>
                <w:rFonts w:asciiTheme="majorHAnsi" w:hAnsiTheme="majorHAnsi"/>
                <w:sz w:val="18"/>
                <w:szCs w:val="18"/>
                <w:lang w:val="es-AR"/>
              </w:rPr>
              <w:t>Res. Nº 007193</w:t>
            </w:r>
          </w:p>
        </w:tc>
        <w:tc>
          <w:tcPr>
            <w:tcW w:w="3117" w:type="dxa"/>
          </w:tcPr>
          <w:p w14:paraId="1C84983D" w14:textId="3407EDF3"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es-AR"/>
              </w:rPr>
            </w:pPr>
            <w:r w:rsidRPr="00152589">
              <w:rPr>
                <w:rFonts w:asciiTheme="majorHAnsi" w:hAnsiTheme="majorHAnsi"/>
                <w:sz w:val="18"/>
                <w:szCs w:val="18"/>
                <w:lang w:val="es-AR"/>
              </w:rPr>
              <w:t>16 de octubre de 1998</w:t>
            </w:r>
          </w:p>
        </w:tc>
      </w:tr>
      <w:tr w:rsidR="00E21A76" w:rsidRPr="00152589" w14:paraId="22E7FBE3" w14:textId="77777777" w:rsidTr="00E21A76">
        <w:tc>
          <w:tcPr>
            <w:tcW w:w="3116" w:type="dxa"/>
          </w:tcPr>
          <w:p w14:paraId="1A58F131" w14:textId="62958263"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pt-BR"/>
              </w:rPr>
              <w:t>Miguel Ángel Pacheco Sandoval (fallecido)</w:t>
            </w:r>
          </w:p>
        </w:tc>
        <w:tc>
          <w:tcPr>
            <w:tcW w:w="3117" w:type="dxa"/>
          </w:tcPr>
          <w:p w14:paraId="6129B63F" w14:textId="69B614EC"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es-AR"/>
              </w:rPr>
              <w:t>Res. Nº 017395</w:t>
            </w:r>
          </w:p>
        </w:tc>
        <w:tc>
          <w:tcPr>
            <w:tcW w:w="3117" w:type="dxa"/>
          </w:tcPr>
          <w:p w14:paraId="184179BD" w14:textId="7193A21E"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pt-BR"/>
              </w:rPr>
              <w:t>13 de diciembre de 1999</w:t>
            </w:r>
          </w:p>
        </w:tc>
      </w:tr>
      <w:tr w:rsidR="00E21A76" w:rsidRPr="00152589" w14:paraId="047D7980" w14:textId="77777777" w:rsidTr="00E21A76">
        <w:tc>
          <w:tcPr>
            <w:tcW w:w="3116" w:type="dxa"/>
          </w:tcPr>
          <w:p w14:paraId="7AC63BE7" w14:textId="3026DD86"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pt-BR"/>
              </w:rPr>
              <w:t>Fortunato López Licoña</w:t>
            </w:r>
          </w:p>
        </w:tc>
        <w:tc>
          <w:tcPr>
            <w:tcW w:w="3117" w:type="dxa"/>
          </w:tcPr>
          <w:p w14:paraId="21F50328" w14:textId="6D5FD4ED"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es-AR"/>
              </w:rPr>
              <w:t>Res. Nº 014897</w:t>
            </w:r>
          </w:p>
        </w:tc>
        <w:tc>
          <w:tcPr>
            <w:tcW w:w="3117" w:type="dxa"/>
          </w:tcPr>
          <w:p w14:paraId="4F86E148" w14:textId="2C87C389"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pt-BR"/>
              </w:rPr>
              <w:t>12 de agosto de 1998</w:t>
            </w:r>
          </w:p>
        </w:tc>
      </w:tr>
      <w:tr w:rsidR="00E21A76" w:rsidRPr="00152589" w14:paraId="709E6BB9" w14:textId="77777777" w:rsidTr="00E21A76">
        <w:tc>
          <w:tcPr>
            <w:tcW w:w="3116" w:type="dxa"/>
          </w:tcPr>
          <w:p w14:paraId="78A1095C" w14:textId="16E336A6"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pt-BR"/>
              </w:rPr>
              <w:t>Walter Armando Romero Pacheco</w:t>
            </w:r>
          </w:p>
        </w:tc>
        <w:tc>
          <w:tcPr>
            <w:tcW w:w="3117" w:type="dxa"/>
          </w:tcPr>
          <w:p w14:paraId="54F11059" w14:textId="7C0F6EE0"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es-AR"/>
              </w:rPr>
              <w:t>Res. Nº 014978</w:t>
            </w:r>
          </w:p>
        </w:tc>
        <w:tc>
          <w:tcPr>
            <w:tcW w:w="3117" w:type="dxa"/>
          </w:tcPr>
          <w:p w14:paraId="3F0CFEF9" w14:textId="17836D36"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pt-BR"/>
              </w:rPr>
              <w:t>16 de octubre de 2000</w:t>
            </w:r>
          </w:p>
        </w:tc>
      </w:tr>
      <w:tr w:rsidR="00E21A76" w:rsidRPr="00152589" w14:paraId="718E3951" w14:textId="77777777" w:rsidTr="00E21A76">
        <w:tc>
          <w:tcPr>
            <w:tcW w:w="3116" w:type="dxa"/>
          </w:tcPr>
          <w:p w14:paraId="78141F79" w14:textId="3882D140"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pt-BR"/>
              </w:rPr>
              <w:t>Jorge Rolando Bernal Quiroz</w:t>
            </w:r>
          </w:p>
        </w:tc>
        <w:tc>
          <w:tcPr>
            <w:tcW w:w="3117" w:type="dxa"/>
          </w:tcPr>
          <w:p w14:paraId="37084F0E" w14:textId="0973F639"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es-AR"/>
              </w:rPr>
              <w:t>Res. Nº 015175</w:t>
            </w:r>
          </w:p>
        </w:tc>
        <w:tc>
          <w:tcPr>
            <w:tcW w:w="3117" w:type="dxa"/>
          </w:tcPr>
          <w:p w14:paraId="54CDADB7" w14:textId="1576C4ED" w:rsidR="00E21A76" w:rsidRPr="00152589" w:rsidRDefault="00E21A76" w:rsidP="00E21A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18"/>
                <w:szCs w:val="18"/>
                <w:lang w:val="pt-BR"/>
              </w:rPr>
            </w:pPr>
            <w:r w:rsidRPr="00152589">
              <w:rPr>
                <w:rFonts w:asciiTheme="majorHAnsi" w:hAnsiTheme="majorHAnsi"/>
                <w:sz w:val="18"/>
                <w:szCs w:val="18"/>
                <w:lang w:val="pt-BR"/>
              </w:rPr>
              <w:t>15 de noviembre de 1999</w:t>
            </w:r>
          </w:p>
        </w:tc>
      </w:tr>
    </w:tbl>
    <w:p w14:paraId="0BEB5427" w14:textId="58CDB46E" w:rsidR="00390F30" w:rsidRPr="00152589" w:rsidRDefault="00390F30" w:rsidP="00DE51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152589">
        <w:rPr>
          <w:rFonts w:asciiTheme="majorHAnsi" w:hAnsiTheme="majorHAnsi"/>
          <w:sz w:val="20"/>
          <w:szCs w:val="20"/>
          <w:lang w:val="es-AR"/>
        </w:rPr>
        <w:t xml:space="preserve">Sin embargo, </w:t>
      </w:r>
      <w:r w:rsidR="00A75877" w:rsidRPr="00152589">
        <w:rPr>
          <w:rFonts w:asciiTheme="majorHAnsi" w:hAnsiTheme="majorHAnsi"/>
          <w:sz w:val="20"/>
          <w:szCs w:val="20"/>
          <w:lang w:val="es-AR"/>
        </w:rPr>
        <w:t>l</w:t>
      </w:r>
      <w:r w:rsidRPr="00152589">
        <w:rPr>
          <w:rFonts w:asciiTheme="majorHAnsi" w:hAnsiTheme="majorHAnsi"/>
          <w:sz w:val="20"/>
          <w:szCs w:val="20"/>
          <w:lang w:val="es-AR"/>
        </w:rPr>
        <w:t>as autoridades nunca cumplieron con cesar el referido descuento del 8%</w:t>
      </w:r>
      <w:r w:rsidR="00B63970" w:rsidRPr="00152589">
        <w:rPr>
          <w:rFonts w:asciiTheme="majorHAnsi" w:hAnsiTheme="majorHAnsi"/>
          <w:sz w:val="20"/>
          <w:szCs w:val="20"/>
          <w:lang w:val="es-AR"/>
        </w:rPr>
        <w:t xml:space="preserve"> anual</w:t>
      </w:r>
      <w:r w:rsidRPr="00152589">
        <w:rPr>
          <w:rFonts w:asciiTheme="majorHAnsi" w:hAnsiTheme="majorHAnsi"/>
          <w:sz w:val="20"/>
          <w:szCs w:val="20"/>
          <w:lang w:val="es-AR"/>
        </w:rPr>
        <w:t xml:space="preserve">, lo cual </w:t>
      </w:r>
      <w:r w:rsidR="00FB5131" w:rsidRPr="00152589">
        <w:rPr>
          <w:rFonts w:asciiTheme="majorHAnsi" w:hAnsiTheme="majorHAnsi"/>
          <w:sz w:val="20"/>
          <w:szCs w:val="20"/>
          <w:lang w:val="es-AR"/>
        </w:rPr>
        <w:t>habría afectado</w:t>
      </w:r>
      <w:r w:rsidRPr="00152589">
        <w:rPr>
          <w:rFonts w:asciiTheme="majorHAnsi" w:hAnsiTheme="majorHAnsi"/>
          <w:sz w:val="20"/>
          <w:szCs w:val="20"/>
          <w:lang w:val="es-AR"/>
        </w:rPr>
        <w:t xml:space="preserve"> la seguridad social que reciben las presuntas víctimas. Además, el 31 de agosto de 2005 se publicó la Resolución Ministerial N° 476 que dispuso que la calificación de la </w:t>
      </w:r>
      <w:r w:rsidR="00AF313B" w:rsidRPr="00152589">
        <w:rPr>
          <w:rFonts w:asciiTheme="majorHAnsi" w:hAnsiTheme="majorHAnsi"/>
          <w:sz w:val="20"/>
          <w:szCs w:val="20"/>
          <w:lang w:val="es-AR"/>
        </w:rPr>
        <w:t xml:space="preserve">renta de jubilación con reducción de edad </w:t>
      </w:r>
      <w:r w:rsidRPr="00152589">
        <w:rPr>
          <w:rFonts w:asciiTheme="majorHAnsi" w:hAnsiTheme="majorHAnsi"/>
          <w:sz w:val="20"/>
          <w:szCs w:val="20"/>
          <w:lang w:val="es-AR"/>
        </w:rPr>
        <w:t>tendría carácter definitivo</w:t>
      </w:r>
      <w:r w:rsidR="00CA0CD3" w:rsidRPr="00152589">
        <w:rPr>
          <w:rFonts w:asciiTheme="majorHAnsi" w:hAnsiTheme="majorHAnsi"/>
          <w:sz w:val="20"/>
          <w:szCs w:val="20"/>
          <w:lang w:val="es-AR"/>
        </w:rPr>
        <w:t>,</w:t>
      </w:r>
      <w:r w:rsidRPr="00152589">
        <w:rPr>
          <w:rFonts w:asciiTheme="majorHAnsi" w:hAnsiTheme="majorHAnsi"/>
          <w:sz w:val="20"/>
          <w:szCs w:val="20"/>
          <w:lang w:val="es-AR"/>
        </w:rPr>
        <w:t xml:space="preserve"> y que no correspondería ningún recálculo al cumplir las edades mínimas. Esto fue ratificado en 2010 a través de la Ley de Pensiones N° 065. A criterio del peticionario, la aplicación de dichas normas a la situación de las presuntas víctimas para mantener la reducción del 8% en su jubilación implica una vulneración a su derecho a la pensión, así como una aplicación retroactiva de la normativa interna. Considera que el régimen que debe regir su situación jurídica es el previsto en la Resolución Ministerial N° 1361, pues era la normativa vigente cuando obtuvieron sus resoluciones jubilatorias.</w:t>
      </w:r>
    </w:p>
    <w:p w14:paraId="1F51847D" w14:textId="73A5ED02" w:rsidR="00EC422D" w:rsidRPr="00152589" w:rsidRDefault="00D35DC8" w:rsidP="00EC422D">
      <w:pPr>
        <w:pStyle w:val="Default"/>
        <w:ind w:left="720"/>
        <w:rPr>
          <w:rFonts w:asciiTheme="majorHAnsi" w:hAnsiTheme="majorHAnsi"/>
          <w:i/>
          <w:iCs/>
          <w:sz w:val="20"/>
          <w:szCs w:val="20"/>
          <w:lang w:val="es-PE"/>
        </w:rPr>
      </w:pPr>
      <w:r w:rsidRPr="00152589">
        <w:rPr>
          <w:rFonts w:asciiTheme="majorHAnsi" w:hAnsiTheme="majorHAnsi"/>
          <w:i/>
          <w:iCs/>
          <w:sz w:val="20"/>
          <w:szCs w:val="20"/>
          <w:lang w:val="es-PE"/>
        </w:rPr>
        <w:t>Acción</w:t>
      </w:r>
      <w:r w:rsidR="00EC422D" w:rsidRPr="00152589">
        <w:rPr>
          <w:rFonts w:asciiTheme="majorHAnsi" w:hAnsiTheme="majorHAnsi"/>
          <w:i/>
          <w:iCs/>
          <w:sz w:val="20"/>
          <w:szCs w:val="20"/>
          <w:lang w:val="es-PE"/>
        </w:rPr>
        <w:t xml:space="preserve"> de inconstitucionalidad</w:t>
      </w:r>
      <w:r w:rsidRPr="00152589">
        <w:rPr>
          <w:rFonts w:asciiTheme="majorHAnsi" w:hAnsiTheme="majorHAnsi"/>
          <w:i/>
          <w:iCs/>
          <w:sz w:val="20"/>
          <w:szCs w:val="20"/>
          <w:lang w:val="es-PE"/>
        </w:rPr>
        <w:t xml:space="preserve"> abstracta</w:t>
      </w:r>
    </w:p>
    <w:p w14:paraId="34F85CFA" w14:textId="77777777" w:rsidR="00E64C80" w:rsidRPr="00152589" w:rsidRDefault="00E64C80" w:rsidP="00EC422D">
      <w:pPr>
        <w:pStyle w:val="Default"/>
        <w:ind w:left="720"/>
        <w:rPr>
          <w:rFonts w:asciiTheme="majorHAnsi" w:hAnsiTheme="majorHAnsi"/>
          <w:i/>
          <w:iCs/>
          <w:sz w:val="20"/>
          <w:szCs w:val="20"/>
          <w:lang w:val="es-PE"/>
        </w:rPr>
      </w:pPr>
    </w:p>
    <w:p w14:paraId="36775A3C" w14:textId="79334F6F" w:rsidR="00E64C80" w:rsidRPr="00152589" w:rsidRDefault="00E64C80" w:rsidP="00972E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152589">
        <w:rPr>
          <w:rFonts w:asciiTheme="majorHAnsi" w:hAnsiTheme="majorHAnsi"/>
          <w:sz w:val="20"/>
          <w:szCs w:val="20"/>
          <w:lang w:val="es-PE"/>
        </w:rPr>
        <w:t xml:space="preserve">El peticionario </w:t>
      </w:r>
      <w:r w:rsidR="005461EF" w:rsidRPr="00152589">
        <w:rPr>
          <w:rFonts w:asciiTheme="majorHAnsi" w:hAnsiTheme="majorHAnsi"/>
          <w:sz w:val="20"/>
          <w:szCs w:val="20"/>
          <w:lang w:val="es-PE"/>
        </w:rPr>
        <w:t>cuenta</w:t>
      </w:r>
      <w:r w:rsidRPr="00152589">
        <w:rPr>
          <w:rFonts w:asciiTheme="majorHAnsi" w:hAnsiTheme="majorHAnsi"/>
          <w:sz w:val="20"/>
          <w:szCs w:val="20"/>
          <w:lang w:val="es-PE"/>
        </w:rPr>
        <w:t xml:space="preserve"> que </w:t>
      </w:r>
      <w:r w:rsidR="00361667" w:rsidRPr="00152589">
        <w:rPr>
          <w:rFonts w:asciiTheme="majorHAnsi" w:hAnsiTheme="majorHAnsi"/>
          <w:sz w:val="20"/>
          <w:szCs w:val="20"/>
          <w:lang w:val="es-PE"/>
        </w:rPr>
        <w:t>en 2017 las presuntas víctimas</w:t>
      </w:r>
      <w:r w:rsidR="00EC7110" w:rsidRPr="00152589">
        <w:rPr>
          <w:rFonts w:asciiTheme="majorHAnsi" w:hAnsiTheme="majorHAnsi"/>
          <w:sz w:val="20"/>
          <w:szCs w:val="20"/>
          <w:lang w:val="es-PE"/>
        </w:rPr>
        <w:t xml:space="preserve"> </w:t>
      </w:r>
      <w:r w:rsidR="008A5117" w:rsidRPr="00152589">
        <w:rPr>
          <w:rFonts w:asciiTheme="majorHAnsi" w:hAnsiTheme="majorHAnsi"/>
          <w:sz w:val="20"/>
          <w:szCs w:val="20"/>
          <w:lang w:val="es-PE"/>
        </w:rPr>
        <w:t>dialogaron</w:t>
      </w:r>
      <w:r w:rsidR="00361667" w:rsidRPr="00152589">
        <w:rPr>
          <w:rFonts w:asciiTheme="majorHAnsi" w:hAnsiTheme="majorHAnsi"/>
          <w:sz w:val="20"/>
          <w:szCs w:val="20"/>
          <w:lang w:val="es-PE"/>
        </w:rPr>
        <w:t xml:space="preserve"> con </w:t>
      </w:r>
      <w:r w:rsidRPr="00152589">
        <w:rPr>
          <w:rFonts w:asciiTheme="majorHAnsi" w:hAnsiTheme="majorHAnsi"/>
          <w:sz w:val="20"/>
          <w:szCs w:val="20"/>
          <w:lang w:val="es-PE"/>
        </w:rPr>
        <w:t>el Diputado Oscar Urquizo Córdova</w:t>
      </w:r>
      <w:r w:rsidR="00361667" w:rsidRPr="00152589">
        <w:rPr>
          <w:rFonts w:asciiTheme="majorHAnsi" w:hAnsiTheme="majorHAnsi"/>
          <w:sz w:val="20"/>
          <w:szCs w:val="20"/>
          <w:lang w:val="es-PE"/>
        </w:rPr>
        <w:t xml:space="preserve"> con la finalidad de que</w:t>
      </w:r>
      <w:r w:rsidR="00005B71" w:rsidRPr="00152589">
        <w:rPr>
          <w:rFonts w:asciiTheme="majorHAnsi" w:hAnsiTheme="majorHAnsi"/>
          <w:sz w:val="20"/>
          <w:szCs w:val="20"/>
          <w:lang w:val="es-PE"/>
        </w:rPr>
        <w:t xml:space="preserve"> este</w:t>
      </w:r>
      <w:r w:rsidR="00361667" w:rsidRPr="00152589">
        <w:rPr>
          <w:rFonts w:asciiTheme="majorHAnsi" w:hAnsiTheme="majorHAnsi"/>
          <w:sz w:val="20"/>
          <w:szCs w:val="20"/>
          <w:lang w:val="es-PE"/>
        </w:rPr>
        <w:t xml:space="preserve"> </w:t>
      </w:r>
      <w:r w:rsidR="00A438F2" w:rsidRPr="00152589">
        <w:rPr>
          <w:rFonts w:asciiTheme="majorHAnsi" w:hAnsiTheme="majorHAnsi"/>
          <w:sz w:val="20"/>
          <w:szCs w:val="20"/>
          <w:lang w:val="es-PE"/>
        </w:rPr>
        <w:t>presentara</w:t>
      </w:r>
      <w:r w:rsidR="00361667" w:rsidRPr="00152589">
        <w:rPr>
          <w:rFonts w:asciiTheme="majorHAnsi" w:hAnsiTheme="majorHAnsi"/>
          <w:sz w:val="20"/>
          <w:szCs w:val="20"/>
          <w:lang w:val="es-PE"/>
        </w:rPr>
        <w:t xml:space="preserve"> una </w:t>
      </w:r>
      <w:r w:rsidRPr="00152589">
        <w:rPr>
          <w:rFonts w:asciiTheme="majorHAnsi" w:hAnsiTheme="majorHAnsi"/>
          <w:sz w:val="20"/>
          <w:szCs w:val="20"/>
          <w:lang w:val="es-PE"/>
        </w:rPr>
        <w:t>acción de inconstitucionalidad abstracta en contra de los Artículos 189 de la Ley N°065, Decreto Supremo N°28454 y la Resolución Ministerial N°476</w:t>
      </w:r>
      <w:r w:rsidR="00245BBD" w:rsidRPr="00152589">
        <w:rPr>
          <w:rFonts w:asciiTheme="majorHAnsi" w:hAnsiTheme="majorHAnsi"/>
          <w:sz w:val="20"/>
          <w:szCs w:val="20"/>
          <w:lang w:val="es-PE"/>
        </w:rPr>
        <w:t>,</w:t>
      </w:r>
      <w:r w:rsidR="00361667" w:rsidRPr="00152589">
        <w:rPr>
          <w:rFonts w:asciiTheme="majorHAnsi" w:hAnsiTheme="majorHAnsi"/>
          <w:sz w:val="20"/>
          <w:szCs w:val="20"/>
          <w:lang w:val="es-PE"/>
        </w:rPr>
        <w:t xml:space="preserve"> </w:t>
      </w:r>
      <w:r w:rsidR="004804B1" w:rsidRPr="00152589">
        <w:rPr>
          <w:rFonts w:asciiTheme="majorHAnsi" w:hAnsiTheme="majorHAnsi"/>
          <w:sz w:val="20"/>
          <w:szCs w:val="20"/>
          <w:lang w:val="es-PE"/>
        </w:rPr>
        <w:t>este acogió el pedido</w:t>
      </w:r>
      <w:r w:rsidR="00F2190A" w:rsidRPr="00152589">
        <w:rPr>
          <w:rFonts w:asciiTheme="majorHAnsi" w:hAnsiTheme="majorHAnsi"/>
          <w:sz w:val="20"/>
          <w:szCs w:val="20"/>
          <w:lang w:val="es-PE"/>
        </w:rPr>
        <w:t xml:space="preserve"> y gracias a su investidura</w:t>
      </w:r>
      <w:r w:rsidR="00361667" w:rsidRPr="00152589">
        <w:rPr>
          <w:rFonts w:asciiTheme="majorHAnsi" w:hAnsiTheme="majorHAnsi"/>
          <w:sz w:val="20"/>
          <w:szCs w:val="20"/>
          <w:lang w:val="es-PE"/>
        </w:rPr>
        <w:t xml:space="preserve"> presentó la acción de inconstitucionalidad el 23 de mayo de 2017. </w:t>
      </w:r>
    </w:p>
    <w:p w14:paraId="2CBE9524" w14:textId="4C8A385F" w:rsidR="00AE66DB" w:rsidRPr="00152589" w:rsidRDefault="00AE66DB" w:rsidP="00E90B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152589">
        <w:rPr>
          <w:rFonts w:asciiTheme="majorHAnsi" w:hAnsiTheme="majorHAnsi"/>
          <w:sz w:val="20"/>
          <w:szCs w:val="20"/>
          <w:lang w:val="es-PE"/>
        </w:rPr>
        <w:t>En un primer momento, el 4 de agosto de 2017 el Tribunal Constitucional emit</w:t>
      </w:r>
      <w:r w:rsidR="00852498" w:rsidRPr="00152589">
        <w:rPr>
          <w:rFonts w:asciiTheme="majorHAnsi" w:hAnsiTheme="majorHAnsi"/>
          <w:sz w:val="20"/>
          <w:szCs w:val="20"/>
          <w:lang w:val="es-PE"/>
        </w:rPr>
        <w:t>ió</w:t>
      </w:r>
      <w:r w:rsidRPr="00152589">
        <w:rPr>
          <w:rFonts w:asciiTheme="majorHAnsi" w:hAnsiTheme="majorHAnsi"/>
          <w:sz w:val="20"/>
          <w:szCs w:val="20"/>
          <w:lang w:val="es-PE"/>
        </w:rPr>
        <w:t xml:space="preserve"> el Auto Constitucional No. 0222/2017-CA, </w:t>
      </w:r>
      <w:r w:rsidR="00852498" w:rsidRPr="00152589">
        <w:rPr>
          <w:rFonts w:asciiTheme="majorHAnsi" w:hAnsiTheme="majorHAnsi"/>
          <w:sz w:val="20"/>
          <w:szCs w:val="20"/>
          <w:lang w:val="es-PE"/>
        </w:rPr>
        <w:t>en el qu</w:t>
      </w:r>
      <w:r w:rsidRPr="00152589">
        <w:rPr>
          <w:rFonts w:asciiTheme="majorHAnsi" w:hAnsiTheme="majorHAnsi"/>
          <w:sz w:val="20"/>
          <w:szCs w:val="20"/>
          <w:lang w:val="es-PE"/>
        </w:rPr>
        <w:t xml:space="preserve">e </w:t>
      </w:r>
      <w:r w:rsidR="00361667" w:rsidRPr="00152589">
        <w:rPr>
          <w:rFonts w:asciiTheme="majorHAnsi" w:hAnsiTheme="majorHAnsi"/>
          <w:sz w:val="20"/>
          <w:szCs w:val="20"/>
          <w:lang w:val="es-PE"/>
        </w:rPr>
        <w:t>admit</w:t>
      </w:r>
      <w:r w:rsidR="00852498" w:rsidRPr="00152589">
        <w:rPr>
          <w:rFonts w:asciiTheme="majorHAnsi" w:hAnsiTheme="majorHAnsi"/>
          <w:sz w:val="20"/>
          <w:szCs w:val="20"/>
          <w:lang w:val="es-PE"/>
        </w:rPr>
        <w:t>ió</w:t>
      </w:r>
      <w:r w:rsidR="00361667" w:rsidRPr="00152589">
        <w:rPr>
          <w:rFonts w:asciiTheme="majorHAnsi" w:hAnsiTheme="majorHAnsi"/>
          <w:sz w:val="20"/>
          <w:szCs w:val="20"/>
          <w:lang w:val="es-PE"/>
        </w:rPr>
        <w:t xml:space="preserve"> la acción señalando </w:t>
      </w:r>
      <w:r w:rsidRPr="00152589">
        <w:rPr>
          <w:rFonts w:asciiTheme="majorHAnsi" w:hAnsiTheme="majorHAnsi"/>
          <w:sz w:val="20"/>
          <w:szCs w:val="20"/>
          <w:lang w:val="es-PE"/>
        </w:rPr>
        <w:t xml:space="preserve">taxativamente que </w:t>
      </w:r>
      <w:r w:rsidR="006F11CC" w:rsidRPr="00152589">
        <w:rPr>
          <w:rFonts w:asciiTheme="majorHAnsi" w:hAnsiTheme="majorHAnsi"/>
          <w:i/>
          <w:iCs/>
          <w:sz w:val="20"/>
          <w:szCs w:val="20"/>
          <w:lang w:val="es-PE"/>
        </w:rPr>
        <w:t>“del análisis de la acción presentada, se evidencia que esta se respalda en una adecuada fundamentación jurídico – constitucional, precisando el accionante las razones por las cuales considera que los preceptos hoy cuestionados son contradictorios al texto constitucional,</w:t>
      </w:r>
      <w:r w:rsidR="006F11CC" w:rsidRPr="00152589">
        <w:rPr>
          <w:rFonts w:asciiTheme="majorHAnsi" w:hAnsiTheme="majorHAnsi" w:cs="Franklin Gothic Book"/>
          <w:i/>
          <w:iCs/>
          <w:color w:val="000000"/>
          <w:sz w:val="28"/>
          <w:szCs w:val="28"/>
          <w:lang w:val="es-PE" w:eastAsia="es-ES"/>
        </w:rPr>
        <w:t xml:space="preserve"> </w:t>
      </w:r>
      <w:r w:rsidR="006F11CC" w:rsidRPr="00152589">
        <w:rPr>
          <w:rFonts w:asciiTheme="majorHAnsi" w:hAnsiTheme="majorHAnsi"/>
          <w:i/>
          <w:iCs/>
          <w:sz w:val="20"/>
          <w:szCs w:val="20"/>
          <w:lang w:val="es-PE"/>
        </w:rPr>
        <w:t>generando duda razonable, que posibilita realizar el juicio de constitucionalidad</w:t>
      </w:r>
      <w:r w:rsidRPr="00152589">
        <w:rPr>
          <w:rFonts w:asciiTheme="majorHAnsi" w:hAnsiTheme="majorHAnsi"/>
          <w:i/>
          <w:iCs/>
          <w:sz w:val="20"/>
          <w:szCs w:val="20"/>
          <w:lang w:val="es-PE"/>
        </w:rPr>
        <w:t>”.</w:t>
      </w:r>
      <w:r w:rsidR="00E90BFB" w:rsidRPr="00152589">
        <w:rPr>
          <w:rFonts w:asciiTheme="majorHAnsi" w:hAnsiTheme="majorHAnsi"/>
          <w:sz w:val="20"/>
          <w:szCs w:val="20"/>
          <w:lang w:val="es-PE"/>
        </w:rPr>
        <w:t xml:space="preserve"> </w:t>
      </w:r>
      <w:r w:rsidRPr="00152589">
        <w:rPr>
          <w:rFonts w:asciiTheme="majorHAnsi" w:hAnsiTheme="majorHAnsi"/>
          <w:sz w:val="20"/>
          <w:szCs w:val="20"/>
          <w:lang w:val="es-PE"/>
        </w:rPr>
        <w:t xml:space="preserve">Sin embargo, el 14 de marzo de 2018 </w:t>
      </w:r>
      <w:r w:rsidR="005919D6" w:rsidRPr="00152589">
        <w:rPr>
          <w:rFonts w:asciiTheme="majorHAnsi" w:hAnsiTheme="majorHAnsi"/>
          <w:sz w:val="20"/>
          <w:szCs w:val="20"/>
          <w:lang w:val="es-PE"/>
        </w:rPr>
        <w:t>este mismo colegiado</w:t>
      </w:r>
      <w:r w:rsidRPr="00152589">
        <w:rPr>
          <w:rFonts w:asciiTheme="majorHAnsi" w:hAnsiTheme="majorHAnsi"/>
          <w:sz w:val="20"/>
          <w:szCs w:val="20"/>
          <w:lang w:val="es-PE"/>
        </w:rPr>
        <w:t xml:space="preserve"> emit</w:t>
      </w:r>
      <w:r w:rsidR="00852498" w:rsidRPr="00152589">
        <w:rPr>
          <w:rFonts w:asciiTheme="majorHAnsi" w:hAnsiTheme="majorHAnsi"/>
          <w:sz w:val="20"/>
          <w:szCs w:val="20"/>
          <w:lang w:val="es-PE"/>
        </w:rPr>
        <w:t>ió</w:t>
      </w:r>
      <w:r w:rsidRPr="00152589">
        <w:rPr>
          <w:rFonts w:asciiTheme="majorHAnsi" w:hAnsiTheme="majorHAnsi"/>
          <w:sz w:val="20"/>
          <w:szCs w:val="20"/>
          <w:lang w:val="es-PE"/>
        </w:rPr>
        <w:t xml:space="preserve"> la Sentencia Constitucional Plurinacional 0004/2018, </w:t>
      </w:r>
      <w:r w:rsidR="00852498" w:rsidRPr="00152589">
        <w:rPr>
          <w:rFonts w:asciiTheme="majorHAnsi" w:hAnsiTheme="majorHAnsi"/>
          <w:sz w:val="20"/>
          <w:szCs w:val="20"/>
          <w:lang w:val="es-PE"/>
        </w:rPr>
        <w:t xml:space="preserve">en la que </w:t>
      </w:r>
      <w:r w:rsidRPr="00152589">
        <w:rPr>
          <w:rFonts w:asciiTheme="majorHAnsi" w:hAnsiTheme="majorHAnsi"/>
          <w:sz w:val="20"/>
          <w:szCs w:val="20"/>
          <w:lang w:val="es-PE"/>
        </w:rPr>
        <w:t>cambi</w:t>
      </w:r>
      <w:r w:rsidR="00852498" w:rsidRPr="00152589">
        <w:rPr>
          <w:rFonts w:asciiTheme="majorHAnsi" w:hAnsiTheme="majorHAnsi"/>
          <w:sz w:val="20"/>
          <w:szCs w:val="20"/>
          <w:lang w:val="es-PE"/>
        </w:rPr>
        <w:t>ó</w:t>
      </w:r>
      <w:r w:rsidRPr="00152589">
        <w:rPr>
          <w:rFonts w:asciiTheme="majorHAnsi" w:hAnsiTheme="majorHAnsi"/>
          <w:sz w:val="20"/>
          <w:szCs w:val="20"/>
          <w:lang w:val="es-PE"/>
        </w:rPr>
        <w:t xml:space="preserve"> su posición y declar</w:t>
      </w:r>
      <w:r w:rsidR="006D616F" w:rsidRPr="00152589">
        <w:rPr>
          <w:rFonts w:asciiTheme="majorHAnsi" w:hAnsiTheme="majorHAnsi"/>
          <w:sz w:val="20"/>
          <w:szCs w:val="20"/>
          <w:lang w:val="es-PE"/>
        </w:rPr>
        <w:t>ó</w:t>
      </w:r>
      <w:r w:rsidRPr="00152589">
        <w:rPr>
          <w:rFonts w:asciiTheme="majorHAnsi" w:hAnsiTheme="majorHAnsi"/>
          <w:sz w:val="20"/>
          <w:szCs w:val="20"/>
          <w:lang w:val="es-PE"/>
        </w:rPr>
        <w:t xml:space="preserve"> improcedente la demanda, señalando que </w:t>
      </w:r>
      <w:r w:rsidRPr="00152589">
        <w:rPr>
          <w:rFonts w:asciiTheme="majorHAnsi" w:hAnsiTheme="majorHAnsi"/>
          <w:i/>
          <w:iCs/>
          <w:sz w:val="20"/>
          <w:szCs w:val="20"/>
          <w:lang w:val="es-PE"/>
        </w:rPr>
        <w:t>“los cargos de inconstitucionalidad son insuficientes para realizar el contraste de las normas acusadas”.</w:t>
      </w:r>
      <w:r w:rsidR="00286663" w:rsidRPr="00152589">
        <w:rPr>
          <w:rFonts w:asciiTheme="majorHAnsi" w:hAnsiTheme="majorHAnsi"/>
          <w:i/>
          <w:iCs/>
          <w:sz w:val="20"/>
          <w:szCs w:val="20"/>
          <w:lang w:val="es-PE"/>
        </w:rPr>
        <w:t xml:space="preserve"> </w:t>
      </w:r>
      <w:r w:rsidR="00286663" w:rsidRPr="00152589">
        <w:rPr>
          <w:rFonts w:asciiTheme="majorHAnsi" w:hAnsiTheme="majorHAnsi"/>
          <w:sz w:val="20"/>
          <w:szCs w:val="20"/>
          <w:lang w:val="es-PE"/>
        </w:rPr>
        <w:t>Finalmente, esta decisión fue notificada el 2 de abril de 2019.</w:t>
      </w:r>
    </w:p>
    <w:p w14:paraId="1411417F" w14:textId="77777777" w:rsidR="00E64C80" w:rsidRPr="00152589" w:rsidRDefault="00E64C80" w:rsidP="00E64C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PE"/>
        </w:rPr>
      </w:pPr>
      <w:r w:rsidRPr="00152589">
        <w:rPr>
          <w:rFonts w:asciiTheme="majorHAnsi" w:hAnsiTheme="majorHAnsi"/>
          <w:i/>
          <w:iCs/>
          <w:sz w:val="20"/>
          <w:szCs w:val="20"/>
          <w:lang w:val="es-PE"/>
        </w:rPr>
        <w:t>Consideraciones finales</w:t>
      </w:r>
    </w:p>
    <w:p w14:paraId="1A1A15B5" w14:textId="0848C0AC" w:rsidR="00961ECF" w:rsidRPr="00152589" w:rsidRDefault="00BC5372" w:rsidP="00961E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152589">
        <w:rPr>
          <w:rFonts w:asciiTheme="majorHAnsi" w:hAnsiTheme="majorHAnsi"/>
          <w:sz w:val="20"/>
          <w:szCs w:val="20"/>
          <w:lang w:val="es-PE"/>
        </w:rPr>
        <w:t>L</w:t>
      </w:r>
      <w:r w:rsidR="00E64C80" w:rsidRPr="00152589">
        <w:rPr>
          <w:rFonts w:asciiTheme="majorHAnsi" w:hAnsiTheme="majorHAnsi"/>
          <w:sz w:val="20"/>
          <w:szCs w:val="20"/>
          <w:lang w:val="es-PE"/>
        </w:rPr>
        <w:t xml:space="preserve">a parte peticionaria </w:t>
      </w:r>
      <w:r w:rsidRPr="00152589">
        <w:rPr>
          <w:rFonts w:asciiTheme="majorHAnsi" w:hAnsiTheme="majorHAnsi"/>
          <w:sz w:val="20"/>
          <w:szCs w:val="20"/>
          <w:lang w:val="es-PE"/>
        </w:rPr>
        <w:t>concluye</w:t>
      </w:r>
      <w:r w:rsidR="00E64C80" w:rsidRPr="00152589">
        <w:rPr>
          <w:rFonts w:asciiTheme="majorHAnsi" w:hAnsiTheme="majorHAnsi"/>
          <w:sz w:val="20"/>
          <w:szCs w:val="20"/>
          <w:lang w:val="es-PE"/>
        </w:rPr>
        <w:t xml:space="preserve"> que </w:t>
      </w:r>
      <w:r w:rsidRPr="00152589">
        <w:rPr>
          <w:rFonts w:asciiTheme="majorHAnsi" w:hAnsiTheme="majorHAnsi"/>
          <w:sz w:val="20"/>
          <w:szCs w:val="20"/>
          <w:lang w:val="es-PE"/>
        </w:rPr>
        <w:t>Bolivia</w:t>
      </w:r>
      <w:r w:rsidR="00E64C80" w:rsidRPr="00152589">
        <w:rPr>
          <w:rFonts w:asciiTheme="majorHAnsi" w:hAnsiTheme="majorHAnsi"/>
          <w:sz w:val="20"/>
          <w:szCs w:val="20"/>
          <w:lang w:val="es-PE"/>
        </w:rPr>
        <w:t xml:space="preserve"> vulneró los derechos </w:t>
      </w:r>
      <w:r w:rsidR="00AE66DB" w:rsidRPr="00152589">
        <w:rPr>
          <w:rFonts w:asciiTheme="majorHAnsi" w:hAnsiTheme="majorHAnsi"/>
          <w:sz w:val="20"/>
          <w:szCs w:val="20"/>
          <w:lang w:val="es-PE"/>
        </w:rPr>
        <w:t>de los seis peticionarios</w:t>
      </w:r>
      <w:r w:rsidR="00E64C80" w:rsidRPr="00152589">
        <w:rPr>
          <w:rFonts w:asciiTheme="majorHAnsi" w:hAnsiTheme="majorHAnsi"/>
          <w:sz w:val="20"/>
          <w:szCs w:val="20"/>
          <w:lang w:val="es-PE"/>
        </w:rPr>
        <w:t xml:space="preserve"> al no </w:t>
      </w:r>
      <w:r w:rsidR="00AE66DB" w:rsidRPr="00152589">
        <w:rPr>
          <w:rFonts w:asciiTheme="majorHAnsi" w:hAnsiTheme="majorHAnsi"/>
          <w:sz w:val="20"/>
          <w:szCs w:val="20"/>
          <w:lang w:val="es-PE"/>
        </w:rPr>
        <w:t>permitirles gozar de</w:t>
      </w:r>
      <w:r w:rsidR="008C7C3E" w:rsidRPr="00152589">
        <w:rPr>
          <w:rFonts w:asciiTheme="majorHAnsi" w:hAnsiTheme="majorHAnsi"/>
          <w:sz w:val="20"/>
          <w:szCs w:val="20"/>
          <w:lang w:val="es-PE"/>
        </w:rPr>
        <w:t xml:space="preserve">l monto </w:t>
      </w:r>
      <w:r w:rsidR="00852498" w:rsidRPr="00152589">
        <w:rPr>
          <w:rFonts w:asciiTheme="majorHAnsi" w:hAnsiTheme="majorHAnsi"/>
          <w:sz w:val="20"/>
          <w:szCs w:val="20"/>
          <w:lang w:val="es-PE"/>
        </w:rPr>
        <w:t xml:space="preserve">total </w:t>
      </w:r>
      <w:r w:rsidR="008C7C3E" w:rsidRPr="00152589">
        <w:rPr>
          <w:rFonts w:asciiTheme="majorHAnsi" w:hAnsiTheme="majorHAnsi"/>
          <w:sz w:val="20"/>
          <w:szCs w:val="20"/>
          <w:lang w:val="es-PE"/>
        </w:rPr>
        <w:t>de</w:t>
      </w:r>
      <w:r w:rsidR="00AE66DB" w:rsidRPr="00152589">
        <w:rPr>
          <w:rFonts w:asciiTheme="majorHAnsi" w:hAnsiTheme="majorHAnsi"/>
          <w:sz w:val="20"/>
          <w:szCs w:val="20"/>
          <w:lang w:val="es-PE"/>
        </w:rPr>
        <w:t xml:space="preserve"> su</w:t>
      </w:r>
      <w:r w:rsidR="008C7C3E" w:rsidRPr="00152589">
        <w:rPr>
          <w:rFonts w:asciiTheme="majorHAnsi" w:hAnsiTheme="majorHAnsi"/>
          <w:sz w:val="20"/>
          <w:szCs w:val="20"/>
          <w:lang w:val="es-PE"/>
        </w:rPr>
        <w:t>s jubilaciones,</w:t>
      </w:r>
      <w:r w:rsidR="00AE66DB" w:rsidRPr="00152589">
        <w:rPr>
          <w:rFonts w:asciiTheme="majorHAnsi" w:hAnsiTheme="majorHAnsi"/>
          <w:sz w:val="20"/>
          <w:szCs w:val="20"/>
          <w:lang w:val="es-PE"/>
        </w:rPr>
        <w:t xml:space="preserve"> conforme a la norma </w:t>
      </w:r>
      <w:r w:rsidR="008C7C3E" w:rsidRPr="00152589">
        <w:rPr>
          <w:rFonts w:asciiTheme="majorHAnsi" w:hAnsiTheme="majorHAnsi"/>
          <w:sz w:val="20"/>
          <w:szCs w:val="20"/>
          <w:lang w:val="es-PE"/>
        </w:rPr>
        <w:t xml:space="preserve">a la </w:t>
      </w:r>
      <w:r w:rsidR="00AE66DB" w:rsidRPr="00152589">
        <w:rPr>
          <w:rFonts w:asciiTheme="majorHAnsi" w:hAnsiTheme="majorHAnsi"/>
          <w:sz w:val="20"/>
          <w:szCs w:val="20"/>
          <w:lang w:val="es-PE"/>
        </w:rPr>
        <w:t>que se acogieron</w:t>
      </w:r>
      <w:r w:rsidR="00E64C80" w:rsidRPr="00152589">
        <w:rPr>
          <w:rFonts w:asciiTheme="majorHAnsi" w:hAnsiTheme="majorHAnsi"/>
          <w:sz w:val="20"/>
          <w:szCs w:val="20"/>
          <w:lang w:val="es-PE"/>
        </w:rPr>
        <w:t>.</w:t>
      </w:r>
      <w:r w:rsidR="00961ECF" w:rsidRPr="00152589">
        <w:rPr>
          <w:rFonts w:asciiTheme="majorHAnsi" w:hAnsiTheme="majorHAnsi"/>
          <w:sz w:val="20"/>
          <w:szCs w:val="20"/>
          <w:lang w:val="es-PE"/>
        </w:rPr>
        <w:t xml:space="preserve"> Alega que el descuento anual del 8% debió haber cesado cuando las presuntas víctimas alcanzaron gradualmente las edades mínimas</w:t>
      </w:r>
      <w:r w:rsidR="00AF313B" w:rsidRPr="00152589">
        <w:rPr>
          <w:rFonts w:asciiTheme="majorHAnsi" w:hAnsiTheme="majorHAnsi"/>
          <w:sz w:val="20"/>
          <w:szCs w:val="20"/>
          <w:lang w:val="es-PE"/>
        </w:rPr>
        <w:t xml:space="preserve"> para acceder a una pensión por edad ordinaria</w:t>
      </w:r>
      <w:r w:rsidR="00961ECF" w:rsidRPr="00152589">
        <w:rPr>
          <w:rFonts w:asciiTheme="majorHAnsi" w:hAnsiTheme="majorHAnsi"/>
          <w:sz w:val="20"/>
          <w:szCs w:val="20"/>
          <w:lang w:val="es-PE"/>
        </w:rPr>
        <w:t xml:space="preserve">. </w:t>
      </w:r>
    </w:p>
    <w:p w14:paraId="750A6918" w14:textId="2F9CE91E" w:rsidR="00E64C80" w:rsidRPr="00152589" w:rsidRDefault="00F44C72" w:rsidP="00A67D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152589">
        <w:rPr>
          <w:rFonts w:asciiTheme="majorHAnsi" w:hAnsiTheme="majorHAnsi"/>
          <w:sz w:val="20"/>
          <w:szCs w:val="20"/>
          <w:lang w:val="es-PE"/>
        </w:rPr>
        <w:t>Plantea</w:t>
      </w:r>
      <w:r w:rsidR="00FF4AF6" w:rsidRPr="00152589">
        <w:rPr>
          <w:rFonts w:asciiTheme="majorHAnsi" w:hAnsiTheme="majorHAnsi"/>
          <w:sz w:val="20"/>
          <w:szCs w:val="20"/>
          <w:lang w:val="es-PE"/>
        </w:rPr>
        <w:t xml:space="preserve"> que además</w:t>
      </w:r>
      <w:r w:rsidR="008C7C3E" w:rsidRPr="00152589">
        <w:rPr>
          <w:rFonts w:asciiTheme="majorHAnsi" w:hAnsiTheme="majorHAnsi"/>
          <w:sz w:val="20"/>
          <w:szCs w:val="20"/>
          <w:lang w:val="es-PE"/>
        </w:rPr>
        <w:t xml:space="preserve"> de las vulneraciones a la Convención Americana</w:t>
      </w:r>
      <w:r w:rsidR="00CB0470" w:rsidRPr="00152589">
        <w:rPr>
          <w:rFonts w:asciiTheme="majorHAnsi" w:hAnsiTheme="majorHAnsi"/>
          <w:sz w:val="20"/>
          <w:szCs w:val="20"/>
          <w:lang w:val="es-PE"/>
        </w:rPr>
        <w:t>,</w:t>
      </w:r>
      <w:r w:rsidR="008C7C3E" w:rsidRPr="00152589">
        <w:rPr>
          <w:rFonts w:asciiTheme="majorHAnsi" w:hAnsiTheme="majorHAnsi"/>
          <w:sz w:val="20"/>
          <w:szCs w:val="20"/>
          <w:lang w:val="es-PE"/>
        </w:rPr>
        <w:t xml:space="preserve"> también se </w:t>
      </w:r>
      <w:r w:rsidR="00CB0470" w:rsidRPr="00152589">
        <w:rPr>
          <w:rFonts w:asciiTheme="majorHAnsi" w:hAnsiTheme="majorHAnsi"/>
          <w:sz w:val="20"/>
          <w:szCs w:val="20"/>
          <w:lang w:val="es-PE"/>
        </w:rPr>
        <w:t>infringen</w:t>
      </w:r>
      <w:r w:rsidR="008C7C3E" w:rsidRPr="00152589">
        <w:rPr>
          <w:rFonts w:asciiTheme="majorHAnsi" w:hAnsiTheme="majorHAnsi"/>
          <w:sz w:val="20"/>
          <w:szCs w:val="20"/>
          <w:lang w:val="es-PE"/>
        </w:rPr>
        <w:t xml:space="preserve"> disposiciones de la Convención Interamericana sobre la Protección de los Derechos Humanos de las Personas Mayores y el Protocolo de San Salvador, en lo relativo a la protección de</w:t>
      </w:r>
      <w:r w:rsidR="00852498" w:rsidRPr="00152589">
        <w:rPr>
          <w:rFonts w:asciiTheme="majorHAnsi" w:hAnsiTheme="majorHAnsi"/>
          <w:sz w:val="20"/>
          <w:szCs w:val="20"/>
          <w:lang w:val="es-PE"/>
        </w:rPr>
        <w:t xml:space="preserve"> las</w:t>
      </w:r>
      <w:r w:rsidR="008C7C3E" w:rsidRPr="00152589">
        <w:rPr>
          <w:rFonts w:asciiTheme="majorHAnsi" w:hAnsiTheme="majorHAnsi"/>
          <w:sz w:val="20"/>
          <w:szCs w:val="20"/>
          <w:lang w:val="es-PE"/>
        </w:rPr>
        <w:t xml:space="preserve"> personas adultas mayores.</w:t>
      </w:r>
      <w:r w:rsidR="00961ECF" w:rsidRPr="00152589">
        <w:rPr>
          <w:rFonts w:asciiTheme="majorHAnsi" w:hAnsiTheme="majorHAnsi"/>
          <w:sz w:val="20"/>
          <w:szCs w:val="20"/>
          <w:lang w:val="es-PE"/>
        </w:rPr>
        <w:t xml:space="preserve"> </w:t>
      </w:r>
      <w:r w:rsidR="00C948A1" w:rsidRPr="00152589">
        <w:rPr>
          <w:rFonts w:asciiTheme="majorHAnsi" w:hAnsiTheme="majorHAnsi"/>
          <w:sz w:val="20"/>
          <w:szCs w:val="20"/>
          <w:lang w:val="es-PE"/>
        </w:rPr>
        <w:t xml:space="preserve">Además, se estaría vulnerando el </w:t>
      </w:r>
      <w:r w:rsidR="00961ECF" w:rsidRPr="00152589">
        <w:rPr>
          <w:rFonts w:asciiTheme="majorHAnsi" w:hAnsiTheme="majorHAnsi"/>
          <w:sz w:val="20"/>
          <w:szCs w:val="20"/>
          <w:lang w:val="es-PE"/>
        </w:rPr>
        <w:t xml:space="preserve">art. 123 </w:t>
      </w:r>
      <w:r w:rsidR="00C948A1" w:rsidRPr="00152589">
        <w:rPr>
          <w:rFonts w:asciiTheme="majorHAnsi" w:hAnsiTheme="majorHAnsi"/>
          <w:sz w:val="20"/>
          <w:szCs w:val="20"/>
          <w:lang w:val="es-PE"/>
        </w:rPr>
        <w:t>de la Constitución que a la letra dice:</w:t>
      </w:r>
      <w:r w:rsidR="00961ECF" w:rsidRPr="00152589">
        <w:rPr>
          <w:rFonts w:asciiTheme="majorHAnsi" w:hAnsiTheme="majorHAnsi"/>
          <w:sz w:val="20"/>
          <w:szCs w:val="20"/>
          <w:lang w:val="es-PE"/>
        </w:rPr>
        <w:t xml:space="preserve"> </w:t>
      </w:r>
      <w:r w:rsidR="00961ECF" w:rsidRPr="00152589">
        <w:rPr>
          <w:rFonts w:asciiTheme="majorHAnsi" w:hAnsiTheme="majorHAnsi"/>
          <w:i/>
          <w:iCs/>
          <w:sz w:val="20"/>
          <w:szCs w:val="20"/>
          <w:lang w:val="es-PE"/>
        </w:rPr>
        <w:t>“</w:t>
      </w:r>
      <w:r w:rsidR="00545F4F" w:rsidRPr="00152589">
        <w:rPr>
          <w:rFonts w:asciiTheme="majorHAnsi" w:hAnsiTheme="majorHAnsi"/>
          <w:sz w:val="20"/>
          <w:szCs w:val="20"/>
          <w:lang w:val="es-PE"/>
        </w:rPr>
        <w:t>[l]</w:t>
      </w:r>
      <w:r w:rsidR="00961ECF" w:rsidRPr="00152589">
        <w:rPr>
          <w:rFonts w:asciiTheme="majorHAnsi" w:hAnsiTheme="majorHAnsi"/>
          <w:i/>
          <w:iCs/>
          <w:sz w:val="20"/>
          <w:szCs w:val="20"/>
          <w:lang w:val="es-PE"/>
        </w:rPr>
        <w:t>a ley sólo dispone para lo venidero y no tendrá efecto retroactivo, excepto en materia laboral, cuando lo determine expresamente a favor de las trabajadoras y los trabajadores</w:t>
      </w:r>
      <w:r w:rsidR="00961ECF" w:rsidRPr="00152589">
        <w:rPr>
          <w:rFonts w:asciiTheme="majorHAnsi" w:hAnsiTheme="majorHAnsi"/>
          <w:sz w:val="20"/>
          <w:szCs w:val="20"/>
          <w:lang w:val="es-PE"/>
        </w:rPr>
        <w:t>”</w:t>
      </w:r>
      <w:r w:rsidR="009B4F2B" w:rsidRPr="00152589">
        <w:rPr>
          <w:rFonts w:asciiTheme="majorHAnsi" w:hAnsiTheme="majorHAnsi"/>
          <w:sz w:val="20"/>
          <w:szCs w:val="20"/>
          <w:lang w:val="es-PE"/>
        </w:rPr>
        <w:t>;</w:t>
      </w:r>
      <w:r w:rsidR="00961ECF" w:rsidRPr="00152589">
        <w:rPr>
          <w:rFonts w:asciiTheme="majorHAnsi" w:hAnsiTheme="majorHAnsi"/>
          <w:sz w:val="20"/>
          <w:szCs w:val="20"/>
          <w:lang w:val="es-PE"/>
        </w:rPr>
        <w:t xml:space="preserve"> que </w:t>
      </w:r>
      <w:r w:rsidR="00961ECF" w:rsidRPr="00152589">
        <w:rPr>
          <w:rFonts w:asciiTheme="majorHAnsi" w:hAnsiTheme="majorHAnsi"/>
          <w:i/>
          <w:iCs/>
          <w:sz w:val="20"/>
          <w:szCs w:val="20"/>
          <w:lang w:val="es-PE"/>
        </w:rPr>
        <w:t>“</w:t>
      </w:r>
      <w:r w:rsidR="00545F4F" w:rsidRPr="00152589">
        <w:rPr>
          <w:rFonts w:asciiTheme="majorHAnsi" w:hAnsiTheme="majorHAnsi"/>
          <w:sz w:val="20"/>
          <w:szCs w:val="20"/>
          <w:lang w:val="es-PE"/>
        </w:rPr>
        <w:t>[l]</w:t>
      </w:r>
      <w:r w:rsidR="00961ECF" w:rsidRPr="00152589">
        <w:rPr>
          <w:rFonts w:asciiTheme="majorHAnsi" w:hAnsiTheme="majorHAnsi"/>
          <w:i/>
          <w:iCs/>
          <w:sz w:val="20"/>
          <w:szCs w:val="20"/>
          <w:lang w:val="es-PE"/>
        </w:rPr>
        <w:t>as disposiciones sociales y laborales son de cumplimiento obligatorio</w:t>
      </w:r>
      <w:r w:rsidR="00961ECF" w:rsidRPr="00152589">
        <w:rPr>
          <w:rFonts w:asciiTheme="majorHAnsi" w:hAnsiTheme="majorHAnsi"/>
          <w:sz w:val="20"/>
          <w:szCs w:val="20"/>
          <w:lang w:val="es-PE"/>
        </w:rPr>
        <w:t>”</w:t>
      </w:r>
      <w:r w:rsidR="009B4F2B" w:rsidRPr="00152589">
        <w:rPr>
          <w:rFonts w:asciiTheme="majorHAnsi" w:hAnsiTheme="majorHAnsi"/>
          <w:sz w:val="20"/>
          <w:szCs w:val="20"/>
          <w:lang w:val="es-PE"/>
        </w:rPr>
        <w:t>;</w:t>
      </w:r>
      <w:r w:rsidR="00961ECF" w:rsidRPr="00152589">
        <w:rPr>
          <w:rFonts w:asciiTheme="majorHAnsi" w:hAnsiTheme="majorHAnsi"/>
          <w:sz w:val="20"/>
          <w:szCs w:val="20"/>
          <w:lang w:val="es-PE"/>
        </w:rPr>
        <w:t xml:space="preserve"> y que </w:t>
      </w:r>
      <w:r w:rsidR="00961ECF" w:rsidRPr="00152589">
        <w:rPr>
          <w:rFonts w:asciiTheme="majorHAnsi" w:hAnsiTheme="majorHAnsi"/>
          <w:i/>
          <w:iCs/>
          <w:sz w:val="20"/>
          <w:szCs w:val="20"/>
          <w:lang w:val="es-PE"/>
        </w:rPr>
        <w:t>“</w:t>
      </w:r>
      <w:r w:rsidR="00061807" w:rsidRPr="00152589">
        <w:rPr>
          <w:rFonts w:asciiTheme="majorHAnsi" w:hAnsiTheme="majorHAnsi"/>
          <w:sz w:val="20"/>
          <w:szCs w:val="20"/>
          <w:lang w:val="es-PE"/>
        </w:rPr>
        <w:t>[l]</w:t>
      </w:r>
      <w:r w:rsidR="00961ECF" w:rsidRPr="00152589">
        <w:rPr>
          <w:rFonts w:asciiTheme="majorHAnsi" w:hAnsiTheme="majorHAnsi"/>
          <w:i/>
          <w:iCs/>
          <w:sz w:val="20"/>
          <w:szCs w:val="20"/>
          <w:lang w:val="es-PE"/>
        </w:rPr>
        <w:t>os derechos y beneficios reconocidos a favor de las trabajadoras y los trabajadores no pueden renunciarse, y son nulas las convenciones contrarias o que tiendan a burlar sus efectos</w:t>
      </w:r>
      <w:r w:rsidR="00961ECF" w:rsidRPr="00152589">
        <w:rPr>
          <w:rFonts w:asciiTheme="majorHAnsi" w:hAnsiTheme="majorHAnsi"/>
          <w:sz w:val="20"/>
          <w:szCs w:val="20"/>
          <w:lang w:val="es-PE"/>
        </w:rPr>
        <w:t xml:space="preserve">”. Por </w:t>
      </w:r>
      <w:r w:rsidR="002632C5" w:rsidRPr="00152589">
        <w:rPr>
          <w:rFonts w:asciiTheme="majorHAnsi" w:hAnsiTheme="majorHAnsi"/>
          <w:sz w:val="20"/>
          <w:szCs w:val="20"/>
          <w:lang w:val="es-PE"/>
        </w:rPr>
        <w:t>lo tanto</w:t>
      </w:r>
      <w:r w:rsidR="00961ECF" w:rsidRPr="00152589">
        <w:rPr>
          <w:rFonts w:asciiTheme="majorHAnsi" w:hAnsiTheme="majorHAnsi"/>
          <w:sz w:val="20"/>
          <w:szCs w:val="20"/>
          <w:lang w:val="es-PE"/>
        </w:rPr>
        <w:t xml:space="preserve">, la situación de las </w:t>
      </w:r>
      <w:r w:rsidR="00961ECF" w:rsidRPr="00152589">
        <w:rPr>
          <w:rFonts w:asciiTheme="majorHAnsi" w:hAnsiTheme="majorHAnsi"/>
          <w:sz w:val="20"/>
          <w:szCs w:val="20"/>
          <w:lang w:val="es-PE"/>
        </w:rPr>
        <w:lastRenderedPageBreak/>
        <w:t xml:space="preserve">presuntas víctimas no debió ser afectada por </w:t>
      </w:r>
      <w:r w:rsidR="00A67DAD" w:rsidRPr="00152589">
        <w:rPr>
          <w:rFonts w:asciiTheme="majorHAnsi" w:hAnsiTheme="majorHAnsi"/>
          <w:sz w:val="20"/>
          <w:szCs w:val="20"/>
          <w:lang w:val="es-PE"/>
        </w:rPr>
        <w:t>las disposiciones posteriores a la Resolución Ministerial N°1361, pues implicaría su aplicación retroactiva</w:t>
      </w:r>
      <w:r w:rsidR="00961ECF" w:rsidRPr="00152589">
        <w:rPr>
          <w:rFonts w:asciiTheme="majorHAnsi" w:hAnsiTheme="majorHAnsi"/>
          <w:sz w:val="20"/>
          <w:szCs w:val="20"/>
          <w:lang w:val="es-PE"/>
        </w:rPr>
        <w:t xml:space="preserve"> en perjuicio de </w:t>
      </w:r>
      <w:r w:rsidR="007F17F8" w:rsidRPr="00152589">
        <w:rPr>
          <w:rFonts w:asciiTheme="majorHAnsi" w:hAnsiTheme="majorHAnsi"/>
          <w:sz w:val="20"/>
          <w:szCs w:val="20"/>
          <w:lang w:val="es-PE"/>
        </w:rPr>
        <w:t>estas</w:t>
      </w:r>
      <w:r w:rsidR="00961ECF" w:rsidRPr="00152589">
        <w:rPr>
          <w:rFonts w:asciiTheme="majorHAnsi" w:hAnsiTheme="majorHAnsi"/>
          <w:sz w:val="20"/>
          <w:szCs w:val="20"/>
          <w:lang w:val="es-PE"/>
        </w:rPr>
        <w:t xml:space="preserve">. </w:t>
      </w:r>
    </w:p>
    <w:p w14:paraId="3EBBC2D1" w14:textId="2BBC52E1" w:rsidR="00E64C80" w:rsidRPr="00152589" w:rsidRDefault="00D61DE3" w:rsidP="00E64C8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PE"/>
        </w:rPr>
      </w:pPr>
      <w:r w:rsidRPr="00152589">
        <w:rPr>
          <w:rFonts w:asciiTheme="majorHAnsi" w:hAnsiTheme="majorHAnsi"/>
          <w:b/>
          <w:bCs/>
          <w:sz w:val="20"/>
          <w:szCs w:val="20"/>
          <w:lang w:val="es-PE"/>
        </w:rPr>
        <w:t>E</w:t>
      </w:r>
      <w:r w:rsidR="00E64C80" w:rsidRPr="00152589">
        <w:rPr>
          <w:rFonts w:asciiTheme="majorHAnsi" w:hAnsiTheme="majorHAnsi"/>
          <w:b/>
          <w:bCs/>
          <w:sz w:val="20"/>
          <w:szCs w:val="20"/>
          <w:lang w:val="es-PE"/>
        </w:rPr>
        <w:t>l Estado</w:t>
      </w:r>
      <w:r w:rsidRPr="00152589">
        <w:rPr>
          <w:rFonts w:asciiTheme="majorHAnsi" w:hAnsiTheme="majorHAnsi"/>
          <w:b/>
          <w:bCs/>
          <w:sz w:val="20"/>
          <w:szCs w:val="20"/>
          <w:lang w:val="es-PE"/>
        </w:rPr>
        <w:t xml:space="preserve"> boliviano</w:t>
      </w:r>
    </w:p>
    <w:p w14:paraId="701BF7D2" w14:textId="07F1FDB8" w:rsidR="00B738C0" w:rsidRPr="00152589" w:rsidRDefault="00286663" w:rsidP="00E90B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152589">
        <w:rPr>
          <w:rFonts w:asciiTheme="majorHAnsi" w:hAnsiTheme="majorHAnsi"/>
          <w:sz w:val="20"/>
          <w:szCs w:val="20"/>
          <w:lang w:val="es-PE"/>
        </w:rPr>
        <w:t>El Estado</w:t>
      </w:r>
      <w:r w:rsidR="004C3643" w:rsidRPr="00152589">
        <w:rPr>
          <w:rFonts w:asciiTheme="majorHAnsi" w:hAnsiTheme="majorHAnsi"/>
          <w:sz w:val="20"/>
          <w:szCs w:val="20"/>
          <w:lang w:val="es-PE"/>
        </w:rPr>
        <w:t xml:space="preserve"> arguye que los hechos denunciados no caracterizan violaciones a los derechos humanos que les sean atribuibles</w:t>
      </w:r>
      <w:r w:rsidR="00C049FB" w:rsidRPr="00152589">
        <w:rPr>
          <w:rFonts w:asciiTheme="majorHAnsi" w:hAnsiTheme="majorHAnsi"/>
          <w:sz w:val="20"/>
          <w:szCs w:val="20"/>
          <w:lang w:val="es-PE"/>
        </w:rPr>
        <w:t xml:space="preserve">. Recuerda que las normas </w:t>
      </w:r>
      <w:r w:rsidR="00852498" w:rsidRPr="00152589">
        <w:rPr>
          <w:rFonts w:asciiTheme="majorHAnsi" w:hAnsiTheme="majorHAnsi"/>
          <w:sz w:val="20"/>
          <w:szCs w:val="20"/>
          <w:lang w:val="es-PE"/>
        </w:rPr>
        <w:t>cuestionadas</w:t>
      </w:r>
      <w:r w:rsidR="00C049FB" w:rsidRPr="00152589">
        <w:rPr>
          <w:rFonts w:asciiTheme="majorHAnsi" w:hAnsiTheme="majorHAnsi"/>
          <w:sz w:val="20"/>
          <w:szCs w:val="20"/>
          <w:lang w:val="es-PE"/>
        </w:rPr>
        <w:t xml:space="preserve"> están dirigidas a permitir que las personas que no c</w:t>
      </w:r>
      <w:r w:rsidR="00852498" w:rsidRPr="00152589">
        <w:rPr>
          <w:rFonts w:asciiTheme="majorHAnsi" w:hAnsiTheme="majorHAnsi"/>
          <w:sz w:val="20"/>
          <w:szCs w:val="20"/>
          <w:lang w:val="es-PE"/>
        </w:rPr>
        <w:t>umplían</w:t>
      </w:r>
      <w:r w:rsidR="00C049FB" w:rsidRPr="00152589">
        <w:rPr>
          <w:rFonts w:asciiTheme="majorHAnsi" w:hAnsiTheme="majorHAnsi"/>
          <w:sz w:val="20"/>
          <w:szCs w:val="20"/>
          <w:lang w:val="es-PE"/>
        </w:rPr>
        <w:t xml:space="preserve"> con los años requeridos para la </w:t>
      </w:r>
      <w:r w:rsidR="00E90BFB" w:rsidRPr="00152589">
        <w:rPr>
          <w:rFonts w:asciiTheme="majorHAnsi" w:hAnsiTheme="majorHAnsi"/>
          <w:sz w:val="20"/>
          <w:szCs w:val="20"/>
          <w:lang w:val="es-PE"/>
        </w:rPr>
        <w:t>jubilación</w:t>
      </w:r>
      <w:r w:rsidR="00C049FB" w:rsidRPr="00152589">
        <w:rPr>
          <w:rFonts w:asciiTheme="majorHAnsi" w:hAnsiTheme="majorHAnsi"/>
          <w:sz w:val="20"/>
          <w:szCs w:val="20"/>
          <w:lang w:val="es-PE"/>
        </w:rPr>
        <w:t xml:space="preserve"> pu</w:t>
      </w:r>
      <w:r w:rsidR="00852498" w:rsidRPr="00152589">
        <w:rPr>
          <w:rFonts w:asciiTheme="majorHAnsi" w:hAnsiTheme="majorHAnsi"/>
          <w:sz w:val="20"/>
          <w:szCs w:val="20"/>
          <w:lang w:val="es-PE"/>
        </w:rPr>
        <w:t>dieran</w:t>
      </w:r>
      <w:r w:rsidR="00C049FB" w:rsidRPr="00152589">
        <w:rPr>
          <w:rFonts w:asciiTheme="majorHAnsi" w:hAnsiTheme="majorHAnsi"/>
          <w:sz w:val="20"/>
          <w:szCs w:val="20"/>
          <w:lang w:val="es-PE"/>
        </w:rPr>
        <w:t xml:space="preserve"> acogerse a </w:t>
      </w:r>
      <w:r w:rsidR="0055611B" w:rsidRPr="00152589">
        <w:rPr>
          <w:rFonts w:asciiTheme="majorHAnsi" w:hAnsiTheme="majorHAnsi"/>
          <w:sz w:val="20"/>
          <w:szCs w:val="20"/>
          <w:lang w:val="es-PE"/>
        </w:rPr>
        <w:t xml:space="preserve">la </w:t>
      </w:r>
      <w:r w:rsidR="00AF313B" w:rsidRPr="00152589">
        <w:rPr>
          <w:rFonts w:asciiTheme="majorHAnsi" w:hAnsiTheme="majorHAnsi"/>
          <w:sz w:val="20"/>
          <w:szCs w:val="20"/>
          <w:lang w:val="es-PE"/>
        </w:rPr>
        <w:t>r</w:t>
      </w:r>
      <w:r w:rsidR="0055611B" w:rsidRPr="00152589">
        <w:rPr>
          <w:rFonts w:asciiTheme="majorHAnsi" w:hAnsiTheme="majorHAnsi"/>
          <w:sz w:val="20"/>
          <w:szCs w:val="20"/>
          <w:lang w:val="es-PE"/>
        </w:rPr>
        <w:t xml:space="preserve">enta de </w:t>
      </w:r>
      <w:r w:rsidR="00AF313B" w:rsidRPr="00152589">
        <w:rPr>
          <w:rFonts w:asciiTheme="majorHAnsi" w:hAnsiTheme="majorHAnsi"/>
          <w:sz w:val="20"/>
          <w:szCs w:val="20"/>
          <w:lang w:val="es-PE"/>
        </w:rPr>
        <w:t>j</w:t>
      </w:r>
      <w:r w:rsidR="0055611B" w:rsidRPr="00152589">
        <w:rPr>
          <w:rFonts w:asciiTheme="majorHAnsi" w:hAnsiTheme="majorHAnsi"/>
          <w:sz w:val="20"/>
          <w:szCs w:val="20"/>
          <w:lang w:val="es-PE"/>
        </w:rPr>
        <w:t xml:space="preserve">ubilación con </w:t>
      </w:r>
      <w:r w:rsidR="00AF313B" w:rsidRPr="00152589">
        <w:rPr>
          <w:rFonts w:asciiTheme="majorHAnsi" w:hAnsiTheme="majorHAnsi"/>
          <w:sz w:val="20"/>
          <w:szCs w:val="20"/>
          <w:lang w:val="es-PE"/>
        </w:rPr>
        <w:t>r</w:t>
      </w:r>
      <w:r w:rsidR="0055611B" w:rsidRPr="00152589">
        <w:rPr>
          <w:rFonts w:asciiTheme="majorHAnsi" w:hAnsiTheme="majorHAnsi"/>
          <w:sz w:val="20"/>
          <w:szCs w:val="20"/>
          <w:lang w:val="es-PE"/>
        </w:rPr>
        <w:t xml:space="preserve">educción de </w:t>
      </w:r>
      <w:r w:rsidR="00AF313B" w:rsidRPr="00152589">
        <w:rPr>
          <w:rFonts w:asciiTheme="majorHAnsi" w:hAnsiTheme="majorHAnsi"/>
          <w:sz w:val="20"/>
          <w:szCs w:val="20"/>
          <w:lang w:val="es-PE"/>
        </w:rPr>
        <w:t>e</w:t>
      </w:r>
      <w:r w:rsidR="0055611B" w:rsidRPr="00152589">
        <w:rPr>
          <w:rFonts w:asciiTheme="majorHAnsi" w:hAnsiTheme="majorHAnsi"/>
          <w:sz w:val="20"/>
          <w:szCs w:val="20"/>
          <w:lang w:val="es-PE"/>
        </w:rPr>
        <w:t xml:space="preserve">dad </w:t>
      </w:r>
      <w:r w:rsidR="00C049FB" w:rsidRPr="00152589">
        <w:rPr>
          <w:rFonts w:asciiTheme="majorHAnsi" w:hAnsiTheme="majorHAnsi"/>
          <w:sz w:val="20"/>
          <w:szCs w:val="20"/>
          <w:lang w:val="es-PE"/>
        </w:rPr>
        <w:t xml:space="preserve">bajo condiciones que no eran las regulares. </w:t>
      </w:r>
      <w:r w:rsidR="00E90BFB" w:rsidRPr="00152589">
        <w:rPr>
          <w:rFonts w:asciiTheme="majorHAnsi" w:hAnsiTheme="majorHAnsi"/>
          <w:sz w:val="20"/>
          <w:szCs w:val="20"/>
          <w:lang w:val="es-PE"/>
        </w:rPr>
        <w:t xml:space="preserve">En tal sentido, destaca que las presuntas víctimas decidieron voluntariamente acogerse a </w:t>
      </w:r>
      <w:r w:rsidR="0055611B" w:rsidRPr="00152589">
        <w:rPr>
          <w:rFonts w:asciiTheme="majorHAnsi" w:hAnsiTheme="majorHAnsi"/>
          <w:sz w:val="20"/>
          <w:szCs w:val="20"/>
          <w:lang w:val="es-PE"/>
        </w:rPr>
        <w:t>tal régimen</w:t>
      </w:r>
      <w:r w:rsidR="001D5B64" w:rsidRPr="00152589">
        <w:rPr>
          <w:rFonts w:asciiTheme="majorHAnsi" w:hAnsiTheme="majorHAnsi"/>
          <w:sz w:val="20"/>
          <w:szCs w:val="20"/>
          <w:lang w:val="es-PE"/>
        </w:rPr>
        <w:t>,</w:t>
      </w:r>
      <w:r w:rsidR="0055611B" w:rsidRPr="00152589">
        <w:rPr>
          <w:rFonts w:asciiTheme="majorHAnsi" w:hAnsiTheme="majorHAnsi"/>
          <w:sz w:val="20"/>
          <w:szCs w:val="20"/>
          <w:lang w:val="es-PE"/>
        </w:rPr>
        <w:t xml:space="preserve"> </w:t>
      </w:r>
      <w:r w:rsidR="00E90BFB" w:rsidRPr="00152589">
        <w:rPr>
          <w:rFonts w:asciiTheme="majorHAnsi" w:hAnsiTheme="majorHAnsi"/>
          <w:sz w:val="20"/>
          <w:szCs w:val="20"/>
          <w:lang w:val="es-PE"/>
        </w:rPr>
        <w:t>y</w:t>
      </w:r>
      <w:r w:rsidR="00B738C0" w:rsidRPr="00152589">
        <w:rPr>
          <w:rFonts w:asciiTheme="majorHAnsi" w:hAnsiTheme="majorHAnsi"/>
          <w:sz w:val="20"/>
          <w:szCs w:val="20"/>
          <w:lang w:val="es-PE"/>
        </w:rPr>
        <w:t xml:space="preserve"> que actualmente</w:t>
      </w:r>
      <w:r w:rsidR="00852498" w:rsidRPr="00152589">
        <w:rPr>
          <w:rFonts w:asciiTheme="majorHAnsi" w:hAnsiTheme="majorHAnsi"/>
          <w:sz w:val="20"/>
          <w:szCs w:val="20"/>
          <w:lang w:val="es-PE"/>
        </w:rPr>
        <w:t xml:space="preserve"> </w:t>
      </w:r>
      <w:r w:rsidR="00B738C0" w:rsidRPr="00152589">
        <w:rPr>
          <w:rFonts w:asciiTheme="majorHAnsi" w:hAnsiTheme="majorHAnsi" w:cs="Baskerville Old Face"/>
          <w:sz w:val="20"/>
          <w:szCs w:val="20"/>
          <w:lang w:val="es-PE" w:eastAsia="es-ES"/>
        </w:rPr>
        <w:t>continúan</w:t>
      </w:r>
      <w:r w:rsidR="004C3643" w:rsidRPr="00152589">
        <w:rPr>
          <w:rFonts w:asciiTheme="majorHAnsi" w:hAnsiTheme="majorHAnsi" w:cs="Baskerville Old Face"/>
          <w:sz w:val="20"/>
          <w:szCs w:val="20"/>
          <w:lang w:val="es-PE" w:eastAsia="es-ES"/>
        </w:rPr>
        <w:t xml:space="preserve"> recibiendo sus jubilaciones</w:t>
      </w:r>
      <w:r w:rsidR="00675FDF" w:rsidRPr="00152589">
        <w:rPr>
          <w:rFonts w:asciiTheme="majorHAnsi" w:hAnsiTheme="majorHAnsi" w:cs="Baskerville Old Face"/>
          <w:sz w:val="20"/>
          <w:szCs w:val="20"/>
          <w:lang w:val="es-PE" w:eastAsia="es-ES"/>
        </w:rPr>
        <w:t xml:space="preserve"> respectivas</w:t>
      </w:r>
      <w:r w:rsidR="004C3643" w:rsidRPr="00152589">
        <w:rPr>
          <w:rFonts w:asciiTheme="majorHAnsi" w:hAnsiTheme="majorHAnsi" w:cs="Baskerville Old Face"/>
          <w:sz w:val="20"/>
          <w:szCs w:val="20"/>
          <w:lang w:val="es-PE" w:eastAsia="es-ES"/>
        </w:rPr>
        <w:t xml:space="preserve"> </w:t>
      </w:r>
      <w:r w:rsidR="000315F2" w:rsidRPr="00152589">
        <w:rPr>
          <w:rFonts w:asciiTheme="majorHAnsi" w:hAnsiTheme="majorHAnsi" w:cs="Baskerville Old Face"/>
          <w:sz w:val="20"/>
          <w:szCs w:val="20"/>
          <w:lang w:val="es-PE" w:eastAsia="es-ES"/>
        </w:rPr>
        <w:t>(</w:t>
      </w:r>
      <w:r w:rsidR="004C3643" w:rsidRPr="00152589">
        <w:rPr>
          <w:rFonts w:asciiTheme="majorHAnsi" w:hAnsiTheme="majorHAnsi" w:cs="Baskerville Old Face"/>
          <w:sz w:val="20"/>
          <w:szCs w:val="20"/>
          <w:lang w:val="es-PE" w:eastAsia="es-ES"/>
        </w:rPr>
        <w:t xml:space="preserve">a excepción de una </w:t>
      </w:r>
      <w:r w:rsidR="00C83BC8" w:rsidRPr="00152589">
        <w:rPr>
          <w:rFonts w:asciiTheme="majorHAnsi" w:hAnsiTheme="majorHAnsi" w:cs="Baskerville Old Face"/>
          <w:sz w:val="20"/>
          <w:szCs w:val="20"/>
          <w:lang w:val="es-PE" w:eastAsia="es-ES"/>
        </w:rPr>
        <w:t>de ellas</w:t>
      </w:r>
      <w:r w:rsidR="004C3643" w:rsidRPr="00152589">
        <w:rPr>
          <w:rFonts w:asciiTheme="majorHAnsi" w:hAnsiTheme="majorHAnsi" w:cs="Baskerville Old Face"/>
          <w:sz w:val="20"/>
          <w:szCs w:val="20"/>
          <w:lang w:val="es-PE" w:eastAsia="es-ES"/>
        </w:rPr>
        <w:t xml:space="preserve"> que dej</w:t>
      </w:r>
      <w:r w:rsidR="00852498" w:rsidRPr="00152589">
        <w:rPr>
          <w:rFonts w:asciiTheme="majorHAnsi" w:hAnsiTheme="majorHAnsi" w:cs="Baskerville Old Face"/>
          <w:sz w:val="20"/>
          <w:szCs w:val="20"/>
          <w:lang w:val="es-PE" w:eastAsia="es-ES"/>
        </w:rPr>
        <w:t>ó</w:t>
      </w:r>
      <w:r w:rsidR="004C3643" w:rsidRPr="00152589">
        <w:rPr>
          <w:rFonts w:asciiTheme="majorHAnsi" w:hAnsiTheme="majorHAnsi" w:cs="Baskerville Old Face"/>
          <w:sz w:val="20"/>
          <w:szCs w:val="20"/>
          <w:lang w:val="es-PE" w:eastAsia="es-ES"/>
        </w:rPr>
        <w:t xml:space="preserve"> de percibirla por motivos de fallecimiento</w:t>
      </w:r>
      <w:r w:rsidR="000315F2" w:rsidRPr="00152589">
        <w:rPr>
          <w:rFonts w:asciiTheme="majorHAnsi" w:hAnsiTheme="majorHAnsi" w:cs="Baskerville Old Face"/>
          <w:sz w:val="20"/>
          <w:szCs w:val="20"/>
          <w:lang w:val="es-PE" w:eastAsia="es-ES"/>
        </w:rPr>
        <w:t>)</w:t>
      </w:r>
      <w:r w:rsidR="00B738C0" w:rsidRPr="00152589">
        <w:rPr>
          <w:rFonts w:asciiTheme="majorHAnsi" w:hAnsiTheme="majorHAnsi" w:cs="Baskerville Old Face"/>
          <w:sz w:val="20"/>
          <w:szCs w:val="20"/>
          <w:lang w:val="es-PE" w:eastAsia="es-ES"/>
        </w:rPr>
        <w:t xml:space="preserve"> demostrando así </w:t>
      </w:r>
      <w:r w:rsidR="004C3643" w:rsidRPr="00152589">
        <w:rPr>
          <w:rFonts w:asciiTheme="majorHAnsi" w:hAnsiTheme="majorHAnsi" w:cs="Baskerville Old Face"/>
          <w:sz w:val="20"/>
          <w:szCs w:val="20"/>
          <w:lang w:val="es-PE" w:eastAsia="es-ES"/>
        </w:rPr>
        <w:t>su aceptación y conformidad con la decisión adoptada</w:t>
      </w:r>
      <w:r w:rsidR="00A467CB" w:rsidRPr="00152589">
        <w:rPr>
          <w:rFonts w:asciiTheme="majorHAnsi" w:hAnsiTheme="majorHAnsi" w:cs="Baskerville Old Face"/>
          <w:sz w:val="20"/>
          <w:szCs w:val="20"/>
          <w:lang w:val="es-PE" w:eastAsia="es-ES"/>
        </w:rPr>
        <w:t>.</w:t>
      </w:r>
      <w:r w:rsidR="004C3643" w:rsidRPr="00152589">
        <w:rPr>
          <w:rFonts w:asciiTheme="majorHAnsi" w:hAnsiTheme="majorHAnsi" w:cs="Baskerville Old Face"/>
          <w:sz w:val="20"/>
          <w:szCs w:val="20"/>
          <w:lang w:val="es-PE" w:eastAsia="es-ES"/>
        </w:rPr>
        <w:t xml:space="preserve"> </w:t>
      </w:r>
    </w:p>
    <w:p w14:paraId="29F64AC8" w14:textId="758BA4C8" w:rsidR="00B738C0" w:rsidRPr="00152589" w:rsidRDefault="004C3643" w:rsidP="00972E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152589">
        <w:rPr>
          <w:rFonts w:asciiTheme="majorHAnsi" w:hAnsiTheme="majorHAnsi" w:cs="Baskerville Old Face"/>
          <w:sz w:val="20"/>
          <w:szCs w:val="20"/>
          <w:lang w:val="es-PE" w:eastAsia="es-ES"/>
        </w:rPr>
        <w:t>Bolivia</w:t>
      </w:r>
      <w:r w:rsidR="00286663" w:rsidRPr="00152589">
        <w:rPr>
          <w:rFonts w:asciiTheme="majorHAnsi" w:hAnsiTheme="majorHAnsi" w:cs="Baskerville Old Face"/>
          <w:sz w:val="20"/>
          <w:szCs w:val="20"/>
          <w:lang w:val="es-PE" w:eastAsia="es-ES"/>
        </w:rPr>
        <w:t xml:space="preserve"> a</w:t>
      </w:r>
      <w:r w:rsidR="00852498" w:rsidRPr="00152589">
        <w:rPr>
          <w:rFonts w:asciiTheme="majorHAnsi" w:hAnsiTheme="majorHAnsi" w:cs="Baskerville Old Face"/>
          <w:sz w:val="20"/>
          <w:szCs w:val="20"/>
          <w:lang w:val="es-PE" w:eastAsia="es-ES"/>
        </w:rPr>
        <w:t>ñade</w:t>
      </w:r>
      <w:r w:rsidR="00286663" w:rsidRPr="00152589">
        <w:rPr>
          <w:rFonts w:asciiTheme="majorHAnsi" w:hAnsiTheme="majorHAnsi" w:cs="Baskerville Old Face"/>
          <w:sz w:val="20"/>
          <w:szCs w:val="20"/>
          <w:lang w:val="es-PE" w:eastAsia="es-ES"/>
        </w:rPr>
        <w:t xml:space="preserve"> que</w:t>
      </w:r>
      <w:r w:rsidRPr="00152589">
        <w:rPr>
          <w:rFonts w:asciiTheme="majorHAnsi" w:hAnsiTheme="majorHAnsi" w:cs="Baskerville Old Face"/>
          <w:sz w:val="20"/>
          <w:szCs w:val="20"/>
          <w:lang w:val="es-PE" w:eastAsia="es-ES"/>
        </w:rPr>
        <w:t xml:space="preserve"> garantiza el derecho a la protección judicial, </w:t>
      </w:r>
      <w:r w:rsidR="00A467CB" w:rsidRPr="00152589">
        <w:rPr>
          <w:rFonts w:asciiTheme="majorHAnsi" w:hAnsiTheme="majorHAnsi" w:cs="Baskerville Old Face"/>
          <w:sz w:val="20"/>
          <w:szCs w:val="20"/>
          <w:lang w:val="es-PE" w:eastAsia="es-ES"/>
        </w:rPr>
        <w:t>ya que cuenta con normativa y recursos idóneos y efectivos para resguardar posible</w:t>
      </w:r>
      <w:r w:rsidR="00852498" w:rsidRPr="00152589">
        <w:rPr>
          <w:rFonts w:asciiTheme="majorHAnsi" w:hAnsiTheme="majorHAnsi" w:cs="Baskerville Old Face"/>
          <w:sz w:val="20"/>
          <w:szCs w:val="20"/>
          <w:lang w:val="es-PE" w:eastAsia="es-ES"/>
        </w:rPr>
        <w:t>s</w:t>
      </w:r>
      <w:r w:rsidR="00A467CB" w:rsidRPr="00152589">
        <w:rPr>
          <w:rFonts w:asciiTheme="majorHAnsi" w:hAnsiTheme="majorHAnsi" w:cs="Baskerville Old Face"/>
          <w:sz w:val="20"/>
          <w:szCs w:val="20"/>
          <w:lang w:val="es-PE" w:eastAsia="es-ES"/>
        </w:rPr>
        <w:t xml:space="preserve"> afectaci</w:t>
      </w:r>
      <w:r w:rsidR="00852498" w:rsidRPr="00152589">
        <w:rPr>
          <w:rFonts w:asciiTheme="majorHAnsi" w:hAnsiTheme="majorHAnsi" w:cs="Baskerville Old Face"/>
          <w:sz w:val="20"/>
          <w:szCs w:val="20"/>
          <w:lang w:val="es-PE" w:eastAsia="es-ES"/>
        </w:rPr>
        <w:t>ones</w:t>
      </w:r>
      <w:r w:rsidR="00A467CB" w:rsidRPr="00152589">
        <w:rPr>
          <w:rFonts w:asciiTheme="majorHAnsi" w:hAnsiTheme="majorHAnsi" w:cs="Baskerville Old Face"/>
          <w:sz w:val="20"/>
          <w:szCs w:val="20"/>
          <w:lang w:val="es-PE" w:eastAsia="es-ES"/>
        </w:rPr>
        <w:t xml:space="preserve"> de derechos vinculados a la renta de jubilación</w:t>
      </w:r>
      <w:r w:rsidRPr="00152589">
        <w:rPr>
          <w:rFonts w:asciiTheme="majorHAnsi" w:hAnsiTheme="majorHAnsi"/>
          <w:sz w:val="20"/>
          <w:szCs w:val="20"/>
          <w:lang w:val="es-PE"/>
        </w:rPr>
        <w:t>.</w:t>
      </w:r>
      <w:r w:rsidR="00A467CB" w:rsidRPr="00152589">
        <w:rPr>
          <w:rFonts w:asciiTheme="majorHAnsi" w:hAnsiTheme="majorHAnsi"/>
          <w:sz w:val="20"/>
          <w:szCs w:val="20"/>
          <w:lang w:val="es-PE"/>
        </w:rPr>
        <w:t xml:space="preserve"> En ese sentido considera que la acción de inconstitucionalidad abstracta</w:t>
      </w:r>
      <w:r w:rsidR="00B738C0" w:rsidRPr="00152589">
        <w:rPr>
          <w:rFonts w:asciiTheme="majorHAnsi" w:hAnsiTheme="majorHAnsi"/>
          <w:sz w:val="20"/>
          <w:szCs w:val="20"/>
          <w:lang w:val="es-PE"/>
        </w:rPr>
        <w:t xml:space="preserve"> contra normas relativas al sistema de pensiones por jubilación</w:t>
      </w:r>
      <w:r w:rsidR="00A467CB" w:rsidRPr="00152589">
        <w:rPr>
          <w:rFonts w:asciiTheme="majorHAnsi" w:hAnsiTheme="majorHAnsi"/>
          <w:sz w:val="20"/>
          <w:szCs w:val="20"/>
          <w:lang w:val="es-PE"/>
        </w:rPr>
        <w:t xml:space="preserve">, además de </w:t>
      </w:r>
      <w:r w:rsidR="00852498" w:rsidRPr="00152589">
        <w:rPr>
          <w:rFonts w:asciiTheme="majorHAnsi" w:hAnsiTheme="majorHAnsi"/>
          <w:sz w:val="20"/>
          <w:szCs w:val="20"/>
          <w:lang w:val="es-PE"/>
        </w:rPr>
        <w:t>carecer de</w:t>
      </w:r>
      <w:r w:rsidR="00A467CB" w:rsidRPr="00152589">
        <w:rPr>
          <w:rFonts w:asciiTheme="majorHAnsi" w:hAnsiTheme="majorHAnsi"/>
          <w:sz w:val="20"/>
          <w:szCs w:val="20"/>
          <w:lang w:val="es-PE"/>
        </w:rPr>
        <w:t xml:space="preserve"> la fundamentación adecuada, no era el recurso idóneo</w:t>
      </w:r>
      <w:r w:rsidR="003A2BF4" w:rsidRPr="00152589">
        <w:rPr>
          <w:rFonts w:asciiTheme="majorHAnsi" w:hAnsiTheme="majorHAnsi"/>
          <w:sz w:val="20"/>
          <w:szCs w:val="20"/>
          <w:lang w:val="es-PE"/>
        </w:rPr>
        <w:t>, pues</w:t>
      </w:r>
      <w:r w:rsidR="00A467CB" w:rsidRPr="00152589">
        <w:rPr>
          <w:rFonts w:asciiTheme="majorHAnsi" w:hAnsiTheme="majorHAnsi"/>
          <w:sz w:val="20"/>
          <w:szCs w:val="20"/>
          <w:lang w:val="es-PE"/>
        </w:rPr>
        <w:t xml:space="preserve"> las presuntas víctimas debieron haber agotado los recursos de reclamación y apelación a nivel administrativo para</w:t>
      </w:r>
      <w:r w:rsidR="00675FDF" w:rsidRPr="00152589">
        <w:rPr>
          <w:rFonts w:asciiTheme="majorHAnsi" w:hAnsiTheme="majorHAnsi"/>
          <w:sz w:val="20"/>
          <w:szCs w:val="20"/>
          <w:lang w:val="es-PE"/>
        </w:rPr>
        <w:t>,</w:t>
      </w:r>
      <w:r w:rsidR="00A467CB" w:rsidRPr="00152589">
        <w:rPr>
          <w:rFonts w:asciiTheme="majorHAnsi" w:hAnsiTheme="majorHAnsi"/>
          <w:sz w:val="20"/>
          <w:szCs w:val="20"/>
          <w:lang w:val="es-PE"/>
        </w:rPr>
        <w:t xml:space="preserve"> posteriormente presentar un amparo constitucional. </w:t>
      </w:r>
    </w:p>
    <w:p w14:paraId="5C8A117B" w14:textId="4E7C7944" w:rsidR="00B738C0" w:rsidRPr="00152589" w:rsidRDefault="003071DD" w:rsidP="00972E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152589">
        <w:rPr>
          <w:rFonts w:asciiTheme="majorHAnsi" w:hAnsiTheme="majorHAnsi"/>
          <w:sz w:val="20"/>
          <w:szCs w:val="20"/>
          <w:lang w:val="es-PE"/>
        </w:rPr>
        <w:t>Asimismo,</w:t>
      </w:r>
      <w:r w:rsidR="00675FDF" w:rsidRPr="00152589">
        <w:rPr>
          <w:rFonts w:asciiTheme="majorHAnsi" w:hAnsiTheme="majorHAnsi"/>
          <w:sz w:val="20"/>
          <w:szCs w:val="20"/>
          <w:lang w:val="es-PE"/>
        </w:rPr>
        <w:t xml:space="preserve"> </w:t>
      </w:r>
      <w:r w:rsidRPr="00152589">
        <w:rPr>
          <w:rFonts w:asciiTheme="majorHAnsi" w:hAnsiTheme="majorHAnsi"/>
          <w:sz w:val="20"/>
          <w:szCs w:val="20"/>
          <w:lang w:val="es-PE"/>
        </w:rPr>
        <w:t>alega</w:t>
      </w:r>
      <w:r w:rsidR="00675FDF" w:rsidRPr="00152589">
        <w:rPr>
          <w:rFonts w:asciiTheme="majorHAnsi" w:hAnsiTheme="majorHAnsi"/>
          <w:sz w:val="20"/>
          <w:szCs w:val="20"/>
          <w:lang w:val="es-PE"/>
        </w:rPr>
        <w:t xml:space="preserve"> falta de caracterización </w:t>
      </w:r>
      <w:r w:rsidRPr="00152589">
        <w:rPr>
          <w:rFonts w:asciiTheme="majorHAnsi" w:hAnsiTheme="majorHAnsi"/>
          <w:sz w:val="20"/>
          <w:szCs w:val="20"/>
          <w:lang w:val="es-PE"/>
        </w:rPr>
        <w:t>con respecto a</w:t>
      </w:r>
      <w:r w:rsidR="00EA2DD8" w:rsidRPr="00152589">
        <w:rPr>
          <w:rFonts w:asciiTheme="majorHAnsi" w:hAnsiTheme="majorHAnsi"/>
          <w:sz w:val="20"/>
          <w:szCs w:val="20"/>
          <w:lang w:val="es-PE"/>
        </w:rPr>
        <w:t xml:space="preserve"> los</w:t>
      </w:r>
      <w:r w:rsidR="00675FDF" w:rsidRPr="00152589">
        <w:rPr>
          <w:rFonts w:asciiTheme="majorHAnsi" w:hAnsiTheme="majorHAnsi"/>
          <w:sz w:val="20"/>
          <w:szCs w:val="20"/>
          <w:lang w:val="es-PE"/>
        </w:rPr>
        <w:t xml:space="preserve"> artículo</w:t>
      </w:r>
      <w:r w:rsidR="00EA2DD8" w:rsidRPr="00152589">
        <w:rPr>
          <w:rFonts w:asciiTheme="majorHAnsi" w:hAnsiTheme="majorHAnsi"/>
          <w:sz w:val="20"/>
          <w:szCs w:val="20"/>
          <w:lang w:val="es-PE"/>
        </w:rPr>
        <w:t>s 21 y</w:t>
      </w:r>
      <w:r w:rsidR="00675FDF" w:rsidRPr="00152589">
        <w:rPr>
          <w:rFonts w:asciiTheme="majorHAnsi" w:hAnsiTheme="majorHAnsi"/>
          <w:sz w:val="20"/>
          <w:szCs w:val="20"/>
          <w:lang w:val="es-PE"/>
        </w:rPr>
        <w:t xml:space="preserve"> 26 de la Convención Americana, </w:t>
      </w:r>
      <w:r w:rsidR="00EA2DD8" w:rsidRPr="00152589">
        <w:rPr>
          <w:rFonts w:asciiTheme="majorHAnsi" w:hAnsiTheme="majorHAnsi"/>
          <w:sz w:val="20"/>
          <w:szCs w:val="20"/>
          <w:lang w:val="es-PE"/>
        </w:rPr>
        <w:t xml:space="preserve">relativos al derecho a la propiedad y al desarrollo progresivo de los </w:t>
      </w:r>
      <w:r w:rsidR="00A52472" w:rsidRPr="00152589">
        <w:rPr>
          <w:rFonts w:asciiTheme="majorHAnsi" w:hAnsiTheme="majorHAnsi"/>
          <w:sz w:val="20"/>
          <w:szCs w:val="20"/>
          <w:lang w:val="es-PE"/>
        </w:rPr>
        <w:t>DESCA</w:t>
      </w:r>
      <w:r w:rsidR="00EA2DD8" w:rsidRPr="00152589">
        <w:rPr>
          <w:rFonts w:asciiTheme="majorHAnsi" w:hAnsiTheme="majorHAnsi"/>
          <w:sz w:val="20"/>
          <w:szCs w:val="20"/>
          <w:lang w:val="es-PE"/>
        </w:rPr>
        <w:t>, por falta de argumentación</w:t>
      </w:r>
      <w:r w:rsidR="00D1633B" w:rsidRPr="00152589">
        <w:rPr>
          <w:rFonts w:asciiTheme="majorHAnsi" w:hAnsiTheme="majorHAnsi"/>
          <w:sz w:val="20"/>
          <w:szCs w:val="20"/>
          <w:lang w:val="es-PE"/>
        </w:rPr>
        <w:t>; y que</w:t>
      </w:r>
      <w:r w:rsidR="00675FDF" w:rsidRPr="00152589">
        <w:rPr>
          <w:rFonts w:asciiTheme="majorHAnsi" w:hAnsiTheme="majorHAnsi"/>
          <w:sz w:val="20"/>
          <w:szCs w:val="20"/>
          <w:lang w:val="es-PE"/>
        </w:rPr>
        <w:t xml:space="preserve"> </w:t>
      </w:r>
      <w:r w:rsidR="00852498" w:rsidRPr="00152589">
        <w:rPr>
          <w:rFonts w:asciiTheme="majorHAnsi" w:hAnsiTheme="majorHAnsi"/>
          <w:sz w:val="20"/>
          <w:szCs w:val="20"/>
          <w:lang w:val="es-PE"/>
        </w:rPr>
        <w:t>no</w:t>
      </w:r>
      <w:r w:rsidR="00675FDF" w:rsidRPr="00152589">
        <w:rPr>
          <w:rFonts w:asciiTheme="majorHAnsi" w:hAnsiTheme="majorHAnsi"/>
          <w:sz w:val="20"/>
          <w:szCs w:val="20"/>
          <w:lang w:val="es-PE"/>
        </w:rPr>
        <w:t xml:space="preserve"> se vulneraría la Convención Interamericana sobre la Protección de los Derechos Humanos de las Personas Mayores, </w:t>
      </w:r>
      <w:r w:rsidR="00852498" w:rsidRPr="00152589">
        <w:rPr>
          <w:rFonts w:asciiTheme="majorHAnsi" w:hAnsiTheme="majorHAnsi"/>
          <w:sz w:val="20"/>
          <w:szCs w:val="20"/>
          <w:lang w:val="es-PE"/>
        </w:rPr>
        <w:t>ya que</w:t>
      </w:r>
      <w:r w:rsidR="00675FDF" w:rsidRPr="00152589">
        <w:rPr>
          <w:rFonts w:asciiTheme="majorHAnsi" w:hAnsiTheme="majorHAnsi"/>
          <w:sz w:val="20"/>
          <w:szCs w:val="20"/>
          <w:lang w:val="es-PE"/>
        </w:rPr>
        <w:t xml:space="preserve"> este tratado fue ratificado por el Estado el 22 de diciembre de 2016, es decir, </w:t>
      </w:r>
      <w:r w:rsidR="00852498" w:rsidRPr="00152589">
        <w:rPr>
          <w:rFonts w:asciiTheme="majorHAnsi" w:hAnsiTheme="majorHAnsi"/>
          <w:sz w:val="20"/>
          <w:szCs w:val="20"/>
          <w:lang w:val="es-PE"/>
        </w:rPr>
        <w:t>después de</w:t>
      </w:r>
      <w:r w:rsidR="00465D2D" w:rsidRPr="00152589">
        <w:rPr>
          <w:rFonts w:asciiTheme="majorHAnsi" w:hAnsiTheme="majorHAnsi"/>
          <w:sz w:val="20"/>
          <w:szCs w:val="20"/>
          <w:lang w:val="es-PE"/>
        </w:rPr>
        <w:t xml:space="preserve"> la entrada en vigor de</w:t>
      </w:r>
      <w:r w:rsidR="00852498" w:rsidRPr="00152589">
        <w:rPr>
          <w:rFonts w:asciiTheme="majorHAnsi" w:hAnsiTheme="majorHAnsi"/>
          <w:sz w:val="20"/>
          <w:szCs w:val="20"/>
          <w:lang w:val="es-PE"/>
        </w:rPr>
        <w:t xml:space="preserve"> </w:t>
      </w:r>
      <w:r w:rsidR="00675FDF" w:rsidRPr="00152589">
        <w:rPr>
          <w:rFonts w:asciiTheme="majorHAnsi" w:hAnsiTheme="majorHAnsi"/>
          <w:sz w:val="20"/>
          <w:szCs w:val="20"/>
          <w:lang w:val="es-PE"/>
        </w:rPr>
        <w:t>las disposiciones cuestionadas. Sin perjuicio de ello, el Estado considera que cuenta con la normativa adecuada para la protección de personas adultas mayores</w:t>
      </w:r>
      <w:r w:rsidR="00B738C0" w:rsidRPr="00152589">
        <w:rPr>
          <w:rFonts w:asciiTheme="majorHAnsi" w:hAnsiTheme="majorHAnsi"/>
          <w:sz w:val="20"/>
          <w:szCs w:val="20"/>
          <w:lang w:val="es-PE"/>
        </w:rPr>
        <w:t>.</w:t>
      </w:r>
    </w:p>
    <w:p w14:paraId="7486DDD9" w14:textId="39668A79" w:rsidR="00286663" w:rsidRPr="00152589" w:rsidRDefault="006C1F04" w:rsidP="00972E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152589">
        <w:rPr>
          <w:rFonts w:asciiTheme="majorHAnsi" w:hAnsiTheme="majorHAnsi"/>
          <w:sz w:val="20"/>
          <w:szCs w:val="20"/>
          <w:lang w:val="es-PE"/>
        </w:rPr>
        <w:t xml:space="preserve">También </w:t>
      </w:r>
      <w:r w:rsidR="00B65ED6" w:rsidRPr="00152589">
        <w:rPr>
          <w:rFonts w:asciiTheme="majorHAnsi" w:hAnsiTheme="majorHAnsi"/>
          <w:sz w:val="20"/>
          <w:szCs w:val="20"/>
          <w:lang w:val="es-PE"/>
        </w:rPr>
        <w:t>aduce</w:t>
      </w:r>
      <w:r w:rsidR="00286663" w:rsidRPr="00152589">
        <w:rPr>
          <w:rFonts w:asciiTheme="majorHAnsi" w:hAnsiTheme="majorHAnsi"/>
          <w:sz w:val="20"/>
          <w:szCs w:val="20"/>
          <w:lang w:val="es-PE"/>
        </w:rPr>
        <w:t xml:space="preserve"> que la </w:t>
      </w:r>
      <w:r w:rsidRPr="00152589">
        <w:rPr>
          <w:rFonts w:asciiTheme="majorHAnsi" w:hAnsiTheme="majorHAnsi"/>
          <w:sz w:val="20"/>
          <w:szCs w:val="20"/>
          <w:lang w:val="es-PE"/>
        </w:rPr>
        <w:t>CIDH</w:t>
      </w:r>
      <w:r w:rsidR="00286663" w:rsidRPr="00152589">
        <w:rPr>
          <w:rFonts w:asciiTheme="majorHAnsi" w:hAnsiTheme="majorHAnsi"/>
          <w:sz w:val="20"/>
          <w:szCs w:val="20"/>
          <w:lang w:val="es-PE"/>
        </w:rPr>
        <w:t xml:space="preserve"> no tiene competencia </w:t>
      </w:r>
      <w:r w:rsidR="00B51ADC" w:rsidRPr="00152589">
        <w:rPr>
          <w:rFonts w:asciiTheme="majorHAnsi" w:hAnsiTheme="majorHAnsi"/>
          <w:sz w:val="20"/>
          <w:szCs w:val="20"/>
          <w:lang w:val="es-PE"/>
        </w:rPr>
        <w:t>debido a</w:t>
      </w:r>
      <w:r w:rsidR="00286663" w:rsidRPr="00152589">
        <w:rPr>
          <w:rFonts w:asciiTheme="majorHAnsi" w:hAnsiTheme="majorHAnsi"/>
          <w:sz w:val="20"/>
          <w:szCs w:val="20"/>
          <w:lang w:val="es-PE"/>
        </w:rPr>
        <w:t xml:space="preserve"> </w:t>
      </w:r>
      <w:r w:rsidR="00465D2D" w:rsidRPr="00152589">
        <w:rPr>
          <w:rFonts w:asciiTheme="majorHAnsi" w:hAnsiTheme="majorHAnsi"/>
          <w:sz w:val="20"/>
          <w:szCs w:val="20"/>
          <w:lang w:val="es-PE"/>
        </w:rPr>
        <w:t xml:space="preserve">la </w:t>
      </w:r>
      <w:r w:rsidR="00286663" w:rsidRPr="00152589">
        <w:rPr>
          <w:rFonts w:asciiTheme="majorHAnsi" w:hAnsiTheme="majorHAnsi"/>
          <w:sz w:val="20"/>
          <w:szCs w:val="20"/>
          <w:lang w:val="es-PE"/>
        </w:rPr>
        <w:t xml:space="preserve">materia para pronunciarse sobre el Protocolo de San Salvador, </w:t>
      </w:r>
      <w:r w:rsidR="00852498" w:rsidRPr="00152589">
        <w:rPr>
          <w:rFonts w:asciiTheme="majorHAnsi" w:hAnsiTheme="majorHAnsi"/>
          <w:sz w:val="20"/>
          <w:szCs w:val="20"/>
          <w:lang w:val="es-PE"/>
        </w:rPr>
        <w:t>ya</w:t>
      </w:r>
      <w:r w:rsidR="00286663" w:rsidRPr="00152589">
        <w:rPr>
          <w:rFonts w:asciiTheme="majorHAnsi" w:hAnsiTheme="majorHAnsi"/>
          <w:sz w:val="20"/>
          <w:szCs w:val="20"/>
          <w:lang w:val="es-PE"/>
        </w:rPr>
        <w:t xml:space="preserve"> que, conforme a su artículo 19</w:t>
      </w:r>
      <w:r w:rsidR="00B65ED6" w:rsidRPr="00152589">
        <w:rPr>
          <w:rFonts w:asciiTheme="majorHAnsi" w:hAnsiTheme="majorHAnsi"/>
          <w:sz w:val="20"/>
          <w:szCs w:val="20"/>
          <w:lang w:val="es-PE"/>
        </w:rPr>
        <w:t>.6</w:t>
      </w:r>
      <w:r w:rsidR="00286663" w:rsidRPr="00152589">
        <w:rPr>
          <w:rFonts w:asciiTheme="majorHAnsi" w:hAnsiTheme="majorHAnsi"/>
          <w:sz w:val="20"/>
          <w:szCs w:val="20"/>
          <w:lang w:val="es-PE"/>
        </w:rPr>
        <w:t xml:space="preserve"> su competencia </w:t>
      </w:r>
      <w:r w:rsidR="00E51224" w:rsidRPr="00152589">
        <w:rPr>
          <w:rFonts w:asciiTheme="majorHAnsi" w:hAnsiTheme="majorHAnsi"/>
          <w:sz w:val="20"/>
          <w:szCs w:val="20"/>
          <w:lang w:val="es-PE"/>
        </w:rPr>
        <w:t>se circunscribe al análisis de</w:t>
      </w:r>
      <w:r w:rsidR="00286663" w:rsidRPr="00152589">
        <w:rPr>
          <w:rFonts w:asciiTheme="majorHAnsi" w:hAnsiTheme="majorHAnsi"/>
          <w:sz w:val="20"/>
          <w:szCs w:val="20"/>
          <w:lang w:val="es-PE"/>
        </w:rPr>
        <w:t xml:space="preserve"> los derechos de libertad sindical y educación, derechos que no </w:t>
      </w:r>
      <w:r w:rsidR="00852498" w:rsidRPr="00152589">
        <w:rPr>
          <w:rFonts w:asciiTheme="majorHAnsi" w:hAnsiTheme="majorHAnsi"/>
          <w:sz w:val="20"/>
          <w:szCs w:val="20"/>
          <w:lang w:val="es-PE"/>
        </w:rPr>
        <w:t>están relacionados con el</w:t>
      </w:r>
      <w:r w:rsidR="00286663" w:rsidRPr="00152589">
        <w:rPr>
          <w:rFonts w:asciiTheme="majorHAnsi" w:hAnsiTheme="majorHAnsi"/>
          <w:sz w:val="20"/>
          <w:szCs w:val="20"/>
          <w:lang w:val="es-PE"/>
        </w:rPr>
        <w:t xml:space="preserve"> presente caso. </w:t>
      </w:r>
    </w:p>
    <w:p w14:paraId="25145216" w14:textId="46FFC2C7" w:rsidR="00441408" w:rsidRPr="00152589" w:rsidRDefault="00654296" w:rsidP="004414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152589">
        <w:rPr>
          <w:rFonts w:asciiTheme="majorHAnsi" w:hAnsiTheme="majorHAnsi"/>
          <w:sz w:val="20"/>
          <w:szCs w:val="20"/>
          <w:lang w:val="es-PE"/>
        </w:rPr>
        <w:t>Finalmente</w:t>
      </w:r>
      <w:r w:rsidR="00C049FB" w:rsidRPr="00152589">
        <w:rPr>
          <w:rFonts w:asciiTheme="majorHAnsi" w:hAnsiTheme="majorHAnsi"/>
          <w:sz w:val="20"/>
          <w:szCs w:val="20"/>
          <w:lang w:val="es-PE"/>
        </w:rPr>
        <w:t xml:space="preserve">, </w:t>
      </w:r>
      <w:r w:rsidR="00C049FB" w:rsidRPr="00152589">
        <w:rPr>
          <w:rFonts w:asciiTheme="majorHAnsi" w:hAnsiTheme="majorHAnsi" w:cs="Baskerville Old Face"/>
          <w:sz w:val="20"/>
          <w:szCs w:val="20"/>
          <w:lang w:val="es-PE" w:eastAsia="es-ES"/>
        </w:rPr>
        <w:t xml:space="preserve">Bolivia </w:t>
      </w:r>
      <w:r w:rsidR="00D37F2F" w:rsidRPr="00152589">
        <w:rPr>
          <w:rFonts w:asciiTheme="majorHAnsi" w:hAnsiTheme="majorHAnsi" w:cs="Baskerville Old Face"/>
          <w:sz w:val="20"/>
          <w:szCs w:val="20"/>
          <w:lang w:val="es-PE" w:eastAsia="es-ES"/>
        </w:rPr>
        <w:t>cuestiona</w:t>
      </w:r>
      <w:r w:rsidR="00C049FB" w:rsidRPr="00152589">
        <w:rPr>
          <w:rFonts w:asciiTheme="majorHAnsi" w:hAnsiTheme="majorHAnsi" w:cs="Baskerville Old Face"/>
          <w:sz w:val="20"/>
          <w:szCs w:val="20"/>
          <w:lang w:val="es-PE" w:eastAsia="es-ES"/>
        </w:rPr>
        <w:t xml:space="preserve"> que las presuntas víctimas pretenden que la CIDH se pronuncie sobre la normativa del sistema de pensiones, aspecto que ya fue resuelto a nivel interno</w:t>
      </w:r>
      <w:r w:rsidRPr="00152589">
        <w:rPr>
          <w:rFonts w:asciiTheme="majorHAnsi" w:hAnsiTheme="majorHAnsi" w:cs="Baskerville Old Face"/>
          <w:sz w:val="20"/>
          <w:szCs w:val="20"/>
          <w:lang w:val="es-PE" w:eastAsia="es-ES"/>
        </w:rPr>
        <w:t>; y</w:t>
      </w:r>
      <w:r w:rsidR="00C049FB" w:rsidRPr="00152589">
        <w:rPr>
          <w:rFonts w:asciiTheme="majorHAnsi" w:hAnsiTheme="majorHAnsi" w:cs="Baskerville Old Face"/>
          <w:sz w:val="20"/>
          <w:szCs w:val="20"/>
          <w:lang w:val="es-PE" w:eastAsia="es-ES"/>
        </w:rPr>
        <w:t xml:space="preserve"> recuerda que existe una sentencia del </w:t>
      </w:r>
      <w:r w:rsidR="00C049FB" w:rsidRPr="00152589">
        <w:rPr>
          <w:rFonts w:asciiTheme="majorHAnsi" w:hAnsiTheme="majorHAnsi"/>
          <w:sz w:val="20"/>
          <w:szCs w:val="20"/>
          <w:lang w:val="es-PE"/>
        </w:rPr>
        <w:t>Tribunal Constitucional Plurinacional por la acción de inconstitucionalidad interpuesta, que</w:t>
      </w:r>
      <w:r w:rsidR="00441408" w:rsidRPr="00152589">
        <w:rPr>
          <w:rFonts w:asciiTheme="majorHAnsi" w:hAnsiTheme="majorHAnsi"/>
          <w:sz w:val="20"/>
          <w:szCs w:val="20"/>
          <w:lang w:val="es-PE"/>
        </w:rPr>
        <w:t xml:space="preserve"> ya desestimó el presente reclamo por falta de argumentos que demuestren el incumplimiento de un deber constitucional o convencional.</w:t>
      </w:r>
    </w:p>
    <w:p w14:paraId="6F4D4171" w14:textId="1657102D" w:rsidR="003239B8" w:rsidRPr="00152589" w:rsidRDefault="003239B8" w:rsidP="004414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UY"/>
        </w:rPr>
      </w:pPr>
      <w:r w:rsidRPr="00152589">
        <w:rPr>
          <w:rFonts w:asciiTheme="majorHAnsi" w:eastAsia="Cambria" w:hAnsiTheme="majorHAnsi" w:cs="Cambria"/>
          <w:b/>
          <w:bCs/>
          <w:color w:val="000000"/>
          <w:sz w:val="20"/>
          <w:szCs w:val="20"/>
          <w:u w:color="000000"/>
          <w:lang w:val="es-ES" w:eastAsia="es-ES"/>
        </w:rPr>
        <w:t>VI.</w:t>
      </w:r>
      <w:r w:rsidRPr="00152589">
        <w:rPr>
          <w:rFonts w:asciiTheme="majorHAnsi" w:eastAsia="Cambria" w:hAnsiTheme="majorHAnsi" w:cs="Cambria"/>
          <w:b/>
          <w:bCs/>
          <w:color w:val="000000"/>
          <w:sz w:val="20"/>
          <w:szCs w:val="20"/>
          <w:u w:color="000000"/>
          <w:lang w:val="es-ES" w:eastAsia="es-ES"/>
        </w:rPr>
        <w:tab/>
      </w:r>
      <w:r w:rsidR="004A6A54" w:rsidRPr="00152589">
        <w:rPr>
          <w:rFonts w:asciiTheme="majorHAnsi" w:hAnsiTheme="majorHAnsi"/>
          <w:b/>
          <w:bCs/>
          <w:sz w:val="20"/>
          <w:szCs w:val="20"/>
          <w:lang w:val="es-ES_tradnl"/>
        </w:rPr>
        <w:t xml:space="preserve">ANÁLISIS DE </w:t>
      </w:r>
      <w:r w:rsidR="00C21FEF" w:rsidRPr="00152589">
        <w:rPr>
          <w:rFonts w:asciiTheme="majorHAnsi" w:hAnsiTheme="majorHAnsi"/>
          <w:b/>
          <w:sz w:val="20"/>
          <w:szCs w:val="20"/>
          <w:lang w:val="es-ES"/>
        </w:rPr>
        <w:t>AGOTAMIENTO DE LOS RECURSOS INTERNOS Y PLAZO DE PRESENTACIÓN</w:t>
      </w:r>
      <w:r w:rsidR="00C21FEF" w:rsidRPr="00152589">
        <w:rPr>
          <w:rFonts w:asciiTheme="majorHAnsi" w:eastAsia="Cambria" w:hAnsiTheme="majorHAnsi" w:cs="Cambria"/>
          <w:b/>
          <w:bCs/>
          <w:color w:val="000000"/>
          <w:sz w:val="20"/>
          <w:szCs w:val="20"/>
          <w:u w:color="000000"/>
          <w:lang w:val="es-ES" w:eastAsia="es-ES"/>
        </w:rPr>
        <w:t xml:space="preserve"> </w:t>
      </w:r>
    </w:p>
    <w:p w14:paraId="0FAD51A8" w14:textId="121B9824" w:rsidR="00A63894" w:rsidRPr="00152589" w:rsidRDefault="00BD7708" w:rsidP="00AD04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Baskerville Old Face"/>
          <w:sz w:val="20"/>
          <w:szCs w:val="20"/>
          <w:lang w:val="es-PE" w:eastAsia="es-ES"/>
        </w:rPr>
      </w:pPr>
      <w:r w:rsidRPr="00152589">
        <w:rPr>
          <w:rFonts w:asciiTheme="majorHAnsi" w:hAnsiTheme="majorHAnsi" w:cs="Baskerville Old Face"/>
          <w:sz w:val="20"/>
          <w:szCs w:val="20"/>
          <w:lang w:val="es-PE" w:eastAsia="es-ES"/>
        </w:rPr>
        <w:t>El Estado afirma que las</w:t>
      </w:r>
      <w:r w:rsidR="00286663" w:rsidRPr="00152589">
        <w:rPr>
          <w:rFonts w:asciiTheme="majorHAnsi" w:hAnsiTheme="majorHAnsi" w:cs="Baskerville Old Face"/>
          <w:sz w:val="20"/>
          <w:szCs w:val="20"/>
          <w:lang w:val="es-PE" w:eastAsia="es-ES"/>
        </w:rPr>
        <w:t xml:space="preserve"> presuntas víctimas no agotaron </w:t>
      </w:r>
      <w:r w:rsidR="0031272C" w:rsidRPr="00152589">
        <w:rPr>
          <w:rFonts w:asciiTheme="majorHAnsi" w:hAnsiTheme="majorHAnsi" w:cs="Baskerville Old Face"/>
          <w:sz w:val="20"/>
          <w:szCs w:val="20"/>
          <w:lang w:val="es-PE" w:eastAsia="es-ES"/>
        </w:rPr>
        <w:t xml:space="preserve">debidamente </w:t>
      </w:r>
      <w:r w:rsidR="00286663" w:rsidRPr="00152589">
        <w:rPr>
          <w:rFonts w:asciiTheme="majorHAnsi" w:hAnsiTheme="majorHAnsi" w:cs="Baskerville Old Face"/>
          <w:sz w:val="20"/>
          <w:szCs w:val="20"/>
          <w:lang w:val="es-PE" w:eastAsia="es-ES"/>
        </w:rPr>
        <w:t>l</w:t>
      </w:r>
      <w:r w:rsidRPr="00152589">
        <w:rPr>
          <w:rFonts w:asciiTheme="majorHAnsi" w:hAnsiTheme="majorHAnsi" w:cs="Baskerville Old Face"/>
          <w:sz w:val="20"/>
          <w:szCs w:val="20"/>
          <w:lang w:val="es-PE" w:eastAsia="es-ES"/>
        </w:rPr>
        <w:t>a jurisdicción interna</w:t>
      </w:r>
      <w:r w:rsidR="00286663" w:rsidRPr="00152589">
        <w:rPr>
          <w:rFonts w:asciiTheme="majorHAnsi" w:hAnsiTheme="majorHAnsi" w:cs="Baskerville Old Face"/>
          <w:sz w:val="20"/>
          <w:szCs w:val="20"/>
          <w:lang w:val="es-PE" w:eastAsia="es-ES"/>
        </w:rPr>
        <w:t xml:space="preserve">, </w:t>
      </w:r>
      <w:r w:rsidR="0031272C" w:rsidRPr="00152589">
        <w:rPr>
          <w:rFonts w:asciiTheme="majorHAnsi" w:hAnsiTheme="majorHAnsi" w:cs="Baskerville Old Face"/>
          <w:sz w:val="20"/>
          <w:szCs w:val="20"/>
          <w:lang w:val="es-PE" w:eastAsia="es-ES"/>
        </w:rPr>
        <w:t>ya que no</w:t>
      </w:r>
      <w:r w:rsidR="00286663" w:rsidRPr="00152589">
        <w:rPr>
          <w:rFonts w:asciiTheme="majorHAnsi" w:hAnsiTheme="majorHAnsi" w:cs="Baskerville Old Face"/>
          <w:sz w:val="20"/>
          <w:szCs w:val="20"/>
          <w:lang w:val="es-PE" w:eastAsia="es-ES"/>
        </w:rPr>
        <w:t xml:space="preserve"> interpusieron los recursos administrativos </w:t>
      </w:r>
      <w:r w:rsidR="0031272C" w:rsidRPr="00152589">
        <w:rPr>
          <w:rFonts w:asciiTheme="majorHAnsi" w:hAnsiTheme="majorHAnsi" w:cs="Baskerville Old Face"/>
          <w:sz w:val="20"/>
          <w:szCs w:val="20"/>
          <w:lang w:val="es-PE" w:eastAsia="es-ES"/>
        </w:rPr>
        <w:t>necesarios para</w:t>
      </w:r>
      <w:r w:rsidR="00286663" w:rsidRPr="00152589">
        <w:rPr>
          <w:rFonts w:asciiTheme="majorHAnsi" w:hAnsiTheme="majorHAnsi" w:cs="Baskerville Old Face"/>
          <w:sz w:val="20"/>
          <w:szCs w:val="20"/>
          <w:lang w:val="es-PE" w:eastAsia="es-ES"/>
        </w:rPr>
        <w:t xml:space="preserve"> interponer una acción de amparo</w:t>
      </w:r>
      <w:r w:rsidR="00A63894" w:rsidRPr="00152589">
        <w:rPr>
          <w:rFonts w:asciiTheme="majorHAnsi" w:hAnsiTheme="majorHAnsi" w:cs="Baskerville Old Face"/>
          <w:sz w:val="20"/>
          <w:szCs w:val="20"/>
          <w:lang w:val="es-PE" w:eastAsia="es-ES"/>
        </w:rPr>
        <w:t>. Por el contrario, con el</w:t>
      </w:r>
      <w:r w:rsidR="00286663" w:rsidRPr="00152589">
        <w:rPr>
          <w:rFonts w:asciiTheme="majorHAnsi" w:hAnsiTheme="majorHAnsi" w:cs="Baskerville Old Face"/>
          <w:sz w:val="20"/>
          <w:szCs w:val="20"/>
          <w:lang w:val="es-PE" w:eastAsia="es-ES"/>
        </w:rPr>
        <w:t xml:space="preserve"> apoyo de un diputado </w:t>
      </w:r>
      <w:r w:rsidRPr="00152589">
        <w:rPr>
          <w:rFonts w:asciiTheme="majorHAnsi" w:hAnsiTheme="majorHAnsi" w:cs="Baskerville Old Face"/>
          <w:sz w:val="20"/>
          <w:szCs w:val="20"/>
          <w:lang w:val="es-PE" w:eastAsia="es-ES"/>
        </w:rPr>
        <w:t>presentaron</w:t>
      </w:r>
      <w:r w:rsidR="00286663" w:rsidRPr="00152589">
        <w:rPr>
          <w:rFonts w:asciiTheme="majorHAnsi" w:hAnsiTheme="majorHAnsi" w:cs="Baskerville Old Face"/>
          <w:sz w:val="20"/>
          <w:szCs w:val="20"/>
          <w:lang w:val="es-PE" w:eastAsia="es-ES"/>
        </w:rPr>
        <w:t xml:space="preserve"> una acción de inconstitucionalidad</w:t>
      </w:r>
      <w:r w:rsidR="00A63894" w:rsidRPr="00152589">
        <w:rPr>
          <w:rFonts w:asciiTheme="majorHAnsi" w:hAnsiTheme="majorHAnsi" w:cs="Baskerville Old Face"/>
          <w:sz w:val="20"/>
          <w:szCs w:val="20"/>
          <w:lang w:val="es-PE" w:eastAsia="es-ES"/>
        </w:rPr>
        <w:t xml:space="preserve">, </w:t>
      </w:r>
      <w:r w:rsidR="00F548A8" w:rsidRPr="00152589">
        <w:rPr>
          <w:rFonts w:asciiTheme="majorHAnsi" w:hAnsiTheme="majorHAnsi" w:cs="Baskerville Old Face"/>
          <w:sz w:val="20"/>
          <w:szCs w:val="20"/>
          <w:lang w:val="es-PE" w:eastAsia="es-ES"/>
        </w:rPr>
        <w:t>la cual no era</w:t>
      </w:r>
      <w:r w:rsidR="00A63894" w:rsidRPr="00152589">
        <w:rPr>
          <w:rFonts w:asciiTheme="majorHAnsi" w:hAnsiTheme="majorHAnsi" w:cs="Baskerville Old Face"/>
          <w:sz w:val="20"/>
          <w:szCs w:val="20"/>
          <w:lang w:val="es-PE" w:eastAsia="es-ES"/>
        </w:rPr>
        <w:t xml:space="preserve"> idónea</w:t>
      </w:r>
      <w:r w:rsidR="00F548A8" w:rsidRPr="00152589">
        <w:rPr>
          <w:rFonts w:asciiTheme="majorHAnsi" w:hAnsiTheme="majorHAnsi" w:cs="Baskerville Old Face"/>
          <w:sz w:val="20"/>
          <w:szCs w:val="20"/>
          <w:lang w:val="es-PE" w:eastAsia="es-ES"/>
        </w:rPr>
        <w:t xml:space="preserve"> para canalizar la cuestión planteada</w:t>
      </w:r>
      <w:r w:rsidR="00286663" w:rsidRPr="00152589">
        <w:rPr>
          <w:rFonts w:asciiTheme="majorHAnsi" w:hAnsiTheme="majorHAnsi" w:cs="Baskerville Old Face"/>
          <w:sz w:val="20"/>
          <w:szCs w:val="20"/>
          <w:lang w:val="es-PE" w:eastAsia="es-ES"/>
        </w:rPr>
        <w:t xml:space="preserve">. Por su parte, la parte peticionaria </w:t>
      </w:r>
      <w:r w:rsidR="0031272C" w:rsidRPr="00152589">
        <w:rPr>
          <w:rFonts w:asciiTheme="majorHAnsi" w:hAnsiTheme="majorHAnsi" w:cs="Baskerville Old Face"/>
          <w:sz w:val="20"/>
          <w:szCs w:val="20"/>
          <w:lang w:val="es-PE" w:eastAsia="es-ES"/>
        </w:rPr>
        <w:t>sostiene</w:t>
      </w:r>
      <w:r w:rsidR="00A63894" w:rsidRPr="00152589">
        <w:rPr>
          <w:rFonts w:asciiTheme="majorHAnsi" w:hAnsiTheme="majorHAnsi" w:cs="Baskerville Old Face"/>
          <w:sz w:val="20"/>
          <w:szCs w:val="20"/>
          <w:lang w:val="es-PE" w:eastAsia="es-ES"/>
        </w:rPr>
        <w:t xml:space="preserve"> que se agotaron los recursos internos con la </w:t>
      </w:r>
      <w:r w:rsidR="00F548A8" w:rsidRPr="00152589">
        <w:rPr>
          <w:rFonts w:asciiTheme="majorHAnsi" w:hAnsiTheme="majorHAnsi" w:cs="Baskerville Old Face"/>
          <w:sz w:val="20"/>
          <w:szCs w:val="20"/>
          <w:lang w:val="es-PE" w:eastAsia="es-ES"/>
        </w:rPr>
        <w:t xml:space="preserve">citada </w:t>
      </w:r>
      <w:r w:rsidR="00A63894" w:rsidRPr="00152589">
        <w:rPr>
          <w:rFonts w:asciiTheme="majorHAnsi" w:hAnsiTheme="majorHAnsi" w:cs="Baskerville Old Face"/>
          <w:sz w:val="20"/>
          <w:szCs w:val="20"/>
          <w:lang w:val="es-PE" w:eastAsia="es-ES"/>
        </w:rPr>
        <w:t xml:space="preserve">acción de inconstitucionalidad, </w:t>
      </w:r>
      <w:r w:rsidR="0031272C" w:rsidRPr="00152589">
        <w:rPr>
          <w:rFonts w:asciiTheme="majorHAnsi" w:hAnsiTheme="majorHAnsi" w:cs="Baskerville Old Face"/>
          <w:sz w:val="20"/>
          <w:szCs w:val="20"/>
          <w:lang w:val="es-PE" w:eastAsia="es-ES"/>
        </w:rPr>
        <w:t>dado</w:t>
      </w:r>
      <w:r w:rsidR="00A63894" w:rsidRPr="00152589">
        <w:rPr>
          <w:rFonts w:asciiTheme="majorHAnsi" w:hAnsiTheme="majorHAnsi" w:cs="Baskerville Old Face"/>
          <w:sz w:val="20"/>
          <w:szCs w:val="20"/>
          <w:lang w:val="es-PE" w:eastAsia="es-ES"/>
        </w:rPr>
        <w:t xml:space="preserve"> </w:t>
      </w:r>
      <w:r w:rsidR="007E0EDD" w:rsidRPr="00152589">
        <w:rPr>
          <w:rFonts w:asciiTheme="majorHAnsi" w:hAnsiTheme="majorHAnsi" w:cs="Baskerville Old Face"/>
          <w:sz w:val="20"/>
          <w:szCs w:val="20"/>
          <w:lang w:val="es-PE" w:eastAsia="es-ES"/>
        </w:rPr>
        <w:t>que</w:t>
      </w:r>
      <w:r w:rsidR="00A63894" w:rsidRPr="00152589">
        <w:rPr>
          <w:rFonts w:asciiTheme="majorHAnsi" w:hAnsiTheme="majorHAnsi" w:cs="Baskerville Old Face"/>
          <w:sz w:val="20"/>
          <w:szCs w:val="20"/>
          <w:lang w:val="es-PE" w:eastAsia="es-ES"/>
        </w:rPr>
        <w:t xml:space="preserve"> la normativa cuestionada</w:t>
      </w:r>
      <w:r w:rsidR="0031272C" w:rsidRPr="00152589">
        <w:rPr>
          <w:rFonts w:asciiTheme="majorHAnsi" w:hAnsiTheme="majorHAnsi" w:cs="Baskerville Old Face"/>
          <w:sz w:val="20"/>
          <w:szCs w:val="20"/>
          <w:lang w:val="es-PE" w:eastAsia="es-ES"/>
        </w:rPr>
        <w:t xml:space="preserve"> </w:t>
      </w:r>
      <w:r w:rsidR="00BA089E" w:rsidRPr="00152589">
        <w:rPr>
          <w:rFonts w:asciiTheme="majorHAnsi" w:hAnsiTheme="majorHAnsi" w:cs="Baskerville Old Face"/>
          <w:sz w:val="20"/>
          <w:szCs w:val="20"/>
          <w:lang w:val="es-PE" w:eastAsia="es-ES"/>
        </w:rPr>
        <w:t>es inconstitucional.</w:t>
      </w:r>
    </w:p>
    <w:p w14:paraId="7E5CAE2B" w14:textId="1F9B8C20" w:rsidR="00286663" w:rsidRPr="00152589" w:rsidRDefault="00BA089E" w:rsidP="00795A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sz w:val="20"/>
          <w:szCs w:val="20"/>
          <w:lang w:val="es-PE"/>
        </w:rPr>
      </w:pPr>
      <w:r w:rsidRPr="00152589">
        <w:rPr>
          <w:rFonts w:asciiTheme="majorHAnsi" w:hAnsiTheme="majorHAnsi" w:cs="Baskerville Old Face"/>
          <w:sz w:val="20"/>
          <w:szCs w:val="20"/>
          <w:lang w:val="es-PE"/>
        </w:rPr>
        <w:t>Así</w:t>
      </w:r>
      <w:r w:rsidR="007E0EDD" w:rsidRPr="00152589">
        <w:rPr>
          <w:rFonts w:asciiTheme="majorHAnsi" w:hAnsiTheme="majorHAnsi" w:cs="Baskerville Old Face"/>
          <w:sz w:val="20"/>
          <w:szCs w:val="20"/>
          <w:lang w:val="es-PE"/>
        </w:rPr>
        <w:t xml:space="preserve">, la Comisión recuerda que el requisito de agotamiento de los recursos internos no implica que las presuntas víctimas tengan la obligación de agotar todos los recursos </w:t>
      </w:r>
      <w:r w:rsidR="0031272C" w:rsidRPr="00152589">
        <w:rPr>
          <w:rFonts w:asciiTheme="majorHAnsi" w:hAnsiTheme="majorHAnsi" w:cs="Baskerville Old Face"/>
          <w:sz w:val="20"/>
          <w:szCs w:val="20"/>
          <w:lang w:val="es-PE"/>
        </w:rPr>
        <w:t>disponibles</w:t>
      </w:r>
      <w:r w:rsidR="007E0EDD" w:rsidRPr="00152589">
        <w:rPr>
          <w:rFonts w:asciiTheme="majorHAnsi" w:hAnsiTheme="majorHAnsi" w:cs="Baskerville Old Face"/>
          <w:sz w:val="20"/>
          <w:szCs w:val="20"/>
          <w:lang w:val="es-PE"/>
        </w:rPr>
        <w:t xml:space="preserve">, pues si esta </w:t>
      </w:r>
      <w:r w:rsidR="007E0EDD" w:rsidRPr="00152589">
        <w:rPr>
          <w:rFonts w:asciiTheme="majorHAnsi" w:hAnsiTheme="majorHAnsi" w:cs="Baskerville Old Face"/>
          <w:i/>
          <w:iCs/>
          <w:sz w:val="20"/>
          <w:szCs w:val="20"/>
          <w:lang w:val="es-PE"/>
        </w:rPr>
        <w:t>“planteó la cuestión por alguna de las alternativas válidas y adecuadas según el ordenamiento jurídico interno y el Estado tuvo la oportunidad de remediar la cuestión en su jurisdicción, la finalidad de la norma internacional está cumplida</w:t>
      </w:r>
      <w:r w:rsidR="007E0EDD" w:rsidRPr="00152589">
        <w:rPr>
          <w:rFonts w:asciiTheme="majorHAnsi" w:hAnsiTheme="majorHAnsi" w:cs="Baskerville Old Face"/>
          <w:sz w:val="20"/>
          <w:szCs w:val="20"/>
          <w:lang w:val="es-PE"/>
        </w:rPr>
        <w:t>”</w:t>
      </w:r>
      <w:r w:rsidR="007E0EDD" w:rsidRPr="00152589">
        <w:rPr>
          <w:rStyle w:val="FootnoteReference"/>
          <w:rFonts w:asciiTheme="majorHAnsi" w:hAnsiTheme="majorHAnsi" w:cs="Baskerville Old Face"/>
          <w:sz w:val="20"/>
          <w:szCs w:val="20"/>
          <w:lang w:val="es-PE"/>
        </w:rPr>
        <w:footnoteReference w:id="6"/>
      </w:r>
      <w:r w:rsidR="007E0EDD" w:rsidRPr="00152589">
        <w:rPr>
          <w:rFonts w:asciiTheme="majorHAnsi" w:hAnsiTheme="majorHAnsi" w:cs="Baskerville Old Face"/>
          <w:sz w:val="20"/>
          <w:szCs w:val="20"/>
          <w:lang w:val="es-PE"/>
        </w:rPr>
        <w:t xml:space="preserve">. En </w:t>
      </w:r>
      <w:r w:rsidR="0031272C" w:rsidRPr="00152589">
        <w:rPr>
          <w:rFonts w:asciiTheme="majorHAnsi" w:hAnsiTheme="majorHAnsi" w:cs="Baskerville Old Face"/>
          <w:sz w:val="20"/>
          <w:szCs w:val="20"/>
          <w:lang w:val="es-PE"/>
        </w:rPr>
        <w:t>este contexto</w:t>
      </w:r>
      <w:r w:rsidR="007E0EDD" w:rsidRPr="00152589">
        <w:rPr>
          <w:rFonts w:asciiTheme="majorHAnsi" w:hAnsiTheme="majorHAnsi" w:cs="Baskerville Old Face"/>
          <w:sz w:val="20"/>
          <w:szCs w:val="20"/>
          <w:lang w:val="es-PE"/>
        </w:rPr>
        <w:t>, la CIDH observa que las presuntas víctimas acudieron a un diputado, quien</w:t>
      </w:r>
      <w:r w:rsidR="0031272C" w:rsidRPr="00152589">
        <w:rPr>
          <w:rFonts w:asciiTheme="majorHAnsi" w:hAnsiTheme="majorHAnsi" w:cs="Baskerville Old Face"/>
          <w:sz w:val="20"/>
          <w:szCs w:val="20"/>
          <w:lang w:val="es-PE"/>
        </w:rPr>
        <w:t xml:space="preserve"> estaba</w:t>
      </w:r>
      <w:r w:rsidR="007E0EDD" w:rsidRPr="00152589">
        <w:rPr>
          <w:rFonts w:asciiTheme="majorHAnsi" w:hAnsiTheme="majorHAnsi" w:cs="Baskerville Old Face"/>
          <w:sz w:val="20"/>
          <w:szCs w:val="20"/>
          <w:lang w:val="es-PE"/>
        </w:rPr>
        <w:t xml:space="preserve"> facultado para interponer una acción de inconstitucionalidad</w:t>
      </w:r>
      <w:r w:rsidR="0031272C" w:rsidRPr="00152589">
        <w:rPr>
          <w:rFonts w:asciiTheme="majorHAnsi" w:hAnsiTheme="majorHAnsi" w:cs="Baskerville Old Face"/>
          <w:sz w:val="20"/>
          <w:szCs w:val="20"/>
          <w:lang w:val="es-PE"/>
        </w:rPr>
        <w:t>. Aunque, en</w:t>
      </w:r>
      <w:r w:rsidR="007E0EDD" w:rsidRPr="00152589">
        <w:rPr>
          <w:rFonts w:asciiTheme="majorHAnsi" w:hAnsiTheme="majorHAnsi" w:cs="Baskerville Old Face"/>
          <w:sz w:val="20"/>
          <w:szCs w:val="20"/>
          <w:lang w:val="es-PE"/>
        </w:rPr>
        <w:t xml:space="preserve"> última instancia </w:t>
      </w:r>
      <w:r w:rsidR="0031272C" w:rsidRPr="00152589">
        <w:rPr>
          <w:rFonts w:asciiTheme="majorHAnsi" w:hAnsiTheme="majorHAnsi" w:cs="Baskerville Old Face"/>
          <w:sz w:val="20"/>
          <w:szCs w:val="20"/>
          <w:lang w:val="es-PE"/>
        </w:rPr>
        <w:t>esta acción fue declarada</w:t>
      </w:r>
      <w:r w:rsidR="007E0EDD" w:rsidRPr="00152589">
        <w:rPr>
          <w:rFonts w:asciiTheme="majorHAnsi" w:hAnsiTheme="majorHAnsi" w:cs="Baskerville Old Face"/>
          <w:sz w:val="20"/>
          <w:szCs w:val="20"/>
          <w:lang w:val="es-PE"/>
        </w:rPr>
        <w:t xml:space="preserve"> improcedente,</w:t>
      </w:r>
      <w:r w:rsidR="0031272C" w:rsidRPr="00152589">
        <w:rPr>
          <w:rFonts w:asciiTheme="majorHAnsi" w:hAnsiTheme="majorHAnsi" w:cs="Baskerville Old Face"/>
          <w:sz w:val="20"/>
          <w:szCs w:val="20"/>
          <w:lang w:val="es-PE"/>
        </w:rPr>
        <w:t xml:space="preserve"> el Tribunal Constitucional no</w:t>
      </w:r>
      <w:r w:rsidR="007E0EDD" w:rsidRPr="00152589">
        <w:rPr>
          <w:rFonts w:asciiTheme="majorHAnsi" w:hAnsiTheme="majorHAnsi" w:cs="Baskerville Old Face"/>
          <w:sz w:val="20"/>
          <w:szCs w:val="20"/>
          <w:lang w:val="es-PE"/>
        </w:rPr>
        <w:t xml:space="preserve"> cuestionó la idoneidad del recurso. </w:t>
      </w:r>
      <w:r w:rsidR="00E9330D" w:rsidRPr="00152589">
        <w:rPr>
          <w:rFonts w:asciiTheme="majorHAnsi" w:hAnsiTheme="majorHAnsi" w:cs="Baskerville Old Face"/>
          <w:sz w:val="20"/>
          <w:szCs w:val="20"/>
          <w:lang w:val="es-PE"/>
        </w:rPr>
        <w:t xml:space="preserve">Por el contrario, </w:t>
      </w:r>
      <w:r w:rsidR="006B05D3" w:rsidRPr="00152589">
        <w:rPr>
          <w:rFonts w:asciiTheme="majorHAnsi" w:hAnsiTheme="majorHAnsi" w:cs="Baskerville Old Face"/>
          <w:sz w:val="20"/>
          <w:szCs w:val="20"/>
          <w:lang w:val="es-PE"/>
        </w:rPr>
        <w:lastRenderedPageBreak/>
        <w:t>dicha</w:t>
      </w:r>
      <w:r w:rsidR="006104DE" w:rsidRPr="00152589">
        <w:rPr>
          <w:rFonts w:asciiTheme="majorHAnsi" w:hAnsiTheme="majorHAnsi" w:cs="Baskerville Old Face"/>
          <w:sz w:val="20"/>
          <w:szCs w:val="20"/>
          <w:lang w:val="es-PE"/>
        </w:rPr>
        <w:t xml:space="preserve"> instancia rechazo la demanda al considerar que no se habían presentado argumentos que demuestren la inconstitucionalidad de las normas cuestionadas, las cuales regulan </w:t>
      </w:r>
      <w:r w:rsidR="006104DE" w:rsidRPr="00152589">
        <w:rPr>
          <w:rFonts w:asciiTheme="majorHAnsi" w:hAnsiTheme="majorHAnsi"/>
          <w:sz w:val="20"/>
          <w:szCs w:val="20"/>
          <w:lang w:val="es-PE"/>
        </w:rPr>
        <w:t xml:space="preserve">la </w:t>
      </w:r>
      <w:r w:rsidR="00AF313B" w:rsidRPr="00152589">
        <w:rPr>
          <w:rFonts w:asciiTheme="majorHAnsi" w:hAnsiTheme="majorHAnsi"/>
          <w:sz w:val="20"/>
          <w:szCs w:val="20"/>
          <w:lang w:val="es-PE"/>
        </w:rPr>
        <w:t>r</w:t>
      </w:r>
      <w:r w:rsidR="006104DE" w:rsidRPr="00152589">
        <w:rPr>
          <w:rFonts w:asciiTheme="majorHAnsi" w:hAnsiTheme="majorHAnsi"/>
          <w:sz w:val="20"/>
          <w:szCs w:val="20"/>
          <w:lang w:val="es-PE"/>
        </w:rPr>
        <w:t xml:space="preserve">enta de </w:t>
      </w:r>
      <w:r w:rsidR="00AF313B" w:rsidRPr="00152589">
        <w:rPr>
          <w:rFonts w:asciiTheme="majorHAnsi" w:hAnsiTheme="majorHAnsi"/>
          <w:sz w:val="20"/>
          <w:szCs w:val="20"/>
          <w:lang w:val="es-PE"/>
        </w:rPr>
        <w:t>j</w:t>
      </w:r>
      <w:r w:rsidR="006104DE" w:rsidRPr="00152589">
        <w:rPr>
          <w:rFonts w:asciiTheme="majorHAnsi" w:hAnsiTheme="majorHAnsi"/>
          <w:sz w:val="20"/>
          <w:szCs w:val="20"/>
          <w:lang w:val="es-PE"/>
        </w:rPr>
        <w:t xml:space="preserve">ubilación con </w:t>
      </w:r>
      <w:r w:rsidR="00AF313B" w:rsidRPr="00152589">
        <w:rPr>
          <w:rFonts w:asciiTheme="majorHAnsi" w:hAnsiTheme="majorHAnsi"/>
          <w:sz w:val="20"/>
          <w:szCs w:val="20"/>
          <w:lang w:val="es-PE"/>
        </w:rPr>
        <w:t>r</w:t>
      </w:r>
      <w:r w:rsidR="006104DE" w:rsidRPr="00152589">
        <w:rPr>
          <w:rFonts w:asciiTheme="majorHAnsi" w:hAnsiTheme="majorHAnsi"/>
          <w:sz w:val="20"/>
          <w:szCs w:val="20"/>
          <w:lang w:val="es-PE"/>
        </w:rPr>
        <w:t xml:space="preserve">educción de </w:t>
      </w:r>
      <w:r w:rsidR="00AF313B" w:rsidRPr="00152589">
        <w:rPr>
          <w:rFonts w:asciiTheme="majorHAnsi" w:hAnsiTheme="majorHAnsi"/>
          <w:sz w:val="20"/>
          <w:szCs w:val="20"/>
          <w:lang w:val="es-PE"/>
        </w:rPr>
        <w:t>e</w:t>
      </w:r>
      <w:r w:rsidR="006104DE" w:rsidRPr="00152589">
        <w:rPr>
          <w:rFonts w:asciiTheme="majorHAnsi" w:hAnsiTheme="majorHAnsi"/>
          <w:sz w:val="20"/>
          <w:szCs w:val="20"/>
          <w:lang w:val="es-PE"/>
        </w:rPr>
        <w:t>dad. P</w:t>
      </w:r>
      <w:r w:rsidR="00795A69" w:rsidRPr="00152589">
        <w:rPr>
          <w:rFonts w:asciiTheme="majorHAnsi" w:hAnsiTheme="majorHAnsi"/>
          <w:sz w:val="20"/>
          <w:szCs w:val="20"/>
          <w:lang w:val="es-PE"/>
        </w:rPr>
        <w:t xml:space="preserve">or lo expuesto, la Comisión considera que </w:t>
      </w:r>
      <w:r w:rsidR="007E0EDD" w:rsidRPr="00152589">
        <w:rPr>
          <w:rFonts w:asciiTheme="majorHAnsi" w:hAnsiTheme="majorHAnsi" w:cs="Baskerville Old Face"/>
          <w:sz w:val="20"/>
          <w:szCs w:val="20"/>
          <w:lang w:val="es-PE"/>
        </w:rPr>
        <w:t xml:space="preserve">Tribunal Constitucional Plurinacional tuvo la oportunidad de pronunciarse sobre </w:t>
      </w:r>
      <w:r w:rsidR="00E9330D" w:rsidRPr="00152589">
        <w:rPr>
          <w:rFonts w:asciiTheme="majorHAnsi" w:hAnsiTheme="majorHAnsi" w:cs="Baskerville Old Face"/>
          <w:sz w:val="20"/>
          <w:szCs w:val="20"/>
          <w:lang w:val="es-PE"/>
        </w:rPr>
        <w:t>el asunto en controversia</w:t>
      </w:r>
      <w:r w:rsidR="00795A69" w:rsidRPr="00152589">
        <w:rPr>
          <w:rFonts w:asciiTheme="majorHAnsi" w:hAnsiTheme="majorHAnsi" w:cs="Baskerville Old Face"/>
          <w:sz w:val="20"/>
          <w:szCs w:val="20"/>
          <w:lang w:val="es-PE"/>
        </w:rPr>
        <w:t xml:space="preserve"> y dio una respuesta al reclamo planteado. </w:t>
      </w:r>
      <w:r w:rsidR="00E9330D" w:rsidRPr="00152589">
        <w:rPr>
          <w:rFonts w:asciiTheme="majorHAnsi" w:hAnsiTheme="majorHAnsi" w:cs="Baskerville Old Face"/>
          <w:sz w:val="20"/>
          <w:szCs w:val="20"/>
          <w:lang w:val="es-PE"/>
        </w:rPr>
        <w:t>Por lo expuesto</w:t>
      </w:r>
      <w:r w:rsidR="007E0EDD" w:rsidRPr="00152589">
        <w:rPr>
          <w:rFonts w:asciiTheme="majorHAnsi" w:hAnsiTheme="majorHAnsi" w:cs="Baskerville Old Face"/>
          <w:sz w:val="20"/>
          <w:szCs w:val="20"/>
          <w:lang w:val="es-PE"/>
        </w:rPr>
        <w:t xml:space="preserve">, la Comisión considera que las presuntas víctimas actuaron de buena fe, cumpliendo con agotar los recursos adecuados para hacer valer sus derechos. Por ello, la petición cumple con </w:t>
      </w:r>
      <w:r w:rsidR="00795A69" w:rsidRPr="00152589">
        <w:rPr>
          <w:rFonts w:asciiTheme="majorHAnsi" w:hAnsiTheme="majorHAnsi" w:cs="Baskerville Old Face"/>
          <w:sz w:val="20"/>
          <w:szCs w:val="20"/>
          <w:lang w:val="es-PE"/>
        </w:rPr>
        <w:t>el</w:t>
      </w:r>
      <w:r w:rsidR="007E0EDD" w:rsidRPr="00152589">
        <w:rPr>
          <w:rFonts w:asciiTheme="majorHAnsi" w:hAnsiTheme="majorHAnsi" w:cs="Baskerville Old Face"/>
          <w:sz w:val="20"/>
          <w:szCs w:val="20"/>
          <w:lang w:val="es-PE"/>
        </w:rPr>
        <w:t xml:space="preserve"> requisito previsto en </w:t>
      </w:r>
      <w:r w:rsidR="00795A69" w:rsidRPr="00152589">
        <w:rPr>
          <w:rFonts w:asciiTheme="majorHAnsi" w:hAnsiTheme="majorHAnsi" w:cs="Baskerville Old Face"/>
          <w:sz w:val="20"/>
          <w:szCs w:val="20"/>
          <w:lang w:val="es-PE"/>
        </w:rPr>
        <w:t>el</w:t>
      </w:r>
      <w:r w:rsidR="007E0EDD" w:rsidRPr="00152589">
        <w:rPr>
          <w:rFonts w:asciiTheme="majorHAnsi" w:hAnsiTheme="majorHAnsi" w:cs="Baskerville Old Face"/>
          <w:sz w:val="20"/>
          <w:szCs w:val="20"/>
          <w:lang w:val="es-PE"/>
        </w:rPr>
        <w:t xml:space="preserve"> artículo 46.1.a) de la Convención Americana.</w:t>
      </w:r>
    </w:p>
    <w:p w14:paraId="6E6F6EFE" w14:textId="4252C4BB" w:rsidR="004E5259" w:rsidRPr="00152589" w:rsidRDefault="00D446BD" w:rsidP="00972E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Baskerville Old Face"/>
          <w:sz w:val="20"/>
          <w:szCs w:val="20"/>
          <w:lang w:val="es-PE" w:eastAsia="es-ES"/>
        </w:rPr>
      </w:pPr>
      <w:r w:rsidRPr="00152589">
        <w:rPr>
          <w:rFonts w:asciiTheme="majorHAnsi" w:hAnsiTheme="majorHAnsi" w:cs="Baskerville Old Face"/>
          <w:sz w:val="20"/>
          <w:szCs w:val="20"/>
          <w:lang w:val="es-PE" w:eastAsia="es-ES"/>
        </w:rPr>
        <w:t>Finalmente, t</w:t>
      </w:r>
      <w:r w:rsidR="0031272C" w:rsidRPr="00152589">
        <w:rPr>
          <w:rFonts w:asciiTheme="majorHAnsi" w:hAnsiTheme="majorHAnsi" w:cs="Baskerville Old Face"/>
          <w:sz w:val="20"/>
          <w:szCs w:val="20"/>
          <w:lang w:val="es-PE" w:eastAsia="es-ES"/>
        </w:rPr>
        <w:t>eniendo</w:t>
      </w:r>
      <w:r w:rsidRPr="00152589">
        <w:rPr>
          <w:rFonts w:asciiTheme="majorHAnsi" w:hAnsiTheme="majorHAnsi" w:cs="Baskerville Old Face"/>
          <w:sz w:val="20"/>
          <w:szCs w:val="20"/>
          <w:lang w:val="es-PE" w:eastAsia="es-ES"/>
        </w:rPr>
        <w:t xml:space="preserve"> en cuenta que la resolución del </w:t>
      </w:r>
      <w:r w:rsidRPr="00152589">
        <w:rPr>
          <w:rFonts w:asciiTheme="majorHAnsi" w:hAnsiTheme="majorHAnsi"/>
          <w:sz w:val="20"/>
          <w:szCs w:val="20"/>
          <w:lang w:val="es-PE"/>
        </w:rPr>
        <w:t>Tribunal Constitucional Plurinacional de Bolivia</w:t>
      </w:r>
      <w:r w:rsidRPr="00152589">
        <w:rPr>
          <w:rFonts w:asciiTheme="majorHAnsi" w:hAnsiTheme="majorHAnsi" w:cs="Baskerville Old Face"/>
          <w:sz w:val="20"/>
          <w:szCs w:val="20"/>
          <w:lang w:val="es-PE" w:eastAsia="es-ES"/>
        </w:rPr>
        <w:t xml:space="preserve"> que cerró el asunto a nivel interno</w:t>
      </w:r>
      <w:r w:rsidR="0031272C" w:rsidRPr="00152589">
        <w:rPr>
          <w:rFonts w:asciiTheme="majorHAnsi" w:hAnsiTheme="majorHAnsi" w:cs="Baskerville Old Face"/>
          <w:sz w:val="20"/>
          <w:szCs w:val="20"/>
          <w:lang w:val="es-PE" w:eastAsia="es-ES"/>
        </w:rPr>
        <w:t xml:space="preserve"> </w:t>
      </w:r>
      <w:r w:rsidRPr="00152589">
        <w:rPr>
          <w:rFonts w:asciiTheme="majorHAnsi" w:hAnsiTheme="majorHAnsi" w:cs="Baskerville Old Face"/>
          <w:sz w:val="20"/>
          <w:szCs w:val="20"/>
          <w:lang w:val="es-PE" w:eastAsia="es-ES"/>
        </w:rPr>
        <w:t>se notificó el 2 de abril de 2019; que la presente petición fue presentada el 25 de setiembre de 2019; y que el Estado no ha cuestionado el plazo de presentación de la petición, la Comisión también considera que se cumple</w:t>
      </w:r>
      <w:r w:rsidR="004E5259" w:rsidRPr="00152589">
        <w:rPr>
          <w:rFonts w:asciiTheme="majorHAnsi" w:hAnsiTheme="majorHAnsi" w:cs="Baskerville Old Face"/>
          <w:sz w:val="20"/>
          <w:szCs w:val="20"/>
          <w:lang w:val="es-PE" w:eastAsia="es-ES"/>
        </w:rPr>
        <w:t xml:space="preserve"> con</w:t>
      </w:r>
      <w:r w:rsidRPr="00152589">
        <w:rPr>
          <w:rFonts w:asciiTheme="majorHAnsi" w:hAnsiTheme="majorHAnsi" w:cs="Baskerville Old Face"/>
          <w:sz w:val="20"/>
          <w:szCs w:val="20"/>
          <w:lang w:val="es-PE" w:eastAsia="es-ES"/>
        </w:rPr>
        <w:t xml:space="preserve"> lo dispuesto en el artículo 46.1.b) de la Convención.</w:t>
      </w:r>
    </w:p>
    <w:p w14:paraId="4FFBE378" w14:textId="64322DE9" w:rsidR="003239B8" w:rsidRPr="00152589" w:rsidRDefault="003239B8" w:rsidP="003239B8">
      <w:pPr>
        <w:pStyle w:val="ListParagraph"/>
        <w:spacing w:before="240" w:after="240"/>
        <w:jc w:val="both"/>
        <w:rPr>
          <w:rFonts w:asciiTheme="majorHAnsi" w:hAnsiTheme="majorHAnsi"/>
          <w:b/>
          <w:sz w:val="20"/>
          <w:szCs w:val="20"/>
          <w:lang w:val="es-ES"/>
        </w:rPr>
      </w:pPr>
      <w:r w:rsidRPr="00152589">
        <w:rPr>
          <w:rFonts w:asciiTheme="majorHAnsi" w:hAnsiTheme="majorHAnsi"/>
          <w:b/>
          <w:bCs/>
          <w:sz w:val="20"/>
          <w:szCs w:val="20"/>
          <w:lang w:val="es-ES"/>
        </w:rPr>
        <w:t>VII.</w:t>
      </w:r>
      <w:r w:rsidRPr="00152589">
        <w:rPr>
          <w:rFonts w:asciiTheme="majorHAnsi" w:hAnsiTheme="majorHAnsi"/>
          <w:b/>
          <w:bCs/>
          <w:sz w:val="20"/>
          <w:szCs w:val="20"/>
          <w:lang w:val="es-ES"/>
        </w:rPr>
        <w:tab/>
      </w:r>
      <w:r w:rsidR="004A6A54" w:rsidRPr="00152589">
        <w:rPr>
          <w:rFonts w:asciiTheme="majorHAnsi" w:hAnsiTheme="majorHAnsi"/>
          <w:b/>
          <w:bCs/>
          <w:sz w:val="20"/>
          <w:szCs w:val="20"/>
          <w:lang w:val="es-ES_tradnl"/>
        </w:rPr>
        <w:t xml:space="preserve">ANÁLISIS DE </w:t>
      </w:r>
      <w:r w:rsidR="00C21FEF" w:rsidRPr="00152589">
        <w:rPr>
          <w:rFonts w:asciiTheme="majorHAnsi" w:hAnsiTheme="majorHAnsi"/>
          <w:b/>
          <w:bCs/>
          <w:sz w:val="20"/>
          <w:szCs w:val="20"/>
          <w:lang w:val="es-ES"/>
        </w:rPr>
        <w:t xml:space="preserve">CARACTERIZACIÓN </w:t>
      </w:r>
      <w:r w:rsidR="00C21FEF" w:rsidRPr="00152589">
        <w:rPr>
          <w:rFonts w:asciiTheme="majorHAnsi" w:hAnsiTheme="majorHAnsi"/>
          <w:b/>
          <w:bCs/>
          <w:sz w:val="20"/>
          <w:szCs w:val="20"/>
          <w:lang w:val="es-UY"/>
        </w:rPr>
        <w:t>DE LOS HECHOS ALEGADOS</w:t>
      </w:r>
    </w:p>
    <w:p w14:paraId="59A80FD4" w14:textId="77777777" w:rsidR="002016D7" w:rsidRPr="00152589" w:rsidRDefault="000437AF" w:rsidP="002016D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152589">
        <w:rPr>
          <w:rFonts w:asciiTheme="majorHAnsi" w:hAnsiTheme="majorHAnsi"/>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152589">
        <w:rPr>
          <w:rFonts w:asciiTheme="majorHAnsi" w:hAnsiTheme="majorHAnsi"/>
          <w:i/>
          <w:iCs/>
          <w:sz w:val="20"/>
          <w:szCs w:val="20"/>
          <w:lang w:val="es-ES"/>
        </w:rPr>
        <w:t>prima facie</w:t>
      </w:r>
      <w:r w:rsidRPr="00152589">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436D89C4" w14:textId="77777777" w:rsidR="002016D7" w:rsidRPr="00152589" w:rsidRDefault="002016D7" w:rsidP="002016D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4CC73977" w14:textId="54542BC3" w:rsidR="00AF313B" w:rsidRPr="00152589" w:rsidRDefault="002016D7" w:rsidP="00AF313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152589">
        <w:rPr>
          <w:rFonts w:asciiTheme="majorHAnsi" w:hAnsiTheme="majorHAnsi"/>
          <w:sz w:val="20"/>
          <w:szCs w:val="20"/>
          <w:lang w:val="es-PE"/>
        </w:rPr>
        <w:t xml:space="preserve">Al respecto, la CIDH recuerda que en las sentencias de los casos </w:t>
      </w:r>
      <w:r w:rsidRPr="00152589">
        <w:rPr>
          <w:rFonts w:asciiTheme="majorHAnsi" w:hAnsiTheme="majorHAnsi"/>
          <w:i/>
          <w:iCs/>
          <w:sz w:val="20"/>
          <w:szCs w:val="20"/>
          <w:lang w:val="es-PE"/>
        </w:rPr>
        <w:t>Cinco Pensionistas vs. Perú</w:t>
      </w:r>
      <w:r w:rsidRPr="00152589">
        <w:rPr>
          <w:rFonts w:asciiTheme="majorHAnsi" w:hAnsiTheme="majorHAnsi"/>
          <w:sz w:val="20"/>
          <w:szCs w:val="20"/>
          <w:lang w:val="es-PE"/>
        </w:rPr>
        <w:t xml:space="preserve"> y </w:t>
      </w:r>
      <w:r w:rsidRPr="00152589">
        <w:rPr>
          <w:rFonts w:asciiTheme="majorHAnsi" w:hAnsiTheme="majorHAnsi"/>
          <w:i/>
          <w:iCs/>
          <w:sz w:val="20"/>
          <w:szCs w:val="20"/>
          <w:lang w:val="es-PE"/>
        </w:rPr>
        <w:t>Muelle Flores vs. Perú</w:t>
      </w:r>
      <w:r w:rsidRPr="00152589">
        <w:rPr>
          <w:rFonts w:asciiTheme="majorHAnsi" w:hAnsiTheme="majorHAnsi"/>
          <w:sz w:val="20"/>
          <w:szCs w:val="20"/>
          <w:lang w:val="es-PE"/>
        </w:rPr>
        <w:t>, la Corte IDH ha precisado que recibir una jubilación de manera oportuna y adecuada forma parte del derecho a la seguridad social</w:t>
      </w:r>
      <w:r w:rsidRPr="00152589">
        <w:rPr>
          <w:rStyle w:val="FootnoteReference"/>
          <w:rFonts w:asciiTheme="majorHAnsi" w:hAnsiTheme="majorHAnsi"/>
          <w:sz w:val="20"/>
          <w:szCs w:val="20"/>
          <w:lang w:val="es-PE"/>
        </w:rPr>
        <w:footnoteReference w:id="7"/>
      </w:r>
      <w:r w:rsidRPr="00152589">
        <w:rPr>
          <w:rFonts w:asciiTheme="majorHAnsi" w:hAnsiTheme="majorHAnsi"/>
          <w:sz w:val="20"/>
          <w:szCs w:val="20"/>
          <w:lang w:val="es-PE"/>
        </w:rPr>
        <w:t>. Además, que los Estados tienen la obligación de no adoptar medidas de carácter regresivo, y que en caso de que se evidencie la adopción de una medida que limite el grado de protección de un derecho económico, social y/o cultural, se deberá determinar si esta se encuentra justificada por razones de suficiente peso</w:t>
      </w:r>
      <w:r w:rsidRPr="00152589">
        <w:rPr>
          <w:rStyle w:val="FootnoteReference"/>
          <w:rFonts w:asciiTheme="majorHAnsi" w:hAnsiTheme="majorHAnsi"/>
          <w:sz w:val="20"/>
          <w:szCs w:val="20"/>
          <w:lang w:val="es-PE"/>
        </w:rPr>
        <w:footnoteReference w:id="8"/>
      </w:r>
      <w:r w:rsidRPr="00152589">
        <w:rPr>
          <w:rFonts w:asciiTheme="majorHAnsi" w:hAnsiTheme="majorHAnsi"/>
          <w:sz w:val="20"/>
          <w:szCs w:val="20"/>
          <w:lang w:val="es-PE"/>
        </w:rPr>
        <w:t>.</w:t>
      </w:r>
      <w:r w:rsidR="00AF313B" w:rsidRPr="00152589">
        <w:rPr>
          <w:rFonts w:asciiTheme="majorHAnsi" w:hAnsiTheme="majorHAnsi"/>
          <w:sz w:val="20"/>
          <w:szCs w:val="20"/>
          <w:lang w:val="es-PE"/>
        </w:rPr>
        <w:t xml:space="preserve"> Además, respecto a su relación con el derecho a la propiedad, la Corte IDH ha señalado que “</w:t>
      </w:r>
      <w:r w:rsidR="00AF313B" w:rsidRPr="00152589">
        <w:rPr>
          <w:rFonts w:asciiTheme="majorHAnsi" w:hAnsiTheme="majorHAnsi"/>
          <w:i/>
          <w:iCs/>
          <w:sz w:val="20"/>
          <w:szCs w:val="20"/>
          <w:lang w:val="es-PE"/>
        </w:rPr>
        <w:t xml:space="preserve">el derecho a la pensión que adquiere [una] persona tiene </w:t>
      </w:r>
      <w:r w:rsidR="008A3C9C" w:rsidRPr="00152589">
        <w:rPr>
          <w:rFonts w:asciiTheme="majorHAnsi" w:hAnsiTheme="majorHAnsi"/>
          <w:i/>
          <w:iCs/>
          <w:sz w:val="20"/>
          <w:szCs w:val="20"/>
          <w:lang w:val="es-PE"/>
        </w:rPr>
        <w:t>‘</w:t>
      </w:r>
      <w:r w:rsidR="00AF313B" w:rsidRPr="00152589">
        <w:rPr>
          <w:rFonts w:asciiTheme="majorHAnsi" w:hAnsiTheme="majorHAnsi"/>
          <w:sz w:val="20"/>
          <w:szCs w:val="20"/>
          <w:lang w:val="es-PE"/>
        </w:rPr>
        <w:t>efectos patrimoniales</w:t>
      </w:r>
      <w:r w:rsidR="008A3C9C" w:rsidRPr="00152589">
        <w:rPr>
          <w:rFonts w:asciiTheme="majorHAnsi" w:hAnsiTheme="majorHAnsi"/>
          <w:i/>
          <w:iCs/>
          <w:sz w:val="20"/>
          <w:szCs w:val="20"/>
          <w:lang w:val="es-PE"/>
        </w:rPr>
        <w:t>’</w:t>
      </w:r>
      <w:r w:rsidR="00AF313B" w:rsidRPr="00152589">
        <w:rPr>
          <w:rFonts w:asciiTheme="majorHAnsi" w:hAnsiTheme="majorHAnsi"/>
          <w:i/>
          <w:iCs/>
          <w:sz w:val="20"/>
          <w:szCs w:val="20"/>
          <w:lang w:val="es-PE"/>
        </w:rPr>
        <w:t>, los cuales están protegidos bajo el artículo 21 de la Convención</w:t>
      </w:r>
      <w:r w:rsidR="00AF313B" w:rsidRPr="00152589">
        <w:rPr>
          <w:rFonts w:asciiTheme="majorHAnsi" w:hAnsiTheme="majorHAnsi"/>
          <w:sz w:val="20"/>
          <w:szCs w:val="20"/>
          <w:lang w:val="es-PE"/>
        </w:rPr>
        <w:t>”</w:t>
      </w:r>
      <w:r w:rsidR="00AF313B" w:rsidRPr="00152589">
        <w:rPr>
          <w:rStyle w:val="FootnoteReference"/>
          <w:rFonts w:asciiTheme="majorHAnsi" w:hAnsiTheme="majorHAnsi"/>
          <w:sz w:val="20"/>
          <w:szCs w:val="20"/>
          <w:lang w:val="es-PE"/>
        </w:rPr>
        <w:footnoteReference w:id="9"/>
      </w:r>
      <w:r w:rsidR="00AF313B" w:rsidRPr="00152589">
        <w:rPr>
          <w:rFonts w:asciiTheme="majorHAnsi" w:hAnsiTheme="majorHAnsi"/>
          <w:sz w:val="20"/>
          <w:szCs w:val="20"/>
          <w:lang w:val="es-PE"/>
        </w:rPr>
        <w:t xml:space="preserve">. </w:t>
      </w:r>
    </w:p>
    <w:p w14:paraId="2D256551" w14:textId="77777777" w:rsidR="002016D7" w:rsidRPr="00152589" w:rsidRDefault="002016D7" w:rsidP="002016D7">
      <w:pPr>
        <w:pStyle w:val="ListParagraph"/>
        <w:rPr>
          <w:rFonts w:asciiTheme="majorHAnsi" w:hAnsiTheme="majorHAnsi"/>
          <w:sz w:val="20"/>
          <w:szCs w:val="20"/>
          <w:lang w:val="es-PE"/>
        </w:rPr>
      </w:pPr>
    </w:p>
    <w:p w14:paraId="0B8ECE65" w14:textId="21C35463" w:rsidR="002016D7" w:rsidRPr="00152589" w:rsidRDefault="002016D7" w:rsidP="002016D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152589">
        <w:rPr>
          <w:rFonts w:asciiTheme="majorHAnsi" w:hAnsiTheme="majorHAnsi"/>
          <w:sz w:val="20"/>
          <w:szCs w:val="20"/>
          <w:lang w:val="es-PE"/>
        </w:rPr>
        <w:t xml:space="preserve">En el presente caso, la Comisión observa que la parte peticionaria cuestiona, esencialmente, que el Estado adoptó una medida de carácter regresivo, lo cual perjudicó el derecho a la seguridad social de las presuntas víctimas. Según sus alegatos, la Resolución Ministerial N° 1361 derogó la normativa previa en materia previsional y estableció que la reducción del 8% para las personas que se acogieron al régimen de </w:t>
      </w:r>
      <w:r w:rsidR="00AF313B" w:rsidRPr="00152589">
        <w:rPr>
          <w:rFonts w:asciiTheme="majorHAnsi" w:hAnsiTheme="majorHAnsi"/>
          <w:sz w:val="20"/>
          <w:szCs w:val="20"/>
          <w:lang w:val="es-PE"/>
        </w:rPr>
        <w:t>r</w:t>
      </w:r>
      <w:r w:rsidRPr="00152589">
        <w:rPr>
          <w:rFonts w:asciiTheme="majorHAnsi" w:hAnsiTheme="majorHAnsi"/>
          <w:sz w:val="20"/>
          <w:szCs w:val="20"/>
          <w:lang w:val="es-PE"/>
        </w:rPr>
        <w:t xml:space="preserve">enta de </w:t>
      </w:r>
      <w:r w:rsidR="00AF313B" w:rsidRPr="00152589">
        <w:rPr>
          <w:rFonts w:asciiTheme="majorHAnsi" w:hAnsiTheme="majorHAnsi"/>
          <w:sz w:val="20"/>
          <w:szCs w:val="20"/>
          <w:lang w:val="es-PE"/>
        </w:rPr>
        <w:t>j</w:t>
      </w:r>
      <w:r w:rsidRPr="00152589">
        <w:rPr>
          <w:rFonts w:asciiTheme="majorHAnsi" w:hAnsiTheme="majorHAnsi"/>
          <w:sz w:val="20"/>
          <w:szCs w:val="20"/>
          <w:lang w:val="es-PE"/>
        </w:rPr>
        <w:t xml:space="preserve">ubilación con </w:t>
      </w:r>
      <w:r w:rsidR="00AF313B" w:rsidRPr="00152589">
        <w:rPr>
          <w:rFonts w:asciiTheme="majorHAnsi" w:hAnsiTheme="majorHAnsi"/>
          <w:sz w:val="20"/>
          <w:szCs w:val="20"/>
          <w:lang w:val="es-PE"/>
        </w:rPr>
        <w:t>r</w:t>
      </w:r>
      <w:r w:rsidRPr="00152589">
        <w:rPr>
          <w:rFonts w:asciiTheme="majorHAnsi" w:hAnsiTheme="majorHAnsi"/>
          <w:sz w:val="20"/>
          <w:szCs w:val="20"/>
          <w:lang w:val="es-PE"/>
        </w:rPr>
        <w:t xml:space="preserve">educción de </w:t>
      </w:r>
      <w:r w:rsidR="00AF313B" w:rsidRPr="00152589">
        <w:rPr>
          <w:rFonts w:asciiTheme="majorHAnsi" w:hAnsiTheme="majorHAnsi"/>
          <w:sz w:val="20"/>
          <w:szCs w:val="20"/>
          <w:lang w:val="es-PE"/>
        </w:rPr>
        <w:t>e</w:t>
      </w:r>
      <w:r w:rsidRPr="00152589">
        <w:rPr>
          <w:rFonts w:asciiTheme="majorHAnsi" w:hAnsiTheme="majorHAnsi"/>
          <w:sz w:val="20"/>
          <w:szCs w:val="20"/>
          <w:lang w:val="es-PE"/>
        </w:rPr>
        <w:t>dad solo aplicaría hasta que el beneficiario cumpliera la edad regular establecida para el retiro. Sin embargo, argumenta que el Estado nunca cumplió con dicha normativa</w:t>
      </w:r>
      <w:r w:rsidR="00CD2932" w:rsidRPr="00152589">
        <w:rPr>
          <w:rFonts w:asciiTheme="majorHAnsi" w:hAnsiTheme="majorHAnsi"/>
          <w:sz w:val="20"/>
          <w:szCs w:val="20"/>
          <w:lang w:val="es-PE"/>
        </w:rPr>
        <w:t>,</w:t>
      </w:r>
      <w:r w:rsidRPr="00152589">
        <w:rPr>
          <w:rFonts w:asciiTheme="majorHAnsi" w:hAnsiTheme="majorHAnsi"/>
          <w:sz w:val="20"/>
          <w:szCs w:val="20"/>
          <w:lang w:val="es-PE"/>
        </w:rPr>
        <w:t xml:space="preserve"> y por el contrario, promulgó disposiciones que reincorporaron la reducción del 8%.</w:t>
      </w:r>
    </w:p>
    <w:p w14:paraId="0090A7D3" w14:textId="77777777" w:rsidR="002016D7" w:rsidRPr="00152589" w:rsidRDefault="002016D7" w:rsidP="002016D7">
      <w:pPr>
        <w:pStyle w:val="ListParagraph"/>
        <w:rPr>
          <w:rFonts w:asciiTheme="majorHAnsi" w:hAnsiTheme="majorHAnsi"/>
          <w:sz w:val="20"/>
          <w:szCs w:val="20"/>
          <w:lang w:val="es-PE"/>
        </w:rPr>
      </w:pPr>
    </w:p>
    <w:p w14:paraId="59746F25" w14:textId="1E4B0E57" w:rsidR="000D61C3" w:rsidRPr="00152589" w:rsidRDefault="002016D7" w:rsidP="000D61C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152589">
        <w:rPr>
          <w:rFonts w:asciiTheme="majorHAnsi" w:hAnsiTheme="majorHAnsi"/>
          <w:sz w:val="20"/>
          <w:szCs w:val="20"/>
          <w:lang w:val="es-PE"/>
        </w:rPr>
        <w:t>A pesar de lo expuesto, Bolivia no presenta contrargumentos orientados a desacreditar la interpretación del peticionario sobre los alcances de la Resolución Ministerial N° 1361 o a demostrar que la reincorporación de la reducción del 8% está justificada. Más aún, la Comisión observa que aunque a nivel interno se presentó una demanda de inconstitucionalidad contra la normativa promulgada por el Estado, aduciendo su carácter regresivo, el Tribunal Constitucional Plurinacional no habría analizado la cuestión planteada debido a una supuesta falta de argumentos. A juicio de la Comisión, esta falta de análisis</w:t>
      </w:r>
      <w:r w:rsidR="00B54687" w:rsidRPr="00152589">
        <w:rPr>
          <w:rFonts w:asciiTheme="majorHAnsi" w:hAnsiTheme="majorHAnsi"/>
          <w:sz w:val="20"/>
          <w:szCs w:val="20"/>
          <w:lang w:val="es-PE"/>
        </w:rPr>
        <w:t xml:space="preserve"> en el control de constitucionalidad</w:t>
      </w:r>
      <w:r w:rsidRPr="00152589">
        <w:rPr>
          <w:rFonts w:asciiTheme="majorHAnsi" w:hAnsiTheme="majorHAnsi"/>
          <w:sz w:val="20"/>
          <w:szCs w:val="20"/>
          <w:lang w:val="es-PE"/>
        </w:rPr>
        <w:t xml:space="preserve"> podría constituir una restricción al derecho a la protección judicial.</w:t>
      </w:r>
    </w:p>
    <w:p w14:paraId="62D8C5FE" w14:textId="77777777" w:rsidR="000D61C3" w:rsidRPr="00152589" w:rsidRDefault="000D61C3" w:rsidP="000D61C3">
      <w:pPr>
        <w:pStyle w:val="ListParagraph"/>
        <w:rPr>
          <w:rFonts w:asciiTheme="majorHAnsi" w:hAnsiTheme="majorHAnsi"/>
          <w:sz w:val="20"/>
          <w:szCs w:val="20"/>
          <w:lang w:val="es-PE"/>
        </w:rPr>
      </w:pPr>
    </w:p>
    <w:p w14:paraId="76449B82" w14:textId="7F73E351" w:rsidR="00E01243" w:rsidRPr="00152589" w:rsidRDefault="00F0739D" w:rsidP="000D61C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152589">
        <w:rPr>
          <w:rFonts w:asciiTheme="majorHAnsi" w:hAnsiTheme="majorHAnsi"/>
          <w:sz w:val="20"/>
          <w:szCs w:val="20"/>
          <w:lang w:val="es-PE"/>
        </w:rPr>
        <w:t xml:space="preserve">Con base a estas consideraciones, la Comisión estima que los alegatos de la parte peticionaria no resultan manifiestamente infundados y requieren un estudio de fondo, </w:t>
      </w:r>
      <w:r w:rsidR="004E5259" w:rsidRPr="00152589">
        <w:rPr>
          <w:rFonts w:asciiTheme="majorHAnsi" w:hAnsiTheme="majorHAnsi"/>
          <w:sz w:val="20"/>
          <w:szCs w:val="20"/>
          <w:lang w:val="es-PE"/>
        </w:rPr>
        <w:t>ya</w:t>
      </w:r>
      <w:r w:rsidRPr="00152589">
        <w:rPr>
          <w:rFonts w:asciiTheme="majorHAnsi" w:hAnsiTheme="majorHAnsi"/>
          <w:sz w:val="20"/>
          <w:szCs w:val="20"/>
          <w:lang w:val="es-PE"/>
        </w:rPr>
        <w:t xml:space="preserve"> que</w:t>
      </w:r>
      <w:r w:rsidR="004E5259" w:rsidRPr="00152589">
        <w:rPr>
          <w:rFonts w:asciiTheme="majorHAnsi" w:hAnsiTheme="majorHAnsi"/>
          <w:sz w:val="20"/>
          <w:szCs w:val="20"/>
          <w:lang w:val="es-PE"/>
        </w:rPr>
        <w:t>, si se corroboraran</w:t>
      </w:r>
      <w:r w:rsidRPr="00152589">
        <w:rPr>
          <w:rFonts w:asciiTheme="majorHAnsi" w:hAnsiTheme="majorHAnsi"/>
          <w:sz w:val="20"/>
          <w:szCs w:val="20"/>
          <w:lang w:val="es-PE"/>
        </w:rPr>
        <w:t xml:space="preserve"> como ciertos</w:t>
      </w:r>
      <w:r w:rsidR="004E5259" w:rsidRPr="00152589">
        <w:rPr>
          <w:rFonts w:asciiTheme="majorHAnsi" w:hAnsiTheme="majorHAnsi"/>
          <w:sz w:val="20"/>
          <w:szCs w:val="20"/>
          <w:lang w:val="es-PE"/>
        </w:rPr>
        <w:t>,</w:t>
      </w:r>
      <w:r w:rsidRPr="00152589">
        <w:rPr>
          <w:rFonts w:asciiTheme="majorHAnsi" w:hAnsiTheme="majorHAnsi"/>
          <w:sz w:val="20"/>
          <w:szCs w:val="20"/>
          <w:lang w:val="es-PE"/>
        </w:rPr>
        <w:t xml:space="preserve"> podrían constituir violaciones de los derechos protegidos en los artículos 8 (garantías judiciales), 2</w:t>
      </w:r>
      <w:r w:rsidR="00E01243" w:rsidRPr="00152589">
        <w:rPr>
          <w:rFonts w:asciiTheme="majorHAnsi" w:hAnsiTheme="majorHAnsi"/>
          <w:sz w:val="20"/>
          <w:szCs w:val="20"/>
          <w:lang w:val="es-PE"/>
        </w:rPr>
        <w:t>1</w:t>
      </w:r>
      <w:r w:rsidRPr="00152589">
        <w:rPr>
          <w:rFonts w:asciiTheme="majorHAnsi" w:hAnsiTheme="majorHAnsi"/>
          <w:sz w:val="20"/>
          <w:szCs w:val="20"/>
          <w:lang w:val="es-PE"/>
        </w:rPr>
        <w:t xml:space="preserve"> (</w:t>
      </w:r>
      <w:r w:rsidR="00E01243" w:rsidRPr="00152589">
        <w:rPr>
          <w:rFonts w:asciiTheme="majorHAnsi" w:hAnsiTheme="majorHAnsi"/>
          <w:sz w:val="20"/>
          <w:szCs w:val="20"/>
          <w:lang w:val="es-PE"/>
        </w:rPr>
        <w:t>propiedad privada</w:t>
      </w:r>
      <w:r w:rsidRPr="00152589">
        <w:rPr>
          <w:rFonts w:asciiTheme="majorHAnsi" w:hAnsiTheme="majorHAnsi"/>
          <w:sz w:val="20"/>
          <w:szCs w:val="20"/>
          <w:lang w:val="es-PE"/>
        </w:rPr>
        <w:t>), 25 (protección judicial)</w:t>
      </w:r>
      <w:r w:rsidR="00E01243" w:rsidRPr="00152589">
        <w:rPr>
          <w:rFonts w:asciiTheme="majorHAnsi" w:hAnsiTheme="majorHAnsi"/>
          <w:sz w:val="20"/>
          <w:szCs w:val="20"/>
          <w:lang w:val="es-PE"/>
        </w:rPr>
        <w:t xml:space="preserve"> y 26 (</w:t>
      </w:r>
      <w:r w:rsidR="00A47ACE" w:rsidRPr="00152589">
        <w:rPr>
          <w:rFonts w:asciiTheme="majorHAnsi" w:hAnsiTheme="majorHAnsi"/>
          <w:sz w:val="20"/>
          <w:szCs w:val="20"/>
          <w:lang w:val="es-PE"/>
        </w:rPr>
        <w:t>derechos económicos, sociales y culturales</w:t>
      </w:r>
      <w:r w:rsidR="00E01243" w:rsidRPr="00152589">
        <w:rPr>
          <w:rFonts w:asciiTheme="majorHAnsi" w:hAnsiTheme="majorHAnsi"/>
          <w:sz w:val="20"/>
          <w:szCs w:val="20"/>
          <w:lang w:val="es-PE"/>
        </w:rPr>
        <w:t>)</w:t>
      </w:r>
      <w:r w:rsidRPr="00152589">
        <w:rPr>
          <w:rFonts w:asciiTheme="majorHAnsi" w:hAnsiTheme="majorHAnsi"/>
          <w:sz w:val="20"/>
          <w:szCs w:val="20"/>
          <w:lang w:val="es-PE"/>
        </w:rPr>
        <w:t xml:space="preserve"> de la Convención Americana, en relación con su artículo 1.1 (obligación de respetar los derechos) y 2 (</w:t>
      </w:r>
      <w:r w:rsidR="009B40B4" w:rsidRPr="00152589">
        <w:rPr>
          <w:rFonts w:asciiTheme="majorHAnsi" w:hAnsiTheme="majorHAnsi"/>
          <w:sz w:val="20"/>
          <w:szCs w:val="20"/>
          <w:lang w:val="es-PE"/>
        </w:rPr>
        <w:t>d</w:t>
      </w:r>
      <w:r w:rsidRPr="00152589">
        <w:rPr>
          <w:rFonts w:asciiTheme="majorHAnsi" w:hAnsiTheme="majorHAnsi"/>
          <w:sz w:val="20"/>
          <w:szCs w:val="20"/>
          <w:lang w:val="es-PE"/>
        </w:rPr>
        <w:t xml:space="preserve">eber de </w:t>
      </w:r>
      <w:r w:rsidR="009B40B4" w:rsidRPr="00152589">
        <w:rPr>
          <w:rFonts w:asciiTheme="majorHAnsi" w:hAnsiTheme="majorHAnsi"/>
          <w:sz w:val="20"/>
          <w:szCs w:val="20"/>
          <w:lang w:val="es-PE"/>
        </w:rPr>
        <w:t>a</w:t>
      </w:r>
      <w:r w:rsidRPr="00152589">
        <w:rPr>
          <w:rFonts w:asciiTheme="majorHAnsi" w:hAnsiTheme="majorHAnsi"/>
          <w:sz w:val="20"/>
          <w:szCs w:val="20"/>
          <w:lang w:val="es-PE"/>
        </w:rPr>
        <w:t xml:space="preserve">doptar </w:t>
      </w:r>
      <w:r w:rsidR="009B40B4" w:rsidRPr="00152589">
        <w:rPr>
          <w:rFonts w:asciiTheme="majorHAnsi" w:hAnsiTheme="majorHAnsi"/>
          <w:sz w:val="20"/>
          <w:szCs w:val="20"/>
          <w:lang w:val="es-PE"/>
        </w:rPr>
        <w:t>d</w:t>
      </w:r>
      <w:r w:rsidRPr="00152589">
        <w:rPr>
          <w:rFonts w:asciiTheme="majorHAnsi" w:hAnsiTheme="majorHAnsi"/>
          <w:sz w:val="20"/>
          <w:szCs w:val="20"/>
          <w:lang w:val="es-PE"/>
        </w:rPr>
        <w:t xml:space="preserve">isposiciones de </w:t>
      </w:r>
      <w:r w:rsidR="009B40B4" w:rsidRPr="00152589">
        <w:rPr>
          <w:rFonts w:asciiTheme="majorHAnsi" w:hAnsiTheme="majorHAnsi"/>
          <w:sz w:val="20"/>
          <w:szCs w:val="20"/>
          <w:lang w:val="es-PE"/>
        </w:rPr>
        <w:t>d</w:t>
      </w:r>
      <w:r w:rsidRPr="00152589">
        <w:rPr>
          <w:rFonts w:asciiTheme="majorHAnsi" w:hAnsiTheme="majorHAnsi"/>
          <w:sz w:val="20"/>
          <w:szCs w:val="20"/>
          <w:lang w:val="es-PE"/>
        </w:rPr>
        <w:t xml:space="preserve">erecho </w:t>
      </w:r>
      <w:r w:rsidR="009B40B4" w:rsidRPr="00152589">
        <w:rPr>
          <w:rFonts w:asciiTheme="majorHAnsi" w:hAnsiTheme="majorHAnsi"/>
          <w:sz w:val="20"/>
          <w:szCs w:val="20"/>
          <w:lang w:val="es-PE"/>
        </w:rPr>
        <w:t>i</w:t>
      </w:r>
      <w:r w:rsidRPr="00152589">
        <w:rPr>
          <w:rFonts w:asciiTheme="majorHAnsi" w:hAnsiTheme="majorHAnsi"/>
          <w:sz w:val="20"/>
          <w:szCs w:val="20"/>
          <w:lang w:val="es-PE"/>
        </w:rPr>
        <w:t xml:space="preserve">nterno), en perjuicio de las presunta víctimas. </w:t>
      </w:r>
    </w:p>
    <w:p w14:paraId="1F5B4B78" w14:textId="77777777" w:rsidR="00AF313B" w:rsidRPr="00152589" w:rsidRDefault="00AF313B" w:rsidP="00AF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58EB537A" w14:textId="4195E80C" w:rsidR="00286663" w:rsidRPr="00152589" w:rsidRDefault="009612D8" w:rsidP="00972E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sz w:val="20"/>
          <w:szCs w:val="20"/>
          <w:lang w:val="es-PE"/>
        </w:rPr>
      </w:pPr>
      <w:r w:rsidRPr="00152589">
        <w:rPr>
          <w:rFonts w:asciiTheme="majorHAnsi" w:hAnsiTheme="majorHAnsi"/>
          <w:sz w:val="20"/>
          <w:szCs w:val="20"/>
          <w:lang w:val="es-PE"/>
        </w:rPr>
        <w:t>C</w:t>
      </w:r>
      <w:r w:rsidR="00830BF7" w:rsidRPr="00152589">
        <w:rPr>
          <w:rFonts w:asciiTheme="majorHAnsi" w:hAnsiTheme="majorHAnsi"/>
          <w:sz w:val="20"/>
          <w:szCs w:val="20"/>
          <w:lang w:val="es-PE"/>
        </w:rPr>
        <w:t>on relación al</w:t>
      </w:r>
      <w:r w:rsidR="00286663" w:rsidRPr="00152589">
        <w:rPr>
          <w:rFonts w:asciiTheme="majorHAnsi" w:hAnsiTheme="majorHAnsi"/>
          <w:sz w:val="20"/>
          <w:szCs w:val="20"/>
          <w:lang w:val="es-PE"/>
        </w:rPr>
        <w:t xml:space="preserve"> artículo </w:t>
      </w:r>
      <w:r w:rsidR="00E01243" w:rsidRPr="00152589">
        <w:rPr>
          <w:rFonts w:asciiTheme="majorHAnsi" w:hAnsiTheme="majorHAnsi"/>
          <w:sz w:val="20"/>
          <w:szCs w:val="20"/>
          <w:lang w:val="es-PE"/>
        </w:rPr>
        <w:t>11</w:t>
      </w:r>
      <w:r w:rsidR="00286663" w:rsidRPr="00152589">
        <w:rPr>
          <w:rFonts w:asciiTheme="majorHAnsi" w:hAnsiTheme="majorHAnsi"/>
          <w:sz w:val="20"/>
          <w:szCs w:val="20"/>
          <w:lang w:val="es-PE"/>
        </w:rPr>
        <w:t xml:space="preserve"> (</w:t>
      </w:r>
      <w:r w:rsidR="009B40B4" w:rsidRPr="00152589">
        <w:rPr>
          <w:rFonts w:asciiTheme="majorHAnsi" w:hAnsiTheme="majorHAnsi"/>
          <w:bCs/>
          <w:sz w:val="20"/>
          <w:szCs w:val="20"/>
          <w:lang w:val="es-PE"/>
        </w:rPr>
        <w:t>p</w:t>
      </w:r>
      <w:r w:rsidR="00E01243" w:rsidRPr="00152589">
        <w:rPr>
          <w:rFonts w:asciiTheme="majorHAnsi" w:hAnsiTheme="majorHAnsi"/>
          <w:bCs/>
          <w:sz w:val="20"/>
          <w:szCs w:val="20"/>
          <w:lang w:val="es-PE"/>
        </w:rPr>
        <w:t xml:space="preserve">rotección de la </w:t>
      </w:r>
      <w:r w:rsidR="009B40B4" w:rsidRPr="00152589">
        <w:rPr>
          <w:rFonts w:asciiTheme="majorHAnsi" w:hAnsiTheme="majorHAnsi"/>
          <w:bCs/>
          <w:sz w:val="20"/>
          <w:szCs w:val="20"/>
          <w:lang w:val="es-PE"/>
        </w:rPr>
        <w:t>h</w:t>
      </w:r>
      <w:r w:rsidR="00E01243" w:rsidRPr="00152589">
        <w:rPr>
          <w:rFonts w:asciiTheme="majorHAnsi" w:hAnsiTheme="majorHAnsi"/>
          <w:bCs/>
          <w:sz w:val="20"/>
          <w:szCs w:val="20"/>
          <w:lang w:val="es-PE"/>
        </w:rPr>
        <w:t xml:space="preserve">onra y de la </w:t>
      </w:r>
      <w:r w:rsidR="009B40B4" w:rsidRPr="00152589">
        <w:rPr>
          <w:rFonts w:asciiTheme="majorHAnsi" w:hAnsiTheme="majorHAnsi"/>
          <w:bCs/>
          <w:sz w:val="20"/>
          <w:szCs w:val="20"/>
          <w:lang w:val="es-PE"/>
        </w:rPr>
        <w:t>d</w:t>
      </w:r>
      <w:r w:rsidR="00E01243" w:rsidRPr="00152589">
        <w:rPr>
          <w:rFonts w:asciiTheme="majorHAnsi" w:hAnsiTheme="majorHAnsi"/>
          <w:bCs/>
          <w:sz w:val="20"/>
          <w:szCs w:val="20"/>
          <w:lang w:val="es-PE"/>
        </w:rPr>
        <w:t>ignidad</w:t>
      </w:r>
      <w:r w:rsidR="00286663" w:rsidRPr="00152589">
        <w:rPr>
          <w:rFonts w:asciiTheme="majorHAnsi" w:hAnsiTheme="majorHAnsi"/>
          <w:sz w:val="20"/>
          <w:szCs w:val="20"/>
          <w:lang w:val="es-PE"/>
        </w:rPr>
        <w:t>)</w:t>
      </w:r>
      <w:r w:rsidR="000102A2" w:rsidRPr="00152589">
        <w:rPr>
          <w:rFonts w:asciiTheme="majorHAnsi" w:hAnsiTheme="majorHAnsi"/>
          <w:sz w:val="20"/>
          <w:szCs w:val="20"/>
          <w:lang w:val="es-PE"/>
        </w:rPr>
        <w:t xml:space="preserve"> </w:t>
      </w:r>
      <w:r w:rsidR="00286663" w:rsidRPr="00152589">
        <w:rPr>
          <w:rFonts w:asciiTheme="majorHAnsi" w:hAnsiTheme="majorHAnsi"/>
          <w:sz w:val="20"/>
          <w:szCs w:val="20"/>
          <w:lang w:val="es-PE"/>
        </w:rPr>
        <w:t xml:space="preserve">de la Convención, la Comisión considera que la parte peticionaria no </w:t>
      </w:r>
      <w:r w:rsidR="004E5259" w:rsidRPr="00152589">
        <w:rPr>
          <w:rFonts w:asciiTheme="majorHAnsi" w:hAnsiTheme="majorHAnsi"/>
          <w:sz w:val="20"/>
          <w:szCs w:val="20"/>
          <w:lang w:val="es-PE"/>
        </w:rPr>
        <w:t xml:space="preserve">ha </w:t>
      </w:r>
      <w:r w:rsidR="00286663" w:rsidRPr="00152589">
        <w:rPr>
          <w:rFonts w:asciiTheme="majorHAnsi" w:hAnsiTheme="majorHAnsi"/>
          <w:sz w:val="20"/>
          <w:szCs w:val="20"/>
          <w:lang w:val="es-PE"/>
        </w:rPr>
        <w:t>aporta</w:t>
      </w:r>
      <w:r w:rsidR="004E5259" w:rsidRPr="00152589">
        <w:rPr>
          <w:rFonts w:asciiTheme="majorHAnsi" w:hAnsiTheme="majorHAnsi"/>
          <w:sz w:val="20"/>
          <w:szCs w:val="20"/>
          <w:lang w:val="es-PE"/>
        </w:rPr>
        <w:t>do</w:t>
      </w:r>
      <w:r w:rsidR="00286663" w:rsidRPr="00152589">
        <w:rPr>
          <w:rFonts w:asciiTheme="majorHAnsi" w:hAnsiTheme="majorHAnsi"/>
          <w:sz w:val="20"/>
          <w:szCs w:val="20"/>
          <w:lang w:val="es-PE"/>
        </w:rPr>
        <w:t xml:space="preserve"> argumentos o información que permitan, </w:t>
      </w:r>
      <w:r w:rsidR="00286663" w:rsidRPr="00152589">
        <w:rPr>
          <w:rFonts w:asciiTheme="majorHAnsi" w:hAnsiTheme="majorHAnsi"/>
          <w:i/>
          <w:iCs/>
          <w:sz w:val="20"/>
          <w:szCs w:val="20"/>
          <w:lang w:val="es-PE"/>
        </w:rPr>
        <w:t>prima facie</w:t>
      </w:r>
      <w:r w:rsidR="00286663" w:rsidRPr="00152589">
        <w:rPr>
          <w:rFonts w:asciiTheme="majorHAnsi" w:hAnsiTheme="majorHAnsi"/>
          <w:sz w:val="20"/>
          <w:szCs w:val="20"/>
          <w:lang w:val="es-PE"/>
        </w:rPr>
        <w:t>, identificar que su posible vulneración le sea internacionalmente atribuible al Estado boliviano.</w:t>
      </w:r>
    </w:p>
    <w:p w14:paraId="6D4E2B6E" w14:textId="4E995EE7" w:rsidR="009612D8" w:rsidRPr="00152589" w:rsidRDefault="000102A2" w:rsidP="00961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sz w:val="20"/>
          <w:szCs w:val="20"/>
          <w:lang w:val="es-PE"/>
        </w:rPr>
      </w:pPr>
      <w:r w:rsidRPr="00152589">
        <w:rPr>
          <w:rFonts w:asciiTheme="majorHAnsi" w:hAnsiTheme="majorHAnsi"/>
          <w:sz w:val="20"/>
          <w:szCs w:val="20"/>
          <w:lang w:val="es-PE"/>
        </w:rPr>
        <w:t>E</w:t>
      </w:r>
      <w:r w:rsidR="009612D8" w:rsidRPr="00152589">
        <w:rPr>
          <w:rFonts w:asciiTheme="majorHAnsi" w:hAnsiTheme="majorHAnsi"/>
          <w:sz w:val="20"/>
          <w:szCs w:val="20"/>
          <w:lang w:val="es-PE"/>
        </w:rPr>
        <w:t xml:space="preserve">n cuanto a las vulneraciones a la Convención Interamericana sobre la Protección de los Derechos Humanos de las Personas Mayores, la Comisión recuerda que carece de competencia para establecer violaciones a dicho tratado. Asimismo, respecto a los alegatos sobre violaciones a los artículos del Protocolo de San Salvador, la CIDH observa que la competencia prevista en el artículo 19.6 de dicho tratado para establecer violaciones en el contexto de un caso individual se limita a los artículos 8 y 13. En tal sentido, la Comisión únicamente se limitará a determinar si, </w:t>
      </w:r>
      <w:r w:rsidR="009612D8" w:rsidRPr="00152589">
        <w:rPr>
          <w:rFonts w:asciiTheme="majorHAnsi" w:hAnsiTheme="majorHAnsi"/>
          <w:i/>
          <w:iCs/>
          <w:sz w:val="20"/>
          <w:szCs w:val="20"/>
          <w:lang w:val="es-PE"/>
        </w:rPr>
        <w:t>prima facie</w:t>
      </w:r>
      <w:r w:rsidR="009612D8" w:rsidRPr="00152589">
        <w:rPr>
          <w:rFonts w:asciiTheme="majorHAnsi" w:hAnsiTheme="majorHAnsi"/>
          <w:sz w:val="20"/>
          <w:szCs w:val="20"/>
          <w:lang w:val="es-PE"/>
        </w:rPr>
        <w:t>, en el presente asunto puede existir una posible afectación a los derechos contemplados en la Convención Americana. Sin perjuicio de ello, los instrumentos mencionados podrán ser considerados en el ejercicio interpretativo de las normas de la Convención Americana en la etapa de fondo del presente caso, en los términos del artículo 29 de la Convención.</w:t>
      </w:r>
    </w:p>
    <w:p w14:paraId="1B8EDDDF" w14:textId="73F512D2" w:rsidR="000102A2" w:rsidRPr="00152589" w:rsidRDefault="000102A2" w:rsidP="000102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sz w:val="20"/>
          <w:szCs w:val="20"/>
          <w:lang w:val="es-PE"/>
        </w:rPr>
      </w:pPr>
      <w:r w:rsidRPr="00152589">
        <w:rPr>
          <w:rFonts w:asciiTheme="majorHAnsi" w:hAnsiTheme="majorHAnsi"/>
          <w:sz w:val="20"/>
          <w:szCs w:val="20"/>
          <w:lang w:val="es-PE"/>
        </w:rPr>
        <w:t>Finalmente, respecto al fallecimiento del señor Miguel Ángel Pacheco Sandoval, una de las presuntas víctimas, la CIDH recuerda que, de corroborarse la vulneración de sus derechos, las prestaciones de seguridad social se aplicarán a sus dependientes</w:t>
      </w:r>
      <w:r w:rsidRPr="00152589">
        <w:rPr>
          <w:rStyle w:val="FootnoteReference"/>
          <w:rFonts w:asciiTheme="majorHAnsi" w:hAnsiTheme="majorHAnsi"/>
          <w:sz w:val="20"/>
          <w:szCs w:val="20"/>
        </w:rPr>
        <w:footnoteReference w:id="10"/>
      </w:r>
      <w:r w:rsidRPr="00152589">
        <w:rPr>
          <w:rFonts w:asciiTheme="majorHAnsi" w:hAnsiTheme="majorHAnsi"/>
          <w:sz w:val="20"/>
          <w:szCs w:val="20"/>
          <w:lang w:val="es-PE"/>
        </w:rPr>
        <w:t>. Por tal motivo, su fallecimiento, no exime a la Comisión, ni a la Corte IDH, de analizar su caso.</w:t>
      </w:r>
    </w:p>
    <w:p w14:paraId="29BB41F5" w14:textId="77777777" w:rsidR="003239B8" w:rsidRPr="00152589" w:rsidRDefault="003239B8" w:rsidP="003239B8">
      <w:pPr>
        <w:pStyle w:val="ListParagraph"/>
        <w:spacing w:before="240" w:after="240"/>
        <w:jc w:val="both"/>
        <w:rPr>
          <w:rFonts w:asciiTheme="majorHAnsi" w:hAnsiTheme="majorHAnsi"/>
          <w:b/>
          <w:bCs/>
          <w:sz w:val="20"/>
          <w:szCs w:val="20"/>
          <w:lang w:val="es-ES"/>
        </w:rPr>
      </w:pPr>
      <w:r w:rsidRPr="00152589">
        <w:rPr>
          <w:rFonts w:asciiTheme="majorHAnsi" w:hAnsiTheme="majorHAnsi"/>
          <w:b/>
          <w:bCs/>
          <w:sz w:val="20"/>
          <w:szCs w:val="20"/>
          <w:lang w:val="es-ES"/>
        </w:rPr>
        <w:t xml:space="preserve">VIII. </w:t>
      </w:r>
      <w:r w:rsidRPr="00152589">
        <w:rPr>
          <w:rFonts w:asciiTheme="majorHAnsi" w:hAnsiTheme="majorHAnsi"/>
          <w:b/>
          <w:bCs/>
          <w:sz w:val="20"/>
          <w:szCs w:val="20"/>
          <w:lang w:val="es-ES"/>
        </w:rPr>
        <w:tab/>
        <w:t>DECISIÓN</w:t>
      </w:r>
    </w:p>
    <w:p w14:paraId="5AC7F9DB" w14:textId="18B022CC" w:rsidR="00286663" w:rsidRPr="00152589" w:rsidRDefault="00286663" w:rsidP="00972E1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52589">
        <w:rPr>
          <w:rFonts w:asciiTheme="majorHAnsi" w:hAnsiTheme="majorHAnsi"/>
          <w:sz w:val="20"/>
          <w:szCs w:val="20"/>
          <w:lang w:val="es-ES"/>
        </w:rPr>
        <w:t xml:space="preserve">Declarar admisible la presente petición en relación con </w:t>
      </w:r>
      <w:r w:rsidRPr="00152589">
        <w:rPr>
          <w:rFonts w:asciiTheme="majorHAnsi" w:hAnsiTheme="majorHAnsi" w:cs="Cambria"/>
          <w:color w:val="000000"/>
          <w:sz w:val="20"/>
          <w:szCs w:val="20"/>
          <w:lang w:val="es-PE" w:eastAsia="es-ES"/>
        </w:rPr>
        <w:t xml:space="preserve">los artículos </w:t>
      </w:r>
      <w:r w:rsidR="00E01243" w:rsidRPr="00152589">
        <w:rPr>
          <w:rFonts w:asciiTheme="majorHAnsi" w:hAnsiTheme="majorHAnsi"/>
          <w:sz w:val="20"/>
          <w:szCs w:val="20"/>
          <w:lang w:val="es-PE"/>
        </w:rPr>
        <w:t>8</w:t>
      </w:r>
      <w:r w:rsidRPr="00152589">
        <w:rPr>
          <w:rFonts w:asciiTheme="majorHAnsi" w:hAnsiTheme="majorHAnsi"/>
          <w:sz w:val="20"/>
          <w:szCs w:val="20"/>
          <w:lang w:val="es-PE"/>
        </w:rPr>
        <w:t xml:space="preserve">, </w:t>
      </w:r>
      <w:r w:rsidR="00E01243" w:rsidRPr="00152589">
        <w:rPr>
          <w:rFonts w:asciiTheme="majorHAnsi" w:hAnsiTheme="majorHAnsi" w:cs="Cambria"/>
          <w:color w:val="000000"/>
          <w:sz w:val="20"/>
          <w:szCs w:val="20"/>
          <w:lang w:val="es-PE" w:eastAsia="es-ES"/>
        </w:rPr>
        <w:t>21</w:t>
      </w:r>
      <w:r w:rsidRPr="00152589">
        <w:rPr>
          <w:rFonts w:asciiTheme="majorHAnsi" w:hAnsiTheme="majorHAnsi" w:cs="Cambria"/>
          <w:color w:val="000000"/>
          <w:sz w:val="20"/>
          <w:szCs w:val="20"/>
          <w:lang w:val="es-PE" w:eastAsia="es-ES"/>
        </w:rPr>
        <w:t>, 2</w:t>
      </w:r>
      <w:r w:rsidR="00E01243" w:rsidRPr="00152589">
        <w:rPr>
          <w:rFonts w:asciiTheme="majorHAnsi" w:hAnsiTheme="majorHAnsi" w:cs="Cambria"/>
          <w:color w:val="000000"/>
          <w:sz w:val="20"/>
          <w:szCs w:val="20"/>
          <w:lang w:val="es-PE" w:eastAsia="es-ES"/>
        </w:rPr>
        <w:t>5</w:t>
      </w:r>
      <w:r w:rsidRPr="00152589">
        <w:rPr>
          <w:rFonts w:asciiTheme="majorHAnsi" w:hAnsiTheme="majorHAnsi" w:cs="Cambria"/>
          <w:color w:val="000000"/>
          <w:sz w:val="20"/>
          <w:szCs w:val="20"/>
          <w:lang w:val="es-PE" w:eastAsia="es-ES"/>
        </w:rPr>
        <w:t xml:space="preserve">, y </w:t>
      </w:r>
      <w:r w:rsidRPr="00152589">
        <w:rPr>
          <w:rFonts w:asciiTheme="majorHAnsi" w:hAnsiTheme="majorHAnsi"/>
          <w:sz w:val="20"/>
          <w:szCs w:val="20"/>
          <w:lang w:val="es-PE"/>
        </w:rPr>
        <w:t>26</w:t>
      </w:r>
      <w:r w:rsidR="00E01243" w:rsidRPr="00152589">
        <w:rPr>
          <w:rFonts w:asciiTheme="majorHAnsi" w:hAnsiTheme="majorHAnsi"/>
          <w:sz w:val="20"/>
          <w:szCs w:val="20"/>
          <w:lang w:val="es-PE"/>
        </w:rPr>
        <w:t>, en relación con los artículos 1.1 y 2</w:t>
      </w:r>
      <w:r w:rsidRPr="00152589">
        <w:rPr>
          <w:rFonts w:asciiTheme="majorHAnsi" w:hAnsiTheme="majorHAnsi"/>
          <w:sz w:val="20"/>
          <w:szCs w:val="20"/>
          <w:lang w:val="es-PE"/>
        </w:rPr>
        <w:t xml:space="preserve"> </w:t>
      </w:r>
      <w:r w:rsidRPr="00152589">
        <w:rPr>
          <w:rFonts w:asciiTheme="majorHAnsi" w:hAnsiTheme="majorHAnsi" w:cs="Cambria"/>
          <w:color w:val="000000"/>
          <w:sz w:val="20"/>
          <w:szCs w:val="20"/>
          <w:lang w:val="es-PE" w:eastAsia="es-ES"/>
        </w:rPr>
        <w:t xml:space="preserve">de la Convención Americana; </w:t>
      </w:r>
    </w:p>
    <w:p w14:paraId="44C9377A" w14:textId="2F4B94ED" w:rsidR="00286663" w:rsidRPr="00152589" w:rsidRDefault="00286663" w:rsidP="00972E10">
      <w:pPr>
        <w:pStyle w:val="ListParagraph"/>
        <w:numPr>
          <w:ilvl w:val="0"/>
          <w:numId w:val="56"/>
        </w:numPr>
        <w:jc w:val="both"/>
        <w:rPr>
          <w:rFonts w:asciiTheme="majorHAnsi" w:eastAsia="Arial Unicode MS" w:hAnsiTheme="majorHAnsi" w:cs="Times New Roman"/>
          <w:color w:val="auto"/>
          <w:sz w:val="20"/>
          <w:szCs w:val="20"/>
          <w:lang w:val="es-ES" w:eastAsia="en-US"/>
        </w:rPr>
      </w:pPr>
      <w:r w:rsidRPr="00152589">
        <w:rPr>
          <w:rFonts w:asciiTheme="majorHAnsi" w:eastAsia="Arial Unicode MS" w:hAnsiTheme="majorHAnsi" w:cs="Times New Roman"/>
          <w:color w:val="auto"/>
          <w:sz w:val="20"/>
          <w:szCs w:val="20"/>
          <w:lang w:val="es-ES" w:eastAsia="en-US"/>
        </w:rPr>
        <w:t xml:space="preserve">Declarar inadmisible la presente petición en relación con </w:t>
      </w:r>
      <w:r w:rsidR="00AF313B" w:rsidRPr="00152589">
        <w:rPr>
          <w:rFonts w:asciiTheme="majorHAnsi" w:eastAsia="Arial Unicode MS" w:hAnsiTheme="majorHAnsi" w:cs="Times New Roman"/>
          <w:color w:val="auto"/>
          <w:sz w:val="20"/>
          <w:szCs w:val="20"/>
          <w:lang w:val="es-ES" w:eastAsia="en-US"/>
        </w:rPr>
        <w:t>el</w:t>
      </w:r>
      <w:r w:rsidRPr="00152589">
        <w:rPr>
          <w:rFonts w:asciiTheme="majorHAnsi" w:hAnsiTheme="majorHAnsi"/>
          <w:color w:val="auto"/>
          <w:sz w:val="20"/>
          <w:szCs w:val="20"/>
          <w:lang w:val="es-PE"/>
        </w:rPr>
        <w:t xml:space="preserve"> artículo</w:t>
      </w:r>
      <w:r w:rsidR="000D61C3" w:rsidRPr="00152589">
        <w:rPr>
          <w:rFonts w:asciiTheme="majorHAnsi" w:hAnsiTheme="majorHAnsi"/>
          <w:color w:val="auto"/>
          <w:sz w:val="20"/>
          <w:szCs w:val="20"/>
          <w:lang w:val="es-PE"/>
        </w:rPr>
        <w:t xml:space="preserve"> </w:t>
      </w:r>
      <w:r w:rsidR="00E01243" w:rsidRPr="00152589">
        <w:rPr>
          <w:rFonts w:asciiTheme="majorHAnsi" w:hAnsiTheme="majorHAnsi"/>
          <w:color w:val="auto"/>
          <w:sz w:val="20"/>
          <w:szCs w:val="20"/>
          <w:lang w:val="es-PE"/>
        </w:rPr>
        <w:t>11</w:t>
      </w:r>
      <w:r w:rsidR="000102A2" w:rsidRPr="00152589">
        <w:rPr>
          <w:rFonts w:asciiTheme="majorHAnsi" w:hAnsiTheme="majorHAnsi"/>
          <w:color w:val="auto"/>
          <w:sz w:val="20"/>
          <w:szCs w:val="20"/>
          <w:lang w:val="es-PE"/>
        </w:rPr>
        <w:t xml:space="preserve"> </w:t>
      </w:r>
      <w:r w:rsidRPr="00152589">
        <w:rPr>
          <w:rFonts w:asciiTheme="majorHAnsi" w:hAnsiTheme="majorHAnsi"/>
          <w:sz w:val="20"/>
          <w:szCs w:val="20"/>
          <w:lang w:val="es-PE"/>
        </w:rPr>
        <w:t>de la Convención Americana</w:t>
      </w:r>
      <w:r w:rsidR="00F7214C">
        <w:rPr>
          <w:rFonts w:asciiTheme="majorHAnsi" w:eastAsia="Arial Unicode MS" w:hAnsiTheme="majorHAnsi" w:cs="Times New Roman"/>
          <w:color w:val="auto"/>
          <w:sz w:val="20"/>
          <w:szCs w:val="20"/>
          <w:lang w:val="es-ES" w:eastAsia="en-US"/>
        </w:rPr>
        <w:t>, y;</w:t>
      </w:r>
    </w:p>
    <w:p w14:paraId="766212E4" w14:textId="77777777" w:rsidR="00286663" w:rsidRPr="00152589" w:rsidRDefault="00286663" w:rsidP="00286663">
      <w:pPr>
        <w:pStyle w:val="ListParagraph"/>
        <w:jc w:val="both"/>
        <w:rPr>
          <w:rFonts w:asciiTheme="majorHAnsi" w:eastAsia="Arial Unicode MS" w:hAnsiTheme="majorHAnsi" w:cs="Times New Roman"/>
          <w:color w:val="auto"/>
          <w:sz w:val="20"/>
          <w:szCs w:val="20"/>
          <w:lang w:val="es-ES" w:eastAsia="en-US"/>
        </w:rPr>
      </w:pPr>
    </w:p>
    <w:p w14:paraId="2B7BB149" w14:textId="52AD16D5" w:rsidR="00286663" w:rsidRPr="00152589" w:rsidRDefault="00286663" w:rsidP="00972E1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5258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E01243" w:rsidRPr="00152589">
        <w:rPr>
          <w:rFonts w:asciiTheme="majorHAnsi" w:hAnsiTheme="majorHAnsi"/>
          <w:sz w:val="20"/>
          <w:szCs w:val="20"/>
          <w:lang w:val="es-ES"/>
        </w:rPr>
        <w:t xml:space="preserve"> </w:t>
      </w:r>
    </w:p>
    <w:p w14:paraId="2642C68E" w14:textId="03C424F1" w:rsidR="008D768D" w:rsidRPr="00C40FCF" w:rsidRDefault="00F7214C" w:rsidP="00C40FC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Pr>
          <w:rStyle w:val="normaltextrun"/>
          <w:rFonts w:ascii="Cambria" w:eastAsia="Trebuchet MS" w:hAnsi="Cambria" w:cs="Segoe UI"/>
          <w:sz w:val="20"/>
          <w:szCs w:val="20"/>
          <w:lang w:val="es-CL"/>
        </w:rPr>
        <w:t>1</w:t>
      </w:r>
      <w:r w:rsidR="003073C2">
        <w:rPr>
          <w:rStyle w:val="normaltextrun"/>
          <w:rFonts w:ascii="Cambria" w:eastAsia="Trebuchet MS" w:hAnsi="Cambria" w:cs="Segoe UI"/>
          <w:sz w:val="20"/>
          <w:szCs w:val="20"/>
          <w:lang w:val="es-CL"/>
        </w:rPr>
        <w:t>9</w:t>
      </w:r>
      <w:r>
        <w:rPr>
          <w:rStyle w:val="normaltextrun"/>
          <w:rFonts w:ascii="Cambria" w:hAnsi="Cambria" w:cs="Segoe UI"/>
          <w:sz w:val="20"/>
          <w:szCs w:val="20"/>
          <w:lang w:val="es-CL"/>
        </w:rPr>
        <w:t xml:space="preserve"> días del mes de </w:t>
      </w:r>
      <w:r>
        <w:rPr>
          <w:rStyle w:val="normaltextrun"/>
          <w:rFonts w:ascii="Cambria" w:eastAsia="Trebuchet MS" w:hAnsi="Cambria" w:cs="Segoe UI"/>
          <w:sz w:val="20"/>
          <w:szCs w:val="20"/>
          <w:lang w:val="es-CL"/>
        </w:rPr>
        <w:t>septiembre</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Pr>
          <w:rStyle w:val="normaltextrun"/>
          <w:rFonts w:ascii="Cambria" w:eastAsia="Trebuchet MS" w:hAnsi="Cambria" w:cs="Segoe UI"/>
          <w:sz w:val="20"/>
          <w:szCs w:val="20"/>
          <w:lang w:val="es-CL"/>
        </w:rPr>
        <w:t xml:space="preserve"> y</w:t>
      </w:r>
      <w:r>
        <w:rPr>
          <w:rStyle w:val="normaltextrun"/>
          <w:rFonts w:ascii="Cambria" w:hAnsi="Cambria" w:cs="Segoe UI"/>
          <w:sz w:val="20"/>
          <w:szCs w:val="20"/>
          <w:lang w:val="es-CL"/>
        </w:rPr>
        <w:t xml:space="preserve"> Andrea Pochak, </w:t>
      </w:r>
      <w:r w:rsidR="00C40FCF">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AC80CA6" w14:textId="77777777" w:rsidR="00722C9F" w:rsidRPr="00152589" w:rsidRDefault="00722C9F" w:rsidP="00974491">
      <w:pPr>
        <w:rPr>
          <w:rFonts w:asciiTheme="majorHAnsi" w:hAnsiTheme="majorHAnsi" w:cs="Calibri"/>
          <w:sz w:val="20"/>
          <w:szCs w:val="20"/>
          <w:lang w:val="es-ES"/>
        </w:rPr>
      </w:pPr>
    </w:p>
    <w:sectPr w:rsidR="00722C9F" w:rsidRPr="0015258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3C40" w14:textId="77777777" w:rsidR="00AB4253" w:rsidRDefault="00AB4253">
      <w:r>
        <w:separator/>
      </w:r>
    </w:p>
  </w:endnote>
  <w:endnote w:type="continuationSeparator" w:id="0">
    <w:p w14:paraId="3954DCE1" w14:textId="77777777" w:rsidR="00AB4253" w:rsidRDefault="00AB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anklin Gothic Book">
    <w:panose1 w:val="020B05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26EA" w14:textId="77777777" w:rsidR="00AB4253" w:rsidRPr="000F35ED" w:rsidRDefault="00AB425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8970C7" w14:textId="77777777" w:rsidR="00AB4253" w:rsidRPr="000F35ED" w:rsidRDefault="00AB4253" w:rsidP="000F35ED">
      <w:pPr>
        <w:rPr>
          <w:rFonts w:asciiTheme="majorHAnsi" w:hAnsiTheme="majorHAnsi"/>
          <w:sz w:val="16"/>
          <w:szCs w:val="16"/>
        </w:rPr>
      </w:pPr>
      <w:r w:rsidRPr="000F35ED">
        <w:rPr>
          <w:rFonts w:asciiTheme="majorHAnsi" w:hAnsiTheme="majorHAnsi"/>
          <w:sz w:val="16"/>
          <w:szCs w:val="16"/>
        </w:rPr>
        <w:separator/>
      </w:r>
    </w:p>
    <w:p w14:paraId="18B8473B" w14:textId="77777777" w:rsidR="00AB4253" w:rsidRPr="000F35ED" w:rsidRDefault="00AB425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33A9614" w14:textId="77777777" w:rsidR="00AB4253" w:rsidRPr="000F35ED" w:rsidRDefault="00AB425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A8CD0E4" w14:textId="7144B29C" w:rsidR="00290F38" w:rsidRPr="00BB7BEF" w:rsidRDefault="00290F38" w:rsidP="00B01A6C">
      <w:pPr>
        <w:pStyle w:val="FootnoteText"/>
        <w:ind w:firstLine="720"/>
        <w:jc w:val="both"/>
        <w:rPr>
          <w:rFonts w:asciiTheme="majorHAnsi" w:hAnsiTheme="majorHAnsi"/>
          <w:sz w:val="16"/>
          <w:szCs w:val="16"/>
          <w:lang w:val="es-PE"/>
        </w:rPr>
      </w:pPr>
      <w:r w:rsidRPr="00BB7BEF">
        <w:rPr>
          <w:rStyle w:val="FootnoteReference"/>
          <w:rFonts w:asciiTheme="majorHAnsi" w:hAnsiTheme="majorHAnsi"/>
          <w:sz w:val="16"/>
          <w:szCs w:val="16"/>
        </w:rPr>
        <w:footnoteRef/>
      </w:r>
      <w:r w:rsidRPr="00BB7BEF">
        <w:rPr>
          <w:rFonts w:asciiTheme="majorHAnsi" w:hAnsiTheme="majorHAnsi"/>
          <w:sz w:val="16"/>
          <w:szCs w:val="16"/>
          <w:lang w:val="es-PE"/>
        </w:rPr>
        <w:t xml:space="preserve"> </w:t>
      </w:r>
      <w:r w:rsidR="00411061" w:rsidRPr="00BB7BEF">
        <w:rPr>
          <w:rFonts w:asciiTheme="majorHAnsi" w:hAnsiTheme="majorHAnsi"/>
          <w:sz w:val="16"/>
          <w:szCs w:val="16"/>
          <w:lang w:val="es-US"/>
        </w:rPr>
        <w:t>En adelante, “la Convención Americana” o “la Convención”.</w:t>
      </w:r>
    </w:p>
  </w:footnote>
  <w:footnote w:id="3">
    <w:p w14:paraId="1462042F" w14:textId="28ADA13B" w:rsidR="00BA0376" w:rsidRPr="00BB7BEF" w:rsidRDefault="00BA0376" w:rsidP="00B01A6C">
      <w:pPr>
        <w:pStyle w:val="FootnoteText"/>
        <w:ind w:firstLine="720"/>
        <w:jc w:val="both"/>
        <w:rPr>
          <w:rFonts w:asciiTheme="majorHAnsi" w:hAnsiTheme="majorHAnsi"/>
          <w:sz w:val="16"/>
          <w:szCs w:val="16"/>
          <w:lang w:val="es-PE"/>
        </w:rPr>
      </w:pPr>
      <w:r w:rsidRPr="00BB7BEF">
        <w:rPr>
          <w:rStyle w:val="FootnoteReference"/>
          <w:rFonts w:asciiTheme="majorHAnsi" w:hAnsiTheme="majorHAnsi"/>
          <w:sz w:val="16"/>
          <w:szCs w:val="16"/>
        </w:rPr>
        <w:footnoteRef/>
      </w:r>
      <w:r w:rsidRPr="00BB7BEF">
        <w:rPr>
          <w:rFonts w:asciiTheme="majorHAnsi" w:hAnsiTheme="majorHAnsi"/>
          <w:sz w:val="16"/>
          <w:szCs w:val="16"/>
          <w:lang w:val="es-PE"/>
        </w:rPr>
        <w:t xml:space="preserve"> </w:t>
      </w:r>
      <w:r w:rsidRPr="00BB7BEF">
        <w:rPr>
          <w:rFonts w:asciiTheme="majorHAnsi" w:hAnsiTheme="majorHAnsi"/>
          <w:bCs/>
          <w:sz w:val="16"/>
          <w:szCs w:val="16"/>
          <w:lang w:val="es-PE"/>
        </w:rPr>
        <w:t xml:space="preserve">Artículos 2, 4.b, 4.c, 5 y 17 de la Convención Interamericana sobre la Protección de los Derechos Humanos de Personas Mayores; y 1, 2, 3, 5, 9.1 y 17 </w:t>
      </w:r>
      <w:r w:rsidRPr="00BB7BEF">
        <w:rPr>
          <w:rFonts w:asciiTheme="majorHAnsi" w:hAnsiTheme="majorHAnsi"/>
          <w:sz w:val="16"/>
          <w:szCs w:val="16"/>
          <w:lang w:val="es-PE"/>
        </w:rPr>
        <w:t>Protocolo Adicional a la Convención Americana sobre Derechos Humanos en materia de derechos económicos, sociales y culturales</w:t>
      </w:r>
      <w:r w:rsidR="002C2280" w:rsidRPr="00BB7BEF">
        <w:rPr>
          <w:rFonts w:asciiTheme="majorHAnsi" w:hAnsiTheme="majorHAnsi"/>
          <w:sz w:val="16"/>
          <w:szCs w:val="16"/>
          <w:lang w:val="es-PE"/>
        </w:rPr>
        <w:t xml:space="preserve"> (en adelante, Protocolo de San Salvador)</w:t>
      </w:r>
      <w:r w:rsidR="00F86A5E" w:rsidRPr="00BB7BEF">
        <w:rPr>
          <w:rFonts w:asciiTheme="majorHAnsi" w:hAnsiTheme="majorHAnsi"/>
          <w:sz w:val="16"/>
          <w:szCs w:val="16"/>
          <w:lang w:val="es-PE"/>
        </w:rPr>
        <w:t>.</w:t>
      </w:r>
    </w:p>
  </w:footnote>
  <w:footnote w:id="4">
    <w:p w14:paraId="79F07139" w14:textId="77777777" w:rsidR="008E3BFE" w:rsidRPr="00BB7BEF" w:rsidRDefault="008E3BFE" w:rsidP="00B01A6C">
      <w:pPr>
        <w:pStyle w:val="FootnoteText"/>
        <w:spacing w:after="120"/>
        <w:ind w:firstLine="720"/>
        <w:jc w:val="both"/>
        <w:rPr>
          <w:rFonts w:asciiTheme="majorHAnsi" w:hAnsiTheme="majorHAnsi"/>
          <w:sz w:val="16"/>
          <w:szCs w:val="16"/>
          <w:lang w:val="es-ES"/>
        </w:rPr>
      </w:pPr>
      <w:r w:rsidRPr="00BB7BEF">
        <w:rPr>
          <w:rStyle w:val="FootnoteReference"/>
          <w:rFonts w:asciiTheme="majorHAnsi" w:hAnsiTheme="majorHAnsi"/>
          <w:sz w:val="16"/>
          <w:szCs w:val="16"/>
        </w:rPr>
        <w:footnoteRef/>
      </w:r>
      <w:r w:rsidRPr="00BB7BEF">
        <w:rPr>
          <w:rFonts w:asciiTheme="majorHAnsi" w:hAnsiTheme="majorHAnsi"/>
          <w:sz w:val="16"/>
          <w:szCs w:val="16"/>
          <w:lang w:val="es-ES"/>
        </w:rPr>
        <w:t xml:space="preserve"> Las observaciones de cada parte fueron debidamente trasladadas a la parte contraria.</w:t>
      </w:r>
    </w:p>
  </w:footnote>
  <w:footnote w:id="5">
    <w:p w14:paraId="412E610E" w14:textId="77777777" w:rsidR="0040285C" w:rsidRPr="00BB7BEF" w:rsidRDefault="0040285C" w:rsidP="00B01A6C">
      <w:pPr>
        <w:pStyle w:val="FootnoteText"/>
        <w:ind w:firstLine="720"/>
        <w:jc w:val="both"/>
        <w:rPr>
          <w:rFonts w:asciiTheme="majorHAnsi" w:hAnsiTheme="majorHAnsi"/>
          <w:sz w:val="16"/>
          <w:szCs w:val="16"/>
          <w:lang w:val="es-PE"/>
        </w:rPr>
      </w:pPr>
      <w:r w:rsidRPr="00BB7BEF">
        <w:rPr>
          <w:rStyle w:val="FootnoteReference"/>
          <w:rFonts w:asciiTheme="majorHAnsi" w:hAnsiTheme="majorHAnsi"/>
          <w:sz w:val="16"/>
          <w:szCs w:val="16"/>
        </w:rPr>
        <w:footnoteRef/>
      </w:r>
      <w:r w:rsidRPr="00BB7BEF">
        <w:rPr>
          <w:rFonts w:asciiTheme="majorHAnsi" w:hAnsiTheme="majorHAnsi"/>
          <w:sz w:val="16"/>
          <w:szCs w:val="16"/>
          <w:lang w:val="es-PE"/>
        </w:rPr>
        <w:t xml:space="preserve"> Manual de Prestaciones de Rentas en Curso de Pago y Adquisición de la Unidad de Recaudación. Art. 28º.- El asegurado que al 1º mayo 1997, hubiera estado cesante de toda actividad laboral asegurada, durante los últimos seis (6) meses o más inmediatamente anteriores y acredite el mínimo de ciento ochenta (180) cotizaciones mensuales en una entidad gestora del Sistema de Reparto regidos por el Código de Seguridad Social y tenga al 1º mayo 1997 las edades mínimas de cincuenta (50) años si es hombre o de cuarenta y cinco (45) si es mujer, siempre que no retorne a trabajar posteriormente podrá solicitar a la Unidad de Recaudación se le otorgue sus renta básica, complementaria o ambas, con reducción de edad por cesantía prolongada e involuntaria. </w:t>
      </w:r>
    </w:p>
    <w:p w14:paraId="2517D4BA" w14:textId="77777777" w:rsidR="00381A58" w:rsidRPr="00BB7BEF" w:rsidRDefault="00381A58" w:rsidP="00B01A6C">
      <w:pPr>
        <w:pStyle w:val="FootnoteText"/>
        <w:jc w:val="both"/>
        <w:rPr>
          <w:rFonts w:asciiTheme="majorHAnsi" w:hAnsiTheme="majorHAnsi"/>
          <w:sz w:val="16"/>
          <w:szCs w:val="16"/>
          <w:lang w:val="es-PE"/>
        </w:rPr>
      </w:pPr>
    </w:p>
    <w:p w14:paraId="2B4E3A44" w14:textId="57A9B87F" w:rsidR="0040285C" w:rsidRPr="00BB7BEF" w:rsidRDefault="0040285C" w:rsidP="00B01A6C">
      <w:pPr>
        <w:pStyle w:val="FootnoteText"/>
        <w:jc w:val="both"/>
        <w:rPr>
          <w:rFonts w:asciiTheme="majorHAnsi" w:hAnsiTheme="majorHAnsi"/>
          <w:sz w:val="16"/>
          <w:szCs w:val="16"/>
          <w:lang w:val="es-PE"/>
        </w:rPr>
      </w:pPr>
      <w:r w:rsidRPr="00BB7BEF">
        <w:rPr>
          <w:rFonts w:asciiTheme="majorHAnsi" w:hAnsiTheme="majorHAnsi"/>
          <w:sz w:val="16"/>
          <w:szCs w:val="16"/>
          <w:lang w:val="es-PE"/>
        </w:rPr>
        <w:t>En este caso el monto de la renta básica complementaria, calculada será reducida en un ocho por ciento (8%) por cada año de disminución de la edad exigida para la renta de vejez en los artículos 23 y 24 del presente manual. La renta así calculada será de carácter definitiva y no podrá ser recalculada al cumplimiento de las edades de cincuenta y cinco (55) o de cincuenta (50) años para hombres y mujeres respectivamente.</w:t>
      </w:r>
    </w:p>
    <w:p w14:paraId="657ACF21" w14:textId="77777777" w:rsidR="00381A58" w:rsidRPr="00BB7BEF" w:rsidRDefault="00381A58" w:rsidP="00B01A6C">
      <w:pPr>
        <w:pStyle w:val="FootnoteText"/>
        <w:jc w:val="both"/>
        <w:rPr>
          <w:rFonts w:asciiTheme="majorHAnsi" w:hAnsiTheme="majorHAnsi"/>
          <w:sz w:val="16"/>
          <w:szCs w:val="16"/>
          <w:lang w:val="es-PE"/>
        </w:rPr>
      </w:pPr>
    </w:p>
    <w:p w14:paraId="731E16EB" w14:textId="1E48AF53" w:rsidR="0040285C" w:rsidRPr="00BB7BEF" w:rsidRDefault="0040285C" w:rsidP="00B01A6C">
      <w:pPr>
        <w:pStyle w:val="FootnoteText"/>
        <w:jc w:val="both"/>
        <w:rPr>
          <w:rFonts w:asciiTheme="majorHAnsi" w:hAnsiTheme="majorHAnsi"/>
          <w:sz w:val="16"/>
          <w:szCs w:val="16"/>
          <w:lang w:val="es-PE"/>
        </w:rPr>
      </w:pPr>
      <w:r w:rsidRPr="00BB7BEF">
        <w:rPr>
          <w:rFonts w:asciiTheme="majorHAnsi" w:hAnsiTheme="majorHAnsi"/>
          <w:sz w:val="16"/>
          <w:szCs w:val="16"/>
          <w:lang w:val="es-PE"/>
        </w:rPr>
        <w:t>Si estas personas retornaran a realizar una actividad de remunerada después de que se les hubiera otorgado la renta con reducción de edad por cesantía prolongada del sistema de reparto, no podrán recibir la compensación de cotizaciones por los aportes realizados al sistema de reparto. Estas personas se considerarán rentistas en curso de pago del sistema de reparto, pudiendo percibir renta y salario sobre el cual estarán obligados a cotizar al seguro social obligatorio a través de alguna AFP. Estas personas no podrán recalificar su renta de Reparto.</w:t>
      </w:r>
    </w:p>
  </w:footnote>
  <w:footnote w:id="6">
    <w:p w14:paraId="5AB8F386" w14:textId="77777777" w:rsidR="007E0EDD" w:rsidRPr="00BB7BEF" w:rsidRDefault="007E0EDD" w:rsidP="00B01A6C">
      <w:pPr>
        <w:pStyle w:val="FootnoteText"/>
        <w:ind w:firstLine="720"/>
        <w:jc w:val="both"/>
        <w:rPr>
          <w:rFonts w:asciiTheme="majorHAnsi" w:hAnsiTheme="majorHAnsi" w:cstheme="minorHAnsi"/>
          <w:sz w:val="16"/>
          <w:szCs w:val="16"/>
          <w:lang w:val="es-ES"/>
        </w:rPr>
      </w:pPr>
      <w:r w:rsidRPr="00BB7BEF">
        <w:rPr>
          <w:rStyle w:val="FootnoteReference"/>
          <w:rFonts w:asciiTheme="majorHAnsi" w:hAnsiTheme="majorHAnsi" w:cstheme="minorHAnsi"/>
          <w:sz w:val="16"/>
          <w:szCs w:val="16"/>
        </w:rPr>
        <w:footnoteRef/>
      </w:r>
      <w:r w:rsidRPr="00BB7BEF">
        <w:rPr>
          <w:rFonts w:asciiTheme="majorHAnsi" w:hAnsiTheme="majorHAnsi" w:cstheme="minorHAnsi"/>
          <w:sz w:val="16"/>
          <w:szCs w:val="16"/>
          <w:lang w:val="es-PE"/>
        </w:rPr>
        <w:t xml:space="preserve"> CIDH, Informe No. 70/04, Petición 667/01, Admisibilidad, Jesús Manuel Naranjo Cárdenas y otros, Jubilados de la empresa venezolana de aviación VIASA. Venezuela, 15 de octubre de 2004, párr. 52.  </w:t>
      </w:r>
    </w:p>
  </w:footnote>
  <w:footnote w:id="7">
    <w:p w14:paraId="605BFCC1" w14:textId="60480906" w:rsidR="002016D7" w:rsidRPr="00BB7BEF" w:rsidRDefault="002016D7" w:rsidP="00B01A6C">
      <w:pPr>
        <w:pStyle w:val="FootnoteText"/>
        <w:ind w:firstLine="720"/>
        <w:jc w:val="both"/>
        <w:rPr>
          <w:rFonts w:asciiTheme="majorHAnsi" w:hAnsiTheme="majorHAnsi"/>
          <w:sz w:val="16"/>
          <w:szCs w:val="16"/>
          <w:lang w:val="es-PE"/>
        </w:rPr>
      </w:pPr>
      <w:r w:rsidRPr="00BB7BEF">
        <w:rPr>
          <w:rStyle w:val="FootnoteReference"/>
          <w:rFonts w:asciiTheme="majorHAnsi" w:hAnsiTheme="majorHAnsi"/>
          <w:sz w:val="16"/>
          <w:szCs w:val="16"/>
        </w:rPr>
        <w:footnoteRef/>
      </w:r>
      <w:r w:rsidRPr="00BB7BEF">
        <w:rPr>
          <w:rFonts w:asciiTheme="majorHAnsi" w:hAnsiTheme="majorHAnsi"/>
          <w:sz w:val="16"/>
          <w:szCs w:val="16"/>
          <w:lang w:val="es-PE"/>
        </w:rPr>
        <w:t xml:space="preserve"> Corte IDH</w:t>
      </w:r>
      <w:r w:rsidR="0054127B" w:rsidRPr="00BB7BEF">
        <w:rPr>
          <w:rFonts w:asciiTheme="majorHAnsi" w:hAnsiTheme="majorHAnsi"/>
          <w:sz w:val="16"/>
          <w:szCs w:val="16"/>
          <w:lang w:val="es-PE"/>
        </w:rPr>
        <w:t>,</w:t>
      </w:r>
      <w:r w:rsidRPr="00BB7BEF">
        <w:rPr>
          <w:rFonts w:asciiTheme="majorHAnsi" w:hAnsiTheme="majorHAnsi"/>
          <w:sz w:val="16"/>
          <w:szCs w:val="16"/>
          <w:lang w:val="es-PE"/>
        </w:rPr>
        <w:t xml:space="preserve"> </w:t>
      </w:r>
      <w:r w:rsidRPr="00BB7BEF">
        <w:rPr>
          <w:rFonts w:asciiTheme="majorHAnsi" w:hAnsiTheme="majorHAnsi"/>
          <w:i/>
          <w:iCs/>
          <w:sz w:val="16"/>
          <w:szCs w:val="16"/>
          <w:lang w:val="es-PE"/>
        </w:rPr>
        <w:t>Caso Muelle Flores Vs. Perú</w:t>
      </w:r>
      <w:r w:rsidR="0054127B" w:rsidRPr="00BB7BEF">
        <w:rPr>
          <w:rFonts w:asciiTheme="majorHAnsi" w:hAnsiTheme="majorHAnsi"/>
          <w:sz w:val="16"/>
          <w:szCs w:val="16"/>
          <w:lang w:val="es-PE"/>
        </w:rPr>
        <w:t>,</w:t>
      </w:r>
      <w:r w:rsidRPr="00BB7BEF">
        <w:rPr>
          <w:rFonts w:asciiTheme="majorHAnsi" w:hAnsiTheme="majorHAnsi"/>
          <w:sz w:val="16"/>
          <w:szCs w:val="16"/>
          <w:lang w:val="es-PE"/>
        </w:rPr>
        <w:t xml:space="preserve"> Excepciones Preliminares, Fondo, Reparaciones y Costas</w:t>
      </w:r>
      <w:r w:rsidR="0054127B" w:rsidRPr="00BB7BEF">
        <w:rPr>
          <w:rFonts w:asciiTheme="majorHAnsi" w:hAnsiTheme="majorHAnsi"/>
          <w:sz w:val="16"/>
          <w:szCs w:val="16"/>
          <w:lang w:val="es-PE"/>
        </w:rPr>
        <w:t>, s</w:t>
      </w:r>
      <w:r w:rsidRPr="00BB7BEF">
        <w:rPr>
          <w:rFonts w:asciiTheme="majorHAnsi" w:hAnsiTheme="majorHAnsi"/>
          <w:sz w:val="16"/>
          <w:szCs w:val="16"/>
          <w:lang w:val="es-PE"/>
        </w:rPr>
        <w:t>entencia de 6 de marzo de 2019</w:t>
      </w:r>
      <w:r w:rsidR="009A463D">
        <w:rPr>
          <w:rFonts w:asciiTheme="majorHAnsi" w:hAnsiTheme="majorHAnsi"/>
          <w:sz w:val="16"/>
          <w:szCs w:val="16"/>
          <w:lang w:val="es-PE"/>
        </w:rPr>
        <w:t>,</w:t>
      </w:r>
      <w:r w:rsidRPr="00BB7BEF">
        <w:rPr>
          <w:rFonts w:asciiTheme="majorHAnsi" w:hAnsiTheme="majorHAnsi"/>
          <w:sz w:val="16"/>
          <w:szCs w:val="16"/>
          <w:lang w:val="es-PE"/>
        </w:rPr>
        <w:t xml:space="preserve"> Serie C No. 375</w:t>
      </w:r>
      <w:r w:rsidR="009A463D">
        <w:rPr>
          <w:rFonts w:asciiTheme="majorHAnsi" w:hAnsiTheme="majorHAnsi"/>
          <w:sz w:val="16"/>
          <w:szCs w:val="16"/>
          <w:lang w:val="es-PE"/>
        </w:rPr>
        <w:t>,</w:t>
      </w:r>
      <w:r w:rsidRPr="00BB7BEF">
        <w:rPr>
          <w:rFonts w:asciiTheme="majorHAnsi" w:hAnsiTheme="majorHAnsi"/>
          <w:sz w:val="16"/>
          <w:szCs w:val="16"/>
          <w:lang w:val="es-PE"/>
        </w:rPr>
        <w:t xml:space="preserve"> </w:t>
      </w:r>
      <w:r w:rsidR="0054127B" w:rsidRPr="00BB7BEF">
        <w:rPr>
          <w:rFonts w:asciiTheme="majorHAnsi" w:hAnsiTheme="majorHAnsi"/>
          <w:sz w:val="16"/>
          <w:szCs w:val="16"/>
          <w:lang w:val="es-PE"/>
        </w:rPr>
        <w:t>p</w:t>
      </w:r>
      <w:r w:rsidRPr="00BB7BEF">
        <w:rPr>
          <w:rFonts w:asciiTheme="majorHAnsi" w:hAnsiTheme="majorHAnsi"/>
          <w:sz w:val="16"/>
          <w:szCs w:val="16"/>
          <w:lang w:val="es-PE"/>
        </w:rPr>
        <w:t>árr. 192.</w:t>
      </w:r>
    </w:p>
  </w:footnote>
  <w:footnote w:id="8">
    <w:p w14:paraId="398EDC42" w14:textId="79726EF5" w:rsidR="002016D7" w:rsidRPr="00BB7BEF" w:rsidRDefault="002016D7" w:rsidP="00B01A6C">
      <w:pPr>
        <w:pStyle w:val="FootnoteText"/>
        <w:ind w:firstLine="720"/>
        <w:jc w:val="both"/>
        <w:rPr>
          <w:rFonts w:asciiTheme="majorHAnsi" w:hAnsiTheme="majorHAnsi"/>
          <w:sz w:val="16"/>
          <w:szCs w:val="16"/>
          <w:lang w:val="es-PE"/>
        </w:rPr>
      </w:pPr>
      <w:r w:rsidRPr="00BB7BEF">
        <w:rPr>
          <w:rStyle w:val="FootnoteReference"/>
          <w:rFonts w:asciiTheme="majorHAnsi" w:hAnsiTheme="majorHAnsi"/>
          <w:sz w:val="16"/>
          <w:szCs w:val="16"/>
        </w:rPr>
        <w:footnoteRef/>
      </w:r>
      <w:r w:rsidRPr="00BB7BEF">
        <w:rPr>
          <w:rFonts w:asciiTheme="majorHAnsi" w:hAnsiTheme="majorHAnsi"/>
          <w:sz w:val="16"/>
          <w:szCs w:val="16"/>
          <w:lang w:val="es-PE"/>
        </w:rPr>
        <w:t xml:space="preserve"> Corte IDH</w:t>
      </w:r>
      <w:r w:rsidR="00BB7BEF">
        <w:rPr>
          <w:rFonts w:asciiTheme="majorHAnsi" w:hAnsiTheme="majorHAnsi"/>
          <w:sz w:val="16"/>
          <w:szCs w:val="16"/>
          <w:lang w:val="es-PE"/>
        </w:rPr>
        <w:t>,</w:t>
      </w:r>
      <w:r w:rsidRPr="00BB7BEF">
        <w:rPr>
          <w:rFonts w:asciiTheme="majorHAnsi" w:hAnsiTheme="majorHAnsi"/>
          <w:sz w:val="16"/>
          <w:szCs w:val="16"/>
          <w:lang w:val="es-PE"/>
        </w:rPr>
        <w:t xml:space="preserve"> </w:t>
      </w:r>
      <w:r w:rsidRPr="00BB7BEF">
        <w:rPr>
          <w:rFonts w:asciiTheme="majorHAnsi" w:hAnsiTheme="majorHAnsi"/>
          <w:i/>
          <w:iCs/>
          <w:sz w:val="16"/>
          <w:szCs w:val="16"/>
          <w:lang w:val="es-PE"/>
        </w:rPr>
        <w:t>Caso Cuscul Pivaral y otros Vs. Guatemala</w:t>
      </w:r>
      <w:r w:rsidR="0054127B" w:rsidRPr="00BB7BEF">
        <w:rPr>
          <w:rFonts w:asciiTheme="majorHAnsi" w:hAnsiTheme="majorHAnsi"/>
          <w:sz w:val="16"/>
          <w:szCs w:val="16"/>
          <w:lang w:val="es-PE"/>
        </w:rPr>
        <w:t>,</w:t>
      </w:r>
      <w:r w:rsidRPr="00BB7BEF">
        <w:rPr>
          <w:rFonts w:asciiTheme="majorHAnsi" w:hAnsiTheme="majorHAnsi"/>
          <w:sz w:val="16"/>
          <w:szCs w:val="16"/>
          <w:lang w:val="es-PE"/>
        </w:rPr>
        <w:t xml:space="preserve"> Excepción Preliminar, Fondo, Reparaciones y Costas</w:t>
      </w:r>
      <w:r w:rsidR="0054127B" w:rsidRPr="00BB7BEF">
        <w:rPr>
          <w:rFonts w:asciiTheme="majorHAnsi" w:hAnsiTheme="majorHAnsi"/>
          <w:sz w:val="16"/>
          <w:szCs w:val="16"/>
          <w:lang w:val="es-PE"/>
        </w:rPr>
        <w:t>,</w:t>
      </w:r>
      <w:r w:rsidRPr="00BB7BEF">
        <w:rPr>
          <w:rFonts w:asciiTheme="majorHAnsi" w:hAnsiTheme="majorHAnsi"/>
          <w:sz w:val="16"/>
          <w:szCs w:val="16"/>
          <w:lang w:val="es-PE"/>
        </w:rPr>
        <w:t xml:space="preserve"> </w:t>
      </w:r>
      <w:r w:rsidR="0054127B" w:rsidRPr="00BB7BEF">
        <w:rPr>
          <w:rFonts w:asciiTheme="majorHAnsi" w:hAnsiTheme="majorHAnsi"/>
          <w:sz w:val="16"/>
          <w:szCs w:val="16"/>
          <w:lang w:val="es-PE"/>
        </w:rPr>
        <w:t>s</w:t>
      </w:r>
      <w:r w:rsidRPr="00BB7BEF">
        <w:rPr>
          <w:rFonts w:asciiTheme="majorHAnsi" w:hAnsiTheme="majorHAnsi"/>
          <w:sz w:val="16"/>
          <w:szCs w:val="16"/>
          <w:lang w:val="es-PE"/>
        </w:rPr>
        <w:t>entencia de 23 de agosto de 2018</w:t>
      </w:r>
      <w:r w:rsidR="009A463D">
        <w:rPr>
          <w:rFonts w:asciiTheme="majorHAnsi" w:hAnsiTheme="majorHAnsi"/>
          <w:sz w:val="16"/>
          <w:szCs w:val="16"/>
          <w:lang w:val="es-PE"/>
        </w:rPr>
        <w:t>,</w:t>
      </w:r>
      <w:r w:rsidRPr="00BB7BEF">
        <w:rPr>
          <w:rFonts w:asciiTheme="majorHAnsi" w:hAnsiTheme="majorHAnsi"/>
          <w:sz w:val="16"/>
          <w:szCs w:val="16"/>
          <w:lang w:val="es-PE"/>
        </w:rPr>
        <w:t xml:space="preserve"> Serie C No. 359, párr. 143.</w:t>
      </w:r>
    </w:p>
  </w:footnote>
  <w:footnote w:id="9">
    <w:p w14:paraId="0BD8FCDF" w14:textId="260B6F82" w:rsidR="00AF313B" w:rsidRPr="00BB7BEF" w:rsidRDefault="00AF313B" w:rsidP="00B01A6C">
      <w:pPr>
        <w:pStyle w:val="FootnoteText"/>
        <w:ind w:firstLine="720"/>
        <w:jc w:val="both"/>
        <w:rPr>
          <w:rFonts w:asciiTheme="majorHAnsi" w:hAnsiTheme="majorHAnsi"/>
          <w:sz w:val="16"/>
          <w:szCs w:val="16"/>
          <w:lang w:val="es-ES"/>
        </w:rPr>
      </w:pPr>
      <w:r w:rsidRPr="00BB7BEF">
        <w:rPr>
          <w:rStyle w:val="FootnoteReference"/>
          <w:rFonts w:asciiTheme="majorHAnsi" w:hAnsiTheme="majorHAnsi"/>
          <w:sz w:val="16"/>
          <w:szCs w:val="16"/>
        </w:rPr>
        <w:footnoteRef/>
      </w:r>
      <w:r w:rsidRPr="00BB7BEF">
        <w:rPr>
          <w:rFonts w:asciiTheme="majorHAnsi" w:hAnsiTheme="majorHAnsi"/>
          <w:sz w:val="16"/>
          <w:szCs w:val="16"/>
          <w:lang w:val="es-PE"/>
        </w:rPr>
        <w:t xml:space="preserve"> Corte IDH</w:t>
      </w:r>
      <w:r w:rsidR="00BB7BEF">
        <w:rPr>
          <w:rFonts w:asciiTheme="majorHAnsi" w:hAnsiTheme="majorHAnsi"/>
          <w:sz w:val="16"/>
          <w:szCs w:val="16"/>
          <w:lang w:val="es-PE"/>
        </w:rPr>
        <w:t>,</w:t>
      </w:r>
      <w:r w:rsidRPr="00BB7BEF">
        <w:rPr>
          <w:rFonts w:asciiTheme="majorHAnsi" w:hAnsiTheme="majorHAnsi"/>
          <w:sz w:val="16"/>
          <w:szCs w:val="16"/>
          <w:lang w:val="es-PE"/>
        </w:rPr>
        <w:t xml:space="preserve"> Caso Acevedo Buendía y otros (“Cesantes y Jubilados de la Contraloría”) Vs. Perú</w:t>
      </w:r>
      <w:r w:rsidR="00BB7BEF">
        <w:rPr>
          <w:rFonts w:asciiTheme="majorHAnsi" w:hAnsiTheme="majorHAnsi"/>
          <w:sz w:val="16"/>
          <w:szCs w:val="16"/>
          <w:lang w:val="es-PE"/>
        </w:rPr>
        <w:t>,</w:t>
      </w:r>
      <w:r w:rsidRPr="00BB7BEF">
        <w:rPr>
          <w:rFonts w:asciiTheme="majorHAnsi" w:hAnsiTheme="majorHAnsi"/>
          <w:sz w:val="16"/>
          <w:szCs w:val="16"/>
          <w:lang w:val="es-PE"/>
        </w:rPr>
        <w:t xml:space="preserve"> Excepción Preliminar, Fondo, Reparaciones y Costas</w:t>
      </w:r>
      <w:r w:rsidR="00E66F97">
        <w:rPr>
          <w:rFonts w:asciiTheme="majorHAnsi" w:hAnsiTheme="majorHAnsi"/>
          <w:sz w:val="16"/>
          <w:szCs w:val="16"/>
          <w:lang w:val="es-PE"/>
        </w:rPr>
        <w:t>,</w:t>
      </w:r>
      <w:r w:rsidRPr="00BB7BEF">
        <w:rPr>
          <w:rFonts w:asciiTheme="majorHAnsi" w:hAnsiTheme="majorHAnsi"/>
          <w:sz w:val="16"/>
          <w:szCs w:val="16"/>
          <w:lang w:val="es-PE"/>
        </w:rPr>
        <w:t xml:space="preserve"> </w:t>
      </w:r>
      <w:r w:rsidR="00E66F97">
        <w:rPr>
          <w:rFonts w:asciiTheme="majorHAnsi" w:hAnsiTheme="majorHAnsi"/>
          <w:sz w:val="16"/>
          <w:szCs w:val="16"/>
          <w:lang w:val="es-PE"/>
        </w:rPr>
        <w:t>s</w:t>
      </w:r>
      <w:r w:rsidRPr="00BB7BEF">
        <w:rPr>
          <w:rFonts w:asciiTheme="majorHAnsi" w:hAnsiTheme="majorHAnsi"/>
          <w:sz w:val="16"/>
          <w:szCs w:val="16"/>
          <w:lang w:val="es-PE"/>
        </w:rPr>
        <w:t>entencia de 1 de julio de 2009</w:t>
      </w:r>
      <w:r w:rsidR="009A463D">
        <w:rPr>
          <w:rFonts w:asciiTheme="majorHAnsi" w:hAnsiTheme="majorHAnsi"/>
          <w:sz w:val="16"/>
          <w:szCs w:val="16"/>
          <w:lang w:val="es-PE"/>
        </w:rPr>
        <w:t>,</w:t>
      </w:r>
      <w:r w:rsidRPr="00BB7BEF">
        <w:rPr>
          <w:rFonts w:asciiTheme="majorHAnsi" w:hAnsiTheme="majorHAnsi"/>
          <w:sz w:val="16"/>
          <w:szCs w:val="16"/>
          <w:lang w:val="es-PE"/>
        </w:rPr>
        <w:t xml:space="preserve"> Serie C No. 198</w:t>
      </w:r>
      <w:r w:rsidR="009A463D">
        <w:rPr>
          <w:rFonts w:asciiTheme="majorHAnsi" w:hAnsiTheme="majorHAnsi"/>
          <w:sz w:val="16"/>
          <w:szCs w:val="16"/>
          <w:lang w:val="es-PE"/>
        </w:rPr>
        <w:t>,</w:t>
      </w:r>
      <w:r w:rsidRPr="00BB7BEF">
        <w:rPr>
          <w:rFonts w:asciiTheme="majorHAnsi" w:hAnsiTheme="majorHAnsi"/>
          <w:sz w:val="16"/>
          <w:szCs w:val="16"/>
          <w:lang w:val="es-PE"/>
        </w:rPr>
        <w:t xml:space="preserve"> Párr. 85.</w:t>
      </w:r>
    </w:p>
  </w:footnote>
  <w:footnote w:id="10">
    <w:p w14:paraId="52BE2D5B" w14:textId="0E250F88" w:rsidR="000102A2" w:rsidRPr="00BB7BEF" w:rsidRDefault="000102A2" w:rsidP="00B01A6C">
      <w:pPr>
        <w:pStyle w:val="FootnoteText"/>
        <w:ind w:firstLine="720"/>
        <w:jc w:val="both"/>
        <w:rPr>
          <w:rFonts w:asciiTheme="majorHAnsi" w:hAnsiTheme="majorHAnsi"/>
          <w:sz w:val="16"/>
          <w:szCs w:val="16"/>
          <w:lang w:val="es-PE"/>
        </w:rPr>
      </w:pPr>
      <w:r w:rsidRPr="00BB7BEF">
        <w:rPr>
          <w:rStyle w:val="FootnoteReference"/>
          <w:rFonts w:asciiTheme="majorHAnsi" w:hAnsiTheme="majorHAnsi"/>
          <w:sz w:val="16"/>
          <w:szCs w:val="16"/>
        </w:rPr>
        <w:footnoteRef/>
      </w:r>
      <w:r w:rsidRPr="00BB7BEF">
        <w:rPr>
          <w:rFonts w:asciiTheme="majorHAnsi" w:hAnsiTheme="majorHAnsi"/>
          <w:sz w:val="16"/>
          <w:szCs w:val="16"/>
          <w:lang w:val="es-PE"/>
        </w:rPr>
        <w:t xml:space="preserve"> Lineamientos para la elaboración de indicadores de progreso en materia de derechos económicos, sociales y culturales</w:t>
      </w:r>
      <w:r w:rsidR="00296FCC">
        <w:rPr>
          <w:rFonts w:asciiTheme="majorHAnsi" w:hAnsiTheme="majorHAnsi"/>
          <w:sz w:val="16"/>
          <w:szCs w:val="16"/>
          <w:lang w:val="es-PE"/>
        </w:rPr>
        <w:t>,</w:t>
      </w:r>
      <w:r w:rsidRPr="00BB7BEF">
        <w:rPr>
          <w:rFonts w:asciiTheme="majorHAnsi" w:hAnsiTheme="majorHAnsi"/>
          <w:sz w:val="16"/>
          <w:szCs w:val="16"/>
          <w:lang w:val="es-PE"/>
        </w:rPr>
        <w:t xml:space="preserve"> OEA/Ser.L/V/II.132 Doc. 14 (19 de julio de 2008)</w:t>
      </w:r>
      <w:r w:rsidR="00296FCC">
        <w:rPr>
          <w:rFonts w:asciiTheme="majorHAnsi" w:hAnsiTheme="majorHAnsi"/>
          <w:sz w:val="16"/>
          <w:szCs w:val="16"/>
          <w:lang w:val="es-PE"/>
        </w:rPr>
        <w:t>,</w:t>
      </w:r>
      <w:r w:rsidRPr="00BB7BEF">
        <w:rPr>
          <w:rFonts w:asciiTheme="majorHAnsi" w:hAnsiTheme="majorHAnsi"/>
          <w:sz w:val="16"/>
          <w:szCs w:val="16"/>
          <w:lang w:val="es-PE"/>
        </w:rPr>
        <w:t xml:space="preserve"> </w:t>
      </w:r>
      <w:r w:rsidR="00296FCC">
        <w:rPr>
          <w:rFonts w:asciiTheme="majorHAnsi" w:hAnsiTheme="majorHAnsi"/>
          <w:sz w:val="16"/>
          <w:szCs w:val="16"/>
          <w:lang w:val="es-PE"/>
        </w:rPr>
        <w:t>p</w:t>
      </w:r>
      <w:r w:rsidRPr="00BB7BEF">
        <w:rPr>
          <w:rFonts w:asciiTheme="majorHAnsi" w:hAnsiTheme="majorHAnsi"/>
          <w:sz w:val="16"/>
          <w:szCs w:val="16"/>
          <w:lang w:val="es-PE"/>
        </w:rPr>
        <w:t>árr.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7118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3CF6149E"/>
    <w:lvl w:ilvl="0" w:tplc="79ECC72A">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A11502"/>
    <w:multiLevelType w:val="hybridMultilevel"/>
    <w:tmpl w:val="B538A3C2"/>
    <w:lvl w:ilvl="0" w:tplc="ED50A8BA">
      <w:start w:val="1"/>
      <w:numFmt w:val="decimal"/>
      <w:lvlText w:val="%1."/>
      <w:lvlJc w:val="left"/>
      <w:pPr>
        <w:tabs>
          <w:tab w:val="num" w:pos="720"/>
        </w:tabs>
        <w:ind w:left="0" w:firstLine="720"/>
      </w:pPr>
      <w:rPr>
        <w:rFonts w:hint="default"/>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3"/>
  </w:num>
  <w:num w:numId="2" w16cid:durableId="1420520311">
    <w:abstractNumId w:val="5"/>
  </w:num>
  <w:num w:numId="3" w16cid:durableId="1713266273">
    <w:abstractNumId w:val="51"/>
  </w:num>
  <w:num w:numId="4" w16cid:durableId="2068602545">
    <w:abstractNumId w:val="21"/>
  </w:num>
  <w:num w:numId="5" w16cid:durableId="1616525600">
    <w:abstractNumId w:val="45"/>
  </w:num>
  <w:num w:numId="6" w16cid:durableId="1902403871">
    <w:abstractNumId w:val="26"/>
  </w:num>
  <w:num w:numId="7" w16cid:durableId="2142066646">
    <w:abstractNumId w:val="6"/>
  </w:num>
  <w:num w:numId="8" w16cid:durableId="1861747358">
    <w:abstractNumId w:val="17"/>
  </w:num>
  <w:num w:numId="9" w16cid:durableId="1025256902">
    <w:abstractNumId w:val="36"/>
  </w:num>
  <w:num w:numId="10" w16cid:durableId="1866940441">
    <w:abstractNumId w:val="40"/>
  </w:num>
  <w:num w:numId="11" w16cid:durableId="251017014">
    <w:abstractNumId w:val="0"/>
  </w:num>
  <w:num w:numId="12" w16cid:durableId="2134210098">
    <w:abstractNumId w:val="35"/>
  </w:num>
  <w:num w:numId="13" w16cid:durableId="255601910">
    <w:abstractNumId w:val="42"/>
  </w:num>
  <w:num w:numId="14" w16cid:durableId="1761757703">
    <w:abstractNumId w:val="1"/>
  </w:num>
  <w:num w:numId="15" w16cid:durableId="1186796706">
    <w:abstractNumId w:val="2"/>
  </w:num>
  <w:num w:numId="16" w16cid:durableId="1606693034">
    <w:abstractNumId w:val="7"/>
  </w:num>
  <w:num w:numId="17" w16cid:durableId="1738476247">
    <w:abstractNumId w:val="8"/>
  </w:num>
  <w:num w:numId="18" w16cid:durableId="1484001738">
    <w:abstractNumId w:val="9"/>
  </w:num>
  <w:num w:numId="19" w16cid:durableId="866941465">
    <w:abstractNumId w:val="10"/>
  </w:num>
  <w:num w:numId="20" w16cid:durableId="891114917">
    <w:abstractNumId w:val="11"/>
  </w:num>
  <w:num w:numId="21" w16cid:durableId="1852600886">
    <w:abstractNumId w:val="12"/>
  </w:num>
  <w:num w:numId="22" w16cid:durableId="925655403">
    <w:abstractNumId w:val="13"/>
  </w:num>
  <w:num w:numId="23" w16cid:durableId="1122456303">
    <w:abstractNumId w:val="14"/>
  </w:num>
  <w:num w:numId="24" w16cid:durableId="2034264947">
    <w:abstractNumId w:val="15"/>
  </w:num>
  <w:num w:numId="25" w16cid:durableId="943655646">
    <w:abstractNumId w:val="18"/>
  </w:num>
  <w:num w:numId="26" w16cid:durableId="48573556">
    <w:abstractNumId w:val="19"/>
  </w:num>
  <w:num w:numId="27" w16cid:durableId="1714845553">
    <w:abstractNumId w:val="22"/>
  </w:num>
  <w:num w:numId="28" w16cid:durableId="43258639">
    <w:abstractNumId w:val="23"/>
  </w:num>
  <w:num w:numId="29" w16cid:durableId="1533766946">
    <w:abstractNumId w:val="24"/>
  </w:num>
  <w:num w:numId="30" w16cid:durableId="1375960398">
    <w:abstractNumId w:val="25"/>
  </w:num>
  <w:num w:numId="31" w16cid:durableId="142351334">
    <w:abstractNumId w:val="27"/>
  </w:num>
  <w:num w:numId="32" w16cid:durableId="179467967">
    <w:abstractNumId w:val="28"/>
  </w:num>
  <w:num w:numId="33" w16cid:durableId="1445685242">
    <w:abstractNumId w:val="29"/>
  </w:num>
  <w:num w:numId="34" w16cid:durableId="2049792361">
    <w:abstractNumId w:val="30"/>
  </w:num>
  <w:num w:numId="35" w16cid:durableId="1766075673">
    <w:abstractNumId w:val="31"/>
  </w:num>
  <w:num w:numId="36" w16cid:durableId="1193613694">
    <w:abstractNumId w:val="32"/>
  </w:num>
  <w:num w:numId="37" w16cid:durableId="1731923604">
    <w:abstractNumId w:val="33"/>
  </w:num>
  <w:num w:numId="38" w16cid:durableId="1266036850">
    <w:abstractNumId w:val="34"/>
  </w:num>
  <w:num w:numId="39" w16cid:durableId="1881671385">
    <w:abstractNumId w:val="37"/>
  </w:num>
  <w:num w:numId="40" w16cid:durableId="1301611395">
    <w:abstractNumId w:val="38"/>
  </w:num>
  <w:num w:numId="41" w16cid:durableId="1131166778">
    <w:abstractNumId w:val="44"/>
  </w:num>
  <w:num w:numId="42" w16cid:durableId="507405131">
    <w:abstractNumId w:val="46"/>
  </w:num>
  <w:num w:numId="43" w16cid:durableId="147091870">
    <w:abstractNumId w:val="47"/>
  </w:num>
  <w:num w:numId="44" w16cid:durableId="655454458">
    <w:abstractNumId w:val="49"/>
  </w:num>
  <w:num w:numId="45" w16cid:durableId="1812089391">
    <w:abstractNumId w:val="50"/>
  </w:num>
  <w:num w:numId="46" w16cid:durableId="515115365">
    <w:abstractNumId w:val="52"/>
  </w:num>
  <w:num w:numId="47" w16cid:durableId="1221944455">
    <w:abstractNumId w:val="53"/>
  </w:num>
  <w:num w:numId="48" w16cid:durableId="908535618">
    <w:abstractNumId w:val="54"/>
  </w:num>
  <w:num w:numId="49" w16cid:durableId="825898735">
    <w:abstractNumId w:val="55"/>
  </w:num>
  <w:num w:numId="50" w16cid:durableId="49690932">
    <w:abstractNumId w:val="56"/>
  </w:num>
  <w:num w:numId="51" w16cid:durableId="2095399920">
    <w:abstractNumId w:val="20"/>
  </w:num>
  <w:num w:numId="52" w16cid:durableId="1435326325">
    <w:abstractNumId w:val="39"/>
  </w:num>
  <w:num w:numId="53" w16cid:durableId="935866318">
    <w:abstractNumId w:val="48"/>
  </w:num>
  <w:num w:numId="54" w16cid:durableId="749347125">
    <w:abstractNumId w:val="43"/>
  </w:num>
  <w:num w:numId="55" w16cid:durableId="1458334191">
    <w:abstractNumId w:val="4"/>
  </w:num>
  <w:num w:numId="56" w16cid:durableId="1694842942">
    <w:abstractNumId w:val="41"/>
  </w:num>
  <w:num w:numId="57" w16cid:durableId="721095861">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02"/>
    <w:rsid w:val="00005B71"/>
    <w:rsid w:val="00006E1F"/>
    <w:rsid w:val="000070D7"/>
    <w:rsid w:val="0000711A"/>
    <w:rsid w:val="000102A2"/>
    <w:rsid w:val="0001788C"/>
    <w:rsid w:val="000212FF"/>
    <w:rsid w:val="00021FDF"/>
    <w:rsid w:val="00023BB8"/>
    <w:rsid w:val="000263A8"/>
    <w:rsid w:val="000315F2"/>
    <w:rsid w:val="000337EF"/>
    <w:rsid w:val="00040C3A"/>
    <w:rsid w:val="000419AD"/>
    <w:rsid w:val="000433C9"/>
    <w:rsid w:val="000437AF"/>
    <w:rsid w:val="000512A3"/>
    <w:rsid w:val="00061807"/>
    <w:rsid w:val="000716C5"/>
    <w:rsid w:val="00075E23"/>
    <w:rsid w:val="00091399"/>
    <w:rsid w:val="0009344A"/>
    <w:rsid w:val="000A392E"/>
    <w:rsid w:val="000A575F"/>
    <w:rsid w:val="000B062C"/>
    <w:rsid w:val="000B7AF1"/>
    <w:rsid w:val="000C2481"/>
    <w:rsid w:val="000C3A3F"/>
    <w:rsid w:val="000C3E07"/>
    <w:rsid w:val="000D05CB"/>
    <w:rsid w:val="000D10DB"/>
    <w:rsid w:val="000D61C3"/>
    <w:rsid w:val="000E56CE"/>
    <w:rsid w:val="000E5EB5"/>
    <w:rsid w:val="000F35ED"/>
    <w:rsid w:val="000F5912"/>
    <w:rsid w:val="000F7C54"/>
    <w:rsid w:val="00104B02"/>
    <w:rsid w:val="001051B3"/>
    <w:rsid w:val="00107131"/>
    <w:rsid w:val="0010736F"/>
    <w:rsid w:val="00113F73"/>
    <w:rsid w:val="00120BD8"/>
    <w:rsid w:val="00121CC2"/>
    <w:rsid w:val="00131425"/>
    <w:rsid w:val="00133EE5"/>
    <w:rsid w:val="00134B0F"/>
    <w:rsid w:val="00152589"/>
    <w:rsid w:val="00155C07"/>
    <w:rsid w:val="00167A34"/>
    <w:rsid w:val="0019566B"/>
    <w:rsid w:val="001A149C"/>
    <w:rsid w:val="001A643A"/>
    <w:rsid w:val="001A7870"/>
    <w:rsid w:val="001B3A00"/>
    <w:rsid w:val="001C1B41"/>
    <w:rsid w:val="001D1748"/>
    <w:rsid w:val="001D5B64"/>
    <w:rsid w:val="001D65EF"/>
    <w:rsid w:val="001D7945"/>
    <w:rsid w:val="001E49E7"/>
    <w:rsid w:val="001E5F82"/>
    <w:rsid w:val="001F02DE"/>
    <w:rsid w:val="001F7201"/>
    <w:rsid w:val="002016D7"/>
    <w:rsid w:val="0021180A"/>
    <w:rsid w:val="002203BF"/>
    <w:rsid w:val="00223A29"/>
    <w:rsid w:val="002250A3"/>
    <w:rsid w:val="002266FB"/>
    <w:rsid w:val="00235217"/>
    <w:rsid w:val="00245BBD"/>
    <w:rsid w:val="002469D2"/>
    <w:rsid w:val="00246D1F"/>
    <w:rsid w:val="00247403"/>
    <w:rsid w:val="00247542"/>
    <w:rsid w:val="0026020D"/>
    <w:rsid w:val="002632C5"/>
    <w:rsid w:val="00266B61"/>
    <w:rsid w:val="0026712A"/>
    <w:rsid w:val="002704DB"/>
    <w:rsid w:val="00272572"/>
    <w:rsid w:val="00286663"/>
    <w:rsid w:val="0028771E"/>
    <w:rsid w:val="00290F38"/>
    <w:rsid w:val="00296FCC"/>
    <w:rsid w:val="002A0AAE"/>
    <w:rsid w:val="002A5820"/>
    <w:rsid w:val="002C2280"/>
    <w:rsid w:val="002D1AD8"/>
    <w:rsid w:val="002D2B26"/>
    <w:rsid w:val="002D3F2B"/>
    <w:rsid w:val="002D7EA2"/>
    <w:rsid w:val="002E0D86"/>
    <w:rsid w:val="002E187C"/>
    <w:rsid w:val="002E5D3B"/>
    <w:rsid w:val="00302733"/>
    <w:rsid w:val="003056AE"/>
    <w:rsid w:val="003071DD"/>
    <w:rsid w:val="003073C2"/>
    <w:rsid w:val="003116D8"/>
    <w:rsid w:val="0031272C"/>
    <w:rsid w:val="0031376B"/>
    <w:rsid w:val="00314078"/>
    <w:rsid w:val="0031535D"/>
    <w:rsid w:val="003239B8"/>
    <w:rsid w:val="0033169F"/>
    <w:rsid w:val="003341CE"/>
    <w:rsid w:val="00341FB0"/>
    <w:rsid w:val="00342E59"/>
    <w:rsid w:val="00344977"/>
    <w:rsid w:val="00346C95"/>
    <w:rsid w:val="00351172"/>
    <w:rsid w:val="00356185"/>
    <w:rsid w:val="00360380"/>
    <w:rsid w:val="00361667"/>
    <w:rsid w:val="003726A7"/>
    <w:rsid w:val="0037519E"/>
    <w:rsid w:val="00381A58"/>
    <w:rsid w:val="00386CF0"/>
    <w:rsid w:val="00390F30"/>
    <w:rsid w:val="0039658D"/>
    <w:rsid w:val="003A2BF4"/>
    <w:rsid w:val="003A7C78"/>
    <w:rsid w:val="003B1B44"/>
    <w:rsid w:val="003B4078"/>
    <w:rsid w:val="003B70FB"/>
    <w:rsid w:val="003C2239"/>
    <w:rsid w:val="003C676B"/>
    <w:rsid w:val="003D3BC2"/>
    <w:rsid w:val="003E6CA1"/>
    <w:rsid w:val="003E700E"/>
    <w:rsid w:val="003E72CE"/>
    <w:rsid w:val="003F7946"/>
    <w:rsid w:val="0040285C"/>
    <w:rsid w:val="0040564D"/>
    <w:rsid w:val="00405F9C"/>
    <w:rsid w:val="004065A8"/>
    <w:rsid w:val="00411061"/>
    <w:rsid w:val="004165C2"/>
    <w:rsid w:val="00423385"/>
    <w:rsid w:val="0042435A"/>
    <w:rsid w:val="00424D1D"/>
    <w:rsid w:val="00436B39"/>
    <w:rsid w:val="00441408"/>
    <w:rsid w:val="00441524"/>
    <w:rsid w:val="00441E0D"/>
    <w:rsid w:val="00441ECB"/>
    <w:rsid w:val="00445193"/>
    <w:rsid w:val="00462C1B"/>
    <w:rsid w:val="00465D2D"/>
    <w:rsid w:val="00467B7E"/>
    <w:rsid w:val="00473BB4"/>
    <w:rsid w:val="00477592"/>
    <w:rsid w:val="004804B1"/>
    <w:rsid w:val="00484752"/>
    <w:rsid w:val="00486F1C"/>
    <w:rsid w:val="0049419D"/>
    <w:rsid w:val="004A3497"/>
    <w:rsid w:val="004A6A54"/>
    <w:rsid w:val="004C0EF7"/>
    <w:rsid w:val="004C20D2"/>
    <w:rsid w:val="004C2312"/>
    <w:rsid w:val="004C3643"/>
    <w:rsid w:val="004C4B62"/>
    <w:rsid w:val="004C54C9"/>
    <w:rsid w:val="004D4ABA"/>
    <w:rsid w:val="004D6025"/>
    <w:rsid w:val="004E2649"/>
    <w:rsid w:val="004E5259"/>
    <w:rsid w:val="004F626F"/>
    <w:rsid w:val="00501399"/>
    <w:rsid w:val="005051E7"/>
    <w:rsid w:val="0050633D"/>
    <w:rsid w:val="00507BC4"/>
    <w:rsid w:val="00507E05"/>
    <w:rsid w:val="005128E4"/>
    <w:rsid w:val="005133DB"/>
    <w:rsid w:val="00513D30"/>
    <w:rsid w:val="00514504"/>
    <w:rsid w:val="00525560"/>
    <w:rsid w:val="0054127B"/>
    <w:rsid w:val="00544C49"/>
    <w:rsid w:val="00545F4F"/>
    <w:rsid w:val="005461EF"/>
    <w:rsid w:val="005516A1"/>
    <w:rsid w:val="005559EF"/>
    <w:rsid w:val="0055611B"/>
    <w:rsid w:val="005564B7"/>
    <w:rsid w:val="00563557"/>
    <w:rsid w:val="0057402A"/>
    <w:rsid w:val="005771D0"/>
    <w:rsid w:val="00586DF6"/>
    <w:rsid w:val="0059191A"/>
    <w:rsid w:val="005919D6"/>
    <w:rsid w:val="005921FF"/>
    <w:rsid w:val="005965E2"/>
    <w:rsid w:val="005A24ED"/>
    <w:rsid w:val="005A254F"/>
    <w:rsid w:val="005A6D0E"/>
    <w:rsid w:val="005B52B0"/>
    <w:rsid w:val="005B6806"/>
    <w:rsid w:val="005C4225"/>
    <w:rsid w:val="005C6B79"/>
    <w:rsid w:val="005D38F9"/>
    <w:rsid w:val="005E0F38"/>
    <w:rsid w:val="005F0DAD"/>
    <w:rsid w:val="005F0F33"/>
    <w:rsid w:val="00600DEB"/>
    <w:rsid w:val="006104DE"/>
    <w:rsid w:val="00627C9F"/>
    <w:rsid w:val="006311E9"/>
    <w:rsid w:val="00632354"/>
    <w:rsid w:val="00635421"/>
    <w:rsid w:val="00642810"/>
    <w:rsid w:val="006503A5"/>
    <w:rsid w:val="0065195C"/>
    <w:rsid w:val="00652333"/>
    <w:rsid w:val="00654296"/>
    <w:rsid w:val="0066478C"/>
    <w:rsid w:val="00674B96"/>
    <w:rsid w:val="00675FDF"/>
    <w:rsid w:val="00676EE8"/>
    <w:rsid w:val="0068009E"/>
    <w:rsid w:val="00692219"/>
    <w:rsid w:val="006A05B8"/>
    <w:rsid w:val="006A0EF5"/>
    <w:rsid w:val="006A17D2"/>
    <w:rsid w:val="006A35CA"/>
    <w:rsid w:val="006A73E6"/>
    <w:rsid w:val="006B05D3"/>
    <w:rsid w:val="006B2D5C"/>
    <w:rsid w:val="006C1F04"/>
    <w:rsid w:val="006C4174"/>
    <w:rsid w:val="006C4EB1"/>
    <w:rsid w:val="006D5B19"/>
    <w:rsid w:val="006D616F"/>
    <w:rsid w:val="006E0166"/>
    <w:rsid w:val="006E2FFB"/>
    <w:rsid w:val="006E35B8"/>
    <w:rsid w:val="006E5DC9"/>
    <w:rsid w:val="006E7B34"/>
    <w:rsid w:val="006F11CC"/>
    <w:rsid w:val="006F1818"/>
    <w:rsid w:val="0070697F"/>
    <w:rsid w:val="00715B70"/>
    <w:rsid w:val="0072199C"/>
    <w:rsid w:val="00722C9F"/>
    <w:rsid w:val="007253B8"/>
    <w:rsid w:val="00732CE8"/>
    <w:rsid w:val="0073741F"/>
    <w:rsid w:val="00740C72"/>
    <w:rsid w:val="007513FF"/>
    <w:rsid w:val="0076643F"/>
    <w:rsid w:val="007672CC"/>
    <w:rsid w:val="0077080F"/>
    <w:rsid w:val="007743B5"/>
    <w:rsid w:val="00776993"/>
    <w:rsid w:val="00777F63"/>
    <w:rsid w:val="00790A61"/>
    <w:rsid w:val="00794381"/>
    <w:rsid w:val="00795A69"/>
    <w:rsid w:val="007A3159"/>
    <w:rsid w:val="007A5817"/>
    <w:rsid w:val="007B05C4"/>
    <w:rsid w:val="007B24E3"/>
    <w:rsid w:val="007B5128"/>
    <w:rsid w:val="007B60E9"/>
    <w:rsid w:val="007B6CC3"/>
    <w:rsid w:val="007B76D3"/>
    <w:rsid w:val="007C3334"/>
    <w:rsid w:val="007C4142"/>
    <w:rsid w:val="007C4C95"/>
    <w:rsid w:val="007C7E8C"/>
    <w:rsid w:val="007D2B98"/>
    <w:rsid w:val="007E0EDD"/>
    <w:rsid w:val="007E21BC"/>
    <w:rsid w:val="007E7C82"/>
    <w:rsid w:val="007F17F8"/>
    <w:rsid w:val="007F2AA1"/>
    <w:rsid w:val="007F588D"/>
    <w:rsid w:val="007F6EAF"/>
    <w:rsid w:val="008007B2"/>
    <w:rsid w:val="00803F1C"/>
    <w:rsid w:val="0080600E"/>
    <w:rsid w:val="00814688"/>
    <w:rsid w:val="0081520A"/>
    <w:rsid w:val="00817612"/>
    <w:rsid w:val="00825601"/>
    <w:rsid w:val="00830BF7"/>
    <w:rsid w:val="008338A4"/>
    <w:rsid w:val="00834D49"/>
    <w:rsid w:val="00836C54"/>
    <w:rsid w:val="00837C45"/>
    <w:rsid w:val="00841BEB"/>
    <w:rsid w:val="00844730"/>
    <w:rsid w:val="008457C2"/>
    <w:rsid w:val="00852498"/>
    <w:rsid w:val="00857A82"/>
    <w:rsid w:val="0086003D"/>
    <w:rsid w:val="00862266"/>
    <w:rsid w:val="0086600C"/>
    <w:rsid w:val="00867314"/>
    <w:rsid w:val="00870A46"/>
    <w:rsid w:val="0087154C"/>
    <w:rsid w:val="00873836"/>
    <w:rsid w:val="00873E2B"/>
    <w:rsid w:val="00875FCC"/>
    <w:rsid w:val="00876868"/>
    <w:rsid w:val="00885737"/>
    <w:rsid w:val="00890650"/>
    <w:rsid w:val="00897E12"/>
    <w:rsid w:val="008A3C9C"/>
    <w:rsid w:val="008A5117"/>
    <w:rsid w:val="008A7E0F"/>
    <w:rsid w:val="008B12F5"/>
    <w:rsid w:val="008B2C7F"/>
    <w:rsid w:val="008C3B20"/>
    <w:rsid w:val="008C5E2D"/>
    <w:rsid w:val="008C7C3E"/>
    <w:rsid w:val="008D0AED"/>
    <w:rsid w:val="008D114C"/>
    <w:rsid w:val="008D3E27"/>
    <w:rsid w:val="008D768D"/>
    <w:rsid w:val="008E3759"/>
    <w:rsid w:val="008E3BFE"/>
    <w:rsid w:val="008F1912"/>
    <w:rsid w:val="0090270B"/>
    <w:rsid w:val="009041DC"/>
    <w:rsid w:val="009063CD"/>
    <w:rsid w:val="00911B21"/>
    <w:rsid w:val="00915D8E"/>
    <w:rsid w:val="00917B5A"/>
    <w:rsid w:val="00920A58"/>
    <w:rsid w:val="00920A8C"/>
    <w:rsid w:val="009340DE"/>
    <w:rsid w:val="00934A2C"/>
    <w:rsid w:val="009350D9"/>
    <w:rsid w:val="009427B5"/>
    <w:rsid w:val="0095421C"/>
    <w:rsid w:val="0095766C"/>
    <w:rsid w:val="009612D8"/>
    <w:rsid w:val="00961ECF"/>
    <w:rsid w:val="0096706E"/>
    <w:rsid w:val="00972E10"/>
    <w:rsid w:val="00974491"/>
    <w:rsid w:val="00975C4E"/>
    <w:rsid w:val="00981FBA"/>
    <w:rsid w:val="009905CD"/>
    <w:rsid w:val="00997BC5"/>
    <w:rsid w:val="009A463D"/>
    <w:rsid w:val="009A4F41"/>
    <w:rsid w:val="009B381B"/>
    <w:rsid w:val="009B40B4"/>
    <w:rsid w:val="009B4F2B"/>
    <w:rsid w:val="009C5DA1"/>
    <w:rsid w:val="009D1753"/>
    <w:rsid w:val="009D57A1"/>
    <w:rsid w:val="009D7611"/>
    <w:rsid w:val="009E0B61"/>
    <w:rsid w:val="009E53DE"/>
    <w:rsid w:val="009F6C65"/>
    <w:rsid w:val="009F6F76"/>
    <w:rsid w:val="00A06443"/>
    <w:rsid w:val="00A11212"/>
    <w:rsid w:val="00A11E44"/>
    <w:rsid w:val="00A13E06"/>
    <w:rsid w:val="00A23907"/>
    <w:rsid w:val="00A30100"/>
    <w:rsid w:val="00A328B3"/>
    <w:rsid w:val="00A373F0"/>
    <w:rsid w:val="00A438F2"/>
    <w:rsid w:val="00A44487"/>
    <w:rsid w:val="00A467CB"/>
    <w:rsid w:val="00A47ACE"/>
    <w:rsid w:val="00A50FCF"/>
    <w:rsid w:val="00A52472"/>
    <w:rsid w:val="00A528D1"/>
    <w:rsid w:val="00A610CD"/>
    <w:rsid w:val="00A63894"/>
    <w:rsid w:val="00A67C71"/>
    <w:rsid w:val="00A67DAD"/>
    <w:rsid w:val="00A75877"/>
    <w:rsid w:val="00A758AA"/>
    <w:rsid w:val="00AA09A2"/>
    <w:rsid w:val="00AA52AC"/>
    <w:rsid w:val="00AA7996"/>
    <w:rsid w:val="00AB4253"/>
    <w:rsid w:val="00AB6897"/>
    <w:rsid w:val="00AC19CB"/>
    <w:rsid w:val="00AC1FB3"/>
    <w:rsid w:val="00AD0446"/>
    <w:rsid w:val="00AE5488"/>
    <w:rsid w:val="00AE66DB"/>
    <w:rsid w:val="00AE6F91"/>
    <w:rsid w:val="00AF313B"/>
    <w:rsid w:val="00AF5571"/>
    <w:rsid w:val="00B01862"/>
    <w:rsid w:val="00B01A6C"/>
    <w:rsid w:val="00B07341"/>
    <w:rsid w:val="00B11D67"/>
    <w:rsid w:val="00B14C3A"/>
    <w:rsid w:val="00B259F0"/>
    <w:rsid w:val="00B30539"/>
    <w:rsid w:val="00B314DB"/>
    <w:rsid w:val="00B361F2"/>
    <w:rsid w:val="00B3718B"/>
    <w:rsid w:val="00B3745F"/>
    <w:rsid w:val="00B44FE6"/>
    <w:rsid w:val="00B4632A"/>
    <w:rsid w:val="00B50732"/>
    <w:rsid w:val="00B51ADC"/>
    <w:rsid w:val="00B530F1"/>
    <w:rsid w:val="00B54687"/>
    <w:rsid w:val="00B63970"/>
    <w:rsid w:val="00B65ED6"/>
    <w:rsid w:val="00B738C0"/>
    <w:rsid w:val="00B81777"/>
    <w:rsid w:val="00B95806"/>
    <w:rsid w:val="00BA0376"/>
    <w:rsid w:val="00BA089E"/>
    <w:rsid w:val="00BA2214"/>
    <w:rsid w:val="00BA276C"/>
    <w:rsid w:val="00BA7D17"/>
    <w:rsid w:val="00BB306F"/>
    <w:rsid w:val="00BB3FE4"/>
    <w:rsid w:val="00BB7BEF"/>
    <w:rsid w:val="00BC1B5B"/>
    <w:rsid w:val="00BC3364"/>
    <w:rsid w:val="00BC5372"/>
    <w:rsid w:val="00BD076E"/>
    <w:rsid w:val="00BD360F"/>
    <w:rsid w:val="00BD4B89"/>
    <w:rsid w:val="00BD5922"/>
    <w:rsid w:val="00BD7708"/>
    <w:rsid w:val="00BF02CB"/>
    <w:rsid w:val="00BF26A6"/>
    <w:rsid w:val="00BF52EA"/>
    <w:rsid w:val="00BF6FD8"/>
    <w:rsid w:val="00C00CE3"/>
    <w:rsid w:val="00C03680"/>
    <w:rsid w:val="00C049FB"/>
    <w:rsid w:val="00C054DF"/>
    <w:rsid w:val="00C21762"/>
    <w:rsid w:val="00C21FEF"/>
    <w:rsid w:val="00C23BA4"/>
    <w:rsid w:val="00C23ECF"/>
    <w:rsid w:val="00C24543"/>
    <w:rsid w:val="00C256A2"/>
    <w:rsid w:val="00C25ADB"/>
    <w:rsid w:val="00C40FCF"/>
    <w:rsid w:val="00C41BBE"/>
    <w:rsid w:val="00C427ED"/>
    <w:rsid w:val="00C503B3"/>
    <w:rsid w:val="00C51515"/>
    <w:rsid w:val="00C5660B"/>
    <w:rsid w:val="00C570F9"/>
    <w:rsid w:val="00C66B72"/>
    <w:rsid w:val="00C741C1"/>
    <w:rsid w:val="00C83BC8"/>
    <w:rsid w:val="00C87AC4"/>
    <w:rsid w:val="00C948A1"/>
    <w:rsid w:val="00C9523D"/>
    <w:rsid w:val="00C9567A"/>
    <w:rsid w:val="00CA0CD3"/>
    <w:rsid w:val="00CA5D56"/>
    <w:rsid w:val="00CB0470"/>
    <w:rsid w:val="00CB212D"/>
    <w:rsid w:val="00CB2660"/>
    <w:rsid w:val="00CC0924"/>
    <w:rsid w:val="00CC341C"/>
    <w:rsid w:val="00CC5E90"/>
    <w:rsid w:val="00CD046C"/>
    <w:rsid w:val="00CD2932"/>
    <w:rsid w:val="00CE076C"/>
    <w:rsid w:val="00CE13B3"/>
    <w:rsid w:val="00CE5199"/>
    <w:rsid w:val="00CE66D5"/>
    <w:rsid w:val="00CF637A"/>
    <w:rsid w:val="00CF6475"/>
    <w:rsid w:val="00D035D4"/>
    <w:rsid w:val="00D059DE"/>
    <w:rsid w:val="00D05ABD"/>
    <w:rsid w:val="00D11EA5"/>
    <w:rsid w:val="00D13530"/>
    <w:rsid w:val="00D13FCE"/>
    <w:rsid w:val="00D15ACB"/>
    <w:rsid w:val="00D1633B"/>
    <w:rsid w:val="00D306D1"/>
    <w:rsid w:val="00D30800"/>
    <w:rsid w:val="00D312B3"/>
    <w:rsid w:val="00D32F0F"/>
    <w:rsid w:val="00D34786"/>
    <w:rsid w:val="00D35DC8"/>
    <w:rsid w:val="00D37BFC"/>
    <w:rsid w:val="00D37DC2"/>
    <w:rsid w:val="00D37F2F"/>
    <w:rsid w:val="00D42AA6"/>
    <w:rsid w:val="00D446BD"/>
    <w:rsid w:val="00D45E25"/>
    <w:rsid w:val="00D47A8E"/>
    <w:rsid w:val="00D52D14"/>
    <w:rsid w:val="00D5751A"/>
    <w:rsid w:val="00D61DE3"/>
    <w:rsid w:val="00D712D3"/>
    <w:rsid w:val="00D71422"/>
    <w:rsid w:val="00D72DC6"/>
    <w:rsid w:val="00D7558D"/>
    <w:rsid w:val="00D81D92"/>
    <w:rsid w:val="00D839F2"/>
    <w:rsid w:val="00D876F9"/>
    <w:rsid w:val="00DA7B5F"/>
    <w:rsid w:val="00DC11E7"/>
    <w:rsid w:val="00DC1B59"/>
    <w:rsid w:val="00DC24E3"/>
    <w:rsid w:val="00DC537E"/>
    <w:rsid w:val="00DC7023"/>
    <w:rsid w:val="00DC769A"/>
    <w:rsid w:val="00DD3D86"/>
    <w:rsid w:val="00DD4AD2"/>
    <w:rsid w:val="00DE6EB2"/>
    <w:rsid w:val="00DF1EC4"/>
    <w:rsid w:val="00DF76D6"/>
    <w:rsid w:val="00E01243"/>
    <w:rsid w:val="00E0340B"/>
    <w:rsid w:val="00E04A90"/>
    <w:rsid w:val="00E0551F"/>
    <w:rsid w:val="00E142A2"/>
    <w:rsid w:val="00E219C7"/>
    <w:rsid w:val="00E21A76"/>
    <w:rsid w:val="00E34545"/>
    <w:rsid w:val="00E4118C"/>
    <w:rsid w:val="00E43157"/>
    <w:rsid w:val="00E443B0"/>
    <w:rsid w:val="00E461CE"/>
    <w:rsid w:val="00E51124"/>
    <w:rsid w:val="00E51224"/>
    <w:rsid w:val="00E54D28"/>
    <w:rsid w:val="00E573E4"/>
    <w:rsid w:val="00E61938"/>
    <w:rsid w:val="00E61B48"/>
    <w:rsid w:val="00E64C3D"/>
    <w:rsid w:val="00E64C80"/>
    <w:rsid w:val="00E650BB"/>
    <w:rsid w:val="00E66F97"/>
    <w:rsid w:val="00E70B43"/>
    <w:rsid w:val="00E7118A"/>
    <w:rsid w:val="00E720CA"/>
    <w:rsid w:val="00E82DDC"/>
    <w:rsid w:val="00E84EB5"/>
    <w:rsid w:val="00E85662"/>
    <w:rsid w:val="00E8789F"/>
    <w:rsid w:val="00E90BFB"/>
    <w:rsid w:val="00E92D00"/>
    <w:rsid w:val="00E9330D"/>
    <w:rsid w:val="00E94A24"/>
    <w:rsid w:val="00E97B71"/>
    <w:rsid w:val="00EA2DD8"/>
    <w:rsid w:val="00EA3D34"/>
    <w:rsid w:val="00EB197F"/>
    <w:rsid w:val="00EB454D"/>
    <w:rsid w:val="00EB6E8A"/>
    <w:rsid w:val="00EB70B0"/>
    <w:rsid w:val="00EC422D"/>
    <w:rsid w:val="00EC7110"/>
    <w:rsid w:val="00EC72DC"/>
    <w:rsid w:val="00ED549D"/>
    <w:rsid w:val="00ED57D7"/>
    <w:rsid w:val="00ED72E4"/>
    <w:rsid w:val="00ED76BE"/>
    <w:rsid w:val="00EE00E9"/>
    <w:rsid w:val="00EF1AAA"/>
    <w:rsid w:val="00EF2429"/>
    <w:rsid w:val="00EF619B"/>
    <w:rsid w:val="00F00B55"/>
    <w:rsid w:val="00F02AD1"/>
    <w:rsid w:val="00F0739D"/>
    <w:rsid w:val="00F1473A"/>
    <w:rsid w:val="00F2190A"/>
    <w:rsid w:val="00F253CC"/>
    <w:rsid w:val="00F37106"/>
    <w:rsid w:val="00F41CF2"/>
    <w:rsid w:val="00F44C72"/>
    <w:rsid w:val="00F44E25"/>
    <w:rsid w:val="00F519CF"/>
    <w:rsid w:val="00F548A8"/>
    <w:rsid w:val="00F56BA5"/>
    <w:rsid w:val="00F60E22"/>
    <w:rsid w:val="00F7214C"/>
    <w:rsid w:val="00F81395"/>
    <w:rsid w:val="00F81BB8"/>
    <w:rsid w:val="00F86A5E"/>
    <w:rsid w:val="00F90C64"/>
    <w:rsid w:val="00F917D1"/>
    <w:rsid w:val="00F93027"/>
    <w:rsid w:val="00F9653B"/>
    <w:rsid w:val="00FB0D9F"/>
    <w:rsid w:val="00FB5131"/>
    <w:rsid w:val="00FB62CF"/>
    <w:rsid w:val="00FC7A91"/>
    <w:rsid w:val="00FD3C3B"/>
    <w:rsid w:val="00FD4B3C"/>
    <w:rsid w:val="00FD504F"/>
    <w:rsid w:val="00FE07DD"/>
    <w:rsid w:val="00FE6B45"/>
    <w:rsid w:val="00FF4AF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790A6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2266FB"/>
    <w:rPr>
      <w:sz w:val="16"/>
      <w:szCs w:val="16"/>
    </w:rPr>
  </w:style>
  <w:style w:type="paragraph" w:styleId="CommentText">
    <w:name w:val="annotation text"/>
    <w:basedOn w:val="Normal"/>
    <w:link w:val="CommentTextChar"/>
    <w:uiPriority w:val="99"/>
    <w:unhideWhenUsed/>
    <w:rsid w:val="002266FB"/>
    <w:rPr>
      <w:sz w:val="20"/>
      <w:szCs w:val="20"/>
    </w:rPr>
  </w:style>
  <w:style w:type="character" w:customStyle="1" w:styleId="CommentTextChar">
    <w:name w:val="Comment Text Char"/>
    <w:basedOn w:val="DefaultParagraphFont"/>
    <w:link w:val="CommentText"/>
    <w:uiPriority w:val="99"/>
    <w:rsid w:val="002266FB"/>
    <w:rPr>
      <w:lang w:val="en-US" w:eastAsia="en-US"/>
    </w:rPr>
  </w:style>
  <w:style w:type="paragraph" w:styleId="CommentSubject">
    <w:name w:val="annotation subject"/>
    <w:basedOn w:val="CommentText"/>
    <w:next w:val="CommentText"/>
    <w:link w:val="CommentSubjectChar"/>
    <w:uiPriority w:val="99"/>
    <w:semiHidden/>
    <w:unhideWhenUsed/>
    <w:rsid w:val="002266FB"/>
    <w:rPr>
      <w:b/>
      <w:bCs/>
    </w:rPr>
  </w:style>
  <w:style w:type="character" w:customStyle="1" w:styleId="CommentSubjectChar">
    <w:name w:val="Comment Subject Char"/>
    <w:basedOn w:val="CommentTextChar"/>
    <w:link w:val="CommentSubject"/>
    <w:uiPriority w:val="99"/>
    <w:semiHidden/>
    <w:rsid w:val="002266FB"/>
    <w:rPr>
      <w:b/>
      <w:bCs/>
      <w:lang w:val="en-US" w:eastAsia="en-US"/>
    </w:rPr>
  </w:style>
  <w:style w:type="character" w:customStyle="1" w:styleId="normaltextrun">
    <w:name w:val="normaltextrun"/>
    <w:basedOn w:val="DefaultParagraphFont"/>
    <w:rsid w:val="00F7214C"/>
  </w:style>
  <w:style w:type="character" w:customStyle="1" w:styleId="eop">
    <w:name w:val="eop"/>
    <w:basedOn w:val="DefaultParagraphFont"/>
    <w:rsid w:val="00F7214C"/>
  </w:style>
  <w:style w:type="paragraph" w:customStyle="1" w:styleId="paragraph">
    <w:name w:val="paragraph"/>
    <w:basedOn w:val="Normal"/>
    <w:rsid w:val="00F721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5933">
      <w:bodyDiv w:val="1"/>
      <w:marLeft w:val="0"/>
      <w:marRight w:val="0"/>
      <w:marTop w:val="0"/>
      <w:marBottom w:val="0"/>
      <w:divBdr>
        <w:top w:val="none" w:sz="0" w:space="0" w:color="auto"/>
        <w:left w:val="none" w:sz="0" w:space="0" w:color="auto"/>
        <w:bottom w:val="none" w:sz="0" w:space="0" w:color="auto"/>
        <w:right w:val="none" w:sz="0" w:space="0" w:color="auto"/>
      </w:divBdr>
    </w:div>
    <w:div w:id="44573533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07654481">
      <w:bodyDiv w:val="1"/>
      <w:marLeft w:val="0"/>
      <w:marRight w:val="0"/>
      <w:marTop w:val="0"/>
      <w:marBottom w:val="0"/>
      <w:divBdr>
        <w:top w:val="none" w:sz="0" w:space="0" w:color="auto"/>
        <w:left w:val="none" w:sz="0" w:space="0" w:color="auto"/>
        <w:bottom w:val="none" w:sz="0" w:space="0" w:color="auto"/>
        <w:right w:val="none" w:sz="0" w:space="0" w:color="auto"/>
      </w:divBdr>
    </w:div>
    <w:div w:id="16093140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4154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anklin Gothic Book">
    <w:panose1 w:val="020B05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5650"/>
    <w:rsid w:val="001B68CE"/>
    <w:rsid w:val="00200821"/>
    <w:rsid w:val="00201CE6"/>
    <w:rsid w:val="0025245B"/>
    <w:rsid w:val="002A3923"/>
    <w:rsid w:val="00394049"/>
    <w:rsid w:val="004B5BBB"/>
    <w:rsid w:val="004F2DF8"/>
    <w:rsid w:val="005900FF"/>
    <w:rsid w:val="006503A5"/>
    <w:rsid w:val="006A5F0D"/>
    <w:rsid w:val="006F24A1"/>
    <w:rsid w:val="006F2C33"/>
    <w:rsid w:val="00740C72"/>
    <w:rsid w:val="00766D13"/>
    <w:rsid w:val="00817E6B"/>
    <w:rsid w:val="008C2592"/>
    <w:rsid w:val="009A261B"/>
    <w:rsid w:val="009C3CB6"/>
    <w:rsid w:val="00A4418E"/>
    <w:rsid w:val="00AA2E17"/>
    <w:rsid w:val="00AC15A4"/>
    <w:rsid w:val="00B0336C"/>
    <w:rsid w:val="00B14C3A"/>
    <w:rsid w:val="00B30277"/>
    <w:rsid w:val="00CB2E0C"/>
    <w:rsid w:val="00D241E9"/>
    <w:rsid w:val="00D7750D"/>
    <w:rsid w:val="00F00D2F"/>
    <w:rsid w:val="00F128DF"/>
    <w:rsid w:val="00FB4A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3094</Words>
  <Characters>17637</Characters>
  <Application>Microsoft Office Word</Application>
  <DocSecurity>0</DocSecurity>
  <Lines>146</Lines>
  <Paragraphs>41</Paragraphs>
  <ScaleCrop>false</ScaleCrop>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2024-11-27T16:00:00Z</dcterms:created>
  <dcterms:modified xsi:type="dcterms:W3CDTF">2024-11-27T16:00:00Z</dcterms:modified>
</cp:coreProperties>
</file>