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91BB3" w14:textId="77777777"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lang w:val="es-419" w:eastAsia="es-419"/>
        </w:rPr>
        <mc:AlternateContent>
          <mc:Choice Requires="wps">
            <w:drawing>
              <wp:anchor distT="0" distB="0" distL="114300" distR="114300" simplePos="0" relativeHeight="251658240"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xmlns:w16sdtfl="http://schemas.microsoft.com/office/word/2024/wordml/sdtformatlock" xmlns:w16du="http://schemas.microsoft.com/office/word/2023/wordml/word16du">
            <w:pict w14:anchorId="4EB84AA7">
              <v:rect id="Rectangle 1"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4a7194" stroked="f" strokeweight="2pt" w14:anchorId="23685E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w:pict>
          </mc:Fallback>
        </mc:AlternateContent>
      </w:r>
      <w:r w:rsidR="003E6CA1" w:rsidRPr="0090270B">
        <w:rPr>
          <w:rFonts w:asciiTheme="majorHAnsi" w:hAnsiTheme="majorHAnsi"/>
          <w:noProof/>
          <w:sz w:val="22"/>
          <w:szCs w:val="22"/>
          <w:lang w:val="es-419" w:eastAsia="es-419"/>
        </w:rPr>
        <mc:AlternateContent>
          <mc:Choice Requires="wps">
            <w:drawing>
              <wp:anchor distT="0" distB="0" distL="114300" distR="114300" simplePos="0" relativeHeight="251658244"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0208E50D" w:rsidR="00CB2660" w:rsidRDefault="00AE5488" w:rsidP="00AE5488">
                            <w:r>
                              <w:rPr>
                                <w:noProof/>
                                <w:lang w:val="es-419" w:eastAsia="es-419"/>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349218F2" w14:textId="0208E50D" w:rsidR="00CB2660" w:rsidRDefault="00AE5488" w:rsidP="00AE5488">
                      <w:r>
                        <w:rPr>
                          <w:noProof/>
                          <w:lang w:val="es-419" w:eastAsia="es-419"/>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p>
                  </w:txbxContent>
                </v:textbox>
              </v:shape>
            </w:pict>
          </mc:Fallback>
        </mc:AlternateContent>
      </w:r>
    </w:p>
    <w:p w14:paraId="47386BAF"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5A87E141"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29D95BCC" w14:textId="77777777" w:rsidR="005128E4" w:rsidRPr="0090270B" w:rsidRDefault="005128E4" w:rsidP="00040C3A">
      <w:pPr>
        <w:tabs>
          <w:tab w:val="center" w:pos="5400"/>
        </w:tabs>
        <w:suppressAutoHyphens/>
        <w:rPr>
          <w:rFonts w:asciiTheme="majorHAnsi" w:hAnsiTheme="majorHAnsi"/>
          <w:sz w:val="22"/>
          <w:szCs w:val="22"/>
          <w:lang w:val="es-ES_tradnl"/>
        </w:rPr>
      </w:pPr>
    </w:p>
    <w:p w14:paraId="12A36B24" w14:textId="77777777" w:rsidR="005128E4" w:rsidRPr="0090270B" w:rsidRDefault="005128E4" w:rsidP="00040C3A">
      <w:pPr>
        <w:tabs>
          <w:tab w:val="center" w:pos="5400"/>
        </w:tabs>
        <w:suppressAutoHyphens/>
        <w:rPr>
          <w:rFonts w:asciiTheme="majorHAnsi" w:hAnsiTheme="majorHAnsi"/>
          <w:sz w:val="22"/>
          <w:szCs w:val="22"/>
          <w:lang w:val="es-ES_tradnl"/>
        </w:rPr>
      </w:pPr>
    </w:p>
    <w:p w14:paraId="2252093D" w14:textId="77777777" w:rsidR="005128E4" w:rsidRPr="0090270B" w:rsidRDefault="005128E4" w:rsidP="00040C3A">
      <w:pPr>
        <w:tabs>
          <w:tab w:val="center" w:pos="5400"/>
        </w:tabs>
        <w:suppressAutoHyphens/>
        <w:rPr>
          <w:rFonts w:asciiTheme="majorHAnsi" w:hAnsiTheme="majorHAnsi"/>
          <w:sz w:val="22"/>
          <w:szCs w:val="22"/>
          <w:lang w:val="es-ES_tradnl"/>
        </w:rPr>
      </w:pPr>
    </w:p>
    <w:p w14:paraId="403935BD"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6DCF5F8F"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4791F13A"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44E016B6"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63D41962"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5ADEB99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D81B7E8"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4791D04"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lang w:val="es-419" w:eastAsia="es-419"/>
        </w:rPr>
        <mc:AlternateContent>
          <mc:Choice Requires="wps">
            <w:drawing>
              <wp:anchor distT="0" distB="0" distL="114300" distR="114300" simplePos="0" relativeHeight="251658241"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7C94F1" w14:textId="0F8646DD" w:rsidR="007D370F" w:rsidRPr="00B316FD" w:rsidRDefault="005B52B0" w:rsidP="00B316FD">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404F8C">
                              <w:rPr>
                                <w:rFonts w:asciiTheme="majorHAnsi" w:hAnsiTheme="majorHAnsi" w:cs="Arial"/>
                                <w:b/>
                                <w:bCs/>
                                <w:color w:val="0D0D0D" w:themeColor="text1" w:themeTint="F2"/>
                                <w:sz w:val="36"/>
                                <w:szCs w:val="22"/>
                                <w:lang w:val="es-ES_tradnl"/>
                              </w:rPr>
                              <w:t>135</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19566B">
                              <w:rPr>
                                <w:rFonts w:asciiTheme="majorHAnsi" w:hAnsiTheme="majorHAnsi" w:cs="Arial"/>
                                <w:b/>
                                <w:bCs/>
                                <w:color w:val="0D0D0D" w:themeColor="text1" w:themeTint="F2"/>
                                <w:sz w:val="36"/>
                                <w:szCs w:val="22"/>
                                <w:lang w:val="es-ES_tradnl"/>
                              </w:rPr>
                              <w:t>4</w:t>
                            </w:r>
                          </w:p>
                          <w:p w14:paraId="087DD504" w14:textId="77777777" w:rsidR="006D703F" w:rsidRDefault="005B52B0" w:rsidP="00FB0276">
                            <w:pPr>
                              <w:spacing w:line="276" w:lineRule="auto"/>
                              <w:jc w:val="both"/>
                              <w:rPr>
                                <w:rFonts w:asciiTheme="majorHAnsi" w:hAnsiTheme="majorHAnsi" w:cs="Arial"/>
                                <w:b/>
                                <w:color w:val="0D0D0D" w:themeColor="text1" w:themeTint="F2"/>
                                <w:sz w:val="26"/>
                                <w:szCs w:val="26"/>
                                <w:lang w:val="es-ES_tradnl"/>
                              </w:rPr>
                            </w:pPr>
                            <w:r w:rsidRPr="00FB0276">
                              <w:rPr>
                                <w:rFonts w:asciiTheme="majorHAnsi" w:hAnsiTheme="majorHAnsi" w:cs="Arial"/>
                                <w:b/>
                                <w:color w:val="0D0D0D" w:themeColor="text1" w:themeTint="F2"/>
                                <w:sz w:val="26"/>
                                <w:szCs w:val="26"/>
                                <w:lang w:val="es-ES_tradnl"/>
                              </w:rPr>
                              <w:t>PETICI</w:t>
                            </w:r>
                            <w:r w:rsidR="00806155" w:rsidRPr="00FB0276">
                              <w:rPr>
                                <w:rFonts w:asciiTheme="majorHAnsi" w:hAnsiTheme="majorHAnsi" w:cs="Arial"/>
                                <w:b/>
                                <w:color w:val="0D0D0D" w:themeColor="text1" w:themeTint="F2"/>
                                <w:sz w:val="26"/>
                                <w:szCs w:val="26"/>
                                <w:lang w:val="es-ES_tradnl"/>
                              </w:rPr>
                              <w:t>ONES</w:t>
                            </w:r>
                            <w:r w:rsidR="00FB0276">
                              <w:rPr>
                                <w:rFonts w:asciiTheme="majorHAnsi" w:hAnsiTheme="majorHAnsi" w:cs="Arial"/>
                                <w:b/>
                                <w:color w:val="0D0D0D" w:themeColor="text1" w:themeTint="F2"/>
                                <w:sz w:val="26"/>
                                <w:szCs w:val="26"/>
                                <w:lang w:val="es-ES_tradnl"/>
                              </w:rPr>
                              <w:t>:</w:t>
                            </w:r>
                            <w:r w:rsidR="00806155" w:rsidRPr="00FB0276">
                              <w:rPr>
                                <w:rFonts w:asciiTheme="majorHAnsi" w:hAnsiTheme="majorHAnsi" w:cs="Arial"/>
                                <w:b/>
                                <w:color w:val="0D0D0D" w:themeColor="text1" w:themeTint="F2"/>
                                <w:sz w:val="26"/>
                                <w:szCs w:val="26"/>
                                <w:lang w:val="es-ES_tradnl"/>
                              </w:rPr>
                              <w:t xml:space="preserve"> </w:t>
                            </w:r>
                            <w:r w:rsidR="00FB0276" w:rsidRPr="00FB0276">
                              <w:rPr>
                                <w:rFonts w:asciiTheme="majorHAnsi" w:hAnsiTheme="majorHAnsi" w:cs="Arial"/>
                                <w:b/>
                                <w:color w:val="0D0D0D" w:themeColor="text1" w:themeTint="F2"/>
                                <w:sz w:val="26"/>
                                <w:szCs w:val="26"/>
                                <w:lang w:val="es-ES_tradnl"/>
                              </w:rPr>
                              <w:t xml:space="preserve">(1) </w:t>
                            </w:r>
                            <w:r w:rsidR="00621FE1" w:rsidRPr="00FB0276">
                              <w:rPr>
                                <w:rFonts w:asciiTheme="majorHAnsi" w:hAnsiTheme="majorHAnsi" w:cs="Arial"/>
                                <w:b/>
                                <w:color w:val="0D0D0D" w:themeColor="text1" w:themeTint="F2"/>
                                <w:sz w:val="26"/>
                                <w:szCs w:val="26"/>
                                <w:lang w:val="es-ES_tradnl"/>
                              </w:rPr>
                              <w:t>2287-16,</w:t>
                            </w:r>
                            <w:r w:rsidR="009E6E92" w:rsidRPr="00FB0276">
                              <w:rPr>
                                <w:rFonts w:asciiTheme="majorHAnsi" w:hAnsiTheme="majorHAnsi" w:cs="Arial"/>
                                <w:b/>
                                <w:color w:val="0D0D0D" w:themeColor="text1" w:themeTint="F2"/>
                                <w:sz w:val="26"/>
                                <w:szCs w:val="26"/>
                                <w:lang w:val="es-ES_tradnl"/>
                              </w:rPr>
                              <w:t xml:space="preserve"> </w:t>
                            </w:r>
                            <w:r w:rsidR="00FB0276" w:rsidRPr="00FB0276">
                              <w:rPr>
                                <w:rFonts w:asciiTheme="majorHAnsi" w:hAnsiTheme="majorHAnsi" w:cs="Arial"/>
                                <w:b/>
                                <w:color w:val="0D0D0D" w:themeColor="text1" w:themeTint="F2"/>
                                <w:sz w:val="26"/>
                                <w:szCs w:val="26"/>
                                <w:lang w:val="es-ES_tradnl"/>
                              </w:rPr>
                              <w:t xml:space="preserve">(2) </w:t>
                            </w:r>
                            <w:r w:rsidR="009E6E92" w:rsidRPr="00FB0276">
                              <w:rPr>
                                <w:rFonts w:asciiTheme="majorHAnsi" w:hAnsiTheme="majorHAnsi" w:cs="Arial"/>
                                <w:b/>
                                <w:color w:val="0D0D0D" w:themeColor="text1" w:themeTint="F2"/>
                                <w:sz w:val="26"/>
                                <w:szCs w:val="26"/>
                                <w:lang w:val="es-ES_tradnl"/>
                              </w:rPr>
                              <w:t xml:space="preserve">2722-18, </w:t>
                            </w:r>
                            <w:r w:rsidR="00FB0276" w:rsidRPr="00FB0276">
                              <w:rPr>
                                <w:rFonts w:asciiTheme="majorHAnsi" w:hAnsiTheme="majorHAnsi" w:cs="Arial"/>
                                <w:b/>
                                <w:color w:val="0D0D0D" w:themeColor="text1" w:themeTint="F2"/>
                                <w:sz w:val="26"/>
                                <w:szCs w:val="26"/>
                                <w:lang w:val="es-ES_tradnl"/>
                              </w:rPr>
                              <w:t xml:space="preserve">(3) </w:t>
                            </w:r>
                            <w:r w:rsidR="009E6E92" w:rsidRPr="00FB0276">
                              <w:rPr>
                                <w:rFonts w:asciiTheme="majorHAnsi" w:hAnsiTheme="majorHAnsi" w:cs="Arial"/>
                                <w:b/>
                                <w:color w:val="0D0D0D" w:themeColor="text1" w:themeTint="F2"/>
                                <w:sz w:val="26"/>
                                <w:szCs w:val="26"/>
                                <w:lang w:val="es-ES_tradnl"/>
                              </w:rPr>
                              <w:t xml:space="preserve">2774-18, </w:t>
                            </w:r>
                          </w:p>
                          <w:p w14:paraId="6A7BF82B" w14:textId="77777777" w:rsidR="006D703F" w:rsidRDefault="00FB0276" w:rsidP="00FB0276">
                            <w:pPr>
                              <w:spacing w:line="276" w:lineRule="auto"/>
                              <w:jc w:val="both"/>
                              <w:rPr>
                                <w:rFonts w:asciiTheme="majorHAnsi" w:hAnsiTheme="majorHAnsi" w:cs="Arial"/>
                                <w:b/>
                                <w:color w:val="0D0D0D" w:themeColor="text1" w:themeTint="F2"/>
                                <w:sz w:val="26"/>
                                <w:szCs w:val="26"/>
                                <w:lang w:val="es-ES_tradnl"/>
                              </w:rPr>
                            </w:pPr>
                            <w:r w:rsidRPr="00FB0276">
                              <w:rPr>
                                <w:rFonts w:asciiTheme="majorHAnsi" w:hAnsiTheme="majorHAnsi" w:cs="Arial"/>
                                <w:b/>
                                <w:color w:val="0D0D0D" w:themeColor="text1" w:themeTint="F2"/>
                                <w:sz w:val="26"/>
                                <w:szCs w:val="26"/>
                                <w:lang w:val="es-ES_tradnl"/>
                              </w:rPr>
                              <w:t xml:space="preserve">(4) </w:t>
                            </w:r>
                            <w:r w:rsidR="009E6E92" w:rsidRPr="00FB0276">
                              <w:rPr>
                                <w:rFonts w:asciiTheme="majorHAnsi" w:hAnsiTheme="majorHAnsi" w:cs="Arial"/>
                                <w:b/>
                                <w:color w:val="0D0D0D" w:themeColor="text1" w:themeTint="F2"/>
                                <w:sz w:val="26"/>
                                <w:szCs w:val="26"/>
                                <w:lang w:val="es-ES_tradnl"/>
                              </w:rPr>
                              <w:t xml:space="preserve">76-19, </w:t>
                            </w:r>
                            <w:r w:rsidRPr="00FB0276">
                              <w:rPr>
                                <w:rFonts w:asciiTheme="majorHAnsi" w:hAnsiTheme="majorHAnsi" w:cs="Arial"/>
                                <w:b/>
                                <w:color w:val="0D0D0D" w:themeColor="text1" w:themeTint="F2"/>
                                <w:sz w:val="26"/>
                                <w:szCs w:val="26"/>
                                <w:lang w:val="es-ES_tradnl"/>
                              </w:rPr>
                              <w:t xml:space="preserve">(5) </w:t>
                            </w:r>
                            <w:r w:rsidR="009E6E92" w:rsidRPr="00FB0276">
                              <w:rPr>
                                <w:rFonts w:asciiTheme="majorHAnsi" w:hAnsiTheme="majorHAnsi" w:cs="Arial"/>
                                <w:b/>
                                <w:color w:val="0D0D0D" w:themeColor="text1" w:themeTint="F2"/>
                                <w:sz w:val="26"/>
                                <w:szCs w:val="26"/>
                                <w:lang w:val="es-ES_tradnl"/>
                              </w:rPr>
                              <w:t xml:space="preserve">1124-19, </w:t>
                            </w:r>
                            <w:r w:rsidRPr="00FB0276">
                              <w:rPr>
                                <w:rFonts w:asciiTheme="majorHAnsi" w:hAnsiTheme="majorHAnsi" w:cs="Arial"/>
                                <w:b/>
                                <w:color w:val="0D0D0D" w:themeColor="text1" w:themeTint="F2"/>
                                <w:sz w:val="26"/>
                                <w:szCs w:val="26"/>
                                <w:lang w:val="es-ES_tradnl"/>
                              </w:rPr>
                              <w:t xml:space="preserve">(6) </w:t>
                            </w:r>
                            <w:r w:rsidR="009E6E92" w:rsidRPr="00FB0276">
                              <w:rPr>
                                <w:rFonts w:asciiTheme="majorHAnsi" w:hAnsiTheme="majorHAnsi" w:cs="Arial"/>
                                <w:b/>
                                <w:color w:val="0D0D0D" w:themeColor="text1" w:themeTint="F2"/>
                                <w:sz w:val="26"/>
                                <w:szCs w:val="26"/>
                                <w:lang w:val="es-ES_tradnl"/>
                              </w:rPr>
                              <w:t xml:space="preserve">1217-19, </w:t>
                            </w:r>
                            <w:r w:rsidRPr="00FB0276">
                              <w:rPr>
                                <w:rFonts w:asciiTheme="majorHAnsi" w:hAnsiTheme="majorHAnsi" w:cs="Arial"/>
                                <w:b/>
                                <w:color w:val="0D0D0D" w:themeColor="text1" w:themeTint="F2"/>
                                <w:sz w:val="26"/>
                                <w:szCs w:val="26"/>
                                <w:lang w:val="es-ES_tradnl"/>
                              </w:rPr>
                              <w:t>(7)</w:t>
                            </w:r>
                            <w:r w:rsidR="009E6E92" w:rsidRPr="00FB0276">
                              <w:rPr>
                                <w:rFonts w:asciiTheme="majorHAnsi" w:hAnsiTheme="majorHAnsi" w:cs="Arial"/>
                                <w:b/>
                                <w:color w:val="0D0D0D" w:themeColor="text1" w:themeTint="F2"/>
                                <w:sz w:val="26"/>
                                <w:szCs w:val="26"/>
                                <w:lang w:val="es-ES_tradnl"/>
                              </w:rPr>
                              <w:t xml:space="preserve">1228-19, </w:t>
                            </w:r>
                          </w:p>
                          <w:p w14:paraId="7AB2D4E0" w14:textId="77777777" w:rsidR="006D703F" w:rsidRDefault="00FB0276" w:rsidP="00FB0276">
                            <w:pPr>
                              <w:spacing w:line="276" w:lineRule="auto"/>
                              <w:jc w:val="both"/>
                              <w:rPr>
                                <w:rFonts w:asciiTheme="majorHAnsi" w:hAnsiTheme="majorHAnsi" w:cs="Arial"/>
                                <w:b/>
                                <w:color w:val="0D0D0D" w:themeColor="text1" w:themeTint="F2"/>
                                <w:sz w:val="26"/>
                                <w:szCs w:val="26"/>
                                <w:lang w:val="es-ES_tradnl"/>
                              </w:rPr>
                            </w:pPr>
                            <w:r w:rsidRPr="00FB0276">
                              <w:rPr>
                                <w:rFonts w:asciiTheme="majorHAnsi" w:hAnsiTheme="majorHAnsi" w:cs="Arial"/>
                                <w:b/>
                                <w:color w:val="0D0D0D" w:themeColor="text1" w:themeTint="F2"/>
                                <w:sz w:val="26"/>
                                <w:szCs w:val="26"/>
                                <w:lang w:val="es-ES_tradnl"/>
                              </w:rPr>
                              <w:t xml:space="preserve">(8) </w:t>
                            </w:r>
                            <w:r w:rsidR="009E6E92" w:rsidRPr="00FB0276">
                              <w:rPr>
                                <w:rFonts w:asciiTheme="majorHAnsi" w:hAnsiTheme="majorHAnsi" w:cs="Arial"/>
                                <w:b/>
                                <w:color w:val="0D0D0D" w:themeColor="text1" w:themeTint="F2"/>
                                <w:sz w:val="26"/>
                                <w:szCs w:val="26"/>
                                <w:lang w:val="es-ES_tradnl"/>
                              </w:rPr>
                              <w:t xml:space="preserve">1278-19, </w:t>
                            </w:r>
                            <w:r w:rsidRPr="00FB0276">
                              <w:rPr>
                                <w:rFonts w:asciiTheme="majorHAnsi" w:hAnsiTheme="majorHAnsi" w:cs="Arial"/>
                                <w:b/>
                                <w:color w:val="0D0D0D" w:themeColor="text1" w:themeTint="F2"/>
                                <w:sz w:val="26"/>
                                <w:szCs w:val="26"/>
                                <w:lang w:val="es-ES_tradnl"/>
                              </w:rPr>
                              <w:t xml:space="preserve">(9) </w:t>
                            </w:r>
                            <w:r w:rsidR="009E6E92" w:rsidRPr="00FB0276">
                              <w:rPr>
                                <w:rFonts w:asciiTheme="majorHAnsi" w:hAnsiTheme="majorHAnsi" w:cs="Arial"/>
                                <w:b/>
                                <w:color w:val="0D0D0D" w:themeColor="text1" w:themeTint="F2"/>
                                <w:sz w:val="26"/>
                                <w:szCs w:val="26"/>
                                <w:lang w:val="es-ES_tradnl"/>
                              </w:rPr>
                              <w:t xml:space="preserve">1279-19, </w:t>
                            </w:r>
                            <w:r w:rsidRPr="00FB0276">
                              <w:rPr>
                                <w:rFonts w:asciiTheme="majorHAnsi" w:hAnsiTheme="majorHAnsi" w:cs="Arial"/>
                                <w:b/>
                                <w:color w:val="0D0D0D" w:themeColor="text1" w:themeTint="F2"/>
                                <w:sz w:val="26"/>
                                <w:szCs w:val="26"/>
                                <w:lang w:val="es-ES_tradnl"/>
                              </w:rPr>
                              <w:t xml:space="preserve">(10) </w:t>
                            </w:r>
                            <w:r w:rsidR="009E6E92" w:rsidRPr="00FB0276">
                              <w:rPr>
                                <w:rFonts w:asciiTheme="majorHAnsi" w:hAnsiTheme="majorHAnsi" w:cs="Arial"/>
                                <w:b/>
                                <w:color w:val="0D0D0D" w:themeColor="text1" w:themeTint="F2"/>
                                <w:sz w:val="26"/>
                                <w:szCs w:val="26"/>
                                <w:lang w:val="es-ES_tradnl"/>
                              </w:rPr>
                              <w:t xml:space="preserve">1428-19, </w:t>
                            </w:r>
                          </w:p>
                          <w:p w14:paraId="6EA55352" w14:textId="77777777" w:rsidR="006D703F" w:rsidRDefault="00FB0276" w:rsidP="00FB0276">
                            <w:pPr>
                              <w:spacing w:line="276" w:lineRule="auto"/>
                              <w:jc w:val="both"/>
                              <w:rPr>
                                <w:rFonts w:asciiTheme="majorHAnsi" w:hAnsiTheme="majorHAnsi" w:cs="Arial"/>
                                <w:b/>
                                <w:color w:val="0D0D0D" w:themeColor="text1" w:themeTint="F2"/>
                                <w:sz w:val="26"/>
                                <w:szCs w:val="26"/>
                                <w:lang w:val="es-ES_tradnl"/>
                              </w:rPr>
                            </w:pPr>
                            <w:r w:rsidRPr="00FB0276">
                              <w:rPr>
                                <w:rFonts w:asciiTheme="majorHAnsi" w:hAnsiTheme="majorHAnsi" w:cs="Arial"/>
                                <w:b/>
                                <w:color w:val="0D0D0D" w:themeColor="text1" w:themeTint="F2"/>
                                <w:sz w:val="26"/>
                                <w:szCs w:val="26"/>
                                <w:lang w:val="es-ES_tradnl"/>
                              </w:rPr>
                              <w:t xml:space="preserve">(11) </w:t>
                            </w:r>
                            <w:r w:rsidR="009E6E92" w:rsidRPr="00FB0276">
                              <w:rPr>
                                <w:rFonts w:asciiTheme="majorHAnsi" w:hAnsiTheme="majorHAnsi" w:cs="Arial"/>
                                <w:b/>
                                <w:color w:val="0D0D0D" w:themeColor="text1" w:themeTint="F2"/>
                                <w:sz w:val="26"/>
                                <w:szCs w:val="26"/>
                                <w:lang w:val="es-ES_tradnl"/>
                              </w:rPr>
                              <w:t xml:space="preserve">1563-19, </w:t>
                            </w:r>
                            <w:r w:rsidRPr="00FB0276">
                              <w:rPr>
                                <w:rFonts w:asciiTheme="majorHAnsi" w:hAnsiTheme="majorHAnsi" w:cs="Arial"/>
                                <w:b/>
                                <w:color w:val="0D0D0D" w:themeColor="text1" w:themeTint="F2"/>
                                <w:sz w:val="26"/>
                                <w:szCs w:val="26"/>
                                <w:lang w:val="es-ES_tradnl"/>
                              </w:rPr>
                              <w:t xml:space="preserve">(12) </w:t>
                            </w:r>
                            <w:r w:rsidR="009E6E92" w:rsidRPr="00FB0276">
                              <w:rPr>
                                <w:rFonts w:asciiTheme="majorHAnsi" w:hAnsiTheme="majorHAnsi" w:cs="Arial"/>
                                <w:b/>
                                <w:color w:val="0D0D0D" w:themeColor="text1" w:themeTint="F2"/>
                                <w:sz w:val="26"/>
                                <w:szCs w:val="26"/>
                                <w:lang w:val="es-ES_tradnl"/>
                              </w:rPr>
                              <w:t xml:space="preserve">1677-19, </w:t>
                            </w:r>
                            <w:r w:rsidRPr="00FB0276">
                              <w:rPr>
                                <w:rFonts w:asciiTheme="majorHAnsi" w:hAnsiTheme="majorHAnsi" w:cs="Arial"/>
                                <w:b/>
                                <w:color w:val="0D0D0D" w:themeColor="text1" w:themeTint="F2"/>
                                <w:sz w:val="26"/>
                                <w:szCs w:val="26"/>
                                <w:lang w:val="es-ES_tradnl"/>
                              </w:rPr>
                              <w:t xml:space="preserve">(13) </w:t>
                            </w:r>
                            <w:r w:rsidR="009E6E92" w:rsidRPr="00FB0276">
                              <w:rPr>
                                <w:rFonts w:asciiTheme="majorHAnsi" w:hAnsiTheme="majorHAnsi" w:cs="Arial"/>
                                <w:b/>
                                <w:color w:val="0D0D0D" w:themeColor="text1" w:themeTint="F2"/>
                                <w:sz w:val="26"/>
                                <w:szCs w:val="26"/>
                                <w:lang w:val="es-ES_tradnl"/>
                              </w:rPr>
                              <w:t xml:space="preserve">1736-19, </w:t>
                            </w:r>
                          </w:p>
                          <w:p w14:paraId="3EEBFBE1" w14:textId="399D9D39" w:rsidR="00300E5C" w:rsidRPr="00FB0276" w:rsidRDefault="00FB0276" w:rsidP="00FB0276">
                            <w:pPr>
                              <w:spacing w:line="276" w:lineRule="auto"/>
                              <w:jc w:val="both"/>
                              <w:rPr>
                                <w:rFonts w:asciiTheme="majorHAnsi" w:hAnsiTheme="majorHAnsi" w:cs="Arial"/>
                                <w:b/>
                                <w:color w:val="0D0D0D" w:themeColor="text1" w:themeTint="F2"/>
                                <w:sz w:val="26"/>
                                <w:szCs w:val="26"/>
                                <w:lang w:val="es-ES_tradnl"/>
                              </w:rPr>
                            </w:pPr>
                            <w:r w:rsidRPr="00FB0276">
                              <w:rPr>
                                <w:rFonts w:asciiTheme="majorHAnsi" w:hAnsiTheme="majorHAnsi" w:cs="Arial"/>
                                <w:b/>
                                <w:color w:val="0D0D0D" w:themeColor="text1" w:themeTint="F2"/>
                                <w:sz w:val="26"/>
                                <w:szCs w:val="26"/>
                                <w:lang w:val="es-ES_tradnl"/>
                              </w:rPr>
                              <w:t xml:space="preserve">(14) </w:t>
                            </w:r>
                            <w:r w:rsidR="009E6E92" w:rsidRPr="00FB0276">
                              <w:rPr>
                                <w:rFonts w:asciiTheme="majorHAnsi" w:hAnsiTheme="majorHAnsi" w:cs="Arial"/>
                                <w:b/>
                                <w:color w:val="0D0D0D" w:themeColor="text1" w:themeTint="F2"/>
                                <w:sz w:val="26"/>
                                <w:szCs w:val="26"/>
                                <w:lang w:val="es-ES_tradnl"/>
                              </w:rPr>
                              <w:t xml:space="preserve">2284-19, </w:t>
                            </w:r>
                            <w:r w:rsidRPr="00FB0276">
                              <w:rPr>
                                <w:rFonts w:asciiTheme="majorHAnsi" w:hAnsiTheme="majorHAnsi" w:cs="Arial"/>
                                <w:b/>
                                <w:color w:val="0D0D0D" w:themeColor="text1" w:themeTint="F2"/>
                                <w:sz w:val="26"/>
                                <w:szCs w:val="26"/>
                                <w:lang w:val="es-ES_tradnl"/>
                              </w:rPr>
                              <w:t>(15)</w:t>
                            </w:r>
                            <w:r w:rsidR="006D703F">
                              <w:rPr>
                                <w:rFonts w:asciiTheme="majorHAnsi" w:hAnsiTheme="majorHAnsi" w:cs="Arial"/>
                                <w:b/>
                                <w:color w:val="0D0D0D" w:themeColor="text1" w:themeTint="F2"/>
                                <w:sz w:val="26"/>
                                <w:szCs w:val="26"/>
                                <w:lang w:val="es-ES_tradnl"/>
                              </w:rPr>
                              <w:t xml:space="preserve"> </w:t>
                            </w:r>
                            <w:r w:rsidR="009E6E92" w:rsidRPr="00FB0276">
                              <w:rPr>
                                <w:rFonts w:asciiTheme="majorHAnsi" w:hAnsiTheme="majorHAnsi" w:cs="Arial"/>
                                <w:b/>
                                <w:color w:val="0D0D0D" w:themeColor="text1" w:themeTint="F2"/>
                                <w:sz w:val="26"/>
                                <w:szCs w:val="26"/>
                                <w:lang w:val="es-ES_tradnl"/>
                              </w:rPr>
                              <w:t xml:space="preserve">2625-19 y </w:t>
                            </w:r>
                            <w:r w:rsidRPr="00FB0276">
                              <w:rPr>
                                <w:rFonts w:asciiTheme="majorHAnsi" w:hAnsiTheme="majorHAnsi" w:cs="Arial"/>
                                <w:b/>
                                <w:color w:val="0D0D0D" w:themeColor="text1" w:themeTint="F2"/>
                                <w:sz w:val="26"/>
                                <w:szCs w:val="26"/>
                                <w:lang w:val="es-ES_tradnl"/>
                              </w:rPr>
                              <w:t xml:space="preserve">(16) </w:t>
                            </w:r>
                            <w:r w:rsidR="009E6E92" w:rsidRPr="00FB0276">
                              <w:rPr>
                                <w:rFonts w:asciiTheme="majorHAnsi" w:hAnsiTheme="majorHAnsi" w:cs="Arial"/>
                                <w:b/>
                                <w:color w:val="0D0D0D" w:themeColor="text1" w:themeTint="F2"/>
                                <w:sz w:val="26"/>
                                <w:szCs w:val="26"/>
                                <w:lang w:val="es-ES_tradnl"/>
                              </w:rPr>
                              <w:t>3126-19</w:t>
                            </w:r>
                            <w:r w:rsidR="00621FE1" w:rsidRPr="00FB0276">
                              <w:rPr>
                                <w:rFonts w:asciiTheme="majorHAnsi" w:hAnsiTheme="majorHAnsi" w:cs="Arial"/>
                                <w:b/>
                                <w:color w:val="0D0D0D" w:themeColor="text1" w:themeTint="F2"/>
                                <w:sz w:val="26"/>
                                <w:szCs w:val="26"/>
                                <w:lang w:val="es-ES_tradnl"/>
                              </w:rPr>
                              <w:t xml:space="preserve"> </w:t>
                            </w:r>
                          </w:p>
                          <w:p w14:paraId="689D8967" w14:textId="77777777" w:rsidR="009E6E92" w:rsidRPr="009E6E92" w:rsidRDefault="009E6E92" w:rsidP="00997BC5">
                            <w:pPr>
                              <w:spacing w:line="276" w:lineRule="auto"/>
                              <w:rPr>
                                <w:rFonts w:asciiTheme="majorHAnsi" w:hAnsiTheme="majorHAnsi" w:cs="Arial"/>
                                <w:b/>
                                <w:color w:val="0D0D0D" w:themeColor="text1" w:themeTint="F2"/>
                                <w:sz w:val="28"/>
                                <w:szCs w:val="28"/>
                                <w:lang w:val="es-ES_tradnl"/>
                              </w:rPr>
                            </w:pPr>
                          </w:p>
                          <w:p w14:paraId="5FDD6F0D" w14:textId="164C70F7" w:rsidR="008F1912" w:rsidRPr="0010736F" w:rsidRDefault="005B52B0" w:rsidP="004728EB">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bookmarkStart w:id="0" w:name="_ftnref1"/>
                          </w:p>
                          <w:bookmarkEnd w:id="0"/>
                          <w:p w14:paraId="79228352" w14:textId="1402AB93" w:rsidR="008F45D1" w:rsidRDefault="00300E5C"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 xml:space="preserve">GONZALO VARNOUX Y OTROS </w:t>
                            </w:r>
                          </w:p>
                          <w:p w14:paraId="35068D0D" w14:textId="2C8F2D2A" w:rsidR="005B52B0" w:rsidRPr="00EB197F" w:rsidRDefault="008F45D1" w:rsidP="00997BC5">
                            <w:pPr>
                              <w:spacing w:line="276" w:lineRule="auto"/>
                              <w:rPr>
                                <w:rFonts w:asciiTheme="majorHAnsi" w:hAnsiTheme="majorHAnsi" w:cs="Arial"/>
                                <w:color w:val="0D0D0D" w:themeColor="text1" w:themeTint="F2"/>
                                <w:szCs w:val="22"/>
                                <w:lang w:val="es-PE"/>
                              </w:rPr>
                            </w:pPr>
                            <w:r>
                              <w:rPr>
                                <w:rFonts w:asciiTheme="majorHAnsi" w:hAnsiTheme="majorHAnsi" w:cs="Arial"/>
                                <w:color w:val="0D0D0D" w:themeColor="text1" w:themeTint="F2"/>
                                <w:szCs w:val="22"/>
                                <w:lang w:val="es-PE"/>
                              </w:rPr>
                              <w:t>BOLIVIA</w:t>
                            </w:r>
                          </w:p>
                          <w:p w14:paraId="575DFD52" w14:textId="77777777" w:rsidR="005B52B0" w:rsidRPr="00EB197F" w:rsidRDefault="005B52B0" w:rsidP="007A5817">
                            <w:pPr>
                              <w:rPr>
                                <w:color w:val="0D0D0D" w:themeColor="text1" w:themeTint="F2"/>
                                <w:lang w:val="es-P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0ED94" id="Text Box 5" o:spid="_x0000_s1027" type="#_x0000_t202" style="position:absolute;left:0;text-align:left;margin-left:106.5pt;margin-top:8.45pt;width:349.7pt;height:171.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2E7C94F1" w14:textId="0F8646DD" w:rsidR="007D370F" w:rsidRPr="00B316FD" w:rsidRDefault="005B52B0" w:rsidP="00B316FD">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404F8C">
                        <w:rPr>
                          <w:rFonts w:asciiTheme="majorHAnsi" w:hAnsiTheme="majorHAnsi" w:cs="Arial"/>
                          <w:b/>
                          <w:bCs/>
                          <w:color w:val="0D0D0D" w:themeColor="text1" w:themeTint="F2"/>
                          <w:sz w:val="36"/>
                          <w:szCs w:val="22"/>
                          <w:lang w:val="es-ES_tradnl"/>
                        </w:rPr>
                        <w:t>135</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19566B">
                        <w:rPr>
                          <w:rFonts w:asciiTheme="majorHAnsi" w:hAnsiTheme="majorHAnsi" w:cs="Arial"/>
                          <w:b/>
                          <w:bCs/>
                          <w:color w:val="0D0D0D" w:themeColor="text1" w:themeTint="F2"/>
                          <w:sz w:val="36"/>
                          <w:szCs w:val="22"/>
                          <w:lang w:val="es-ES_tradnl"/>
                        </w:rPr>
                        <w:t>4</w:t>
                      </w:r>
                    </w:p>
                    <w:p w14:paraId="087DD504" w14:textId="77777777" w:rsidR="006D703F" w:rsidRDefault="005B52B0" w:rsidP="00FB0276">
                      <w:pPr>
                        <w:spacing w:line="276" w:lineRule="auto"/>
                        <w:jc w:val="both"/>
                        <w:rPr>
                          <w:rFonts w:asciiTheme="majorHAnsi" w:hAnsiTheme="majorHAnsi" w:cs="Arial"/>
                          <w:b/>
                          <w:color w:val="0D0D0D" w:themeColor="text1" w:themeTint="F2"/>
                          <w:sz w:val="26"/>
                          <w:szCs w:val="26"/>
                          <w:lang w:val="es-ES_tradnl"/>
                        </w:rPr>
                      </w:pPr>
                      <w:r w:rsidRPr="00FB0276">
                        <w:rPr>
                          <w:rFonts w:asciiTheme="majorHAnsi" w:hAnsiTheme="majorHAnsi" w:cs="Arial"/>
                          <w:b/>
                          <w:color w:val="0D0D0D" w:themeColor="text1" w:themeTint="F2"/>
                          <w:sz w:val="26"/>
                          <w:szCs w:val="26"/>
                          <w:lang w:val="es-ES_tradnl"/>
                        </w:rPr>
                        <w:t>PETICI</w:t>
                      </w:r>
                      <w:r w:rsidR="00806155" w:rsidRPr="00FB0276">
                        <w:rPr>
                          <w:rFonts w:asciiTheme="majorHAnsi" w:hAnsiTheme="majorHAnsi" w:cs="Arial"/>
                          <w:b/>
                          <w:color w:val="0D0D0D" w:themeColor="text1" w:themeTint="F2"/>
                          <w:sz w:val="26"/>
                          <w:szCs w:val="26"/>
                          <w:lang w:val="es-ES_tradnl"/>
                        </w:rPr>
                        <w:t>ONES</w:t>
                      </w:r>
                      <w:r w:rsidR="00FB0276">
                        <w:rPr>
                          <w:rFonts w:asciiTheme="majorHAnsi" w:hAnsiTheme="majorHAnsi" w:cs="Arial"/>
                          <w:b/>
                          <w:color w:val="0D0D0D" w:themeColor="text1" w:themeTint="F2"/>
                          <w:sz w:val="26"/>
                          <w:szCs w:val="26"/>
                          <w:lang w:val="es-ES_tradnl"/>
                        </w:rPr>
                        <w:t>:</w:t>
                      </w:r>
                      <w:r w:rsidR="00806155" w:rsidRPr="00FB0276">
                        <w:rPr>
                          <w:rFonts w:asciiTheme="majorHAnsi" w:hAnsiTheme="majorHAnsi" w:cs="Arial"/>
                          <w:b/>
                          <w:color w:val="0D0D0D" w:themeColor="text1" w:themeTint="F2"/>
                          <w:sz w:val="26"/>
                          <w:szCs w:val="26"/>
                          <w:lang w:val="es-ES_tradnl"/>
                        </w:rPr>
                        <w:t xml:space="preserve"> </w:t>
                      </w:r>
                      <w:r w:rsidR="00FB0276" w:rsidRPr="00FB0276">
                        <w:rPr>
                          <w:rFonts w:asciiTheme="majorHAnsi" w:hAnsiTheme="majorHAnsi" w:cs="Arial"/>
                          <w:b/>
                          <w:color w:val="0D0D0D" w:themeColor="text1" w:themeTint="F2"/>
                          <w:sz w:val="26"/>
                          <w:szCs w:val="26"/>
                          <w:lang w:val="es-ES_tradnl"/>
                        </w:rPr>
                        <w:t xml:space="preserve">(1) </w:t>
                      </w:r>
                      <w:r w:rsidR="00621FE1" w:rsidRPr="00FB0276">
                        <w:rPr>
                          <w:rFonts w:asciiTheme="majorHAnsi" w:hAnsiTheme="majorHAnsi" w:cs="Arial"/>
                          <w:b/>
                          <w:color w:val="0D0D0D" w:themeColor="text1" w:themeTint="F2"/>
                          <w:sz w:val="26"/>
                          <w:szCs w:val="26"/>
                          <w:lang w:val="es-ES_tradnl"/>
                        </w:rPr>
                        <w:t>2287-16,</w:t>
                      </w:r>
                      <w:r w:rsidR="009E6E92" w:rsidRPr="00FB0276">
                        <w:rPr>
                          <w:rFonts w:asciiTheme="majorHAnsi" w:hAnsiTheme="majorHAnsi" w:cs="Arial"/>
                          <w:b/>
                          <w:color w:val="0D0D0D" w:themeColor="text1" w:themeTint="F2"/>
                          <w:sz w:val="26"/>
                          <w:szCs w:val="26"/>
                          <w:lang w:val="es-ES_tradnl"/>
                        </w:rPr>
                        <w:t xml:space="preserve"> </w:t>
                      </w:r>
                      <w:r w:rsidR="00FB0276" w:rsidRPr="00FB0276">
                        <w:rPr>
                          <w:rFonts w:asciiTheme="majorHAnsi" w:hAnsiTheme="majorHAnsi" w:cs="Arial"/>
                          <w:b/>
                          <w:color w:val="0D0D0D" w:themeColor="text1" w:themeTint="F2"/>
                          <w:sz w:val="26"/>
                          <w:szCs w:val="26"/>
                          <w:lang w:val="es-ES_tradnl"/>
                        </w:rPr>
                        <w:t xml:space="preserve">(2) </w:t>
                      </w:r>
                      <w:r w:rsidR="009E6E92" w:rsidRPr="00FB0276">
                        <w:rPr>
                          <w:rFonts w:asciiTheme="majorHAnsi" w:hAnsiTheme="majorHAnsi" w:cs="Arial"/>
                          <w:b/>
                          <w:color w:val="0D0D0D" w:themeColor="text1" w:themeTint="F2"/>
                          <w:sz w:val="26"/>
                          <w:szCs w:val="26"/>
                          <w:lang w:val="es-ES_tradnl"/>
                        </w:rPr>
                        <w:t xml:space="preserve">2722-18, </w:t>
                      </w:r>
                      <w:r w:rsidR="00FB0276" w:rsidRPr="00FB0276">
                        <w:rPr>
                          <w:rFonts w:asciiTheme="majorHAnsi" w:hAnsiTheme="majorHAnsi" w:cs="Arial"/>
                          <w:b/>
                          <w:color w:val="0D0D0D" w:themeColor="text1" w:themeTint="F2"/>
                          <w:sz w:val="26"/>
                          <w:szCs w:val="26"/>
                          <w:lang w:val="es-ES_tradnl"/>
                        </w:rPr>
                        <w:t xml:space="preserve">(3) </w:t>
                      </w:r>
                      <w:r w:rsidR="009E6E92" w:rsidRPr="00FB0276">
                        <w:rPr>
                          <w:rFonts w:asciiTheme="majorHAnsi" w:hAnsiTheme="majorHAnsi" w:cs="Arial"/>
                          <w:b/>
                          <w:color w:val="0D0D0D" w:themeColor="text1" w:themeTint="F2"/>
                          <w:sz w:val="26"/>
                          <w:szCs w:val="26"/>
                          <w:lang w:val="es-ES_tradnl"/>
                        </w:rPr>
                        <w:t xml:space="preserve">2774-18, </w:t>
                      </w:r>
                    </w:p>
                    <w:p w14:paraId="6A7BF82B" w14:textId="77777777" w:rsidR="006D703F" w:rsidRDefault="00FB0276" w:rsidP="00FB0276">
                      <w:pPr>
                        <w:spacing w:line="276" w:lineRule="auto"/>
                        <w:jc w:val="both"/>
                        <w:rPr>
                          <w:rFonts w:asciiTheme="majorHAnsi" w:hAnsiTheme="majorHAnsi" w:cs="Arial"/>
                          <w:b/>
                          <w:color w:val="0D0D0D" w:themeColor="text1" w:themeTint="F2"/>
                          <w:sz w:val="26"/>
                          <w:szCs w:val="26"/>
                          <w:lang w:val="es-ES_tradnl"/>
                        </w:rPr>
                      </w:pPr>
                      <w:r w:rsidRPr="00FB0276">
                        <w:rPr>
                          <w:rFonts w:asciiTheme="majorHAnsi" w:hAnsiTheme="majorHAnsi" w:cs="Arial"/>
                          <w:b/>
                          <w:color w:val="0D0D0D" w:themeColor="text1" w:themeTint="F2"/>
                          <w:sz w:val="26"/>
                          <w:szCs w:val="26"/>
                          <w:lang w:val="es-ES_tradnl"/>
                        </w:rPr>
                        <w:t xml:space="preserve">(4) </w:t>
                      </w:r>
                      <w:r w:rsidR="009E6E92" w:rsidRPr="00FB0276">
                        <w:rPr>
                          <w:rFonts w:asciiTheme="majorHAnsi" w:hAnsiTheme="majorHAnsi" w:cs="Arial"/>
                          <w:b/>
                          <w:color w:val="0D0D0D" w:themeColor="text1" w:themeTint="F2"/>
                          <w:sz w:val="26"/>
                          <w:szCs w:val="26"/>
                          <w:lang w:val="es-ES_tradnl"/>
                        </w:rPr>
                        <w:t xml:space="preserve">76-19, </w:t>
                      </w:r>
                      <w:r w:rsidRPr="00FB0276">
                        <w:rPr>
                          <w:rFonts w:asciiTheme="majorHAnsi" w:hAnsiTheme="majorHAnsi" w:cs="Arial"/>
                          <w:b/>
                          <w:color w:val="0D0D0D" w:themeColor="text1" w:themeTint="F2"/>
                          <w:sz w:val="26"/>
                          <w:szCs w:val="26"/>
                          <w:lang w:val="es-ES_tradnl"/>
                        </w:rPr>
                        <w:t xml:space="preserve">(5) </w:t>
                      </w:r>
                      <w:r w:rsidR="009E6E92" w:rsidRPr="00FB0276">
                        <w:rPr>
                          <w:rFonts w:asciiTheme="majorHAnsi" w:hAnsiTheme="majorHAnsi" w:cs="Arial"/>
                          <w:b/>
                          <w:color w:val="0D0D0D" w:themeColor="text1" w:themeTint="F2"/>
                          <w:sz w:val="26"/>
                          <w:szCs w:val="26"/>
                          <w:lang w:val="es-ES_tradnl"/>
                        </w:rPr>
                        <w:t xml:space="preserve">1124-19, </w:t>
                      </w:r>
                      <w:r w:rsidRPr="00FB0276">
                        <w:rPr>
                          <w:rFonts w:asciiTheme="majorHAnsi" w:hAnsiTheme="majorHAnsi" w:cs="Arial"/>
                          <w:b/>
                          <w:color w:val="0D0D0D" w:themeColor="text1" w:themeTint="F2"/>
                          <w:sz w:val="26"/>
                          <w:szCs w:val="26"/>
                          <w:lang w:val="es-ES_tradnl"/>
                        </w:rPr>
                        <w:t xml:space="preserve">(6) </w:t>
                      </w:r>
                      <w:r w:rsidR="009E6E92" w:rsidRPr="00FB0276">
                        <w:rPr>
                          <w:rFonts w:asciiTheme="majorHAnsi" w:hAnsiTheme="majorHAnsi" w:cs="Arial"/>
                          <w:b/>
                          <w:color w:val="0D0D0D" w:themeColor="text1" w:themeTint="F2"/>
                          <w:sz w:val="26"/>
                          <w:szCs w:val="26"/>
                          <w:lang w:val="es-ES_tradnl"/>
                        </w:rPr>
                        <w:t xml:space="preserve">1217-19, </w:t>
                      </w:r>
                      <w:r w:rsidRPr="00FB0276">
                        <w:rPr>
                          <w:rFonts w:asciiTheme="majorHAnsi" w:hAnsiTheme="majorHAnsi" w:cs="Arial"/>
                          <w:b/>
                          <w:color w:val="0D0D0D" w:themeColor="text1" w:themeTint="F2"/>
                          <w:sz w:val="26"/>
                          <w:szCs w:val="26"/>
                          <w:lang w:val="es-ES_tradnl"/>
                        </w:rPr>
                        <w:t>(7)</w:t>
                      </w:r>
                      <w:r w:rsidR="009E6E92" w:rsidRPr="00FB0276">
                        <w:rPr>
                          <w:rFonts w:asciiTheme="majorHAnsi" w:hAnsiTheme="majorHAnsi" w:cs="Arial"/>
                          <w:b/>
                          <w:color w:val="0D0D0D" w:themeColor="text1" w:themeTint="F2"/>
                          <w:sz w:val="26"/>
                          <w:szCs w:val="26"/>
                          <w:lang w:val="es-ES_tradnl"/>
                        </w:rPr>
                        <w:t xml:space="preserve">1228-19, </w:t>
                      </w:r>
                    </w:p>
                    <w:p w14:paraId="7AB2D4E0" w14:textId="77777777" w:rsidR="006D703F" w:rsidRDefault="00FB0276" w:rsidP="00FB0276">
                      <w:pPr>
                        <w:spacing w:line="276" w:lineRule="auto"/>
                        <w:jc w:val="both"/>
                        <w:rPr>
                          <w:rFonts w:asciiTheme="majorHAnsi" w:hAnsiTheme="majorHAnsi" w:cs="Arial"/>
                          <w:b/>
                          <w:color w:val="0D0D0D" w:themeColor="text1" w:themeTint="F2"/>
                          <w:sz w:val="26"/>
                          <w:szCs w:val="26"/>
                          <w:lang w:val="es-ES_tradnl"/>
                        </w:rPr>
                      </w:pPr>
                      <w:r w:rsidRPr="00FB0276">
                        <w:rPr>
                          <w:rFonts w:asciiTheme="majorHAnsi" w:hAnsiTheme="majorHAnsi" w:cs="Arial"/>
                          <w:b/>
                          <w:color w:val="0D0D0D" w:themeColor="text1" w:themeTint="F2"/>
                          <w:sz w:val="26"/>
                          <w:szCs w:val="26"/>
                          <w:lang w:val="es-ES_tradnl"/>
                        </w:rPr>
                        <w:t xml:space="preserve">(8) </w:t>
                      </w:r>
                      <w:r w:rsidR="009E6E92" w:rsidRPr="00FB0276">
                        <w:rPr>
                          <w:rFonts w:asciiTheme="majorHAnsi" w:hAnsiTheme="majorHAnsi" w:cs="Arial"/>
                          <w:b/>
                          <w:color w:val="0D0D0D" w:themeColor="text1" w:themeTint="F2"/>
                          <w:sz w:val="26"/>
                          <w:szCs w:val="26"/>
                          <w:lang w:val="es-ES_tradnl"/>
                        </w:rPr>
                        <w:t xml:space="preserve">1278-19, </w:t>
                      </w:r>
                      <w:r w:rsidRPr="00FB0276">
                        <w:rPr>
                          <w:rFonts w:asciiTheme="majorHAnsi" w:hAnsiTheme="majorHAnsi" w:cs="Arial"/>
                          <w:b/>
                          <w:color w:val="0D0D0D" w:themeColor="text1" w:themeTint="F2"/>
                          <w:sz w:val="26"/>
                          <w:szCs w:val="26"/>
                          <w:lang w:val="es-ES_tradnl"/>
                        </w:rPr>
                        <w:t xml:space="preserve">(9) </w:t>
                      </w:r>
                      <w:r w:rsidR="009E6E92" w:rsidRPr="00FB0276">
                        <w:rPr>
                          <w:rFonts w:asciiTheme="majorHAnsi" w:hAnsiTheme="majorHAnsi" w:cs="Arial"/>
                          <w:b/>
                          <w:color w:val="0D0D0D" w:themeColor="text1" w:themeTint="F2"/>
                          <w:sz w:val="26"/>
                          <w:szCs w:val="26"/>
                          <w:lang w:val="es-ES_tradnl"/>
                        </w:rPr>
                        <w:t xml:space="preserve">1279-19, </w:t>
                      </w:r>
                      <w:r w:rsidRPr="00FB0276">
                        <w:rPr>
                          <w:rFonts w:asciiTheme="majorHAnsi" w:hAnsiTheme="majorHAnsi" w:cs="Arial"/>
                          <w:b/>
                          <w:color w:val="0D0D0D" w:themeColor="text1" w:themeTint="F2"/>
                          <w:sz w:val="26"/>
                          <w:szCs w:val="26"/>
                          <w:lang w:val="es-ES_tradnl"/>
                        </w:rPr>
                        <w:t xml:space="preserve">(10) </w:t>
                      </w:r>
                      <w:r w:rsidR="009E6E92" w:rsidRPr="00FB0276">
                        <w:rPr>
                          <w:rFonts w:asciiTheme="majorHAnsi" w:hAnsiTheme="majorHAnsi" w:cs="Arial"/>
                          <w:b/>
                          <w:color w:val="0D0D0D" w:themeColor="text1" w:themeTint="F2"/>
                          <w:sz w:val="26"/>
                          <w:szCs w:val="26"/>
                          <w:lang w:val="es-ES_tradnl"/>
                        </w:rPr>
                        <w:t xml:space="preserve">1428-19, </w:t>
                      </w:r>
                    </w:p>
                    <w:p w14:paraId="6EA55352" w14:textId="77777777" w:rsidR="006D703F" w:rsidRDefault="00FB0276" w:rsidP="00FB0276">
                      <w:pPr>
                        <w:spacing w:line="276" w:lineRule="auto"/>
                        <w:jc w:val="both"/>
                        <w:rPr>
                          <w:rFonts w:asciiTheme="majorHAnsi" w:hAnsiTheme="majorHAnsi" w:cs="Arial"/>
                          <w:b/>
                          <w:color w:val="0D0D0D" w:themeColor="text1" w:themeTint="F2"/>
                          <w:sz w:val="26"/>
                          <w:szCs w:val="26"/>
                          <w:lang w:val="es-ES_tradnl"/>
                        </w:rPr>
                      </w:pPr>
                      <w:r w:rsidRPr="00FB0276">
                        <w:rPr>
                          <w:rFonts w:asciiTheme="majorHAnsi" w:hAnsiTheme="majorHAnsi" w:cs="Arial"/>
                          <w:b/>
                          <w:color w:val="0D0D0D" w:themeColor="text1" w:themeTint="F2"/>
                          <w:sz w:val="26"/>
                          <w:szCs w:val="26"/>
                          <w:lang w:val="es-ES_tradnl"/>
                        </w:rPr>
                        <w:t xml:space="preserve">(11) </w:t>
                      </w:r>
                      <w:r w:rsidR="009E6E92" w:rsidRPr="00FB0276">
                        <w:rPr>
                          <w:rFonts w:asciiTheme="majorHAnsi" w:hAnsiTheme="majorHAnsi" w:cs="Arial"/>
                          <w:b/>
                          <w:color w:val="0D0D0D" w:themeColor="text1" w:themeTint="F2"/>
                          <w:sz w:val="26"/>
                          <w:szCs w:val="26"/>
                          <w:lang w:val="es-ES_tradnl"/>
                        </w:rPr>
                        <w:t xml:space="preserve">1563-19, </w:t>
                      </w:r>
                      <w:r w:rsidRPr="00FB0276">
                        <w:rPr>
                          <w:rFonts w:asciiTheme="majorHAnsi" w:hAnsiTheme="majorHAnsi" w:cs="Arial"/>
                          <w:b/>
                          <w:color w:val="0D0D0D" w:themeColor="text1" w:themeTint="F2"/>
                          <w:sz w:val="26"/>
                          <w:szCs w:val="26"/>
                          <w:lang w:val="es-ES_tradnl"/>
                        </w:rPr>
                        <w:t xml:space="preserve">(12) </w:t>
                      </w:r>
                      <w:r w:rsidR="009E6E92" w:rsidRPr="00FB0276">
                        <w:rPr>
                          <w:rFonts w:asciiTheme="majorHAnsi" w:hAnsiTheme="majorHAnsi" w:cs="Arial"/>
                          <w:b/>
                          <w:color w:val="0D0D0D" w:themeColor="text1" w:themeTint="F2"/>
                          <w:sz w:val="26"/>
                          <w:szCs w:val="26"/>
                          <w:lang w:val="es-ES_tradnl"/>
                        </w:rPr>
                        <w:t xml:space="preserve">1677-19, </w:t>
                      </w:r>
                      <w:r w:rsidRPr="00FB0276">
                        <w:rPr>
                          <w:rFonts w:asciiTheme="majorHAnsi" w:hAnsiTheme="majorHAnsi" w:cs="Arial"/>
                          <w:b/>
                          <w:color w:val="0D0D0D" w:themeColor="text1" w:themeTint="F2"/>
                          <w:sz w:val="26"/>
                          <w:szCs w:val="26"/>
                          <w:lang w:val="es-ES_tradnl"/>
                        </w:rPr>
                        <w:t xml:space="preserve">(13) </w:t>
                      </w:r>
                      <w:r w:rsidR="009E6E92" w:rsidRPr="00FB0276">
                        <w:rPr>
                          <w:rFonts w:asciiTheme="majorHAnsi" w:hAnsiTheme="majorHAnsi" w:cs="Arial"/>
                          <w:b/>
                          <w:color w:val="0D0D0D" w:themeColor="text1" w:themeTint="F2"/>
                          <w:sz w:val="26"/>
                          <w:szCs w:val="26"/>
                          <w:lang w:val="es-ES_tradnl"/>
                        </w:rPr>
                        <w:t xml:space="preserve">1736-19, </w:t>
                      </w:r>
                    </w:p>
                    <w:p w14:paraId="3EEBFBE1" w14:textId="399D9D39" w:rsidR="00300E5C" w:rsidRPr="00FB0276" w:rsidRDefault="00FB0276" w:rsidP="00FB0276">
                      <w:pPr>
                        <w:spacing w:line="276" w:lineRule="auto"/>
                        <w:jc w:val="both"/>
                        <w:rPr>
                          <w:rFonts w:asciiTheme="majorHAnsi" w:hAnsiTheme="majorHAnsi" w:cs="Arial"/>
                          <w:b/>
                          <w:color w:val="0D0D0D" w:themeColor="text1" w:themeTint="F2"/>
                          <w:sz w:val="26"/>
                          <w:szCs w:val="26"/>
                          <w:lang w:val="es-ES_tradnl"/>
                        </w:rPr>
                      </w:pPr>
                      <w:r w:rsidRPr="00FB0276">
                        <w:rPr>
                          <w:rFonts w:asciiTheme="majorHAnsi" w:hAnsiTheme="majorHAnsi" w:cs="Arial"/>
                          <w:b/>
                          <w:color w:val="0D0D0D" w:themeColor="text1" w:themeTint="F2"/>
                          <w:sz w:val="26"/>
                          <w:szCs w:val="26"/>
                          <w:lang w:val="es-ES_tradnl"/>
                        </w:rPr>
                        <w:t xml:space="preserve">(14) </w:t>
                      </w:r>
                      <w:r w:rsidR="009E6E92" w:rsidRPr="00FB0276">
                        <w:rPr>
                          <w:rFonts w:asciiTheme="majorHAnsi" w:hAnsiTheme="majorHAnsi" w:cs="Arial"/>
                          <w:b/>
                          <w:color w:val="0D0D0D" w:themeColor="text1" w:themeTint="F2"/>
                          <w:sz w:val="26"/>
                          <w:szCs w:val="26"/>
                          <w:lang w:val="es-ES_tradnl"/>
                        </w:rPr>
                        <w:t xml:space="preserve">2284-19, </w:t>
                      </w:r>
                      <w:r w:rsidRPr="00FB0276">
                        <w:rPr>
                          <w:rFonts w:asciiTheme="majorHAnsi" w:hAnsiTheme="majorHAnsi" w:cs="Arial"/>
                          <w:b/>
                          <w:color w:val="0D0D0D" w:themeColor="text1" w:themeTint="F2"/>
                          <w:sz w:val="26"/>
                          <w:szCs w:val="26"/>
                          <w:lang w:val="es-ES_tradnl"/>
                        </w:rPr>
                        <w:t>(15)</w:t>
                      </w:r>
                      <w:r w:rsidR="006D703F">
                        <w:rPr>
                          <w:rFonts w:asciiTheme="majorHAnsi" w:hAnsiTheme="majorHAnsi" w:cs="Arial"/>
                          <w:b/>
                          <w:color w:val="0D0D0D" w:themeColor="text1" w:themeTint="F2"/>
                          <w:sz w:val="26"/>
                          <w:szCs w:val="26"/>
                          <w:lang w:val="es-ES_tradnl"/>
                        </w:rPr>
                        <w:t xml:space="preserve"> </w:t>
                      </w:r>
                      <w:r w:rsidR="009E6E92" w:rsidRPr="00FB0276">
                        <w:rPr>
                          <w:rFonts w:asciiTheme="majorHAnsi" w:hAnsiTheme="majorHAnsi" w:cs="Arial"/>
                          <w:b/>
                          <w:color w:val="0D0D0D" w:themeColor="text1" w:themeTint="F2"/>
                          <w:sz w:val="26"/>
                          <w:szCs w:val="26"/>
                          <w:lang w:val="es-ES_tradnl"/>
                        </w:rPr>
                        <w:t xml:space="preserve">2625-19 y </w:t>
                      </w:r>
                      <w:r w:rsidRPr="00FB0276">
                        <w:rPr>
                          <w:rFonts w:asciiTheme="majorHAnsi" w:hAnsiTheme="majorHAnsi" w:cs="Arial"/>
                          <w:b/>
                          <w:color w:val="0D0D0D" w:themeColor="text1" w:themeTint="F2"/>
                          <w:sz w:val="26"/>
                          <w:szCs w:val="26"/>
                          <w:lang w:val="es-ES_tradnl"/>
                        </w:rPr>
                        <w:t xml:space="preserve">(16) </w:t>
                      </w:r>
                      <w:r w:rsidR="009E6E92" w:rsidRPr="00FB0276">
                        <w:rPr>
                          <w:rFonts w:asciiTheme="majorHAnsi" w:hAnsiTheme="majorHAnsi" w:cs="Arial"/>
                          <w:b/>
                          <w:color w:val="0D0D0D" w:themeColor="text1" w:themeTint="F2"/>
                          <w:sz w:val="26"/>
                          <w:szCs w:val="26"/>
                          <w:lang w:val="es-ES_tradnl"/>
                        </w:rPr>
                        <w:t>3126-19</w:t>
                      </w:r>
                      <w:r w:rsidR="00621FE1" w:rsidRPr="00FB0276">
                        <w:rPr>
                          <w:rFonts w:asciiTheme="majorHAnsi" w:hAnsiTheme="majorHAnsi" w:cs="Arial"/>
                          <w:b/>
                          <w:color w:val="0D0D0D" w:themeColor="text1" w:themeTint="F2"/>
                          <w:sz w:val="26"/>
                          <w:szCs w:val="26"/>
                          <w:lang w:val="es-ES_tradnl"/>
                        </w:rPr>
                        <w:t xml:space="preserve"> </w:t>
                      </w:r>
                    </w:p>
                    <w:p w14:paraId="689D8967" w14:textId="77777777" w:rsidR="009E6E92" w:rsidRPr="009E6E92" w:rsidRDefault="009E6E92" w:rsidP="00997BC5">
                      <w:pPr>
                        <w:spacing w:line="276" w:lineRule="auto"/>
                        <w:rPr>
                          <w:rFonts w:asciiTheme="majorHAnsi" w:hAnsiTheme="majorHAnsi" w:cs="Arial"/>
                          <w:b/>
                          <w:color w:val="0D0D0D" w:themeColor="text1" w:themeTint="F2"/>
                          <w:sz w:val="28"/>
                          <w:szCs w:val="28"/>
                          <w:lang w:val="es-ES_tradnl"/>
                        </w:rPr>
                      </w:pPr>
                    </w:p>
                    <w:p w14:paraId="5FDD6F0D" w14:textId="164C70F7" w:rsidR="008F1912" w:rsidRPr="0010736F" w:rsidRDefault="005B52B0" w:rsidP="004728EB">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bookmarkStart w:id="1" w:name="_ftnref1"/>
                    </w:p>
                    <w:bookmarkEnd w:id="1"/>
                    <w:p w14:paraId="79228352" w14:textId="1402AB93" w:rsidR="008F45D1" w:rsidRDefault="00300E5C"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 xml:space="preserve">GONZALO VARNOUX Y OTROS </w:t>
                      </w:r>
                    </w:p>
                    <w:p w14:paraId="35068D0D" w14:textId="2C8F2D2A" w:rsidR="005B52B0" w:rsidRPr="00EB197F" w:rsidRDefault="008F45D1" w:rsidP="00997BC5">
                      <w:pPr>
                        <w:spacing w:line="276" w:lineRule="auto"/>
                        <w:rPr>
                          <w:rFonts w:asciiTheme="majorHAnsi" w:hAnsiTheme="majorHAnsi" w:cs="Arial"/>
                          <w:color w:val="0D0D0D" w:themeColor="text1" w:themeTint="F2"/>
                          <w:szCs w:val="22"/>
                          <w:lang w:val="es-PE"/>
                        </w:rPr>
                      </w:pPr>
                      <w:r>
                        <w:rPr>
                          <w:rFonts w:asciiTheme="majorHAnsi" w:hAnsiTheme="majorHAnsi" w:cs="Arial"/>
                          <w:color w:val="0D0D0D" w:themeColor="text1" w:themeTint="F2"/>
                          <w:szCs w:val="22"/>
                          <w:lang w:val="es-PE"/>
                        </w:rPr>
                        <w:t>BOLIVIA</w:t>
                      </w:r>
                    </w:p>
                    <w:p w14:paraId="575DFD52" w14:textId="77777777" w:rsidR="005B52B0" w:rsidRPr="00EB197F" w:rsidRDefault="005B52B0" w:rsidP="007A5817">
                      <w:pPr>
                        <w:rPr>
                          <w:color w:val="0D0D0D" w:themeColor="text1" w:themeTint="F2"/>
                          <w:lang w:val="es-PE"/>
                        </w:rPr>
                      </w:pPr>
                    </w:p>
                  </w:txbxContent>
                </v:textbox>
              </v:shape>
            </w:pict>
          </mc:Fallback>
        </mc:AlternateContent>
      </w:r>
      <w:r w:rsidR="004E2649" w:rsidRPr="0090270B">
        <w:rPr>
          <w:rFonts w:asciiTheme="majorHAnsi" w:hAnsiTheme="majorHAnsi"/>
          <w:noProof/>
          <w:sz w:val="22"/>
          <w:szCs w:val="22"/>
          <w:lang w:val="es-419" w:eastAsia="es-419"/>
        </w:rPr>
        <mc:AlternateContent>
          <mc:Choice Requires="wps">
            <w:drawing>
              <wp:anchor distT="0" distB="0" distL="114300" distR="114300" simplePos="0" relativeHeight="251658243"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224113EB" w:rsidR="00627C9F" w:rsidRPr="00931403" w:rsidRDefault="00834D49" w:rsidP="007A5817">
                            <w:pPr>
                              <w:spacing w:line="276" w:lineRule="auto"/>
                              <w:jc w:val="right"/>
                              <w:rPr>
                                <w:rFonts w:asciiTheme="minorHAnsi" w:hAnsiTheme="minorHAnsi"/>
                                <w:color w:val="FFFFFF" w:themeColor="background1"/>
                                <w:sz w:val="22"/>
                                <w:lang w:val="es-ES"/>
                              </w:rPr>
                            </w:pPr>
                            <w:r w:rsidRPr="00931403">
                              <w:rPr>
                                <w:rFonts w:asciiTheme="minorHAnsi" w:hAnsiTheme="minorHAnsi"/>
                                <w:color w:val="FFFFFF" w:themeColor="background1"/>
                                <w:sz w:val="22"/>
                                <w:lang w:val="es-ES"/>
                              </w:rPr>
                              <w:t>OEA/Ser.L/V/II</w:t>
                            </w:r>
                          </w:p>
                          <w:p w14:paraId="6A41611B" w14:textId="7452942E" w:rsidR="00627C9F" w:rsidRPr="00931403" w:rsidRDefault="00627C9F" w:rsidP="007A5817">
                            <w:pPr>
                              <w:spacing w:line="276" w:lineRule="auto"/>
                              <w:jc w:val="right"/>
                              <w:rPr>
                                <w:rFonts w:asciiTheme="minorHAnsi" w:hAnsiTheme="minorHAnsi"/>
                                <w:color w:val="FFFFFF" w:themeColor="background1"/>
                                <w:sz w:val="22"/>
                                <w:lang w:val="es-ES"/>
                              </w:rPr>
                            </w:pPr>
                            <w:r w:rsidRPr="00931403">
                              <w:rPr>
                                <w:rFonts w:asciiTheme="minorHAnsi" w:hAnsiTheme="minorHAnsi"/>
                                <w:color w:val="FFFFFF" w:themeColor="background1"/>
                                <w:sz w:val="22"/>
                                <w:lang w:val="es-ES"/>
                              </w:rPr>
                              <w:t xml:space="preserve">Doc. </w:t>
                            </w:r>
                            <w:r w:rsidR="002F0F04" w:rsidRPr="00931403">
                              <w:rPr>
                                <w:rFonts w:asciiTheme="minorHAnsi" w:hAnsiTheme="minorHAnsi"/>
                                <w:color w:val="FFFFFF" w:themeColor="background1"/>
                                <w:sz w:val="22"/>
                                <w:lang w:val="es-ES"/>
                              </w:rPr>
                              <w:t>143</w:t>
                            </w:r>
                          </w:p>
                          <w:p w14:paraId="69373ED2" w14:textId="3B707F72" w:rsidR="00627C9F" w:rsidRPr="00C25ADB" w:rsidRDefault="002F0F04"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3 septiembre</w:t>
                            </w:r>
                            <w:r w:rsidR="007B05C4" w:rsidRPr="00C25ADB">
                              <w:rPr>
                                <w:rFonts w:asciiTheme="minorHAnsi" w:hAnsiTheme="minorHAnsi"/>
                                <w:color w:val="FFFFFF" w:themeColor="background1"/>
                                <w:sz w:val="22"/>
                                <w:lang w:val="es-PA"/>
                              </w:rPr>
                              <w:t xml:space="preserve"> </w:t>
                            </w:r>
                            <w:r w:rsidR="00627C9F" w:rsidRPr="00C25ADB">
                              <w:rPr>
                                <w:rFonts w:asciiTheme="minorHAnsi" w:hAnsiTheme="minorHAnsi"/>
                                <w:color w:val="FFFFFF" w:themeColor="background1"/>
                                <w:sz w:val="22"/>
                                <w:lang w:val="es-PA"/>
                              </w:rPr>
                              <w:t>20</w:t>
                            </w:r>
                            <w:r w:rsidR="00C23BA4" w:rsidRPr="00C25ADB">
                              <w:rPr>
                                <w:rFonts w:asciiTheme="minorHAnsi" w:hAnsiTheme="minorHAnsi"/>
                                <w:color w:val="FFFFFF" w:themeColor="background1"/>
                                <w:sz w:val="22"/>
                                <w:lang w:val="es-PA"/>
                              </w:rPr>
                              <w:t>2</w:t>
                            </w:r>
                            <w:r w:rsidR="00E54D28">
                              <w:rPr>
                                <w:rFonts w:asciiTheme="minorHAnsi" w:hAnsiTheme="minorHAnsi"/>
                                <w:color w:val="FFFFFF" w:themeColor="background1"/>
                                <w:sz w:val="22"/>
                                <w:lang w:val="es-PA"/>
                              </w:rPr>
                              <w:t>4</w:t>
                            </w:r>
                          </w:p>
                          <w:p w14:paraId="0771DB5B"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E5919" id="Text Box 8" o:spid="_x0000_s1028" type="#_x0000_t202" style="position:absolute;left:0;text-align:left;margin-left:-27pt;margin-top:12.95pt;width:109.5pt;height:108.4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6CF0BAF6" w14:textId="224113EB" w:rsidR="00627C9F" w:rsidRPr="00931403" w:rsidRDefault="00834D49" w:rsidP="007A5817">
                      <w:pPr>
                        <w:spacing w:line="276" w:lineRule="auto"/>
                        <w:jc w:val="right"/>
                        <w:rPr>
                          <w:rFonts w:asciiTheme="minorHAnsi" w:hAnsiTheme="minorHAnsi"/>
                          <w:color w:val="FFFFFF" w:themeColor="background1"/>
                          <w:sz w:val="22"/>
                          <w:lang w:val="es-ES"/>
                        </w:rPr>
                      </w:pPr>
                      <w:r w:rsidRPr="00931403">
                        <w:rPr>
                          <w:rFonts w:asciiTheme="minorHAnsi" w:hAnsiTheme="minorHAnsi"/>
                          <w:color w:val="FFFFFF" w:themeColor="background1"/>
                          <w:sz w:val="22"/>
                          <w:lang w:val="es-ES"/>
                        </w:rPr>
                        <w:t>OEA/Ser.L/V/II</w:t>
                      </w:r>
                    </w:p>
                    <w:p w14:paraId="6A41611B" w14:textId="7452942E" w:rsidR="00627C9F" w:rsidRPr="00931403" w:rsidRDefault="00627C9F" w:rsidP="007A5817">
                      <w:pPr>
                        <w:spacing w:line="276" w:lineRule="auto"/>
                        <w:jc w:val="right"/>
                        <w:rPr>
                          <w:rFonts w:asciiTheme="minorHAnsi" w:hAnsiTheme="minorHAnsi"/>
                          <w:color w:val="FFFFFF" w:themeColor="background1"/>
                          <w:sz w:val="22"/>
                          <w:lang w:val="es-ES"/>
                        </w:rPr>
                      </w:pPr>
                      <w:r w:rsidRPr="00931403">
                        <w:rPr>
                          <w:rFonts w:asciiTheme="minorHAnsi" w:hAnsiTheme="minorHAnsi"/>
                          <w:color w:val="FFFFFF" w:themeColor="background1"/>
                          <w:sz w:val="22"/>
                          <w:lang w:val="es-ES"/>
                        </w:rPr>
                        <w:t xml:space="preserve">Doc. </w:t>
                      </w:r>
                      <w:r w:rsidR="002F0F04" w:rsidRPr="00931403">
                        <w:rPr>
                          <w:rFonts w:asciiTheme="minorHAnsi" w:hAnsiTheme="minorHAnsi"/>
                          <w:color w:val="FFFFFF" w:themeColor="background1"/>
                          <w:sz w:val="22"/>
                          <w:lang w:val="es-ES"/>
                        </w:rPr>
                        <w:t>143</w:t>
                      </w:r>
                    </w:p>
                    <w:p w14:paraId="69373ED2" w14:textId="3B707F72" w:rsidR="00627C9F" w:rsidRPr="00C25ADB" w:rsidRDefault="002F0F04"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3 septiembre</w:t>
                      </w:r>
                      <w:r w:rsidR="007B05C4" w:rsidRPr="00C25ADB">
                        <w:rPr>
                          <w:rFonts w:asciiTheme="minorHAnsi" w:hAnsiTheme="minorHAnsi"/>
                          <w:color w:val="FFFFFF" w:themeColor="background1"/>
                          <w:sz w:val="22"/>
                          <w:lang w:val="es-PA"/>
                        </w:rPr>
                        <w:t xml:space="preserve"> </w:t>
                      </w:r>
                      <w:r w:rsidR="00627C9F" w:rsidRPr="00C25ADB">
                        <w:rPr>
                          <w:rFonts w:asciiTheme="minorHAnsi" w:hAnsiTheme="minorHAnsi"/>
                          <w:color w:val="FFFFFF" w:themeColor="background1"/>
                          <w:sz w:val="22"/>
                          <w:lang w:val="es-PA"/>
                        </w:rPr>
                        <w:t>20</w:t>
                      </w:r>
                      <w:r w:rsidR="00C23BA4" w:rsidRPr="00C25ADB">
                        <w:rPr>
                          <w:rFonts w:asciiTheme="minorHAnsi" w:hAnsiTheme="minorHAnsi"/>
                          <w:color w:val="FFFFFF" w:themeColor="background1"/>
                          <w:sz w:val="22"/>
                          <w:lang w:val="es-PA"/>
                        </w:rPr>
                        <w:t>2</w:t>
                      </w:r>
                      <w:r w:rsidR="00E54D28">
                        <w:rPr>
                          <w:rFonts w:asciiTheme="minorHAnsi" w:hAnsiTheme="minorHAnsi"/>
                          <w:color w:val="FFFFFF" w:themeColor="background1"/>
                          <w:sz w:val="22"/>
                          <w:lang w:val="es-PA"/>
                        </w:rPr>
                        <w:t>4</w:t>
                      </w:r>
                    </w:p>
                    <w:p w14:paraId="0771DB5B"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155B053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FE3AB8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383BC0"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5459093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76C291D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161B44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4EEE0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B0E4647"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DAAF36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2496A14"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5772DB3"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820FADA"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54445A5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D4A404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48FBB2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90ABFB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C69004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33CA43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74DEE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698D0D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F90782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45D9AC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6068EE5"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4A4A43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B3B735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2C5C44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06A2B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19C392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14A0182"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lang w:val="es-419" w:eastAsia="es-419"/>
        </w:rPr>
        <mc:AlternateContent>
          <mc:Choice Requires="wps">
            <w:drawing>
              <wp:anchor distT="0" distB="0" distL="114300" distR="114300" simplePos="0" relativeHeight="251658242"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BDF3581" w14:textId="354ADFBE" w:rsidR="00DD3D86" w:rsidRPr="003C2239" w:rsidRDefault="00DD3D86" w:rsidP="00247403">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6B0D14">
                              <w:rPr>
                                <w:rFonts w:asciiTheme="majorHAnsi" w:hAnsiTheme="majorHAnsi"/>
                                <w:color w:val="0D0D0D" w:themeColor="text1" w:themeTint="F2"/>
                                <w:sz w:val="18"/>
                                <w:szCs w:val="22"/>
                                <w:lang w:val="es-ES"/>
                              </w:rPr>
                              <w:t>3</w:t>
                            </w:r>
                            <w:r w:rsidRPr="00890650">
                              <w:rPr>
                                <w:rFonts w:asciiTheme="majorHAnsi" w:hAnsiTheme="majorHAnsi"/>
                                <w:color w:val="0D0D0D" w:themeColor="text1" w:themeTint="F2"/>
                                <w:sz w:val="18"/>
                                <w:szCs w:val="22"/>
                                <w:lang w:val="es-ES"/>
                              </w:rPr>
                              <w:t xml:space="preserve"> de </w:t>
                            </w:r>
                            <w:r w:rsidR="006B0D14">
                              <w:rPr>
                                <w:rFonts w:asciiTheme="majorHAnsi" w:hAnsiTheme="majorHAnsi"/>
                                <w:color w:val="0D0D0D" w:themeColor="text1" w:themeTint="F2"/>
                                <w:sz w:val="18"/>
                                <w:szCs w:val="22"/>
                                <w:lang w:val="es-ES"/>
                              </w:rPr>
                              <w:t>septiembre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3B1B44">
                              <w:rPr>
                                <w:rFonts w:asciiTheme="majorHAnsi" w:hAnsiTheme="majorHAnsi"/>
                                <w:color w:val="0D0D0D" w:themeColor="text1" w:themeTint="F2"/>
                                <w:sz w:val="18"/>
                                <w:szCs w:val="22"/>
                                <w:lang w:val="es-ES"/>
                              </w:rPr>
                              <w:t>4</w:t>
                            </w:r>
                            <w:r w:rsidR="006B0D14">
                              <w:rPr>
                                <w:rFonts w:asciiTheme="majorHAnsi" w:hAnsiTheme="majorHAnsi"/>
                                <w:color w:val="0D0D0D" w:themeColor="text1" w:themeTint="F2"/>
                                <w:sz w:val="18"/>
                                <w:szCs w:val="22"/>
                                <w:lang w:val="es-ES"/>
                              </w:rPr>
                              <w:t>.</w:t>
                            </w: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0B44F" id="Text Box 7" o:spid="_x0000_s1029" type="#_x0000_t202" style="position:absolute;left:0;text-align:left;margin-left:105.65pt;margin-top:1.8pt;width:388.5pt;height:52.3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4BDF3581" w14:textId="354ADFBE" w:rsidR="00DD3D86" w:rsidRPr="003C2239" w:rsidRDefault="00DD3D86" w:rsidP="00247403">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6B0D14">
                        <w:rPr>
                          <w:rFonts w:asciiTheme="majorHAnsi" w:hAnsiTheme="majorHAnsi"/>
                          <w:color w:val="0D0D0D" w:themeColor="text1" w:themeTint="F2"/>
                          <w:sz w:val="18"/>
                          <w:szCs w:val="22"/>
                          <w:lang w:val="es-ES"/>
                        </w:rPr>
                        <w:t>3</w:t>
                      </w:r>
                      <w:r w:rsidRPr="00890650">
                        <w:rPr>
                          <w:rFonts w:asciiTheme="majorHAnsi" w:hAnsiTheme="majorHAnsi"/>
                          <w:color w:val="0D0D0D" w:themeColor="text1" w:themeTint="F2"/>
                          <w:sz w:val="18"/>
                          <w:szCs w:val="22"/>
                          <w:lang w:val="es-ES"/>
                        </w:rPr>
                        <w:t xml:space="preserve"> de </w:t>
                      </w:r>
                      <w:r w:rsidR="006B0D14">
                        <w:rPr>
                          <w:rFonts w:asciiTheme="majorHAnsi" w:hAnsiTheme="majorHAnsi"/>
                          <w:color w:val="0D0D0D" w:themeColor="text1" w:themeTint="F2"/>
                          <w:sz w:val="18"/>
                          <w:szCs w:val="22"/>
                          <w:lang w:val="es-ES"/>
                        </w:rPr>
                        <w:t>septiembre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3B1B44">
                        <w:rPr>
                          <w:rFonts w:asciiTheme="majorHAnsi" w:hAnsiTheme="majorHAnsi"/>
                          <w:color w:val="0D0D0D" w:themeColor="text1" w:themeTint="F2"/>
                          <w:sz w:val="18"/>
                          <w:szCs w:val="22"/>
                          <w:lang w:val="es-ES"/>
                        </w:rPr>
                        <w:t>4</w:t>
                      </w:r>
                      <w:r w:rsidR="006B0D14">
                        <w:rPr>
                          <w:rFonts w:asciiTheme="majorHAnsi" w:hAnsiTheme="majorHAnsi"/>
                          <w:color w:val="0D0D0D" w:themeColor="text1" w:themeTint="F2"/>
                          <w:sz w:val="18"/>
                          <w:szCs w:val="22"/>
                          <w:lang w:val="es-ES"/>
                        </w:rPr>
                        <w:t>.</w:t>
                      </w: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F28BEB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929D1FD"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469D0B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A79F05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30672AE"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lang w:val="es-419" w:eastAsia="es-419"/>
        </w:rPr>
        <mc:AlternateContent>
          <mc:Choice Requires="wps">
            <w:drawing>
              <wp:anchor distT="0" distB="0" distL="114300" distR="114300" simplePos="0" relativeHeight="251658245"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B22CF" w14:textId="42660957"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6B0D14" w:rsidRPr="006B0D14">
                              <w:rPr>
                                <w:rFonts w:asciiTheme="majorHAnsi" w:hAnsiTheme="majorHAnsi"/>
                                <w:color w:val="595959" w:themeColor="text1" w:themeTint="A6"/>
                                <w:sz w:val="18"/>
                                <w:szCs w:val="18"/>
                                <w:lang w:val="pt-BR"/>
                              </w:rPr>
                              <w:t>135</w:t>
                            </w:r>
                            <w:r w:rsidR="007B05C4" w:rsidRPr="006B0D14">
                              <w:rPr>
                                <w:rFonts w:asciiTheme="majorHAnsi" w:hAnsiTheme="majorHAnsi"/>
                                <w:color w:val="595959" w:themeColor="text1" w:themeTint="A6"/>
                                <w:sz w:val="18"/>
                                <w:szCs w:val="18"/>
                                <w:lang w:val="pt-BR"/>
                              </w:rPr>
                              <w:t>/</w:t>
                            </w:r>
                            <w:r w:rsidR="006B0D14" w:rsidRPr="006B0D14">
                              <w:rPr>
                                <w:rFonts w:asciiTheme="majorHAnsi" w:hAnsiTheme="majorHAnsi"/>
                                <w:color w:val="595959" w:themeColor="text1" w:themeTint="A6"/>
                                <w:sz w:val="18"/>
                                <w:szCs w:val="18"/>
                                <w:lang w:val="pt-BR"/>
                              </w:rPr>
                              <w:t>24</w:t>
                            </w:r>
                            <w:r w:rsidRPr="006B0D14">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8F45D1">
                              <w:rPr>
                                <w:rFonts w:asciiTheme="majorHAnsi" w:hAnsiTheme="majorHAnsi"/>
                                <w:color w:val="595959" w:themeColor="text1" w:themeTint="A6"/>
                                <w:sz w:val="18"/>
                                <w:szCs w:val="18"/>
                                <w:lang w:val="es-ES"/>
                              </w:rPr>
                              <w:t>2</w:t>
                            </w:r>
                            <w:r w:rsidR="00B328F3">
                              <w:rPr>
                                <w:rFonts w:asciiTheme="majorHAnsi" w:hAnsiTheme="majorHAnsi"/>
                                <w:color w:val="595959" w:themeColor="text1" w:themeTint="A6"/>
                                <w:sz w:val="18"/>
                                <w:szCs w:val="18"/>
                                <w:lang w:val="es-ES"/>
                              </w:rPr>
                              <w:t>287</w:t>
                            </w:r>
                            <w:r w:rsidR="00441E0D">
                              <w:rPr>
                                <w:rFonts w:asciiTheme="majorHAnsi" w:hAnsiTheme="majorHAnsi"/>
                                <w:color w:val="595959" w:themeColor="text1" w:themeTint="A6"/>
                                <w:sz w:val="18"/>
                                <w:szCs w:val="18"/>
                                <w:lang w:val="es-ES"/>
                              </w:rPr>
                              <w:t>-</w:t>
                            </w:r>
                            <w:r w:rsidR="008F45D1">
                              <w:rPr>
                                <w:rFonts w:asciiTheme="majorHAnsi" w:hAnsiTheme="majorHAnsi"/>
                                <w:color w:val="595959" w:themeColor="text1" w:themeTint="A6"/>
                                <w:sz w:val="18"/>
                                <w:szCs w:val="18"/>
                                <w:lang w:val="es-ES"/>
                              </w:rPr>
                              <w:t>1</w:t>
                            </w:r>
                            <w:r w:rsidR="00B328F3">
                              <w:rPr>
                                <w:rFonts w:asciiTheme="majorHAnsi" w:hAnsiTheme="majorHAnsi"/>
                                <w:color w:val="595959" w:themeColor="text1" w:themeTint="A6"/>
                                <w:sz w:val="18"/>
                                <w:szCs w:val="18"/>
                                <w:lang w:val="es-ES"/>
                              </w:rPr>
                              <w:t>6</w:t>
                            </w:r>
                            <w:r w:rsidR="009E6E92">
                              <w:rPr>
                                <w:rFonts w:asciiTheme="majorHAnsi" w:hAnsiTheme="majorHAnsi"/>
                                <w:color w:val="595959" w:themeColor="text1" w:themeTint="A6"/>
                                <w:sz w:val="18"/>
                                <w:szCs w:val="18"/>
                                <w:lang w:val="es-ES"/>
                              </w:rPr>
                              <w:t xml:space="preserve">, </w:t>
                            </w:r>
                            <w:r w:rsidR="009E6E92" w:rsidRPr="009E6E92">
                              <w:rPr>
                                <w:rFonts w:asciiTheme="majorHAnsi" w:hAnsiTheme="majorHAnsi"/>
                                <w:color w:val="595959" w:themeColor="text1" w:themeTint="A6"/>
                                <w:sz w:val="18"/>
                                <w:szCs w:val="18"/>
                                <w:lang w:val="es-ES"/>
                              </w:rPr>
                              <w:t>2287-16, 2722-18, 2774-18, 76-19, 1124-19, 1217-19, 1228-19, 1278-19, 1279-19, 1428-19, 1563-19, 1677-19, 1736-19, 2284-19, 2625-19 y 3126-19</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r w:rsidR="00103F5B">
                              <w:rPr>
                                <w:rFonts w:asciiTheme="majorHAnsi" w:hAnsiTheme="majorHAnsi"/>
                                <w:color w:val="595959" w:themeColor="text1" w:themeTint="A6"/>
                                <w:sz w:val="18"/>
                                <w:szCs w:val="18"/>
                                <w:lang w:val="es-ES_tradnl"/>
                              </w:rPr>
                              <w:t>Gonzalo Varnoux y otros</w:t>
                            </w:r>
                            <w:r w:rsidRPr="00890650">
                              <w:rPr>
                                <w:rFonts w:asciiTheme="majorHAnsi" w:hAnsiTheme="majorHAnsi"/>
                                <w:color w:val="595959" w:themeColor="text1" w:themeTint="A6"/>
                                <w:sz w:val="18"/>
                                <w:szCs w:val="18"/>
                                <w:lang w:val="es-ES_tradnl"/>
                              </w:rPr>
                              <w:t xml:space="preserve">. </w:t>
                            </w:r>
                            <w:r w:rsidR="008F45D1">
                              <w:rPr>
                                <w:rFonts w:asciiTheme="majorHAnsi" w:hAnsiTheme="majorHAnsi"/>
                                <w:color w:val="595959" w:themeColor="text1" w:themeTint="A6"/>
                                <w:sz w:val="18"/>
                                <w:szCs w:val="18"/>
                                <w:lang w:val="es-ES_tradnl"/>
                              </w:rPr>
                              <w:t>Bolivia</w:t>
                            </w:r>
                            <w:r w:rsidRPr="00890650">
                              <w:rPr>
                                <w:rFonts w:asciiTheme="majorHAnsi" w:hAnsiTheme="majorHAnsi"/>
                                <w:color w:val="595959" w:themeColor="text1" w:themeTint="A6"/>
                                <w:sz w:val="18"/>
                                <w:szCs w:val="18"/>
                                <w:lang w:val="es-ES_tradnl"/>
                              </w:rPr>
                              <w:t xml:space="preserve">. </w:t>
                            </w:r>
                            <w:r w:rsidR="00103F5B">
                              <w:rPr>
                                <w:rFonts w:asciiTheme="majorHAnsi" w:hAnsiTheme="majorHAnsi"/>
                                <w:color w:val="595959" w:themeColor="text1" w:themeTint="A6"/>
                                <w:sz w:val="18"/>
                                <w:szCs w:val="18"/>
                                <w:lang w:val="es-ES"/>
                              </w:rPr>
                              <w:t>3 de septiembre de 2024</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0D1B22CF" w14:textId="42660957"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6B0D14" w:rsidRPr="006B0D14">
                        <w:rPr>
                          <w:rFonts w:asciiTheme="majorHAnsi" w:hAnsiTheme="majorHAnsi"/>
                          <w:color w:val="595959" w:themeColor="text1" w:themeTint="A6"/>
                          <w:sz w:val="18"/>
                          <w:szCs w:val="18"/>
                          <w:lang w:val="pt-BR"/>
                        </w:rPr>
                        <w:t>135</w:t>
                      </w:r>
                      <w:r w:rsidR="007B05C4" w:rsidRPr="006B0D14">
                        <w:rPr>
                          <w:rFonts w:asciiTheme="majorHAnsi" w:hAnsiTheme="majorHAnsi"/>
                          <w:color w:val="595959" w:themeColor="text1" w:themeTint="A6"/>
                          <w:sz w:val="18"/>
                          <w:szCs w:val="18"/>
                          <w:lang w:val="pt-BR"/>
                        </w:rPr>
                        <w:t>/</w:t>
                      </w:r>
                      <w:r w:rsidR="006B0D14" w:rsidRPr="006B0D14">
                        <w:rPr>
                          <w:rFonts w:asciiTheme="majorHAnsi" w:hAnsiTheme="majorHAnsi"/>
                          <w:color w:val="595959" w:themeColor="text1" w:themeTint="A6"/>
                          <w:sz w:val="18"/>
                          <w:szCs w:val="18"/>
                          <w:lang w:val="pt-BR"/>
                        </w:rPr>
                        <w:t>24</w:t>
                      </w:r>
                      <w:r w:rsidRPr="006B0D14">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8F45D1">
                        <w:rPr>
                          <w:rFonts w:asciiTheme="majorHAnsi" w:hAnsiTheme="majorHAnsi"/>
                          <w:color w:val="595959" w:themeColor="text1" w:themeTint="A6"/>
                          <w:sz w:val="18"/>
                          <w:szCs w:val="18"/>
                          <w:lang w:val="es-ES"/>
                        </w:rPr>
                        <w:t>2</w:t>
                      </w:r>
                      <w:r w:rsidR="00B328F3">
                        <w:rPr>
                          <w:rFonts w:asciiTheme="majorHAnsi" w:hAnsiTheme="majorHAnsi"/>
                          <w:color w:val="595959" w:themeColor="text1" w:themeTint="A6"/>
                          <w:sz w:val="18"/>
                          <w:szCs w:val="18"/>
                          <w:lang w:val="es-ES"/>
                        </w:rPr>
                        <w:t>287</w:t>
                      </w:r>
                      <w:r w:rsidR="00441E0D">
                        <w:rPr>
                          <w:rFonts w:asciiTheme="majorHAnsi" w:hAnsiTheme="majorHAnsi"/>
                          <w:color w:val="595959" w:themeColor="text1" w:themeTint="A6"/>
                          <w:sz w:val="18"/>
                          <w:szCs w:val="18"/>
                          <w:lang w:val="es-ES"/>
                        </w:rPr>
                        <w:t>-</w:t>
                      </w:r>
                      <w:r w:rsidR="008F45D1">
                        <w:rPr>
                          <w:rFonts w:asciiTheme="majorHAnsi" w:hAnsiTheme="majorHAnsi"/>
                          <w:color w:val="595959" w:themeColor="text1" w:themeTint="A6"/>
                          <w:sz w:val="18"/>
                          <w:szCs w:val="18"/>
                          <w:lang w:val="es-ES"/>
                        </w:rPr>
                        <w:t>1</w:t>
                      </w:r>
                      <w:r w:rsidR="00B328F3">
                        <w:rPr>
                          <w:rFonts w:asciiTheme="majorHAnsi" w:hAnsiTheme="majorHAnsi"/>
                          <w:color w:val="595959" w:themeColor="text1" w:themeTint="A6"/>
                          <w:sz w:val="18"/>
                          <w:szCs w:val="18"/>
                          <w:lang w:val="es-ES"/>
                        </w:rPr>
                        <w:t>6</w:t>
                      </w:r>
                      <w:r w:rsidR="009E6E92">
                        <w:rPr>
                          <w:rFonts w:asciiTheme="majorHAnsi" w:hAnsiTheme="majorHAnsi"/>
                          <w:color w:val="595959" w:themeColor="text1" w:themeTint="A6"/>
                          <w:sz w:val="18"/>
                          <w:szCs w:val="18"/>
                          <w:lang w:val="es-ES"/>
                        </w:rPr>
                        <w:t xml:space="preserve">, </w:t>
                      </w:r>
                      <w:r w:rsidR="009E6E92" w:rsidRPr="009E6E92">
                        <w:rPr>
                          <w:rFonts w:asciiTheme="majorHAnsi" w:hAnsiTheme="majorHAnsi"/>
                          <w:color w:val="595959" w:themeColor="text1" w:themeTint="A6"/>
                          <w:sz w:val="18"/>
                          <w:szCs w:val="18"/>
                          <w:lang w:val="es-ES"/>
                        </w:rPr>
                        <w:t>2287-16, 2722-18, 2774-18, 76-19, 1124-19, 1217-19, 1228-19, 1278-19, 1279-19, 1428-19, 1563-19, 1677-19, 1736-19, 2284-19, 2625-19 y 3126-19</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r w:rsidR="00103F5B">
                        <w:rPr>
                          <w:rFonts w:asciiTheme="majorHAnsi" w:hAnsiTheme="majorHAnsi"/>
                          <w:color w:val="595959" w:themeColor="text1" w:themeTint="A6"/>
                          <w:sz w:val="18"/>
                          <w:szCs w:val="18"/>
                          <w:lang w:val="es-ES_tradnl"/>
                        </w:rPr>
                        <w:t>Gonzalo Varnoux y otros</w:t>
                      </w:r>
                      <w:r w:rsidRPr="00890650">
                        <w:rPr>
                          <w:rFonts w:asciiTheme="majorHAnsi" w:hAnsiTheme="majorHAnsi"/>
                          <w:color w:val="595959" w:themeColor="text1" w:themeTint="A6"/>
                          <w:sz w:val="18"/>
                          <w:szCs w:val="18"/>
                          <w:lang w:val="es-ES_tradnl"/>
                        </w:rPr>
                        <w:t xml:space="preserve">. </w:t>
                      </w:r>
                      <w:r w:rsidR="008F45D1">
                        <w:rPr>
                          <w:rFonts w:asciiTheme="majorHAnsi" w:hAnsiTheme="majorHAnsi"/>
                          <w:color w:val="595959" w:themeColor="text1" w:themeTint="A6"/>
                          <w:sz w:val="18"/>
                          <w:szCs w:val="18"/>
                          <w:lang w:val="es-ES_tradnl"/>
                        </w:rPr>
                        <w:t>Bolivia</w:t>
                      </w:r>
                      <w:r w:rsidRPr="00890650">
                        <w:rPr>
                          <w:rFonts w:asciiTheme="majorHAnsi" w:hAnsiTheme="majorHAnsi"/>
                          <w:color w:val="595959" w:themeColor="text1" w:themeTint="A6"/>
                          <w:sz w:val="18"/>
                          <w:szCs w:val="18"/>
                          <w:lang w:val="es-ES_tradnl"/>
                        </w:rPr>
                        <w:t xml:space="preserve">. </w:t>
                      </w:r>
                      <w:r w:rsidR="00103F5B">
                        <w:rPr>
                          <w:rFonts w:asciiTheme="majorHAnsi" w:hAnsiTheme="majorHAnsi"/>
                          <w:color w:val="595959" w:themeColor="text1" w:themeTint="A6"/>
                          <w:sz w:val="18"/>
                          <w:szCs w:val="18"/>
                          <w:lang w:val="es-ES"/>
                        </w:rPr>
                        <w:t>3 de septiembre de 2024</w:t>
                      </w:r>
                      <w:r w:rsidRPr="007B05C4">
                        <w:rPr>
                          <w:rFonts w:asciiTheme="majorHAnsi" w:hAnsiTheme="majorHAnsi"/>
                          <w:color w:val="595959" w:themeColor="text1" w:themeTint="A6"/>
                          <w:sz w:val="18"/>
                          <w:szCs w:val="18"/>
                          <w:lang w:val="es-ES"/>
                        </w:rPr>
                        <w:t>.</w:t>
                      </w:r>
                    </w:p>
                  </w:txbxContent>
                </v:textbox>
              </v:shape>
            </w:pict>
          </mc:Fallback>
        </mc:AlternateContent>
      </w:r>
    </w:p>
    <w:p w14:paraId="196A49D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DA07629" w14:textId="2941B2AB" w:rsidR="0090270B" w:rsidRDefault="00D306D1" w:rsidP="005516A1">
      <w:pPr>
        <w:tabs>
          <w:tab w:val="center" w:pos="5400"/>
        </w:tabs>
        <w:suppressAutoHyphens/>
        <w:jc w:val="center"/>
        <w:rPr>
          <w:rFonts w:asciiTheme="majorHAnsi" w:hAnsiTheme="majorHAnsi"/>
          <w:b/>
          <w:sz w:val="20"/>
          <w:lang w:val="es-ES_tradnl"/>
        </w:rPr>
      </w:pPr>
      <w:r w:rsidRPr="00625030">
        <w:rPr>
          <w:rFonts w:asciiTheme="majorHAnsi" w:hAnsiTheme="majorHAnsi"/>
          <w:noProof/>
          <w:sz w:val="22"/>
          <w:szCs w:val="22"/>
          <w:lang w:val="es-419" w:eastAsia="es-419"/>
        </w:rPr>
        <mc:AlternateContent>
          <mc:Choice Requires="wps">
            <w:drawing>
              <wp:anchor distT="0" distB="0" distL="114300" distR="114300" simplePos="0" relativeHeight="251658247" behindDoc="0" locked="0" layoutInCell="1" allowOverlap="1" wp14:anchorId="02EDA5EE" wp14:editId="5CF03647">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DA5EE" id="Text Box 4" o:spid="_x0000_s1031" type="#_x0000_t202" style="position:absolute;left:0;text-align:left;margin-left:-21.45pt;margin-top:72.05pt;width:93pt;height:26.2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BisxUgbAIAAEQFAAAOAAAAAAAAAAAA&#10;AAAAAC4CAABkcnMvZTJvRG9jLnhtbFBLAQItABQABgAIAAAAIQBdLTBP4gAAAAsBAAAPAAAAAAAA&#10;AAAAAAAAAMYEAABkcnMvZG93bnJldi54bWxQSwUGAAAAAAQABADzAAAA1QUAAAAA&#10;" filled="f" stroked="f" strokeweight=".5pt">
                <v:textbo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58700803" w:rsidR="0070697F" w:rsidRDefault="00283150" w:rsidP="005516A1">
      <w:pPr>
        <w:tabs>
          <w:tab w:val="center" w:pos="5400"/>
        </w:tabs>
        <w:suppressAutoHyphens/>
        <w:jc w:val="center"/>
        <w:rPr>
          <w:rFonts w:asciiTheme="majorHAnsi" w:hAnsiTheme="majorHAnsi"/>
          <w:b/>
          <w:sz w:val="20"/>
          <w:lang w:val="es-ES_tradnl"/>
        </w:rPr>
        <w:sectPr w:rsidR="0070697F" w:rsidSect="00C054DF">
          <w:headerReference w:type="even" r:id="rId9"/>
          <w:headerReference w:type="default" r:id="rId10"/>
          <w:footerReference w:type="default" r:id="rId11"/>
          <w:footerReference w:type="first" r:id="rId12"/>
          <w:type w:val="oddPage"/>
          <w:pgSz w:w="12240" w:h="15840"/>
          <w:pgMar w:top="1440" w:right="1440" w:bottom="1440" w:left="1440" w:header="720" w:footer="720" w:gutter="0"/>
          <w:pgNumType w:start="0"/>
          <w:cols w:space="720"/>
          <w:titlePg/>
          <w:docGrid w:linePitch="326"/>
        </w:sectPr>
      </w:pPr>
      <w:r>
        <w:rPr>
          <w:rFonts w:asciiTheme="majorHAnsi" w:hAnsiTheme="majorHAnsi"/>
          <w:noProof/>
          <w:sz w:val="18"/>
          <w:szCs w:val="22"/>
          <w:lang w:val="es-419" w:eastAsia="es-419"/>
        </w:rPr>
        <mc:AlternateContent>
          <mc:Choice Requires="wps">
            <w:drawing>
              <wp:anchor distT="0" distB="0" distL="114300" distR="114300" simplePos="0" relativeHeight="251658246" behindDoc="0" locked="0" layoutInCell="1" allowOverlap="1" wp14:anchorId="50472543" wp14:editId="4D9071A8">
                <wp:simplePos x="0" y="0"/>
                <wp:positionH relativeFrom="column">
                  <wp:posOffset>1320165</wp:posOffset>
                </wp:positionH>
                <wp:positionV relativeFrom="paragraph">
                  <wp:posOffset>498003</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3B535CFC" w:rsidR="00D72DC6" w:rsidRPr="00D72DC6" w:rsidRDefault="00283150" w:rsidP="00F02AD1">
                            <w:pPr>
                              <w:rPr>
                                <w:color w:val="FFFFFF" w:themeColor="background1"/>
                                <w14:textFill>
                                  <w14:noFill/>
                                </w14:textFill>
                              </w:rPr>
                            </w:pPr>
                            <w:r>
                              <w:rPr>
                                <w:noProof/>
                                <w:color w:val="FFFFFF" w:themeColor="background1"/>
                              </w:rPr>
                              <w:drawing>
                                <wp:inline distT="0" distB="0" distL="0" distR="0" wp14:anchorId="0822FD07" wp14:editId="4151A1FA">
                                  <wp:extent cx="1824355" cy="469265"/>
                                  <wp:effectExtent l="0" t="0" r="4445" b="6985"/>
                                  <wp:docPr id="663108565" name="Picture 66310856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2" type="#_x0000_t202" style="position:absolute;left:0;text-align:left;margin-left:103.95pt;margin-top:39.2pt;width:322.55pt;height:44.6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p7c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" fillcolor="white [3201]" stroked="f" strokeweight=".5pt">
                <v:textbox>
                  <w:txbxContent>
                    <w:p w14:paraId="2A1ECD3C" w14:textId="3B535CFC" w:rsidR="00D72DC6" w:rsidRPr="00D72DC6" w:rsidRDefault="00283150" w:rsidP="00F02AD1">
                      <w:pPr>
                        <w:rPr>
                          <w:color w:val="FFFFFF" w:themeColor="background1"/>
                          <w14:textFill>
                            <w14:noFill/>
                          </w14:textFill>
                        </w:rPr>
                      </w:pPr>
                      <w:r>
                        <w:rPr>
                          <w:noProof/>
                          <w:color w:val="FFFFFF" w:themeColor="background1"/>
                        </w:rPr>
                        <w:drawing>
                          <wp:inline distT="0" distB="0" distL="0" distR="0" wp14:anchorId="0822FD07" wp14:editId="4151A1FA">
                            <wp:extent cx="1824355" cy="469265"/>
                            <wp:effectExtent l="0" t="0" r="4445" b="6985"/>
                            <wp:docPr id="663108565" name="Picture 66310856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004A6A54">
        <w:rPr>
          <w:rFonts w:asciiTheme="majorHAnsi" w:hAnsiTheme="majorHAnsi"/>
          <w:b/>
          <w:sz w:val="20"/>
          <w:lang w:val="es-ES_tradnl"/>
        </w:rPr>
        <w:tab/>
      </w:r>
    </w:p>
    <w:p w14:paraId="376DDC8B" w14:textId="77777777" w:rsidR="003239B8" w:rsidRPr="000419AD" w:rsidRDefault="003239B8" w:rsidP="004A6A54">
      <w:pPr>
        <w:spacing w:after="240"/>
        <w:ind w:firstLine="720"/>
        <w:jc w:val="both"/>
        <w:rPr>
          <w:rFonts w:asciiTheme="majorHAnsi" w:hAnsiTheme="majorHAnsi"/>
          <w:b/>
          <w:bCs/>
          <w:sz w:val="20"/>
          <w:szCs w:val="20"/>
          <w:lang w:val="es-ES"/>
        </w:rPr>
      </w:pPr>
      <w:r w:rsidRPr="000419AD">
        <w:rPr>
          <w:rFonts w:asciiTheme="majorHAnsi" w:hAnsiTheme="majorHAnsi"/>
          <w:b/>
          <w:bCs/>
          <w:sz w:val="20"/>
          <w:szCs w:val="20"/>
          <w:lang w:val="es-ES"/>
        </w:rPr>
        <w:lastRenderedPageBreak/>
        <w:t>I.</w:t>
      </w:r>
      <w:r w:rsidRPr="000419AD">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D13530" w14:paraId="5A79D1F7" w14:textId="77777777" w:rsidTr="004A6A54">
        <w:tc>
          <w:tcPr>
            <w:tcW w:w="3600" w:type="dxa"/>
            <w:tcBorders>
              <w:top w:val="single" w:sz="4" w:space="0" w:color="auto"/>
              <w:bottom w:val="single" w:sz="6" w:space="0" w:color="auto"/>
            </w:tcBorders>
            <w:shd w:val="clear" w:color="auto" w:fill="386294"/>
            <w:vAlign w:val="center"/>
          </w:tcPr>
          <w:p w14:paraId="0CB2A43B" w14:textId="77777777" w:rsidR="003239B8" w:rsidRPr="000D05CB" w:rsidRDefault="003239B8" w:rsidP="00010BC7">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Parte peticionaria:</w:t>
            </w:r>
          </w:p>
        </w:tc>
        <w:tc>
          <w:tcPr>
            <w:tcW w:w="5760" w:type="dxa"/>
            <w:vAlign w:val="center"/>
          </w:tcPr>
          <w:p w14:paraId="3C5315D8" w14:textId="29286A28" w:rsidR="003239B8" w:rsidRPr="00E17589" w:rsidRDefault="002C1F9D" w:rsidP="00D13530">
            <w:pPr>
              <w:jc w:val="both"/>
              <w:rPr>
                <w:rFonts w:ascii="Cambria" w:hAnsi="Cambria"/>
                <w:bCs/>
                <w:sz w:val="20"/>
                <w:szCs w:val="20"/>
                <w:lang w:val="es-ES"/>
              </w:rPr>
            </w:pPr>
            <w:r w:rsidRPr="00E17589">
              <w:rPr>
                <w:rFonts w:ascii="Cambria" w:hAnsi="Cambria"/>
                <w:bCs/>
                <w:sz w:val="20"/>
                <w:szCs w:val="20"/>
                <w:lang w:val="es-ES"/>
              </w:rPr>
              <w:t xml:space="preserve">Arturo </w:t>
            </w:r>
            <w:r w:rsidR="00C337CF" w:rsidRPr="00E17589">
              <w:rPr>
                <w:rFonts w:ascii="Cambria" w:hAnsi="Cambria"/>
                <w:bCs/>
                <w:sz w:val="20"/>
                <w:szCs w:val="20"/>
                <w:lang w:val="es-ES"/>
              </w:rPr>
              <w:t>Yáñez</w:t>
            </w:r>
            <w:r w:rsidRPr="00E17589">
              <w:rPr>
                <w:rFonts w:ascii="Cambria" w:hAnsi="Cambria"/>
                <w:bCs/>
                <w:sz w:val="20"/>
                <w:szCs w:val="20"/>
                <w:lang w:val="es-ES"/>
              </w:rPr>
              <w:t xml:space="preserve"> Cortés</w:t>
            </w:r>
          </w:p>
        </w:tc>
      </w:tr>
      <w:tr w:rsidR="00D907CC" w:rsidRPr="00BE17A0" w14:paraId="593A7E45" w14:textId="77777777" w:rsidTr="00010BC7">
        <w:tc>
          <w:tcPr>
            <w:tcW w:w="3600" w:type="dxa"/>
            <w:vMerge w:val="restart"/>
            <w:tcBorders>
              <w:top w:val="single" w:sz="6" w:space="0" w:color="auto"/>
            </w:tcBorders>
            <w:shd w:val="clear" w:color="auto" w:fill="386294"/>
            <w:vAlign w:val="center"/>
          </w:tcPr>
          <w:p w14:paraId="0E78CA0C" w14:textId="77777777" w:rsidR="00D907CC" w:rsidRPr="00BE17A0" w:rsidRDefault="00E358DF" w:rsidP="00010BC7">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D3517CDC92094CCAB4CF2B9F08AC681E"/>
                </w:placeholder>
                <w:dropDownList>
                  <w:listItem w:value="Choose an item."/>
                  <w:listItem w:displayText="Presunta víctima" w:value="Presunta víctima"/>
                  <w:listItem w:displayText="Presuntas víctimas" w:value="Presuntas víctimas"/>
                </w:dropDownList>
              </w:sdtPr>
              <w:sdtEndPr/>
              <w:sdtContent>
                <w:r w:rsidR="00D907CC" w:rsidRPr="00BE17A0">
                  <w:rPr>
                    <w:rFonts w:ascii="Cambria" w:hAnsi="Cambria"/>
                    <w:b/>
                    <w:bCs/>
                    <w:color w:val="FFFFFF" w:themeColor="background1"/>
                    <w:sz w:val="20"/>
                    <w:szCs w:val="20"/>
                  </w:rPr>
                  <w:t>Presunta víctima</w:t>
                </w:r>
              </w:sdtContent>
            </w:sdt>
            <w:r w:rsidR="00D907CC" w:rsidRPr="00BE17A0">
              <w:rPr>
                <w:rFonts w:ascii="Cambria" w:hAnsi="Cambria"/>
                <w:b/>
                <w:bCs/>
                <w:color w:val="FFFFFF" w:themeColor="background1"/>
                <w:sz w:val="20"/>
                <w:szCs w:val="20"/>
              </w:rPr>
              <w:t>:</w:t>
            </w:r>
          </w:p>
        </w:tc>
        <w:tc>
          <w:tcPr>
            <w:tcW w:w="5760" w:type="dxa"/>
            <w:vAlign w:val="center"/>
          </w:tcPr>
          <w:p w14:paraId="4AEBF59E" w14:textId="55A5E5F1" w:rsidR="00D907CC" w:rsidRPr="00BE17A0" w:rsidRDefault="00D907CC" w:rsidP="00010BC7">
            <w:pPr>
              <w:jc w:val="both"/>
              <w:rPr>
                <w:rFonts w:ascii="Cambria" w:hAnsi="Cambria"/>
                <w:bCs/>
                <w:sz w:val="20"/>
                <w:szCs w:val="20"/>
                <w:lang w:val="es-ES"/>
              </w:rPr>
            </w:pPr>
            <w:r w:rsidRPr="00BE17A0">
              <w:rPr>
                <w:rFonts w:ascii="Cambria" w:hAnsi="Cambria"/>
                <w:b/>
                <w:sz w:val="20"/>
                <w:szCs w:val="20"/>
                <w:lang w:val="es-ES"/>
              </w:rPr>
              <w:t>P-2287-16:</w:t>
            </w:r>
            <w:r w:rsidRPr="00BE17A0">
              <w:rPr>
                <w:rFonts w:ascii="Cambria" w:hAnsi="Cambria"/>
                <w:bCs/>
                <w:sz w:val="20"/>
                <w:szCs w:val="20"/>
                <w:lang w:val="es-ES"/>
              </w:rPr>
              <w:t xml:space="preserve"> Gonzalo Varnoux </w:t>
            </w:r>
          </w:p>
        </w:tc>
      </w:tr>
      <w:tr w:rsidR="00D907CC" w:rsidRPr="00527F68" w14:paraId="4554BD72" w14:textId="77777777" w:rsidTr="00010BC7">
        <w:tc>
          <w:tcPr>
            <w:tcW w:w="3600" w:type="dxa"/>
            <w:vMerge/>
            <w:shd w:val="clear" w:color="auto" w:fill="386294"/>
            <w:vAlign w:val="center"/>
          </w:tcPr>
          <w:p w14:paraId="46CE1AEB" w14:textId="77777777" w:rsidR="00D907CC" w:rsidRPr="00FE3A5F" w:rsidRDefault="00D907CC" w:rsidP="00010BC7">
            <w:pPr>
              <w:jc w:val="center"/>
              <w:rPr>
                <w:rFonts w:ascii="Cambria" w:hAnsi="Cambria"/>
                <w:b/>
                <w:bCs/>
                <w:color w:val="FFFFFF" w:themeColor="background1"/>
                <w:sz w:val="20"/>
                <w:szCs w:val="20"/>
                <w:lang w:val="es-PE"/>
              </w:rPr>
            </w:pPr>
          </w:p>
        </w:tc>
        <w:tc>
          <w:tcPr>
            <w:tcW w:w="5760" w:type="dxa"/>
            <w:vAlign w:val="center"/>
          </w:tcPr>
          <w:p w14:paraId="6BEB84DB" w14:textId="22B924F8" w:rsidR="00D907CC" w:rsidRPr="00BE17A0" w:rsidRDefault="00D907CC" w:rsidP="00010BC7">
            <w:pPr>
              <w:jc w:val="both"/>
              <w:rPr>
                <w:rFonts w:ascii="Cambria" w:hAnsi="Cambria"/>
                <w:bCs/>
                <w:sz w:val="20"/>
                <w:szCs w:val="20"/>
                <w:lang w:val="es-ES"/>
              </w:rPr>
            </w:pPr>
            <w:r w:rsidRPr="00BE17A0">
              <w:rPr>
                <w:rFonts w:ascii="Cambria" w:hAnsi="Cambria"/>
                <w:b/>
                <w:sz w:val="20"/>
                <w:szCs w:val="20"/>
                <w:lang w:val="es-ES"/>
              </w:rPr>
              <w:t xml:space="preserve">P-2722-18: </w:t>
            </w:r>
            <w:r w:rsidRPr="00BE17A0">
              <w:rPr>
                <w:rFonts w:ascii="Cambria" w:hAnsi="Cambria"/>
                <w:bCs/>
                <w:sz w:val="20"/>
                <w:szCs w:val="20"/>
                <w:lang w:val="es-ES"/>
              </w:rPr>
              <w:t xml:space="preserve">Gisela Amanda Valda Clavijo </w:t>
            </w:r>
          </w:p>
        </w:tc>
      </w:tr>
      <w:tr w:rsidR="00D907CC" w:rsidRPr="00215A57" w14:paraId="0234583C" w14:textId="77777777" w:rsidTr="00010BC7">
        <w:tc>
          <w:tcPr>
            <w:tcW w:w="3600" w:type="dxa"/>
            <w:vMerge/>
            <w:shd w:val="clear" w:color="auto" w:fill="386294"/>
            <w:vAlign w:val="center"/>
          </w:tcPr>
          <w:p w14:paraId="64D1F9D1" w14:textId="77777777" w:rsidR="00D907CC" w:rsidRPr="00BE17A0" w:rsidRDefault="00D907CC" w:rsidP="00010BC7">
            <w:pPr>
              <w:jc w:val="center"/>
              <w:rPr>
                <w:rFonts w:ascii="Cambria" w:hAnsi="Cambria"/>
                <w:b/>
                <w:bCs/>
                <w:color w:val="FFFFFF" w:themeColor="background1"/>
                <w:sz w:val="20"/>
                <w:szCs w:val="20"/>
                <w:lang w:val="es-PE"/>
              </w:rPr>
            </w:pPr>
          </w:p>
        </w:tc>
        <w:tc>
          <w:tcPr>
            <w:tcW w:w="5760" w:type="dxa"/>
            <w:vAlign w:val="center"/>
          </w:tcPr>
          <w:p w14:paraId="6669C195" w14:textId="0D280C37" w:rsidR="00D907CC" w:rsidRPr="00BE17A0" w:rsidRDefault="00D907CC" w:rsidP="00010BC7">
            <w:pPr>
              <w:jc w:val="both"/>
              <w:rPr>
                <w:rFonts w:ascii="Cambria" w:hAnsi="Cambria"/>
                <w:bCs/>
                <w:sz w:val="20"/>
                <w:szCs w:val="20"/>
                <w:lang w:val="pt-BR"/>
              </w:rPr>
            </w:pPr>
            <w:r w:rsidRPr="00BE17A0">
              <w:rPr>
                <w:rFonts w:ascii="Cambria" w:hAnsi="Cambria"/>
                <w:b/>
                <w:sz w:val="20"/>
                <w:szCs w:val="20"/>
                <w:lang w:val="pt-BR"/>
              </w:rPr>
              <w:t>P-2774-18:</w:t>
            </w:r>
            <w:r w:rsidRPr="00BE17A0">
              <w:rPr>
                <w:rFonts w:ascii="Cambria" w:hAnsi="Cambria"/>
                <w:bCs/>
                <w:sz w:val="20"/>
                <w:szCs w:val="20"/>
                <w:lang w:val="pt-BR"/>
              </w:rPr>
              <w:t xml:space="preserve"> Mar</w:t>
            </w:r>
            <w:r w:rsidR="00CC71A3">
              <w:rPr>
                <w:rFonts w:ascii="Cambria" w:hAnsi="Cambria"/>
                <w:bCs/>
                <w:sz w:val="20"/>
                <w:szCs w:val="20"/>
                <w:lang w:val="pt-BR"/>
              </w:rPr>
              <w:t>í</w:t>
            </w:r>
            <w:r w:rsidRPr="00BE17A0">
              <w:rPr>
                <w:rFonts w:ascii="Cambria" w:hAnsi="Cambria"/>
                <w:bCs/>
                <w:sz w:val="20"/>
                <w:szCs w:val="20"/>
                <w:lang w:val="pt-BR"/>
              </w:rPr>
              <w:t>a Eugenia Romero Ossio</w:t>
            </w:r>
            <w:r w:rsidRPr="00BE17A0">
              <w:rPr>
                <w:rFonts w:ascii="Cambria" w:hAnsi="Cambria"/>
                <w:b/>
                <w:sz w:val="20"/>
                <w:szCs w:val="20"/>
                <w:lang w:val="pt-BR"/>
              </w:rPr>
              <w:t xml:space="preserve"> </w:t>
            </w:r>
          </w:p>
        </w:tc>
      </w:tr>
      <w:tr w:rsidR="00D907CC" w:rsidRPr="0088642B" w14:paraId="3EAC9429" w14:textId="77777777" w:rsidTr="00010BC7">
        <w:tc>
          <w:tcPr>
            <w:tcW w:w="3600" w:type="dxa"/>
            <w:vMerge/>
            <w:shd w:val="clear" w:color="auto" w:fill="386294"/>
            <w:vAlign w:val="center"/>
          </w:tcPr>
          <w:p w14:paraId="17467F7F" w14:textId="77777777" w:rsidR="00D907CC" w:rsidRPr="00BE17A0" w:rsidRDefault="00D907CC" w:rsidP="00010BC7">
            <w:pPr>
              <w:jc w:val="center"/>
              <w:rPr>
                <w:rFonts w:ascii="Cambria" w:hAnsi="Cambria"/>
                <w:b/>
                <w:bCs/>
                <w:color w:val="FFFFFF" w:themeColor="background1"/>
                <w:sz w:val="20"/>
                <w:szCs w:val="20"/>
                <w:lang w:val="pt-BR"/>
              </w:rPr>
            </w:pPr>
          </w:p>
        </w:tc>
        <w:tc>
          <w:tcPr>
            <w:tcW w:w="5760" w:type="dxa"/>
            <w:vAlign w:val="center"/>
          </w:tcPr>
          <w:p w14:paraId="0695DF85" w14:textId="44C9169A" w:rsidR="00D907CC" w:rsidRPr="00BE17A0" w:rsidRDefault="00D907CC" w:rsidP="00010BC7">
            <w:pPr>
              <w:jc w:val="both"/>
              <w:rPr>
                <w:rFonts w:ascii="Cambria" w:hAnsi="Cambria"/>
                <w:bCs/>
                <w:sz w:val="20"/>
                <w:szCs w:val="20"/>
                <w:lang w:val="pt-BR"/>
              </w:rPr>
            </w:pPr>
            <w:r w:rsidRPr="00BE17A0">
              <w:rPr>
                <w:rFonts w:ascii="Cambria" w:hAnsi="Cambria"/>
                <w:b/>
                <w:sz w:val="20"/>
                <w:szCs w:val="20"/>
                <w:lang w:val="pt-BR"/>
              </w:rPr>
              <w:t>P-76-19:</w:t>
            </w:r>
            <w:r w:rsidRPr="00BE17A0">
              <w:rPr>
                <w:rFonts w:ascii="Cambria" w:hAnsi="Cambria"/>
                <w:bCs/>
                <w:sz w:val="20"/>
                <w:szCs w:val="20"/>
                <w:lang w:val="pt-BR"/>
              </w:rPr>
              <w:t xml:space="preserve"> Jorge Marco Agüero García</w:t>
            </w:r>
          </w:p>
        </w:tc>
      </w:tr>
      <w:tr w:rsidR="00D907CC" w:rsidRPr="00DE434D" w14:paraId="7097F306" w14:textId="77777777" w:rsidTr="00010BC7">
        <w:tc>
          <w:tcPr>
            <w:tcW w:w="3600" w:type="dxa"/>
            <w:vMerge/>
            <w:shd w:val="clear" w:color="auto" w:fill="386294"/>
            <w:vAlign w:val="center"/>
          </w:tcPr>
          <w:p w14:paraId="120B6499" w14:textId="77777777" w:rsidR="00D907CC" w:rsidRPr="00BE17A0" w:rsidRDefault="00D907CC" w:rsidP="00010BC7">
            <w:pPr>
              <w:jc w:val="center"/>
              <w:rPr>
                <w:rFonts w:ascii="Cambria" w:hAnsi="Cambria"/>
                <w:b/>
                <w:bCs/>
                <w:color w:val="FFFFFF" w:themeColor="background1"/>
                <w:sz w:val="20"/>
                <w:szCs w:val="20"/>
                <w:lang w:val="pt-BR"/>
              </w:rPr>
            </w:pPr>
          </w:p>
        </w:tc>
        <w:tc>
          <w:tcPr>
            <w:tcW w:w="5760" w:type="dxa"/>
            <w:vAlign w:val="center"/>
          </w:tcPr>
          <w:p w14:paraId="5A1EF488" w14:textId="3B2CD250" w:rsidR="00D907CC" w:rsidRPr="00BE17A0" w:rsidRDefault="00D907CC" w:rsidP="00010BC7">
            <w:pPr>
              <w:jc w:val="both"/>
              <w:rPr>
                <w:rFonts w:ascii="Cambria" w:hAnsi="Cambria"/>
                <w:bCs/>
                <w:sz w:val="20"/>
                <w:szCs w:val="20"/>
                <w:lang w:val="es-PE"/>
              </w:rPr>
            </w:pPr>
            <w:r w:rsidRPr="00BE17A0">
              <w:rPr>
                <w:rFonts w:ascii="Cambria" w:hAnsi="Cambria"/>
                <w:b/>
                <w:sz w:val="20"/>
                <w:szCs w:val="20"/>
                <w:lang w:val="es-PE"/>
              </w:rPr>
              <w:t>P-1124-19</w:t>
            </w:r>
            <w:r w:rsidRPr="00BE17A0">
              <w:rPr>
                <w:rFonts w:ascii="Cambria" w:hAnsi="Cambria"/>
                <w:bCs/>
                <w:sz w:val="20"/>
                <w:szCs w:val="20"/>
                <w:lang w:val="es-PE"/>
              </w:rPr>
              <w:t xml:space="preserve">: Cintya Yackeline Salguero </w:t>
            </w:r>
            <w:r w:rsidR="00EF5F75">
              <w:rPr>
                <w:rFonts w:ascii="Cambria" w:hAnsi="Cambria"/>
                <w:bCs/>
                <w:sz w:val="20"/>
                <w:szCs w:val="20"/>
                <w:lang w:val="es-PE"/>
              </w:rPr>
              <w:t>Á</w:t>
            </w:r>
            <w:r w:rsidRPr="00BE17A0">
              <w:rPr>
                <w:rFonts w:ascii="Cambria" w:hAnsi="Cambria"/>
                <w:bCs/>
                <w:sz w:val="20"/>
                <w:szCs w:val="20"/>
                <w:lang w:val="es-PE"/>
              </w:rPr>
              <w:t xml:space="preserve">ñez </w:t>
            </w:r>
          </w:p>
        </w:tc>
      </w:tr>
      <w:tr w:rsidR="00D907CC" w:rsidRPr="0088642B" w14:paraId="08AAF629" w14:textId="77777777" w:rsidTr="00010BC7">
        <w:tc>
          <w:tcPr>
            <w:tcW w:w="3600" w:type="dxa"/>
            <w:vMerge/>
            <w:shd w:val="clear" w:color="auto" w:fill="386294"/>
            <w:vAlign w:val="center"/>
          </w:tcPr>
          <w:p w14:paraId="1E276452" w14:textId="77777777" w:rsidR="00D907CC" w:rsidRPr="00BE17A0" w:rsidRDefault="00D907CC" w:rsidP="00010BC7">
            <w:pPr>
              <w:jc w:val="center"/>
              <w:rPr>
                <w:rFonts w:ascii="Cambria" w:hAnsi="Cambria"/>
                <w:b/>
                <w:bCs/>
                <w:color w:val="FFFFFF" w:themeColor="background1"/>
                <w:sz w:val="20"/>
                <w:szCs w:val="20"/>
                <w:lang w:val="es-PE"/>
              </w:rPr>
            </w:pPr>
          </w:p>
        </w:tc>
        <w:tc>
          <w:tcPr>
            <w:tcW w:w="5760" w:type="dxa"/>
            <w:vAlign w:val="center"/>
          </w:tcPr>
          <w:p w14:paraId="68405FE0" w14:textId="662DC513" w:rsidR="00D907CC" w:rsidRPr="00BE17A0" w:rsidRDefault="00D907CC" w:rsidP="00010BC7">
            <w:pPr>
              <w:jc w:val="both"/>
              <w:rPr>
                <w:rFonts w:ascii="Cambria" w:hAnsi="Cambria"/>
                <w:bCs/>
                <w:sz w:val="20"/>
                <w:szCs w:val="20"/>
                <w:lang w:val="pt-BR"/>
              </w:rPr>
            </w:pPr>
            <w:r w:rsidRPr="00BE17A0">
              <w:rPr>
                <w:rFonts w:ascii="Cambria" w:hAnsi="Cambria"/>
                <w:b/>
                <w:sz w:val="20"/>
                <w:szCs w:val="20"/>
                <w:lang w:val="pt-BR"/>
              </w:rPr>
              <w:t>P-1217-19:</w:t>
            </w:r>
            <w:r w:rsidRPr="00BE17A0">
              <w:rPr>
                <w:rFonts w:ascii="Cambria" w:hAnsi="Cambria"/>
                <w:bCs/>
                <w:sz w:val="20"/>
                <w:szCs w:val="20"/>
                <w:lang w:val="pt-BR"/>
              </w:rPr>
              <w:t xml:space="preserve"> Roque Armando Camacho Negrete </w:t>
            </w:r>
          </w:p>
        </w:tc>
      </w:tr>
      <w:tr w:rsidR="00D907CC" w:rsidRPr="00BE17A0" w14:paraId="5DD46205" w14:textId="77777777" w:rsidTr="00010BC7">
        <w:tc>
          <w:tcPr>
            <w:tcW w:w="3600" w:type="dxa"/>
            <w:vMerge/>
            <w:shd w:val="clear" w:color="auto" w:fill="386294"/>
            <w:vAlign w:val="center"/>
          </w:tcPr>
          <w:p w14:paraId="412B6CFF" w14:textId="77777777" w:rsidR="00D907CC" w:rsidRPr="00673D2F" w:rsidRDefault="00D907CC" w:rsidP="00010BC7">
            <w:pPr>
              <w:jc w:val="center"/>
              <w:rPr>
                <w:rFonts w:ascii="Cambria" w:hAnsi="Cambria"/>
                <w:b/>
                <w:bCs/>
                <w:color w:val="FFFFFF" w:themeColor="background1"/>
                <w:sz w:val="20"/>
                <w:szCs w:val="20"/>
                <w:lang w:val="pt-BR"/>
              </w:rPr>
            </w:pPr>
          </w:p>
        </w:tc>
        <w:tc>
          <w:tcPr>
            <w:tcW w:w="5760" w:type="dxa"/>
            <w:vAlign w:val="center"/>
          </w:tcPr>
          <w:p w14:paraId="3A014582" w14:textId="56A5D500" w:rsidR="00D907CC" w:rsidRPr="00BE17A0" w:rsidRDefault="00D907CC" w:rsidP="00010BC7">
            <w:pPr>
              <w:jc w:val="both"/>
              <w:rPr>
                <w:rFonts w:ascii="Cambria" w:hAnsi="Cambria"/>
                <w:b/>
                <w:sz w:val="20"/>
                <w:szCs w:val="20"/>
                <w:lang w:val="pt-BR"/>
              </w:rPr>
            </w:pPr>
            <w:r w:rsidRPr="00BE17A0">
              <w:rPr>
                <w:rFonts w:ascii="Cambria" w:hAnsi="Cambria"/>
                <w:b/>
                <w:sz w:val="20"/>
                <w:szCs w:val="20"/>
                <w:lang w:val="pt-BR"/>
              </w:rPr>
              <w:t xml:space="preserve">P-1228-19: </w:t>
            </w:r>
            <w:r w:rsidRPr="00BE17A0">
              <w:rPr>
                <w:rFonts w:ascii="Cambria" w:hAnsi="Cambria"/>
                <w:bCs/>
                <w:sz w:val="20"/>
                <w:szCs w:val="20"/>
                <w:lang w:val="pt-BR"/>
              </w:rPr>
              <w:t>Sa</w:t>
            </w:r>
            <w:r w:rsidR="00C6420B">
              <w:rPr>
                <w:rFonts w:ascii="Cambria" w:hAnsi="Cambria"/>
                <w:bCs/>
                <w:sz w:val="20"/>
                <w:szCs w:val="20"/>
                <w:lang w:val="pt-BR"/>
              </w:rPr>
              <w:t>ú</w:t>
            </w:r>
            <w:r w:rsidRPr="00BE17A0">
              <w:rPr>
                <w:rFonts w:ascii="Cambria" w:hAnsi="Cambria"/>
                <w:bCs/>
                <w:sz w:val="20"/>
                <w:szCs w:val="20"/>
                <w:lang w:val="pt-BR"/>
              </w:rPr>
              <w:t>l Saldaña Secos</w:t>
            </w:r>
            <w:r w:rsidRPr="00BE17A0">
              <w:rPr>
                <w:rFonts w:ascii="Cambria" w:hAnsi="Cambria"/>
                <w:b/>
                <w:sz w:val="20"/>
                <w:szCs w:val="20"/>
                <w:lang w:val="pt-BR"/>
              </w:rPr>
              <w:t xml:space="preserve"> </w:t>
            </w:r>
          </w:p>
        </w:tc>
      </w:tr>
      <w:tr w:rsidR="00D907CC" w:rsidRPr="00BE17A0" w14:paraId="58C72BF3" w14:textId="77777777" w:rsidTr="00010BC7">
        <w:tc>
          <w:tcPr>
            <w:tcW w:w="3600" w:type="dxa"/>
            <w:vMerge/>
            <w:shd w:val="clear" w:color="auto" w:fill="386294"/>
            <w:vAlign w:val="center"/>
          </w:tcPr>
          <w:p w14:paraId="246A0634" w14:textId="77777777" w:rsidR="00D907CC" w:rsidRPr="00BE17A0" w:rsidRDefault="00D907CC" w:rsidP="00010BC7">
            <w:pPr>
              <w:jc w:val="center"/>
              <w:rPr>
                <w:rFonts w:ascii="Cambria" w:hAnsi="Cambria"/>
                <w:b/>
                <w:bCs/>
                <w:color w:val="FFFFFF" w:themeColor="background1"/>
                <w:sz w:val="20"/>
                <w:szCs w:val="20"/>
                <w:lang w:val="es-PE"/>
              </w:rPr>
            </w:pPr>
          </w:p>
        </w:tc>
        <w:tc>
          <w:tcPr>
            <w:tcW w:w="5760" w:type="dxa"/>
            <w:vAlign w:val="center"/>
          </w:tcPr>
          <w:p w14:paraId="127CCCBD" w14:textId="1B66FF34" w:rsidR="00D907CC" w:rsidRPr="00BE2E9F" w:rsidRDefault="00D907CC" w:rsidP="00010BC7">
            <w:pPr>
              <w:jc w:val="both"/>
              <w:rPr>
                <w:rFonts w:ascii="Cambria" w:hAnsi="Cambria"/>
                <w:b/>
                <w:sz w:val="20"/>
                <w:szCs w:val="20"/>
                <w:lang w:val="pt-BR"/>
              </w:rPr>
            </w:pPr>
            <w:r w:rsidRPr="00BE2E9F">
              <w:rPr>
                <w:rFonts w:ascii="Cambria" w:hAnsi="Cambria"/>
                <w:b/>
                <w:sz w:val="20"/>
                <w:szCs w:val="20"/>
                <w:lang w:val="pt-BR"/>
              </w:rPr>
              <w:t xml:space="preserve">P-1278-19: </w:t>
            </w:r>
            <w:r w:rsidRPr="00BE2E9F">
              <w:rPr>
                <w:rFonts w:ascii="Cambria" w:hAnsi="Cambria"/>
                <w:bCs/>
                <w:sz w:val="20"/>
                <w:szCs w:val="20"/>
                <w:lang w:val="pt-BR"/>
              </w:rPr>
              <w:t>V</w:t>
            </w:r>
            <w:r w:rsidR="00CC71A3">
              <w:rPr>
                <w:rFonts w:ascii="Cambria" w:hAnsi="Cambria"/>
                <w:bCs/>
                <w:sz w:val="20"/>
                <w:szCs w:val="20"/>
                <w:lang w:val="pt-BR"/>
              </w:rPr>
              <w:t>í</w:t>
            </w:r>
            <w:r w:rsidRPr="00BE2E9F">
              <w:rPr>
                <w:rFonts w:ascii="Cambria" w:hAnsi="Cambria"/>
                <w:bCs/>
                <w:sz w:val="20"/>
                <w:szCs w:val="20"/>
                <w:lang w:val="pt-BR"/>
              </w:rPr>
              <w:t>ctor Hugo Rojas S</w:t>
            </w:r>
            <w:r w:rsidR="00CC71A3">
              <w:rPr>
                <w:rFonts w:ascii="Cambria" w:hAnsi="Cambria"/>
                <w:bCs/>
                <w:sz w:val="20"/>
                <w:szCs w:val="20"/>
                <w:lang w:val="pt-BR"/>
              </w:rPr>
              <w:t>á</w:t>
            </w:r>
            <w:r w:rsidRPr="00BE2E9F">
              <w:rPr>
                <w:rFonts w:ascii="Cambria" w:hAnsi="Cambria"/>
                <w:bCs/>
                <w:sz w:val="20"/>
                <w:szCs w:val="20"/>
                <w:lang w:val="pt-BR"/>
              </w:rPr>
              <w:t>nchez</w:t>
            </w:r>
            <w:r w:rsidRPr="00BE2E9F">
              <w:rPr>
                <w:rFonts w:ascii="Cambria" w:hAnsi="Cambria"/>
                <w:b/>
                <w:sz w:val="20"/>
                <w:szCs w:val="20"/>
                <w:lang w:val="pt-BR"/>
              </w:rPr>
              <w:t xml:space="preserve"> </w:t>
            </w:r>
          </w:p>
        </w:tc>
      </w:tr>
      <w:tr w:rsidR="00D907CC" w:rsidRPr="00BE17A0" w14:paraId="1EEFA571" w14:textId="77777777" w:rsidTr="00010BC7">
        <w:tc>
          <w:tcPr>
            <w:tcW w:w="3600" w:type="dxa"/>
            <w:vMerge/>
            <w:shd w:val="clear" w:color="auto" w:fill="386294"/>
            <w:vAlign w:val="center"/>
          </w:tcPr>
          <w:p w14:paraId="4ED98E50" w14:textId="77777777" w:rsidR="00D907CC" w:rsidRPr="00BE17A0" w:rsidRDefault="00D907CC" w:rsidP="00010BC7">
            <w:pPr>
              <w:jc w:val="center"/>
              <w:rPr>
                <w:rFonts w:ascii="Cambria" w:hAnsi="Cambria"/>
                <w:b/>
                <w:bCs/>
                <w:color w:val="FFFFFF" w:themeColor="background1"/>
                <w:sz w:val="20"/>
                <w:szCs w:val="20"/>
                <w:lang w:val="es-PE"/>
              </w:rPr>
            </w:pPr>
          </w:p>
        </w:tc>
        <w:tc>
          <w:tcPr>
            <w:tcW w:w="5760" w:type="dxa"/>
            <w:vAlign w:val="center"/>
          </w:tcPr>
          <w:p w14:paraId="0B358302" w14:textId="4AA14D7C" w:rsidR="00D907CC" w:rsidRPr="00BE2E9F" w:rsidRDefault="00D907CC" w:rsidP="00010BC7">
            <w:pPr>
              <w:jc w:val="both"/>
              <w:rPr>
                <w:rFonts w:ascii="Cambria" w:hAnsi="Cambria"/>
                <w:b/>
                <w:sz w:val="20"/>
                <w:szCs w:val="20"/>
                <w:lang w:val="pt-BR"/>
              </w:rPr>
            </w:pPr>
            <w:r w:rsidRPr="00BE2E9F">
              <w:rPr>
                <w:rFonts w:ascii="Cambria" w:hAnsi="Cambria"/>
                <w:b/>
                <w:sz w:val="20"/>
                <w:szCs w:val="20"/>
                <w:lang w:val="pt-BR"/>
              </w:rPr>
              <w:t>P-1279-19:</w:t>
            </w:r>
            <w:r w:rsidR="00282A64" w:rsidRPr="00BE2E9F">
              <w:rPr>
                <w:rFonts w:ascii="Cambria" w:hAnsi="Cambria"/>
                <w:b/>
                <w:sz w:val="20"/>
                <w:szCs w:val="20"/>
                <w:lang w:val="pt-BR"/>
              </w:rPr>
              <w:t xml:space="preserve"> </w:t>
            </w:r>
            <w:r w:rsidR="00282A64" w:rsidRPr="00BE2E9F">
              <w:rPr>
                <w:rFonts w:ascii="Cambria" w:hAnsi="Cambria"/>
                <w:bCs/>
                <w:sz w:val="20"/>
                <w:szCs w:val="20"/>
                <w:lang w:val="pt-BR"/>
              </w:rPr>
              <w:t>Nivel Nogales Guzm</w:t>
            </w:r>
            <w:r w:rsidR="00CC71A3">
              <w:rPr>
                <w:rFonts w:ascii="Cambria" w:hAnsi="Cambria"/>
                <w:bCs/>
                <w:sz w:val="20"/>
                <w:szCs w:val="20"/>
                <w:lang w:val="pt-BR"/>
              </w:rPr>
              <w:t>á</w:t>
            </w:r>
            <w:r w:rsidR="00282A64" w:rsidRPr="00BE2E9F">
              <w:rPr>
                <w:rFonts w:ascii="Cambria" w:hAnsi="Cambria"/>
                <w:bCs/>
                <w:sz w:val="20"/>
                <w:szCs w:val="20"/>
                <w:lang w:val="pt-BR"/>
              </w:rPr>
              <w:t>n</w:t>
            </w:r>
          </w:p>
        </w:tc>
      </w:tr>
      <w:tr w:rsidR="00D907CC" w:rsidRPr="00527F68" w14:paraId="2972C85F" w14:textId="77777777" w:rsidTr="00010BC7">
        <w:tc>
          <w:tcPr>
            <w:tcW w:w="3600" w:type="dxa"/>
            <w:vMerge/>
            <w:shd w:val="clear" w:color="auto" w:fill="386294"/>
            <w:vAlign w:val="center"/>
          </w:tcPr>
          <w:p w14:paraId="217B5625" w14:textId="77777777" w:rsidR="00D907CC" w:rsidRPr="00BE17A0" w:rsidRDefault="00D907CC" w:rsidP="00010BC7">
            <w:pPr>
              <w:jc w:val="center"/>
              <w:rPr>
                <w:rFonts w:ascii="Cambria" w:hAnsi="Cambria"/>
                <w:b/>
                <w:bCs/>
                <w:color w:val="FFFFFF" w:themeColor="background1"/>
                <w:sz w:val="20"/>
                <w:szCs w:val="20"/>
                <w:lang w:val="es-PE"/>
              </w:rPr>
            </w:pPr>
          </w:p>
        </w:tc>
        <w:tc>
          <w:tcPr>
            <w:tcW w:w="5760" w:type="dxa"/>
            <w:vAlign w:val="center"/>
          </w:tcPr>
          <w:p w14:paraId="13A48443" w14:textId="7481B95E" w:rsidR="00D907CC" w:rsidRPr="00D53D13" w:rsidRDefault="00D907CC" w:rsidP="00010BC7">
            <w:pPr>
              <w:jc w:val="both"/>
              <w:rPr>
                <w:rFonts w:ascii="Cambria" w:hAnsi="Cambria"/>
                <w:b/>
                <w:sz w:val="20"/>
                <w:szCs w:val="20"/>
                <w:lang w:val="pt-BR"/>
              </w:rPr>
            </w:pPr>
            <w:r w:rsidRPr="00D53D13">
              <w:rPr>
                <w:rFonts w:ascii="Cambria" w:hAnsi="Cambria"/>
                <w:b/>
                <w:sz w:val="20"/>
                <w:szCs w:val="20"/>
                <w:lang w:val="pt-BR"/>
              </w:rPr>
              <w:t>P-1428-19:</w:t>
            </w:r>
            <w:r w:rsidR="00282A64" w:rsidRPr="00D53D13">
              <w:rPr>
                <w:rFonts w:ascii="Cambria" w:hAnsi="Cambria"/>
                <w:b/>
                <w:sz w:val="20"/>
                <w:szCs w:val="20"/>
                <w:lang w:val="pt-BR"/>
              </w:rPr>
              <w:t xml:space="preserve"> </w:t>
            </w:r>
            <w:r w:rsidR="00282A64" w:rsidRPr="00D53D13">
              <w:rPr>
                <w:rFonts w:ascii="Cambria" w:hAnsi="Cambria"/>
                <w:bCs/>
                <w:sz w:val="20"/>
                <w:szCs w:val="20"/>
                <w:lang w:val="pt-BR"/>
              </w:rPr>
              <w:t>José Luis Alfaro Miranda</w:t>
            </w:r>
          </w:p>
        </w:tc>
      </w:tr>
      <w:tr w:rsidR="00D907CC" w:rsidRPr="0088642B" w14:paraId="046D9A48" w14:textId="77777777" w:rsidTr="00010BC7">
        <w:tc>
          <w:tcPr>
            <w:tcW w:w="3600" w:type="dxa"/>
            <w:vMerge/>
            <w:shd w:val="clear" w:color="auto" w:fill="386294"/>
            <w:vAlign w:val="center"/>
          </w:tcPr>
          <w:p w14:paraId="7C5349B6" w14:textId="77777777" w:rsidR="00D907CC" w:rsidRPr="00BE17A0" w:rsidRDefault="00D907CC" w:rsidP="00010BC7">
            <w:pPr>
              <w:jc w:val="center"/>
              <w:rPr>
                <w:rFonts w:ascii="Cambria" w:hAnsi="Cambria"/>
                <w:b/>
                <w:bCs/>
                <w:color w:val="FFFFFF" w:themeColor="background1"/>
                <w:sz w:val="20"/>
                <w:szCs w:val="20"/>
                <w:lang w:val="es-PE"/>
              </w:rPr>
            </w:pPr>
          </w:p>
        </w:tc>
        <w:tc>
          <w:tcPr>
            <w:tcW w:w="5760" w:type="dxa"/>
            <w:vAlign w:val="center"/>
          </w:tcPr>
          <w:p w14:paraId="223FCB79" w14:textId="1E75DC8F" w:rsidR="00D907CC" w:rsidRPr="00650BDD" w:rsidRDefault="00D907CC" w:rsidP="00010BC7">
            <w:pPr>
              <w:jc w:val="both"/>
              <w:rPr>
                <w:rFonts w:ascii="Cambria" w:hAnsi="Cambria"/>
                <w:b/>
                <w:sz w:val="20"/>
                <w:szCs w:val="20"/>
                <w:lang w:val="pt-BR"/>
              </w:rPr>
            </w:pPr>
            <w:r w:rsidRPr="00650BDD">
              <w:rPr>
                <w:rFonts w:ascii="Cambria" w:hAnsi="Cambria"/>
                <w:b/>
                <w:sz w:val="20"/>
                <w:szCs w:val="20"/>
                <w:lang w:val="pt-BR"/>
              </w:rPr>
              <w:t>P-1563-19:</w:t>
            </w:r>
            <w:r w:rsidR="00282A64" w:rsidRPr="00650BDD">
              <w:rPr>
                <w:rFonts w:ascii="Cambria" w:hAnsi="Cambria"/>
                <w:b/>
                <w:sz w:val="20"/>
                <w:szCs w:val="20"/>
                <w:lang w:val="pt-BR"/>
              </w:rPr>
              <w:t xml:space="preserve"> </w:t>
            </w:r>
            <w:r w:rsidR="00282A64" w:rsidRPr="00650BDD">
              <w:rPr>
                <w:rFonts w:asciiTheme="majorHAnsi" w:hAnsiTheme="majorHAnsi"/>
                <w:sz w:val="20"/>
                <w:szCs w:val="20"/>
                <w:lang w:val="pt-BR"/>
              </w:rPr>
              <w:t>Jesús Sabino Altamirano Cruz</w:t>
            </w:r>
          </w:p>
        </w:tc>
      </w:tr>
      <w:tr w:rsidR="00D907CC" w:rsidRPr="00527F68" w14:paraId="7FB0B05B" w14:textId="77777777" w:rsidTr="00010BC7">
        <w:tc>
          <w:tcPr>
            <w:tcW w:w="3600" w:type="dxa"/>
            <w:vMerge/>
            <w:shd w:val="clear" w:color="auto" w:fill="386294"/>
            <w:vAlign w:val="center"/>
          </w:tcPr>
          <w:p w14:paraId="150549A9" w14:textId="77777777" w:rsidR="00D907CC" w:rsidRPr="002B3C21" w:rsidRDefault="00D907CC" w:rsidP="00010BC7">
            <w:pPr>
              <w:jc w:val="center"/>
              <w:rPr>
                <w:rFonts w:ascii="Cambria" w:hAnsi="Cambria"/>
                <w:b/>
                <w:bCs/>
                <w:color w:val="FFFFFF" w:themeColor="background1"/>
                <w:sz w:val="20"/>
                <w:szCs w:val="20"/>
                <w:lang w:val="pt-BR"/>
              </w:rPr>
            </w:pPr>
          </w:p>
        </w:tc>
        <w:tc>
          <w:tcPr>
            <w:tcW w:w="5760" w:type="dxa"/>
            <w:vAlign w:val="center"/>
          </w:tcPr>
          <w:p w14:paraId="06E7A4FA" w14:textId="5D78C36B" w:rsidR="00D907CC" w:rsidRPr="007A42A0" w:rsidRDefault="00D907CC" w:rsidP="00010BC7">
            <w:pPr>
              <w:jc w:val="both"/>
              <w:rPr>
                <w:rFonts w:ascii="Cambria" w:hAnsi="Cambria"/>
                <w:b/>
                <w:sz w:val="20"/>
                <w:szCs w:val="20"/>
                <w:lang w:val="pt-BR"/>
              </w:rPr>
            </w:pPr>
            <w:r w:rsidRPr="007A42A0">
              <w:rPr>
                <w:rFonts w:ascii="Cambria" w:hAnsi="Cambria"/>
                <w:b/>
                <w:sz w:val="20"/>
                <w:szCs w:val="20"/>
                <w:lang w:val="pt-BR"/>
              </w:rPr>
              <w:t>P-1677-19:</w:t>
            </w:r>
            <w:r w:rsidR="00787A6B" w:rsidRPr="007A42A0">
              <w:rPr>
                <w:rFonts w:ascii="Cambria" w:hAnsi="Cambria"/>
                <w:b/>
                <w:sz w:val="20"/>
                <w:szCs w:val="20"/>
                <w:lang w:val="pt-BR"/>
              </w:rPr>
              <w:t xml:space="preserve"> </w:t>
            </w:r>
            <w:r w:rsidR="00787A6B" w:rsidRPr="007A42A0">
              <w:rPr>
                <w:rFonts w:asciiTheme="majorHAnsi" w:hAnsiTheme="majorHAnsi"/>
                <w:sz w:val="20"/>
                <w:szCs w:val="20"/>
                <w:lang w:val="es-PE"/>
              </w:rPr>
              <w:t>E</w:t>
            </w:r>
            <w:r w:rsidR="00787A6B" w:rsidRPr="007A42A0">
              <w:rPr>
                <w:rFonts w:asciiTheme="majorHAnsi" w:hAnsiTheme="majorHAnsi"/>
                <w:sz w:val="20"/>
                <w:szCs w:val="20"/>
                <w:lang w:val="pt-BR"/>
              </w:rPr>
              <w:t>milse Patricia Arnez Quiroz</w:t>
            </w:r>
          </w:p>
        </w:tc>
      </w:tr>
      <w:tr w:rsidR="00D907CC" w:rsidRPr="00527F68" w14:paraId="67501C4E" w14:textId="77777777" w:rsidTr="00010BC7">
        <w:tc>
          <w:tcPr>
            <w:tcW w:w="3600" w:type="dxa"/>
            <w:vMerge/>
            <w:shd w:val="clear" w:color="auto" w:fill="386294"/>
            <w:vAlign w:val="center"/>
          </w:tcPr>
          <w:p w14:paraId="1103F8A7" w14:textId="77777777" w:rsidR="00D907CC" w:rsidRPr="00BE17A0" w:rsidRDefault="00D907CC" w:rsidP="00D907CC">
            <w:pPr>
              <w:jc w:val="center"/>
              <w:rPr>
                <w:rFonts w:ascii="Cambria" w:hAnsi="Cambria"/>
                <w:b/>
                <w:bCs/>
                <w:color w:val="FFFFFF" w:themeColor="background1"/>
                <w:sz w:val="20"/>
                <w:szCs w:val="20"/>
                <w:lang w:val="es-PE"/>
              </w:rPr>
            </w:pPr>
          </w:p>
        </w:tc>
        <w:tc>
          <w:tcPr>
            <w:tcW w:w="5760" w:type="dxa"/>
            <w:vAlign w:val="center"/>
          </w:tcPr>
          <w:p w14:paraId="6066EAF1" w14:textId="22815E4C" w:rsidR="00D907CC" w:rsidRPr="007A42A0" w:rsidRDefault="00D907CC" w:rsidP="00D907CC">
            <w:pPr>
              <w:jc w:val="both"/>
              <w:rPr>
                <w:rFonts w:ascii="Cambria" w:hAnsi="Cambria"/>
                <w:b/>
                <w:sz w:val="20"/>
                <w:szCs w:val="20"/>
                <w:lang w:val="pt-BR"/>
              </w:rPr>
            </w:pPr>
            <w:r w:rsidRPr="007A42A0">
              <w:rPr>
                <w:rFonts w:ascii="Cambria" w:hAnsi="Cambria"/>
                <w:b/>
                <w:sz w:val="20"/>
                <w:szCs w:val="20"/>
                <w:lang w:val="pt-BR"/>
              </w:rPr>
              <w:t>P-1736-19:</w:t>
            </w:r>
            <w:r w:rsidR="00787A6B" w:rsidRPr="007A42A0">
              <w:rPr>
                <w:rFonts w:ascii="Cambria" w:hAnsi="Cambria"/>
                <w:b/>
                <w:sz w:val="20"/>
                <w:szCs w:val="20"/>
                <w:lang w:val="pt-BR"/>
              </w:rPr>
              <w:t xml:space="preserve"> </w:t>
            </w:r>
            <w:r w:rsidR="00787A6B" w:rsidRPr="007A42A0">
              <w:rPr>
                <w:rFonts w:asciiTheme="majorHAnsi" w:hAnsiTheme="majorHAnsi"/>
                <w:sz w:val="20"/>
                <w:szCs w:val="20"/>
                <w:lang w:val="pt-BR"/>
              </w:rPr>
              <w:t>N</w:t>
            </w:r>
            <w:r w:rsidR="00CC71A3">
              <w:rPr>
                <w:rFonts w:asciiTheme="majorHAnsi" w:hAnsiTheme="majorHAnsi"/>
                <w:sz w:val="20"/>
                <w:szCs w:val="20"/>
                <w:lang w:val="pt-BR"/>
              </w:rPr>
              <w:t>é</w:t>
            </w:r>
            <w:r w:rsidR="00787A6B" w:rsidRPr="007A42A0">
              <w:rPr>
                <w:rFonts w:asciiTheme="majorHAnsi" w:hAnsiTheme="majorHAnsi"/>
                <w:sz w:val="20"/>
                <w:szCs w:val="20"/>
                <w:lang w:val="pt-BR"/>
              </w:rPr>
              <w:t>stor Julio Enr</w:t>
            </w:r>
            <w:r w:rsidR="00CC71A3">
              <w:rPr>
                <w:rFonts w:asciiTheme="majorHAnsi" w:hAnsiTheme="majorHAnsi"/>
                <w:sz w:val="20"/>
                <w:szCs w:val="20"/>
                <w:lang w:val="pt-BR"/>
              </w:rPr>
              <w:t>í</w:t>
            </w:r>
            <w:r w:rsidR="00787A6B" w:rsidRPr="007A42A0">
              <w:rPr>
                <w:rFonts w:asciiTheme="majorHAnsi" w:hAnsiTheme="majorHAnsi"/>
                <w:sz w:val="20"/>
                <w:szCs w:val="20"/>
                <w:lang w:val="pt-BR"/>
              </w:rPr>
              <w:t>quez Quiroga</w:t>
            </w:r>
          </w:p>
        </w:tc>
      </w:tr>
      <w:tr w:rsidR="00D907CC" w:rsidRPr="00BE17A0" w14:paraId="6DA910FB" w14:textId="77777777" w:rsidTr="00010BC7">
        <w:tc>
          <w:tcPr>
            <w:tcW w:w="3600" w:type="dxa"/>
            <w:vMerge/>
            <w:shd w:val="clear" w:color="auto" w:fill="386294"/>
            <w:vAlign w:val="center"/>
          </w:tcPr>
          <w:p w14:paraId="13E9390C" w14:textId="77777777" w:rsidR="00D907CC" w:rsidRPr="00BE17A0" w:rsidRDefault="00D907CC" w:rsidP="00D907CC">
            <w:pPr>
              <w:jc w:val="center"/>
              <w:rPr>
                <w:rFonts w:ascii="Cambria" w:hAnsi="Cambria"/>
                <w:b/>
                <w:bCs/>
                <w:color w:val="FFFFFF" w:themeColor="background1"/>
                <w:sz w:val="20"/>
                <w:szCs w:val="20"/>
                <w:lang w:val="es-PE"/>
              </w:rPr>
            </w:pPr>
          </w:p>
        </w:tc>
        <w:tc>
          <w:tcPr>
            <w:tcW w:w="5760" w:type="dxa"/>
            <w:vAlign w:val="center"/>
          </w:tcPr>
          <w:p w14:paraId="753E2F4A" w14:textId="7DFAA983" w:rsidR="00D907CC" w:rsidRPr="00717DAF" w:rsidRDefault="00D907CC" w:rsidP="00D907CC">
            <w:pPr>
              <w:jc w:val="both"/>
              <w:rPr>
                <w:rFonts w:ascii="Cambria" w:hAnsi="Cambria"/>
                <w:b/>
                <w:sz w:val="20"/>
                <w:szCs w:val="20"/>
                <w:lang w:val="pt-BR"/>
              </w:rPr>
            </w:pPr>
            <w:r w:rsidRPr="00717DAF">
              <w:rPr>
                <w:rFonts w:ascii="Cambria" w:hAnsi="Cambria"/>
                <w:b/>
                <w:sz w:val="20"/>
                <w:szCs w:val="20"/>
                <w:lang w:val="pt-BR"/>
              </w:rPr>
              <w:t>P-2284-19:</w:t>
            </w:r>
            <w:r w:rsidR="00CA7E76" w:rsidRPr="00717DAF">
              <w:rPr>
                <w:rFonts w:ascii="Cambria" w:hAnsi="Cambria"/>
                <w:b/>
                <w:sz w:val="20"/>
                <w:szCs w:val="20"/>
                <w:lang w:val="pt-BR"/>
              </w:rPr>
              <w:t xml:space="preserve"> </w:t>
            </w:r>
            <w:r w:rsidR="00CA7E76" w:rsidRPr="00717DAF">
              <w:rPr>
                <w:rFonts w:asciiTheme="majorHAnsi" w:hAnsiTheme="majorHAnsi"/>
                <w:sz w:val="20"/>
                <w:szCs w:val="20"/>
                <w:lang w:val="pt-BR"/>
              </w:rPr>
              <w:t>Zulema Javier López</w:t>
            </w:r>
          </w:p>
        </w:tc>
      </w:tr>
      <w:tr w:rsidR="00D907CC" w:rsidRPr="00BE17A0" w14:paraId="144ED5EC" w14:textId="77777777" w:rsidTr="00010BC7">
        <w:tc>
          <w:tcPr>
            <w:tcW w:w="3600" w:type="dxa"/>
            <w:vMerge/>
            <w:shd w:val="clear" w:color="auto" w:fill="386294"/>
            <w:vAlign w:val="center"/>
          </w:tcPr>
          <w:p w14:paraId="0AA429FA" w14:textId="77777777" w:rsidR="00D907CC" w:rsidRPr="00BE17A0" w:rsidRDefault="00D907CC" w:rsidP="00D907CC">
            <w:pPr>
              <w:jc w:val="center"/>
              <w:rPr>
                <w:rFonts w:ascii="Cambria" w:hAnsi="Cambria"/>
                <w:b/>
                <w:bCs/>
                <w:color w:val="FFFFFF" w:themeColor="background1"/>
                <w:sz w:val="20"/>
                <w:szCs w:val="20"/>
                <w:lang w:val="es-PE"/>
              </w:rPr>
            </w:pPr>
          </w:p>
        </w:tc>
        <w:tc>
          <w:tcPr>
            <w:tcW w:w="5760" w:type="dxa"/>
            <w:vAlign w:val="center"/>
          </w:tcPr>
          <w:p w14:paraId="56EB19EF" w14:textId="1E0A9617" w:rsidR="00D907CC" w:rsidRPr="008442AF" w:rsidRDefault="00D907CC" w:rsidP="00D907CC">
            <w:pPr>
              <w:jc w:val="both"/>
              <w:rPr>
                <w:rFonts w:ascii="Cambria" w:hAnsi="Cambria"/>
                <w:b/>
                <w:sz w:val="20"/>
                <w:szCs w:val="20"/>
                <w:lang w:val="pt-BR"/>
              </w:rPr>
            </w:pPr>
            <w:r w:rsidRPr="008442AF">
              <w:rPr>
                <w:rFonts w:ascii="Cambria" w:hAnsi="Cambria"/>
                <w:b/>
                <w:sz w:val="20"/>
                <w:szCs w:val="20"/>
                <w:lang w:val="pt-BR"/>
              </w:rPr>
              <w:t>P-2625-19:</w:t>
            </w:r>
            <w:r w:rsidR="00CA7E76" w:rsidRPr="008442AF">
              <w:rPr>
                <w:rFonts w:ascii="Cambria" w:hAnsi="Cambria"/>
                <w:b/>
                <w:sz w:val="20"/>
                <w:szCs w:val="20"/>
                <w:lang w:val="pt-BR"/>
              </w:rPr>
              <w:t xml:space="preserve"> </w:t>
            </w:r>
            <w:r w:rsidR="00CA7E76" w:rsidRPr="008442AF">
              <w:rPr>
                <w:rFonts w:asciiTheme="majorHAnsi" w:hAnsiTheme="majorHAnsi"/>
                <w:sz w:val="20"/>
                <w:szCs w:val="20"/>
                <w:lang w:val="pt-BR"/>
              </w:rPr>
              <w:t>Rosmery Mor</w:t>
            </w:r>
            <w:r w:rsidR="0029211F">
              <w:rPr>
                <w:rFonts w:asciiTheme="majorHAnsi" w:hAnsiTheme="majorHAnsi"/>
                <w:sz w:val="20"/>
                <w:szCs w:val="20"/>
                <w:lang w:val="pt-BR"/>
              </w:rPr>
              <w:t>ó</w:t>
            </w:r>
            <w:r w:rsidR="00CA7E76" w:rsidRPr="008442AF">
              <w:rPr>
                <w:rFonts w:asciiTheme="majorHAnsi" w:hAnsiTheme="majorHAnsi"/>
                <w:sz w:val="20"/>
                <w:szCs w:val="20"/>
                <w:lang w:val="pt-BR"/>
              </w:rPr>
              <w:t>n Sanjinéz</w:t>
            </w:r>
          </w:p>
        </w:tc>
      </w:tr>
      <w:tr w:rsidR="00D907CC" w:rsidRPr="00BE17A0" w14:paraId="6D33DC99" w14:textId="77777777" w:rsidTr="00010BC7">
        <w:tc>
          <w:tcPr>
            <w:tcW w:w="3600" w:type="dxa"/>
            <w:vMerge/>
            <w:tcBorders>
              <w:bottom w:val="single" w:sz="6" w:space="0" w:color="auto"/>
            </w:tcBorders>
            <w:shd w:val="clear" w:color="auto" w:fill="386294"/>
            <w:vAlign w:val="center"/>
          </w:tcPr>
          <w:p w14:paraId="061AD625" w14:textId="77777777" w:rsidR="00D907CC" w:rsidRPr="00BE17A0" w:rsidRDefault="00D907CC" w:rsidP="00D907CC">
            <w:pPr>
              <w:jc w:val="center"/>
              <w:rPr>
                <w:rFonts w:ascii="Cambria" w:hAnsi="Cambria"/>
                <w:b/>
                <w:bCs/>
                <w:color w:val="FFFFFF" w:themeColor="background1"/>
                <w:sz w:val="20"/>
                <w:szCs w:val="20"/>
                <w:lang w:val="es-PE"/>
              </w:rPr>
            </w:pPr>
          </w:p>
        </w:tc>
        <w:tc>
          <w:tcPr>
            <w:tcW w:w="5760" w:type="dxa"/>
            <w:vAlign w:val="center"/>
          </w:tcPr>
          <w:p w14:paraId="4E960B14" w14:textId="2D1416F0" w:rsidR="00D907CC" w:rsidRPr="008442AF" w:rsidRDefault="00D907CC" w:rsidP="00D907CC">
            <w:pPr>
              <w:jc w:val="both"/>
              <w:rPr>
                <w:rFonts w:ascii="Cambria" w:hAnsi="Cambria"/>
                <w:b/>
                <w:sz w:val="20"/>
                <w:szCs w:val="20"/>
                <w:lang w:val="pt-BR"/>
              </w:rPr>
            </w:pPr>
            <w:r w:rsidRPr="008442AF">
              <w:rPr>
                <w:rFonts w:ascii="Cambria" w:hAnsi="Cambria"/>
                <w:b/>
                <w:sz w:val="20"/>
                <w:szCs w:val="20"/>
                <w:lang w:val="pt-BR"/>
              </w:rPr>
              <w:t>P-3126-19:</w:t>
            </w:r>
            <w:r w:rsidR="00CA7E76" w:rsidRPr="008442AF">
              <w:rPr>
                <w:rFonts w:ascii="Cambria" w:hAnsi="Cambria"/>
                <w:b/>
                <w:sz w:val="20"/>
                <w:szCs w:val="20"/>
                <w:lang w:val="pt-BR"/>
              </w:rPr>
              <w:t xml:space="preserve"> </w:t>
            </w:r>
            <w:r w:rsidR="00CA7E76" w:rsidRPr="008442AF">
              <w:rPr>
                <w:rFonts w:asciiTheme="majorHAnsi" w:hAnsiTheme="majorHAnsi"/>
                <w:sz w:val="20"/>
                <w:szCs w:val="20"/>
                <w:lang w:val="pt-BR"/>
              </w:rPr>
              <w:t>Cándida Pinto Chacón</w:t>
            </w:r>
          </w:p>
        </w:tc>
      </w:tr>
      <w:tr w:rsidR="00D907CC" w:rsidRPr="00BE17A0" w14:paraId="3E62E1D3" w14:textId="77777777" w:rsidTr="004A6A54">
        <w:tc>
          <w:tcPr>
            <w:tcW w:w="3600" w:type="dxa"/>
            <w:tcBorders>
              <w:top w:val="single" w:sz="6" w:space="0" w:color="auto"/>
              <w:bottom w:val="single" w:sz="6" w:space="0" w:color="auto"/>
            </w:tcBorders>
            <w:shd w:val="clear" w:color="auto" w:fill="386294"/>
            <w:vAlign w:val="center"/>
          </w:tcPr>
          <w:p w14:paraId="340B0F09" w14:textId="77777777" w:rsidR="00D907CC" w:rsidRPr="00BE17A0" w:rsidRDefault="00D907CC" w:rsidP="00D907CC">
            <w:pPr>
              <w:jc w:val="center"/>
              <w:rPr>
                <w:rFonts w:ascii="Cambria" w:hAnsi="Cambria"/>
                <w:b/>
                <w:bCs/>
                <w:color w:val="FFFFFF" w:themeColor="background1"/>
                <w:sz w:val="20"/>
                <w:szCs w:val="20"/>
              </w:rPr>
            </w:pPr>
            <w:r w:rsidRPr="00BE17A0">
              <w:rPr>
                <w:rFonts w:ascii="Cambria" w:hAnsi="Cambria"/>
                <w:b/>
                <w:bCs/>
                <w:color w:val="FFFFFF" w:themeColor="background1"/>
                <w:sz w:val="20"/>
                <w:szCs w:val="20"/>
              </w:rPr>
              <w:t>Estado denunciado:</w:t>
            </w:r>
          </w:p>
        </w:tc>
        <w:tc>
          <w:tcPr>
            <w:tcW w:w="5760" w:type="dxa"/>
            <w:vAlign w:val="center"/>
          </w:tcPr>
          <w:p w14:paraId="274C8A50" w14:textId="595E0585" w:rsidR="00D907CC" w:rsidRPr="00BE17A0" w:rsidRDefault="00D907CC" w:rsidP="00D907CC">
            <w:pPr>
              <w:jc w:val="both"/>
              <w:rPr>
                <w:rFonts w:ascii="Cambria" w:hAnsi="Cambria"/>
                <w:bCs/>
                <w:sz w:val="20"/>
                <w:szCs w:val="20"/>
                <w:lang w:val="es-ES"/>
              </w:rPr>
            </w:pPr>
            <w:r w:rsidRPr="00BE17A0">
              <w:rPr>
                <w:rFonts w:ascii="Cambria" w:hAnsi="Cambria"/>
                <w:bCs/>
                <w:sz w:val="20"/>
                <w:szCs w:val="20"/>
                <w:lang w:val="es-ES"/>
              </w:rPr>
              <w:t>Bolivia</w:t>
            </w:r>
          </w:p>
        </w:tc>
      </w:tr>
      <w:tr w:rsidR="00D907CC" w:rsidRPr="0088642B" w14:paraId="632511BC" w14:textId="77777777" w:rsidTr="004A6A54">
        <w:tc>
          <w:tcPr>
            <w:tcW w:w="3600" w:type="dxa"/>
            <w:tcBorders>
              <w:top w:val="single" w:sz="6" w:space="0" w:color="auto"/>
              <w:bottom w:val="single" w:sz="6" w:space="0" w:color="auto"/>
            </w:tcBorders>
            <w:shd w:val="clear" w:color="auto" w:fill="386294"/>
            <w:vAlign w:val="center"/>
          </w:tcPr>
          <w:p w14:paraId="727E2F6B" w14:textId="60AEE329" w:rsidR="00D907CC" w:rsidRPr="00BE17A0" w:rsidRDefault="00D907CC" w:rsidP="00D907CC">
            <w:pPr>
              <w:jc w:val="center"/>
              <w:rPr>
                <w:rFonts w:ascii="Cambria" w:hAnsi="Cambria"/>
                <w:b/>
                <w:bCs/>
                <w:color w:val="FFFFFF" w:themeColor="background1"/>
                <w:sz w:val="20"/>
                <w:szCs w:val="20"/>
              </w:rPr>
            </w:pPr>
            <w:r w:rsidRPr="00BE17A0">
              <w:rPr>
                <w:rFonts w:ascii="Cambria" w:hAnsi="Cambria"/>
                <w:b/>
                <w:bCs/>
                <w:color w:val="FFFFFF" w:themeColor="background1"/>
                <w:sz w:val="20"/>
                <w:szCs w:val="20"/>
              </w:rPr>
              <w:t>Derechos invocados:</w:t>
            </w:r>
          </w:p>
        </w:tc>
        <w:tc>
          <w:tcPr>
            <w:tcW w:w="5760" w:type="dxa"/>
            <w:vAlign w:val="center"/>
          </w:tcPr>
          <w:p w14:paraId="6DEE1EEB" w14:textId="346D8B47" w:rsidR="00D907CC" w:rsidRPr="00BE17A0" w:rsidRDefault="00A86675" w:rsidP="0016285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bCs/>
                <w:sz w:val="20"/>
                <w:szCs w:val="20"/>
                <w:lang w:val="es-ES"/>
              </w:rPr>
            </w:pPr>
            <w:r w:rsidRPr="00A86675">
              <w:rPr>
                <w:rFonts w:asciiTheme="majorHAnsi" w:hAnsiTheme="majorHAnsi"/>
                <w:bCs/>
                <w:sz w:val="20"/>
                <w:szCs w:val="20"/>
                <w:lang w:val="es-ES"/>
              </w:rPr>
              <w:t>Artículos</w:t>
            </w:r>
            <w:r w:rsidR="00FE3C35" w:rsidRPr="00A86675">
              <w:rPr>
                <w:rFonts w:ascii="Cambria" w:hAnsi="Cambria" w:cs="Calibri"/>
                <w:sz w:val="20"/>
                <w:szCs w:val="20"/>
                <w:lang w:val="es-PE"/>
              </w:rPr>
              <w:t xml:space="preserve"> </w:t>
            </w:r>
            <w:r w:rsidRPr="00A86675">
              <w:rPr>
                <w:rFonts w:ascii="Cambria" w:hAnsi="Cambria" w:cs="Calibri"/>
                <w:sz w:val="20"/>
                <w:szCs w:val="20"/>
                <w:lang w:val="es-PE"/>
              </w:rPr>
              <w:t>4 (</w:t>
            </w:r>
            <w:r w:rsidR="00162850">
              <w:rPr>
                <w:rFonts w:ascii="Cambria" w:hAnsi="Cambria" w:cs="Calibri"/>
                <w:sz w:val="20"/>
                <w:szCs w:val="20"/>
                <w:lang w:val="es-PE"/>
              </w:rPr>
              <w:t>v</w:t>
            </w:r>
            <w:r w:rsidRPr="00A86675">
              <w:rPr>
                <w:rFonts w:ascii="Cambria" w:hAnsi="Cambria" w:cs="Calibri"/>
                <w:sz w:val="20"/>
                <w:szCs w:val="20"/>
                <w:lang w:val="es-PE"/>
              </w:rPr>
              <w:t xml:space="preserve">ida), </w:t>
            </w:r>
            <w:r w:rsidR="00FE3C35" w:rsidRPr="00A86675">
              <w:rPr>
                <w:rFonts w:ascii="Cambria" w:hAnsi="Cambria" w:cs="Calibri"/>
                <w:sz w:val="20"/>
                <w:szCs w:val="20"/>
                <w:lang w:val="es-PE"/>
              </w:rPr>
              <w:t>3 (</w:t>
            </w:r>
            <w:r w:rsidR="00162850">
              <w:rPr>
                <w:rFonts w:ascii="Cambria" w:hAnsi="Cambria" w:cs="Calibri"/>
                <w:sz w:val="20"/>
                <w:szCs w:val="20"/>
                <w:lang w:val="es-PE"/>
              </w:rPr>
              <w:t>r</w:t>
            </w:r>
            <w:r w:rsidR="00FE3C35" w:rsidRPr="00A86675">
              <w:rPr>
                <w:rFonts w:ascii="Cambria" w:hAnsi="Cambria" w:cs="Calibri"/>
                <w:sz w:val="20"/>
                <w:szCs w:val="20"/>
                <w:lang w:val="es-PE"/>
              </w:rPr>
              <w:t xml:space="preserve">econocimiento de la </w:t>
            </w:r>
            <w:r w:rsidR="00162850">
              <w:rPr>
                <w:rFonts w:ascii="Cambria" w:hAnsi="Cambria" w:cs="Calibri"/>
                <w:sz w:val="20"/>
                <w:szCs w:val="20"/>
                <w:lang w:val="es-PE"/>
              </w:rPr>
              <w:t>p</w:t>
            </w:r>
            <w:r w:rsidR="00FE3C35" w:rsidRPr="00A86675">
              <w:rPr>
                <w:rFonts w:ascii="Cambria" w:hAnsi="Cambria" w:cs="Calibri"/>
                <w:sz w:val="20"/>
                <w:szCs w:val="20"/>
                <w:lang w:val="es-PE"/>
              </w:rPr>
              <w:t xml:space="preserve">ersonalidad </w:t>
            </w:r>
            <w:r w:rsidR="00162850">
              <w:rPr>
                <w:rFonts w:ascii="Cambria" w:hAnsi="Cambria" w:cs="Calibri"/>
                <w:sz w:val="20"/>
                <w:szCs w:val="20"/>
                <w:lang w:val="es-PE"/>
              </w:rPr>
              <w:t>j</w:t>
            </w:r>
            <w:r w:rsidR="00FE3C35" w:rsidRPr="00A86675">
              <w:rPr>
                <w:rFonts w:ascii="Cambria" w:hAnsi="Cambria" w:cs="Calibri"/>
                <w:sz w:val="20"/>
                <w:szCs w:val="20"/>
                <w:lang w:val="es-PE"/>
              </w:rPr>
              <w:t>urídica)</w:t>
            </w:r>
            <w:r w:rsidRPr="00A86675">
              <w:rPr>
                <w:rFonts w:ascii="Cambria" w:hAnsi="Cambria" w:cs="Calibri"/>
                <w:sz w:val="20"/>
                <w:szCs w:val="20"/>
                <w:lang w:val="es-PE"/>
              </w:rPr>
              <w:t>,</w:t>
            </w:r>
            <w:r w:rsidR="00FE3C35" w:rsidRPr="00A86675">
              <w:rPr>
                <w:rFonts w:ascii="Cambria" w:hAnsi="Cambria" w:cs="Calibri"/>
                <w:sz w:val="20"/>
                <w:szCs w:val="20"/>
                <w:lang w:val="es-PE"/>
              </w:rPr>
              <w:t xml:space="preserve"> 8 (</w:t>
            </w:r>
            <w:r w:rsidR="00162850">
              <w:rPr>
                <w:rFonts w:ascii="Cambria" w:hAnsi="Cambria" w:cs="Calibri"/>
                <w:sz w:val="20"/>
                <w:szCs w:val="20"/>
                <w:lang w:val="es-PE"/>
              </w:rPr>
              <w:t>g</w:t>
            </w:r>
            <w:r w:rsidR="00FE3C35" w:rsidRPr="00A86675">
              <w:rPr>
                <w:rFonts w:ascii="Cambria" w:hAnsi="Cambria" w:cs="Calibri"/>
                <w:sz w:val="20"/>
                <w:szCs w:val="20"/>
                <w:lang w:val="es-PE"/>
              </w:rPr>
              <w:t xml:space="preserve">arantías </w:t>
            </w:r>
            <w:r w:rsidR="00162850">
              <w:rPr>
                <w:rFonts w:ascii="Cambria" w:hAnsi="Cambria" w:cs="Calibri"/>
                <w:sz w:val="20"/>
                <w:szCs w:val="20"/>
                <w:lang w:val="es-PE"/>
              </w:rPr>
              <w:t>j</w:t>
            </w:r>
            <w:r w:rsidR="00FE3C35" w:rsidRPr="00A86675">
              <w:rPr>
                <w:rFonts w:ascii="Cambria" w:hAnsi="Cambria" w:cs="Calibri"/>
                <w:sz w:val="20"/>
                <w:szCs w:val="20"/>
                <w:lang w:val="es-PE"/>
              </w:rPr>
              <w:t>udiciales)</w:t>
            </w:r>
            <w:r w:rsidRPr="00A86675">
              <w:rPr>
                <w:rFonts w:ascii="Cambria" w:hAnsi="Cambria" w:cs="Calibri"/>
                <w:sz w:val="20"/>
                <w:szCs w:val="20"/>
                <w:lang w:val="es-PE"/>
              </w:rPr>
              <w:t>,</w:t>
            </w:r>
            <w:r w:rsidR="00FE3C35" w:rsidRPr="00A86675">
              <w:rPr>
                <w:rFonts w:ascii="Cambria" w:hAnsi="Cambria" w:cs="Calibri"/>
                <w:sz w:val="20"/>
                <w:szCs w:val="20"/>
                <w:lang w:val="es-PE"/>
              </w:rPr>
              <w:t xml:space="preserve"> 23 (</w:t>
            </w:r>
            <w:r w:rsidR="00162850">
              <w:rPr>
                <w:rFonts w:ascii="Cambria" w:hAnsi="Cambria" w:cs="Calibri"/>
                <w:sz w:val="20"/>
                <w:szCs w:val="20"/>
                <w:lang w:val="es-PE"/>
              </w:rPr>
              <w:t>d</w:t>
            </w:r>
            <w:r w:rsidR="00FE3C35" w:rsidRPr="00A86675">
              <w:rPr>
                <w:rFonts w:ascii="Cambria" w:hAnsi="Cambria" w:cs="Calibri"/>
                <w:sz w:val="20"/>
                <w:szCs w:val="20"/>
                <w:lang w:val="es-PE"/>
              </w:rPr>
              <w:t xml:space="preserve">erechos </w:t>
            </w:r>
            <w:r w:rsidR="00162850">
              <w:rPr>
                <w:rFonts w:ascii="Cambria" w:hAnsi="Cambria" w:cs="Calibri"/>
                <w:sz w:val="20"/>
                <w:szCs w:val="20"/>
                <w:lang w:val="es-PE"/>
              </w:rPr>
              <w:t>p</w:t>
            </w:r>
            <w:r w:rsidR="00FE3C35" w:rsidRPr="00A86675">
              <w:rPr>
                <w:rFonts w:ascii="Cambria" w:hAnsi="Cambria" w:cs="Calibri"/>
                <w:sz w:val="20"/>
                <w:szCs w:val="20"/>
                <w:lang w:val="es-PE"/>
              </w:rPr>
              <w:t>olíticos)</w:t>
            </w:r>
            <w:r w:rsidRPr="00A86675">
              <w:rPr>
                <w:rFonts w:ascii="Cambria" w:hAnsi="Cambria" w:cs="Calibri"/>
                <w:sz w:val="20"/>
                <w:szCs w:val="20"/>
                <w:lang w:val="es-PE"/>
              </w:rPr>
              <w:t>,</w:t>
            </w:r>
            <w:r w:rsidR="00861849" w:rsidRPr="00A86675">
              <w:rPr>
                <w:rFonts w:ascii="Cambria" w:hAnsi="Cambria" w:cs="Calibri"/>
                <w:sz w:val="20"/>
                <w:szCs w:val="20"/>
                <w:lang w:val="es-PE"/>
              </w:rPr>
              <w:t xml:space="preserve"> </w:t>
            </w:r>
            <w:r w:rsidR="00FE3C35" w:rsidRPr="00A86675">
              <w:rPr>
                <w:rFonts w:ascii="Cambria" w:hAnsi="Cambria" w:cs="Calibri"/>
                <w:sz w:val="20"/>
                <w:szCs w:val="20"/>
                <w:lang w:val="es-PE"/>
              </w:rPr>
              <w:t>25 (</w:t>
            </w:r>
            <w:r w:rsidR="00162850">
              <w:rPr>
                <w:rFonts w:ascii="Cambria" w:hAnsi="Cambria" w:cs="Calibri"/>
                <w:sz w:val="20"/>
                <w:szCs w:val="20"/>
                <w:lang w:val="es-PE"/>
              </w:rPr>
              <w:t>p</w:t>
            </w:r>
            <w:r w:rsidR="00FE3C35" w:rsidRPr="00A86675">
              <w:rPr>
                <w:rFonts w:ascii="Cambria" w:hAnsi="Cambria" w:cs="Calibri"/>
                <w:sz w:val="20"/>
                <w:szCs w:val="20"/>
                <w:lang w:val="es-PE"/>
              </w:rPr>
              <w:t xml:space="preserve">rotección </w:t>
            </w:r>
            <w:r w:rsidR="00162850">
              <w:rPr>
                <w:rFonts w:ascii="Cambria" w:hAnsi="Cambria" w:cs="Calibri"/>
                <w:sz w:val="20"/>
                <w:szCs w:val="20"/>
                <w:lang w:val="es-PE"/>
              </w:rPr>
              <w:t>j</w:t>
            </w:r>
            <w:r w:rsidR="00FE3C35" w:rsidRPr="00A86675">
              <w:rPr>
                <w:rFonts w:ascii="Cambria" w:hAnsi="Cambria" w:cs="Calibri"/>
                <w:sz w:val="20"/>
                <w:szCs w:val="20"/>
                <w:lang w:val="es-PE"/>
              </w:rPr>
              <w:t>udicial)</w:t>
            </w:r>
            <w:r w:rsidRPr="00A86675">
              <w:rPr>
                <w:rFonts w:ascii="Cambria" w:hAnsi="Cambria" w:cs="Calibri"/>
                <w:sz w:val="20"/>
                <w:szCs w:val="20"/>
                <w:lang w:val="es-PE"/>
              </w:rPr>
              <w:t xml:space="preserve"> y 26</w:t>
            </w:r>
            <w:r w:rsidR="00861849" w:rsidRPr="00A86675">
              <w:rPr>
                <w:rFonts w:ascii="Cambria" w:hAnsi="Cambria" w:cs="Calibri"/>
                <w:sz w:val="20"/>
                <w:szCs w:val="20"/>
                <w:lang w:val="es-PE"/>
              </w:rPr>
              <w:t xml:space="preserve"> </w:t>
            </w:r>
            <w:r w:rsidRPr="00A86675">
              <w:rPr>
                <w:rFonts w:ascii="Cambria" w:hAnsi="Cambria" w:cs="Calibri"/>
                <w:sz w:val="20"/>
                <w:szCs w:val="20"/>
                <w:lang w:val="es-PE"/>
              </w:rPr>
              <w:t>(</w:t>
            </w:r>
            <w:r w:rsidR="00162850">
              <w:rPr>
                <w:rFonts w:ascii="Cambria" w:hAnsi="Cambria" w:cs="Calibri"/>
                <w:sz w:val="20"/>
                <w:szCs w:val="20"/>
                <w:lang w:val="es-PE"/>
              </w:rPr>
              <w:t>d</w:t>
            </w:r>
            <w:r w:rsidRPr="00A86675">
              <w:rPr>
                <w:rFonts w:ascii="Cambria" w:hAnsi="Cambria" w:cs="Calibri"/>
                <w:sz w:val="20"/>
                <w:szCs w:val="20"/>
                <w:lang w:val="es-PE"/>
              </w:rPr>
              <w:t xml:space="preserve">erechos </w:t>
            </w:r>
            <w:r w:rsidR="00162850">
              <w:rPr>
                <w:rFonts w:ascii="Cambria" w:hAnsi="Cambria" w:cs="Calibri"/>
                <w:sz w:val="20"/>
                <w:szCs w:val="20"/>
                <w:lang w:val="es-PE"/>
              </w:rPr>
              <w:t>e</w:t>
            </w:r>
            <w:r w:rsidRPr="00A86675">
              <w:rPr>
                <w:rFonts w:ascii="Cambria" w:hAnsi="Cambria" w:cs="Calibri"/>
                <w:sz w:val="20"/>
                <w:szCs w:val="20"/>
                <w:lang w:val="es-PE"/>
              </w:rPr>
              <w:t xml:space="preserve">conómicos, </w:t>
            </w:r>
            <w:r w:rsidR="00162850">
              <w:rPr>
                <w:rFonts w:ascii="Cambria" w:hAnsi="Cambria" w:cs="Calibri"/>
                <w:sz w:val="20"/>
                <w:szCs w:val="20"/>
                <w:lang w:val="es-PE"/>
              </w:rPr>
              <w:t>s</w:t>
            </w:r>
            <w:r w:rsidRPr="00A86675">
              <w:rPr>
                <w:rFonts w:ascii="Cambria" w:hAnsi="Cambria" w:cs="Calibri"/>
                <w:sz w:val="20"/>
                <w:szCs w:val="20"/>
                <w:lang w:val="es-PE"/>
              </w:rPr>
              <w:t xml:space="preserve">ociales y </w:t>
            </w:r>
            <w:r w:rsidR="00162850">
              <w:rPr>
                <w:rFonts w:ascii="Cambria" w:hAnsi="Cambria" w:cs="Calibri"/>
                <w:sz w:val="20"/>
                <w:szCs w:val="20"/>
                <w:lang w:val="es-PE"/>
              </w:rPr>
              <w:t>c</w:t>
            </w:r>
            <w:r w:rsidRPr="00A86675">
              <w:rPr>
                <w:rFonts w:ascii="Cambria" w:hAnsi="Cambria" w:cs="Calibri"/>
                <w:sz w:val="20"/>
                <w:szCs w:val="20"/>
                <w:lang w:val="es-PE"/>
              </w:rPr>
              <w:t xml:space="preserve">ulturales) </w:t>
            </w:r>
            <w:r w:rsidR="00861849" w:rsidRPr="00A86675">
              <w:rPr>
                <w:rFonts w:ascii="Cambria" w:hAnsi="Cambria" w:cs="Calibri"/>
                <w:sz w:val="20"/>
                <w:szCs w:val="20"/>
                <w:lang w:val="es-PE"/>
              </w:rPr>
              <w:t>de la Convención Americana sobre Derechos Humanos</w:t>
            </w:r>
            <w:r w:rsidR="00D907CC" w:rsidRPr="00A86675">
              <w:rPr>
                <w:rFonts w:asciiTheme="majorHAnsi" w:hAnsiTheme="majorHAnsi"/>
                <w:bCs/>
                <w:sz w:val="20"/>
                <w:szCs w:val="20"/>
                <w:vertAlign w:val="superscript"/>
                <w:lang w:val="es-ES"/>
              </w:rPr>
              <w:footnoteReference w:id="2"/>
            </w:r>
            <w:r w:rsidRPr="00A86675">
              <w:rPr>
                <w:rFonts w:ascii="Cambria" w:hAnsi="Cambria" w:cs="Calibri"/>
                <w:sz w:val="20"/>
                <w:szCs w:val="20"/>
                <w:lang w:val="es-PE"/>
              </w:rPr>
              <w:t xml:space="preserve"> y ot</w:t>
            </w:r>
            <w:r>
              <w:rPr>
                <w:rFonts w:ascii="Cambria" w:hAnsi="Cambria" w:cs="Calibri"/>
                <w:sz w:val="20"/>
                <w:szCs w:val="20"/>
                <w:lang w:val="es-PE"/>
              </w:rPr>
              <w:t>ros instrumentos internacionales</w:t>
            </w:r>
            <w:r>
              <w:rPr>
                <w:rStyle w:val="FootnoteReference"/>
                <w:rFonts w:ascii="Cambria" w:hAnsi="Cambria" w:cs="Calibri"/>
                <w:sz w:val="20"/>
                <w:szCs w:val="20"/>
                <w:lang w:val="es-PE"/>
              </w:rPr>
              <w:footnoteReference w:id="3"/>
            </w:r>
          </w:p>
        </w:tc>
      </w:tr>
    </w:tbl>
    <w:p w14:paraId="20263696" w14:textId="77777777" w:rsidR="003239B8" w:rsidRPr="00BE17A0" w:rsidRDefault="003239B8" w:rsidP="003239B8">
      <w:pPr>
        <w:spacing w:before="240" w:after="240"/>
        <w:ind w:firstLine="720"/>
        <w:jc w:val="both"/>
        <w:rPr>
          <w:rFonts w:asciiTheme="majorHAnsi" w:hAnsiTheme="majorHAnsi"/>
          <w:b/>
          <w:bCs/>
          <w:sz w:val="20"/>
          <w:szCs w:val="20"/>
          <w:lang w:val="es-ES"/>
        </w:rPr>
      </w:pPr>
      <w:r w:rsidRPr="00BE17A0">
        <w:rPr>
          <w:rFonts w:asciiTheme="majorHAnsi" w:hAnsiTheme="majorHAnsi"/>
          <w:b/>
          <w:bCs/>
          <w:sz w:val="20"/>
          <w:szCs w:val="20"/>
          <w:lang w:val="es-ES"/>
        </w:rPr>
        <w:t>II.</w:t>
      </w:r>
      <w:r w:rsidRPr="00BE17A0">
        <w:rPr>
          <w:rFonts w:asciiTheme="majorHAnsi" w:hAnsiTheme="majorHAnsi"/>
          <w:b/>
          <w:bCs/>
          <w:sz w:val="20"/>
          <w:szCs w:val="20"/>
          <w:lang w:val="es-ES"/>
        </w:rPr>
        <w:tab/>
        <w:t>TRÁMITE ANTE LA CIDH</w:t>
      </w:r>
      <w:r w:rsidR="008E3BFE" w:rsidRPr="00BE17A0">
        <w:rPr>
          <w:rStyle w:val="FootnoteReference"/>
          <w:rFonts w:ascii="Cambria" w:hAnsi="Cambria"/>
          <w:b/>
          <w:sz w:val="20"/>
          <w:szCs w:val="20"/>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D907CC" w:rsidRPr="009C4811" w14:paraId="306EFCB0" w14:textId="77777777" w:rsidTr="40A9147A">
        <w:tc>
          <w:tcPr>
            <w:tcW w:w="3600" w:type="dxa"/>
            <w:vMerge w:val="restart"/>
            <w:tcBorders>
              <w:top w:val="single" w:sz="6" w:space="0" w:color="auto"/>
            </w:tcBorders>
            <w:shd w:val="clear" w:color="auto" w:fill="386294"/>
            <w:vAlign w:val="center"/>
          </w:tcPr>
          <w:p w14:paraId="7508D16F" w14:textId="653461D7" w:rsidR="00D907CC" w:rsidRPr="00EE1058" w:rsidRDefault="00D907CC" w:rsidP="004A6A54">
            <w:pPr>
              <w:jc w:val="center"/>
              <w:rPr>
                <w:rFonts w:ascii="Cambria" w:hAnsi="Cambria"/>
                <w:b/>
                <w:bCs/>
                <w:color w:val="FFFFFF" w:themeColor="background1"/>
                <w:sz w:val="20"/>
                <w:szCs w:val="20"/>
                <w:lang w:val="es-ES"/>
              </w:rPr>
            </w:pPr>
            <w:r w:rsidRPr="00EE1058">
              <w:rPr>
                <w:rFonts w:ascii="Cambria" w:hAnsi="Cambria"/>
                <w:b/>
                <w:bCs/>
                <w:color w:val="FFFFFF" w:themeColor="background1"/>
                <w:sz w:val="20"/>
                <w:szCs w:val="20"/>
                <w:lang w:val="es-ES"/>
              </w:rPr>
              <w:t>Presentación de la petición:</w:t>
            </w:r>
          </w:p>
        </w:tc>
        <w:tc>
          <w:tcPr>
            <w:tcW w:w="5760" w:type="dxa"/>
            <w:vAlign w:val="center"/>
          </w:tcPr>
          <w:p w14:paraId="6E579153" w14:textId="4C4018B7" w:rsidR="00D907CC" w:rsidRPr="00EE1058" w:rsidRDefault="00D907CC" w:rsidP="00010BC7">
            <w:pPr>
              <w:jc w:val="both"/>
              <w:rPr>
                <w:rFonts w:ascii="Cambria" w:hAnsi="Cambria"/>
                <w:bCs/>
                <w:sz w:val="20"/>
                <w:szCs w:val="20"/>
                <w:lang w:val="es-ES"/>
              </w:rPr>
            </w:pPr>
            <w:r w:rsidRPr="00EE1058">
              <w:rPr>
                <w:rFonts w:ascii="Cambria" w:hAnsi="Cambria"/>
                <w:b/>
                <w:sz w:val="20"/>
                <w:szCs w:val="20"/>
                <w:lang w:val="es-ES"/>
              </w:rPr>
              <w:t>P-2287-16:</w:t>
            </w:r>
            <w:r w:rsidRPr="00EE1058">
              <w:rPr>
                <w:rFonts w:ascii="Cambria" w:hAnsi="Cambria"/>
                <w:bCs/>
                <w:sz w:val="20"/>
                <w:szCs w:val="20"/>
                <w:lang w:val="es-ES"/>
              </w:rPr>
              <w:t xml:space="preserve"> </w:t>
            </w:r>
            <w:r>
              <w:rPr>
                <w:rFonts w:ascii="Cambria" w:hAnsi="Cambria"/>
                <w:bCs/>
                <w:sz w:val="20"/>
                <w:szCs w:val="20"/>
                <w:lang w:val="es-ES"/>
              </w:rPr>
              <w:t>17 de noviembre de 2016</w:t>
            </w:r>
          </w:p>
        </w:tc>
      </w:tr>
      <w:tr w:rsidR="00D907CC" w:rsidRPr="00212944" w14:paraId="4A1813EB" w14:textId="77777777" w:rsidTr="40A9147A">
        <w:tc>
          <w:tcPr>
            <w:tcW w:w="3600" w:type="dxa"/>
            <w:vMerge/>
            <w:vAlign w:val="center"/>
          </w:tcPr>
          <w:p w14:paraId="3285CB19" w14:textId="77777777" w:rsidR="00D907CC" w:rsidRPr="00EE1058" w:rsidRDefault="00D907CC" w:rsidP="002F65CD">
            <w:pPr>
              <w:jc w:val="center"/>
              <w:rPr>
                <w:rFonts w:ascii="Cambria" w:hAnsi="Cambria"/>
                <w:b/>
                <w:bCs/>
                <w:color w:val="FFFFFF" w:themeColor="background1"/>
                <w:sz w:val="20"/>
                <w:szCs w:val="20"/>
                <w:lang w:val="es-ES"/>
              </w:rPr>
            </w:pPr>
          </w:p>
        </w:tc>
        <w:tc>
          <w:tcPr>
            <w:tcW w:w="5760" w:type="dxa"/>
            <w:vAlign w:val="center"/>
          </w:tcPr>
          <w:p w14:paraId="51CD3FDE" w14:textId="16EBB590" w:rsidR="00D907CC" w:rsidRPr="00212944" w:rsidRDefault="00D907CC" w:rsidP="002F65CD">
            <w:pPr>
              <w:jc w:val="both"/>
              <w:rPr>
                <w:rFonts w:ascii="Cambria" w:hAnsi="Cambria"/>
                <w:bCs/>
                <w:sz w:val="20"/>
                <w:szCs w:val="20"/>
                <w:lang w:val="es-ES"/>
              </w:rPr>
            </w:pPr>
            <w:r w:rsidRPr="00212944">
              <w:rPr>
                <w:rFonts w:ascii="Cambria" w:hAnsi="Cambria"/>
                <w:b/>
                <w:sz w:val="20"/>
                <w:szCs w:val="20"/>
                <w:lang w:val="es-ES"/>
              </w:rPr>
              <w:t xml:space="preserve">P-2722-18: </w:t>
            </w:r>
            <w:r w:rsidRPr="00212944">
              <w:rPr>
                <w:rFonts w:ascii="Cambria" w:hAnsi="Cambria"/>
                <w:bCs/>
                <w:sz w:val="20"/>
                <w:szCs w:val="20"/>
                <w:lang w:val="es-ES"/>
              </w:rPr>
              <w:t>14 de diciembre de 2018</w:t>
            </w:r>
          </w:p>
        </w:tc>
      </w:tr>
      <w:tr w:rsidR="00D907CC" w:rsidRPr="00212944" w14:paraId="43D10880" w14:textId="77777777" w:rsidTr="40A9147A">
        <w:tc>
          <w:tcPr>
            <w:tcW w:w="3600" w:type="dxa"/>
            <w:vMerge/>
            <w:vAlign w:val="center"/>
          </w:tcPr>
          <w:p w14:paraId="28FEC26C" w14:textId="77777777" w:rsidR="00D907CC" w:rsidRPr="00212944" w:rsidRDefault="00D907CC" w:rsidP="002F65CD">
            <w:pPr>
              <w:jc w:val="center"/>
              <w:rPr>
                <w:rFonts w:ascii="Cambria" w:hAnsi="Cambria"/>
                <w:b/>
                <w:bCs/>
                <w:color w:val="FFFFFF" w:themeColor="background1"/>
                <w:sz w:val="20"/>
                <w:szCs w:val="20"/>
                <w:lang w:val="es-ES"/>
              </w:rPr>
            </w:pPr>
          </w:p>
        </w:tc>
        <w:tc>
          <w:tcPr>
            <w:tcW w:w="5760" w:type="dxa"/>
            <w:vAlign w:val="center"/>
          </w:tcPr>
          <w:p w14:paraId="50756C85" w14:textId="366A7DE8" w:rsidR="00D907CC" w:rsidRPr="00212944" w:rsidRDefault="00D907CC" w:rsidP="002F65CD">
            <w:pPr>
              <w:jc w:val="both"/>
              <w:rPr>
                <w:rFonts w:ascii="Cambria" w:hAnsi="Cambria"/>
                <w:bCs/>
                <w:sz w:val="20"/>
                <w:szCs w:val="20"/>
                <w:lang w:val="es-PE"/>
              </w:rPr>
            </w:pPr>
            <w:r w:rsidRPr="00212944">
              <w:rPr>
                <w:rFonts w:ascii="Cambria" w:hAnsi="Cambria"/>
                <w:b/>
                <w:sz w:val="20"/>
                <w:szCs w:val="20"/>
                <w:lang w:val="es-PE"/>
              </w:rPr>
              <w:t>P-2774-18:</w:t>
            </w:r>
            <w:r w:rsidRPr="00212944">
              <w:rPr>
                <w:rFonts w:ascii="Cambria" w:hAnsi="Cambria"/>
                <w:bCs/>
                <w:sz w:val="20"/>
                <w:szCs w:val="20"/>
                <w:lang w:val="es-PE"/>
              </w:rPr>
              <w:t xml:space="preserve"> 26 de febrero de 2018</w:t>
            </w:r>
          </w:p>
        </w:tc>
      </w:tr>
      <w:tr w:rsidR="00D907CC" w:rsidRPr="00212944" w14:paraId="17B2291B" w14:textId="77777777" w:rsidTr="40A9147A">
        <w:tc>
          <w:tcPr>
            <w:tcW w:w="3600" w:type="dxa"/>
            <w:vMerge/>
            <w:vAlign w:val="center"/>
          </w:tcPr>
          <w:p w14:paraId="4AEECCF1" w14:textId="77777777" w:rsidR="00D907CC" w:rsidRPr="00212944" w:rsidRDefault="00D907CC" w:rsidP="002F65CD">
            <w:pPr>
              <w:jc w:val="center"/>
              <w:rPr>
                <w:rFonts w:ascii="Cambria" w:hAnsi="Cambria"/>
                <w:b/>
                <w:bCs/>
                <w:color w:val="FFFFFF" w:themeColor="background1"/>
                <w:sz w:val="20"/>
                <w:szCs w:val="20"/>
                <w:lang w:val="es-PE"/>
              </w:rPr>
            </w:pPr>
          </w:p>
        </w:tc>
        <w:tc>
          <w:tcPr>
            <w:tcW w:w="5760" w:type="dxa"/>
            <w:vAlign w:val="center"/>
          </w:tcPr>
          <w:p w14:paraId="46391A48" w14:textId="00419F59" w:rsidR="00D907CC" w:rsidRPr="00212944" w:rsidRDefault="00D907CC" w:rsidP="002F65CD">
            <w:pPr>
              <w:jc w:val="both"/>
              <w:rPr>
                <w:rFonts w:ascii="Cambria" w:hAnsi="Cambria"/>
                <w:bCs/>
                <w:sz w:val="20"/>
                <w:szCs w:val="20"/>
                <w:lang w:val="es-PE"/>
              </w:rPr>
            </w:pPr>
            <w:r w:rsidRPr="00212944">
              <w:rPr>
                <w:rFonts w:ascii="Cambria" w:hAnsi="Cambria"/>
                <w:b/>
                <w:sz w:val="20"/>
                <w:szCs w:val="20"/>
                <w:lang w:val="es-PE"/>
              </w:rPr>
              <w:t>P-76-19:</w:t>
            </w:r>
            <w:r w:rsidRPr="00212944">
              <w:rPr>
                <w:rFonts w:ascii="Cambria" w:hAnsi="Cambria"/>
                <w:bCs/>
                <w:sz w:val="20"/>
                <w:szCs w:val="20"/>
                <w:lang w:val="es-PE"/>
              </w:rPr>
              <w:t xml:space="preserve"> 11 de enero de 2019</w:t>
            </w:r>
          </w:p>
        </w:tc>
      </w:tr>
      <w:tr w:rsidR="00D907CC" w:rsidRPr="00212944" w14:paraId="193928D0" w14:textId="77777777" w:rsidTr="40A9147A">
        <w:tc>
          <w:tcPr>
            <w:tcW w:w="3600" w:type="dxa"/>
            <w:vMerge/>
            <w:vAlign w:val="center"/>
          </w:tcPr>
          <w:p w14:paraId="4E9303EB" w14:textId="77777777" w:rsidR="00D907CC" w:rsidRPr="00212944" w:rsidRDefault="00D907CC" w:rsidP="002F65CD">
            <w:pPr>
              <w:jc w:val="center"/>
              <w:rPr>
                <w:rFonts w:ascii="Cambria" w:hAnsi="Cambria"/>
                <w:b/>
                <w:bCs/>
                <w:color w:val="FFFFFF" w:themeColor="background1"/>
                <w:sz w:val="20"/>
                <w:szCs w:val="20"/>
                <w:lang w:val="es-PE"/>
              </w:rPr>
            </w:pPr>
          </w:p>
        </w:tc>
        <w:tc>
          <w:tcPr>
            <w:tcW w:w="5760" w:type="dxa"/>
            <w:vAlign w:val="center"/>
          </w:tcPr>
          <w:p w14:paraId="790A3FA9" w14:textId="7E0A12A0" w:rsidR="00D907CC" w:rsidRPr="00212944" w:rsidRDefault="00D907CC" w:rsidP="002F65CD">
            <w:pPr>
              <w:jc w:val="both"/>
              <w:rPr>
                <w:rFonts w:ascii="Cambria" w:hAnsi="Cambria"/>
                <w:bCs/>
                <w:sz w:val="20"/>
                <w:szCs w:val="20"/>
                <w:lang w:val="es-ES"/>
              </w:rPr>
            </w:pPr>
            <w:r w:rsidRPr="00212944">
              <w:rPr>
                <w:rFonts w:ascii="Cambria" w:hAnsi="Cambria"/>
                <w:b/>
                <w:sz w:val="20"/>
                <w:szCs w:val="20"/>
                <w:lang w:val="es-PE"/>
              </w:rPr>
              <w:t>P-1124-19</w:t>
            </w:r>
            <w:r w:rsidRPr="00212944">
              <w:rPr>
                <w:rFonts w:ascii="Cambria" w:hAnsi="Cambria"/>
                <w:bCs/>
                <w:sz w:val="20"/>
                <w:szCs w:val="20"/>
                <w:lang w:val="es-PE"/>
              </w:rPr>
              <w:t>: 7 de mayo de 2019</w:t>
            </w:r>
          </w:p>
        </w:tc>
      </w:tr>
      <w:tr w:rsidR="00D907CC" w:rsidRPr="00212944" w14:paraId="3CB88E1D" w14:textId="77777777" w:rsidTr="40A9147A">
        <w:tc>
          <w:tcPr>
            <w:tcW w:w="3600" w:type="dxa"/>
            <w:vMerge/>
            <w:vAlign w:val="center"/>
          </w:tcPr>
          <w:p w14:paraId="777F3FCD" w14:textId="77777777" w:rsidR="00D907CC" w:rsidRPr="00212944" w:rsidRDefault="00D907CC" w:rsidP="002F65CD">
            <w:pPr>
              <w:jc w:val="center"/>
              <w:rPr>
                <w:rFonts w:ascii="Cambria" w:hAnsi="Cambria"/>
                <w:b/>
                <w:bCs/>
                <w:color w:val="FFFFFF" w:themeColor="background1"/>
                <w:sz w:val="20"/>
                <w:szCs w:val="20"/>
                <w:lang w:val="es-ES"/>
              </w:rPr>
            </w:pPr>
          </w:p>
        </w:tc>
        <w:tc>
          <w:tcPr>
            <w:tcW w:w="5760" w:type="dxa"/>
            <w:vAlign w:val="center"/>
          </w:tcPr>
          <w:p w14:paraId="67BF9B60" w14:textId="144A02C6" w:rsidR="00D907CC" w:rsidRPr="00212944" w:rsidRDefault="00D907CC" w:rsidP="002F65CD">
            <w:pPr>
              <w:jc w:val="both"/>
              <w:rPr>
                <w:rFonts w:ascii="Cambria" w:hAnsi="Cambria"/>
                <w:bCs/>
                <w:sz w:val="20"/>
                <w:szCs w:val="20"/>
                <w:lang w:val="pt-BR"/>
              </w:rPr>
            </w:pPr>
            <w:r w:rsidRPr="00212944">
              <w:rPr>
                <w:rFonts w:ascii="Cambria" w:hAnsi="Cambria"/>
                <w:b/>
                <w:sz w:val="20"/>
                <w:szCs w:val="20"/>
                <w:lang w:val="pt-BR"/>
              </w:rPr>
              <w:t>P-1217-19:</w:t>
            </w:r>
            <w:r w:rsidRPr="00212944">
              <w:rPr>
                <w:rFonts w:ascii="Cambria" w:hAnsi="Cambria"/>
                <w:bCs/>
                <w:sz w:val="20"/>
                <w:szCs w:val="20"/>
                <w:lang w:val="pt-BR"/>
              </w:rPr>
              <w:t xml:space="preserve"> 20 de mayo de 2019</w:t>
            </w:r>
          </w:p>
        </w:tc>
      </w:tr>
      <w:tr w:rsidR="00D907CC" w:rsidRPr="00212944" w14:paraId="1B4A63DD" w14:textId="77777777" w:rsidTr="40A9147A">
        <w:tc>
          <w:tcPr>
            <w:tcW w:w="3600" w:type="dxa"/>
            <w:vMerge/>
            <w:vAlign w:val="center"/>
          </w:tcPr>
          <w:p w14:paraId="5C5E063C" w14:textId="77777777" w:rsidR="00D907CC" w:rsidRPr="00212944" w:rsidRDefault="00D907CC" w:rsidP="002F65CD">
            <w:pPr>
              <w:jc w:val="center"/>
              <w:rPr>
                <w:rFonts w:ascii="Cambria" w:hAnsi="Cambria"/>
                <w:b/>
                <w:bCs/>
                <w:color w:val="FFFFFF" w:themeColor="background1"/>
                <w:sz w:val="20"/>
                <w:szCs w:val="20"/>
                <w:lang w:val="pt-BR"/>
              </w:rPr>
            </w:pPr>
          </w:p>
        </w:tc>
        <w:tc>
          <w:tcPr>
            <w:tcW w:w="5760" w:type="dxa"/>
            <w:vAlign w:val="center"/>
          </w:tcPr>
          <w:p w14:paraId="1E220C9B" w14:textId="3E46FAAF" w:rsidR="00D907CC" w:rsidRPr="00212944" w:rsidRDefault="00D907CC" w:rsidP="002F65CD">
            <w:pPr>
              <w:jc w:val="both"/>
              <w:rPr>
                <w:rFonts w:ascii="Cambria" w:hAnsi="Cambria"/>
                <w:bCs/>
                <w:sz w:val="20"/>
                <w:szCs w:val="20"/>
                <w:lang w:val="es-ES"/>
              </w:rPr>
            </w:pPr>
            <w:r w:rsidRPr="00212944">
              <w:rPr>
                <w:rFonts w:ascii="Cambria" w:hAnsi="Cambria"/>
                <w:b/>
                <w:sz w:val="20"/>
                <w:szCs w:val="20"/>
                <w:lang w:val="pt-BR"/>
              </w:rPr>
              <w:t xml:space="preserve">P-1228-19: </w:t>
            </w:r>
            <w:r w:rsidRPr="00212944">
              <w:rPr>
                <w:rFonts w:ascii="Cambria" w:hAnsi="Cambria"/>
                <w:bCs/>
                <w:sz w:val="20"/>
                <w:szCs w:val="20"/>
                <w:lang w:val="pt-BR"/>
              </w:rPr>
              <w:t>21 de mayo de 2019</w:t>
            </w:r>
          </w:p>
        </w:tc>
      </w:tr>
      <w:tr w:rsidR="00D907CC" w:rsidRPr="00212944" w14:paraId="28EE43AF" w14:textId="77777777" w:rsidTr="40A9147A">
        <w:tc>
          <w:tcPr>
            <w:tcW w:w="3600" w:type="dxa"/>
            <w:vMerge/>
            <w:vAlign w:val="center"/>
          </w:tcPr>
          <w:p w14:paraId="6718B1F8" w14:textId="77777777" w:rsidR="00D907CC" w:rsidRPr="00212944" w:rsidRDefault="00D907CC" w:rsidP="002F65CD">
            <w:pPr>
              <w:jc w:val="center"/>
              <w:rPr>
                <w:rFonts w:ascii="Cambria" w:hAnsi="Cambria"/>
                <w:b/>
                <w:bCs/>
                <w:color w:val="FFFFFF" w:themeColor="background1"/>
                <w:sz w:val="20"/>
                <w:szCs w:val="20"/>
                <w:lang w:val="es-ES"/>
              </w:rPr>
            </w:pPr>
          </w:p>
        </w:tc>
        <w:tc>
          <w:tcPr>
            <w:tcW w:w="5760" w:type="dxa"/>
            <w:vAlign w:val="center"/>
          </w:tcPr>
          <w:p w14:paraId="39706C0F" w14:textId="3905C2E9" w:rsidR="00D907CC" w:rsidRPr="00212944" w:rsidRDefault="00D907CC" w:rsidP="002F65CD">
            <w:pPr>
              <w:jc w:val="both"/>
              <w:rPr>
                <w:rFonts w:ascii="Cambria" w:hAnsi="Cambria"/>
                <w:bCs/>
                <w:sz w:val="20"/>
                <w:szCs w:val="20"/>
                <w:lang w:val="es-ES"/>
              </w:rPr>
            </w:pPr>
            <w:r w:rsidRPr="00212944">
              <w:rPr>
                <w:rFonts w:ascii="Cambria" w:hAnsi="Cambria"/>
                <w:b/>
                <w:sz w:val="20"/>
                <w:szCs w:val="20"/>
                <w:lang w:val="pt-BR"/>
              </w:rPr>
              <w:t xml:space="preserve">P-1278-19: </w:t>
            </w:r>
            <w:r w:rsidRPr="00212944">
              <w:rPr>
                <w:rFonts w:ascii="Cambria" w:hAnsi="Cambria"/>
                <w:bCs/>
                <w:sz w:val="20"/>
                <w:szCs w:val="20"/>
                <w:lang w:val="pt-BR"/>
              </w:rPr>
              <w:t>28 de mayo de 2019</w:t>
            </w:r>
          </w:p>
        </w:tc>
      </w:tr>
      <w:tr w:rsidR="00D907CC" w:rsidRPr="00BE2E9F" w14:paraId="2427834A" w14:textId="77777777" w:rsidTr="40A9147A">
        <w:tc>
          <w:tcPr>
            <w:tcW w:w="3600" w:type="dxa"/>
            <w:vMerge/>
            <w:vAlign w:val="center"/>
          </w:tcPr>
          <w:p w14:paraId="3CDCE546" w14:textId="77777777" w:rsidR="00D907CC" w:rsidRPr="00212944" w:rsidRDefault="00D907CC" w:rsidP="002F65CD">
            <w:pPr>
              <w:jc w:val="center"/>
              <w:rPr>
                <w:rFonts w:ascii="Cambria" w:hAnsi="Cambria"/>
                <w:b/>
                <w:bCs/>
                <w:color w:val="FFFFFF" w:themeColor="background1"/>
                <w:sz w:val="20"/>
                <w:szCs w:val="20"/>
                <w:lang w:val="es-ES"/>
              </w:rPr>
            </w:pPr>
          </w:p>
        </w:tc>
        <w:tc>
          <w:tcPr>
            <w:tcW w:w="5760" w:type="dxa"/>
            <w:vAlign w:val="center"/>
          </w:tcPr>
          <w:p w14:paraId="01549011" w14:textId="1CFCCBB8" w:rsidR="00D907CC" w:rsidRPr="00BE2E9F" w:rsidRDefault="00D907CC" w:rsidP="002F65CD">
            <w:pPr>
              <w:jc w:val="both"/>
              <w:rPr>
                <w:rFonts w:ascii="Cambria" w:hAnsi="Cambria"/>
                <w:b/>
                <w:sz w:val="20"/>
                <w:szCs w:val="20"/>
                <w:lang w:val="pt-BR"/>
              </w:rPr>
            </w:pPr>
            <w:r w:rsidRPr="00BE2E9F">
              <w:rPr>
                <w:rFonts w:ascii="Cambria" w:hAnsi="Cambria"/>
                <w:b/>
                <w:sz w:val="20"/>
                <w:szCs w:val="20"/>
                <w:lang w:val="pt-BR"/>
              </w:rPr>
              <w:t>P-1279-19:</w:t>
            </w:r>
            <w:r w:rsidR="00BE2E9F" w:rsidRPr="00BE2E9F">
              <w:rPr>
                <w:rFonts w:ascii="Cambria" w:hAnsi="Cambria"/>
                <w:b/>
                <w:sz w:val="20"/>
                <w:szCs w:val="20"/>
                <w:lang w:val="pt-BR"/>
              </w:rPr>
              <w:t xml:space="preserve"> </w:t>
            </w:r>
            <w:r w:rsidR="00BE2E9F" w:rsidRPr="00BE2E9F">
              <w:rPr>
                <w:rFonts w:ascii="Cambria" w:hAnsi="Cambria"/>
                <w:bCs/>
                <w:sz w:val="20"/>
                <w:szCs w:val="20"/>
                <w:lang w:val="pt-BR"/>
              </w:rPr>
              <w:t>28 de mayo de 2019</w:t>
            </w:r>
          </w:p>
        </w:tc>
      </w:tr>
      <w:tr w:rsidR="00D907CC" w:rsidRPr="00BE2E9F" w14:paraId="41D9D683" w14:textId="77777777" w:rsidTr="40A9147A">
        <w:tc>
          <w:tcPr>
            <w:tcW w:w="3600" w:type="dxa"/>
            <w:vMerge/>
            <w:vAlign w:val="center"/>
          </w:tcPr>
          <w:p w14:paraId="0AC5BBC7" w14:textId="77777777" w:rsidR="00D907CC" w:rsidRPr="00212944" w:rsidRDefault="00D907CC" w:rsidP="00212944">
            <w:pPr>
              <w:jc w:val="center"/>
              <w:rPr>
                <w:rFonts w:ascii="Cambria" w:hAnsi="Cambria"/>
                <w:b/>
                <w:bCs/>
                <w:color w:val="FFFFFF" w:themeColor="background1"/>
                <w:sz w:val="20"/>
                <w:szCs w:val="20"/>
                <w:lang w:val="es-ES"/>
              </w:rPr>
            </w:pPr>
          </w:p>
        </w:tc>
        <w:tc>
          <w:tcPr>
            <w:tcW w:w="5760" w:type="dxa"/>
            <w:vAlign w:val="center"/>
          </w:tcPr>
          <w:p w14:paraId="5EC18A0C" w14:textId="6B26CF7C" w:rsidR="00D907CC" w:rsidRPr="00BE2E9F" w:rsidRDefault="00D907CC" w:rsidP="00212944">
            <w:pPr>
              <w:jc w:val="both"/>
              <w:rPr>
                <w:rFonts w:ascii="Cambria" w:hAnsi="Cambria"/>
                <w:b/>
                <w:sz w:val="20"/>
                <w:szCs w:val="20"/>
                <w:lang w:val="pt-BR"/>
              </w:rPr>
            </w:pPr>
            <w:r w:rsidRPr="00BE2E9F">
              <w:rPr>
                <w:rFonts w:ascii="Cambria" w:hAnsi="Cambria"/>
                <w:b/>
                <w:sz w:val="20"/>
                <w:szCs w:val="20"/>
                <w:lang w:val="pt-BR"/>
              </w:rPr>
              <w:t>P-1428-19:</w:t>
            </w:r>
            <w:r w:rsidR="00BE2E9F" w:rsidRPr="00BE2E9F">
              <w:rPr>
                <w:rFonts w:ascii="Cambria" w:hAnsi="Cambria"/>
                <w:b/>
                <w:sz w:val="20"/>
                <w:szCs w:val="20"/>
                <w:lang w:val="pt-BR"/>
              </w:rPr>
              <w:t xml:space="preserve"> </w:t>
            </w:r>
            <w:r w:rsidR="00BE2E9F" w:rsidRPr="00BE2E9F">
              <w:rPr>
                <w:rFonts w:ascii="Cambria" w:hAnsi="Cambria"/>
                <w:bCs/>
                <w:sz w:val="20"/>
                <w:szCs w:val="20"/>
                <w:lang w:val="pt-BR"/>
              </w:rPr>
              <w:t>13 de junio de 2019</w:t>
            </w:r>
          </w:p>
        </w:tc>
      </w:tr>
      <w:tr w:rsidR="00D907CC" w:rsidRPr="00212944" w14:paraId="1523A1FB" w14:textId="77777777" w:rsidTr="40A9147A">
        <w:tc>
          <w:tcPr>
            <w:tcW w:w="3600" w:type="dxa"/>
            <w:vMerge/>
            <w:vAlign w:val="center"/>
          </w:tcPr>
          <w:p w14:paraId="47DC1EF2" w14:textId="77777777" w:rsidR="00D907CC" w:rsidRPr="00212944" w:rsidRDefault="00D907CC" w:rsidP="00212944">
            <w:pPr>
              <w:jc w:val="center"/>
              <w:rPr>
                <w:rFonts w:ascii="Cambria" w:hAnsi="Cambria"/>
                <w:b/>
                <w:bCs/>
                <w:color w:val="FFFFFF" w:themeColor="background1"/>
                <w:sz w:val="20"/>
                <w:szCs w:val="20"/>
                <w:lang w:val="es-ES"/>
              </w:rPr>
            </w:pPr>
          </w:p>
        </w:tc>
        <w:tc>
          <w:tcPr>
            <w:tcW w:w="5760" w:type="dxa"/>
            <w:vAlign w:val="center"/>
          </w:tcPr>
          <w:p w14:paraId="629BFC1C" w14:textId="5F110830" w:rsidR="00D907CC" w:rsidRPr="00650BDD" w:rsidRDefault="00D907CC" w:rsidP="00212944">
            <w:pPr>
              <w:jc w:val="both"/>
              <w:rPr>
                <w:rFonts w:ascii="Cambria" w:hAnsi="Cambria"/>
                <w:b/>
                <w:sz w:val="20"/>
                <w:szCs w:val="20"/>
                <w:lang w:val="pt-BR"/>
              </w:rPr>
            </w:pPr>
            <w:r w:rsidRPr="00650BDD">
              <w:rPr>
                <w:rFonts w:ascii="Cambria" w:hAnsi="Cambria"/>
                <w:b/>
                <w:sz w:val="20"/>
                <w:szCs w:val="20"/>
                <w:lang w:val="pt-BR"/>
              </w:rPr>
              <w:t>P-1563-19:</w:t>
            </w:r>
            <w:r w:rsidR="00D53D13" w:rsidRPr="00650BDD">
              <w:rPr>
                <w:rFonts w:ascii="Cambria" w:hAnsi="Cambria"/>
                <w:b/>
                <w:sz w:val="20"/>
                <w:szCs w:val="20"/>
                <w:lang w:val="pt-BR"/>
              </w:rPr>
              <w:t xml:space="preserve"> </w:t>
            </w:r>
            <w:r w:rsidR="00D53D13" w:rsidRPr="00650BDD">
              <w:rPr>
                <w:rFonts w:ascii="Cambria" w:hAnsi="Cambria"/>
                <w:bCs/>
                <w:sz w:val="20"/>
                <w:szCs w:val="20"/>
                <w:lang w:val="pt-BR"/>
              </w:rPr>
              <w:t>9 de julio de 2019</w:t>
            </w:r>
          </w:p>
        </w:tc>
      </w:tr>
      <w:tr w:rsidR="00D907CC" w:rsidRPr="00212944" w14:paraId="49703383" w14:textId="77777777" w:rsidTr="40A9147A">
        <w:tc>
          <w:tcPr>
            <w:tcW w:w="3600" w:type="dxa"/>
            <w:vMerge/>
            <w:vAlign w:val="center"/>
          </w:tcPr>
          <w:p w14:paraId="68934348" w14:textId="77777777" w:rsidR="00D907CC" w:rsidRPr="00212944" w:rsidRDefault="00D907CC" w:rsidP="00212944">
            <w:pPr>
              <w:jc w:val="center"/>
              <w:rPr>
                <w:rFonts w:ascii="Cambria" w:hAnsi="Cambria"/>
                <w:b/>
                <w:bCs/>
                <w:color w:val="FFFFFF" w:themeColor="background1"/>
                <w:sz w:val="20"/>
                <w:szCs w:val="20"/>
                <w:lang w:val="es-ES"/>
              </w:rPr>
            </w:pPr>
          </w:p>
        </w:tc>
        <w:tc>
          <w:tcPr>
            <w:tcW w:w="5760" w:type="dxa"/>
            <w:vAlign w:val="center"/>
          </w:tcPr>
          <w:p w14:paraId="74891179" w14:textId="662D7B79" w:rsidR="00D907CC" w:rsidRPr="00650BDD" w:rsidRDefault="00D907CC" w:rsidP="00212944">
            <w:pPr>
              <w:jc w:val="both"/>
              <w:rPr>
                <w:rFonts w:ascii="Cambria" w:hAnsi="Cambria"/>
                <w:b/>
                <w:sz w:val="20"/>
                <w:szCs w:val="20"/>
                <w:lang w:val="pt-BR"/>
              </w:rPr>
            </w:pPr>
            <w:r w:rsidRPr="00650BDD">
              <w:rPr>
                <w:rFonts w:ascii="Cambria" w:hAnsi="Cambria"/>
                <w:b/>
                <w:sz w:val="20"/>
                <w:szCs w:val="20"/>
                <w:lang w:val="pt-BR"/>
              </w:rPr>
              <w:t>P-1677-19:</w:t>
            </w:r>
            <w:r w:rsidR="00650BDD" w:rsidRPr="00650BDD">
              <w:rPr>
                <w:rFonts w:ascii="Cambria" w:hAnsi="Cambria"/>
                <w:b/>
                <w:sz w:val="20"/>
                <w:szCs w:val="20"/>
                <w:lang w:val="pt-BR"/>
              </w:rPr>
              <w:t xml:space="preserve"> </w:t>
            </w:r>
            <w:r w:rsidR="00650BDD" w:rsidRPr="00650BDD">
              <w:rPr>
                <w:rFonts w:ascii="Cambria" w:hAnsi="Cambria"/>
                <w:bCs/>
                <w:sz w:val="20"/>
                <w:szCs w:val="20"/>
                <w:lang w:val="pt-BR"/>
              </w:rPr>
              <w:t>20 de julio de 2019</w:t>
            </w:r>
          </w:p>
        </w:tc>
      </w:tr>
      <w:tr w:rsidR="00D907CC" w:rsidRPr="00212944" w14:paraId="33A8CC1A" w14:textId="77777777" w:rsidTr="40A9147A">
        <w:tc>
          <w:tcPr>
            <w:tcW w:w="3600" w:type="dxa"/>
            <w:vMerge/>
            <w:vAlign w:val="center"/>
          </w:tcPr>
          <w:p w14:paraId="244659F7" w14:textId="77777777" w:rsidR="00D907CC" w:rsidRPr="00212944" w:rsidRDefault="00D907CC" w:rsidP="00212944">
            <w:pPr>
              <w:jc w:val="center"/>
              <w:rPr>
                <w:rFonts w:ascii="Cambria" w:hAnsi="Cambria"/>
                <w:b/>
                <w:bCs/>
                <w:color w:val="FFFFFF" w:themeColor="background1"/>
                <w:sz w:val="20"/>
                <w:szCs w:val="20"/>
                <w:lang w:val="es-ES"/>
              </w:rPr>
            </w:pPr>
          </w:p>
        </w:tc>
        <w:tc>
          <w:tcPr>
            <w:tcW w:w="5760" w:type="dxa"/>
            <w:vAlign w:val="center"/>
          </w:tcPr>
          <w:p w14:paraId="39F629A7" w14:textId="13F53FC2" w:rsidR="00D907CC" w:rsidRPr="00212944" w:rsidRDefault="00D907CC" w:rsidP="00212944">
            <w:pPr>
              <w:jc w:val="both"/>
              <w:rPr>
                <w:rFonts w:ascii="Cambria" w:hAnsi="Cambria"/>
                <w:b/>
                <w:sz w:val="20"/>
                <w:szCs w:val="20"/>
                <w:highlight w:val="green"/>
                <w:lang w:val="pt-BR"/>
              </w:rPr>
            </w:pPr>
            <w:r w:rsidRPr="007A42A0">
              <w:rPr>
                <w:rFonts w:ascii="Cambria" w:hAnsi="Cambria"/>
                <w:b/>
                <w:sz w:val="20"/>
                <w:szCs w:val="20"/>
                <w:lang w:val="pt-BR"/>
              </w:rPr>
              <w:t>P-1736-19:</w:t>
            </w:r>
            <w:r w:rsidR="007A42A0" w:rsidRPr="007A42A0">
              <w:rPr>
                <w:rFonts w:ascii="Cambria" w:hAnsi="Cambria"/>
                <w:b/>
                <w:sz w:val="20"/>
                <w:szCs w:val="20"/>
                <w:lang w:val="pt-BR"/>
              </w:rPr>
              <w:t xml:space="preserve"> </w:t>
            </w:r>
            <w:r w:rsidR="007A42A0" w:rsidRPr="007A42A0">
              <w:rPr>
                <w:rFonts w:ascii="Cambria" w:hAnsi="Cambria"/>
                <w:bCs/>
                <w:sz w:val="20"/>
                <w:szCs w:val="20"/>
                <w:lang w:val="pt-BR"/>
              </w:rPr>
              <w:t>31 de julio de 2019</w:t>
            </w:r>
          </w:p>
        </w:tc>
      </w:tr>
      <w:tr w:rsidR="00D907CC" w:rsidRPr="00212944" w14:paraId="22C5D5C4" w14:textId="77777777" w:rsidTr="40A9147A">
        <w:tc>
          <w:tcPr>
            <w:tcW w:w="3600" w:type="dxa"/>
            <w:vMerge/>
            <w:vAlign w:val="center"/>
          </w:tcPr>
          <w:p w14:paraId="1B1E8200" w14:textId="77777777" w:rsidR="00D907CC" w:rsidRPr="00212944" w:rsidRDefault="00D907CC" w:rsidP="00212944">
            <w:pPr>
              <w:jc w:val="center"/>
              <w:rPr>
                <w:rFonts w:ascii="Cambria" w:hAnsi="Cambria"/>
                <w:b/>
                <w:bCs/>
                <w:color w:val="FFFFFF" w:themeColor="background1"/>
                <w:sz w:val="20"/>
                <w:szCs w:val="20"/>
                <w:lang w:val="es-ES"/>
              </w:rPr>
            </w:pPr>
          </w:p>
        </w:tc>
        <w:tc>
          <w:tcPr>
            <w:tcW w:w="5760" w:type="dxa"/>
            <w:vAlign w:val="center"/>
          </w:tcPr>
          <w:p w14:paraId="7C6DFE68" w14:textId="6826D9EB" w:rsidR="00D907CC" w:rsidRDefault="00D907CC" w:rsidP="00212944">
            <w:pPr>
              <w:jc w:val="both"/>
              <w:rPr>
                <w:rFonts w:ascii="Cambria" w:hAnsi="Cambria"/>
                <w:b/>
                <w:sz w:val="20"/>
                <w:szCs w:val="20"/>
                <w:highlight w:val="green"/>
                <w:lang w:val="pt-BR"/>
              </w:rPr>
            </w:pPr>
            <w:r w:rsidRPr="00717DAF">
              <w:rPr>
                <w:rFonts w:ascii="Cambria" w:hAnsi="Cambria"/>
                <w:b/>
                <w:sz w:val="20"/>
                <w:szCs w:val="20"/>
                <w:lang w:val="pt-BR"/>
              </w:rPr>
              <w:t>P-2284-19:</w:t>
            </w:r>
            <w:r w:rsidR="00717DAF" w:rsidRPr="00717DAF">
              <w:rPr>
                <w:rFonts w:ascii="Cambria" w:hAnsi="Cambria"/>
                <w:b/>
                <w:sz w:val="20"/>
                <w:szCs w:val="20"/>
                <w:lang w:val="pt-BR"/>
              </w:rPr>
              <w:t xml:space="preserve"> </w:t>
            </w:r>
            <w:r w:rsidR="00717DAF" w:rsidRPr="00717DAF">
              <w:rPr>
                <w:rFonts w:ascii="Cambria" w:hAnsi="Cambria"/>
                <w:bCs/>
                <w:sz w:val="20"/>
                <w:szCs w:val="20"/>
                <w:lang w:val="pt-BR"/>
              </w:rPr>
              <w:t>8 de octubre de 2010</w:t>
            </w:r>
          </w:p>
        </w:tc>
      </w:tr>
      <w:tr w:rsidR="00D907CC" w:rsidRPr="00212944" w14:paraId="4C12A9DD" w14:textId="77777777" w:rsidTr="40A9147A">
        <w:tc>
          <w:tcPr>
            <w:tcW w:w="3600" w:type="dxa"/>
            <w:vMerge/>
            <w:vAlign w:val="center"/>
          </w:tcPr>
          <w:p w14:paraId="6AF1821E" w14:textId="77777777" w:rsidR="00D907CC" w:rsidRPr="00212944" w:rsidRDefault="00D907CC" w:rsidP="00212944">
            <w:pPr>
              <w:jc w:val="center"/>
              <w:rPr>
                <w:rFonts w:ascii="Cambria" w:hAnsi="Cambria"/>
                <w:b/>
                <w:bCs/>
                <w:color w:val="FFFFFF" w:themeColor="background1"/>
                <w:sz w:val="20"/>
                <w:szCs w:val="20"/>
                <w:lang w:val="es-ES"/>
              </w:rPr>
            </w:pPr>
          </w:p>
        </w:tc>
        <w:tc>
          <w:tcPr>
            <w:tcW w:w="5760" w:type="dxa"/>
            <w:vAlign w:val="center"/>
          </w:tcPr>
          <w:p w14:paraId="4E19BA73" w14:textId="4CCDB08F" w:rsidR="00D907CC" w:rsidRPr="008442AF" w:rsidRDefault="00D907CC" w:rsidP="00212944">
            <w:pPr>
              <w:jc w:val="both"/>
              <w:rPr>
                <w:rFonts w:ascii="Cambria" w:hAnsi="Cambria"/>
                <w:b/>
                <w:sz w:val="20"/>
                <w:szCs w:val="20"/>
                <w:lang w:val="pt-BR"/>
              </w:rPr>
            </w:pPr>
            <w:r w:rsidRPr="008442AF">
              <w:rPr>
                <w:rFonts w:ascii="Cambria" w:hAnsi="Cambria"/>
                <w:b/>
                <w:sz w:val="20"/>
                <w:szCs w:val="20"/>
                <w:lang w:val="pt-BR"/>
              </w:rPr>
              <w:t>P-2625-19:</w:t>
            </w:r>
            <w:r w:rsidR="00717DAF" w:rsidRPr="008442AF">
              <w:rPr>
                <w:rFonts w:ascii="Cambria" w:hAnsi="Cambria"/>
                <w:bCs/>
                <w:sz w:val="20"/>
                <w:szCs w:val="20"/>
                <w:lang w:val="pt-BR"/>
              </w:rPr>
              <w:t xml:space="preserve"> 6 de noviembre de 2019</w:t>
            </w:r>
          </w:p>
        </w:tc>
      </w:tr>
      <w:tr w:rsidR="00D907CC" w:rsidRPr="00212944" w14:paraId="02A677EA" w14:textId="77777777" w:rsidTr="40A9147A">
        <w:tc>
          <w:tcPr>
            <w:tcW w:w="3600" w:type="dxa"/>
            <w:vMerge/>
            <w:vAlign w:val="center"/>
          </w:tcPr>
          <w:p w14:paraId="5DA2B6D3" w14:textId="77777777" w:rsidR="00D907CC" w:rsidRPr="00212944" w:rsidRDefault="00D907CC" w:rsidP="00212944">
            <w:pPr>
              <w:jc w:val="center"/>
              <w:rPr>
                <w:rFonts w:ascii="Cambria" w:hAnsi="Cambria"/>
                <w:b/>
                <w:bCs/>
                <w:color w:val="FFFFFF" w:themeColor="background1"/>
                <w:sz w:val="20"/>
                <w:szCs w:val="20"/>
                <w:lang w:val="es-ES"/>
              </w:rPr>
            </w:pPr>
          </w:p>
        </w:tc>
        <w:tc>
          <w:tcPr>
            <w:tcW w:w="5760" w:type="dxa"/>
            <w:vAlign w:val="center"/>
          </w:tcPr>
          <w:p w14:paraId="464C92BF" w14:textId="7DD622C6" w:rsidR="00D907CC" w:rsidRPr="008442AF" w:rsidRDefault="00D907CC" w:rsidP="00212944">
            <w:pPr>
              <w:jc w:val="both"/>
              <w:rPr>
                <w:rFonts w:ascii="Cambria" w:hAnsi="Cambria"/>
                <w:b/>
                <w:sz w:val="20"/>
                <w:szCs w:val="20"/>
                <w:lang w:val="pt-BR"/>
              </w:rPr>
            </w:pPr>
            <w:r w:rsidRPr="008442AF">
              <w:rPr>
                <w:rFonts w:ascii="Cambria" w:hAnsi="Cambria"/>
                <w:b/>
                <w:sz w:val="20"/>
                <w:szCs w:val="20"/>
                <w:lang w:val="pt-BR"/>
              </w:rPr>
              <w:t>P-3126-19:</w:t>
            </w:r>
            <w:r w:rsidR="008442AF" w:rsidRPr="008442AF">
              <w:rPr>
                <w:rFonts w:ascii="Cambria" w:hAnsi="Cambria"/>
                <w:b/>
                <w:sz w:val="20"/>
                <w:szCs w:val="20"/>
                <w:lang w:val="pt-BR"/>
              </w:rPr>
              <w:t xml:space="preserve"> </w:t>
            </w:r>
            <w:r w:rsidR="008442AF" w:rsidRPr="00A86675">
              <w:rPr>
                <w:rFonts w:ascii="Cambria" w:hAnsi="Cambria"/>
                <w:bCs/>
                <w:sz w:val="20"/>
                <w:szCs w:val="20"/>
                <w:lang w:val="pt-BR"/>
              </w:rPr>
              <w:t>13 de marzo de 2019</w:t>
            </w:r>
          </w:p>
        </w:tc>
      </w:tr>
      <w:tr w:rsidR="00D907CC" w:rsidRPr="0088642B" w14:paraId="337129E8" w14:textId="77777777" w:rsidTr="40A9147A">
        <w:tc>
          <w:tcPr>
            <w:tcW w:w="3600" w:type="dxa"/>
            <w:vMerge w:val="restart"/>
            <w:tcBorders>
              <w:top w:val="single" w:sz="6" w:space="0" w:color="auto"/>
            </w:tcBorders>
            <w:shd w:val="clear" w:color="auto" w:fill="386294"/>
            <w:vAlign w:val="center"/>
          </w:tcPr>
          <w:p w14:paraId="3D52E482" w14:textId="0FA8B3B3" w:rsidR="00D907CC" w:rsidRPr="00212944" w:rsidRDefault="00D907CC" w:rsidP="00212944">
            <w:pPr>
              <w:jc w:val="center"/>
              <w:rPr>
                <w:rFonts w:ascii="Cambria" w:hAnsi="Cambria"/>
                <w:b/>
                <w:bCs/>
                <w:color w:val="FFFFFF" w:themeColor="background1"/>
                <w:sz w:val="20"/>
                <w:szCs w:val="20"/>
                <w:lang w:val="es-ES"/>
              </w:rPr>
            </w:pPr>
            <w:r w:rsidRPr="00212944">
              <w:rPr>
                <w:rFonts w:ascii="Cambria" w:hAnsi="Cambria"/>
                <w:b/>
                <w:bCs/>
                <w:color w:val="FFFFFF" w:themeColor="background1"/>
                <w:sz w:val="20"/>
                <w:szCs w:val="20"/>
                <w:lang w:val="es-ES"/>
              </w:rPr>
              <w:lastRenderedPageBreak/>
              <w:t>Información adicional recibida durante la etapa de estudio:</w:t>
            </w:r>
          </w:p>
        </w:tc>
        <w:tc>
          <w:tcPr>
            <w:tcW w:w="5760" w:type="dxa"/>
            <w:vAlign w:val="center"/>
          </w:tcPr>
          <w:p w14:paraId="30151270" w14:textId="12F895EB" w:rsidR="00D907CC" w:rsidRPr="00212944" w:rsidRDefault="00D907CC" w:rsidP="00212944">
            <w:pPr>
              <w:jc w:val="both"/>
              <w:rPr>
                <w:rFonts w:ascii="Cambria" w:hAnsi="Cambria"/>
                <w:b/>
                <w:sz w:val="20"/>
                <w:szCs w:val="20"/>
                <w:lang w:val="es-ES"/>
              </w:rPr>
            </w:pPr>
            <w:r w:rsidRPr="00212944">
              <w:rPr>
                <w:rFonts w:ascii="Cambria" w:hAnsi="Cambria"/>
                <w:b/>
                <w:sz w:val="20"/>
                <w:szCs w:val="20"/>
                <w:lang w:val="es-ES"/>
              </w:rPr>
              <w:t xml:space="preserve">P-2287-16: </w:t>
            </w:r>
            <w:r w:rsidRPr="00212944">
              <w:rPr>
                <w:rFonts w:ascii="Cambria" w:hAnsi="Cambria"/>
                <w:bCs/>
                <w:sz w:val="20"/>
                <w:szCs w:val="20"/>
                <w:lang w:val="es-ES"/>
              </w:rPr>
              <w:t>9 de diciembre de 2016, 3 de febrero de 2017 y 23 de marzo de 2017</w:t>
            </w:r>
          </w:p>
        </w:tc>
      </w:tr>
      <w:tr w:rsidR="00D907CC" w:rsidRPr="0088642B" w14:paraId="2C1DE4F8" w14:textId="77777777" w:rsidTr="40A9147A">
        <w:tc>
          <w:tcPr>
            <w:tcW w:w="3600" w:type="dxa"/>
            <w:vMerge/>
            <w:vAlign w:val="center"/>
          </w:tcPr>
          <w:p w14:paraId="0CED0CD3" w14:textId="77777777" w:rsidR="00D907CC" w:rsidRPr="00212944" w:rsidRDefault="00D907CC" w:rsidP="00212944">
            <w:pPr>
              <w:jc w:val="center"/>
              <w:rPr>
                <w:rFonts w:ascii="Cambria" w:hAnsi="Cambria"/>
                <w:b/>
                <w:bCs/>
                <w:color w:val="FFFFFF" w:themeColor="background1"/>
                <w:sz w:val="20"/>
                <w:szCs w:val="20"/>
                <w:lang w:val="es-ES"/>
              </w:rPr>
            </w:pPr>
          </w:p>
        </w:tc>
        <w:tc>
          <w:tcPr>
            <w:tcW w:w="5760" w:type="dxa"/>
            <w:vAlign w:val="center"/>
          </w:tcPr>
          <w:p w14:paraId="7D11BA1D" w14:textId="640E32C3" w:rsidR="00D907CC" w:rsidRPr="00212944" w:rsidRDefault="00D907CC" w:rsidP="00212944">
            <w:pPr>
              <w:jc w:val="both"/>
              <w:rPr>
                <w:rFonts w:ascii="Cambria" w:hAnsi="Cambria"/>
                <w:bCs/>
                <w:sz w:val="20"/>
                <w:szCs w:val="20"/>
                <w:lang w:val="es-ES"/>
              </w:rPr>
            </w:pPr>
            <w:r w:rsidRPr="00212944">
              <w:rPr>
                <w:rFonts w:ascii="Cambria" w:hAnsi="Cambria"/>
                <w:b/>
                <w:sz w:val="20"/>
                <w:szCs w:val="20"/>
                <w:lang w:val="es-ES"/>
              </w:rPr>
              <w:t xml:space="preserve">P-2722-18: </w:t>
            </w:r>
            <w:r w:rsidRPr="00212944">
              <w:rPr>
                <w:rFonts w:ascii="Cambria" w:hAnsi="Cambria"/>
                <w:bCs/>
                <w:sz w:val="20"/>
                <w:szCs w:val="20"/>
                <w:lang w:val="es-ES"/>
              </w:rPr>
              <w:t>28 de enero de 2019, 22 de febrero de 2022, 12 de marzo de 2019, 22 de febrero de 2022, 10 de mayo de 2019, 21 de mayo de 2019, 27 de junio de 2019, 28 de junio de 2019, 16 de noviembre de 2021 y 2 de febrero de 2022</w:t>
            </w:r>
            <w:r w:rsidRPr="00212944">
              <w:rPr>
                <w:rFonts w:ascii="Cambria" w:hAnsi="Cambria"/>
                <w:b/>
                <w:sz w:val="20"/>
                <w:szCs w:val="20"/>
                <w:lang w:val="es-ES"/>
              </w:rPr>
              <w:t xml:space="preserve"> </w:t>
            </w:r>
            <w:r w:rsidRPr="00212944">
              <w:rPr>
                <w:rFonts w:ascii="Cambria" w:hAnsi="Cambria"/>
                <w:bCs/>
                <w:sz w:val="20"/>
                <w:szCs w:val="20"/>
                <w:lang w:val="es-ES"/>
              </w:rPr>
              <w:t xml:space="preserve"> </w:t>
            </w:r>
          </w:p>
        </w:tc>
      </w:tr>
      <w:tr w:rsidR="00D907CC" w:rsidRPr="0088642B" w14:paraId="5F0AA2A0" w14:textId="77777777" w:rsidTr="40A9147A">
        <w:tc>
          <w:tcPr>
            <w:tcW w:w="3600" w:type="dxa"/>
            <w:vMerge/>
            <w:vAlign w:val="center"/>
          </w:tcPr>
          <w:p w14:paraId="15B8FAAE" w14:textId="77777777" w:rsidR="00D907CC" w:rsidRPr="00212944" w:rsidRDefault="00D907CC" w:rsidP="00212944">
            <w:pPr>
              <w:jc w:val="center"/>
              <w:rPr>
                <w:rFonts w:ascii="Cambria" w:hAnsi="Cambria"/>
                <w:b/>
                <w:bCs/>
                <w:color w:val="FFFFFF" w:themeColor="background1"/>
                <w:sz w:val="20"/>
                <w:szCs w:val="20"/>
                <w:lang w:val="es-ES"/>
              </w:rPr>
            </w:pPr>
          </w:p>
        </w:tc>
        <w:tc>
          <w:tcPr>
            <w:tcW w:w="5760" w:type="dxa"/>
            <w:vAlign w:val="center"/>
          </w:tcPr>
          <w:p w14:paraId="74759CBB" w14:textId="05A08211" w:rsidR="00D907CC" w:rsidRPr="00212944" w:rsidRDefault="00D907CC" w:rsidP="00212944">
            <w:pPr>
              <w:jc w:val="both"/>
              <w:rPr>
                <w:rFonts w:ascii="Cambria" w:hAnsi="Cambria"/>
                <w:bCs/>
                <w:sz w:val="20"/>
                <w:szCs w:val="20"/>
                <w:lang w:val="es-PE"/>
              </w:rPr>
            </w:pPr>
            <w:r w:rsidRPr="00212944">
              <w:rPr>
                <w:rFonts w:ascii="Cambria" w:hAnsi="Cambria"/>
                <w:b/>
                <w:sz w:val="20"/>
                <w:szCs w:val="20"/>
                <w:lang w:val="es-PE"/>
              </w:rPr>
              <w:t>P-2774-18:</w:t>
            </w:r>
            <w:r w:rsidRPr="00212944">
              <w:rPr>
                <w:rFonts w:ascii="Cambria" w:hAnsi="Cambria"/>
                <w:bCs/>
                <w:sz w:val="20"/>
                <w:szCs w:val="20"/>
                <w:lang w:val="es-PE"/>
              </w:rPr>
              <w:t xml:space="preserve"> 19 de febrero de 2019, 28 de febrero de 2019, 3 de mayo de 2019, 6 de mayo de 2019, 10 de mayo de 2019, 21 de mayo de 2019, 27 de junio de 2019, 28 de junio de 2019, 11 de noviembre de 2021, 2 de febrero de 2022, 14 de febrero de 2022 </w:t>
            </w:r>
          </w:p>
        </w:tc>
      </w:tr>
      <w:tr w:rsidR="00D907CC" w:rsidRPr="0088642B" w14:paraId="68B0BF9F" w14:textId="77777777" w:rsidTr="40A9147A">
        <w:tc>
          <w:tcPr>
            <w:tcW w:w="3600" w:type="dxa"/>
            <w:vMerge/>
            <w:vAlign w:val="center"/>
          </w:tcPr>
          <w:p w14:paraId="004F122F" w14:textId="77777777" w:rsidR="00D907CC" w:rsidRPr="00212944" w:rsidRDefault="00D907CC" w:rsidP="00212944">
            <w:pPr>
              <w:jc w:val="center"/>
              <w:rPr>
                <w:rFonts w:ascii="Cambria" w:hAnsi="Cambria"/>
                <w:b/>
                <w:bCs/>
                <w:color w:val="FFFFFF" w:themeColor="background1"/>
                <w:sz w:val="20"/>
                <w:szCs w:val="20"/>
                <w:lang w:val="es-PE"/>
              </w:rPr>
            </w:pPr>
          </w:p>
        </w:tc>
        <w:tc>
          <w:tcPr>
            <w:tcW w:w="5760" w:type="dxa"/>
            <w:vAlign w:val="center"/>
          </w:tcPr>
          <w:p w14:paraId="74793344" w14:textId="68EB192F" w:rsidR="00D907CC" w:rsidRPr="00212944" w:rsidRDefault="00D907CC" w:rsidP="00212944">
            <w:pPr>
              <w:jc w:val="both"/>
              <w:rPr>
                <w:rFonts w:ascii="Cambria" w:hAnsi="Cambria"/>
                <w:bCs/>
                <w:sz w:val="20"/>
                <w:szCs w:val="20"/>
                <w:lang w:val="es-PE"/>
              </w:rPr>
            </w:pPr>
            <w:r w:rsidRPr="00212944">
              <w:rPr>
                <w:rFonts w:ascii="Cambria" w:hAnsi="Cambria"/>
                <w:b/>
                <w:sz w:val="20"/>
                <w:szCs w:val="20"/>
                <w:lang w:val="es-PE"/>
              </w:rPr>
              <w:t>P-76-19:</w:t>
            </w:r>
            <w:r w:rsidRPr="00212944">
              <w:rPr>
                <w:rFonts w:ascii="Cambria" w:hAnsi="Cambria"/>
                <w:bCs/>
                <w:sz w:val="20"/>
                <w:szCs w:val="20"/>
                <w:lang w:val="es-PE"/>
              </w:rPr>
              <w:t xml:space="preserve"> 19 de febrero de 2012, 3 de mayo de 2019, 6 de mayo de 2019, 10 de mayo de 2019, 21 de mayo de 2019, 27 de junio de 2019, 2 de febrero de 2022, 14 de febrero de 2022, 29 de marzo de 2022, 29 de abril de 2022, 27 de mayo de 2022 y 14 de julio de 2022</w:t>
            </w:r>
          </w:p>
        </w:tc>
      </w:tr>
      <w:tr w:rsidR="00D907CC" w:rsidRPr="0088642B" w14:paraId="173CED64" w14:textId="77777777" w:rsidTr="40A9147A">
        <w:tc>
          <w:tcPr>
            <w:tcW w:w="3600" w:type="dxa"/>
            <w:vMerge/>
            <w:vAlign w:val="center"/>
          </w:tcPr>
          <w:p w14:paraId="121B204A" w14:textId="77777777" w:rsidR="00D907CC" w:rsidRPr="00212944" w:rsidRDefault="00D907CC" w:rsidP="00212944">
            <w:pPr>
              <w:jc w:val="center"/>
              <w:rPr>
                <w:rFonts w:ascii="Cambria" w:hAnsi="Cambria"/>
                <w:b/>
                <w:bCs/>
                <w:color w:val="FFFFFF" w:themeColor="background1"/>
                <w:sz w:val="20"/>
                <w:szCs w:val="20"/>
                <w:lang w:val="es-PE"/>
              </w:rPr>
            </w:pPr>
          </w:p>
        </w:tc>
        <w:tc>
          <w:tcPr>
            <w:tcW w:w="5760" w:type="dxa"/>
            <w:vAlign w:val="center"/>
          </w:tcPr>
          <w:p w14:paraId="35B260EB" w14:textId="415BC8ED" w:rsidR="00D907CC" w:rsidRPr="00212944" w:rsidRDefault="00D907CC" w:rsidP="00212944">
            <w:pPr>
              <w:jc w:val="both"/>
              <w:rPr>
                <w:rFonts w:ascii="Cambria" w:hAnsi="Cambria"/>
                <w:bCs/>
                <w:sz w:val="20"/>
                <w:szCs w:val="20"/>
                <w:lang w:val="es-ES"/>
              </w:rPr>
            </w:pPr>
            <w:r w:rsidRPr="00212944">
              <w:rPr>
                <w:rFonts w:ascii="Cambria" w:hAnsi="Cambria"/>
                <w:b/>
                <w:sz w:val="20"/>
                <w:szCs w:val="20"/>
                <w:lang w:val="es-PE"/>
              </w:rPr>
              <w:t>P-1124-19</w:t>
            </w:r>
            <w:r w:rsidRPr="00212944">
              <w:rPr>
                <w:rFonts w:ascii="Cambria" w:hAnsi="Cambria"/>
                <w:bCs/>
                <w:sz w:val="20"/>
                <w:szCs w:val="20"/>
                <w:lang w:val="es-PE"/>
              </w:rPr>
              <w:t xml:space="preserve">: 10 de mayo de 2019, 17 de mayo de 2019, 21 de mayo de 2019, 27 de junio de 2019, 12 de noviembre de 2021, 2 de febrero de 2022, 14 de febrero de 2022, 29 de marzo de 2022, 29 de abril de 2022, 27 de mayo de 2022 y 13 de julio de 2022 </w:t>
            </w:r>
          </w:p>
        </w:tc>
      </w:tr>
      <w:tr w:rsidR="00D907CC" w:rsidRPr="0088642B" w14:paraId="26875BE9" w14:textId="77777777" w:rsidTr="40A9147A">
        <w:tc>
          <w:tcPr>
            <w:tcW w:w="3600" w:type="dxa"/>
            <w:vMerge/>
            <w:vAlign w:val="center"/>
          </w:tcPr>
          <w:p w14:paraId="5B4AB01E" w14:textId="77777777" w:rsidR="00D907CC" w:rsidRPr="00212944" w:rsidRDefault="00D907CC" w:rsidP="00212944">
            <w:pPr>
              <w:jc w:val="center"/>
              <w:rPr>
                <w:rFonts w:ascii="Cambria" w:hAnsi="Cambria"/>
                <w:b/>
                <w:bCs/>
                <w:color w:val="FFFFFF" w:themeColor="background1"/>
                <w:sz w:val="20"/>
                <w:szCs w:val="20"/>
                <w:lang w:val="es-ES"/>
              </w:rPr>
            </w:pPr>
          </w:p>
        </w:tc>
        <w:tc>
          <w:tcPr>
            <w:tcW w:w="5760" w:type="dxa"/>
            <w:vAlign w:val="center"/>
          </w:tcPr>
          <w:p w14:paraId="5B535241" w14:textId="2B770A84" w:rsidR="00D907CC" w:rsidRPr="00212944" w:rsidRDefault="00D907CC" w:rsidP="00212944">
            <w:pPr>
              <w:jc w:val="both"/>
              <w:rPr>
                <w:rFonts w:ascii="Cambria" w:hAnsi="Cambria"/>
                <w:bCs/>
                <w:sz w:val="20"/>
                <w:szCs w:val="20"/>
                <w:lang w:val="es-PE"/>
              </w:rPr>
            </w:pPr>
            <w:r w:rsidRPr="00212944">
              <w:rPr>
                <w:rFonts w:ascii="Cambria" w:hAnsi="Cambria"/>
                <w:b/>
                <w:sz w:val="20"/>
                <w:szCs w:val="20"/>
                <w:lang w:val="es-PE"/>
              </w:rPr>
              <w:t>P-1217-19:</w:t>
            </w:r>
            <w:r w:rsidRPr="00212944">
              <w:rPr>
                <w:rFonts w:ascii="Cambria" w:hAnsi="Cambria"/>
                <w:bCs/>
                <w:sz w:val="20"/>
                <w:szCs w:val="20"/>
                <w:lang w:val="es-PE"/>
              </w:rPr>
              <w:t xml:space="preserve"> 21 de mayo de 2019, 19 de junio de 2019 y 27 de junio de 2019 </w:t>
            </w:r>
          </w:p>
        </w:tc>
      </w:tr>
      <w:tr w:rsidR="00D907CC" w:rsidRPr="0088642B" w14:paraId="563498DD" w14:textId="77777777" w:rsidTr="40A9147A">
        <w:tc>
          <w:tcPr>
            <w:tcW w:w="3600" w:type="dxa"/>
            <w:vMerge/>
            <w:vAlign w:val="center"/>
          </w:tcPr>
          <w:p w14:paraId="5C5C3110" w14:textId="77777777" w:rsidR="00D907CC" w:rsidRPr="00212944" w:rsidRDefault="00D907CC" w:rsidP="00212944">
            <w:pPr>
              <w:jc w:val="center"/>
              <w:rPr>
                <w:rFonts w:ascii="Cambria" w:hAnsi="Cambria"/>
                <w:b/>
                <w:bCs/>
                <w:color w:val="FFFFFF" w:themeColor="background1"/>
                <w:sz w:val="20"/>
                <w:szCs w:val="20"/>
                <w:lang w:val="es-PE"/>
              </w:rPr>
            </w:pPr>
          </w:p>
        </w:tc>
        <w:tc>
          <w:tcPr>
            <w:tcW w:w="5760" w:type="dxa"/>
            <w:vAlign w:val="center"/>
          </w:tcPr>
          <w:p w14:paraId="57D30A07" w14:textId="53D4CD10" w:rsidR="00D907CC" w:rsidRPr="00212944" w:rsidRDefault="00D907CC" w:rsidP="00212944">
            <w:pPr>
              <w:jc w:val="both"/>
              <w:rPr>
                <w:rFonts w:ascii="Cambria" w:hAnsi="Cambria"/>
                <w:bCs/>
                <w:sz w:val="20"/>
                <w:szCs w:val="20"/>
                <w:lang w:val="es-PE"/>
              </w:rPr>
            </w:pPr>
            <w:r w:rsidRPr="00212944">
              <w:rPr>
                <w:rFonts w:ascii="Cambria" w:hAnsi="Cambria"/>
                <w:b/>
                <w:sz w:val="20"/>
                <w:szCs w:val="20"/>
                <w:lang w:val="es-PE"/>
              </w:rPr>
              <w:t xml:space="preserve">P-1228-19: </w:t>
            </w:r>
            <w:r w:rsidR="00A22645" w:rsidRPr="00A22645">
              <w:rPr>
                <w:rFonts w:ascii="Cambria" w:hAnsi="Cambria"/>
                <w:bCs/>
                <w:sz w:val="20"/>
                <w:szCs w:val="20"/>
                <w:lang w:val="es-PE"/>
              </w:rPr>
              <w:t>27 de mayo de 2022, 13 de junio de 2022, 13 de julio de 2022, 31 de octubre de 2022, 9 de enero de 2023, 10 de febrero de 2023, 13 de febrero de 2023, 16 de marzo de 2023, 11 de mayo de 2023, 18 de julio de 2023, 28 de julio de 2023, 1 de marzo de 2024</w:t>
            </w:r>
            <w:r w:rsidR="00777FCC">
              <w:rPr>
                <w:rFonts w:ascii="Cambria" w:hAnsi="Cambria"/>
                <w:bCs/>
                <w:sz w:val="20"/>
                <w:szCs w:val="20"/>
                <w:lang w:val="es-PE"/>
              </w:rPr>
              <w:t xml:space="preserve">, </w:t>
            </w:r>
            <w:r w:rsidR="00A22645" w:rsidRPr="00A22645">
              <w:rPr>
                <w:rFonts w:ascii="Cambria" w:hAnsi="Cambria"/>
                <w:bCs/>
                <w:sz w:val="20"/>
                <w:szCs w:val="20"/>
                <w:lang w:val="es-PE"/>
              </w:rPr>
              <w:t>28 de junio de 2024</w:t>
            </w:r>
            <w:r w:rsidR="00777FCC">
              <w:rPr>
                <w:rFonts w:ascii="Cambria" w:hAnsi="Cambria"/>
                <w:bCs/>
                <w:sz w:val="20"/>
                <w:szCs w:val="20"/>
                <w:lang w:val="es-PE"/>
              </w:rPr>
              <w:t xml:space="preserve"> y 1 de julio</w:t>
            </w:r>
            <w:r w:rsidR="000838E5">
              <w:rPr>
                <w:rFonts w:ascii="Cambria" w:hAnsi="Cambria"/>
                <w:bCs/>
                <w:sz w:val="20"/>
                <w:szCs w:val="20"/>
                <w:lang w:val="es-PE"/>
              </w:rPr>
              <w:t xml:space="preserve"> de 2024</w:t>
            </w:r>
            <w:r w:rsidR="00A22645" w:rsidRPr="00A22645">
              <w:rPr>
                <w:rFonts w:ascii="Cambria" w:hAnsi="Cambria"/>
                <w:bCs/>
                <w:sz w:val="20"/>
                <w:szCs w:val="20"/>
                <w:lang w:val="es-PE"/>
              </w:rPr>
              <w:t xml:space="preserve"> </w:t>
            </w:r>
            <w:r w:rsidRPr="00212944">
              <w:rPr>
                <w:rFonts w:ascii="Cambria" w:hAnsi="Cambria"/>
                <w:bCs/>
                <w:sz w:val="20"/>
                <w:szCs w:val="20"/>
                <w:lang w:val="es-PE"/>
              </w:rPr>
              <w:t xml:space="preserve"> </w:t>
            </w:r>
          </w:p>
        </w:tc>
      </w:tr>
      <w:tr w:rsidR="00D907CC" w:rsidRPr="0088642B" w14:paraId="750D8917" w14:textId="77777777" w:rsidTr="40A9147A">
        <w:tc>
          <w:tcPr>
            <w:tcW w:w="3600" w:type="dxa"/>
            <w:vMerge/>
            <w:vAlign w:val="center"/>
          </w:tcPr>
          <w:p w14:paraId="1931A9B7" w14:textId="77777777" w:rsidR="00D907CC" w:rsidRPr="00212944" w:rsidRDefault="00D907CC" w:rsidP="00212944">
            <w:pPr>
              <w:jc w:val="center"/>
              <w:rPr>
                <w:rFonts w:ascii="Cambria" w:hAnsi="Cambria"/>
                <w:b/>
                <w:bCs/>
                <w:color w:val="FFFFFF" w:themeColor="background1"/>
                <w:sz w:val="20"/>
                <w:szCs w:val="20"/>
                <w:lang w:val="es-ES"/>
              </w:rPr>
            </w:pPr>
          </w:p>
        </w:tc>
        <w:tc>
          <w:tcPr>
            <w:tcW w:w="5760" w:type="dxa"/>
            <w:vAlign w:val="center"/>
          </w:tcPr>
          <w:p w14:paraId="21487DC4" w14:textId="60B90CB3" w:rsidR="00D907CC" w:rsidRPr="00BE2E9F" w:rsidRDefault="00D907CC" w:rsidP="00212944">
            <w:pPr>
              <w:jc w:val="both"/>
              <w:rPr>
                <w:rFonts w:ascii="Cambria" w:hAnsi="Cambria"/>
                <w:bCs/>
                <w:sz w:val="20"/>
                <w:szCs w:val="20"/>
                <w:lang w:val="es-PE"/>
              </w:rPr>
            </w:pPr>
            <w:r w:rsidRPr="00BE2E9F">
              <w:rPr>
                <w:rFonts w:ascii="Cambria" w:hAnsi="Cambria"/>
                <w:b/>
                <w:sz w:val="20"/>
                <w:szCs w:val="20"/>
                <w:lang w:val="es-PE"/>
              </w:rPr>
              <w:t xml:space="preserve">P-1278-19: </w:t>
            </w:r>
            <w:r w:rsidRPr="00BE2E9F">
              <w:rPr>
                <w:rFonts w:ascii="Cambria" w:hAnsi="Cambria"/>
                <w:bCs/>
                <w:sz w:val="20"/>
                <w:szCs w:val="20"/>
                <w:lang w:val="es-PE"/>
              </w:rPr>
              <w:t>27 de junio de 2019, 28 de junio de 2019, 2 de febrero de 2022, 14 de febrero de 2022, 29 de marzo de 2022, 29 de abril de 2022, 27 de mayo de 2022 y 13 de julio de 2022</w:t>
            </w:r>
          </w:p>
        </w:tc>
      </w:tr>
      <w:tr w:rsidR="00D907CC" w:rsidRPr="0088642B" w14:paraId="37F86BA6" w14:textId="77777777" w:rsidTr="40A9147A">
        <w:tc>
          <w:tcPr>
            <w:tcW w:w="3600" w:type="dxa"/>
            <w:vMerge/>
            <w:vAlign w:val="center"/>
          </w:tcPr>
          <w:p w14:paraId="297CE738" w14:textId="77777777" w:rsidR="00D907CC" w:rsidRPr="00212944" w:rsidRDefault="00D907CC" w:rsidP="00212944">
            <w:pPr>
              <w:jc w:val="center"/>
              <w:rPr>
                <w:rFonts w:ascii="Cambria" w:hAnsi="Cambria"/>
                <w:b/>
                <w:bCs/>
                <w:color w:val="FFFFFF" w:themeColor="background1"/>
                <w:sz w:val="20"/>
                <w:szCs w:val="20"/>
                <w:lang w:val="es-ES"/>
              </w:rPr>
            </w:pPr>
          </w:p>
        </w:tc>
        <w:tc>
          <w:tcPr>
            <w:tcW w:w="5760" w:type="dxa"/>
            <w:vAlign w:val="center"/>
          </w:tcPr>
          <w:p w14:paraId="37BF10E8" w14:textId="3F83C755" w:rsidR="00D907CC" w:rsidRPr="00D53D13" w:rsidRDefault="00D907CC" w:rsidP="00212944">
            <w:pPr>
              <w:jc w:val="both"/>
              <w:rPr>
                <w:rFonts w:ascii="Cambria" w:hAnsi="Cambria"/>
                <w:b/>
                <w:sz w:val="20"/>
                <w:szCs w:val="20"/>
                <w:lang w:val="es-PE"/>
              </w:rPr>
            </w:pPr>
            <w:r w:rsidRPr="00D53D13">
              <w:rPr>
                <w:rFonts w:ascii="Cambria" w:hAnsi="Cambria"/>
                <w:b/>
                <w:sz w:val="20"/>
                <w:szCs w:val="20"/>
                <w:lang w:val="es-PE"/>
              </w:rPr>
              <w:t>P-1279-19:</w:t>
            </w:r>
            <w:r w:rsidR="00BE2E9F" w:rsidRPr="00D53D13">
              <w:rPr>
                <w:rFonts w:ascii="Cambria" w:hAnsi="Cambria"/>
                <w:bCs/>
                <w:sz w:val="20"/>
                <w:szCs w:val="20"/>
                <w:lang w:val="es-PE"/>
              </w:rPr>
              <w:t xml:space="preserve"> </w:t>
            </w:r>
            <w:r w:rsidR="005C4B01">
              <w:rPr>
                <w:rFonts w:ascii="Cambria" w:hAnsi="Cambria"/>
                <w:bCs/>
                <w:sz w:val="20"/>
                <w:szCs w:val="20"/>
                <w:lang w:val="es-PE"/>
              </w:rPr>
              <w:t>23 de febrero de 2024 y 28 de ju</w:t>
            </w:r>
            <w:r w:rsidR="00AE0EC0">
              <w:rPr>
                <w:rFonts w:ascii="Cambria" w:hAnsi="Cambria"/>
                <w:bCs/>
                <w:sz w:val="20"/>
                <w:szCs w:val="20"/>
                <w:lang w:val="es-PE"/>
              </w:rPr>
              <w:t>n</w:t>
            </w:r>
            <w:r w:rsidR="005C4B01">
              <w:rPr>
                <w:rFonts w:ascii="Cambria" w:hAnsi="Cambria"/>
                <w:bCs/>
                <w:sz w:val="20"/>
                <w:szCs w:val="20"/>
                <w:lang w:val="es-PE"/>
              </w:rPr>
              <w:t>io de 2024</w:t>
            </w:r>
            <w:r w:rsidR="00BE2E9F" w:rsidRPr="00D53D13">
              <w:rPr>
                <w:rFonts w:ascii="Cambria" w:hAnsi="Cambria"/>
                <w:bCs/>
                <w:sz w:val="20"/>
                <w:szCs w:val="20"/>
                <w:lang w:val="es-PE"/>
              </w:rPr>
              <w:t xml:space="preserve"> </w:t>
            </w:r>
          </w:p>
        </w:tc>
      </w:tr>
      <w:tr w:rsidR="00D907CC" w:rsidRPr="0088642B" w14:paraId="481207BB" w14:textId="77777777" w:rsidTr="40A9147A">
        <w:tc>
          <w:tcPr>
            <w:tcW w:w="3600" w:type="dxa"/>
            <w:vMerge/>
            <w:vAlign w:val="center"/>
          </w:tcPr>
          <w:p w14:paraId="209D2484" w14:textId="77777777" w:rsidR="00D907CC" w:rsidRPr="00212944" w:rsidRDefault="00D907CC" w:rsidP="00212944">
            <w:pPr>
              <w:jc w:val="center"/>
              <w:rPr>
                <w:rFonts w:ascii="Cambria" w:hAnsi="Cambria"/>
                <w:b/>
                <w:bCs/>
                <w:color w:val="FFFFFF" w:themeColor="background1"/>
                <w:sz w:val="20"/>
                <w:szCs w:val="20"/>
                <w:lang w:val="es-ES"/>
              </w:rPr>
            </w:pPr>
          </w:p>
        </w:tc>
        <w:tc>
          <w:tcPr>
            <w:tcW w:w="5760" w:type="dxa"/>
            <w:vAlign w:val="center"/>
          </w:tcPr>
          <w:p w14:paraId="478EB066" w14:textId="37AC96B0" w:rsidR="00D907CC" w:rsidRPr="00D53D13" w:rsidRDefault="00D907CC" w:rsidP="00212944">
            <w:pPr>
              <w:jc w:val="both"/>
              <w:rPr>
                <w:rFonts w:ascii="Cambria" w:hAnsi="Cambria"/>
                <w:b/>
                <w:sz w:val="20"/>
                <w:szCs w:val="20"/>
                <w:lang w:val="es-PE"/>
              </w:rPr>
            </w:pPr>
            <w:r w:rsidRPr="00D53D13">
              <w:rPr>
                <w:rFonts w:ascii="Cambria" w:hAnsi="Cambria"/>
                <w:b/>
                <w:sz w:val="20"/>
                <w:szCs w:val="20"/>
                <w:lang w:val="es-PE"/>
              </w:rPr>
              <w:t>P-1428-19:</w:t>
            </w:r>
            <w:r w:rsidR="00BE2E9F" w:rsidRPr="00D53D13">
              <w:rPr>
                <w:rFonts w:ascii="Cambria" w:hAnsi="Cambria"/>
                <w:b/>
                <w:sz w:val="20"/>
                <w:szCs w:val="20"/>
                <w:lang w:val="es-PE"/>
              </w:rPr>
              <w:t xml:space="preserve"> </w:t>
            </w:r>
            <w:r w:rsidR="00BE2E9F" w:rsidRPr="00D53D13">
              <w:rPr>
                <w:rFonts w:ascii="Cambria" w:hAnsi="Cambria"/>
                <w:bCs/>
                <w:sz w:val="20"/>
                <w:szCs w:val="20"/>
                <w:lang w:val="es-PE"/>
              </w:rPr>
              <w:t xml:space="preserve">27 de junio de 2019, </w:t>
            </w:r>
            <w:r w:rsidR="00D53D13" w:rsidRPr="00D53D13">
              <w:rPr>
                <w:rFonts w:ascii="Cambria" w:hAnsi="Cambria"/>
                <w:bCs/>
                <w:sz w:val="20"/>
                <w:szCs w:val="20"/>
                <w:lang w:val="es-PE"/>
              </w:rPr>
              <w:t>25 de julio de 2019, 2 de febrero de 2022, 14 de febrero de 2022, 29 de marzo de 2022, 29 de abril de 2022, 27 de mayo de 2022 y 13 de julio de 2022</w:t>
            </w:r>
          </w:p>
        </w:tc>
      </w:tr>
      <w:tr w:rsidR="00D907CC" w:rsidRPr="0088642B" w14:paraId="7534ED95" w14:textId="77777777" w:rsidTr="40A9147A">
        <w:tc>
          <w:tcPr>
            <w:tcW w:w="3600" w:type="dxa"/>
            <w:vMerge/>
            <w:vAlign w:val="center"/>
          </w:tcPr>
          <w:p w14:paraId="50A2DAAF" w14:textId="77777777" w:rsidR="00D907CC" w:rsidRPr="00212944" w:rsidRDefault="00D907CC" w:rsidP="00212944">
            <w:pPr>
              <w:jc w:val="center"/>
              <w:rPr>
                <w:rFonts w:ascii="Cambria" w:hAnsi="Cambria"/>
                <w:b/>
                <w:bCs/>
                <w:color w:val="FFFFFF" w:themeColor="background1"/>
                <w:sz w:val="20"/>
                <w:szCs w:val="20"/>
                <w:lang w:val="es-ES"/>
              </w:rPr>
            </w:pPr>
          </w:p>
        </w:tc>
        <w:tc>
          <w:tcPr>
            <w:tcW w:w="5760" w:type="dxa"/>
            <w:vAlign w:val="center"/>
          </w:tcPr>
          <w:p w14:paraId="12AC408C" w14:textId="4DCF819A" w:rsidR="00D907CC" w:rsidRPr="00D53D13" w:rsidRDefault="00D907CC" w:rsidP="00212944">
            <w:pPr>
              <w:jc w:val="both"/>
              <w:rPr>
                <w:rFonts w:ascii="Cambria" w:hAnsi="Cambria"/>
                <w:b/>
                <w:sz w:val="20"/>
                <w:szCs w:val="20"/>
                <w:highlight w:val="green"/>
                <w:lang w:val="es-PE"/>
              </w:rPr>
            </w:pPr>
            <w:r w:rsidRPr="009F4DF2">
              <w:rPr>
                <w:rFonts w:ascii="Cambria" w:hAnsi="Cambria"/>
                <w:b/>
                <w:sz w:val="20"/>
                <w:szCs w:val="20"/>
                <w:lang w:val="es-PE"/>
              </w:rPr>
              <w:t>P-1563-19:</w:t>
            </w:r>
            <w:r w:rsidR="00D53D13" w:rsidRPr="009F4DF2">
              <w:rPr>
                <w:rFonts w:ascii="Cambria" w:hAnsi="Cambria"/>
                <w:b/>
                <w:sz w:val="20"/>
                <w:szCs w:val="20"/>
                <w:lang w:val="es-PE"/>
              </w:rPr>
              <w:t xml:space="preserve"> </w:t>
            </w:r>
            <w:r w:rsidR="00D53D13" w:rsidRPr="009F4DF2">
              <w:rPr>
                <w:rFonts w:ascii="Cambria" w:hAnsi="Cambria"/>
                <w:bCs/>
                <w:sz w:val="20"/>
                <w:szCs w:val="20"/>
                <w:lang w:val="es-PE"/>
              </w:rPr>
              <w:t xml:space="preserve">25 de julio de 2019, 2 de febrero de 2022, </w:t>
            </w:r>
            <w:r w:rsidR="009F4DF2" w:rsidRPr="009F4DF2">
              <w:rPr>
                <w:rFonts w:ascii="Cambria" w:hAnsi="Cambria"/>
                <w:bCs/>
                <w:sz w:val="20"/>
                <w:szCs w:val="20"/>
                <w:lang w:val="es-PE"/>
              </w:rPr>
              <w:t>14 de febrero de 2022, 29 de marzo de 2022, 29 de abril de 2022, 27 de mayo de 2022 y 13 de julio de 2022</w:t>
            </w:r>
          </w:p>
        </w:tc>
      </w:tr>
      <w:tr w:rsidR="00D907CC" w:rsidRPr="0088642B" w14:paraId="01BEFDB8" w14:textId="77777777" w:rsidTr="40A9147A">
        <w:tc>
          <w:tcPr>
            <w:tcW w:w="3600" w:type="dxa"/>
            <w:vMerge/>
            <w:vAlign w:val="center"/>
          </w:tcPr>
          <w:p w14:paraId="60F266F4" w14:textId="77777777" w:rsidR="00D907CC" w:rsidRPr="00212944" w:rsidRDefault="00D907CC" w:rsidP="00212944">
            <w:pPr>
              <w:jc w:val="center"/>
              <w:rPr>
                <w:rFonts w:ascii="Cambria" w:hAnsi="Cambria"/>
                <w:b/>
                <w:bCs/>
                <w:color w:val="FFFFFF" w:themeColor="background1"/>
                <w:sz w:val="20"/>
                <w:szCs w:val="20"/>
                <w:lang w:val="es-ES"/>
              </w:rPr>
            </w:pPr>
          </w:p>
        </w:tc>
        <w:tc>
          <w:tcPr>
            <w:tcW w:w="5760" w:type="dxa"/>
            <w:vAlign w:val="center"/>
          </w:tcPr>
          <w:p w14:paraId="4E6487EA" w14:textId="57C82A37" w:rsidR="00D907CC" w:rsidRPr="00650BDD" w:rsidRDefault="00D907CC" w:rsidP="00212944">
            <w:pPr>
              <w:jc w:val="both"/>
              <w:rPr>
                <w:rFonts w:ascii="Cambria" w:hAnsi="Cambria"/>
                <w:b/>
                <w:sz w:val="20"/>
                <w:szCs w:val="20"/>
                <w:highlight w:val="green"/>
                <w:lang w:val="es-PE"/>
              </w:rPr>
            </w:pPr>
            <w:r w:rsidRPr="00650BDD">
              <w:rPr>
                <w:rFonts w:ascii="Cambria" w:hAnsi="Cambria"/>
                <w:b/>
                <w:sz w:val="20"/>
                <w:szCs w:val="20"/>
                <w:lang w:val="es-PE"/>
              </w:rPr>
              <w:t>P-1677-19:</w:t>
            </w:r>
            <w:r w:rsidR="00650BDD" w:rsidRPr="00650BDD">
              <w:rPr>
                <w:rFonts w:ascii="Cambria" w:hAnsi="Cambria"/>
                <w:b/>
                <w:sz w:val="20"/>
                <w:szCs w:val="20"/>
                <w:lang w:val="es-PE"/>
              </w:rPr>
              <w:t xml:space="preserve"> </w:t>
            </w:r>
            <w:r w:rsidR="00650BDD" w:rsidRPr="00650BDD">
              <w:rPr>
                <w:rFonts w:ascii="Cambria" w:hAnsi="Cambria"/>
                <w:bCs/>
                <w:sz w:val="20"/>
                <w:szCs w:val="20"/>
                <w:lang w:val="es-PE"/>
              </w:rPr>
              <w:t>22 de julio de 2019, 25 de julio de 2019, 18 de octubre de 2019, 2 de febrero de 2022, 14 de febrero de 2022, 29 de marzo de 2022, 29 de abril de 2022, 27 de mayo de 2022 y 13 de julio de 2022</w:t>
            </w:r>
            <w:r w:rsidR="00650BDD">
              <w:rPr>
                <w:rFonts w:ascii="Cambria" w:hAnsi="Cambria"/>
                <w:b/>
                <w:sz w:val="20"/>
                <w:szCs w:val="20"/>
                <w:highlight w:val="green"/>
                <w:lang w:val="es-PE"/>
              </w:rPr>
              <w:t xml:space="preserve"> </w:t>
            </w:r>
          </w:p>
        </w:tc>
      </w:tr>
      <w:tr w:rsidR="00D907CC" w:rsidRPr="0088642B" w14:paraId="7F58DBD3" w14:textId="77777777" w:rsidTr="40A9147A">
        <w:tc>
          <w:tcPr>
            <w:tcW w:w="3600" w:type="dxa"/>
            <w:vMerge/>
            <w:vAlign w:val="center"/>
          </w:tcPr>
          <w:p w14:paraId="3F7AD5E8" w14:textId="77777777" w:rsidR="00D907CC" w:rsidRPr="00650BDD" w:rsidRDefault="00D907CC" w:rsidP="00D907CC">
            <w:pPr>
              <w:jc w:val="center"/>
              <w:rPr>
                <w:rFonts w:ascii="Cambria" w:hAnsi="Cambria"/>
                <w:b/>
                <w:bCs/>
                <w:color w:val="FFFFFF" w:themeColor="background1"/>
                <w:sz w:val="20"/>
                <w:szCs w:val="20"/>
                <w:lang w:val="es-PE"/>
              </w:rPr>
            </w:pPr>
          </w:p>
        </w:tc>
        <w:tc>
          <w:tcPr>
            <w:tcW w:w="5760" w:type="dxa"/>
            <w:vAlign w:val="center"/>
          </w:tcPr>
          <w:p w14:paraId="666D04AA" w14:textId="20DFE9D5" w:rsidR="00D907CC" w:rsidRPr="00717DAF" w:rsidRDefault="00D907CC" w:rsidP="00D907CC">
            <w:pPr>
              <w:jc w:val="both"/>
              <w:rPr>
                <w:rFonts w:ascii="Cambria" w:hAnsi="Cambria"/>
                <w:b/>
                <w:sz w:val="20"/>
                <w:szCs w:val="20"/>
                <w:lang w:val="es-PE"/>
              </w:rPr>
            </w:pPr>
            <w:r w:rsidRPr="00717DAF">
              <w:rPr>
                <w:rFonts w:ascii="Cambria" w:hAnsi="Cambria"/>
                <w:b/>
                <w:sz w:val="20"/>
                <w:szCs w:val="20"/>
                <w:lang w:val="es-PE"/>
              </w:rPr>
              <w:t>P-1736-19:</w:t>
            </w:r>
            <w:r w:rsidR="007A42A0" w:rsidRPr="00717DAF">
              <w:rPr>
                <w:rFonts w:ascii="Cambria" w:hAnsi="Cambria"/>
                <w:b/>
                <w:sz w:val="20"/>
                <w:szCs w:val="20"/>
                <w:lang w:val="es-PE"/>
              </w:rPr>
              <w:t xml:space="preserve"> </w:t>
            </w:r>
            <w:r w:rsidR="007A42A0" w:rsidRPr="00717DAF">
              <w:rPr>
                <w:rFonts w:ascii="Cambria" w:hAnsi="Cambria"/>
                <w:bCs/>
                <w:sz w:val="20"/>
                <w:szCs w:val="20"/>
                <w:lang w:val="es-PE"/>
              </w:rPr>
              <w:t>18 de octubre de 2019, 3 de diciembre de 2019, 2 de febrero de 2022, 14 de febrero de 2022, 29 de marzo de 2022, 29 de abril de 2022, 27 de mayo de 2022 y 13 de julio de 2022</w:t>
            </w:r>
          </w:p>
        </w:tc>
      </w:tr>
      <w:tr w:rsidR="00D907CC" w:rsidRPr="0088642B" w14:paraId="53F9AA63" w14:textId="77777777" w:rsidTr="40A9147A">
        <w:tc>
          <w:tcPr>
            <w:tcW w:w="3600" w:type="dxa"/>
            <w:vMerge/>
            <w:vAlign w:val="center"/>
          </w:tcPr>
          <w:p w14:paraId="58704056" w14:textId="77777777" w:rsidR="00D907CC" w:rsidRPr="00212944" w:rsidRDefault="00D907CC" w:rsidP="00D907CC">
            <w:pPr>
              <w:jc w:val="center"/>
              <w:rPr>
                <w:rFonts w:ascii="Cambria" w:hAnsi="Cambria"/>
                <w:b/>
                <w:bCs/>
                <w:color w:val="FFFFFF" w:themeColor="background1"/>
                <w:sz w:val="20"/>
                <w:szCs w:val="20"/>
                <w:lang w:val="es-ES"/>
              </w:rPr>
            </w:pPr>
          </w:p>
        </w:tc>
        <w:tc>
          <w:tcPr>
            <w:tcW w:w="5760" w:type="dxa"/>
            <w:vAlign w:val="center"/>
          </w:tcPr>
          <w:p w14:paraId="6560F73C" w14:textId="1B8A98C1" w:rsidR="00D907CC" w:rsidRPr="00717DAF" w:rsidRDefault="00D907CC" w:rsidP="00D907CC">
            <w:pPr>
              <w:jc w:val="both"/>
              <w:rPr>
                <w:rFonts w:ascii="Cambria" w:hAnsi="Cambria"/>
                <w:b/>
                <w:sz w:val="20"/>
                <w:szCs w:val="20"/>
                <w:lang w:val="es-PE"/>
              </w:rPr>
            </w:pPr>
            <w:r w:rsidRPr="00717DAF">
              <w:rPr>
                <w:rFonts w:ascii="Cambria" w:hAnsi="Cambria"/>
                <w:b/>
                <w:sz w:val="20"/>
                <w:szCs w:val="20"/>
                <w:lang w:val="es-PE"/>
              </w:rPr>
              <w:t>P-2284-19:</w:t>
            </w:r>
            <w:r w:rsidR="00717DAF" w:rsidRPr="00717DAF">
              <w:rPr>
                <w:rFonts w:ascii="Cambria" w:hAnsi="Cambria"/>
                <w:b/>
                <w:sz w:val="20"/>
                <w:szCs w:val="20"/>
                <w:lang w:val="es-PE"/>
              </w:rPr>
              <w:t xml:space="preserve"> </w:t>
            </w:r>
            <w:r w:rsidR="00717DAF" w:rsidRPr="00717DAF">
              <w:rPr>
                <w:rFonts w:ascii="Cambria" w:hAnsi="Cambria"/>
                <w:bCs/>
                <w:sz w:val="20"/>
                <w:szCs w:val="20"/>
                <w:lang w:val="es-PE"/>
              </w:rPr>
              <w:t>18 de octubre de 2019, 30 de enero de 2020, 4 de febrero de 2020, 2 de febrero de 2022, 14 de febrero de 2022, 29 de marzo de 2022, 29 de abril de 2022, 27 de mayo de 2022, 13 de julio de 2022 y 11 de octubre de 2022</w:t>
            </w:r>
          </w:p>
        </w:tc>
      </w:tr>
      <w:tr w:rsidR="00D907CC" w:rsidRPr="0088642B" w14:paraId="17834340" w14:textId="77777777" w:rsidTr="40A9147A">
        <w:tc>
          <w:tcPr>
            <w:tcW w:w="3600" w:type="dxa"/>
            <w:vMerge/>
            <w:vAlign w:val="center"/>
          </w:tcPr>
          <w:p w14:paraId="0A74C110" w14:textId="77777777" w:rsidR="00D907CC" w:rsidRPr="00212944" w:rsidRDefault="00D907CC" w:rsidP="00D907CC">
            <w:pPr>
              <w:jc w:val="center"/>
              <w:rPr>
                <w:rFonts w:ascii="Cambria" w:hAnsi="Cambria"/>
                <w:b/>
                <w:bCs/>
                <w:color w:val="FFFFFF" w:themeColor="background1"/>
                <w:sz w:val="20"/>
                <w:szCs w:val="20"/>
                <w:lang w:val="es-ES"/>
              </w:rPr>
            </w:pPr>
          </w:p>
        </w:tc>
        <w:tc>
          <w:tcPr>
            <w:tcW w:w="5760" w:type="dxa"/>
            <w:vAlign w:val="center"/>
          </w:tcPr>
          <w:p w14:paraId="3C1F4ABF" w14:textId="25E9F2D2" w:rsidR="00D907CC" w:rsidRPr="008442AF" w:rsidRDefault="00D907CC" w:rsidP="00D907CC">
            <w:pPr>
              <w:jc w:val="both"/>
              <w:rPr>
                <w:rFonts w:ascii="Cambria" w:hAnsi="Cambria"/>
                <w:b/>
                <w:sz w:val="20"/>
                <w:szCs w:val="20"/>
                <w:highlight w:val="green"/>
                <w:lang w:val="es-PE"/>
              </w:rPr>
            </w:pPr>
            <w:r w:rsidRPr="008442AF">
              <w:rPr>
                <w:rFonts w:ascii="Cambria" w:hAnsi="Cambria"/>
                <w:b/>
                <w:sz w:val="20"/>
                <w:szCs w:val="20"/>
                <w:lang w:val="es-PE"/>
              </w:rPr>
              <w:t>P-2625-19:</w:t>
            </w:r>
            <w:r w:rsidR="008442AF" w:rsidRPr="008442AF">
              <w:rPr>
                <w:rFonts w:ascii="Cambria" w:hAnsi="Cambria"/>
                <w:b/>
                <w:sz w:val="20"/>
                <w:szCs w:val="20"/>
                <w:lang w:val="es-PE"/>
              </w:rPr>
              <w:t xml:space="preserve"> </w:t>
            </w:r>
            <w:r w:rsidR="008442AF" w:rsidRPr="008442AF">
              <w:rPr>
                <w:rFonts w:ascii="Cambria" w:hAnsi="Cambria"/>
                <w:bCs/>
                <w:sz w:val="20"/>
                <w:szCs w:val="20"/>
                <w:lang w:val="es-PE"/>
              </w:rPr>
              <w:t>29 de enero de 2020, 20 d</w:t>
            </w:r>
            <w:r w:rsidR="008442AF">
              <w:rPr>
                <w:rFonts w:ascii="Cambria" w:hAnsi="Cambria"/>
                <w:bCs/>
                <w:sz w:val="20"/>
                <w:szCs w:val="20"/>
                <w:lang w:val="es-PE"/>
              </w:rPr>
              <w:t>e febrero de 2020, 2 de febrero de 2022, 29 de marzo de 2022, 29 de abril de 2022, 27 de mayo de 2022, 13 de julio de 2022 y 8 de septiembre de 2022</w:t>
            </w:r>
          </w:p>
        </w:tc>
      </w:tr>
      <w:tr w:rsidR="00D907CC" w:rsidRPr="0088642B" w14:paraId="548E5FA3" w14:textId="77777777" w:rsidTr="40A9147A">
        <w:tc>
          <w:tcPr>
            <w:tcW w:w="3600" w:type="dxa"/>
            <w:vMerge/>
            <w:vAlign w:val="center"/>
          </w:tcPr>
          <w:p w14:paraId="346D12D9" w14:textId="77777777" w:rsidR="00D907CC" w:rsidRPr="00212944" w:rsidRDefault="00D907CC" w:rsidP="00D907CC">
            <w:pPr>
              <w:jc w:val="center"/>
              <w:rPr>
                <w:rFonts w:ascii="Cambria" w:hAnsi="Cambria"/>
                <w:b/>
                <w:bCs/>
                <w:color w:val="FFFFFF" w:themeColor="background1"/>
                <w:sz w:val="20"/>
                <w:szCs w:val="20"/>
                <w:lang w:val="es-ES"/>
              </w:rPr>
            </w:pPr>
          </w:p>
        </w:tc>
        <w:tc>
          <w:tcPr>
            <w:tcW w:w="5760" w:type="dxa"/>
            <w:vAlign w:val="center"/>
          </w:tcPr>
          <w:p w14:paraId="5778E8F8" w14:textId="54370B67" w:rsidR="00D907CC" w:rsidRPr="00D517E1" w:rsidRDefault="00D907CC" w:rsidP="00D907CC">
            <w:pPr>
              <w:jc w:val="both"/>
              <w:rPr>
                <w:rFonts w:ascii="Cambria" w:hAnsi="Cambria"/>
                <w:b/>
                <w:sz w:val="20"/>
                <w:szCs w:val="20"/>
                <w:highlight w:val="green"/>
                <w:lang w:val="es-PE"/>
              </w:rPr>
            </w:pPr>
            <w:r w:rsidRPr="00D517E1">
              <w:rPr>
                <w:rFonts w:ascii="Cambria" w:hAnsi="Cambria"/>
                <w:b/>
                <w:sz w:val="20"/>
                <w:szCs w:val="20"/>
                <w:lang w:val="es-PE"/>
              </w:rPr>
              <w:t>P-3126-19:</w:t>
            </w:r>
            <w:r w:rsidR="008442AF" w:rsidRPr="00D517E1">
              <w:rPr>
                <w:rFonts w:ascii="Cambria" w:hAnsi="Cambria"/>
                <w:b/>
                <w:sz w:val="20"/>
                <w:szCs w:val="20"/>
                <w:lang w:val="es-PE"/>
              </w:rPr>
              <w:t xml:space="preserve"> </w:t>
            </w:r>
            <w:r w:rsidR="00D517E1" w:rsidRPr="00D517E1">
              <w:rPr>
                <w:rFonts w:ascii="Cambria" w:hAnsi="Cambria"/>
                <w:bCs/>
                <w:sz w:val="20"/>
                <w:szCs w:val="20"/>
                <w:lang w:val="es-PE"/>
              </w:rPr>
              <w:t>29 de septiembre de 2021, 6 de octubre de 2021, 27 de octubre de 2022, 1 de noviembre de 2022, 11 de noviembre de 2022, 17 de noviembre de 2022, 18 de noviembre de 2022 y 17 de noviembre de 2022</w:t>
            </w:r>
            <w:r w:rsidR="00D517E1" w:rsidRPr="00D517E1">
              <w:rPr>
                <w:rFonts w:ascii="Cambria" w:hAnsi="Cambria"/>
                <w:bCs/>
                <w:sz w:val="20"/>
                <w:szCs w:val="20"/>
                <w:highlight w:val="green"/>
                <w:lang w:val="es-PE"/>
              </w:rPr>
              <w:t xml:space="preserve"> </w:t>
            </w:r>
          </w:p>
        </w:tc>
      </w:tr>
      <w:tr w:rsidR="00D907CC" w:rsidRPr="00212944" w14:paraId="1BDCD5C6" w14:textId="77777777" w:rsidTr="40A9147A">
        <w:tc>
          <w:tcPr>
            <w:tcW w:w="3600" w:type="dxa"/>
            <w:vMerge w:val="restart"/>
            <w:tcBorders>
              <w:top w:val="single" w:sz="6" w:space="0" w:color="auto"/>
            </w:tcBorders>
            <w:shd w:val="clear" w:color="auto" w:fill="386294"/>
            <w:vAlign w:val="center"/>
          </w:tcPr>
          <w:p w14:paraId="7A18664F" w14:textId="73FE510C" w:rsidR="00D907CC" w:rsidRPr="00212944" w:rsidRDefault="00D907CC" w:rsidP="00D907CC">
            <w:pPr>
              <w:jc w:val="center"/>
              <w:rPr>
                <w:rFonts w:ascii="Cambria" w:hAnsi="Cambria"/>
                <w:b/>
                <w:bCs/>
                <w:color w:val="FFFFFF" w:themeColor="background1"/>
                <w:sz w:val="20"/>
                <w:szCs w:val="20"/>
                <w:lang w:val="es-ES"/>
              </w:rPr>
            </w:pPr>
            <w:r w:rsidRPr="00212944">
              <w:rPr>
                <w:rFonts w:ascii="Cambria" w:hAnsi="Cambria"/>
                <w:b/>
                <w:color w:val="FFFFFF" w:themeColor="background1"/>
                <w:sz w:val="20"/>
                <w:szCs w:val="20"/>
                <w:lang w:val="es-ES"/>
              </w:rPr>
              <w:lastRenderedPageBreak/>
              <w:t>Notificación de la petición al Estado:</w:t>
            </w:r>
          </w:p>
        </w:tc>
        <w:tc>
          <w:tcPr>
            <w:tcW w:w="5760" w:type="dxa"/>
            <w:vAlign w:val="center"/>
          </w:tcPr>
          <w:p w14:paraId="1519DA6A" w14:textId="6D08C375" w:rsidR="00D907CC" w:rsidRPr="00212944" w:rsidRDefault="00D907CC" w:rsidP="00D907CC">
            <w:pPr>
              <w:jc w:val="both"/>
              <w:rPr>
                <w:rFonts w:ascii="Cambria" w:hAnsi="Cambria"/>
                <w:b/>
                <w:sz w:val="20"/>
                <w:szCs w:val="20"/>
                <w:lang w:val="es-ES"/>
              </w:rPr>
            </w:pPr>
            <w:r w:rsidRPr="00212944">
              <w:rPr>
                <w:rFonts w:ascii="Cambria" w:hAnsi="Cambria"/>
                <w:b/>
                <w:sz w:val="20"/>
                <w:szCs w:val="20"/>
                <w:lang w:val="es-ES"/>
              </w:rPr>
              <w:t xml:space="preserve">P-2287-16: </w:t>
            </w:r>
            <w:r w:rsidRPr="00212944">
              <w:rPr>
                <w:rFonts w:ascii="Cambria" w:hAnsi="Cambria"/>
                <w:bCs/>
                <w:sz w:val="20"/>
                <w:szCs w:val="20"/>
                <w:lang w:val="es-ES"/>
              </w:rPr>
              <w:t>18 de marzo de 2019</w:t>
            </w:r>
          </w:p>
        </w:tc>
      </w:tr>
      <w:tr w:rsidR="00D907CC" w:rsidRPr="00212944" w14:paraId="1A4F7062" w14:textId="77777777" w:rsidTr="40A9147A">
        <w:tc>
          <w:tcPr>
            <w:tcW w:w="3600" w:type="dxa"/>
            <w:vMerge/>
            <w:vAlign w:val="center"/>
          </w:tcPr>
          <w:p w14:paraId="1EBED53B" w14:textId="77777777" w:rsidR="00D907CC" w:rsidRPr="00212944" w:rsidRDefault="00D907CC" w:rsidP="00D907CC">
            <w:pPr>
              <w:jc w:val="center"/>
              <w:rPr>
                <w:rFonts w:ascii="Cambria" w:hAnsi="Cambria"/>
                <w:b/>
                <w:color w:val="FFFFFF" w:themeColor="background1"/>
                <w:sz w:val="20"/>
                <w:szCs w:val="20"/>
                <w:lang w:val="es-ES"/>
              </w:rPr>
            </w:pPr>
          </w:p>
        </w:tc>
        <w:tc>
          <w:tcPr>
            <w:tcW w:w="5760" w:type="dxa"/>
            <w:vAlign w:val="center"/>
          </w:tcPr>
          <w:p w14:paraId="1A0704CA" w14:textId="3EC548FB" w:rsidR="00D907CC" w:rsidRPr="00212944" w:rsidRDefault="00D907CC" w:rsidP="00D907CC">
            <w:pPr>
              <w:jc w:val="both"/>
              <w:rPr>
                <w:rFonts w:ascii="Cambria" w:hAnsi="Cambria"/>
                <w:bCs/>
                <w:sz w:val="20"/>
                <w:szCs w:val="20"/>
                <w:lang w:val="es-ES"/>
              </w:rPr>
            </w:pPr>
            <w:r w:rsidRPr="00212944">
              <w:rPr>
                <w:rFonts w:ascii="Cambria" w:hAnsi="Cambria"/>
                <w:b/>
                <w:sz w:val="20"/>
                <w:szCs w:val="20"/>
                <w:lang w:val="es-ES"/>
              </w:rPr>
              <w:t xml:space="preserve">P-2722-18: </w:t>
            </w:r>
            <w:r w:rsidRPr="00212944">
              <w:rPr>
                <w:rFonts w:ascii="Cambria" w:hAnsi="Cambria"/>
                <w:bCs/>
                <w:sz w:val="20"/>
                <w:szCs w:val="20"/>
                <w:lang w:val="es-ES"/>
              </w:rPr>
              <w:t>22 de febrero de 2022</w:t>
            </w:r>
          </w:p>
        </w:tc>
      </w:tr>
      <w:tr w:rsidR="00D907CC" w:rsidRPr="00212944" w14:paraId="06728043" w14:textId="77777777" w:rsidTr="40A9147A">
        <w:tc>
          <w:tcPr>
            <w:tcW w:w="3600" w:type="dxa"/>
            <w:vMerge/>
            <w:vAlign w:val="center"/>
          </w:tcPr>
          <w:p w14:paraId="3D0770E8" w14:textId="77777777" w:rsidR="00D907CC" w:rsidRPr="00212944" w:rsidRDefault="00D907CC" w:rsidP="00D907CC">
            <w:pPr>
              <w:jc w:val="center"/>
              <w:rPr>
                <w:rFonts w:ascii="Cambria" w:hAnsi="Cambria"/>
                <w:b/>
                <w:color w:val="FFFFFF" w:themeColor="background1"/>
                <w:sz w:val="20"/>
                <w:szCs w:val="20"/>
                <w:lang w:val="es-ES"/>
              </w:rPr>
            </w:pPr>
          </w:p>
        </w:tc>
        <w:tc>
          <w:tcPr>
            <w:tcW w:w="5760" w:type="dxa"/>
            <w:vAlign w:val="center"/>
          </w:tcPr>
          <w:p w14:paraId="61835576" w14:textId="598A2E19" w:rsidR="00D907CC" w:rsidRPr="00212944" w:rsidRDefault="00D907CC" w:rsidP="00D907CC">
            <w:pPr>
              <w:jc w:val="both"/>
              <w:rPr>
                <w:rFonts w:ascii="Cambria" w:hAnsi="Cambria"/>
                <w:bCs/>
                <w:sz w:val="20"/>
                <w:szCs w:val="20"/>
                <w:lang w:val="pt-BR"/>
              </w:rPr>
            </w:pPr>
            <w:r w:rsidRPr="00212944">
              <w:rPr>
                <w:rFonts w:ascii="Cambria" w:hAnsi="Cambria"/>
                <w:b/>
                <w:sz w:val="20"/>
                <w:szCs w:val="20"/>
                <w:lang w:val="pt-BR"/>
              </w:rPr>
              <w:t xml:space="preserve">P-2774-18: </w:t>
            </w:r>
            <w:r w:rsidRPr="00212944">
              <w:rPr>
                <w:rFonts w:ascii="Cambria" w:hAnsi="Cambria"/>
                <w:bCs/>
                <w:sz w:val="20"/>
                <w:szCs w:val="20"/>
                <w:lang w:val="pt-BR"/>
              </w:rPr>
              <w:t>4 de marzo de 2022</w:t>
            </w:r>
          </w:p>
        </w:tc>
      </w:tr>
      <w:tr w:rsidR="00D907CC" w:rsidRPr="00212944" w14:paraId="56143B39" w14:textId="77777777" w:rsidTr="40A9147A">
        <w:tc>
          <w:tcPr>
            <w:tcW w:w="3600" w:type="dxa"/>
            <w:vMerge/>
            <w:vAlign w:val="center"/>
          </w:tcPr>
          <w:p w14:paraId="00DD21F3" w14:textId="77777777" w:rsidR="00D907CC" w:rsidRPr="00212944" w:rsidRDefault="00D907CC" w:rsidP="00D907CC">
            <w:pPr>
              <w:jc w:val="center"/>
              <w:rPr>
                <w:rFonts w:ascii="Cambria" w:hAnsi="Cambria"/>
                <w:b/>
                <w:color w:val="FFFFFF" w:themeColor="background1"/>
                <w:sz w:val="20"/>
                <w:szCs w:val="20"/>
                <w:lang w:val="pt-BR"/>
              </w:rPr>
            </w:pPr>
          </w:p>
        </w:tc>
        <w:tc>
          <w:tcPr>
            <w:tcW w:w="5760" w:type="dxa"/>
            <w:vAlign w:val="center"/>
          </w:tcPr>
          <w:p w14:paraId="3E6C26AB" w14:textId="6893B015" w:rsidR="00D907CC" w:rsidRPr="00212944" w:rsidRDefault="00D907CC" w:rsidP="00D907CC">
            <w:pPr>
              <w:jc w:val="both"/>
              <w:rPr>
                <w:rFonts w:ascii="Cambria" w:hAnsi="Cambria"/>
                <w:bCs/>
                <w:sz w:val="20"/>
                <w:szCs w:val="20"/>
                <w:lang w:val="pt-BR"/>
              </w:rPr>
            </w:pPr>
            <w:r w:rsidRPr="00212944">
              <w:rPr>
                <w:rFonts w:ascii="Cambria" w:hAnsi="Cambria"/>
                <w:b/>
                <w:sz w:val="20"/>
                <w:szCs w:val="20"/>
                <w:lang w:val="pt-BR"/>
              </w:rPr>
              <w:t>P-76-19:</w:t>
            </w:r>
            <w:r w:rsidRPr="00212944">
              <w:rPr>
                <w:rFonts w:ascii="Cambria" w:hAnsi="Cambria"/>
                <w:bCs/>
                <w:sz w:val="20"/>
                <w:szCs w:val="20"/>
                <w:lang w:val="pt-BR"/>
              </w:rPr>
              <w:t xml:space="preserve"> 20 de julio de 2022</w:t>
            </w:r>
          </w:p>
        </w:tc>
      </w:tr>
      <w:tr w:rsidR="00D907CC" w:rsidRPr="00212944" w14:paraId="0007D51E" w14:textId="77777777" w:rsidTr="40A9147A">
        <w:tc>
          <w:tcPr>
            <w:tcW w:w="3600" w:type="dxa"/>
            <w:vMerge/>
            <w:vAlign w:val="center"/>
          </w:tcPr>
          <w:p w14:paraId="6ADCCBA8" w14:textId="77777777" w:rsidR="00D907CC" w:rsidRPr="00212944" w:rsidRDefault="00D907CC" w:rsidP="00D907CC">
            <w:pPr>
              <w:jc w:val="center"/>
              <w:rPr>
                <w:rFonts w:ascii="Cambria" w:hAnsi="Cambria"/>
                <w:b/>
                <w:color w:val="FFFFFF" w:themeColor="background1"/>
                <w:sz w:val="20"/>
                <w:szCs w:val="20"/>
                <w:lang w:val="pt-BR"/>
              </w:rPr>
            </w:pPr>
          </w:p>
        </w:tc>
        <w:tc>
          <w:tcPr>
            <w:tcW w:w="5760" w:type="dxa"/>
            <w:vAlign w:val="center"/>
          </w:tcPr>
          <w:p w14:paraId="337DE6B1" w14:textId="2A4617ED" w:rsidR="00D907CC" w:rsidRPr="00212944" w:rsidRDefault="00D907CC" w:rsidP="00D907CC">
            <w:pPr>
              <w:jc w:val="both"/>
              <w:rPr>
                <w:rFonts w:ascii="Cambria" w:hAnsi="Cambria"/>
                <w:bCs/>
                <w:sz w:val="20"/>
                <w:szCs w:val="20"/>
                <w:lang w:val="es-ES"/>
              </w:rPr>
            </w:pPr>
            <w:r w:rsidRPr="00212944">
              <w:rPr>
                <w:rFonts w:ascii="Cambria" w:hAnsi="Cambria"/>
                <w:b/>
                <w:sz w:val="20"/>
                <w:szCs w:val="20"/>
                <w:lang w:val="es-PE"/>
              </w:rPr>
              <w:t>P-1124-19</w:t>
            </w:r>
            <w:r w:rsidRPr="00212944">
              <w:rPr>
                <w:rFonts w:ascii="Cambria" w:hAnsi="Cambria"/>
                <w:bCs/>
                <w:sz w:val="20"/>
                <w:szCs w:val="20"/>
                <w:lang w:val="es-PE"/>
              </w:rPr>
              <w:t>: 8 de agosto de 2022</w:t>
            </w:r>
          </w:p>
        </w:tc>
      </w:tr>
      <w:tr w:rsidR="00D907CC" w:rsidRPr="00212944" w14:paraId="4BA5D4DE" w14:textId="77777777" w:rsidTr="40A9147A">
        <w:tc>
          <w:tcPr>
            <w:tcW w:w="3600" w:type="dxa"/>
            <w:vMerge/>
            <w:vAlign w:val="center"/>
          </w:tcPr>
          <w:p w14:paraId="135B5A77" w14:textId="77777777" w:rsidR="00D907CC" w:rsidRPr="00212944" w:rsidRDefault="00D907CC" w:rsidP="00D907CC">
            <w:pPr>
              <w:jc w:val="center"/>
              <w:rPr>
                <w:rFonts w:ascii="Cambria" w:hAnsi="Cambria"/>
                <w:b/>
                <w:color w:val="FFFFFF" w:themeColor="background1"/>
                <w:sz w:val="20"/>
                <w:szCs w:val="20"/>
                <w:lang w:val="es-ES"/>
              </w:rPr>
            </w:pPr>
          </w:p>
        </w:tc>
        <w:tc>
          <w:tcPr>
            <w:tcW w:w="5760" w:type="dxa"/>
            <w:vAlign w:val="center"/>
          </w:tcPr>
          <w:p w14:paraId="32AA55AE" w14:textId="098AEC95" w:rsidR="00D907CC" w:rsidRPr="00212944" w:rsidRDefault="00D907CC" w:rsidP="00D907CC">
            <w:pPr>
              <w:jc w:val="both"/>
              <w:rPr>
                <w:rFonts w:ascii="Cambria" w:hAnsi="Cambria"/>
                <w:bCs/>
                <w:sz w:val="20"/>
                <w:szCs w:val="20"/>
                <w:lang w:val="pt-BR"/>
              </w:rPr>
            </w:pPr>
            <w:r w:rsidRPr="00212944">
              <w:rPr>
                <w:rFonts w:ascii="Cambria" w:hAnsi="Cambria"/>
                <w:b/>
                <w:sz w:val="20"/>
                <w:szCs w:val="20"/>
                <w:lang w:val="pt-BR"/>
              </w:rPr>
              <w:t>P-1217-19:</w:t>
            </w:r>
            <w:r w:rsidRPr="00212944">
              <w:rPr>
                <w:rFonts w:ascii="Cambria" w:hAnsi="Cambria"/>
                <w:bCs/>
                <w:sz w:val="20"/>
                <w:szCs w:val="20"/>
                <w:lang w:val="pt-BR"/>
              </w:rPr>
              <w:t xml:space="preserve"> 14 de junio de 2021</w:t>
            </w:r>
          </w:p>
        </w:tc>
      </w:tr>
      <w:tr w:rsidR="00D907CC" w:rsidRPr="00212944" w14:paraId="7E675247" w14:textId="77777777" w:rsidTr="40A9147A">
        <w:tc>
          <w:tcPr>
            <w:tcW w:w="3600" w:type="dxa"/>
            <w:vMerge/>
            <w:vAlign w:val="center"/>
          </w:tcPr>
          <w:p w14:paraId="06951017" w14:textId="77777777" w:rsidR="00D907CC" w:rsidRPr="00212944" w:rsidRDefault="00D907CC" w:rsidP="00D907CC">
            <w:pPr>
              <w:jc w:val="center"/>
              <w:rPr>
                <w:rFonts w:ascii="Cambria" w:hAnsi="Cambria"/>
                <w:b/>
                <w:color w:val="FFFFFF" w:themeColor="background1"/>
                <w:sz w:val="20"/>
                <w:szCs w:val="20"/>
                <w:lang w:val="pt-BR"/>
              </w:rPr>
            </w:pPr>
          </w:p>
        </w:tc>
        <w:tc>
          <w:tcPr>
            <w:tcW w:w="5760" w:type="dxa"/>
            <w:vAlign w:val="center"/>
          </w:tcPr>
          <w:p w14:paraId="1F96FCA7" w14:textId="7C85AE60" w:rsidR="00D907CC" w:rsidRPr="00212944" w:rsidRDefault="00D907CC" w:rsidP="00D907CC">
            <w:pPr>
              <w:jc w:val="both"/>
              <w:rPr>
                <w:rFonts w:ascii="Cambria" w:hAnsi="Cambria"/>
                <w:bCs/>
                <w:sz w:val="20"/>
                <w:szCs w:val="20"/>
                <w:lang w:val="es-ES"/>
              </w:rPr>
            </w:pPr>
            <w:r w:rsidRPr="00212944">
              <w:rPr>
                <w:rFonts w:ascii="Cambria" w:hAnsi="Cambria"/>
                <w:b/>
                <w:sz w:val="20"/>
                <w:szCs w:val="20"/>
                <w:lang w:val="pt-BR"/>
              </w:rPr>
              <w:t xml:space="preserve">P-1228-19: </w:t>
            </w:r>
            <w:r w:rsidRPr="00212944">
              <w:rPr>
                <w:rFonts w:ascii="Cambria" w:hAnsi="Cambria"/>
                <w:bCs/>
                <w:sz w:val="20"/>
                <w:szCs w:val="20"/>
                <w:lang w:val="pt-BR"/>
              </w:rPr>
              <w:t>18 de noviembre de 2021</w:t>
            </w:r>
          </w:p>
        </w:tc>
      </w:tr>
      <w:tr w:rsidR="00D907CC" w:rsidRPr="00212944" w14:paraId="03A3C99F" w14:textId="77777777" w:rsidTr="40A9147A">
        <w:tc>
          <w:tcPr>
            <w:tcW w:w="3600" w:type="dxa"/>
            <w:vMerge/>
            <w:vAlign w:val="center"/>
          </w:tcPr>
          <w:p w14:paraId="5AE8F67B" w14:textId="77777777" w:rsidR="00D907CC" w:rsidRPr="00212944" w:rsidRDefault="00D907CC" w:rsidP="00D907CC">
            <w:pPr>
              <w:jc w:val="center"/>
              <w:rPr>
                <w:rFonts w:ascii="Cambria" w:hAnsi="Cambria"/>
                <w:b/>
                <w:color w:val="FFFFFF" w:themeColor="background1"/>
                <w:sz w:val="20"/>
                <w:szCs w:val="20"/>
                <w:lang w:val="es-ES"/>
              </w:rPr>
            </w:pPr>
          </w:p>
        </w:tc>
        <w:tc>
          <w:tcPr>
            <w:tcW w:w="5760" w:type="dxa"/>
            <w:vAlign w:val="center"/>
          </w:tcPr>
          <w:p w14:paraId="3644ACBE" w14:textId="5027E026" w:rsidR="00D907CC" w:rsidRPr="00BE2E9F" w:rsidRDefault="00D907CC" w:rsidP="00D907CC">
            <w:pPr>
              <w:jc w:val="both"/>
              <w:rPr>
                <w:rFonts w:ascii="Cambria" w:hAnsi="Cambria"/>
                <w:bCs/>
                <w:sz w:val="20"/>
                <w:szCs w:val="20"/>
                <w:lang w:val="es-ES"/>
              </w:rPr>
            </w:pPr>
            <w:r w:rsidRPr="00BE2E9F">
              <w:rPr>
                <w:rFonts w:ascii="Cambria" w:hAnsi="Cambria"/>
                <w:b/>
                <w:sz w:val="20"/>
                <w:szCs w:val="20"/>
                <w:lang w:val="pt-BR"/>
              </w:rPr>
              <w:t xml:space="preserve">P-1278-19: </w:t>
            </w:r>
            <w:r w:rsidRPr="00BE2E9F">
              <w:rPr>
                <w:rFonts w:ascii="Cambria" w:hAnsi="Cambria"/>
                <w:bCs/>
                <w:sz w:val="20"/>
                <w:szCs w:val="20"/>
                <w:lang w:val="pt-BR"/>
              </w:rPr>
              <w:t>4 de agosto de 2022</w:t>
            </w:r>
          </w:p>
        </w:tc>
      </w:tr>
      <w:tr w:rsidR="00D907CC" w:rsidRPr="00212944" w14:paraId="6DBA9746" w14:textId="77777777" w:rsidTr="40A9147A">
        <w:tc>
          <w:tcPr>
            <w:tcW w:w="3600" w:type="dxa"/>
            <w:vMerge/>
            <w:vAlign w:val="center"/>
          </w:tcPr>
          <w:p w14:paraId="10476A5A" w14:textId="77777777" w:rsidR="00D907CC" w:rsidRPr="00212944" w:rsidRDefault="00D907CC" w:rsidP="00D907CC">
            <w:pPr>
              <w:jc w:val="center"/>
              <w:rPr>
                <w:rFonts w:ascii="Cambria" w:hAnsi="Cambria"/>
                <w:b/>
                <w:color w:val="FFFFFF" w:themeColor="background1"/>
                <w:sz w:val="20"/>
                <w:szCs w:val="20"/>
                <w:lang w:val="es-ES"/>
              </w:rPr>
            </w:pPr>
          </w:p>
        </w:tc>
        <w:tc>
          <w:tcPr>
            <w:tcW w:w="5760" w:type="dxa"/>
            <w:vAlign w:val="center"/>
          </w:tcPr>
          <w:p w14:paraId="1EC7B013" w14:textId="564D6830" w:rsidR="00D907CC" w:rsidRPr="00BE2E9F" w:rsidRDefault="00D907CC" w:rsidP="00D907CC">
            <w:pPr>
              <w:jc w:val="both"/>
              <w:rPr>
                <w:rFonts w:ascii="Cambria" w:hAnsi="Cambria"/>
                <w:b/>
                <w:sz w:val="20"/>
                <w:szCs w:val="20"/>
                <w:lang w:val="pt-BR"/>
              </w:rPr>
            </w:pPr>
            <w:r w:rsidRPr="00BE2E9F">
              <w:rPr>
                <w:rFonts w:ascii="Cambria" w:hAnsi="Cambria"/>
                <w:b/>
                <w:sz w:val="20"/>
                <w:szCs w:val="20"/>
                <w:lang w:val="pt-BR"/>
              </w:rPr>
              <w:t>P-1279-19:</w:t>
            </w:r>
            <w:r w:rsidR="00BE2E9F" w:rsidRPr="00BE2E9F">
              <w:rPr>
                <w:rFonts w:ascii="Cambria" w:hAnsi="Cambria"/>
                <w:b/>
                <w:sz w:val="20"/>
                <w:szCs w:val="20"/>
                <w:lang w:val="pt-BR"/>
              </w:rPr>
              <w:t xml:space="preserve"> </w:t>
            </w:r>
            <w:r w:rsidR="00BE2E9F" w:rsidRPr="00BE2E9F">
              <w:rPr>
                <w:rFonts w:ascii="Cambria" w:hAnsi="Cambria"/>
                <w:bCs/>
                <w:sz w:val="20"/>
                <w:szCs w:val="20"/>
                <w:lang w:val="pt-BR"/>
              </w:rPr>
              <w:t>8 de agosto de 2022</w:t>
            </w:r>
          </w:p>
        </w:tc>
      </w:tr>
      <w:tr w:rsidR="00D907CC" w:rsidRPr="00212944" w14:paraId="29E487F6" w14:textId="77777777" w:rsidTr="40A9147A">
        <w:tc>
          <w:tcPr>
            <w:tcW w:w="3600" w:type="dxa"/>
            <w:vMerge/>
            <w:vAlign w:val="center"/>
          </w:tcPr>
          <w:p w14:paraId="6689172A" w14:textId="77777777" w:rsidR="00D907CC" w:rsidRPr="00212944" w:rsidRDefault="00D907CC" w:rsidP="00D907CC">
            <w:pPr>
              <w:jc w:val="center"/>
              <w:rPr>
                <w:rFonts w:ascii="Cambria" w:hAnsi="Cambria"/>
                <w:b/>
                <w:color w:val="FFFFFF" w:themeColor="background1"/>
                <w:sz w:val="20"/>
                <w:szCs w:val="20"/>
                <w:lang w:val="es-ES"/>
              </w:rPr>
            </w:pPr>
          </w:p>
        </w:tc>
        <w:tc>
          <w:tcPr>
            <w:tcW w:w="5760" w:type="dxa"/>
            <w:vAlign w:val="center"/>
          </w:tcPr>
          <w:p w14:paraId="344A8531" w14:textId="28F5BD76" w:rsidR="00D907CC" w:rsidRPr="00212944" w:rsidRDefault="00D907CC" w:rsidP="00D907CC">
            <w:pPr>
              <w:jc w:val="both"/>
              <w:rPr>
                <w:rFonts w:ascii="Cambria" w:hAnsi="Cambria"/>
                <w:b/>
                <w:sz w:val="20"/>
                <w:szCs w:val="20"/>
                <w:highlight w:val="green"/>
                <w:lang w:val="pt-BR"/>
              </w:rPr>
            </w:pPr>
            <w:r w:rsidRPr="00D53D13">
              <w:rPr>
                <w:rFonts w:ascii="Cambria" w:hAnsi="Cambria"/>
                <w:b/>
                <w:sz w:val="20"/>
                <w:szCs w:val="20"/>
                <w:lang w:val="pt-BR"/>
              </w:rPr>
              <w:t>P-1428-19:</w:t>
            </w:r>
            <w:r w:rsidR="00D53D13" w:rsidRPr="00D53D13">
              <w:rPr>
                <w:rFonts w:ascii="Cambria" w:hAnsi="Cambria"/>
                <w:b/>
                <w:sz w:val="20"/>
                <w:szCs w:val="20"/>
                <w:lang w:val="pt-BR"/>
              </w:rPr>
              <w:t xml:space="preserve"> </w:t>
            </w:r>
            <w:r w:rsidR="00D53D13" w:rsidRPr="00D53D13">
              <w:rPr>
                <w:rFonts w:ascii="Cambria" w:hAnsi="Cambria"/>
                <w:bCs/>
                <w:sz w:val="20"/>
                <w:szCs w:val="20"/>
                <w:lang w:val="pt-BR"/>
              </w:rPr>
              <w:t>8 de agosto de 2022</w:t>
            </w:r>
          </w:p>
        </w:tc>
      </w:tr>
      <w:tr w:rsidR="00D907CC" w:rsidRPr="00212944" w14:paraId="7BC16258" w14:textId="77777777" w:rsidTr="40A9147A">
        <w:tc>
          <w:tcPr>
            <w:tcW w:w="3600" w:type="dxa"/>
            <w:vMerge/>
            <w:vAlign w:val="center"/>
          </w:tcPr>
          <w:p w14:paraId="1EA2773D" w14:textId="77777777" w:rsidR="00D907CC" w:rsidRPr="00212944" w:rsidRDefault="00D907CC" w:rsidP="00D907CC">
            <w:pPr>
              <w:jc w:val="center"/>
              <w:rPr>
                <w:rFonts w:ascii="Cambria" w:hAnsi="Cambria"/>
                <w:b/>
                <w:color w:val="FFFFFF" w:themeColor="background1"/>
                <w:sz w:val="20"/>
                <w:szCs w:val="20"/>
                <w:lang w:val="es-ES"/>
              </w:rPr>
            </w:pPr>
          </w:p>
        </w:tc>
        <w:tc>
          <w:tcPr>
            <w:tcW w:w="5760" w:type="dxa"/>
            <w:vAlign w:val="center"/>
          </w:tcPr>
          <w:p w14:paraId="59C528F7" w14:textId="7E41BF4E" w:rsidR="00D907CC" w:rsidRPr="00212944" w:rsidRDefault="00D907CC" w:rsidP="00D907CC">
            <w:pPr>
              <w:jc w:val="both"/>
              <w:rPr>
                <w:rFonts w:ascii="Cambria" w:hAnsi="Cambria"/>
                <w:b/>
                <w:sz w:val="20"/>
                <w:szCs w:val="20"/>
                <w:highlight w:val="green"/>
                <w:lang w:val="pt-BR"/>
              </w:rPr>
            </w:pPr>
            <w:r w:rsidRPr="009F4DF2">
              <w:rPr>
                <w:rFonts w:ascii="Cambria" w:hAnsi="Cambria"/>
                <w:b/>
                <w:sz w:val="20"/>
                <w:szCs w:val="20"/>
                <w:lang w:val="pt-BR"/>
              </w:rPr>
              <w:t>P-1563-19:</w:t>
            </w:r>
            <w:r w:rsidR="009F4DF2" w:rsidRPr="009F4DF2">
              <w:rPr>
                <w:rFonts w:ascii="Cambria" w:hAnsi="Cambria"/>
                <w:b/>
                <w:sz w:val="20"/>
                <w:szCs w:val="20"/>
                <w:lang w:val="pt-BR"/>
              </w:rPr>
              <w:t xml:space="preserve"> </w:t>
            </w:r>
            <w:r w:rsidR="009F4DF2" w:rsidRPr="009F4DF2">
              <w:rPr>
                <w:rFonts w:ascii="Cambria" w:hAnsi="Cambria"/>
                <w:bCs/>
                <w:sz w:val="20"/>
                <w:szCs w:val="20"/>
                <w:lang w:val="pt-BR"/>
              </w:rPr>
              <w:t>9 de agosto de 2022</w:t>
            </w:r>
          </w:p>
        </w:tc>
      </w:tr>
      <w:tr w:rsidR="00D907CC" w:rsidRPr="00212944" w14:paraId="742528AE" w14:textId="77777777" w:rsidTr="40A9147A">
        <w:tc>
          <w:tcPr>
            <w:tcW w:w="3600" w:type="dxa"/>
            <w:vMerge/>
            <w:vAlign w:val="center"/>
          </w:tcPr>
          <w:p w14:paraId="2209DF0A" w14:textId="77777777" w:rsidR="00D907CC" w:rsidRPr="00212944" w:rsidRDefault="00D907CC" w:rsidP="00D907CC">
            <w:pPr>
              <w:jc w:val="center"/>
              <w:rPr>
                <w:rFonts w:ascii="Cambria" w:hAnsi="Cambria"/>
                <w:b/>
                <w:color w:val="FFFFFF" w:themeColor="background1"/>
                <w:sz w:val="20"/>
                <w:szCs w:val="20"/>
                <w:lang w:val="es-ES"/>
              </w:rPr>
            </w:pPr>
          </w:p>
        </w:tc>
        <w:tc>
          <w:tcPr>
            <w:tcW w:w="5760" w:type="dxa"/>
            <w:vAlign w:val="center"/>
          </w:tcPr>
          <w:p w14:paraId="6FBE5739" w14:textId="78F1C922" w:rsidR="00D907CC" w:rsidRPr="007A42A0" w:rsidRDefault="00D907CC" w:rsidP="00D907CC">
            <w:pPr>
              <w:jc w:val="both"/>
              <w:rPr>
                <w:rFonts w:ascii="Cambria" w:hAnsi="Cambria"/>
                <w:b/>
                <w:sz w:val="20"/>
                <w:szCs w:val="20"/>
                <w:lang w:val="pt-BR"/>
              </w:rPr>
            </w:pPr>
            <w:r w:rsidRPr="007A42A0">
              <w:rPr>
                <w:rFonts w:ascii="Cambria" w:hAnsi="Cambria"/>
                <w:b/>
                <w:sz w:val="20"/>
                <w:szCs w:val="20"/>
                <w:lang w:val="pt-BR"/>
              </w:rPr>
              <w:t>P-1677-19:</w:t>
            </w:r>
            <w:r w:rsidR="00650BDD" w:rsidRPr="007A42A0">
              <w:rPr>
                <w:rFonts w:ascii="Cambria" w:hAnsi="Cambria"/>
                <w:b/>
                <w:sz w:val="20"/>
                <w:szCs w:val="20"/>
                <w:lang w:val="pt-BR"/>
              </w:rPr>
              <w:t xml:space="preserve"> </w:t>
            </w:r>
            <w:r w:rsidR="00650BDD" w:rsidRPr="007A42A0">
              <w:rPr>
                <w:rFonts w:ascii="Cambria" w:hAnsi="Cambria"/>
                <w:bCs/>
                <w:sz w:val="20"/>
                <w:szCs w:val="20"/>
                <w:lang w:val="pt-BR"/>
              </w:rPr>
              <w:t>10 de agosto de 2022</w:t>
            </w:r>
          </w:p>
        </w:tc>
      </w:tr>
      <w:tr w:rsidR="00D907CC" w:rsidRPr="00212944" w14:paraId="39692C70" w14:textId="77777777" w:rsidTr="40A9147A">
        <w:tc>
          <w:tcPr>
            <w:tcW w:w="3600" w:type="dxa"/>
            <w:vMerge/>
            <w:vAlign w:val="center"/>
          </w:tcPr>
          <w:p w14:paraId="6430D964" w14:textId="77777777" w:rsidR="00D907CC" w:rsidRPr="00212944" w:rsidRDefault="00D907CC" w:rsidP="00D907CC">
            <w:pPr>
              <w:jc w:val="center"/>
              <w:rPr>
                <w:rFonts w:ascii="Cambria" w:hAnsi="Cambria"/>
                <w:b/>
                <w:color w:val="FFFFFF" w:themeColor="background1"/>
                <w:sz w:val="20"/>
                <w:szCs w:val="20"/>
                <w:lang w:val="es-ES"/>
              </w:rPr>
            </w:pPr>
          </w:p>
        </w:tc>
        <w:tc>
          <w:tcPr>
            <w:tcW w:w="5760" w:type="dxa"/>
            <w:vAlign w:val="center"/>
          </w:tcPr>
          <w:p w14:paraId="4110B7D5" w14:textId="6E269B70" w:rsidR="00D907CC" w:rsidRPr="007A42A0" w:rsidRDefault="00D907CC" w:rsidP="00D907CC">
            <w:pPr>
              <w:jc w:val="both"/>
              <w:rPr>
                <w:rFonts w:ascii="Cambria" w:hAnsi="Cambria"/>
                <w:b/>
                <w:sz w:val="20"/>
                <w:szCs w:val="20"/>
                <w:lang w:val="pt-BR"/>
              </w:rPr>
            </w:pPr>
            <w:r w:rsidRPr="007A42A0">
              <w:rPr>
                <w:rFonts w:ascii="Cambria" w:hAnsi="Cambria"/>
                <w:b/>
                <w:sz w:val="20"/>
                <w:szCs w:val="20"/>
                <w:lang w:val="pt-BR"/>
              </w:rPr>
              <w:t>P-1736-19:</w:t>
            </w:r>
            <w:r w:rsidR="007A42A0" w:rsidRPr="007A42A0">
              <w:rPr>
                <w:rFonts w:ascii="Cambria" w:hAnsi="Cambria"/>
                <w:b/>
                <w:sz w:val="20"/>
                <w:szCs w:val="20"/>
                <w:lang w:val="pt-BR"/>
              </w:rPr>
              <w:t xml:space="preserve"> </w:t>
            </w:r>
            <w:r w:rsidR="007A42A0" w:rsidRPr="007A42A0">
              <w:rPr>
                <w:rFonts w:ascii="Cambria" w:hAnsi="Cambria"/>
                <w:bCs/>
                <w:sz w:val="20"/>
                <w:szCs w:val="20"/>
                <w:lang w:val="pt-BR"/>
              </w:rPr>
              <w:t>15 de agosto de 2022</w:t>
            </w:r>
          </w:p>
        </w:tc>
      </w:tr>
      <w:tr w:rsidR="00D907CC" w:rsidRPr="00212944" w14:paraId="0390898D" w14:textId="77777777" w:rsidTr="40A9147A">
        <w:tc>
          <w:tcPr>
            <w:tcW w:w="3600" w:type="dxa"/>
            <w:vMerge/>
            <w:vAlign w:val="center"/>
          </w:tcPr>
          <w:p w14:paraId="56DC872A" w14:textId="77777777" w:rsidR="00D907CC" w:rsidRPr="00212944" w:rsidRDefault="00D907CC" w:rsidP="00D907CC">
            <w:pPr>
              <w:jc w:val="center"/>
              <w:rPr>
                <w:rFonts w:ascii="Cambria" w:hAnsi="Cambria"/>
                <w:b/>
                <w:color w:val="FFFFFF" w:themeColor="background1"/>
                <w:sz w:val="20"/>
                <w:szCs w:val="20"/>
                <w:lang w:val="es-ES"/>
              </w:rPr>
            </w:pPr>
          </w:p>
        </w:tc>
        <w:tc>
          <w:tcPr>
            <w:tcW w:w="5760" w:type="dxa"/>
            <w:vAlign w:val="center"/>
          </w:tcPr>
          <w:p w14:paraId="653A2B00" w14:textId="614F5620" w:rsidR="00D907CC" w:rsidRPr="00212944" w:rsidRDefault="00D907CC" w:rsidP="00D907CC">
            <w:pPr>
              <w:jc w:val="both"/>
              <w:rPr>
                <w:rFonts w:ascii="Cambria" w:hAnsi="Cambria"/>
                <w:b/>
                <w:sz w:val="20"/>
                <w:szCs w:val="20"/>
                <w:highlight w:val="green"/>
                <w:lang w:val="pt-BR"/>
              </w:rPr>
            </w:pPr>
            <w:r w:rsidRPr="00717DAF">
              <w:rPr>
                <w:rFonts w:ascii="Cambria" w:hAnsi="Cambria"/>
                <w:b/>
                <w:sz w:val="20"/>
                <w:szCs w:val="20"/>
                <w:lang w:val="pt-BR"/>
              </w:rPr>
              <w:t>P-2284-19:</w:t>
            </w:r>
            <w:r w:rsidR="00717DAF" w:rsidRPr="00717DAF">
              <w:rPr>
                <w:rFonts w:ascii="Cambria" w:hAnsi="Cambria"/>
                <w:b/>
                <w:sz w:val="20"/>
                <w:szCs w:val="20"/>
                <w:lang w:val="pt-BR"/>
              </w:rPr>
              <w:t xml:space="preserve"> </w:t>
            </w:r>
            <w:r w:rsidR="00717DAF" w:rsidRPr="00717DAF">
              <w:rPr>
                <w:rFonts w:ascii="Cambria" w:hAnsi="Cambria"/>
                <w:bCs/>
                <w:sz w:val="20"/>
                <w:szCs w:val="20"/>
                <w:lang w:val="pt-BR"/>
              </w:rPr>
              <w:t>19 de octubre de 2022</w:t>
            </w:r>
          </w:p>
        </w:tc>
      </w:tr>
      <w:tr w:rsidR="00D907CC" w:rsidRPr="00212944" w14:paraId="0D100030" w14:textId="77777777" w:rsidTr="40A9147A">
        <w:tc>
          <w:tcPr>
            <w:tcW w:w="3600" w:type="dxa"/>
            <w:vMerge/>
            <w:vAlign w:val="center"/>
          </w:tcPr>
          <w:p w14:paraId="53166D04" w14:textId="77777777" w:rsidR="00D907CC" w:rsidRPr="00212944" w:rsidRDefault="00D907CC" w:rsidP="00D907CC">
            <w:pPr>
              <w:jc w:val="center"/>
              <w:rPr>
                <w:rFonts w:ascii="Cambria" w:hAnsi="Cambria"/>
                <w:b/>
                <w:color w:val="FFFFFF" w:themeColor="background1"/>
                <w:sz w:val="20"/>
                <w:szCs w:val="20"/>
                <w:lang w:val="es-ES"/>
              </w:rPr>
            </w:pPr>
          </w:p>
        </w:tc>
        <w:tc>
          <w:tcPr>
            <w:tcW w:w="5760" w:type="dxa"/>
            <w:vAlign w:val="center"/>
          </w:tcPr>
          <w:p w14:paraId="1E611283" w14:textId="27F9F07F" w:rsidR="00D907CC" w:rsidRPr="00212944" w:rsidRDefault="00D907CC" w:rsidP="00D907CC">
            <w:pPr>
              <w:jc w:val="both"/>
              <w:rPr>
                <w:rFonts w:ascii="Cambria" w:hAnsi="Cambria"/>
                <w:b/>
                <w:sz w:val="20"/>
                <w:szCs w:val="20"/>
                <w:highlight w:val="green"/>
                <w:lang w:val="pt-BR"/>
              </w:rPr>
            </w:pPr>
            <w:r w:rsidRPr="008442AF">
              <w:rPr>
                <w:rFonts w:ascii="Cambria" w:hAnsi="Cambria"/>
                <w:b/>
                <w:sz w:val="20"/>
                <w:szCs w:val="20"/>
                <w:lang w:val="pt-BR"/>
              </w:rPr>
              <w:t>P-2625-19:</w:t>
            </w:r>
            <w:r w:rsidR="008442AF" w:rsidRPr="008442AF">
              <w:rPr>
                <w:rFonts w:ascii="Cambria" w:hAnsi="Cambria"/>
                <w:b/>
                <w:sz w:val="20"/>
                <w:szCs w:val="20"/>
                <w:lang w:val="pt-BR"/>
              </w:rPr>
              <w:t xml:space="preserve"> </w:t>
            </w:r>
            <w:r w:rsidR="008442AF" w:rsidRPr="008442AF">
              <w:rPr>
                <w:rFonts w:ascii="Cambria" w:hAnsi="Cambria"/>
                <w:bCs/>
                <w:sz w:val="20"/>
                <w:szCs w:val="20"/>
                <w:lang w:val="pt-BR"/>
              </w:rPr>
              <w:t>5 de octubre de 2022</w:t>
            </w:r>
          </w:p>
        </w:tc>
      </w:tr>
      <w:tr w:rsidR="00D907CC" w:rsidRPr="00212944" w14:paraId="0C013822" w14:textId="77777777" w:rsidTr="40A9147A">
        <w:tc>
          <w:tcPr>
            <w:tcW w:w="3600" w:type="dxa"/>
            <w:vMerge/>
            <w:vAlign w:val="center"/>
          </w:tcPr>
          <w:p w14:paraId="5687588E" w14:textId="77777777" w:rsidR="00D907CC" w:rsidRPr="00212944" w:rsidRDefault="00D907CC" w:rsidP="00D907CC">
            <w:pPr>
              <w:jc w:val="center"/>
              <w:rPr>
                <w:rFonts w:ascii="Cambria" w:hAnsi="Cambria"/>
                <w:b/>
                <w:color w:val="FFFFFF" w:themeColor="background1"/>
                <w:sz w:val="20"/>
                <w:szCs w:val="20"/>
                <w:lang w:val="es-ES"/>
              </w:rPr>
            </w:pPr>
          </w:p>
        </w:tc>
        <w:tc>
          <w:tcPr>
            <w:tcW w:w="5760" w:type="dxa"/>
            <w:vAlign w:val="center"/>
          </w:tcPr>
          <w:p w14:paraId="215D1BD3" w14:textId="270BEC1B" w:rsidR="00D907CC" w:rsidRPr="00212944" w:rsidRDefault="00D907CC" w:rsidP="00D907CC">
            <w:pPr>
              <w:jc w:val="both"/>
              <w:rPr>
                <w:rFonts w:ascii="Cambria" w:hAnsi="Cambria"/>
                <w:b/>
                <w:sz w:val="20"/>
                <w:szCs w:val="20"/>
                <w:highlight w:val="green"/>
                <w:lang w:val="pt-BR"/>
              </w:rPr>
            </w:pPr>
            <w:r w:rsidRPr="00D517E1">
              <w:rPr>
                <w:rFonts w:ascii="Cambria" w:hAnsi="Cambria"/>
                <w:b/>
                <w:sz w:val="20"/>
                <w:szCs w:val="20"/>
                <w:lang w:val="pt-BR"/>
              </w:rPr>
              <w:t>P-3126-19:</w:t>
            </w:r>
            <w:r w:rsidR="00D517E1" w:rsidRPr="00D517E1">
              <w:rPr>
                <w:rFonts w:ascii="Cambria" w:hAnsi="Cambria"/>
                <w:b/>
                <w:sz w:val="20"/>
                <w:szCs w:val="20"/>
                <w:lang w:val="pt-BR"/>
              </w:rPr>
              <w:t xml:space="preserve"> </w:t>
            </w:r>
            <w:r w:rsidR="00D517E1" w:rsidRPr="00D517E1">
              <w:rPr>
                <w:rFonts w:ascii="Cambria" w:hAnsi="Cambria"/>
                <w:bCs/>
                <w:sz w:val="20"/>
                <w:szCs w:val="20"/>
                <w:lang w:val="pt-BR"/>
              </w:rPr>
              <w:t>9 de diciembre de 2022</w:t>
            </w:r>
          </w:p>
        </w:tc>
      </w:tr>
      <w:tr w:rsidR="00D907CC" w:rsidRPr="00212944" w14:paraId="6147A8D5" w14:textId="77777777" w:rsidTr="40A9147A">
        <w:tc>
          <w:tcPr>
            <w:tcW w:w="3600" w:type="dxa"/>
            <w:vMerge w:val="restart"/>
            <w:tcBorders>
              <w:top w:val="single" w:sz="6" w:space="0" w:color="auto"/>
            </w:tcBorders>
            <w:shd w:val="clear" w:color="auto" w:fill="386294"/>
            <w:vAlign w:val="center"/>
          </w:tcPr>
          <w:p w14:paraId="0201C86D" w14:textId="4A5EC6F9" w:rsidR="00D907CC" w:rsidRPr="00212944" w:rsidRDefault="00D907CC" w:rsidP="00D907CC">
            <w:pPr>
              <w:jc w:val="center"/>
              <w:rPr>
                <w:rFonts w:ascii="Cambria" w:hAnsi="Cambria"/>
                <w:b/>
                <w:bCs/>
                <w:color w:val="FFFFFF" w:themeColor="background1"/>
                <w:sz w:val="20"/>
                <w:szCs w:val="20"/>
                <w:lang w:val="es-ES"/>
              </w:rPr>
            </w:pPr>
            <w:r w:rsidRPr="00212944">
              <w:rPr>
                <w:rFonts w:ascii="Cambria" w:hAnsi="Cambria"/>
                <w:b/>
                <w:color w:val="FFFFFF" w:themeColor="background1"/>
                <w:sz w:val="20"/>
                <w:szCs w:val="20"/>
                <w:lang w:val="es-ES"/>
              </w:rPr>
              <w:t>Primera respuesta del Estado:</w:t>
            </w:r>
          </w:p>
        </w:tc>
        <w:tc>
          <w:tcPr>
            <w:tcW w:w="5760" w:type="dxa"/>
            <w:vAlign w:val="center"/>
          </w:tcPr>
          <w:p w14:paraId="1972B99E" w14:textId="5643B525" w:rsidR="00D907CC" w:rsidRPr="00212944" w:rsidRDefault="00D907CC" w:rsidP="00D907CC">
            <w:pPr>
              <w:jc w:val="both"/>
              <w:rPr>
                <w:rFonts w:ascii="Cambria" w:hAnsi="Cambria"/>
                <w:b/>
                <w:sz w:val="20"/>
                <w:szCs w:val="20"/>
                <w:lang w:val="es-ES"/>
              </w:rPr>
            </w:pPr>
            <w:r w:rsidRPr="00212944">
              <w:rPr>
                <w:rFonts w:ascii="Cambria" w:hAnsi="Cambria"/>
                <w:b/>
                <w:sz w:val="20"/>
                <w:szCs w:val="20"/>
                <w:lang w:val="es-ES"/>
              </w:rPr>
              <w:t xml:space="preserve">P-2287-16: </w:t>
            </w:r>
            <w:r w:rsidRPr="00212944">
              <w:rPr>
                <w:rFonts w:ascii="Cambria" w:hAnsi="Cambria"/>
                <w:bCs/>
                <w:sz w:val="20"/>
                <w:szCs w:val="20"/>
                <w:lang w:val="es-ES"/>
              </w:rPr>
              <w:t>19 de julio de 2019</w:t>
            </w:r>
          </w:p>
        </w:tc>
      </w:tr>
      <w:tr w:rsidR="00D907CC" w:rsidRPr="00212944" w14:paraId="765C4E0F" w14:textId="77777777" w:rsidTr="40A9147A">
        <w:tc>
          <w:tcPr>
            <w:tcW w:w="3600" w:type="dxa"/>
            <w:vMerge/>
            <w:vAlign w:val="center"/>
          </w:tcPr>
          <w:p w14:paraId="3A13A112" w14:textId="77777777" w:rsidR="00D907CC" w:rsidRPr="00212944" w:rsidRDefault="00D907CC" w:rsidP="00D907CC">
            <w:pPr>
              <w:jc w:val="center"/>
              <w:rPr>
                <w:rFonts w:ascii="Cambria" w:hAnsi="Cambria"/>
                <w:b/>
                <w:color w:val="FFFFFF" w:themeColor="background1"/>
                <w:sz w:val="20"/>
                <w:szCs w:val="20"/>
                <w:lang w:val="es-ES"/>
              </w:rPr>
            </w:pPr>
          </w:p>
        </w:tc>
        <w:tc>
          <w:tcPr>
            <w:tcW w:w="5760" w:type="dxa"/>
            <w:vAlign w:val="center"/>
          </w:tcPr>
          <w:p w14:paraId="1E1713B8" w14:textId="699350E0" w:rsidR="00D907CC" w:rsidRPr="00212944" w:rsidRDefault="00D907CC" w:rsidP="00D907CC">
            <w:pPr>
              <w:jc w:val="both"/>
              <w:rPr>
                <w:rFonts w:ascii="Cambria" w:hAnsi="Cambria"/>
                <w:bCs/>
                <w:sz w:val="20"/>
                <w:szCs w:val="20"/>
                <w:lang w:val="es-ES"/>
              </w:rPr>
            </w:pPr>
            <w:r w:rsidRPr="00212944">
              <w:rPr>
                <w:rFonts w:ascii="Cambria" w:hAnsi="Cambria"/>
                <w:b/>
                <w:sz w:val="20"/>
                <w:szCs w:val="20"/>
                <w:lang w:val="es-ES"/>
              </w:rPr>
              <w:t xml:space="preserve">P-2722-18: </w:t>
            </w:r>
            <w:r w:rsidRPr="00212944">
              <w:rPr>
                <w:rFonts w:ascii="Cambria" w:hAnsi="Cambria"/>
                <w:bCs/>
                <w:sz w:val="20"/>
                <w:szCs w:val="20"/>
                <w:lang w:val="es-ES"/>
              </w:rPr>
              <w:t>22 de junio de 2022</w:t>
            </w:r>
          </w:p>
        </w:tc>
      </w:tr>
      <w:tr w:rsidR="00D907CC" w:rsidRPr="00212944" w14:paraId="6D3A11DD" w14:textId="77777777" w:rsidTr="40A9147A">
        <w:tc>
          <w:tcPr>
            <w:tcW w:w="3600" w:type="dxa"/>
            <w:vMerge/>
            <w:vAlign w:val="center"/>
          </w:tcPr>
          <w:p w14:paraId="44C54D15" w14:textId="77777777" w:rsidR="00D907CC" w:rsidRPr="00212944" w:rsidRDefault="00D907CC" w:rsidP="00D907CC">
            <w:pPr>
              <w:jc w:val="center"/>
              <w:rPr>
                <w:rFonts w:ascii="Cambria" w:hAnsi="Cambria"/>
                <w:b/>
                <w:color w:val="FFFFFF" w:themeColor="background1"/>
                <w:sz w:val="20"/>
                <w:szCs w:val="20"/>
                <w:lang w:val="es-ES"/>
              </w:rPr>
            </w:pPr>
          </w:p>
        </w:tc>
        <w:tc>
          <w:tcPr>
            <w:tcW w:w="5760" w:type="dxa"/>
            <w:vAlign w:val="center"/>
          </w:tcPr>
          <w:p w14:paraId="602B03B5" w14:textId="26A0D19D" w:rsidR="00D907CC" w:rsidRPr="00212944" w:rsidRDefault="00D907CC" w:rsidP="00D907CC">
            <w:pPr>
              <w:jc w:val="both"/>
              <w:rPr>
                <w:rFonts w:ascii="Cambria" w:hAnsi="Cambria"/>
                <w:bCs/>
                <w:sz w:val="20"/>
                <w:szCs w:val="20"/>
                <w:lang w:val="es-ES"/>
              </w:rPr>
            </w:pPr>
            <w:r w:rsidRPr="00212944">
              <w:rPr>
                <w:rFonts w:ascii="Cambria" w:hAnsi="Cambria"/>
                <w:b/>
                <w:sz w:val="20"/>
                <w:szCs w:val="20"/>
                <w:lang w:val="pt-BR"/>
              </w:rPr>
              <w:t>P-2774-18:</w:t>
            </w:r>
            <w:r w:rsidRPr="00212944">
              <w:rPr>
                <w:rFonts w:ascii="Cambria" w:hAnsi="Cambria"/>
                <w:bCs/>
                <w:sz w:val="20"/>
                <w:szCs w:val="20"/>
                <w:lang w:val="pt-BR"/>
              </w:rPr>
              <w:t xml:space="preserve"> 1 de julio de 2022</w:t>
            </w:r>
          </w:p>
        </w:tc>
      </w:tr>
      <w:tr w:rsidR="00D907CC" w:rsidRPr="00212944" w14:paraId="77C96CD7" w14:textId="77777777" w:rsidTr="40A9147A">
        <w:tc>
          <w:tcPr>
            <w:tcW w:w="3600" w:type="dxa"/>
            <w:vMerge/>
            <w:vAlign w:val="center"/>
          </w:tcPr>
          <w:p w14:paraId="16D7BD82" w14:textId="77777777" w:rsidR="00D907CC" w:rsidRPr="00212944" w:rsidRDefault="00D907CC" w:rsidP="00D907CC">
            <w:pPr>
              <w:jc w:val="center"/>
              <w:rPr>
                <w:rFonts w:ascii="Cambria" w:hAnsi="Cambria"/>
                <w:b/>
                <w:color w:val="FFFFFF" w:themeColor="background1"/>
                <w:sz w:val="20"/>
                <w:szCs w:val="20"/>
                <w:lang w:val="es-ES"/>
              </w:rPr>
            </w:pPr>
          </w:p>
        </w:tc>
        <w:tc>
          <w:tcPr>
            <w:tcW w:w="5760" w:type="dxa"/>
            <w:vAlign w:val="center"/>
          </w:tcPr>
          <w:p w14:paraId="6D8DE650" w14:textId="2E4F130D" w:rsidR="00D907CC" w:rsidRPr="00212944" w:rsidRDefault="00D907CC" w:rsidP="00D907CC">
            <w:pPr>
              <w:jc w:val="both"/>
              <w:rPr>
                <w:rFonts w:ascii="Cambria" w:hAnsi="Cambria"/>
                <w:bCs/>
                <w:sz w:val="20"/>
                <w:szCs w:val="20"/>
                <w:lang w:val="es-ES"/>
              </w:rPr>
            </w:pPr>
            <w:r w:rsidRPr="00212944">
              <w:rPr>
                <w:rFonts w:ascii="Cambria" w:hAnsi="Cambria"/>
                <w:b/>
                <w:sz w:val="20"/>
                <w:szCs w:val="20"/>
                <w:lang w:val="pt-BR"/>
              </w:rPr>
              <w:t>P-76-19:</w:t>
            </w:r>
            <w:r w:rsidRPr="00212944">
              <w:rPr>
                <w:rFonts w:ascii="Cambria" w:hAnsi="Cambria"/>
                <w:bCs/>
                <w:sz w:val="20"/>
                <w:szCs w:val="20"/>
                <w:lang w:val="pt-BR"/>
              </w:rPr>
              <w:t xml:space="preserve"> 18 de noviembre de 2022</w:t>
            </w:r>
          </w:p>
        </w:tc>
      </w:tr>
      <w:tr w:rsidR="00D907CC" w:rsidRPr="00212944" w14:paraId="66C632D2" w14:textId="77777777" w:rsidTr="40A9147A">
        <w:tc>
          <w:tcPr>
            <w:tcW w:w="3600" w:type="dxa"/>
            <w:vMerge/>
            <w:vAlign w:val="center"/>
          </w:tcPr>
          <w:p w14:paraId="31C4ECCA" w14:textId="77777777" w:rsidR="00D907CC" w:rsidRPr="00212944" w:rsidRDefault="00D907CC" w:rsidP="00D907CC">
            <w:pPr>
              <w:jc w:val="center"/>
              <w:rPr>
                <w:rFonts w:ascii="Cambria" w:hAnsi="Cambria"/>
                <w:b/>
                <w:color w:val="FFFFFF" w:themeColor="background1"/>
                <w:sz w:val="20"/>
                <w:szCs w:val="20"/>
                <w:lang w:val="es-ES"/>
              </w:rPr>
            </w:pPr>
          </w:p>
        </w:tc>
        <w:tc>
          <w:tcPr>
            <w:tcW w:w="5760" w:type="dxa"/>
            <w:vAlign w:val="center"/>
          </w:tcPr>
          <w:p w14:paraId="6ABCC45E" w14:textId="172B9CA1" w:rsidR="00D907CC" w:rsidRPr="00212944" w:rsidRDefault="00D907CC" w:rsidP="00D907CC">
            <w:pPr>
              <w:jc w:val="both"/>
              <w:rPr>
                <w:rFonts w:ascii="Cambria" w:hAnsi="Cambria"/>
                <w:bCs/>
                <w:sz w:val="20"/>
                <w:szCs w:val="20"/>
                <w:lang w:val="es-ES"/>
              </w:rPr>
            </w:pPr>
            <w:r w:rsidRPr="00212944">
              <w:rPr>
                <w:rFonts w:ascii="Cambria" w:hAnsi="Cambria"/>
                <w:b/>
                <w:sz w:val="20"/>
                <w:szCs w:val="20"/>
                <w:lang w:val="es-PE"/>
              </w:rPr>
              <w:t>P-1124-19</w:t>
            </w:r>
            <w:r w:rsidRPr="00212944">
              <w:rPr>
                <w:rFonts w:ascii="Cambria" w:hAnsi="Cambria"/>
                <w:bCs/>
                <w:sz w:val="20"/>
                <w:szCs w:val="20"/>
                <w:lang w:val="es-PE"/>
              </w:rPr>
              <w:t>: 6 de diciembre de 2022</w:t>
            </w:r>
          </w:p>
        </w:tc>
      </w:tr>
      <w:tr w:rsidR="00D907CC" w:rsidRPr="00212944" w14:paraId="73023F69" w14:textId="77777777" w:rsidTr="40A9147A">
        <w:tc>
          <w:tcPr>
            <w:tcW w:w="3600" w:type="dxa"/>
            <w:vMerge/>
            <w:vAlign w:val="center"/>
          </w:tcPr>
          <w:p w14:paraId="04FB5659" w14:textId="77777777" w:rsidR="00D907CC" w:rsidRPr="00212944" w:rsidRDefault="00D907CC" w:rsidP="00D907CC">
            <w:pPr>
              <w:jc w:val="center"/>
              <w:rPr>
                <w:rFonts w:ascii="Cambria" w:hAnsi="Cambria"/>
                <w:b/>
                <w:color w:val="FFFFFF" w:themeColor="background1"/>
                <w:sz w:val="20"/>
                <w:szCs w:val="20"/>
                <w:lang w:val="es-ES"/>
              </w:rPr>
            </w:pPr>
          </w:p>
        </w:tc>
        <w:tc>
          <w:tcPr>
            <w:tcW w:w="5760" w:type="dxa"/>
            <w:vAlign w:val="center"/>
          </w:tcPr>
          <w:p w14:paraId="392C493B" w14:textId="1643B6DA" w:rsidR="00D907CC" w:rsidRPr="00212944" w:rsidRDefault="00D907CC" w:rsidP="00D907CC">
            <w:pPr>
              <w:jc w:val="both"/>
              <w:rPr>
                <w:rFonts w:ascii="Cambria" w:hAnsi="Cambria"/>
                <w:bCs/>
                <w:sz w:val="20"/>
                <w:szCs w:val="20"/>
                <w:lang w:val="es-ES"/>
              </w:rPr>
            </w:pPr>
            <w:r w:rsidRPr="00212944">
              <w:rPr>
                <w:rFonts w:ascii="Cambria" w:hAnsi="Cambria"/>
                <w:b/>
                <w:sz w:val="20"/>
                <w:szCs w:val="20"/>
                <w:lang w:val="pt-BR"/>
              </w:rPr>
              <w:t>P-1217-19:</w:t>
            </w:r>
            <w:r w:rsidRPr="00212944">
              <w:rPr>
                <w:rFonts w:ascii="Cambria" w:hAnsi="Cambria"/>
                <w:bCs/>
                <w:sz w:val="20"/>
                <w:szCs w:val="20"/>
                <w:lang w:val="pt-BR"/>
              </w:rPr>
              <w:t xml:space="preserve"> 14 de octubre de 2021</w:t>
            </w:r>
          </w:p>
        </w:tc>
      </w:tr>
      <w:tr w:rsidR="00D907CC" w:rsidRPr="00212944" w14:paraId="23CD22BF" w14:textId="77777777" w:rsidTr="40A9147A">
        <w:tc>
          <w:tcPr>
            <w:tcW w:w="3600" w:type="dxa"/>
            <w:vMerge/>
            <w:vAlign w:val="center"/>
          </w:tcPr>
          <w:p w14:paraId="6078B2FB" w14:textId="77777777" w:rsidR="00D907CC" w:rsidRPr="00212944" w:rsidRDefault="00D907CC" w:rsidP="00D907CC">
            <w:pPr>
              <w:jc w:val="center"/>
              <w:rPr>
                <w:rFonts w:ascii="Cambria" w:hAnsi="Cambria"/>
                <w:b/>
                <w:color w:val="FFFFFF" w:themeColor="background1"/>
                <w:sz w:val="20"/>
                <w:szCs w:val="20"/>
                <w:lang w:val="es-ES"/>
              </w:rPr>
            </w:pPr>
          </w:p>
        </w:tc>
        <w:tc>
          <w:tcPr>
            <w:tcW w:w="5760" w:type="dxa"/>
            <w:vAlign w:val="center"/>
          </w:tcPr>
          <w:p w14:paraId="11772B84" w14:textId="5DB5E940" w:rsidR="00D907CC" w:rsidRPr="00212944" w:rsidRDefault="00D907CC" w:rsidP="00D907CC">
            <w:pPr>
              <w:jc w:val="both"/>
              <w:rPr>
                <w:rFonts w:ascii="Cambria" w:hAnsi="Cambria"/>
                <w:bCs/>
                <w:sz w:val="20"/>
                <w:szCs w:val="20"/>
                <w:lang w:val="es-ES"/>
              </w:rPr>
            </w:pPr>
            <w:r w:rsidRPr="00212944">
              <w:rPr>
                <w:rFonts w:ascii="Cambria" w:hAnsi="Cambria"/>
                <w:b/>
                <w:sz w:val="20"/>
                <w:szCs w:val="20"/>
                <w:lang w:val="pt-BR"/>
              </w:rPr>
              <w:t xml:space="preserve">P-1228-19: </w:t>
            </w:r>
            <w:r w:rsidRPr="00212944">
              <w:rPr>
                <w:rFonts w:ascii="Cambria" w:hAnsi="Cambria"/>
                <w:bCs/>
                <w:sz w:val="20"/>
                <w:szCs w:val="20"/>
                <w:lang w:val="pt-BR"/>
              </w:rPr>
              <w:t>18 de marzo de 2022</w:t>
            </w:r>
          </w:p>
        </w:tc>
      </w:tr>
      <w:tr w:rsidR="00D907CC" w:rsidRPr="00212944" w14:paraId="0972FF85" w14:textId="77777777" w:rsidTr="40A9147A">
        <w:tc>
          <w:tcPr>
            <w:tcW w:w="3600" w:type="dxa"/>
            <w:vMerge/>
            <w:vAlign w:val="center"/>
          </w:tcPr>
          <w:p w14:paraId="2CE52613" w14:textId="77777777" w:rsidR="00D907CC" w:rsidRPr="00212944" w:rsidRDefault="00D907CC" w:rsidP="00D907CC">
            <w:pPr>
              <w:jc w:val="center"/>
              <w:rPr>
                <w:rFonts w:ascii="Cambria" w:hAnsi="Cambria"/>
                <w:b/>
                <w:color w:val="FFFFFF" w:themeColor="background1"/>
                <w:sz w:val="20"/>
                <w:szCs w:val="20"/>
                <w:lang w:val="es-ES"/>
              </w:rPr>
            </w:pPr>
          </w:p>
        </w:tc>
        <w:tc>
          <w:tcPr>
            <w:tcW w:w="5760" w:type="dxa"/>
            <w:vAlign w:val="center"/>
          </w:tcPr>
          <w:p w14:paraId="6DF274AD" w14:textId="65EE9D51" w:rsidR="00D907CC" w:rsidRPr="00BE2E9F" w:rsidRDefault="00D907CC" w:rsidP="00D907CC">
            <w:pPr>
              <w:jc w:val="both"/>
              <w:rPr>
                <w:rFonts w:ascii="Cambria" w:hAnsi="Cambria"/>
                <w:bCs/>
                <w:sz w:val="20"/>
                <w:szCs w:val="20"/>
                <w:lang w:val="es-ES"/>
              </w:rPr>
            </w:pPr>
            <w:r w:rsidRPr="00BE2E9F">
              <w:rPr>
                <w:rFonts w:ascii="Cambria" w:hAnsi="Cambria"/>
                <w:b/>
                <w:sz w:val="20"/>
                <w:szCs w:val="20"/>
                <w:lang w:val="pt-BR"/>
              </w:rPr>
              <w:t xml:space="preserve">P-1278-19: </w:t>
            </w:r>
            <w:r w:rsidRPr="00BE2E9F">
              <w:rPr>
                <w:rFonts w:ascii="Cambria" w:hAnsi="Cambria"/>
                <w:bCs/>
                <w:sz w:val="20"/>
                <w:szCs w:val="20"/>
                <w:lang w:val="pt-BR"/>
              </w:rPr>
              <w:t>2 de diciembre de 2022</w:t>
            </w:r>
          </w:p>
        </w:tc>
      </w:tr>
      <w:tr w:rsidR="00D907CC" w:rsidRPr="00212944" w14:paraId="3DD85BB0" w14:textId="77777777" w:rsidTr="40A9147A">
        <w:tc>
          <w:tcPr>
            <w:tcW w:w="3600" w:type="dxa"/>
            <w:vMerge/>
            <w:vAlign w:val="center"/>
          </w:tcPr>
          <w:p w14:paraId="77F88E7A" w14:textId="77777777" w:rsidR="00D907CC" w:rsidRPr="00212944" w:rsidRDefault="00D907CC" w:rsidP="00D907CC">
            <w:pPr>
              <w:jc w:val="center"/>
              <w:rPr>
                <w:rFonts w:ascii="Cambria" w:hAnsi="Cambria"/>
                <w:b/>
                <w:color w:val="FFFFFF" w:themeColor="background1"/>
                <w:sz w:val="20"/>
                <w:szCs w:val="20"/>
                <w:lang w:val="es-ES"/>
              </w:rPr>
            </w:pPr>
          </w:p>
        </w:tc>
        <w:tc>
          <w:tcPr>
            <w:tcW w:w="5760" w:type="dxa"/>
            <w:vAlign w:val="center"/>
          </w:tcPr>
          <w:p w14:paraId="157ED5AF" w14:textId="49F667C0" w:rsidR="00D907CC" w:rsidRPr="00BE2E9F" w:rsidRDefault="00D907CC" w:rsidP="00D907CC">
            <w:pPr>
              <w:jc w:val="both"/>
              <w:rPr>
                <w:rFonts w:ascii="Cambria" w:hAnsi="Cambria"/>
                <w:b/>
                <w:sz w:val="20"/>
                <w:szCs w:val="20"/>
                <w:lang w:val="pt-BR"/>
              </w:rPr>
            </w:pPr>
            <w:r w:rsidRPr="00BE2E9F">
              <w:rPr>
                <w:rFonts w:ascii="Cambria" w:hAnsi="Cambria"/>
                <w:b/>
                <w:sz w:val="20"/>
                <w:szCs w:val="20"/>
                <w:lang w:val="pt-BR"/>
              </w:rPr>
              <w:t>P-1279-19:</w:t>
            </w:r>
            <w:r w:rsidR="00BE2E9F" w:rsidRPr="00BE2E9F">
              <w:rPr>
                <w:rFonts w:ascii="Cambria" w:hAnsi="Cambria"/>
                <w:b/>
                <w:sz w:val="20"/>
                <w:szCs w:val="20"/>
                <w:lang w:val="pt-BR"/>
              </w:rPr>
              <w:t xml:space="preserve"> </w:t>
            </w:r>
            <w:r w:rsidR="00BE2E9F" w:rsidRPr="00BE2E9F">
              <w:rPr>
                <w:rFonts w:ascii="Cambria" w:hAnsi="Cambria"/>
                <w:bCs/>
                <w:sz w:val="20"/>
                <w:szCs w:val="20"/>
                <w:lang w:val="pt-BR"/>
              </w:rPr>
              <w:t>6 de diciembre de 2022</w:t>
            </w:r>
          </w:p>
        </w:tc>
      </w:tr>
      <w:tr w:rsidR="00D907CC" w:rsidRPr="00212944" w14:paraId="25BEF432" w14:textId="77777777" w:rsidTr="40A9147A">
        <w:tc>
          <w:tcPr>
            <w:tcW w:w="3600" w:type="dxa"/>
            <w:vMerge/>
            <w:vAlign w:val="center"/>
          </w:tcPr>
          <w:p w14:paraId="69C18DB9" w14:textId="77777777" w:rsidR="00D907CC" w:rsidRPr="00212944" w:rsidRDefault="00D907CC" w:rsidP="00D907CC">
            <w:pPr>
              <w:jc w:val="center"/>
              <w:rPr>
                <w:rFonts w:ascii="Cambria" w:hAnsi="Cambria"/>
                <w:b/>
                <w:color w:val="FFFFFF" w:themeColor="background1"/>
                <w:sz w:val="20"/>
                <w:szCs w:val="20"/>
                <w:lang w:val="es-ES"/>
              </w:rPr>
            </w:pPr>
          </w:p>
        </w:tc>
        <w:tc>
          <w:tcPr>
            <w:tcW w:w="5760" w:type="dxa"/>
            <w:vAlign w:val="center"/>
          </w:tcPr>
          <w:p w14:paraId="4166F482" w14:textId="1F7E4584" w:rsidR="00D907CC" w:rsidRPr="00D517E1" w:rsidRDefault="00D907CC" w:rsidP="00D907CC">
            <w:pPr>
              <w:jc w:val="both"/>
              <w:rPr>
                <w:rFonts w:ascii="Cambria" w:hAnsi="Cambria"/>
                <w:b/>
                <w:sz w:val="20"/>
                <w:szCs w:val="20"/>
                <w:lang w:val="pt-BR"/>
              </w:rPr>
            </w:pPr>
            <w:r w:rsidRPr="00D517E1">
              <w:rPr>
                <w:rFonts w:ascii="Cambria" w:hAnsi="Cambria"/>
                <w:b/>
                <w:sz w:val="20"/>
                <w:szCs w:val="20"/>
                <w:lang w:val="pt-BR"/>
              </w:rPr>
              <w:t>P-1428-19:</w:t>
            </w:r>
            <w:r w:rsidR="00D53D13" w:rsidRPr="00D517E1">
              <w:rPr>
                <w:rFonts w:ascii="Cambria" w:hAnsi="Cambria"/>
                <w:b/>
                <w:sz w:val="20"/>
                <w:szCs w:val="20"/>
                <w:lang w:val="pt-BR"/>
              </w:rPr>
              <w:t xml:space="preserve"> </w:t>
            </w:r>
            <w:r w:rsidR="00D53D13" w:rsidRPr="00D517E1">
              <w:rPr>
                <w:rFonts w:ascii="Cambria" w:hAnsi="Cambria"/>
                <w:bCs/>
                <w:sz w:val="20"/>
                <w:szCs w:val="20"/>
                <w:lang w:val="pt-BR"/>
              </w:rPr>
              <w:t>8 de diciembre de 2022</w:t>
            </w:r>
          </w:p>
        </w:tc>
      </w:tr>
      <w:tr w:rsidR="00D907CC" w:rsidRPr="00212944" w14:paraId="05F7301E" w14:textId="77777777" w:rsidTr="40A9147A">
        <w:tc>
          <w:tcPr>
            <w:tcW w:w="3600" w:type="dxa"/>
            <w:vMerge/>
            <w:vAlign w:val="center"/>
          </w:tcPr>
          <w:p w14:paraId="5337D578" w14:textId="77777777" w:rsidR="00D907CC" w:rsidRPr="00212944" w:rsidRDefault="00D907CC" w:rsidP="00D907CC">
            <w:pPr>
              <w:jc w:val="center"/>
              <w:rPr>
                <w:rFonts w:ascii="Cambria" w:hAnsi="Cambria"/>
                <w:b/>
                <w:color w:val="FFFFFF" w:themeColor="background1"/>
                <w:sz w:val="20"/>
                <w:szCs w:val="20"/>
                <w:lang w:val="es-ES"/>
              </w:rPr>
            </w:pPr>
          </w:p>
        </w:tc>
        <w:tc>
          <w:tcPr>
            <w:tcW w:w="5760" w:type="dxa"/>
            <w:vAlign w:val="center"/>
          </w:tcPr>
          <w:p w14:paraId="20054A11" w14:textId="541135FE" w:rsidR="00D907CC" w:rsidRPr="00D517E1" w:rsidRDefault="00D907CC" w:rsidP="00D907CC">
            <w:pPr>
              <w:jc w:val="both"/>
              <w:rPr>
                <w:rFonts w:ascii="Cambria" w:hAnsi="Cambria"/>
                <w:b/>
                <w:sz w:val="20"/>
                <w:szCs w:val="20"/>
                <w:lang w:val="pt-BR"/>
              </w:rPr>
            </w:pPr>
            <w:r w:rsidRPr="00D517E1">
              <w:rPr>
                <w:rFonts w:ascii="Cambria" w:hAnsi="Cambria"/>
                <w:b/>
                <w:sz w:val="20"/>
                <w:szCs w:val="20"/>
                <w:lang w:val="pt-BR"/>
              </w:rPr>
              <w:t>P-1563-19:</w:t>
            </w:r>
            <w:r w:rsidR="009F4DF2" w:rsidRPr="00D517E1">
              <w:rPr>
                <w:rFonts w:ascii="Cambria" w:hAnsi="Cambria"/>
                <w:b/>
                <w:sz w:val="20"/>
                <w:szCs w:val="20"/>
                <w:lang w:val="pt-BR"/>
              </w:rPr>
              <w:t xml:space="preserve"> </w:t>
            </w:r>
            <w:r w:rsidR="00D517E1" w:rsidRPr="00D517E1">
              <w:rPr>
                <w:rFonts w:ascii="Cambria" w:hAnsi="Cambria"/>
                <w:bCs/>
                <w:sz w:val="20"/>
                <w:szCs w:val="20"/>
                <w:lang w:val="pt-BR"/>
              </w:rPr>
              <w:t>9</w:t>
            </w:r>
            <w:r w:rsidR="009F4DF2" w:rsidRPr="00D517E1">
              <w:rPr>
                <w:rFonts w:ascii="Cambria" w:hAnsi="Cambria"/>
                <w:bCs/>
                <w:sz w:val="20"/>
                <w:szCs w:val="20"/>
                <w:lang w:val="pt-BR"/>
              </w:rPr>
              <w:t xml:space="preserve"> de </w:t>
            </w:r>
            <w:r w:rsidR="00D517E1" w:rsidRPr="00D517E1">
              <w:rPr>
                <w:rFonts w:ascii="Cambria" w:hAnsi="Cambria"/>
                <w:bCs/>
                <w:sz w:val="20"/>
                <w:szCs w:val="20"/>
                <w:lang w:val="pt-BR"/>
              </w:rPr>
              <w:t>diciembre</w:t>
            </w:r>
            <w:r w:rsidR="009F4DF2" w:rsidRPr="00D517E1">
              <w:rPr>
                <w:rFonts w:ascii="Cambria" w:hAnsi="Cambria"/>
                <w:bCs/>
                <w:sz w:val="20"/>
                <w:szCs w:val="20"/>
                <w:lang w:val="pt-BR"/>
              </w:rPr>
              <w:t xml:space="preserve"> de 202</w:t>
            </w:r>
            <w:r w:rsidR="00D517E1" w:rsidRPr="00D517E1">
              <w:rPr>
                <w:rFonts w:ascii="Cambria" w:hAnsi="Cambria"/>
                <w:bCs/>
                <w:sz w:val="20"/>
                <w:szCs w:val="20"/>
                <w:lang w:val="pt-BR"/>
              </w:rPr>
              <w:t>2</w:t>
            </w:r>
          </w:p>
        </w:tc>
      </w:tr>
      <w:tr w:rsidR="00726599" w:rsidRPr="00D517E1" w14:paraId="6EA50F95" w14:textId="77777777" w:rsidTr="40A9147A">
        <w:tc>
          <w:tcPr>
            <w:tcW w:w="3600" w:type="dxa"/>
            <w:vMerge/>
            <w:vAlign w:val="center"/>
          </w:tcPr>
          <w:p w14:paraId="5789C6C4" w14:textId="77777777" w:rsidR="00726599" w:rsidRPr="00212944" w:rsidRDefault="00726599" w:rsidP="00D907CC">
            <w:pPr>
              <w:jc w:val="center"/>
              <w:rPr>
                <w:rFonts w:ascii="Cambria" w:hAnsi="Cambria"/>
                <w:b/>
                <w:color w:val="FFFFFF" w:themeColor="background1"/>
                <w:sz w:val="20"/>
                <w:szCs w:val="20"/>
                <w:lang w:val="es-ES"/>
              </w:rPr>
            </w:pPr>
          </w:p>
        </w:tc>
        <w:tc>
          <w:tcPr>
            <w:tcW w:w="5760" w:type="dxa"/>
            <w:vAlign w:val="center"/>
          </w:tcPr>
          <w:p w14:paraId="5B9B44A3" w14:textId="15DFB9AA" w:rsidR="00726599" w:rsidRPr="00D517E1" w:rsidRDefault="00726599" w:rsidP="00D907CC">
            <w:pPr>
              <w:jc w:val="both"/>
              <w:rPr>
                <w:rFonts w:ascii="Cambria" w:hAnsi="Cambria"/>
                <w:b/>
                <w:sz w:val="20"/>
                <w:szCs w:val="20"/>
                <w:highlight w:val="yellow"/>
                <w:lang w:val="es-PE"/>
              </w:rPr>
            </w:pPr>
            <w:r w:rsidRPr="00D517E1">
              <w:rPr>
                <w:rFonts w:ascii="Cambria" w:hAnsi="Cambria"/>
                <w:b/>
                <w:sz w:val="20"/>
                <w:szCs w:val="20"/>
                <w:lang w:val="es-PE"/>
              </w:rPr>
              <w:t xml:space="preserve">P-1677-19: </w:t>
            </w:r>
            <w:r w:rsidR="00D517E1" w:rsidRPr="00D517E1">
              <w:rPr>
                <w:rFonts w:ascii="Cambria" w:hAnsi="Cambria"/>
                <w:bCs/>
                <w:sz w:val="20"/>
                <w:szCs w:val="20"/>
                <w:lang w:val="es-PE"/>
              </w:rPr>
              <w:t>8 de diciembre</w:t>
            </w:r>
            <w:r w:rsidR="00650BDD" w:rsidRPr="00D517E1">
              <w:rPr>
                <w:rFonts w:ascii="Cambria" w:hAnsi="Cambria"/>
                <w:bCs/>
                <w:sz w:val="20"/>
                <w:szCs w:val="20"/>
                <w:lang w:val="es-PE"/>
              </w:rPr>
              <w:t xml:space="preserve"> </w:t>
            </w:r>
            <w:r w:rsidR="00D517E1" w:rsidRPr="00D517E1">
              <w:rPr>
                <w:rFonts w:ascii="Cambria" w:hAnsi="Cambria"/>
                <w:bCs/>
                <w:sz w:val="20"/>
                <w:szCs w:val="20"/>
                <w:lang w:val="es-PE"/>
              </w:rPr>
              <w:t>de 2022</w:t>
            </w:r>
          </w:p>
        </w:tc>
      </w:tr>
      <w:tr w:rsidR="00D907CC" w:rsidRPr="00212944" w14:paraId="16F63B54" w14:textId="77777777" w:rsidTr="40A9147A">
        <w:tc>
          <w:tcPr>
            <w:tcW w:w="3600" w:type="dxa"/>
            <w:vMerge/>
            <w:vAlign w:val="center"/>
          </w:tcPr>
          <w:p w14:paraId="08BF49E8" w14:textId="77777777" w:rsidR="00D907CC" w:rsidRPr="00212944" w:rsidRDefault="00D907CC" w:rsidP="00D907CC">
            <w:pPr>
              <w:jc w:val="center"/>
              <w:rPr>
                <w:rFonts w:ascii="Cambria" w:hAnsi="Cambria"/>
                <w:b/>
                <w:color w:val="FFFFFF" w:themeColor="background1"/>
                <w:sz w:val="20"/>
                <w:szCs w:val="20"/>
                <w:lang w:val="es-ES"/>
              </w:rPr>
            </w:pPr>
          </w:p>
        </w:tc>
        <w:tc>
          <w:tcPr>
            <w:tcW w:w="5760" w:type="dxa"/>
            <w:vAlign w:val="center"/>
          </w:tcPr>
          <w:p w14:paraId="2D8308D2" w14:textId="08DCA1D2" w:rsidR="00D907CC" w:rsidRPr="00212944" w:rsidRDefault="00D907CC" w:rsidP="00D907CC">
            <w:pPr>
              <w:jc w:val="both"/>
              <w:rPr>
                <w:rFonts w:ascii="Cambria" w:hAnsi="Cambria"/>
                <w:b/>
                <w:sz w:val="20"/>
                <w:szCs w:val="20"/>
                <w:highlight w:val="green"/>
                <w:lang w:val="pt-BR"/>
              </w:rPr>
            </w:pPr>
            <w:r w:rsidRPr="007A42A0">
              <w:rPr>
                <w:rFonts w:ascii="Cambria" w:hAnsi="Cambria"/>
                <w:b/>
                <w:sz w:val="20"/>
                <w:szCs w:val="20"/>
                <w:lang w:val="pt-BR"/>
              </w:rPr>
              <w:t>P-1736-19:</w:t>
            </w:r>
            <w:r w:rsidR="007A42A0" w:rsidRPr="007A42A0">
              <w:rPr>
                <w:rFonts w:ascii="Cambria" w:hAnsi="Cambria"/>
                <w:b/>
                <w:sz w:val="20"/>
                <w:szCs w:val="20"/>
                <w:lang w:val="pt-BR"/>
              </w:rPr>
              <w:t xml:space="preserve"> </w:t>
            </w:r>
            <w:r w:rsidR="007A42A0" w:rsidRPr="007A42A0">
              <w:rPr>
                <w:rFonts w:ascii="Cambria" w:hAnsi="Cambria"/>
                <w:bCs/>
                <w:sz w:val="20"/>
                <w:szCs w:val="20"/>
                <w:lang w:val="pt-BR"/>
              </w:rPr>
              <w:t>15 de diciembre de 2022</w:t>
            </w:r>
          </w:p>
        </w:tc>
      </w:tr>
      <w:tr w:rsidR="00D907CC" w:rsidRPr="00212944" w14:paraId="048119AF" w14:textId="77777777" w:rsidTr="40A9147A">
        <w:tc>
          <w:tcPr>
            <w:tcW w:w="3600" w:type="dxa"/>
            <w:vMerge/>
            <w:vAlign w:val="center"/>
          </w:tcPr>
          <w:p w14:paraId="1F63CF55" w14:textId="77777777" w:rsidR="00D907CC" w:rsidRPr="00212944" w:rsidRDefault="00D907CC" w:rsidP="00D907CC">
            <w:pPr>
              <w:jc w:val="center"/>
              <w:rPr>
                <w:rFonts w:ascii="Cambria" w:hAnsi="Cambria"/>
                <w:b/>
                <w:color w:val="FFFFFF" w:themeColor="background1"/>
                <w:sz w:val="20"/>
                <w:szCs w:val="20"/>
                <w:lang w:val="es-ES"/>
              </w:rPr>
            </w:pPr>
          </w:p>
        </w:tc>
        <w:tc>
          <w:tcPr>
            <w:tcW w:w="5760" w:type="dxa"/>
            <w:vAlign w:val="center"/>
          </w:tcPr>
          <w:p w14:paraId="5315C05A" w14:textId="4A0D1F1B" w:rsidR="00D907CC" w:rsidRPr="00212944" w:rsidRDefault="00D907CC" w:rsidP="00D907CC">
            <w:pPr>
              <w:jc w:val="both"/>
              <w:rPr>
                <w:rFonts w:ascii="Cambria" w:hAnsi="Cambria"/>
                <w:b/>
                <w:sz w:val="20"/>
                <w:szCs w:val="20"/>
                <w:highlight w:val="green"/>
                <w:lang w:val="pt-BR"/>
              </w:rPr>
            </w:pPr>
            <w:r w:rsidRPr="00717DAF">
              <w:rPr>
                <w:rFonts w:ascii="Cambria" w:hAnsi="Cambria"/>
                <w:b/>
                <w:sz w:val="20"/>
                <w:szCs w:val="20"/>
                <w:lang w:val="pt-BR"/>
              </w:rPr>
              <w:t>P-2284-19:</w:t>
            </w:r>
            <w:r w:rsidR="00717DAF" w:rsidRPr="00717DAF">
              <w:rPr>
                <w:rFonts w:ascii="Cambria" w:hAnsi="Cambria"/>
                <w:b/>
                <w:sz w:val="20"/>
                <w:szCs w:val="20"/>
                <w:lang w:val="pt-BR"/>
              </w:rPr>
              <w:t xml:space="preserve"> </w:t>
            </w:r>
            <w:r w:rsidR="00717DAF" w:rsidRPr="00717DAF">
              <w:rPr>
                <w:rFonts w:ascii="Cambria" w:hAnsi="Cambria"/>
                <w:bCs/>
                <w:sz w:val="20"/>
                <w:szCs w:val="20"/>
                <w:lang w:val="pt-BR"/>
              </w:rPr>
              <w:t>17 de febrero de 2023</w:t>
            </w:r>
          </w:p>
        </w:tc>
      </w:tr>
      <w:tr w:rsidR="00D907CC" w:rsidRPr="00212944" w14:paraId="504F67E8" w14:textId="77777777" w:rsidTr="40A9147A">
        <w:tc>
          <w:tcPr>
            <w:tcW w:w="3600" w:type="dxa"/>
            <w:vMerge/>
            <w:vAlign w:val="center"/>
          </w:tcPr>
          <w:p w14:paraId="4FBDDCCB" w14:textId="77777777" w:rsidR="00D907CC" w:rsidRPr="00212944" w:rsidRDefault="00D907CC" w:rsidP="00D907CC">
            <w:pPr>
              <w:jc w:val="center"/>
              <w:rPr>
                <w:rFonts w:ascii="Cambria" w:hAnsi="Cambria"/>
                <w:b/>
                <w:color w:val="FFFFFF" w:themeColor="background1"/>
                <w:sz w:val="20"/>
                <w:szCs w:val="20"/>
                <w:lang w:val="es-ES"/>
              </w:rPr>
            </w:pPr>
          </w:p>
        </w:tc>
        <w:tc>
          <w:tcPr>
            <w:tcW w:w="5760" w:type="dxa"/>
            <w:vAlign w:val="center"/>
          </w:tcPr>
          <w:p w14:paraId="41CC290B" w14:textId="5A5305E0" w:rsidR="00D907CC" w:rsidRPr="00212944" w:rsidRDefault="00D907CC" w:rsidP="00D907CC">
            <w:pPr>
              <w:jc w:val="both"/>
              <w:rPr>
                <w:rFonts w:ascii="Cambria" w:hAnsi="Cambria"/>
                <w:b/>
                <w:sz w:val="20"/>
                <w:szCs w:val="20"/>
                <w:highlight w:val="green"/>
                <w:lang w:val="pt-BR"/>
              </w:rPr>
            </w:pPr>
            <w:r w:rsidRPr="008442AF">
              <w:rPr>
                <w:rFonts w:ascii="Cambria" w:hAnsi="Cambria"/>
                <w:b/>
                <w:sz w:val="20"/>
                <w:szCs w:val="20"/>
                <w:lang w:val="pt-BR"/>
              </w:rPr>
              <w:t>P-2625-19:</w:t>
            </w:r>
            <w:r w:rsidR="008442AF" w:rsidRPr="008442AF">
              <w:rPr>
                <w:rFonts w:ascii="Cambria" w:hAnsi="Cambria"/>
                <w:b/>
                <w:sz w:val="20"/>
                <w:szCs w:val="20"/>
                <w:lang w:val="pt-BR"/>
              </w:rPr>
              <w:t xml:space="preserve"> </w:t>
            </w:r>
            <w:r w:rsidR="008442AF" w:rsidRPr="008442AF">
              <w:rPr>
                <w:rFonts w:ascii="Cambria" w:hAnsi="Cambria"/>
                <w:bCs/>
                <w:sz w:val="20"/>
                <w:szCs w:val="20"/>
                <w:lang w:val="pt-BR"/>
              </w:rPr>
              <w:t>3 de febrero de 2023</w:t>
            </w:r>
          </w:p>
        </w:tc>
      </w:tr>
      <w:tr w:rsidR="00D907CC" w:rsidRPr="00212944" w14:paraId="7CBE2E48" w14:textId="77777777" w:rsidTr="40A9147A">
        <w:tc>
          <w:tcPr>
            <w:tcW w:w="3600" w:type="dxa"/>
            <w:vMerge/>
            <w:vAlign w:val="center"/>
          </w:tcPr>
          <w:p w14:paraId="1A1C3C19" w14:textId="77777777" w:rsidR="00D907CC" w:rsidRPr="00212944" w:rsidRDefault="00D907CC" w:rsidP="00D907CC">
            <w:pPr>
              <w:jc w:val="center"/>
              <w:rPr>
                <w:rFonts w:ascii="Cambria" w:hAnsi="Cambria"/>
                <w:b/>
                <w:color w:val="FFFFFF" w:themeColor="background1"/>
                <w:sz w:val="20"/>
                <w:szCs w:val="20"/>
                <w:lang w:val="es-ES"/>
              </w:rPr>
            </w:pPr>
          </w:p>
        </w:tc>
        <w:tc>
          <w:tcPr>
            <w:tcW w:w="5760" w:type="dxa"/>
            <w:vAlign w:val="center"/>
          </w:tcPr>
          <w:p w14:paraId="483A398A" w14:textId="6D593928" w:rsidR="00D907CC" w:rsidRPr="00212944" w:rsidRDefault="00D907CC" w:rsidP="00D907CC">
            <w:pPr>
              <w:jc w:val="both"/>
              <w:rPr>
                <w:rFonts w:ascii="Cambria" w:hAnsi="Cambria"/>
                <w:b/>
                <w:sz w:val="20"/>
                <w:szCs w:val="20"/>
                <w:highlight w:val="green"/>
                <w:lang w:val="pt-BR"/>
              </w:rPr>
            </w:pPr>
            <w:r w:rsidRPr="00D517E1">
              <w:rPr>
                <w:rFonts w:ascii="Cambria" w:hAnsi="Cambria"/>
                <w:b/>
                <w:sz w:val="20"/>
                <w:szCs w:val="20"/>
                <w:lang w:val="pt-BR"/>
              </w:rPr>
              <w:t>P-3126-19:</w:t>
            </w:r>
            <w:r w:rsidR="00D517E1" w:rsidRPr="00D517E1">
              <w:rPr>
                <w:rFonts w:ascii="Cambria" w:hAnsi="Cambria"/>
                <w:b/>
                <w:sz w:val="20"/>
                <w:szCs w:val="20"/>
                <w:lang w:val="pt-BR"/>
              </w:rPr>
              <w:t xml:space="preserve"> </w:t>
            </w:r>
            <w:r w:rsidR="00D517E1" w:rsidRPr="00D517E1">
              <w:rPr>
                <w:rFonts w:ascii="Cambria" w:hAnsi="Cambria"/>
                <w:bCs/>
                <w:sz w:val="20"/>
                <w:szCs w:val="20"/>
                <w:lang w:val="pt-BR"/>
              </w:rPr>
              <w:t>6 de abril de 2023</w:t>
            </w:r>
          </w:p>
        </w:tc>
      </w:tr>
      <w:tr w:rsidR="00D907CC" w:rsidRPr="0088642B" w14:paraId="322668B6" w14:textId="77777777" w:rsidTr="40A9147A">
        <w:tc>
          <w:tcPr>
            <w:tcW w:w="3600" w:type="dxa"/>
            <w:vMerge w:val="restart"/>
            <w:tcBorders>
              <w:top w:val="single" w:sz="6" w:space="0" w:color="auto"/>
            </w:tcBorders>
            <w:shd w:val="clear" w:color="auto" w:fill="386294"/>
            <w:vAlign w:val="center"/>
          </w:tcPr>
          <w:p w14:paraId="1524DA55" w14:textId="77777777" w:rsidR="00D907CC" w:rsidRPr="00212944" w:rsidRDefault="00D907CC" w:rsidP="00D907CC">
            <w:pPr>
              <w:jc w:val="center"/>
              <w:rPr>
                <w:rFonts w:ascii="Cambria" w:hAnsi="Cambria"/>
                <w:b/>
                <w:bCs/>
                <w:color w:val="FFFFFF" w:themeColor="background1"/>
                <w:sz w:val="20"/>
                <w:szCs w:val="20"/>
                <w:lang w:val="es-ES"/>
              </w:rPr>
            </w:pPr>
            <w:r w:rsidRPr="00212944">
              <w:rPr>
                <w:rFonts w:ascii="Cambria" w:hAnsi="Cambria"/>
                <w:b/>
                <w:bCs/>
                <w:color w:val="FFFFFF" w:themeColor="background1"/>
                <w:sz w:val="20"/>
                <w:szCs w:val="20"/>
                <w:lang w:val="es-ES"/>
              </w:rPr>
              <w:t>Observaciones adicionales de la parte peticionaria:</w:t>
            </w:r>
          </w:p>
        </w:tc>
        <w:tc>
          <w:tcPr>
            <w:tcW w:w="5760" w:type="dxa"/>
            <w:vAlign w:val="center"/>
          </w:tcPr>
          <w:p w14:paraId="41D8B862" w14:textId="4875994E" w:rsidR="00D907CC" w:rsidRPr="00212944" w:rsidRDefault="00D907CC" w:rsidP="00D907CC">
            <w:pPr>
              <w:jc w:val="both"/>
              <w:rPr>
                <w:rFonts w:ascii="Cambria" w:hAnsi="Cambria"/>
                <w:b/>
                <w:sz w:val="20"/>
                <w:szCs w:val="20"/>
                <w:lang w:val="es-ES"/>
              </w:rPr>
            </w:pPr>
            <w:r w:rsidRPr="00212944">
              <w:rPr>
                <w:rFonts w:ascii="Cambria" w:hAnsi="Cambria"/>
                <w:b/>
                <w:sz w:val="20"/>
                <w:szCs w:val="20"/>
                <w:lang w:val="es-ES"/>
              </w:rPr>
              <w:t xml:space="preserve">P-2287-16: </w:t>
            </w:r>
            <w:r w:rsidRPr="00212944">
              <w:rPr>
                <w:rFonts w:ascii="Cambria" w:hAnsi="Cambria"/>
                <w:bCs/>
                <w:sz w:val="20"/>
                <w:szCs w:val="20"/>
                <w:lang w:val="es-ES"/>
              </w:rPr>
              <w:t>11 de octubre de 2019, 15 de octubre de 2019, 12 de octubre de 2019, 22 de septiembre de 2020, 8 de marzo de 2022, 29 de marzo de 2022, 15 de agosto de 2022, 9 de enero de 2023 y 6 de diciembre de 2023</w:t>
            </w:r>
          </w:p>
        </w:tc>
      </w:tr>
      <w:tr w:rsidR="00D907CC" w:rsidRPr="0088642B" w14:paraId="0B3EEDBE" w14:textId="77777777" w:rsidTr="40A9147A">
        <w:tc>
          <w:tcPr>
            <w:tcW w:w="3600" w:type="dxa"/>
            <w:vMerge/>
            <w:vAlign w:val="center"/>
          </w:tcPr>
          <w:p w14:paraId="75046509" w14:textId="77777777" w:rsidR="00D907CC" w:rsidRPr="00212944" w:rsidRDefault="00D907CC" w:rsidP="00D907CC">
            <w:pPr>
              <w:jc w:val="center"/>
              <w:rPr>
                <w:rFonts w:ascii="Cambria" w:hAnsi="Cambria"/>
                <w:b/>
                <w:bCs/>
                <w:color w:val="FFFFFF" w:themeColor="background1"/>
                <w:sz w:val="20"/>
                <w:szCs w:val="20"/>
                <w:lang w:val="es-ES"/>
              </w:rPr>
            </w:pPr>
          </w:p>
        </w:tc>
        <w:tc>
          <w:tcPr>
            <w:tcW w:w="5760" w:type="dxa"/>
            <w:vAlign w:val="center"/>
          </w:tcPr>
          <w:p w14:paraId="44A50F0B" w14:textId="6519E579" w:rsidR="00D907CC" w:rsidRPr="00212944" w:rsidRDefault="00D907CC" w:rsidP="00D907CC">
            <w:pPr>
              <w:jc w:val="both"/>
              <w:rPr>
                <w:rFonts w:ascii="Cambria" w:hAnsi="Cambria"/>
                <w:bCs/>
                <w:sz w:val="20"/>
                <w:szCs w:val="20"/>
                <w:lang w:val="es-ES"/>
              </w:rPr>
            </w:pPr>
            <w:r w:rsidRPr="00212944">
              <w:rPr>
                <w:rFonts w:ascii="Cambria" w:hAnsi="Cambria"/>
                <w:b/>
                <w:sz w:val="20"/>
                <w:szCs w:val="20"/>
                <w:lang w:val="es-ES"/>
              </w:rPr>
              <w:t xml:space="preserve">P-2722-18: </w:t>
            </w:r>
            <w:r w:rsidRPr="00212944">
              <w:rPr>
                <w:rFonts w:ascii="Cambria" w:hAnsi="Cambria"/>
                <w:bCs/>
                <w:sz w:val="20"/>
                <w:szCs w:val="20"/>
                <w:lang w:val="es-ES"/>
              </w:rPr>
              <w:t>15 de agosto de 2022</w:t>
            </w:r>
            <w:r w:rsidR="002C4436" w:rsidRPr="0097392E">
              <w:rPr>
                <w:rFonts w:ascii="Cambria" w:hAnsi="Cambria"/>
                <w:bCs/>
                <w:sz w:val="20"/>
                <w:szCs w:val="20"/>
                <w:lang w:val="es-ES"/>
              </w:rPr>
              <w:t xml:space="preserve"> y</w:t>
            </w:r>
            <w:r w:rsidR="002C4436">
              <w:rPr>
                <w:rFonts w:ascii="Cambria" w:hAnsi="Cambria"/>
                <w:b/>
                <w:sz w:val="20"/>
                <w:szCs w:val="20"/>
                <w:lang w:val="es-ES"/>
              </w:rPr>
              <w:t xml:space="preserve"> </w:t>
            </w:r>
            <w:r w:rsidR="002C4436">
              <w:rPr>
                <w:rFonts w:ascii="Cambria" w:hAnsi="Cambria"/>
                <w:bCs/>
                <w:sz w:val="20"/>
                <w:szCs w:val="20"/>
                <w:lang w:val="es-PE"/>
              </w:rPr>
              <w:t>28 de junio de 2024</w:t>
            </w:r>
          </w:p>
        </w:tc>
      </w:tr>
      <w:tr w:rsidR="00D907CC" w:rsidRPr="0088642B" w14:paraId="7C80C996" w14:textId="77777777" w:rsidTr="40A9147A">
        <w:tc>
          <w:tcPr>
            <w:tcW w:w="3600" w:type="dxa"/>
            <w:vMerge/>
            <w:vAlign w:val="center"/>
          </w:tcPr>
          <w:p w14:paraId="193E95F4" w14:textId="77777777" w:rsidR="00D907CC" w:rsidRPr="00212944" w:rsidRDefault="00D907CC" w:rsidP="00D907CC">
            <w:pPr>
              <w:jc w:val="center"/>
              <w:rPr>
                <w:rFonts w:ascii="Cambria" w:hAnsi="Cambria"/>
                <w:b/>
                <w:bCs/>
                <w:color w:val="FFFFFF" w:themeColor="background1"/>
                <w:sz w:val="20"/>
                <w:szCs w:val="20"/>
                <w:lang w:val="es-ES"/>
              </w:rPr>
            </w:pPr>
          </w:p>
        </w:tc>
        <w:tc>
          <w:tcPr>
            <w:tcW w:w="5760" w:type="dxa"/>
            <w:vAlign w:val="center"/>
          </w:tcPr>
          <w:p w14:paraId="110B6079" w14:textId="0253D685" w:rsidR="00D907CC" w:rsidRPr="00212944" w:rsidRDefault="00D907CC" w:rsidP="00D907CC">
            <w:pPr>
              <w:jc w:val="both"/>
              <w:rPr>
                <w:rFonts w:ascii="Cambria" w:hAnsi="Cambria"/>
                <w:bCs/>
                <w:sz w:val="20"/>
                <w:szCs w:val="20"/>
                <w:lang w:val="es-PE"/>
              </w:rPr>
            </w:pPr>
            <w:r w:rsidRPr="00212944">
              <w:rPr>
                <w:rFonts w:ascii="Cambria" w:hAnsi="Cambria"/>
                <w:b/>
                <w:sz w:val="20"/>
                <w:szCs w:val="20"/>
                <w:lang w:val="es-PE"/>
              </w:rPr>
              <w:t>P-2774-18:</w:t>
            </w:r>
            <w:r w:rsidRPr="00212944">
              <w:rPr>
                <w:rFonts w:ascii="Cambria" w:hAnsi="Cambria"/>
                <w:bCs/>
                <w:sz w:val="20"/>
                <w:szCs w:val="20"/>
                <w:lang w:val="es-PE"/>
              </w:rPr>
              <w:t xml:space="preserve"> 13 de julio de 2022, 8 de septiembre de 2022, 9 de enero de 2023, 10 de febrero de 2023, 13 de febrero de 2023, 15 de marzo de 2023, 11 de mayo de 2023</w:t>
            </w:r>
            <w:r w:rsidR="002C4436">
              <w:rPr>
                <w:rFonts w:ascii="Cambria" w:hAnsi="Cambria"/>
                <w:bCs/>
                <w:sz w:val="20"/>
                <w:szCs w:val="20"/>
                <w:lang w:val="es-PE"/>
              </w:rPr>
              <w:t xml:space="preserve">, </w:t>
            </w:r>
            <w:r w:rsidRPr="00212944">
              <w:rPr>
                <w:rFonts w:ascii="Cambria" w:hAnsi="Cambria"/>
                <w:bCs/>
                <w:sz w:val="20"/>
                <w:szCs w:val="20"/>
                <w:lang w:val="es-PE"/>
              </w:rPr>
              <w:t>1 de marzo de 2024</w:t>
            </w:r>
            <w:r w:rsidR="002C4436">
              <w:rPr>
                <w:rFonts w:ascii="Cambria" w:hAnsi="Cambria"/>
                <w:bCs/>
                <w:sz w:val="20"/>
                <w:szCs w:val="20"/>
                <w:lang w:val="es-PE"/>
              </w:rPr>
              <w:t xml:space="preserve"> y 28 de junio de 2024</w:t>
            </w:r>
          </w:p>
        </w:tc>
      </w:tr>
      <w:tr w:rsidR="00D907CC" w:rsidRPr="0088642B" w14:paraId="0B00167A" w14:textId="77777777" w:rsidTr="40A9147A">
        <w:tc>
          <w:tcPr>
            <w:tcW w:w="3600" w:type="dxa"/>
            <w:vMerge/>
            <w:vAlign w:val="center"/>
          </w:tcPr>
          <w:p w14:paraId="17129858" w14:textId="77777777" w:rsidR="00D907CC" w:rsidRPr="00212944" w:rsidRDefault="00D907CC" w:rsidP="00D907CC">
            <w:pPr>
              <w:jc w:val="center"/>
              <w:rPr>
                <w:rFonts w:ascii="Cambria" w:hAnsi="Cambria"/>
                <w:b/>
                <w:bCs/>
                <w:color w:val="FFFFFF" w:themeColor="background1"/>
                <w:sz w:val="20"/>
                <w:szCs w:val="20"/>
                <w:lang w:val="es-PE"/>
              </w:rPr>
            </w:pPr>
          </w:p>
        </w:tc>
        <w:tc>
          <w:tcPr>
            <w:tcW w:w="5760" w:type="dxa"/>
            <w:vAlign w:val="center"/>
          </w:tcPr>
          <w:p w14:paraId="3F6B1B38" w14:textId="2AD66C23" w:rsidR="00D907CC" w:rsidRPr="00212944" w:rsidRDefault="00D907CC" w:rsidP="00D907CC">
            <w:pPr>
              <w:jc w:val="both"/>
              <w:rPr>
                <w:rFonts w:ascii="Cambria" w:hAnsi="Cambria"/>
                <w:bCs/>
                <w:sz w:val="20"/>
                <w:szCs w:val="20"/>
                <w:lang w:val="es-ES"/>
              </w:rPr>
            </w:pPr>
            <w:r w:rsidRPr="00212944">
              <w:rPr>
                <w:rFonts w:ascii="Cambria" w:hAnsi="Cambria"/>
                <w:b/>
                <w:sz w:val="20"/>
                <w:szCs w:val="20"/>
                <w:lang w:val="es-PE"/>
              </w:rPr>
              <w:t>P-76-19:</w:t>
            </w:r>
            <w:r w:rsidRPr="00212944">
              <w:rPr>
                <w:rFonts w:ascii="Cambria" w:hAnsi="Cambria"/>
                <w:bCs/>
                <w:sz w:val="20"/>
                <w:szCs w:val="20"/>
                <w:lang w:val="es-PE"/>
              </w:rPr>
              <w:t xml:space="preserve"> 9 de enero de 2023, 8 de febrero de 2023, 10 de febrero de 2023, 13 de febrero de 2023, 17 de febrero de 2023, 15 de marzo de 2023, 11 de mayo de 2023, 18 de julio de 2023, 28 de julio de 2023</w:t>
            </w:r>
            <w:r w:rsidR="002C4436">
              <w:rPr>
                <w:rFonts w:ascii="Cambria" w:hAnsi="Cambria"/>
                <w:bCs/>
                <w:sz w:val="20"/>
                <w:szCs w:val="20"/>
                <w:lang w:val="es-PE"/>
              </w:rPr>
              <w:t>,</w:t>
            </w:r>
            <w:r w:rsidRPr="00212944">
              <w:rPr>
                <w:rFonts w:ascii="Cambria" w:hAnsi="Cambria"/>
                <w:bCs/>
                <w:sz w:val="20"/>
                <w:szCs w:val="20"/>
                <w:lang w:val="es-PE"/>
              </w:rPr>
              <w:t xml:space="preserve"> 1 de marzo de 2024</w:t>
            </w:r>
            <w:r w:rsidR="002C4436">
              <w:rPr>
                <w:rFonts w:ascii="Cambria" w:hAnsi="Cambria"/>
                <w:bCs/>
                <w:sz w:val="20"/>
                <w:szCs w:val="20"/>
                <w:lang w:val="es-PE"/>
              </w:rPr>
              <w:t xml:space="preserve"> y 28 de junio de 2024</w:t>
            </w:r>
          </w:p>
        </w:tc>
      </w:tr>
      <w:tr w:rsidR="00D907CC" w:rsidRPr="0088642B" w14:paraId="45C6CF64" w14:textId="77777777" w:rsidTr="40A9147A">
        <w:tc>
          <w:tcPr>
            <w:tcW w:w="3600" w:type="dxa"/>
            <w:vMerge/>
            <w:vAlign w:val="center"/>
          </w:tcPr>
          <w:p w14:paraId="5BF2FA94" w14:textId="77777777" w:rsidR="00D907CC" w:rsidRPr="00212944" w:rsidRDefault="00D907CC" w:rsidP="00D907CC">
            <w:pPr>
              <w:jc w:val="center"/>
              <w:rPr>
                <w:rFonts w:ascii="Cambria" w:hAnsi="Cambria"/>
                <w:b/>
                <w:bCs/>
                <w:color w:val="FFFFFF" w:themeColor="background1"/>
                <w:sz w:val="20"/>
                <w:szCs w:val="20"/>
                <w:lang w:val="es-ES"/>
              </w:rPr>
            </w:pPr>
          </w:p>
        </w:tc>
        <w:tc>
          <w:tcPr>
            <w:tcW w:w="5760" w:type="dxa"/>
            <w:vAlign w:val="center"/>
          </w:tcPr>
          <w:p w14:paraId="1383E3CC" w14:textId="4155F935" w:rsidR="00D907CC" w:rsidRPr="00212944" w:rsidRDefault="00D907CC" w:rsidP="00D907CC">
            <w:pPr>
              <w:jc w:val="both"/>
              <w:rPr>
                <w:rFonts w:ascii="Cambria" w:hAnsi="Cambria"/>
                <w:bCs/>
                <w:sz w:val="20"/>
                <w:szCs w:val="20"/>
                <w:lang w:val="es-ES"/>
              </w:rPr>
            </w:pPr>
            <w:r w:rsidRPr="00212944">
              <w:rPr>
                <w:rFonts w:ascii="Cambria" w:hAnsi="Cambria"/>
                <w:b/>
                <w:sz w:val="20"/>
                <w:szCs w:val="20"/>
                <w:lang w:val="es-PE"/>
              </w:rPr>
              <w:t>P-1124-19</w:t>
            </w:r>
            <w:r w:rsidRPr="00212944">
              <w:rPr>
                <w:rFonts w:ascii="Cambria" w:hAnsi="Cambria"/>
                <w:bCs/>
                <w:sz w:val="20"/>
                <w:szCs w:val="20"/>
                <w:lang w:val="es-PE"/>
              </w:rPr>
              <w:t>: 9 de enero de 2023, 6 de febrero de 2023, 10 de febrero de 2023, 13 de febrero de 2023, 16 de marzo de 2023, 11 de mayo de 2023, 18 de julio de 2023, 28 de julio de 2023</w:t>
            </w:r>
            <w:r w:rsidR="002C4436">
              <w:rPr>
                <w:rFonts w:ascii="Cambria" w:hAnsi="Cambria"/>
                <w:bCs/>
                <w:sz w:val="20"/>
                <w:szCs w:val="20"/>
                <w:lang w:val="es-PE"/>
              </w:rPr>
              <w:t>,</w:t>
            </w:r>
            <w:r w:rsidRPr="00212944">
              <w:rPr>
                <w:rFonts w:ascii="Cambria" w:hAnsi="Cambria"/>
                <w:bCs/>
                <w:sz w:val="20"/>
                <w:szCs w:val="20"/>
                <w:lang w:val="es-PE"/>
              </w:rPr>
              <w:t xml:space="preserve"> 1 de marzo de 2024</w:t>
            </w:r>
            <w:r w:rsidR="002C4436">
              <w:rPr>
                <w:rFonts w:ascii="Cambria" w:hAnsi="Cambria"/>
                <w:bCs/>
                <w:sz w:val="20"/>
                <w:szCs w:val="20"/>
                <w:lang w:val="es-PE"/>
              </w:rPr>
              <w:t xml:space="preserve"> y 28 de junio de 2024</w:t>
            </w:r>
          </w:p>
        </w:tc>
      </w:tr>
      <w:tr w:rsidR="00D907CC" w:rsidRPr="0088642B" w14:paraId="71B37B05" w14:textId="77777777" w:rsidTr="40A9147A">
        <w:tc>
          <w:tcPr>
            <w:tcW w:w="3600" w:type="dxa"/>
            <w:vMerge/>
            <w:vAlign w:val="center"/>
          </w:tcPr>
          <w:p w14:paraId="1FC5EA15" w14:textId="77777777" w:rsidR="00D907CC" w:rsidRPr="00212944" w:rsidRDefault="00D907CC" w:rsidP="00D907CC">
            <w:pPr>
              <w:jc w:val="center"/>
              <w:rPr>
                <w:rFonts w:ascii="Cambria" w:hAnsi="Cambria"/>
                <w:b/>
                <w:bCs/>
                <w:color w:val="FFFFFF" w:themeColor="background1"/>
                <w:sz w:val="20"/>
                <w:szCs w:val="20"/>
                <w:lang w:val="es-ES"/>
              </w:rPr>
            </w:pPr>
          </w:p>
        </w:tc>
        <w:tc>
          <w:tcPr>
            <w:tcW w:w="5760" w:type="dxa"/>
            <w:vAlign w:val="center"/>
          </w:tcPr>
          <w:p w14:paraId="06B1E539" w14:textId="7292FFC8" w:rsidR="00D907CC" w:rsidRPr="00212944" w:rsidRDefault="00D907CC" w:rsidP="00D907CC">
            <w:pPr>
              <w:jc w:val="both"/>
              <w:rPr>
                <w:rFonts w:ascii="Cambria" w:hAnsi="Cambria"/>
                <w:bCs/>
                <w:sz w:val="20"/>
                <w:szCs w:val="20"/>
                <w:lang w:val="es-PE"/>
              </w:rPr>
            </w:pPr>
            <w:r w:rsidRPr="00212944">
              <w:rPr>
                <w:rFonts w:ascii="Cambria" w:hAnsi="Cambria"/>
                <w:b/>
                <w:sz w:val="20"/>
                <w:szCs w:val="20"/>
                <w:lang w:val="es-PE"/>
              </w:rPr>
              <w:t>P-1217-19:</w:t>
            </w:r>
            <w:r w:rsidRPr="00212944">
              <w:rPr>
                <w:rFonts w:ascii="Cambria" w:hAnsi="Cambria"/>
                <w:bCs/>
                <w:sz w:val="20"/>
                <w:szCs w:val="20"/>
                <w:lang w:val="es-PE"/>
              </w:rPr>
              <w:t xml:space="preserve"> 25 de octubre de 2021, 7 de diciembre de 2021, 15 de diciembre de 2021, 2 de febrero de 2022, 14 de febrero de 2022, 29 de marzo de 2022, 29 de abril de 2022, 27 de mayo de </w:t>
            </w:r>
            <w:r w:rsidRPr="00212944">
              <w:rPr>
                <w:rFonts w:ascii="Cambria" w:hAnsi="Cambria"/>
                <w:bCs/>
                <w:sz w:val="20"/>
                <w:szCs w:val="20"/>
                <w:lang w:val="es-PE"/>
              </w:rPr>
              <w:lastRenderedPageBreak/>
              <w:t>2022, 13 de julio de 2022, 2 de septiembre de 2022, 8 de septiembre de 2022, 9 de enero de 2023, 10 de febrero de 2023, 13 de febrero de 2023, 16 de marzo de 2023, 11 de mayo de 2023, 18 de julio de 2023, 28 de julio de 2023</w:t>
            </w:r>
            <w:r w:rsidR="00421C4D">
              <w:rPr>
                <w:rFonts w:ascii="Cambria" w:hAnsi="Cambria"/>
                <w:bCs/>
                <w:sz w:val="20"/>
                <w:szCs w:val="20"/>
                <w:lang w:val="es-PE"/>
              </w:rPr>
              <w:t xml:space="preserve">, </w:t>
            </w:r>
            <w:r w:rsidRPr="00212944">
              <w:rPr>
                <w:rFonts w:ascii="Cambria" w:hAnsi="Cambria"/>
                <w:bCs/>
                <w:sz w:val="20"/>
                <w:szCs w:val="20"/>
                <w:lang w:val="es-PE"/>
              </w:rPr>
              <w:t xml:space="preserve">1 de marzo de 2024 </w:t>
            </w:r>
            <w:r w:rsidR="00421C4D">
              <w:rPr>
                <w:rFonts w:ascii="Cambria" w:hAnsi="Cambria"/>
                <w:bCs/>
                <w:sz w:val="20"/>
                <w:szCs w:val="20"/>
                <w:lang w:val="es-PE"/>
              </w:rPr>
              <w:t>y 28 de junio de 2024</w:t>
            </w:r>
          </w:p>
        </w:tc>
      </w:tr>
      <w:tr w:rsidR="00D907CC" w:rsidRPr="0088642B" w14:paraId="4BC90AF0" w14:textId="77777777" w:rsidTr="40A9147A">
        <w:tc>
          <w:tcPr>
            <w:tcW w:w="3600" w:type="dxa"/>
            <w:vMerge/>
            <w:vAlign w:val="center"/>
          </w:tcPr>
          <w:p w14:paraId="513B3FAF" w14:textId="77777777" w:rsidR="00D907CC" w:rsidRPr="00212944" w:rsidRDefault="00D907CC" w:rsidP="00D907CC">
            <w:pPr>
              <w:jc w:val="center"/>
              <w:rPr>
                <w:rFonts w:ascii="Cambria" w:hAnsi="Cambria"/>
                <w:b/>
                <w:bCs/>
                <w:color w:val="FFFFFF" w:themeColor="background1"/>
                <w:sz w:val="20"/>
                <w:szCs w:val="20"/>
                <w:lang w:val="es-ES"/>
              </w:rPr>
            </w:pPr>
          </w:p>
        </w:tc>
        <w:tc>
          <w:tcPr>
            <w:tcW w:w="5760" w:type="dxa"/>
            <w:vAlign w:val="center"/>
          </w:tcPr>
          <w:p w14:paraId="6906FA9B" w14:textId="50CB6AB1" w:rsidR="00D907CC" w:rsidRPr="00212944" w:rsidRDefault="00D907CC" w:rsidP="00D907CC">
            <w:pPr>
              <w:jc w:val="both"/>
              <w:rPr>
                <w:rFonts w:ascii="Cambria" w:hAnsi="Cambria"/>
                <w:bCs/>
                <w:sz w:val="20"/>
                <w:szCs w:val="20"/>
                <w:lang w:val="es-PE"/>
              </w:rPr>
            </w:pPr>
            <w:r w:rsidRPr="00212944">
              <w:rPr>
                <w:rFonts w:ascii="Cambria" w:hAnsi="Cambria"/>
                <w:b/>
                <w:sz w:val="20"/>
                <w:szCs w:val="20"/>
                <w:lang w:val="es-PE"/>
              </w:rPr>
              <w:t xml:space="preserve">P-1228-19: </w:t>
            </w:r>
            <w:r w:rsidRPr="00212944">
              <w:rPr>
                <w:rFonts w:ascii="Cambria" w:hAnsi="Cambria"/>
                <w:bCs/>
                <w:sz w:val="20"/>
                <w:szCs w:val="20"/>
                <w:lang w:val="es-PE"/>
              </w:rPr>
              <w:t>27 de mayo de 2022, 13 de junio de 2022, 13 de julio de 2022, 31 de octubre de 2022, 9 de enero de 2023, 10 de febrero de 2023, 13 de febrero de 2023, 16 de marzo de 2023, 11 de mayo de 2023, 18 de julio de 2023, 28 de julio de 2023</w:t>
            </w:r>
            <w:r w:rsidR="00421C4D">
              <w:rPr>
                <w:rFonts w:ascii="Cambria" w:hAnsi="Cambria"/>
                <w:bCs/>
                <w:sz w:val="20"/>
                <w:szCs w:val="20"/>
                <w:lang w:val="es-PE"/>
              </w:rPr>
              <w:t>,</w:t>
            </w:r>
            <w:r w:rsidRPr="00212944">
              <w:rPr>
                <w:rFonts w:ascii="Cambria" w:hAnsi="Cambria"/>
                <w:bCs/>
                <w:sz w:val="20"/>
                <w:szCs w:val="20"/>
                <w:lang w:val="es-PE"/>
              </w:rPr>
              <w:t xml:space="preserve"> 1 de marzo de 2024</w:t>
            </w:r>
            <w:r w:rsidR="0067722B">
              <w:rPr>
                <w:rFonts w:ascii="Cambria" w:hAnsi="Cambria"/>
                <w:bCs/>
                <w:sz w:val="20"/>
                <w:szCs w:val="20"/>
                <w:lang w:val="es-PE"/>
              </w:rPr>
              <w:t xml:space="preserve">, </w:t>
            </w:r>
            <w:r w:rsidR="00421C4D">
              <w:rPr>
                <w:rFonts w:ascii="Cambria" w:hAnsi="Cambria"/>
                <w:bCs/>
                <w:sz w:val="20"/>
                <w:szCs w:val="20"/>
                <w:lang w:val="es-PE"/>
              </w:rPr>
              <w:t>28 de junio de 2024</w:t>
            </w:r>
            <w:r w:rsidR="0067722B">
              <w:rPr>
                <w:rFonts w:ascii="Cambria" w:hAnsi="Cambria"/>
                <w:bCs/>
                <w:sz w:val="20"/>
                <w:szCs w:val="20"/>
                <w:lang w:val="es-PE"/>
              </w:rPr>
              <w:t xml:space="preserve"> y 1 de julio de 2024</w:t>
            </w:r>
          </w:p>
        </w:tc>
      </w:tr>
      <w:tr w:rsidR="00D907CC" w:rsidRPr="0088642B" w14:paraId="29F16F58" w14:textId="77777777" w:rsidTr="40A9147A">
        <w:tc>
          <w:tcPr>
            <w:tcW w:w="3600" w:type="dxa"/>
            <w:vMerge/>
            <w:vAlign w:val="center"/>
          </w:tcPr>
          <w:p w14:paraId="751E6903" w14:textId="77777777" w:rsidR="00D907CC" w:rsidRPr="00212944" w:rsidRDefault="00D907CC" w:rsidP="00D907CC">
            <w:pPr>
              <w:jc w:val="center"/>
              <w:rPr>
                <w:rFonts w:ascii="Cambria" w:hAnsi="Cambria"/>
                <w:b/>
                <w:bCs/>
                <w:color w:val="FFFFFF" w:themeColor="background1"/>
                <w:sz w:val="20"/>
                <w:szCs w:val="20"/>
                <w:lang w:val="es-ES"/>
              </w:rPr>
            </w:pPr>
          </w:p>
        </w:tc>
        <w:tc>
          <w:tcPr>
            <w:tcW w:w="5760" w:type="dxa"/>
            <w:vAlign w:val="center"/>
          </w:tcPr>
          <w:p w14:paraId="2AAF80EB" w14:textId="7C9B20B6" w:rsidR="00D907CC" w:rsidRPr="00BE2E9F" w:rsidRDefault="00D907CC" w:rsidP="00D907CC">
            <w:pPr>
              <w:jc w:val="both"/>
              <w:rPr>
                <w:rFonts w:ascii="Cambria" w:hAnsi="Cambria"/>
                <w:bCs/>
                <w:sz w:val="20"/>
                <w:szCs w:val="20"/>
                <w:lang w:val="es-PE"/>
              </w:rPr>
            </w:pPr>
            <w:r w:rsidRPr="00BE2E9F">
              <w:rPr>
                <w:rFonts w:ascii="Cambria" w:hAnsi="Cambria"/>
                <w:b/>
                <w:sz w:val="20"/>
                <w:szCs w:val="20"/>
                <w:lang w:val="es-PE"/>
              </w:rPr>
              <w:t>P-1278-19:</w:t>
            </w:r>
            <w:r w:rsidRPr="00BE2E9F">
              <w:rPr>
                <w:rFonts w:ascii="Cambria" w:hAnsi="Cambria"/>
                <w:bCs/>
                <w:sz w:val="20"/>
                <w:szCs w:val="20"/>
                <w:lang w:val="es-PE"/>
              </w:rPr>
              <w:t xml:space="preserve"> 9 de septiembre de 2023, 10 de febrero de 2023, 13 de febrero de 2023, 16 de marzo de 2023, 11 de mayo de 2023, 18 de julio de 2023, 28 de julio de 2023</w:t>
            </w:r>
            <w:r w:rsidR="00421C4D">
              <w:rPr>
                <w:rFonts w:ascii="Cambria" w:hAnsi="Cambria"/>
                <w:bCs/>
                <w:sz w:val="20"/>
                <w:szCs w:val="20"/>
                <w:lang w:val="es-PE"/>
              </w:rPr>
              <w:t>,</w:t>
            </w:r>
            <w:r w:rsidRPr="00BE2E9F">
              <w:rPr>
                <w:rFonts w:ascii="Cambria" w:hAnsi="Cambria"/>
                <w:bCs/>
                <w:sz w:val="20"/>
                <w:szCs w:val="20"/>
                <w:lang w:val="es-PE"/>
              </w:rPr>
              <w:t xml:space="preserve"> 1 de marzo de 2024</w:t>
            </w:r>
            <w:r w:rsidR="00C754B8">
              <w:rPr>
                <w:rFonts w:ascii="Cambria" w:hAnsi="Cambria"/>
                <w:bCs/>
                <w:sz w:val="20"/>
                <w:szCs w:val="20"/>
                <w:lang w:val="es-PE"/>
              </w:rPr>
              <w:t xml:space="preserve">, </w:t>
            </w:r>
            <w:r w:rsidR="00421C4D">
              <w:rPr>
                <w:rFonts w:ascii="Cambria" w:hAnsi="Cambria"/>
                <w:bCs/>
                <w:sz w:val="20"/>
                <w:szCs w:val="20"/>
                <w:lang w:val="es-PE"/>
              </w:rPr>
              <w:t>28 de junio de 2024</w:t>
            </w:r>
            <w:r w:rsidR="00C754B8">
              <w:rPr>
                <w:rFonts w:ascii="Cambria" w:hAnsi="Cambria"/>
                <w:bCs/>
                <w:sz w:val="20"/>
                <w:szCs w:val="20"/>
                <w:lang w:val="es-PE"/>
              </w:rPr>
              <w:t xml:space="preserve"> y 1 de julio de 2024</w:t>
            </w:r>
          </w:p>
        </w:tc>
      </w:tr>
      <w:tr w:rsidR="00D907CC" w:rsidRPr="0088642B" w14:paraId="0DD5ADF1" w14:textId="77777777" w:rsidTr="40A9147A">
        <w:tc>
          <w:tcPr>
            <w:tcW w:w="3600" w:type="dxa"/>
            <w:vMerge/>
            <w:vAlign w:val="center"/>
          </w:tcPr>
          <w:p w14:paraId="391418FC" w14:textId="77777777" w:rsidR="00D907CC" w:rsidRPr="00212944" w:rsidRDefault="00D907CC" w:rsidP="00D907CC">
            <w:pPr>
              <w:jc w:val="center"/>
              <w:rPr>
                <w:rFonts w:ascii="Cambria" w:hAnsi="Cambria"/>
                <w:b/>
                <w:bCs/>
                <w:color w:val="FFFFFF" w:themeColor="background1"/>
                <w:sz w:val="20"/>
                <w:szCs w:val="20"/>
                <w:lang w:val="es-ES"/>
              </w:rPr>
            </w:pPr>
          </w:p>
        </w:tc>
        <w:tc>
          <w:tcPr>
            <w:tcW w:w="5760" w:type="dxa"/>
            <w:vAlign w:val="center"/>
          </w:tcPr>
          <w:p w14:paraId="530F5250" w14:textId="699E730E" w:rsidR="00D907CC" w:rsidRPr="00BE2E9F" w:rsidRDefault="00D907CC" w:rsidP="00D907CC">
            <w:pPr>
              <w:jc w:val="both"/>
              <w:rPr>
                <w:rFonts w:ascii="Cambria" w:hAnsi="Cambria"/>
                <w:b/>
                <w:sz w:val="20"/>
                <w:szCs w:val="20"/>
                <w:lang w:val="es-PE"/>
              </w:rPr>
            </w:pPr>
            <w:r w:rsidRPr="00BE2E9F">
              <w:rPr>
                <w:rFonts w:ascii="Cambria" w:hAnsi="Cambria"/>
                <w:b/>
                <w:sz w:val="20"/>
                <w:szCs w:val="20"/>
                <w:lang w:val="es-PE"/>
              </w:rPr>
              <w:t>P-1279-19:</w:t>
            </w:r>
            <w:r w:rsidR="00BE2E9F" w:rsidRPr="00BE2E9F">
              <w:rPr>
                <w:rFonts w:ascii="Cambria" w:hAnsi="Cambria"/>
                <w:b/>
                <w:sz w:val="20"/>
                <w:szCs w:val="20"/>
                <w:lang w:val="es-PE"/>
              </w:rPr>
              <w:t xml:space="preserve"> </w:t>
            </w:r>
            <w:r w:rsidR="00BE2E9F" w:rsidRPr="00BE2E9F">
              <w:rPr>
                <w:rFonts w:ascii="Cambria" w:hAnsi="Cambria"/>
                <w:bCs/>
                <w:sz w:val="20"/>
                <w:szCs w:val="20"/>
                <w:lang w:val="es-PE"/>
              </w:rPr>
              <w:t>23 de febrero de 2023 y</w:t>
            </w:r>
            <w:r w:rsidR="00BE2E9F">
              <w:rPr>
                <w:rFonts w:ascii="Cambria" w:hAnsi="Cambria"/>
                <w:bCs/>
                <w:sz w:val="20"/>
                <w:szCs w:val="20"/>
                <w:lang w:val="es-PE"/>
              </w:rPr>
              <w:t xml:space="preserve"> </w:t>
            </w:r>
            <w:r w:rsidR="00507D93">
              <w:rPr>
                <w:rFonts w:ascii="Cambria" w:hAnsi="Cambria"/>
                <w:bCs/>
                <w:sz w:val="20"/>
                <w:szCs w:val="20"/>
                <w:lang w:val="es-PE"/>
              </w:rPr>
              <w:t>28 de junio de 2024</w:t>
            </w:r>
          </w:p>
        </w:tc>
      </w:tr>
      <w:tr w:rsidR="00D907CC" w:rsidRPr="0088642B" w14:paraId="488206D4" w14:textId="77777777" w:rsidTr="40A9147A">
        <w:tc>
          <w:tcPr>
            <w:tcW w:w="3600" w:type="dxa"/>
            <w:vMerge/>
            <w:vAlign w:val="center"/>
          </w:tcPr>
          <w:p w14:paraId="034BACE7" w14:textId="77777777" w:rsidR="00D907CC" w:rsidRPr="00212944" w:rsidRDefault="00D907CC" w:rsidP="00D907CC">
            <w:pPr>
              <w:jc w:val="center"/>
              <w:rPr>
                <w:rFonts w:ascii="Cambria" w:hAnsi="Cambria"/>
                <w:b/>
                <w:bCs/>
                <w:color w:val="FFFFFF" w:themeColor="background1"/>
                <w:sz w:val="20"/>
                <w:szCs w:val="20"/>
                <w:lang w:val="es-ES"/>
              </w:rPr>
            </w:pPr>
          </w:p>
        </w:tc>
        <w:tc>
          <w:tcPr>
            <w:tcW w:w="5760" w:type="dxa"/>
            <w:vAlign w:val="center"/>
          </w:tcPr>
          <w:p w14:paraId="0934C54E" w14:textId="2FFF4131" w:rsidR="00D907CC" w:rsidRPr="00D53D13" w:rsidRDefault="00D907CC" w:rsidP="00D907CC">
            <w:pPr>
              <w:jc w:val="both"/>
              <w:rPr>
                <w:rFonts w:ascii="Cambria" w:hAnsi="Cambria"/>
                <w:b/>
                <w:sz w:val="20"/>
                <w:szCs w:val="20"/>
                <w:lang w:val="es-PE"/>
              </w:rPr>
            </w:pPr>
            <w:r w:rsidRPr="00D53D13">
              <w:rPr>
                <w:rFonts w:ascii="Cambria" w:hAnsi="Cambria"/>
                <w:b/>
                <w:sz w:val="20"/>
                <w:szCs w:val="20"/>
                <w:lang w:val="es-PE"/>
              </w:rPr>
              <w:t>P-1428-19:</w:t>
            </w:r>
            <w:r w:rsidR="00D53D13" w:rsidRPr="00D53D13">
              <w:rPr>
                <w:rFonts w:ascii="Cambria" w:hAnsi="Cambria"/>
                <w:b/>
                <w:sz w:val="20"/>
                <w:szCs w:val="20"/>
                <w:lang w:val="es-PE"/>
              </w:rPr>
              <w:t xml:space="preserve"> </w:t>
            </w:r>
            <w:r w:rsidR="00D53D13" w:rsidRPr="00D53D13">
              <w:rPr>
                <w:rFonts w:ascii="Cambria" w:hAnsi="Cambria"/>
                <w:bCs/>
                <w:sz w:val="20"/>
                <w:szCs w:val="20"/>
                <w:lang w:val="es-PE"/>
              </w:rPr>
              <w:t>13 de febrero de 2022 y</w:t>
            </w:r>
            <w:r w:rsidR="00D53D13">
              <w:rPr>
                <w:rFonts w:ascii="Cambria" w:hAnsi="Cambria"/>
                <w:bCs/>
                <w:sz w:val="20"/>
                <w:szCs w:val="20"/>
                <w:lang w:val="es-PE"/>
              </w:rPr>
              <w:t xml:space="preserve"> 28 de junio de 2024</w:t>
            </w:r>
          </w:p>
        </w:tc>
      </w:tr>
      <w:tr w:rsidR="00D907CC" w:rsidRPr="0088642B" w14:paraId="22AB21E1" w14:textId="77777777" w:rsidTr="40A9147A">
        <w:tc>
          <w:tcPr>
            <w:tcW w:w="3600" w:type="dxa"/>
            <w:vMerge/>
            <w:vAlign w:val="center"/>
          </w:tcPr>
          <w:p w14:paraId="72005BB7" w14:textId="77777777" w:rsidR="00D907CC" w:rsidRPr="00212944" w:rsidRDefault="00D907CC" w:rsidP="00D907CC">
            <w:pPr>
              <w:jc w:val="center"/>
              <w:rPr>
                <w:rFonts w:ascii="Cambria" w:hAnsi="Cambria"/>
                <w:b/>
                <w:bCs/>
                <w:color w:val="FFFFFF" w:themeColor="background1"/>
                <w:sz w:val="20"/>
                <w:szCs w:val="20"/>
                <w:lang w:val="es-ES"/>
              </w:rPr>
            </w:pPr>
          </w:p>
        </w:tc>
        <w:tc>
          <w:tcPr>
            <w:tcW w:w="5760" w:type="dxa"/>
            <w:vAlign w:val="center"/>
          </w:tcPr>
          <w:p w14:paraId="12CB7744" w14:textId="51B415FA" w:rsidR="00D907CC" w:rsidRPr="00726599" w:rsidRDefault="00D907CC" w:rsidP="00D907CC">
            <w:pPr>
              <w:jc w:val="both"/>
              <w:rPr>
                <w:rFonts w:ascii="Cambria" w:hAnsi="Cambria"/>
                <w:b/>
                <w:sz w:val="20"/>
                <w:szCs w:val="20"/>
                <w:highlight w:val="green"/>
                <w:lang w:val="es-PE"/>
              </w:rPr>
            </w:pPr>
            <w:r w:rsidRPr="00726599">
              <w:rPr>
                <w:rFonts w:ascii="Cambria" w:hAnsi="Cambria"/>
                <w:b/>
                <w:sz w:val="20"/>
                <w:szCs w:val="20"/>
                <w:lang w:val="es-PE"/>
              </w:rPr>
              <w:t>P-1563-19:</w:t>
            </w:r>
            <w:r w:rsidR="00726599" w:rsidRPr="00726599">
              <w:rPr>
                <w:rFonts w:ascii="Cambria" w:hAnsi="Cambria"/>
                <w:b/>
                <w:sz w:val="20"/>
                <w:szCs w:val="20"/>
                <w:lang w:val="es-PE"/>
              </w:rPr>
              <w:t xml:space="preserve"> </w:t>
            </w:r>
            <w:r w:rsidR="00726599" w:rsidRPr="00726599">
              <w:rPr>
                <w:rFonts w:ascii="Cambria" w:hAnsi="Cambria"/>
                <w:bCs/>
                <w:sz w:val="20"/>
                <w:szCs w:val="20"/>
                <w:lang w:val="es-PE"/>
              </w:rPr>
              <w:t>14 de febrero de 2023 y</w:t>
            </w:r>
            <w:r w:rsidR="00726599">
              <w:rPr>
                <w:rFonts w:ascii="Cambria" w:hAnsi="Cambria"/>
                <w:bCs/>
                <w:sz w:val="20"/>
                <w:szCs w:val="20"/>
                <w:lang w:val="es-PE"/>
              </w:rPr>
              <w:t xml:space="preserve"> 28 de junio de 2024</w:t>
            </w:r>
          </w:p>
        </w:tc>
      </w:tr>
      <w:tr w:rsidR="00D907CC" w:rsidRPr="0088642B" w14:paraId="669B39B8" w14:textId="77777777" w:rsidTr="40A9147A">
        <w:tc>
          <w:tcPr>
            <w:tcW w:w="3600" w:type="dxa"/>
            <w:vMerge/>
            <w:vAlign w:val="center"/>
          </w:tcPr>
          <w:p w14:paraId="634A39BE" w14:textId="77777777" w:rsidR="00D907CC" w:rsidRPr="00212944" w:rsidRDefault="00D907CC" w:rsidP="00D907CC">
            <w:pPr>
              <w:jc w:val="center"/>
              <w:rPr>
                <w:rFonts w:ascii="Cambria" w:hAnsi="Cambria"/>
                <w:b/>
                <w:bCs/>
                <w:color w:val="FFFFFF" w:themeColor="background1"/>
                <w:sz w:val="20"/>
                <w:szCs w:val="20"/>
                <w:lang w:val="es-ES"/>
              </w:rPr>
            </w:pPr>
          </w:p>
        </w:tc>
        <w:tc>
          <w:tcPr>
            <w:tcW w:w="5760" w:type="dxa"/>
            <w:vAlign w:val="center"/>
          </w:tcPr>
          <w:p w14:paraId="31961B1F" w14:textId="7560C015" w:rsidR="00D907CC" w:rsidRPr="007A42A0" w:rsidRDefault="00D907CC" w:rsidP="00D907CC">
            <w:pPr>
              <w:jc w:val="both"/>
              <w:rPr>
                <w:rFonts w:ascii="Cambria" w:hAnsi="Cambria"/>
                <w:b/>
                <w:sz w:val="20"/>
                <w:szCs w:val="20"/>
                <w:highlight w:val="green"/>
                <w:lang w:val="es-PE"/>
              </w:rPr>
            </w:pPr>
            <w:r w:rsidRPr="007A42A0">
              <w:rPr>
                <w:rFonts w:ascii="Cambria" w:hAnsi="Cambria"/>
                <w:b/>
                <w:sz w:val="20"/>
                <w:szCs w:val="20"/>
                <w:lang w:val="es-PE"/>
              </w:rPr>
              <w:t>P-1677-19:</w:t>
            </w:r>
            <w:r w:rsidR="00650BDD" w:rsidRPr="007A42A0">
              <w:rPr>
                <w:rFonts w:ascii="Cambria" w:hAnsi="Cambria"/>
                <w:b/>
                <w:sz w:val="20"/>
                <w:szCs w:val="20"/>
                <w:lang w:val="es-PE"/>
              </w:rPr>
              <w:t xml:space="preserve"> </w:t>
            </w:r>
            <w:r w:rsidR="007A42A0" w:rsidRPr="007A42A0">
              <w:rPr>
                <w:rFonts w:ascii="Cambria" w:hAnsi="Cambria"/>
                <w:bCs/>
                <w:sz w:val="20"/>
                <w:szCs w:val="20"/>
                <w:lang w:val="es-PE"/>
              </w:rPr>
              <w:t>10 de febrero de 2023 y</w:t>
            </w:r>
            <w:r w:rsidR="007A42A0">
              <w:rPr>
                <w:rFonts w:ascii="Cambria" w:hAnsi="Cambria"/>
                <w:bCs/>
                <w:sz w:val="20"/>
                <w:szCs w:val="20"/>
                <w:lang w:val="es-PE"/>
              </w:rPr>
              <w:t xml:space="preserve"> 28 de junio de 2024</w:t>
            </w:r>
          </w:p>
        </w:tc>
      </w:tr>
      <w:tr w:rsidR="00D907CC" w:rsidRPr="0088642B" w14:paraId="3963E94D" w14:textId="77777777" w:rsidTr="40A9147A">
        <w:tc>
          <w:tcPr>
            <w:tcW w:w="3600" w:type="dxa"/>
            <w:vMerge/>
            <w:vAlign w:val="center"/>
          </w:tcPr>
          <w:p w14:paraId="19FA9CB6" w14:textId="77777777" w:rsidR="00D907CC" w:rsidRPr="00212944" w:rsidRDefault="00D907CC" w:rsidP="00D907CC">
            <w:pPr>
              <w:jc w:val="center"/>
              <w:rPr>
                <w:rFonts w:ascii="Cambria" w:hAnsi="Cambria"/>
                <w:b/>
                <w:bCs/>
                <w:color w:val="FFFFFF" w:themeColor="background1"/>
                <w:sz w:val="20"/>
                <w:szCs w:val="20"/>
                <w:lang w:val="es-ES"/>
              </w:rPr>
            </w:pPr>
          </w:p>
        </w:tc>
        <w:tc>
          <w:tcPr>
            <w:tcW w:w="5760" w:type="dxa"/>
            <w:vAlign w:val="center"/>
          </w:tcPr>
          <w:p w14:paraId="3E5AB87A" w14:textId="0694E91A" w:rsidR="00D907CC" w:rsidRPr="00717DAF" w:rsidRDefault="00D907CC" w:rsidP="00D907CC">
            <w:pPr>
              <w:jc w:val="both"/>
              <w:rPr>
                <w:rFonts w:ascii="Cambria" w:hAnsi="Cambria"/>
                <w:b/>
                <w:sz w:val="20"/>
                <w:szCs w:val="20"/>
                <w:highlight w:val="green"/>
                <w:lang w:val="es-PE"/>
              </w:rPr>
            </w:pPr>
            <w:r w:rsidRPr="00717DAF">
              <w:rPr>
                <w:rFonts w:ascii="Cambria" w:hAnsi="Cambria"/>
                <w:b/>
                <w:sz w:val="20"/>
                <w:szCs w:val="20"/>
                <w:lang w:val="es-PE"/>
              </w:rPr>
              <w:t>P-1736-19:</w:t>
            </w:r>
            <w:r w:rsidR="007A42A0" w:rsidRPr="00717DAF">
              <w:rPr>
                <w:rFonts w:ascii="Cambria" w:hAnsi="Cambria"/>
                <w:b/>
                <w:sz w:val="20"/>
                <w:szCs w:val="20"/>
                <w:lang w:val="es-PE"/>
              </w:rPr>
              <w:t xml:space="preserve"> </w:t>
            </w:r>
            <w:r w:rsidR="00717DAF" w:rsidRPr="00717DAF">
              <w:rPr>
                <w:rFonts w:ascii="Cambria" w:hAnsi="Cambria"/>
                <w:bCs/>
                <w:sz w:val="20"/>
                <w:szCs w:val="20"/>
                <w:lang w:val="es-PE"/>
              </w:rPr>
              <w:t>15 de marzo de 2023 y</w:t>
            </w:r>
            <w:r w:rsidR="00717DAF">
              <w:rPr>
                <w:rFonts w:ascii="Cambria" w:hAnsi="Cambria"/>
                <w:bCs/>
                <w:sz w:val="20"/>
                <w:szCs w:val="20"/>
                <w:lang w:val="es-PE"/>
              </w:rPr>
              <w:t xml:space="preserve"> 28 de junio de 2024</w:t>
            </w:r>
          </w:p>
        </w:tc>
      </w:tr>
      <w:tr w:rsidR="00D907CC" w:rsidRPr="0088642B" w14:paraId="399DDB03" w14:textId="77777777" w:rsidTr="40A9147A">
        <w:tc>
          <w:tcPr>
            <w:tcW w:w="3600" w:type="dxa"/>
            <w:vMerge/>
            <w:vAlign w:val="center"/>
          </w:tcPr>
          <w:p w14:paraId="4649A8C7" w14:textId="77777777" w:rsidR="00D907CC" w:rsidRPr="00212944" w:rsidRDefault="00D907CC" w:rsidP="00D907CC">
            <w:pPr>
              <w:jc w:val="center"/>
              <w:rPr>
                <w:rFonts w:ascii="Cambria" w:hAnsi="Cambria"/>
                <w:b/>
                <w:bCs/>
                <w:color w:val="FFFFFF" w:themeColor="background1"/>
                <w:sz w:val="20"/>
                <w:szCs w:val="20"/>
                <w:lang w:val="es-ES"/>
              </w:rPr>
            </w:pPr>
          </w:p>
        </w:tc>
        <w:tc>
          <w:tcPr>
            <w:tcW w:w="5760" w:type="dxa"/>
            <w:vAlign w:val="center"/>
          </w:tcPr>
          <w:p w14:paraId="12DCBF26" w14:textId="324B98B0" w:rsidR="00D907CC" w:rsidRPr="00717DAF" w:rsidRDefault="00D907CC" w:rsidP="00D907CC">
            <w:pPr>
              <w:jc w:val="both"/>
              <w:rPr>
                <w:rFonts w:ascii="Cambria" w:hAnsi="Cambria"/>
                <w:b/>
                <w:sz w:val="20"/>
                <w:szCs w:val="20"/>
                <w:highlight w:val="green"/>
                <w:lang w:val="es-PE"/>
              </w:rPr>
            </w:pPr>
            <w:r w:rsidRPr="00717DAF">
              <w:rPr>
                <w:rFonts w:ascii="Cambria" w:hAnsi="Cambria"/>
                <w:b/>
                <w:sz w:val="20"/>
                <w:szCs w:val="20"/>
                <w:lang w:val="es-PE"/>
              </w:rPr>
              <w:t>P-2284-19:</w:t>
            </w:r>
            <w:r w:rsidR="00717DAF" w:rsidRPr="00717DAF">
              <w:rPr>
                <w:rFonts w:ascii="Cambria" w:hAnsi="Cambria"/>
                <w:b/>
                <w:sz w:val="20"/>
                <w:szCs w:val="20"/>
                <w:lang w:val="es-PE"/>
              </w:rPr>
              <w:t xml:space="preserve"> </w:t>
            </w:r>
            <w:r w:rsidR="00717DAF" w:rsidRPr="00717DAF">
              <w:rPr>
                <w:rFonts w:ascii="Cambria" w:hAnsi="Cambria"/>
                <w:bCs/>
                <w:sz w:val="20"/>
                <w:szCs w:val="20"/>
                <w:lang w:val="es-PE"/>
              </w:rPr>
              <w:t>28 de abril de 2023 y 28 de junio de 2024</w:t>
            </w:r>
          </w:p>
        </w:tc>
      </w:tr>
      <w:tr w:rsidR="00D907CC" w:rsidRPr="00212944" w14:paraId="1E97002A" w14:textId="77777777" w:rsidTr="40A9147A">
        <w:tc>
          <w:tcPr>
            <w:tcW w:w="3600" w:type="dxa"/>
            <w:vMerge/>
            <w:vAlign w:val="center"/>
          </w:tcPr>
          <w:p w14:paraId="6698B7C5" w14:textId="77777777" w:rsidR="00D907CC" w:rsidRPr="00212944" w:rsidRDefault="00D907CC" w:rsidP="00D907CC">
            <w:pPr>
              <w:jc w:val="center"/>
              <w:rPr>
                <w:rFonts w:ascii="Cambria" w:hAnsi="Cambria"/>
                <w:b/>
                <w:bCs/>
                <w:color w:val="FFFFFF" w:themeColor="background1"/>
                <w:sz w:val="20"/>
                <w:szCs w:val="20"/>
                <w:lang w:val="es-ES"/>
              </w:rPr>
            </w:pPr>
          </w:p>
        </w:tc>
        <w:tc>
          <w:tcPr>
            <w:tcW w:w="5760" w:type="dxa"/>
            <w:vAlign w:val="center"/>
          </w:tcPr>
          <w:p w14:paraId="0BCEFB9A" w14:textId="6EC2FD86" w:rsidR="00D907CC" w:rsidRPr="00D517E1" w:rsidRDefault="00D907CC" w:rsidP="00D907CC">
            <w:pPr>
              <w:jc w:val="both"/>
              <w:rPr>
                <w:rFonts w:ascii="Cambria" w:hAnsi="Cambria"/>
                <w:b/>
                <w:sz w:val="20"/>
                <w:szCs w:val="20"/>
                <w:lang w:val="pt-BR"/>
              </w:rPr>
            </w:pPr>
            <w:r w:rsidRPr="00D517E1">
              <w:rPr>
                <w:rFonts w:ascii="Cambria" w:hAnsi="Cambria"/>
                <w:b/>
                <w:sz w:val="20"/>
                <w:szCs w:val="20"/>
                <w:lang w:val="pt-BR"/>
              </w:rPr>
              <w:t>P-2625-19:</w:t>
            </w:r>
            <w:r w:rsidR="008442AF" w:rsidRPr="00D517E1">
              <w:rPr>
                <w:rFonts w:ascii="Cambria" w:hAnsi="Cambria"/>
                <w:b/>
                <w:sz w:val="20"/>
                <w:szCs w:val="20"/>
                <w:lang w:val="pt-BR"/>
              </w:rPr>
              <w:t xml:space="preserve"> </w:t>
            </w:r>
            <w:r w:rsidR="008442AF" w:rsidRPr="00D517E1">
              <w:rPr>
                <w:rFonts w:ascii="Cambria" w:hAnsi="Cambria"/>
                <w:bCs/>
                <w:sz w:val="20"/>
                <w:szCs w:val="20"/>
                <w:lang w:val="pt-BR"/>
              </w:rPr>
              <w:t>1 de julio de 2024</w:t>
            </w:r>
          </w:p>
        </w:tc>
      </w:tr>
      <w:tr w:rsidR="00D907CC" w:rsidRPr="00D517E1" w14:paraId="396B60D4" w14:textId="77777777" w:rsidTr="40A9147A">
        <w:tc>
          <w:tcPr>
            <w:tcW w:w="3600" w:type="dxa"/>
            <w:vMerge/>
            <w:vAlign w:val="center"/>
          </w:tcPr>
          <w:p w14:paraId="37692612" w14:textId="77777777" w:rsidR="00D907CC" w:rsidRPr="00212944" w:rsidRDefault="00D907CC" w:rsidP="00D907CC">
            <w:pPr>
              <w:jc w:val="center"/>
              <w:rPr>
                <w:rFonts w:ascii="Cambria" w:hAnsi="Cambria"/>
                <w:b/>
                <w:bCs/>
                <w:color w:val="FFFFFF" w:themeColor="background1"/>
                <w:sz w:val="20"/>
                <w:szCs w:val="20"/>
                <w:lang w:val="es-ES"/>
              </w:rPr>
            </w:pPr>
          </w:p>
        </w:tc>
        <w:tc>
          <w:tcPr>
            <w:tcW w:w="5760" w:type="dxa"/>
            <w:vAlign w:val="center"/>
          </w:tcPr>
          <w:p w14:paraId="57E64ED7" w14:textId="56A2B781" w:rsidR="00D907CC" w:rsidRPr="00D517E1" w:rsidRDefault="00D907CC" w:rsidP="00D907CC">
            <w:pPr>
              <w:jc w:val="both"/>
              <w:rPr>
                <w:rFonts w:ascii="Cambria" w:hAnsi="Cambria"/>
                <w:b/>
                <w:sz w:val="20"/>
                <w:szCs w:val="20"/>
                <w:lang w:val="es-PE"/>
              </w:rPr>
            </w:pPr>
            <w:r w:rsidRPr="00D517E1">
              <w:rPr>
                <w:rFonts w:ascii="Cambria" w:hAnsi="Cambria"/>
                <w:b/>
                <w:sz w:val="20"/>
                <w:szCs w:val="20"/>
                <w:lang w:val="es-PE"/>
              </w:rPr>
              <w:t>P-3126-19:</w:t>
            </w:r>
            <w:r w:rsidR="00D517E1" w:rsidRPr="00D517E1">
              <w:rPr>
                <w:rFonts w:ascii="Cambria" w:hAnsi="Cambria"/>
                <w:b/>
                <w:sz w:val="20"/>
                <w:szCs w:val="20"/>
                <w:lang w:val="es-PE"/>
              </w:rPr>
              <w:t xml:space="preserve"> </w:t>
            </w:r>
            <w:r w:rsidR="00D517E1" w:rsidRPr="00D517E1">
              <w:rPr>
                <w:rFonts w:ascii="Cambria" w:hAnsi="Cambria"/>
                <w:bCs/>
                <w:sz w:val="20"/>
                <w:szCs w:val="20"/>
                <w:lang w:val="pt-BR"/>
              </w:rPr>
              <w:t>28 de junio de 2024</w:t>
            </w:r>
          </w:p>
        </w:tc>
      </w:tr>
      <w:tr w:rsidR="00D907CC" w:rsidRPr="00212944" w14:paraId="1C51426F" w14:textId="77777777" w:rsidTr="40A9147A">
        <w:tc>
          <w:tcPr>
            <w:tcW w:w="3600" w:type="dxa"/>
            <w:vMerge w:val="restart"/>
            <w:shd w:val="clear" w:color="auto" w:fill="386294"/>
            <w:vAlign w:val="center"/>
          </w:tcPr>
          <w:p w14:paraId="341FE5C6" w14:textId="41520544" w:rsidR="00D907CC" w:rsidRPr="00212944" w:rsidRDefault="00D907CC" w:rsidP="00D907CC">
            <w:pPr>
              <w:jc w:val="center"/>
              <w:rPr>
                <w:rFonts w:ascii="Cambria" w:hAnsi="Cambria"/>
                <w:b/>
                <w:bCs/>
                <w:color w:val="FFFFFF" w:themeColor="background1"/>
                <w:sz w:val="20"/>
                <w:szCs w:val="20"/>
                <w:lang w:val="es-ES"/>
              </w:rPr>
            </w:pPr>
            <w:r w:rsidRPr="00212944">
              <w:rPr>
                <w:rFonts w:ascii="Cambria" w:hAnsi="Cambria"/>
                <w:b/>
                <w:bCs/>
                <w:color w:val="FFFFFF" w:themeColor="background1"/>
                <w:sz w:val="20"/>
                <w:szCs w:val="20"/>
              </w:rPr>
              <w:t>Observaciones adicionales del Estado:</w:t>
            </w:r>
          </w:p>
        </w:tc>
        <w:tc>
          <w:tcPr>
            <w:tcW w:w="5760" w:type="dxa"/>
            <w:vAlign w:val="center"/>
          </w:tcPr>
          <w:p w14:paraId="46BEAF20" w14:textId="5A0364FF" w:rsidR="00D907CC" w:rsidRPr="00212944" w:rsidRDefault="2739A572" w:rsidP="40A9147A">
            <w:pPr>
              <w:jc w:val="both"/>
              <w:rPr>
                <w:rFonts w:ascii="Cambria" w:hAnsi="Cambria"/>
                <w:sz w:val="20"/>
                <w:szCs w:val="20"/>
                <w:lang w:val="es-ES"/>
              </w:rPr>
            </w:pPr>
            <w:r w:rsidRPr="40A9147A">
              <w:rPr>
                <w:rFonts w:ascii="Cambria" w:hAnsi="Cambria"/>
                <w:b/>
                <w:bCs/>
                <w:sz w:val="20"/>
                <w:szCs w:val="20"/>
                <w:lang w:val="es-ES"/>
              </w:rPr>
              <w:t xml:space="preserve">P-2287-16: </w:t>
            </w:r>
            <w:r w:rsidRPr="40A9147A">
              <w:rPr>
                <w:rFonts w:ascii="Cambria" w:hAnsi="Cambria"/>
                <w:sz w:val="20"/>
                <w:szCs w:val="20"/>
                <w:lang w:val="es-ES"/>
              </w:rPr>
              <w:t>22 de junio de 2020</w:t>
            </w:r>
          </w:p>
        </w:tc>
      </w:tr>
      <w:tr w:rsidR="00D907CC" w:rsidRPr="00212944" w14:paraId="19E98968" w14:textId="77777777" w:rsidTr="40A9147A">
        <w:tc>
          <w:tcPr>
            <w:tcW w:w="3600" w:type="dxa"/>
            <w:vMerge/>
            <w:vAlign w:val="center"/>
          </w:tcPr>
          <w:p w14:paraId="1A33D901" w14:textId="77777777" w:rsidR="00D907CC" w:rsidRPr="00212944" w:rsidRDefault="00D907CC" w:rsidP="00D907CC">
            <w:pPr>
              <w:jc w:val="center"/>
              <w:rPr>
                <w:rFonts w:ascii="Cambria" w:hAnsi="Cambria"/>
                <w:b/>
                <w:bCs/>
                <w:color w:val="FFFFFF" w:themeColor="background1"/>
                <w:sz w:val="20"/>
                <w:szCs w:val="20"/>
              </w:rPr>
            </w:pPr>
          </w:p>
        </w:tc>
        <w:tc>
          <w:tcPr>
            <w:tcW w:w="5760" w:type="dxa"/>
            <w:vAlign w:val="center"/>
          </w:tcPr>
          <w:p w14:paraId="5218BBCD" w14:textId="3E180518" w:rsidR="00D907CC" w:rsidRPr="00212944" w:rsidRDefault="00D907CC" w:rsidP="00D907CC">
            <w:pPr>
              <w:jc w:val="both"/>
              <w:rPr>
                <w:rFonts w:ascii="Cambria" w:hAnsi="Cambria"/>
                <w:b/>
                <w:sz w:val="20"/>
                <w:szCs w:val="20"/>
              </w:rPr>
            </w:pPr>
            <w:r w:rsidRPr="00212944">
              <w:rPr>
                <w:rFonts w:ascii="Cambria" w:hAnsi="Cambria"/>
                <w:b/>
                <w:sz w:val="20"/>
                <w:szCs w:val="20"/>
                <w:lang w:val="es-PE"/>
              </w:rPr>
              <w:t>P-1217-19:</w:t>
            </w:r>
            <w:r w:rsidRPr="00212944">
              <w:rPr>
                <w:rFonts w:ascii="Cambria" w:hAnsi="Cambria"/>
                <w:bCs/>
                <w:sz w:val="20"/>
                <w:szCs w:val="20"/>
                <w:lang w:val="es-PE"/>
              </w:rPr>
              <w:t xml:space="preserve"> 19 de diciembre de 2022</w:t>
            </w:r>
          </w:p>
        </w:tc>
      </w:tr>
    </w:tbl>
    <w:p w14:paraId="21DAA666" w14:textId="77777777" w:rsidR="003239B8" w:rsidRPr="00212944" w:rsidRDefault="003239B8" w:rsidP="003239B8">
      <w:pPr>
        <w:spacing w:before="240" w:after="240"/>
        <w:ind w:firstLine="720"/>
        <w:jc w:val="both"/>
        <w:rPr>
          <w:rFonts w:asciiTheme="majorHAnsi" w:hAnsiTheme="majorHAnsi"/>
          <w:b/>
          <w:bCs/>
          <w:sz w:val="20"/>
          <w:szCs w:val="20"/>
          <w:lang w:val="es-ES"/>
        </w:rPr>
      </w:pPr>
      <w:r w:rsidRPr="00212944">
        <w:rPr>
          <w:rFonts w:asciiTheme="majorHAnsi" w:hAnsiTheme="majorHAnsi"/>
          <w:b/>
          <w:bCs/>
          <w:sz w:val="20"/>
          <w:szCs w:val="20"/>
          <w:lang w:val="es-ES"/>
        </w:rPr>
        <w:t xml:space="preserve">III. </w:t>
      </w:r>
      <w:r w:rsidRPr="00212944">
        <w:rPr>
          <w:rFonts w:asciiTheme="majorHAnsi" w:hAnsiTheme="majorHAnsi"/>
          <w:b/>
          <w:bCs/>
          <w:sz w:val="20"/>
          <w:szCs w:val="20"/>
          <w:lang w:val="es-ES"/>
        </w:rPr>
        <w:tab/>
        <w:t>COMPETENCIA</w:t>
      </w:r>
      <w:r w:rsidR="00EE00E9" w:rsidRPr="00212944">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0"/>
        <w:gridCol w:w="5682"/>
      </w:tblGrid>
      <w:tr w:rsidR="003239B8" w:rsidRPr="0088642B" w14:paraId="072532AD" w14:textId="77777777" w:rsidTr="004A6A54">
        <w:trPr>
          <w:cantSplit/>
        </w:trPr>
        <w:tc>
          <w:tcPr>
            <w:tcW w:w="3600" w:type="dxa"/>
            <w:tcBorders>
              <w:top w:val="single" w:sz="4" w:space="0" w:color="auto"/>
              <w:bottom w:val="single" w:sz="6" w:space="0" w:color="auto"/>
            </w:tcBorders>
            <w:shd w:val="clear" w:color="auto" w:fill="386294"/>
            <w:vAlign w:val="center"/>
          </w:tcPr>
          <w:p w14:paraId="5C2E4B34" w14:textId="77777777" w:rsidR="003239B8" w:rsidRPr="00212944" w:rsidRDefault="003239B8" w:rsidP="00010BC7">
            <w:pPr>
              <w:jc w:val="center"/>
              <w:rPr>
                <w:rFonts w:ascii="Cambria" w:hAnsi="Cambria"/>
                <w:b/>
                <w:bCs/>
                <w:i/>
                <w:color w:val="FFFFFF" w:themeColor="background1"/>
                <w:sz w:val="20"/>
                <w:szCs w:val="20"/>
              </w:rPr>
            </w:pPr>
            <w:r w:rsidRPr="00212944">
              <w:rPr>
                <w:rFonts w:ascii="Cambria" w:hAnsi="Cambria"/>
                <w:b/>
                <w:bCs/>
                <w:color w:val="FFFFFF" w:themeColor="background1"/>
                <w:sz w:val="20"/>
                <w:szCs w:val="20"/>
              </w:rPr>
              <w:t>Competencia</w:t>
            </w:r>
            <w:r w:rsidRPr="00212944">
              <w:rPr>
                <w:rFonts w:ascii="Cambria" w:hAnsi="Cambria"/>
                <w:b/>
                <w:bCs/>
                <w:i/>
                <w:color w:val="FFFFFF" w:themeColor="background1"/>
                <w:sz w:val="20"/>
                <w:szCs w:val="20"/>
              </w:rPr>
              <w:t xml:space="preserve"> Ratione personae:</w:t>
            </w:r>
          </w:p>
        </w:tc>
        <w:tc>
          <w:tcPr>
            <w:tcW w:w="5760" w:type="dxa"/>
            <w:vAlign w:val="center"/>
          </w:tcPr>
          <w:p w14:paraId="7707F3E9" w14:textId="71E21165" w:rsidR="003239B8" w:rsidRPr="00212944" w:rsidRDefault="00BA5E86" w:rsidP="00010BC7">
            <w:pPr>
              <w:rPr>
                <w:rFonts w:ascii="Cambria" w:hAnsi="Cambria"/>
                <w:bCs/>
                <w:sz w:val="20"/>
                <w:szCs w:val="20"/>
                <w:lang w:val="es-PE"/>
              </w:rPr>
            </w:pPr>
            <w:r w:rsidRPr="00212944">
              <w:rPr>
                <w:rFonts w:ascii="Cambria" w:hAnsi="Cambria"/>
                <w:bCs/>
                <w:sz w:val="20"/>
                <w:szCs w:val="20"/>
                <w:lang w:val="es-PE"/>
              </w:rPr>
              <w:t>Sí, en todas las peticiones</w:t>
            </w:r>
          </w:p>
        </w:tc>
      </w:tr>
      <w:tr w:rsidR="003239B8" w:rsidRPr="0088642B" w14:paraId="4B8802DA" w14:textId="77777777" w:rsidTr="004A6A54">
        <w:trPr>
          <w:cantSplit/>
        </w:trPr>
        <w:tc>
          <w:tcPr>
            <w:tcW w:w="3600" w:type="dxa"/>
            <w:tcBorders>
              <w:top w:val="single" w:sz="6" w:space="0" w:color="auto"/>
              <w:bottom w:val="single" w:sz="6" w:space="0" w:color="auto"/>
            </w:tcBorders>
            <w:shd w:val="clear" w:color="auto" w:fill="386294"/>
            <w:vAlign w:val="center"/>
          </w:tcPr>
          <w:p w14:paraId="3915C23B" w14:textId="77777777" w:rsidR="003239B8" w:rsidRPr="00212944" w:rsidRDefault="003239B8" w:rsidP="00010BC7">
            <w:pPr>
              <w:jc w:val="center"/>
              <w:rPr>
                <w:rFonts w:ascii="Cambria" w:hAnsi="Cambria"/>
                <w:b/>
                <w:bCs/>
                <w:color w:val="FFFFFF" w:themeColor="background1"/>
                <w:sz w:val="20"/>
                <w:szCs w:val="20"/>
              </w:rPr>
            </w:pPr>
            <w:r w:rsidRPr="00212944">
              <w:rPr>
                <w:rFonts w:ascii="Cambria" w:hAnsi="Cambria"/>
                <w:b/>
                <w:bCs/>
                <w:color w:val="FFFFFF" w:themeColor="background1"/>
                <w:sz w:val="20"/>
                <w:szCs w:val="20"/>
              </w:rPr>
              <w:t>Competencia</w:t>
            </w:r>
            <w:r w:rsidRPr="00212944">
              <w:rPr>
                <w:rFonts w:ascii="Cambria" w:hAnsi="Cambria"/>
                <w:b/>
                <w:bCs/>
                <w:i/>
                <w:color w:val="FFFFFF" w:themeColor="background1"/>
                <w:sz w:val="20"/>
                <w:szCs w:val="20"/>
              </w:rPr>
              <w:t xml:space="preserve"> Ratione loci</w:t>
            </w:r>
            <w:r w:rsidRPr="00212944">
              <w:rPr>
                <w:rFonts w:ascii="Cambria" w:hAnsi="Cambria"/>
                <w:b/>
                <w:bCs/>
                <w:color w:val="FFFFFF" w:themeColor="background1"/>
                <w:sz w:val="20"/>
                <w:szCs w:val="20"/>
              </w:rPr>
              <w:t>:</w:t>
            </w:r>
          </w:p>
        </w:tc>
        <w:tc>
          <w:tcPr>
            <w:tcW w:w="5760" w:type="dxa"/>
            <w:vAlign w:val="center"/>
          </w:tcPr>
          <w:p w14:paraId="12C931CB" w14:textId="31E33601" w:rsidR="003239B8" w:rsidRPr="00212944" w:rsidRDefault="00BA5E86" w:rsidP="00010BC7">
            <w:pPr>
              <w:rPr>
                <w:rFonts w:ascii="Cambria" w:hAnsi="Cambria"/>
                <w:bCs/>
                <w:sz w:val="20"/>
                <w:szCs w:val="20"/>
                <w:lang w:val="es-PE"/>
              </w:rPr>
            </w:pPr>
            <w:r w:rsidRPr="00212944">
              <w:rPr>
                <w:rFonts w:ascii="Cambria" w:hAnsi="Cambria"/>
                <w:bCs/>
                <w:sz w:val="20"/>
                <w:szCs w:val="20"/>
                <w:lang w:val="es-PE"/>
              </w:rPr>
              <w:t>Sí, en todas las peticiones</w:t>
            </w:r>
          </w:p>
        </w:tc>
      </w:tr>
      <w:tr w:rsidR="003239B8" w:rsidRPr="0088642B" w14:paraId="4362FDF3" w14:textId="77777777" w:rsidTr="004A6A54">
        <w:trPr>
          <w:cantSplit/>
        </w:trPr>
        <w:tc>
          <w:tcPr>
            <w:tcW w:w="3600" w:type="dxa"/>
            <w:tcBorders>
              <w:top w:val="single" w:sz="6" w:space="0" w:color="auto"/>
              <w:bottom w:val="single" w:sz="6" w:space="0" w:color="auto"/>
            </w:tcBorders>
            <w:shd w:val="clear" w:color="auto" w:fill="386294"/>
            <w:vAlign w:val="center"/>
          </w:tcPr>
          <w:p w14:paraId="3BE23153" w14:textId="77777777" w:rsidR="003239B8" w:rsidRPr="00212944" w:rsidRDefault="003239B8" w:rsidP="00010BC7">
            <w:pPr>
              <w:jc w:val="center"/>
              <w:rPr>
                <w:rFonts w:ascii="Cambria" w:hAnsi="Cambria"/>
                <w:b/>
                <w:bCs/>
                <w:color w:val="FFFFFF" w:themeColor="background1"/>
                <w:sz w:val="20"/>
                <w:szCs w:val="20"/>
              </w:rPr>
            </w:pPr>
            <w:r w:rsidRPr="00212944">
              <w:rPr>
                <w:rFonts w:ascii="Cambria" w:hAnsi="Cambria"/>
                <w:b/>
                <w:bCs/>
                <w:color w:val="FFFFFF" w:themeColor="background1"/>
                <w:sz w:val="20"/>
                <w:szCs w:val="20"/>
              </w:rPr>
              <w:t>Competencia</w:t>
            </w:r>
            <w:r w:rsidRPr="00212944">
              <w:rPr>
                <w:rFonts w:ascii="Cambria" w:hAnsi="Cambria"/>
                <w:b/>
                <w:bCs/>
                <w:i/>
                <w:color w:val="FFFFFF" w:themeColor="background1"/>
                <w:sz w:val="20"/>
                <w:szCs w:val="20"/>
              </w:rPr>
              <w:t xml:space="preserve"> Ratione temporis</w:t>
            </w:r>
            <w:r w:rsidRPr="00212944">
              <w:rPr>
                <w:rFonts w:ascii="Cambria" w:hAnsi="Cambria"/>
                <w:b/>
                <w:bCs/>
                <w:color w:val="FFFFFF" w:themeColor="background1"/>
                <w:sz w:val="20"/>
                <w:szCs w:val="20"/>
              </w:rPr>
              <w:t>:</w:t>
            </w:r>
          </w:p>
        </w:tc>
        <w:tc>
          <w:tcPr>
            <w:tcW w:w="5760" w:type="dxa"/>
            <w:vAlign w:val="center"/>
          </w:tcPr>
          <w:p w14:paraId="6F8B059B" w14:textId="0A6E9007" w:rsidR="003239B8" w:rsidRPr="00212944" w:rsidRDefault="00BA5E86" w:rsidP="00010BC7">
            <w:pPr>
              <w:rPr>
                <w:rFonts w:ascii="Cambria" w:hAnsi="Cambria"/>
                <w:bCs/>
                <w:sz w:val="20"/>
                <w:szCs w:val="20"/>
                <w:lang w:val="es-PE"/>
              </w:rPr>
            </w:pPr>
            <w:r w:rsidRPr="00212944">
              <w:rPr>
                <w:rFonts w:ascii="Cambria" w:hAnsi="Cambria"/>
                <w:bCs/>
                <w:sz w:val="20"/>
                <w:szCs w:val="20"/>
                <w:lang w:val="es-PE"/>
              </w:rPr>
              <w:t>Sí, en todas las peticiones</w:t>
            </w:r>
          </w:p>
        </w:tc>
      </w:tr>
      <w:tr w:rsidR="003239B8" w:rsidRPr="0088642B" w14:paraId="30ABEC3E" w14:textId="77777777" w:rsidTr="004A6A54">
        <w:trPr>
          <w:cantSplit/>
        </w:trPr>
        <w:tc>
          <w:tcPr>
            <w:tcW w:w="3600" w:type="dxa"/>
            <w:tcBorders>
              <w:top w:val="single" w:sz="6" w:space="0" w:color="auto"/>
              <w:bottom w:val="single" w:sz="6" w:space="0" w:color="auto"/>
            </w:tcBorders>
            <w:shd w:val="clear" w:color="auto" w:fill="386294"/>
            <w:vAlign w:val="center"/>
          </w:tcPr>
          <w:p w14:paraId="47B529D2" w14:textId="77777777" w:rsidR="003239B8" w:rsidRPr="00212944" w:rsidRDefault="003239B8" w:rsidP="00010BC7">
            <w:pPr>
              <w:jc w:val="center"/>
              <w:rPr>
                <w:rFonts w:ascii="Cambria" w:hAnsi="Cambria"/>
                <w:b/>
                <w:bCs/>
                <w:color w:val="FFFFFF" w:themeColor="background1"/>
                <w:sz w:val="20"/>
                <w:szCs w:val="20"/>
              </w:rPr>
            </w:pPr>
            <w:r w:rsidRPr="00212944">
              <w:rPr>
                <w:rFonts w:ascii="Cambria" w:hAnsi="Cambria"/>
                <w:b/>
                <w:bCs/>
                <w:color w:val="FFFFFF" w:themeColor="background1"/>
                <w:sz w:val="20"/>
                <w:szCs w:val="20"/>
              </w:rPr>
              <w:t>Competencia</w:t>
            </w:r>
            <w:r w:rsidRPr="00212944">
              <w:rPr>
                <w:rFonts w:ascii="Cambria" w:hAnsi="Cambria"/>
                <w:b/>
                <w:bCs/>
                <w:i/>
                <w:color w:val="FFFFFF" w:themeColor="background1"/>
                <w:sz w:val="20"/>
                <w:szCs w:val="20"/>
              </w:rPr>
              <w:t xml:space="preserve"> Ratione materia</w:t>
            </w:r>
            <w:r w:rsidR="00EE00E9" w:rsidRPr="00212944">
              <w:rPr>
                <w:rFonts w:ascii="Cambria" w:hAnsi="Cambria"/>
                <w:b/>
                <w:bCs/>
                <w:i/>
                <w:color w:val="FFFFFF" w:themeColor="background1"/>
                <w:sz w:val="20"/>
                <w:szCs w:val="20"/>
              </w:rPr>
              <w:t>e</w:t>
            </w:r>
            <w:r w:rsidRPr="00212944">
              <w:rPr>
                <w:rFonts w:ascii="Cambria" w:hAnsi="Cambria"/>
                <w:b/>
                <w:bCs/>
                <w:color w:val="FFFFFF" w:themeColor="background1"/>
                <w:sz w:val="20"/>
                <w:szCs w:val="20"/>
              </w:rPr>
              <w:t>:</w:t>
            </w:r>
          </w:p>
        </w:tc>
        <w:tc>
          <w:tcPr>
            <w:tcW w:w="5760" w:type="dxa"/>
            <w:vAlign w:val="center"/>
          </w:tcPr>
          <w:p w14:paraId="0C122F44" w14:textId="66A830FD" w:rsidR="003239B8" w:rsidRPr="00212944" w:rsidRDefault="00717543" w:rsidP="00010BC7">
            <w:pPr>
              <w:jc w:val="both"/>
              <w:rPr>
                <w:rFonts w:ascii="Cambria" w:hAnsi="Cambria"/>
                <w:bCs/>
                <w:sz w:val="20"/>
                <w:szCs w:val="20"/>
                <w:lang w:val="es-ES"/>
              </w:rPr>
            </w:pPr>
            <w:r w:rsidRPr="00212944">
              <w:rPr>
                <w:rFonts w:ascii="Cambria" w:hAnsi="Cambria"/>
                <w:bCs/>
                <w:sz w:val="20"/>
                <w:szCs w:val="20"/>
                <w:lang w:val="es-ES"/>
              </w:rPr>
              <w:t>Sí, Convención Americana (depósito del instrumento de ratificación realizado el 19 de julio de 1979)</w:t>
            </w:r>
            <w:r w:rsidR="00AB73E8">
              <w:rPr>
                <w:rFonts w:ascii="Cambria" w:hAnsi="Cambria"/>
                <w:bCs/>
                <w:sz w:val="20"/>
                <w:szCs w:val="20"/>
                <w:lang w:val="es-ES"/>
              </w:rPr>
              <w:t xml:space="preserve">; </w:t>
            </w:r>
            <w:r w:rsidR="00AB73E8" w:rsidRPr="001941FC">
              <w:rPr>
                <w:rFonts w:ascii="Cambria" w:hAnsi="Cambria"/>
                <w:bCs/>
                <w:sz w:val="20"/>
                <w:szCs w:val="20"/>
                <w:lang w:val="es-ES"/>
              </w:rPr>
              <w:t>y</w:t>
            </w:r>
            <w:r w:rsidR="001F4523" w:rsidRPr="001941FC">
              <w:rPr>
                <w:rFonts w:ascii="Cambria" w:hAnsi="Cambria"/>
                <w:bCs/>
                <w:sz w:val="20"/>
                <w:szCs w:val="20"/>
                <w:lang w:val="es-ES"/>
              </w:rPr>
              <w:t>, en los términos de la sección VIII de este informe,</w:t>
            </w:r>
            <w:r w:rsidR="00AB73E8" w:rsidRPr="001941FC">
              <w:rPr>
                <w:rFonts w:ascii="Cambria" w:hAnsi="Cambria"/>
                <w:bCs/>
                <w:sz w:val="20"/>
                <w:szCs w:val="20"/>
                <w:lang w:val="es-ES"/>
              </w:rPr>
              <w:t xml:space="preserve"> </w:t>
            </w:r>
            <w:r w:rsidR="001F4523" w:rsidRPr="001941FC">
              <w:rPr>
                <w:rFonts w:ascii="Cambria" w:hAnsi="Cambria"/>
                <w:bCs/>
                <w:sz w:val="20"/>
                <w:szCs w:val="20"/>
                <w:lang w:val="es-ES"/>
              </w:rPr>
              <w:t xml:space="preserve">la </w:t>
            </w:r>
            <w:r w:rsidR="00AB73E8" w:rsidRPr="001941FC">
              <w:rPr>
                <w:rFonts w:ascii="Cambria" w:hAnsi="Cambria"/>
                <w:bCs/>
                <w:sz w:val="20"/>
                <w:szCs w:val="20"/>
                <w:lang w:val="es-ES"/>
              </w:rPr>
              <w:t>Convención Interamericana sobre la Protección de los Derechos Humanos de las Personas Mayores (depósito del instrumento de ratificación realizado el 17 de mayo de 2017)</w:t>
            </w:r>
          </w:p>
        </w:tc>
      </w:tr>
    </w:tbl>
    <w:p w14:paraId="4E92C444" w14:textId="140CB1E7" w:rsidR="003239B8" w:rsidRPr="009B11FC" w:rsidRDefault="003239B8" w:rsidP="003239B8">
      <w:pPr>
        <w:spacing w:before="240" w:after="240"/>
        <w:ind w:firstLine="720"/>
        <w:jc w:val="both"/>
        <w:rPr>
          <w:rFonts w:asciiTheme="majorHAnsi" w:hAnsiTheme="majorHAnsi"/>
          <w:b/>
          <w:bCs/>
          <w:sz w:val="20"/>
          <w:szCs w:val="20"/>
          <w:lang w:val="es-ES"/>
        </w:rPr>
      </w:pPr>
      <w:r w:rsidRPr="00212944">
        <w:rPr>
          <w:rFonts w:asciiTheme="majorHAnsi" w:hAnsiTheme="majorHAnsi"/>
          <w:b/>
          <w:bCs/>
          <w:sz w:val="20"/>
          <w:szCs w:val="20"/>
          <w:lang w:val="es-ES"/>
        </w:rPr>
        <w:t xml:space="preserve">IV. </w:t>
      </w:r>
      <w:r w:rsidRPr="00212944">
        <w:rPr>
          <w:rFonts w:asciiTheme="majorHAnsi" w:hAnsiTheme="majorHAnsi"/>
          <w:b/>
          <w:bCs/>
          <w:sz w:val="20"/>
          <w:szCs w:val="20"/>
          <w:lang w:val="es-ES"/>
        </w:rPr>
        <w:tab/>
      </w:r>
      <w:r w:rsidR="00EE00E9" w:rsidRPr="00212944">
        <w:rPr>
          <w:rFonts w:asciiTheme="majorHAnsi" w:hAnsiTheme="majorHAnsi"/>
          <w:b/>
          <w:bCs/>
          <w:sz w:val="20"/>
          <w:szCs w:val="20"/>
          <w:lang w:val="es-ES"/>
        </w:rPr>
        <w:t>DUPLICACIÓN</w:t>
      </w:r>
      <w:r w:rsidR="00EE00E9" w:rsidRPr="00212944">
        <w:rPr>
          <w:rFonts w:asciiTheme="majorHAnsi" w:hAnsiTheme="majorHAnsi"/>
          <w:b/>
          <w:bCs/>
          <w:color w:val="FFFFFF" w:themeColor="background1"/>
          <w:sz w:val="20"/>
          <w:szCs w:val="20"/>
          <w:lang w:val="es-ES"/>
        </w:rPr>
        <w:t xml:space="preserve"> </w:t>
      </w:r>
      <w:r w:rsidR="00EE00E9" w:rsidRPr="00212944">
        <w:rPr>
          <w:rFonts w:asciiTheme="majorHAnsi" w:hAnsiTheme="majorHAnsi"/>
          <w:b/>
          <w:bCs/>
          <w:sz w:val="20"/>
          <w:szCs w:val="20"/>
          <w:lang w:val="es-ES"/>
        </w:rPr>
        <w:t>DE PROCEDIMIENTOS Y COSA JUZGADA</w:t>
      </w:r>
      <w:r w:rsidR="00EE00E9" w:rsidRPr="00212944">
        <w:rPr>
          <w:rFonts w:asciiTheme="majorHAnsi" w:hAnsiTheme="majorHAnsi"/>
          <w:b/>
          <w:bCs/>
          <w:i/>
          <w:sz w:val="20"/>
          <w:szCs w:val="20"/>
          <w:lang w:val="es-ES"/>
        </w:rPr>
        <w:t xml:space="preserve"> </w:t>
      </w:r>
      <w:r w:rsidR="00EE00E9" w:rsidRPr="00212944">
        <w:rPr>
          <w:rFonts w:asciiTheme="majorHAnsi" w:hAnsiTheme="majorHAnsi"/>
          <w:b/>
          <w:bCs/>
          <w:sz w:val="20"/>
          <w:szCs w:val="20"/>
          <w:lang w:val="es-ES"/>
        </w:rPr>
        <w:t>INTERNACIONAL</w:t>
      </w:r>
      <w:r w:rsidR="005D38F9" w:rsidRPr="00212944">
        <w:rPr>
          <w:rFonts w:asciiTheme="majorHAnsi" w:hAnsiTheme="majorHAnsi"/>
          <w:b/>
          <w:bCs/>
          <w:sz w:val="20"/>
          <w:szCs w:val="20"/>
          <w:lang w:val="es-ES"/>
        </w:rPr>
        <w:t>,</w:t>
      </w:r>
      <w:r w:rsidRPr="00212944">
        <w:rPr>
          <w:rFonts w:asciiTheme="majorHAnsi" w:hAnsiTheme="majorHAnsi"/>
          <w:b/>
          <w:bCs/>
          <w:sz w:val="20"/>
          <w:szCs w:val="20"/>
          <w:lang w:val="es-ES"/>
        </w:rPr>
        <w:t xml:space="preserve"> CARACTERIZACIÓN, </w:t>
      </w:r>
      <w:r w:rsidRPr="00212944">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5"/>
        <w:gridCol w:w="5677"/>
      </w:tblGrid>
      <w:tr w:rsidR="00EE00E9" w:rsidRPr="0088642B" w14:paraId="1231C988" w14:textId="77777777" w:rsidTr="00CE005B">
        <w:trPr>
          <w:cantSplit/>
        </w:trPr>
        <w:tc>
          <w:tcPr>
            <w:tcW w:w="3565" w:type="dxa"/>
            <w:tcBorders>
              <w:top w:val="single" w:sz="4" w:space="0" w:color="auto"/>
              <w:bottom w:val="single" w:sz="6" w:space="0" w:color="auto"/>
            </w:tcBorders>
            <w:shd w:val="clear" w:color="auto" w:fill="386294"/>
            <w:vAlign w:val="center"/>
          </w:tcPr>
          <w:p w14:paraId="6F8031F4" w14:textId="77777777" w:rsidR="00EE00E9" w:rsidRPr="009B11FC" w:rsidRDefault="00EE00E9" w:rsidP="00010BC7">
            <w:pPr>
              <w:jc w:val="center"/>
              <w:rPr>
                <w:rFonts w:ascii="Cambria" w:hAnsi="Cambria"/>
                <w:b/>
                <w:bCs/>
                <w:color w:val="FFFFFF" w:themeColor="background1"/>
                <w:sz w:val="20"/>
                <w:szCs w:val="20"/>
                <w:lang w:val="es-ES"/>
              </w:rPr>
            </w:pPr>
            <w:r w:rsidRPr="009B11FC">
              <w:rPr>
                <w:rFonts w:ascii="Cambria" w:hAnsi="Cambria"/>
                <w:b/>
                <w:bCs/>
                <w:color w:val="FFFFFF" w:themeColor="background1"/>
                <w:sz w:val="20"/>
                <w:szCs w:val="20"/>
                <w:lang w:val="es-ES"/>
              </w:rPr>
              <w:t>Duplicación de procedimientos y cosa juzgada internacional:</w:t>
            </w:r>
          </w:p>
        </w:tc>
        <w:tc>
          <w:tcPr>
            <w:tcW w:w="5677" w:type="dxa"/>
            <w:vAlign w:val="center"/>
          </w:tcPr>
          <w:p w14:paraId="240941E6" w14:textId="270BB96E" w:rsidR="00EE00E9" w:rsidRPr="009B11FC" w:rsidRDefault="00BA5E86" w:rsidP="00010BC7">
            <w:pPr>
              <w:jc w:val="both"/>
              <w:rPr>
                <w:rFonts w:ascii="Cambria" w:hAnsi="Cambria"/>
                <w:bCs/>
                <w:sz w:val="20"/>
                <w:szCs w:val="20"/>
                <w:lang w:val="es-ES"/>
              </w:rPr>
            </w:pPr>
            <w:r w:rsidRPr="009B11FC">
              <w:rPr>
                <w:rFonts w:ascii="Cambria" w:hAnsi="Cambria"/>
                <w:bCs/>
                <w:sz w:val="20"/>
                <w:szCs w:val="20"/>
                <w:lang w:val="es-PE"/>
              </w:rPr>
              <w:t>No, en ninguna de las peticiones</w:t>
            </w:r>
          </w:p>
        </w:tc>
      </w:tr>
      <w:tr w:rsidR="003239B8" w:rsidRPr="0088642B" w14:paraId="15FAA7D1" w14:textId="77777777" w:rsidTr="00CE005B">
        <w:trPr>
          <w:cantSplit/>
        </w:trPr>
        <w:tc>
          <w:tcPr>
            <w:tcW w:w="3565" w:type="dxa"/>
            <w:tcBorders>
              <w:top w:val="single" w:sz="4" w:space="0" w:color="auto"/>
              <w:bottom w:val="single" w:sz="6" w:space="0" w:color="auto"/>
            </w:tcBorders>
            <w:shd w:val="clear" w:color="auto" w:fill="386294"/>
            <w:vAlign w:val="center"/>
          </w:tcPr>
          <w:p w14:paraId="1B0D29FF" w14:textId="77777777" w:rsidR="003239B8" w:rsidRPr="009B11FC" w:rsidRDefault="003239B8" w:rsidP="00010BC7">
            <w:pPr>
              <w:jc w:val="center"/>
              <w:rPr>
                <w:rFonts w:ascii="Cambria" w:hAnsi="Cambria"/>
                <w:b/>
                <w:bCs/>
                <w:i/>
                <w:color w:val="FFFFFF" w:themeColor="background1"/>
                <w:sz w:val="20"/>
                <w:szCs w:val="20"/>
              </w:rPr>
            </w:pPr>
            <w:r w:rsidRPr="009B11FC">
              <w:rPr>
                <w:rFonts w:ascii="Cambria" w:hAnsi="Cambria"/>
                <w:b/>
                <w:bCs/>
                <w:color w:val="FFFFFF" w:themeColor="background1"/>
                <w:sz w:val="20"/>
                <w:szCs w:val="20"/>
              </w:rPr>
              <w:t>Derechos declarados admisibles</w:t>
            </w:r>
            <w:r w:rsidRPr="009B11FC">
              <w:rPr>
                <w:rFonts w:ascii="Cambria" w:hAnsi="Cambria"/>
                <w:b/>
                <w:bCs/>
                <w:i/>
                <w:color w:val="FFFFFF" w:themeColor="background1"/>
                <w:sz w:val="20"/>
                <w:szCs w:val="20"/>
              </w:rPr>
              <w:t>:</w:t>
            </w:r>
          </w:p>
        </w:tc>
        <w:tc>
          <w:tcPr>
            <w:tcW w:w="5677" w:type="dxa"/>
            <w:vAlign w:val="center"/>
          </w:tcPr>
          <w:p w14:paraId="6310C8F7" w14:textId="59DCE7CE" w:rsidR="003239B8" w:rsidRPr="00BD2AE6" w:rsidRDefault="00C939E7" w:rsidP="00010BC7">
            <w:pPr>
              <w:jc w:val="both"/>
              <w:rPr>
                <w:rFonts w:ascii="Cambria" w:hAnsi="Cambria"/>
                <w:bCs/>
                <w:sz w:val="20"/>
                <w:szCs w:val="20"/>
                <w:lang w:val="es-PE"/>
              </w:rPr>
            </w:pPr>
            <w:r>
              <w:rPr>
                <w:rFonts w:asciiTheme="majorHAnsi" w:hAnsiTheme="majorHAnsi" w:cs="Cambria"/>
                <w:color w:val="000000"/>
                <w:sz w:val="20"/>
                <w:szCs w:val="20"/>
                <w:lang w:val="es-PE" w:eastAsia="es-ES"/>
              </w:rPr>
              <w:t>A</w:t>
            </w:r>
            <w:r w:rsidRPr="00AE3590">
              <w:rPr>
                <w:rFonts w:asciiTheme="majorHAnsi" w:hAnsiTheme="majorHAnsi" w:cs="Cambria"/>
                <w:color w:val="000000"/>
                <w:sz w:val="20"/>
                <w:szCs w:val="20"/>
                <w:lang w:val="es-PE" w:eastAsia="es-ES"/>
              </w:rPr>
              <w:t xml:space="preserve">rtículos 8 (garantías judiciales), 23 (derechos políticos), 24 (igualdad ante la ley), 25 (protección judicial) y </w:t>
            </w:r>
            <w:r w:rsidRPr="00AE3590">
              <w:rPr>
                <w:rFonts w:asciiTheme="majorHAnsi" w:hAnsiTheme="majorHAnsi"/>
                <w:sz w:val="20"/>
                <w:szCs w:val="20"/>
                <w:lang w:val="es-PE"/>
              </w:rPr>
              <w:t>26 (</w:t>
            </w:r>
            <w:r w:rsidR="00646562">
              <w:rPr>
                <w:rFonts w:asciiTheme="majorHAnsi" w:hAnsiTheme="majorHAnsi"/>
                <w:sz w:val="20"/>
                <w:szCs w:val="20"/>
                <w:lang w:val="es-PE"/>
              </w:rPr>
              <w:t>derechos económicos, sociales y culturales</w:t>
            </w:r>
            <w:r w:rsidRPr="00AE3590">
              <w:rPr>
                <w:rFonts w:asciiTheme="majorHAnsi" w:hAnsiTheme="majorHAnsi"/>
                <w:sz w:val="20"/>
                <w:szCs w:val="20"/>
                <w:lang w:val="es-PE"/>
              </w:rPr>
              <w:t>)</w:t>
            </w:r>
            <w:r w:rsidR="00646562">
              <w:rPr>
                <w:rFonts w:asciiTheme="majorHAnsi" w:hAnsiTheme="majorHAnsi"/>
                <w:sz w:val="20"/>
                <w:szCs w:val="20"/>
                <w:lang w:val="es-PE"/>
              </w:rPr>
              <w:t xml:space="preserve"> de la</w:t>
            </w:r>
            <w:r w:rsidR="00BD2AE6" w:rsidRPr="00BD2AE6">
              <w:rPr>
                <w:rFonts w:ascii="Cambria" w:hAnsi="Cambria"/>
                <w:bCs/>
                <w:sz w:val="20"/>
                <w:szCs w:val="20"/>
                <w:lang w:val="es-PE"/>
              </w:rPr>
              <w:t xml:space="preserve"> Convención Americana</w:t>
            </w:r>
            <w:r w:rsidR="008979DD">
              <w:rPr>
                <w:rFonts w:ascii="Cambria" w:hAnsi="Cambria"/>
                <w:bCs/>
                <w:sz w:val="20"/>
                <w:szCs w:val="20"/>
                <w:lang w:val="es-PE"/>
              </w:rPr>
              <w:t>, en relación con su artículo 1.1 (obligación de respetar los derechos)</w:t>
            </w:r>
          </w:p>
        </w:tc>
      </w:tr>
      <w:tr w:rsidR="003239B8" w:rsidRPr="0088642B" w14:paraId="4EFD141E" w14:textId="77777777" w:rsidTr="00CE005B">
        <w:trPr>
          <w:cantSplit/>
        </w:trPr>
        <w:tc>
          <w:tcPr>
            <w:tcW w:w="3565" w:type="dxa"/>
            <w:tcBorders>
              <w:top w:val="single" w:sz="6" w:space="0" w:color="auto"/>
              <w:bottom w:val="single" w:sz="6" w:space="0" w:color="auto"/>
            </w:tcBorders>
            <w:shd w:val="clear" w:color="auto" w:fill="386294"/>
            <w:vAlign w:val="center"/>
          </w:tcPr>
          <w:p w14:paraId="4C04A89C" w14:textId="77777777" w:rsidR="003239B8" w:rsidRPr="009B11FC" w:rsidRDefault="003239B8" w:rsidP="00010BC7">
            <w:pPr>
              <w:jc w:val="center"/>
              <w:rPr>
                <w:rFonts w:ascii="Cambria" w:hAnsi="Cambria"/>
                <w:b/>
                <w:bCs/>
                <w:color w:val="FFFFFF" w:themeColor="background1"/>
                <w:sz w:val="20"/>
                <w:szCs w:val="20"/>
                <w:lang w:val="es-ES"/>
              </w:rPr>
            </w:pPr>
            <w:r w:rsidRPr="009B11FC">
              <w:rPr>
                <w:rFonts w:ascii="Cambria" w:hAnsi="Cambria"/>
                <w:b/>
                <w:bCs/>
                <w:color w:val="FFFFFF" w:themeColor="background1"/>
                <w:sz w:val="20"/>
                <w:szCs w:val="20"/>
                <w:lang w:val="es-ES"/>
              </w:rPr>
              <w:t>Agotamiento de recursos internos</w:t>
            </w:r>
            <w:r w:rsidR="00EE00E9" w:rsidRPr="009B11FC">
              <w:rPr>
                <w:rFonts w:ascii="Cambria" w:hAnsi="Cambria"/>
                <w:b/>
                <w:bCs/>
                <w:color w:val="FFFFFF" w:themeColor="background1"/>
                <w:sz w:val="20"/>
                <w:szCs w:val="20"/>
                <w:lang w:val="es-ES"/>
              </w:rPr>
              <w:t xml:space="preserve"> o procedencia de una excepción</w:t>
            </w:r>
            <w:r w:rsidRPr="009B11FC">
              <w:rPr>
                <w:rFonts w:ascii="Cambria" w:hAnsi="Cambria"/>
                <w:b/>
                <w:bCs/>
                <w:color w:val="FFFFFF" w:themeColor="background1"/>
                <w:sz w:val="20"/>
                <w:szCs w:val="20"/>
                <w:lang w:val="es-ES"/>
              </w:rPr>
              <w:t>:</w:t>
            </w:r>
          </w:p>
        </w:tc>
        <w:tc>
          <w:tcPr>
            <w:tcW w:w="5677" w:type="dxa"/>
            <w:vAlign w:val="center"/>
          </w:tcPr>
          <w:p w14:paraId="69C53E8A" w14:textId="785F3C7C" w:rsidR="003239B8" w:rsidRPr="00BD2AE6" w:rsidRDefault="00AE17AB" w:rsidP="00010BC7">
            <w:pPr>
              <w:rPr>
                <w:rFonts w:ascii="Cambria" w:hAnsi="Cambria"/>
                <w:bCs/>
                <w:sz w:val="20"/>
                <w:szCs w:val="20"/>
                <w:lang w:val="es-PE"/>
              </w:rPr>
            </w:pPr>
            <w:r w:rsidRPr="00BD2AE6">
              <w:rPr>
                <w:rFonts w:ascii="Cambria" w:hAnsi="Cambria"/>
                <w:bCs/>
                <w:sz w:val="20"/>
                <w:szCs w:val="20"/>
                <w:lang w:val="es-PE"/>
              </w:rPr>
              <w:t>Sí, en los términos de la sección VI</w:t>
            </w:r>
            <w:r w:rsidR="00986F76">
              <w:rPr>
                <w:rFonts w:ascii="Cambria" w:hAnsi="Cambria"/>
                <w:bCs/>
                <w:sz w:val="20"/>
                <w:szCs w:val="20"/>
                <w:lang w:val="es-PE"/>
              </w:rPr>
              <w:t>I</w:t>
            </w:r>
          </w:p>
        </w:tc>
      </w:tr>
      <w:tr w:rsidR="003239B8" w:rsidRPr="0088642B" w14:paraId="52B5BA17" w14:textId="77777777" w:rsidTr="00CE005B">
        <w:trPr>
          <w:cantSplit/>
        </w:trPr>
        <w:tc>
          <w:tcPr>
            <w:tcW w:w="3565" w:type="dxa"/>
            <w:tcBorders>
              <w:top w:val="single" w:sz="6" w:space="0" w:color="auto"/>
              <w:bottom w:val="single" w:sz="6" w:space="0" w:color="auto"/>
            </w:tcBorders>
            <w:shd w:val="clear" w:color="auto" w:fill="386294"/>
            <w:vAlign w:val="center"/>
          </w:tcPr>
          <w:p w14:paraId="5DF99086" w14:textId="77777777" w:rsidR="003239B8" w:rsidRPr="009B11FC" w:rsidRDefault="003239B8" w:rsidP="00010BC7">
            <w:pPr>
              <w:jc w:val="center"/>
              <w:rPr>
                <w:rFonts w:ascii="Cambria" w:hAnsi="Cambria"/>
                <w:b/>
                <w:bCs/>
                <w:color w:val="FFFFFF" w:themeColor="background1"/>
                <w:sz w:val="20"/>
                <w:szCs w:val="20"/>
              </w:rPr>
            </w:pPr>
            <w:r w:rsidRPr="009B11FC">
              <w:rPr>
                <w:rFonts w:ascii="Cambria" w:hAnsi="Cambria"/>
                <w:b/>
                <w:bCs/>
                <w:color w:val="FFFFFF" w:themeColor="background1"/>
                <w:sz w:val="20"/>
                <w:szCs w:val="20"/>
              </w:rPr>
              <w:t>Presentación dentro de plazo:</w:t>
            </w:r>
          </w:p>
        </w:tc>
        <w:tc>
          <w:tcPr>
            <w:tcW w:w="5677" w:type="dxa"/>
            <w:vAlign w:val="center"/>
          </w:tcPr>
          <w:p w14:paraId="4A2A4569" w14:textId="78A05A34" w:rsidR="003239B8" w:rsidRPr="00BD2AE6" w:rsidRDefault="00AE17AB" w:rsidP="00010BC7">
            <w:pPr>
              <w:rPr>
                <w:rFonts w:ascii="Cambria" w:hAnsi="Cambria"/>
                <w:bCs/>
                <w:sz w:val="20"/>
                <w:szCs w:val="20"/>
                <w:lang w:val="es-PE"/>
              </w:rPr>
            </w:pPr>
            <w:r w:rsidRPr="00BD2AE6">
              <w:rPr>
                <w:rFonts w:ascii="Cambria" w:hAnsi="Cambria"/>
                <w:bCs/>
                <w:sz w:val="20"/>
                <w:szCs w:val="20"/>
                <w:lang w:val="es-PE"/>
              </w:rPr>
              <w:t>Sí, en los términos de la sección VI</w:t>
            </w:r>
            <w:r w:rsidR="00986F76">
              <w:rPr>
                <w:rFonts w:ascii="Cambria" w:hAnsi="Cambria"/>
                <w:bCs/>
                <w:sz w:val="20"/>
                <w:szCs w:val="20"/>
                <w:lang w:val="es-PE"/>
              </w:rPr>
              <w:t>I</w:t>
            </w:r>
          </w:p>
        </w:tc>
      </w:tr>
    </w:tbl>
    <w:p w14:paraId="2C74CB89" w14:textId="77777777" w:rsidR="00CE457D" w:rsidRDefault="00CE457D" w:rsidP="00CE005B">
      <w:pPr>
        <w:spacing w:before="240" w:after="240"/>
        <w:ind w:firstLine="720"/>
        <w:jc w:val="both"/>
        <w:rPr>
          <w:rFonts w:asciiTheme="majorHAnsi" w:hAnsiTheme="majorHAnsi"/>
          <w:b/>
          <w:bCs/>
          <w:sz w:val="20"/>
          <w:szCs w:val="20"/>
          <w:lang w:val="es-PE"/>
        </w:rPr>
      </w:pPr>
    </w:p>
    <w:p w14:paraId="2C31E763" w14:textId="3E5A622A" w:rsidR="00CE005B" w:rsidRPr="006C388C" w:rsidRDefault="008C06ED" w:rsidP="00CE005B">
      <w:pPr>
        <w:spacing w:before="240" w:after="240"/>
        <w:ind w:firstLine="720"/>
        <w:jc w:val="both"/>
        <w:rPr>
          <w:rFonts w:asciiTheme="majorHAnsi" w:hAnsiTheme="majorHAnsi"/>
          <w:b/>
          <w:bCs/>
          <w:sz w:val="20"/>
          <w:szCs w:val="20"/>
          <w:lang w:val="es-PE"/>
        </w:rPr>
      </w:pPr>
      <w:r>
        <w:rPr>
          <w:rFonts w:asciiTheme="majorHAnsi" w:hAnsiTheme="majorHAnsi"/>
          <w:b/>
          <w:bCs/>
          <w:sz w:val="20"/>
          <w:szCs w:val="20"/>
          <w:lang w:val="es-PE"/>
        </w:rPr>
        <w:lastRenderedPageBreak/>
        <w:t>V.</w:t>
      </w:r>
      <w:r>
        <w:rPr>
          <w:rFonts w:asciiTheme="majorHAnsi" w:hAnsiTheme="majorHAnsi"/>
          <w:b/>
          <w:bCs/>
          <w:sz w:val="20"/>
          <w:szCs w:val="20"/>
          <w:lang w:val="es-PE"/>
        </w:rPr>
        <w:tab/>
        <w:t>CUESTIÓN PREVIA</w:t>
      </w:r>
    </w:p>
    <w:p w14:paraId="3CF90793" w14:textId="75F71622" w:rsidR="00CC3827" w:rsidRPr="00CC3827" w:rsidRDefault="00CC3827" w:rsidP="00CC3827">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sz w:val="20"/>
          <w:szCs w:val="20"/>
          <w:lang w:val="es-PE"/>
        </w:rPr>
      </w:pPr>
      <w:r w:rsidRPr="009A6ED0">
        <w:rPr>
          <w:sz w:val="20"/>
          <w:szCs w:val="20"/>
          <w:lang w:val="es-PE"/>
        </w:rPr>
        <w:t xml:space="preserve">Las </w:t>
      </w:r>
      <w:r w:rsidR="00B5631A">
        <w:rPr>
          <w:sz w:val="20"/>
          <w:szCs w:val="20"/>
          <w:lang w:val="es-PE"/>
        </w:rPr>
        <w:t>16</w:t>
      </w:r>
      <w:r w:rsidR="00B5631A" w:rsidRPr="009A6ED0">
        <w:rPr>
          <w:sz w:val="20"/>
          <w:szCs w:val="20"/>
          <w:lang w:val="es-PE"/>
        </w:rPr>
        <w:t xml:space="preserve"> </w:t>
      </w:r>
      <w:r w:rsidRPr="009A6ED0">
        <w:rPr>
          <w:sz w:val="20"/>
          <w:szCs w:val="20"/>
          <w:lang w:val="es-PE"/>
        </w:rPr>
        <w:t xml:space="preserve">peticiones consideradas en el presente informe </w:t>
      </w:r>
      <w:r w:rsidR="00460894" w:rsidRPr="009A6ED0">
        <w:rPr>
          <w:sz w:val="20"/>
          <w:szCs w:val="20"/>
          <w:lang w:val="es-PE"/>
        </w:rPr>
        <w:t>se refieren a</w:t>
      </w:r>
      <w:r w:rsidRPr="009A6ED0">
        <w:rPr>
          <w:sz w:val="20"/>
          <w:szCs w:val="20"/>
          <w:lang w:val="es-PE"/>
        </w:rPr>
        <w:t xml:space="preserve"> reclamos realizados por </w:t>
      </w:r>
      <w:r w:rsidRPr="00CC3827">
        <w:rPr>
          <w:sz w:val="20"/>
          <w:szCs w:val="20"/>
          <w:lang w:val="es-PE"/>
        </w:rPr>
        <w:t xml:space="preserve">jueces, juezas y un fiscal, quienes alegan que fueron destituidos únicamente debido al carácter transitorio </w:t>
      </w:r>
      <w:r w:rsidR="00E64862">
        <w:rPr>
          <w:sz w:val="20"/>
          <w:szCs w:val="20"/>
          <w:lang w:val="es-PE"/>
        </w:rPr>
        <w:t>que</w:t>
      </w:r>
      <w:r w:rsidRPr="00CC3827">
        <w:rPr>
          <w:sz w:val="20"/>
          <w:szCs w:val="20"/>
          <w:lang w:val="es-PE"/>
        </w:rPr>
        <w:t xml:space="preserve"> </w:t>
      </w:r>
      <w:r w:rsidR="00935E51">
        <w:rPr>
          <w:sz w:val="20"/>
          <w:szCs w:val="20"/>
          <w:lang w:val="es-PE"/>
        </w:rPr>
        <w:t xml:space="preserve">una </w:t>
      </w:r>
      <w:r w:rsidRPr="00CC3827">
        <w:rPr>
          <w:sz w:val="20"/>
          <w:szCs w:val="20"/>
          <w:lang w:val="es-PE"/>
        </w:rPr>
        <w:t xml:space="preserve">reforma al sistema </w:t>
      </w:r>
      <w:r w:rsidR="00E64862">
        <w:rPr>
          <w:sz w:val="20"/>
          <w:szCs w:val="20"/>
          <w:lang w:val="es-PE"/>
        </w:rPr>
        <w:t xml:space="preserve">judicial </w:t>
      </w:r>
      <w:r w:rsidR="00935E51">
        <w:rPr>
          <w:sz w:val="20"/>
          <w:szCs w:val="20"/>
          <w:lang w:val="es-PE"/>
        </w:rPr>
        <w:t>les</w:t>
      </w:r>
      <w:r w:rsidR="00E64862">
        <w:rPr>
          <w:sz w:val="20"/>
          <w:szCs w:val="20"/>
          <w:lang w:val="es-PE"/>
        </w:rPr>
        <w:t xml:space="preserve"> dio a sus cargos</w:t>
      </w:r>
      <w:r w:rsidRPr="00CC3827">
        <w:rPr>
          <w:sz w:val="20"/>
          <w:szCs w:val="20"/>
          <w:lang w:val="es-PE"/>
        </w:rPr>
        <w:t>. Dado que los reclamos contemplan hechos y alegatos similares,</w:t>
      </w:r>
      <w:r w:rsidR="00087C13">
        <w:rPr>
          <w:sz w:val="20"/>
          <w:szCs w:val="20"/>
          <w:lang w:val="es-PE"/>
        </w:rPr>
        <w:t xml:space="preserve"> </w:t>
      </w:r>
      <w:r w:rsidR="00117F8C">
        <w:rPr>
          <w:sz w:val="20"/>
          <w:szCs w:val="20"/>
          <w:lang w:val="es-PE"/>
        </w:rPr>
        <w:t xml:space="preserve">e incluso </w:t>
      </w:r>
      <w:r w:rsidR="003013BC">
        <w:rPr>
          <w:sz w:val="20"/>
          <w:szCs w:val="20"/>
          <w:lang w:val="es-PE"/>
        </w:rPr>
        <w:t xml:space="preserve">comparten </w:t>
      </w:r>
      <w:r w:rsidR="00117F8C">
        <w:rPr>
          <w:sz w:val="20"/>
          <w:szCs w:val="20"/>
          <w:lang w:val="es-PE"/>
        </w:rPr>
        <w:t>al mismo peticionario</w:t>
      </w:r>
      <w:r w:rsidR="003013BC">
        <w:rPr>
          <w:sz w:val="20"/>
          <w:szCs w:val="20"/>
          <w:lang w:val="es-PE"/>
        </w:rPr>
        <w:t>,</w:t>
      </w:r>
      <w:r w:rsidRPr="00CC3827">
        <w:rPr>
          <w:sz w:val="20"/>
          <w:szCs w:val="20"/>
          <w:lang w:val="es-PE"/>
        </w:rPr>
        <w:t xml:space="preserve"> la CIDH decide acumular </w:t>
      </w:r>
      <w:r w:rsidR="00935E51">
        <w:rPr>
          <w:sz w:val="20"/>
          <w:szCs w:val="20"/>
          <w:lang w:val="es-PE"/>
        </w:rPr>
        <w:t>estas</w:t>
      </w:r>
      <w:r w:rsidRPr="00CC3827">
        <w:rPr>
          <w:sz w:val="20"/>
          <w:szCs w:val="20"/>
          <w:lang w:val="es-PE"/>
        </w:rPr>
        <w:t xml:space="preserve"> peticiones conforme al artículo 29.5 de su Reglamento.</w:t>
      </w:r>
    </w:p>
    <w:p w14:paraId="0BEBA3C2" w14:textId="5EE78017" w:rsidR="00EB4A99" w:rsidRDefault="00EB4A99" w:rsidP="00EB4A99">
      <w:pPr>
        <w:spacing w:before="240" w:after="240"/>
        <w:ind w:firstLine="720"/>
        <w:jc w:val="both"/>
        <w:rPr>
          <w:rFonts w:asciiTheme="majorHAnsi" w:hAnsiTheme="majorHAnsi"/>
          <w:b/>
          <w:sz w:val="20"/>
          <w:szCs w:val="20"/>
          <w:lang w:val="es-PE"/>
        </w:rPr>
      </w:pPr>
      <w:r>
        <w:rPr>
          <w:rFonts w:asciiTheme="majorHAnsi" w:hAnsiTheme="majorHAnsi"/>
          <w:b/>
          <w:sz w:val="20"/>
          <w:szCs w:val="20"/>
          <w:lang w:val="es-UY"/>
        </w:rPr>
        <w:t>V</w:t>
      </w:r>
      <w:r w:rsidR="008C06ED">
        <w:rPr>
          <w:rFonts w:asciiTheme="majorHAnsi" w:hAnsiTheme="majorHAnsi"/>
          <w:b/>
          <w:sz w:val="20"/>
          <w:szCs w:val="20"/>
          <w:lang w:val="es-UY"/>
        </w:rPr>
        <w:t>I</w:t>
      </w:r>
      <w:r>
        <w:rPr>
          <w:rFonts w:asciiTheme="majorHAnsi" w:hAnsiTheme="majorHAnsi"/>
          <w:b/>
          <w:sz w:val="20"/>
          <w:szCs w:val="20"/>
          <w:lang w:val="es-UY"/>
        </w:rPr>
        <w:t xml:space="preserve">. </w:t>
      </w:r>
      <w:r>
        <w:rPr>
          <w:rFonts w:asciiTheme="majorHAnsi" w:hAnsiTheme="majorHAnsi"/>
          <w:b/>
          <w:sz w:val="20"/>
          <w:szCs w:val="20"/>
          <w:lang w:val="es-UY"/>
        </w:rPr>
        <w:tab/>
        <w:t>P</w:t>
      </w:r>
      <w:r w:rsidRPr="00B50883">
        <w:rPr>
          <w:rFonts w:asciiTheme="majorHAnsi" w:hAnsiTheme="majorHAnsi"/>
          <w:b/>
          <w:sz w:val="20"/>
          <w:szCs w:val="20"/>
          <w:lang w:val="es-UY"/>
        </w:rPr>
        <w:t>OSICIÓ</w:t>
      </w:r>
      <w:r w:rsidRPr="00B50883">
        <w:rPr>
          <w:rFonts w:asciiTheme="majorHAnsi" w:hAnsiTheme="majorHAnsi"/>
          <w:b/>
          <w:sz w:val="20"/>
          <w:szCs w:val="20"/>
          <w:lang w:val="es-PE"/>
        </w:rPr>
        <w:t>N DE LAS PARTES</w:t>
      </w:r>
    </w:p>
    <w:p w14:paraId="69F60378" w14:textId="565A8A83" w:rsidR="00EB4A99" w:rsidRPr="00C65C1B" w:rsidRDefault="00C65C1B" w:rsidP="00EB4A99">
      <w:pPr>
        <w:spacing w:before="240" w:after="240"/>
        <w:ind w:firstLine="720"/>
        <w:jc w:val="both"/>
        <w:rPr>
          <w:rFonts w:asciiTheme="majorHAnsi" w:hAnsiTheme="majorHAnsi"/>
          <w:b/>
          <w:sz w:val="20"/>
          <w:szCs w:val="20"/>
          <w:lang w:val="es-PE"/>
        </w:rPr>
      </w:pPr>
      <w:r w:rsidRPr="00C65C1B">
        <w:rPr>
          <w:rFonts w:asciiTheme="majorHAnsi" w:hAnsiTheme="majorHAnsi"/>
          <w:b/>
          <w:sz w:val="20"/>
          <w:szCs w:val="20"/>
          <w:lang w:val="es-PE"/>
        </w:rPr>
        <w:t>A.</w:t>
      </w:r>
      <w:r w:rsidRPr="00C65C1B">
        <w:rPr>
          <w:rFonts w:asciiTheme="majorHAnsi" w:hAnsiTheme="majorHAnsi"/>
          <w:b/>
          <w:sz w:val="20"/>
          <w:szCs w:val="20"/>
          <w:lang w:val="es-PE"/>
        </w:rPr>
        <w:tab/>
      </w:r>
      <w:r>
        <w:rPr>
          <w:rFonts w:asciiTheme="majorHAnsi" w:hAnsiTheme="majorHAnsi"/>
          <w:b/>
          <w:sz w:val="20"/>
          <w:szCs w:val="20"/>
          <w:lang w:val="es-PE"/>
        </w:rPr>
        <w:t>EL PETICIONARIO</w:t>
      </w:r>
    </w:p>
    <w:p w14:paraId="1A4CB5EA" w14:textId="6FCE00F6" w:rsidR="00EB4A99" w:rsidRPr="002B3C21" w:rsidRDefault="00EB4A99" w:rsidP="00EB4A99">
      <w:pPr>
        <w:pStyle w:val="ListParagraph"/>
        <w:spacing w:before="240" w:after="240"/>
        <w:jc w:val="both"/>
        <w:rPr>
          <w:rFonts w:asciiTheme="majorHAnsi" w:hAnsiTheme="majorHAnsi"/>
          <w:b/>
          <w:bCs/>
          <w:color w:val="auto"/>
          <w:sz w:val="20"/>
          <w:szCs w:val="20"/>
          <w:lang w:val="es-PE"/>
        </w:rPr>
      </w:pPr>
      <w:r w:rsidRPr="002B3C21">
        <w:rPr>
          <w:rFonts w:asciiTheme="majorHAnsi" w:hAnsiTheme="majorHAnsi"/>
          <w:b/>
          <w:bCs/>
          <w:color w:val="auto"/>
          <w:sz w:val="20"/>
          <w:szCs w:val="20"/>
          <w:lang w:val="es-PE"/>
        </w:rPr>
        <w:t>Alegatos comunes</w:t>
      </w:r>
    </w:p>
    <w:p w14:paraId="22FB36A1" w14:textId="613EAD9F" w:rsidR="00C24825" w:rsidRPr="00C24825" w:rsidRDefault="00C24825" w:rsidP="00C24825">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sz w:val="20"/>
          <w:szCs w:val="20"/>
          <w:lang w:val="es-PE"/>
        </w:rPr>
      </w:pPr>
      <w:r w:rsidRPr="00C24825">
        <w:rPr>
          <w:sz w:val="20"/>
          <w:szCs w:val="20"/>
          <w:lang w:val="es-PE"/>
        </w:rPr>
        <w:t xml:space="preserve">A modo de contexto, la parte peticionaria </w:t>
      </w:r>
      <w:r w:rsidR="002B2DAD">
        <w:rPr>
          <w:sz w:val="20"/>
          <w:szCs w:val="20"/>
          <w:lang w:val="es-PE"/>
        </w:rPr>
        <w:t xml:space="preserve">(o el peticionario) </w:t>
      </w:r>
      <w:r w:rsidRPr="00C24825">
        <w:rPr>
          <w:sz w:val="20"/>
          <w:szCs w:val="20"/>
          <w:lang w:val="es-PE"/>
        </w:rPr>
        <w:t>explica que</w:t>
      </w:r>
      <w:r w:rsidR="00D8015C">
        <w:rPr>
          <w:sz w:val="20"/>
          <w:szCs w:val="20"/>
          <w:lang w:val="es-PE"/>
        </w:rPr>
        <w:t>,</w:t>
      </w:r>
      <w:r w:rsidRPr="00C24825">
        <w:rPr>
          <w:sz w:val="20"/>
          <w:szCs w:val="20"/>
          <w:lang w:val="es-PE"/>
        </w:rPr>
        <w:t xml:space="preserve"> luego de las elecciones generales de 2005</w:t>
      </w:r>
      <w:r w:rsidR="00D8015C">
        <w:rPr>
          <w:sz w:val="20"/>
          <w:szCs w:val="20"/>
          <w:lang w:val="es-PE"/>
        </w:rPr>
        <w:t>,</w:t>
      </w:r>
      <w:r w:rsidRPr="00C24825">
        <w:rPr>
          <w:sz w:val="20"/>
          <w:szCs w:val="20"/>
          <w:lang w:val="es-PE"/>
        </w:rPr>
        <w:t xml:space="preserve"> el entonces </w:t>
      </w:r>
      <w:r w:rsidR="00F12A3B">
        <w:rPr>
          <w:sz w:val="20"/>
          <w:szCs w:val="20"/>
          <w:lang w:val="es-PE"/>
        </w:rPr>
        <w:t>presidente</w:t>
      </w:r>
      <w:r w:rsidRPr="00C24825">
        <w:rPr>
          <w:sz w:val="20"/>
          <w:szCs w:val="20"/>
          <w:lang w:val="es-PE"/>
        </w:rPr>
        <w:t xml:space="preserve"> convocó a una Asamblea Constituyente para llevar a cabo una reforma integral de la Constitución, la cual fue promulgada el 9 de febrero de 2009. Destaca que una de las principales </w:t>
      </w:r>
      <w:r>
        <w:rPr>
          <w:sz w:val="20"/>
          <w:szCs w:val="20"/>
          <w:lang w:val="es-PE"/>
        </w:rPr>
        <w:t>novedades</w:t>
      </w:r>
      <w:r w:rsidRPr="00C24825">
        <w:rPr>
          <w:sz w:val="20"/>
          <w:szCs w:val="20"/>
          <w:lang w:val="es-PE"/>
        </w:rPr>
        <w:t xml:space="preserve"> de esta nueva Constitución fue la reforma del sistema de justicia.</w:t>
      </w:r>
    </w:p>
    <w:p w14:paraId="2C408F67" w14:textId="77777777" w:rsidR="00C24825" w:rsidRPr="00EB4A99" w:rsidRDefault="00C24825" w:rsidP="00C24825">
      <w:pPr>
        <w:pStyle w:val="ListParagraph"/>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sz w:val="20"/>
          <w:szCs w:val="20"/>
          <w:lang w:val="es-PE"/>
        </w:rPr>
      </w:pPr>
    </w:p>
    <w:p w14:paraId="41C70473" w14:textId="158E6B3C" w:rsidR="00C24825" w:rsidRPr="00C24825" w:rsidRDefault="00C24825" w:rsidP="72B6724D">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sz w:val="20"/>
          <w:szCs w:val="20"/>
          <w:lang w:val="es-PE"/>
        </w:rPr>
      </w:pPr>
      <w:r w:rsidRPr="00C24825">
        <w:rPr>
          <w:sz w:val="20"/>
          <w:szCs w:val="20"/>
          <w:lang w:val="es-PE"/>
        </w:rPr>
        <w:t xml:space="preserve">A efectos de </w:t>
      </w:r>
      <w:r w:rsidR="00BE61AE">
        <w:rPr>
          <w:sz w:val="20"/>
          <w:szCs w:val="20"/>
          <w:lang w:val="es-PE"/>
        </w:rPr>
        <w:t>implementar</w:t>
      </w:r>
      <w:r w:rsidRPr="00C24825">
        <w:rPr>
          <w:sz w:val="20"/>
          <w:szCs w:val="20"/>
          <w:lang w:val="es-PE"/>
        </w:rPr>
        <w:t xml:space="preserve"> estas modificaciones</w:t>
      </w:r>
      <w:r w:rsidR="00D8015C">
        <w:rPr>
          <w:sz w:val="20"/>
          <w:szCs w:val="20"/>
          <w:lang w:val="es-PE"/>
        </w:rPr>
        <w:t>,</w:t>
      </w:r>
      <w:r w:rsidRPr="00C24825">
        <w:rPr>
          <w:sz w:val="20"/>
          <w:szCs w:val="20"/>
          <w:lang w:val="es-PE"/>
        </w:rPr>
        <w:t xml:space="preserve"> el Poder Legislativo promulgó una serie de normas, entre las cuales se encuentran la Ley N° 3</w:t>
      </w:r>
      <w:r w:rsidR="00E51F6D">
        <w:rPr>
          <w:sz w:val="20"/>
          <w:szCs w:val="20"/>
          <w:lang w:val="es-PE"/>
        </w:rPr>
        <w:t>, Ley</w:t>
      </w:r>
      <w:r w:rsidRPr="00C24825">
        <w:rPr>
          <w:sz w:val="20"/>
          <w:szCs w:val="20"/>
          <w:lang w:val="es-PE"/>
        </w:rPr>
        <w:t xml:space="preserve"> de Necesidad de Transición a los Nuevos Entes del Órgano Judicial y Ministerio Público</w:t>
      </w:r>
      <w:r w:rsidR="00E2550C">
        <w:rPr>
          <w:sz w:val="20"/>
          <w:szCs w:val="20"/>
          <w:lang w:val="es-PE"/>
        </w:rPr>
        <w:t>,</w:t>
      </w:r>
      <w:r w:rsidRPr="00C24825">
        <w:rPr>
          <w:sz w:val="20"/>
          <w:szCs w:val="20"/>
          <w:lang w:val="es-PE"/>
        </w:rPr>
        <w:t xml:space="preserve"> del 13 de febrero de 2010</w:t>
      </w:r>
      <w:r w:rsidRPr="72B6724D">
        <w:rPr>
          <w:rStyle w:val="FootnoteReference"/>
          <w:rFonts w:asciiTheme="majorHAnsi" w:hAnsiTheme="majorHAnsi" w:cs="Baskerville Old Face"/>
          <w:sz w:val="20"/>
          <w:szCs w:val="20"/>
          <w:lang w:val="es-PE"/>
        </w:rPr>
        <w:footnoteReference w:id="5"/>
      </w:r>
      <w:r w:rsidR="00E2550C">
        <w:rPr>
          <w:sz w:val="20"/>
          <w:szCs w:val="20"/>
          <w:lang w:val="es-PE"/>
        </w:rPr>
        <w:t>;</w:t>
      </w:r>
      <w:r w:rsidRPr="00C24825">
        <w:rPr>
          <w:sz w:val="20"/>
          <w:szCs w:val="20"/>
          <w:lang w:val="es-PE"/>
        </w:rPr>
        <w:t xml:space="preserve"> y la Ley N° 260 Orgánica del Ministerio Público</w:t>
      </w:r>
      <w:r w:rsidR="000A796A">
        <w:rPr>
          <w:sz w:val="20"/>
          <w:szCs w:val="20"/>
          <w:lang w:val="es-PE"/>
        </w:rPr>
        <w:t>,</w:t>
      </w:r>
      <w:r w:rsidRPr="00C24825">
        <w:rPr>
          <w:sz w:val="20"/>
          <w:szCs w:val="20"/>
          <w:lang w:val="es-PE"/>
        </w:rPr>
        <w:t xml:space="preserve"> del 11 de julio de 2012</w:t>
      </w:r>
      <w:r w:rsidRPr="72B6724D">
        <w:rPr>
          <w:rStyle w:val="FootnoteReference"/>
          <w:rFonts w:asciiTheme="majorHAnsi" w:hAnsiTheme="majorHAnsi" w:cs="Baskerville Old Face"/>
          <w:sz w:val="20"/>
          <w:szCs w:val="20"/>
          <w:lang w:val="es-PE"/>
        </w:rPr>
        <w:footnoteReference w:id="6"/>
      </w:r>
      <w:r w:rsidRPr="00C24825">
        <w:rPr>
          <w:sz w:val="20"/>
          <w:szCs w:val="20"/>
          <w:lang w:val="es-PE"/>
        </w:rPr>
        <w:t xml:space="preserve">. </w:t>
      </w:r>
      <w:r w:rsidR="00435AC4">
        <w:rPr>
          <w:sz w:val="20"/>
          <w:szCs w:val="20"/>
          <w:lang w:val="es-PE"/>
        </w:rPr>
        <w:t xml:space="preserve">De acuerdo con esta nueva </w:t>
      </w:r>
      <w:r w:rsidR="00B6255F">
        <w:rPr>
          <w:sz w:val="20"/>
          <w:szCs w:val="20"/>
          <w:lang w:val="es-PE"/>
        </w:rPr>
        <w:t>normativa</w:t>
      </w:r>
      <w:r w:rsidR="00D8015C">
        <w:rPr>
          <w:sz w:val="20"/>
          <w:szCs w:val="20"/>
          <w:lang w:val="es-PE"/>
        </w:rPr>
        <w:t>,</w:t>
      </w:r>
      <w:r w:rsidRPr="00C24825">
        <w:rPr>
          <w:sz w:val="20"/>
          <w:szCs w:val="20"/>
          <w:lang w:val="es-PE"/>
        </w:rPr>
        <w:t xml:space="preserve"> Bolivia otorgó carácter transitorio a los cargos de </w:t>
      </w:r>
      <w:bookmarkStart w:id="2" w:name="_Int_QzzNWIlr"/>
      <w:r w:rsidRPr="00C24825">
        <w:rPr>
          <w:sz w:val="20"/>
          <w:szCs w:val="20"/>
          <w:lang w:val="es-PE"/>
        </w:rPr>
        <w:t>los operadores</w:t>
      </w:r>
      <w:r w:rsidR="00D8015C">
        <w:rPr>
          <w:sz w:val="20"/>
          <w:szCs w:val="20"/>
          <w:lang w:val="es-PE"/>
        </w:rPr>
        <w:t xml:space="preserve"> y operadoras</w:t>
      </w:r>
      <w:bookmarkEnd w:id="2"/>
      <w:r w:rsidRPr="00C24825">
        <w:rPr>
          <w:sz w:val="20"/>
          <w:szCs w:val="20"/>
          <w:lang w:val="es-PE"/>
        </w:rPr>
        <w:t xml:space="preserve"> de justicia hasta la implementación de los cambios correspondientes, con la finalidad de asegurar el funcionamiento continuo del Poder Judicial.</w:t>
      </w:r>
    </w:p>
    <w:p w14:paraId="37AA5B58" w14:textId="77777777" w:rsidR="00EB4A99" w:rsidRPr="00EB4A99" w:rsidRDefault="00EB4A99" w:rsidP="00EB4A99">
      <w:pPr>
        <w:pStyle w:val="ListParagraph"/>
        <w:rPr>
          <w:rFonts w:asciiTheme="majorHAnsi" w:hAnsiTheme="majorHAnsi"/>
          <w:sz w:val="20"/>
          <w:szCs w:val="20"/>
          <w:lang w:val="es-PE"/>
        </w:rPr>
      </w:pPr>
    </w:p>
    <w:p w14:paraId="4FCD3B8A" w14:textId="77777777" w:rsidR="00716D1A" w:rsidRPr="00716D1A" w:rsidRDefault="00690525" w:rsidP="00716D1A">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sz w:val="20"/>
          <w:szCs w:val="20"/>
          <w:lang w:val="es-PE"/>
        </w:rPr>
      </w:pPr>
      <w:r>
        <w:rPr>
          <w:rFonts w:asciiTheme="majorHAnsi" w:hAnsiTheme="majorHAnsi"/>
          <w:sz w:val="20"/>
          <w:szCs w:val="20"/>
          <w:lang w:val="es-PE"/>
        </w:rPr>
        <w:t>E</w:t>
      </w:r>
      <w:r w:rsidR="00315814">
        <w:rPr>
          <w:rFonts w:asciiTheme="majorHAnsi" w:hAnsiTheme="majorHAnsi"/>
          <w:sz w:val="20"/>
          <w:szCs w:val="20"/>
          <w:lang w:val="es-PE"/>
        </w:rPr>
        <w:t xml:space="preserve">l peticionario </w:t>
      </w:r>
      <w:r w:rsidR="0043195F">
        <w:rPr>
          <w:rFonts w:asciiTheme="majorHAnsi" w:hAnsiTheme="majorHAnsi"/>
          <w:sz w:val="20"/>
          <w:szCs w:val="20"/>
          <w:lang w:val="es-PE"/>
        </w:rPr>
        <w:t>señala</w:t>
      </w:r>
      <w:r w:rsidR="00315814">
        <w:rPr>
          <w:rFonts w:asciiTheme="majorHAnsi" w:hAnsiTheme="majorHAnsi"/>
          <w:sz w:val="20"/>
          <w:szCs w:val="20"/>
          <w:lang w:val="es-PE"/>
        </w:rPr>
        <w:t xml:space="preserve"> que</w:t>
      </w:r>
      <w:r w:rsidR="00CA09F2" w:rsidRPr="00EB4A99">
        <w:rPr>
          <w:rFonts w:asciiTheme="majorHAnsi" w:hAnsiTheme="majorHAnsi"/>
          <w:sz w:val="20"/>
          <w:szCs w:val="20"/>
          <w:lang w:val="es-PE"/>
        </w:rPr>
        <w:t xml:space="preserve"> </w:t>
      </w:r>
      <w:r>
        <w:rPr>
          <w:rFonts w:asciiTheme="majorHAnsi" w:hAnsiTheme="majorHAnsi"/>
          <w:sz w:val="20"/>
          <w:szCs w:val="20"/>
          <w:lang w:val="es-PE"/>
        </w:rPr>
        <w:t xml:space="preserve">en ese marco </w:t>
      </w:r>
      <w:r w:rsidR="00CE005B" w:rsidRPr="00EB4A99">
        <w:rPr>
          <w:rFonts w:asciiTheme="majorHAnsi" w:hAnsiTheme="majorHAnsi"/>
          <w:sz w:val="20"/>
          <w:szCs w:val="20"/>
          <w:lang w:val="es-PE"/>
        </w:rPr>
        <w:t xml:space="preserve">las presuntas víctimas </w:t>
      </w:r>
      <w:r w:rsidR="007223DE" w:rsidRPr="00EB4A99">
        <w:rPr>
          <w:rFonts w:asciiTheme="majorHAnsi" w:hAnsiTheme="majorHAnsi"/>
          <w:sz w:val="20"/>
          <w:szCs w:val="20"/>
          <w:lang w:val="es-PE"/>
        </w:rPr>
        <w:t>fueron destituidas de</w:t>
      </w:r>
      <w:r w:rsidR="00CE005B" w:rsidRPr="00EB4A99">
        <w:rPr>
          <w:rFonts w:asciiTheme="majorHAnsi" w:hAnsiTheme="majorHAnsi"/>
          <w:sz w:val="20"/>
          <w:szCs w:val="20"/>
          <w:lang w:val="es-PE"/>
        </w:rPr>
        <w:t xml:space="preserve"> sus cargos </w:t>
      </w:r>
      <w:r w:rsidR="00557794" w:rsidRPr="00EB4A99">
        <w:rPr>
          <w:rFonts w:asciiTheme="majorHAnsi" w:hAnsiTheme="majorHAnsi"/>
          <w:sz w:val="20"/>
          <w:szCs w:val="20"/>
          <w:lang w:val="es-PE"/>
        </w:rPr>
        <w:t xml:space="preserve">sin una </w:t>
      </w:r>
      <w:r w:rsidR="00C24825">
        <w:rPr>
          <w:rFonts w:asciiTheme="majorHAnsi" w:hAnsiTheme="majorHAnsi"/>
          <w:sz w:val="20"/>
          <w:szCs w:val="20"/>
          <w:lang w:val="es-PE"/>
        </w:rPr>
        <w:t>adecuada</w:t>
      </w:r>
      <w:r w:rsidR="00557794" w:rsidRPr="00EB4A99">
        <w:rPr>
          <w:rFonts w:asciiTheme="majorHAnsi" w:hAnsiTheme="majorHAnsi"/>
          <w:sz w:val="20"/>
          <w:szCs w:val="20"/>
          <w:lang w:val="es-PE"/>
        </w:rPr>
        <w:t xml:space="preserve"> motivación</w:t>
      </w:r>
      <w:r w:rsidR="00A70100" w:rsidRPr="00EB4A99">
        <w:rPr>
          <w:rFonts w:asciiTheme="majorHAnsi" w:hAnsiTheme="majorHAnsi"/>
          <w:sz w:val="20"/>
          <w:szCs w:val="20"/>
          <w:lang w:val="es-PE"/>
        </w:rPr>
        <w:t xml:space="preserve"> </w:t>
      </w:r>
      <w:r w:rsidR="00C24825">
        <w:rPr>
          <w:rFonts w:asciiTheme="majorHAnsi" w:hAnsiTheme="majorHAnsi"/>
          <w:sz w:val="20"/>
          <w:szCs w:val="20"/>
          <w:lang w:val="es-PE"/>
        </w:rPr>
        <w:t>ni</w:t>
      </w:r>
      <w:r w:rsidR="00182FC7" w:rsidRPr="00EB4A99">
        <w:rPr>
          <w:rFonts w:asciiTheme="majorHAnsi" w:hAnsiTheme="majorHAnsi"/>
          <w:sz w:val="20"/>
          <w:szCs w:val="20"/>
          <w:lang w:val="es-PE"/>
        </w:rPr>
        <w:t xml:space="preserve"> un debido proceso</w:t>
      </w:r>
      <w:r w:rsidR="00557794" w:rsidRPr="00EB4A99">
        <w:rPr>
          <w:rFonts w:asciiTheme="majorHAnsi" w:hAnsiTheme="majorHAnsi"/>
          <w:sz w:val="20"/>
          <w:szCs w:val="20"/>
          <w:lang w:val="es-PE"/>
        </w:rPr>
        <w:t>,</w:t>
      </w:r>
      <w:r w:rsidR="00741316" w:rsidRPr="00EB4A99">
        <w:rPr>
          <w:rFonts w:asciiTheme="majorHAnsi" w:hAnsiTheme="majorHAnsi"/>
          <w:sz w:val="20"/>
          <w:szCs w:val="20"/>
          <w:lang w:val="es-PE"/>
        </w:rPr>
        <w:t xml:space="preserve"> </w:t>
      </w:r>
      <w:r w:rsidR="00DE72E4" w:rsidRPr="00302D54">
        <w:rPr>
          <w:rFonts w:asciiTheme="majorHAnsi" w:hAnsiTheme="majorHAnsi"/>
          <w:sz w:val="20"/>
          <w:szCs w:val="20"/>
          <w:lang w:val="es-PE"/>
        </w:rPr>
        <w:t>basándose</w:t>
      </w:r>
      <w:r w:rsidR="00A31EE6" w:rsidRPr="00302D54">
        <w:rPr>
          <w:rFonts w:asciiTheme="majorHAnsi" w:hAnsiTheme="majorHAnsi"/>
          <w:sz w:val="20"/>
          <w:szCs w:val="20"/>
          <w:lang w:val="es-PE"/>
        </w:rPr>
        <w:t xml:space="preserve"> </w:t>
      </w:r>
      <w:r w:rsidR="00EA111C" w:rsidRPr="00302D54">
        <w:rPr>
          <w:rFonts w:asciiTheme="majorHAnsi" w:hAnsiTheme="majorHAnsi"/>
          <w:sz w:val="20"/>
          <w:szCs w:val="20"/>
          <w:lang w:val="es-PE"/>
        </w:rPr>
        <w:t>únicamente</w:t>
      </w:r>
      <w:r w:rsidR="00CA09F2" w:rsidRPr="00302D54">
        <w:rPr>
          <w:rFonts w:asciiTheme="majorHAnsi" w:hAnsiTheme="majorHAnsi"/>
          <w:sz w:val="20"/>
          <w:szCs w:val="20"/>
          <w:lang w:val="es-PE"/>
        </w:rPr>
        <w:t xml:space="preserve"> </w:t>
      </w:r>
      <w:r w:rsidR="00A31EE6" w:rsidRPr="00302D54">
        <w:rPr>
          <w:rFonts w:asciiTheme="majorHAnsi" w:hAnsiTheme="majorHAnsi"/>
          <w:sz w:val="20"/>
          <w:szCs w:val="20"/>
          <w:lang w:val="es-PE"/>
        </w:rPr>
        <w:t xml:space="preserve">en que la normativa interna </w:t>
      </w:r>
      <w:r w:rsidR="00953192" w:rsidRPr="00302D54">
        <w:rPr>
          <w:rFonts w:asciiTheme="majorHAnsi" w:hAnsiTheme="majorHAnsi"/>
          <w:sz w:val="20"/>
          <w:szCs w:val="20"/>
          <w:lang w:val="es-PE"/>
        </w:rPr>
        <w:t xml:space="preserve">preveía </w:t>
      </w:r>
      <w:r w:rsidR="00CA09F2" w:rsidRPr="00302D54">
        <w:rPr>
          <w:rFonts w:asciiTheme="majorHAnsi" w:hAnsiTheme="majorHAnsi"/>
          <w:sz w:val="20"/>
          <w:szCs w:val="20"/>
          <w:lang w:val="es-PE"/>
        </w:rPr>
        <w:t>que sus puestos tenían carácter transitorio</w:t>
      </w:r>
      <w:r w:rsidR="00BA5E86" w:rsidRPr="00302D54">
        <w:rPr>
          <w:rFonts w:asciiTheme="majorHAnsi" w:hAnsiTheme="majorHAnsi"/>
          <w:sz w:val="20"/>
          <w:szCs w:val="20"/>
          <w:lang w:val="es-PE"/>
        </w:rPr>
        <w:t xml:space="preserve">. </w:t>
      </w:r>
      <w:r w:rsidR="0043195F" w:rsidRPr="00302D54">
        <w:rPr>
          <w:rFonts w:asciiTheme="majorHAnsi" w:hAnsiTheme="majorHAnsi"/>
          <w:sz w:val="20"/>
          <w:szCs w:val="20"/>
          <w:lang w:val="es-PE"/>
        </w:rPr>
        <w:t>Alega</w:t>
      </w:r>
      <w:r w:rsidR="00F10404" w:rsidRPr="00302D54">
        <w:rPr>
          <w:rFonts w:asciiTheme="majorHAnsi" w:hAnsiTheme="majorHAnsi"/>
          <w:sz w:val="20"/>
          <w:szCs w:val="20"/>
          <w:lang w:val="es-PE"/>
        </w:rPr>
        <w:t xml:space="preserve"> que</w:t>
      </w:r>
      <w:r w:rsidR="00FA4613" w:rsidRPr="00302D54">
        <w:rPr>
          <w:rFonts w:asciiTheme="majorHAnsi" w:hAnsiTheme="majorHAnsi"/>
          <w:sz w:val="20"/>
          <w:szCs w:val="20"/>
          <w:lang w:val="es-PE"/>
        </w:rPr>
        <w:t xml:space="preserve"> el Estado </w:t>
      </w:r>
      <w:r w:rsidR="00B24CEB" w:rsidRPr="00302D54">
        <w:rPr>
          <w:rFonts w:asciiTheme="majorHAnsi" w:hAnsiTheme="majorHAnsi"/>
          <w:sz w:val="20"/>
          <w:szCs w:val="20"/>
          <w:lang w:val="es-PE"/>
        </w:rPr>
        <w:t>contravino</w:t>
      </w:r>
      <w:r w:rsidR="00FA4613" w:rsidRPr="00302D54">
        <w:rPr>
          <w:rFonts w:asciiTheme="majorHAnsi" w:hAnsiTheme="majorHAnsi"/>
          <w:sz w:val="20"/>
          <w:szCs w:val="20"/>
          <w:lang w:val="es-PE"/>
        </w:rPr>
        <w:t xml:space="preserve"> la jurisprudencia interamericana, </w:t>
      </w:r>
      <w:r w:rsidR="0043195F" w:rsidRPr="00302D54">
        <w:rPr>
          <w:rFonts w:asciiTheme="majorHAnsi" w:hAnsiTheme="majorHAnsi"/>
          <w:sz w:val="20"/>
          <w:szCs w:val="20"/>
          <w:lang w:val="es-PE"/>
        </w:rPr>
        <w:t>pues</w:t>
      </w:r>
      <w:r w:rsidR="00FA4613" w:rsidRPr="00302D54">
        <w:rPr>
          <w:rFonts w:asciiTheme="majorHAnsi" w:hAnsiTheme="majorHAnsi"/>
          <w:sz w:val="20"/>
          <w:szCs w:val="20"/>
          <w:lang w:val="es-PE"/>
        </w:rPr>
        <w:t xml:space="preserve"> </w:t>
      </w:r>
      <w:r w:rsidR="00F10404" w:rsidRPr="00302D54">
        <w:rPr>
          <w:rFonts w:asciiTheme="majorHAnsi" w:hAnsiTheme="majorHAnsi"/>
          <w:sz w:val="20"/>
          <w:szCs w:val="20"/>
          <w:lang w:val="es-PE"/>
        </w:rPr>
        <w:t xml:space="preserve">en </w:t>
      </w:r>
      <w:r w:rsidR="00FA4613" w:rsidRPr="00302D54">
        <w:rPr>
          <w:rFonts w:asciiTheme="majorHAnsi" w:hAnsiTheme="majorHAnsi"/>
          <w:sz w:val="20"/>
          <w:szCs w:val="20"/>
          <w:lang w:val="es-PE"/>
        </w:rPr>
        <w:t>casos</w:t>
      </w:r>
      <w:r w:rsidR="00F10404" w:rsidRPr="00302D54">
        <w:rPr>
          <w:rFonts w:asciiTheme="majorHAnsi" w:hAnsiTheme="majorHAnsi"/>
          <w:sz w:val="20"/>
          <w:szCs w:val="20"/>
          <w:lang w:val="es-PE"/>
        </w:rPr>
        <w:t xml:space="preserve"> como</w:t>
      </w:r>
      <w:r w:rsidR="00FA4613" w:rsidRPr="00302D54">
        <w:rPr>
          <w:rFonts w:asciiTheme="majorHAnsi" w:hAnsiTheme="majorHAnsi"/>
          <w:sz w:val="20"/>
          <w:szCs w:val="20"/>
          <w:lang w:val="es-PE"/>
        </w:rPr>
        <w:t xml:space="preserve"> </w:t>
      </w:r>
      <w:r w:rsidR="00FA4613" w:rsidRPr="00302D54">
        <w:rPr>
          <w:rFonts w:asciiTheme="majorHAnsi" w:hAnsiTheme="majorHAnsi"/>
          <w:i/>
          <w:iCs/>
          <w:sz w:val="20"/>
          <w:szCs w:val="20"/>
          <w:lang w:val="es-PE"/>
        </w:rPr>
        <w:t>Reveron Trujillo vs. Venezuela</w:t>
      </w:r>
      <w:r w:rsidR="00FA4613" w:rsidRPr="00302D54">
        <w:rPr>
          <w:rFonts w:asciiTheme="majorHAnsi" w:hAnsiTheme="majorHAnsi"/>
          <w:sz w:val="20"/>
          <w:szCs w:val="20"/>
          <w:lang w:val="es-PE"/>
        </w:rPr>
        <w:t xml:space="preserve"> y </w:t>
      </w:r>
      <w:r w:rsidR="00FA4613" w:rsidRPr="00302D54">
        <w:rPr>
          <w:rFonts w:asciiTheme="majorHAnsi" w:hAnsiTheme="majorHAnsi"/>
          <w:i/>
          <w:iCs/>
          <w:sz w:val="20"/>
          <w:szCs w:val="20"/>
          <w:lang w:val="es-PE"/>
        </w:rPr>
        <w:t>Apitz Barrera vs. Venezuela</w:t>
      </w:r>
      <w:r w:rsidR="00FA4613" w:rsidRPr="00302D54">
        <w:rPr>
          <w:rFonts w:asciiTheme="majorHAnsi" w:hAnsiTheme="majorHAnsi"/>
          <w:sz w:val="20"/>
          <w:szCs w:val="20"/>
          <w:lang w:val="es-PE"/>
        </w:rPr>
        <w:t xml:space="preserve">, la Corte </w:t>
      </w:r>
      <w:r w:rsidR="00D74683" w:rsidRPr="00302D54">
        <w:rPr>
          <w:rFonts w:asciiTheme="majorHAnsi" w:hAnsiTheme="majorHAnsi"/>
          <w:sz w:val="20"/>
          <w:szCs w:val="20"/>
          <w:lang w:val="es-PE"/>
        </w:rPr>
        <w:t xml:space="preserve">Interamericana de Derechos Humanos (en adelante “Corte </w:t>
      </w:r>
      <w:r w:rsidR="00FA4613" w:rsidRPr="00302D54">
        <w:rPr>
          <w:rFonts w:asciiTheme="majorHAnsi" w:hAnsiTheme="majorHAnsi"/>
          <w:sz w:val="20"/>
          <w:szCs w:val="20"/>
          <w:lang w:val="es-PE"/>
        </w:rPr>
        <w:t>IDH</w:t>
      </w:r>
      <w:r w:rsidR="00D74683" w:rsidRPr="00302D54">
        <w:rPr>
          <w:rFonts w:asciiTheme="majorHAnsi" w:hAnsiTheme="majorHAnsi"/>
          <w:sz w:val="20"/>
          <w:szCs w:val="20"/>
          <w:lang w:val="es-PE"/>
        </w:rPr>
        <w:t>”)</w:t>
      </w:r>
      <w:r w:rsidR="00FA4613" w:rsidRPr="00302D54">
        <w:rPr>
          <w:rFonts w:asciiTheme="majorHAnsi" w:hAnsiTheme="majorHAnsi"/>
          <w:sz w:val="20"/>
          <w:szCs w:val="20"/>
          <w:lang w:val="es-PE"/>
        </w:rPr>
        <w:t xml:space="preserve"> </w:t>
      </w:r>
      <w:r w:rsidR="00AC19CE" w:rsidRPr="00302D54">
        <w:rPr>
          <w:rFonts w:asciiTheme="majorHAnsi" w:hAnsiTheme="majorHAnsi"/>
          <w:sz w:val="20"/>
          <w:szCs w:val="20"/>
          <w:lang w:val="es-PE"/>
        </w:rPr>
        <w:t>estableció</w:t>
      </w:r>
      <w:r w:rsidR="00FA4613" w:rsidRPr="00302D54">
        <w:rPr>
          <w:rFonts w:asciiTheme="majorHAnsi" w:hAnsiTheme="majorHAnsi"/>
          <w:sz w:val="20"/>
          <w:szCs w:val="20"/>
          <w:lang w:val="es-PE"/>
        </w:rPr>
        <w:t xml:space="preserve"> que el respeto a las garantías judiciales mínimas de </w:t>
      </w:r>
      <w:r w:rsidR="009B2124" w:rsidRPr="00302D54">
        <w:rPr>
          <w:rFonts w:asciiTheme="majorHAnsi" w:hAnsiTheme="majorHAnsi"/>
          <w:sz w:val="20"/>
          <w:szCs w:val="20"/>
          <w:lang w:val="es-PE"/>
        </w:rPr>
        <w:t>l</w:t>
      </w:r>
      <w:r w:rsidR="00FC0B58" w:rsidRPr="00302D54">
        <w:rPr>
          <w:rFonts w:asciiTheme="majorHAnsi" w:hAnsiTheme="majorHAnsi"/>
          <w:sz w:val="20"/>
          <w:szCs w:val="20"/>
          <w:lang w:val="es-PE"/>
        </w:rPr>
        <w:t xml:space="preserve">as personas </w:t>
      </w:r>
      <w:r w:rsidR="00FA4613" w:rsidRPr="00302D54">
        <w:rPr>
          <w:rFonts w:asciiTheme="majorHAnsi" w:hAnsiTheme="majorHAnsi"/>
          <w:sz w:val="20"/>
          <w:szCs w:val="20"/>
          <w:lang w:val="es-PE"/>
        </w:rPr>
        <w:t>operador</w:t>
      </w:r>
      <w:r w:rsidR="00FC0B58" w:rsidRPr="00302D54">
        <w:rPr>
          <w:rFonts w:asciiTheme="majorHAnsi" w:hAnsiTheme="majorHAnsi"/>
          <w:sz w:val="20"/>
          <w:szCs w:val="20"/>
          <w:lang w:val="es-PE"/>
        </w:rPr>
        <w:t>a</w:t>
      </w:r>
      <w:r w:rsidR="00FA4613" w:rsidRPr="00302D54">
        <w:rPr>
          <w:rFonts w:asciiTheme="majorHAnsi" w:hAnsiTheme="majorHAnsi"/>
          <w:sz w:val="20"/>
          <w:szCs w:val="20"/>
          <w:lang w:val="es-PE"/>
        </w:rPr>
        <w:t xml:space="preserve">s judiciales implica que la separación de sus cargos sea exclusivamente por medio de causales previstas por la ley, en el marco del debido proceso, y/o porque venció su tiempo en el mandato, lo cual no </w:t>
      </w:r>
      <w:r w:rsidR="00B24CEB" w:rsidRPr="00302D54">
        <w:rPr>
          <w:rFonts w:asciiTheme="majorHAnsi" w:hAnsiTheme="majorHAnsi"/>
          <w:sz w:val="20"/>
          <w:szCs w:val="20"/>
          <w:lang w:val="es-PE"/>
        </w:rPr>
        <w:t>habría ocurrido</w:t>
      </w:r>
      <w:r w:rsidR="00FA4613" w:rsidRPr="00302D54">
        <w:rPr>
          <w:rFonts w:asciiTheme="majorHAnsi" w:hAnsiTheme="majorHAnsi"/>
          <w:sz w:val="20"/>
          <w:szCs w:val="20"/>
          <w:lang w:val="es-PE"/>
        </w:rPr>
        <w:t xml:space="preserve"> en ninguno de estos casos. </w:t>
      </w:r>
    </w:p>
    <w:p w14:paraId="0F720104" w14:textId="77777777" w:rsidR="00716D1A" w:rsidRPr="00716D1A" w:rsidRDefault="00716D1A" w:rsidP="00716D1A">
      <w:pPr>
        <w:pStyle w:val="ListParagraph"/>
        <w:rPr>
          <w:sz w:val="20"/>
          <w:szCs w:val="20"/>
          <w:lang w:val="es-PE"/>
        </w:rPr>
      </w:pPr>
    </w:p>
    <w:p w14:paraId="25B854BA" w14:textId="5897BA26" w:rsidR="00716D1A" w:rsidRPr="00716D1A" w:rsidRDefault="00716D1A" w:rsidP="00716D1A">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sz w:val="20"/>
          <w:szCs w:val="20"/>
          <w:lang w:val="es-PE"/>
        </w:rPr>
      </w:pPr>
      <w:r w:rsidRPr="00716D1A">
        <w:rPr>
          <w:sz w:val="20"/>
          <w:szCs w:val="20"/>
          <w:lang w:val="es-PE"/>
        </w:rPr>
        <w:t>El peticionario detalla que, de las 16 peticiones: i) una corresponde a una fiscal; ii) 14 se refieren a jueces destituidos mediante el Acuerdo de Sala Plena N° 73/2017, del 5 de mayo de 2017, del Consejo de la Magistratura; y iii) la última denuncia la situación de un juez desvinculado mediante el Acuerdo de Sala Plena N° 103/2017, del 8 de junio de 2017, también del Consejo de la Magistratura. En ambas decisiones, el Consejo argumentó que, "</w:t>
      </w:r>
      <w:r w:rsidRPr="00716D1A">
        <w:rPr>
          <w:i/>
          <w:iCs/>
          <w:sz w:val="20"/>
          <w:szCs w:val="20"/>
          <w:lang w:val="es-PE"/>
        </w:rPr>
        <w:t>al no ser funcionarios de carrera y estar sujetos al carácter transitorio, no gozan de los derechos propios de la Carrera Judicial</w:t>
      </w:r>
      <w:r w:rsidRPr="00716D1A">
        <w:rPr>
          <w:sz w:val="20"/>
          <w:szCs w:val="20"/>
          <w:lang w:val="es-PE"/>
        </w:rPr>
        <w:t>".</w:t>
      </w:r>
    </w:p>
    <w:p w14:paraId="21F85FC8" w14:textId="77777777" w:rsidR="00EB4A99" w:rsidRPr="00302D54" w:rsidRDefault="00EB4A99" w:rsidP="00EB4A99">
      <w:pPr>
        <w:pStyle w:val="ListParagraph"/>
        <w:rPr>
          <w:rFonts w:asciiTheme="majorHAnsi" w:hAnsiTheme="majorHAnsi"/>
          <w:sz w:val="20"/>
          <w:szCs w:val="20"/>
          <w:lang w:val="es-PE"/>
        </w:rPr>
      </w:pPr>
    </w:p>
    <w:p w14:paraId="5389963E" w14:textId="63FACBB9" w:rsidR="00EB4A99" w:rsidRPr="00EB4A99" w:rsidRDefault="00426248">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sz w:val="20"/>
          <w:szCs w:val="20"/>
          <w:lang w:val="es-PE"/>
        </w:rPr>
      </w:pPr>
      <w:r w:rsidRPr="00302D54">
        <w:rPr>
          <w:rFonts w:asciiTheme="majorHAnsi" w:hAnsiTheme="majorHAnsi"/>
          <w:sz w:val="20"/>
          <w:szCs w:val="20"/>
          <w:lang w:val="es-PE"/>
        </w:rPr>
        <w:t>Asimismo</w:t>
      </w:r>
      <w:r w:rsidR="00F10404" w:rsidRPr="00302D54">
        <w:rPr>
          <w:rFonts w:asciiTheme="majorHAnsi" w:hAnsiTheme="majorHAnsi"/>
          <w:sz w:val="20"/>
          <w:szCs w:val="20"/>
          <w:lang w:val="es-PE"/>
        </w:rPr>
        <w:t xml:space="preserve">, </w:t>
      </w:r>
      <w:r w:rsidR="004A0D36" w:rsidRPr="00302D54">
        <w:rPr>
          <w:rFonts w:asciiTheme="majorHAnsi" w:hAnsiTheme="majorHAnsi"/>
          <w:sz w:val="20"/>
          <w:szCs w:val="20"/>
          <w:lang w:val="es-PE"/>
        </w:rPr>
        <w:t>aduce</w:t>
      </w:r>
      <w:r w:rsidR="00690FDC" w:rsidRPr="00302D54">
        <w:rPr>
          <w:rFonts w:asciiTheme="majorHAnsi" w:hAnsiTheme="majorHAnsi"/>
          <w:sz w:val="20"/>
          <w:szCs w:val="20"/>
          <w:lang w:val="es-PE"/>
        </w:rPr>
        <w:t xml:space="preserve"> que </w:t>
      </w:r>
      <w:r w:rsidR="00B1334D" w:rsidRPr="00302D54">
        <w:rPr>
          <w:rFonts w:asciiTheme="majorHAnsi" w:hAnsiTheme="majorHAnsi"/>
          <w:sz w:val="20"/>
          <w:szCs w:val="20"/>
          <w:lang w:val="es-PE"/>
        </w:rPr>
        <w:t xml:space="preserve">la </w:t>
      </w:r>
      <w:r w:rsidR="00690FDC" w:rsidRPr="00302D54">
        <w:rPr>
          <w:rFonts w:asciiTheme="majorHAnsi" w:hAnsiTheme="majorHAnsi"/>
          <w:sz w:val="20"/>
          <w:szCs w:val="20"/>
          <w:lang w:val="es-PE"/>
        </w:rPr>
        <w:t>decisión</w:t>
      </w:r>
      <w:r w:rsidR="00E9291B" w:rsidRPr="00302D54">
        <w:rPr>
          <w:rFonts w:asciiTheme="majorHAnsi" w:hAnsiTheme="majorHAnsi"/>
          <w:sz w:val="20"/>
          <w:szCs w:val="20"/>
          <w:lang w:val="es-PE"/>
        </w:rPr>
        <w:t xml:space="preserve"> de separar a las presuntas víctimas</w:t>
      </w:r>
      <w:r w:rsidR="00690FDC" w:rsidRPr="00302D54">
        <w:rPr>
          <w:rFonts w:asciiTheme="majorHAnsi" w:hAnsiTheme="majorHAnsi"/>
          <w:sz w:val="20"/>
          <w:szCs w:val="20"/>
          <w:lang w:val="es-PE"/>
        </w:rPr>
        <w:t xml:space="preserve"> </w:t>
      </w:r>
      <w:r w:rsidR="004A0D36" w:rsidRPr="00302D54">
        <w:rPr>
          <w:rFonts w:asciiTheme="majorHAnsi" w:hAnsiTheme="majorHAnsi"/>
          <w:sz w:val="20"/>
          <w:szCs w:val="20"/>
          <w:lang w:val="es-PE"/>
        </w:rPr>
        <w:t xml:space="preserve">de sus cargos </w:t>
      </w:r>
      <w:r w:rsidR="00690FDC" w:rsidRPr="00302D54">
        <w:rPr>
          <w:rFonts w:asciiTheme="majorHAnsi" w:hAnsiTheme="majorHAnsi"/>
          <w:sz w:val="20"/>
          <w:szCs w:val="20"/>
          <w:lang w:val="es-PE"/>
        </w:rPr>
        <w:t>no respet</w:t>
      </w:r>
      <w:r w:rsidR="00947234" w:rsidRPr="00302D54">
        <w:rPr>
          <w:rFonts w:asciiTheme="majorHAnsi" w:hAnsiTheme="majorHAnsi"/>
          <w:sz w:val="20"/>
          <w:szCs w:val="20"/>
          <w:lang w:val="es-PE"/>
        </w:rPr>
        <w:t>ó</w:t>
      </w:r>
      <w:r w:rsidR="00690FDC" w:rsidRPr="00302D54">
        <w:rPr>
          <w:rFonts w:asciiTheme="majorHAnsi" w:hAnsiTheme="majorHAnsi"/>
          <w:sz w:val="20"/>
          <w:szCs w:val="20"/>
          <w:lang w:val="es-PE"/>
        </w:rPr>
        <w:t xml:space="preserve"> el plazo legal máximo para la transitoriedad de jueces </w:t>
      </w:r>
      <w:r w:rsidR="0024196C" w:rsidRPr="00302D54">
        <w:rPr>
          <w:rFonts w:asciiTheme="majorHAnsi" w:hAnsiTheme="majorHAnsi"/>
          <w:sz w:val="20"/>
          <w:szCs w:val="20"/>
          <w:lang w:val="es-PE"/>
        </w:rPr>
        <w:t xml:space="preserve">y juezas </w:t>
      </w:r>
      <w:r w:rsidR="00690FDC" w:rsidRPr="00302D54">
        <w:rPr>
          <w:rFonts w:asciiTheme="majorHAnsi" w:hAnsiTheme="majorHAnsi"/>
          <w:sz w:val="20"/>
          <w:szCs w:val="20"/>
          <w:lang w:val="es-PE"/>
        </w:rPr>
        <w:t>establecido</w:t>
      </w:r>
      <w:r w:rsidR="00A777B0" w:rsidRPr="00302D54">
        <w:rPr>
          <w:rFonts w:asciiTheme="majorHAnsi" w:hAnsiTheme="majorHAnsi"/>
          <w:sz w:val="20"/>
          <w:szCs w:val="20"/>
          <w:lang w:val="es-PE"/>
        </w:rPr>
        <w:t xml:space="preserve"> en la</w:t>
      </w:r>
      <w:r w:rsidR="003058DA" w:rsidRPr="00302D54">
        <w:rPr>
          <w:rFonts w:asciiTheme="majorHAnsi" w:hAnsiTheme="majorHAnsi"/>
          <w:sz w:val="20"/>
          <w:szCs w:val="20"/>
          <w:lang w:val="es-PE"/>
        </w:rPr>
        <w:t xml:space="preserve"> </w:t>
      </w:r>
      <w:r w:rsidR="00690FDC" w:rsidRPr="00302D54">
        <w:rPr>
          <w:rFonts w:asciiTheme="majorHAnsi" w:hAnsiTheme="majorHAnsi"/>
          <w:sz w:val="20"/>
          <w:szCs w:val="20"/>
          <w:lang w:val="es-PE"/>
        </w:rPr>
        <w:t>Constitución</w:t>
      </w:r>
      <w:r w:rsidR="00687736" w:rsidRPr="00302D54">
        <w:rPr>
          <w:rFonts w:asciiTheme="majorHAnsi" w:hAnsiTheme="majorHAnsi"/>
          <w:sz w:val="20"/>
          <w:szCs w:val="20"/>
          <w:lang w:val="es-PE"/>
        </w:rPr>
        <w:t xml:space="preserve"> boliviana</w:t>
      </w:r>
      <w:r w:rsidR="003058DA" w:rsidRPr="00302D54">
        <w:rPr>
          <w:rStyle w:val="FootnoteReference"/>
          <w:rFonts w:asciiTheme="majorHAnsi" w:hAnsiTheme="majorHAnsi"/>
          <w:sz w:val="20"/>
          <w:szCs w:val="20"/>
          <w:lang w:val="es-PE"/>
        </w:rPr>
        <w:footnoteReference w:id="7"/>
      </w:r>
      <w:r w:rsidR="00690FDC" w:rsidRPr="00302D54">
        <w:rPr>
          <w:rFonts w:asciiTheme="majorHAnsi" w:hAnsiTheme="majorHAnsi"/>
          <w:sz w:val="20"/>
          <w:szCs w:val="20"/>
          <w:lang w:val="es-PE"/>
        </w:rPr>
        <w:t xml:space="preserve"> </w:t>
      </w:r>
      <w:r w:rsidR="003058DA" w:rsidRPr="00302D54">
        <w:rPr>
          <w:rFonts w:asciiTheme="majorHAnsi" w:hAnsiTheme="majorHAnsi"/>
          <w:sz w:val="20"/>
          <w:szCs w:val="20"/>
          <w:lang w:val="es-PE"/>
        </w:rPr>
        <w:t xml:space="preserve">y </w:t>
      </w:r>
      <w:r w:rsidR="00690FDC" w:rsidRPr="00302D54">
        <w:rPr>
          <w:rFonts w:asciiTheme="majorHAnsi" w:hAnsiTheme="majorHAnsi"/>
          <w:sz w:val="20"/>
          <w:szCs w:val="20"/>
          <w:lang w:val="es-PE"/>
        </w:rPr>
        <w:t xml:space="preserve">la Ley </w:t>
      </w:r>
      <w:r w:rsidR="00690FDC" w:rsidRPr="00302D54">
        <w:rPr>
          <w:rFonts w:asciiTheme="majorHAnsi" w:hAnsiTheme="majorHAnsi"/>
          <w:sz w:val="20"/>
          <w:szCs w:val="20"/>
          <w:lang w:val="es-PE"/>
        </w:rPr>
        <w:lastRenderedPageBreak/>
        <w:t>del Órgano Judicial</w:t>
      </w:r>
      <w:r w:rsidR="003058DA" w:rsidRPr="00302D54">
        <w:rPr>
          <w:rStyle w:val="FootnoteReference"/>
          <w:rFonts w:asciiTheme="majorHAnsi" w:hAnsiTheme="majorHAnsi"/>
          <w:sz w:val="20"/>
          <w:szCs w:val="20"/>
          <w:lang w:val="es-PE"/>
        </w:rPr>
        <w:footnoteReference w:id="8"/>
      </w:r>
      <w:r w:rsidR="003058DA" w:rsidRPr="00302D54">
        <w:rPr>
          <w:rFonts w:asciiTheme="majorHAnsi" w:hAnsiTheme="majorHAnsi"/>
          <w:sz w:val="20"/>
          <w:szCs w:val="20"/>
          <w:lang w:val="es-PE"/>
        </w:rPr>
        <w:t>. En ese sentido, más</w:t>
      </w:r>
      <w:r w:rsidR="00F80F7E" w:rsidRPr="00302D54">
        <w:rPr>
          <w:rFonts w:asciiTheme="majorHAnsi" w:hAnsiTheme="majorHAnsi"/>
          <w:sz w:val="20"/>
          <w:szCs w:val="20"/>
          <w:lang w:val="es-PE"/>
        </w:rPr>
        <w:t xml:space="preserve"> de </w:t>
      </w:r>
      <w:r w:rsidR="004309C7" w:rsidRPr="00302D54">
        <w:rPr>
          <w:rFonts w:asciiTheme="majorHAnsi" w:hAnsiTheme="majorHAnsi"/>
          <w:sz w:val="20"/>
          <w:szCs w:val="20"/>
          <w:lang w:val="es-PE"/>
        </w:rPr>
        <w:t>cinco</w:t>
      </w:r>
      <w:r w:rsidR="00F80F7E" w:rsidRPr="00302D54">
        <w:rPr>
          <w:rFonts w:asciiTheme="majorHAnsi" w:hAnsiTheme="majorHAnsi"/>
          <w:sz w:val="20"/>
          <w:szCs w:val="20"/>
          <w:lang w:val="es-PE"/>
        </w:rPr>
        <w:t xml:space="preserve"> años y medio después de cumplido e</w:t>
      </w:r>
      <w:r w:rsidR="00592C28" w:rsidRPr="00302D54">
        <w:rPr>
          <w:rFonts w:asciiTheme="majorHAnsi" w:hAnsiTheme="majorHAnsi"/>
          <w:sz w:val="20"/>
          <w:szCs w:val="20"/>
          <w:lang w:val="es-PE"/>
        </w:rPr>
        <w:t>l</w:t>
      </w:r>
      <w:r w:rsidR="00F80F7E" w:rsidRPr="00302D54">
        <w:rPr>
          <w:rFonts w:asciiTheme="majorHAnsi" w:hAnsiTheme="majorHAnsi"/>
          <w:sz w:val="20"/>
          <w:szCs w:val="20"/>
          <w:lang w:val="es-PE"/>
        </w:rPr>
        <w:t xml:space="preserve"> plazo legal máximo para la transitoriedad de jueces</w:t>
      </w:r>
      <w:r w:rsidR="00A777B0" w:rsidRPr="00302D54">
        <w:rPr>
          <w:rFonts w:asciiTheme="majorHAnsi" w:hAnsiTheme="majorHAnsi"/>
          <w:sz w:val="20"/>
          <w:szCs w:val="20"/>
          <w:lang w:val="es-PE"/>
        </w:rPr>
        <w:t xml:space="preserve"> y juezas</w:t>
      </w:r>
      <w:r w:rsidR="00F80F7E" w:rsidRPr="00302D54">
        <w:rPr>
          <w:rFonts w:asciiTheme="majorHAnsi" w:hAnsiTheme="majorHAnsi"/>
          <w:sz w:val="20"/>
          <w:szCs w:val="20"/>
          <w:lang w:val="es-PE"/>
        </w:rPr>
        <w:t>, el Consejo de la Magistratura no cumplió con implementar</w:t>
      </w:r>
      <w:r w:rsidR="00F80F7E" w:rsidRPr="00EB4A99">
        <w:rPr>
          <w:rFonts w:asciiTheme="majorHAnsi" w:hAnsiTheme="majorHAnsi"/>
          <w:sz w:val="20"/>
          <w:szCs w:val="20"/>
          <w:lang w:val="es-PE"/>
        </w:rPr>
        <w:t xml:space="preserve"> la carrera judicial mediante algún reglamento y/o procedimiento de ingreso</w:t>
      </w:r>
      <w:r w:rsidR="003058DA" w:rsidRPr="00EB4A99">
        <w:rPr>
          <w:rFonts w:asciiTheme="majorHAnsi" w:hAnsiTheme="majorHAnsi"/>
          <w:sz w:val="20"/>
          <w:szCs w:val="20"/>
          <w:lang w:val="es-PE"/>
        </w:rPr>
        <w:t>, por lo que</w:t>
      </w:r>
      <w:r w:rsidR="007F70E6" w:rsidRPr="00EB4A99">
        <w:rPr>
          <w:rFonts w:asciiTheme="majorHAnsi" w:hAnsiTheme="majorHAnsi"/>
          <w:sz w:val="20"/>
          <w:szCs w:val="20"/>
          <w:lang w:val="es-PE"/>
        </w:rPr>
        <w:t xml:space="preserve"> </w:t>
      </w:r>
      <w:r w:rsidR="00FC52BB">
        <w:rPr>
          <w:rFonts w:asciiTheme="majorHAnsi" w:hAnsiTheme="majorHAnsi"/>
          <w:sz w:val="20"/>
          <w:szCs w:val="20"/>
          <w:lang w:val="es-PE"/>
        </w:rPr>
        <w:t>sus</w:t>
      </w:r>
      <w:r w:rsidR="007F70E6" w:rsidRPr="00EB4A99">
        <w:rPr>
          <w:rFonts w:asciiTheme="majorHAnsi" w:hAnsiTheme="majorHAnsi"/>
          <w:sz w:val="20"/>
          <w:szCs w:val="20"/>
          <w:lang w:val="es-PE"/>
        </w:rPr>
        <w:t xml:space="preserve"> destituciones se realizaron</w:t>
      </w:r>
      <w:r w:rsidR="005A56E3">
        <w:rPr>
          <w:rFonts w:asciiTheme="majorHAnsi" w:hAnsiTheme="majorHAnsi"/>
          <w:sz w:val="20"/>
          <w:szCs w:val="20"/>
          <w:lang w:val="es-PE"/>
        </w:rPr>
        <w:t>, a juicio del peticionario,</w:t>
      </w:r>
      <w:r w:rsidR="007F70E6" w:rsidRPr="00EB4A99">
        <w:rPr>
          <w:rFonts w:asciiTheme="majorHAnsi" w:hAnsiTheme="majorHAnsi"/>
          <w:sz w:val="20"/>
          <w:szCs w:val="20"/>
          <w:lang w:val="es-PE"/>
        </w:rPr>
        <w:t xml:space="preserve"> sin que exista una causa legal y sin seguir un debido proceso.</w:t>
      </w:r>
    </w:p>
    <w:p w14:paraId="019B7B44" w14:textId="6B137688" w:rsidR="00EB4A99" w:rsidRPr="002B3C21" w:rsidRDefault="00EB4A99" w:rsidP="00EB4A99">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b/>
          <w:bCs/>
          <w:sz w:val="20"/>
          <w:szCs w:val="20"/>
          <w:lang w:val="es-PE"/>
        </w:rPr>
      </w:pPr>
      <w:r w:rsidRPr="002B3C21">
        <w:rPr>
          <w:rFonts w:asciiTheme="majorHAnsi" w:hAnsiTheme="majorHAnsi"/>
          <w:b/>
          <w:bCs/>
          <w:sz w:val="20"/>
          <w:szCs w:val="20"/>
          <w:lang w:val="es-PE"/>
        </w:rPr>
        <w:t>Alegatos específicos</w:t>
      </w:r>
    </w:p>
    <w:p w14:paraId="2CDBA6D1" w14:textId="28D3E24C" w:rsidR="00EB4A99" w:rsidRPr="00EB4A99" w:rsidRDefault="00EB4A99" w:rsidP="00EB4A99">
      <w:pPr>
        <w:pStyle w:val="ListParagraph"/>
        <w:spacing w:before="240" w:after="240"/>
        <w:jc w:val="both"/>
        <w:rPr>
          <w:rFonts w:asciiTheme="majorHAnsi" w:hAnsiTheme="majorHAnsi"/>
          <w:i/>
          <w:iCs/>
          <w:sz w:val="20"/>
          <w:szCs w:val="20"/>
          <w:lang w:val="es-PE"/>
        </w:rPr>
      </w:pPr>
      <w:r w:rsidRPr="00EB4A99">
        <w:rPr>
          <w:rFonts w:asciiTheme="majorHAnsi" w:hAnsiTheme="majorHAnsi"/>
          <w:i/>
          <w:iCs/>
          <w:sz w:val="20"/>
          <w:szCs w:val="20"/>
          <w:lang w:val="es-PE"/>
        </w:rPr>
        <w:t>Gonzalo Varnoux (P-2287-16)</w:t>
      </w:r>
    </w:p>
    <w:p w14:paraId="0C955FD5" w14:textId="75F87B8C" w:rsidR="00EB4A99" w:rsidRPr="00302D54" w:rsidRDefault="00B23EB9">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sz w:val="20"/>
          <w:szCs w:val="20"/>
          <w:lang w:val="es-PE"/>
        </w:rPr>
      </w:pPr>
      <w:r w:rsidRPr="00EB4A99">
        <w:rPr>
          <w:rFonts w:asciiTheme="majorHAnsi" w:hAnsiTheme="majorHAnsi"/>
          <w:sz w:val="20"/>
          <w:szCs w:val="20"/>
          <w:lang w:val="es-PE"/>
        </w:rPr>
        <w:t>E</w:t>
      </w:r>
      <w:r w:rsidR="00755EFF" w:rsidRPr="00EB4A99">
        <w:rPr>
          <w:rFonts w:asciiTheme="majorHAnsi" w:hAnsiTheme="majorHAnsi"/>
          <w:sz w:val="20"/>
          <w:szCs w:val="20"/>
          <w:lang w:val="es-PE"/>
        </w:rPr>
        <w:t>n</w:t>
      </w:r>
      <w:r w:rsidR="00557794" w:rsidRPr="00EB4A99">
        <w:rPr>
          <w:rFonts w:asciiTheme="majorHAnsi" w:hAnsiTheme="majorHAnsi"/>
          <w:sz w:val="20"/>
          <w:szCs w:val="20"/>
          <w:lang w:val="es-PE"/>
        </w:rPr>
        <w:t xml:space="preserve"> </w:t>
      </w:r>
      <w:r w:rsidR="005A56E3">
        <w:rPr>
          <w:rFonts w:asciiTheme="majorHAnsi" w:hAnsiTheme="majorHAnsi"/>
          <w:sz w:val="20"/>
          <w:szCs w:val="20"/>
          <w:lang w:val="es-PE"/>
        </w:rPr>
        <w:t xml:space="preserve">el </w:t>
      </w:r>
      <w:r w:rsidR="00557794" w:rsidRPr="00EB4A99">
        <w:rPr>
          <w:rFonts w:asciiTheme="majorHAnsi" w:hAnsiTheme="majorHAnsi"/>
          <w:sz w:val="20"/>
          <w:szCs w:val="20"/>
          <w:lang w:val="es-PE"/>
        </w:rPr>
        <w:t>2004 la Fiscalía</w:t>
      </w:r>
      <w:r w:rsidR="009562AD" w:rsidRPr="00EB4A99">
        <w:rPr>
          <w:rFonts w:asciiTheme="majorHAnsi" w:hAnsiTheme="majorHAnsi"/>
          <w:sz w:val="20"/>
          <w:szCs w:val="20"/>
          <w:lang w:val="es-PE"/>
        </w:rPr>
        <w:t xml:space="preserve"> </w:t>
      </w:r>
      <w:r w:rsidR="00557794" w:rsidRPr="00EB4A99">
        <w:rPr>
          <w:rFonts w:asciiTheme="majorHAnsi" w:hAnsiTheme="majorHAnsi"/>
          <w:sz w:val="20"/>
          <w:szCs w:val="20"/>
          <w:lang w:val="es-PE"/>
        </w:rPr>
        <w:t xml:space="preserve">General del Estado </w:t>
      </w:r>
      <w:r w:rsidR="00592C28" w:rsidRPr="00EB4A99">
        <w:rPr>
          <w:rFonts w:asciiTheme="majorHAnsi" w:hAnsiTheme="majorHAnsi"/>
          <w:sz w:val="20"/>
          <w:szCs w:val="20"/>
          <w:lang w:val="es-PE"/>
        </w:rPr>
        <w:t>designó a</w:t>
      </w:r>
      <w:r w:rsidR="00661C37" w:rsidRPr="00EB4A99">
        <w:rPr>
          <w:rFonts w:asciiTheme="majorHAnsi" w:hAnsiTheme="majorHAnsi"/>
          <w:sz w:val="20"/>
          <w:szCs w:val="20"/>
          <w:lang w:val="es-PE"/>
        </w:rPr>
        <w:t>l señor</w:t>
      </w:r>
      <w:r w:rsidR="00557794" w:rsidRPr="00EB4A99">
        <w:rPr>
          <w:rFonts w:asciiTheme="majorHAnsi" w:hAnsiTheme="majorHAnsi"/>
          <w:sz w:val="20"/>
          <w:szCs w:val="20"/>
          <w:lang w:val="es-PE"/>
        </w:rPr>
        <w:t xml:space="preserve"> Varnoux como Asesor Legal Administrativo I</w:t>
      </w:r>
      <w:r w:rsidR="00592C28" w:rsidRPr="00EB4A99">
        <w:rPr>
          <w:rFonts w:asciiTheme="majorHAnsi" w:hAnsiTheme="majorHAnsi"/>
          <w:sz w:val="20"/>
          <w:szCs w:val="20"/>
          <w:lang w:val="es-PE"/>
        </w:rPr>
        <w:t>. P</w:t>
      </w:r>
      <w:r w:rsidR="002C216A" w:rsidRPr="00EB4A99">
        <w:rPr>
          <w:rFonts w:asciiTheme="majorHAnsi" w:hAnsiTheme="majorHAnsi"/>
          <w:sz w:val="20"/>
          <w:szCs w:val="20"/>
          <w:lang w:val="es-PE"/>
        </w:rPr>
        <w:t>osteriormente en</w:t>
      </w:r>
      <w:r w:rsidR="00557794" w:rsidRPr="00EB4A99">
        <w:rPr>
          <w:rFonts w:asciiTheme="majorHAnsi" w:hAnsiTheme="majorHAnsi"/>
          <w:sz w:val="20"/>
          <w:szCs w:val="20"/>
          <w:lang w:val="es-PE"/>
        </w:rPr>
        <w:t xml:space="preserve"> 2011 </w:t>
      </w:r>
      <w:r w:rsidR="00592C28" w:rsidRPr="00EB4A99">
        <w:rPr>
          <w:rFonts w:asciiTheme="majorHAnsi" w:hAnsiTheme="majorHAnsi"/>
          <w:sz w:val="20"/>
          <w:szCs w:val="20"/>
          <w:lang w:val="es-PE"/>
        </w:rPr>
        <w:t>fue</w:t>
      </w:r>
      <w:r w:rsidR="00557794" w:rsidRPr="00EB4A99">
        <w:rPr>
          <w:rFonts w:asciiTheme="majorHAnsi" w:hAnsiTheme="majorHAnsi"/>
          <w:sz w:val="20"/>
          <w:szCs w:val="20"/>
          <w:lang w:val="es-PE"/>
        </w:rPr>
        <w:t xml:space="preserve"> reasigna</w:t>
      </w:r>
      <w:r w:rsidR="00592C28" w:rsidRPr="00EB4A99">
        <w:rPr>
          <w:rFonts w:asciiTheme="majorHAnsi" w:hAnsiTheme="majorHAnsi"/>
          <w:sz w:val="20"/>
          <w:szCs w:val="20"/>
          <w:lang w:val="es-PE"/>
        </w:rPr>
        <w:t>do</w:t>
      </w:r>
      <w:r w:rsidR="00557794" w:rsidRPr="00EB4A99">
        <w:rPr>
          <w:rFonts w:asciiTheme="majorHAnsi" w:hAnsiTheme="majorHAnsi"/>
          <w:sz w:val="20"/>
          <w:szCs w:val="20"/>
          <w:lang w:val="es-PE"/>
        </w:rPr>
        <w:t xml:space="preserve"> al cargo de Fiscal de Materia I </w:t>
      </w:r>
      <w:r w:rsidR="00FB79E2">
        <w:rPr>
          <w:rFonts w:asciiTheme="majorHAnsi" w:hAnsiTheme="majorHAnsi"/>
          <w:sz w:val="20"/>
          <w:szCs w:val="20"/>
          <w:lang w:val="es-PE"/>
        </w:rPr>
        <w:t>en la</w:t>
      </w:r>
      <w:r w:rsidR="00557794" w:rsidRPr="00EB4A99">
        <w:rPr>
          <w:rFonts w:asciiTheme="majorHAnsi" w:hAnsiTheme="majorHAnsi"/>
          <w:sz w:val="20"/>
          <w:szCs w:val="20"/>
          <w:lang w:val="es-PE"/>
        </w:rPr>
        <w:t xml:space="preserve"> Fiscal</w:t>
      </w:r>
      <w:r w:rsidR="00FB79E2">
        <w:rPr>
          <w:rFonts w:asciiTheme="majorHAnsi" w:hAnsiTheme="majorHAnsi"/>
          <w:sz w:val="20"/>
          <w:szCs w:val="20"/>
          <w:lang w:val="es-PE"/>
        </w:rPr>
        <w:t>ía</w:t>
      </w:r>
      <w:r w:rsidR="00557794" w:rsidRPr="00EB4A99">
        <w:rPr>
          <w:rFonts w:asciiTheme="majorHAnsi" w:hAnsiTheme="majorHAnsi"/>
          <w:sz w:val="20"/>
          <w:szCs w:val="20"/>
          <w:lang w:val="es-PE"/>
        </w:rPr>
        <w:t xml:space="preserve"> de Villa </w:t>
      </w:r>
      <w:r w:rsidR="00557794" w:rsidRPr="00302D54">
        <w:rPr>
          <w:rFonts w:asciiTheme="majorHAnsi" w:hAnsiTheme="majorHAnsi"/>
          <w:sz w:val="20"/>
          <w:szCs w:val="20"/>
          <w:lang w:val="es-PE"/>
        </w:rPr>
        <w:t>Serrano del Departamento de Chuquisaca.</w:t>
      </w:r>
      <w:r w:rsidR="009925D5" w:rsidRPr="00302D54">
        <w:rPr>
          <w:rFonts w:asciiTheme="majorHAnsi" w:hAnsiTheme="majorHAnsi"/>
          <w:sz w:val="20"/>
          <w:szCs w:val="20"/>
          <w:lang w:val="es-PE"/>
        </w:rPr>
        <w:t xml:space="preserve"> Debido a </w:t>
      </w:r>
      <w:r w:rsidRPr="00302D54">
        <w:rPr>
          <w:rFonts w:asciiTheme="majorHAnsi" w:hAnsiTheme="majorHAnsi"/>
          <w:sz w:val="20"/>
          <w:szCs w:val="20"/>
          <w:lang w:val="es-PE"/>
        </w:rPr>
        <w:t>una grave enfermedad renal que requería internamiento y tratamiento continuo</w:t>
      </w:r>
      <w:r w:rsidR="009925D5" w:rsidRPr="00302D54">
        <w:rPr>
          <w:rFonts w:asciiTheme="majorHAnsi" w:hAnsiTheme="majorHAnsi"/>
          <w:sz w:val="20"/>
          <w:szCs w:val="20"/>
          <w:lang w:val="es-PE"/>
        </w:rPr>
        <w:t xml:space="preserve"> estuvo de baja médica del 23 de se</w:t>
      </w:r>
      <w:r w:rsidR="00662C96" w:rsidRPr="00302D54">
        <w:rPr>
          <w:rFonts w:asciiTheme="majorHAnsi" w:hAnsiTheme="majorHAnsi"/>
          <w:sz w:val="20"/>
          <w:szCs w:val="20"/>
          <w:lang w:val="es-PE"/>
        </w:rPr>
        <w:t>p</w:t>
      </w:r>
      <w:r w:rsidR="009925D5" w:rsidRPr="00302D54">
        <w:rPr>
          <w:rFonts w:asciiTheme="majorHAnsi" w:hAnsiTheme="majorHAnsi"/>
          <w:sz w:val="20"/>
          <w:szCs w:val="20"/>
          <w:lang w:val="es-PE"/>
        </w:rPr>
        <w:t>tiembre al 3 de octubre de 2014</w:t>
      </w:r>
      <w:r w:rsidR="00592C28" w:rsidRPr="00302D54">
        <w:rPr>
          <w:rFonts w:asciiTheme="majorHAnsi" w:hAnsiTheme="majorHAnsi"/>
          <w:sz w:val="20"/>
          <w:szCs w:val="20"/>
          <w:lang w:val="es-PE"/>
        </w:rPr>
        <w:t xml:space="preserve">. </w:t>
      </w:r>
      <w:r w:rsidR="00D3437A" w:rsidRPr="00302D54">
        <w:rPr>
          <w:rFonts w:asciiTheme="majorHAnsi" w:hAnsiTheme="majorHAnsi"/>
          <w:sz w:val="20"/>
          <w:szCs w:val="20"/>
          <w:lang w:val="es-PE"/>
        </w:rPr>
        <w:t>U</w:t>
      </w:r>
      <w:r w:rsidR="009925D5" w:rsidRPr="00302D54">
        <w:rPr>
          <w:rFonts w:asciiTheme="majorHAnsi" w:hAnsiTheme="majorHAnsi"/>
          <w:sz w:val="20"/>
          <w:szCs w:val="20"/>
          <w:lang w:val="es-PE"/>
        </w:rPr>
        <w:t xml:space="preserve">n día </w:t>
      </w:r>
      <w:r w:rsidR="002C216A" w:rsidRPr="00302D54">
        <w:rPr>
          <w:rFonts w:asciiTheme="majorHAnsi" w:hAnsiTheme="majorHAnsi"/>
          <w:sz w:val="20"/>
          <w:szCs w:val="20"/>
          <w:lang w:val="es-PE"/>
        </w:rPr>
        <w:t>a</w:t>
      </w:r>
      <w:r w:rsidRPr="00302D54">
        <w:rPr>
          <w:rFonts w:asciiTheme="majorHAnsi" w:hAnsiTheme="majorHAnsi"/>
          <w:sz w:val="20"/>
          <w:szCs w:val="20"/>
          <w:lang w:val="es-PE"/>
        </w:rPr>
        <w:t xml:space="preserve">ntes de que </w:t>
      </w:r>
      <w:r w:rsidR="00FB79E2" w:rsidRPr="00302D54">
        <w:rPr>
          <w:rFonts w:asciiTheme="majorHAnsi" w:hAnsiTheme="majorHAnsi"/>
          <w:sz w:val="20"/>
          <w:szCs w:val="20"/>
          <w:lang w:val="es-PE"/>
        </w:rPr>
        <w:t>e</w:t>
      </w:r>
      <w:r w:rsidR="009925D5" w:rsidRPr="00302D54">
        <w:rPr>
          <w:rFonts w:asciiTheme="majorHAnsi" w:hAnsiTheme="majorHAnsi"/>
          <w:sz w:val="20"/>
          <w:szCs w:val="20"/>
          <w:lang w:val="es-PE"/>
        </w:rPr>
        <w:t xml:space="preserve">sta </w:t>
      </w:r>
      <w:r w:rsidRPr="00302D54">
        <w:rPr>
          <w:rFonts w:asciiTheme="majorHAnsi" w:hAnsiTheme="majorHAnsi"/>
          <w:sz w:val="20"/>
          <w:szCs w:val="20"/>
          <w:lang w:val="es-PE"/>
        </w:rPr>
        <w:t xml:space="preserve">concluyera, </w:t>
      </w:r>
      <w:r w:rsidR="00557794" w:rsidRPr="00302D54">
        <w:rPr>
          <w:rFonts w:asciiTheme="majorHAnsi" w:hAnsiTheme="majorHAnsi"/>
          <w:sz w:val="20"/>
          <w:szCs w:val="20"/>
          <w:lang w:val="es-PE"/>
        </w:rPr>
        <w:t xml:space="preserve">el </w:t>
      </w:r>
      <w:r w:rsidR="00557794" w:rsidRPr="00302D54">
        <w:rPr>
          <w:rFonts w:asciiTheme="majorHAnsi" w:hAnsiTheme="majorHAnsi" w:cs="Baskerville Old Face"/>
          <w:sz w:val="20"/>
          <w:szCs w:val="20"/>
          <w:lang w:val="es-PE"/>
        </w:rPr>
        <w:t>Fiscal</w:t>
      </w:r>
      <w:r w:rsidR="00557794" w:rsidRPr="00302D54">
        <w:rPr>
          <w:rFonts w:asciiTheme="majorHAnsi" w:hAnsiTheme="majorHAnsi"/>
          <w:sz w:val="20"/>
          <w:szCs w:val="20"/>
          <w:lang w:val="es-PE"/>
        </w:rPr>
        <w:t xml:space="preserve"> Departamental de Chuquisaca solicitó </w:t>
      </w:r>
      <w:r w:rsidR="00006AAA" w:rsidRPr="00302D54">
        <w:rPr>
          <w:rFonts w:asciiTheme="majorHAnsi" w:hAnsiTheme="majorHAnsi"/>
          <w:sz w:val="20"/>
          <w:szCs w:val="20"/>
          <w:lang w:val="es-PE"/>
        </w:rPr>
        <w:t>su cese por</w:t>
      </w:r>
      <w:r w:rsidRPr="00302D54">
        <w:rPr>
          <w:rFonts w:asciiTheme="majorHAnsi" w:hAnsiTheme="majorHAnsi"/>
          <w:sz w:val="20"/>
          <w:szCs w:val="20"/>
          <w:lang w:val="es-PE"/>
        </w:rPr>
        <w:t xml:space="preserve"> “</w:t>
      </w:r>
      <w:r w:rsidRPr="00302D54">
        <w:rPr>
          <w:rFonts w:asciiTheme="majorHAnsi" w:hAnsiTheme="majorHAnsi"/>
          <w:i/>
          <w:iCs/>
          <w:sz w:val="20"/>
          <w:szCs w:val="20"/>
          <w:lang w:val="es-PE"/>
        </w:rPr>
        <w:t>motivos de servicio y reorganización institucional”</w:t>
      </w:r>
      <w:r w:rsidR="00557794" w:rsidRPr="00302D54">
        <w:rPr>
          <w:rFonts w:asciiTheme="majorHAnsi" w:hAnsiTheme="majorHAnsi"/>
          <w:sz w:val="20"/>
          <w:szCs w:val="20"/>
          <w:lang w:val="es-PE"/>
        </w:rPr>
        <w:t xml:space="preserve">. </w:t>
      </w:r>
      <w:r w:rsidR="00FB79E2" w:rsidRPr="00302D54">
        <w:rPr>
          <w:rFonts w:asciiTheme="majorHAnsi" w:hAnsiTheme="majorHAnsi"/>
          <w:sz w:val="20"/>
          <w:szCs w:val="20"/>
          <w:lang w:val="es-PE"/>
        </w:rPr>
        <w:t>Debido a</w:t>
      </w:r>
      <w:r w:rsidR="00557794" w:rsidRPr="00302D54">
        <w:rPr>
          <w:rFonts w:asciiTheme="majorHAnsi" w:hAnsiTheme="majorHAnsi"/>
          <w:sz w:val="20"/>
          <w:szCs w:val="20"/>
          <w:lang w:val="es-PE"/>
        </w:rPr>
        <w:t xml:space="preserve"> </w:t>
      </w:r>
      <w:r w:rsidR="002C216A" w:rsidRPr="00302D54">
        <w:rPr>
          <w:rFonts w:asciiTheme="majorHAnsi" w:hAnsiTheme="majorHAnsi"/>
          <w:sz w:val="20"/>
          <w:szCs w:val="20"/>
          <w:lang w:val="es-PE"/>
        </w:rPr>
        <w:t>esta situación</w:t>
      </w:r>
      <w:r w:rsidR="00557794" w:rsidRPr="00302D54">
        <w:rPr>
          <w:rFonts w:asciiTheme="majorHAnsi" w:hAnsiTheme="majorHAnsi"/>
          <w:sz w:val="20"/>
          <w:szCs w:val="20"/>
          <w:lang w:val="es-PE"/>
        </w:rPr>
        <w:t xml:space="preserve"> </w:t>
      </w:r>
      <w:r w:rsidRPr="00302D54">
        <w:rPr>
          <w:rFonts w:asciiTheme="majorHAnsi" w:hAnsiTheme="majorHAnsi"/>
          <w:sz w:val="20"/>
          <w:szCs w:val="20"/>
          <w:lang w:val="es-PE"/>
        </w:rPr>
        <w:t xml:space="preserve">el señor Varnoux </w:t>
      </w:r>
      <w:r w:rsidR="00557794" w:rsidRPr="00302D54">
        <w:rPr>
          <w:rFonts w:asciiTheme="majorHAnsi" w:hAnsiTheme="majorHAnsi"/>
          <w:sz w:val="20"/>
          <w:szCs w:val="20"/>
          <w:lang w:val="es-PE"/>
        </w:rPr>
        <w:t xml:space="preserve">solicitó </w:t>
      </w:r>
      <w:r w:rsidR="002C216A" w:rsidRPr="00302D54">
        <w:rPr>
          <w:rFonts w:asciiTheme="majorHAnsi" w:hAnsiTheme="majorHAnsi"/>
          <w:sz w:val="20"/>
          <w:szCs w:val="20"/>
          <w:lang w:val="es-PE"/>
        </w:rPr>
        <w:t xml:space="preserve">una </w:t>
      </w:r>
      <w:r w:rsidR="00557794" w:rsidRPr="00302D54">
        <w:rPr>
          <w:rFonts w:asciiTheme="majorHAnsi" w:hAnsiTheme="majorHAnsi"/>
          <w:sz w:val="20"/>
          <w:szCs w:val="20"/>
          <w:lang w:val="es-PE"/>
        </w:rPr>
        <w:t>reconsideración ante la Fiscalía</w:t>
      </w:r>
      <w:r w:rsidR="009B72A7" w:rsidRPr="00302D54">
        <w:rPr>
          <w:rFonts w:asciiTheme="majorHAnsi" w:hAnsiTheme="majorHAnsi"/>
          <w:sz w:val="20"/>
          <w:szCs w:val="20"/>
          <w:lang w:val="es-PE"/>
        </w:rPr>
        <w:t xml:space="preserve"> </w:t>
      </w:r>
      <w:r w:rsidR="00557794" w:rsidRPr="00302D54">
        <w:rPr>
          <w:rFonts w:asciiTheme="majorHAnsi" w:hAnsiTheme="majorHAnsi"/>
          <w:sz w:val="20"/>
          <w:szCs w:val="20"/>
          <w:lang w:val="es-PE"/>
        </w:rPr>
        <w:t>General</w:t>
      </w:r>
      <w:r w:rsidRPr="00302D54">
        <w:rPr>
          <w:rFonts w:asciiTheme="majorHAnsi" w:hAnsiTheme="majorHAnsi"/>
          <w:sz w:val="20"/>
          <w:szCs w:val="20"/>
          <w:lang w:val="es-PE"/>
        </w:rPr>
        <w:t xml:space="preserve">, </w:t>
      </w:r>
      <w:r w:rsidR="00584DF4" w:rsidRPr="00302D54">
        <w:rPr>
          <w:rFonts w:asciiTheme="majorHAnsi" w:hAnsiTheme="majorHAnsi"/>
          <w:sz w:val="20"/>
          <w:szCs w:val="20"/>
          <w:lang w:val="es-PE"/>
        </w:rPr>
        <w:t>la cual</w:t>
      </w:r>
      <w:r w:rsidR="00557794" w:rsidRPr="00302D54">
        <w:rPr>
          <w:rFonts w:asciiTheme="majorHAnsi" w:hAnsiTheme="majorHAnsi"/>
          <w:sz w:val="20"/>
          <w:szCs w:val="20"/>
          <w:lang w:val="es-PE"/>
        </w:rPr>
        <w:t xml:space="preserve"> </w:t>
      </w:r>
      <w:r w:rsidR="00662C96" w:rsidRPr="00302D54">
        <w:rPr>
          <w:rFonts w:asciiTheme="majorHAnsi" w:hAnsiTheme="majorHAnsi"/>
          <w:sz w:val="20"/>
          <w:szCs w:val="20"/>
          <w:lang w:val="es-PE"/>
        </w:rPr>
        <w:t xml:space="preserve">le </w:t>
      </w:r>
      <w:r w:rsidR="002C216A" w:rsidRPr="00302D54">
        <w:rPr>
          <w:rFonts w:asciiTheme="majorHAnsi" w:hAnsiTheme="majorHAnsi"/>
          <w:sz w:val="20"/>
          <w:szCs w:val="20"/>
          <w:lang w:val="es-PE"/>
        </w:rPr>
        <w:t>indicó que</w:t>
      </w:r>
      <w:r w:rsidR="00C576A8" w:rsidRPr="00302D54">
        <w:rPr>
          <w:rFonts w:asciiTheme="majorHAnsi" w:hAnsiTheme="majorHAnsi"/>
          <w:sz w:val="20"/>
          <w:szCs w:val="20"/>
          <w:lang w:val="es-PE"/>
        </w:rPr>
        <w:t>,</w:t>
      </w:r>
      <w:r w:rsidR="00557794" w:rsidRPr="00302D54">
        <w:rPr>
          <w:rFonts w:asciiTheme="majorHAnsi" w:hAnsiTheme="majorHAnsi"/>
          <w:sz w:val="20"/>
          <w:szCs w:val="20"/>
          <w:lang w:val="es-PE"/>
        </w:rPr>
        <w:t xml:space="preserve"> </w:t>
      </w:r>
      <w:r w:rsidR="00592C28" w:rsidRPr="00302D54">
        <w:rPr>
          <w:rFonts w:asciiTheme="majorHAnsi" w:hAnsiTheme="majorHAnsi"/>
          <w:sz w:val="20"/>
          <w:szCs w:val="20"/>
          <w:lang w:val="es-PE"/>
        </w:rPr>
        <w:t>según</w:t>
      </w:r>
      <w:r w:rsidR="00557794" w:rsidRPr="00302D54">
        <w:rPr>
          <w:rFonts w:asciiTheme="majorHAnsi" w:hAnsiTheme="majorHAnsi"/>
          <w:sz w:val="20"/>
          <w:szCs w:val="20"/>
          <w:lang w:val="es-PE"/>
        </w:rPr>
        <w:t xml:space="preserve"> la Segunda Disposición Transitoria de la Ley N°</w:t>
      </w:r>
      <w:r w:rsidR="00C576A8" w:rsidRPr="00302D54">
        <w:rPr>
          <w:rFonts w:asciiTheme="majorHAnsi" w:hAnsiTheme="majorHAnsi"/>
          <w:sz w:val="20"/>
          <w:szCs w:val="20"/>
          <w:lang w:val="es-PE"/>
        </w:rPr>
        <w:t xml:space="preserve"> </w:t>
      </w:r>
      <w:r w:rsidR="00557794" w:rsidRPr="00302D54">
        <w:rPr>
          <w:rFonts w:asciiTheme="majorHAnsi" w:hAnsiTheme="majorHAnsi"/>
          <w:sz w:val="20"/>
          <w:szCs w:val="20"/>
          <w:lang w:val="es-PE"/>
        </w:rPr>
        <w:t>260 del Ministerio Público</w:t>
      </w:r>
      <w:r w:rsidR="00C576A8" w:rsidRPr="00302D54">
        <w:rPr>
          <w:rFonts w:asciiTheme="majorHAnsi" w:hAnsiTheme="majorHAnsi"/>
          <w:sz w:val="20"/>
          <w:szCs w:val="20"/>
          <w:lang w:val="es-PE"/>
        </w:rPr>
        <w:t>,</w:t>
      </w:r>
      <w:r w:rsidR="00557794" w:rsidRPr="00302D54">
        <w:rPr>
          <w:rFonts w:asciiTheme="majorHAnsi" w:hAnsiTheme="majorHAnsi"/>
          <w:sz w:val="20"/>
          <w:szCs w:val="20"/>
          <w:lang w:val="es-PE"/>
        </w:rPr>
        <w:t xml:space="preserve"> su cargo era de libre nombramiento</w:t>
      </w:r>
      <w:r w:rsidR="00FB79E2" w:rsidRPr="00302D54">
        <w:rPr>
          <w:rFonts w:asciiTheme="majorHAnsi" w:hAnsiTheme="majorHAnsi"/>
          <w:sz w:val="20"/>
          <w:szCs w:val="20"/>
          <w:lang w:val="es-PE"/>
        </w:rPr>
        <w:t xml:space="preserve"> </w:t>
      </w:r>
      <w:r w:rsidR="00006AAA" w:rsidRPr="00302D54">
        <w:rPr>
          <w:rFonts w:asciiTheme="majorHAnsi" w:hAnsiTheme="majorHAnsi"/>
          <w:sz w:val="20"/>
          <w:szCs w:val="20"/>
          <w:lang w:val="es-PE"/>
        </w:rPr>
        <w:t>por lo que</w:t>
      </w:r>
      <w:r w:rsidR="00557794" w:rsidRPr="00302D54">
        <w:rPr>
          <w:rFonts w:asciiTheme="majorHAnsi" w:hAnsiTheme="majorHAnsi"/>
          <w:sz w:val="20"/>
          <w:szCs w:val="20"/>
          <w:lang w:val="es-PE"/>
        </w:rPr>
        <w:t xml:space="preserve"> no goza</w:t>
      </w:r>
      <w:r w:rsidR="00FB79E2" w:rsidRPr="00302D54">
        <w:rPr>
          <w:rFonts w:asciiTheme="majorHAnsi" w:hAnsiTheme="majorHAnsi"/>
          <w:sz w:val="20"/>
          <w:szCs w:val="20"/>
          <w:lang w:val="es-PE"/>
        </w:rPr>
        <w:t>ba</w:t>
      </w:r>
      <w:r w:rsidR="00557794" w:rsidRPr="00302D54">
        <w:rPr>
          <w:rFonts w:asciiTheme="majorHAnsi" w:hAnsiTheme="majorHAnsi"/>
          <w:sz w:val="20"/>
          <w:szCs w:val="20"/>
          <w:lang w:val="es-PE"/>
        </w:rPr>
        <w:t xml:space="preserve"> de estabilidad laboral. </w:t>
      </w:r>
      <w:r w:rsidR="001A2846" w:rsidRPr="00302D54">
        <w:rPr>
          <w:rFonts w:asciiTheme="majorHAnsi" w:hAnsiTheme="majorHAnsi"/>
          <w:sz w:val="20"/>
          <w:szCs w:val="20"/>
          <w:lang w:val="es-PE"/>
        </w:rPr>
        <w:t xml:space="preserve">En consecuencia, </w:t>
      </w:r>
      <w:r w:rsidR="00FB1D9C" w:rsidRPr="00302D54">
        <w:rPr>
          <w:rFonts w:asciiTheme="majorHAnsi" w:hAnsiTheme="majorHAnsi"/>
          <w:sz w:val="20"/>
          <w:szCs w:val="20"/>
          <w:lang w:val="es-PE"/>
        </w:rPr>
        <w:t xml:space="preserve">aquel </w:t>
      </w:r>
      <w:r w:rsidR="00557794" w:rsidRPr="00302D54">
        <w:rPr>
          <w:rFonts w:asciiTheme="majorHAnsi" w:hAnsiTheme="majorHAnsi"/>
          <w:sz w:val="20"/>
          <w:szCs w:val="20"/>
          <w:lang w:val="es-PE"/>
        </w:rPr>
        <w:t xml:space="preserve">fue dado de baja del seguro de salud con el que estaba </w:t>
      </w:r>
      <w:r w:rsidR="00662C96" w:rsidRPr="00302D54">
        <w:rPr>
          <w:rFonts w:asciiTheme="majorHAnsi" w:hAnsiTheme="majorHAnsi"/>
          <w:sz w:val="20"/>
          <w:szCs w:val="20"/>
          <w:lang w:val="es-PE"/>
        </w:rPr>
        <w:t xml:space="preserve">recibiendo </w:t>
      </w:r>
      <w:r w:rsidR="00592C28" w:rsidRPr="00302D54">
        <w:rPr>
          <w:rFonts w:asciiTheme="majorHAnsi" w:hAnsiTheme="majorHAnsi"/>
          <w:sz w:val="20"/>
          <w:szCs w:val="20"/>
          <w:lang w:val="es-PE"/>
        </w:rPr>
        <w:t>trata</w:t>
      </w:r>
      <w:r w:rsidR="00662C96" w:rsidRPr="00302D54">
        <w:rPr>
          <w:rFonts w:asciiTheme="majorHAnsi" w:hAnsiTheme="majorHAnsi"/>
          <w:sz w:val="20"/>
          <w:szCs w:val="20"/>
          <w:lang w:val="es-PE"/>
        </w:rPr>
        <w:t>miento</w:t>
      </w:r>
      <w:r w:rsidR="00557794" w:rsidRPr="00302D54">
        <w:rPr>
          <w:rFonts w:asciiTheme="majorHAnsi" w:hAnsiTheme="majorHAnsi"/>
          <w:sz w:val="20"/>
          <w:szCs w:val="20"/>
          <w:lang w:val="es-PE"/>
        </w:rPr>
        <w:t>.</w:t>
      </w:r>
      <w:r w:rsidR="002C216A" w:rsidRPr="00302D54">
        <w:rPr>
          <w:rFonts w:asciiTheme="majorHAnsi" w:hAnsiTheme="majorHAnsi"/>
          <w:sz w:val="20"/>
          <w:szCs w:val="20"/>
          <w:lang w:val="es-PE"/>
        </w:rPr>
        <w:t xml:space="preserve"> </w:t>
      </w:r>
    </w:p>
    <w:p w14:paraId="221C6D6C" w14:textId="77777777" w:rsidR="00EB4A99" w:rsidRPr="00302D54" w:rsidRDefault="00EB4A99" w:rsidP="00EB4A99">
      <w:pPr>
        <w:pStyle w:val="ListParagraph"/>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sz w:val="20"/>
          <w:szCs w:val="20"/>
          <w:lang w:val="es-PE"/>
        </w:rPr>
      </w:pPr>
    </w:p>
    <w:p w14:paraId="2B06D629" w14:textId="08DEF402" w:rsidR="00EB4A99" w:rsidRPr="00C754B8" w:rsidRDefault="00AC1E3C" w:rsidP="0AADADC4">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sz w:val="20"/>
          <w:szCs w:val="20"/>
          <w:lang w:val="es-ES"/>
        </w:rPr>
      </w:pPr>
      <w:r w:rsidRPr="00C754B8">
        <w:rPr>
          <w:rFonts w:asciiTheme="majorHAnsi" w:hAnsiTheme="majorHAnsi"/>
          <w:sz w:val="20"/>
          <w:szCs w:val="20"/>
          <w:lang w:val="es-ES"/>
        </w:rPr>
        <w:t>El peticionario a</w:t>
      </w:r>
      <w:r w:rsidR="00592C28" w:rsidRPr="00C754B8">
        <w:rPr>
          <w:rFonts w:asciiTheme="majorHAnsi" w:hAnsiTheme="majorHAnsi"/>
          <w:sz w:val="20"/>
          <w:szCs w:val="20"/>
          <w:lang w:val="es-ES"/>
        </w:rPr>
        <w:t>lega que esta</w:t>
      </w:r>
      <w:r w:rsidR="00557794" w:rsidRPr="00C754B8">
        <w:rPr>
          <w:rFonts w:asciiTheme="majorHAnsi" w:hAnsiTheme="majorHAnsi"/>
          <w:sz w:val="20"/>
          <w:szCs w:val="20"/>
          <w:lang w:val="es-ES"/>
        </w:rPr>
        <w:t xml:space="preserve"> decisión no se </w:t>
      </w:r>
      <w:r w:rsidR="00592C28" w:rsidRPr="00C754B8">
        <w:rPr>
          <w:rFonts w:asciiTheme="majorHAnsi" w:hAnsiTheme="majorHAnsi"/>
          <w:sz w:val="20"/>
          <w:szCs w:val="20"/>
          <w:lang w:val="es-ES"/>
        </w:rPr>
        <w:t>ajusta</w:t>
      </w:r>
      <w:r w:rsidR="00557794" w:rsidRPr="00C754B8">
        <w:rPr>
          <w:rFonts w:asciiTheme="majorHAnsi" w:hAnsiTheme="majorHAnsi"/>
          <w:sz w:val="20"/>
          <w:szCs w:val="20"/>
          <w:lang w:val="es-ES"/>
        </w:rPr>
        <w:t xml:space="preserve"> a la Ley N°</w:t>
      </w:r>
      <w:r w:rsidR="00662C96" w:rsidRPr="00C754B8">
        <w:rPr>
          <w:rFonts w:asciiTheme="majorHAnsi" w:hAnsiTheme="majorHAnsi"/>
          <w:sz w:val="20"/>
          <w:szCs w:val="20"/>
          <w:lang w:val="es-ES"/>
        </w:rPr>
        <w:t xml:space="preserve"> </w:t>
      </w:r>
      <w:r w:rsidR="00557794" w:rsidRPr="00C754B8">
        <w:rPr>
          <w:rFonts w:asciiTheme="majorHAnsi" w:hAnsiTheme="majorHAnsi"/>
          <w:sz w:val="20"/>
          <w:szCs w:val="20"/>
          <w:lang w:val="es-ES"/>
        </w:rPr>
        <w:t xml:space="preserve">260, </w:t>
      </w:r>
      <w:r w:rsidR="00592C28" w:rsidRPr="00C754B8">
        <w:rPr>
          <w:rFonts w:asciiTheme="majorHAnsi" w:hAnsiTheme="majorHAnsi"/>
          <w:sz w:val="20"/>
          <w:szCs w:val="20"/>
          <w:lang w:val="es-ES"/>
        </w:rPr>
        <w:t xml:space="preserve">ya que dicha norma </w:t>
      </w:r>
      <w:r w:rsidR="00557794" w:rsidRPr="00C754B8">
        <w:rPr>
          <w:rFonts w:asciiTheme="majorHAnsi" w:hAnsiTheme="majorHAnsi"/>
          <w:sz w:val="20"/>
          <w:szCs w:val="20"/>
          <w:lang w:val="es-ES"/>
        </w:rPr>
        <w:t xml:space="preserve">no otorga facultades para disponer la libre remoción de fiscales, </w:t>
      </w:r>
      <w:r w:rsidR="00592C28" w:rsidRPr="00C754B8">
        <w:rPr>
          <w:rFonts w:asciiTheme="majorHAnsi" w:hAnsiTheme="majorHAnsi"/>
          <w:sz w:val="20"/>
          <w:szCs w:val="20"/>
          <w:lang w:val="es-ES"/>
        </w:rPr>
        <w:t xml:space="preserve">sino que </w:t>
      </w:r>
      <w:r w:rsidR="00557794" w:rsidRPr="00C754B8">
        <w:rPr>
          <w:rFonts w:asciiTheme="majorHAnsi" w:hAnsiTheme="majorHAnsi"/>
          <w:sz w:val="20"/>
          <w:szCs w:val="20"/>
          <w:lang w:val="es-ES"/>
        </w:rPr>
        <w:t>dispone que “</w:t>
      </w:r>
      <w:r w:rsidR="00D50CFB" w:rsidRPr="00C754B8">
        <w:rPr>
          <w:rFonts w:asciiTheme="majorHAnsi" w:hAnsiTheme="majorHAnsi"/>
          <w:i/>
          <w:iCs/>
          <w:sz w:val="20"/>
          <w:szCs w:val="20"/>
          <w:lang w:val="es-ES"/>
        </w:rPr>
        <w:t>e</w:t>
      </w:r>
      <w:r w:rsidR="00557794" w:rsidRPr="00C754B8">
        <w:rPr>
          <w:rFonts w:asciiTheme="majorHAnsi" w:hAnsiTheme="majorHAnsi"/>
          <w:i/>
          <w:iCs/>
          <w:sz w:val="20"/>
          <w:szCs w:val="20"/>
          <w:lang w:val="es-ES"/>
        </w:rPr>
        <w:t>n tanto no se designen Fiscales de Materia incorporados a la carrera fiscal institucionalizados conforme a la presente Ley, el Fiscal General del Estado podrá designar interinamente en los cargos vacantes</w:t>
      </w:r>
      <w:r w:rsidR="00557794" w:rsidRPr="00C754B8">
        <w:rPr>
          <w:rFonts w:asciiTheme="majorHAnsi" w:hAnsiTheme="majorHAnsi"/>
          <w:sz w:val="20"/>
          <w:szCs w:val="20"/>
          <w:lang w:val="es-ES"/>
        </w:rPr>
        <w:t xml:space="preserve">”.  </w:t>
      </w:r>
      <w:r w:rsidR="00592C28" w:rsidRPr="00C754B8">
        <w:rPr>
          <w:rFonts w:asciiTheme="majorHAnsi" w:hAnsiTheme="majorHAnsi"/>
          <w:sz w:val="20"/>
          <w:szCs w:val="20"/>
          <w:lang w:val="es-ES"/>
        </w:rPr>
        <w:t xml:space="preserve">Según </w:t>
      </w:r>
      <w:r w:rsidR="00557794" w:rsidRPr="00C754B8">
        <w:rPr>
          <w:rFonts w:asciiTheme="majorHAnsi" w:hAnsiTheme="majorHAnsi"/>
          <w:sz w:val="20"/>
          <w:szCs w:val="20"/>
          <w:lang w:val="es-ES"/>
        </w:rPr>
        <w:t xml:space="preserve">el peticionario, esta </w:t>
      </w:r>
      <w:r w:rsidR="00592C28" w:rsidRPr="00C754B8">
        <w:rPr>
          <w:rFonts w:asciiTheme="majorHAnsi" w:hAnsiTheme="majorHAnsi"/>
          <w:sz w:val="20"/>
          <w:szCs w:val="20"/>
          <w:lang w:val="es-ES"/>
        </w:rPr>
        <w:t>disposición</w:t>
      </w:r>
      <w:r w:rsidR="00557794" w:rsidRPr="00C754B8">
        <w:rPr>
          <w:rFonts w:asciiTheme="majorHAnsi" w:hAnsiTheme="majorHAnsi"/>
          <w:sz w:val="20"/>
          <w:szCs w:val="20"/>
          <w:lang w:val="es-ES"/>
        </w:rPr>
        <w:t xml:space="preserve"> garantiza que </w:t>
      </w:r>
      <w:r w:rsidR="004573D9" w:rsidRPr="00C754B8">
        <w:rPr>
          <w:rFonts w:asciiTheme="majorHAnsi" w:hAnsiTheme="majorHAnsi"/>
          <w:sz w:val="20"/>
          <w:szCs w:val="20"/>
          <w:lang w:val="es-ES"/>
        </w:rPr>
        <w:t>un</w:t>
      </w:r>
      <w:r w:rsidR="00557794" w:rsidRPr="00C754B8">
        <w:rPr>
          <w:rFonts w:asciiTheme="majorHAnsi" w:hAnsiTheme="majorHAnsi"/>
          <w:sz w:val="20"/>
          <w:szCs w:val="20"/>
          <w:lang w:val="es-ES"/>
        </w:rPr>
        <w:t xml:space="preserve"> funcionari</w:t>
      </w:r>
      <w:r w:rsidR="004573D9" w:rsidRPr="00C754B8">
        <w:rPr>
          <w:rFonts w:asciiTheme="majorHAnsi" w:hAnsiTheme="majorHAnsi"/>
          <w:sz w:val="20"/>
          <w:szCs w:val="20"/>
          <w:lang w:val="es-ES"/>
        </w:rPr>
        <w:t>o</w:t>
      </w:r>
      <w:r w:rsidR="00557794" w:rsidRPr="00C754B8">
        <w:rPr>
          <w:rFonts w:asciiTheme="majorHAnsi" w:hAnsiTheme="majorHAnsi"/>
          <w:sz w:val="20"/>
          <w:szCs w:val="20"/>
          <w:lang w:val="es-ES"/>
        </w:rPr>
        <w:t>, aunque sea de manera provisional, no sea despedid</w:t>
      </w:r>
      <w:r w:rsidR="004573D9" w:rsidRPr="00C754B8">
        <w:rPr>
          <w:rFonts w:asciiTheme="majorHAnsi" w:hAnsiTheme="majorHAnsi"/>
          <w:sz w:val="20"/>
          <w:szCs w:val="20"/>
          <w:lang w:val="es-ES"/>
        </w:rPr>
        <w:t>o</w:t>
      </w:r>
      <w:r w:rsidR="00557794" w:rsidRPr="00C754B8">
        <w:rPr>
          <w:rFonts w:asciiTheme="majorHAnsi" w:hAnsiTheme="majorHAnsi"/>
          <w:sz w:val="20"/>
          <w:szCs w:val="20"/>
          <w:lang w:val="es-ES"/>
        </w:rPr>
        <w:t xml:space="preserve"> </w:t>
      </w:r>
      <w:r w:rsidR="00592C28" w:rsidRPr="00C754B8">
        <w:rPr>
          <w:rFonts w:asciiTheme="majorHAnsi" w:hAnsiTheme="majorHAnsi"/>
          <w:sz w:val="20"/>
          <w:szCs w:val="20"/>
          <w:lang w:val="es-ES"/>
        </w:rPr>
        <w:t>sin que antes se</w:t>
      </w:r>
      <w:r w:rsidR="00557794" w:rsidRPr="00C754B8">
        <w:rPr>
          <w:rFonts w:asciiTheme="majorHAnsi" w:hAnsiTheme="majorHAnsi"/>
          <w:sz w:val="20"/>
          <w:szCs w:val="20"/>
          <w:lang w:val="es-ES"/>
        </w:rPr>
        <w:t xml:space="preserve"> haya realizado un previo proceso de institucionalización del Ministerio Público, </w:t>
      </w:r>
      <w:r w:rsidR="0032746B" w:rsidRPr="00C754B8">
        <w:rPr>
          <w:rFonts w:asciiTheme="majorHAnsi" w:hAnsiTheme="majorHAnsi"/>
          <w:sz w:val="20"/>
          <w:szCs w:val="20"/>
          <w:lang w:val="es-ES"/>
        </w:rPr>
        <w:t>el</w:t>
      </w:r>
      <w:r w:rsidR="00557794" w:rsidRPr="00C754B8">
        <w:rPr>
          <w:rFonts w:asciiTheme="majorHAnsi" w:hAnsiTheme="majorHAnsi"/>
          <w:sz w:val="20"/>
          <w:szCs w:val="20"/>
          <w:lang w:val="es-ES"/>
        </w:rPr>
        <w:t xml:space="preserve"> cual no </w:t>
      </w:r>
      <w:r w:rsidR="00592C28" w:rsidRPr="00C754B8">
        <w:rPr>
          <w:rFonts w:asciiTheme="majorHAnsi" w:hAnsiTheme="majorHAnsi"/>
          <w:sz w:val="20"/>
          <w:szCs w:val="20"/>
          <w:lang w:val="es-ES"/>
        </w:rPr>
        <w:t>ocurri</w:t>
      </w:r>
      <w:r w:rsidR="00FD4C93" w:rsidRPr="00C754B8">
        <w:rPr>
          <w:rFonts w:asciiTheme="majorHAnsi" w:hAnsiTheme="majorHAnsi"/>
          <w:sz w:val="20"/>
          <w:szCs w:val="20"/>
          <w:lang w:val="es-ES"/>
        </w:rPr>
        <w:t>ó</w:t>
      </w:r>
      <w:r w:rsidR="00592C28" w:rsidRPr="00C754B8">
        <w:rPr>
          <w:rFonts w:asciiTheme="majorHAnsi" w:hAnsiTheme="majorHAnsi"/>
          <w:sz w:val="20"/>
          <w:szCs w:val="20"/>
          <w:lang w:val="es-ES"/>
        </w:rPr>
        <w:t>.</w:t>
      </w:r>
    </w:p>
    <w:p w14:paraId="4052A7FB" w14:textId="77777777" w:rsidR="00EB4A99" w:rsidRPr="00302D54" w:rsidRDefault="00EB4A99" w:rsidP="00EB4A99">
      <w:pPr>
        <w:pStyle w:val="ListParagraph"/>
        <w:rPr>
          <w:rFonts w:asciiTheme="majorHAnsi" w:hAnsiTheme="majorHAnsi"/>
          <w:sz w:val="20"/>
          <w:szCs w:val="20"/>
          <w:lang w:val="es-PE"/>
        </w:rPr>
      </w:pPr>
    </w:p>
    <w:p w14:paraId="00D886FE" w14:textId="2C2C22A6" w:rsidR="00EB4A99" w:rsidRPr="00302D54" w:rsidRDefault="00B23EB9">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sz w:val="20"/>
          <w:szCs w:val="20"/>
          <w:lang w:val="es-PE"/>
        </w:rPr>
      </w:pPr>
      <w:r w:rsidRPr="00302D54">
        <w:rPr>
          <w:rFonts w:asciiTheme="majorHAnsi" w:hAnsiTheme="majorHAnsi"/>
          <w:sz w:val="20"/>
          <w:szCs w:val="20"/>
          <w:lang w:val="es-PE"/>
        </w:rPr>
        <w:t xml:space="preserve">Por </w:t>
      </w:r>
      <w:r w:rsidR="00592C28" w:rsidRPr="00302D54">
        <w:rPr>
          <w:rFonts w:asciiTheme="majorHAnsi" w:hAnsiTheme="majorHAnsi"/>
          <w:sz w:val="20"/>
          <w:szCs w:val="20"/>
          <w:lang w:val="es-PE"/>
        </w:rPr>
        <w:t>ese</w:t>
      </w:r>
      <w:r w:rsidRPr="00302D54">
        <w:rPr>
          <w:rFonts w:asciiTheme="majorHAnsi" w:hAnsiTheme="majorHAnsi"/>
          <w:sz w:val="20"/>
          <w:szCs w:val="20"/>
          <w:lang w:val="es-PE"/>
        </w:rPr>
        <w:t xml:space="preserve"> motivo</w:t>
      </w:r>
      <w:r w:rsidR="00755EFF" w:rsidRPr="00302D54">
        <w:rPr>
          <w:rFonts w:asciiTheme="majorHAnsi" w:hAnsiTheme="majorHAnsi"/>
          <w:sz w:val="20"/>
          <w:szCs w:val="20"/>
          <w:lang w:val="es-PE"/>
        </w:rPr>
        <w:t xml:space="preserve">, </w:t>
      </w:r>
      <w:r w:rsidR="00557794" w:rsidRPr="00302D54">
        <w:rPr>
          <w:rFonts w:asciiTheme="majorHAnsi" w:hAnsiTheme="majorHAnsi"/>
          <w:sz w:val="20"/>
          <w:szCs w:val="20"/>
          <w:lang w:val="es-PE"/>
        </w:rPr>
        <w:t xml:space="preserve">el señor Varnoux presentó </w:t>
      </w:r>
      <w:r w:rsidR="00755EFF" w:rsidRPr="00302D54">
        <w:rPr>
          <w:rFonts w:asciiTheme="majorHAnsi" w:hAnsiTheme="majorHAnsi"/>
          <w:sz w:val="20"/>
          <w:szCs w:val="20"/>
          <w:lang w:val="es-PE"/>
        </w:rPr>
        <w:t>dos</w:t>
      </w:r>
      <w:r w:rsidR="00557794" w:rsidRPr="00302D54">
        <w:rPr>
          <w:rFonts w:asciiTheme="majorHAnsi" w:hAnsiTheme="majorHAnsi"/>
          <w:sz w:val="20"/>
          <w:szCs w:val="20"/>
          <w:lang w:val="es-PE"/>
        </w:rPr>
        <w:t xml:space="preserve"> acci</w:t>
      </w:r>
      <w:r w:rsidR="00755EFF" w:rsidRPr="00302D54">
        <w:rPr>
          <w:rFonts w:asciiTheme="majorHAnsi" w:hAnsiTheme="majorHAnsi"/>
          <w:sz w:val="20"/>
          <w:szCs w:val="20"/>
          <w:lang w:val="es-PE"/>
        </w:rPr>
        <w:t>ones</w:t>
      </w:r>
      <w:r w:rsidR="00557794" w:rsidRPr="00302D54">
        <w:rPr>
          <w:rFonts w:asciiTheme="majorHAnsi" w:hAnsiTheme="majorHAnsi"/>
          <w:sz w:val="20"/>
          <w:szCs w:val="20"/>
          <w:lang w:val="es-PE"/>
        </w:rPr>
        <w:t xml:space="preserve"> de amparo</w:t>
      </w:r>
      <w:r w:rsidR="00755EFF" w:rsidRPr="00302D54">
        <w:rPr>
          <w:rFonts w:asciiTheme="majorHAnsi" w:hAnsiTheme="majorHAnsi"/>
          <w:sz w:val="20"/>
          <w:szCs w:val="20"/>
          <w:lang w:val="es-PE"/>
        </w:rPr>
        <w:t xml:space="preserve">. </w:t>
      </w:r>
      <w:r w:rsidR="00062B02" w:rsidRPr="00302D54">
        <w:rPr>
          <w:rFonts w:asciiTheme="majorHAnsi" w:hAnsiTheme="majorHAnsi"/>
          <w:sz w:val="20"/>
          <w:szCs w:val="20"/>
          <w:lang w:val="es-PE"/>
        </w:rPr>
        <w:t>La primera</w:t>
      </w:r>
      <w:r w:rsidR="00755EFF" w:rsidRPr="00302D54">
        <w:rPr>
          <w:rFonts w:asciiTheme="majorHAnsi" w:hAnsiTheme="majorHAnsi"/>
          <w:sz w:val="20"/>
          <w:szCs w:val="20"/>
          <w:lang w:val="es-PE"/>
        </w:rPr>
        <w:t xml:space="preserve"> ante</w:t>
      </w:r>
      <w:r w:rsidR="00557794" w:rsidRPr="00302D54">
        <w:rPr>
          <w:rFonts w:asciiTheme="majorHAnsi" w:hAnsiTheme="majorHAnsi"/>
          <w:sz w:val="20"/>
          <w:szCs w:val="20"/>
          <w:lang w:val="es-PE"/>
        </w:rPr>
        <w:t xml:space="preserve"> la Sala Social, Administrativa, Contenciosa y Contenciosa Administrativa del Tribunal Departamental de Justicia de Chuquisaca</w:t>
      </w:r>
      <w:r w:rsidR="00755EFF" w:rsidRPr="00302D54">
        <w:rPr>
          <w:rFonts w:asciiTheme="majorHAnsi" w:hAnsiTheme="majorHAnsi"/>
          <w:sz w:val="20"/>
          <w:szCs w:val="20"/>
          <w:lang w:val="es-PE"/>
        </w:rPr>
        <w:t xml:space="preserve">, </w:t>
      </w:r>
      <w:r w:rsidR="00302D54" w:rsidRPr="00302D54">
        <w:rPr>
          <w:rFonts w:asciiTheme="majorHAnsi" w:hAnsiTheme="majorHAnsi"/>
          <w:sz w:val="20"/>
          <w:szCs w:val="20"/>
          <w:lang w:val="es-PE"/>
        </w:rPr>
        <w:t>pero esta</w:t>
      </w:r>
      <w:r w:rsidR="00592C28" w:rsidRPr="00302D54">
        <w:rPr>
          <w:rFonts w:asciiTheme="majorHAnsi" w:hAnsiTheme="majorHAnsi"/>
          <w:sz w:val="20"/>
          <w:szCs w:val="20"/>
          <w:lang w:val="es-PE"/>
        </w:rPr>
        <w:t xml:space="preserve"> no emitió pronunciamiento</w:t>
      </w:r>
      <w:r w:rsidR="00006AAA" w:rsidRPr="00302D54">
        <w:rPr>
          <w:rFonts w:asciiTheme="majorHAnsi" w:hAnsiTheme="majorHAnsi"/>
          <w:sz w:val="20"/>
          <w:szCs w:val="20"/>
          <w:lang w:val="es-PE"/>
        </w:rPr>
        <w:t xml:space="preserve"> </w:t>
      </w:r>
      <w:r w:rsidR="00557794" w:rsidRPr="00302D54">
        <w:rPr>
          <w:rFonts w:asciiTheme="majorHAnsi" w:hAnsiTheme="majorHAnsi"/>
          <w:sz w:val="20"/>
          <w:szCs w:val="20"/>
          <w:lang w:val="es-PE"/>
        </w:rPr>
        <w:t>sobre el fondo del asunto</w:t>
      </w:r>
      <w:r w:rsidR="00755EFF" w:rsidRPr="00302D54">
        <w:rPr>
          <w:rFonts w:asciiTheme="majorHAnsi" w:hAnsiTheme="majorHAnsi"/>
          <w:sz w:val="20"/>
          <w:szCs w:val="20"/>
          <w:lang w:val="es-PE"/>
        </w:rPr>
        <w:t xml:space="preserve">. La segunda, </w:t>
      </w:r>
      <w:r w:rsidR="00557794" w:rsidRPr="00302D54">
        <w:rPr>
          <w:rFonts w:asciiTheme="majorHAnsi" w:hAnsiTheme="majorHAnsi"/>
          <w:sz w:val="20"/>
          <w:szCs w:val="20"/>
          <w:lang w:val="es-PE"/>
        </w:rPr>
        <w:t xml:space="preserve">ante la Sala Penal Segunda del Tribunal Departamental de Justicia de Chuquisaca, </w:t>
      </w:r>
      <w:r w:rsidR="007741C8" w:rsidRPr="00302D54">
        <w:rPr>
          <w:rFonts w:asciiTheme="majorHAnsi" w:hAnsiTheme="majorHAnsi"/>
          <w:sz w:val="20"/>
          <w:szCs w:val="20"/>
          <w:lang w:val="es-PE"/>
        </w:rPr>
        <w:t>que</w:t>
      </w:r>
      <w:r w:rsidR="00592C28" w:rsidRPr="00302D54">
        <w:rPr>
          <w:rFonts w:asciiTheme="majorHAnsi" w:hAnsiTheme="majorHAnsi"/>
          <w:sz w:val="20"/>
          <w:szCs w:val="20"/>
          <w:lang w:val="es-PE"/>
        </w:rPr>
        <w:t xml:space="preserve"> </w:t>
      </w:r>
      <w:r w:rsidR="00755EFF" w:rsidRPr="00302D54">
        <w:rPr>
          <w:rFonts w:asciiTheme="majorHAnsi" w:hAnsiTheme="majorHAnsi"/>
          <w:sz w:val="20"/>
          <w:szCs w:val="20"/>
          <w:lang w:val="es-PE"/>
        </w:rPr>
        <w:t xml:space="preserve">dejó </w:t>
      </w:r>
      <w:r w:rsidR="00557794" w:rsidRPr="00302D54">
        <w:rPr>
          <w:rFonts w:asciiTheme="majorHAnsi" w:hAnsiTheme="majorHAnsi"/>
          <w:sz w:val="20"/>
          <w:szCs w:val="20"/>
          <w:lang w:val="es-PE"/>
        </w:rPr>
        <w:t>sin efecto la decisión de la Fiscalía General y orden</w:t>
      </w:r>
      <w:r w:rsidR="00C814C0" w:rsidRPr="00302D54">
        <w:rPr>
          <w:rFonts w:asciiTheme="majorHAnsi" w:hAnsiTheme="majorHAnsi"/>
          <w:sz w:val="20"/>
          <w:szCs w:val="20"/>
          <w:lang w:val="es-PE"/>
        </w:rPr>
        <w:t>ó</w:t>
      </w:r>
      <w:r w:rsidR="00557794" w:rsidRPr="00302D54">
        <w:rPr>
          <w:rFonts w:asciiTheme="majorHAnsi" w:hAnsiTheme="majorHAnsi"/>
          <w:sz w:val="20"/>
          <w:szCs w:val="20"/>
          <w:lang w:val="es-PE"/>
        </w:rPr>
        <w:t xml:space="preserve"> </w:t>
      </w:r>
      <w:r w:rsidR="00592C28" w:rsidRPr="00302D54">
        <w:rPr>
          <w:rFonts w:asciiTheme="majorHAnsi" w:hAnsiTheme="majorHAnsi"/>
          <w:sz w:val="20"/>
          <w:szCs w:val="20"/>
          <w:lang w:val="es-PE"/>
        </w:rPr>
        <w:t>su</w:t>
      </w:r>
      <w:r w:rsidR="00557794" w:rsidRPr="00302D54">
        <w:rPr>
          <w:rFonts w:asciiTheme="majorHAnsi" w:hAnsiTheme="majorHAnsi"/>
          <w:sz w:val="20"/>
          <w:szCs w:val="20"/>
          <w:lang w:val="es-PE"/>
        </w:rPr>
        <w:t xml:space="preserve"> inmediata</w:t>
      </w:r>
      <w:r w:rsidR="00592C28" w:rsidRPr="00302D54">
        <w:rPr>
          <w:rFonts w:asciiTheme="majorHAnsi" w:hAnsiTheme="majorHAnsi"/>
          <w:sz w:val="20"/>
          <w:szCs w:val="20"/>
          <w:lang w:val="es-PE"/>
        </w:rPr>
        <w:t xml:space="preserve"> restitución en</w:t>
      </w:r>
      <w:r w:rsidR="00557794" w:rsidRPr="00302D54">
        <w:rPr>
          <w:rFonts w:asciiTheme="majorHAnsi" w:hAnsiTheme="majorHAnsi"/>
          <w:sz w:val="20"/>
          <w:szCs w:val="20"/>
          <w:lang w:val="es-PE"/>
        </w:rPr>
        <w:t xml:space="preserve"> sus funciones, </w:t>
      </w:r>
      <w:r w:rsidR="00592C28" w:rsidRPr="00302D54">
        <w:rPr>
          <w:rFonts w:asciiTheme="majorHAnsi" w:hAnsiTheme="majorHAnsi"/>
          <w:sz w:val="20"/>
          <w:szCs w:val="20"/>
          <w:lang w:val="es-PE"/>
        </w:rPr>
        <w:t xml:space="preserve">permitiéndole así recuperar el acceso </w:t>
      </w:r>
      <w:r w:rsidR="00557794" w:rsidRPr="00302D54">
        <w:rPr>
          <w:rFonts w:asciiTheme="majorHAnsi" w:hAnsiTheme="majorHAnsi"/>
          <w:sz w:val="20"/>
          <w:szCs w:val="20"/>
          <w:lang w:val="es-PE"/>
        </w:rPr>
        <w:t>a las prestaciones de salud para el tratamiento de su enfermedad renal.</w:t>
      </w:r>
    </w:p>
    <w:p w14:paraId="0DBF6A56" w14:textId="77777777" w:rsidR="00EB4A99" w:rsidRPr="00302D54" w:rsidRDefault="00EB4A99" w:rsidP="00EB4A99">
      <w:pPr>
        <w:pStyle w:val="ListParagraph"/>
        <w:rPr>
          <w:rFonts w:asciiTheme="majorHAnsi" w:hAnsiTheme="majorHAnsi"/>
          <w:sz w:val="20"/>
          <w:szCs w:val="20"/>
          <w:lang w:val="es-PE"/>
        </w:rPr>
      </w:pPr>
    </w:p>
    <w:p w14:paraId="5AA1A9DC" w14:textId="7644BD64" w:rsidR="00EB4A99" w:rsidRPr="00302D54" w:rsidRDefault="00F12A3B">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sz w:val="20"/>
          <w:szCs w:val="20"/>
          <w:lang w:val="es-PE"/>
        </w:rPr>
      </w:pPr>
      <w:r w:rsidRPr="00302D54">
        <w:rPr>
          <w:rFonts w:asciiTheme="majorHAnsi" w:hAnsiTheme="majorHAnsi"/>
          <w:sz w:val="20"/>
          <w:szCs w:val="20"/>
          <w:lang w:val="es-PE"/>
        </w:rPr>
        <w:t>Debido a</w:t>
      </w:r>
      <w:r w:rsidR="00592C28" w:rsidRPr="00302D54">
        <w:rPr>
          <w:rFonts w:asciiTheme="majorHAnsi" w:hAnsiTheme="majorHAnsi"/>
          <w:sz w:val="20"/>
          <w:szCs w:val="20"/>
          <w:lang w:val="es-PE"/>
        </w:rPr>
        <w:t xml:space="preserve"> la existencia d</w:t>
      </w:r>
      <w:r w:rsidR="00661C37" w:rsidRPr="00302D54">
        <w:rPr>
          <w:rFonts w:asciiTheme="majorHAnsi" w:hAnsiTheme="majorHAnsi"/>
          <w:sz w:val="20"/>
          <w:szCs w:val="20"/>
          <w:lang w:val="es-PE"/>
        </w:rPr>
        <w:t>e</w:t>
      </w:r>
      <w:r w:rsidR="00557794" w:rsidRPr="00302D54">
        <w:rPr>
          <w:rFonts w:asciiTheme="majorHAnsi" w:hAnsiTheme="majorHAnsi"/>
          <w:sz w:val="20"/>
          <w:szCs w:val="20"/>
          <w:lang w:val="es-PE"/>
        </w:rPr>
        <w:t xml:space="preserve"> dos </w:t>
      </w:r>
      <w:r w:rsidR="00B23EB9" w:rsidRPr="00302D54">
        <w:rPr>
          <w:rFonts w:asciiTheme="majorHAnsi" w:hAnsiTheme="majorHAnsi"/>
          <w:sz w:val="20"/>
          <w:szCs w:val="20"/>
          <w:lang w:val="es-PE"/>
        </w:rPr>
        <w:t xml:space="preserve">procesos de </w:t>
      </w:r>
      <w:r w:rsidR="00557794" w:rsidRPr="00302D54">
        <w:rPr>
          <w:rFonts w:asciiTheme="majorHAnsi" w:hAnsiTheme="majorHAnsi"/>
          <w:sz w:val="20"/>
          <w:szCs w:val="20"/>
          <w:lang w:val="es-PE"/>
        </w:rPr>
        <w:t>amparo</w:t>
      </w:r>
      <w:r w:rsidR="00755EFF" w:rsidRPr="00302D54">
        <w:rPr>
          <w:rFonts w:asciiTheme="majorHAnsi" w:hAnsiTheme="majorHAnsi"/>
          <w:sz w:val="20"/>
          <w:szCs w:val="20"/>
          <w:lang w:val="es-PE"/>
        </w:rPr>
        <w:t>, e</w:t>
      </w:r>
      <w:r w:rsidR="00557794" w:rsidRPr="00302D54">
        <w:rPr>
          <w:rFonts w:asciiTheme="majorHAnsi" w:hAnsiTheme="majorHAnsi"/>
          <w:sz w:val="20"/>
          <w:szCs w:val="20"/>
          <w:lang w:val="es-PE"/>
        </w:rPr>
        <w:t xml:space="preserve">l Tribunal Constitucional </w:t>
      </w:r>
      <w:r w:rsidR="00B23EB9" w:rsidRPr="00302D54">
        <w:rPr>
          <w:rFonts w:asciiTheme="majorHAnsi" w:hAnsiTheme="majorHAnsi"/>
          <w:sz w:val="20"/>
          <w:szCs w:val="20"/>
          <w:lang w:val="es-PE"/>
        </w:rPr>
        <w:t>acumuló</w:t>
      </w:r>
      <w:r w:rsidR="00557794" w:rsidRPr="00302D54">
        <w:rPr>
          <w:rFonts w:asciiTheme="majorHAnsi" w:hAnsiTheme="majorHAnsi"/>
          <w:sz w:val="20"/>
          <w:szCs w:val="20"/>
          <w:lang w:val="es-PE"/>
        </w:rPr>
        <w:t xml:space="preserve"> los expedientes</w:t>
      </w:r>
      <w:r w:rsidR="00662C96" w:rsidRPr="00302D54">
        <w:rPr>
          <w:rFonts w:asciiTheme="majorHAnsi" w:hAnsiTheme="majorHAnsi"/>
          <w:sz w:val="20"/>
          <w:szCs w:val="20"/>
          <w:lang w:val="es-PE"/>
        </w:rPr>
        <w:t xml:space="preserve"> y desestimó las demandas</w:t>
      </w:r>
      <w:r w:rsidR="00557794" w:rsidRPr="00302D54">
        <w:rPr>
          <w:rFonts w:asciiTheme="majorHAnsi" w:hAnsiTheme="majorHAnsi"/>
          <w:sz w:val="20"/>
          <w:szCs w:val="20"/>
          <w:lang w:val="es-PE"/>
        </w:rPr>
        <w:t>.</w:t>
      </w:r>
      <w:r w:rsidR="00662C96" w:rsidRPr="00302D54">
        <w:rPr>
          <w:rFonts w:asciiTheme="majorHAnsi" w:hAnsiTheme="majorHAnsi"/>
          <w:sz w:val="20"/>
          <w:szCs w:val="20"/>
          <w:lang w:val="es-PE"/>
        </w:rPr>
        <w:t xml:space="preserve"> Para ello, dicho órgano </w:t>
      </w:r>
      <w:r w:rsidR="00755EFF" w:rsidRPr="00302D54">
        <w:rPr>
          <w:rFonts w:asciiTheme="majorHAnsi" w:hAnsiTheme="majorHAnsi"/>
          <w:sz w:val="20"/>
          <w:szCs w:val="20"/>
          <w:lang w:val="es-PE"/>
        </w:rPr>
        <w:t>alegó</w:t>
      </w:r>
      <w:r w:rsidR="00557794" w:rsidRPr="00302D54">
        <w:rPr>
          <w:rFonts w:asciiTheme="majorHAnsi" w:hAnsiTheme="majorHAnsi"/>
          <w:sz w:val="20"/>
          <w:szCs w:val="20"/>
          <w:lang w:val="es-PE"/>
        </w:rPr>
        <w:t xml:space="preserve"> que</w:t>
      </w:r>
      <w:r w:rsidR="00E324E4" w:rsidRPr="00302D54">
        <w:rPr>
          <w:rFonts w:asciiTheme="majorHAnsi" w:hAnsiTheme="majorHAnsi"/>
          <w:sz w:val="20"/>
          <w:szCs w:val="20"/>
          <w:lang w:val="es-PE"/>
        </w:rPr>
        <w:t>,</w:t>
      </w:r>
      <w:r w:rsidR="00557794" w:rsidRPr="00302D54">
        <w:rPr>
          <w:rFonts w:asciiTheme="majorHAnsi" w:hAnsiTheme="majorHAnsi"/>
          <w:sz w:val="20"/>
          <w:szCs w:val="20"/>
          <w:lang w:val="es-PE"/>
        </w:rPr>
        <w:t xml:space="preserve"> de acuerdo con su jurisprudencia</w:t>
      </w:r>
      <w:r w:rsidR="00E324E4" w:rsidRPr="00302D54">
        <w:rPr>
          <w:rFonts w:asciiTheme="majorHAnsi" w:hAnsiTheme="majorHAnsi"/>
          <w:sz w:val="20"/>
          <w:szCs w:val="20"/>
          <w:lang w:val="es-PE"/>
        </w:rPr>
        <w:t>,</w:t>
      </w:r>
      <w:r w:rsidR="00557794" w:rsidRPr="00302D54">
        <w:rPr>
          <w:rFonts w:asciiTheme="majorHAnsi" w:hAnsiTheme="majorHAnsi"/>
          <w:sz w:val="20"/>
          <w:szCs w:val="20"/>
          <w:lang w:val="es-PE"/>
        </w:rPr>
        <w:t xml:space="preserve"> los funcionarios provisorios no gozan del derecho a la estabilidad laboral</w:t>
      </w:r>
      <w:r w:rsidR="00755EFF" w:rsidRPr="00302D54">
        <w:rPr>
          <w:rFonts w:asciiTheme="majorHAnsi" w:hAnsiTheme="majorHAnsi"/>
          <w:sz w:val="20"/>
          <w:szCs w:val="20"/>
          <w:lang w:val="es-PE"/>
        </w:rPr>
        <w:t xml:space="preserve">, por lo que la Fiscalía General no </w:t>
      </w:r>
      <w:r w:rsidR="00754555" w:rsidRPr="00302D54">
        <w:rPr>
          <w:rFonts w:asciiTheme="majorHAnsi" w:hAnsiTheme="majorHAnsi"/>
          <w:sz w:val="20"/>
          <w:szCs w:val="20"/>
          <w:lang w:val="es-PE"/>
        </w:rPr>
        <w:t>habría vulnerado</w:t>
      </w:r>
      <w:r w:rsidR="00592C28" w:rsidRPr="00302D54">
        <w:rPr>
          <w:rFonts w:asciiTheme="majorHAnsi" w:hAnsiTheme="majorHAnsi"/>
          <w:sz w:val="20"/>
          <w:szCs w:val="20"/>
          <w:lang w:val="es-PE"/>
        </w:rPr>
        <w:t xml:space="preserve"> </w:t>
      </w:r>
      <w:r w:rsidR="00B23EB9" w:rsidRPr="00302D54">
        <w:rPr>
          <w:rFonts w:asciiTheme="majorHAnsi" w:hAnsiTheme="majorHAnsi"/>
          <w:sz w:val="20"/>
          <w:szCs w:val="20"/>
          <w:lang w:val="es-PE"/>
        </w:rPr>
        <w:t>ningún derecho</w:t>
      </w:r>
      <w:r w:rsidR="00557794" w:rsidRPr="00302D54">
        <w:rPr>
          <w:rFonts w:asciiTheme="majorHAnsi" w:hAnsiTheme="majorHAnsi"/>
          <w:sz w:val="20"/>
          <w:szCs w:val="20"/>
          <w:lang w:val="es-PE"/>
        </w:rPr>
        <w:t xml:space="preserve">. </w:t>
      </w:r>
      <w:r w:rsidR="00661C37" w:rsidRPr="00302D54">
        <w:rPr>
          <w:rFonts w:asciiTheme="majorHAnsi" w:hAnsiTheme="majorHAnsi"/>
          <w:sz w:val="20"/>
          <w:szCs w:val="20"/>
          <w:lang w:val="es-PE"/>
        </w:rPr>
        <w:t xml:space="preserve">Las autoridades </w:t>
      </w:r>
      <w:r w:rsidR="006819B3" w:rsidRPr="00302D54">
        <w:rPr>
          <w:rFonts w:asciiTheme="majorHAnsi" w:hAnsiTheme="majorHAnsi"/>
          <w:sz w:val="20"/>
          <w:szCs w:val="20"/>
          <w:lang w:val="es-PE"/>
        </w:rPr>
        <w:t xml:space="preserve">le </w:t>
      </w:r>
      <w:r w:rsidR="00661C37" w:rsidRPr="00302D54">
        <w:rPr>
          <w:rFonts w:asciiTheme="majorHAnsi" w:hAnsiTheme="majorHAnsi"/>
          <w:sz w:val="20"/>
          <w:szCs w:val="20"/>
          <w:lang w:val="es-PE"/>
        </w:rPr>
        <w:t>notificaron esta última decisión el 20 de mayo de 2016.</w:t>
      </w:r>
    </w:p>
    <w:p w14:paraId="06FE4FDE" w14:textId="77777777" w:rsidR="00EB4A99" w:rsidRPr="00302D54" w:rsidRDefault="00EB4A99" w:rsidP="00EB4A99">
      <w:pPr>
        <w:pStyle w:val="ListParagraph"/>
        <w:rPr>
          <w:rFonts w:asciiTheme="majorHAnsi" w:hAnsiTheme="majorHAnsi"/>
          <w:sz w:val="20"/>
          <w:szCs w:val="20"/>
          <w:lang w:val="es-PE"/>
        </w:rPr>
      </w:pPr>
    </w:p>
    <w:p w14:paraId="37E65E38" w14:textId="49BBBA53" w:rsidR="009A6ED0" w:rsidRPr="00302D54" w:rsidRDefault="001577C1" w:rsidP="009A6ED0">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sz w:val="20"/>
          <w:szCs w:val="20"/>
          <w:lang w:val="es-PE"/>
        </w:rPr>
      </w:pPr>
      <w:r w:rsidRPr="00302D54">
        <w:rPr>
          <w:rFonts w:asciiTheme="majorHAnsi" w:hAnsiTheme="majorHAnsi"/>
          <w:sz w:val="20"/>
          <w:szCs w:val="20"/>
          <w:lang w:val="es-PE"/>
        </w:rPr>
        <w:t xml:space="preserve">Finalmente, además de las vulneraciones a la Convención Americana, el peticionario </w:t>
      </w:r>
      <w:r w:rsidR="004F1704" w:rsidRPr="00302D54">
        <w:rPr>
          <w:rFonts w:asciiTheme="majorHAnsi" w:hAnsiTheme="majorHAnsi"/>
          <w:sz w:val="20"/>
          <w:szCs w:val="20"/>
          <w:lang w:val="es-PE"/>
        </w:rPr>
        <w:t xml:space="preserve">aduce </w:t>
      </w:r>
      <w:r w:rsidRPr="00302D54">
        <w:rPr>
          <w:rFonts w:asciiTheme="majorHAnsi" w:hAnsiTheme="majorHAnsi"/>
          <w:sz w:val="20"/>
          <w:szCs w:val="20"/>
          <w:lang w:val="es-PE"/>
        </w:rPr>
        <w:t>que también se ha v</w:t>
      </w:r>
      <w:r w:rsidR="00592C28" w:rsidRPr="00302D54">
        <w:rPr>
          <w:rFonts w:asciiTheme="majorHAnsi" w:hAnsiTheme="majorHAnsi"/>
          <w:sz w:val="20"/>
          <w:szCs w:val="20"/>
          <w:lang w:val="es-PE"/>
        </w:rPr>
        <w:t>iolado</w:t>
      </w:r>
      <w:r w:rsidRPr="00302D54">
        <w:rPr>
          <w:rFonts w:asciiTheme="majorHAnsi" w:hAnsiTheme="majorHAnsi"/>
          <w:sz w:val="20"/>
          <w:szCs w:val="20"/>
          <w:lang w:val="es-PE"/>
        </w:rPr>
        <w:t xml:space="preserve"> la Convención Interamericana para la Eliminación de todas las Formas de Discriminación contra las </w:t>
      </w:r>
      <w:r w:rsidR="0021039C" w:rsidRPr="00302D54">
        <w:rPr>
          <w:rFonts w:asciiTheme="majorHAnsi" w:hAnsiTheme="majorHAnsi"/>
          <w:sz w:val="20"/>
          <w:szCs w:val="20"/>
          <w:lang w:val="es-PE"/>
        </w:rPr>
        <w:t>P</w:t>
      </w:r>
      <w:r w:rsidRPr="00302D54">
        <w:rPr>
          <w:rFonts w:asciiTheme="majorHAnsi" w:hAnsiTheme="majorHAnsi"/>
          <w:sz w:val="20"/>
          <w:szCs w:val="20"/>
          <w:lang w:val="es-PE"/>
        </w:rPr>
        <w:t>ersonas con Discapacidad</w:t>
      </w:r>
      <w:r w:rsidR="00661C37" w:rsidRPr="00302D54">
        <w:rPr>
          <w:rFonts w:asciiTheme="majorHAnsi" w:hAnsiTheme="majorHAnsi"/>
          <w:sz w:val="20"/>
          <w:szCs w:val="20"/>
          <w:lang w:val="es-PE"/>
        </w:rPr>
        <w:t>,</w:t>
      </w:r>
      <w:r w:rsidR="0021039C" w:rsidRPr="00302D54">
        <w:rPr>
          <w:rFonts w:asciiTheme="majorHAnsi" w:hAnsiTheme="majorHAnsi"/>
          <w:sz w:val="20"/>
          <w:szCs w:val="20"/>
          <w:lang w:val="es-PE"/>
        </w:rPr>
        <w:t xml:space="preserve"> </w:t>
      </w:r>
      <w:r w:rsidR="009A6ED0" w:rsidRPr="00302D54">
        <w:rPr>
          <w:rFonts w:asciiTheme="majorHAnsi" w:hAnsiTheme="majorHAnsi"/>
          <w:sz w:val="20"/>
          <w:szCs w:val="20"/>
          <w:lang w:val="es-PE"/>
        </w:rPr>
        <w:t xml:space="preserve">ya que el Estado no tomó en cuenta que el señor Varnoux presentaba una </w:t>
      </w:r>
      <w:r w:rsidR="00A43712" w:rsidRPr="00302D54">
        <w:rPr>
          <w:rFonts w:asciiTheme="majorHAnsi" w:hAnsiTheme="majorHAnsi"/>
          <w:sz w:val="20"/>
          <w:szCs w:val="20"/>
          <w:lang w:val="es-PE"/>
        </w:rPr>
        <w:t>incapacidad temporal</w:t>
      </w:r>
      <w:r w:rsidR="009A6ED0" w:rsidRPr="00302D54">
        <w:rPr>
          <w:rFonts w:asciiTheme="majorHAnsi" w:hAnsiTheme="majorHAnsi"/>
          <w:sz w:val="20"/>
          <w:szCs w:val="20"/>
          <w:lang w:val="es-PE"/>
        </w:rPr>
        <w:t xml:space="preserve"> para trabajar debido a su enfermedad renal. A criterio del peticionario, en virtud del citado tratado Bolivia tenía el deber de proporcionar una protección especial.</w:t>
      </w:r>
    </w:p>
    <w:p w14:paraId="4FA766E0" w14:textId="77777777" w:rsidR="009A6ED0" w:rsidRDefault="009A6ED0" w:rsidP="009A6ED0">
      <w:pPr>
        <w:pStyle w:val="ListParagraph"/>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heme="majorHAnsi" w:hAnsiTheme="majorHAnsi"/>
          <w:i/>
          <w:iCs/>
          <w:sz w:val="20"/>
          <w:szCs w:val="20"/>
          <w:lang w:val="es-PE"/>
        </w:rPr>
      </w:pPr>
    </w:p>
    <w:p w14:paraId="68563221" w14:textId="6F529EEA" w:rsidR="00EB4A99" w:rsidRPr="009A6ED0" w:rsidRDefault="00EB4A99" w:rsidP="009A6ED0">
      <w:pPr>
        <w:pStyle w:val="ListParagraph"/>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sz w:val="20"/>
          <w:szCs w:val="20"/>
          <w:lang w:val="es-PE"/>
        </w:rPr>
      </w:pPr>
      <w:r w:rsidRPr="009A6ED0">
        <w:rPr>
          <w:rFonts w:asciiTheme="majorHAnsi" w:hAnsiTheme="majorHAnsi"/>
          <w:i/>
          <w:iCs/>
          <w:sz w:val="20"/>
          <w:szCs w:val="20"/>
          <w:lang w:val="es-PE"/>
        </w:rPr>
        <w:t>Gisela Amanda Valda Clavijo (P-2722-18)</w:t>
      </w:r>
    </w:p>
    <w:p w14:paraId="1AAAB7FB" w14:textId="77777777" w:rsidR="009A6ED0" w:rsidRPr="009A6ED0" w:rsidRDefault="009A6ED0" w:rsidP="009A6ED0">
      <w:pPr>
        <w:pStyle w:val="ListParagraph"/>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sz w:val="20"/>
          <w:szCs w:val="20"/>
          <w:lang w:val="es-PE"/>
        </w:rPr>
      </w:pPr>
    </w:p>
    <w:p w14:paraId="6F196986" w14:textId="094592A9" w:rsidR="00EB4A99" w:rsidRPr="00302D54" w:rsidRDefault="008A6E9E">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sz w:val="20"/>
          <w:szCs w:val="20"/>
          <w:lang w:val="es-PE"/>
        </w:rPr>
      </w:pPr>
      <w:r>
        <w:rPr>
          <w:rFonts w:asciiTheme="majorHAnsi" w:hAnsiTheme="majorHAnsi"/>
          <w:sz w:val="20"/>
          <w:szCs w:val="20"/>
          <w:lang w:val="es-AR"/>
        </w:rPr>
        <w:t>L</w:t>
      </w:r>
      <w:r w:rsidR="00C505CE" w:rsidRPr="00EB4A99">
        <w:rPr>
          <w:rFonts w:asciiTheme="majorHAnsi" w:hAnsiTheme="majorHAnsi"/>
          <w:sz w:val="20"/>
          <w:szCs w:val="20"/>
          <w:lang w:val="es-PE"/>
        </w:rPr>
        <w:t xml:space="preserve">a </w:t>
      </w:r>
      <w:r w:rsidR="00906F48" w:rsidRPr="00302D54">
        <w:rPr>
          <w:rFonts w:asciiTheme="majorHAnsi" w:hAnsiTheme="majorHAnsi"/>
          <w:sz w:val="20"/>
          <w:szCs w:val="20"/>
          <w:lang w:val="es-PE"/>
        </w:rPr>
        <w:t>señora Valda</w:t>
      </w:r>
      <w:r w:rsidR="00C505CE" w:rsidRPr="00302D54">
        <w:rPr>
          <w:rFonts w:asciiTheme="majorHAnsi" w:hAnsiTheme="majorHAnsi"/>
          <w:sz w:val="20"/>
          <w:szCs w:val="20"/>
          <w:lang w:val="es-PE"/>
        </w:rPr>
        <w:t xml:space="preserve"> ingresó a la carrera judicial</w:t>
      </w:r>
      <w:r w:rsidR="00A65D0E" w:rsidRPr="00302D54">
        <w:rPr>
          <w:rFonts w:asciiTheme="majorHAnsi" w:hAnsiTheme="majorHAnsi"/>
          <w:sz w:val="20"/>
          <w:szCs w:val="20"/>
          <w:lang w:val="es-PE"/>
        </w:rPr>
        <w:t xml:space="preserve"> en 2008</w:t>
      </w:r>
      <w:r w:rsidR="00A03D24" w:rsidRPr="00302D54">
        <w:rPr>
          <w:rFonts w:asciiTheme="majorHAnsi" w:hAnsiTheme="majorHAnsi"/>
          <w:sz w:val="20"/>
          <w:szCs w:val="20"/>
          <w:lang w:val="es-PE"/>
        </w:rPr>
        <w:t xml:space="preserve"> tras </w:t>
      </w:r>
      <w:r w:rsidR="001E4145" w:rsidRPr="00302D54">
        <w:rPr>
          <w:rFonts w:asciiTheme="majorHAnsi" w:hAnsiTheme="majorHAnsi"/>
          <w:sz w:val="20"/>
          <w:szCs w:val="20"/>
          <w:lang w:val="es-PE"/>
        </w:rPr>
        <w:t xml:space="preserve">aprobar el VI Curso de </w:t>
      </w:r>
      <w:r w:rsidR="00A03D24" w:rsidRPr="00302D54">
        <w:rPr>
          <w:rFonts w:asciiTheme="majorHAnsi" w:hAnsiTheme="majorHAnsi"/>
          <w:sz w:val="20"/>
          <w:szCs w:val="20"/>
          <w:lang w:val="es-PE"/>
        </w:rPr>
        <w:t>F</w:t>
      </w:r>
      <w:r w:rsidR="001E4145" w:rsidRPr="00302D54">
        <w:rPr>
          <w:rFonts w:asciiTheme="majorHAnsi" w:hAnsiTheme="majorHAnsi"/>
          <w:sz w:val="20"/>
          <w:szCs w:val="20"/>
          <w:lang w:val="es-PE"/>
        </w:rPr>
        <w:t xml:space="preserve">ormación </w:t>
      </w:r>
      <w:r w:rsidR="00A03D24" w:rsidRPr="00302D54">
        <w:rPr>
          <w:rFonts w:asciiTheme="majorHAnsi" w:hAnsiTheme="majorHAnsi"/>
          <w:sz w:val="20"/>
          <w:szCs w:val="20"/>
          <w:lang w:val="es-PE"/>
        </w:rPr>
        <w:t>I</w:t>
      </w:r>
      <w:r w:rsidR="001E4145" w:rsidRPr="00302D54">
        <w:rPr>
          <w:rFonts w:asciiTheme="majorHAnsi" w:hAnsiTheme="majorHAnsi"/>
          <w:sz w:val="20"/>
          <w:szCs w:val="20"/>
          <w:lang w:val="es-PE"/>
        </w:rPr>
        <w:t xml:space="preserve">nicial para </w:t>
      </w:r>
      <w:r w:rsidR="00A03D24" w:rsidRPr="00302D54">
        <w:rPr>
          <w:rFonts w:asciiTheme="majorHAnsi" w:hAnsiTheme="majorHAnsi"/>
          <w:sz w:val="20"/>
          <w:szCs w:val="20"/>
          <w:lang w:val="es-PE"/>
        </w:rPr>
        <w:t xml:space="preserve">el </w:t>
      </w:r>
      <w:r w:rsidR="001E4145" w:rsidRPr="00302D54">
        <w:rPr>
          <w:rFonts w:asciiTheme="majorHAnsi" w:hAnsiTheme="majorHAnsi"/>
          <w:sz w:val="20"/>
          <w:szCs w:val="20"/>
          <w:lang w:val="es-PE"/>
        </w:rPr>
        <w:t>ingreso a la Carrera Judicial</w:t>
      </w:r>
      <w:r w:rsidR="00C505CE" w:rsidRPr="00302D54">
        <w:rPr>
          <w:rFonts w:asciiTheme="majorHAnsi" w:hAnsiTheme="majorHAnsi"/>
          <w:sz w:val="20"/>
          <w:szCs w:val="20"/>
          <w:lang w:val="es-PE"/>
        </w:rPr>
        <w:t xml:space="preserve">. </w:t>
      </w:r>
      <w:r w:rsidR="00A03D24" w:rsidRPr="00302D54">
        <w:rPr>
          <w:rFonts w:asciiTheme="majorHAnsi" w:hAnsiTheme="majorHAnsi"/>
          <w:sz w:val="20"/>
          <w:szCs w:val="20"/>
          <w:lang w:val="es-PE"/>
        </w:rPr>
        <w:t xml:space="preserve">Fue </w:t>
      </w:r>
      <w:r w:rsidR="001E4145" w:rsidRPr="00302D54">
        <w:rPr>
          <w:rFonts w:asciiTheme="majorHAnsi" w:hAnsiTheme="majorHAnsi"/>
          <w:sz w:val="20"/>
          <w:szCs w:val="20"/>
          <w:lang w:val="es-PE"/>
        </w:rPr>
        <w:t xml:space="preserve">designada </w:t>
      </w:r>
      <w:r w:rsidR="00A03D24" w:rsidRPr="00302D54">
        <w:rPr>
          <w:rFonts w:asciiTheme="majorHAnsi" w:hAnsiTheme="majorHAnsi"/>
          <w:sz w:val="20"/>
          <w:szCs w:val="20"/>
          <w:lang w:val="es-PE"/>
        </w:rPr>
        <w:t xml:space="preserve">inicialmente como </w:t>
      </w:r>
      <w:r w:rsidR="001E4145" w:rsidRPr="00302D54">
        <w:rPr>
          <w:rFonts w:asciiTheme="majorHAnsi" w:hAnsiTheme="majorHAnsi"/>
          <w:sz w:val="20"/>
          <w:szCs w:val="20"/>
          <w:lang w:val="es-PE"/>
        </w:rPr>
        <w:t>Jueza de Instrucción Mixto y Cautelar de Cliza</w:t>
      </w:r>
      <w:r w:rsidR="00A03D24" w:rsidRPr="00302D54">
        <w:rPr>
          <w:rFonts w:asciiTheme="majorHAnsi" w:hAnsiTheme="majorHAnsi"/>
          <w:sz w:val="20"/>
          <w:szCs w:val="20"/>
          <w:lang w:val="es-PE"/>
        </w:rPr>
        <w:t>. Luego</w:t>
      </w:r>
      <w:r w:rsidR="00F32F19" w:rsidRPr="00302D54">
        <w:rPr>
          <w:rFonts w:asciiTheme="majorHAnsi" w:hAnsiTheme="majorHAnsi"/>
          <w:sz w:val="20"/>
          <w:szCs w:val="20"/>
          <w:lang w:val="es-PE"/>
        </w:rPr>
        <w:t>,</w:t>
      </w:r>
      <w:r w:rsidR="001E4145" w:rsidRPr="00302D54">
        <w:rPr>
          <w:rFonts w:asciiTheme="majorHAnsi" w:hAnsiTheme="majorHAnsi"/>
          <w:sz w:val="20"/>
          <w:szCs w:val="20"/>
          <w:lang w:val="es-PE"/>
        </w:rPr>
        <w:t xml:space="preserve"> </w:t>
      </w:r>
      <w:r w:rsidR="00A65D0E" w:rsidRPr="00302D54">
        <w:rPr>
          <w:rFonts w:asciiTheme="majorHAnsi" w:hAnsiTheme="majorHAnsi"/>
          <w:sz w:val="20"/>
          <w:szCs w:val="20"/>
          <w:lang w:val="es-PE"/>
        </w:rPr>
        <w:t>en</w:t>
      </w:r>
      <w:r w:rsidR="001E4145" w:rsidRPr="00302D54">
        <w:rPr>
          <w:rFonts w:asciiTheme="majorHAnsi" w:hAnsiTheme="majorHAnsi"/>
          <w:sz w:val="20"/>
          <w:szCs w:val="20"/>
          <w:lang w:val="es-PE"/>
        </w:rPr>
        <w:t xml:space="preserve"> 2010</w:t>
      </w:r>
      <w:r w:rsidR="00F32F19" w:rsidRPr="00302D54">
        <w:rPr>
          <w:rFonts w:asciiTheme="majorHAnsi" w:hAnsiTheme="majorHAnsi"/>
          <w:sz w:val="20"/>
          <w:szCs w:val="20"/>
          <w:lang w:val="es-PE"/>
        </w:rPr>
        <w:t>,</w:t>
      </w:r>
      <w:r w:rsidR="001E4145" w:rsidRPr="00302D54">
        <w:rPr>
          <w:rFonts w:asciiTheme="majorHAnsi" w:hAnsiTheme="majorHAnsi"/>
          <w:sz w:val="20"/>
          <w:szCs w:val="20"/>
          <w:lang w:val="es-PE"/>
        </w:rPr>
        <w:t xml:space="preserve"> fue designada como Juez</w:t>
      </w:r>
      <w:r w:rsidR="00661C37" w:rsidRPr="00302D54">
        <w:rPr>
          <w:rFonts w:asciiTheme="majorHAnsi" w:hAnsiTheme="majorHAnsi"/>
          <w:sz w:val="20"/>
          <w:szCs w:val="20"/>
          <w:lang w:val="es-PE"/>
        </w:rPr>
        <w:t>a</w:t>
      </w:r>
      <w:r w:rsidR="001E4145" w:rsidRPr="00302D54">
        <w:rPr>
          <w:rFonts w:asciiTheme="majorHAnsi" w:hAnsiTheme="majorHAnsi"/>
          <w:sz w:val="20"/>
          <w:szCs w:val="20"/>
          <w:lang w:val="es-PE"/>
        </w:rPr>
        <w:t xml:space="preserve"> de Partido Civil N</w:t>
      </w:r>
      <w:r w:rsidR="001669D1" w:rsidRPr="00302D54">
        <w:rPr>
          <w:rFonts w:asciiTheme="majorHAnsi" w:hAnsiTheme="majorHAnsi"/>
          <w:sz w:val="20"/>
          <w:szCs w:val="20"/>
          <w:lang w:val="es-PE"/>
        </w:rPr>
        <w:t>°</w:t>
      </w:r>
      <w:r w:rsidR="001E4145" w:rsidRPr="00302D54">
        <w:rPr>
          <w:rFonts w:asciiTheme="majorHAnsi" w:hAnsiTheme="majorHAnsi"/>
          <w:sz w:val="20"/>
          <w:szCs w:val="20"/>
          <w:lang w:val="es-PE"/>
        </w:rPr>
        <w:t>1 de la Capital (Cochabamba)</w:t>
      </w:r>
      <w:r w:rsidR="00A03D24" w:rsidRPr="00302D54">
        <w:rPr>
          <w:rFonts w:asciiTheme="majorHAnsi" w:hAnsiTheme="majorHAnsi"/>
          <w:sz w:val="20"/>
          <w:szCs w:val="20"/>
          <w:lang w:val="es-PE"/>
        </w:rPr>
        <w:t xml:space="preserve">. </w:t>
      </w:r>
      <w:r w:rsidR="0004543A" w:rsidRPr="00302D54">
        <w:rPr>
          <w:rFonts w:asciiTheme="majorHAnsi" w:hAnsiTheme="majorHAnsi"/>
          <w:sz w:val="20"/>
          <w:szCs w:val="20"/>
          <w:lang w:val="es-PE"/>
        </w:rPr>
        <w:t>Finalmente,</w:t>
      </w:r>
      <w:r w:rsidR="001E4145" w:rsidRPr="00302D54">
        <w:rPr>
          <w:rFonts w:asciiTheme="majorHAnsi" w:hAnsiTheme="majorHAnsi"/>
          <w:sz w:val="20"/>
          <w:szCs w:val="20"/>
          <w:lang w:val="es-PE"/>
        </w:rPr>
        <w:t xml:space="preserve"> </w:t>
      </w:r>
      <w:r w:rsidR="00A65D0E" w:rsidRPr="00302D54">
        <w:rPr>
          <w:rFonts w:asciiTheme="majorHAnsi" w:hAnsiTheme="majorHAnsi"/>
          <w:sz w:val="20"/>
          <w:szCs w:val="20"/>
          <w:lang w:val="es-PE"/>
        </w:rPr>
        <w:t>en</w:t>
      </w:r>
      <w:r w:rsidR="001E4145" w:rsidRPr="00302D54">
        <w:rPr>
          <w:rFonts w:asciiTheme="majorHAnsi" w:hAnsiTheme="majorHAnsi"/>
          <w:sz w:val="20"/>
          <w:szCs w:val="20"/>
          <w:lang w:val="es-PE"/>
        </w:rPr>
        <w:t xml:space="preserve"> </w:t>
      </w:r>
      <w:r w:rsidR="00A03D24" w:rsidRPr="00302D54">
        <w:rPr>
          <w:rFonts w:asciiTheme="majorHAnsi" w:hAnsiTheme="majorHAnsi"/>
          <w:sz w:val="20"/>
          <w:szCs w:val="20"/>
          <w:lang w:val="es-PE"/>
        </w:rPr>
        <w:t xml:space="preserve">el </w:t>
      </w:r>
      <w:r w:rsidR="001E4145" w:rsidRPr="00302D54">
        <w:rPr>
          <w:rFonts w:asciiTheme="majorHAnsi" w:hAnsiTheme="majorHAnsi"/>
          <w:sz w:val="20"/>
          <w:szCs w:val="20"/>
          <w:lang w:val="es-PE"/>
        </w:rPr>
        <w:t>2016</w:t>
      </w:r>
      <w:r w:rsidR="00F32F19" w:rsidRPr="00302D54">
        <w:rPr>
          <w:rFonts w:asciiTheme="majorHAnsi" w:hAnsiTheme="majorHAnsi"/>
          <w:sz w:val="20"/>
          <w:szCs w:val="20"/>
          <w:lang w:val="es-PE"/>
        </w:rPr>
        <w:t>,</w:t>
      </w:r>
      <w:r w:rsidR="001E4145" w:rsidRPr="00302D54">
        <w:rPr>
          <w:rFonts w:asciiTheme="majorHAnsi" w:hAnsiTheme="majorHAnsi"/>
          <w:sz w:val="20"/>
          <w:szCs w:val="20"/>
          <w:lang w:val="es-PE"/>
        </w:rPr>
        <w:t xml:space="preserve"> fue reasignada y ampliada en su competencia como Juez Público Civil y Comercial N°1 de la Capital </w:t>
      </w:r>
      <w:r w:rsidR="00D91B58" w:rsidRPr="00302D54">
        <w:rPr>
          <w:rFonts w:asciiTheme="majorHAnsi" w:hAnsiTheme="majorHAnsi"/>
          <w:sz w:val="20"/>
          <w:szCs w:val="20"/>
          <w:lang w:val="es-PE"/>
        </w:rPr>
        <w:t>de</w:t>
      </w:r>
      <w:r w:rsidR="001E4145" w:rsidRPr="00302D54">
        <w:rPr>
          <w:rFonts w:asciiTheme="majorHAnsi" w:hAnsiTheme="majorHAnsi"/>
          <w:sz w:val="20"/>
          <w:szCs w:val="20"/>
          <w:lang w:val="es-PE"/>
        </w:rPr>
        <w:t xml:space="preserve"> Cochabamba, con carácter transitorio. </w:t>
      </w:r>
    </w:p>
    <w:p w14:paraId="32C8EEAE" w14:textId="77777777" w:rsidR="00EB4A99" w:rsidRPr="00302D54" w:rsidRDefault="00EB4A99" w:rsidP="00EB4A99">
      <w:pPr>
        <w:pStyle w:val="ListParagraph"/>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sz w:val="20"/>
          <w:szCs w:val="20"/>
          <w:lang w:val="es-PE"/>
        </w:rPr>
      </w:pPr>
    </w:p>
    <w:p w14:paraId="4AA1CDA0" w14:textId="41E7D76C" w:rsidR="00EB4A99" w:rsidRPr="00302D54" w:rsidRDefault="003A3C70">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sz w:val="20"/>
          <w:szCs w:val="20"/>
          <w:lang w:val="es-PE"/>
        </w:rPr>
      </w:pPr>
      <w:r w:rsidRPr="00302D54">
        <w:rPr>
          <w:rFonts w:asciiTheme="majorHAnsi" w:hAnsiTheme="majorHAnsi"/>
          <w:sz w:val="20"/>
          <w:szCs w:val="20"/>
          <w:lang w:val="es-PE"/>
        </w:rPr>
        <w:lastRenderedPageBreak/>
        <w:t xml:space="preserve">En virtud del </w:t>
      </w:r>
      <w:r w:rsidR="00B4714D" w:rsidRPr="00302D54">
        <w:rPr>
          <w:rFonts w:asciiTheme="majorHAnsi" w:hAnsiTheme="majorHAnsi"/>
          <w:sz w:val="20"/>
          <w:szCs w:val="20"/>
          <w:lang w:val="es-PE"/>
        </w:rPr>
        <w:t xml:space="preserve">Acuerdo </w:t>
      </w:r>
      <w:r w:rsidR="007A19E3" w:rsidRPr="00302D54">
        <w:rPr>
          <w:rFonts w:asciiTheme="majorHAnsi" w:hAnsiTheme="majorHAnsi"/>
          <w:sz w:val="20"/>
          <w:szCs w:val="20"/>
          <w:lang w:val="es-PE"/>
        </w:rPr>
        <w:t>de Sala Plena N°</w:t>
      </w:r>
      <w:r w:rsidR="003F3C84" w:rsidRPr="00302D54">
        <w:rPr>
          <w:rFonts w:asciiTheme="majorHAnsi" w:hAnsiTheme="majorHAnsi"/>
          <w:sz w:val="20"/>
          <w:szCs w:val="20"/>
          <w:lang w:val="es-PE"/>
        </w:rPr>
        <w:t xml:space="preserve"> </w:t>
      </w:r>
      <w:r w:rsidR="00B4714D" w:rsidRPr="00302D54">
        <w:rPr>
          <w:rFonts w:asciiTheme="majorHAnsi" w:hAnsiTheme="majorHAnsi"/>
          <w:sz w:val="20"/>
          <w:szCs w:val="20"/>
          <w:lang w:val="es-PE"/>
        </w:rPr>
        <w:t>73/2017</w:t>
      </w:r>
      <w:r w:rsidR="003F3C84" w:rsidRPr="00302D54">
        <w:rPr>
          <w:rFonts w:asciiTheme="majorHAnsi" w:hAnsiTheme="majorHAnsi"/>
          <w:sz w:val="20"/>
          <w:szCs w:val="20"/>
          <w:lang w:val="es-PE"/>
        </w:rPr>
        <w:t>,</w:t>
      </w:r>
      <w:r w:rsidRPr="00302D54">
        <w:rPr>
          <w:rFonts w:asciiTheme="majorHAnsi" w:hAnsiTheme="majorHAnsi"/>
          <w:sz w:val="20"/>
          <w:szCs w:val="20"/>
          <w:lang w:val="es-PE"/>
        </w:rPr>
        <w:t xml:space="preserve"> </w:t>
      </w:r>
      <w:r w:rsidR="00132171" w:rsidRPr="00302D54">
        <w:rPr>
          <w:rFonts w:asciiTheme="majorHAnsi" w:hAnsiTheme="majorHAnsi"/>
          <w:sz w:val="20"/>
          <w:szCs w:val="20"/>
          <w:lang w:val="es-PE"/>
        </w:rPr>
        <w:t xml:space="preserve">el Consejo de la Magistratura </w:t>
      </w:r>
      <w:r w:rsidRPr="00302D54">
        <w:rPr>
          <w:rFonts w:asciiTheme="majorHAnsi" w:hAnsiTheme="majorHAnsi"/>
          <w:sz w:val="20"/>
          <w:szCs w:val="20"/>
          <w:lang w:val="es-PE"/>
        </w:rPr>
        <w:t>destituyó a la presunta víctima</w:t>
      </w:r>
      <w:r w:rsidR="00A03D24" w:rsidRPr="00302D54">
        <w:rPr>
          <w:rFonts w:asciiTheme="majorHAnsi" w:hAnsiTheme="majorHAnsi"/>
          <w:sz w:val="20"/>
          <w:szCs w:val="20"/>
          <w:lang w:val="es-PE"/>
        </w:rPr>
        <w:t xml:space="preserve">. </w:t>
      </w:r>
      <w:r w:rsidR="00661C37" w:rsidRPr="00302D54">
        <w:rPr>
          <w:rFonts w:asciiTheme="majorHAnsi" w:hAnsiTheme="majorHAnsi"/>
          <w:sz w:val="20"/>
          <w:szCs w:val="20"/>
          <w:lang w:val="es-PE"/>
        </w:rPr>
        <w:t xml:space="preserve"> A pesar de que </w:t>
      </w:r>
      <w:r w:rsidR="00B20828" w:rsidRPr="00302D54">
        <w:rPr>
          <w:rFonts w:asciiTheme="majorHAnsi" w:hAnsiTheme="majorHAnsi"/>
          <w:sz w:val="20"/>
          <w:szCs w:val="20"/>
          <w:lang w:val="es-PE"/>
        </w:rPr>
        <w:t>esta</w:t>
      </w:r>
      <w:r w:rsidR="00661C37" w:rsidRPr="00302D54">
        <w:rPr>
          <w:rFonts w:asciiTheme="majorHAnsi" w:hAnsiTheme="majorHAnsi"/>
          <w:sz w:val="20"/>
          <w:szCs w:val="20"/>
          <w:lang w:val="es-PE"/>
        </w:rPr>
        <w:t xml:space="preserve"> impugnó esta determinación ante el mismo órgano mediante un recurso de revocatoria, no obtuvo una respuesta favorable. </w:t>
      </w:r>
      <w:r w:rsidR="00A03D24" w:rsidRPr="00302D54">
        <w:rPr>
          <w:rFonts w:asciiTheme="majorHAnsi" w:hAnsiTheme="majorHAnsi"/>
          <w:sz w:val="20"/>
          <w:szCs w:val="20"/>
          <w:lang w:val="es-PE"/>
        </w:rPr>
        <w:t>Dado que no existe</w:t>
      </w:r>
      <w:r w:rsidR="00EC799E" w:rsidRPr="00302D54">
        <w:rPr>
          <w:rFonts w:asciiTheme="majorHAnsi" w:hAnsiTheme="majorHAnsi"/>
          <w:sz w:val="20"/>
          <w:szCs w:val="20"/>
          <w:lang w:val="es-PE"/>
        </w:rPr>
        <w:t xml:space="preserve"> autoridad</w:t>
      </w:r>
      <w:r w:rsidR="00B4714D" w:rsidRPr="00302D54">
        <w:rPr>
          <w:rFonts w:asciiTheme="majorHAnsi" w:hAnsiTheme="majorHAnsi"/>
          <w:sz w:val="20"/>
          <w:szCs w:val="20"/>
          <w:lang w:val="es-PE"/>
        </w:rPr>
        <w:t xml:space="preserve"> </w:t>
      </w:r>
      <w:r w:rsidR="00EC799E" w:rsidRPr="00302D54">
        <w:rPr>
          <w:rFonts w:asciiTheme="majorHAnsi" w:hAnsiTheme="majorHAnsi"/>
          <w:sz w:val="20"/>
          <w:szCs w:val="20"/>
          <w:lang w:val="es-PE"/>
        </w:rPr>
        <w:t xml:space="preserve">superior al Pleno del Consejo, </w:t>
      </w:r>
      <w:r w:rsidR="00906F48" w:rsidRPr="00302D54">
        <w:rPr>
          <w:rFonts w:asciiTheme="majorHAnsi" w:hAnsiTheme="majorHAnsi"/>
          <w:sz w:val="20"/>
          <w:szCs w:val="20"/>
          <w:lang w:val="es-PE"/>
        </w:rPr>
        <w:t xml:space="preserve">la </w:t>
      </w:r>
      <w:r w:rsidR="00661C37" w:rsidRPr="00302D54">
        <w:rPr>
          <w:rFonts w:asciiTheme="majorHAnsi" w:hAnsiTheme="majorHAnsi"/>
          <w:sz w:val="20"/>
          <w:szCs w:val="20"/>
          <w:lang w:val="es-PE"/>
        </w:rPr>
        <w:t xml:space="preserve">presunta víctima </w:t>
      </w:r>
      <w:r w:rsidR="00906F48" w:rsidRPr="00302D54">
        <w:rPr>
          <w:rFonts w:asciiTheme="majorHAnsi" w:hAnsiTheme="majorHAnsi"/>
          <w:sz w:val="20"/>
          <w:szCs w:val="20"/>
          <w:lang w:val="es-PE"/>
        </w:rPr>
        <w:t xml:space="preserve">no </w:t>
      </w:r>
      <w:r w:rsidR="00A03D24" w:rsidRPr="00302D54">
        <w:rPr>
          <w:rFonts w:asciiTheme="majorHAnsi" w:hAnsiTheme="majorHAnsi"/>
          <w:sz w:val="20"/>
          <w:szCs w:val="20"/>
          <w:lang w:val="es-PE"/>
        </w:rPr>
        <w:t>presentó</w:t>
      </w:r>
      <w:r w:rsidR="00EC799E" w:rsidRPr="00302D54">
        <w:rPr>
          <w:rFonts w:asciiTheme="majorHAnsi" w:hAnsiTheme="majorHAnsi"/>
          <w:sz w:val="20"/>
          <w:szCs w:val="20"/>
          <w:lang w:val="es-PE"/>
        </w:rPr>
        <w:t xml:space="preserve"> un recurso jerárquico</w:t>
      </w:r>
      <w:r w:rsidR="00906F48" w:rsidRPr="00302D54">
        <w:rPr>
          <w:rFonts w:asciiTheme="majorHAnsi" w:hAnsiTheme="majorHAnsi"/>
          <w:sz w:val="20"/>
          <w:szCs w:val="20"/>
          <w:lang w:val="es-PE"/>
        </w:rPr>
        <w:t xml:space="preserve"> y</w:t>
      </w:r>
      <w:r w:rsidR="00EC799E" w:rsidRPr="00302D54">
        <w:rPr>
          <w:rFonts w:asciiTheme="majorHAnsi" w:hAnsiTheme="majorHAnsi"/>
          <w:sz w:val="20"/>
          <w:szCs w:val="20"/>
          <w:lang w:val="es-PE"/>
        </w:rPr>
        <w:t xml:space="preserve"> </w:t>
      </w:r>
      <w:r w:rsidR="00A03D24" w:rsidRPr="00302D54">
        <w:rPr>
          <w:rFonts w:asciiTheme="majorHAnsi" w:hAnsiTheme="majorHAnsi"/>
          <w:sz w:val="20"/>
          <w:szCs w:val="20"/>
          <w:lang w:val="es-PE"/>
        </w:rPr>
        <w:t>optó por recurrir a</w:t>
      </w:r>
      <w:r w:rsidR="00EC799E" w:rsidRPr="00302D54">
        <w:rPr>
          <w:rFonts w:asciiTheme="majorHAnsi" w:hAnsiTheme="majorHAnsi"/>
          <w:sz w:val="20"/>
          <w:szCs w:val="20"/>
          <w:lang w:val="es-PE"/>
        </w:rPr>
        <w:t xml:space="preserve"> la vía constitucional</w:t>
      </w:r>
      <w:r w:rsidR="00D50CFB" w:rsidRPr="00302D54">
        <w:rPr>
          <w:rFonts w:asciiTheme="majorHAnsi" w:hAnsiTheme="majorHAnsi"/>
          <w:sz w:val="20"/>
          <w:szCs w:val="20"/>
          <w:lang w:val="es-PE"/>
        </w:rPr>
        <w:t xml:space="preserve"> mediante la </w:t>
      </w:r>
      <w:r w:rsidR="0047171F" w:rsidRPr="00302D54">
        <w:rPr>
          <w:rFonts w:asciiTheme="majorHAnsi" w:hAnsiTheme="majorHAnsi"/>
          <w:sz w:val="20"/>
          <w:szCs w:val="20"/>
          <w:lang w:val="es-PE"/>
        </w:rPr>
        <w:t>interposición de</w:t>
      </w:r>
      <w:r w:rsidR="00D50CFB" w:rsidRPr="00302D54">
        <w:rPr>
          <w:rFonts w:asciiTheme="majorHAnsi" w:hAnsiTheme="majorHAnsi"/>
          <w:sz w:val="20"/>
          <w:szCs w:val="20"/>
          <w:lang w:val="es-PE"/>
        </w:rPr>
        <w:t xml:space="preserve"> </w:t>
      </w:r>
      <w:r w:rsidR="00254326" w:rsidRPr="00302D54">
        <w:rPr>
          <w:rFonts w:asciiTheme="majorHAnsi" w:hAnsiTheme="majorHAnsi"/>
          <w:sz w:val="20"/>
          <w:szCs w:val="20"/>
          <w:lang w:val="es-PE"/>
        </w:rPr>
        <w:t>una acción de amparo</w:t>
      </w:r>
      <w:r w:rsidR="0047171F" w:rsidRPr="00302D54">
        <w:rPr>
          <w:rFonts w:asciiTheme="majorHAnsi" w:hAnsiTheme="majorHAnsi"/>
          <w:sz w:val="20"/>
          <w:szCs w:val="20"/>
          <w:lang w:val="es-PE"/>
        </w:rPr>
        <w:t>. Tras una serie de decisiones previas, el 20 de febrero de 2018</w:t>
      </w:r>
      <w:r w:rsidR="00BA15FB" w:rsidRPr="00302D54">
        <w:rPr>
          <w:rFonts w:asciiTheme="majorHAnsi" w:hAnsiTheme="majorHAnsi"/>
          <w:sz w:val="20"/>
          <w:szCs w:val="20"/>
          <w:lang w:val="es-PE"/>
        </w:rPr>
        <w:t>,</w:t>
      </w:r>
      <w:r w:rsidR="00102C07" w:rsidRPr="00302D54">
        <w:rPr>
          <w:rFonts w:asciiTheme="majorHAnsi" w:hAnsiTheme="majorHAnsi"/>
          <w:sz w:val="20"/>
          <w:szCs w:val="20"/>
          <w:lang w:val="es-PE"/>
        </w:rPr>
        <w:t xml:space="preserve"> la Sala Penal Primera del Tribunal Departamental de Justicia de Chuquisaca </w:t>
      </w:r>
      <w:r w:rsidR="00584DF4" w:rsidRPr="00302D54">
        <w:rPr>
          <w:rFonts w:asciiTheme="majorHAnsi" w:hAnsiTheme="majorHAnsi"/>
          <w:sz w:val="20"/>
          <w:szCs w:val="20"/>
          <w:lang w:val="es-PE"/>
        </w:rPr>
        <w:t>decidió negar la tutela</w:t>
      </w:r>
      <w:r w:rsidR="0047171F" w:rsidRPr="00302D54">
        <w:rPr>
          <w:rFonts w:asciiTheme="majorHAnsi" w:hAnsiTheme="majorHAnsi"/>
          <w:sz w:val="20"/>
          <w:szCs w:val="20"/>
          <w:lang w:val="es-PE"/>
        </w:rPr>
        <w:t>.</w:t>
      </w:r>
    </w:p>
    <w:p w14:paraId="3C5A4EB0" w14:textId="77777777" w:rsidR="00EB4A99" w:rsidRPr="00302D54" w:rsidRDefault="00EB4A99" w:rsidP="00EB4A99">
      <w:pPr>
        <w:pStyle w:val="ListParagraph"/>
        <w:rPr>
          <w:rFonts w:asciiTheme="majorHAnsi" w:hAnsiTheme="majorHAnsi"/>
          <w:sz w:val="20"/>
          <w:szCs w:val="20"/>
          <w:lang w:val="es-PE"/>
        </w:rPr>
      </w:pPr>
    </w:p>
    <w:p w14:paraId="5320DD05" w14:textId="764018D5" w:rsidR="00EB4A99" w:rsidRPr="00EB4A99" w:rsidRDefault="0047171F" w:rsidP="72B6724D">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sz w:val="20"/>
          <w:szCs w:val="20"/>
          <w:lang w:val="es-PE"/>
        </w:rPr>
      </w:pPr>
      <w:r w:rsidRPr="72B6724D">
        <w:rPr>
          <w:rFonts w:asciiTheme="majorHAnsi" w:hAnsiTheme="majorHAnsi"/>
          <w:sz w:val="20"/>
          <w:szCs w:val="20"/>
          <w:lang w:val="es-PE"/>
        </w:rPr>
        <w:t>Posteriormente</w:t>
      </w:r>
      <w:r w:rsidR="004538E9" w:rsidRPr="72B6724D">
        <w:rPr>
          <w:rFonts w:asciiTheme="majorHAnsi" w:hAnsiTheme="majorHAnsi"/>
          <w:sz w:val="20"/>
          <w:szCs w:val="20"/>
          <w:lang w:val="es-PE"/>
        </w:rPr>
        <w:t>,</w:t>
      </w:r>
      <w:r w:rsidR="00E81FF8" w:rsidRPr="72B6724D">
        <w:rPr>
          <w:rFonts w:asciiTheme="majorHAnsi" w:hAnsiTheme="majorHAnsi"/>
          <w:sz w:val="20"/>
          <w:szCs w:val="20"/>
          <w:lang w:val="es-PE"/>
        </w:rPr>
        <w:t xml:space="preserve"> </w:t>
      </w:r>
      <w:r w:rsidRPr="72B6724D">
        <w:rPr>
          <w:rFonts w:asciiTheme="majorHAnsi" w:hAnsiTheme="majorHAnsi"/>
          <w:sz w:val="20"/>
          <w:szCs w:val="20"/>
          <w:lang w:val="es-PE"/>
        </w:rPr>
        <w:t>el 29 de marzo de 2018</w:t>
      </w:r>
      <w:r w:rsidR="00BA15FB" w:rsidRPr="72B6724D">
        <w:rPr>
          <w:rFonts w:asciiTheme="majorHAnsi" w:hAnsiTheme="majorHAnsi"/>
          <w:sz w:val="20"/>
          <w:szCs w:val="20"/>
          <w:lang w:val="es-PE"/>
        </w:rPr>
        <w:t>,</w:t>
      </w:r>
      <w:r w:rsidRPr="72B6724D">
        <w:rPr>
          <w:rFonts w:asciiTheme="majorHAnsi" w:hAnsiTheme="majorHAnsi"/>
          <w:sz w:val="20"/>
          <w:szCs w:val="20"/>
          <w:lang w:val="es-PE"/>
        </w:rPr>
        <w:t xml:space="preserve"> </w:t>
      </w:r>
      <w:r w:rsidR="00E81FF8" w:rsidRPr="72B6724D">
        <w:rPr>
          <w:rFonts w:asciiTheme="majorHAnsi" w:hAnsiTheme="majorHAnsi"/>
          <w:sz w:val="20"/>
          <w:szCs w:val="20"/>
          <w:lang w:val="es-PE"/>
        </w:rPr>
        <w:t>el</w:t>
      </w:r>
      <w:r w:rsidR="002F66FE" w:rsidRPr="72B6724D">
        <w:rPr>
          <w:rFonts w:asciiTheme="majorHAnsi" w:hAnsiTheme="majorHAnsi"/>
          <w:sz w:val="20"/>
          <w:szCs w:val="20"/>
          <w:lang w:val="es-PE"/>
        </w:rPr>
        <w:t xml:space="preserve"> Tribunal Constitucional Plurinacional </w:t>
      </w:r>
      <w:r w:rsidR="00A03D24" w:rsidRPr="72B6724D">
        <w:rPr>
          <w:rFonts w:asciiTheme="majorHAnsi" w:hAnsiTheme="majorHAnsi"/>
          <w:sz w:val="20"/>
          <w:szCs w:val="20"/>
          <w:lang w:val="es-PE"/>
        </w:rPr>
        <w:t>confirmó</w:t>
      </w:r>
      <w:r w:rsidR="007A0AD2" w:rsidRPr="72B6724D">
        <w:rPr>
          <w:rFonts w:asciiTheme="majorHAnsi" w:hAnsiTheme="majorHAnsi"/>
          <w:sz w:val="20"/>
          <w:szCs w:val="20"/>
          <w:lang w:val="es-PE"/>
        </w:rPr>
        <w:t xml:space="preserve"> </w:t>
      </w:r>
      <w:r w:rsidRPr="72B6724D">
        <w:rPr>
          <w:rFonts w:asciiTheme="majorHAnsi" w:hAnsiTheme="majorHAnsi"/>
          <w:sz w:val="20"/>
          <w:szCs w:val="20"/>
          <w:lang w:val="es-PE"/>
        </w:rPr>
        <w:t>la</w:t>
      </w:r>
      <w:r w:rsidR="00E81FF8" w:rsidRPr="72B6724D">
        <w:rPr>
          <w:rFonts w:asciiTheme="majorHAnsi" w:hAnsiTheme="majorHAnsi"/>
          <w:sz w:val="20"/>
          <w:szCs w:val="20"/>
          <w:lang w:val="es-PE"/>
        </w:rPr>
        <w:t xml:space="preserve"> decisión</w:t>
      </w:r>
      <w:r w:rsidRPr="72B6724D">
        <w:rPr>
          <w:rFonts w:asciiTheme="majorHAnsi" w:hAnsiTheme="majorHAnsi"/>
          <w:sz w:val="20"/>
          <w:szCs w:val="20"/>
          <w:lang w:val="es-PE"/>
        </w:rPr>
        <w:t xml:space="preserve"> de la Sala Penal</w:t>
      </w:r>
      <w:r w:rsidR="007A0AD2" w:rsidRPr="72B6724D">
        <w:rPr>
          <w:rFonts w:asciiTheme="majorHAnsi" w:hAnsiTheme="majorHAnsi"/>
          <w:sz w:val="20"/>
          <w:szCs w:val="20"/>
          <w:lang w:val="es-PE"/>
        </w:rPr>
        <w:t xml:space="preserve">, </w:t>
      </w:r>
      <w:r w:rsidR="002F66FE" w:rsidRPr="72B6724D">
        <w:rPr>
          <w:rFonts w:asciiTheme="majorHAnsi" w:hAnsiTheme="majorHAnsi"/>
          <w:sz w:val="20"/>
          <w:szCs w:val="20"/>
          <w:lang w:val="es-PE"/>
        </w:rPr>
        <w:t xml:space="preserve">reiterando que </w:t>
      </w:r>
      <w:r w:rsidR="007A0AD2" w:rsidRPr="72B6724D">
        <w:rPr>
          <w:rFonts w:asciiTheme="majorHAnsi" w:hAnsiTheme="majorHAnsi"/>
          <w:sz w:val="20"/>
          <w:szCs w:val="20"/>
          <w:lang w:val="es-PE"/>
        </w:rPr>
        <w:t>la presunta víctima</w:t>
      </w:r>
      <w:r w:rsidRPr="72B6724D">
        <w:rPr>
          <w:rFonts w:asciiTheme="majorHAnsi" w:hAnsiTheme="majorHAnsi"/>
          <w:sz w:val="20"/>
          <w:szCs w:val="20"/>
          <w:lang w:val="es-PE"/>
        </w:rPr>
        <w:t xml:space="preserve"> era una </w:t>
      </w:r>
      <w:r w:rsidR="002F66FE" w:rsidRPr="72B6724D">
        <w:rPr>
          <w:rFonts w:asciiTheme="majorHAnsi" w:hAnsiTheme="majorHAnsi"/>
          <w:sz w:val="20"/>
          <w:szCs w:val="20"/>
          <w:lang w:val="es-PE"/>
        </w:rPr>
        <w:t>jueza transitoria</w:t>
      </w:r>
      <w:r w:rsidR="00A03D24" w:rsidRPr="72B6724D">
        <w:rPr>
          <w:rFonts w:asciiTheme="majorHAnsi" w:hAnsiTheme="majorHAnsi"/>
          <w:sz w:val="20"/>
          <w:szCs w:val="20"/>
          <w:lang w:val="es-PE"/>
        </w:rPr>
        <w:t xml:space="preserve"> y</w:t>
      </w:r>
      <w:r w:rsidR="00BA15FB" w:rsidRPr="72B6724D">
        <w:rPr>
          <w:rFonts w:asciiTheme="majorHAnsi" w:hAnsiTheme="majorHAnsi"/>
          <w:sz w:val="20"/>
          <w:szCs w:val="20"/>
          <w:lang w:val="es-PE"/>
        </w:rPr>
        <w:t>,</w:t>
      </w:r>
      <w:r w:rsidR="00A03D24" w:rsidRPr="72B6724D">
        <w:rPr>
          <w:rFonts w:asciiTheme="majorHAnsi" w:hAnsiTheme="majorHAnsi"/>
          <w:sz w:val="20"/>
          <w:szCs w:val="20"/>
          <w:lang w:val="es-PE"/>
        </w:rPr>
        <w:t xml:space="preserve"> por lo tanto</w:t>
      </w:r>
      <w:r w:rsidR="00BA15FB" w:rsidRPr="72B6724D">
        <w:rPr>
          <w:rFonts w:asciiTheme="majorHAnsi" w:hAnsiTheme="majorHAnsi"/>
          <w:sz w:val="20"/>
          <w:szCs w:val="20"/>
          <w:lang w:val="es-PE"/>
        </w:rPr>
        <w:t>,</w:t>
      </w:r>
      <w:r w:rsidR="002F66FE" w:rsidRPr="72B6724D">
        <w:rPr>
          <w:rFonts w:asciiTheme="majorHAnsi" w:hAnsiTheme="majorHAnsi"/>
          <w:sz w:val="20"/>
          <w:szCs w:val="20"/>
          <w:lang w:val="es-PE"/>
        </w:rPr>
        <w:t xml:space="preserve"> no goz</w:t>
      </w:r>
      <w:r w:rsidR="00102C07" w:rsidRPr="72B6724D">
        <w:rPr>
          <w:rFonts w:asciiTheme="majorHAnsi" w:hAnsiTheme="majorHAnsi"/>
          <w:sz w:val="20"/>
          <w:szCs w:val="20"/>
          <w:lang w:val="es-PE"/>
        </w:rPr>
        <w:t>a</w:t>
      </w:r>
      <w:r w:rsidR="0029438C" w:rsidRPr="72B6724D">
        <w:rPr>
          <w:rFonts w:asciiTheme="majorHAnsi" w:hAnsiTheme="majorHAnsi"/>
          <w:sz w:val="20"/>
          <w:szCs w:val="20"/>
          <w:lang w:val="es-PE"/>
        </w:rPr>
        <w:t>ba</w:t>
      </w:r>
      <w:r w:rsidR="002F66FE" w:rsidRPr="72B6724D">
        <w:rPr>
          <w:rFonts w:asciiTheme="majorHAnsi" w:hAnsiTheme="majorHAnsi"/>
          <w:sz w:val="20"/>
          <w:szCs w:val="20"/>
          <w:lang w:val="es-PE"/>
        </w:rPr>
        <w:t xml:space="preserve"> de protección constitucional</w:t>
      </w:r>
      <w:r w:rsidR="00BC7910" w:rsidRPr="72B6724D">
        <w:rPr>
          <w:rFonts w:asciiTheme="majorHAnsi" w:hAnsiTheme="majorHAnsi"/>
          <w:sz w:val="20"/>
          <w:szCs w:val="20"/>
          <w:lang w:val="es-PE"/>
        </w:rPr>
        <w:t xml:space="preserve">. </w:t>
      </w:r>
      <w:r w:rsidR="00ED2567" w:rsidRPr="72B6724D">
        <w:rPr>
          <w:rFonts w:asciiTheme="majorHAnsi" w:hAnsiTheme="majorHAnsi"/>
          <w:sz w:val="20"/>
          <w:szCs w:val="20"/>
          <w:lang w:val="es-PE"/>
        </w:rPr>
        <w:t xml:space="preserve">En </w:t>
      </w:r>
      <w:r w:rsidR="00920367" w:rsidRPr="72B6724D">
        <w:rPr>
          <w:rFonts w:asciiTheme="majorHAnsi" w:hAnsiTheme="majorHAnsi"/>
          <w:sz w:val="20"/>
          <w:szCs w:val="20"/>
          <w:lang w:val="es-PE"/>
        </w:rPr>
        <w:t>esta</w:t>
      </w:r>
      <w:r w:rsidR="00ED2567" w:rsidRPr="72B6724D">
        <w:rPr>
          <w:rFonts w:asciiTheme="majorHAnsi" w:hAnsiTheme="majorHAnsi"/>
          <w:sz w:val="20"/>
          <w:szCs w:val="20"/>
          <w:lang w:val="es-PE"/>
        </w:rPr>
        <w:t xml:space="preserve"> decisión </w:t>
      </w:r>
      <w:r w:rsidR="00920367" w:rsidRPr="72B6724D">
        <w:rPr>
          <w:rFonts w:asciiTheme="majorHAnsi" w:hAnsiTheme="majorHAnsi"/>
          <w:sz w:val="20"/>
          <w:szCs w:val="20"/>
          <w:lang w:val="es-PE"/>
        </w:rPr>
        <w:t>el</w:t>
      </w:r>
      <w:r w:rsidR="00BC7910" w:rsidRPr="72B6724D">
        <w:rPr>
          <w:rFonts w:asciiTheme="majorHAnsi" w:hAnsiTheme="majorHAnsi"/>
          <w:sz w:val="20"/>
          <w:szCs w:val="20"/>
          <w:lang w:val="es-PE"/>
        </w:rPr>
        <w:t xml:space="preserve"> </w:t>
      </w:r>
      <w:r w:rsidR="00920367" w:rsidRPr="72B6724D">
        <w:rPr>
          <w:rFonts w:asciiTheme="majorHAnsi" w:hAnsiTheme="majorHAnsi"/>
          <w:sz w:val="20"/>
          <w:szCs w:val="20"/>
          <w:lang w:val="es-PE"/>
        </w:rPr>
        <w:t>colegiado</w:t>
      </w:r>
      <w:r w:rsidR="00BC7910" w:rsidRPr="72B6724D">
        <w:rPr>
          <w:rFonts w:asciiTheme="majorHAnsi" w:hAnsiTheme="majorHAnsi"/>
          <w:sz w:val="20"/>
          <w:szCs w:val="20"/>
          <w:lang w:val="es-PE"/>
        </w:rPr>
        <w:t xml:space="preserve"> estim</w:t>
      </w:r>
      <w:r w:rsidR="00ED2567" w:rsidRPr="72B6724D">
        <w:rPr>
          <w:rFonts w:asciiTheme="majorHAnsi" w:hAnsiTheme="majorHAnsi"/>
          <w:sz w:val="20"/>
          <w:szCs w:val="20"/>
          <w:lang w:val="es-PE"/>
        </w:rPr>
        <w:t>ó</w:t>
      </w:r>
      <w:r w:rsidR="00BC7910" w:rsidRPr="72B6724D">
        <w:rPr>
          <w:rFonts w:asciiTheme="majorHAnsi" w:hAnsiTheme="majorHAnsi"/>
          <w:sz w:val="20"/>
          <w:szCs w:val="20"/>
          <w:lang w:val="es-PE"/>
        </w:rPr>
        <w:t xml:space="preserve"> que</w:t>
      </w:r>
      <w:r w:rsidR="00102C07" w:rsidRPr="72B6724D">
        <w:rPr>
          <w:rFonts w:asciiTheme="majorHAnsi" w:hAnsiTheme="majorHAnsi"/>
          <w:sz w:val="20"/>
          <w:szCs w:val="20"/>
          <w:lang w:val="es-PE"/>
        </w:rPr>
        <w:t xml:space="preserve"> </w:t>
      </w:r>
      <w:r w:rsidR="00102C07" w:rsidRPr="72B6724D">
        <w:rPr>
          <w:rFonts w:asciiTheme="majorHAnsi" w:hAnsiTheme="majorHAnsi"/>
          <w:i/>
          <w:iCs/>
          <w:sz w:val="20"/>
          <w:szCs w:val="20"/>
          <w:lang w:val="es-PE"/>
        </w:rPr>
        <w:t>“</w:t>
      </w:r>
      <w:r w:rsidR="00BC7910" w:rsidRPr="72B6724D">
        <w:rPr>
          <w:rFonts w:asciiTheme="majorHAnsi" w:hAnsiTheme="majorHAnsi"/>
          <w:i/>
          <w:iCs/>
          <w:sz w:val="20"/>
          <w:szCs w:val="20"/>
          <w:lang w:val="es-PE"/>
        </w:rPr>
        <w:t>l</w:t>
      </w:r>
      <w:r w:rsidR="00102C07" w:rsidRPr="72B6724D">
        <w:rPr>
          <w:rFonts w:asciiTheme="majorHAnsi" w:hAnsiTheme="majorHAnsi"/>
          <w:i/>
          <w:iCs/>
          <w:sz w:val="20"/>
          <w:szCs w:val="20"/>
          <w:lang w:val="es-PE"/>
        </w:rPr>
        <w:t xml:space="preserve">a estabilidad laboral que garantiza la carrera </w:t>
      </w:r>
      <w:r w:rsidR="00BB02A4" w:rsidRPr="72B6724D">
        <w:rPr>
          <w:rFonts w:asciiTheme="majorHAnsi" w:hAnsiTheme="majorHAnsi"/>
          <w:i/>
          <w:iCs/>
          <w:sz w:val="20"/>
          <w:szCs w:val="20"/>
          <w:lang w:val="es-PE"/>
        </w:rPr>
        <w:t>judicial</w:t>
      </w:r>
      <w:r w:rsidR="00102C07" w:rsidRPr="72B6724D">
        <w:rPr>
          <w:rFonts w:asciiTheme="majorHAnsi" w:hAnsiTheme="majorHAnsi"/>
          <w:i/>
          <w:iCs/>
          <w:sz w:val="20"/>
          <w:szCs w:val="20"/>
          <w:lang w:val="es-PE"/>
        </w:rPr>
        <w:t xml:space="preserve"> está reservada a los servidores públicos de carrera y no así </w:t>
      </w:r>
      <w:r w:rsidR="00A6605E" w:rsidRPr="72B6724D">
        <w:rPr>
          <w:rFonts w:asciiTheme="majorHAnsi" w:hAnsiTheme="majorHAnsi"/>
          <w:i/>
          <w:iCs/>
          <w:sz w:val="20"/>
          <w:szCs w:val="20"/>
          <w:lang w:val="es-PE"/>
        </w:rPr>
        <w:t>a</w:t>
      </w:r>
      <w:r w:rsidR="00102C07" w:rsidRPr="72B6724D">
        <w:rPr>
          <w:rFonts w:asciiTheme="majorHAnsi" w:hAnsiTheme="majorHAnsi"/>
          <w:i/>
          <w:iCs/>
          <w:sz w:val="20"/>
          <w:szCs w:val="20"/>
          <w:lang w:val="es-PE"/>
        </w:rPr>
        <w:t xml:space="preserve"> los provisorios o transitorios</w:t>
      </w:r>
      <w:r w:rsidR="00102C07" w:rsidRPr="72B6724D">
        <w:rPr>
          <w:rFonts w:asciiTheme="majorHAnsi" w:hAnsiTheme="majorHAnsi"/>
          <w:sz w:val="20"/>
          <w:szCs w:val="20"/>
          <w:lang w:val="es-PE"/>
        </w:rPr>
        <w:t>”.</w:t>
      </w:r>
      <w:r w:rsidR="00613D7E" w:rsidRPr="72B6724D">
        <w:rPr>
          <w:rFonts w:asciiTheme="majorHAnsi" w:hAnsiTheme="majorHAnsi"/>
          <w:sz w:val="20"/>
          <w:szCs w:val="20"/>
          <w:lang w:val="es-PE"/>
        </w:rPr>
        <w:t xml:space="preserve"> Est</w:t>
      </w:r>
      <w:r w:rsidR="00FD7AA1" w:rsidRPr="72B6724D">
        <w:rPr>
          <w:rFonts w:asciiTheme="majorHAnsi" w:hAnsiTheme="majorHAnsi"/>
          <w:sz w:val="20"/>
          <w:szCs w:val="20"/>
          <w:lang w:val="es-PE"/>
        </w:rPr>
        <w:t>e</w:t>
      </w:r>
      <w:r w:rsidR="00613D7E" w:rsidRPr="72B6724D">
        <w:rPr>
          <w:rFonts w:asciiTheme="majorHAnsi" w:hAnsiTheme="majorHAnsi"/>
          <w:sz w:val="20"/>
          <w:szCs w:val="20"/>
          <w:lang w:val="es-PE"/>
        </w:rPr>
        <w:t xml:space="preserve"> </w:t>
      </w:r>
      <w:r w:rsidR="00FD7AA1" w:rsidRPr="72B6724D">
        <w:rPr>
          <w:rFonts w:asciiTheme="majorHAnsi" w:hAnsiTheme="majorHAnsi"/>
          <w:sz w:val="20"/>
          <w:szCs w:val="20"/>
          <w:lang w:val="es-PE"/>
        </w:rPr>
        <w:t>fallo</w:t>
      </w:r>
      <w:r w:rsidR="007A0AD2" w:rsidRPr="72B6724D">
        <w:rPr>
          <w:rFonts w:asciiTheme="majorHAnsi" w:hAnsiTheme="majorHAnsi"/>
          <w:sz w:val="20"/>
          <w:szCs w:val="20"/>
          <w:lang w:val="es-PE"/>
        </w:rPr>
        <w:t xml:space="preserve"> </w:t>
      </w:r>
      <w:r w:rsidR="002F66FE" w:rsidRPr="72B6724D">
        <w:rPr>
          <w:rFonts w:asciiTheme="majorHAnsi" w:hAnsiTheme="majorHAnsi"/>
          <w:sz w:val="20"/>
          <w:szCs w:val="20"/>
          <w:lang w:val="es-PE"/>
        </w:rPr>
        <w:t xml:space="preserve">fue </w:t>
      </w:r>
      <w:r w:rsidR="007A0AD2" w:rsidRPr="72B6724D">
        <w:rPr>
          <w:rFonts w:asciiTheme="majorHAnsi" w:hAnsiTheme="majorHAnsi"/>
          <w:sz w:val="20"/>
          <w:szCs w:val="20"/>
          <w:lang w:val="es-PE"/>
        </w:rPr>
        <w:t>notificad</w:t>
      </w:r>
      <w:r w:rsidR="00FD7AA1" w:rsidRPr="72B6724D">
        <w:rPr>
          <w:rFonts w:asciiTheme="majorHAnsi" w:hAnsiTheme="majorHAnsi"/>
          <w:sz w:val="20"/>
          <w:szCs w:val="20"/>
          <w:lang w:val="es-PE"/>
        </w:rPr>
        <w:t xml:space="preserve">o </w:t>
      </w:r>
      <w:r w:rsidR="007A0AD2" w:rsidRPr="72B6724D">
        <w:rPr>
          <w:rFonts w:asciiTheme="majorHAnsi" w:hAnsiTheme="majorHAnsi"/>
          <w:sz w:val="20"/>
          <w:szCs w:val="20"/>
          <w:lang w:val="es-PE"/>
        </w:rPr>
        <w:t>el 20 de junio de 2018</w:t>
      </w:r>
      <w:r w:rsidR="00661C37" w:rsidRPr="72B6724D">
        <w:rPr>
          <w:rFonts w:asciiTheme="majorHAnsi" w:hAnsiTheme="majorHAnsi"/>
          <w:sz w:val="20"/>
          <w:szCs w:val="20"/>
          <w:lang w:val="es-PE"/>
        </w:rPr>
        <w:t>.</w:t>
      </w:r>
      <w:r w:rsidR="00613D7E" w:rsidRPr="72B6724D">
        <w:rPr>
          <w:rFonts w:asciiTheme="majorHAnsi" w:hAnsiTheme="majorHAnsi"/>
          <w:sz w:val="20"/>
          <w:szCs w:val="20"/>
          <w:lang w:val="es-PE"/>
        </w:rPr>
        <w:t xml:space="preserve"> </w:t>
      </w:r>
      <w:r w:rsidR="00D63A39" w:rsidRPr="72B6724D">
        <w:rPr>
          <w:rFonts w:asciiTheme="majorHAnsi" w:hAnsiTheme="majorHAnsi"/>
          <w:sz w:val="20"/>
          <w:szCs w:val="20"/>
          <w:lang w:val="es-PE"/>
        </w:rPr>
        <w:t>L</w:t>
      </w:r>
      <w:r w:rsidR="00584DF4" w:rsidRPr="72B6724D">
        <w:rPr>
          <w:rFonts w:asciiTheme="majorHAnsi" w:hAnsiTheme="majorHAnsi"/>
          <w:sz w:val="20"/>
          <w:szCs w:val="20"/>
          <w:lang w:val="es-PE"/>
        </w:rPr>
        <w:t>a señora Valda</w:t>
      </w:r>
      <w:r w:rsidR="002F66FE" w:rsidRPr="72B6724D">
        <w:rPr>
          <w:rFonts w:asciiTheme="majorHAnsi" w:hAnsiTheme="majorHAnsi"/>
          <w:sz w:val="20"/>
          <w:szCs w:val="20"/>
          <w:lang w:val="es-PE"/>
        </w:rPr>
        <w:t xml:space="preserve"> </w:t>
      </w:r>
      <w:r w:rsidR="00F356C1" w:rsidRPr="72B6724D">
        <w:rPr>
          <w:rFonts w:asciiTheme="majorHAnsi" w:hAnsiTheme="majorHAnsi"/>
          <w:sz w:val="20"/>
          <w:szCs w:val="20"/>
          <w:lang w:val="es-PE"/>
        </w:rPr>
        <w:t xml:space="preserve">Clavijo </w:t>
      </w:r>
      <w:r w:rsidR="00A03D24" w:rsidRPr="72B6724D">
        <w:rPr>
          <w:rFonts w:asciiTheme="majorHAnsi" w:hAnsiTheme="majorHAnsi"/>
          <w:sz w:val="20"/>
          <w:szCs w:val="20"/>
          <w:lang w:val="es-PE"/>
        </w:rPr>
        <w:t xml:space="preserve">solicitó </w:t>
      </w:r>
      <w:r w:rsidR="002F66FE" w:rsidRPr="72B6724D">
        <w:rPr>
          <w:rFonts w:asciiTheme="majorHAnsi" w:hAnsiTheme="majorHAnsi"/>
          <w:sz w:val="20"/>
          <w:szCs w:val="20"/>
          <w:lang w:val="es-PE"/>
        </w:rPr>
        <w:t>aclaración, complementación y enmienda</w:t>
      </w:r>
      <w:r w:rsidR="00B44D25" w:rsidRPr="72B6724D">
        <w:rPr>
          <w:rFonts w:asciiTheme="majorHAnsi" w:hAnsiTheme="majorHAnsi"/>
          <w:sz w:val="20"/>
          <w:szCs w:val="20"/>
          <w:lang w:val="es-PE"/>
        </w:rPr>
        <w:t xml:space="preserve"> del fallo</w:t>
      </w:r>
      <w:r w:rsidR="00A03D24" w:rsidRPr="72B6724D">
        <w:rPr>
          <w:rFonts w:asciiTheme="majorHAnsi" w:hAnsiTheme="majorHAnsi"/>
          <w:sz w:val="20"/>
          <w:szCs w:val="20"/>
          <w:lang w:val="es-PE"/>
        </w:rPr>
        <w:t xml:space="preserve">, pero estas </w:t>
      </w:r>
      <w:r w:rsidR="00FC2278" w:rsidRPr="72B6724D">
        <w:rPr>
          <w:rFonts w:asciiTheme="majorHAnsi" w:hAnsiTheme="majorHAnsi"/>
          <w:sz w:val="20"/>
          <w:szCs w:val="20"/>
          <w:lang w:val="es-PE"/>
        </w:rPr>
        <w:t>peticiones</w:t>
      </w:r>
      <w:r w:rsidR="002F66FE" w:rsidRPr="72B6724D">
        <w:rPr>
          <w:rFonts w:asciiTheme="majorHAnsi" w:hAnsiTheme="majorHAnsi"/>
          <w:sz w:val="20"/>
          <w:szCs w:val="20"/>
          <w:lang w:val="es-PE"/>
        </w:rPr>
        <w:t xml:space="preserve"> también </w:t>
      </w:r>
      <w:r w:rsidR="00A03D24" w:rsidRPr="72B6724D">
        <w:rPr>
          <w:rFonts w:asciiTheme="majorHAnsi" w:hAnsiTheme="majorHAnsi"/>
          <w:sz w:val="20"/>
          <w:szCs w:val="20"/>
          <w:lang w:val="es-PE"/>
        </w:rPr>
        <w:t xml:space="preserve">fueron </w:t>
      </w:r>
      <w:r w:rsidR="002F66FE" w:rsidRPr="72B6724D">
        <w:rPr>
          <w:rFonts w:asciiTheme="majorHAnsi" w:hAnsiTheme="majorHAnsi"/>
          <w:sz w:val="20"/>
          <w:szCs w:val="20"/>
          <w:lang w:val="es-PE"/>
        </w:rPr>
        <w:t>denegada</w:t>
      </w:r>
      <w:r w:rsidR="00A03D24" w:rsidRPr="72B6724D">
        <w:rPr>
          <w:rFonts w:asciiTheme="majorHAnsi" w:hAnsiTheme="majorHAnsi"/>
          <w:sz w:val="20"/>
          <w:szCs w:val="20"/>
          <w:lang w:val="es-PE"/>
        </w:rPr>
        <w:t>s mediante</w:t>
      </w:r>
      <w:r w:rsidR="002F66FE" w:rsidRPr="72B6724D">
        <w:rPr>
          <w:rFonts w:asciiTheme="majorHAnsi" w:hAnsiTheme="majorHAnsi"/>
          <w:sz w:val="20"/>
          <w:szCs w:val="20"/>
          <w:lang w:val="es-PE"/>
        </w:rPr>
        <w:t xml:space="preserve"> Auto Constitucional de 10 de julio de 2018</w:t>
      </w:r>
      <w:r w:rsidR="007A0AD2" w:rsidRPr="72B6724D">
        <w:rPr>
          <w:rFonts w:asciiTheme="majorHAnsi" w:hAnsiTheme="majorHAnsi"/>
          <w:sz w:val="20"/>
          <w:szCs w:val="20"/>
          <w:lang w:val="es-PE"/>
        </w:rPr>
        <w:t xml:space="preserve">, notificado </w:t>
      </w:r>
      <w:r w:rsidR="002F66FE" w:rsidRPr="72B6724D">
        <w:rPr>
          <w:rFonts w:asciiTheme="majorHAnsi" w:hAnsiTheme="majorHAnsi"/>
          <w:sz w:val="20"/>
          <w:szCs w:val="20"/>
          <w:lang w:val="es-PE"/>
        </w:rPr>
        <w:t>el 31 de agosto de 2018</w:t>
      </w:r>
      <w:r w:rsidR="007A0AD2" w:rsidRPr="72B6724D">
        <w:rPr>
          <w:rFonts w:asciiTheme="majorHAnsi" w:hAnsiTheme="majorHAnsi"/>
          <w:sz w:val="20"/>
          <w:szCs w:val="20"/>
          <w:lang w:val="es-PE"/>
        </w:rPr>
        <w:t>.</w:t>
      </w:r>
    </w:p>
    <w:p w14:paraId="430AD3A7" w14:textId="44752659" w:rsidR="00EB4A99" w:rsidRPr="00EB4A99" w:rsidRDefault="00EB4A99" w:rsidP="00EB4A99">
      <w:pPr>
        <w:spacing w:before="240" w:after="240"/>
        <w:ind w:firstLine="720"/>
        <w:jc w:val="both"/>
        <w:rPr>
          <w:rFonts w:asciiTheme="majorHAnsi" w:hAnsiTheme="majorHAnsi"/>
          <w:i/>
          <w:iCs/>
          <w:sz w:val="20"/>
          <w:szCs w:val="20"/>
          <w:lang w:val="pt-BR"/>
        </w:rPr>
      </w:pPr>
      <w:r w:rsidRPr="00E93F1A">
        <w:rPr>
          <w:rFonts w:asciiTheme="majorHAnsi" w:hAnsiTheme="majorHAnsi"/>
          <w:i/>
          <w:iCs/>
          <w:sz w:val="20"/>
          <w:szCs w:val="20"/>
          <w:lang w:val="pt-BR"/>
        </w:rPr>
        <w:t>Mar</w:t>
      </w:r>
      <w:r w:rsidR="00986F76">
        <w:rPr>
          <w:rFonts w:asciiTheme="majorHAnsi" w:hAnsiTheme="majorHAnsi"/>
          <w:i/>
          <w:iCs/>
          <w:sz w:val="20"/>
          <w:szCs w:val="20"/>
          <w:lang w:val="pt-BR"/>
        </w:rPr>
        <w:t>í</w:t>
      </w:r>
      <w:r w:rsidRPr="00E93F1A">
        <w:rPr>
          <w:rFonts w:asciiTheme="majorHAnsi" w:hAnsiTheme="majorHAnsi"/>
          <w:i/>
          <w:iCs/>
          <w:sz w:val="20"/>
          <w:szCs w:val="20"/>
          <w:lang w:val="pt-BR"/>
        </w:rPr>
        <w:t xml:space="preserve">a </w:t>
      </w:r>
      <w:r w:rsidRPr="00D907CC">
        <w:rPr>
          <w:rFonts w:asciiTheme="majorHAnsi" w:hAnsiTheme="majorHAnsi"/>
          <w:i/>
          <w:iCs/>
          <w:sz w:val="20"/>
          <w:szCs w:val="20"/>
          <w:lang w:val="pt-BR"/>
        </w:rPr>
        <w:t>Eugenia Romero Ossio (P-2774-18)</w:t>
      </w:r>
    </w:p>
    <w:p w14:paraId="2877EB2D" w14:textId="140591FA" w:rsidR="00EB4A99" w:rsidRPr="00302D54" w:rsidRDefault="00E8508E">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sz w:val="20"/>
          <w:szCs w:val="20"/>
          <w:lang w:val="es-PE"/>
        </w:rPr>
      </w:pPr>
      <w:r>
        <w:rPr>
          <w:rFonts w:asciiTheme="majorHAnsi" w:hAnsiTheme="majorHAnsi"/>
          <w:sz w:val="20"/>
          <w:szCs w:val="20"/>
          <w:lang w:val="es-PE"/>
        </w:rPr>
        <w:t>L</w:t>
      </w:r>
      <w:r w:rsidR="00A70100" w:rsidRPr="00EB4A99">
        <w:rPr>
          <w:rFonts w:asciiTheme="majorHAnsi" w:hAnsiTheme="majorHAnsi"/>
          <w:sz w:val="20"/>
          <w:szCs w:val="20"/>
          <w:lang w:val="es-PE"/>
        </w:rPr>
        <w:t>a señora Romero</w:t>
      </w:r>
      <w:r w:rsidR="00076C35">
        <w:rPr>
          <w:rFonts w:asciiTheme="majorHAnsi" w:hAnsiTheme="majorHAnsi"/>
          <w:sz w:val="20"/>
          <w:szCs w:val="20"/>
          <w:lang w:val="es-PE"/>
        </w:rPr>
        <w:t xml:space="preserve"> Ossio</w:t>
      </w:r>
      <w:r w:rsidR="00A70100" w:rsidRPr="00EB4A99">
        <w:rPr>
          <w:rFonts w:asciiTheme="majorHAnsi" w:hAnsiTheme="majorHAnsi"/>
          <w:sz w:val="20"/>
          <w:szCs w:val="20"/>
          <w:lang w:val="es-PE"/>
        </w:rPr>
        <w:t xml:space="preserve"> ingresó a la carrera judicial </w:t>
      </w:r>
      <w:r w:rsidR="00F65F01" w:rsidRPr="00EB4A99">
        <w:rPr>
          <w:rFonts w:asciiTheme="majorHAnsi" w:hAnsiTheme="majorHAnsi"/>
          <w:sz w:val="20"/>
          <w:szCs w:val="20"/>
          <w:lang w:val="es-PE"/>
        </w:rPr>
        <w:t>en octubre de 2006</w:t>
      </w:r>
      <w:r w:rsidR="00A70100" w:rsidRPr="00EB4A99">
        <w:rPr>
          <w:rFonts w:asciiTheme="majorHAnsi" w:hAnsiTheme="majorHAnsi"/>
          <w:sz w:val="20"/>
          <w:szCs w:val="20"/>
          <w:lang w:val="es-PE"/>
        </w:rPr>
        <w:t>,</w:t>
      </w:r>
      <w:r w:rsidR="00F65F01" w:rsidRPr="00EB4A99">
        <w:rPr>
          <w:rFonts w:asciiTheme="majorHAnsi" w:hAnsiTheme="majorHAnsi"/>
          <w:sz w:val="20"/>
          <w:szCs w:val="20"/>
          <w:lang w:val="es-PE"/>
        </w:rPr>
        <w:t xml:space="preserve"> </w:t>
      </w:r>
      <w:r w:rsidR="007B567D" w:rsidRPr="00EB4A99">
        <w:rPr>
          <w:rFonts w:asciiTheme="majorHAnsi" w:hAnsiTheme="majorHAnsi"/>
          <w:sz w:val="20"/>
          <w:szCs w:val="20"/>
          <w:lang w:val="es-PE"/>
        </w:rPr>
        <w:t>tras aprobar el</w:t>
      </w:r>
      <w:r w:rsidR="00F65F01" w:rsidRPr="00EB4A99">
        <w:rPr>
          <w:rFonts w:asciiTheme="majorHAnsi" w:hAnsiTheme="majorHAnsi"/>
          <w:sz w:val="20"/>
          <w:szCs w:val="20"/>
          <w:lang w:val="es-PE"/>
        </w:rPr>
        <w:t xml:space="preserve"> V Curso de formación inicial para ingreso a la Carrera Judicial</w:t>
      </w:r>
      <w:r w:rsidR="00A70100" w:rsidRPr="00EB4A99">
        <w:rPr>
          <w:rFonts w:asciiTheme="majorHAnsi" w:hAnsiTheme="majorHAnsi"/>
          <w:sz w:val="20"/>
          <w:szCs w:val="20"/>
          <w:lang w:val="es-PE"/>
        </w:rPr>
        <w:t xml:space="preserve">. </w:t>
      </w:r>
      <w:r w:rsidR="007B567D" w:rsidRPr="00EB4A99">
        <w:rPr>
          <w:rFonts w:asciiTheme="majorHAnsi" w:hAnsiTheme="majorHAnsi"/>
          <w:sz w:val="20"/>
          <w:szCs w:val="20"/>
          <w:lang w:val="es-PE"/>
        </w:rPr>
        <w:t>El</w:t>
      </w:r>
      <w:r w:rsidR="00F65F01" w:rsidRPr="00EB4A99">
        <w:rPr>
          <w:rFonts w:asciiTheme="majorHAnsi" w:hAnsiTheme="majorHAnsi"/>
          <w:sz w:val="20"/>
          <w:szCs w:val="20"/>
          <w:lang w:val="es-PE"/>
        </w:rPr>
        <w:t xml:space="preserve"> 29 de mayo de 2007 fue designada como Juez</w:t>
      </w:r>
      <w:r w:rsidR="0082454B">
        <w:rPr>
          <w:rFonts w:asciiTheme="majorHAnsi" w:hAnsiTheme="majorHAnsi"/>
          <w:sz w:val="20"/>
          <w:szCs w:val="20"/>
          <w:lang w:val="es-PE"/>
        </w:rPr>
        <w:t>a</w:t>
      </w:r>
      <w:r w:rsidR="00F65F01" w:rsidRPr="00EB4A99">
        <w:rPr>
          <w:rFonts w:asciiTheme="majorHAnsi" w:hAnsiTheme="majorHAnsi"/>
          <w:sz w:val="20"/>
          <w:szCs w:val="20"/>
          <w:lang w:val="es-PE"/>
        </w:rPr>
        <w:t xml:space="preserve"> Instructor</w:t>
      </w:r>
      <w:r w:rsidR="0082454B">
        <w:rPr>
          <w:rFonts w:asciiTheme="majorHAnsi" w:hAnsiTheme="majorHAnsi"/>
          <w:sz w:val="20"/>
          <w:szCs w:val="20"/>
          <w:lang w:val="es-PE"/>
        </w:rPr>
        <w:t>a</w:t>
      </w:r>
      <w:r w:rsidR="00F65F01" w:rsidRPr="00EB4A99">
        <w:rPr>
          <w:rFonts w:asciiTheme="majorHAnsi" w:hAnsiTheme="majorHAnsi"/>
          <w:sz w:val="20"/>
          <w:szCs w:val="20"/>
          <w:lang w:val="es-PE"/>
        </w:rPr>
        <w:t xml:space="preserve"> Mixt</w:t>
      </w:r>
      <w:r w:rsidR="0082454B">
        <w:rPr>
          <w:rFonts w:asciiTheme="majorHAnsi" w:hAnsiTheme="majorHAnsi"/>
          <w:sz w:val="20"/>
          <w:szCs w:val="20"/>
          <w:lang w:val="es-PE"/>
        </w:rPr>
        <w:t>a</w:t>
      </w:r>
      <w:r w:rsidR="00F65F01" w:rsidRPr="00EB4A99">
        <w:rPr>
          <w:rFonts w:asciiTheme="majorHAnsi" w:hAnsiTheme="majorHAnsi"/>
          <w:sz w:val="20"/>
          <w:szCs w:val="20"/>
          <w:lang w:val="es-PE"/>
        </w:rPr>
        <w:t xml:space="preserve"> de Porvenir</w:t>
      </w:r>
      <w:r w:rsidR="0082454B">
        <w:rPr>
          <w:rFonts w:asciiTheme="majorHAnsi" w:hAnsiTheme="majorHAnsi"/>
          <w:sz w:val="20"/>
          <w:szCs w:val="20"/>
          <w:lang w:val="es-PE"/>
        </w:rPr>
        <w:t>,</w:t>
      </w:r>
      <w:r w:rsidR="00F65F01" w:rsidRPr="00EB4A99">
        <w:rPr>
          <w:rFonts w:asciiTheme="majorHAnsi" w:hAnsiTheme="majorHAnsi"/>
          <w:sz w:val="20"/>
          <w:szCs w:val="20"/>
          <w:lang w:val="es-PE"/>
        </w:rPr>
        <w:t xml:space="preserve"> </w:t>
      </w:r>
      <w:r w:rsidR="00F8676B">
        <w:rPr>
          <w:rFonts w:asciiTheme="majorHAnsi" w:hAnsiTheme="majorHAnsi"/>
          <w:sz w:val="20"/>
          <w:szCs w:val="20"/>
          <w:lang w:val="es-PE"/>
        </w:rPr>
        <w:t>D</w:t>
      </w:r>
      <w:r w:rsidR="004E4D8F">
        <w:rPr>
          <w:rFonts w:asciiTheme="majorHAnsi" w:hAnsiTheme="majorHAnsi"/>
          <w:sz w:val="20"/>
          <w:szCs w:val="20"/>
          <w:lang w:val="es-PE"/>
        </w:rPr>
        <w:t xml:space="preserve">epartamento </w:t>
      </w:r>
      <w:r w:rsidR="00F65F01" w:rsidRPr="00EB4A99">
        <w:rPr>
          <w:rFonts w:asciiTheme="majorHAnsi" w:hAnsiTheme="majorHAnsi"/>
          <w:sz w:val="20"/>
          <w:szCs w:val="20"/>
          <w:lang w:val="es-PE"/>
        </w:rPr>
        <w:t>Pando. Posteriormente, el 5 de febrero de 2016</w:t>
      </w:r>
      <w:r w:rsidR="00D37A6F">
        <w:rPr>
          <w:rFonts w:asciiTheme="majorHAnsi" w:hAnsiTheme="majorHAnsi"/>
          <w:sz w:val="20"/>
          <w:szCs w:val="20"/>
          <w:lang w:val="es-PE"/>
        </w:rPr>
        <w:t>,</w:t>
      </w:r>
      <w:r w:rsidR="00F65F01" w:rsidRPr="00EB4A99">
        <w:rPr>
          <w:rFonts w:asciiTheme="majorHAnsi" w:hAnsiTheme="majorHAnsi"/>
          <w:sz w:val="20"/>
          <w:szCs w:val="20"/>
          <w:lang w:val="es-PE"/>
        </w:rPr>
        <w:t xml:space="preserve"> fue reasignada y ampliada en su</w:t>
      </w:r>
      <w:r w:rsidR="007B567D" w:rsidRPr="00EB4A99">
        <w:rPr>
          <w:rFonts w:asciiTheme="majorHAnsi" w:hAnsiTheme="majorHAnsi"/>
          <w:sz w:val="20"/>
          <w:szCs w:val="20"/>
          <w:lang w:val="es-PE"/>
        </w:rPr>
        <w:t>s</w:t>
      </w:r>
      <w:r w:rsidR="00F65F01" w:rsidRPr="00EB4A99">
        <w:rPr>
          <w:rFonts w:asciiTheme="majorHAnsi" w:hAnsiTheme="majorHAnsi"/>
          <w:sz w:val="20"/>
          <w:szCs w:val="20"/>
          <w:lang w:val="es-PE"/>
        </w:rPr>
        <w:t xml:space="preserve"> competencia</w:t>
      </w:r>
      <w:r w:rsidR="007B567D" w:rsidRPr="00EB4A99">
        <w:rPr>
          <w:rFonts w:asciiTheme="majorHAnsi" w:hAnsiTheme="majorHAnsi"/>
          <w:sz w:val="20"/>
          <w:szCs w:val="20"/>
          <w:lang w:val="es-PE"/>
        </w:rPr>
        <w:t>s</w:t>
      </w:r>
      <w:r w:rsidR="00F65F01" w:rsidRPr="00EB4A99">
        <w:rPr>
          <w:rFonts w:asciiTheme="majorHAnsi" w:hAnsiTheme="majorHAnsi"/>
          <w:sz w:val="20"/>
          <w:szCs w:val="20"/>
          <w:lang w:val="es-PE"/>
        </w:rPr>
        <w:t xml:space="preserve"> como Juez</w:t>
      </w:r>
      <w:r w:rsidR="00661C37" w:rsidRPr="00EB4A99">
        <w:rPr>
          <w:rFonts w:asciiTheme="majorHAnsi" w:hAnsiTheme="majorHAnsi"/>
          <w:sz w:val="20"/>
          <w:szCs w:val="20"/>
          <w:lang w:val="es-PE"/>
        </w:rPr>
        <w:t>a</w:t>
      </w:r>
      <w:r w:rsidR="00F65F01" w:rsidRPr="00EB4A99">
        <w:rPr>
          <w:rFonts w:asciiTheme="majorHAnsi" w:hAnsiTheme="majorHAnsi"/>
          <w:sz w:val="20"/>
          <w:szCs w:val="20"/>
          <w:lang w:val="es-PE"/>
        </w:rPr>
        <w:t xml:space="preserve"> a cargo del Juzgado Público Mixto, Civil y Comercial, de Familia, de </w:t>
      </w:r>
      <w:r w:rsidR="00F65F01" w:rsidRPr="00302D54">
        <w:rPr>
          <w:rFonts w:asciiTheme="majorHAnsi" w:hAnsiTheme="majorHAnsi"/>
          <w:sz w:val="20"/>
          <w:szCs w:val="20"/>
          <w:lang w:val="es-PE"/>
        </w:rPr>
        <w:t>la Niñez y Adolescencia, de Partido de Trabajo y Seguridad Social e Instrucción Penal 1º de Porvenir con carácter transitorio.</w:t>
      </w:r>
    </w:p>
    <w:p w14:paraId="78FC3110" w14:textId="77777777" w:rsidR="00EB4A99" w:rsidRPr="00302D54" w:rsidRDefault="00EB4A99" w:rsidP="00EB4A99">
      <w:pPr>
        <w:pStyle w:val="ListParagraph"/>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sz w:val="20"/>
          <w:szCs w:val="20"/>
          <w:lang w:val="es-PE"/>
        </w:rPr>
      </w:pPr>
    </w:p>
    <w:p w14:paraId="36AA8653" w14:textId="728EC98E" w:rsidR="00EB4A99" w:rsidRPr="00302D54" w:rsidRDefault="006F1E7C">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sz w:val="20"/>
          <w:szCs w:val="20"/>
          <w:lang w:val="es-PE"/>
        </w:rPr>
      </w:pPr>
      <w:r w:rsidRPr="00302D54">
        <w:rPr>
          <w:rFonts w:asciiTheme="majorHAnsi" w:hAnsiTheme="majorHAnsi"/>
          <w:sz w:val="20"/>
          <w:szCs w:val="20"/>
          <w:lang w:val="es-PE"/>
        </w:rPr>
        <w:t>M</w:t>
      </w:r>
      <w:r w:rsidR="007B567D" w:rsidRPr="00302D54">
        <w:rPr>
          <w:rFonts w:asciiTheme="majorHAnsi" w:hAnsiTheme="majorHAnsi"/>
          <w:sz w:val="20"/>
          <w:szCs w:val="20"/>
          <w:lang w:val="es-PE"/>
        </w:rPr>
        <w:t>ediante el</w:t>
      </w:r>
      <w:r w:rsidR="00A70100" w:rsidRPr="00302D54">
        <w:rPr>
          <w:rFonts w:asciiTheme="majorHAnsi" w:hAnsiTheme="majorHAnsi"/>
          <w:sz w:val="20"/>
          <w:szCs w:val="20"/>
          <w:lang w:val="es-PE"/>
        </w:rPr>
        <w:t xml:space="preserve"> Acuerdo de Sala Plena N°</w:t>
      </w:r>
      <w:r w:rsidR="00D37A6F" w:rsidRPr="00302D54">
        <w:rPr>
          <w:rFonts w:asciiTheme="majorHAnsi" w:hAnsiTheme="majorHAnsi"/>
          <w:sz w:val="20"/>
          <w:szCs w:val="20"/>
          <w:lang w:val="es-PE"/>
        </w:rPr>
        <w:t xml:space="preserve"> </w:t>
      </w:r>
      <w:r w:rsidR="00A70100" w:rsidRPr="00302D54">
        <w:rPr>
          <w:rFonts w:asciiTheme="majorHAnsi" w:hAnsiTheme="majorHAnsi"/>
          <w:sz w:val="20"/>
          <w:szCs w:val="20"/>
          <w:lang w:val="es-PE"/>
        </w:rPr>
        <w:t>73/2017</w:t>
      </w:r>
      <w:r w:rsidR="00076C35" w:rsidRPr="00302D54">
        <w:rPr>
          <w:rFonts w:asciiTheme="majorHAnsi" w:hAnsiTheme="majorHAnsi"/>
          <w:sz w:val="20"/>
          <w:szCs w:val="20"/>
          <w:lang w:val="es-PE"/>
        </w:rPr>
        <w:t>,</w:t>
      </w:r>
      <w:r w:rsidR="00A70100" w:rsidRPr="00302D54">
        <w:rPr>
          <w:rFonts w:asciiTheme="majorHAnsi" w:hAnsiTheme="majorHAnsi"/>
          <w:sz w:val="20"/>
          <w:szCs w:val="20"/>
          <w:lang w:val="es-PE"/>
        </w:rPr>
        <w:t xml:space="preserve"> </w:t>
      </w:r>
      <w:r w:rsidR="00CD70AA" w:rsidRPr="00302D54">
        <w:rPr>
          <w:rFonts w:asciiTheme="majorHAnsi" w:hAnsiTheme="majorHAnsi"/>
          <w:sz w:val="20"/>
          <w:szCs w:val="20"/>
          <w:lang w:val="es-PE"/>
        </w:rPr>
        <w:t xml:space="preserve">el Consejo de la Magistratura </w:t>
      </w:r>
      <w:r w:rsidR="00A536AD" w:rsidRPr="00302D54">
        <w:rPr>
          <w:rFonts w:asciiTheme="majorHAnsi" w:hAnsiTheme="majorHAnsi"/>
          <w:sz w:val="20"/>
          <w:szCs w:val="20"/>
          <w:lang w:val="es-PE"/>
        </w:rPr>
        <w:t>l</w:t>
      </w:r>
      <w:r w:rsidR="005807C9" w:rsidRPr="00302D54">
        <w:rPr>
          <w:rFonts w:asciiTheme="majorHAnsi" w:hAnsiTheme="majorHAnsi"/>
          <w:sz w:val="20"/>
          <w:szCs w:val="20"/>
          <w:lang w:val="es-PE"/>
        </w:rPr>
        <w:t>a</w:t>
      </w:r>
      <w:r w:rsidR="00A536AD" w:rsidRPr="00302D54">
        <w:rPr>
          <w:rFonts w:asciiTheme="majorHAnsi" w:hAnsiTheme="majorHAnsi"/>
          <w:sz w:val="20"/>
          <w:szCs w:val="20"/>
          <w:lang w:val="es-PE"/>
        </w:rPr>
        <w:t xml:space="preserve"> </w:t>
      </w:r>
      <w:r w:rsidR="00CD70AA" w:rsidRPr="00302D54">
        <w:rPr>
          <w:rFonts w:asciiTheme="majorHAnsi" w:hAnsiTheme="majorHAnsi"/>
          <w:sz w:val="20"/>
          <w:szCs w:val="20"/>
          <w:lang w:val="es-PE"/>
        </w:rPr>
        <w:t>destituyó</w:t>
      </w:r>
      <w:r w:rsidRPr="00302D54">
        <w:rPr>
          <w:rFonts w:asciiTheme="majorHAnsi" w:hAnsiTheme="majorHAnsi"/>
          <w:sz w:val="20"/>
          <w:szCs w:val="20"/>
          <w:lang w:val="es-PE"/>
        </w:rPr>
        <w:t>,</w:t>
      </w:r>
      <w:r w:rsidR="003B7486" w:rsidRPr="00302D54">
        <w:rPr>
          <w:rFonts w:asciiTheme="majorHAnsi" w:hAnsiTheme="majorHAnsi"/>
          <w:sz w:val="20"/>
          <w:szCs w:val="20"/>
          <w:lang w:val="es-PE"/>
        </w:rPr>
        <w:t xml:space="preserve"> </w:t>
      </w:r>
      <w:r w:rsidRPr="00302D54">
        <w:rPr>
          <w:rFonts w:asciiTheme="majorHAnsi" w:hAnsiTheme="majorHAnsi"/>
          <w:sz w:val="20"/>
          <w:szCs w:val="20"/>
          <w:lang w:val="es-PE"/>
        </w:rPr>
        <w:t>ante lo cual est</w:t>
      </w:r>
      <w:r w:rsidR="005807C9" w:rsidRPr="00302D54">
        <w:rPr>
          <w:rFonts w:asciiTheme="majorHAnsi" w:hAnsiTheme="majorHAnsi"/>
          <w:sz w:val="20"/>
          <w:szCs w:val="20"/>
          <w:lang w:val="es-PE"/>
        </w:rPr>
        <w:t>a</w:t>
      </w:r>
      <w:r w:rsidR="007B567D" w:rsidRPr="00302D54">
        <w:rPr>
          <w:rFonts w:asciiTheme="majorHAnsi" w:hAnsiTheme="majorHAnsi"/>
          <w:sz w:val="20"/>
          <w:szCs w:val="20"/>
          <w:lang w:val="es-PE"/>
        </w:rPr>
        <w:t xml:space="preserve"> </w:t>
      </w:r>
      <w:r w:rsidR="00F65F01" w:rsidRPr="00302D54">
        <w:rPr>
          <w:rFonts w:asciiTheme="majorHAnsi" w:hAnsiTheme="majorHAnsi"/>
          <w:sz w:val="20"/>
          <w:szCs w:val="20"/>
          <w:lang w:val="es-PE"/>
        </w:rPr>
        <w:t>interpuso</w:t>
      </w:r>
      <w:r w:rsidR="00A70100" w:rsidRPr="00302D54">
        <w:rPr>
          <w:rFonts w:asciiTheme="majorHAnsi" w:hAnsiTheme="majorHAnsi"/>
          <w:sz w:val="20"/>
          <w:szCs w:val="20"/>
          <w:lang w:val="es-PE"/>
        </w:rPr>
        <w:t xml:space="preserve"> un recurso de revocatoria </w:t>
      </w:r>
      <w:r w:rsidR="003B7486" w:rsidRPr="00302D54">
        <w:rPr>
          <w:rFonts w:asciiTheme="majorHAnsi" w:hAnsiTheme="majorHAnsi"/>
          <w:sz w:val="20"/>
          <w:szCs w:val="20"/>
          <w:lang w:val="es-PE"/>
        </w:rPr>
        <w:t>frente a</w:t>
      </w:r>
      <w:r w:rsidR="00CD70AA" w:rsidRPr="00302D54">
        <w:rPr>
          <w:rFonts w:asciiTheme="majorHAnsi" w:hAnsiTheme="majorHAnsi"/>
          <w:sz w:val="20"/>
          <w:szCs w:val="20"/>
          <w:lang w:val="es-PE"/>
        </w:rPr>
        <w:t xml:space="preserve">l mismo </w:t>
      </w:r>
      <w:r w:rsidR="00076C35" w:rsidRPr="00302D54">
        <w:rPr>
          <w:rFonts w:asciiTheme="majorHAnsi" w:hAnsiTheme="majorHAnsi"/>
          <w:sz w:val="20"/>
          <w:szCs w:val="20"/>
          <w:lang w:val="es-PE"/>
        </w:rPr>
        <w:t>C</w:t>
      </w:r>
      <w:r w:rsidR="00CD70AA" w:rsidRPr="00302D54">
        <w:rPr>
          <w:rFonts w:asciiTheme="majorHAnsi" w:hAnsiTheme="majorHAnsi"/>
          <w:sz w:val="20"/>
          <w:szCs w:val="20"/>
          <w:lang w:val="es-PE"/>
        </w:rPr>
        <w:t xml:space="preserve">onsejo. Pese a </w:t>
      </w:r>
      <w:r w:rsidR="007B567D" w:rsidRPr="00302D54">
        <w:rPr>
          <w:rFonts w:asciiTheme="majorHAnsi" w:hAnsiTheme="majorHAnsi"/>
          <w:sz w:val="20"/>
          <w:szCs w:val="20"/>
          <w:lang w:val="es-PE"/>
        </w:rPr>
        <w:t>ello</w:t>
      </w:r>
      <w:r w:rsidR="00CD70AA" w:rsidRPr="00302D54">
        <w:rPr>
          <w:rFonts w:asciiTheme="majorHAnsi" w:hAnsiTheme="majorHAnsi"/>
          <w:sz w:val="20"/>
          <w:szCs w:val="20"/>
          <w:lang w:val="es-PE"/>
        </w:rPr>
        <w:t>,</w:t>
      </w:r>
      <w:r w:rsidR="007B567D" w:rsidRPr="00302D54">
        <w:rPr>
          <w:rFonts w:asciiTheme="majorHAnsi" w:hAnsiTheme="majorHAnsi"/>
          <w:sz w:val="20"/>
          <w:szCs w:val="20"/>
          <w:lang w:val="es-PE"/>
        </w:rPr>
        <w:t xml:space="preserve"> </w:t>
      </w:r>
      <w:r w:rsidR="003B7486" w:rsidRPr="00302D54">
        <w:rPr>
          <w:rFonts w:asciiTheme="majorHAnsi" w:hAnsiTheme="majorHAnsi"/>
          <w:sz w:val="20"/>
          <w:szCs w:val="20"/>
          <w:lang w:val="es-PE"/>
        </w:rPr>
        <w:t>este órgano</w:t>
      </w:r>
      <w:r w:rsidR="007B567D" w:rsidRPr="00302D54">
        <w:rPr>
          <w:rFonts w:asciiTheme="majorHAnsi" w:hAnsiTheme="majorHAnsi"/>
          <w:sz w:val="20"/>
          <w:szCs w:val="20"/>
          <w:lang w:val="es-PE"/>
        </w:rPr>
        <w:t xml:space="preserve"> ratificó</w:t>
      </w:r>
      <w:r w:rsidR="00CD70AA" w:rsidRPr="00302D54">
        <w:rPr>
          <w:rFonts w:asciiTheme="majorHAnsi" w:hAnsiTheme="majorHAnsi"/>
          <w:sz w:val="20"/>
          <w:szCs w:val="20"/>
          <w:lang w:val="es-PE"/>
        </w:rPr>
        <w:t xml:space="preserve"> su decisión reiterando que</w:t>
      </w:r>
      <w:r w:rsidR="00076C35" w:rsidRPr="00302D54">
        <w:rPr>
          <w:rFonts w:asciiTheme="majorHAnsi" w:hAnsiTheme="majorHAnsi"/>
          <w:sz w:val="20"/>
          <w:szCs w:val="20"/>
          <w:lang w:val="es-PE"/>
        </w:rPr>
        <w:t>,</w:t>
      </w:r>
      <w:r w:rsidR="001E7B2B" w:rsidRPr="00302D54">
        <w:rPr>
          <w:rFonts w:asciiTheme="majorHAnsi" w:hAnsiTheme="majorHAnsi"/>
          <w:sz w:val="20"/>
          <w:szCs w:val="20"/>
          <w:lang w:val="es-PE"/>
        </w:rPr>
        <w:t xml:space="preserve"> debido a</w:t>
      </w:r>
      <w:r w:rsidR="00A70100" w:rsidRPr="00302D54">
        <w:rPr>
          <w:rFonts w:asciiTheme="majorHAnsi" w:hAnsiTheme="majorHAnsi"/>
          <w:sz w:val="20"/>
          <w:szCs w:val="20"/>
          <w:lang w:val="es-PE"/>
        </w:rPr>
        <w:t xml:space="preserve">l carácter transitorio de </w:t>
      </w:r>
      <w:r w:rsidR="00CD70AA" w:rsidRPr="00302D54">
        <w:rPr>
          <w:rFonts w:asciiTheme="majorHAnsi" w:hAnsiTheme="majorHAnsi"/>
          <w:sz w:val="20"/>
          <w:szCs w:val="20"/>
          <w:lang w:val="es-PE"/>
        </w:rPr>
        <w:t>su cargo</w:t>
      </w:r>
      <w:r w:rsidR="00076C35" w:rsidRPr="00302D54">
        <w:rPr>
          <w:rFonts w:asciiTheme="majorHAnsi" w:hAnsiTheme="majorHAnsi"/>
          <w:sz w:val="20"/>
          <w:szCs w:val="20"/>
          <w:lang w:val="es-PE"/>
        </w:rPr>
        <w:t>,</w:t>
      </w:r>
      <w:r w:rsidR="00A70100" w:rsidRPr="00302D54">
        <w:rPr>
          <w:rFonts w:asciiTheme="majorHAnsi" w:hAnsiTheme="majorHAnsi"/>
          <w:sz w:val="20"/>
          <w:szCs w:val="20"/>
          <w:lang w:val="es-PE"/>
        </w:rPr>
        <w:t xml:space="preserve"> no </w:t>
      </w:r>
      <w:r w:rsidR="007B567D" w:rsidRPr="00302D54">
        <w:rPr>
          <w:rFonts w:asciiTheme="majorHAnsi" w:hAnsiTheme="majorHAnsi"/>
          <w:sz w:val="20"/>
          <w:szCs w:val="20"/>
          <w:lang w:val="es-PE"/>
        </w:rPr>
        <w:t>era</w:t>
      </w:r>
      <w:r w:rsidR="00A70100" w:rsidRPr="00302D54">
        <w:rPr>
          <w:rFonts w:asciiTheme="majorHAnsi" w:hAnsiTheme="majorHAnsi"/>
          <w:sz w:val="20"/>
          <w:szCs w:val="20"/>
          <w:lang w:val="es-PE"/>
        </w:rPr>
        <w:t xml:space="preserve"> necesario invocar una causal legal para su destitución</w:t>
      </w:r>
      <w:r w:rsidR="007B567D" w:rsidRPr="00302D54">
        <w:rPr>
          <w:rFonts w:asciiTheme="majorHAnsi" w:hAnsiTheme="majorHAnsi"/>
          <w:sz w:val="20"/>
          <w:szCs w:val="20"/>
          <w:lang w:val="es-PE"/>
        </w:rPr>
        <w:t>, ni llevar a cabo</w:t>
      </w:r>
      <w:r w:rsidR="00A70100" w:rsidRPr="00302D54">
        <w:rPr>
          <w:rFonts w:asciiTheme="majorHAnsi" w:hAnsiTheme="majorHAnsi"/>
          <w:sz w:val="20"/>
          <w:szCs w:val="20"/>
          <w:lang w:val="es-PE"/>
        </w:rPr>
        <w:t xml:space="preserve"> algún proceso administrativo previo.</w:t>
      </w:r>
    </w:p>
    <w:p w14:paraId="46EFFAD7" w14:textId="77777777" w:rsidR="00EB4A99" w:rsidRPr="00302D54" w:rsidRDefault="00EB4A99" w:rsidP="00EB4A99">
      <w:pPr>
        <w:pStyle w:val="ListParagraph"/>
        <w:rPr>
          <w:rFonts w:asciiTheme="majorHAnsi" w:hAnsiTheme="majorHAnsi"/>
          <w:sz w:val="20"/>
          <w:szCs w:val="20"/>
          <w:lang w:val="es-PE"/>
        </w:rPr>
      </w:pPr>
    </w:p>
    <w:p w14:paraId="0918AEF6" w14:textId="5D3A1AB4" w:rsidR="00CC48B9" w:rsidRPr="00302D54" w:rsidRDefault="000C683B">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sz w:val="20"/>
          <w:szCs w:val="20"/>
          <w:lang w:val="es-PE"/>
        </w:rPr>
      </w:pPr>
      <w:r w:rsidRPr="00302D54">
        <w:rPr>
          <w:rFonts w:asciiTheme="majorHAnsi" w:hAnsiTheme="majorHAnsi"/>
          <w:sz w:val="20"/>
          <w:szCs w:val="20"/>
          <w:lang w:val="es-PE"/>
        </w:rPr>
        <w:t>Contra</w:t>
      </w:r>
      <w:r w:rsidR="00A70100" w:rsidRPr="00302D54">
        <w:rPr>
          <w:rFonts w:asciiTheme="majorHAnsi" w:hAnsiTheme="majorHAnsi"/>
          <w:sz w:val="20"/>
          <w:szCs w:val="20"/>
          <w:lang w:val="es-PE"/>
        </w:rPr>
        <w:t xml:space="preserve"> es</w:t>
      </w:r>
      <w:r w:rsidR="003B7486" w:rsidRPr="00302D54">
        <w:rPr>
          <w:rFonts w:asciiTheme="majorHAnsi" w:hAnsiTheme="majorHAnsi"/>
          <w:sz w:val="20"/>
          <w:szCs w:val="20"/>
          <w:lang w:val="es-PE"/>
        </w:rPr>
        <w:t>t</w:t>
      </w:r>
      <w:r w:rsidR="00A70100" w:rsidRPr="00302D54">
        <w:rPr>
          <w:rFonts w:asciiTheme="majorHAnsi" w:hAnsiTheme="majorHAnsi"/>
          <w:sz w:val="20"/>
          <w:szCs w:val="20"/>
          <w:lang w:val="es-PE"/>
        </w:rPr>
        <w:t xml:space="preserve">a resolución administrativa de última instancia </w:t>
      </w:r>
      <w:r w:rsidR="00F65F01" w:rsidRPr="00302D54">
        <w:rPr>
          <w:rFonts w:asciiTheme="majorHAnsi" w:hAnsiTheme="majorHAnsi"/>
          <w:sz w:val="20"/>
          <w:szCs w:val="20"/>
          <w:lang w:val="es-PE"/>
        </w:rPr>
        <w:t>la presunta víctima</w:t>
      </w:r>
      <w:r w:rsidR="00A70100" w:rsidRPr="00302D54">
        <w:rPr>
          <w:rFonts w:asciiTheme="majorHAnsi" w:hAnsiTheme="majorHAnsi"/>
          <w:sz w:val="20"/>
          <w:szCs w:val="20"/>
          <w:lang w:val="es-PE"/>
        </w:rPr>
        <w:t xml:space="preserve"> </w:t>
      </w:r>
      <w:r w:rsidR="00F65F01" w:rsidRPr="00302D54">
        <w:rPr>
          <w:rFonts w:asciiTheme="majorHAnsi" w:hAnsiTheme="majorHAnsi"/>
          <w:sz w:val="20"/>
          <w:szCs w:val="20"/>
          <w:lang w:val="es-PE"/>
        </w:rPr>
        <w:t>interpuso</w:t>
      </w:r>
      <w:r w:rsidR="00A70100" w:rsidRPr="00302D54">
        <w:rPr>
          <w:rFonts w:asciiTheme="majorHAnsi" w:hAnsiTheme="majorHAnsi"/>
          <w:sz w:val="20"/>
          <w:szCs w:val="20"/>
          <w:lang w:val="es-PE"/>
        </w:rPr>
        <w:t xml:space="preserve"> una acción de amparo constitucional, l</w:t>
      </w:r>
      <w:r w:rsidR="007B567D" w:rsidRPr="00302D54">
        <w:rPr>
          <w:rFonts w:asciiTheme="majorHAnsi" w:hAnsiTheme="majorHAnsi"/>
          <w:sz w:val="20"/>
          <w:szCs w:val="20"/>
          <w:lang w:val="es-PE"/>
        </w:rPr>
        <w:t>a</w:t>
      </w:r>
      <w:r w:rsidR="00A70100" w:rsidRPr="00302D54">
        <w:rPr>
          <w:rFonts w:asciiTheme="majorHAnsi" w:hAnsiTheme="majorHAnsi"/>
          <w:sz w:val="20"/>
          <w:szCs w:val="20"/>
          <w:lang w:val="es-PE"/>
        </w:rPr>
        <w:t xml:space="preserve"> cual fue denegad</w:t>
      </w:r>
      <w:r w:rsidR="007B567D" w:rsidRPr="00302D54">
        <w:rPr>
          <w:rFonts w:asciiTheme="majorHAnsi" w:hAnsiTheme="majorHAnsi"/>
          <w:sz w:val="20"/>
          <w:szCs w:val="20"/>
          <w:lang w:val="es-PE"/>
        </w:rPr>
        <w:t>a</w:t>
      </w:r>
      <w:r w:rsidR="00A70100" w:rsidRPr="00302D54">
        <w:rPr>
          <w:rFonts w:asciiTheme="majorHAnsi" w:hAnsiTheme="majorHAnsi"/>
          <w:sz w:val="20"/>
          <w:szCs w:val="20"/>
          <w:lang w:val="es-PE"/>
        </w:rPr>
        <w:t xml:space="preserve"> por el Juzgado Público de</w:t>
      </w:r>
      <w:r w:rsidR="003B7486" w:rsidRPr="00302D54">
        <w:rPr>
          <w:rFonts w:asciiTheme="majorHAnsi" w:hAnsiTheme="majorHAnsi"/>
          <w:sz w:val="20"/>
          <w:szCs w:val="20"/>
          <w:lang w:val="es-PE"/>
        </w:rPr>
        <w:t xml:space="preserve"> </w:t>
      </w:r>
      <w:r w:rsidR="00F65F01" w:rsidRPr="00302D54">
        <w:rPr>
          <w:rFonts w:asciiTheme="majorHAnsi" w:hAnsiTheme="majorHAnsi"/>
          <w:sz w:val="20"/>
          <w:szCs w:val="20"/>
          <w:lang w:val="es-PE"/>
        </w:rPr>
        <w:t>la Niñez y Adolescencia</w:t>
      </w:r>
      <w:r w:rsidR="00A70100" w:rsidRPr="00302D54">
        <w:rPr>
          <w:rFonts w:asciiTheme="majorHAnsi" w:hAnsiTheme="majorHAnsi"/>
          <w:sz w:val="20"/>
          <w:szCs w:val="20"/>
          <w:lang w:val="es-PE"/>
        </w:rPr>
        <w:t xml:space="preserve"> N</w:t>
      </w:r>
      <w:r w:rsidR="007B567D" w:rsidRPr="00302D54">
        <w:rPr>
          <w:rFonts w:asciiTheme="majorHAnsi" w:hAnsiTheme="majorHAnsi"/>
          <w:sz w:val="20"/>
          <w:szCs w:val="20"/>
          <w:lang w:val="es-PE"/>
        </w:rPr>
        <w:t>°</w:t>
      </w:r>
      <w:r w:rsidR="00076C35" w:rsidRPr="00302D54">
        <w:rPr>
          <w:rFonts w:asciiTheme="majorHAnsi" w:hAnsiTheme="majorHAnsi"/>
          <w:sz w:val="20"/>
          <w:szCs w:val="20"/>
          <w:lang w:val="es-PE"/>
        </w:rPr>
        <w:t xml:space="preserve"> </w:t>
      </w:r>
      <w:r w:rsidR="00F65F01" w:rsidRPr="00302D54">
        <w:rPr>
          <w:rFonts w:asciiTheme="majorHAnsi" w:hAnsiTheme="majorHAnsi"/>
          <w:sz w:val="20"/>
          <w:szCs w:val="20"/>
          <w:lang w:val="es-PE"/>
        </w:rPr>
        <w:t>2</w:t>
      </w:r>
      <w:r w:rsidR="00A70100" w:rsidRPr="00302D54">
        <w:rPr>
          <w:rFonts w:asciiTheme="majorHAnsi" w:hAnsiTheme="majorHAnsi"/>
          <w:sz w:val="20"/>
          <w:szCs w:val="20"/>
          <w:lang w:val="es-PE"/>
        </w:rPr>
        <w:t xml:space="preserve"> del Tribunal Departamental de Justicia de Chuquisaca</w:t>
      </w:r>
      <w:r w:rsidR="007B567D" w:rsidRPr="00302D54">
        <w:rPr>
          <w:rFonts w:asciiTheme="majorHAnsi" w:hAnsiTheme="majorHAnsi"/>
          <w:sz w:val="20"/>
          <w:szCs w:val="20"/>
          <w:lang w:val="es-PE"/>
        </w:rPr>
        <w:t>. El juzgado</w:t>
      </w:r>
      <w:r w:rsidR="00A70100" w:rsidRPr="00302D54">
        <w:rPr>
          <w:rFonts w:asciiTheme="majorHAnsi" w:hAnsiTheme="majorHAnsi"/>
          <w:sz w:val="20"/>
          <w:szCs w:val="20"/>
          <w:lang w:val="es-PE"/>
        </w:rPr>
        <w:t xml:space="preserve"> indicó que</w:t>
      </w:r>
      <w:r w:rsidR="00076C35" w:rsidRPr="00302D54">
        <w:rPr>
          <w:rFonts w:asciiTheme="majorHAnsi" w:hAnsiTheme="majorHAnsi"/>
          <w:sz w:val="20"/>
          <w:szCs w:val="20"/>
          <w:lang w:val="es-PE"/>
        </w:rPr>
        <w:t>,</w:t>
      </w:r>
      <w:r w:rsidR="00A70100" w:rsidRPr="00302D54">
        <w:rPr>
          <w:rFonts w:asciiTheme="majorHAnsi" w:hAnsiTheme="majorHAnsi"/>
          <w:sz w:val="20"/>
          <w:szCs w:val="20"/>
          <w:lang w:val="es-PE"/>
        </w:rPr>
        <w:t xml:space="preserve"> </w:t>
      </w:r>
      <w:r w:rsidR="00F65F01" w:rsidRPr="00302D54">
        <w:rPr>
          <w:rFonts w:asciiTheme="majorHAnsi" w:hAnsiTheme="majorHAnsi"/>
          <w:sz w:val="20"/>
          <w:szCs w:val="20"/>
          <w:lang w:val="es-PE"/>
        </w:rPr>
        <w:t>al ejercer un</w:t>
      </w:r>
      <w:r w:rsidR="00A70100" w:rsidRPr="00302D54">
        <w:rPr>
          <w:rFonts w:asciiTheme="majorHAnsi" w:hAnsiTheme="majorHAnsi"/>
          <w:sz w:val="20"/>
          <w:szCs w:val="20"/>
          <w:lang w:val="es-PE"/>
        </w:rPr>
        <w:t xml:space="preserve"> cargo </w:t>
      </w:r>
      <w:r w:rsidR="007B567D" w:rsidRPr="00302D54">
        <w:rPr>
          <w:rFonts w:asciiTheme="majorHAnsi" w:hAnsiTheme="majorHAnsi"/>
          <w:sz w:val="20"/>
          <w:szCs w:val="20"/>
          <w:lang w:val="es-PE"/>
        </w:rPr>
        <w:t xml:space="preserve">con </w:t>
      </w:r>
      <w:r w:rsidR="00A70100" w:rsidRPr="00302D54">
        <w:rPr>
          <w:rFonts w:asciiTheme="majorHAnsi" w:hAnsiTheme="majorHAnsi"/>
          <w:sz w:val="20"/>
          <w:szCs w:val="20"/>
          <w:lang w:val="es-PE"/>
        </w:rPr>
        <w:t>carácter transitorio</w:t>
      </w:r>
      <w:r w:rsidR="00076C35" w:rsidRPr="00302D54">
        <w:rPr>
          <w:rFonts w:asciiTheme="majorHAnsi" w:hAnsiTheme="majorHAnsi"/>
          <w:sz w:val="20"/>
          <w:szCs w:val="20"/>
          <w:lang w:val="es-PE"/>
        </w:rPr>
        <w:t>,</w:t>
      </w:r>
      <w:r w:rsidR="00F65F01" w:rsidRPr="00302D54">
        <w:rPr>
          <w:rFonts w:asciiTheme="majorHAnsi" w:hAnsiTheme="majorHAnsi"/>
          <w:sz w:val="20"/>
          <w:szCs w:val="20"/>
          <w:lang w:val="es-PE"/>
        </w:rPr>
        <w:t xml:space="preserve"> no </w:t>
      </w:r>
      <w:r w:rsidR="007B567D" w:rsidRPr="00302D54">
        <w:rPr>
          <w:rFonts w:asciiTheme="majorHAnsi" w:hAnsiTheme="majorHAnsi"/>
          <w:sz w:val="20"/>
          <w:szCs w:val="20"/>
          <w:lang w:val="es-PE"/>
        </w:rPr>
        <w:t>se vulneraron</w:t>
      </w:r>
      <w:r w:rsidR="00F65F01" w:rsidRPr="00302D54">
        <w:rPr>
          <w:rFonts w:asciiTheme="majorHAnsi" w:hAnsiTheme="majorHAnsi"/>
          <w:sz w:val="20"/>
          <w:szCs w:val="20"/>
          <w:lang w:val="es-PE"/>
        </w:rPr>
        <w:t xml:space="preserve"> sus derechos</w:t>
      </w:r>
      <w:r w:rsidR="00A70100" w:rsidRPr="00302D54">
        <w:rPr>
          <w:rFonts w:asciiTheme="majorHAnsi" w:hAnsiTheme="majorHAnsi"/>
          <w:sz w:val="20"/>
          <w:szCs w:val="20"/>
          <w:lang w:val="es-PE"/>
        </w:rPr>
        <w:t>. Es</w:t>
      </w:r>
      <w:r w:rsidR="007B567D" w:rsidRPr="00302D54">
        <w:rPr>
          <w:rFonts w:asciiTheme="majorHAnsi" w:hAnsiTheme="majorHAnsi"/>
          <w:sz w:val="20"/>
          <w:szCs w:val="20"/>
          <w:lang w:val="es-PE"/>
        </w:rPr>
        <w:t>t</w:t>
      </w:r>
      <w:r w:rsidR="00A70100" w:rsidRPr="00302D54">
        <w:rPr>
          <w:rFonts w:asciiTheme="majorHAnsi" w:hAnsiTheme="majorHAnsi"/>
          <w:sz w:val="20"/>
          <w:szCs w:val="20"/>
          <w:lang w:val="es-PE"/>
        </w:rPr>
        <w:t xml:space="preserve">a resolución denegatoria fue </w:t>
      </w:r>
      <w:r w:rsidR="007B567D" w:rsidRPr="00302D54">
        <w:rPr>
          <w:rFonts w:asciiTheme="majorHAnsi" w:hAnsiTheme="majorHAnsi"/>
          <w:sz w:val="20"/>
          <w:szCs w:val="20"/>
          <w:lang w:val="es-PE"/>
        </w:rPr>
        <w:t>con</w:t>
      </w:r>
      <w:r w:rsidR="00A70100" w:rsidRPr="00302D54">
        <w:rPr>
          <w:rFonts w:asciiTheme="majorHAnsi" w:hAnsiTheme="majorHAnsi"/>
          <w:sz w:val="20"/>
          <w:szCs w:val="20"/>
          <w:lang w:val="es-PE"/>
        </w:rPr>
        <w:t xml:space="preserve">firmada en última instancia por el Tribunal Constitucional Plurinacional, </w:t>
      </w:r>
      <w:r w:rsidR="00D9444B" w:rsidRPr="00302D54">
        <w:rPr>
          <w:rFonts w:asciiTheme="majorHAnsi" w:hAnsiTheme="majorHAnsi"/>
          <w:sz w:val="20"/>
          <w:szCs w:val="20"/>
          <w:lang w:val="es-PE"/>
        </w:rPr>
        <w:t xml:space="preserve">que </w:t>
      </w:r>
      <w:r w:rsidR="003B7486" w:rsidRPr="00302D54">
        <w:rPr>
          <w:rFonts w:asciiTheme="majorHAnsi" w:hAnsiTheme="majorHAnsi"/>
          <w:sz w:val="20"/>
          <w:szCs w:val="20"/>
          <w:lang w:val="es-PE"/>
        </w:rPr>
        <w:t xml:space="preserve">notificó </w:t>
      </w:r>
      <w:r w:rsidR="00A70100" w:rsidRPr="00302D54">
        <w:rPr>
          <w:rFonts w:asciiTheme="majorHAnsi" w:hAnsiTheme="majorHAnsi"/>
          <w:sz w:val="20"/>
          <w:szCs w:val="20"/>
          <w:lang w:val="es-PE"/>
        </w:rPr>
        <w:t xml:space="preserve">su decisión el 23 de </w:t>
      </w:r>
      <w:r w:rsidR="00F65F01" w:rsidRPr="00302D54">
        <w:rPr>
          <w:rFonts w:asciiTheme="majorHAnsi" w:hAnsiTheme="majorHAnsi"/>
          <w:sz w:val="20"/>
          <w:szCs w:val="20"/>
          <w:lang w:val="es-PE"/>
        </w:rPr>
        <w:t xml:space="preserve">agosto </w:t>
      </w:r>
      <w:r w:rsidR="00A70100" w:rsidRPr="00302D54">
        <w:rPr>
          <w:rFonts w:asciiTheme="majorHAnsi" w:hAnsiTheme="majorHAnsi"/>
          <w:sz w:val="20"/>
          <w:szCs w:val="20"/>
          <w:lang w:val="es-PE"/>
        </w:rPr>
        <w:t>de 2018.</w:t>
      </w:r>
      <w:bookmarkStart w:id="3" w:name="_Hlk171031554"/>
    </w:p>
    <w:p w14:paraId="12118D9A" w14:textId="77777777" w:rsidR="00CC48B9" w:rsidRPr="00302D54" w:rsidRDefault="00CC48B9" w:rsidP="00CC48B9">
      <w:pPr>
        <w:pStyle w:val="ListParagraph"/>
        <w:spacing w:before="240" w:after="240"/>
        <w:jc w:val="both"/>
        <w:rPr>
          <w:rFonts w:asciiTheme="majorHAnsi" w:hAnsiTheme="majorHAnsi"/>
          <w:i/>
          <w:iCs/>
          <w:sz w:val="20"/>
          <w:szCs w:val="20"/>
          <w:lang w:val="pt-BR"/>
        </w:rPr>
      </w:pPr>
      <w:r w:rsidRPr="00302D54">
        <w:rPr>
          <w:rFonts w:asciiTheme="majorHAnsi" w:hAnsiTheme="majorHAnsi"/>
          <w:i/>
          <w:iCs/>
          <w:color w:val="auto"/>
          <w:sz w:val="20"/>
          <w:szCs w:val="20"/>
          <w:lang w:val="pt-BR"/>
        </w:rPr>
        <w:t xml:space="preserve">Jorge </w:t>
      </w:r>
      <w:r w:rsidRPr="00302D54">
        <w:rPr>
          <w:rFonts w:asciiTheme="majorHAnsi" w:hAnsiTheme="majorHAnsi"/>
          <w:i/>
          <w:iCs/>
          <w:sz w:val="20"/>
          <w:szCs w:val="20"/>
          <w:lang w:val="pt-BR"/>
        </w:rPr>
        <w:t>Marco Agüero García (P-76-19)</w:t>
      </w:r>
    </w:p>
    <w:p w14:paraId="4671FA0D" w14:textId="67ECC9E7" w:rsidR="00CC48B9" w:rsidRPr="00302D54" w:rsidRDefault="00CC48B9">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sz w:val="20"/>
          <w:szCs w:val="20"/>
          <w:lang w:val="es-PE"/>
        </w:rPr>
      </w:pPr>
      <w:r w:rsidRPr="00302D54">
        <w:rPr>
          <w:rFonts w:asciiTheme="majorHAnsi" w:hAnsiTheme="majorHAnsi"/>
          <w:sz w:val="20"/>
          <w:szCs w:val="20"/>
          <w:lang w:val="es-PE"/>
        </w:rPr>
        <w:t>El</w:t>
      </w:r>
      <w:r w:rsidR="00A45CF0" w:rsidRPr="00302D54">
        <w:rPr>
          <w:rFonts w:asciiTheme="majorHAnsi" w:hAnsiTheme="majorHAnsi"/>
          <w:sz w:val="20"/>
          <w:szCs w:val="20"/>
          <w:lang w:val="es-PE"/>
        </w:rPr>
        <w:t xml:space="preserve"> </w:t>
      </w:r>
      <w:r w:rsidRPr="00302D54">
        <w:rPr>
          <w:rFonts w:asciiTheme="majorHAnsi" w:hAnsiTheme="majorHAnsi"/>
          <w:sz w:val="20"/>
          <w:szCs w:val="20"/>
          <w:lang w:val="es-PE"/>
        </w:rPr>
        <w:t>señor Agüero</w:t>
      </w:r>
      <w:r w:rsidR="00D9444B" w:rsidRPr="00302D54">
        <w:rPr>
          <w:rFonts w:asciiTheme="majorHAnsi" w:hAnsiTheme="majorHAnsi"/>
          <w:sz w:val="20"/>
          <w:szCs w:val="20"/>
          <w:lang w:val="es-PE"/>
        </w:rPr>
        <w:t xml:space="preserve"> García</w:t>
      </w:r>
      <w:r w:rsidRPr="00302D54">
        <w:rPr>
          <w:rFonts w:asciiTheme="majorHAnsi" w:hAnsiTheme="majorHAnsi"/>
          <w:sz w:val="20"/>
          <w:szCs w:val="20"/>
          <w:lang w:val="es-PE"/>
        </w:rPr>
        <w:t xml:space="preserve"> ingresó a la carrera judicial tras aprobar un concurso de méritos convocado por el Consejo de la Magistratura el 25 de noviembre de 2012. </w:t>
      </w:r>
      <w:r w:rsidR="00CF2E7B" w:rsidRPr="00302D54">
        <w:rPr>
          <w:rFonts w:asciiTheme="majorHAnsi" w:hAnsiTheme="majorHAnsi"/>
          <w:sz w:val="20"/>
          <w:szCs w:val="20"/>
          <w:lang w:val="es-PE"/>
        </w:rPr>
        <w:t>Luego</w:t>
      </w:r>
      <w:r w:rsidR="00F8676B" w:rsidRPr="00302D54">
        <w:rPr>
          <w:rFonts w:asciiTheme="majorHAnsi" w:hAnsiTheme="majorHAnsi"/>
          <w:sz w:val="20"/>
          <w:szCs w:val="20"/>
          <w:lang w:val="es-PE"/>
        </w:rPr>
        <w:t>,</w:t>
      </w:r>
      <w:r w:rsidRPr="00302D54">
        <w:rPr>
          <w:rFonts w:asciiTheme="majorHAnsi" w:hAnsiTheme="majorHAnsi"/>
          <w:sz w:val="20"/>
          <w:szCs w:val="20"/>
          <w:lang w:val="es-PE"/>
        </w:rPr>
        <w:t xml:space="preserve"> en 2014</w:t>
      </w:r>
      <w:r w:rsidR="00F8676B" w:rsidRPr="00302D54">
        <w:rPr>
          <w:rFonts w:asciiTheme="majorHAnsi" w:hAnsiTheme="majorHAnsi"/>
          <w:sz w:val="20"/>
          <w:szCs w:val="20"/>
          <w:lang w:val="es-PE"/>
        </w:rPr>
        <w:t>,</w:t>
      </w:r>
      <w:r w:rsidRPr="00302D54">
        <w:rPr>
          <w:rFonts w:asciiTheme="majorHAnsi" w:hAnsiTheme="majorHAnsi"/>
          <w:sz w:val="20"/>
          <w:szCs w:val="20"/>
          <w:lang w:val="es-PE"/>
        </w:rPr>
        <w:t xml:space="preserve"> fue designado como juez técnico del Tribunal de Sentencia de Buena Vista, Provincia Ichilo, Departamento de Santa Cruz.</w:t>
      </w:r>
    </w:p>
    <w:p w14:paraId="1D92ABE7" w14:textId="77777777" w:rsidR="00CC48B9" w:rsidRPr="00302D54" w:rsidRDefault="00CC48B9" w:rsidP="00CC48B9">
      <w:pPr>
        <w:pStyle w:val="ListParagraph"/>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sz w:val="20"/>
          <w:szCs w:val="20"/>
          <w:lang w:val="es-PE"/>
        </w:rPr>
      </w:pPr>
    </w:p>
    <w:p w14:paraId="1ED974F7" w14:textId="191F46E1" w:rsidR="00CC48B9" w:rsidRPr="00302D54" w:rsidRDefault="00C94779">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sz w:val="20"/>
          <w:szCs w:val="20"/>
          <w:lang w:val="es-PE"/>
        </w:rPr>
      </w:pPr>
      <w:r w:rsidRPr="00302D54">
        <w:rPr>
          <w:rFonts w:asciiTheme="majorHAnsi" w:hAnsiTheme="majorHAnsi"/>
          <w:sz w:val="20"/>
          <w:szCs w:val="20"/>
          <w:lang w:val="es-PE"/>
        </w:rPr>
        <w:t>M</w:t>
      </w:r>
      <w:r w:rsidR="00E414AE" w:rsidRPr="00302D54">
        <w:rPr>
          <w:rFonts w:asciiTheme="majorHAnsi" w:hAnsiTheme="majorHAnsi"/>
          <w:sz w:val="20"/>
          <w:szCs w:val="20"/>
          <w:lang w:val="es-ES"/>
        </w:rPr>
        <w:t xml:space="preserve">ás tarde, </w:t>
      </w:r>
      <w:r w:rsidR="00E414AE" w:rsidRPr="00302D54">
        <w:rPr>
          <w:rFonts w:asciiTheme="majorHAnsi" w:hAnsiTheme="majorHAnsi"/>
          <w:sz w:val="20"/>
          <w:szCs w:val="20"/>
          <w:lang w:val="es-PE"/>
        </w:rPr>
        <w:t>m</w:t>
      </w:r>
      <w:r w:rsidR="003729B0" w:rsidRPr="00302D54">
        <w:rPr>
          <w:rFonts w:asciiTheme="majorHAnsi" w:hAnsiTheme="majorHAnsi"/>
          <w:sz w:val="20"/>
          <w:szCs w:val="20"/>
          <w:lang w:val="es-PE"/>
        </w:rPr>
        <w:t>ediante</w:t>
      </w:r>
      <w:r w:rsidR="00CC48B9" w:rsidRPr="00302D54">
        <w:rPr>
          <w:rFonts w:asciiTheme="majorHAnsi" w:hAnsiTheme="majorHAnsi"/>
          <w:sz w:val="20"/>
          <w:szCs w:val="20"/>
          <w:lang w:val="es-PE"/>
        </w:rPr>
        <w:t xml:space="preserve"> Acuerdo de Sala Plena N°</w:t>
      </w:r>
      <w:r w:rsidR="00D37A6F" w:rsidRPr="00302D54">
        <w:rPr>
          <w:rFonts w:asciiTheme="majorHAnsi" w:hAnsiTheme="majorHAnsi"/>
          <w:sz w:val="20"/>
          <w:szCs w:val="20"/>
          <w:lang w:val="es-PE"/>
        </w:rPr>
        <w:t xml:space="preserve"> </w:t>
      </w:r>
      <w:r w:rsidR="00CC48B9" w:rsidRPr="00302D54">
        <w:rPr>
          <w:rFonts w:asciiTheme="majorHAnsi" w:hAnsiTheme="majorHAnsi"/>
          <w:sz w:val="20"/>
          <w:szCs w:val="20"/>
          <w:lang w:val="es-PE"/>
        </w:rPr>
        <w:t>73/2017</w:t>
      </w:r>
      <w:r w:rsidR="003D0A11" w:rsidRPr="00302D54">
        <w:rPr>
          <w:rFonts w:asciiTheme="majorHAnsi" w:hAnsiTheme="majorHAnsi"/>
          <w:sz w:val="20"/>
          <w:szCs w:val="20"/>
          <w:lang w:val="es-PE"/>
        </w:rPr>
        <w:t>,</w:t>
      </w:r>
      <w:r w:rsidR="00CC48B9" w:rsidRPr="00302D54">
        <w:rPr>
          <w:rFonts w:asciiTheme="majorHAnsi" w:hAnsiTheme="majorHAnsi"/>
          <w:sz w:val="20"/>
          <w:szCs w:val="20"/>
          <w:lang w:val="es-PE"/>
        </w:rPr>
        <w:t xml:space="preserve"> el Consejo de la Magistratura </w:t>
      </w:r>
      <w:r w:rsidR="007A3B36" w:rsidRPr="00302D54">
        <w:rPr>
          <w:rFonts w:asciiTheme="majorHAnsi" w:hAnsiTheme="majorHAnsi"/>
          <w:sz w:val="20"/>
          <w:szCs w:val="20"/>
          <w:lang w:val="es-PE"/>
        </w:rPr>
        <w:t xml:space="preserve">lo </w:t>
      </w:r>
      <w:r w:rsidR="00CC48B9" w:rsidRPr="00302D54">
        <w:rPr>
          <w:rFonts w:asciiTheme="majorHAnsi" w:hAnsiTheme="majorHAnsi"/>
          <w:sz w:val="20"/>
          <w:szCs w:val="20"/>
          <w:lang w:val="es-PE"/>
        </w:rPr>
        <w:t>destituyó, por lo que este interpuso un recurso de revocatoria ante el Pleno del Consejo de la Magistratura, el cual reiteró que</w:t>
      </w:r>
      <w:r w:rsidR="003D0A11" w:rsidRPr="00302D54">
        <w:rPr>
          <w:rFonts w:asciiTheme="majorHAnsi" w:hAnsiTheme="majorHAnsi"/>
          <w:sz w:val="20"/>
          <w:szCs w:val="20"/>
          <w:lang w:val="es-PE"/>
        </w:rPr>
        <w:t>,</w:t>
      </w:r>
      <w:r w:rsidR="00CC48B9" w:rsidRPr="00302D54">
        <w:rPr>
          <w:rFonts w:asciiTheme="majorHAnsi" w:hAnsiTheme="majorHAnsi"/>
          <w:sz w:val="20"/>
          <w:szCs w:val="20"/>
          <w:lang w:val="es-PE"/>
        </w:rPr>
        <w:t xml:space="preserve"> debido al carácter transitorio de los jueces</w:t>
      </w:r>
      <w:r w:rsidR="003D0A11" w:rsidRPr="00302D54">
        <w:rPr>
          <w:rFonts w:asciiTheme="majorHAnsi" w:hAnsiTheme="majorHAnsi"/>
          <w:sz w:val="20"/>
          <w:szCs w:val="20"/>
          <w:lang w:val="es-PE"/>
        </w:rPr>
        <w:t>,</w:t>
      </w:r>
      <w:r w:rsidR="00CC48B9" w:rsidRPr="00302D54">
        <w:rPr>
          <w:rFonts w:asciiTheme="majorHAnsi" w:hAnsiTheme="majorHAnsi"/>
          <w:sz w:val="20"/>
          <w:szCs w:val="20"/>
          <w:lang w:val="es-PE"/>
        </w:rPr>
        <w:t xml:space="preserve"> no era necesario invocar una causal legal para su destitución, ni llevar a cabo algún proceso administrativo previo.</w:t>
      </w:r>
    </w:p>
    <w:p w14:paraId="1768FC7A" w14:textId="77777777" w:rsidR="00CC48B9" w:rsidRPr="00302D54" w:rsidRDefault="00CC48B9" w:rsidP="00CC48B9">
      <w:pPr>
        <w:pStyle w:val="ListParagraph"/>
        <w:rPr>
          <w:rFonts w:asciiTheme="majorHAnsi" w:hAnsiTheme="majorHAnsi"/>
          <w:sz w:val="20"/>
          <w:szCs w:val="20"/>
          <w:lang w:val="es-PE"/>
        </w:rPr>
      </w:pPr>
    </w:p>
    <w:p w14:paraId="64617029" w14:textId="5E0F9236" w:rsidR="00CC48B9" w:rsidRPr="00AD0320" w:rsidRDefault="00A62120">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sz w:val="20"/>
          <w:szCs w:val="20"/>
          <w:lang w:val="es-PE"/>
        </w:rPr>
      </w:pPr>
      <w:r w:rsidRPr="00302D54">
        <w:rPr>
          <w:rFonts w:asciiTheme="majorHAnsi" w:hAnsiTheme="majorHAnsi"/>
          <w:sz w:val="20"/>
          <w:szCs w:val="20"/>
          <w:lang w:val="es-PE"/>
        </w:rPr>
        <w:t>Contra</w:t>
      </w:r>
      <w:r w:rsidR="007B20FC" w:rsidRPr="00302D54">
        <w:rPr>
          <w:rFonts w:asciiTheme="majorHAnsi" w:hAnsiTheme="majorHAnsi"/>
          <w:sz w:val="20"/>
          <w:szCs w:val="20"/>
          <w:lang w:val="es-PE"/>
        </w:rPr>
        <w:t xml:space="preserve"> esta</w:t>
      </w:r>
      <w:r w:rsidR="00CC48B9" w:rsidRPr="00302D54">
        <w:rPr>
          <w:rFonts w:asciiTheme="majorHAnsi" w:hAnsiTheme="majorHAnsi"/>
          <w:sz w:val="20"/>
          <w:szCs w:val="20"/>
          <w:lang w:val="es-PE"/>
        </w:rPr>
        <w:t xml:space="preserve"> resolución</w:t>
      </w:r>
      <w:r w:rsidR="003D0A11" w:rsidRPr="00302D54">
        <w:rPr>
          <w:rFonts w:asciiTheme="majorHAnsi" w:hAnsiTheme="majorHAnsi"/>
          <w:sz w:val="20"/>
          <w:szCs w:val="20"/>
          <w:lang w:val="es-PE"/>
        </w:rPr>
        <w:t>,</w:t>
      </w:r>
      <w:r w:rsidR="00CC48B9" w:rsidRPr="00302D54">
        <w:rPr>
          <w:rFonts w:asciiTheme="majorHAnsi" w:hAnsiTheme="majorHAnsi"/>
          <w:sz w:val="20"/>
          <w:szCs w:val="20"/>
          <w:lang w:val="es-PE"/>
        </w:rPr>
        <w:t xml:space="preserve"> el señor Agüero </w:t>
      </w:r>
      <w:r w:rsidR="003D0A11" w:rsidRPr="00302D54">
        <w:rPr>
          <w:rFonts w:asciiTheme="majorHAnsi" w:hAnsiTheme="majorHAnsi"/>
          <w:sz w:val="20"/>
          <w:szCs w:val="20"/>
          <w:lang w:val="es-PE"/>
        </w:rPr>
        <w:t xml:space="preserve">García </w:t>
      </w:r>
      <w:r w:rsidR="00CC48B9" w:rsidRPr="00302D54">
        <w:rPr>
          <w:rFonts w:asciiTheme="majorHAnsi" w:hAnsiTheme="majorHAnsi"/>
          <w:sz w:val="20"/>
          <w:szCs w:val="20"/>
          <w:lang w:val="es-PE"/>
        </w:rPr>
        <w:t xml:space="preserve">interpuso una acción de amparo constitucional, </w:t>
      </w:r>
      <w:r w:rsidR="003D0A11" w:rsidRPr="00302D54">
        <w:rPr>
          <w:rFonts w:asciiTheme="majorHAnsi" w:hAnsiTheme="majorHAnsi"/>
          <w:sz w:val="20"/>
          <w:szCs w:val="20"/>
          <w:lang w:val="es-PE"/>
        </w:rPr>
        <w:t>que</w:t>
      </w:r>
      <w:r w:rsidR="00CC48B9" w:rsidRPr="00302D54">
        <w:rPr>
          <w:rFonts w:asciiTheme="majorHAnsi" w:hAnsiTheme="majorHAnsi"/>
          <w:sz w:val="20"/>
          <w:szCs w:val="20"/>
          <w:lang w:val="es-PE"/>
        </w:rPr>
        <w:t xml:space="preserve"> fue denegada por el Juzgado Público de Familia N°</w:t>
      </w:r>
      <w:r w:rsidR="003D0A11" w:rsidRPr="00302D54">
        <w:rPr>
          <w:rFonts w:asciiTheme="majorHAnsi" w:hAnsiTheme="majorHAnsi"/>
          <w:sz w:val="20"/>
          <w:szCs w:val="20"/>
          <w:lang w:val="es-PE"/>
        </w:rPr>
        <w:t xml:space="preserve"> </w:t>
      </w:r>
      <w:r w:rsidR="00CC48B9" w:rsidRPr="00302D54">
        <w:rPr>
          <w:rFonts w:asciiTheme="majorHAnsi" w:hAnsiTheme="majorHAnsi"/>
          <w:sz w:val="20"/>
          <w:szCs w:val="20"/>
          <w:lang w:val="es-PE"/>
        </w:rPr>
        <w:t xml:space="preserve">5 del Tribunal Departamental de Justicia de Chuquisaca. </w:t>
      </w:r>
      <w:r w:rsidR="0027595C" w:rsidRPr="00302D54">
        <w:rPr>
          <w:rFonts w:asciiTheme="majorHAnsi" w:hAnsiTheme="majorHAnsi"/>
          <w:sz w:val="20"/>
          <w:szCs w:val="20"/>
          <w:lang w:val="es-PE"/>
        </w:rPr>
        <w:t>Este</w:t>
      </w:r>
      <w:r w:rsidR="00CC48B9" w:rsidRPr="00302D54">
        <w:rPr>
          <w:rFonts w:asciiTheme="majorHAnsi" w:hAnsiTheme="majorHAnsi"/>
          <w:sz w:val="20"/>
          <w:szCs w:val="20"/>
          <w:lang w:val="es-PE"/>
        </w:rPr>
        <w:t xml:space="preserve"> argumentó que</w:t>
      </w:r>
      <w:r w:rsidR="003D0A11" w:rsidRPr="00302D54">
        <w:rPr>
          <w:rFonts w:asciiTheme="majorHAnsi" w:hAnsiTheme="majorHAnsi"/>
          <w:sz w:val="20"/>
          <w:szCs w:val="20"/>
          <w:lang w:val="es-PE"/>
        </w:rPr>
        <w:t>,</w:t>
      </w:r>
      <w:r w:rsidR="00CC48B9" w:rsidRPr="00302D54">
        <w:rPr>
          <w:rFonts w:asciiTheme="majorHAnsi" w:hAnsiTheme="majorHAnsi"/>
          <w:sz w:val="20"/>
          <w:szCs w:val="20"/>
          <w:lang w:val="es-PE"/>
        </w:rPr>
        <w:t xml:space="preserve"> aunque </w:t>
      </w:r>
      <w:r w:rsidR="00D1791E" w:rsidRPr="00302D54">
        <w:rPr>
          <w:rFonts w:asciiTheme="majorHAnsi" w:hAnsiTheme="majorHAnsi"/>
          <w:sz w:val="20"/>
          <w:szCs w:val="20"/>
          <w:lang w:val="es-PE"/>
        </w:rPr>
        <w:t>el recurrente</w:t>
      </w:r>
      <w:r w:rsidR="00CC48B9" w:rsidRPr="00302D54">
        <w:rPr>
          <w:rFonts w:asciiTheme="majorHAnsi" w:hAnsiTheme="majorHAnsi"/>
          <w:sz w:val="20"/>
          <w:szCs w:val="20"/>
          <w:lang w:val="es-PE"/>
        </w:rPr>
        <w:t xml:space="preserve"> ingresó mediante concurso de méritos, su cargo tenía carácter transitorio según la normativa interna. Esta</w:t>
      </w:r>
      <w:r w:rsidR="00CC48B9" w:rsidRPr="00EB4A99">
        <w:rPr>
          <w:rFonts w:asciiTheme="majorHAnsi" w:hAnsiTheme="majorHAnsi"/>
          <w:sz w:val="20"/>
          <w:szCs w:val="20"/>
          <w:lang w:val="es-PE"/>
        </w:rPr>
        <w:t xml:space="preserve"> decisión denegatoria fue confirmada en última instancia por el Tribunal Constitucional Plurinacional, </w:t>
      </w:r>
      <w:r w:rsidR="00CA43B1">
        <w:rPr>
          <w:rFonts w:asciiTheme="majorHAnsi" w:hAnsiTheme="majorHAnsi"/>
          <w:sz w:val="20"/>
          <w:szCs w:val="20"/>
          <w:lang w:val="es-PE"/>
        </w:rPr>
        <w:t xml:space="preserve">que </w:t>
      </w:r>
      <w:r w:rsidR="00CC48B9" w:rsidRPr="00EB4A99">
        <w:rPr>
          <w:rFonts w:asciiTheme="majorHAnsi" w:hAnsiTheme="majorHAnsi"/>
          <w:sz w:val="20"/>
          <w:szCs w:val="20"/>
          <w:lang w:val="es-PE"/>
        </w:rPr>
        <w:t>notificó su decisión el 23 de julio de 2018.</w:t>
      </w:r>
    </w:p>
    <w:p w14:paraId="7A192365" w14:textId="77777777" w:rsidR="00AD0320" w:rsidRDefault="00AD0320" w:rsidP="00AD032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sz w:val="20"/>
          <w:szCs w:val="20"/>
          <w:lang w:val="es-PE"/>
        </w:rPr>
      </w:pPr>
    </w:p>
    <w:p w14:paraId="7BFEA71B" w14:textId="77777777" w:rsidR="00AD0320" w:rsidRDefault="00AD0320" w:rsidP="00AD032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sz w:val="20"/>
          <w:szCs w:val="20"/>
          <w:lang w:val="es-PE"/>
        </w:rPr>
      </w:pPr>
    </w:p>
    <w:p w14:paraId="6B90B34A" w14:textId="77777777" w:rsidR="00AD0320" w:rsidRPr="00AD0320" w:rsidRDefault="00AD0320" w:rsidP="00AD032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sz w:val="20"/>
          <w:szCs w:val="20"/>
          <w:lang w:val="es-PE"/>
        </w:rPr>
      </w:pPr>
    </w:p>
    <w:p w14:paraId="5FEFEA17" w14:textId="7FD79863" w:rsidR="00EB4A99" w:rsidRPr="00EB4A99" w:rsidRDefault="00EB4A99" w:rsidP="00EB4A99">
      <w:pPr>
        <w:spacing w:before="240" w:after="240"/>
        <w:ind w:firstLine="720"/>
        <w:jc w:val="both"/>
        <w:rPr>
          <w:rFonts w:asciiTheme="majorHAnsi" w:hAnsiTheme="majorHAnsi"/>
          <w:i/>
          <w:iCs/>
          <w:sz w:val="20"/>
          <w:szCs w:val="20"/>
          <w:lang w:val="es-PE"/>
        </w:rPr>
      </w:pPr>
      <w:r w:rsidRPr="00D907CC">
        <w:rPr>
          <w:rFonts w:asciiTheme="majorHAnsi" w:hAnsiTheme="majorHAnsi"/>
          <w:i/>
          <w:iCs/>
          <w:sz w:val="20"/>
          <w:szCs w:val="20"/>
          <w:lang w:val="es-PE"/>
        </w:rPr>
        <w:lastRenderedPageBreak/>
        <w:t xml:space="preserve">Cintya Yackeline Salguero </w:t>
      </w:r>
      <w:r w:rsidR="00EF5F75">
        <w:rPr>
          <w:rFonts w:asciiTheme="majorHAnsi" w:hAnsiTheme="majorHAnsi"/>
          <w:i/>
          <w:iCs/>
          <w:sz w:val="20"/>
          <w:szCs w:val="20"/>
          <w:lang w:val="es-PE"/>
        </w:rPr>
        <w:t>Á</w:t>
      </w:r>
      <w:r w:rsidRPr="00D907CC">
        <w:rPr>
          <w:rFonts w:asciiTheme="majorHAnsi" w:hAnsiTheme="majorHAnsi"/>
          <w:i/>
          <w:iCs/>
          <w:sz w:val="20"/>
          <w:szCs w:val="20"/>
          <w:lang w:val="es-PE"/>
        </w:rPr>
        <w:t>ñez (P-1124-19)</w:t>
      </w:r>
    </w:p>
    <w:p w14:paraId="6AA9850D" w14:textId="49118187" w:rsidR="00EB4A99" w:rsidRPr="00907831" w:rsidRDefault="00CD70AA">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sz w:val="20"/>
          <w:szCs w:val="20"/>
          <w:lang w:val="es-PE"/>
        </w:rPr>
      </w:pPr>
      <w:r w:rsidRPr="00EB4A99">
        <w:rPr>
          <w:rFonts w:asciiTheme="majorHAnsi" w:hAnsiTheme="majorHAnsi"/>
          <w:sz w:val="20"/>
          <w:szCs w:val="20"/>
          <w:lang w:val="es-PE"/>
        </w:rPr>
        <w:t>El peticionario relata que la señora Salguero</w:t>
      </w:r>
      <w:r w:rsidR="00CA43B1">
        <w:rPr>
          <w:rFonts w:asciiTheme="majorHAnsi" w:hAnsiTheme="majorHAnsi"/>
          <w:sz w:val="20"/>
          <w:szCs w:val="20"/>
          <w:lang w:val="es-PE"/>
        </w:rPr>
        <w:t xml:space="preserve"> Añez</w:t>
      </w:r>
      <w:r w:rsidRPr="00EB4A99">
        <w:rPr>
          <w:rFonts w:asciiTheme="majorHAnsi" w:hAnsiTheme="majorHAnsi"/>
          <w:sz w:val="20"/>
          <w:szCs w:val="20"/>
          <w:lang w:val="es-PE"/>
        </w:rPr>
        <w:t xml:space="preserve"> ingresó a la carrera judicial el 7 de abril de 2003, mediante convocatoria pública y concurso de méritos realizado por el Consejo de la Judicatura</w:t>
      </w:r>
      <w:r w:rsidR="003B7486" w:rsidRPr="00EB4A99">
        <w:rPr>
          <w:rFonts w:asciiTheme="majorHAnsi" w:hAnsiTheme="majorHAnsi"/>
          <w:sz w:val="20"/>
          <w:szCs w:val="20"/>
          <w:lang w:val="es-PE"/>
        </w:rPr>
        <w:t>,</w:t>
      </w:r>
      <w:r w:rsidRPr="00EB4A99">
        <w:rPr>
          <w:rFonts w:asciiTheme="majorHAnsi" w:hAnsiTheme="majorHAnsi"/>
          <w:sz w:val="20"/>
          <w:szCs w:val="20"/>
          <w:lang w:val="es-PE"/>
        </w:rPr>
        <w:t xml:space="preserve"> con</w:t>
      </w:r>
      <w:r w:rsidR="007B567D" w:rsidRPr="00EB4A99">
        <w:rPr>
          <w:rFonts w:asciiTheme="majorHAnsi" w:hAnsiTheme="majorHAnsi"/>
          <w:sz w:val="20"/>
          <w:szCs w:val="20"/>
          <w:lang w:val="es-PE"/>
        </w:rPr>
        <w:t xml:space="preserve">forme a </w:t>
      </w:r>
      <w:r w:rsidRPr="00EB4A99">
        <w:rPr>
          <w:rFonts w:asciiTheme="majorHAnsi" w:hAnsiTheme="majorHAnsi"/>
          <w:sz w:val="20"/>
          <w:szCs w:val="20"/>
          <w:lang w:val="es-PE"/>
        </w:rPr>
        <w:t>la Ley del Consejo de la Judicatura de 22 de diciembre de 1997</w:t>
      </w:r>
      <w:bookmarkEnd w:id="3"/>
      <w:r w:rsidR="005B0144">
        <w:rPr>
          <w:rFonts w:asciiTheme="majorHAnsi" w:hAnsiTheme="majorHAnsi"/>
          <w:sz w:val="20"/>
          <w:szCs w:val="20"/>
          <w:lang w:val="es-PE"/>
        </w:rPr>
        <w:t>,</w:t>
      </w:r>
      <w:r w:rsidR="003B7486" w:rsidRPr="00EB4A99">
        <w:rPr>
          <w:rFonts w:asciiTheme="majorHAnsi" w:hAnsiTheme="majorHAnsi"/>
          <w:sz w:val="20"/>
          <w:szCs w:val="20"/>
          <w:lang w:val="es-PE"/>
        </w:rPr>
        <w:t xml:space="preserve"> </w:t>
      </w:r>
      <w:r w:rsidR="005B0144">
        <w:rPr>
          <w:rFonts w:asciiTheme="majorHAnsi" w:hAnsiTheme="majorHAnsi"/>
          <w:sz w:val="20"/>
          <w:szCs w:val="20"/>
          <w:lang w:val="es-PE"/>
        </w:rPr>
        <w:t>y</w:t>
      </w:r>
      <w:r w:rsidRPr="00EB4A99">
        <w:rPr>
          <w:rFonts w:asciiTheme="majorHAnsi" w:hAnsiTheme="majorHAnsi"/>
          <w:sz w:val="20"/>
          <w:szCs w:val="20"/>
          <w:lang w:val="es-PE"/>
        </w:rPr>
        <w:t xml:space="preserve"> ejerció el cargo de jueza por más de 14 años</w:t>
      </w:r>
      <w:r w:rsidR="001F34B2">
        <w:rPr>
          <w:rFonts w:asciiTheme="majorHAnsi" w:hAnsiTheme="majorHAnsi"/>
          <w:sz w:val="20"/>
          <w:szCs w:val="20"/>
          <w:lang w:val="es-PE"/>
        </w:rPr>
        <w:t xml:space="preserve">, hasta que el Consejo de la Magistratura la destituyó mediante </w:t>
      </w:r>
      <w:r w:rsidR="001F34B2" w:rsidRPr="00EB4A99">
        <w:rPr>
          <w:rFonts w:asciiTheme="majorHAnsi" w:hAnsiTheme="majorHAnsi"/>
          <w:sz w:val="20"/>
          <w:szCs w:val="20"/>
          <w:lang w:val="es-PE"/>
        </w:rPr>
        <w:t>Acuerdo de Sala Plena N°</w:t>
      </w:r>
      <w:r w:rsidR="00A155E4">
        <w:rPr>
          <w:rFonts w:asciiTheme="majorHAnsi" w:hAnsiTheme="majorHAnsi"/>
          <w:sz w:val="20"/>
          <w:szCs w:val="20"/>
          <w:lang w:val="es-PE"/>
        </w:rPr>
        <w:t xml:space="preserve"> </w:t>
      </w:r>
      <w:r w:rsidR="001F34B2" w:rsidRPr="00EB4A99">
        <w:rPr>
          <w:rFonts w:asciiTheme="majorHAnsi" w:hAnsiTheme="majorHAnsi"/>
          <w:sz w:val="20"/>
          <w:szCs w:val="20"/>
          <w:lang w:val="es-PE"/>
        </w:rPr>
        <w:t>73/2017</w:t>
      </w:r>
      <w:r w:rsidRPr="00EB4A99">
        <w:rPr>
          <w:rFonts w:asciiTheme="majorHAnsi" w:hAnsiTheme="majorHAnsi"/>
          <w:sz w:val="20"/>
          <w:szCs w:val="20"/>
          <w:lang w:val="es-PE"/>
        </w:rPr>
        <w:t>.</w:t>
      </w:r>
    </w:p>
    <w:p w14:paraId="4622CBCF" w14:textId="77777777" w:rsidR="00EB4A99" w:rsidRPr="0088642B" w:rsidRDefault="00EB4A99" w:rsidP="0088642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sz w:val="20"/>
          <w:szCs w:val="20"/>
          <w:lang w:val="es-PE"/>
        </w:rPr>
      </w:pPr>
    </w:p>
    <w:p w14:paraId="2E4D854D" w14:textId="3FA2F99A" w:rsidR="00EB4A99" w:rsidRPr="00302D54" w:rsidRDefault="003F5070">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sz w:val="20"/>
          <w:szCs w:val="20"/>
          <w:lang w:val="es-PE"/>
        </w:rPr>
      </w:pPr>
      <w:r>
        <w:rPr>
          <w:rFonts w:asciiTheme="majorHAnsi" w:hAnsiTheme="majorHAnsi"/>
          <w:sz w:val="20"/>
          <w:szCs w:val="20"/>
          <w:lang w:val="es-PE"/>
        </w:rPr>
        <w:t>L</w:t>
      </w:r>
      <w:r w:rsidR="00224A84" w:rsidRPr="00EB4A99">
        <w:rPr>
          <w:rFonts w:asciiTheme="majorHAnsi" w:hAnsiTheme="majorHAnsi"/>
          <w:sz w:val="20"/>
          <w:szCs w:val="20"/>
          <w:lang w:val="es-PE"/>
        </w:rPr>
        <w:t xml:space="preserve">a </w:t>
      </w:r>
      <w:r w:rsidR="00436FF4">
        <w:rPr>
          <w:rFonts w:asciiTheme="majorHAnsi" w:hAnsiTheme="majorHAnsi"/>
          <w:sz w:val="20"/>
          <w:szCs w:val="20"/>
          <w:lang w:val="es-PE"/>
        </w:rPr>
        <w:t>cesada</w:t>
      </w:r>
      <w:r w:rsidR="00224A84" w:rsidRPr="00EB4A99">
        <w:rPr>
          <w:rFonts w:asciiTheme="majorHAnsi" w:hAnsiTheme="majorHAnsi"/>
          <w:sz w:val="20"/>
          <w:szCs w:val="20"/>
          <w:lang w:val="es-PE"/>
        </w:rPr>
        <w:t xml:space="preserve"> interpuso un recurso de </w:t>
      </w:r>
      <w:r w:rsidR="00224A84" w:rsidRPr="00302D54">
        <w:rPr>
          <w:rFonts w:asciiTheme="majorHAnsi" w:hAnsiTheme="majorHAnsi"/>
          <w:sz w:val="20"/>
          <w:szCs w:val="20"/>
          <w:lang w:val="es-PE"/>
        </w:rPr>
        <w:t>revocatoria ante el mismo</w:t>
      </w:r>
      <w:r w:rsidR="003B7486" w:rsidRPr="00302D54">
        <w:rPr>
          <w:rFonts w:asciiTheme="majorHAnsi" w:hAnsiTheme="majorHAnsi"/>
          <w:sz w:val="20"/>
          <w:szCs w:val="20"/>
          <w:lang w:val="es-PE"/>
        </w:rPr>
        <w:t xml:space="preserve"> órgano</w:t>
      </w:r>
      <w:r w:rsidR="00E974A4" w:rsidRPr="00302D54">
        <w:rPr>
          <w:rFonts w:asciiTheme="majorHAnsi" w:hAnsiTheme="majorHAnsi"/>
          <w:sz w:val="20"/>
          <w:szCs w:val="20"/>
          <w:lang w:val="es-PE"/>
        </w:rPr>
        <w:t>;</w:t>
      </w:r>
      <w:r w:rsidR="00BD657E" w:rsidRPr="00302D54">
        <w:rPr>
          <w:rFonts w:asciiTheme="majorHAnsi" w:hAnsiTheme="majorHAnsi"/>
          <w:sz w:val="20"/>
          <w:szCs w:val="20"/>
          <w:lang w:val="es-PE"/>
        </w:rPr>
        <w:t xml:space="preserve"> n</w:t>
      </w:r>
      <w:r w:rsidR="007B567D" w:rsidRPr="00302D54">
        <w:rPr>
          <w:rFonts w:asciiTheme="majorHAnsi" w:hAnsiTheme="majorHAnsi"/>
          <w:sz w:val="20"/>
          <w:szCs w:val="20"/>
          <w:lang w:val="es-PE"/>
        </w:rPr>
        <w:t>o obstante</w:t>
      </w:r>
      <w:r w:rsidR="00E974A4" w:rsidRPr="00302D54">
        <w:rPr>
          <w:rFonts w:asciiTheme="majorHAnsi" w:hAnsiTheme="majorHAnsi"/>
          <w:sz w:val="20"/>
          <w:szCs w:val="20"/>
          <w:lang w:val="es-PE"/>
        </w:rPr>
        <w:t>,</w:t>
      </w:r>
      <w:r w:rsidR="001A6F74" w:rsidRPr="00302D54">
        <w:rPr>
          <w:rFonts w:asciiTheme="majorHAnsi" w:hAnsiTheme="majorHAnsi"/>
          <w:sz w:val="20"/>
          <w:szCs w:val="20"/>
          <w:lang w:val="es-PE"/>
        </w:rPr>
        <w:t xml:space="preserve"> este</w:t>
      </w:r>
      <w:r w:rsidR="007B567D" w:rsidRPr="00302D54">
        <w:rPr>
          <w:rFonts w:asciiTheme="majorHAnsi" w:hAnsiTheme="majorHAnsi"/>
          <w:sz w:val="20"/>
          <w:szCs w:val="20"/>
          <w:lang w:val="es-PE"/>
        </w:rPr>
        <w:t xml:space="preserve"> ratificó</w:t>
      </w:r>
      <w:r w:rsidR="00224A84" w:rsidRPr="00302D54">
        <w:rPr>
          <w:rFonts w:asciiTheme="majorHAnsi" w:hAnsiTheme="majorHAnsi"/>
          <w:sz w:val="20"/>
          <w:szCs w:val="20"/>
          <w:lang w:val="es-PE"/>
        </w:rPr>
        <w:t xml:space="preserve"> su decisión reiterando el carácter transitorio de su cargo. </w:t>
      </w:r>
      <w:r w:rsidR="007B567D" w:rsidRPr="00302D54">
        <w:rPr>
          <w:rFonts w:asciiTheme="majorHAnsi" w:hAnsiTheme="majorHAnsi"/>
          <w:sz w:val="20"/>
          <w:szCs w:val="20"/>
          <w:lang w:val="es-PE"/>
        </w:rPr>
        <w:t>Agotada</w:t>
      </w:r>
      <w:r w:rsidR="00224A84" w:rsidRPr="00302D54">
        <w:rPr>
          <w:rFonts w:asciiTheme="majorHAnsi" w:hAnsiTheme="majorHAnsi"/>
          <w:sz w:val="20"/>
          <w:szCs w:val="20"/>
          <w:lang w:val="es-PE"/>
        </w:rPr>
        <w:t xml:space="preserve"> la vía administrativa la </w:t>
      </w:r>
      <w:r w:rsidR="007B567D" w:rsidRPr="00302D54">
        <w:rPr>
          <w:rFonts w:asciiTheme="majorHAnsi" w:hAnsiTheme="majorHAnsi"/>
          <w:sz w:val="20"/>
          <w:szCs w:val="20"/>
          <w:lang w:val="es-PE"/>
        </w:rPr>
        <w:t>señora Salguero</w:t>
      </w:r>
      <w:r w:rsidR="00E974A4" w:rsidRPr="00302D54">
        <w:rPr>
          <w:rFonts w:asciiTheme="majorHAnsi" w:hAnsiTheme="majorHAnsi"/>
          <w:sz w:val="20"/>
          <w:szCs w:val="20"/>
          <w:lang w:val="es-PE"/>
        </w:rPr>
        <w:t xml:space="preserve"> Añez</w:t>
      </w:r>
      <w:r w:rsidR="001E18BA" w:rsidRPr="00302D54">
        <w:rPr>
          <w:rFonts w:asciiTheme="majorHAnsi" w:hAnsiTheme="majorHAnsi"/>
          <w:sz w:val="20"/>
          <w:szCs w:val="20"/>
          <w:lang w:val="es-PE"/>
        </w:rPr>
        <w:t>,</w:t>
      </w:r>
      <w:r w:rsidR="00224A84" w:rsidRPr="00302D54">
        <w:rPr>
          <w:rFonts w:asciiTheme="majorHAnsi" w:hAnsiTheme="majorHAnsi"/>
          <w:sz w:val="20"/>
          <w:szCs w:val="20"/>
          <w:lang w:val="es-PE"/>
        </w:rPr>
        <w:t xml:space="preserve"> junto con otros jueces de Santa Cruz en la misma </w:t>
      </w:r>
      <w:r w:rsidR="00947234" w:rsidRPr="00302D54">
        <w:rPr>
          <w:rFonts w:asciiTheme="majorHAnsi" w:hAnsiTheme="majorHAnsi"/>
          <w:sz w:val="20"/>
          <w:szCs w:val="20"/>
          <w:lang w:val="es-PE"/>
        </w:rPr>
        <w:t xml:space="preserve">situación, </w:t>
      </w:r>
      <w:r w:rsidR="00224A84" w:rsidRPr="00302D54">
        <w:rPr>
          <w:rFonts w:asciiTheme="majorHAnsi" w:hAnsiTheme="majorHAnsi"/>
          <w:sz w:val="20"/>
          <w:szCs w:val="20"/>
          <w:lang w:val="es-PE"/>
        </w:rPr>
        <w:t>interpus</w:t>
      </w:r>
      <w:r w:rsidR="00C72232" w:rsidRPr="00302D54">
        <w:rPr>
          <w:rFonts w:asciiTheme="majorHAnsi" w:hAnsiTheme="majorHAnsi"/>
          <w:sz w:val="20"/>
          <w:szCs w:val="20"/>
          <w:lang w:val="es-PE"/>
        </w:rPr>
        <w:t>o</w:t>
      </w:r>
      <w:r w:rsidR="00224A84" w:rsidRPr="00302D54">
        <w:rPr>
          <w:rFonts w:asciiTheme="majorHAnsi" w:hAnsiTheme="majorHAnsi"/>
          <w:sz w:val="20"/>
          <w:szCs w:val="20"/>
          <w:lang w:val="es-PE"/>
        </w:rPr>
        <w:t xml:space="preserve"> una acción de amparo constitucional</w:t>
      </w:r>
      <w:r w:rsidR="00C434B4" w:rsidRPr="00302D54">
        <w:rPr>
          <w:rFonts w:asciiTheme="majorHAnsi" w:hAnsiTheme="majorHAnsi"/>
          <w:sz w:val="20"/>
          <w:szCs w:val="20"/>
          <w:lang w:val="es-PE"/>
        </w:rPr>
        <w:t xml:space="preserve"> ante</w:t>
      </w:r>
      <w:r w:rsidR="00224A84" w:rsidRPr="00302D54">
        <w:rPr>
          <w:rFonts w:asciiTheme="majorHAnsi" w:hAnsiTheme="majorHAnsi"/>
          <w:sz w:val="20"/>
          <w:szCs w:val="20"/>
          <w:lang w:val="es-PE"/>
        </w:rPr>
        <w:t xml:space="preserve"> el J</w:t>
      </w:r>
      <w:r w:rsidR="007F70E6" w:rsidRPr="00302D54">
        <w:rPr>
          <w:rFonts w:asciiTheme="majorHAnsi" w:hAnsiTheme="majorHAnsi"/>
          <w:sz w:val="20"/>
          <w:szCs w:val="20"/>
          <w:lang w:val="es-PE"/>
        </w:rPr>
        <w:t>uzgado</w:t>
      </w:r>
      <w:r w:rsidR="00224A84" w:rsidRPr="00302D54">
        <w:rPr>
          <w:rFonts w:asciiTheme="majorHAnsi" w:hAnsiTheme="majorHAnsi"/>
          <w:sz w:val="20"/>
          <w:szCs w:val="20"/>
          <w:lang w:val="es-PE"/>
        </w:rPr>
        <w:t xml:space="preserve"> Público de Familia 10° </w:t>
      </w:r>
      <w:r w:rsidR="007F70E6" w:rsidRPr="00302D54">
        <w:rPr>
          <w:rFonts w:asciiTheme="majorHAnsi" w:hAnsiTheme="majorHAnsi"/>
          <w:sz w:val="20"/>
          <w:szCs w:val="20"/>
          <w:lang w:val="es-PE"/>
        </w:rPr>
        <w:t>de Santa Cruz</w:t>
      </w:r>
      <w:r w:rsidR="00C434B4" w:rsidRPr="00302D54">
        <w:rPr>
          <w:rFonts w:asciiTheme="majorHAnsi" w:hAnsiTheme="majorHAnsi"/>
          <w:sz w:val="20"/>
          <w:szCs w:val="20"/>
          <w:lang w:val="es-PE"/>
        </w:rPr>
        <w:t xml:space="preserve">. </w:t>
      </w:r>
      <w:r w:rsidR="003B7486" w:rsidRPr="00302D54">
        <w:rPr>
          <w:rFonts w:asciiTheme="majorHAnsi" w:hAnsiTheme="majorHAnsi"/>
          <w:sz w:val="20"/>
          <w:szCs w:val="20"/>
          <w:lang w:val="es-PE"/>
        </w:rPr>
        <w:t>Sin embargo, e</w:t>
      </w:r>
      <w:r w:rsidR="00C434B4" w:rsidRPr="00302D54">
        <w:rPr>
          <w:rFonts w:asciiTheme="majorHAnsi" w:hAnsiTheme="majorHAnsi"/>
          <w:sz w:val="20"/>
          <w:szCs w:val="20"/>
          <w:lang w:val="es-PE"/>
        </w:rPr>
        <w:t xml:space="preserve">l 9 de marzo de 2018 </w:t>
      </w:r>
      <w:r w:rsidR="001E18BA" w:rsidRPr="00302D54">
        <w:rPr>
          <w:rFonts w:asciiTheme="majorHAnsi" w:hAnsiTheme="majorHAnsi"/>
          <w:sz w:val="20"/>
          <w:szCs w:val="20"/>
          <w:lang w:val="es-PE"/>
        </w:rPr>
        <w:t>este</w:t>
      </w:r>
      <w:r w:rsidR="00C434B4" w:rsidRPr="00302D54">
        <w:rPr>
          <w:rFonts w:asciiTheme="majorHAnsi" w:hAnsiTheme="majorHAnsi"/>
          <w:sz w:val="20"/>
          <w:szCs w:val="20"/>
          <w:lang w:val="es-PE"/>
        </w:rPr>
        <w:t xml:space="preserve"> </w:t>
      </w:r>
      <w:r w:rsidR="00224A84" w:rsidRPr="00302D54">
        <w:rPr>
          <w:rFonts w:asciiTheme="majorHAnsi" w:hAnsiTheme="majorHAnsi"/>
          <w:sz w:val="20"/>
          <w:szCs w:val="20"/>
          <w:lang w:val="es-PE"/>
        </w:rPr>
        <w:t xml:space="preserve">negó la tutela. </w:t>
      </w:r>
    </w:p>
    <w:p w14:paraId="6EFFAC91" w14:textId="77777777" w:rsidR="00EB4A99" w:rsidRPr="00302D54" w:rsidRDefault="00EB4A99" w:rsidP="00EB4A99">
      <w:pPr>
        <w:pStyle w:val="ListParagraph"/>
        <w:rPr>
          <w:rFonts w:asciiTheme="majorHAnsi" w:hAnsiTheme="majorHAnsi"/>
          <w:sz w:val="20"/>
          <w:szCs w:val="20"/>
          <w:lang w:val="es-PE"/>
        </w:rPr>
      </w:pPr>
    </w:p>
    <w:p w14:paraId="16A26901" w14:textId="2247CA02" w:rsidR="00EB4A99" w:rsidRPr="00302D54" w:rsidRDefault="00C434B4">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sz w:val="20"/>
          <w:szCs w:val="20"/>
          <w:lang w:val="es-PE"/>
        </w:rPr>
      </w:pPr>
      <w:r w:rsidRPr="00302D54">
        <w:rPr>
          <w:rFonts w:asciiTheme="majorHAnsi" w:hAnsiTheme="majorHAnsi"/>
          <w:sz w:val="20"/>
          <w:szCs w:val="20"/>
          <w:lang w:val="es-PE"/>
        </w:rPr>
        <w:t xml:space="preserve">Finalmente, el </w:t>
      </w:r>
      <w:r w:rsidR="00224A84" w:rsidRPr="00302D54">
        <w:rPr>
          <w:rFonts w:asciiTheme="majorHAnsi" w:hAnsiTheme="majorHAnsi"/>
          <w:sz w:val="20"/>
          <w:szCs w:val="20"/>
          <w:lang w:val="es-PE"/>
        </w:rPr>
        <w:t>Tribunal Constitucional Plurinacional confirmó la denegatoria del amparo</w:t>
      </w:r>
      <w:r w:rsidR="007F70E6" w:rsidRPr="00302D54">
        <w:rPr>
          <w:rFonts w:asciiTheme="majorHAnsi" w:hAnsiTheme="majorHAnsi"/>
          <w:sz w:val="20"/>
          <w:szCs w:val="20"/>
          <w:lang w:val="es-PE"/>
        </w:rPr>
        <w:t>,</w:t>
      </w:r>
      <w:r w:rsidR="00E900CC" w:rsidRPr="00302D54">
        <w:rPr>
          <w:rFonts w:asciiTheme="majorHAnsi" w:hAnsiTheme="majorHAnsi"/>
          <w:sz w:val="20"/>
          <w:szCs w:val="20"/>
          <w:lang w:val="es-PE"/>
        </w:rPr>
        <w:t xml:space="preserve"> fundamentando que su línea jurisprudencial</w:t>
      </w:r>
      <w:r w:rsidR="007B567D" w:rsidRPr="00302D54">
        <w:rPr>
          <w:rFonts w:asciiTheme="majorHAnsi" w:hAnsiTheme="majorHAnsi"/>
          <w:sz w:val="20"/>
          <w:szCs w:val="20"/>
          <w:lang w:val="es-PE"/>
        </w:rPr>
        <w:t xml:space="preserve"> establece que </w:t>
      </w:r>
      <w:r w:rsidR="00E900CC" w:rsidRPr="00302D54">
        <w:rPr>
          <w:rFonts w:asciiTheme="majorHAnsi" w:hAnsiTheme="majorHAnsi"/>
          <w:sz w:val="20"/>
          <w:szCs w:val="20"/>
          <w:lang w:val="es-PE"/>
        </w:rPr>
        <w:t>los jueces con cargo transitorio “</w:t>
      </w:r>
      <w:r w:rsidR="00E900CC" w:rsidRPr="00302D54">
        <w:rPr>
          <w:rFonts w:asciiTheme="majorHAnsi" w:hAnsiTheme="majorHAnsi"/>
          <w:i/>
          <w:iCs/>
          <w:sz w:val="20"/>
          <w:szCs w:val="20"/>
          <w:lang w:val="es-PE"/>
        </w:rPr>
        <w:t>no se encuentran comprendidos dentro de la carrera judicial y para su desvinculación no se requiere que previamente sean sometidos a proceso disciplinario o penal</w:t>
      </w:r>
      <w:r w:rsidR="00E900CC" w:rsidRPr="00302D54">
        <w:rPr>
          <w:rFonts w:asciiTheme="majorHAnsi" w:hAnsiTheme="majorHAnsi"/>
          <w:sz w:val="20"/>
          <w:szCs w:val="20"/>
          <w:lang w:val="es-PE"/>
        </w:rPr>
        <w:t xml:space="preserve">”. Esta </w:t>
      </w:r>
      <w:r w:rsidR="007F70E6" w:rsidRPr="00302D54">
        <w:rPr>
          <w:rFonts w:asciiTheme="majorHAnsi" w:hAnsiTheme="majorHAnsi"/>
          <w:sz w:val="20"/>
          <w:szCs w:val="20"/>
          <w:lang w:val="es-PE"/>
        </w:rPr>
        <w:t>decisión fue notificada e</w:t>
      </w:r>
      <w:r w:rsidR="00224A84" w:rsidRPr="00302D54">
        <w:rPr>
          <w:rFonts w:asciiTheme="majorHAnsi" w:hAnsiTheme="majorHAnsi"/>
          <w:sz w:val="20"/>
          <w:szCs w:val="20"/>
          <w:lang w:val="es-PE"/>
        </w:rPr>
        <w:t>l 7 de diciembre de 2018</w:t>
      </w:r>
      <w:r w:rsidR="007F70E6" w:rsidRPr="00302D54">
        <w:rPr>
          <w:rFonts w:asciiTheme="majorHAnsi" w:hAnsiTheme="majorHAnsi"/>
          <w:sz w:val="20"/>
          <w:szCs w:val="20"/>
          <w:lang w:val="es-PE"/>
        </w:rPr>
        <w:t>.</w:t>
      </w:r>
    </w:p>
    <w:p w14:paraId="38386DE8" w14:textId="32607FB5" w:rsidR="00EB4A99" w:rsidRPr="00302D54" w:rsidRDefault="00EB4A99" w:rsidP="00EB4A99">
      <w:pPr>
        <w:spacing w:before="240" w:after="240"/>
        <w:ind w:firstLine="720"/>
        <w:jc w:val="both"/>
        <w:rPr>
          <w:rFonts w:asciiTheme="majorHAnsi" w:hAnsiTheme="majorHAnsi"/>
          <w:i/>
          <w:iCs/>
          <w:sz w:val="20"/>
          <w:szCs w:val="20"/>
          <w:lang w:val="pt-BR"/>
        </w:rPr>
      </w:pPr>
      <w:r w:rsidRPr="00302D54">
        <w:rPr>
          <w:rFonts w:asciiTheme="majorHAnsi" w:hAnsiTheme="majorHAnsi"/>
          <w:i/>
          <w:iCs/>
          <w:sz w:val="20"/>
          <w:szCs w:val="20"/>
          <w:lang w:val="pt-BR"/>
        </w:rPr>
        <w:t>Roque Armando Camacho Negrete (P-1217-19)</w:t>
      </w:r>
    </w:p>
    <w:p w14:paraId="292D3A8C" w14:textId="6A4E4F73" w:rsidR="00325FA7" w:rsidRPr="00302D54" w:rsidRDefault="00406373" w:rsidP="00325FA7">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sz w:val="20"/>
          <w:szCs w:val="20"/>
          <w:lang w:val="es-PE"/>
        </w:rPr>
      </w:pPr>
      <w:r w:rsidRPr="00302D54">
        <w:rPr>
          <w:rFonts w:asciiTheme="majorHAnsi" w:hAnsiTheme="majorHAnsi"/>
          <w:sz w:val="20"/>
          <w:szCs w:val="20"/>
          <w:lang w:val="es-PE"/>
        </w:rPr>
        <w:t xml:space="preserve">El </w:t>
      </w:r>
      <w:r w:rsidR="007139FD" w:rsidRPr="00302D54">
        <w:rPr>
          <w:rFonts w:asciiTheme="majorHAnsi" w:hAnsiTheme="majorHAnsi"/>
          <w:sz w:val="20"/>
          <w:szCs w:val="20"/>
          <w:lang w:val="es-PE"/>
        </w:rPr>
        <w:t>señor Camacho</w:t>
      </w:r>
      <w:r w:rsidRPr="00302D54">
        <w:rPr>
          <w:rFonts w:asciiTheme="majorHAnsi" w:hAnsiTheme="majorHAnsi"/>
          <w:sz w:val="20"/>
          <w:szCs w:val="20"/>
          <w:lang w:val="es-PE"/>
        </w:rPr>
        <w:t xml:space="preserve"> </w:t>
      </w:r>
      <w:r w:rsidR="00DD75E3" w:rsidRPr="00302D54">
        <w:rPr>
          <w:rFonts w:asciiTheme="majorHAnsi" w:hAnsiTheme="majorHAnsi"/>
          <w:sz w:val="20"/>
          <w:szCs w:val="20"/>
          <w:lang w:val="es-PE"/>
        </w:rPr>
        <w:t xml:space="preserve">Negrete </w:t>
      </w:r>
      <w:r w:rsidRPr="00302D54">
        <w:rPr>
          <w:rFonts w:asciiTheme="majorHAnsi" w:hAnsiTheme="majorHAnsi"/>
          <w:sz w:val="20"/>
          <w:szCs w:val="20"/>
          <w:lang w:val="es-PE"/>
        </w:rPr>
        <w:t xml:space="preserve">ingresó a la carrera judicial </w:t>
      </w:r>
      <w:r w:rsidR="007B567D" w:rsidRPr="00302D54">
        <w:rPr>
          <w:rFonts w:asciiTheme="majorHAnsi" w:hAnsiTheme="majorHAnsi"/>
          <w:sz w:val="20"/>
          <w:szCs w:val="20"/>
          <w:lang w:val="es-PE"/>
        </w:rPr>
        <w:t xml:space="preserve">en </w:t>
      </w:r>
      <w:r w:rsidR="007139FD" w:rsidRPr="00302D54">
        <w:rPr>
          <w:rFonts w:asciiTheme="majorHAnsi" w:hAnsiTheme="majorHAnsi"/>
          <w:sz w:val="20"/>
          <w:szCs w:val="20"/>
          <w:lang w:val="es-PE"/>
        </w:rPr>
        <w:t>el 2000, conforme a la Ley N</w:t>
      </w:r>
      <w:r w:rsidR="007B567D" w:rsidRPr="00302D54">
        <w:rPr>
          <w:rFonts w:asciiTheme="majorHAnsi" w:hAnsiTheme="majorHAnsi"/>
          <w:sz w:val="20"/>
          <w:szCs w:val="20"/>
          <w:lang w:val="es-PE"/>
        </w:rPr>
        <w:t>°</w:t>
      </w:r>
      <w:r w:rsidR="00DD75E3" w:rsidRPr="00302D54">
        <w:rPr>
          <w:rFonts w:asciiTheme="majorHAnsi" w:hAnsiTheme="majorHAnsi"/>
          <w:sz w:val="20"/>
          <w:szCs w:val="20"/>
          <w:lang w:val="es-PE"/>
        </w:rPr>
        <w:t xml:space="preserve"> </w:t>
      </w:r>
      <w:r w:rsidR="007139FD" w:rsidRPr="00302D54">
        <w:rPr>
          <w:rFonts w:asciiTheme="majorHAnsi" w:hAnsiTheme="majorHAnsi"/>
          <w:sz w:val="20"/>
          <w:szCs w:val="20"/>
          <w:lang w:val="es-PE"/>
        </w:rPr>
        <w:t>1715 del Servicio Nacional de Reforma Agraria</w:t>
      </w:r>
      <w:r w:rsidR="00E73111" w:rsidRPr="00302D54">
        <w:rPr>
          <w:rFonts w:asciiTheme="majorHAnsi" w:hAnsiTheme="majorHAnsi"/>
          <w:sz w:val="20"/>
          <w:szCs w:val="20"/>
          <w:lang w:val="es-PE"/>
        </w:rPr>
        <w:t>, y</w:t>
      </w:r>
      <w:r w:rsidR="007139FD" w:rsidRPr="00302D54">
        <w:rPr>
          <w:rFonts w:asciiTheme="majorHAnsi" w:hAnsiTheme="majorHAnsi"/>
          <w:sz w:val="20"/>
          <w:szCs w:val="20"/>
          <w:lang w:val="es-PE"/>
        </w:rPr>
        <w:t xml:space="preserve"> </w:t>
      </w:r>
      <w:r w:rsidR="00767108" w:rsidRPr="00302D54">
        <w:rPr>
          <w:rFonts w:asciiTheme="majorHAnsi" w:hAnsiTheme="majorHAnsi"/>
          <w:sz w:val="20"/>
          <w:szCs w:val="20"/>
          <w:lang w:val="es-PE"/>
        </w:rPr>
        <w:t xml:space="preserve">ejerció como </w:t>
      </w:r>
      <w:r w:rsidR="0092359E" w:rsidRPr="00302D54">
        <w:rPr>
          <w:rFonts w:asciiTheme="majorHAnsi" w:hAnsiTheme="majorHAnsi"/>
          <w:sz w:val="20"/>
          <w:szCs w:val="20"/>
          <w:lang w:val="es-PE"/>
        </w:rPr>
        <w:t xml:space="preserve">Juez Agroambiental de Santa Cruz </w:t>
      </w:r>
      <w:r w:rsidR="009D54C8" w:rsidRPr="00302D54">
        <w:rPr>
          <w:rFonts w:asciiTheme="majorHAnsi" w:hAnsiTheme="majorHAnsi"/>
          <w:sz w:val="20"/>
          <w:szCs w:val="20"/>
          <w:lang w:val="es-PE"/>
        </w:rPr>
        <w:t xml:space="preserve">durante </w:t>
      </w:r>
      <w:r w:rsidR="00767108" w:rsidRPr="00302D54">
        <w:rPr>
          <w:rFonts w:asciiTheme="majorHAnsi" w:hAnsiTheme="majorHAnsi"/>
          <w:sz w:val="20"/>
          <w:szCs w:val="20"/>
          <w:lang w:val="es-PE"/>
        </w:rPr>
        <w:t>más de 17 años</w:t>
      </w:r>
      <w:r w:rsidR="00A07F3C" w:rsidRPr="00302D54">
        <w:rPr>
          <w:rFonts w:asciiTheme="majorHAnsi" w:hAnsiTheme="majorHAnsi"/>
          <w:sz w:val="20"/>
          <w:szCs w:val="20"/>
          <w:lang w:val="es-PE"/>
        </w:rPr>
        <w:t xml:space="preserve">, hasta que el </w:t>
      </w:r>
      <w:r w:rsidR="00325FA7" w:rsidRPr="00302D54">
        <w:rPr>
          <w:rFonts w:asciiTheme="majorHAnsi" w:hAnsiTheme="majorHAnsi"/>
          <w:sz w:val="20"/>
          <w:szCs w:val="20"/>
          <w:lang w:val="es-PE"/>
        </w:rPr>
        <w:t xml:space="preserve">Consejo de la Magistratura lo destituyó mediante </w:t>
      </w:r>
      <w:r w:rsidR="00767108" w:rsidRPr="00302D54">
        <w:rPr>
          <w:rFonts w:asciiTheme="majorHAnsi" w:hAnsiTheme="majorHAnsi"/>
          <w:sz w:val="20"/>
          <w:szCs w:val="20"/>
          <w:lang w:val="es-PE"/>
        </w:rPr>
        <w:t>Acuerdo de Sala Plena N°</w:t>
      </w:r>
      <w:r w:rsidR="00A155E4" w:rsidRPr="00302D54">
        <w:rPr>
          <w:rFonts w:asciiTheme="majorHAnsi" w:hAnsiTheme="majorHAnsi"/>
          <w:sz w:val="20"/>
          <w:szCs w:val="20"/>
          <w:lang w:val="es-PE"/>
        </w:rPr>
        <w:t xml:space="preserve"> </w:t>
      </w:r>
      <w:r w:rsidR="00767108" w:rsidRPr="00302D54">
        <w:rPr>
          <w:rFonts w:asciiTheme="majorHAnsi" w:hAnsiTheme="majorHAnsi"/>
          <w:sz w:val="20"/>
          <w:szCs w:val="20"/>
          <w:lang w:val="es-PE"/>
        </w:rPr>
        <w:t>73/2017</w:t>
      </w:r>
      <w:r w:rsidR="00325FA7" w:rsidRPr="00302D54">
        <w:rPr>
          <w:rFonts w:asciiTheme="majorHAnsi" w:hAnsiTheme="majorHAnsi"/>
          <w:sz w:val="20"/>
          <w:szCs w:val="20"/>
          <w:lang w:val="es-PE"/>
        </w:rPr>
        <w:t xml:space="preserve">. </w:t>
      </w:r>
    </w:p>
    <w:p w14:paraId="79669C65" w14:textId="77777777" w:rsidR="00325FA7" w:rsidRPr="00302D54" w:rsidRDefault="00325FA7" w:rsidP="00325FA7">
      <w:pPr>
        <w:pStyle w:val="ListParagraph"/>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sz w:val="20"/>
          <w:szCs w:val="20"/>
          <w:lang w:val="es-PE"/>
        </w:rPr>
      </w:pPr>
    </w:p>
    <w:p w14:paraId="4995F45E" w14:textId="33B2DBC7" w:rsidR="00EB4A99" w:rsidRPr="00302D54" w:rsidRDefault="003B7486" w:rsidP="00325FA7">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sz w:val="20"/>
          <w:szCs w:val="20"/>
          <w:lang w:val="es-PE"/>
        </w:rPr>
      </w:pPr>
      <w:r w:rsidRPr="00302D54">
        <w:rPr>
          <w:rFonts w:asciiTheme="majorHAnsi" w:hAnsiTheme="majorHAnsi"/>
          <w:sz w:val="20"/>
          <w:szCs w:val="20"/>
          <w:lang w:val="es-PE"/>
        </w:rPr>
        <w:t>Frente a est</w:t>
      </w:r>
      <w:r w:rsidR="00E8558D" w:rsidRPr="00302D54">
        <w:rPr>
          <w:rFonts w:asciiTheme="majorHAnsi" w:hAnsiTheme="majorHAnsi"/>
          <w:sz w:val="20"/>
          <w:szCs w:val="20"/>
          <w:lang w:val="es-PE"/>
        </w:rPr>
        <w:t>a decisión</w:t>
      </w:r>
      <w:r w:rsidRPr="00302D54">
        <w:rPr>
          <w:rFonts w:asciiTheme="majorHAnsi" w:hAnsiTheme="majorHAnsi"/>
          <w:sz w:val="20"/>
          <w:szCs w:val="20"/>
          <w:lang w:val="es-PE"/>
        </w:rPr>
        <w:t>, el señor Camacho</w:t>
      </w:r>
      <w:r w:rsidR="00767108" w:rsidRPr="00302D54">
        <w:rPr>
          <w:rFonts w:asciiTheme="majorHAnsi" w:hAnsiTheme="majorHAnsi"/>
          <w:sz w:val="20"/>
          <w:szCs w:val="20"/>
          <w:lang w:val="es-PE"/>
        </w:rPr>
        <w:t xml:space="preserve"> interpuso un recurso de revocatoria ante el mismo </w:t>
      </w:r>
      <w:r w:rsidR="009562AD" w:rsidRPr="00302D54">
        <w:rPr>
          <w:rFonts w:asciiTheme="majorHAnsi" w:hAnsiTheme="majorHAnsi"/>
          <w:sz w:val="20"/>
          <w:szCs w:val="20"/>
          <w:lang w:val="es-PE"/>
        </w:rPr>
        <w:t>órgano</w:t>
      </w:r>
      <w:r w:rsidR="00934D34" w:rsidRPr="00302D54">
        <w:rPr>
          <w:rFonts w:asciiTheme="majorHAnsi" w:hAnsiTheme="majorHAnsi"/>
          <w:sz w:val="20"/>
          <w:szCs w:val="20"/>
          <w:lang w:val="es-PE"/>
        </w:rPr>
        <w:t xml:space="preserve">, </w:t>
      </w:r>
      <w:r w:rsidR="00705F30" w:rsidRPr="00302D54">
        <w:rPr>
          <w:rFonts w:asciiTheme="majorHAnsi" w:hAnsiTheme="majorHAnsi"/>
          <w:sz w:val="20"/>
          <w:szCs w:val="20"/>
          <w:lang w:val="es-PE"/>
        </w:rPr>
        <w:t>pero este</w:t>
      </w:r>
      <w:r w:rsidR="00FB10F5" w:rsidRPr="00302D54">
        <w:rPr>
          <w:rFonts w:asciiTheme="majorHAnsi" w:hAnsiTheme="majorHAnsi"/>
          <w:sz w:val="20"/>
          <w:szCs w:val="20"/>
          <w:lang w:val="es-PE"/>
        </w:rPr>
        <w:t xml:space="preserve"> ratificó su decisión </w:t>
      </w:r>
      <w:r w:rsidR="00705F30" w:rsidRPr="00302D54">
        <w:rPr>
          <w:rFonts w:asciiTheme="majorHAnsi" w:hAnsiTheme="majorHAnsi"/>
          <w:sz w:val="20"/>
          <w:szCs w:val="20"/>
          <w:lang w:val="es-PE"/>
        </w:rPr>
        <w:t>esgrimiendo</w:t>
      </w:r>
      <w:r w:rsidR="00FB10F5" w:rsidRPr="00302D54">
        <w:rPr>
          <w:rFonts w:asciiTheme="majorHAnsi" w:hAnsiTheme="majorHAnsi"/>
          <w:sz w:val="20"/>
          <w:szCs w:val="20"/>
          <w:lang w:val="es-PE"/>
        </w:rPr>
        <w:t xml:space="preserve"> el carácter transitorio de su cargo.</w:t>
      </w:r>
      <w:r w:rsidR="00767108" w:rsidRPr="00302D54">
        <w:rPr>
          <w:rFonts w:asciiTheme="majorHAnsi" w:hAnsiTheme="majorHAnsi"/>
          <w:sz w:val="20"/>
          <w:szCs w:val="20"/>
          <w:lang w:val="es-PE"/>
        </w:rPr>
        <w:t xml:space="preserve"> </w:t>
      </w:r>
      <w:r w:rsidR="00E8558D" w:rsidRPr="00302D54">
        <w:rPr>
          <w:rFonts w:asciiTheme="majorHAnsi" w:hAnsiTheme="majorHAnsi"/>
          <w:sz w:val="20"/>
          <w:szCs w:val="20"/>
          <w:lang w:val="es-PE"/>
        </w:rPr>
        <w:t>Posteriormente</w:t>
      </w:r>
      <w:r w:rsidR="00767108" w:rsidRPr="00302D54">
        <w:rPr>
          <w:rFonts w:asciiTheme="majorHAnsi" w:hAnsiTheme="majorHAnsi"/>
          <w:sz w:val="20"/>
          <w:szCs w:val="20"/>
          <w:lang w:val="es-PE"/>
        </w:rPr>
        <w:t xml:space="preserve">, </w:t>
      </w:r>
      <w:r w:rsidR="00E8558D" w:rsidRPr="00302D54">
        <w:rPr>
          <w:rFonts w:asciiTheme="majorHAnsi" w:hAnsiTheme="majorHAnsi"/>
          <w:sz w:val="20"/>
          <w:szCs w:val="20"/>
          <w:lang w:val="es-PE"/>
        </w:rPr>
        <w:t>presentó</w:t>
      </w:r>
      <w:r w:rsidR="00767108" w:rsidRPr="00302D54">
        <w:rPr>
          <w:rFonts w:asciiTheme="majorHAnsi" w:hAnsiTheme="majorHAnsi"/>
          <w:sz w:val="20"/>
          <w:szCs w:val="20"/>
          <w:lang w:val="es-PE"/>
        </w:rPr>
        <w:t xml:space="preserve"> un recurso jerárquico </w:t>
      </w:r>
      <w:r w:rsidR="0092359E" w:rsidRPr="00302D54">
        <w:rPr>
          <w:rFonts w:asciiTheme="majorHAnsi" w:hAnsiTheme="majorHAnsi"/>
          <w:sz w:val="20"/>
          <w:szCs w:val="20"/>
          <w:lang w:val="es-PE"/>
        </w:rPr>
        <w:t>ante la misma institución</w:t>
      </w:r>
      <w:r w:rsidR="00767108" w:rsidRPr="00302D54">
        <w:rPr>
          <w:rFonts w:asciiTheme="majorHAnsi" w:hAnsiTheme="majorHAnsi"/>
          <w:sz w:val="20"/>
          <w:szCs w:val="20"/>
          <w:lang w:val="es-PE"/>
        </w:rPr>
        <w:t xml:space="preserve">, </w:t>
      </w:r>
      <w:r w:rsidR="007B567D" w:rsidRPr="00302D54">
        <w:rPr>
          <w:rFonts w:asciiTheme="majorHAnsi" w:hAnsiTheme="majorHAnsi"/>
          <w:sz w:val="20"/>
          <w:szCs w:val="20"/>
          <w:lang w:val="es-PE"/>
        </w:rPr>
        <w:t>el cual</w:t>
      </w:r>
      <w:r w:rsidR="00767108" w:rsidRPr="00302D54">
        <w:rPr>
          <w:rFonts w:asciiTheme="majorHAnsi" w:hAnsiTheme="majorHAnsi"/>
          <w:sz w:val="20"/>
          <w:szCs w:val="20"/>
          <w:lang w:val="es-PE"/>
        </w:rPr>
        <w:t xml:space="preserve"> fue desestimado </w:t>
      </w:r>
      <w:r w:rsidR="007B567D" w:rsidRPr="00302D54">
        <w:rPr>
          <w:rFonts w:asciiTheme="majorHAnsi" w:hAnsiTheme="majorHAnsi"/>
          <w:sz w:val="20"/>
          <w:szCs w:val="20"/>
          <w:lang w:val="es-PE"/>
        </w:rPr>
        <w:t>al</w:t>
      </w:r>
      <w:r w:rsidR="00767108" w:rsidRPr="00302D54">
        <w:rPr>
          <w:rFonts w:asciiTheme="majorHAnsi" w:hAnsiTheme="majorHAnsi"/>
          <w:sz w:val="20"/>
          <w:szCs w:val="20"/>
          <w:lang w:val="es-PE"/>
        </w:rPr>
        <w:t xml:space="preserve"> no existir instancia superior al Pleno del Consejo de la Magistratura.</w:t>
      </w:r>
    </w:p>
    <w:p w14:paraId="18CC9F9B" w14:textId="77777777" w:rsidR="00EB4A99" w:rsidRPr="00302D54" w:rsidRDefault="00EB4A99" w:rsidP="00EB4A99">
      <w:pPr>
        <w:pStyle w:val="ListParagraph"/>
        <w:rPr>
          <w:rFonts w:asciiTheme="majorHAnsi" w:hAnsiTheme="majorHAnsi"/>
          <w:sz w:val="20"/>
          <w:szCs w:val="20"/>
          <w:lang w:val="es-PE"/>
        </w:rPr>
      </w:pPr>
    </w:p>
    <w:p w14:paraId="7F3F8892" w14:textId="1E22F22D" w:rsidR="0004543A" w:rsidRPr="00302D54" w:rsidRDefault="00767108" w:rsidP="0004543A">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sz w:val="20"/>
          <w:szCs w:val="20"/>
          <w:lang w:val="es-PE"/>
        </w:rPr>
      </w:pPr>
      <w:r w:rsidRPr="00302D54">
        <w:rPr>
          <w:rFonts w:asciiTheme="majorHAnsi" w:hAnsiTheme="majorHAnsi"/>
          <w:sz w:val="20"/>
          <w:szCs w:val="20"/>
          <w:lang w:val="es-PE"/>
        </w:rPr>
        <w:t xml:space="preserve">Contra </w:t>
      </w:r>
      <w:r w:rsidR="007B567D" w:rsidRPr="00302D54">
        <w:rPr>
          <w:rFonts w:asciiTheme="majorHAnsi" w:hAnsiTheme="majorHAnsi"/>
          <w:sz w:val="20"/>
          <w:szCs w:val="20"/>
          <w:lang w:val="es-PE"/>
        </w:rPr>
        <w:t>esa resolución</w:t>
      </w:r>
      <w:r w:rsidRPr="00302D54">
        <w:rPr>
          <w:rFonts w:asciiTheme="majorHAnsi" w:hAnsiTheme="majorHAnsi"/>
          <w:sz w:val="20"/>
          <w:szCs w:val="20"/>
          <w:lang w:val="es-PE"/>
        </w:rPr>
        <w:t xml:space="preserve"> </w:t>
      </w:r>
      <w:r w:rsidR="00B04CD7" w:rsidRPr="00302D54">
        <w:rPr>
          <w:rFonts w:asciiTheme="majorHAnsi" w:hAnsiTheme="majorHAnsi"/>
          <w:sz w:val="20"/>
          <w:szCs w:val="20"/>
          <w:lang w:val="es-PE"/>
        </w:rPr>
        <w:t>el quejoso</w:t>
      </w:r>
      <w:r w:rsidRPr="00302D54">
        <w:rPr>
          <w:rFonts w:asciiTheme="majorHAnsi" w:hAnsiTheme="majorHAnsi"/>
          <w:sz w:val="20"/>
          <w:szCs w:val="20"/>
          <w:lang w:val="es-PE"/>
        </w:rPr>
        <w:t>, junto con otros jueces de Santa Cruz en la misma situación, interpus</w:t>
      </w:r>
      <w:r w:rsidR="009672B0" w:rsidRPr="00302D54">
        <w:rPr>
          <w:rFonts w:asciiTheme="majorHAnsi" w:hAnsiTheme="majorHAnsi"/>
          <w:sz w:val="20"/>
          <w:szCs w:val="20"/>
          <w:lang w:val="es-PE"/>
        </w:rPr>
        <w:t>o</w:t>
      </w:r>
      <w:r w:rsidRPr="00302D54">
        <w:rPr>
          <w:rFonts w:asciiTheme="majorHAnsi" w:hAnsiTheme="majorHAnsi"/>
          <w:sz w:val="20"/>
          <w:szCs w:val="20"/>
          <w:lang w:val="es-PE"/>
        </w:rPr>
        <w:t xml:space="preserve"> una acción de amparo constitucional ante el Juzgado Público de Familia 10° de Santa Cruz. </w:t>
      </w:r>
      <w:r w:rsidR="00E8558D" w:rsidRPr="00302D54">
        <w:rPr>
          <w:rFonts w:asciiTheme="majorHAnsi" w:hAnsiTheme="majorHAnsi"/>
          <w:sz w:val="20"/>
          <w:szCs w:val="20"/>
          <w:lang w:val="es-PE"/>
        </w:rPr>
        <w:t>No obstante</w:t>
      </w:r>
      <w:r w:rsidRPr="00302D54">
        <w:rPr>
          <w:rFonts w:asciiTheme="majorHAnsi" w:hAnsiTheme="majorHAnsi"/>
          <w:sz w:val="20"/>
          <w:szCs w:val="20"/>
          <w:lang w:val="es-PE"/>
        </w:rPr>
        <w:t xml:space="preserve">, </w:t>
      </w:r>
      <w:r w:rsidR="00B04CD7" w:rsidRPr="00302D54">
        <w:rPr>
          <w:rFonts w:asciiTheme="majorHAnsi" w:hAnsiTheme="majorHAnsi"/>
          <w:sz w:val="20"/>
          <w:szCs w:val="20"/>
          <w:lang w:val="es-PE"/>
        </w:rPr>
        <w:t>este</w:t>
      </w:r>
      <w:r w:rsidRPr="00302D54">
        <w:rPr>
          <w:rFonts w:asciiTheme="majorHAnsi" w:hAnsiTheme="majorHAnsi"/>
          <w:sz w:val="20"/>
          <w:szCs w:val="20"/>
          <w:lang w:val="es-PE"/>
        </w:rPr>
        <w:t xml:space="preserve"> denegó la tutela</w:t>
      </w:r>
      <w:r w:rsidR="0092359E" w:rsidRPr="00302D54">
        <w:rPr>
          <w:rFonts w:asciiTheme="majorHAnsi" w:hAnsiTheme="majorHAnsi"/>
          <w:sz w:val="20"/>
          <w:szCs w:val="20"/>
          <w:lang w:val="es-PE"/>
        </w:rPr>
        <w:t xml:space="preserve"> el 9 de marzo de 2018. Finalmente, el Tribunal Constitucional Plurinacional de Bolivia confirmó la denegatoria del amparo, notifica</w:t>
      </w:r>
      <w:r w:rsidR="00D90E2C" w:rsidRPr="00302D54">
        <w:rPr>
          <w:rFonts w:asciiTheme="majorHAnsi" w:hAnsiTheme="majorHAnsi"/>
          <w:sz w:val="20"/>
          <w:szCs w:val="20"/>
          <w:lang w:val="es-PE"/>
        </w:rPr>
        <w:t>ndo su decisión</w:t>
      </w:r>
      <w:r w:rsidR="0092359E" w:rsidRPr="00302D54">
        <w:rPr>
          <w:rFonts w:asciiTheme="majorHAnsi" w:hAnsiTheme="majorHAnsi"/>
          <w:sz w:val="20"/>
          <w:szCs w:val="20"/>
          <w:lang w:val="es-PE"/>
        </w:rPr>
        <w:t xml:space="preserve"> el 7 de diciembre de 2018.</w:t>
      </w:r>
    </w:p>
    <w:p w14:paraId="436750E2" w14:textId="77777777" w:rsidR="0004543A" w:rsidRPr="00302D54" w:rsidRDefault="0004543A" w:rsidP="0004543A">
      <w:pPr>
        <w:pStyle w:val="ListParagraph"/>
        <w:rPr>
          <w:rFonts w:asciiTheme="majorHAnsi" w:hAnsiTheme="majorHAnsi"/>
          <w:sz w:val="20"/>
          <w:szCs w:val="20"/>
          <w:lang w:val="es-PE"/>
        </w:rPr>
      </w:pPr>
    </w:p>
    <w:p w14:paraId="00869C5D" w14:textId="2A4EC9E7" w:rsidR="00EB4A99" w:rsidRPr="00302D54" w:rsidRDefault="006A6089" w:rsidP="0004543A">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sz w:val="20"/>
          <w:szCs w:val="20"/>
          <w:lang w:val="es-PE"/>
        </w:rPr>
      </w:pPr>
      <w:r w:rsidRPr="00302D54">
        <w:rPr>
          <w:rFonts w:asciiTheme="majorHAnsi" w:hAnsiTheme="majorHAnsi"/>
          <w:sz w:val="20"/>
          <w:szCs w:val="20"/>
          <w:lang w:val="es-PE"/>
        </w:rPr>
        <w:t>A</w:t>
      </w:r>
      <w:r w:rsidR="001577C1" w:rsidRPr="00302D54">
        <w:rPr>
          <w:rFonts w:asciiTheme="majorHAnsi" w:hAnsiTheme="majorHAnsi"/>
          <w:sz w:val="20"/>
          <w:szCs w:val="20"/>
          <w:lang w:val="es-PE"/>
        </w:rPr>
        <w:t xml:space="preserve">demás de las vulneraciones a la </w:t>
      </w:r>
      <w:r w:rsidR="002B51F3" w:rsidRPr="00302D54">
        <w:rPr>
          <w:rFonts w:asciiTheme="majorHAnsi" w:hAnsiTheme="majorHAnsi"/>
          <w:sz w:val="20"/>
          <w:szCs w:val="20"/>
          <w:lang w:val="es-PE"/>
        </w:rPr>
        <w:t xml:space="preserve">Convención Americana, el peticionario alega que se ha vulnerado la </w:t>
      </w:r>
      <w:r w:rsidR="001577C1" w:rsidRPr="00302D54">
        <w:rPr>
          <w:rFonts w:asciiTheme="majorHAnsi" w:hAnsiTheme="majorHAnsi"/>
          <w:sz w:val="20"/>
          <w:szCs w:val="20"/>
          <w:lang w:val="es-PE"/>
        </w:rPr>
        <w:t xml:space="preserve">Convención Interamericana sobre la Protección de los Derechos Humanos de las Personas Mayores, </w:t>
      </w:r>
      <w:r w:rsidR="00E8558D" w:rsidRPr="00302D54">
        <w:rPr>
          <w:rFonts w:asciiTheme="majorHAnsi" w:hAnsiTheme="majorHAnsi"/>
          <w:sz w:val="20"/>
          <w:szCs w:val="20"/>
          <w:lang w:val="es-PE"/>
        </w:rPr>
        <w:t>ya que</w:t>
      </w:r>
      <w:r w:rsidR="001577C1" w:rsidRPr="00302D54">
        <w:rPr>
          <w:rFonts w:asciiTheme="majorHAnsi" w:hAnsiTheme="majorHAnsi"/>
          <w:sz w:val="20"/>
          <w:szCs w:val="20"/>
          <w:lang w:val="es-PE"/>
        </w:rPr>
        <w:t xml:space="preserve"> el Estado no tuvo en cuenta que el señor Camacho es una persona mayor de 60 años</w:t>
      </w:r>
      <w:r w:rsidR="002B51F3" w:rsidRPr="00302D54">
        <w:rPr>
          <w:rFonts w:asciiTheme="majorHAnsi" w:hAnsiTheme="majorHAnsi"/>
          <w:sz w:val="20"/>
          <w:szCs w:val="20"/>
          <w:lang w:val="es-PE"/>
        </w:rPr>
        <w:t>.</w:t>
      </w:r>
      <w:r w:rsidR="007F7829" w:rsidRPr="00302D54">
        <w:rPr>
          <w:rFonts w:asciiTheme="majorHAnsi" w:hAnsiTheme="majorHAnsi"/>
          <w:sz w:val="20"/>
          <w:szCs w:val="20"/>
          <w:lang w:val="es-PE"/>
        </w:rPr>
        <w:t xml:space="preserve"> Así, sostiene que, al destitu</w:t>
      </w:r>
      <w:r w:rsidR="008B6C58" w:rsidRPr="00302D54">
        <w:rPr>
          <w:rFonts w:asciiTheme="majorHAnsi" w:hAnsiTheme="majorHAnsi"/>
          <w:sz w:val="20"/>
          <w:szCs w:val="20"/>
          <w:lang w:val="es-PE"/>
        </w:rPr>
        <w:t>irlo</w:t>
      </w:r>
      <w:r w:rsidR="007F7829" w:rsidRPr="00302D54">
        <w:rPr>
          <w:rFonts w:asciiTheme="majorHAnsi" w:hAnsiTheme="majorHAnsi"/>
          <w:sz w:val="20"/>
          <w:szCs w:val="20"/>
          <w:lang w:val="es-PE"/>
        </w:rPr>
        <w:t xml:space="preserve">, las autoridades perjudicaron su </w:t>
      </w:r>
      <w:r w:rsidR="002B51F3" w:rsidRPr="00302D54">
        <w:rPr>
          <w:rFonts w:asciiTheme="majorHAnsi" w:hAnsiTheme="majorHAnsi"/>
          <w:sz w:val="20"/>
          <w:szCs w:val="20"/>
          <w:lang w:val="es-PE"/>
        </w:rPr>
        <w:t>jubilación</w:t>
      </w:r>
      <w:r w:rsidRPr="00302D54">
        <w:rPr>
          <w:rFonts w:asciiTheme="majorHAnsi" w:hAnsiTheme="majorHAnsi"/>
          <w:sz w:val="20"/>
          <w:szCs w:val="20"/>
          <w:lang w:val="es-PE"/>
        </w:rPr>
        <w:t>.</w:t>
      </w:r>
      <w:r w:rsidR="00132543" w:rsidRPr="00302D54">
        <w:rPr>
          <w:rFonts w:asciiTheme="majorHAnsi" w:hAnsiTheme="majorHAnsi"/>
          <w:sz w:val="20"/>
          <w:szCs w:val="20"/>
          <w:lang w:val="es-PE"/>
        </w:rPr>
        <w:t xml:space="preserve"> </w:t>
      </w:r>
      <w:r w:rsidR="000F1619" w:rsidRPr="00302D54">
        <w:rPr>
          <w:rFonts w:asciiTheme="majorHAnsi" w:hAnsiTheme="majorHAnsi"/>
          <w:sz w:val="20"/>
          <w:szCs w:val="20"/>
          <w:lang w:val="es-PE"/>
        </w:rPr>
        <w:t>Es importante remarcar que e</w:t>
      </w:r>
      <w:r w:rsidR="005769E0" w:rsidRPr="00302D54">
        <w:rPr>
          <w:rFonts w:asciiTheme="majorHAnsi" w:hAnsiTheme="majorHAnsi"/>
          <w:sz w:val="20"/>
          <w:szCs w:val="20"/>
          <w:lang w:val="es-PE"/>
        </w:rPr>
        <w:t xml:space="preserve">l peticionario no presenta argumentos o sustento adicional </w:t>
      </w:r>
      <w:r w:rsidR="00D0623A" w:rsidRPr="00302D54">
        <w:rPr>
          <w:rFonts w:asciiTheme="majorHAnsi" w:hAnsiTheme="majorHAnsi"/>
          <w:sz w:val="20"/>
          <w:szCs w:val="20"/>
          <w:lang w:val="es-PE"/>
        </w:rPr>
        <w:t>respecto de por qué se vulneraría alguna de las disposiciones del citado tratado.</w:t>
      </w:r>
    </w:p>
    <w:p w14:paraId="198320B2" w14:textId="2CC363E7" w:rsidR="00EB4A99" w:rsidRPr="00302D54" w:rsidRDefault="00EB4A99" w:rsidP="00EB4A99">
      <w:pPr>
        <w:spacing w:before="240" w:after="240"/>
        <w:ind w:firstLine="720"/>
        <w:jc w:val="both"/>
        <w:rPr>
          <w:rFonts w:asciiTheme="majorHAnsi" w:hAnsiTheme="majorHAnsi"/>
          <w:i/>
          <w:iCs/>
          <w:sz w:val="20"/>
          <w:szCs w:val="20"/>
          <w:lang w:val="pt-BR"/>
        </w:rPr>
      </w:pPr>
      <w:r w:rsidRPr="00302D54">
        <w:rPr>
          <w:rFonts w:asciiTheme="majorHAnsi" w:hAnsiTheme="majorHAnsi"/>
          <w:i/>
          <w:iCs/>
          <w:sz w:val="20"/>
          <w:szCs w:val="20"/>
          <w:lang w:val="pt-BR"/>
        </w:rPr>
        <w:t>Sa</w:t>
      </w:r>
      <w:r w:rsidR="009E6E92" w:rsidRPr="00302D54">
        <w:rPr>
          <w:rFonts w:asciiTheme="majorHAnsi" w:hAnsiTheme="majorHAnsi"/>
          <w:i/>
          <w:iCs/>
          <w:sz w:val="20"/>
          <w:szCs w:val="20"/>
          <w:lang w:val="pt-BR"/>
        </w:rPr>
        <w:t>ú</w:t>
      </w:r>
      <w:r w:rsidRPr="00302D54">
        <w:rPr>
          <w:rFonts w:asciiTheme="majorHAnsi" w:hAnsiTheme="majorHAnsi"/>
          <w:i/>
          <w:iCs/>
          <w:sz w:val="20"/>
          <w:szCs w:val="20"/>
          <w:lang w:val="pt-BR"/>
        </w:rPr>
        <w:t>l Saldaña Secos (P-1228-19)</w:t>
      </w:r>
    </w:p>
    <w:p w14:paraId="1A5A8855" w14:textId="031460BC" w:rsidR="00EB4A99" w:rsidRPr="00302D54" w:rsidRDefault="00F26267">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sz w:val="20"/>
          <w:szCs w:val="20"/>
          <w:lang w:val="es-PE"/>
        </w:rPr>
      </w:pPr>
      <w:r w:rsidRPr="00302D54">
        <w:rPr>
          <w:rFonts w:asciiTheme="majorHAnsi" w:hAnsiTheme="majorHAnsi"/>
          <w:sz w:val="20"/>
          <w:szCs w:val="20"/>
          <w:lang w:val="es-PE"/>
        </w:rPr>
        <w:t xml:space="preserve">El peticionario indica que el señor Saldaña </w:t>
      </w:r>
      <w:r w:rsidR="00D30EB5" w:rsidRPr="00302D54">
        <w:rPr>
          <w:rFonts w:asciiTheme="majorHAnsi" w:hAnsiTheme="majorHAnsi"/>
          <w:sz w:val="20"/>
          <w:szCs w:val="20"/>
          <w:lang w:val="es-PE"/>
        </w:rPr>
        <w:t xml:space="preserve">Secos </w:t>
      </w:r>
      <w:r w:rsidRPr="00302D54">
        <w:rPr>
          <w:rFonts w:asciiTheme="majorHAnsi" w:hAnsiTheme="majorHAnsi"/>
          <w:sz w:val="20"/>
          <w:szCs w:val="20"/>
          <w:lang w:val="es-PE"/>
        </w:rPr>
        <w:t xml:space="preserve">ingresó a la carrera judicial </w:t>
      </w:r>
      <w:r w:rsidR="006A6089" w:rsidRPr="00302D54">
        <w:rPr>
          <w:rFonts w:asciiTheme="majorHAnsi" w:hAnsiTheme="majorHAnsi"/>
          <w:sz w:val="20"/>
          <w:szCs w:val="20"/>
          <w:lang w:val="es-PE"/>
        </w:rPr>
        <w:t>en</w:t>
      </w:r>
      <w:r w:rsidRPr="00302D54">
        <w:rPr>
          <w:rFonts w:asciiTheme="majorHAnsi" w:hAnsiTheme="majorHAnsi"/>
          <w:sz w:val="20"/>
          <w:szCs w:val="20"/>
          <w:lang w:val="es-PE"/>
        </w:rPr>
        <w:t xml:space="preserve"> 1990, con</w:t>
      </w:r>
      <w:r w:rsidR="006A6089" w:rsidRPr="00302D54">
        <w:rPr>
          <w:rFonts w:asciiTheme="majorHAnsi" w:hAnsiTheme="majorHAnsi"/>
          <w:sz w:val="20"/>
          <w:szCs w:val="20"/>
          <w:lang w:val="es-PE"/>
        </w:rPr>
        <w:t>forme</w:t>
      </w:r>
      <w:r w:rsidRPr="00302D54">
        <w:rPr>
          <w:rFonts w:asciiTheme="majorHAnsi" w:hAnsiTheme="majorHAnsi"/>
          <w:sz w:val="20"/>
          <w:szCs w:val="20"/>
          <w:lang w:val="es-PE"/>
        </w:rPr>
        <w:t xml:space="preserve"> a la normativa legal vigente en ese momento</w:t>
      </w:r>
      <w:r w:rsidR="006A6089" w:rsidRPr="00302D54">
        <w:rPr>
          <w:rFonts w:asciiTheme="majorHAnsi" w:hAnsiTheme="majorHAnsi"/>
          <w:sz w:val="20"/>
          <w:szCs w:val="20"/>
          <w:lang w:val="es-PE"/>
        </w:rPr>
        <w:t xml:space="preserve">. Ejerció </w:t>
      </w:r>
      <w:r w:rsidRPr="00302D54">
        <w:rPr>
          <w:rFonts w:asciiTheme="majorHAnsi" w:hAnsiTheme="majorHAnsi"/>
          <w:sz w:val="20"/>
          <w:szCs w:val="20"/>
          <w:lang w:val="es-PE"/>
        </w:rPr>
        <w:t>como Juez del Tribunal de Substancias Controladas de 1990 a 1994 y de 2001 a 2003</w:t>
      </w:r>
      <w:r w:rsidR="00E8558D" w:rsidRPr="00302D54">
        <w:rPr>
          <w:rFonts w:asciiTheme="majorHAnsi" w:hAnsiTheme="majorHAnsi"/>
          <w:sz w:val="20"/>
          <w:szCs w:val="20"/>
          <w:lang w:val="es-PE"/>
        </w:rPr>
        <w:t xml:space="preserve">; </w:t>
      </w:r>
      <w:r w:rsidR="006A6089" w:rsidRPr="00302D54">
        <w:rPr>
          <w:rFonts w:asciiTheme="majorHAnsi" w:hAnsiTheme="majorHAnsi"/>
          <w:sz w:val="20"/>
          <w:szCs w:val="20"/>
          <w:lang w:val="es-PE"/>
        </w:rPr>
        <w:t>asimismo,</w:t>
      </w:r>
      <w:r w:rsidRPr="00302D54">
        <w:rPr>
          <w:rFonts w:asciiTheme="majorHAnsi" w:hAnsiTheme="majorHAnsi"/>
          <w:sz w:val="20"/>
          <w:szCs w:val="20"/>
          <w:lang w:val="es-PE"/>
        </w:rPr>
        <w:t xml:space="preserve"> fue Juez </w:t>
      </w:r>
      <w:r w:rsidR="00E8558D" w:rsidRPr="00302D54">
        <w:rPr>
          <w:rFonts w:asciiTheme="majorHAnsi" w:hAnsiTheme="majorHAnsi"/>
          <w:sz w:val="20"/>
          <w:szCs w:val="20"/>
          <w:lang w:val="es-PE"/>
        </w:rPr>
        <w:t>I</w:t>
      </w:r>
      <w:r w:rsidRPr="00302D54">
        <w:rPr>
          <w:rFonts w:asciiTheme="majorHAnsi" w:hAnsiTheme="majorHAnsi"/>
          <w:sz w:val="20"/>
          <w:szCs w:val="20"/>
          <w:lang w:val="es-PE"/>
        </w:rPr>
        <w:t xml:space="preserve">nstructor en lo </w:t>
      </w:r>
      <w:r w:rsidR="00E8558D" w:rsidRPr="00302D54">
        <w:rPr>
          <w:rFonts w:asciiTheme="majorHAnsi" w:hAnsiTheme="majorHAnsi"/>
          <w:sz w:val="20"/>
          <w:szCs w:val="20"/>
          <w:lang w:val="es-PE"/>
        </w:rPr>
        <w:t>P</w:t>
      </w:r>
      <w:r w:rsidRPr="00302D54">
        <w:rPr>
          <w:rFonts w:asciiTheme="majorHAnsi" w:hAnsiTheme="majorHAnsi"/>
          <w:sz w:val="20"/>
          <w:szCs w:val="20"/>
          <w:lang w:val="es-PE"/>
        </w:rPr>
        <w:t>enal de 1994 a 1999</w:t>
      </w:r>
      <w:r w:rsidR="0062686C" w:rsidRPr="00302D54">
        <w:rPr>
          <w:rFonts w:asciiTheme="majorHAnsi" w:hAnsiTheme="majorHAnsi"/>
          <w:sz w:val="20"/>
          <w:szCs w:val="20"/>
          <w:lang w:val="es-PE"/>
        </w:rPr>
        <w:t>; y f</w:t>
      </w:r>
      <w:r w:rsidRPr="00302D54">
        <w:rPr>
          <w:rFonts w:asciiTheme="majorHAnsi" w:hAnsiTheme="majorHAnsi"/>
          <w:sz w:val="20"/>
          <w:szCs w:val="20"/>
          <w:lang w:val="es-PE"/>
        </w:rPr>
        <w:t>inalmente Juez 7° de Sentencia, Partido y Liquidador desde 2003 hasta el momento de su despido. En total ejerció como juez de carrera por 27 años.</w:t>
      </w:r>
    </w:p>
    <w:p w14:paraId="395B0DE5" w14:textId="77777777" w:rsidR="00EB4A99" w:rsidRPr="00302D54" w:rsidRDefault="00EB4A99" w:rsidP="00EB4A99">
      <w:pPr>
        <w:pStyle w:val="ListParagraph"/>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sz w:val="20"/>
          <w:szCs w:val="20"/>
          <w:lang w:val="es-PE"/>
        </w:rPr>
      </w:pPr>
    </w:p>
    <w:p w14:paraId="69EFEB1B" w14:textId="4EE12B41" w:rsidR="00EB4A99" w:rsidRPr="00302D54" w:rsidRDefault="00EA2146">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sz w:val="20"/>
          <w:szCs w:val="20"/>
          <w:lang w:val="es-PE"/>
        </w:rPr>
      </w:pPr>
      <w:r w:rsidRPr="00302D54">
        <w:rPr>
          <w:rFonts w:asciiTheme="majorHAnsi" w:hAnsiTheme="majorHAnsi"/>
          <w:sz w:val="20"/>
          <w:szCs w:val="20"/>
          <w:lang w:val="es-PE"/>
        </w:rPr>
        <w:t>La presunta víctima</w:t>
      </w:r>
      <w:r w:rsidR="00E8558D" w:rsidRPr="00302D54">
        <w:rPr>
          <w:rFonts w:asciiTheme="majorHAnsi" w:hAnsiTheme="majorHAnsi"/>
          <w:sz w:val="20"/>
          <w:szCs w:val="20"/>
          <w:lang w:val="es-PE"/>
        </w:rPr>
        <w:t xml:space="preserve"> </w:t>
      </w:r>
      <w:r w:rsidR="00862BEF" w:rsidRPr="00302D54">
        <w:rPr>
          <w:rFonts w:asciiTheme="majorHAnsi" w:hAnsiTheme="majorHAnsi"/>
          <w:sz w:val="20"/>
          <w:szCs w:val="20"/>
          <w:lang w:val="es-PE"/>
        </w:rPr>
        <w:t>fue destituid</w:t>
      </w:r>
      <w:r w:rsidRPr="00302D54">
        <w:rPr>
          <w:rFonts w:asciiTheme="majorHAnsi" w:hAnsiTheme="majorHAnsi"/>
          <w:sz w:val="20"/>
          <w:szCs w:val="20"/>
          <w:lang w:val="es-PE"/>
        </w:rPr>
        <w:t>a</w:t>
      </w:r>
      <w:r w:rsidR="00862BEF" w:rsidRPr="00302D54">
        <w:rPr>
          <w:rFonts w:asciiTheme="majorHAnsi" w:hAnsiTheme="majorHAnsi"/>
          <w:sz w:val="20"/>
          <w:szCs w:val="20"/>
          <w:lang w:val="es-PE"/>
        </w:rPr>
        <w:t xml:space="preserve"> </w:t>
      </w:r>
      <w:r w:rsidR="00E8558D" w:rsidRPr="00302D54">
        <w:rPr>
          <w:rFonts w:asciiTheme="majorHAnsi" w:hAnsiTheme="majorHAnsi"/>
          <w:sz w:val="20"/>
          <w:szCs w:val="20"/>
          <w:lang w:val="es-PE"/>
        </w:rPr>
        <w:t>mediante</w:t>
      </w:r>
      <w:r w:rsidR="008543D6" w:rsidRPr="00302D54">
        <w:rPr>
          <w:rFonts w:asciiTheme="majorHAnsi" w:hAnsiTheme="majorHAnsi"/>
          <w:sz w:val="20"/>
          <w:szCs w:val="20"/>
          <w:lang w:val="es-PE"/>
        </w:rPr>
        <w:t xml:space="preserve"> </w:t>
      </w:r>
      <w:r w:rsidR="003B7486" w:rsidRPr="00302D54">
        <w:rPr>
          <w:rFonts w:asciiTheme="majorHAnsi" w:hAnsiTheme="majorHAnsi"/>
          <w:sz w:val="20"/>
          <w:szCs w:val="20"/>
          <w:lang w:val="es-PE"/>
        </w:rPr>
        <w:t xml:space="preserve">el </w:t>
      </w:r>
      <w:r w:rsidR="008543D6" w:rsidRPr="00302D54">
        <w:rPr>
          <w:rFonts w:asciiTheme="majorHAnsi" w:hAnsiTheme="majorHAnsi"/>
          <w:sz w:val="20"/>
          <w:szCs w:val="20"/>
          <w:lang w:val="es-PE"/>
        </w:rPr>
        <w:t>Acuerdo de Sala Plena N°</w:t>
      </w:r>
      <w:r w:rsidR="00A155E4" w:rsidRPr="00302D54">
        <w:rPr>
          <w:rFonts w:asciiTheme="majorHAnsi" w:hAnsiTheme="majorHAnsi"/>
          <w:sz w:val="20"/>
          <w:szCs w:val="20"/>
          <w:lang w:val="es-PE"/>
        </w:rPr>
        <w:t xml:space="preserve"> </w:t>
      </w:r>
      <w:r w:rsidR="008543D6" w:rsidRPr="00302D54">
        <w:rPr>
          <w:rFonts w:asciiTheme="majorHAnsi" w:hAnsiTheme="majorHAnsi"/>
          <w:sz w:val="20"/>
          <w:szCs w:val="20"/>
          <w:lang w:val="es-PE"/>
        </w:rPr>
        <w:t xml:space="preserve">73/2017 </w:t>
      </w:r>
      <w:r w:rsidR="00564F0A" w:rsidRPr="00302D54">
        <w:rPr>
          <w:rFonts w:asciiTheme="majorHAnsi" w:hAnsiTheme="majorHAnsi"/>
          <w:sz w:val="20"/>
          <w:szCs w:val="20"/>
          <w:lang w:val="es-PE"/>
        </w:rPr>
        <w:t>d</w:t>
      </w:r>
      <w:r w:rsidR="008543D6" w:rsidRPr="00302D54">
        <w:rPr>
          <w:rFonts w:asciiTheme="majorHAnsi" w:hAnsiTheme="majorHAnsi"/>
          <w:sz w:val="20"/>
          <w:szCs w:val="20"/>
          <w:lang w:val="es-PE"/>
        </w:rPr>
        <w:t>el Consejo de la Magistratura</w:t>
      </w:r>
      <w:r w:rsidR="00564F0A" w:rsidRPr="00302D54">
        <w:rPr>
          <w:rFonts w:asciiTheme="majorHAnsi" w:hAnsiTheme="majorHAnsi"/>
          <w:sz w:val="20"/>
          <w:szCs w:val="20"/>
          <w:lang w:val="es-PE"/>
        </w:rPr>
        <w:t xml:space="preserve">. Aunque </w:t>
      </w:r>
      <w:r w:rsidR="008543D6" w:rsidRPr="00302D54">
        <w:rPr>
          <w:rFonts w:asciiTheme="majorHAnsi" w:hAnsiTheme="majorHAnsi"/>
          <w:sz w:val="20"/>
          <w:szCs w:val="20"/>
          <w:lang w:val="es-PE"/>
        </w:rPr>
        <w:t>interpuso un recurso de revocatoria</w:t>
      </w:r>
      <w:r w:rsidR="008C6482" w:rsidRPr="00302D54">
        <w:rPr>
          <w:rFonts w:asciiTheme="majorHAnsi" w:hAnsiTheme="majorHAnsi"/>
          <w:sz w:val="20"/>
          <w:szCs w:val="20"/>
          <w:lang w:val="es-PE"/>
        </w:rPr>
        <w:t>,</w:t>
      </w:r>
      <w:r w:rsidR="008543D6" w:rsidRPr="00302D54">
        <w:rPr>
          <w:rFonts w:asciiTheme="majorHAnsi" w:hAnsiTheme="majorHAnsi"/>
          <w:sz w:val="20"/>
          <w:szCs w:val="20"/>
          <w:lang w:val="es-PE"/>
        </w:rPr>
        <w:t xml:space="preserve"> </w:t>
      </w:r>
      <w:r w:rsidR="008C6482" w:rsidRPr="00302D54">
        <w:rPr>
          <w:rFonts w:asciiTheme="majorHAnsi" w:hAnsiTheme="majorHAnsi"/>
          <w:sz w:val="20"/>
          <w:szCs w:val="20"/>
          <w:lang w:val="es-PE"/>
        </w:rPr>
        <w:t xml:space="preserve">el </w:t>
      </w:r>
      <w:r w:rsidR="00564F0A" w:rsidRPr="00302D54">
        <w:rPr>
          <w:rFonts w:asciiTheme="majorHAnsi" w:hAnsiTheme="majorHAnsi"/>
          <w:sz w:val="20"/>
          <w:szCs w:val="20"/>
          <w:lang w:val="es-PE"/>
        </w:rPr>
        <w:t>C</w:t>
      </w:r>
      <w:r w:rsidR="008C6482" w:rsidRPr="00302D54">
        <w:rPr>
          <w:rFonts w:asciiTheme="majorHAnsi" w:hAnsiTheme="majorHAnsi"/>
          <w:sz w:val="20"/>
          <w:szCs w:val="20"/>
          <w:lang w:val="es-PE"/>
        </w:rPr>
        <w:t>onsejo</w:t>
      </w:r>
      <w:r w:rsidR="006A6089" w:rsidRPr="00302D54">
        <w:rPr>
          <w:rFonts w:asciiTheme="majorHAnsi" w:hAnsiTheme="majorHAnsi"/>
          <w:sz w:val="20"/>
          <w:szCs w:val="20"/>
          <w:lang w:val="es-PE"/>
        </w:rPr>
        <w:t xml:space="preserve"> ratificó</w:t>
      </w:r>
      <w:r w:rsidR="008543D6" w:rsidRPr="00302D54">
        <w:rPr>
          <w:rFonts w:asciiTheme="majorHAnsi" w:hAnsiTheme="majorHAnsi"/>
          <w:sz w:val="20"/>
          <w:szCs w:val="20"/>
          <w:lang w:val="es-PE"/>
        </w:rPr>
        <w:t xml:space="preserve"> su decisión</w:t>
      </w:r>
      <w:r w:rsidR="006A6089" w:rsidRPr="00302D54">
        <w:rPr>
          <w:rFonts w:asciiTheme="majorHAnsi" w:hAnsiTheme="majorHAnsi"/>
          <w:sz w:val="20"/>
          <w:szCs w:val="20"/>
          <w:lang w:val="es-PE"/>
        </w:rPr>
        <w:t>, reafirma</w:t>
      </w:r>
      <w:r w:rsidR="00E8558D" w:rsidRPr="00302D54">
        <w:rPr>
          <w:rFonts w:asciiTheme="majorHAnsi" w:hAnsiTheme="majorHAnsi"/>
          <w:sz w:val="20"/>
          <w:szCs w:val="20"/>
          <w:lang w:val="es-PE"/>
        </w:rPr>
        <w:t>n</w:t>
      </w:r>
      <w:r w:rsidR="006A6089" w:rsidRPr="00302D54">
        <w:rPr>
          <w:rFonts w:asciiTheme="majorHAnsi" w:hAnsiTheme="majorHAnsi"/>
          <w:sz w:val="20"/>
          <w:szCs w:val="20"/>
          <w:lang w:val="es-PE"/>
        </w:rPr>
        <w:t>do</w:t>
      </w:r>
      <w:r w:rsidR="008543D6" w:rsidRPr="00302D54">
        <w:rPr>
          <w:rFonts w:asciiTheme="majorHAnsi" w:hAnsiTheme="majorHAnsi"/>
          <w:sz w:val="20"/>
          <w:szCs w:val="20"/>
          <w:lang w:val="es-PE"/>
        </w:rPr>
        <w:t xml:space="preserve"> el carácter transitorio de su cargo. Por</w:t>
      </w:r>
      <w:r w:rsidR="006A6089" w:rsidRPr="00302D54">
        <w:rPr>
          <w:rFonts w:asciiTheme="majorHAnsi" w:hAnsiTheme="majorHAnsi"/>
          <w:sz w:val="20"/>
          <w:szCs w:val="20"/>
          <w:lang w:val="es-PE"/>
        </w:rPr>
        <w:t xml:space="preserve"> esta razón, el señor Saldaña</w:t>
      </w:r>
      <w:r w:rsidR="00564F0A" w:rsidRPr="00302D54">
        <w:rPr>
          <w:rFonts w:asciiTheme="majorHAnsi" w:hAnsiTheme="majorHAnsi"/>
          <w:sz w:val="20"/>
          <w:szCs w:val="20"/>
          <w:lang w:val="es-PE"/>
        </w:rPr>
        <w:t xml:space="preserve"> Secos</w:t>
      </w:r>
      <w:r w:rsidR="008543D6" w:rsidRPr="00302D54">
        <w:rPr>
          <w:rFonts w:asciiTheme="majorHAnsi" w:hAnsiTheme="majorHAnsi"/>
          <w:sz w:val="20"/>
          <w:szCs w:val="20"/>
          <w:lang w:val="es-PE"/>
        </w:rPr>
        <w:t xml:space="preserve"> </w:t>
      </w:r>
      <w:r w:rsidR="006A6089" w:rsidRPr="00302D54">
        <w:rPr>
          <w:rFonts w:asciiTheme="majorHAnsi" w:hAnsiTheme="majorHAnsi"/>
          <w:sz w:val="20"/>
          <w:szCs w:val="20"/>
          <w:lang w:val="es-PE"/>
        </w:rPr>
        <w:t>y</w:t>
      </w:r>
      <w:r w:rsidR="008543D6" w:rsidRPr="00302D54">
        <w:rPr>
          <w:rFonts w:asciiTheme="majorHAnsi" w:hAnsiTheme="majorHAnsi"/>
          <w:sz w:val="20"/>
          <w:szCs w:val="20"/>
          <w:lang w:val="es-PE"/>
        </w:rPr>
        <w:t xml:space="preserve"> otros jueces de Santa Cruz en la misma situación </w:t>
      </w:r>
      <w:r w:rsidR="00E248B2" w:rsidRPr="00302D54">
        <w:rPr>
          <w:rFonts w:asciiTheme="majorHAnsi" w:hAnsiTheme="majorHAnsi"/>
          <w:sz w:val="20"/>
          <w:szCs w:val="20"/>
          <w:lang w:val="es-PE"/>
        </w:rPr>
        <w:t xml:space="preserve">intentaron </w:t>
      </w:r>
      <w:r w:rsidR="008543D6" w:rsidRPr="00302D54">
        <w:rPr>
          <w:rFonts w:asciiTheme="majorHAnsi" w:hAnsiTheme="majorHAnsi"/>
          <w:sz w:val="20"/>
          <w:szCs w:val="20"/>
          <w:lang w:val="es-PE"/>
        </w:rPr>
        <w:t xml:space="preserve">una acción de amparo constitucional ante el Juzgado Público de Familia 10° de Santa Cruz. Sin embargo, el juzgado denegó la tutela el 9 de marzo de 2018. </w:t>
      </w:r>
      <w:r w:rsidR="002A6735" w:rsidRPr="00302D54">
        <w:rPr>
          <w:rFonts w:asciiTheme="majorHAnsi" w:hAnsiTheme="majorHAnsi"/>
          <w:sz w:val="20"/>
          <w:szCs w:val="20"/>
          <w:lang w:val="es-PE"/>
        </w:rPr>
        <w:t>E</w:t>
      </w:r>
      <w:r w:rsidR="008543D6" w:rsidRPr="00302D54">
        <w:rPr>
          <w:rFonts w:asciiTheme="majorHAnsi" w:hAnsiTheme="majorHAnsi"/>
          <w:sz w:val="20"/>
          <w:szCs w:val="20"/>
          <w:lang w:val="es-PE"/>
        </w:rPr>
        <w:t>l Tribunal Constitucional Plurinacional de Bolivia confirmó la denegatoria del amparo, notifica</w:t>
      </w:r>
      <w:r w:rsidR="006A6089" w:rsidRPr="00302D54">
        <w:rPr>
          <w:rFonts w:asciiTheme="majorHAnsi" w:hAnsiTheme="majorHAnsi"/>
          <w:sz w:val="20"/>
          <w:szCs w:val="20"/>
          <w:lang w:val="es-PE"/>
        </w:rPr>
        <w:t>ndo su decisión</w:t>
      </w:r>
      <w:r w:rsidR="008543D6" w:rsidRPr="00302D54">
        <w:rPr>
          <w:rFonts w:asciiTheme="majorHAnsi" w:hAnsiTheme="majorHAnsi"/>
          <w:sz w:val="20"/>
          <w:szCs w:val="20"/>
          <w:lang w:val="es-PE"/>
        </w:rPr>
        <w:t xml:space="preserve"> el 7 de diciembre de 2018.</w:t>
      </w:r>
    </w:p>
    <w:p w14:paraId="341B4B2B" w14:textId="77777777" w:rsidR="00EB4A99" w:rsidRPr="00302D54" w:rsidRDefault="00EB4A99" w:rsidP="00EB4A99">
      <w:pPr>
        <w:pStyle w:val="ListParagraph"/>
        <w:rPr>
          <w:rFonts w:asciiTheme="majorHAnsi" w:hAnsiTheme="majorHAnsi"/>
          <w:sz w:val="20"/>
          <w:szCs w:val="20"/>
          <w:lang w:val="es-PE"/>
        </w:rPr>
      </w:pPr>
    </w:p>
    <w:p w14:paraId="593032C7" w14:textId="4250DD4E" w:rsidR="00EB4A99" w:rsidRPr="00DD7967" w:rsidRDefault="006A6089">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sz w:val="20"/>
          <w:szCs w:val="20"/>
          <w:lang w:val="es-PE"/>
        </w:rPr>
      </w:pPr>
      <w:r w:rsidRPr="00302D54">
        <w:rPr>
          <w:rFonts w:asciiTheme="majorHAnsi" w:hAnsiTheme="majorHAnsi"/>
          <w:sz w:val="20"/>
          <w:szCs w:val="20"/>
          <w:lang w:val="es-PE"/>
        </w:rPr>
        <w:lastRenderedPageBreak/>
        <w:t xml:space="preserve">Además de las vulneraciones a la Convención Americana, el peticionario alega </w:t>
      </w:r>
      <w:r w:rsidR="007F7829" w:rsidRPr="00302D54">
        <w:rPr>
          <w:rFonts w:asciiTheme="majorHAnsi" w:hAnsiTheme="majorHAnsi"/>
          <w:sz w:val="20"/>
          <w:szCs w:val="20"/>
          <w:lang w:val="es-PE"/>
        </w:rPr>
        <w:t xml:space="preserve">que </w:t>
      </w:r>
      <w:r w:rsidRPr="00302D54">
        <w:rPr>
          <w:rFonts w:asciiTheme="majorHAnsi" w:hAnsiTheme="majorHAnsi"/>
          <w:sz w:val="20"/>
          <w:szCs w:val="20"/>
          <w:lang w:val="es-PE"/>
        </w:rPr>
        <w:t xml:space="preserve">se ha </w:t>
      </w:r>
      <w:r w:rsidR="007F7829" w:rsidRPr="00302D54">
        <w:rPr>
          <w:rFonts w:asciiTheme="majorHAnsi" w:hAnsiTheme="majorHAnsi"/>
          <w:sz w:val="20"/>
          <w:szCs w:val="20"/>
          <w:lang w:val="es-PE"/>
        </w:rPr>
        <w:t>incumplido</w:t>
      </w:r>
      <w:r w:rsidRPr="00302D54">
        <w:rPr>
          <w:rFonts w:asciiTheme="majorHAnsi" w:hAnsiTheme="majorHAnsi"/>
          <w:sz w:val="20"/>
          <w:szCs w:val="20"/>
          <w:lang w:val="es-PE"/>
        </w:rPr>
        <w:t xml:space="preserve"> la Convención Interamericana sobre la Protección de los Derechos Humanos de las Personas Mayores, </w:t>
      </w:r>
      <w:r w:rsidR="00E8558D" w:rsidRPr="00302D54">
        <w:rPr>
          <w:rFonts w:asciiTheme="majorHAnsi" w:hAnsiTheme="majorHAnsi"/>
          <w:sz w:val="20"/>
          <w:szCs w:val="20"/>
          <w:lang w:val="es-PE"/>
        </w:rPr>
        <w:t>ya que</w:t>
      </w:r>
      <w:r w:rsidRPr="00302D54">
        <w:rPr>
          <w:rFonts w:asciiTheme="majorHAnsi" w:hAnsiTheme="majorHAnsi"/>
          <w:sz w:val="20"/>
          <w:szCs w:val="20"/>
          <w:lang w:val="es-PE"/>
        </w:rPr>
        <w:t xml:space="preserve"> el Estado no tuvo en cuenta que el señor </w:t>
      </w:r>
      <w:r w:rsidR="00E248B2" w:rsidRPr="00302D54">
        <w:rPr>
          <w:rFonts w:asciiTheme="majorHAnsi" w:hAnsiTheme="majorHAnsi"/>
          <w:sz w:val="20"/>
          <w:szCs w:val="20"/>
          <w:lang w:val="es-PE"/>
        </w:rPr>
        <w:t>Saldaña Secos</w:t>
      </w:r>
      <w:r w:rsidR="00E248B2" w:rsidRPr="00DD7967">
        <w:rPr>
          <w:rFonts w:asciiTheme="majorHAnsi" w:hAnsiTheme="majorHAnsi"/>
          <w:sz w:val="20"/>
          <w:szCs w:val="20"/>
          <w:lang w:val="es-PE"/>
        </w:rPr>
        <w:t xml:space="preserve"> </w:t>
      </w:r>
      <w:r w:rsidRPr="00DD7967">
        <w:rPr>
          <w:rFonts w:asciiTheme="majorHAnsi" w:hAnsiTheme="majorHAnsi"/>
          <w:sz w:val="20"/>
          <w:szCs w:val="20"/>
          <w:lang w:val="es-PE"/>
        </w:rPr>
        <w:t xml:space="preserve">es una persona mayor de 60 años. </w:t>
      </w:r>
      <w:r w:rsidR="008B6C58" w:rsidRPr="00DD7967">
        <w:rPr>
          <w:rFonts w:asciiTheme="majorHAnsi" w:hAnsiTheme="majorHAnsi"/>
          <w:sz w:val="20"/>
          <w:szCs w:val="20"/>
          <w:lang w:val="es-PE"/>
        </w:rPr>
        <w:t>Al igual que en la petición anterior, c</w:t>
      </w:r>
      <w:r w:rsidR="007F7829" w:rsidRPr="00DD7967">
        <w:rPr>
          <w:rFonts w:asciiTheme="majorHAnsi" w:hAnsiTheme="majorHAnsi"/>
          <w:sz w:val="20"/>
          <w:szCs w:val="20"/>
          <w:lang w:val="es-PE"/>
        </w:rPr>
        <w:t xml:space="preserve">onsidera </w:t>
      </w:r>
      <w:r w:rsidR="008B6C58" w:rsidRPr="00DD7967">
        <w:rPr>
          <w:rFonts w:asciiTheme="majorHAnsi" w:hAnsiTheme="majorHAnsi"/>
          <w:sz w:val="20"/>
          <w:szCs w:val="20"/>
          <w:lang w:val="es-PE"/>
        </w:rPr>
        <w:t>que,</w:t>
      </w:r>
      <w:r w:rsidR="007F7829" w:rsidRPr="00DD7967">
        <w:rPr>
          <w:rFonts w:asciiTheme="majorHAnsi" w:hAnsiTheme="majorHAnsi"/>
          <w:sz w:val="20"/>
          <w:szCs w:val="20"/>
          <w:lang w:val="es-PE"/>
        </w:rPr>
        <w:t xml:space="preserve"> a</w:t>
      </w:r>
      <w:r w:rsidRPr="00DD7967">
        <w:rPr>
          <w:rFonts w:asciiTheme="majorHAnsi" w:hAnsiTheme="majorHAnsi"/>
          <w:sz w:val="20"/>
          <w:szCs w:val="20"/>
          <w:lang w:val="es-PE"/>
        </w:rPr>
        <w:t xml:space="preserve">l permitir su </w:t>
      </w:r>
      <w:r w:rsidR="007F7829" w:rsidRPr="00DD7967">
        <w:rPr>
          <w:rFonts w:asciiTheme="majorHAnsi" w:hAnsiTheme="majorHAnsi"/>
          <w:sz w:val="20"/>
          <w:szCs w:val="20"/>
          <w:lang w:val="es-PE"/>
        </w:rPr>
        <w:t xml:space="preserve">destitución, </w:t>
      </w:r>
      <w:r w:rsidR="008B6C58" w:rsidRPr="00DD7967">
        <w:rPr>
          <w:rFonts w:asciiTheme="majorHAnsi" w:hAnsiTheme="majorHAnsi"/>
          <w:sz w:val="20"/>
          <w:szCs w:val="20"/>
          <w:lang w:val="es-PE"/>
        </w:rPr>
        <w:t>la</w:t>
      </w:r>
      <w:r w:rsidRPr="00DD7967">
        <w:rPr>
          <w:rFonts w:asciiTheme="majorHAnsi" w:hAnsiTheme="majorHAnsi"/>
          <w:sz w:val="20"/>
          <w:szCs w:val="20"/>
          <w:lang w:val="es-PE"/>
        </w:rPr>
        <w:t xml:space="preserve"> jubilación</w:t>
      </w:r>
      <w:r w:rsidR="008B6C58" w:rsidRPr="00DD7967">
        <w:rPr>
          <w:rFonts w:asciiTheme="majorHAnsi" w:hAnsiTheme="majorHAnsi"/>
          <w:sz w:val="20"/>
          <w:szCs w:val="20"/>
          <w:lang w:val="es-PE"/>
        </w:rPr>
        <w:t xml:space="preserve"> de la presunta víctima</w:t>
      </w:r>
      <w:r w:rsidR="007F7829" w:rsidRPr="00DD7967">
        <w:rPr>
          <w:rFonts w:asciiTheme="majorHAnsi" w:hAnsiTheme="majorHAnsi"/>
          <w:sz w:val="20"/>
          <w:szCs w:val="20"/>
          <w:lang w:val="es-PE"/>
        </w:rPr>
        <w:t xml:space="preserve"> se vio afectada</w:t>
      </w:r>
      <w:r w:rsidR="008543D6" w:rsidRPr="00DD7967">
        <w:rPr>
          <w:rFonts w:asciiTheme="majorHAnsi" w:hAnsiTheme="majorHAnsi"/>
          <w:sz w:val="20"/>
          <w:szCs w:val="20"/>
          <w:lang w:val="es-PE"/>
        </w:rPr>
        <w:t>.</w:t>
      </w:r>
      <w:r w:rsidR="00DD7967" w:rsidRPr="00DD7967">
        <w:rPr>
          <w:rFonts w:asciiTheme="majorHAnsi" w:hAnsiTheme="majorHAnsi"/>
          <w:sz w:val="20"/>
          <w:szCs w:val="20"/>
          <w:lang w:val="es-PE"/>
        </w:rPr>
        <w:t xml:space="preserve"> </w:t>
      </w:r>
      <w:r w:rsidR="00F8230D">
        <w:rPr>
          <w:rFonts w:asciiTheme="majorHAnsi" w:hAnsiTheme="majorHAnsi"/>
          <w:sz w:val="20"/>
          <w:szCs w:val="20"/>
          <w:lang w:val="es-PE"/>
        </w:rPr>
        <w:t>La CIDH aclara que e</w:t>
      </w:r>
      <w:r w:rsidR="00DD7967" w:rsidRPr="00DD7967">
        <w:rPr>
          <w:rFonts w:asciiTheme="majorHAnsi" w:hAnsiTheme="majorHAnsi"/>
          <w:sz w:val="20"/>
          <w:szCs w:val="20"/>
          <w:lang w:val="es-PE"/>
        </w:rPr>
        <w:t>l peticionario no presenta argumentos o sustento adicional respecto de por qué se vulneraría alguna de las disposiciones del citado tratado.</w:t>
      </w:r>
    </w:p>
    <w:p w14:paraId="389F4ABD" w14:textId="5991D0B7" w:rsidR="00EB4A99" w:rsidRPr="00EB4A99" w:rsidRDefault="00EB4A99" w:rsidP="00EB4A99">
      <w:pPr>
        <w:spacing w:before="240" w:after="240"/>
        <w:ind w:firstLine="720"/>
        <w:jc w:val="both"/>
        <w:rPr>
          <w:rFonts w:asciiTheme="majorHAnsi" w:hAnsiTheme="majorHAnsi"/>
          <w:i/>
          <w:iCs/>
          <w:sz w:val="20"/>
          <w:szCs w:val="20"/>
          <w:lang w:val="pt-BR"/>
        </w:rPr>
      </w:pPr>
      <w:r w:rsidRPr="00D907CC">
        <w:rPr>
          <w:rFonts w:asciiTheme="majorHAnsi" w:hAnsiTheme="majorHAnsi"/>
          <w:i/>
          <w:iCs/>
          <w:sz w:val="20"/>
          <w:szCs w:val="20"/>
          <w:lang w:val="pt-BR"/>
        </w:rPr>
        <w:t>V</w:t>
      </w:r>
      <w:r w:rsidR="00A873B2">
        <w:rPr>
          <w:rFonts w:asciiTheme="majorHAnsi" w:hAnsiTheme="majorHAnsi"/>
          <w:i/>
          <w:iCs/>
          <w:sz w:val="20"/>
          <w:szCs w:val="20"/>
          <w:lang w:val="pt-BR"/>
        </w:rPr>
        <w:t>í</w:t>
      </w:r>
      <w:r w:rsidRPr="00D907CC">
        <w:rPr>
          <w:rFonts w:asciiTheme="majorHAnsi" w:hAnsiTheme="majorHAnsi"/>
          <w:i/>
          <w:iCs/>
          <w:sz w:val="20"/>
          <w:szCs w:val="20"/>
          <w:lang w:val="pt-BR"/>
        </w:rPr>
        <w:t>ctor Hugo Rojas S</w:t>
      </w:r>
      <w:r w:rsidR="00ED6699">
        <w:rPr>
          <w:rFonts w:asciiTheme="majorHAnsi" w:hAnsiTheme="majorHAnsi"/>
          <w:i/>
          <w:iCs/>
          <w:sz w:val="20"/>
          <w:szCs w:val="20"/>
          <w:lang w:val="pt-BR"/>
        </w:rPr>
        <w:t>á</w:t>
      </w:r>
      <w:r w:rsidRPr="00D907CC">
        <w:rPr>
          <w:rFonts w:asciiTheme="majorHAnsi" w:hAnsiTheme="majorHAnsi"/>
          <w:i/>
          <w:iCs/>
          <w:sz w:val="20"/>
          <w:szCs w:val="20"/>
          <w:lang w:val="pt-BR"/>
        </w:rPr>
        <w:t>nchez (P-1278-19)</w:t>
      </w:r>
    </w:p>
    <w:p w14:paraId="2B0E8F2A" w14:textId="3346C949" w:rsidR="00EB4A99" w:rsidRPr="00EB4A99" w:rsidRDefault="00345FD8">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sz w:val="20"/>
          <w:szCs w:val="20"/>
          <w:lang w:val="es-PE"/>
        </w:rPr>
      </w:pPr>
      <w:r w:rsidRPr="00EB4A99">
        <w:rPr>
          <w:rFonts w:asciiTheme="majorHAnsi" w:hAnsiTheme="majorHAnsi"/>
          <w:sz w:val="20"/>
          <w:szCs w:val="20"/>
          <w:lang w:val="es-PE"/>
        </w:rPr>
        <w:t>El peticionario indica que el señor Rojas</w:t>
      </w:r>
      <w:r w:rsidR="0017170D">
        <w:rPr>
          <w:rFonts w:asciiTheme="majorHAnsi" w:hAnsiTheme="majorHAnsi"/>
          <w:sz w:val="20"/>
          <w:szCs w:val="20"/>
          <w:lang w:val="es-PE"/>
        </w:rPr>
        <w:t xml:space="preserve"> Sánchez</w:t>
      </w:r>
      <w:r w:rsidRPr="00EB4A99">
        <w:rPr>
          <w:rFonts w:asciiTheme="majorHAnsi" w:hAnsiTheme="majorHAnsi"/>
          <w:sz w:val="20"/>
          <w:szCs w:val="20"/>
          <w:lang w:val="es-PE"/>
        </w:rPr>
        <w:t xml:space="preserve"> ingresó a la carrera judicial </w:t>
      </w:r>
      <w:r w:rsidR="006A6089" w:rsidRPr="00EB4A99">
        <w:rPr>
          <w:rFonts w:asciiTheme="majorHAnsi" w:hAnsiTheme="majorHAnsi"/>
          <w:sz w:val="20"/>
          <w:szCs w:val="20"/>
          <w:lang w:val="es-PE"/>
        </w:rPr>
        <w:t xml:space="preserve">en </w:t>
      </w:r>
      <w:r w:rsidRPr="00EB4A99">
        <w:rPr>
          <w:rFonts w:asciiTheme="majorHAnsi" w:hAnsiTheme="majorHAnsi"/>
          <w:sz w:val="20"/>
          <w:szCs w:val="20"/>
          <w:lang w:val="es-PE"/>
        </w:rPr>
        <w:t>2002</w:t>
      </w:r>
      <w:r w:rsidR="006A6089" w:rsidRPr="00EB4A99">
        <w:rPr>
          <w:rFonts w:asciiTheme="majorHAnsi" w:hAnsiTheme="majorHAnsi"/>
          <w:sz w:val="20"/>
          <w:szCs w:val="20"/>
          <w:lang w:val="es-PE"/>
        </w:rPr>
        <w:t>, conforme</w:t>
      </w:r>
      <w:r w:rsidRPr="00EB4A99">
        <w:rPr>
          <w:rFonts w:asciiTheme="majorHAnsi" w:hAnsiTheme="majorHAnsi"/>
          <w:sz w:val="20"/>
          <w:szCs w:val="20"/>
          <w:lang w:val="es-PE"/>
        </w:rPr>
        <w:t xml:space="preserve"> a la Ley </w:t>
      </w:r>
      <w:r w:rsidR="00361AEB" w:rsidRPr="00EB4A99">
        <w:rPr>
          <w:rFonts w:asciiTheme="majorHAnsi" w:hAnsiTheme="majorHAnsi"/>
          <w:sz w:val="20"/>
          <w:szCs w:val="20"/>
          <w:lang w:val="es-PE"/>
        </w:rPr>
        <w:t>N°</w:t>
      </w:r>
      <w:r w:rsidR="0017170D">
        <w:rPr>
          <w:rFonts w:asciiTheme="majorHAnsi" w:hAnsiTheme="majorHAnsi"/>
          <w:sz w:val="20"/>
          <w:szCs w:val="20"/>
          <w:lang w:val="es-PE"/>
        </w:rPr>
        <w:t xml:space="preserve"> </w:t>
      </w:r>
      <w:r w:rsidR="00361AEB" w:rsidRPr="00EB4A99">
        <w:rPr>
          <w:rFonts w:asciiTheme="majorHAnsi" w:hAnsiTheme="majorHAnsi"/>
          <w:sz w:val="20"/>
          <w:szCs w:val="20"/>
          <w:lang w:val="es-PE"/>
        </w:rPr>
        <w:t xml:space="preserve">1817 </w:t>
      </w:r>
      <w:r w:rsidRPr="00EB4A99">
        <w:rPr>
          <w:rFonts w:asciiTheme="majorHAnsi" w:hAnsiTheme="majorHAnsi"/>
          <w:sz w:val="20"/>
          <w:szCs w:val="20"/>
          <w:lang w:val="es-PE"/>
        </w:rPr>
        <w:t xml:space="preserve">del Consejo de la Judicatura de 22 de diciembre de 1997, </w:t>
      </w:r>
      <w:r w:rsidR="006A6089" w:rsidRPr="00EB4A99">
        <w:rPr>
          <w:rFonts w:asciiTheme="majorHAnsi" w:hAnsiTheme="majorHAnsi"/>
          <w:sz w:val="20"/>
          <w:szCs w:val="20"/>
          <w:lang w:val="es-PE"/>
        </w:rPr>
        <w:t xml:space="preserve">mediante </w:t>
      </w:r>
      <w:r w:rsidRPr="00EB4A99">
        <w:rPr>
          <w:rFonts w:asciiTheme="majorHAnsi" w:hAnsiTheme="majorHAnsi"/>
          <w:sz w:val="20"/>
          <w:szCs w:val="20"/>
          <w:lang w:val="es-PE"/>
        </w:rPr>
        <w:t xml:space="preserve">convocatoria pública y examen de competencia. </w:t>
      </w:r>
      <w:r w:rsidR="0055600D">
        <w:rPr>
          <w:rFonts w:asciiTheme="majorHAnsi" w:hAnsiTheme="majorHAnsi"/>
          <w:sz w:val="20"/>
          <w:szCs w:val="20"/>
          <w:lang w:val="es-PE"/>
        </w:rPr>
        <w:t>E</w:t>
      </w:r>
      <w:r w:rsidRPr="00EB4A99">
        <w:rPr>
          <w:rFonts w:asciiTheme="majorHAnsi" w:hAnsiTheme="majorHAnsi"/>
          <w:sz w:val="20"/>
          <w:szCs w:val="20"/>
          <w:lang w:val="es-PE"/>
        </w:rPr>
        <w:t xml:space="preserve">jerció como juez de carrera </w:t>
      </w:r>
      <w:r w:rsidR="00E8558D" w:rsidRPr="00EB4A99">
        <w:rPr>
          <w:rFonts w:asciiTheme="majorHAnsi" w:hAnsiTheme="majorHAnsi"/>
          <w:sz w:val="20"/>
          <w:szCs w:val="20"/>
          <w:lang w:val="es-PE"/>
        </w:rPr>
        <w:t>durante</w:t>
      </w:r>
      <w:r w:rsidRPr="00EB4A99">
        <w:rPr>
          <w:rFonts w:asciiTheme="majorHAnsi" w:hAnsiTheme="majorHAnsi"/>
          <w:sz w:val="20"/>
          <w:szCs w:val="20"/>
          <w:lang w:val="es-PE"/>
        </w:rPr>
        <w:t xml:space="preserve"> 15 años</w:t>
      </w:r>
      <w:r w:rsidR="00BC0794">
        <w:rPr>
          <w:rFonts w:asciiTheme="majorHAnsi" w:hAnsiTheme="majorHAnsi"/>
          <w:sz w:val="20"/>
          <w:szCs w:val="20"/>
          <w:lang w:val="es-PE"/>
        </w:rPr>
        <w:t xml:space="preserve"> hasta que el Consejo de la Magistratura lo destituyó mediante el </w:t>
      </w:r>
      <w:r w:rsidR="00BC0794" w:rsidRPr="00EB4A99">
        <w:rPr>
          <w:rFonts w:asciiTheme="majorHAnsi" w:hAnsiTheme="majorHAnsi"/>
          <w:sz w:val="20"/>
          <w:szCs w:val="20"/>
          <w:lang w:val="es-PE"/>
        </w:rPr>
        <w:t>Acuerdo de Sala Plena N°</w:t>
      </w:r>
      <w:r w:rsidR="00A155E4">
        <w:rPr>
          <w:rFonts w:asciiTheme="majorHAnsi" w:hAnsiTheme="majorHAnsi"/>
          <w:sz w:val="20"/>
          <w:szCs w:val="20"/>
          <w:lang w:val="es-PE"/>
        </w:rPr>
        <w:t xml:space="preserve"> </w:t>
      </w:r>
      <w:r w:rsidR="00BC0794" w:rsidRPr="00EB4A99">
        <w:rPr>
          <w:rFonts w:asciiTheme="majorHAnsi" w:hAnsiTheme="majorHAnsi"/>
          <w:sz w:val="20"/>
          <w:szCs w:val="20"/>
          <w:lang w:val="es-PE"/>
        </w:rPr>
        <w:t>73/2017</w:t>
      </w:r>
      <w:r w:rsidRPr="00EB4A99">
        <w:rPr>
          <w:rFonts w:asciiTheme="majorHAnsi" w:hAnsiTheme="majorHAnsi"/>
          <w:sz w:val="20"/>
          <w:szCs w:val="20"/>
          <w:lang w:val="es-PE"/>
        </w:rPr>
        <w:t>.</w:t>
      </w:r>
    </w:p>
    <w:p w14:paraId="0328FAF0" w14:textId="77777777" w:rsidR="00EB4A99" w:rsidRPr="00EB4A99" w:rsidRDefault="00EB4A99" w:rsidP="00EB4A99">
      <w:pPr>
        <w:pStyle w:val="ListParagraph"/>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sz w:val="20"/>
          <w:szCs w:val="20"/>
          <w:lang w:val="es-PE"/>
        </w:rPr>
      </w:pPr>
    </w:p>
    <w:p w14:paraId="3CF9426F" w14:textId="759CFAA3" w:rsidR="00EB4A99" w:rsidRPr="00EB4A99" w:rsidRDefault="00BC0794">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sz w:val="20"/>
          <w:szCs w:val="20"/>
          <w:lang w:val="es-PE"/>
        </w:rPr>
      </w:pPr>
      <w:r>
        <w:rPr>
          <w:rFonts w:asciiTheme="majorHAnsi" w:hAnsiTheme="majorHAnsi"/>
          <w:sz w:val="20"/>
          <w:szCs w:val="20"/>
          <w:lang w:val="es-PE"/>
        </w:rPr>
        <w:t>L</w:t>
      </w:r>
      <w:r w:rsidR="002A6735" w:rsidRPr="00EB4A99">
        <w:rPr>
          <w:rFonts w:asciiTheme="majorHAnsi" w:hAnsiTheme="majorHAnsi"/>
          <w:sz w:val="20"/>
          <w:szCs w:val="20"/>
          <w:lang w:val="es-PE"/>
        </w:rPr>
        <w:t xml:space="preserve">a presunta víctima interpuso un recurso de revocatoria ante el mismo </w:t>
      </w:r>
      <w:r w:rsidR="009D1C42">
        <w:rPr>
          <w:rFonts w:asciiTheme="majorHAnsi" w:hAnsiTheme="majorHAnsi"/>
          <w:sz w:val="20"/>
          <w:szCs w:val="20"/>
          <w:lang w:val="es-PE"/>
        </w:rPr>
        <w:t>órgano</w:t>
      </w:r>
      <w:r w:rsidR="00D6316D">
        <w:rPr>
          <w:rFonts w:asciiTheme="majorHAnsi" w:hAnsiTheme="majorHAnsi"/>
          <w:sz w:val="20"/>
          <w:szCs w:val="20"/>
          <w:lang w:val="es-PE"/>
        </w:rPr>
        <w:t>, sin éxito porque</w:t>
      </w:r>
      <w:r w:rsidR="006A6089" w:rsidRPr="00EB4A99">
        <w:rPr>
          <w:rFonts w:asciiTheme="majorHAnsi" w:hAnsiTheme="majorHAnsi"/>
          <w:sz w:val="20"/>
          <w:szCs w:val="20"/>
          <w:lang w:val="es-PE"/>
        </w:rPr>
        <w:t xml:space="preserve"> el </w:t>
      </w:r>
      <w:r w:rsidR="00694FBF">
        <w:rPr>
          <w:rFonts w:asciiTheme="majorHAnsi" w:hAnsiTheme="majorHAnsi"/>
          <w:sz w:val="20"/>
          <w:szCs w:val="20"/>
          <w:lang w:val="es-PE"/>
        </w:rPr>
        <w:t>C</w:t>
      </w:r>
      <w:r w:rsidR="006A6089" w:rsidRPr="00EB4A99">
        <w:rPr>
          <w:rFonts w:asciiTheme="majorHAnsi" w:hAnsiTheme="majorHAnsi"/>
          <w:sz w:val="20"/>
          <w:szCs w:val="20"/>
          <w:lang w:val="es-PE"/>
        </w:rPr>
        <w:t>onsejo ratificó</w:t>
      </w:r>
      <w:r w:rsidR="002A6735" w:rsidRPr="00EB4A99">
        <w:rPr>
          <w:rFonts w:asciiTheme="majorHAnsi" w:hAnsiTheme="majorHAnsi"/>
          <w:sz w:val="20"/>
          <w:szCs w:val="20"/>
          <w:lang w:val="es-PE"/>
        </w:rPr>
        <w:t xml:space="preserve"> su decisión </w:t>
      </w:r>
      <w:r w:rsidR="00B56C8C">
        <w:rPr>
          <w:rFonts w:asciiTheme="majorHAnsi" w:hAnsiTheme="majorHAnsi"/>
          <w:sz w:val="20"/>
          <w:szCs w:val="20"/>
          <w:lang w:val="es-PE"/>
        </w:rPr>
        <w:t>basándose en</w:t>
      </w:r>
      <w:r w:rsidR="002A6735" w:rsidRPr="00EB4A99">
        <w:rPr>
          <w:rFonts w:asciiTheme="majorHAnsi" w:hAnsiTheme="majorHAnsi"/>
          <w:sz w:val="20"/>
          <w:szCs w:val="20"/>
          <w:lang w:val="es-PE"/>
        </w:rPr>
        <w:t xml:space="preserve"> el carácter transitorio de</w:t>
      </w:r>
      <w:r w:rsidR="00B56C8C">
        <w:rPr>
          <w:rFonts w:asciiTheme="majorHAnsi" w:hAnsiTheme="majorHAnsi"/>
          <w:sz w:val="20"/>
          <w:szCs w:val="20"/>
          <w:lang w:val="es-PE"/>
        </w:rPr>
        <w:t xml:space="preserve">l </w:t>
      </w:r>
      <w:r w:rsidR="002A6735" w:rsidRPr="00EB4A99">
        <w:rPr>
          <w:rFonts w:asciiTheme="majorHAnsi" w:hAnsiTheme="majorHAnsi"/>
          <w:sz w:val="20"/>
          <w:szCs w:val="20"/>
          <w:lang w:val="es-PE"/>
        </w:rPr>
        <w:t xml:space="preserve">cargo. </w:t>
      </w:r>
      <w:r w:rsidR="00B56C8C">
        <w:rPr>
          <w:rFonts w:asciiTheme="majorHAnsi" w:hAnsiTheme="majorHAnsi"/>
          <w:sz w:val="20"/>
          <w:szCs w:val="20"/>
          <w:lang w:val="es-PE"/>
        </w:rPr>
        <w:t>E</w:t>
      </w:r>
      <w:r w:rsidR="006A6089" w:rsidRPr="00EB4A99">
        <w:rPr>
          <w:rFonts w:asciiTheme="majorHAnsi" w:hAnsiTheme="majorHAnsi"/>
          <w:sz w:val="20"/>
          <w:szCs w:val="20"/>
          <w:lang w:val="es-PE"/>
        </w:rPr>
        <w:t>l señor Rojas</w:t>
      </w:r>
      <w:r w:rsidR="00694FBF">
        <w:rPr>
          <w:rFonts w:asciiTheme="majorHAnsi" w:hAnsiTheme="majorHAnsi"/>
          <w:sz w:val="20"/>
          <w:szCs w:val="20"/>
          <w:lang w:val="es-PE"/>
        </w:rPr>
        <w:t xml:space="preserve"> Sánchez</w:t>
      </w:r>
      <w:r w:rsidR="006A6089" w:rsidRPr="00EB4A99">
        <w:rPr>
          <w:rFonts w:asciiTheme="majorHAnsi" w:hAnsiTheme="majorHAnsi"/>
          <w:sz w:val="20"/>
          <w:szCs w:val="20"/>
          <w:lang w:val="es-PE"/>
        </w:rPr>
        <w:t xml:space="preserve"> y ot</w:t>
      </w:r>
      <w:r w:rsidR="002A6735" w:rsidRPr="00EB4A99">
        <w:rPr>
          <w:rFonts w:asciiTheme="majorHAnsi" w:hAnsiTheme="majorHAnsi"/>
          <w:sz w:val="20"/>
          <w:szCs w:val="20"/>
          <w:lang w:val="es-PE"/>
        </w:rPr>
        <w:t>ros jueces de Santa Cruz en la misma situación interpus</w:t>
      </w:r>
      <w:r w:rsidR="006A6089" w:rsidRPr="00EB4A99">
        <w:rPr>
          <w:rFonts w:asciiTheme="majorHAnsi" w:hAnsiTheme="majorHAnsi"/>
          <w:sz w:val="20"/>
          <w:szCs w:val="20"/>
          <w:lang w:val="es-PE"/>
        </w:rPr>
        <w:t>ieron</w:t>
      </w:r>
      <w:r w:rsidR="002A6735" w:rsidRPr="00EB4A99">
        <w:rPr>
          <w:rFonts w:asciiTheme="majorHAnsi" w:hAnsiTheme="majorHAnsi"/>
          <w:sz w:val="20"/>
          <w:szCs w:val="20"/>
          <w:lang w:val="es-PE"/>
        </w:rPr>
        <w:t xml:space="preserve"> una acción de amparo constitucional ante el Juzgado Público de Familia 10° de Santa Cruz. </w:t>
      </w:r>
      <w:r w:rsidR="006A6089" w:rsidRPr="00EB4A99">
        <w:rPr>
          <w:rFonts w:asciiTheme="majorHAnsi" w:hAnsiTheme="majorHAnsi"/>
          <w:sz w:val="20"/>
          <w:szCs w:val="20"/>
          <w:lang w:val="es-PE"/>
        </w:rPr>
        <w:t>No obstante</w:t>
      </w:r>
      <w:r w:rsidR="002A6735" w:rsidRPr="00EB4A99">
        <w:rPr>
          <w:rFonts w:asciiTheme="majorHAnsi" w:hAnsiTheme="majorHAnsi"/>
          <w:sz w:val="20"/>
          <w:szCs w:val="20"/>
          <w:lang w:val="es-PE"/>
        </w:rPr>
        <w:t>, el 9 de marzo de 2018</w:t>
      </w:r>
      <w:r w:rsidR="00694FBF">
        <w:rPr>
          <w:rFonts w:asciiTheme="majorHAnsi" w:hAnsiTheme="majorHAnsi"/>
          <w:sz w:val="20"/>
          <w:szCs w:val="20"/>
          <w:lang w:val="es-PE"/>
        </w:rPr>
        <w:t>,</w:t>
      </w:r>
      <w:r w:rsidR="006A6089" w:rsidRPr="00EB4A99">
        <w:rPr>
          <w:rFonts w:asciiTheme="majorHAnsi" w:hAnsiTheme="majorHAnsi"/>
          <w:sz w:val="20"/>
          <w:szCs w:val="20"/>
          <w:lang w:val="es-PE"/>
        </w:rPr>
        <w:t xml:space="preserve"> el juzgado denegó la tutela</w:t>
      </w:r>
      <w:r w:rsidR="002A6735" w:rsidRPr="00EB4A99">
        <w:rPr>
          <w:rFonts w:asciiTheme="majorHAnsi" w:hAnsiTheme="majorHAnsi"/>
          <w:sz w:val="20"/>
          <w:szCs w:val="20"/>
          <w:lang w:val="es-PE"/>
        </w:rPr>
        <w:t xml:space="preserve">. </w:t>
      </w:r>
      <w:r w:rsidR="006A6089" w:rsidRPr="00EB4A99">
        <w:rPr>
          <w:rFonts w:asciiTheme="majorHAnsi" w:hAnsiTheme="majorHAnsi"/>
          <w:sz w:val="20"/>
          <w:szCs w:val="20"/>
          <w:lang w:val="es-PE"/>
        </w:rPr>
        <w:t>Finalmente, e</w:t>
      </w:r>
      <w:r w:rsidR="002A6735" w:rsidRPr="00EB4A99">
        <w:rPr>
          <w:rFonts w:asciiTheme="majorHAnsi" w:hAnsiTheme="majorHAnsi"/>
          <w:sz w:val="20"/>
          <w:szCs w:val="20"/>
          <w:lang w:val="es-PE"/>
        </w:rPr>
        <w:t>l Tribunal Constitucional Plurinacional de Bolivia confirmó la denegatoria del amparo,</w:t>
      </w:r>
      <w:r w:rsidR="006A6089" w:rsidRPr="00EB4A99">
        <w:rPr>
          <w:rFonts w:asciiTheme="majorHAnsi" w:hAnsiTheme="majorHAnsi"/>
          <w:sz w:val="20"/>
          <w:szCs w:val="20"/>
          <w:lang w:val="es-PE"/>
        </w:rPr>
        <w:t xml:space="preserve"> notificando su</w:t>
      </w:r>
      <w:r w:rsidR="002A6735" w:rsidRPr="00EB4A99">
        <w:rPr>
          <w:rFonts w:asciiTheme="majorHAnsi" w:hAnsiTheme="majorHAnsi"/>
          <w:sz w:val="20"/>
          <w:szCs w:val="20"/>
          <w:lang w:val="es-PE"/>
        </w:rPr>
        <w:t xml:space="preserve"> decisión el 7 de diciembre de 2018.</w:t>
      </w:r>
    </w:p>
    <w:p w14:paraId="7971D17C" w14:textId="66D6DDE4" w:rsidR="00EB4A99" w:rsidRPr="00EB4A99" w:rsidRDefault="00EB4A99" w:rsidP="00EB4A99">
      <w:pPr>
        <w:spacing w:before="240" w:after="240"/>
        <w:ind w:firstLine="720"/>
        <w:jc w:val="both"/>
        <w:rPr>
          <w:rFonts w:asciiTheme="majorHAnsi" w:hAnsiTheme="majorHAnsi"/>
          <w:i/>
          <w:iCs/>
          <w:sz w:val="20"/>
          <w:szCs w:val="20"/>
          <w:lang w:val="pt-BR"/>
        </w:rPr>
      </w:pPr>
      <w:r w:rsidRPr="00D907CC">
        <w:rPr>
          <w:rFonts w:asciiTheme="majorHAnsi" w:hAnsiTheme="majorHAnsi"/>
          <w:i/>
          <w:iCs/>
          <w:sz w:val="20"/>
          <w:szCs w:val="20"/>
          <w:lang w:val="pt-BR"/>
        </w:rPr>
        <w:t>Nivel Nogales Guzm</w:t>
      </w:r>
      <w:r w:rsidR="00A23FD4">
        <w:rPr>
          <w:rFonts w:asciiTheme="majorHAnsi" w:hAnsiTheme="majorHAnsi"/>
          <w:i/>
          <w:iCs/>
          <w:sz w:val="20"/>
          <w:szCs w:val="20"/>
          <w:lang w:val="pt-BR"/>
        </w:rPr>
        <w:t>á</w:t>
      </w:r>
      <w:r w:rsidRPr="00D907CC">
        <w:rPr>
          <w:rFonts w:asciiTheme="majorHAnsi" w:hAnsiTheme="majorHAnsi"/>
          <w:i/>
          <w:iCs/>
          <w:sz w:val="20"/>
          <w:szCs w:val="20"/>
          <w:lang w:val="pt-BR"/>
        </w:rPr>
        <w:t>n (P-1279-19)</w:t>
      </w:r>
    </w:p>
    <w:p w14:paraId="57060166" w14:textId="454EC4BB" w:rsidR="00EB4A99" w:rsidRPr="00EB4A99" w:rsidRDefault="0027492F">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sz w:val="20"/>
          <w:szCs w:val="20"/>
          <w:lang w:val="es-PE"/>
        </w:rPr>
      </w:pPr>
      <w:r w:rsidRPr="00EB4A99">
        <w:rPr>
          <w:rFonts w:asciiTheme="majorHAnsi" w:hAnsiTheme="majorHAnsi"/>
          <w:sz w:val="20"/>
          <w:szCs w:val="20"/>
          <w:lang w:val="es-PE"/>
        </w:rPr>
        <w:t xml:space="preserve">El peticionario relata que </w:t>
      </w:r>
      <w:r w:rsidR="00361AEB" w:rsidRPr="00EB4A99">
        <w:rPr>
          <w:rFonts w:asciiTheme="majorHAnsi" w:hAnsiTheme="majorHAnsi"/>
          <w:sz w:val="20"/>
          <w:szCs w:val="20"/>
          <w:lang w:val="es-PE"/>
        </w:rPr>
        <w:t xml:space="preserve">el señor Nogales </w:t>
      </w:r>
      <w:r w:rsidR="00ED149F">
        <w:rPr>
          <w:rFonts w:asciiTheme="majorHAnsi" w:hAnsiTheme="majorHAnsi"/>
          <w:sz w:val="20"/>
          <w:szCs w:val="20"/>
          <w:lang w:val="es-PE"/>
        </w:rPr>
        <w:t xml:space="preserve">Guzmán </w:t>
      </w:r>
      <w:r w:rsidR="00361AEB" w:rsidRPr="00EB4A99">
        <w:rPr>
          <w:rFonts w:asciiTheme="majorHAnsi" w:hAnsiTheme="majorHAnsi"/>
          <w:sz w:val="20"/>
          <w:szCs w:val="20"/>
          <w:lang w:val="es-PE"/>
        </w:rPr>
        <w:t xml:space="preserve">ingresó a la carrera judicial en 2011, </w:t>
      </w:r>
      <w:r w:rsidR="009300A4" w:rsidRPr="00EB4A99">
        <w:rPr>
          <w:rFonts w:asciiTheme="majorHAnsi" w:hAnsiTheme="majorHAnsi"/>
          <w:sz w:val="20"/>
          <w:szCs w:val="20"/>
          <w:lang w:val="es-PE"/>
        </w:rPr>
        <w:t xml:space="preserve">de acuerdo </w:t>
      </w:r>
      <w:r w:rsidR="00E8558D" w:rsidRPr="00EB4A99">
        <w:rPr>
          <w:rFonts w:asciiTheme="majorHAnsi" w:hAnsiTheme="majorHAnsi"/>
          <w:sz w:val="20"/>
          <w:szCs w:val="20"/>
          <w:lang w:val="es-PE"/>
        </w:rPr>
        <w:t>con</w:t>
      </w:r>
      <w:r w:rsidR="00361AEB" w:rsidRPr="00EB4A99">
        <w:rPr>
          <w:rFonts w:asciiTheme="majorHAnsi" w:hAnsiTheme="majorHAnsi"/>
          <w:sz w:val="20"/>
          <w:szCs w:val="20"/>
          <w:lang w:val="es-PE"/>
        </w:rPr>
        <w:t xml:space="preserve"> la Ley N°</w:t>
      </w:r>
      <w:r w:rsidR="00ED149F">
        <w:rPr>
          <w:rFonts w:asciiTheme="majorHAnsi" w:hAnsiTheme="majorHAnsi"/>
          <w:sz w:val="20"/>
          <w:szCs w:val="20"/>
          <w:lang w:val="es-PE"/>
        </w:rPr>
        <w:t xml:space="preserve"> </w:t>
      </w:r>
      <w:r w:rsidR="00361AEB" w:rsidRPr="00EB4A99">
        <w:rPr>
          <w:rFonts w:asciiTheme="majorHAnsi" w:hAnsiTheme="majorHAnsi"/>
          <w:sz w:val="20"/>
          <w:szCs w:val="20"/>
          <w:lang w:val="es-PE"/>
        </w:rPr>
        <w:t>1817</w:t>
      </w:r>
      <w:r w:rsidR="001973C6">
        <w:rPr>
          <w:rFonts w:asciiTheme="majorHAnsi" w:hAnsiTheme="majorHAnsi"/>
          <w:sz w:val="20"/>
          <w:szCs w:val="20"/>
          <w:lang w:val="es-PE"/>
        </w:rPr>
        <w:t xml:space="preserve"> </w:t>
      </w:r>
      <w:r w:rsidR="00361AEB" w:rsidRPr="00EB4A99">
        <w:rPr>
          <w:rFonts w:asciiTheme="majorHAnsi" w:hAnsiTheme="majorHAnsi"/>
          <w:sz w:val="20"/>
          <w:szCs w:val="20"/>
          <w:lang w:val="es-PE"/>
        </w:rPr>
        <w:t>del Consejo de la Judicatura de 22 de diciembre de 1997</w:t>
      </w:r>
      <w:r w:rsidR="00811F4B">
        <w:rPr>
          <w:rFonts w:asciiTheme="majorHAnsi" w:hAnsiTheme="majorHAnsi"/>
          <w:sz w:val="20"/>
          <w:szCs w:val="20"/>
          <w:lang w:val="es-PE"/>
        </w:rPr>
        <w:t>,</w:t>
      </w:r>
      <w:r w:rsidR="009300A4" w:rsidRPr="00EB4A99">
        <w:rPr>
          <w:rFonts w:asciiTheme="majorHAnsi" w:hAnsiTheme="majorHAnsi"/>
          <w:sz w:val="20"/>
          <w:szCs w:val="20"/>
          <w:lang w:val="es-PE"/>
        </w:rPr>
        <w:t xml:space="preserve"> y ejerció como Juez de Partido de Sentencia de Portachuelo</w:t>
      </w:r>
      <w:r w:rsidR="00361AEB" w:rsidRPr="00EB4A99">
        <w:rPr>
          <w:rFonts w:asciiTheme="majorHAnsi" w:hAnsiTheme="majorHAnsi"/>
          <w:sz w:val="20"/>
          <w:szCs w:val="20"/>
          <w:lang w:val="es-PE"/>
        </w:rPr>
        <w:t xml:space="preserve">. </w:t>
      </w:r>
      <w:r w:rsidR="009300A4" w:rsidRPr="00EB4A99">
        <w:rPr>
          <w:rFonts w:asciiTheme="majorHAnsi" w:hAnsiTheme="majorHAnsi"/>
          <w:sz w:val="20"/>
          <w:szCs w:val="20"/>
          <w:lang w:val="es-PE"/>
        </w:rPr>
        <w:t>Posteriormente, en 2016</w:t>
      </w:r>
      <w:r w:rsidR="00ED149F">
        <w:rPr>
          <w:rFonts w:asciiTheme="majorHAnsi" w:hAnsiTheme="majorHAnsi"/>
          <w:sz w:val="20"/>
          <w:szCs w:val="20"/>
          <w:lang w:val="es-PE"/>
        </w:rPr>
        <w:t>,</w:t>
      </w:r>
      <w:r w:rsidR="009300A4" w:rsidRPr="00EB4A99">
        <w:rPr>
          <w:rFonts w:asciiTheme="majorHAnsi" w:hAnsiTheme="majorHAnsi"/>
          <w:sz w:val="20"/>
          <w:szCs w:val="20"/>
          <w:lang w:val="es-PE"/>
        </w:rPr>
        <w:t xml:space="preserve"> fue nombrado Juez Público Mixto Civil y Comercial de Familia, de la Niñez y Adolescencia e Instrucción Penal </w:t>
      </w:r>
      <w:r w:rsidR="00AE6C05">
        <w:rPr>
          <w:rFonts w:asciiTheme="majorHAnsi" w:hAnsiTheme="majorHAnsi"/>
          <w:sz w:val="20"/>
          <w:szCs w:val="20"/>
          <w:lang w:val="es-PE"/>
        </w:rPr>
        <w:t>N</w:t>
      </w:r>
      <w:r w:rsidR="00ED149F">
        <w:rPr>
          <w:rFonts w:asciiTheme="majorHAnsi" w:hAnsiTheme="majorHAnsi"/>
          <w:sz w:val="20"/>
          <w:szCs w:val="20"/>
          <w:lang w:val="es-PE"/>
        </w:rPr>
        <w:t>º</w:t>
      </w:r>
      <w:r w:rsidR="00AE6C05">
        <w:rPr>
          <w:rFonts w:asciiTheme="majorHAnsi" w:hAnsiTheme="majorHAnsi"/>
          <w:sz w:val="20"/>
          <w:szCs w:val="20"/>
          <w:lang w:val="es-PE"/>
        </w:rPr>
        <w:t xml:space="preserve"> </w:t>
      </w:r>
      <w:r w:rsidR="009300A4" w:rsidRPr="00EB4A99">
        <w:rPr>
          <w:rFonts w:asciiTheme="majorHAnsi" w:hAnsiTheme="majorHAnsi"/>
          <w:sz w:val="20"/>
          <w:szCs w:val="20"/>
          <w:lang w:val="es-PE"/>
        </w:rPr>
        <w:t>2 de Portachuelo, Santa Cruz</w:t>
      </w:r>
      <w:r w:rsidR="00AE6C05">
        <w:rPr>
          <w:rFonts w:asciiTheme="majorHAnsi" w:hAnsiTheme="majorHAnsi"/>
          <w:sz w:val="20"/>
          <w:szCs w:val="20"/>
          <w:lang w:val="es-PE"/>
        </w:rPr>
        <w:t xml:space="preserve">, donde </w:t>
      </w:r>
      <w:r w:rsidR="00361AEB" w:rsidRPr="00EB4A99">
        <w:rPr>
          <w:rFonts w:asciiTheme="majorHAnsi" w:hAnsiTheme="majorHAnsi"/>
          <w:sz w:val="20"/>
          <w:szCs w:val="20"/>
          <w:lang w:val="es-PE"/>
        </w:rPr>
        <w:t xml:space="preserve">ejerció como juez de carrera </w:t>
      </w:r>
      <w:r w:rsidR="00E8558D" w:rsidRPr="00EB4A99">
        <w:rPr>
          <w:rFonts w:asciiTheme="majorHAnsi" w:hAnsiTheme="majorHAnsi"/>
          <w:sz w:val="20"/>
          <w:szCs w:val="20"/>
          <w:lang w:val="es-PE"/>
        </w:rPr>
        <w:t>durante</w:t>
      </w:r>
      <w:r w:rsidR="00361AEB" w:rsidRPr="00EB4A99">
        <w:rPr>
          <w:rFonts w:asciiTheme="majorHAnsi" w:hAnsiTheme="majorHAnsi"/>
          <w:sz w:val="20"/>
          <w:szCs w:val="20"/>
          <w:lang w:val="es-PE"/>
        </w:rPr>
        <w:t xml:space="preserve"> </w:t>
      </w:r>
      <w:r w:rsidR="00E8558D" w:rsidRPr="00EB4A99">
        <w:rPr>
          <w:rFonts w:asciiTheme="majorHAnsi" w:hAnsiTheme="majorHAnsi"/>
          <w:sz w:val="20"/>
          <w:szCs w:val="20"/>
          <w:lang w:val="es-PE"/>
        </w:rPr>
        <w:t xml:space="preserve">aproximadamente </w:t>
      </w:r>
      <w:r w:rsidR="00673D2F" w:rsidRPr="00EB4A99">
        <w:rPr>
          <w:rFonts w:asciiTheme="majorHAnsi" w:hAnsiTheme="majorHAnsi"/>
          <w:sz w:val="20"/>
          <w:szCs w:val="20"/>
          <w:lang w:val="es-PE"/>
        </w:rPr>
        <w:t>seis</w:t>
      </w:r>
      <w:r w:rsidR="00E8558D" w:rsidRPr="00EB4A99">
        <w:rPr>
          <w:rFonts w:asciiTheme="majorHAnsi" w:hAnsiTheme="majorHAnsi"/>
          <w:sz w:val="20"/>
          <w:szCs w:val="20"/>
          <w:lang w:val="es-PE"/>
        </w:rPr>
        <w:t xml:space="preserve"> años</w:t>
      </w:r>
      <w:r w:rsidR="00811F4B">
        <w:rPr>
          <w:rFonts w:asciiTheme="majorHAnsi" w:hAnsiTheme="majorHAnsi"/>
          <w:sz w:val="20"/>
          <w:szCs w:val="20"/>
          <w:lang w:val="es-PE"/>
        </w:rPr>
        <w:t xml:space="preserve"> más</w:t>
      </w:r>
      <w:r w:rsidR="00B66F1C">
        <w:rPr>
          <w:rFonts w:asciiTheme="majorHAnsi" w:hAnsiTheme="majorHAnsi"/>
          <w:sz w:val="20"/>
          <w:szCs w:val="20"/>
          <w:lang w:val="es-PE"/>
        </w:rPr>
        <w:t xml:space="preserve">, hasta que fue desvinculado de su puesto por el </w:t>
      </w:r>
      <w:r w:rsidR="00B66F1C" w:rsidRPr="00EB4A99">
        <w:rPr>
          <w:rFonts w:asciiTheme="majorHAnsi" w:hAnsiTheme="majorHAnsi"/>
          <w:sz w:val="20"/>
          <w:szCs w:val="20"/>
          <w:lang w:val="es-PE"/>
        </w:rPr>
        <w:t>Acuerdo de Sala Plena N°</w:t>
      </w:r>
      <w:r w:rsidR="00A155E4">
        <w:rPr>
          <w:rFonts w:asciiTheme="majorHAnsi" w:hAnsiTheme="majorHAnsi"/>
          <w:sz w:val="20"/>
          <w:szCs w:val="20"/>
          <w:lang w:val="es-PE"/>
        </w:rPr>
        <w:t xml:space="preserve"> </w:t>
      </w:r>
      <w:r w:rsidR="00B66F1C" w:rsidRPr="00EB4A99">
        <w:rPr>
          <w:rFonts w:asciiTheme="majorHAnsi" w:hAnsiTheme="majorHAnsi"/>
          <w:sz w:val="20"/>
          <w:szCs w:val="20"/>
          <w:lang w:val="es-PE"/>
        </w:rPr>
        <w:t>73/2017</w:t>
      </w:r>
      <w:r w:rsidR="00B66F1C">
        <w:rPr>
          <w:rFonts w:asciiTheme="majorHAnsi" w:hAnsiTheme="majorHAnsi"/>
          <w:sz w:val="20"/>
          <w:szCs w:val="20"/>
          <w:lang w:val="es-PE"/>
        </w:rPr>
        <w:t xml:space="preserve"> del </w:t>
      </w:r>
      <w:r w:rsidR="00B66F1C" w:rsidRPr="00EB4A99">
        <w:rPr>
          <w:rFonts w:asciiTheme="majorHAnsi" w:hAnsiTheme="majorHAnsi"/>
          <w:sz w:val="20"/>
          <w:szCs w:val="20"/>
          <w:lang w:val="es-PE"/>
        </w:rPr>
        <w:t>Consejo de la Magistratura</w:t>
      </w:r>
      <w:r w:rsidR="00361AEB" w:rsidRPr="00EB4A99">
        <w:rPr>
          <w:rFonts w:asciiTheme="majorHAnsi" w:hAnsiTheme="majorHAnsi"/>
          <w:sz w:val="20"/>
          <w:szCs w:val="20"/>
          <w:lang w:val="es-PE"/>
        </w:rPr>
        <w:t>.</w:t>
      </w:r>
    </w:p>
    <w:p w14:paraId="2309C450" w14:textId="77777777" w:rsidR="00EB4A99" w:rsidRPr="00EB4A99" w:rsidRDefault="00EB4A99" w:rsidP="00EB4A99">
      <w:pPr>
        <w:pStyle w:val="ListParagraph"/>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sz w:val="20"/>
          <w:szCs w:val="20"/>
          <w:lang w:val="es-PE"/>
        </w:rPr>
      </w:pPr>
    </w:p>
    <w:p w14:paraId="498E4AD6" w14:textId="55002340" w:rsidR="00EB4A99" w:rsidRPr="00EB4A99" w:rsidRDefault="00B66F1C">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sz w:val="20"/>
          <w:szCs w:val="20"/>
          <w:lang w:val="es-PE"/>
        </w:rPr>
      </w:pPr>
      <w:r>
        <w:rPr>
          <w:rFonts w:asciiTheme="majorHAnsi" w:hAnsiTheme="majorHAnsi"/>
          <w:sz w:val="20"/>
          <w:szCs w:val="20"/>
          <w:lang w:val="es-PE"/>
        </w:rPr>
        <w:t>El exfuncionario</w:t>
      </w:r>
      <w:r w:rsidR="00361AEB" w:rsidRPr="00EB4A99">
        <w:rPr>
          <w:rFonts w:asciiTheme="majorHAnsi" w:hAnsiTheme="majorHAnsi"/>
          <w:sz w:val="20"/>
          <w:szCs w:val="20"/>
          <w:lang w:val="es-PE"/>
        </w:rPr>
        <w:t xml:space="preserve"> interpuso un recurso de revocatoria ante </w:t>
      </w:r>
      <w:r w:rsidR="00021187">
        <w:rPr>
          <w:rFonts w:asciiTheme="majorHAnsi" w:hAnsiTheme="majorHAnsi"/>
          <w:sz w:val="20"/>
          <w:szCs w:val="20"/>
          <w:lang w:val="es-PE"/>
        </w:rPr>
        <w:t xml:space="preserve">el mismo </w:t>
      </w:r>
      <w:r w:rsidR="00472AE7">
        <w:rPr>
          <w:rFonts w:asciiTheme="majorHAnsi" w:hAnsiTheme="majorHAnsi"/>
          <w:sz w:val="20"/>
          <w:szCs w:val="20"/>
          <w:lang w:val="es-PE"/>
        </w:rPr>
        <w:t>C</w:t>
      </w:r>
      <w:r w:rsidR="00021187">
        <w:rPr>
          <w:rFonts w:asciiTheme="majorHAnsi" w:hAnsiTheme="majorHAnsi"/>
          <w:sz w:val="20"/>
          <w:szCs w:val="20"/>
          <w:lang w:val="es-PE"/>
        </w:rPr>
        <w:t xml:space="preserve">onsejo, pero este </w:t>
      </w:r>
      <w:r w:rsidR="00B15E5C">
        <w:rPr>
          <w:rFonts w:asciiTheme="majorHAnsi" w:hAnsiTheme="majorHAnsi"/>
          <w:sz w:val="20"/>
          <w:szCs w:val="20"/>
          <w:lang w:val="es-PE"/>
        </w:rPr>
        <w:t>r</w:t>
      </w:r>
      <w:r w:rsidR="00B15E5C" w:rsidRPr="00EB4A99">
        <w:rPr>
          <w:rFonts w:asciiTheme="majorHAnsi" w:hAnsiTheme="majorHAnsi"/>
          <w:sz w:val="20"/>
          <w:szCs w:val="20"/>
          <w:lang w:val="es-PE"/>
        </w:rPr>
        <w:t>atificó</w:t>
      </w:r>
      <w:r w:rsidR="00361AEB" w:rsidRPr="00EB4A99">
        <w:rPr>
          <w:rFonts w:asciiTheme="majorHAnsi" w:hAnsiTheme="majorHAnsi"/>
          <w:sz w:val="20"/>
          <w:szCs w:val="20"/>
          <w:lang w:val="es-PE"/>
        </w:rPr>
        <w:t xml:space="preserve"> su decisión </w:t>
      </w:r>
      <w:r w:rsidR="00B15E5C">
        <w:rPr>
          <w:rFonts w:asciiTheme="majorHAnsi" w:hAnsiTheme="majorHAnsi"/>
          <w:sz w:val="20"/>
          <w:szCs w:val="20"/>
          <w:lang w:val="es-PE"/>
        </w:rPr>
        <w:t>indicando</w:t>
      </w:r>
      <w:r w:rsidR="00361AEB" w:rsidRPr="00EB4A99">
        <w:rPr>
          <w:rFonts w:asciiTheme="majorHAnsi" w:hAnsiTheme="majorHAnsi"/>
          <w:sz w:val="20"/>
          <w:szCs w:val="20"/>
          <w:lang w:val="es-PE"/>
        </w:rPr>
        <w:t xml:space="preserve"> el carácter transitorio de su cargo. Ante esta situación, el señor Nogales</w:t>
      </w:r>
      <w:r w:rsidR="00472AE7">
        <w:rPr>
          <w:rFonts w:asciiTheme="majorHAnsi" w:hAnsiTheme="majorHAnsi"/>
          <w:sz w:val="20"/>
          <w:szCs w:val="20"/>
          <w:lang w:val="es-PE"/>
        </w:rPr>
        <w:t xml:space="preserve"> Guzmán</w:t>
      </w:r>
      <w:r w:rsidR="00361AEB" w:rsidRPr="00EB4A99">
        <w:rPr>
          <w:rFonts w:asciiTheme="majorHAnsi" w:hAnsiTheme="majorHAnsi"/>
          <w:sz w:val="20"/>
          <w:szCs w:val="20"/>
          <w:lang w:val="es-PE"/>
        </w:rPr>
        <w:t xml:space="preserve"> y otros jueces de Santa Cruz en la misma </w:t>
      </w:r>
      <w:r w:rsidR="00673D2F" w:rsidRPr="00EB4A99">
        <w:rPr>
          <w:rFonts w:asciiTheme="majorHAnsi" w:hAnsiTheme="majorHAnsi"/>
          <w:sz w:val="20"/>
          <w:szCs w:val="20"/>
          <w:lang w:val="es-PE"/>
        </w:rPr>
        <w:t xml:space="preserve">condición </w:t>
      </w:r>
      <w:r w:rsidR="00472AE7">
        <w:rPr>
          <w:rFonts w:asciiTheme="majorHAnsi" w:hAnsiTheme="majorHAnsi"/>
          <w:sz w:val="20"/>
          <w:szCs w:val="20"/>
          <w:lang w:val="es-PE"/>
        </w:rPr>
        <w:t>intentaron</w:t>
      </w:r>
      <w:r w:rsidR="00472AE7" w:rsidRPr="00EB4A99">
        <w:rPr>
          <w:rFonts w:asciiTheme="majorHAnsi" w:hAnsiTheme="majorHAnsi"/>
          <w:sz w:val="20"/>
          <w:szCs w:val="20"/>
          <w:lang w:val="es-PE"/>
        </w:rPr>
        <w:t xml:space="preserve"> </w:t>
      </w:r>
      <w:r w:rsidR="00361AEB" w:rsidRPr="00EB4A99">
        <w:rPr>
          <w:rFonts w:asciiTheme="majorHAnsi" w:hAnsiTheme="majorHAnsi"/>
          <w:sz w:val="20"/>
          <w:szCs w:val="20"/>
          <w:lang w:val="es-PE"/>
        </w:rPr>
        <w:t xml:space="preserve">una acción de amparo constitucional ante el Juzgado Público de Familia 10° de Santa Cruz. </w:t>
      </w:r>
      <w:r w:rsidR="00FE3A5F" w:rsidRPr="00EB4A99">
        <w:rPr>
          <w:rFonts w:asciiTheme="majorHAnsi" w:hAnsiTheme="majorHAnsi"/>
          <w:sz w:val="20"/>
          <w:szCs w:val="20"/>
          <w:lang w:val="es-PE"/>
        </w:rPr>
        <w:t>A pesar de</w:t>
      </w:r>
      <w:r w:rsidR="00C3540D" w:rsidRPr="00EB4A99">
        <w:rPr>
          <w:rFonts w:asciiTheme="majorHAnsi" w:hAnsiTheme="majorHAnsi"/>
          <w:sz w:val="20"/>
          <w:szCs w:val="20"/>
          <w:lang w:val="es-PE"/>
        </w:rPr>
        <w:t xml:space="preserve"> ello</w:t>
      </w:r>
      <w:r w:rsidR="00361AEB" w:rsidRPr="00EB4A99">
        <w:rPr>
          <w:rFonts w:asciiTheme="majorHAnsi" w:hAnsiTheme="majorHAnsi"/>
          <w:sz w:val="20"/>
          <w:szCs w:val="20"/>
          <w:lang w:val="es-PE"/>
        </w:rPr>
        <w:t>, el 9 de marzo de 2018</w:t>
      </w:r>
      <w:r w:rsidR="00472AE7">
        <w:rPr>
          <w:rFonts w:asciiTheme="majorHAnsi" w:hAnsiTheme="majorHAnsi"/>
          <w:sz w:val="20"/>
          <w:szCs w:val="20"/>
          <w:lang w:val="es-PE"/>
        </w:rPr>
        <w:t>,</w:t>
      </w:r>
      <w:r w:rsidR="00361AEB" w:rsidRPr="00EB4A99">
        <w:rPr>
          <w:rFonts w:asciiTheme="majorHAnsi" w:hAnsiTheme="majorHAnsi"/>
          <w:sz w:val="20"/>
          <w:szCs w:val="20"/>
          <w:lang w:val="es-PE"/>
        </w:rPr>
        <w:t xml:space="preserve"> el juzgado denegó la tutela</w:t>
      </w:r>
      <w:r w:rsidR="00673D2F" w:rsidRPr="00EB4A99">
        <w:rPr>
          <w:rFonts w:asciiTheme="majorHAnsi" w:hAnsiTheme="majorHAnsi"/>
          <w:sz w:val="20"/>
          <w:szCs w:val="20"/>
          <w:lang w:val="es-PE"/>
        </w:rPr>
        <w:t xml:space="preserve">, argumentando que </w:t>
      </w:r>
      <w:r w:rsidR="00FE3A5F" w:rsidRPr="00EB4A99">
        <w:rPr>
          <w:rFonts w:asciiTheme="majorHAnsi" w:hAnsiTheme="majorHAnsi"/>
          <w:sz w:val="20"/>
          <w:szCs w:val="20"/>
          <w:lang w:val="es-PE"/>
        </w:rPr>
        <w:t>era de pleno conocimiento que sus cargos eran transitorios, por lo que no gozaban de inamovilidad laboral y no se les vulneró ningún derecho</w:t>
      </w:r>
      <w:r w:rsidR="00361AEB" w:rsidRPr="00EB4A99">
        <w:rPr>
          <w:rFonts w:asciiTheme="majorHAnsi" w:hAnsiTheme="majorHAnsi"/>
          <w:sz w:val="20"/>
          <w:szCs w:val="20"/>
          <w:lang w:val="es-PE"/>
        </w:rPr>
        <w:t xml:space="preserve">. Finalmente, el Tribunal Constitucional Plurinacional de Bolivia confirmó la denegatoria del amparo, </w:t>
      </w:r>
      <w:r w:rsidR="00BA5480" w:rsidRPr="00EB4A99">
        <w:rPr>
          <w:rFonts w:asciiTheme="majorHAnsi" w:hAnsiTheme="majorHAnsi"/>
          <w:sz w:val="20"/>
          <w:szCs w:val="20"/>
          <w:lang w:val="es-PE"/>
        </w:rPr>
        <w:t>notificando</w:t>
      </w:r>
      <w:r w:rsidR="00361AEB" w:rsidRPr="00EB4A99">
        <w:rPr>
          <w:rFonts w:asciiTheme="majorHAnsi" w:hAnsiTheme="majorHAnsi"/>
          <w:sz w:val="20"/>
          <w:szCs w:val="20"/>
          <w:lang w:val="es-PE"/>
        </w:rPr>
        <w:t xml:space="preserve"> su decisión el 7 de diciembre de 2018.</w:t>
      </w:r>
    </w:p>
    <w:p w14:paraId="2D452B2F" w14:textId="6C5F4E9F" w:rsidR="00EB4A99" w:rsidRPr="00EB4A99" w:rsidRDefault="00EB4A99" w:rsidP="00EB4A99">
      <w:pPr>
        <w:spacing w:before="240" w:after="240"/>
        <w:ind w:firstLine="720"/>
        <w:jc w:val="both"/>
        <w:rPr>
          <w:rFonts w:asciiTheme="majorHAnsi" w:hAnsiTheme="majorHAnsi"/>
          <w:i/>
          <w:iCs/>
          <w:sz w:val="20"/>
          <w:szCs w:val="20"/>
          <w:lang w:val="es-PE"/>
        </w:rPr>
      </w:pPr>
      <w:r w:rsidRPr="00EB4A99">
        <w:rPr>
          <w:rFonts w:asciiTheme="majorHAnsi" w:hAnsiTheme="majorHAnsi"/>
          <w:i/>
          <w:iCs/>
          <w:sz w:val="20"/>
          <w:szCs w:val="20"/>
          <w:lang w:val="pt-BR"/>
        </w:rPr>
        <w:t>José Luis Alfaro Miranda (P-1428-19)</w:t>
      </w:r>
    </w:p>
    <w:p w14:paraId="6E9CCA68" w14:textId="3D84EE48" w:rsidR="00EB4A99" w:rsidRPr="00EB4A99" w:rsidRDefault="00791025">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sz w:val="20"/>
          <w:szCs w:val="20"/>
          <w:lang w:val="es-PE"/>
        </w:rPr>
      </w:pPr>
      <w:r w:rsidRPr="00EB4A99">
        <w:rPr>
          <w:rFonts w:asciiTheme="majorHAnsi" w:hAnsiTheme="majorHAnsi"/>
          <w:sz w:val="20"/>
          <w:szCs w:val="20"/>
          <w:lang w:val="es-PE"/>
        </w:rPr>
        <w:t xml:space="preserve">El peticionario menciona que el señor Alfaro </w:t>
      </w:r>
      <w:r w:rsidR="0089311F">
        <w:rPr>
          <w:rFonts w:asciiTheme="majorHAnsi" w:hAnsiTheme="majorHAnsi"/>
          <w:sz w:val="20"/>
          <w:szCs w:val="20"/>
          <w:lang w:val="es-PE"/>
        </w:rPr>
        <w:t>Miranda</w:t>
      </w:r>
      <w:r w:rsidRPr="00EB4A99">
        <w:rPr>
          <w:rFonts w:asciiTheme="majorHAnsi" w:hAnsiTheme="majorHAnsi"/>
          <w:sz w:val="20"/>
          <w:szCs w:val="20"/>
          <w:lang w:val="es-PE"/>
        </w:rPr>
        <w:t xml:space="preserve"> ingresó a la carrera judicial en 2001, conforme a la Ley de Organización Judicial N</w:t>
      </w:r>
      <w:r w:rsidR="00D356DE" w:rsidRPr="00EB4A99">
        <w:rPr>
          <w:rFonts w:asciiTheme="majorHAnsi" w:hAnsiTheme="majorHAnsi"/>
          <w:sz w:val="20"/>
          <w:szCs w:val="20"/>
          <w:lang w:val="es-PE"/>
        </w:rPr>
        <w:t>°</w:t>
      </w:r>
      <w:r w:rsidR="00EE5705">
        <w:rPr>
          <w:rFonts w:asciiTheme="majorHAnsi" w:hAnsiTheme="majorHAnsi"/>
          <w:sz w:val="20"/>
          <w:szCs w:val="20"/>
          <w:lang w:val="es-PE"/>
        </w:rPr>
        <w:t xml:space="preserve"> </w:t>
      </w:r>
      <w:r w:rsidRPr="00EB4A99">
        <w:rPr>
          <w:rFonts w:asciiTheme="majorHAnsi" w:hAnsiTheme="majorHAnsi"/>
          <w:sz w:val="20"/>
          <w:szCs w:val="20"/>
          <w:lang w:val="es-PE"/>
        </w:rPr>
        <w:t xml:space="preserve">1455 de 18 de febrero de 1993, previa convocatoria pública y examen de oposición. </w:t>
      </w:r>
      <w:r w:rsidR="00D356DE" w:rsidRPr="00EB4A99">
        <w:rPr>
          <w:rFonts w:asciiTheme="majorHAnsi" w:hAnsiTheme="majorHAnsi"/>
          <w:sz w:val="20"/>
          <w:szCs w:val="20"/>
          <w:lang w:val="es-PE"/>
        </w:rPr>
        <w:t>Así</w:t>
      </w:r>
      <w:r w:rsidRPr="00EB4A99">
        <w:rPr>
          <w:rFonts w:asciiTheme="majorHAnsi" w:hAnsiTheme="majorHAnsi"/>
          <w:sz w:val="20"/>
          <w:szCs w:val="20"/>
          <w:lang w:val="es-PE"/>
        </w:rPr>
        <w:t xml:space="preserve">, ejerció como juez de carrera </w:t>
      </w:r>
      <w:r w:rsidR="00D356DE" w:rsidRPr="00EB4A99">
        <w:rPr>
          <w:rFonts w:asciiTheme="majorHAnsi" w:hAnsiTheme="majorHAnsi"/>
          <w:sz w:val="20"/>
          <w:szCs w:val="20"/>
          <w:lang w:val="es-PE"/>
        </w:rPr>
        <w:t xml:space="preserve">durante </w:t>
      </w:r>
      <w:r w:rsidRPr="00EB4A99">
        <w:rPr>
          <w:rFonts w:asciiTheme="majorHAnsi" w:hAnsiTheme="majorHAnsi"/>
          <w:sz w:val="20"/>
          <w:szCs w:val="20"/>
          <w:lang w:val="es-PE"/>
        </w:rPr>
        <w:t>aproximadamente</w:t>
      </w:r>
      <w:r w:rsidR="00D356DE" w:rsidRPr="00EB4A99">
        <w:rPr>
          <w:rFonts w:asciiTheme="majorHAnsi" w:hAnsiTheme="majorHAnsi"/>
          <w:sz w:val="20"/>
          <w:szCs w:val="20"/>
          <w:lang w:val="es-PE"/>
        </w:rPr>
        <w:t xml:space="preserve"> 16 años</w:t>
      </w:r>
      <w:r w:rsidR="00F833FA">
        <w:rPr>
          <w:rFonts w:asciiTheme="majorHAnsi" w:hAnsiTheme="majorHAnsi"/>
          <w:sz w:val="20"/>
          <w:szCs w:val="20"/>
          <w:lang w:val="es-PE"/>
        </w:rPr>
        <w:t xml:space="preserve">, hasta que fue </w:t>
      </w:r>
      <w:r w:rsidR="00420875">
        <w:rPr>
          <w:rFonts w:asciiTheme="majorHAnsi" w:hAnsiTheme="majorHAnsi"/>
          <w:sz w:val="20"/>
          <w:szCs w:val="20"/>
          <w:lang w:val="es-PE"/>
        </w:rPr>
        <w:t>destituido por medio d</w:t>
      </w:r>
      <w:r w:rsidR="00420875" w:rsidRPr="00EB4A99">
        <w:rPr>
          <w:rFonts w:asciiTheme="majorHAnsi" w:hAnsiTheme="majorHAnsi"/>
          <w:sz w:val="20"/>
          <w:szCs w:val="20"/>
          <w:lang w:val="es-PE"/>
        </w:rPr>
        <w:t>el Acuerdo de Sala Plena N°</w:t>
      </w:r>
      <w:r w:rsidR="00A155E4">
        <w:rPr>
          <w:rFonts w:asciiTheme="majorHAnsi" w:hAnsiTheme="majorHAnsi"/>
          <w:sz w:val="20"/>
          <w:szCs w:val="20"/>
          <w:lang w:val="es-PE"/>
        </w:rPr>
        <w:t xml:space="preserve"> </w:t>
      </w:r>
      <w:r w:rsidR="00420875" w:rsidRPr="00EB4A99">
        <w:rPr>
          <w:rFonts w:asciiTheme="majorHAnsi" w:hAnsiTheme="majorHAnsi"/>
          <w:sz w:val="20"/>
          <w:szCs w:val="20"/>
          <w:lang w:val="es-PE"/>
        </w:rPr>
        <w:t>73/2017</w:t>
      </w:r>
      <w:r w:rsidR="00420875">
        <w:rPr>
          <w:rFonts w:asciiTheme="majorHAnsi" w:hAnsiTheme="majorHAnsi"/>
          <w:sz w:val="20"/>
          <w:szCs w:val="20"/>
          <w:lang w:val="es-PE"/>
        </w:rPr>
        <w:t xml:space="preserve"> del</w:t>
      </w:r>
      <w:r w:rsidR="00420875" w:rsidRPr="00EB4A99">
        <w:rPr>
          <w:rFonts w:asciiTheme="majorHAnsi" w:hAnsiTheme="majorHAnsi"/>
          <w:sz w:val="20"/>
          <w:szCs w:val="20"/>
          <w:lang w:val="es-PE"/>
        </w:rPr>
        <w:t xml:space="preserve"> Consejo de la Magistratura</w:t>
      </w:r>
      <w:r w:rsidRPr="00EB4A99">
        <w:rPr>
          <w:rFonts w:asciiTheme="majorHAnsi" w:hAnsiTheme="majorHAnsi"/>
          <w:sz w:val="20"/>
          <w:szCs w:val="20"/>
          <w:lang w:val="es-PE"/>
        </w:rPr>
        <w:t>.</w:t>
      </w:r>
    </w:p>
    <w:p w14:paraId="02CCD1DA" w14:textId="77777777" w:rsidR="00EB4A99" w:rsidRPr="00EB4A99" w:rsidRDefault="00EB4A99" w:rsidP="00EB4A99">
      <w:pPr>
        <w:pStyle w:val="ListParagraph"/>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sz w:val="20"/>
          <w:szCs w:val="20"/>
          <w:lang w:val="es-PE"/>
        </w:rPr>
      </w:pPr>
    </w:p>
    <w:p w14:paraId="73D092E3" w14:textId="2694958F" w:rsidR="00EB4A99" w:rsidRPr="00EB4A99" w:rsidRDefault="00EE5705">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sz w:val="20"/>
          <w:szCs w:val="20"/>
          <w:lang w:val="es-PE"/>
        </w:rPr>
      </w:pPr>
      <w:r>
        <w:rPr>
          <w:rFonts w:asciiTheme="majorHAnsi" w:hAnsiTheme="majorHAnsi"/>
          <w:sz w:val="20"/>
          <w:szCs w:val="20"/>
          <w:lang w:val="es-PE"/>
        </w:rPr>
        <w:t>La presunta víctima i</w:t>
      </w:r>
      <w:r w:rsidR="00791025" w:rsidRPr="00EB4A99">
        <w:rPr>
          <w:rFonts w:asciiTheme="majorHAnsi" w:hAnsiTheme="majorHAnsi"/>
          <w:sz w:val="20"/>
          <w:szCs w:val="20"/>
          <w:lang w:val="es-PE"/>
        </w:rPr>
        <w:t>nterpuso un recurso de revocatoria</w:t>
      </w:r>
      <w:r w:rsidR="007C49C3">
        <w:rPr>
          <w:rFonts w:asciiTheme="majorHAnsi" w:hAnsiTheme="majorHAnsi"/>
          <w:sz w:val="20"/>
          <w:szCs w:val="20"/>
          <w:lang w:val="es-PE"/>
        </w:rPr>
        <w:t>,</w:t>
      </w:r>
      <w:r w:rsidR="00791025" w:rsidRPr="00EB4A99">
        <w:rPr>
          <w:rFonts w:asciiTheme="majorHAnsi" w:hAnsiTheme="majorHAnsi"/>
          <w:sz w:val="20"/>
          <w:szCs w:val="20"/>
          <w:lang w:val="es-PE"/>
        </w:rPr>
        <w:t xml:space="preserve"> </w:t>
      </w:r>
      <w:r w:rsidR="007C49C3">
        <w:rPr>
          <w:rFonts w:asciiTheme="majorHAnsi" w:hAnsiTheme="majorHAnsi"/>
          <w:sz w:val="20"/>
          <w:szCs w:val="20"/>
          <w:lang w:val="es-PE"/>
        </w:rPr>
        <w:t>pero</w:t>
      </w:r>
      <w:r w:rsidR="00791025" w:rsidRPr="00EB4A99">
        <w:rPr>
          <w:rFonts w:asciiTheme="majorHAnsi" w:hAnsiTheme="majorHAnsi"/>
          <w:sz w:val="20"/>
          <w:szCs w:val="20"/>
          <w:lang w:val="es-PE"/>
        </w:rPr>
        <w:t xml:space="preserve"> el </w:t>
      </w:r>
      <w:r>
        <w:rPr>
          <w:rFonts w:asciiTheme="majorHAnsi" w:hAnsiTheme="majorHAnsi"/>
          <w:sz w:val="20"/>
          <w:szCs w:val="20"/>
          <w:lang w:val="es-PE"/>
        </w:rPr>
        <w:t>C</w:t>
      </w:r>
      <w:r w:rsidR="00791025" w:rsidRPr="00EB4A99">
        <w:rPr>
          <w:rFonts w:asciiTheme="majorHAnsi" w:hAnsiTheme="majorHAnsi"/>
          <w:sz w:val="20"/>
          <w:szCs w:val="20"/>
          <w:lang w:val="es-PE"/>
        </w:rPr>
        <w:t xml:space="preserve">onsejo ratificó su decisión. </w:t>
      </w:r>
      <w:r w:rsidR="00F87C0E">
        <w:rPr>
          <w:rFonts w:asciiTheme="majorHAnsi" w:hAnsiTheme="majorHAnsi"/>
          <w:sz w:val="20"/>
          <w:szCs w:val="20"/>
          <w:lang w:val="es-PE"/>
        </w:rPr>
        <w:t>E</w:t>
      </w:r>
      <w:r w:rsidR="00791025" w:rsidRPr="00EB4A99">
        <w:rPr>
          <w:rFonts w:asciiTheme="majorHAnsi" w:hAnsiTheme="majorHAnsi"/>
          <w:sz w:val="20"/>
          <w:szCs w:val="20"/>
          <w:lang w:val="es-PE"/>
        </w:rPr>
        <w:t xml:space="preserve">l señor Alfaro </w:t>
      </w:r>
      <w:r>
        <w:rPr>
          <w:rFonts w:asciiTheme="majorHAnsi" w:hAnsiTheme="majorHAnsi"/>
          <w:sz w:val="20"/>
          <w:szCs w:val="20"/>
          <w:lang w:val="es-PE"/>
        </w:rPr>
        <w:t xml:space="preserve">Miranda </w:t>
      </w:r>
      <w:r w:rsidR="00D6009D" w:rsidRPr="00EB4A99">
        <w:rPr>
          <w:rFonts w:asciiTheme="majorHAnsi" w:hAnsiTheme="majorHAnsi"/>
          <w:sz w:val="20"/>
          <w:szCs w:val="20"/>
          <w:lang w:val="es-PE"/>
        </w:rPr>
        <w:t>interpuso</w:t>
      </w:r>
      <w:r w:rsidR="00791025" w:rsidRPr="00EB4A99">
        <w:rPr>
          <w:rFonts w:asciiTheme="majorHAnsi" w:hAnsiTheme="majorHAnsi"/>
          <w:sz w:val="20"/>
          <w:szCs w:val="20"/>
          <w:lang w:val="es-PE"/>
        </w:rPr>
        <w:t xml:space="preserve"> una acción de amparo constitucional ante el </w:t>
      </w:r>
      <w:r w:rsidR="00D6009D" w:rsidRPr="00EB4A99">
        <w:rPr>
          <w:rFonts w:asciiTheme="majorHAnsi" w:hAnsiTheme="majorHAnsi"/>
          <w:sz w:val="20"/>
          <w:szCs w:val="20"/>
          <w:lang w:val="es-PE"/>
        </w:rPr>
        <w:t>Juzgado Público Civil y Comercial N</w:t>
      </w:r>
      <w:r w:rsidR="00D356DE" w:rsidRPr="00EB4A99">
        <w:rPr>
          <w:rFonts w:asciiTheme="majorHAnsi" w:hAnsiTheme="majorHAnsi"/>
          <w:sz w:val="20"/>
          <w:szCs w:val="20"/>
          <w:lang w:val="es-PE"/>
        </w:rPr>
        <w:t>°</w:t>
      </w:r>
      <w:r w:rsidR="00D6009D" w:rsidRPr="00EB4A99">
        <w:rPr>
          <w:rFonts w:asciiTheme="majorHAnsi" w:hAnsiTheme="majorHAnsi"/>
          <w:sz w:val="20"/>
          <w:szCs w:val="20"/>
          <w:lang w:val="es-PE"/>
        </w:rPr>
        <w:t>11 de Sucre</w:t>
      </w:r>
      <w:r w:rsidR="008522FD">
        <w:rPr>
          <w:rFonts w:asciiTheme="majorHAnsi" w:hAnsiTheme="majorHAnsi"/>
          <w:sz w:val="20"/>
          <w:szCs w:val="20"/>
          <w:lang w:val="es-PE"/>
        </w:rPr>
        <w:t>;</w:t>
      </w:r>
      <w:r w:rsidR="00D6721C">
        <w:rPr>
          <w:rFonts w:asciiTheme="majorHAnsi" w:hAnsiTheme="majorHAnsi"/>
          <w:sz w:val="20"/>
          <w:szCs w:val="20"/>
          <w:lang w:val="es-PE"/>
        </w:rPr>
        <w:t xml:space="preserve"> l</w:t>
      </w:r>
      <w:r w:rsidR="00D6009D" w:rsidRPr="00EB4A99">
        <w:rPr>
          <w:rFonts w:asciiTheme="majorHAnsi" w:hAnsiTheme="majorHAnsi"/>
          <w:sz w:val="20"/>
          <w:szCs w:val="20"/>
          <w:lang w:val="es-PE"/>
        </w:rPr>
        <w:t xml:space="preserve">uego de superar </w:t>
      </w:r>
      <w:r w:rsidR="00D6721C">
        <w:rPr>
          <w:rFonts w:asciiTheme="majorHAnsi" w:hAnsiTheme="majorHAnsi"/>
          <w:sz w:val="20"/>
          <w:szCs w:val="20"/>
          <w:lang w:val="es-PE"/>
        </w:rPr>
        <w:t xml:space="preserve">algunos </w:t>
      </w:r>
      <w:r w:rsidR="00D6009D" w:rsidRPr="00EB4A99">
        <w:rPr>
          <w:rFonts w:asciiTheme="majorHAnsi" w:hAnsiTheme="majorHAnsi"/>
          <w:sz w:val="20"/>
          <w:szCs w:val="20"/>
          <w:lang w:val="es-PE"/>
        </w:rPr>
        <w:t xml:space="preserve">aspectos de improcedencia, el 31 de agosto de 2018 el juzgado declaró infundado el pedido </w:t>
      </w:r>
      <w:r w:rsidR="00435291">
        <w:rPr>
          <w:rFonts w:asciiTheme="majorHAnsi" w:hAnsiTheme="majorHAnsi"/>
          <w:sz w:val="20"/>
          <w:szCs w:val="20"/>
          <w:lang w:val="es-PE"/>
        </w:rPr>
        <w:t>esgrimiento</w:t>
      </w:r>
      <w:r w:rsidR="00D6009D" w:rsidRPr="00EB4A99">
        <w:rPr>
          <w:rFonts w:asciiTheme="majorHAnsi" w:hAnsiTheme="majorHAnsi"/>
          <w:sz w:val="20"/>
          <w:szCs w:val="20"/>
          <w:lang w:val="es-PE"/>
        </w:rPr>
        <w:t xml:space="preserve"> la transitoriedad de su cargo</w:t>
      </w:r>
      <w:r w:rsidR="00791025" w:rsidRPr="00EB4A99">
        <w:rPr>
          <w:rFonts w:asciiTheme="majorHAnsi" w:hAnsiTheme="majorHAnsi"/>
          <w:sz w:val="20"/>
          <w:szCs w:val="20"/>
          <w:lang w:val="es-PE"/>
        </w:rPr>
        <w:t xml:space="preserve">. Finalmente, el Tribunal Constitucional Plurinacional de Bolivia confirmó la denegatoria del amparo, </w:t>
      </w:r>
      <w:r w:rsidR="00D6009D" w:rsidRPr="00EB4A99">
        <w:rPr>
          <w:rFonts w:asciiTheme="majorHAnsi" w:hAnsiTheme="majorHAnsi"/>
          <w:sz w:val="20"/>
          <w:szCs w:val="20"/>
          <w:lang w:val="es-PE"/>
        </w:rPr>
        <w:t>notificándole</w:t>
      </w:r>
      <w:r w:rsidR="00791025" w:rsidRPr="00EB4A99">
        <w:rPr>
          <w:rFonts w:asciiTheme="majorHAnsi" w:hAnsiTheme="majorHAnsi"/>
          <w:sz w:val="20"/>
          <w:szCs w:val="20"/>
          <w:lang w:val="es-PE"/>
        </w:rPr>
        <w:t xml:space="preserve"> su decisión el </w:t>
      </w:r>
      <w:r w:rsidR="00D6009D" w:rsidRPr="00EB4A99">
        <w:rPr>
          <w:rFonts w:asciiTheme="majorHAnsi" w:hAnsiTheme="majorHAnsi"/>
          <w:sz w:val="20"/>
          <w:szCs w:val="20"/>
          <w:lang w:val="es-PE"/>
        </w:rPr>
        <w:t>13 de febrero de 2019</w:t>
      </w:r>
      <w:r w:rsidR="00791025" w:rsidRPr="00EB4A99">
        <w:rPr>
          <w:rFonts w:asciiTheme="majorHAnsi" w:hAnsiTheme="majorHAnsi"/>
          <w:sz w:val="20"/>
          <w:szCs w:val="20"/>
          <w:lang w:val="es-PE"/>
        </w:rPr>
        <w:t>.</w:t>
      </w:r>
    </w:p>
    <w:p w14:paraId="325ECE12" w14:textId="77777777" w:rsidR="0088642B" w:rsidRDefault="0088642B" w:rsidP="00EB4A99">
      <w:pPr>
        <w:pStyle w:val="ListParagraph"/>
        <w:spacing w:before="240" w:after="240"/>
        <w:jc w:val="both"/>
        <w:rPr>
          <w:rFonts w:asciiTheme="majorHAnsi" w:hAnsiTheme="majorHAnsi"/>
          <w:i/>
          <w:iCs/>
          <w:sz w:val="20"/>
          <w:szCs w:val="20"/>
          <w:lang w:val="pt-BR"/>
        </w:rPr>
      </w:pPr>
    </w:p>
    <w:p w14:paraId="78CD2EE7" w14:textId="77777777" w:rsidR="0088642B" w:rsidRDefault="0088642B" w:rsidP="00EB4A99">
      <w:pPr>
        <w:pStyle w:val="ListParagraph"/>
        <w:spacing w:before="240" w:after="240"/>
        <w:jc w:val="both"/>
        <w:rPr>
          <w:rFonts w:asciiTheme="majorHAnsi" w:hAnsiTheme="majorHAnsi"/>
          <w:i/>
          <w:iCs/>
          <w:sz w:val="20"/>
          <w:szCs w:val="20"/>
          <w:lang w:val="pt-BR"/>
        </w:rPr>
      </w:pPr>
    </w:p>
    <w:p w14:paraId="427A145B" w14:textId="7A145350" w:rsidR="00EB4A99" w:rsidRPr="00EB4A99" w:rsidRDefault="00EB4A99" w:rsidP="00EB4A99">
      <w:pPr>
        <w:pStyle w:val="ListParagraph"/>
        <w:spacing w:before="240" w:after="240"/>
        <w:jc w:val="both"/>
        <w:rPr>
          <w:rFonts w:asciiTheme="majorHAnsi" w:hAnsiTheme="majorHAnsi"/>
          <w:i/>
          <w:iCs/>
          <w:sz w:val="20"/>
          <w:szCs w:val="20"/>
          <w:lang w:val="pt-BR"/>
        </w:rPr>
      </w:pPr>
      <w:r w:rsidRPr="00D907CC">
        <w:rPr>
          <w:rFonts w:asciiTheme="majorHAnsi" w:hAnsiTheme="majorHAnsi"/>
          <w:i/>
          <w:iCs/>
          <w:sz w:val="20"/>
          <w:szCs w:val="20"/>
          <w:lang w:val="pt-BR"/>
        </w:rPr>
        <w:lastRenderedPageBreak/>
        <w:t>Jesús Sabino Altamirano Cruz (P-1563-19)</w:t>
      </w:r>
    </w:p>
    <w:p w14:paraId="011F1910" w14:textId="4C5879EE" w:rsidR="00EB4A99" w:rsidRPr="00907831" w:rsidRDefault="009605ED">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sz w:val="20"/>
          <w:szCs w:val="20"/>
          <w:lang w:val="es-PE"/>
        </w:rPr>
      </w:pPr>
      <w:r w:rsidRPr="00EB4A99">
        <w:rPr>
          <w:rFonts w:asciiTheme="majorHAnsi" w:hAnsiTheme="majorHAnsi"/>
          <w:sz w:val="20"/>
          <w:szCs w:val="20"/>
          <w:lang w:val="es-PE"/>
        </w:rPr>
        <w:t xml:space="preserve">El peticionario indica que el señor Altamirano </w:t>
      </w:r>
      <w:r w:rsidR="008522FD">
        <w:rPr>
          <w:rFonts w:asciiTheme="majorHAnsi" w:hAnsiTheme="majorHAnsi"/>
          <w:sz w:val="20"/>
          <w:szCs w:val="20"/>
          <w:lang w:val="es-PE"/>
        </w:rPr>
        <w:t xml:space="preserve">Cruz </w:t>
      </w:r>
      <w:r w:rsidRPr="00EB4A99">
        <w:rPr>
          <w:rFonts w:asciiTheme="majorHAnsi" w:hAnsiTheme="majorHAnsi"/>
          <w:sz w:val="20"/>
          <w:szCs w:val="20"/>
          <w:lang w:val="es-PE"/>
        </w:rPr>
        <w:t xml:space="preserve">ingresó a la carrera judicial en 2008, al haber cumplido con todos los requisitos académicos del VI Curso de </w:t>
      </w:r>
      <w:r w:rsidR="00D356DE" w:rsidRPr="00EB4A99">
        <w:rPr>
          <w:rFonts w:asciiTheme="majorHAnsi" w:hAnsiTheme="majorHAnsi"/>
          <w:sz w:val="20"/>
          <w:szCs w:val="20"/>
          <w:lang w:val="es-PE"/>
        </w:rPr>
        <w:t>F</w:t>
      </w:r>
      <w:r w:rsidRPr="00EB4A99">
        <w:rPr>
          <w:rFonts w:asciiTheme="majorHAnsi" w:hAnsiTheme="majorHAnsi"/>
          <w:sz w:val="20"/>
          <w:szCs w:val="20"/>
          <w:lang w:val="es-PE"/>
        </w:rPr>
        <w:t xml:space="preserve">ormación </w:t>
      </w:r>
      <w:r w:rsidR="00D356DE" w:rsidRPr="00EB4A99">
        <w:rPr>
          <w:rFonts w:asciiTheme="majorHAnsi" w:hAnsiTheme="majorHAnsi"/>
          <w:sz w:val="20"/>
          <w:szCs w:val="20"/>
          <w:lang w:val="es-PE"/>
        </w:rPr>
        <w:t>I</w:t>
      </w:r>
      <w:r w:rsidRPr="00EB4A99">
        <w:rPr>
          <w:rFonts w:asciiTheme="majorHAnsi" w:hAnsiTheme="majorHAnsi"/>
          <w:sz w:val="20"/>
          <w:szCs w:val="20"/>
          <w:lang w:val="es-PE"/>
        </w:rPr>
        <w:t xml:space="preserve">nicial para </w:t>
      </w:r>
      <w:r w:rsidR="00BA5480">
        <w:rPr>
          <w:rFonts w:asciiTheme="majorHAnsi" w:hAnsiTheme="majorHAnsi"/>
          <w:sz w:val="20"/>
          <w:szCs w:val="20"/>
          <w:lang w:val="es-PE"/>
        </w:rPr>
        <w:t>jueces</w:t>
      </w:r>
      <w:r w:rsidRPr="00EB4A99">
        <w:rPr>
          <w:rFonts w:asciiTheme="majorHAnsi" w:hAnsiTheme="majorHAnsi"/>
          <w:sz w:val="20"/>
          <w:szCs w:val="20"/>
          <w:lang w:val="es-PE"/>
        </w:rPr>
        <w:t xml:space="preserve">. </w:t>
      </w:r>
      <w:r w:rsidR="00D356DE" w:rsidRPr="00EB4A99">
        <w:rPr>
          <w:rFonts w:asciiTheme="majorHAnsi" w:hAnsiTheme="majorHAnsi"/>
          <w:sz w:val="20"/>
          <w:szCs w:val="20"/>
          <w:lang w:val="es-PE"/>
        </w:rPr>
        <w:t>Así</w:t>
      </w:r>
      <w:r w:rsidRPr="00EB4A99">
        <w:rPr>
          <w:rFonts w:asciiTheme="majorHAnsi" w:hAnsiTheme="majorHAnsi"/>
          <w:sz w:val="20"/>
          <w:szCs w:val="20"/>
          <w:lang w:val="es-PE"/>
        </w:rPr>
        <w:t xml:space="preserve">, desempeñó </w:t>
      </w:r>
      <w:r w:rsidR="00DF3AB8" w:rsidRPr="00EB4A99">
        <w:rPr>
          <w:rFonts w:asciiTheme="majorHAnsi" w:hAnsiTheme="majorHAnsi"/>
          <w:sz w:val="20"/>
          <w:szCs w:val="20"/>
          <w:lang w:val="es-PE"/>
        </w:rPr>
        <w:t>funciones como</w:t>
      </w:r>
      <w:r w:rsidRPr="00EB4A99">
        <w:rPr>
          <w:rFonts w:asciiTheme="majorHAnsi" w:hAnsiTheme="majorHAnsi"/>
          <w:sz w:val="20"/>
          <w:szCs w:val="20"/>
          <w:lang w:val="es-PE"/>
        </w:rPr>
        <w:t xml:space="preserve"> Juez Instructor Mixto de Yacuiba, Provincia Gran Chaco del Departamento de Tarija de 2008 a 2011</w:t>
      </w:r>
      <w:r w:rsidR="00D356DE" w:rsidRPr="00EB4A99">
        <w:rPr>
          <w:rFonts w:asciiTheme="majorHAnsi" w:hAnsiTheme="majorHAnsi"/>
          <w:sz w:val="20"/>
          <w:szCs w:val="20"/>
          <w:lang w:val="es-PE"/>
        </w:rPr>
        <w:t>;</w:t>
      </w:r>
      <w:r w:rsidRPr="00EB4A99">
        <w:rPr>
          <w:rFonts w:asciiTheme="majorHAnsi" w:hAnsiTheme="majorHAnsi"/>
          <w:sz w:val="20"/>
          <w:szCs w:val="20"/>
          <w:lang w:val="es-PE"/>
        </w:rPr>
        <w:t xml:space="preserve"> </w:t>
      </w:r>
      <w:r w:rsidR="00DF3AB8" w:rsidRPr="00EB4A99">
        <w:rPr>
          <w:rFonts w:asciiTheme="majorHAnsi" w:hAnsiTheme="majorHAnsi"/>
          <w:sz w:val="20"/>
          <w:szCs w:val="20"/>
          <w:lang w:val="es-PE"/>
        </w:rPr>
        <w:t xml:space="preserve">como </w:t>
      </w:r>
      <w:r w:rsidRPr="00EB4A99">
        <w:rPr>
          <w:rFonts w:asciiTheme="majorHAnsi" w:hAnsiTheme="majorHAnsi"/>
          <w:sz w:val="20"/>
          <w:szCs w:val="20"/>
          <w:lang w:val="es-PE"/>
        </w:rPr>
        <w:t>Juez de</w:t>
      </w:r>
      <w:r w:rsidR="00DF3AB8" w:rsidRPr="00EB4A99">
        <w:rPr>
          <w:rFonts w:asciiTheme="majorHAnsi" w:hAnsiTheme="majorHAnsi"/>
          <w:sz w:val="20"/>
          <w:szCs w:val="20"/>
          <w:lang w:val="es-PE"/>
        </w:rPr>
        <w:t xml:space="preserve"> </w:t>
      </w:r>
      <w:r w:rsidRPr="00EB4A99">
        <w:rPr>
          <w:rFonts w:asciiTheme="majorHAnsi" w:hAnsiTheme="majorHAnsi"/>
          <w:sz w:val="20"/>
          <w:szCs w:val="20"/>
          <w:lang w:val="es-PE"/>
        </w:rPr>
        <w:t>Partido Quinto en lo Civil y Comercial de la Capital Tarija de 20</w:t>
      </w:r>
      <w:r w:rsidR="00B10D1E" w:rsidRPr="00EB4A99">
        <w:rPr>
          <w:rFonts w:asciiTheme="majorHAnsi" w:hAnsiTheme="majorHAnsi"/>
          <w:sz w:val="20"/>
          <w:szCs w:val="20"/>
          <w:lang w:val="es-PE"/>
        </w:rPr>
        <w:t>1</w:t>
      </w:r>
      <w:r w:rsidRPr="00EB4A99">
        <w:rPr>
          <w:rFonts w:asciiTheme="majorHAnsi" w:hAnsiTheme="majorHAnsi"/>
          <w:sz w:val="20"/>
          <w:szCs w:val="20"/>
          <w:lang w:val="es-PE"/>
        </w:rPr>
        <w:t>1 al 2016</w:t>
      </w:r>
      <w:r w:rsidR="00D356DE" w:rsidRPr="00EB4A99">
        <w:rPr>
          <w:rFonts w:asciiTheme="majorHAnsi" w:hAnsiTheme="majorHAnsi"/>
          <w:sz w:val="20"/>
          <w:szCs w:val="20"/>
          <w:lang w:val="es-PE"/>
        </w:rPr>
        <w:t>;</w:t>
      </w:r>
      <w:r w:rsidRPr="00EB4A99">
        <w:rPr>
          <w:rFonts w:asciiTheme="majorHAnsi" w:hAnsiTheme="majorHAnsi"/>
          <w:sz w:val="20"/>
          <w:szCs w:val="20"/>
          <w:lang w:val="es-PE"/>
        </w:rPr>
        <w:t xml:space="preserve"> y finalmente</w:t>
      </w:r>
      <w:r w:rsidR="00DF3AB8" w:rsidRPr="00EB4A99">
        <w:rPr>
          <w:rFonts w:asciiTheme="majorHAnsi" w:hAnsiTheme="majorHAnsi"/>
          <w:sz w:val="20"/>
          <w:szCs w:val="20"/>
          <w:lang w:val="es-PE"/>
        </w:rPr>
        <w:t>, como</w:t>
      </w:r>
      <w:r w:rsidRPr="00EB4A99">
        <w:rPr>
          <w:rFonts w:asciiTheme="majorHAnsi" w:hAnsiTheme="majorHAnsi"/>
          <w:sz w:val="20"/>
          <w:szCs w:val="20"/>
          <w:lang w:val="es-PE"/>
        </w:rPr>
        <w:t xml:space="preserve"> Juez Público Civil y Comercial</w:t>
      </w:r>
      <w:r w:rsidR="00DF3AB8" w:rsidRPr="00EB4A99">
        <w:rPr>
          <w:rFonts w:asciiTheme="majorHAnsi" w:hAnsiTheme="majorHAnsi"/>
          <w:sz w:val="20"/>
          <w:szCs w:val="20"/>
          <w:lang w:val="es-PE"/>
        </w:rPr>
        <w:t xml:space="preserve"> </w:t>
      </w:r>
      <w:r w:rsidRPr="00EB4A99">
        <w:rPr>
          <w:rFonts w:asciiTheme="majorHAnsi" w:hAnsiTheme="majorHAnsi"/>
          <w:sz w:val="20"/>
          <w:szCs w:val="20"/>
          <w:lang w:val="es-PE"/>
        </w:rPr>
        <w:t>Quinto de Tarija de 2016</w:t>
      </w:r>
      <w:r w:rsidR="00DF3AB8" w:rsidRPr="00EB4A99">
        <w:rPr>
          <w:rFonts w:asciiTheme="majorHAnsi" w:hAnsiTheme="majorHAnsi"/>
          <w:sz w:val="20"/>
          <w:szCs w:val="20"/>
          <w:lang w:val="es-PE"/>
        </w:rPr>
        <w:t xml:space="preserve"> al </w:t>
      </w:r>
      <w:r w:rsidRPr="00EB4A99">
        <w:rPr>
          <w:rFonts w:asciiTheme="majorHAnsi" w:hAnsiTheme="majorHAnsi"/>
          <w:sz w:val="20"/>
          <w:szCs w:val="20"/>
          <w:lang w:val="es-PE"/>
        </w:rPr>
        <w:t>2017.</w:t>
      </w:r>
    </w:p>
    <w:p w14:paraId="29F8EC44" w14:textId="77777777" w:rsidR="00EB4A99" w:rsidRPr="00EB4A99" w:rsidRDefault="00EB4A99" w:rsidP="00EB4A99">
      <w:pPr>
        <w:pStyle w:val="ListParagraph"/>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sz w:val="20"/>
          <w:szCs w:val="20"/>
          <w:lang w:val="es-PE"/>
        </w:rPr>
      </w:pPr>
    </w:p>
    <w:p w14:paraId="7A5C42CE" w14:textId="32EFF4C8" w:rsidR="00EB4A99" w:rsidRPr="00EB4A99" w:rsidRDefault="00DF3AB8">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sz w:val="20"/>
          <w:szCs w:val="20"/>
          <w:lang w:val="es-PE"/>
        </w:rPr>
      </w:pPr>
      <w:r w:rsidRPr="00EB4A99">
        <w:rPr>
          <w:rFonts w:asciiTheme="majorHAnsi" w:hAnsiTheme="majorHAnsi"/>
          <w:sz w:val="20"/>
          <w:szCs w:val="20"/>
          <w:lang w:val="es-PE"/>
        </w:rPr>
        <w:t>No obstante</w:t>
      </w:r>
      <w:r w:rsidR="009605ED" w:rsidRPr="00EB4A99">
        <w:rPr>
          <w:rFonts w:asciiTheme="majorHAnsi" w:hAnsiTheme="majorHAnsi"/>
          <w:sz w:val="20"/>
          <w:szCs w:val="20"/>
          <w:lang w:val="es-PE"/>
        </w:rPr>
        <w:t xml:space="preserve">, </w:t>
      </w:r>
      <w:r w:rsidR="00CD5E33">
        <w:rPr>
          <w:rFonts w:asciiTheme="majorHAnsi" w:hAnsiTheme="majorHAnsi"/>
          <w:sz w:val="20"/>
          <w:szCs w:val="20"/>
          <w:lang w:val="es-PE"/>
        </w:rPr>
        <w:t>en su</w:t>
      </w:r>
      <w:r w:rsidR="009605ED" w:rsidRPr="00EB4A99">
        <w:rPr>
          <w:rFonts w:asciiTheme="majorHAnsi" w:hAnsiTheme="majorHAnsi"/>
          <w:sz w:val="20"/>
          <w:szCs w:val="20"/>
          <w:lang w:val="es-PE"/>
        </w:rPr>
        <w:t xml:space="preserve"> </w:t>
      </w:r>
      <w:r w:rsidR="009605ED" w:rsidRPr="00236A89">
        <w:rPr>
          <w:rFonts w:asciiTheme="majorHAnsi" w:hAnsiTheme="majorHAnsi"/>
          <w:sz w:val="20"/>
          <w:szCs w:val="20"/>
          <w:lang w:val="es-PE"/>
        </w:rPr>
        <w:t>Acuerdo de Sala Plena N°</w:t>
      </w:r>
      <w:r w:rsidR="00A155E4">
        <w:rPr>
          <w:rFonts w:asciiTheme="majorHAnsi" w:hAnsiTheme="majorHAnsi"/>
          <w:sz w:val="20"/>
          <w:szCs w:val="20"/>
          <w:lang w:val="es-PE"/>
        </w:rPr>
        <w:t xml:space="preserve"> </w:t>
      </w:r>
      <w:r w:rsidRPr="00236A89">
        <w:rPr>
          <w:rFonts w:asciiTheme="majorHAnsi" w:hAnsiTheme="majorHAnsi"/>
          <w:sz w:val="20"/>
          <w:szCs w:val="20"/>
          <w:lang w:val="es-PE"/>
        </w:rPr>
        <w:t>103</w:t>
      </w:r>
      <w:r w:rsidR="009605ED" w:rsidRPr="00236A89">
        <w:rPr>
          <w:rFonts w:asciiTheme="majorHAnsi" w:hAnsiTheme="majorHAnsi"/>
          <w:sz w:val="20"/>
          <w:szCs w:val="20"/>
          <w:lang w:val="es-PE"/>
        </w:rPr>
        <w:t>/2017</w:t>
      </w:r>
      <w:r w:rsidR="00BA586C">
        <w:rPr>
          <w:rFonts w:asciiTheme="majorHAnsi" w:hAnsiTheme="majorHAnsi"/>
          <w:sz w:val="20"/>
          <w:szCs w:val="20"/>
          <w:lang w:val="es-PE"/>
        </w:rPr>
        <w:t>,</w:t>
      </w:r>
      <w:r w:rsidR="009605ED" w:rsidRPr="00EB4A99">
        <w:rPr>
          <w:rFonts w:asciiTheme="majorHAnsi" w:hAnsiTheme="majorHAnsi"/>
          <w:sz w:val="20"/>
          <w:szCs w:val="20"/>
          <w:lang w:val="es-PE"/>
        </w:rPr>
        <w:t xml:space="preserve"> el Consejo de la Magistratura</w:t>
      </w:r>
      <w:r w:rsidRPr="00EB4A99">
        <w:rPr>
          <w:rFonts w:asciiTheme="majorHAnsi" w:hAnsiTheme="majorHAnsi"/>
          <w:sz w:val="20"/>
          <w:szCs w:val="20"/>
          <w:lang w:val="es-PE"/>
        </w:rPr>
        <w:t xml:space="preserve"> decid</w:t>
      </w:r>
      <w:r w:rsidR="00B92642" w:rsidRPr="00EB4A99">
        <w:rPr>
          <w:rFonts w:asciiTheme="majorHAnsi" w:hAnsiTheme="majorHAnsi"/>
          <w:sz w:val="20"/>
          <w:szCs w:val="20"/>
          <w:lang w:val="es-PE"/>
        </w:rPr>
        <w:t>ió</w:t>
      </w:r>
      <w:r w:rsidRPr="00EB4A99">
        <w:rPr>
          <w:rFonts w:asciiTheme="majorHAnsi" w:hAnsiTheme="majorHAnsi"/>
          <w:sz w:val="20"/>
          <w:szCs w:val="20"/>
          <w:lang w:val="es-PE"/>
        </w:rPr>
        <w:t xml:space="preserve"> cesar las funciones de </w:t>
      </w:r>
      <w:r w:rsidR="00B10D1E" w:rsidRPr="00EB4A99">
        <w:rPr>
          <w:rFonts w:asciiTheme="majorHAnsi" w:hAnsiTheme="majorHAnsi"/>
          <w:sz w:val="20"/>
          <w:szCs w:val="20"/>
          <w:lang w:val="es-PE"/>
        </w:rPr>
        <w:t>tres</w:t>
      </w:r>
      <w:r w:rsidRPr="00EB4A99">
        <w:rPr>
          <w:rFonts w:asciiTheme="majorHAnsi" w:hAnsiTheme="majorHAnsi"/>
          <w:sz w:val="20"/>
          <w:szCs w:val="20"/>
          <w:lang w:val="es-PE"/>
        </w:rPr>
        <w:t xml:space="preserve"> jueces </w:t>
      </w:r>
      <w:r w:rsidR="008B6C58" w:rsidRPr="00EB4A99">
        <w:rPr>
          <w:rFonts w:asciiTheme="majorHAnsi" w:hAnsiTheme="majorHAnsi"/>
          <w:sz w:val="20"/>
          <w:szCs w:val="20"/>
          <w:lang w:val="es-PE"/>
        </w:rPr>
        <w:t>debido a</w:t>
      </w:r>
      <w:r w:rsidRPr="00EB4A99">
        <w:rPr>
          <w:rFonts w:asciiTheme="majorHAnsi" w:hAnsiTheme="majorHAnsi"/>
          <w:sz w:val="20"/>
          <w:szCs w:val="20"/>
          <w:lang w:val="es-PE"/>
        </w:rPr>
        <w:t xml:space="preserve"> la transitoriedad de sus cargos</w:t>
      </w:r>
      <w:r w:rsidR="003D7DC5" w:rsidRPr="00EB4A99">
        <w:rPr>
          <w:rFonts w:asciiTheme="majorHAnsi" w:hAnsiTheme="majorHAnsi"/>
          <w:sz w:val="20"/>
          <w:szCs w:val="20"/>
          <w:lang w:val="es-PE"/>
        </w:rPr>
        <w:t>, entre los que se encontraba el señor Altamirano</w:t>
      </w:r>
      <w:r w:rsidRPr="00EB4A99">
        <w:rPr>
          <w:rFonts w:asciiTheme="majorHAnsi" w:hAnsiTheme="majorHAnsi"/>
          <w:sz w:val="20"/>
          <w:szCs w:val="20"/>
          <w:lang w:val="es-PE"/>
        </w:rPr>
        <w:t xml:space="preserve">. Por tal motivo, </w:t>
      </w:r>
      <w:r w:rsidR="00636D4F">
        <w:rPr>
          <w:rFonts w:asciiTheme="majorHAnsi" w:hAnsiTheme="majorHAnsi"/>
          <w:sz w:val="20"/>
          <w:szCs w:val="20"/>
          <w:lang w:val="es-PE"/>
        </w:rPr>
        <w:t xml:space="preserve">este </w:t>
      </w:r>
      <w:r w:rsidR="003D7DC5" w:rsidRPr="00EB4A99">
        <w:rPr>
          <w:rFonts w:asciiTheme="majorHAnsi" w:hAnsiTheme="majorHAnsi"/>
          <w:sz w:val="20"/>
          <w:szCs w:val="20"/>
          <w:lang w:val="es-PE"/>
        </w:rPr>
        <w:t>presentó</w:t>
      </w:r>
      <w:r w:rsidR="009605ED" w:rsidRPr="00EB4A99">
        <w:rPr>
          <w:rFonts w:asciiTheme="majorHAnsi" w:hAnsiTheme="majorHAnsi"/>
          <w:sz w:val="20"/>
          <w:szCs w:val="20"/>
          <w:lang w:val="es-PE"/>
        </w:rPr>
        <w:t xml:space="preserve"> un recurso de revocatoria ante el mismo </w:t>
      </w:r>
      <w:r w:rsidR="00BA586C">
        <w:rPr>
          <w:rFonts w:asciiTheme="majorHAnsi" w:hAnsiTheme="majorHAnsi"/>
          <w:sz w:val="20"/>
          <w:szCs w:val="20"/>
          <w:lang w:val="es-PE"/>
        </w:rPr>
        <w:t>C</w:t>
      </w:r>
      <w:r w:rsidR="009605ED" w:rsidRPr="00EB4A99">
        <w:rPr>
          <w:rFonts w:asciiTheme="majorHAnsi" w:hAnsiTheme="majorHAnsi"/>
          <w:sz w:val="20"/>
          <w:szCs w:val="20"/>
          <w:lang w:val="es-PE"/>
        </w:rPr>
        <w:t>onsejo</w:t>
      </w:r>
      <w:r w:rsidR="00651944" w:rsidRPr="00EB4A99">
        <w:rPr>
          <w:rFonts w:asciiTheme="majorHAnsi" w:hAnsiTheme="majorHAnsi"/>
          <w:sz w:val="20"/>
          <w:szCs w:val="20"/>
          <w:lang w:val="es-PE"/>
        </w:rPr>
        <w:t>; sin embargo,</w:t>
      </w:r>
      <w:r w:rsidR="009605ED" w:rsidRPr="00EB4A99">
        <w:rPr>
          <w:rFonts w:asciiTheme="majorHAnsi" w:hAnsiTheme="majorHAnsi"/>
          <w:sz w:val="20"/>
          <w:szCs w:val="20"/>
          <w:lang w:val="es-PE"/>
        </w:rPr>
        <w:t xml:space="preserve"> </w:t>
      </w:r>
      <w:r w:rsidR="00B92642" w:rsidRPr="00EB4A99">
        <w:rPr>
          <w:rFonts w:asciiTheme="majorHAnsi" w:hAnsiTheme="majorHAnsi"/>
          <w:sz w:val="20"/>
          <w:szCs w:val="20"/>
          <w:lang w:val="es-PE"/>
        </w:rPr>
        <w:t xml:space="preserve">este </w:t>
      </w:r>
      <w:r w:rsidR="009605ED" w:rsidRPr="00EB4A99">
        <w:rPr>
          <w:rFonts w:asciiTheme="majorHAnsi" w:hAnsiTheme="majorHAnsi"/>
          <w:sz w:val="20"/>
          <w:szCs w:val="20"/>
          <w:lang w:val="es-PE"/>
        </w:rPr>
        <w:t>ratificó su decisión. Ante esta situación,</w:t>
      </w:r>
      <w:r w:rsidRPr="00EB4A99">
        <w:rPr>
          <w:rFonts w:asciiTheme="majorHAnsi" w:hAnsiTheme="majorHAnsi"/>
          <w:sz w:val="20"/>
          <w:szCs w:val="20"/>
          <w:lang w:val="es-PE"/>
        </w:rPr>
        <w:t xml:space="preserve"> la presunta víctima</w:t>
      </w:r>
      <w:r w:rsidR="009605ED" w:rsidRPr="00EB4A99">
        <w:rPr>
          <w:rFonts w:asciiTheme="majorHAnsi" w:hAnsiTheme="majorHAnsi"/>
          <w:sz w:val="20"/>
          <w:szCs w:val="20"/>
          <w:lang w:val="es-PE"/>
        </w:rPr>
        <w:t xml:space="preserve"> </w:t>
      </w:r>
      <w:r w:rsidRPr="00EB4A99">
        <w:rPr>
          <w:rFonts w:asciiTheme="majorHAnsi" w:hAnsiTheme="majorHAnsi"/>
          <w:sz w:val="20"/>
          <w:szCs w:val="20"/>
          <w:lang w:val="es-PE"/>
        </w:rPr>
        <w:t>interpuso</w:t>
      </w:r>
      <w:r w:rsidR="009605ED" w:rsidRPr="00EB4A99">
        <w:rPr>
          <w:rFonts w:asciiTheme="majorHAnsi" w:hAnsiTheme="majorHAnsi"/>
          <w:sz w:val="20"/>
          <w:szCs w:val="20"/>
          <w:lang w:val="es-PE"/>
        </w:rPr>
        <w:t xml:space="preserve"> </w:t>
      </w:r>
      <w:r w:rsidR="00DD41E7" w:rsidRPr="00EB4A99">
        <w:rPr>
          <w:rFonts w:asciiTheme="majorHAnsi" w:hAnsiTheme="majorHAnsi"/>
          <w:sz w:val="20"/>
          <w:szCs w:val="20"/>
          <w:lang w:val="es-PE"/>
        </w:rPr>
        <w:t>un recurso</w:t>
      </w:r>
      <w:r w:rsidR="009605ED" w:rsidRPr="00EB4A99">
        <w:rPr>
          <w:rFonts w:asciiTheme="majorHAnsi" w:hAnsiTheme="majorHAnsi"/>
          <w:sz w:val="20"/>
          <w:szCs w:val="20"/>
          <w:lang w:val="es-PE"/>
        </w:rPr>
        <w:t xml:space="preserve"> de amparo constitucional ante el </w:t>
      </w:r>
      <w:r w:rsidRPr="00EB4A99">
        <w:rPr>
          <w:rFonts w:asciiTheme="majorHAnsi" w:hAnsiTheme="majorHAnsi"/>
          <w:sz w:val="20"/>
          <w:szCs w:val="20"/>
          <w:lang w:val="es-PE"/>
        </w:rPr>
        <w:t>Juzgado Público Civil y Comercial N</w:t>
      </w:r>
      <w:r w:rsidR="003D7DC5" w:rsidRPr="00EB4A99">
        <w:rPr>
          <w:rFonts w:asciiTheme="majorHAnsi" w:hAnsiTheme="majorHAnsi"/>
          <w:sz w:val="20"/>
          <w:szCs w:val="20"/>
          <w:lang w:val="es-PE"/>
        </w:rPr>
        <w:t>°</w:t>
      </w:r>
      <w:r w:rsidRPr="00EB4A99">
        <w:rPr>
          <w:rFonts w:asciiTheme="majorHAnsi" w:hAnsiTheme="majorHAnsi"/>
          <w:sz w:val="20"/>
          <w:szCs w:val="20"/>
          <w:lang w:val="es-PE"/>
        </w:rPr>
        <w:t>2 del Tribunal Departamental de Justicia de Tarija, el cual</w:t>
      </w:r>
      <w:r w:rsidR="00DD41E7" w:rsidRPr="00EB4A99">
        <w:rPr>
          <w:rFonts w:asciiTheme="majorHAnsi" w:hAnsiTheme="majorHAnsi"/>
          <w:sz w:val="20"/>
          <w:szCs w:val="20"/>
          <w:lang w:val="es-PE"/>
        </w:rPr>
        <w:t xml:space="preserve"> el 3 de abril de 2018</w:t>
      </w:r>
      <w:r w:rsidRPr="00EB4A99">
        <w:rPr>
          <w:rFonts w:asciiTheme="majorHAnsi" w:hAnsiTheme="majorHAnsi"/>
          <w:sz w:val="20"/>
          <w:szCs w:val="20"/>
          <w:lang w:val="es-PE"/>
        </w:rPr>
        <w:t xml:space="preserve"> le concedió la tutela al considerar que no se </w:t>
      </w:r>
      <w:r w:rsidR="00651944" w:rsidRPr="00EB4A99">
        <w:rPr>
          <w:rFonts w:asciiTheme="majorHAnsi" w:hAnsiTheme="majorHAnsi"/>
          <w:sz w:val="20"/>
          <w:szCs w:val="20"/>
          <w:lang w:val="es-PE"/>
        </w:rPr>
        <w:t>le puede despedir sin alegar las</w:t>
      </w:r>
      <w:r w:rsidRPr="00EB4A99">
        <w:rPr>
          <w:rFonts w:asciiTheme="majorHAnsi" w:hAnsiTheme="majorHAnsi"/>
          <w:sz w:val="20"/>
          <w:szCs w:val="20"/>
          <w:lang w:val="es-PE"/>
        </w:rPr>
        <w:t xml:space="preserve"> causales legales previstas por la Ley del Órgano Judicial</w:t>
      </w:r>
      <w:r w:rsidR="00DD41E7" w:rsidRPr="00EB4A99">
        <w:rPr>
          <w:rFonts w:asciiTheme="majorHAnsi" w:hAnsiTheme="majorHAnsi"/>
          <w:sz w:val="20"/>
          <w:szCs w:val="20"/>
          <w:lang w:val="es-PE"/>
        </w:rPr>
        <w:t xml:space="preserve">, ordenando </w:t>
      </w:r>
      <w:r w:rsidR="000D26B2">
        <w:rPr>
          <w:rFonts w:asciiTheme="majorHAnsi" w:hAnsiTheme="majorHAnsi"/>
          <w:sz w:val="20"/>
          <w:szCs w:val="20"/>
          <w:lang w:val="es-PE"/>
        </w:rPr>
        <w:t xml:space="preserve">así </w:t>
      </w:r>
      <w:r w:rsidR="00B92642" w:rsidRPr="00EB4A99">
        <w:rPr>
          <w:rFonts w:asciiTheme="majorHAnsi" w:hAnsiTheme="majorHAnsi"/>
          <w:sz w:val="20"/>
          <w:szCs w:val="20"/>
          <w:lang w:val="es-PE"/>
        </w:rPr>
        <w:t>su</w:t>
      </w:r>
      <w:r w:rsidR="00651944" w:rsidRPr="00EB4A99">
        <w:rPr>
          <w:rFonts w:asciiTheme="majorHAnsi" w:hAnsiTheme="majorHAnsi"/>
          <w:sz w:val="20"/>
          <w:szCs w:val="20"/>
          <w:lang w:val="es-PE"/>
        </w:rPr>
        <w:t xml:space="preserve"> </w:t>
      </w:r>
      <w:r w:rsidRPr="00EB4A99">
        <w:rPr>
          <w:rFonts w:asciiTheme="majorHAnsi" w:hAnsiTheme="majorHAnsi"/>
          <w:sz w:val="20"/>
          <w:szCs w:val="20"/>
          <w:lang w:val="es-PE"/>
        </w:rPr>
        <w:t xml:space="preserve">reincorporación </w:t>
      </w:r>
      <w:r w:rsidR="00651944" w:rsidRPr="00EB4A99">
        <w:rPr>
          <w:rFonts w:asciiTheme="majorHAnsi" w:hAnsiTheme="majorHAnsi"/>
          <w:sz w:val="20"/>
          <w:szCs w:val="20"/>
          <w:lang w:val="es-PE"/>
        </w:rPr>
        <w:t xml:space="preserve">a sus funciones. </w:t>
      </w:r>
    </w:p>
    <w:p w14:paraId="407BD43E" w14:textId="77777777" w:rsidR="00EB4A99" w:rsidRPr="00EB4A99" w:rsidRDefault="00EB4A99" w:rsidP="00EB4A99">
      <w:pPr>
        <w:pStyle w:val="ListParagraph"/>
        <w:rPr>
          <w:rFonts w:asciiTheme="majorHAnsi" w:hAnsiTheme="majorHAnsi"/>
          <w:sz w:val="20"/>
          <w:szCs w:val="20"/>
          <w:lang w:val="es-PE"/>
        </w:rPr>
      </w:pPr>
    </w:p>
    <w:p w14:paraId="190F57A9" w14:textId="343A14BF" w:rsidR="00EB4A99" w:rsidRPr="00EB4A99" w:rsidRDefault="00BA586C">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sz w:val="20"/>
          <w:szCs w:val="20"/>
          <w:lang w:val="es-PE"/>
        </w:rPr>
      </w:pPr>
      <w:r>
        <w:rPr>
          <w:rFonts w:asciiTheme="majorHAnsi" w:hAnsiTheme="majorHAnsi"/>
          <w:sz w:val="20"/>
          <w:szCs w:val="20"/>
          <w:lang w:val="es-PE"/>
        </w:rPr>
        <w:t>El peticionario a</w:t>
      </w:r>
      <w:r w:rsidR="00651944" w:rsidRPr="00EB4A99">
        <w:rPr>
          <w:rFonts w:asciiTheme="majorHAnsi" w:hAnsiTheme="majorHAnsi"/>
          <w:sz w:val="20"/>
          <w:szCs w:val="20"/>
          <w:lang w:val="es-PE"/>
        </w:rPr>
        <w:t xml:space="preserve">lega que el Consejo de la Magistratura nunca acató </w:t>
      </w:r>
      <w:r w:rsidR="003D7DC5" w:rsidRPr="00EB4A99">
        <w:rPr>
          <w:rFonts w:asciiTheme="majorHAnsi" w:hAnsiTheme="majorHAnsi"/>
          <w:sz w:val="20"/>
          <w:szCs w:val="20"/>
          <w:lang w:val="es-PE"/>
        </w:rPr>
        <w:t>la</w:t>
      </w:r>
      <w:r w:rsidR="00651944" w:rsidRPr="00EB4A99">
        <w:rPr>
          <w:rFonts w:asciiTheme="majorHAnsi" w:hAnsiTheme="majorHAnsi"/>
          <w:sz w:val="20"/>
          <w:szCs w:val="20"/>
          <w:lang w:val="es-PE"/>
        </w:rPr>
        <w:t xml:space="preserve"> resolución</w:t>
      </w:r>
      <w:r w:rsidR="003D7DC5" w:rsidRPr="00EB4A99">
        <w:rPr>
          <w:rFonts w:asciiTheme="majorHAnsi" w:hAnsiTheme="majorHAnsi"/>
          <w:sz w:val="20"/>
          <w:szCs w:val="20"/>
          <w:lang w:val="es-PE"/>
        </w:rPr>
        <w:t xml:space="preserve"> mencionada</w:t>
      </w:r>
      <w:r w:rsidR="00F7665A">
        <w:rPr>
          <w:rFonts w:asciiTheme="majorHAnsi" w:hAnsiTheme="majorHAnsi"/>
          <w:sz w:val="20"/>
          <w:szCs w:val="20"/>
          <w:lang w:val="es-PE"/>
        </w:rPr>
        <w:t>,</w:t>
      </w:r>
      <w:r w:rsidR="00651944" w:rsidRPr="00EB4A99">
        <w:rPr>
          <w:rFonts w:asciiTheme="majorHAnsi" w:hAnsiTheme="majorHAnsi"/>
          <w:sz w:val="20"/>
          <w:szCs w:val="20"/>
          <w:lang w:val="es-PE"/>
        </w:rPr>
        <w:t xml:space="preserve"> </w:t>
      </w:r>
      <w:r w:rsidR="00F7665A">
        <w:rPr>
          <w:rFonts w:asciiTheme="majorHAnsi" w:hAnsiTheme="majorHAnsi"/>
          <w:sz w:val="20"/>
          <w:szCs w:val="20"/>
          <w:lang w:val="es-PE"/>
        </w:rPr>
        <w:t>sino que</w:t>
      </w:r>
      <w:r>
        <w:rPr>
          <w:rFonts w:asciiTheme="majorHAnsi" w:hAnsiTheme="majorHAnsi"/>
          <w:sz w:val="20"/>
          <w:szCs w:val="20"/>
          <w:lang w:val="es-PE"/>
        </w:rPr>
        <w:t>,</w:t>
      </w:r>
      <w:r w:rsidR="00651944" w:rsidRPr="00EB4A99">
        <w:rPr>
          <w:rFonts w:asciiTheme="majorHAnsi" w:hAnsiTheme="majorHAnsi"/>
          <w:sz w:val="20"/>
          <w:szCs w:val="20"/>
          <w:lang w:val="es-PE"/>
        </w:rPr>
        <w:t xml:space="preserve"> por el contrario</w:t>
      </w:r>
      <w:r>
        <w:rPr>
          <w:rFonts w:asciiTheme="majorHAnsi" w:hAnsiTheme="majorHAnsi"/>
          <w:sz w:val="20"/>
          <w:szCs w:val="20"/>
          <w:lang w:val="es-PE"/>
        </w:rPr>
        <w:t>,</w:t>
      </w:r>
      <w:r w:rsidR="00651944" w:rsidRPr="00EB4A99">
        <w:rPr>
          <w:rFonts w:asciiTheme="majorHAnsi" w:hAnsiTheme="majorHAnsi"/>
          <w:sz w:val="20"/>
          <w:szCs w:val="20"/>
          <w:lang w:val="es-PE"/>
        </w:rPr>
        <w:t xml:space="preserve"> solicitó una medida cautelar ante el Tribunal Constitucional Plurinacional para incumplir la sentencia. </w:t>
      </w:r>
      <w:r w:rsidR="003D7DC5" w:rsidRPr="00EB4A99">
        <w:rPr>
          <w:rFonts w:asciiTheme="majorHAnsi" w:hAnsiTheme="majorHAnsi"/>
          <w:sz w:val="20"/>
          <w:szCs w:val="20"/>
          <w:lang w:val="es-PE"/>
        </w:rPr>
        <w:t xml:space="preserve">Aunque </w:t>
      </w:r>
      <w:r w:rsidR="00853BE0">
        <w:rPr>
          <w:rFonts w:asciiTheme="majorHAnsi" w:hAnsiTheme="majorHAnsi"/>
          <w:sz w:val="20"/>
          <w:szCs w:val="20"/>
          <w:lang w:val="es-PE"/>
        </w:rPr>
        <w:t>esta instancia</w:t>
      </w:r>
      <w:r w:rsidR="003D7DC5" w:rsidRPr="00EB4A99">
        <w:rPr>
          <w:rFonts w:asciiTheme="majorHAnsi" w:hAnsiTheme="majorHAnsi"/>
          <w:sz w:val="20"/>
          <w:szCs w:val="20"/>
          <w:lang w:val="es-PE"/>
        </w:rPr>
        <w:t xml:space="preserve"> denegó </w:t>
      </w:r>
      <w:r w:rsidR="00651944" w:rsidRPr="00EB4A99">
        <w:rPr>
          <w:rFonts w:asciiTheme="majorHAnsi" w:hAnsiTheme="majorHAnsi"/>
          <w:sz w:val="20"/>
          <w:szCs w:val="20"/>
          <w:lang w:val="es-PE"/>
        </w:rPr>
        <w:t>la medida</w:t>
      </w:r>
      <w:r w:rsidR="00302D54">
        <w:rPr>
          <w:rFonts w:asciiTheme="majorHAnsi" w:hAnsiTheme="majorHAnsi"/>
          <w:sz w:val="20"/>
          <w:szCs w:val="20"/>
          <w:lang w:val="es-PE"/>
        </w:rPr>
        <w:t>,</w:t>
      </w:r>
      <w:r w:rsidR="00853BE0">
        <w:rPr>
          <w:rFonts w:asciiTheme="majorHAnsi" w:hAnsiTheme="majorHAnsi"/>
          <w:sz w:val="20"/>
          <w:szCs w:val="20"/>
          <w:lang w:val="es-PE"/>
        </w:rPr>
        <w:t xml:space="preserve"> sí</w:t>
      </w:r>
      <w:r w:rsidR="00651944" w:rsidRPr="00EB4A99">
        <w:rPr>
          <w:rFonts w:asciiTheme="majorHAnsi" w:hAnsiTheme="majorHAnsi"/>
          <w:sz w:val="20"/>
          <w:szCs w:val="20"/>
          <w:lang w:val="es-PE"/>
        </w:rPr>
        <w:t xml:space="preserve"> </w:t>
      </w:r>
      <w:r w:rsidR="003D7DC5" w:rsidRPr="00EB4A99">
        <w:rPr>
          <w:rFonts w:asciiTheme="majorHAnsi" w:hAnsiTheme="majorHAnsi"/>
          <w:sz w:val="20"/>
          <w:szCs w:val="20"/>
          <w:lang w:val="es-PE"/>
        </w:rPr>
        <w:t>concedió un</w:t>
      </w:r>
      <w:r w:rsidR="00651944" w:rsidRPr="00EB4A99">
        <w:rPr>
          <w:rFonts w:asciiTheme="majorHAnsi" w:hAnsiTheme="majorHAnsi"/>
          <w:sz w:val="20"/>
          <w:szCs w:val="20"/>
          <w:lang w:val="es-PE"/>
        </w:rPr>
        <w:t xml:space="preserve"> </w:t>
      </w:r>
      <w:r w:rsidR="003D7DC5" w:rsidRPr="00EB4A99">
        <w:rPr>
          <w:rFonts w:asciiTheme="majorHAnsi" w:hAnsiTheme="majorHAnsi"/>
          <w:sz w:val="20"/>
          <w:szCs w:val="20"/>
          <w:lang w:val="es-PE"/>
        </w:rPr>
        <w:t xml:space="preserve">adelanto de vista de la causa, </w:t>
      </w:r>
      <w:r w:rsidR="00D356DE" w:rsidRPr="00EB4A99">
        <w:rPr>
          <w:rFonts w:asciiTheme="majorHAnsi" w:hAnsiTheme="majorHAnsi"/>
          <w:sz w:val="20"/>
          <w:szCs w:val="20"/>
          <w:lang w:val="es-PE"/>
        </w:rPr>
        <w:t>con</w:t>
      </w:r>
      <w:r w:rsidR="003D7DC5" w:rsidRPr="00EB4A99">
        <w:rPr>
          <w:rFonts w:asciiTheme="majorHAnsi" w:hAnsiTheme="majorHAnsi"/>
          <w:sz w:val="20"/>
          <w:szCs w:val="20"/>
          <w:lang w:val="es-PE"/>
        </w:rPr>
        <w:t xml:space="preserve"> base </w:t>
      </w:r>
      <w:r w:rsidR="00D356DE" w:rsidRPr="00EB4A99">
        <w:rPr>
          <w:rFonts w:asciiTheme="majorHAnsi" w:hAnsiTheme="majorHAnsi"/>
          <w:sz w:val="20"/>
          <w:szCs w:val="20"/>
          <w:lang w:val="es-PE"/>
        </w:rPr>
        <w:t xml:space="preserve">en </w:t>
      </w:r>
      <w:r w:rsidR="00D356DE" w:rsidRPr="00302D54">
        <w:rPr>
          <w:rFonts w:asciiTheme="majorHAnsi" w:hAnsiTheme="majorHAnsi"/>
          <w:sz w:val="20"/>
          <w:szCs w:val="20"/>
          <w:lang w:val="es-PE"/>
        </w:rPr>
        <w:t xml:space="preserve">el cual </w:t>
      </w:r>
      <w:r w:rsidR="003D7DC5" w:rsidRPr="00302D54">
        <w:rPr>
          <w:rFonts w:asciiTheme="majorHAnsi" w:hAnsiTheme="majorHAnsi"/>
          <w:sz w:val="20"/>
          <w:szCs w:val="20"/>
          <w:lang w:val="es-PE"/>
        </w:rPr>
        <w:t>d</w:t>
      </w:r>
      <w:r w:rsidR="003D7DC5" w:rsidRPr="00EB4A99">
        <w:rPr>
          <w:rFonts w:asciiTheme="majorHAnsi" w:hAnsiTheme="majorHAnsi"/>
          <w:sz w:val="20"/>
          <w:szCs w:val="20"/>
          <w:lang w:val="es-PE"/>
        </w:rPr>
        <w:t>ecidió revocar la concesión de la tutela el 3 de septiembre de 2018, argumentando que no se ha</w:t>
      </w:r>
      <w:r w:rsidR="005A3180" w:rsidRPr="00EB4A99">
        <w:rPr>
          <w:rFonts w:asciiTheme="majorHAnsi" w:hAnsiTheme="majorHAnsi"/>
          <w:sz w:val="20"/>
          <w:szCs w:val="20"/>
          <w:lang w:val="es-PE"/>
        </w:rPr>
        <w:t>bían</w:t>
      </w:r>
      <w:r w:rsidR="003D7DC5" w:rsidRPr="00EB4A99">
        <w:rPr>
          <w:rFonts w:asciiTheme="majorHAnsi" w:hAnsiTheme="majorHAnsi"/>
          <w:sz w:val="20"/>
          <w:szCs w:val="20"/>
          <w:lang w:val="es-PE"/>
        </w:rPr>
        <w:t xml:space="preserve"> vulnerado sus derechos</w:t>
      </w:r>
      <w:r w:rsidR="00DD41E7" w:rsidRPr="00EB4A99">
        <w:rPr>
          <w:rFonts w:asciiTheme="majorHAnsi" w:hAnsiTheme="majorHAnsi"/>
          <w:sz w:val="20"/>
          <w:szCs w:val="20"/>
          <w:lang w:val="es-PE"/>
        </w:rPr>
        <w:t xml:space="preserve"> </w:t>
      </w:r>
      <w:r w:rsidR="00D356DE" w:rsidRPr="00EB4A99">
        <w:rPr>
          <w:rFonts w:asciiTheme="majorHAnsi" w:hAnsiTheme="majorHAnsi"/>
          <w:sz w:val="20"/>
          <w:szCs w:val="20"/>
          <w:lang w:val="es-PE"/>
        </w:rPr>
        <w:t xml:space="preserve">debido a la </w:t>
      </w:r>
      <w:r w:rsidR="003D7DC5" w:rsidRPr="00EB4A99">
        <w:rPr>
          <w:rFonts w:asciiTheme="majorHAnsi" w:hAnsiTheme="majorHAnsi"/>
          <w:sz w:val="20"/>
          <w:szCs w:val="20"/>
          <w:lang w:val="es-PE"/>
        </w:rPr>
        <w:t>transitori</w:t>
      </w:r>
      <w:r w:rsidR="00D356DE" w:rsidRPr="00EB4A99">
        <w:rPr>
          <w:rFonts w:asciiTheme="majorHAnsi" w:hAnsiTheme="majorHAnsi"/>
          <w:sz w:val="20"/>
          <w:szCs w:val="20"/>
          <w:lang w:val="es-PE"/>
        </w:rPr>
        <w:t>edad de su cargo</w:t>
      </w:r>
      <w:r w:rsidR="003D7DC5" w:rsidRPr="00EB4A99">
        <w:rPr>
          <w:rFonts w:asciiTheme="majorHAnsi" w:hAnsiTheme="majorHAnsi"/>
          <w:sz w:val="20"/>
          <w:szCs w:val="20"/>
          <w:lang w:val="es-PE"/>
        </w:rPr>
        <w:t xml:space="preserve">. Finalmente, el Tribunal Constitucional Plurinacional de Bolivia </w:t>
      </w:r>
      <w:r w:rsidR="00DD41E7" w:rsidRPr="00EB4A99">
        <w:rPr>
          <w:rFonts w:asciiTheme="majorHAnsi" w:hAnsiTheme="majorHAnsi"/>
          <w:sz w:val="20"/>
          <w:szCs w:val="20"/>
          <w:lang w:val="es-PE"/>
        </w:rPr>
        <w:t xml:space="preserve">le </w:t>
      </w:r>
      <w:r w:rsidR="003D7DC5" w:rsidRPr="00EB4A99">
        <w:rPr>
          <w:rFonts w:asciiTheme="majorHAnsi" w:hAnsiTheme="majorHAnsi"/>
          <w:sz w:val="20"/>
          <w:szCs w:val="20"/>
          <w:lang w:val="es-PE"/>
        </w:rPr>
        <w:t>notific</w:t>
      </w:r>
      <w:r w:rsidR="00D356DE" w:rsidRPr="00EB4A99">
        <w:rPr>
          <w:rFonts w:asciiTheme="majorHAnsi" w:hAnsiTheme="majorHAnsi"/>
          <w:sz w:val="20"/>
          <w:szCs w:val="20"/>
          <w:lang w:val="es-PE"/>
        </w:rPr>
        <w:t>ó</w:t>
      </w:r>
      <w:r w:rsidR="003D7DC5" w:rsidRPr="00EB4A99">
        <w:rPr>
          <w:rFonts w:asciiTheme="majorHAnsi" w:hAnsiTheme="majorHAnsi"/>
          <w:sz w:val="20"/>
          <w:szCs w:val="20"/>
          <w:lang w:val="es-PE"/>
        </w:rPr>
        <w:t xml:space="preserve"> esta sentencia el 29 de enero de 2019</w:t>
      </w:r>
      <w:r w:rsidR="00DD41E7" w:rsidRPr="00EB4A99">
        <w:rPr>
          <w:rFonts w:asciiTheme="majorHAnsi" w:hAnsiTheme="majorHAnsi"/>
          <w:sz w:val="20"/>
          <w:szCs w:val="20"/>
          <w:lang w:val="es-PE"/>
        </w:rPr>
        <w:t>.</w:t>
      </w:r>
    </w:p>
    <w:p w14:paraId="7CA2B37A" w14:textId="77777777" w:rsidR="00EB4A99" w:rsidRPr="00EB4A99" w:rsidRDefault="00EB4A99" w:rsidP="00EB4A99">
      <w:pPr>
        <w:pStyle w:val="ListParagraph"/>
        <w:rPr>
          <w:rFonts w:asciiTheme="majorHAnsi" w:hAnsiTheme="majorHAnsi"/>
          <w:sz w:val="20"/>
          <w:szCs w:val="20"/>
          <w:lang w:val="es-PE"/>
        </w:rPr>
      </w:pPr>
    </w:p>
    <w:p w14:paraId="58056EFF" w14:textId="66005EDB" w:rsidR="00EB4A99" w:rsidRPr="00EB4A99" w:rsidRDefault="008F08CC">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sz w:val="20"/>
          <w:szCs w:val="20"/>
          <w:lang w:val="es-PE"/>
        </w:rPr>
      </w:pPr>
      <w:r>
        <w:rPr>
          <w:rFonts w:asciiTheme="majorHAnsi" w:hAnsiTheme="majorHAnsi"/>
          <w:sz w:val="20"/>
          <w:szCs w:val="20"/>
          <w:lang w:val="es-PE"/>
        </w:rPr>
        <w:t xml:space="preserve">El peticionario informa que posteriormente </w:t>
      </w:r>
      <w:r w:rsidR="00835E10" w:rsidRPr="00EB4A99">
        <w:rPr>
          <w:rFonts w:asciiTheme="majorHAnsi" w:hAnsiTheme="majorHAnsi"/>
          <w:sz w:val="20"/>
          <w:szCs w:val="20"/>
          <w:lang w:val="es-PE"/>
        </w:rPr>
        <w:t>el señor Altamirano</w:t>
      </w:r>
      <w:r w:rsidR="0088211A">
        <w:rPr>
          <w:rFonts w:asciiTheme="majorHAnsi" w:hAnsiTheme="majorHAnsi"/>
          <w:sz w:val="20"/>
          <w:szCs w:val="20"/>
          <w:lang w:val="es-PE"/>
        </w:rPr>
        <w:t xml:space="preserve"> Cruz</w:t>
      </w:r>
      <w:r w:rsidR="00835E10" w:rsidRPr="00EB4A99">
        <w:rPr>
          <w:rFonts w:asciiTheme="majorHAnsi" w:hAnsiTheme="majorHAnsi"/>
          <w:sz w:val="20"/>
          <w:szCs w:val="20"/>
          <w:lang w:val="es-PE"/>
        </w:rPr>
        <w:t xml:space="preserve"> </w:t>
      </w:r>
      <w:r w:rsidR="00F63A3C" w:rsidRPr="00EB4A99">
        <w:rPr>
          <w:rFonts w:asciiTheme="majorHAnsi" w:hAnsiTheme="majorHAnsi"/>
          <w:sz w:val="20"/>
          <w:szCs w:val="20"/>
          <w:lang w:val="es-PE"/>
        </w:rPr>
        <w:t>participó en una convocatoria del Consejo de la Magistratura</w:t>
      </w:r>
      <w:r w:rsidR="00302D54">
        <w:rPr>
          <w:rFonts w:asciiTheme="majorHAnsi" w:hAnsiTheme="majorHAnsi"/>
          <w:sz w:val="20"/>
          <w:szCs w:val="20"/>
          <w:lang w:val="es-PE"/>
        </w:rPr>
        <w:t xml:space="preserve"> y</w:t>
      </w:r>
      <w:r w:rsidR="00835E10" w:rsidRPr="00EB4A99">
        <w:rPr>
          <w:rFonts w:asciiTheme="majorHAnsi" w:hAnsiTheme="majorHAnsi"/>
          <w:sz w:val="20"/>
          <w:szCs w:val="20"/>
          <w:lang w:val="es-PE"/>
        </w:rPr>
        <w:t xml:space="preserve"> pudo acceder a la carrera judicial</w:t>
      </w:r>
      <w:r w:rsidR="006D187F">
        <w:rPr>
          <w:rFonts w:asciiTheme="majorHAnsi" w:hAnsiTheme="majorHAnsi"/>
          <w:sz w:val="20"/>
          <w:szCs w:val="20"/>
          <w:lang w:val="es-PE"/>
        </w:rPr>
        <w:t xml:space="preserve">, pero sostiene que esto no </w:t>
      </w:r>
      <w:r w:rsidR="00835E10" w:rsidRPr="00EB4A99">
        <w:rPr>
          <w:rFonts w:asciiTheme="majorHAnsi" w:hAnsiTheme="majorHAnsi"/>
          <w:sz w:val="20"/>
          <w:szCs w:val="20"/>
          <w:lang w:val="es-PE"/>
        </w:rPr>
        <w:t xml:space="preserve">elimina las vulneraciones de derechos que </w:t>
      </w:r>
      <w:r w:rsidR="00D356DE" w:rsidRPr="00EB4A99">
        <w:rPr>
          <w:rFonts w:asciiTheme="majorHAnsi" w:hAnsiTheme="majorHAnsi"/>
          <w:sz w:val="20"/>
          <w:szCs w:val="20"/>
          <w:lang w:val="es-PE"/>
        </w:rPr>
        <w:t>sufrió</w:t>
      </w:r>
      <w:r w:rsidR="00835E10" w:rsidRPr="00EB4A99">
        <w:rPr>
          <w:rFonts w:asciiTheme="majorHAnsi" w:hAnsiTheme="majorHAnsi"/>
          <w:sz w:val="20"/>
          <w:szCs w:val="20"/>
          <w:lang w:val="es-PE"/>
        </w:rPr>
        <w:t xml:space="preserve"> </w:t>
      </w:r>
      <w:r w:rsidR="00F63A3C" w:rsidRPr="00EB4A99">
        <w:rPr>
          <w:rFonts w:asciiTheme="majorHAnsi" w:hAnsiTheme="majorHAnsi"/>
          <w:sz w:val="20"/>
          <w:szCs w:val="20"/>
          <w:lang w:val="es-PE"/>
        </w:rPr>
        <w:t xml:space="preserve">como </w:t>
      </w:r>
      <w:r w:rsidR="00835E10" w:rsidRPr="00EB4A99">
        <w:rPr>
          <w:rFonts w:asciiTheme="majorHAnsi" w:hAnsiTheme="majorHAnsi"/>
          <w:sz w:val="20"/>
          <w:szCs w:val="20"/>
          <w:lang w:val="es-PE"/>
        </w:rPr>
        <w:t>j</w:t>
      </w:r>
      <w:r w:rsidR="00F63A3C" w:rsidRPr="00EB4A99">
        <w:rPr>
          <w:rFonts w:asciiTheme="majorHAnsi" w:hAnsiTheme="majorHAnsi"/>
          <w:sz w:val="20"/>
          <w:szCs w:val="20"/>
          <w:lang w:val="es-PE"/>
        </w:rPr>
        <w:t>uez transitorio</w:t>
      </w:r>
      <w:r w:rsidR="00835E10" w:rsidRPr="00EB4A99">
        <w:rPr>
          <w:rFonts w:asciiTheme="majorHAnsi" w:hAnsiTheme="majorHAnsi"/>
          <w:sz w:val="20"/>
          <w:szCs w:val="20"/>
          <w:lang w:val="es-PE"/>
        </w:rPr>
        <w:t>.</w:t>
      </w:r>
    </w:p>
    <w:p w14:paraId="05AFFAAA" w14:textId="34240107" w:rsidR="00EB4A99" w:rsidRPr="00EB4A99" w:rsidRDefault="00EB4A99" w:rsidP="00EB4A99">
      <w:pPr>
        <w:pStyle w:val="ListParagraph"/>
        <w:spacing w:before="240" w:after="240"/>
        <w:jc w:val="both"/>
        <w:rPr>
          <w:rFonts w:asciiTheme="majorHAnsi" w:hAnsiTheme="majorHAnsi"/>
          <w:i/>
          <w:iCs/>
          <w:sz w:val="20"/>
          <w:szCs w:val="20"/>
          <w:lang w:val="pt-BR"/>
        </w:rPr>
      </w:pPr>
      <w:r w:rsidRPr="00D907CC">
        <w:rPr>
          <w:rFonts w:asciiTheme="majorHAnsi" w:hAnsiTheme="majorHAnsi"/>
          <w:i/>
          <w:iCs/>
          <w:sz w:val="20"/>
          <w:szCs w:val="20"/>
          <w:lang w:val="pt-BR"/>
        </w:rPr>
        <w:t xml:space="preserve">Emilse Patricia Arnez Quiroz (P-1677-19) </w:t>
      </w:r>
    </w:p>
    <w:p w14:paraId="268E4BAC" w14:textId="219367BC" w:rsidR="00EB4A99" w:rsidRPr="00EB4A99" w:rsidRDefault="00835E10">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sz w:val="20"/>
          <w:szCs w:val="20"/>
          <w:lang w:val="es-PE"/>
        </w:rPr>
      </w:pPr>
      <w:r w:rsidRPr="00EB4A99">
        <w:rPr>
          <w:rFonts w:asciiTheme="majorHAnsi" w:hAnsiTheme="majorHAnsi"/>
          <w:sz w:val="20"/>
          <w:szCs w:val="20"/>
          <w:lang w:val="es-PE"/>
        </w:rPr>
        <w:t xml:space="preserve">El peticionario informa que la señora Arnez </w:t>
      </w:r>
      <w:r w:rsidR="00A76826">
        <w:rPr>
          <w:rFonts w:asciiTheme="majorHAnsi" w:hAnsiTheme="majorHAnsi"/>
          <w:sz w:val="20"/>
          <w:szCs w:val="20"/>
          <w:lang w:val="es-PE"/>
        </w:rPr>
        <w:t xml:space="preserve">Quiroz </w:t>
      </w:r>
      <w:r w:rsidRPr="00EB4A99">
        <w:rPr>
          <w:rFonts w:asciiTheme="majorHAnsi" w:hAnsiTheme="majorHAnsi"/>
          <w:sz w:val="20"/>
          <w:szCs w:val="20"/>
          <w:lang w:val="es-PE"/>
        </w:rPr>
        <w:t>ingresó a la carrera judicial en 2012 mediante convocatoria pública y examen de oposición, según la Ley del Órgano Judicial N°</w:t>
      </w:r>
      <w:r w:rsidR="00787F5E">
        <w:rPr>
          <w:rFonts w:asciiTheme="majorHAnsi" w:hAnsiTheme="majorHAnsi"/>
          <w:sz w:val="20"/>
          <w:szCs w:val="20"/>
          <w:lang w:val="es-PE"/>
        </w:rPr>
        <w:t xml:space="preserve"> </w:t>
      </w:r>
      <w:r w:rsidRPr="00EB4A99">
        <w:rPr>
          <w:rFonts w:asciiTheme="majorHAnsi" w:hAnsiTheme="majorHAnsi"/>
          <w:sz w:val="20"/>
          <w:szCs w:val="20"/>
          <w:lang w:val="es-PE"/>
        </w:rPr>
        <w:t xml:space="preserve">25 de 24 de junio de 2010. </w:t>
      </w:r>
      <w:r w:rsidR="000563F9">
        <w:rPr>
          <w:rFonts w:asciiTheme="majorHAnsi" w:hAnsiTheme="majorHAnsi"/>
          <w:sz w:val="20"/>
          <w:szCs w:val="20"/>
          <w:lang w:val="es-PE"/>
        </w:rPr>
        <w:t>A</w:t>
      </w:r>
      <w:r w:rsidRPr="00EB4A99">
        <w:rPr>
          <w:rFonts w:asciiTheme="majorHAnsi" w:hAnsiTheme="majorHAnsi"/>
          <w:sz w:val="20"/>
          <w:szCs w:val="20"/>
          <w:lang w:val="es-PE"/>
        </w:rPr>
        <w:t xml:space="preserve">l momento de los hechos denunciados llevaba más de </w:t>
      </w:r>
      <w:r w:rsidR="005A3180" w:rsidRPr="00EB4A99">
        <w:rPr>
          <w:rFonts w:asciiTheme="majorHAnsi" w:hAnsiTheme="majorHAnsi"/>
          <w:sz w:val="20"/>
          <w:szCs w:val="20"/>
          <w:lang w:val="es-PE"/>
        </w:rPr>
        <w:t>cinco</w:t>
      </w:r>
      <w:r w:rsidRPr="00EB4A99">
        <w:rPr>
          <w:rFonts w:asciiTheme="majorHAnsi" w:hAnsiTheme="majorHAnsi"/>
          <w:sz w:val="20"/>
          <w:szCs w:val="20"/>
          <w:lang w:val="es-PE"/>
        </w:rPr>
        <w:t xml:space="preserve"> años desempeñándose como jueza del Tribunal de Sentencia N°</w:t>
      </w:r>
      <w:r w:rsidR="00A76826">
        <w:rPr>
          <w:rFonts w:asciiTheme="majorHAnsi" w:hAnsiTheme="majorHAnsi"/>
          <w:sz w:val="20"/>
          <w:szCs w:val="20"/>
          <w:lang w:val="es-PE"/>
        </w:rPr>
        <w:t xml:space="preserve"> </w:t>
      </w:r>
      <w:r w:rsidRPr="00EB4A99">
        <w:rPr>
          <w:rFonts w:asciiTheme="majorHAnsi" w:hAnsiTheme="majorHAnsi"/>
          <w:sz w:val="20"/>
          <w:szCs w:val="20"/>
          <w:lang w:val="es-PE"/>
        </w:rPr>
        <w:t xml:space="preserve">1 de Villa Tunari, provincia Chapare, </w:t>
      </w:r>
      <w:r w:rsidR="00A76826">
        <w:rPr>
          <w:rFonts w:asciiTheme="majorHAnsi" w:hAnsiTheme="majorHAnsi"/>
          <w:sz w:val="20"/>
          <w:szCs w:val="20"/>
          <w:lang w:val="es-PE"/>
        </w:rPr>
        <w:t>D</w:t>
      </w:r>
      <w:r w:rsidRPr="00EB4A99">
        <w:rPr>
          <w:rFonts w:asciiTheme="majorHAnsi" w:hAnsiTheme="majorHAnsi"/>
          <w:sz w:val="20"/>
          <w:szCs w:val="20"/>
          <w:lang w:val="es-PE"/>
        </w:rPr>
        <w:t>epartamento de Cochabamba</w:t>
      </w:r>
      <w:r w:rsidR="00215A24">
        <w:rPr>
          <w:rFonts w:asciiTheme="majorHAnsi" w:hAnsiTheme="majorHAnsi"/>
          <w:sz w:val="20"/>
          <w:szCs w:val="20"/>
          <w:lang w:val="es-PE"/>
        </w:rPr>
        <w:t xml:space="preserve">, hasta que fue cesada por el </w:t>
      </w:r>
      <w:r w:rsidR="00215A24" w:rsidRPr="00EB4A99">
        <w:rPr>
          <w:rFonts w:asciiTheme="majorHAnsi" w:hAnsiTheme="majorHAnsi"/>
          <w:sz w:val="20"/>
          <w:szCs w:val="20"/>
          <w:lang w:val="es-PE"/>
        </w:rPr>
        <w:t>Acuerdo de Sala Plena N°</w:t>
      </w:r>
      <w:r w:rsidR="00033137">
        <w:rPr>
          <w:rFonts w:asciiTheme="majorHAnsi" w:hAnsiTheme="majorHAnsi"/>
          <w:sz w:val="20"/>
          <w:szCs w:val="20"/>
          <w:lang w:val="es-PE"/>
        </w:rPr>
        <w:t xml:space="preserve"> </w:t>
      </w:r>
      <w:r w:rsidR="00215A24" w:rsidRPr="00EB4A99">
        <w:rPr>
          <w:rFonts w:asciiTheme="majorHAnsi" w:hAnsiTheme="majorHAnsi"/>
          <w:sz w:val="20"/>
          <w:szCs w:val="20"/>
          <w:lang w:val="es-PE"/>
        </w:rPr>
        <w:t>73/2017</w:t>
      </w:r>
      <w:r w:rsidR="00215A24">
        <w:rPr>
          <w:rFonts w:asciiTheme="majorHAnsi" w:hAnsiTheme="majorHAnsi"/>
          <w:sz w:val="20"/>
          <w:szCs w:val="20"/>
          <w:lang w:val="es-PE"/>
        </w:rPr>
        <w:t xml:space="preserve"> d</w:t>
      </w:r>
      <w:r w:rsidR="00215A24" w:rsidRPr="00EB4A99">
        <w:rPr>
          <w:rFonts w:asciiTheme="majorHAnsi" w:hAnsiTheme="majorHAnsi"/>
          <w:sz w:val="20"/>
          <w:szCs w:val="20"/>
          <w:lang w:val="es-PE"/>
        </w:rPr>
        <w:t>el Consejo de la Magistratura</w:t>
      </w:r>
      <w:r w:rsidR="00821918" w:rsidRPr="00EB4A99">
        <w:rPr>
          <w:rFonts w:asciiTheme="majorHAnsi" w:hAnsiTheme="majorHAnsi"/>
          <w:sz w:val="20"/>
          <w:szCs w:val="20"/>
          <w:lang w:val="es-PE"/>
        </w:rPr>
        <w:t>.</w:t>
      </w:r>
    </w:p>
    <w:p w14:paraId="77505A7E" w14:textId="77777777" w:rsidR="00EB4A99" w:rsidRPr="00EB4A99" w:rsidRDefault="00EB4A99" w:rsidP="00EB4A99">
      <w:pPr>
        <w:pStyle w:val="ListParagraph"/>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sz w:val="20"/>
          <w:szCs w:val="20"/>
          <w:lang w:val="es-PE"/>
        </w:rPr>
      </w:pPr>
    </w:p>
    <w:p w14:paraId="3A63AF38" w14:textId="2EFF4A06" w:rsidR="00EB4A99" w:rsidRPr="00302D54" w:rsidRDefault="008B6C58">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sz w:val="20"/>
          <w:szCs w:val="20"/>
          <w:lang w:val="es-PE"/>
        </w:rPr>
      </w:pPr>
      <w:r w:rsidRPr="00302D54">
        <w:rPr>
          <w:rFonts w:asciiTheme="majorHAnsi" w:hAnsiTheme="majorHAnsi"/>
          <w:sz w:val="20"/>
          <w:szCs w:val="20"/>
          <w:lang w:val="es-PE"/>
        </w:rPr>
        <w:t>Sostiene que la presunta víctima p</w:t>
      </w:r>
      <w:r w:rsidR="00392C41" w:rsidRPr="00302D54">
        <w:rPr>
          <w:rFonts w:asciiTheme="majorHAnsi" w:hAnsiTheme="majorHAnsi"/>
          <w:sz w:val="20"/>
          <w:szCs w:val="20"/>
          <w:lang w:val="es-PE"/>
        </w:rPr>
        <w:t>romovió</w:t>
      </w:r>
      <w:r w:rsidR="00821918" w:rsidRPr="00302D54">
        <w:rPr>
          <w:rFonts w:asciiTheme="majorHAnsi" w:hAnsiTheme="majorHAnsi"/>
          <w:sz w:val="20"/>
          <w:szCs w:val="20"/>
          <w:lang w:val="es-PE"/>
        </w:rPr>
        <w:t xml:space="preserve"> un recurso de revocatoria</w:t>
      </w:r>
      <w:r w:rsidR="00392C41" w:rsidRPr="00302D54">
        <w:rPr>
          <w:rFonts w:asciiTheme="majorHAnsi" w:hAnsiTheme="majorHAnsi"/>
          <w:sz w:val="20"/>
          <w:szCs w:val="20"/>
          <w:lang w:val="es-PE"/>
        </w:rPr>
        <w:t>,</w:t>
      </w:r>
      <w:r w:rsidR="00821918" w:rsidRPr="00302D54">
        <w:rPr>
          <w:rFonts w:asciiTheme="majorHAnsi" w:hAnsiTheme="majorHAnsi"/>
          <w:sz w:val="20"/>
          <w:szCs w:val="20"/>
          <w:lang w:val="es-PE"/>
        </w:rPr>
        <w:t xml:space="preserve"> </w:t>
      </w:r>
      <w:r w:rsidR="00147545" w:rsidRPr="00302D54">
        <w:rPr>
          <w:rFonts w:asciiTheme="majorHAnsi" w:hAnsiTheme="majorHAnsi"/>
          <w:sz w:val="20"/>
          <w:szCs w:val="20"/>
          <w:lang w:val="es-PE"/>
        </w:rPr>
        <w:t xml:space="preserve">pero el </w:t>
      </w:r>
      <w:r w:rsidR="00A76826" w:rsidRPr="00302D54">
        <w:rPr>
          <w:rFonts w:asciiTheme="majorHAnsi" w:hAnsiTheme="majorHAnsi"/>
          <w:sz w:val="20"/>
          <w:szCs w:val="20"/>
          <w:lang w:val="es-PE"/>
        </w:rPr>
        <w:t>C</w:t>
      </w:r>
      <w:r w:rsidR="00147545" w:rsidRPr="00302D54">
        <w:rPr>
          <w:rFonts w:asciiTheme="majorHAnsi" w:hAnsiTheme="majorHAnsi"/>
          <w:sz w:val="20"/>
          <w:szCs w:val="20"/>
          <w:lang w:val="es-PE"/>
        </w:rPr>
        <w:t>onsejo</w:t>
      </w:r>
      <w:r w:rsidR="005A3180" w:rsidRPr="00302D54">
        <w:rPr>
          <w:rFonts w:asciiTheme="majorHAnsi" w:hAnsiTheme="majorHAnsi"/>
          <w:sz w:val="20"/>
          <w:szCs w:val="20"/>
          <w:lang w:val="es-PE"/>
        </w:rPr>
        <w:t xml:space="preserve"> </w:t>
      </w:r>
      <w:r w:rsidR="00821918" w:rsidRPr="00302D54">
        <w:rPr>
          <w:rFonts w:asciiTheme="majorHAnsi" w:hAnsiTheme="majorHAnsi"/>
          <w:sz w:val="20"/>
          <w:szCs w:val="20"/>
          <w:lang w:val="es-PE"/>
        </w:rPr>
        <w:t>ratificó su decisión. Por esta razón, interpuso una acción de amparo constitucional ante el Juzgado Público de Familia N°</w:t>
      </w:r>
      <w:r w:rsidR="004B6F73" w:rsidRPr="00302D54">
        <w:rPr>
          <w:rFonts w:asciiTheme="majorHAnsi" w:hAnsiTheme="majorHAnsi"/>
          <w:sz w:val="20"/>
          <w:szCs w:val="20"/>
          <w:lang w:val="es-PE"/>
        </w:rPr>
        <w:t xml:space="preserve"> </w:t>
      </w:r>
      <w:r w:rsidR="00821918" w:rsidRPr="00302D54">
        <w:rPr>
          <w:rFonts w:asciiTheme="majorHAnsi" w:hAnsiTheme="majorHAnsi"/>
          <w:sz w:val="20"/>
          <w:szCs w:val="20"/>
          <w:lang w:val="es-PE"/>
        </w:rPr>
        <w:t xml:space="preserve">7 del Tribunal Departamental de Justicia de Cochabamba. Luego de superar </w:t>
      </w:r>
      <w:r w:rsidR="00DC3A98" w:rsidRPr="00302D54">
        <w:rPr>
          <w:rFonts w:asciiTheme="majorHAnsi" w:hAnsiTheme="majorHAnsi"/>
          <w:sz w:val="20"/>
          <w:szCs w:val="20"/>
          <w:lang w:val="es-PE"/>
        </w:rPr>
        <w:t>algunas trabas</w:t>
      </w:r>
      <w:r w:rsidR="00821918" w:rsidRPr="00302D54">
        <w:rPr>
          <w:rFonts w:asciiTheme="majorHAnsi" w:hAnsiTheme="majorHAnsi"/>
          <w:sz w:val="20"/>
          <w:szCs w:val="20"/>
          <w:lang w:val="es-PE"/>
        </w:rPr>
        <w:t xml:space="preserve"> procesales, el 29 de junio de 2018 </w:t>
      </w:r>
      <w:r w:rsidR="00AA318E" w:rsidRPr="00302D54">
        <w:rPr>
          <w:rFonts w:asciiTheme="majorHAnsi" w:hAnsiTheme="majorHAnsi"/>
          <w:sz w:val="20"/>
          <w:szCs w:val="20"/>
          <w:lang w:val="es-PE"/>
        </w:rPr>
        <w:t>el juzgado</w:t>
      </w:r>
      <w:r w:rsidR="00821918" w:rsidRPr="00302D54">
        <w:rPr>
          <w:rFonts w:asciiTheme="majorHAnsi" w:hAnsiTheme="majorHAnsi"/>
          <w:sz w:val="20"/>
          <w:szCs w:val="20"/>
          <w:lang w:val="es-PE"/>
        </w:rPr>
        <w:t xml:space="preserve"> den</w:t>
      </w:r>
      <w:r w:rsidR="00D356DE" w:rsidRPr="00302D54">
        <w:rPr>
          <w:rFonts w:asciiTheme="majorHAnsi" w:hAnsiTheme="majorHAnsi"/>
          <w:sz w:val="20"/>
          <w:szCs w:val="20"/>
          <w:lang w:val="es-PE"/>
        </w:rPr>
        <w:t>egó</w:t>
      </w:r>
      <w:r w:rsidR="00821918" w:rsidRPr="00302D54">
        <w:rPr>
          <w:rFonts w:asciiTheme="majorHAnsi" w:hAnsiTheme="majorHAnsi"/>
          <w:sz w:val="20"/>
          <w:szCs w:val="20"/>
          <w:lang w:val="es-PE"/>
        </w:rPr>
        <w:t xml:space="preserve"> la tutela solicitada, </w:t>
      </w:r>
      <w:r w:rsidR="009A3960" w:rsidRPr="00302D54">
        <w:rPr>
          <w:rFonts w:asciiTheme="majorHAnsi" w:hAnsiTheme="majorHAnsi"/>
          <w:sz w:val="20"/>
          <w:szCs w:val="20"/>
          <w:lang w:val="es-PE"/>
        </w:rPr>
        <w:t>considerando</w:t>
      </w:r>
      <w:r w:rsidR="00821918" w:rsidRPr="00302D54">
        <w:rPr>
          <w:rFonts w:asciiTheme="majorHAnsi" w:hAnsiTheme="majorHAnsi"/>
          <w:sz w:val="20"/>
          <w:szCs w:val="20"/>
          <w:lang w:val="es-PE"/>
        </w:rPr>
        <w:t xml:space="preserve"> que no se ha</w:t>
      </w:r>
      <w:r w:rsidR="005A3180" w:rsidRPr="00302D54">
        <w:rPr>
          <w:rFonts w:asciiTheme="majorHAnsi" w:hAnsiTheme="majorHAnsi"/>
          <w:sz w:val="20"/>
          <w:szCs w:val="20"/>
          <w:lang w:val="es-PE"/>
        </w:rPr>
        <w:t>bían</w:t>
      </w:r>
      <w:r w:rsidR="00821918" w:rsidRPr="00302D54">
        <w:rPr>
          <w:rFonts w:asciiTheme="majorHAnsi" w:hAnsiTheme="majorHAnsi"/>
          <w:sz w:val="20"/>
          <w:szCs w:val="20"/>
          <w:lang w:val="es-PE"/>
        </w:rPr>
        <w:t xml:space="preserve"> vulnerado </w:t>
      </w:r>
      <w:r w:rsidR="00D356DE" w:rsidRPr="00302D54">
        <w:rPr>
          <w:rFonts w:asciiTheme="majorHAnsi" w:hAnsiTheme="majorHAnsi"/>
          <w:sz w:val="20"/>
          <w:szCs w:val="20"/>
          <w:lang w:val="es-PE"/>
        </w:rPr>
        <w:t xml:space="preserve">sus </w:t>
      </w:r>
      <w:r w:rsidR="00821918" w:rsidRPr="00302D54">
        <w:rPr>
          <w:rFonts w:asciiTheme="majorHAnsi" w:hAnsiTheme="majorHAnsi"/>
          <w:sz w:val="20"/>
          <w:szCs w:val="20"/>
          <w:lang w:val="es-PE"/>
        </w:rPr>
        <w:t>derecho</w:t>
      </w:r>
      <w:r w:rsidR="00AA318E" w:rsidRPr="00302D54">
        <w:rPr>
          <w:rFonts w:asciiTheme="majorHAnsi" w:hAnsiTheme="majorHAnsi"/>
          <w:sz w:val="20"/>
          <w:szCs w:val="20"/>
          <w:lang w:val="es-PE"/>
        </w:rPr>
        <w:t xml:space="preserve">s </w:t>
      </w:r>
      <w:r w:rsidR="00D356DE" w:rsidRPr="00302D54">
        <w:rPr>
          <w:rFonts w:asciiTheme="majorHAnsi" w:hAnsiTheme="majorHAnsi"/>
          <w:sz w:val="20"/>
          <w:szCs w:val="20"/>
          <w:lang w:val="es-PE"/>
        </w:rPr>
        <w:t xml:space="preserve">debido a </w:t>
      </w:r>
      <w:r w:rsidR="005A3180" w:rsidRPr="00302D54">
        <w:rPr>
          <w:rFonts w:asciiTheme="majorHAnsi" w:hAnsiTheme="majorHAnsi"/>
          <w:sz w:val="20"/>
          <w:szCs w:val="20"/>
          <w:lang w:val="es-PE"/>
        </w:rPr>
        <w:t>la transitoriedad de su cargo</w:t>
      </w:r>
      <w:r w:rsidR="00821918" w:rsidRPr="00302D54">
        <w:rPr>
          <w:rFonts w:asciiTheme="majorHAnsi" w:hAnsiTheme="majorHAnsi"/>
          <w:sz w:val="20"/>
          <w:szCs w:val="20"/>
          <w:lang w:val="es-PE"/>
        </w:rPr>
        <w:t xml:space="preserve">. Finalmente, el Tribunal Constitucional Plurinacional de Bolivia confirmó la denegatoria del amparo, notificando su decisión el 21 de enero </w:t>
      </w:r>
      <w:r w:rsidR="00AA318E" w:rsidRPr="00302D54">
        <w:rPr>
          <w:rFonts w:asciiTheme="majorHAnsi" w:hAnsiTheme="majorHAnsi"/>
          <w:sz w:val="20"/>
          <w:szCs w:val="20"/>
          <w:lang w:val="es-PE"/>
        </w:rPr>
        <w:t>de 2019</w:t>
      </w:r>
      <w:r w:rsidR="00821918" w:rsidRPr="00302D54">
        <w:rPr>
          <w:rFonts w:asciiTheme="majorHAnsi" w:hAnsiTheme="majorHAnsi"/>
          <w:sz w:val="20"/>
          <w:szCs w:val="20"/>
          <w:lang w:val="es-PE"/>
        </w:rPr>
        <w:t>.</w:t>
      </w:r>
    </w:p>
    <w:p w14:paraId="1D45BD2E" w14:textId="77777777" w:rsidR="00EB4A99" w:rsidRPr="00302D54" w:rsidRDefault="00EB4A99" w:rsidP="00EB4A99">
      <w:pPr>
        <w:pStyle w:val="ListParagraph"/>
        <w:rPr>
          <w:rFonts w:asciiTheme="majorHAnsi" w:hAnsiTheme="majorHAnsi"/>
          <w:sz w:val="20"/>
          <w:szCs w:val="20"/>
          <w:lang w:val="es-PE"/>
        </w:rPr>
      </w:pPr>
    </w:p>
    <w:p w14:paraId="4DE06446" w14:textId="7F8D5EC0" w:rsidR="00EB4A99" w:rsidRPr="00302D54" w:rsidRDefault="00F43DC3" w:rsidP="006569FA">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heme="majorHAnsi" w:hAnsiTheme="majorHAnsi"/>
          <w:sz w:val="20"/>
          <w:szCs w:val="20"/>
          <w:lang w:val="es-PE"/>
        </w:rPr>
      </w:pPr>
      <w:r w:rsidRPr="00302D54">
        <w:rPr>
          <w:rFonts w:asciiTheme="majorHAnsi" w:hAnsiTheme="majorHAnsi"/>
          <w:sz w:val="20"/>
          <w:szCs w:val="20"/>
          <w:lang w:val="es-PE"/>
        </w:rPr>
        <w:t>El peticionario</w:t>
      </w:r>
      <w:r w:rsidR="008B6C58" w:rsidRPr="00302D54">
        <w:rPr>
          <w:rFonts w:asciiTheme="majorHAnsi" w:hAnsiTheme="majorHAnsi"/>
          <w:sz w:val="20"/>
          <w:szCs w:val="20"/>
          <w:lang w:val="es-PE"/>
        </w:rPr>
        <w:t xml:space="preserve"> informa que, </w:t>
      </w:r>
      <w:r w:rsidR="006569FA" w:rsidRPr="00302D54">
        <w:rPr>
          <w:rFonts w:asciiTheme="majorHAnsi" w:hAnsiTheme="majorHAnsi"/>
          <w:sz w:val="20"/>
          <w:szCs w:val="20"/>
          <w:lang w:val="es-PE"/>
        </w:rPr>
        <w:t>en 2019</w:t>
      </w:r>
      <w:r w:rsidR="008B6C58" w:rsidRPr="00302D54">
        <w:rPr>
          <w:rFonts w:asciiTheme="majorHAnsi" w:hAnsiTheme="majorHAnsi"/>
          <w:sz w:val="20"/>
          <w:szCs w:val="20"/>
          <w:lang w:val="es-PE"/>
        </w:rPr>
        <w:t>,</w:t>
      </w:r>
      <w:r w:rsidR="00B03BFF" w:rsidRPr="00302D54">
        <w:rPr>
          <w:rFonts w:asciiTheme="majorHAnsi" w:hAnsiTheme="majorHAnsi"/>
          <w:sz w:val="20"/>
          <w:szCs w:val="20"/>
          <w:lang w:val="es-PE"/>
        </w:rPr>
        <w:t xml:space="preserve"> </w:t>
      </w:r>
      <w:r w:rsidR="009D54C8" w:rsidRPr="00302D54">
        <w:rPr>
          <w:rFonts w:asciiTheme="majorHAnsi" w:hAnsiTheme="majorHAnsi"/>
          <w:sz w:val="20"/>
          <w:szCs w:val="20"/>
          <w:lang w:val="es-PE"/>
        </w:rPr>
        <w:t xml:space="preserve">la </w:t>
      </w:r>
      <w:r w:rsidR="008B6C58" w:rsidRPr="00302D54">
        <w:rPr>
          <w:rFonts w:asciiTheme="majorHAnsi" w:hAnsiTheme="majorHAnsi"/>
          <w:sz w:val="20"/>
          <w:szCs w:val="20"/>
          <w:lang w:val="es-PE"/>
        </w:rPr>
        <w:t>señora</w:t>
      </w:r>
      <w:r w:rsidR="009D54C8" w:rsidRPr="00302D54">
        <w:rPr>
          <w:rFonts w:asciiTheme="majorHAnsi" w:hAnsiTheme="majorHAnsi"/>
          <w:sz w:val="20"/>
          <w:szCs w:val="20"/>
          <w:lang w:val="es-PE"/>
        </w:rPr>
        <w:t xml:space="preserve"> Arnez </w:t>
      </w:r>
      <w:r w:rsidR="004B6F73" w:rsidRPr="00302D54">
        <w:rPr>
          <w:rFonts w:asciiTheme="majorHAnsi" w:hAnsiTheme="majorHAnsi"/>
          <w:sz w:val="20"/>
          <w:szCs w:val="20"/>
          <w:lang w:val="es-PE"/>
        </w:rPr>
        <w:t xml:space="preserve">Quiroz </w:t>
      </w:r>
      <w:r w:rsidR="009D54C8" w:rsidRPr="00302D54">
        <w:rPr>
          <w:rFonts w:asciiTheme="majorHAnsi" w:hAnsiTheme="majorHAnsi"/>
          <w:sz w:val="20"/>
          <w:szCs w:val="20"/>
          <w:lang w:val="es-PE"/>
        </w:rPr>
        <w:t>participó en una convocatoria del Consejo de la Magistratura</w:t>
      </w:r>
      <w:r w:rsidR="004B6F73" w:rsidRPr="00302D54">
        <w:rPr>
          <w:rFonts w:asciiTheme="majorHAnsi" w:hAnsiTheme="majorHAnsi"/>
          <w:sz w:val="20"/>
          <w:szCs w:val="20"/>
          <w:lang w:val="es-PE"/>
        </w:rPr>
        <w:t xml:space="preserve"> y</w:t>
      </w:r>
      <w:r w:rsidR="006569FA" w:rsidRPr="00302D54">
        <w:rPr>
          <w:rFonts w:asciiTheme="majorHAnsi" w:hAnsiTheme="majorHAnsi"/>
          <w:sz w:val="20"/>
          <w:szCs w:val="20"/>
          <w:lang w:val="es-PE"/>
        </w:rPr>
        <w:t>, tras un examen de méritos</w:t>
      </w:r>
      <w:r w:rsidR="004B6F73" w:rsidRPr="00302D54">
        <w:rPr>
          <w:rFonts w:asciiTheme="majorHAnsi" w:hAnsiTheme="majorHAnsi"/>
          <w:sz w:val="20"/>
          <w:szCs w:val="20"/>
          <w:lang w:val="es-PE"/>
        </w:rPr>
        <w:t>,</w:t>
      </w:r>
      <w:r w:rsidR="006569FA" w:rsidRPr="00302D54">
        <w:rPr>
          <w:rFonts w:asciiTheme="majorHAnsi" w:hAnsiTheme="majorHAnsi"/>
          <w:sz w:val="20"/>
          <w:szCs w:val="20"/>
          <w:lang w:val="es-PE"/>
        </w:rPr>
        <w:t xml:space="preserve"> accedió a la </w:t>
      </w:r>
      <w:r w:rsidR="009D54C8" w:rsidRPr="00302D54">
        <w:rPr>
          <w:rFonts w:asciiTheme="majorHAnsi" w:hAnsiTheme="majorHAnsi"/>
          <w:sz w:val="20"/>
          <w:szCs w:val="20"/>
          <w:lang w:val="es-PE"/>
        </w:rPr>
        <w:t>carrera judicial</w:t>
      </w:r>
      <w:r w:rsidR="006569FA" w:rsidRPr="00302D54">
        <w:rPr>
          <w:rFonts w:asciiTheme="majorHAnsi" w:hAnsiTheme="majorHAnsi"/>
          <w:sz w:val="20"/>
          <w:szCs w:val="20"/>
          <w:lang w:val="es-PE"/>
        </w:rPr>
        <w:t xml:space="preserve">, ocupando el cargo estable de Jueza de Sentencia Penal Nº 1 de Sacaba. </w:t>
      </w:r>
      <w:r w:rsidR="00302D54" w:rsidRPr="00302D54">
        <w:rPr>
          <w:rFonts w:asciiTheme="majorHAnsi" w:hAnsiTheme="majorHAnsi"/>
          <w:sz w:val="20"/>
          <w:szCs w:val="20"/>
          <w:lang w:val="es-PE"/>
        </w:rPr>
        <w:t>A pesar de ello</w:t>
      </w:r>
      <w:r w:rsidR="006569FA" w:rsidRPr="00302D54">
        <w:rPr>
          <w:rFonts w:asciiTheme="majorHAnsi" w:hAnsiTheme="majorHAnsi"/>
          <w:sz w:val="20"/>
          <w:szCs w:val="20"/>
          <w:lang w:val="es-PE"/>
        </w:rPr>
        <w:t>, e</w:t>
      </w:r>
      <w:r w:rsidR="00305D53" w:rsidRPr="00302D54">
        <w:rPr>
          <w:rFonts w:asciiTheme="majorHAnsi" w:hAnsiTheme="majorHAnsi"/>
          <w:sz w:val="20"/>
          <w:szCs w:val="20"/>
          <w:lang w:val="es-PE"/>
        </w:rPr>
        <w:t xml:space="preserve">l peticionario aclara que la presunta víctima </w:t>
      </w:r>
      <w:r w:rsidR="009D54C8" w:rsidRPr="00302D54">
        <w:rPr>
          <w:rFonts w:asciiTheme="majorHAnsi" w:hAnsiTheme="majorHAnsi"/>
          <w:sz w:val="20"/>
          <w:szCs w:val="20"/>
          <w:lang w:val="es-PE"/>
        </w:rPr>
        <w:t xml:space="preserve">tomó esta decisión por </w:t>
      </w:r>
      <w:r w:rsidR="00305D53" w:rsidRPr="00302D54">
        <w:rPr>
          <w:rFonts w:asciiTheme="majorHAnsi" w:hAnsiTheme="majorHAnsi"/>
          <w:sz w:val="20"/>
          <w:szCs w:val="20"/>
          <w:lang w:val="es-PE"/>
        </w:rPr>
        <w:t>motivos</w:t>
      </w:r>
      <w:r w:rsidR="009D54C8" w:rsidRPr="00302D54">
        <w:rPr>
          <w:rFonts w:asciiTheme="majorHAnsi" w:hAnsiTheme="majorHAnsi"/>
          <w:sz w:val="20"/>
          <w:szCs w:val="20"/>
          <w:lang w:val="es-PE"/>
        </w:rPr>
        <w:t xml:space="preserve"> económicos</w:t>
      </w:r>
      <w:r w:rsidR="00E177E3" w:rsidRPr="00302D54">
        <w:rPr>
          <w:rFonts w:asciiTheme="majorHAnsi" w:hAnsiTheme="majorHAnsi"/>
          <w:sz w:val="20"/>
          <w:szCs w:val="20"/>
          <w:lang w:val="es-PE"/>
        </w:rPr>
        <w:t>, y que esta circunstancia no implica que no se cometieron</w:t>
      </w:r>
      <w:r w:rsidR="009D54C8" w:rsidRPr="00302D54">
        <w:rPr>
          <w:rFonts w:asciiTheme="majorHAnsi" w:hAnsiTheme="majorHAnsi"/>
          <w:sz w:val="20"/>
          <w:szCs w:val="20"/>
          <w:lang w:val="es-PE"/>
        </w:rPr>
        <w:t xml:space="preserve"> vulneraciones </w:t>
      </w:r>
      <w:r w:rsidR="004A3861" w:rsidRPr="00302D54">
        <w:rPr>
          <w:rFonts w:asciiTheme="majorHAnsi" w:hAnsiTheme="majorHAnsi"/>
          <w:sz w:val="20"/>
          <w:szCs w:val="20"/>
          <w:lang w:val="es-PE"/>
        </w:rPr>
        <w:t>a sus</w:t>
      </w:r>
      <w:r w:rsidR="009D54C8" w:rsidRPr="00302D54">
        <w:rPr>
          <w:rFonts w:asciiTheme="majorHAnsi" w:hAnsiTheme="majorHAnsi"/>
          <w:sz w:val="20"/>
          <w:szCs w:val="20"/>
          <w:lang w:val="es-PE"/>
        </w:rPr>
        <w:t xml:space="preserve"> derechos </w:t>
      </w:r>
      <w:r w:rsidR="004A3861" w:rsidRPr="00302D54">
        <w:rPr>
          <w:rFonts w:asciiTheme="majorHAnsi" w:hAnsiTheme="majorHAnsi"/>
          <w:sz w:val="20"/>
          <w:szCs w:val="20"/>
          <w:lang w:val="es-PE"/>
        </w:rPr>
        <w:t xml:space="preserve">por la destitución </w:t>
      </w:r>
      <w:r w:rsidR="009D54C8" w:rsidRPr="00302D54">
        <w:rPr>
          <w:rFonts w:asciiTheme="majorHAnsi" w:hAnsiTheme="majorHAnsi"/>
          <w:sz w:val="20"/>
          <w:szCs w:val="20"/>
          <w:lang w:val="es-PE"/>
        </w:rPr>
        <w:t xml:space="preserve">que </w:t>
      </w:r>
      <w:r w:rsidR="00D356DE" w:rsidRPr="00302D54">
        <w:rPr>
          <w:rFonts w:asciiTheme="majorHAnsi" w:hAnsiTheme="majorHAnsi"/>
          <w:sz w:val="20"/>
          <w:szCs w:val="20"/>
          <w:lang w:val="es-PE"/>
        </w:rPr>
        <w:t xml:space="preserve">sufrió </w:t>
      </w:r>
      <w:r w:rsidR="006569FA" w:rsidRPr="00302D54">
        <w:rPr>
          <w:rFonts w:asciiTheme="majorHAnsi" w:hAnsiTheme="majorHAnsi"/>
          <w:sz w:val="20"/>
          <w:szCs w:val="20"/>
          <w:lang w:val="es-PE"/>
        </w:rPr>
        <w:t>previamente.</w:t>
      </w:r>
    </w:p>
    <w:p w14:paraId="4A6F1428" w14:textId="1BC1C401" w:rsidR="00EB4A99" w:rsidRPr="00302D54" w:rsidRDefault="00EB4A99" w:rsidP="00EB4A99">
      <w:pPr>
        <w:pStyle w:val="ListParagraph"/>
        <w:spacing w:before="240" w:after="240"/>
        <w:jc w:val="both"/>
        <w:rPr>
          <w:rFonts w:asciiTheme="majorHAnsi" w:hAnsiTheme="majorHAnsi"/>
          <w:i/>
          <w:iCs/>
          <w:sz w:val="20"/>
          <w:szCs w:val="20"/>
          <w:lang w:val="pt-BR"/>
        </w:rPr>
      </w:pPr>
      <w:r w:rsidRPr="00302D54">
        <w:rPr>
          <w:rFonts w:asciiTheme="majorHAnsi" w:hAnsiTheme="majorHAnsi"/>
          <w:i/>
          <w:iCs/>
          <w:color w:val="auto"/>
          <w:sz w:val="20"/>
          <w:szCs w:val="20"/>
          <w:lang w:val="pt-BR"/>
        </w:rPr>
        <w:t>N</w:t>
      </w:r>
      <w:r w:rsidR="00CF648B" w:rsidRPr="00302D54">
        <w:rPr>
          <w:rFonts w:asciiTheme="majorHAnsi" w:hAnsiTheme="majorHAnsi"/>
          <w:i/>
          <w:iCs/>
          <w:color w:val="auto"/>
          <w:sz w:val="20"/>
          <w:szCs w:val="20"/>
          <w:lang w:val="pt-BR"/>
        </w:rPr>
        <w:t>é</w:t>
      </w:r>
      <w:r w:rsidRPr="00302D54">
        <w:rPr>
          <w:rFonts w:asciiTheme="majorHAnsi" w:hAnsiTheme="majorHAnsi"/>
          <w:i/>
          <w:iCs/>
          <w:color w:val="auto"/>
          <w:sz w:val="20"/>
          <w:szCs w:val="20"/>
          <w:lang w:val="pt-BR"/>
        </w:rPr>
        <w:t xml:space="preserve">stor </w:t>
      </w:r>
      <w:r w:rsidRPr="00302D54">
        <w:rPr>
          <w:rFonts w:asciiTheme="majorHAnsi" w:hAnsiTheme="majorHAnsi"/>
          <w:i/>
          <w:iCs/>
          <w:sz w:val="20"/>
          <w:szCs w:val="20"/>
          <w:lang w:val="pt-BR"/>
        </w:rPr>
        <w:t>Julio Enr</w:t>
      </w:r>
      <w:r w:rsidR="004357CA" w:rsidRPr="00302D54">
        <w:rPr>
          <w:rFonts w:asciiTheme="majorHAnsi" w:hAnsiTheme="majorHAnsi"/>
          <w:i/>
          <w:iCs/>
          <w:sz w:val="20"/>
          <w:szCs w:val="20"/>
          <w:lang w:val="pt-BR"/>
        </w:rPr>
        <w:t>í</w:t>
      </w:r>
      <w:r w:rsidRPr="00302D54">
        <w:rPr>
          <w:rFonts w:asciiTheme="majorHAnsi" w:hAnsiTheme="majorHAnsi"/>
          <w:i/>
          <w:iCs/>
          <w:sz w:val="20"/>
          <w:szCs w:val="20"/>
          <w:lang w:val="pt-BR"/>
        </w:rPr>
        <w:t>quez Quiroga (P-1736-19)</w:t>
      </w:r>
    </w:p>
    <w:p w14:paraId="4848DA8C" w14:textId="0086EBE3" w:rsidR="00EB4A99" w:rsidRPr="00302D54" w:rsidRDefault="00F3058D">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sz w:val="20"/>
          <w:szCs w:val="20"/>
          <w:lang w:val="es-PE"/>
        </w:rPr>
      </w:pPr>
      <w:r w:rsidRPr="00302D54">
        <w:rPr>
          <w:rFonts w:asciiTheme="majorHAnsi" w:hAnsiTheme="majorHAnsi"/>
          <w:sz w:val="20"/>
          <w:szCs w:val="20"/>
          <w:lang w:val="es-PE"/>
        </w:rPr>
        <w:t xml:space="preserve">El señor </w:t>
      </w:r>
      <w:r w:rsidR="00C83AEA" w:rsidRPr="00302D54">
        <w:rPr>
          <w:rFonts w:asciiTheme="majorHAnsi" w:hAnsiTheme="majorHAnsi"/>
          <w:sz w:val="20"/>
          <w:szCs w:val="20"/>
          <w:lang w:val="es-PE"/>
        </w:rPr>
        <w:t>Néstor</w:t>
      </w:r>
      <w:r w:rsidRPr="00302D54">
        <w:rPr>
          <w:rFonts w:asciiTheme="majorHAnsi" w:hAnsiTheme="majorHAnsi"/>
          <w:sz w:val="20"/>
          <w:szCs w:val="20"/>
          <w:lang w:val="es-PE"/>
        </w:rPr>
        <w:t xml:space="preserve"> </w:t>
      </w:r>
      <w:r w:rsidR="00C83AEA" w:rsidRPr="00302D54">
        <w:rPr>
          <w:rFonts w:asciiTheme="majorHAnsi" w:hAnsiTheme="majorHAnsi"/>
          <w:sz w:val="20"/>
          <w:szCs w:val="20"/>
          <w:lang w:val="es-PE"/>
        </w:rPr>
        <w:t>Enríquez</w:t>
      </w:r>
      <w:r w:rsidRPr="00302D54">
        <w:rPr>
          <w:rFonts w:asciiTheme="majorHAnsi" w:hAnsiTheme="majorHAnsi"/>
          <w:sz w:val="20"/>
          <w:szCs w:val="20"/>
          <w:lang w:val="es-PE"/>
        </w:rPr>
        <w:t xml:space="preserve"> </w:t>
      </w:r>
      <w:r w:rsidR="003A743D" w:rsidRPr="00302D54">
        <w:rPr>
          <w:rFonts w:asciiTheme="majorHAnsi" w:hAnsiTheme="majorHAnsi"/>
          <w:sz w:val="20"/>
          <w:szCs w:val="20"/>
          <w:lang w:val="es-PE"/>
        </w:rPr>
        <w:t xml:space="preserve">Quiroga </w:t>
      </w:r>
      <w:r w:rsidRPr="00302D54">
        <w:rPr>
          <w:rFonts w:asciiTheme="majorHAnsi" w:hAnsiTheme="majorHAnsi"/>
          <w:sz w:val="20"/>
          <w:szCs w:val="20"/>
          <w:lang w:val="es-PE"/>
        </w:rPr>
        <w:t>ingresó a la carrera judicial en el 2000 mediante convocatoria pública y examen de oposición, según la Disposición Final Segunda de la Ley del Consejo de la Judicatura de</w:t>
      </w:r>
      <w:r w:rsidR="0027492F" w:rsidRPr="00302D54">
        <w:rPr>
          <w:rFonts w:asciiTheme="majorHAnsi" w:hAnsiTheme="majorHAnsi"/>
          <w:sz w:val="20"/>
          <w:szCs w:val="20"/>
          <w:lang w:val="es-PE"/>
        </w:rPr>
        <w:t>l</w:t>
      </w:r>
      <w:r w:rsidRPr="00302D54">
        <w:rPr>
          <w:rFonts w:asciiTheme="majorHAnsi" w:hAnsiTheme="majorHAnsi"/>
          <w:sz w:val="20"/>
          <w:szCs w:val="20"/>
          <w:lang w:val="es-PE"/>
        </w:rPr>
        <w:t xml:space="preserve"> 22 de diciembre de 1997. </w:t>
      </w:r>
      <w:r w:rsidR="0064458A" w:rsidRPr="00302D54">
        <w:rPr>
          <w:rFonts w:asciiTheme="majorHAnsi" w:hAnsiTheme="majorHAnsi"/>
          <w:sz w:val="20"/>
          <w:szCs w:val="20"/>
          <w:lang w:val="es-PE"/>
        </w:rPr>
        <w:t>Al momento de los hechos</w:t>
      </w:r>
      <w:r w:rsidR="003A743D" w:rsidRPr="00302D54">
        <w:rPr>
          <w:rFonts w:asciiTheme="majorHAnsi" w:hAnsiTheme="majorHAnsi"/>
          <w:sz w:val="20"/>
          <w:szCs w:val="20"/>
          <w:lang w:val="es-PE"/>
        </w:rPr>
        <w:t>,</w:t>
      </w:r>
      <w:r w:rsidR="0064458A" w:rsidRPr="00302D54">
        <w:rPr>
          <w:rFonts w:asciiTheme="majorHAnsi" w:hAnsiTheme="majorHAnsi"/>
          <w:sz w:val="20"/>
          <w:szCs w:val="20"/>
          <w:lang w:val="es-PE"/>
        </w:rPr>
        <w:t xml:space="preserve"> se desempeñaba como </w:t>
      </w:r>
      <w:r w:rsidR="00FF67D1" w:rsidRPr="00302D54">
        <w:rPr>
          <w:rFonts w:asciiTheme="majorHAnsi" w:hAnsiTheme="majorHAnsi"/>
          <w:sz w:val="20"/>
          <w:szCs w:val="20"/>
          <w:lang w:val="es-PE"/>
        </w:rPr>
        <w:t xml:space="preserve">Juez de Partido en lo Penal </w:t>
      </w:r>
      <w:r w:rsidR="0064458A" w:rsidRPr="00302D54">
        <w:rPr>
          <w:rFonts w:asciiTheme="majorHAnsi" w:hAnsiTheme="majorHAnsi"/>
          <w:sz w:val="20"/>
          <w:szCs w:val="20"/>
          <w:lang w:val="es-PE"/>
        </w:rPr>
        <w:t xml:space="preserve">y de Sustancias Controladas </w:t>
      </w:r>
      <w:r w:rsidR="00FF67D1" w:rsidRPr="00302D54">
        <w:rPr>
          <w:rFonts w:asciiTheme="majorHAnsi" w:hAnsiTheme="majorHAnsi"/>
          <w:sz w:val="20"/>
          <w:szCs w:val="20"/>
          <w:lang w:val="es-PE"/>
        </w:rPr>
        <w:t>Liquidador</w:t>
      </w:r>
      <w:r w:rsidR="0064458A" w:rsidRPr="00302D54">
        <w:rPr>
          <w:rFonts w:asciiTheme="majorHAnsi" w:hAnsiTheme="majorHAnsi"/>
          <w:sz w:val="20"/>
          <w:szCs w:val="20"/>
          <w:lang w:val="es-PE"/>
        </w:rPr>
        <w:t xml:space="preserve"> y de Sentencia N°</w:t>
      </w:r>
      <w:r w:rsidR="003A743D" w:rsidRPr="00302D54">
        <w:rPr>
          <w:rFonts w:asciiTheme="majorHAnsi" w:hAnsiTheme="majorHAnsi"/>
          <w:sz w:val="20"/>
          <w:szCs w:val="20"/>
          <w:lang w:val="es-PE"/>
        </w:rPr>
        <w:t xml:space="preserve"> </w:t>
      </w:r>
      <w:r w:rsidR="0064458A" w:rsidRPr="00302D54">
        <w:rPr>
          <w:rFonts w:asciiTheme="majorHAnsi" w:hAnsiTheme="majorHAnsi"/>
          <w:sz w:val="20"/>
          <w:szCs w:val="20"/>
          <w:lang w:val="es-PE"/>
        </w:rPr>
        <w:t xml:space="preserve">5 del </w:t>
      </w:r>
      <w:r w:rsidR="0027492F" w:rsidRPr="00302D54">
        <w:rPr>
          <w:rFonts w:asciiTheme="majorHAnsi" w:hAnsiTheme="majorHAnsi"/>
          <w:sz w:val="20"/>
          <w:szCs w:val="20"/>
          <w:lang w:val="es-PE"/>
        </w:rPr>
        <w:t>Tribunal</w:t>
      </w:r>
      <w:r w:rsidR="0064458A" w:rsidRPr="00302D54">
        <w:rPr>
          <w:rFonts w:asciiTheme="majorHAnsi" w:hAnsiTheme="majorHAnsi"/>
          <w:sz w:val="20"/>
          <w:szCs w:val="20"/>
          <w:lang w:val="es-PE"/>
        </w:rPr>
        <w:t xml:space="preserve"> Departamental de Justicia de Cochabamba</w:t>
      </w:r>
      <w:r w:rsidR="00FF67D1" w:rsidRPr="00302D54">
        <w:rPr>
          <w:rFonts w:asciiTheme="majorHAnsi" w:hAnsiTheme="majorHAnsi"/>
          <w:sz w:val="20"/>
          <w:szCs w:val="20"/>
          <w:lang w:val="es-PE"/>
        </w:rPr>
        <w:t xml:space="preserve">, </w:t>
      </w:r>
      <w:r w:rsidR="0064458A" w:rsidRPr="00302D54">
        <w:rPr>
          <w:rFonts w:asciiTheme="majorHAnsi" w:hAnsiTheme="majorHAnsi"/>
          <w:sz w:val="20"/>
          <w:szCs w:val="20"/>
          <w:lang w:val="es-PE"/>
        </w:rPr>
        <w:t>cargo que ejerció</w:t>
      </w:r>
      <w:r w:rsidRPr="00302D54">
        <w:rPr>
          <w:rFonts w:asciiTheme="majorHAnsi" w:hAnsiTheme="majorHAnsi"/>
          <w:sz w:val="20"/>
          <w:szCs w:val="20"/>
          <w:lang w:val="es-PE"/>
        </w:rPr>
        <w:t xml:space="preserve"> </w:t>
      </w:r>
      <w:r w:rsidR="00FF67D1" w:rsidRPr="00302D54">
        <w:rPr>
          <w:rFonts w:asciiTheme="majorHAnsi" w:hAnsiTheme="majorHAnsi"/>
          <w:sz w:val="20"/>
          <w:szCs w:val="20"/>
          <w:lang w:val="es-PE"/>
        </w:rPr>
        <w:t>durante</w:t>
      </w:r>
      <w:r w:rsidRPr="00302D54">
        <w:rPr>
          <w:rFonts w:asciiTheme="majorHAnsi" w:hAnsiTheme="majorHAnsi"/>
          <w:sz w:val="20"/>
          <w:szCs w:val="20"/>
          <w:lang w:val="es-PE"/>
        </w:rPr>
        <w:t xml:space="preserve"> aproximadamente</w:t>
      </w:r>
      <w:r w:rsidR="0027492F" w:rsidRPr="00302D54">
        <w:rPr>
          <w:rFonts w:asciiTheme="majorHAnsi" w:hAnsiTheme="majorHAnsi"/>
          <w:sz w:val="20"/>
          <w:szCs w:val="20"/>
          <w:lang w:val="es-PE"/>
        </w:rPr>
        <w:t xml:space="preserve"> 16 años</w:t>
      </w:r>
      <w:r w:rsidRPr="00302D54">
        <w:rPr>
          <w:rFonts w:asciiTheme="majorHAnsi" w:hAnsiTheme="majorHAnsi"/>
          <w:sz w:val="20"/>
          <w:szCs w:val="20"/>
          <w:lang w:val="es-PE"/>
        </w:rPr>
        <w:t>.</w:t>
      </w:r>
    </w:p>
    <w:p w14:paraId="2D2E45C5" w14:textId="77777777" w:rsidR="00EB4A99" w:rsidRPr="00302D54" w:rsidRDefault="00EB4A99" w:rsidP="00EB4A99">
      <w:pPr>
        <w:pStyle w:val="ListParagraph"/>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sz w:val="20"/>
          <w:szCs w:val="20"/>
          <w:lang w:val="es-PE"/>
        </w:rPr>
      </w:pPr>
    </w:p>
    <w:p w14:paraId="4789C19E" w14:textId="3F4D9AA8" w:rsidR="00EB4A99" w:rsidRPr="00907831" w:rsidRDefault="003A743D">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sz w:val="20"/>
          <w:szCs w:val="20"/>
          <w:lang w:val="es-PE"/>
        </w:rPr>
      </w:pPr>
      <w:r w:rsidRPr="00302D54">
        <w:rPr>
          <w:rFonts w:asciiTheme="majorHAnsi" w:hAnsiTheme="majorHAnsi"/>
          <w:sz w:val="20"/>
          <w:szCs w:val="20"/>
          <w:lang w:val="es-PE"/>
        </w:rPr>
        <w:t xml:space="preserve">Merced </w:t>
      </w:r>
      <w:r w:rsidR="00F75169" w:rsidRPr="00302D54">
        <w:rPr>
          <w:rFonts w:asciiTheme="majorHAnsi" w:hAnsiTheme="majorHAnsi"/>
          <w:sz w:val="20"/>
          <w:szCs w:val="20"/>
          <w:lang w:val="es-PE"/>
        </w:rPr>
        <w:t>al</w:t>
      </w:r>
      <w:r w:rsidR="00FF67D1" w:rsidRPr="00302D54">
        <w:rPr>
          <w:rFonts w:asciiTheme="majorHAnsi" w:hAnsiTheme="majorHAnsi"/>
          <w:sz w:val="20"/>
          <w:szCs w:val="20"/>
          <w:lang w:val="es-PE"/>
        </w:rPr>
        <w:t xml:space="preserve"> Acuerdo de Sala Plena N°</w:t>
      </w:r>
      <w:r w:rsidR="00033137" w:rsidRPr="00302D54">
        <w:rPr>
          <w:rFonts w:asciiTheme="majorHAnsi" w:hAnsiTheme="majorHAnsi"/>
          <w:sz w:val="20"/>
          <w:szCs w:val="20"/>
          <w:lang w:val="es-PE"/>
        </w:rPr>
        <w:t xml:space="preserve"> </w:t>
      </w:r>
      <w:r w:rsidR="00FF67D1" w:rsidRPr="00302D54">
        <w:rPr>
          <w:rFonts w:asciiTheme="majorHAnsi" w:hAnsiTheme="majorHAnsi"/>
          <w:sz w:val="20"/>
          <w:szCs w:val="20"/>
          <w:lang w:val="es-PE"/>
        </w:rPr>
        <w:t>73/2017</w:t>
      </w:r>
      <w:r w:rsidRPr="00302D54">
        <w:rPr>
          <w:rFonts w:asciiTheme="majorHAnsi" w:hAnsiTheme="majorHAnsi"/>
          <w:sz w:val="20"/>
          <w:szCs w:val="20"/>
          <w:lang w:val="es-PE"/>
        </w:rPr>
        <w:t>,</w:t>
      </w:r>
      <w:r w:rsidR="00FF67D1" w:rsidRPr="00302D54">
        <w:rPr>
          <w:rFonts w:asciiTheme="majorHAnsi" w:hAnsiTheme="majorHAnsi"/>
          <w:sz w:val="20"/>
          <w:szCs w:val="20"/>
          <w:lang w:val="es-PE"/>
        </w:rPr>
        <w:t xml:space="preserve"> el Consejo de la Magistratura destituyó a la presunta víctima</w:t>
      </w:r>
      <w:r w:rsidRPr="00302D54">
        <w:rPr>
          <w:rFonts w:asciiTheme="majorHAnsi" w:hAnsiTheme="majorHAnsi"/>
          <w:sz w:val="20"/>
          <w:szCs w:val="20"/>
          <w:lang w:val="es-PE"/>
        </w:rPr>
        <w:t>. En consecuencia</w:t>
      </w:r>
      <w:r w:rsidR="00685594" w:rsidRPr="00302D54">
        <w:rPr>
          <w:rFonts w:asciiTheme="majorHAnsi" w:hAnsiTheme="majorHAnsi"/>
          <w:sz w:val="20"/>
          <w:szCs w:val="20"/>
          <w:lang w:val="es-PE"/>
        </w:rPr>
        <w:t>,</w:t>
      </w:r>
      <w:r w:rsidR="00053F2A" w:rsidRPr="00302D54">
        <w:rPr>
          <w:rFonts w:asciiTheme="majorHAnsi" w:hAnsiTheme="majorHAnsi"/>
          <w:sz w:val="20"/>
          <w:szCs w:val="20"/>
          <w:lang w:val="es-PE"/>
        </w:rPr>
        <w:t xml:space="preserve"> esta</w:t>
      </w:r>
      <w:r w:rsidR="009C3D6F" w:rsidRPr="00302D54">
        <w:rPr>
          <w:rFonts w:asciiTheme="majorHAnsi" w:hAnsiTheme="majorHAnsi"/>
          <w:sz w:val="20"/>
          <w:szCs w:val="20"/>
          <w:lang w:val="es-PE"/>
        </w:rPr>
        <w:t xml:space="preserve"> </w:t>
      </w:r>
      <w:r w:rsidR="00FF67D1" w:rsidRPr="00302D54">
        <w:rPr>
          <w:rFonts w:asciiTheme="majorHAnsi" w:hAnsiTheme="majorHAnsi"/>
          <w:sz w:val="20"/>
          <w:szCs w:val="20"/>
          <w:lang w:val="es-PE"/>
        </w:rPr>
        <w:t>interpuso un recurso de revocatoria</w:t>
      </w:r>
      <w:r w:rsidR="00B04AB4" w:rsidRPr="00302D54">
        <w:rPr>
          <w:rFonts w:asciiTheme="majorHAnsi" w:hAnsiTheme="majorHAnsi"/>
          <w:sz w:val="20"/>
          <w:szCs w:val="20"/>
          <w:lang w:val="es-PE"/>
        </w:rPr>
        <w:t>,</w:t>
      </w:r>
      <w:r w:rsidR="00FF67D1" w:rsidRPr="00302D54">
        <w:rPr>
          <w:rFonts w:asciiTheme="majorHAnsi" w:hAnsiTheme="majorHAnsi"/>
          <w:sz w:val="20"/>
          <w:szCs w:val="20"/>
          <w:lang w:val="es-PE"/>
        </w:rPr>
        <w:t xml:space="preserve"> </w:t>
      </w:r>
      <w:r w:rsidR="00B04AB4" w:rsidRPr="00302D54">
        <w:rPr>
          <w:rFonts w:asciiTheme="majorHAnsi" w:hAnsiTheme="majorHAnsi"/>
          <w:sz w:val="20"/>
          <w:szCs w:val="20"/>
          <w:lang w:val="es-PE"/>
        </w:rPr>
        <w:t>pero</w:t>
      </w:r>
      <w:r w:rsidR="00053F2A" w:rsidRPr="00302D54">
        <w:rPr>
          <w:rFonts w:asciiTheme="majorHAnsi" w:hAnsiTheme="majorHAnsi"/>
          <w:sz w:val="20"/>
          <w:szCs w:val="20"/>
          <w:lang w:val="es-PE"/>
        </w:rPr>
        <w:t xml:space="preserve"> el 22 de mayo de 2017</w:t>
      </w:r>
      <w:r w:rsidR="0064458A" w:rsidRPr="00302D54">
        <w:rPr>
          <w:rFonts w:asciiTheme="majorHAnsi" w:hAnsiTheme="majorHAnsi"/>
          <w:sz w:val="20"/>
          <w:szCs w:val="20"/>
          <w:lang w:val="es-PE"/>
        </w:rPr>
        <w:t xml:space="preserve"> </w:t>
      </w:r>
      <w:r w:rsidR="000F4501" w:rsidRPr="00302D54">
        <w:rPr>
          <w:rFonts w:asciiTheme="majorHAnsi" w:hAnsiTheme="majorHAnsi"/>
          <w:sz w:val="20"/>
          <w:szCs w:val="20"/>
          <w:lang w:val="es-PE"/>
        </w:rPr>
        <w:t>este mismo cuerpo</w:t>
      </w:r>
      <w:r w:rsidR="0064458A" w:rsidRPr="00302D54">
        <w:rPr>
          <w:rFonts w:asciiTheme="majorHAnsi" w:hAnsiTheme="majorHAnsi"/>
          <w:sz w:val="20"/>
          <w:szCs w:val="20"/>
          <w:lang w:val="es-PE"/>
        </w:rPr>
        <w:t xml:space="preserve"> </w:t>
      </w:r>
      <w:r w:rsidR="001F4BCF" w:rsidRPr="00302D54">
        <w:rPr>
          <w:rFonts w:asciiTheme="majorHAnsi" w:hAnsiTheme="majorHAnsi"/>
          <w:sz w:val="20"/>
          <w:szCs w:val="20"/>
          <w:lang w:val="es-PE"/>
        </w:rPr>
        <w:t>reiteró</w:t>
      </w:r>
      <w:r w:rsidR="00277651" w:rsidRPr="00302D54">
        <w:rPr>
          <w:rFonts w:asciiTheme="majorHAnsi" w:hAnsiTheme="majorHAnsi"/>
          <w:sz w:val="20"/>
          <w:szCs w:val="20"/>
          <w:lang w:val="es-PE"/>
        </w:rPr>
        <w:t xml:space="preserve"> en su resolución</w:t>
      </w:r>
      <w:r w:rsidR="0064458A" w:rsidRPr="00302D54">
        <w:rPr>
          <w:rFonts w:asciiTheme="majorHAnsi" w:hAnsiTheme="majorHAnsi"/>
          <w:sz w:val="20"/>
          <w:szCs w:val="20"/>
          <w:lang w:val="es-PE"/>
        </w:rPr>
        <w:t xml:space="preserve"> que</w:t>
      </w:r>
      <w:r w:rsidR="00236A89" w:rsidRPr="00302D54">
        <w:rPr>
          <w:rFonts w:asciiTheme="majorHAnsi" w:hAnsiTheme="majorHAnsi"/>
          <w:sz w:val="20"/>
          <w:szCs w:val="20"/>
          <w:lang w:val="es-PE"/>
        </w:rPr>
        <w:t xml:space="preserve"> según la normativa interna </w:t>
      </w:r>
      <w:r w:rsidR="0064458A" w:rsidRPr="00302D54">
        <w:rPr>
          <w:rFonts w:asciiTheme="majorHAnsi" w:hAnsiTheme="majorHAnsi"/>
          <w:sz w:val="20"/>
          <w:szCs w:val="20"/>
          <w:lang w:val="es-PE"/>
        </w:rPr>
        <w:t xml:space="preserve">todos los jueces eran transitorios sin </w:t>
      </w:r>
      <w:r w:rsidR="000F4501" w:rsidRPr="00302D54">
        <w:rPr>
          <w:rFonts w:asciiTheme="majorHAnsi" w:hAnsiTheme="majorHAnsi"/>
          <w:sz w:val="20"/>
          <w:szCs w:val="20"/>
          <w:lang w:val="es-PE"/>
        </w:rPr>
        <w:t>d</w:t>
      </w:r>
      <w:r w:rsidR="0064458A" w:rsidRPr="00302D54">
        <w:rPr>
          <w:rFonts w:asciiTheme="majorHAnsi" w:hAnsiTheme="majorHAnsi"/>
          <w:sz w:val="20"/>
          <w:szCs w:val="20"/>
          <w:lang w:val="es-PE"/>
        </w:rPr>
        <w:t>istinción.</w:t>
      </w:r>
    </w:p>
    <w:p w14:paraId="0AD5B7DF" w14:textId="77777777" w:rsidR="00EB4A99" w:rsidRPr="00302D54" w:rsidRDefault="00EB4A99" w:rsidP="00EB4A99">
      <w:pPr>
        <w:pStyle w:val="ListParagraph"/>
        <w:rPr>
          <w:rFonts w:asciiTheme="majorHAnsi" w:hAnsiTheme="majorHAnsi"/>
          <w:sz w:val="20"/>
          <w:szCs w:val="20"/>
          <w:lang w:val="es-PE"/>
        </w:rPr>
      </w:pPr>
    </w:p>
    <w:p w14:paraId="0531A033" w14:textId="159E1250" w:rsidR="00EB4A99" w:rsidRPr="00053F2A" w:rsidRDefault="00251C7B">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sz w:val="20"/>
          <w:szCs w:val="20"/>
          <w:lang w:val="es-PE"/>
        </w:rPr>
      </w:pPr>
      <w:r w:rsidRPr="00302D54">
        <w:rPr>
          <w:rFonts w:asciiTheme="majorHAnsi" w:hAnsiTheme="majorHAnsi"/>
          <w:sz w:val="20"/>
          <w:szCs w:val="20"/>
          <w:lang w:val="es-PE"/>
        </w:rPr>
        <w:t>Ante</w:t>
      </w:r>
      <w:r w:rsidR="00FF67D1" w:rsidRPr="00302D54">
        <w:rPr>
          <w:rFonts w:asciiTheme="majorHAnsi" w:hAnsiTheme="majorHAnsi"/>
          <w:sz w:val="20"/>
          <w:szCs w:val="20"/>
          <w:lang w:val="es-PE"/>
        </w:rPr>
        <w:t xml:space="preserve"> esta </w:t>
      </w:r>
      <w:r w:rsidR="000F4501" w:rsidRPr="00302D54">
        <w:rPr>
          <w:rFonts w:asciiTheme="majorHAnsi" w:hAnsiTheme="majorHAnsi"/>
          <w:sz w:val="20"/>
          <w:szCs w:val="20"/>
          <w:lang w:val="es-PE"/>
        </w:rPr>
        <w:t>negativa</w:t>
      </w:r>
      <w:r w:rsidR="00797D1D" w:rsidRPr="00302D54">
        <w:rPr>
          <w:rFonts w:asciiTheme="majorHAnsi" w:hAnsiTheme="majorHAnsi"/>
          <w:sz w:val="20"/>
          <w:szCs w:val="20"/>
          <w:lang w:val="es-PE"/>
        </w:rPr>
        <w:t>,</w:t>
      </w:r>
      <w:r w:rsidR="00E264CA" w:rsidRPr="00302D54">
        <w:rPr>
          <w:rFonts w:asciiTheme="majorHAnsi" w:hAnsiTheme="majorHAnsi"/>
          <w:sz w:val="20"/>
          <w:szCs w:val="20"/>
          <w:lang w:val="es-PE"/>
        </w:rPr>
        <w:t xml:space="preserve"> el 13 de julio de 2017</w:t>
      </w:r>
      <w:r w:rsidR="00797D1D" w:rsidRPr="00302D54">
        <w:rPr>
          <w:rFonts w:asciiTheme="majorHAnsi" w:hAnsiTheme="majorHAnsi"/>
          <w:sz w:val="20"/>
          <w:szCs w:val="20"/>
          <w:lang w:val="es-PE"/>
        </w:rPr>
        <w:t>,</w:t>
      </w:r>
      <w:r w:rsidR="00FF67D1" w:rsidRPr="00302D54">
        <w:rPr>
          <w:rFonts w:asciiTheme="majorHAnsi" w:hAnsiTheme="majorHAnsi"/>
          <w:sz w:val="20"/>
          <w:szCs w:val="20"/>
          <w:lang w:val="es-PE"/>
        </w:rPr>
        <w:t xml:space="preserve"> el señor </w:t>
      </w:r>
      <w:r w:rsidR="000719C0" w:rsidRPr="00302D54">
        <w:rPr>
          <w:rFonts w:asciiTheme="majorHAnsi" w:hAnsiTheme="majorHAnsi"/>
          <w:sz w:val="20"/>
          <w:szCs w:val="20"/>
          <w:lang w:val="es-PE"/>
        </w:rPr>
        <w:t>Enríquez</w:t>
      </w:r>
      <w:r w:rsidR="00FF67D1" w:rsidRPr="00302D54">
        <w:rPr>
          <w:rFonts w:asciiTheme="majorHAnsi" w:hAnsiTheme="majorHAnsi"/>
          <w:sz w:val="20"/>
          <w:szCs w:val="20"/>
          <w:lang w:val="es-PE"/>
        </w:rPr>
        <w:t xml:space="preserve"> </w:t>
      </w:r>
      <w:r w:rsidR="00797D1D" w:rsidRPr="00302D54">
        <w:rPr>
          <w:rFonts w:asciiTheme="majorHAnsi" w:hAnsiTheme="majorHAnsi"/>
          <w:sz w:val="20"/>
          <w:szCs w:val="20"/>
          <w:lang w:val="es-PE"/>
        </w:rPr>
        <w:t xml:space="preserve">Quiroga </w:t>
      </w:r>
      <w:r w:rsidR="00FF67D1" w:rsidRPr="00302D54">
        <w:rPr>
          <w:rFonts w:asciiTheme="majorHAnsi" w:hAnsiTheme="majorHAnsi"/>
          <w:sz w:val="20"/>
          <w:szCs w:val="20"/>
          <w:lang w:val="es-PE"/>
        </w:rPr>
        <w:t>interpuso una acción de amparo constitucional</w:t>
      </w:r>
      <w:r w:rsidR="00797D1D" w:rsidRPr="00302D54">
        <w:rPr>
          <w:rFonts w:asciiTheme="majorHAnsi" w:hAnsiTheme="majorHAnsi"/>
          <w:sz w:val="20"/>
          <w:szCs w:val="20"/>
          <w:lang w:val="es-PE"/>
        </w:rPr>
        <w:t>;</w:t>
      </w:r>
      <w:r w:rsidR="000719C0" w:rsidRPr="00302D54">
        <w:rPr>
          <w:rFonts w:asciiTheme="majorHAnsi" w:hAnsiTheme="majorHAnsi"/>
          <w:sz w:val="20"/>
          <w:szCs w:val="20"/>
          <w:lang w:val="es-PE"/>
        </w:rPr>
        <w:t xml:space="preserve"> no </w:t>
      </w:r>
      <w:r w:rsidR="0004543A" w:rsidRPr="00302D54">
        <w:rPr>
          <w:rFonts w:asciiTheme="majorHAnsi" w:hAnsiTheme="majorHAnsi"/>
          <w:sz w:val="20"/>
          <w:szCs w:val="20"/>
          <w:lang w:val="es-PE"/>
        </w:rPr>
        <w:t>obstante,</w:t>
      </w:r>
      <w:r w:rsidR="000719C0" w:rsidRPr="00302D54">
        <w:rPr>
          <w:rFonts w:asciiTheme="majorHAnsi" w:hAnsiTheme="majorHAnsi"/>
          <w:sz w:val="20"/>
          <w:szCs w:val="20"/>
          <w:lang w:val="es-PE"/>
        </w:rPr>
        <w:t xml:space="preserve"> </w:t>
      </w:r>
      <w:r w:rsidR="00FF67D1" w:rsidRPr="00302D54">
        <w:rPr>
          <w:rFonts w:asciiTheme="majorHAnsi" w:hAnsiTheme="majorHAnsi"/>
          <w:sz w:val="20"/>
          <w:szCs w:val="20"/>
          <w:lang w:val="es-PE"/>
        </w:rPr>
        <w:t xml:space="preserve">el </w:t>
      </w:r>
      <w:r w:rsidR="00E264CA" w:rsidRPr="00302D54">
        <w:rPr>
          <w:rFonts w:asciiTheme="majorHAnsi" w:hAnsiTheme="majorHAnsi"/>
          <w:sz w:val="20"/>
          <w:szCs w:val="20"/>
          <w:lang w:val="es-PE"/>
        </w:rPr>
        <w:t>13 de marzo</w:t>
      </w:r>
      <w:r w:rsidR="00FF67D1" w:rsidRPr="00302D54">
        <w:rPr>
          <w:rFonts w:asciiTheme="majorHAnsi" w:hAnsiTheme="majorHAnsi"/>
          <w:sz w:val="20"/>
          <w:szCs w:val="20"/>
          <w:lang w:val="es-PE"/>
        </w:rPr>
        <w:t xml:space="preserve"> de 2018 el </w:t>
      </w:r>
      <w:r w:rsidR="00053F2A" w:rsidRPr="00302D54">
        <w:rPr>
          <w:rFonts w:asciiTheme="majorHAnsi" w:hAnsiTheme="majorHAnsi"/>
          <w:sz w:val="20"/>
          <w:szCs w:val="20"/>
          <w:lang w:val="es-PE"/>
        </w:rPr>
        <w:t>Juzgado Público Civil y Comercial N°</w:t>
      </w:r>
      <w:r w:rsidR="00797D1D" w:rsidRPr="00302D54">
        <w:rPr>
          <w:rFonts w:asciiTheme="majorHAnsi" w:hAnsiTheme="majorHAnsi"/>
          <w:sz w:val="20"/>
          <w:szCs w:val="20"/>
          <w:lang w:val="es-PE"/>
        </w:rPr>
        <w:t xml:space="preserve"> </w:t>
      </w:r>
      <w:r w:rsidR="00053F2A" w:rsidRPr="00302D54">
        <w:rPr>
          <w:rFonts w:asciiTheme="majorHAnsi" w:hAnsiTheme="majorHAnsi"/>
          <w:sz w:val="20"/>
          <w:szCs w:val="20"/>
          <w:lang w:val="es-PE"/>
        </w:rPr>
        <w:t>19 de Cochabamba</w:t>
      </w:r>
      <w:r w:rsidR="00FF67D1" w:rsidRPr="00302D54">
        <w:rPr>
          <w:rFonts w:asciiTheme="majorHAnsi" w:hAnsiTheme="majorHAnsi"/>
          <w:sz w:val="20"/>
          <w:szCs w:val="20"/>
          <w:lang w:val="es-PE"/>
        </w:rPr>
        <w:t xml:space="preserve"> </w:t>
      </w:r>
      <w:r w:rsidR="00E13A16" w:rsidRPr="00302D54">
        <w:rPr>
          <w:rFonts w:asciiTheme="majorHAnsi" w:hAnsiTheme="majorHAnsi"/>
          <w:sz w:val="20"/>
          <w:szCs w:val="20"/>
          <w:lang w:val="es-PE"/>
        </w:rPr>
        <w:t xml:space="preserve">la </w:t>
      </w:r>
      <w:r w:rsidR="00E264CA" w:rsidRPr="00302D54">
        <w:rPr>
          <w:rFonts w:asciiTheme="majorHAnsi" w:hAnsiTheme="majorHAnsi"/>
          <w:sz w:val="20"/>
          <w:szCs w:val="20"/>
          <w:lang w:val="es-PE"/>
        </w:rPr>
        <w:t>denegó</w:t>
      </w:r>
      <w:r w:rsidR="00141B1E" w:rsidRPr="00302D54">
        <w:rPr>
          <w:rFonts w:asciiTheme="majorHAnsi" w:hAnsiTheme="majorHAnsi"/>
          <w:sz w:val="20"/>
          <w:szCs w:val="20"/>
          <w:lang w:val="es-PE"/>
        </w:rPr>
        <w:t>,</w:t>
      </w:r>
      <w:r w:rsidR="00E264CA" w:rsidRPr="00302D54">
        <w:rPr>
          <w:rFonts w:asciiTheme="majorHAnsi" w:hAnsiTheme="majorHAnsi"/>
          <w:sz w:val="20"/>
          <w:szCs w:val="20"/>
          <w:lang w:val="es-PE"/>
        </w:rPr>
        <w:t xml:space="preserve"> </w:t>
      </w:r>
      <w:r w:rsidR="00141B1E" w:rsidRPr="00302D54">
        <w:rPr>
          <w:rFonts w:asciiTheme="majorHAnsi" w:hAnsiTheme="majorHAnsi"/>
          <w:sz w:val="20"/>
          <w:szCs w:val="20"/>
          <w:lang w:val="es-PE"/>
        </w:rPr>
        <w:t>al estimar</w:t>
      </w:r>
      <w:r w:rsidR="00E264CA" w:rsidRPr="00302D54">
        <w:rPr>
          <w:rFonts w:asciiTheme="majorHAnsi" w:hAnsiTheme="majorHAnsi"/>
          <w:sz w:val="20"/>
          <w:szCs w:val="20"/>
          <w:lang w:val="es-PE"/>
        </w:rPr>
        <w:t xml:space="preserve"> que</w:t>
      </w:r>
      <w:r w:rsidR="00053F2A" w:rsidRPr="00302D54">
        <w:rPr>
          <w:rFonts w:asciiTheme="majorHAnsi" w:hAnsiTheme="majorHAnsi"/>
          <w:sz w:val="20"/>
          <w:szCs w:val="20"/>
          <w:lang w:val="es-PE"/>
        </w:rPr>
        <w:t xml:space="preserve"> sus derechos no habían sido vulnerados debido a su condición</w:t>
      </w:r>
      <w:r w:rsidR="00053F2A" w:rsidRPr="00053F2A">
        <w:rPr>
          <w:rFonts w:asciiTheme="majorHAnsi" w:hAnsiTheme="majorHAnsi"/>
          <w:sz w:val="20"/>
          <w:szCs w:val="20"/>
          <w:lang w:val="es-PE"/>
        </w:rPr>
        <w:t xml:space="preserve"> de transitoriedad. </w:t>
      </w:r>
      <w:r w:rsidR="003F13E2">
        <w:rPr>
          <w:rFonts w:asciiTheme="majorHAnsi" w:hAnsiTheme="majorHAnsi"/>
          <w:sz w:val="20"/>
          <w:szCs w:val="20"/>
          <w:lang w:val="es-PE"/>
        </w:rPr>
        <w:t xml:space="preserve">Posteriormente, </w:t>
      </w:r>
      <w:r w:rsidR="00FF67D1" w:rsidRPr="00053F2A">
        <w:rPr>
          <w:rFonts w:asciiTheme="majorHAnsi" w:hAnsiTheme="majorHAnsi"/>
          <w:sz w:val="20"/>
          <w:szCs w:val="20"/>
          <w:lang w:val="es-PE"/>
        </w:rPr>
        <w:t>el Tribunal Constitucional Plurinacional de Bolivia confirmó la denegatoria del amparo</w:t>
      </w:r>
      <w:r w:rsidR="003F13E2">
        <w:rPr>
          <w:rFonts w:asciiTheme="majorHAnsi" w:hAnsiTheme="majorHAnsi"/>
          <w:sz w:val="20"/>
          <w:szCs w:val="20"/>
          <w:lang w:val="es-PE"/>
        </w:rPr>
        <w:t xml:space="preserve"> y</w:t>
      </w:r>
      <w:r w:rsidR="00FF67D1" w:rsidRPr="00053F2A">
        <w:rPr>
          <w:rFonts w:asciiTheme="majorHAnsi" w:hAnsiTheme="majorHAnsi"/>
          <w:sz w:val="20"/>
          <w:szCs w:val="20"/>
          <w:lang w:val="es-PE"/>
        </w:rPr>
        <w:t xml:space="preserve"> </w:t>
      </w:r>
      <w:r w:rsidR="0027492F" w:rsidRPr="00053F2A">
        <w:rPr>
          <w:rFonts w:asciiTheme="majorHAnsi" w:hAnsiTheme="majorHAnsi"/>
          <w:sz w:val="20"/>
          <w:szCs w:val="20"/>
          <w:lang w:val="es-PE"/>
        </w:rPr>
        <w:t>notific</w:t>
      </w:r>
      <w:r w:rsidR="003F13E2">
        <w:rPr>
          <w:rFonts w:asciiTheme="majorHAnsi" w:hAnsiTheme="majorHAnsi"/>
          <w:sz w:val="20"/>
          <w:szCs w:val="20"/>
          <w:lang w:val="es-PE"/>
        </w:rPr>
        <w:t>ó</w:t>
      </w:r>
      <w:r w:rsidR="00FF67D1" w:rsidRPr="00053F2A">
        <w:rPr>
          <w:rFonts w:asciiTheme="majorHAnsi" w:hAnsiTheme="majorHAnsi"/>
          <w:sz w:val="20"/>
          <w:szCs w:val="20"/>
          <w:lang w:val="es-PE"/>
        </w:rPr>
        <w:t xml:space="preserve"> </w:t>
      </w:r>
      <w:r w:rsidR="003F13E2">
        <w:rPr>
          <w:rFonts w:asciiTheme="majorHAnsi" w:hAnsiTheme="majorHAnsi"/>
          <w:sz w:val="20"/>
          <w:szCs w:val="20"/>
          <w:lang w:val="es-PE"/>
        </w:rPr>
        <w:t>esta</w:t>
      </w:r>
      <w:r w:rsidR="00FF67D1" w:rsidRPr="00053F2A">
        <w:rPr>
          <w:rFonts w:asciiTheme="majorHAnsi" w:hAnsiTheme="majorHAnsi"/>
          <w:sz w:val="20"/>
          <w:szCs w:val="20"/>
          <w:lang w:val="es-PE"/>
        </w:rPr>
        <w:t xml:space="preserve"> decisión el </w:t>
      </w:r>
      <w:r w:rsidR="00557657" w:rsidRPr="00053F2A">
        <w:rPr>
          <w:rFonts w:asciiTheme="majorHAnsi" w:hAnsiTheme="majorHAnsi"/>
          <w:sz w:val="20"/>
          <w:szCs w:val="20"/>
          <w:lang w:val="es-PE"/>
        </w:rPr>
        <w:t xml:space="preserve">6 de mayo </w:t>
      </w:r>
      <w:r w:rsidR="00FF67D1" w:rsidRPr="00053F2A">
        <w:rPr>
          <w:rFonts w:asciiTheme="majorHAnsi" w:hAnsiTheme="majorHAnsi"/>
          <w:sz w:val="20"/>
          <w:szCs w:val="20"/>
          <w:lang w:val="es-PE"/>
        </w:rPr>
        <w:t>de 2019.</w:t>
      </w:r>
    </w:p>
    <w:p w14:paraId="5BDB64AC" w14:textId="77777777" w:rsidR="00EB4A99" w:rsidRPr="00EB4A99" w:rsidRDefault="00EB4A99" w:rsidP="00EB4A99">
      <w:pPr>
        <w:pStyle w:val="ListParagraph"/>
        <w:rPr>
          <w:rFonts w:asciiTheme="majorHAnsi" w:hAnsiTheme="majorHAnsi"/>
          <w:sz w:val="20"/>
          <w:szCs w:val="20"/>
          <w:lang w:val="es-PE"/>
        </w:rPr>
      </w:pPr>
    </w:p>
    <w:p w14:paraId="6EBCC50C" w14:textId="4DEFAFA0" w:rsidR="00EB4A99" w:rsidRPr="00042834" w:rsidRDefault="00251C7B" w:rsidP="006569FA">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heme="majorHAnsi" w:hAnsiTheme="majorHAnsi"/>
          <w:sz w:val="20"/>
          <w:szCs w:val="20"/>
          <w:lang w:val="es-PE"/>
        </w:rPr>
      </w:pPr>
      <w:r>
        <w:rPr>
          <w:sz w:val="20"/>
          <w:szCs w:val="20"/>
          <w:lang w:val="es-PE"/>
        </w:rPr>
        <w:t>Por último</w:t>
      </w:r>
      <w:r w:rsidR="006569FA" w:rsidRPr="00042834">
        <w:rPr>
          <w:sz w:val="20"/>
          <w:szCs w:val="20"/>
          <w:lang w:val="es-PE"/>
        </w:rPr>
        <w:t>, el peticionario reconoce que se presentaron denuncias contra el señor Enríquez</w:t>
      </w:r>
      <w:r w:rsidR="003F2329">
        <w:rPr>
          <w:sz w:val="20"/>
          <w:szCs w:val="20"/>
          <w:lang w:val="es-PE"/>
        </w:rPr>
        <w:t xml:space="preserve"> Quiroga</w:t>
      </w:r>
      <w:r w:rsidR="006569FA" w:rsidRPr="00042834">
        <w:rPr>
          <w:sz w:val="20"/>
          <w:szCs w:val="20"/>
          <w:lang w:val="es-PE"/>
        </w:rPr>
        <w:t>, pero que estas siempre fueron</w:t>
      </w:r>
      <w:r w:rsidR="006569FA" w:rsidRPr="00042834">
        <w:rPr>
          <w:rFonts w:asciiTheme="majorHAnsi" w:hAnsiTheme="majorHAnsi"/>
          <w:sz w:val="20"/>
          <w:szCs w:val="20"/>
          <w:lang w:val="es-PE"/>
        </w:rPr>
        <w:t xml:space="preserve"> rechazadas, archivadas o declaradas improbadas, aspecto que prueba anexando sus certificados de antecedentes penales y disciplinarios.</w:t>
      </w:r>
      <w:r w:rsidR="007C03A3" w:rsidRPr="00042834">
        <w:rPr>
          <w:rFonts w:asciiTheme="majorHAnsi" w:hAnsiTheme="majorHAnsi"/>
          <w:sz w:val="20"/>
          <w:szCs w:val="20"/>
          <w:lang w:val="es-PE"/>
        </w:rPr>
        <w:t xml:space="preserve"> </w:t>
      </w:r>
      <w:r w:rsidR="006569FA" w:rsidRPr="00042834">
        <w:rPr>
          <w:rFonts w:asciiTheme="majorHAnsi" w:hAnsiTheme="majorHAnsi"/>
          <w:sz w:val="20"/>
          <w:szCs w:val="20"/>
          <w:lang w:val="es-PE"/>
        </w:rPr>
        <w:t xml:space="preserve">Por ende, sostiene que </w:t>
      </w:r>
      <w:r w:rsidR="00042834">
        <w:rPr>
          <w:rFonts w:asciiTheme="majorHAnsi" w:hAnsiTheme="majorHAnsi"/>
          <w:sz w:val="20"/>
          <w:szCs w:val="20"/>
          <w:lang w:val="es-PE"/>
        </w:rPr>
        <w:t xml:space="preserve">el Estado frente a la CIDH no puede pretender que </w:t>
      </w:r>
      <w:r w:rsidR="00B70C53">
        <w:rPr>
          <w:rFonts w:asciiTheme="majorHAnsi" w:hAnsiTheme="majorHAnsi"/>
          <w:sz w:val="20"/>
          <w:szCs w:val="20"/>
          <w:lang w:val="es-PE"/>
        </w:rPr>
        <w:t>esto sirva</w:t>
      </w:r>
      <w:r w:rsidR="006569FA" w:rsidRPr="00042834">
        <w:rPr>
          <w:rFonts w:asciiTheme="majorHAnsi" w:hAnsiTheme="majorHAnsi"/>
          <w:sz w:val="20"/>
          <w:szCs w:val="20"/>
          <w:lang w:val="es-PE"/>
        </w:rPr>
        <w:t xml:space="preserve"> como excusa para justificar su destitución, pues nunca recibió </w:t>
      </w:r>
      <w:r w:rsidR="0027492F" w:rsidRPr="00042834">
        <w:rPr>
          <w:rFonts w:asciiTheme="majorHAnsi" w:hAnsiTheme="majorHAnsi"/>
          <w:sz w:val="20"/>
          <w:szCs w:val="20"/>
          <w:lang w:val="es-PE"/>
        </w:rPr>
        <w:t>una</w:t>
      </w:r>
      <w:r w:rsidR="00520AC7" w:rsidRPr="00042834">
        <w:rPr>
          <w:rFonts w:asciiTheme="majorHAnsi" w:hAnsiTheme="majorHAnsi"/>
          <w:sz w:val="20"/>
          <w:szCs w:val="20"/>
          <w:lang w:val="es-PE"/>
        </w:rPr>
        <w:t xml:space="preserve"> sentencia disciplinaria ejecutoriada por falta gravísima</w:t>
      </w:r>
      <w:r w:rsidR="00C4031A">
        <w:rPr>
          <w:rFonts w:asciiTheme="majorHAnsi" w:hAnsiTheme="majorHAnsi"/>
          <w:sz w:val="20"/>
          <w:szCs w:val="20"/>
          <w:lang w:val="es-PE"/>
        </w:rPr>
        <w:t>.</w:t>
      </w:r>
      <w:r w:rsidR="00520AC7" w:rsidRPr="00042834">
        <w:rPr>
          <w:rFonts w:asciiTheme="majorHAnsi" w:hAnsiTheme="majorHAnsi"/>
          <w:sz w:val="20"/>
          <w:szCs w:val="20"/>
          <w:lang w:val="es-PE"/>
        </w:rPr>
        <w:t xml:space="preserve"> </w:t>
      </w:r>
    </w:p>
    <w:p w14:paraId="0A7A7F75" w14:textId="08EE6473" w:rsidR="00EB4A99" w:rsidRPr="00EB4A99" w:rsidRDefault="00EB4A99" w:rsidP="00EB4A99">
      <w:pPr>
        <w:pStyle w:val="ListParagraph"/>
        <w:spacing w:before="240" w:after="240"/>
        <w:jc w:val="both"/>
        <w:rPr>
          <w:rFonts w:asciiTheme="majorHAnsi" w:hAnsiTheme="majorHAnsi"/>
          <w:i/>
          <w:iCs/>
          <w:sz w:val="20"/>
          <w:szCs w:val="20"/>
          <w:lang w:val="pt-BR"/>
        </w:rPr>
      </w:pPr>
      <w:r w:rsidRPr="00D907CC">
        <w:rPr>
          <w:rFonts w:asciiTheme="majorHAnsi" w:hAnsiTheme="majorHAnsi"/>
          <w:i/>
          <w:iCs/>
          <w:sz w:val="20"/>
          <w:szCs w:val="20"/>
          <w:lang w:val="pt-BR"/>
        </w:rPr>
        <w:t>Zulema Javier López (P-2284-19)</w:t>
      </w:r>
    </w:p>
    <w:p w14:paraId="11F8A2F0" w14:textId="17259C02" w:rsidR="00EB4A99" w:rsidRPr="00EB4A99" w:rsidRDefault="00A870A1">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sz w:val="20"/>
          <w:szCs w:val="20"/>
          <w:lang w:val="es-PE"/>
        </w:rPr>
      </w:pPr>
      <w:r>
        <w:rPr>
          <w:rFonts w:asciiTheme="majorHAnsi" w:hAnsiTheme="majorHAnsi"/>
          <w:sz w:val="20"/>
          <w:szCs w:val="20"/>
          <w:lang w:val="es-PE"/>
        </w:rPr>
        <w:t>L</w:t>
      </w:r>
      <w:r w:rsidR="001B2975" w:rsidRPr="00EB4A99">
        <w:rPr>
          <w:rFonts w:asciiTheme="majorHAnsi" w:hAnsiTheme="majorHAnsi"/>
          <w:sz w:val="20"/>
          <w:szCs w:val="20"/>
          <w:lang w:val="es-PE"/>
        </w:rPr>
        <w:t>a señora</w:t>
      </w:r>
      <w:r w:rsidR="0027492F" w:rsidRPr="00EB4A99">
        <w:rPr>
          <w:rFonts w:asciiTheme="majorHAnsi" w:hAnsiTheme="majorHAnsi"/>
          <w:sz w:val="20"/>
          <w:szCs w:val="20"/>
          <w:lang w:val="es-PE"/>
        </w:rPr>
        <w:t xml:space="preserve"> Javier </w:t>
      </w:r>
      <w:r w:rsidR="00DB4C00">
        <w:rPr>
          <w:rFonts w:asciiTheme="majorHAnsi" w:hAnsiTheme="majorHAnsi"/>
          <w:sz w:val="20"/>
          <w:szCs w:val="20"/>
          <w:lang w:val="es-PE"/>
        </w:rPr>
        <w:t xml:space="preserve">López </w:t>
      </w:r>
      <w:r w:rsidR="0027492F" w:rsidRPr="00EB4A99">
        <w:rPr>
          <w:rFonts w:asciiTheme="majorHAnsi" w:hAnsiTheme="majorHAnsi"/>
          <w:sz w:val="20"/>
          <w:szCs w:val="20"/>
          <w:lang w:val="es-PE"/>
        </w:rPr>
        <w:t xml:space="preserve">ingresó a la carrera judicial </w:t>
      </w:r>
      <w:r w:rsidR="00F80CDC" w:rsidRPr="00EB4A99">
        <w:rPr>
          <w:rFonts w:asciiTheme="majorHAnsi" w:hAnsiTheme="majorHAnsi"/>
          <w:sz w:val="20"/>
          <w:szCs w:val="20"/>
          <w:lang w:val="es-PE"/>
        </w:rPr>
        <w:t xml:space="preserve">en </w:t>
      </w:r>
      <w:r w:rsidR="0027492F" w:rsidRPr="00EB4A99">
        <w:rPr>
          <w:rFonts w:asciiTheme="majorHAnsi" w:hAnsiTheme="majorHAnsi"/>
          <w:sz w:val="20"/>
          <w:szCs w:val="20"/>
          <w:lang w:val="es-PE"/>
        </w:rPr>
        <w:t>el 2007</w:t>
      </w:r>
      <w:r w:rsidR="00DB4C00">
        <w:rPr>
          <w:rFonts w:asciiTheme="majorHAnsi" w:hAnsiTheme="majorHAnsi"/>
          <w:sz w:val="20"/>
          <w:szCs w:val="20"/>
          <w:lang w:val="es-PE"/>
        </w:rPr>
        <w:t>,</w:t>
      </w:r>
      <w:r w:rsidR="0027492F" w:rsidRPr="00EB4A99">
        <w:rPr>
          <w:rFonts w:asciiTheme="majorHAnsi" w:hAnsiTheme="majorHAnsi"/>
          <w:sz w:val="20"/>
          <w:szCs w:val="20"/>
          <w:lang w:val="es-PE"/>
        </w:rPr>
        <w:t xml:space="preserve"> </w:t>
      </w:r>
      <w:r w:rsidR="00F80CDC" w:rsidRPr="00EB4A99">
        <w:rPr>
          <w:rFonts w:asciiTheme="majorHAnsi" w:hAnsiTheme="majorHAnsi"/>
          <w:sz w:val="20"/>
          <w:szCs w:val="20"/>
          <w:lang w:val="es-PE"/>
        </w:rPr>
        <w:t>después</w:t>
      </w:r>
      <w:r w:rsidR="0027492F" w:rsidRPr="00EB4A99">
        <w:rPr>
          <w:rFonts w:asciiTheme="majorHAnsi" w:hAnsiTheme="majorHAnsi"/>
          <w:sz w:val="20"/>
          <w:szCs w:val="20"/>
          <w:lang w:val="es-PE"/>
        </w:rPr>
        <w:t xml:space="preserve"> de haber cumplido con </w:t>
      </w:r>
      <w:r w:rsidR="00CA4D40" w:rsidRPr="00EB4A99">
        <w:rPr>
          <w:rFonts w:asciiTheme="majorHAnsi" w:hAnsiTheme="majorHAnsi"/>
          <w:sz w:val="20"/>
          <w:szCs w:val="20"/>
          <w:lang w:val="es-PE"/>
        </w:rPr>
        <w:t>los</w:t>
      </w:r>
      <w:r w:rsidR="0027492F" w:rsidRPr="00EB4A99">
        <w:rPr>
          <w:rFonts w:asciiTheme="majorHAnsi" w:hAnsiTheme="majorHAnsi"/>
          <w:sz w:val="20"/>
          <w:szCs w:val="20"/>
          <w:lang w:val="es-PE"/>
        </w:rPr>
        <w:t xml:space="preserve"> requisitos</w:t>
      </w:r>
      <w:r w:rsidR="00EA58FF" w:rsidRPr="00EB4A99">
        <w:rPr>
          <w:rFonts w:asciiTheme="majorHAnsi" w:hAnsiTheme="majorHAnsi"/>
          <w:sz w:val="20"/>
          <w:szCs w:val="20"/>
          <w:lang w:val="es-PE"/>
        </w:rPr>
        <w:t xml:space="preserve"> del</w:t>
      </w:r>
      <w:r w:rsidR="0027492F" w:rsidRPr="00EB4A99">
        <w:rPr>
          <w:rFonts w:asciiTheme="majorHAnsi" w:hAnsiTheme="majorHAnsi"/>
          <w:sz w:val="20"/>
          <w:szCs w:val="20"/>
          <w:lang w:val="es-PE"/>
        </w:rPr>
        <w:t xml:space="preserve"> V Curso de Formación Inicial para e</w:t>
      </w:r>
      <w:r w:rsidR="00CA4D40" w:rsidRPr="00EB4A99">
        <w:rPr>
          <w:rFonts w:asciiTheme="majorHAnsi" w:hAnsiTheme="majorHAnsi"/>
          <w:sz w:val="20"/>
          <w:szCs w:val="20"/>
          <w:lang w:val="es-PE"/>
        </w:rPr>
        <w:t>l i</w:t>
      </w:r>
      <w:r w:rsidR="0027492F" w:rsidRPr="00EB4A99">
        <w:rPr>
          <w:rFonts w:asciiTheme="majorHAnsi" w:hAnsiTheme="majorHAnsi"/>
          <w:sz w:val="20"/>
          <w:szCs w:val="20"/>
          <w:lang w:val="es-PE"/>
        </w:rPr>
        <w:t xml:space="preserve">ngreso a la </w:t>
      </w:r>
      <w:r w:rsidR="00CA4D40" w:rsidRPr="00EB4A99">
        <w:rPr>
          <w:rFonts w:asciiTheme="majorHAnsi" w:hAnsiTheme="majorHAnsi"/>
          <w:sz w:val="20"/>
          <w:szCs w:val="20"/>
          <w:lang w:val="es-PE"/>
        </w:rPr>
        <w:t>c</w:t>
      </w:r>
      <w:r w:rsidR="0027492F" w:rsidRPr="00EB4A99">
        <w:rPr>
          <w:rFonts w:asciiTheme="majorHAnsi" w:hAnsiTheme="majorHAnsi"/>
          <w:sz w:val="20"/>
          <w:szCs w:val="20"/>
          <w:lang w:val="es-PE"/>
        </w:rPr>
        <w:t xml:space="preserve">arrera </w:t>
      </w:r>
      <w:r w:rsidR="00CA4D40" w:rsidRPr="00EB4A99">
        <w:rPr>
          <w:rFonts w:asciiTheme="majorHAnsi" w:hAnsiTheme="majorHAnsi"/>
          <w:sz w:val="20"/>
          <w:szCs w:val="20"/>
          <w:lang w:val="es-PE"/>
        </w:rPr>
        <w:t>j</w:t>
      </w:r>
      <w:r w:rsidR="0027492F" w:rsidRPr="00EB4A99">
        <w:rPr>
          <w:rFonts w:asciiTheme="majorHAnsi" w:hAnsiTheme="majorHAnsi"/>
          <w:sz w:val="20"/>
          <w:szCs w:val="20"/>
          <w:lang w:val="es-PE"/>
        </w:rPr>
        <w:t>udicial</w:t>
      </w:r>
      <w:r w:rsidR="001B2975" w:rsidRPr="00EB4A99">
        <w:rPr>
          <w:rFonts w:asciiTheme="majorHAnsi" w:hAnsiTheme="majorHAnsi"/>
          <w:sz w:val="20"/>
          <w:szCs w:val="20"/>
          <w:lang w:val="es-PE"/>
        </w:rPr>
        <w:t xml:space="preserve">. Hasta su destitución el 9 de mayo de 2017, se desempeñó como </w:t>
      </w:r>
      <w:r w:rsidR="0027492F" w:rsidRPr="00EB4A99">
        <w:rPr>
          <w:rFonts w:asciiTheme="majorHAnsi" w:hAnsiTheme="majorHAnsi"/>
          <w:sz w:val="20"/>
          <w:szCs w:val="20"/>
          <w:lang w:val="es-PE"/>
        </w:rPr>
        <w:t>Juez</w:t>
      </w:r>
      <w:r w:rsidR="00CA4D40" w:rsidRPr="00EB4A99">
        <w:rPr>
          <w:rFonts w:asciiTheme="majorHAnsi" w:hAnsiTheme="majorHAnsi"/>
          <w:sz w:val="20"/>
          <w:szCs w:val="20"/>
          <w:lang w:val="es-PE"/>
        </w:rPr>
        <w:t>a</w:t>
      </w:r>
      <w:r w:rsidR="0027492F" w:rsidRPr="00EB4A99">
        <w:rPr>
          <w:rFonts w:asciiTheme="majorHAnsi" w:hAnsiTheme="majorHAnsi"/>
          <w:sz w:val="20"/>
          <w:szCs w:val="20"/>
          <w:lang w:val="es-PE"/>
        </w:rPr>
        <w:t xml:space="preserve"> de Instrucción </w:t>
      </w:r>
      <w:r w:rsidR="00CA4D40" w:rsidRPr="00EB4A99">
        <w:rPr>
          <w:rFonts w:asciiTheme="majorHAnsi" w:hAnsiTheme="majorHAnsi"/>
          <w:sz w:val="20"/>
          <w:szCs w:val="20"/>
          <w:lang w:val="es-PE"/>
        </w:rPr>
        <w:t xml:space="preserve">de </w:t>
      </w:r>
      <w:r w:rsidR="0027492F" w:rsidRPr="00EB4A99">
        <w:rPr>
          <w:rFonts w:asciiTheme="majorHAnsi" w:hAnsiTheme="majorHAnsi"/>
          <w:sz w:val="20"/>
          <w:szCs w:val="20"/>
          <w:lang w:val="es-PE"/>
        </w:rPr>
        <w:t xml:space="preserve">Cabezas, </w:t>
      </w:r>
      <w:r w:rsidR="00F80CDC" w:rsidRPr="00EB4A99">
        <w:rPr>
          <w:rFonts w:asciiTheme="majorHAnsi" w:hAnsiTheme="majorHAnsi"/>
          <w:sz w:val="20"/>
          <w:szCs w:val="20"/>
          <w:lang w:val="es-PE"/>
        </w:rPr>
        <w:t>en</w:t>
      </w:r>
      <w:r w:rsidR="00CA4D40" w:rsidRPr="00EB4A99">
        <w:rPr>
          <w:rFonts w:asciiTheme="majorHAnsi" w:hAnsiTheme="majorHAnsi"/>
          <w:sz w:val="20"/>
          <w:szCs w:val="20"/>
          <w:lang w:val="es-PE"/>
        </w:rPr>
        <w:t xml:space="preserve"> la </w:t>
      </w:r>
      <w:r w:rsidR="0027492F" w:rsidRPr="00EB4A99">
        <w:rPr>
          <w:rFonts w:asciiTheme="majorHAnsi" w:hAnsiTheme="majorHAnsi"/>
          <w:sz w:val="20"/>
          <w:szCs w:val="20"/>
          <w:lang w:val="es-PE"/>
        </w:rPr>
        <w:t>provincia Cordillera de Santa Cruz</w:t>
      </w:r>
      <w:r w:rsidR="00CA4D40" w:rsidRPr="00EB4A99">
        <w:rPr>
          <w:rFonts w:asciiTheme="majorHAnsi" w:hAnsiTheme="majorHAnsi"/>
          <w:sz w:val="20"/>
          <w:szCs w:val="20"/>
          <w:lang w:val="es-PE"/>
        </w:rPr>
        <w:t>, por aproximadamente 10 años.</w:t>
      </w:r>
    </w:p>
    <w:p w14:paraId="3E8DE32E" w14:textId="77777777" w:rsidR="00EB4A99" w:rsidRPr="00EB4A99" w:rsidRDefault="00EB4A99" w:rsidP="00EB4A99">
      <w:pPr>
        <w:pStyle w:val="ListParagraph"/>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sz w:val="20"/>
          <w:szCs w:val="20"/>
          <w:lang w:val="es-PE"/>
        </w:rPr>
      </w:pPr>
    </w:p>
    <w:p w14:paraId="09DEE1E6" w14:textId="36384D79" w:rsidR="00EB4A99" w:rsidRPr="00EB4A99" w:rsidRDefault="0022218C">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sz w:val="20"/>
          <w:szCs w:val="20"/>
          <w:lang w:val="es-PE"/>
        </w:rPr>
      </w:pPr>
      <w:r>
        <w:rPr>
          <w:rFonts w:asciiTheme="majorHAnsi" w:hAnsiTheme="majorHAnsi"/>
          <w:sz w:val="20"/>
          <w:szCs w:val="20"/>
          <w:lang w:val="es-PE"/>
        </w:rPr>
        <w:t xml:space="preserve">La señora </w:t>
      </w:r>
      <w:r w:rsidR="00DB4C00">
        <w:rPr>
          <w:rFonts w:asciiTheme="majorHAnsi" w:hAnsiTheme="majorHAnsi"/>
          <w:sz w:val="20"/>
          <w:szCs w:val="20"/>
          <w:lang w:val="es-PE"/>
        </w:rPr>
        <w:t>J</w:t>
      </w:r>
      <w:r>
        <w:rPr>
          <w:rFonts w:asciiTheme="majorHAnsi" w:hAnsiTheme="majorHAnsi"/>
          <w:sz w:val="20"/>
          <w:szCs w:val="20"/>
          <w:lang w:val="es-PE"/>
        </w:rPr>
        <w:t>avier</w:t>
      </w:r>
      <w:r w:rsidR="00DB4C00">
        <w:rPr>
          <w:rFonts w:asciiTheme="majorHAnsi" w:hAnsiTheme="majorHAnsi"/>
          <w:sz w:val="20"/>
          <w:szCs w:val="20"/>
          <w:lang w:val="es-PE"/>
        </w:rPr>
        <w:t xml:space="preserve"> </w:t>
      </w:r>
      <w:r w:rsidR="005B0EE8">
        <w:rPr>
          <w:rFonts w:asciiTheme="majorHAnsi" w:hAnsiTheme="majorHAnsi"/>
          <w:sz w:val="20"/>
          <w:szCs w:val="20"/>
          <w:lang w:val="es-PE"/>
        </w:rPr>
        <w:t>López</w:t>
      </w:r>
      <w:r w:rsidR="00EA58FF" w:rsidRPr="00EB4A99">
        <w:rPr>
          <w:rFonts w:asciiTheme="majorHAnsi" w:hAnsiTheme="majorHAnsi"/>
          <w:sz w:val="20"/>
          <w:szCs w:val="20"/>
          <w:lang w:val="es-PE"/>
        </w:rPr>
        <w:t xml:space="preserve"> </w:t>
      </w:r>
      <w:r w:rsidR="006F55D4" w:rsidRPr="00EB4A99">
        <w:rPr>
          <w:rFonts w:asciiTheme="majorHAnsi" w:hAnsiTheme="majorHAnsi"/>
          <w:sz w:val="20"/>
          <w:szCs w:val="20"/>
          <w:lang w:val="es-PE"/>
        </w:rPr>
        <w:t xml:space="preserve">había solicitado </w:t>
      </w:r>
      <w:r w:rsidR="004D40D5" w:rsidRPr="00EB4A99">
        <w:rPr>
          <w:rFonts w:asciiTheme="majorHAnsi" w:hAnsiTheme="majorHAnsi"/>
          <w:sz w:val="20"/>
          <w:szCs w:val="20"/>
          <w:lang w:val="es-PE"/>
        </w:rPr>
        <w:t>su traslado a la capital</w:t>
      </w:r>
      <w:r w:rsidR="006F55D4" w:rsidRPr="00EB4A99">
        <w:rPr>
          <w:rFonts w:asciiTheme="majorHAnsi" w:hAnsiTheme="majorHAnsi"/>
          <w:sz w:val="20"/>
          <w:szCs w:val="20"/>
          <w:lang w:val="es-PE"/>
        </w:rPr>
        <w:t xml:space="preserve"> </w:t>
      </w:r>
      <w:r w:rsidR="00EA58FF" w:rsidRPr="00EB4A99">
        <w:rPr>
          <w:rFonts w:asciiTheme="majorHAnsi" w:hAnsiTheme="majorHAnsi"/>
          <w:sz w:val="20"/>
          <w:szCs w:val="20"/>
          <w:lang w:val="es-PE"/>
        </w:rPr>
        <w:t>en reiteradas ocasiones</w:t>
      </w:r>
      <w:r w:rsidR="004D40D5" w:rsidRPr="00EB4A99">
        <w:rPr>
          <w:rFonts w:asciiTheme="majorHAnsi" w:hAnsiTheme="majorHAnsi"/>
          <w:sz w:val="20"/>
          <w:szCs w:val="20"/>
          <w:lang w:val="es-PE"/>
        </w:rPr>
        <w:t xml:space="preserve"> desde el 2012</w:t>
      </w:r>
      <w:r w:rsidR="006F55D4" w:rsidRPr="00EB4A99">
        <w:rPr>
          <w:rFonts w:asciiTheme="majorHAnsi" w:hAnsiTheme="majorHAnsi"/>
          <w:sz w:val="20"/>
          <w:szCs w:val="20"/>
          <w:lang w:val="es-PE"/>
        </w:rPr>
        <w:t xml:space="preserve">, </w:t>
      </w:r>
      <w:r w:rsidR="00EA58FF" w:rsidRPr="00EB4A99">
        <w:rPr>
          <w:rFonts w:asciiTheme="majorHAnsi" w:hAnsiTheme="majorHAnsi"/>
          <w:sz w:val="20"/>
          <w:szCs w:val="20"/>
          <w:lang w:val="es-PE"/>
        </w:rPr>
        <w:t xml:space="preserve">debido a que </w:t>
      </w:r>
      <w:r w:rsidR="006F55D4" w:rsidRPr="00EB4A99">
        <w:rPr>
          <w:rFonts w:asciiTheme="majorHAnsi" w:hAnsiTheme="majorHAnsi"/>
          <w:sz w:val="20"/>
          <w:szCs w:val="20"/>
          <w:lang w:val="es-PE"/>
        </w:rPr>
        <w:t>presentaba d</w:t>
      </w:r>
      <w:r w:rsidR="00F80CDC" w:rsidRPr="00EB4A99">
        <w:rPr>
          <w:rFonts w:asciiTheme="majorHAnsi" w:hAnsiTheme="majorHAnsi"/>
          <w:sz w:val="20"/>
          <w:szCs w:val="20"/>
          <w:lang w:val="es-PE"/>
        </w:rPr>
        <w:t>iverso</w:t>
      </w:r>
      <w:r w:rsidR="006F55D4" w:rsidRPr="00EB4A99">
        <w:rPr>
          <w:rFonts w:asciiTheme="majorHAnsi" w:hAnsiTheme="majorHAnsi"/>
          <w:sz w:val="20"/>
          <w:szCs w:val="20"/>
          <w:lang w:val="es-PE"/>
        </w:rPr>
        <w:t xml:space="preserve">s problemas de salud </w:t>
      </w:r>
      <w:r w:rsidR="004D40D5" w:rsidRPr="00EB4A99">
        <w:rPr>
          <w:rFonts w:asciiTheme="majorHAnsi" w:hAnsiTheme="majorHAnsi"/>
          <w:sz w:val="20"/>
          <w:szCs w:val="20"/>
          <w:lang w:val="es-PE"/>
        </w:rPr>
        <w:t>que la obligaban a tramitar distintas bajas médicas ante el Consejo de la Magistratura</w:t>
      </w:r>
      <w:r w:rsidR="002601C2" w:rsidRPr="00EB4A99">
        <w:rPr>
          <w:rFonts w:asciiTheme="majorHAnsi" w:hAnsiTheme="majorHAnsi"/>
          <w:sz w:val="20"/>
          <w:szCs w:val="20"/>
          <w:lang w:val="es-PE"/>
        </w:rPr>
        <w:t xml:space="preserve">; </w:t>
      </w:r>
      <w:r w:rsidR="003F13E2">
        <w:rPr>
          <w:rFonts w:asciiTheme="majorHAnsi" w:hAnsiTheme="majorHAnsi"/>
          <w:sz w:val="20"/>
          <w:szCs w:val="20"/>
          <w:lang w:val="es-PE"/>
        </w:rPr>
        <w:t xml:space="preserve">e </w:t>
      </w:r>
      <w:r w:rsidR="00F80CDC" w:rsidRPr="00EB4A99">
        <w:rPr>
          <w:rFonts w:asciiTheme="majorHAnsi" w:hAnsiTheme="majorHAnsi"/>
          <w:sz w:val="20"/>
          <w:szCs w:val="20"/>
          <w:lang w:val="es-PE"/>
        </w:rPr>
        <w:t>incluso fue operada de cáncer de útero en 2019</w:t>
      </w:r>
      <w:r w:rsidR="006F55D4" w:rsidRPr="00EB4A99">
        <w:rPr>
          <w:rFonts w:asciiTheme="majorHAnsi" w:hAnsiTheme="majorHAnsi"/>
          <w:sz w:val="20"/>
          <w:szCs w:val="20"/>
          <w:lang w:val="es-PE"/>
        </w:rPr>
        <w:t xml:space="preserve">. </w:t>
      </w:r>
      <w:r w:rsidR="00EA58FF" w:rsidRPr="00EB4A99">
        <w:rPr>
          <w:rFonts w:asciiTheme="majorHAnsi" w:hAnsiTheme="majorHAnsi"/>
          <w:sz w:val="20"/>
          <w:szCs w:val="20"/>
          <w:lang w:val="es-PE"/>
        </w:rPr>
        <w:t xml:space="preserve">Además, </w:t>
      </w:r>
      <w:r w:rsidR="004D40D5" w:rsidRPr="00EB4A99">
        <w:rPr>
          <w:rFonts w:asciiTheme="majorHAnsi" w:hAnsiTheme="majorHAnsi"/>
          <w:sz w:val="20"/>
          <w:szCs w:val="20"/>
          <w:lang w:val="es-PE"/>
        </w:rPr>
        <w:t>al ser madre soltera</w:t>
      </w:r>
      <w:r w:rsidR="00B3606D">
        <w:rPr>
          <w:rFonts w:asciiTheme="majorHAnsi" w:hAnsiTheme="majorHAnsi"/>
          <w:sz w:val="20"/>
          <w:szCs w:val="20"/>
          <w:lang w:val="es-PE"/>
        </w:rPr>
        <w:t>,</w:t>
      </w:r>
      <w:r w:rsidR="004D40D5" w:rsidRPr="00EB4A99">
        <w:rPr>
          <w:rFonts w:asciiTheme="majorHAnsi" w:hAnsiTheme="majorHAnsi"/>
          <w:sz w:val="20"/>
          <w:szCs w:val="20"/>
          <w:lang w:val="es-PE"/>
        </w:rPr>
        <w:t xml:space="preserve"> </w:t>
      </w:r>
      <w:r w:rsidR="00EA58FF" w:rsidRPr="00EB4A99">
        <w:rPr>
          <w:rFonts w:asciiTheme="majorHAnsi" w:hAnsiTheme="majorHAnsi"/>
          <w:sz w:val="20"/>
          <w:szCs w:val="20"/>
          <w:lang w:val="es-PE"/>
        </w:rPr>
        <w:t xml:space="preserve">encontrarse en provincia le impedía cuidar </w:t>
      </w:r>
      <w:r w:rsidR="002601C2" w:rsidRPr="00EB4A99">
        <w:rPr>
          <w:rFonts w:asciiTheme="majorHAnsi" w:hAnsiTheme="majorHAnsi"/>
          <w:sz w:val="20"/>
          <w:szCs w:val="20"/>
          <w:lang w:val="es-PE"/>
        </w:rPr>
        <w:t>de</w:t>
      </w:r>
      <w:r w:rsidR="00EA58FF" w:rsidRPr="00EB4A99">
        <w:rPr>
          <w:rFonts w:asciiTheme="majorHAnsi" w:hAnsiTheme="majorHAnsi"/>
          <w:sz w:val="20"/>
          <w:szCs w:val="20"/>
          <w:lang w:val="es-PE"/>
        </w:rPr>
        <w:t xml:space="preserve"> sus hijos</w:t>
      </w:r>
      <w:r w:rsidR="004D40D5" w:rsidRPr="00EB4A99">
        <w:rPr>
          <w:rFonts w:asciiTheme="majorHAnsi" w:hAnsiTheme="majorHAnsi"/>
          <w:sz w:val="20"/>
          <w:szCs w:val="20"/>
          <w:lang w:val="es-PE"/>
        </w:rPr>
        <w:t xml:space="preserve"> que </w:t>
      </w:r>
      <w:r w:rsidR="00EA58FF" w:rsidRPr="00EB4A99">
        <w:rPr>
          <w:rFonts w:asciiTheme="majorHAnsi" w:hAnsiTheme="majorHAnsi"/>
          <w:sz w:val="20"/>
          <w:szCs w:val="20"/>
          <w:lang w:val="es-PE"/>
        </w:rPr>
        <w:t>vivían solos</w:t>
      </w:r>
      <w:r w:rsidR="00F80CDC" w:rsidRPr="00EB4A99">
        <w:rPr>
          <w:rFonts w:asciiTheme="majorHAnsi" w:hAnsiTheme="majorHAnsi"/>
          <w:sz w:val="20"/>
          <w:szCs w:val="20"/>
          <w:lang w:val="es-PE"/>
        </w:rPr>
        <w:t xml:space="preserve"> en la capital</w:t>
      </w:r>
      <w:r w:rsidR="004D40D5" w:rsidRPr="00EB4A99">
        <w:rPr>
          <w:rFonts w:asciiTheme="majorHAnsi" w:hAnsiTheme="majorHAnsi"/>
          <w:sz w:val="20"/>
          <w:szCs w:val="20"/>
          <w:lang w:val="es-PE"/>
        </w:rPr>
        <w:t>,</w:t>
      </w:r>
      <w:r w:rsidR="00EA58FF" w:rsidRPr="00EB4A99">
        <w:rPr>
          <w:rFonts w:asciiTheme="majorHAnsi" w:hAnsiTheme="majorHAnsi"/>
          <w:sz w:val="20"/>
          <w:szCs w:val="20"/>
          <w:lang w:val="es-PE"/>
        </w:rPr>
        <w:t xml:space="preserve"> y </w:t>
      </w:r>
      <w:r w:rsidR="00F80CDC" w:rsidRPr="00EB4A99">
        <w:rPr>
          <w:rFonts w:asciiTheme="majorHAnsi" w:hAnsiTheme="majorHAnsi"/>
          <w:sz w:val="20"/>
          <w:szCs w:val="20"/>
          <w:lang w:val="es-PE"/>
        </w:rPr>
        <w:t>de</w:t>
      </w:r>
      <w:r w:rsidR="00EA58FF" w:rsidRPr="00EB4A99">
        <w:rPr>
          <w:rFonts w:asciiTheme="majorHAnsi" w:hAnsiTheme="majorHAnsi"/>
          <w:sz w:val="20"/>
          <w:szCs w:val="20"/>
          <w:lang w:val="es-PE"/>
        </w:rPr>
        <w:t xml:space="preserve"> sus padres que </w:t>
      </w:r>
      <w:r w:rsidR="004D40D5" w:rsidRPr="00EB4A99">
        <w:rPr>
          <w:rFonts w:asciiTheme="majorHAnsi" w:hAnsiTheme="majorHAnsi"/>
          <w:sz w:val="20"/>
          <w:szCs w:val="20"/>
          <w:lang w:val="es-PE"/>
        </w:rPr>
        <w:t>requ</w:t>
      </w:r>
      <w:r w:rsidR="00F80CDC" w:rsidRPr="00EB4A99">
        <w:rPr>
          <w:rFonts w:asciiTheme="majorHAnsi" w:hAnsiTheme="majorHAnsi"/>
          <w:sz w:val="20"/>
          <w:szCs w:val="20"/>
          <w:lang w:val="es-PE"/>
        </w:rPr>
        <w:t>erían</w:t>
      </w:r>
      <w:r w:rsidR="004D40D5" w:rsidRPr="00EB4A99">
        <w:rPr>
          <w:rFonts w:asciiTheme="majorHAnsi" w:hAnsiTheme="majorHAnsi"/>
          <w:sz w:val="20"/>
          <w:szCs w:val="20"/>
          <w:lang w:val="es-PE"/>
        </w:rPr>
        <w:t xml:space="preserve"> asistencia </w:t>
      </w:r>
      <w:r w:rsidR="00F80CDC" w:rsidRPr="00EB4A99">
        <w:rPr>
          <w:rFonts w:asciiTheme="majorHAnsi" w:hAnsiTheme="majorHAnsi"/>
          <w:sz w:val="20"/>
          <w:szCs w:val="20"/>
          <w:lang w:val="es-PE"/>
        </w:rPr>
        <w:t>debido a</w:t>
      </w:r>
      <w:r w:rsidR="004D40D5" w:rsidRPr="00EB4A99">
        <w:rPr>
          <w:rFonts w:asciiTheme="majorHAnsi" w:hAnsiTheme="majorHAnsi"/>
          <w:sz w:val="20"/>
          <w:szCs w:val="20"/>
          <w:lang w:val="es-PE"/>
        </w:rPr>
        <w:t xml:space="preserve"> </w:t>
      </w:r>
      <w:r w:rsidR="00F80CDC" w:rsidRPr="00EB4A99">
        <w:rPr>
          <w:rFonts w:asciiTheme="majorHAnsi" w:hAnsiTheme="majorHAnsi"/>
          <w:sz w:val="20"/>
          <w:szCs w:val="20"/>
          <w:lang w:val="es-PE"/>
        </w:rPr>
        <w:t>que solo se moviliza</w:t>
      </w:r>
      <w:r w:rsidR="002601C2" w:rsidRPr="00EB4A99">
        <w:rPr>
          <w:rFonts w:asciiTheme="majorHAnsi" w:hAnsiTheme="majorHAnsi"/>
          <w:sz w:val="20"/>
          <w:szCs w:val="20"/>
          <w:lang w:val="es-PE"/>
        </w:rPr>
        <w:t>ba</w:t>
      </w:r>
      <w:r w:rsidR="00F80CDC" w:rsidRPr="00EB4A99">
        <w:rPr>
          <w:rFonts w:asciiTheme="majorHAnsi" w:hAnsiTheme="majorHAnsi"/>
          <w:sz w:val="20"/>
          <w:szCs w:val="20"/>
          <w:lang w:val="es-PE"/>
        </w:rPr>
        <w:t xml:space="preserve">n </w:t>
      </w:r>
      <w:r w:rsidR="00EA58FF" w:rsidRPr="00EB4A99">
        <w:rPr>
          <w:rFonts w:asciiTheme="majorHAnsi" w:hAnsiTheme="majorHAnsi"/>
          <w:sz w:val="20"/>
          <w:szCs w:val="20"/>
          <w:lang w:val="es-PE"/>
        </w:rPr>
        <w:t>en silla de ruedas.</w:t>
      </w:r>
      <w:r w:rsidR="004D40D5" w:rsidRPr="00EB4A99">
        <w:rPr>
          <w:rFonts w:asciiTheme="majorHAnsi" w:hAnsiTheme="majorHAnsi"/>
          <w:sz w:val="20"/>
          <w:szCs w:val="20"/>
          <w:lang w:val="es-PE"/>
        </w:rPr>
        <w:t xml:space="preserve"> Pese a cumplir con su trabajo y no contar con</w:t>
      </w:r>
      <w:r w:rsidR="0027492F" w:rsidRPr="00EB4A99">
        <w:rPr>
          <w:rFonts w:asciiTheme="majorHAnsi" w:hAnsiTheme="majorHAnsi"/>
          <w:sz w:val="20"/>
          <w:szCs w:val="20"/>
          <w:lang w:val="es-PE"/>
        </w:rPr>
        <w:t xml:space="preserve"> antecedente</w:t>
      </w:r>
      <w:r w:rsidR="004D40D5" w:rsidRPr="00EB4A99">
        <w:rPr>
          <w:rFonts w:asciiTheme="majorHAnsi" w:hAnsiTheme="majorHAnsi"/>
          <w:sz w:val="20"/>
          <w:szCs w:val="20"/>
          <w:lang w:val="es-PE"/>
        </w:rPr>
        <w:t>s</w:t>
      </w:r>
      <w:r w:rsidR="0027492F" w:rsidRPr="00EB4A99">
        <w:rPr>
          <w:rFonts w:asciiTheme="majorHAnsi" w:hAnsiTheme="majorHAnsi"/>
          <w:sz w:val="20"/>
          <w:szCs w:val="20"/>
          <w:lang w:val="es-PE"/>
        </w:rPr>
        <w:t xml:space="preserve"> penal</w:t>
      </w:r>
      <w:r w:rsidR="004D40D5" w:rsidRPr="00EB4A99">
        <w:rPr>
          <w:rFonts w:asciiTheme="majorHAnsi" w:hAnsiTheme="majorHAnsi"/>
          <w:sz w:val="20"/>
          <w:szCs w:val="20"/>
          <w:lang w:val="es-PE"/>
        </w:rPr>
        <w:t>es o</w:t>
      </w:r>
      <w:r w:rsidR="0027492F" w:rsidRPr="00EB4A99">
        <w:rPr>
          <w:rFonts w:asciiTheme="majorHAnsi" w:hAnsiTheme="majorHAnsi"/>
          <w:sz w:val="20"/>
          <w:szCs w:val="20"/>
          <w:lang w:val="es-PE"/>
        </w:rPr>
        <w:t xml:space="preserve"> disciplinario</w:t>
      </w:r>
      <w:r w:rsidR="004D40D5" w:rsidRPr="00EB4A99">
        <w:rPr>
          <w:rFonts w:asciiTheme="majorHAnsi" w:hAnsiTheme="majorHAnsi"/>
          <w:sz w:val="20"/>
          <w:szCs w:val="20"/>
          <w:lang w:val="es-PE"/>
        </w:rPr>
        <w:t>s, sus pedidos siempre fueron rechazados.</w:t>
      </w:r>
    </w:p>
    <w:p w14:paraId="468CFD63" w14:textId="77777777" w:rsidR="00EB4A99" w:rsidRPr="00EB4A99" w:rsidRDefault="00EB4A99" w:rsidP="00EB4A99">
      <w:pPr>
        <w:pStyle w:val="ListParagraph"/>
        <w:rPr>
          <w:rFonts w:asciiTheme="majorHAnsi" w:hAnsiTheme="majorHAnsi"/>
          <w:sz w:val="20"/>
          <w:szCs w:val="20"/>
          <w:lang w:val="es-PE"/>
        </w:rPr>
      </w:pPr>
    </w:p>
    <w:p w14:paraId="650D8307" w14:textId="662D6EE6" w:rsidR="00EB4A99" w:rsidRPr="00EB4A99" w:rsidRDefault="00236A89">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sz w:val="20"/>
          <w:szCs w:val="20"/>
          <w:lang w:val="es-PE"/>
        </w:rPr>
      </w:pPr>
      <w:r>
        <w:rPr>
          <w:rFonts w:asciiTheme="majorHAnsi" w:hAnsiTheme="majorHAnsi"/>
          <w:sz w:val="20"/>
          <w:szCs w:val="20"/>
          <w:lang w:val="es-PE"/>
        </w:rPr>
        <w:t>Más aún</w:t>
      </w:r>
      <w:r w:rsidR="004D40D5" w:rsidRPr="00EB4A99">
        <w:rPr>
          <w:rFonts w:asciiTheme="majorHAnsi" w:hAnsiTheme="majorHAnsi"/>
          <w:sz w:val="20"/>
          <w:szCs w:val="20"/>
          <w:lang w:val="es-PE"/>
        </w:rPr>
        <w:t>,</w:t>
      </w:r>
      <w:r w:rsidR="001B2975" w:rsidRPr="00EB4A99">
        <w:rPr>
          <w:rFonts w:asciiTheme="majorHAnsi" w:hAnsiTheme="majorHAnsi"/>
          <w:sz w:val="20"/>
          <w:szCs w:val="20"/>
          <w:lang w:val="es-PE"/>
        </w:rPr>
        <w:t xml:space="preserve"> mediante el Acuerdo de Sala Plena N°</w:t>
      </w:r>
      <w:r w:rsidR="00033137">
        <w:rPr>
          <w:rFonts w:asciiTheme="majorHAnsi" w:hAnsiTheme="majorHAnsi"/>
          <w:sz w:val="20"/>
          <w:szCs w:val="20"/>
          <w:lang w:val="es-PE"/>
        </w:rPr>
        <w:t xml:space="preserve"> </w:t>
      </w:r>
      <w:r w:rsidR="001B2975" w:rsidRPr="00EB4A99">
        <w:rPr>
          <w:rFonts w:asciiTheme="majorHAnsi" w:hAnsiTheme="majorHAnsi"/>
          <w:sz w:val="20"/>
          <w:szCs w:val="20"/>
          <w:lang w:val="es-PE"/>
        </w:rPr>
        <w:t>73/2017</w:t>
      </w:r>
      <w:r w:rsidR="004508F0">
        <w:rPr>
          <w:rFonts w:asciiTheme="majorHAnsi" w:hAnsiTheme="majorHAnsi"/>
          <w:sz w:val="20"/>
          <w:szCs w:val="20"/>
          <w:lang w:val="es-PE"/>
        </w:rPr>
        <w:t>,</w:t>
      </w:r>
      <w:r w:rsidR="001B2975" w:rsidRPr="00EB4A99">
        <w:rPr>
          <w:rFonts w:asciiTheme="majorHAnsi" w:hAnsiTheme="majorHAnsi"/>
          <w:sz w:val="20"/>
          <w:szCs w:val="20"/>
          <w:lang w:val="es-PE"/>
        </w:rPr>
        <w:t xml:space="preserve"> el Consejo de la Magistratura destituyó a la </w:t>
      </w:r>
      <w:r w:rsidR="004D40D5" w:rsidRPr="00EB4A99">
        <w:rPr>
          <w:rFonts w:asciiTheme="majorHAnsi" w:hAnsiTheme="majorHAnsi"/>
          <w:sz w:val="20"/>
          <w:szCs w:val="20"/>
          <w:lang w:val="es-PE"/>
        </w:rPr>
        <w:t xml:space="preserve">señora Javier </w:t>
      </w:r>
      <w:r w:rsidR="004508F0">
        <w:rPr>
          <w:rFonts w:asciiTheme="majorHAnsi" w:hAnsiTheme="majorHAnsi"/>
          <w:sz w:val="20"/>
          <w:szCs w:val="20"/>
          <w:lang w:val="es-PE"/>
        </w:rPr>
        <w:t xml:space="preserve">López </w:t>
      </w:r>
      <w:r w:rsidR="004D40D5" w:rsidRPr="00EB4A99">
        <w:rPr>
          <w:rFonts w:asciiTheme="majorHAnsi" w:hAnsiTheme="majorHAnsi"/>
          <w:sz w:val="20"/>
          <w:szCs w:val="20"/>
          <w:lang w:val="es-PE"/>
        </w:rPr>
        <w:t>junto a otros jueces</w:t>
      </w:r>
      <w:r w:rsidR="00F80CDC" w:rsidRPr="00EB4A99">
        <w:rPr>
          <w:rFonts w:asciiTheme="majorHAnsi" w:hAnsiTheme="majorHAnsi"/>
          <w:sz w:val="20"/>
          <w:szCs w:val="20"/>
          <w:lang w:val="es-PE"/>
        </w:rPr>
        <w:t xml:space="preserve">, basándose en el carácter transitorio de sus cargos. </w:t>
      </w:r>
      <w:r w:rsidR="00314E14">
        <w:rPr>
          <w:rFonts w:asciiTheme="majorHAnsi" w:hAnsiTheme="majorHAnsi"/>
          <w:sz w:val="20"/>
          <w:szCs w:val="20"/>
          <w:lang w:val="es-PE"/>
        </w:rPr>
        <w:t>La exjueza</w:t>
      </w:r>
      <w:r w:rsidR="00F80CDC" w:rsidRPr="00EB4A99">
        <w:rPr>
          <w:rFonts w:asciiTheme="majorHAnsi" w:hAnsiTheme="majorHAnsi"/>
          <w:sz w:val="20"/>
          <w:szCs w:val="20"/>
          <w:lang w:val="es-PE"/>
        </w:rPr>
        <w:t xml:space="preserve"> </w:t>
      </w:r>
      <w:r w:rsidR="001B2975" w:rsidRPr="00EB4A99">
        <w:rPr>
          <w:rFonts w:asciiTheme="majorHAnsi" w:hAnsiTheme="majorHAnsi"/>
          <w:sz w:val="20"/>
          <w:szCs w:val="20"/>
          <w:lang w:val="es-PE"/>
        </w:rPr>
        <w:t>interpuso un recurso de revocatoria</w:t>
      </w:r>
      <w:r w:rsidR="002601C2" w:rsidRPr="00EB4A99">
        <w:rPr>
          <w:rFonts w:asciiTheme="majorHAnsi" w:hAnsiTheme="majorHAnsi"/>
          <w:sz w:val="20"/>
          <w:szCs w:val="20"/>
          <w:lang w:val="es-PE"/>
        </w:rPr>
        <w:t xml:space="preserve">, pero </w:t>
      </w:r>
      <w:r w:rsidR="00A758D1">
        <w:rPr>
          <w:rFonts w:asciiTheme="majorHAnsi" w:hAnsiTheme="majorHAnsi"/>
          <w:sz w:val="20"/>
          <w:szCs w:val="20"/>
          <w:lang w:val="es-PE"/>
        </w:rPr>
        <w:t xml:space="preserve">el </w:t>
      </w:r>
      <w:r w:rsidR="004508F0">
        <w:rPr>
          <w:rFonts w:asciiTheme="majorHAnsi" w:hAnsiTheme="majorHAnsi"/>
          <w:sz w:val="20"/>
          <w:szCs w:val="20"/>
          <w:lang w:val="es-PE"/>
        </w:rPr>
        <w:t>C</w:t>
      </w:r>
      <w:r w:rsidR="00A758D1">
        <w:rPr>
          <w:rFonts w:asciiTheme="majorHAnsi" w:hAnsiTheme="majorHAnsi"/>
          <w:sz w:val="20"/>
          <w:szCs w:val="20"/>
          <w:lang w:val="es-PE"/>
        </w:rPr>
        <w:t>onsejo</w:t>
      </w:r>
      <w:r w:rsidR="002601C2" w:rsidRPr="00EB4A99">
        <w:rPr>
          <w:rFonts w:asciiTheme="majorHAnsi" w:hAnsiTheme="majorHAnsi"/>
          <w:sz w:val="20"/>
          <w:szCs w:val="20"/>
          <w:lang w:val="es-PE"/>
        </w:rPr>
        <w:t xml:space="preserve"> </w:t>
      </w:r>
      <w:r w:rsidR="00F80CDC" w:rsidRPr="00EB4A99">
        <w:rPr>
          <w:rFonts w:asciiTheme="majorHAnsi" w:hAnsiTheme="majorHAnsi"/>
          <w:sz w:val="20"/>
          <w:szCs w:val="20"/>
          <w:lang w:val="es-PE"/>
        </w:rPr>
        <w:t>solo confirmó su</w:t>
      </w:r>
      <w:r w:rsidR="004D40D5" w:rsidRPr="00EB4A99">
        <w:rPr>
          <w:rFonts w:asciiTheme="majorHAnsi" w:hAnsiTheme="majorHAnsi"/>
          <w:sz w:val="20"/>
          <w:szCs w:val="20"/>
          <w:lang w:val="es-PE"/>
        </w:rPr>
        <w:t xml:space="preserve"> </w:t>
      </w:r>
      <w:r w:rsidR="00F80CDC" w:rsidRPr="00EB4A99">
        <w:rPr>
          <w:rFonts w:asciiTheme="majorHAnsi" w:hAnsiTheme="majorHAnsi"/>
          <w:sz w:val="20"/>
          <w:szCs w:val="20"/>
          <w:lang w:val="es-PE"/>
        </w:rPr>
        <w:t>decisión</w:t>
      </w:r>
      <w:r w:rsidR="001B2975" w:rsidRPr="00EB4A99">
        <w:rPr>
          <w:rFonts w:asciiTheme="majorHAnsi" w:hAnsiTheme="majorHAnsi"/>
          <w:sz w:val="20"/>
          <w:szCs w:val="20"/>
          <w:lang w:val="es-PE"/>
        </w:rPr>
        <w:t>.</w:t>
      </w:r>
      <w:r w:rsidR="004508F0">
        <w:rPr>
          <w:rFonts w:asciiTheme="majorHAnsi" w:hAnsiTheme="majorHAnsi"/>
          <w:sz w:val="20"/>
          <w:szCs w:val="20"/>
          <w:lang w:val="es-PE"/>
        </w:rPr>
        <w:t xml:space="preserve"> Entonces la presunta víctima i</w:t>
      </w:r>
      <w:r w:rsidR="001B2975" w:rsidRPr="00EB4A99">
        <w:rPr>
          <w:rFonts w:asciiTheme="majorHAnsi" w:hAnsiTheme="majorHAnsi"/>
          <w:sz w:val="20"/>
          <w:szCs w:val="20"/>
          <w:lang w:val="es-PE"/>
        </w:rPr>
        <w:t>nterpuso una acción de amparo constitucional ante el Juzgado Público Civil y Comercial N°</w:t>
      </w:r>
      <w:r w:rsidR="004508F0">
        <w:rPr>
          <w:rFonts w:asciiTheme="majorHAnsi" w:hAnsiTheme="majorHAnsi"/>
          <w:sz w:val="20"/>
          <w:szCs w:val="20"/>
          <w:lang w:val="es-PE"/>
        </w:rPr>
        <w:t xml:space="preserve"> </w:t>
      </w:r>
      <w:r w:rsidR="001B2975" w:rsidRPr="00EB4A99">
        <w:rPr>
          <w:rFonts w:asciiTheme="majorHAnsi" w:hAnsiTheme="majorHAnsi"/>
          <w:sz w:val="20"/>
          <w:szCs w:val="20"/>
          <w:lang w:val="es-PE"/>
        </w:rPr>
        <w:t>27 de Santa Cruz</w:t>
      </w:r>
      <w:r w:rsidR="00CA4D40" w:rsidRPr="00EB4A99">
        <w:rPr>
          <w:rFonts w:asciiTheme="majorHAnsi" w:hAnsiTheme="majorHAnsi"/>
          <w:sz w:val="20"/>
          <w:szCs w:val="20"/>
          <w:lang w:val="es-PE"/>
        </w:rPr>
        <w:t>, donde también alegó su condición de discapacidad</w:t>
      </w:r>
      <w:r w:rsidR="004D40D5" w:rsidRPr="00EB4A99">
        <w:rPr>
          <w:rFonts w:asciiTheme="majorHAnsi" w:hAnsiTheme="majorHAnsi"/>
          <w:sz w:val="20"/>
          <w:szCs w:val="20"/>
          <w:lang w:val="es-PE"/>
        </w:rPr>
        <w:t xml:space="preserve"> para solicitar la inamovilidad de su cargo</w:t>
      </w:r>
      <w:r w:rsidR="001B2975" w:rsidRPr="00EB4A99">
        <w:rPr>
          <w:rFonts w:asciiTheme="majorHAnsi" w:hAnsiTheme="majorHAnsi"/>
          <w:sz w:val="20"/>
          <w:szCs w:val="20"/>
          <w:lang w:val="es-PE"/>
        </w:rPr>
        <w:t xml:space="preserve">. </w:t>
      </w:r>
      <w:r w:rsidR="00701704" w:rsidRPr="00EB4A99">
        <w:rPr>
          <w:rFonts w:asciiTheme="majorHAnsi" w:hAnsiTheme="majorHAnsi"/>
          <w:sz w:val="20"/>
          <w:szCs w:val="20"/>
          <w:lang w:val="es-PE"/>
        </w:rPr>
        <w:t>E</w:t>
      </w:r>
      <w:r w:rsidR="00F80CDC" w:rsidRPr="00EB4A99">
        <w:rPr>
          <w:rFonts w:asciiTheme="majorHAnsi" w:hAnsiTheme="majorHAnsi"/>
          <w:sz w:val="20"/>
          <w:szCs w:val="20"/>
          <w:lang w:val="es-PE"/>
        </w:rPr>
        <w:t>l</w:t>
      </w:r>
      <w:r w:rsidR="001B2975" w:rsidRPr="00EB4A99">
        <w:rPr>
          <w:rFonts w:asciiTheme="majorHAnsi" w:hAnsiTheme="majorHAnsi"/>
          <w:sz w:val="20"/>
          <w:szCs w:val="20"/>
          <w:lang w:val="es-PE"/>
        </w:rPr>
        <w:t xml:space="preserve"> juzgado </w:t>
      </w:r>
      <w:r w:rsidR="00701704" w:rsidRPr="00EB4A99">
        <w:rPr>
          <w:rFonts w:asciiTheme="majorHAnsi" w:hAnsiTheme="majorHAnsi"/>
          <w:sz w:val="20"/>
          <w:szCs w:val="20"/>
          <w:lang w:val="es-PE"/>
        </w:rPr>
        <w:t xml:space="preserve">denegó la tutela indicando que no se vulneraron sus derechos </w:t>
      </w:r>
      <w:r w:rsidR="004D40D5" w:rsidRPr="00EB4A99">
        <w:rPr>
          <w:rFonts w:asciiTheme="majorHAnsi" w:hAnsiTheme="majorHAnsi"/>
          <w:sz w:val="20"/>
          <w:szCs w:val="20"/>
          <w:lang w:val="es-PE"/>
        </w:rPr>
        <w:t>al tratarse de una jueza con cargo transitorio</w:t>
      </w:r>
      <w:r w:rsidR="001B2975" w:rsidRPr="00EB4A99">
        <w:rPr>
          <w:rFonts w:asciiTheme="majorHAnsi" w:hAnsiTheme="majorHAnsi"/>
          <w:sz w:val="20"/>
          <w:szCs w:val="20"/>
          <w:lang w:val="es-PE"/>
        </w:rPr>
        <w:t xml:space="preserve">. </w:t>
      </w:r>
      <w:r w:rsidR="003F13E2">
        <w:rPr>
          <w:rFonts w:asciiTheme="majorHAnsi" w:hAnsiTheme="majorHAnsi"/>
          <w:sz w:val="20"/>
          <w:szCs w:val="20"/>
          <w:lang w:val="es-PE"/>
        </w:rPr>
        <w:t>Luego</w:t>
      </w:r>
      <w:r w:rsidR="001B2975" w:rsidRPr="00EB4A99">
        <w:rPr>
          <w:rFonts w:asciiTheme="majorHAnsi" w:hAnsiTheme="majorHAnsi"/>
          <w:sz w:val="20"/>
          <w:szCs w:val="20"/>
          <w:lang w:val="es-PE"/>
        </w:rPr>
        <w:t>, el Tribunal Constitucional Plurinacional de Bolivia confirmó la denegatoria del ampar</w:t>
      </w:r>
      <w:r w:rsidR="00CA4D40" w:rsidRPr="00EB4A99">
        <w:rPr>
          <w:rFonts w:asciiTheme="majorHAnsi" w:hAnsiTheme="majorHAnsi"/>
          <w:sz w:val="20"/>
          <w:szCs w:val="20"/>
          <w:lang w:val="es-PE"/>
        </w:rPr>
        <w:t xml:space="preserve">o, </w:t>
      </w:r>
      <w:r w:rsidR="00701704" w:rsidRPr="00EB4A99">
        <w:rPr>
          <w:rFonts w:asciiTheme="majorHAnsi" w:hAnsiTheme="majorHAnsi"/>
          <w:sz w:val="20"/>
          <w:szCs w:val="20"/>
          <w:lang w:val="es-PE"/>
        </w:rPr>
        <w:t xml:space="preserve">decisión </w:t>
      </w:r>
      <w:r w:rsidR="00CA4D40" w:rsidRPr="00EB4A99">
        <w:rPr>
          <w:rFonts w:asciiTheme="majorHAnsi" w:hAnsiTheme="majorHAnsi"/>
          <w:sz w:val="20"/>
          <w:szCs w:val="20"/>
          <w:lang w:val="es-PE"/>
        </w:rPr>
        <w:t xml:space="preserve">que </w:t>
      </w:r>
      <w:r w:rsidR="00701704" w:rsidRPr="00EB4A99">
        <w:rPr>
          <w:rFonts w:asciiTheme="majorHAnsi" w:hAnsiTheme="majorHAnsi"/>
          <w:sz w:val="20"/>
          <w:szCs w:val="20"/>
          <w:lang w:val="es-PE"/>
        </w:rPr>
        <w:t>fue notificada el 11 de abril de 2019.</w:t>
      </w:r>
    </w:p>
    <w:p w14:paraId="52688DDE" w14:textId="77777777" w:rsidR="00EB4A99" w:rsidRPr="00EB4A99" w:rsidRDefault="00EB4A99" w:rsidP="00EB4A99">
      <w:pPr>
        <w:pStyle w:val="ListParagraph"/>
        <w:rPr>
          <w:rFonts w:asciiTheme="majorHAnsi" w:hAnsiTheme="majorHAnsi"/>
          <w:sz w:val="20"/>
          <w:szCs w:val="20"/>
          <w:lang w:val="es-PE"/>
        </w:rPr>
      </w:pPr>
    </w:p>
    <w:p w14:paraId="5F5861EB" w14:textId="78046DC1" w:rsidR="00EB4A99" w:rsidRPr="00766087" w:rsidRDefault="007C042E" w:rsidP="007C03A3">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sz w:val="20"/>
          <w:szCs w:val="20"/>
          <w:lang w:val="es-PE"/>
        </w:rPr>
      </w:pPr>
      <w:r w:rsidRPr="00766087">
        <w:rPr>
          <w:rFonts w:asciiTheme="majorHAnsi" w:hAnsiTheme="majorHAnsi"/>
          <w:sz w:val="20"/>
          <w:szCs w:val="20"/>
          <w:lang w:val="es-PE"/>
        </w:rPr>
        <w:t>El peticionario argumenta que</w:t>
      </w:r>
      <w:r w:rsidR="003F13E2" w:rsidRPr="00766087">
        <w:rPr>
          <w:rFonts w:asciiTheme="majorHAnsi" w:hAnsiTheme="majorHAnsi"/>
          <w:sz w:val="20"/>
          <w:szCs w:val="20"/>
          <w:lang w:val="es-PE"/>
        </w:rPr>
        <w:t xml:space="preserve"> además de las afectaciones a los derechos contemplados en la Convención, </w:t>
      </w:r>
      <w:r w:rsidR="00542870" w:rsidRPr="00766087">
        <w:rPr>
          <w:rFonts w:asciiTheme="majorHAnsi" w:hAnsiTheme="majorHAnsi"/>
          <w:sz w:val="20"/>
          <w:szCs w:val="20"/>
          <w:lang w:val="es-PE"/>
        </w:rPr>
        <w:t>Bolivia también</w:t>
      </w:r>
      <w:r w:rsidR="00701704" w:rsidRPr="00766087">
        <w:rPr>
          <w:rFonts w:asciiTheme="majorHAnsi" w:hAnsiTheme="majorHAnsi"/>
          <w:sz w:val="20"/>
          <w:szCs w:val="20"/>
          <w:lang w:val="es-PE"/>
        </w:rPr>
        <w:t xml:space="preserve"> </w:t>
      </w:r>
      <w:r w:rsidR="003F13E2" w:rsidRPr="00766087">
        <w:rPr>
          <w:rFonts w:asciiTheme="majorHAnsi" w:hAnsiTheme="majorHAnsi"/>
          <w:sz w:val="20"/>
          <w:szCs w:val="20"/>
          <w:lang w:val="es-PE"/>
        </w:rPr>
        <w:t xml:space="preserve">incumplió </w:t>
      </w:r>
      <w:r w:rsidR="00701704" w:rsidRPr="00766087">
        <w:rPr>
          <w:rFonts w:asciiTheme="majorHAnsi" w:hAnsiTheme="majorHAnsi"/>
          <w:sz w:val="20"/>
          <w:szCs w:val="20"/>
          <w:lang w:val="es-PE"/>
        </w:rPr>
        <w:t xml:space="preserve">la </w:t>
      </w:r>
      <w:r w:rsidR="002601C2" w:rsidRPr="00766087">
        <w:rPr>
          <w:rFonts w:asciiTheme="majorHAnsi" w:hAnsiTheme="majorHAnsi"/>
          <w:sz w:val="20"/>
          <w:szCs w:val="20"/>
          <w:lang w:val="es-PE"/>
        </w:rPr>
        <w:t>Convención</w:t>
      </w:r>
      <w:r w:rsidR="004D40D5" w:rsidRPr="00766087">
        <w:rPr>
          <w:rFonts w:asciiTheme="majorHAnsi" w:hAnsiTheme="majorHAnsi"/>
          <w:sz w:val="20"/>
          <w:szCs w:val="20"/>
          <w:lang w:val="es-PE"/>
        </w:rPr>
        <w:t xml:space="preserve"> Interamericana para la Eliminación de Todas </w:t>
      </w:r>
      <w:r w:rsidR="00F80CDC" w:rsidRPr="00766087">
        <w:rPr>
          <w:rFonts w:asciiTheme="majorHAnsi" w:hAnsiTheme="majorHAnsi"/>
          <w:sz w:val="20"/>
          <w:szCs w:val="20"/>
          <w:lang w:val="es-PE"/>
        </w:rPr>
        <w:t>l</w:t>
      </w:r>
      <w:r w:rsidR="004D40D5" w:rsidRPr="00766087">
        <w:rPr>
          <w:rFonts w:asciiTheme="majorHAnsi" w:hAnsiTheme="majorHAnsi"/>
          <w:sz w:val="20"/>
          <w:szCs w:val="20"/>
          <w:lang w:val="es-PE"/>
        </w:rPr>
        <w:t xml:space="preserve">as Formas </w:t>
      </w:r>
      <w:r w:rsidR="00F80CDC" w:rsidRPr="00766087">
        <w:rPr>
          <w:rFonts w:asciiTheme="majorHAnsi" w:hAnsiTheme="majorHAnsi"/>
          <w:sz w:val="20"/>
          <w:szCs w:val="20"/>
          <w:lang w:val="es-PE"/>
        </w:rPr>
        <w:t>d</w:t>
      </w:r>
      <w:r w:rsidR="004D40D5" w:rsidRPr="00766087">
        <w:rPr>
          <w:rFonts w:asciiTheme="majorHAnsi" w:hAnsiTheme="majorHAnsi"/>
          <w:sz w:val="20"/>
          <w:szCs w:val="20"/>
          <w:lang w:val="es-PE"/>
        </w:rPr>
        <w:t xml:space="preserve">e </w:t>
      </w:r>
      <w:r w:rsidR="00F80CDC" w:rsidRPr="00766087">
        <w:rPr>
          <w:rFonts w:asciiTheme="majorHAnsi" w:hAnsiTheme="majorHAnsi"/>
          <w:sz w:val="20"/>
          <w:szCs w:val="20"/>
          <w:lang w:val="es-PE"/>
        </w:rPr>
        <w:t>Discriminación</w:t>
      </w:r>
      <w:r w:rsidR="004D40D5" w:rsidRPr="00766087">
        <w:rPr>
          <w:rFonts w:asciiTheme="majorHAnsi" w:hAnsiTheme="majorHAnsi"/>
          <w:sz w:val="20"/>
          <w:szCs w:val="20"/>
          <w:lang w:val="es-PE"/>
        </w:rPr>
        <w:t xml:space="preserve"> </w:t>
      </w:r>
      <w:r w:rsidR="00F80CDC" w:rsidRPr="00766087">
        <w:rPr>
          <w:rFonts w:asciiTheme="majorHAnsi" w:hAnsiTheme="majorHAnsi"/>
          <w:sz w:val="20"/>
          <w:szCs w:val="20"/>
          <w:lang w:val="es-PE"/>
        </w:rPr>
        <w:t>c</w:t>
      </w:r>
      <w:r w:rsidR="004D40D5" w:rsidRPr="00766087">
        <w:rPr>
          <w:rFonts w:asciiTheme="majorHAnsi" w:hAnsiTheme="majorHAnsi"/>
          <w:sz w:val="20"/>
          <w:szCs w:val="20"/>
          <w:lang w:val="es-PE"/>
        </w:rPr>
        <w:t xml:space="preserve">ontra </w:t>
      </w:r>
      <w:r w:rsidR="00F80CDC" w:rsidRPr="00766087">
        <w:rPr>
          <w:rFonts w:asciiTheme="majorHAnsi" w:hAnsiTheme="majorHAnsi"/>
          <w:sz w:val="20"/>
          <w:szCs w:val="20"/>
          <w:lang w:val="es-PE"/>
        </w:rPr>
        <w:t>l</w:t>
      </w:r>
      <w:r w:rsidR="004D40D5" w:rsidRPr="00766087">
        <w:rPr>
          <w:rFonts w:asciiTheme="majorHAnsi" w:hAnsiTheme="majorHAnsi"/>
          <w:sz w:val="20"/>
          <w:szCs w:val="20"/>
          <w:lang w:val="es-PE"/>
        </w:rPr>
        <w:t xml:space="preserve">as Personas </w:t>
      </w:r>
      <w:r w:rsidR="00F80CDC" w:rsidRPr="00766087">
        <w:rPr>
          <w:rFonts w:asciiTheme="majorHAnsi" w:hAnsiTheme="majorHAnsi"/>
          <w:sz w:val="20"/>
          <w:szCs w:val="20"/>
          <w:lang w:val="es-PE"/>
        </w:rPr>
        <w:t>c</w:t>
      </w:r>
      <w:r w:rsidR="004D40D5" w:rsidRPr="00766087">
        <w:rPr>
          <w:rFonts w:asciiTheme="majorHAnsi" w:hAnsiTheme="majorHAnsi"/>
          <w:sz w:val="20"/>
          <w:szCs w:val="20"/>
          <w:lang w:val="es-PE"/>
        </w:rPr>
        <w:t>on Discapacidad</w:t>
      </w:r>
      <w:r w:rsidR="002601C2" w:rsidRPr="00766087">
        <w:rPr>
          <w:rFonts w:asciiTheme="majorHAnsi" w:hAnsiTheme="majorHAnsi"/>
          <w:sz w:val="20"/>
          <w:szCs w:val="20"/>
          <w:lang w:val="es-PE"/>
        </w:rPr>
        <w:t>, debido</w:t>
      </w:r>
      <w:r w:rsidR="00F80CDC" w:rsidRPr="00766087">
        <w:rPr>
          <w:rFonts w:asciiTheme="majorHAnsi" w:hAnsiTheme="majorHAnsi"/>
          <w:sz w:val="20"/>
          <w:szCs w:val="20"/>
          <w:lang w:val="es-PE"/>
        </w:rPr>
        <w:t xml:space="preserve"> a que </w:t>
      </w:r>
      <w:r w:rsidR="00634494" w:rsidRPr="00766087">
        <w:rPr>
          <w:rFonts w:asciiTheme="majorHAnsi" w:hAnsiTheme="majorHAnsi"/>
          <w:sz w:val="20"/>
          <w:szCs w:val="20"/>
          <w:lang w:val="es-PE"/>
        </w:rPr>
        <w:t>la señora Javier</w:t>
      </w:r>
      <w:r w:rsidR="00425D6F">
        <w:rPr>
          <w:rFonts w:asciiTheme="majorHAnsi" w:hAnsiTheme="majorHAnsi"/>
          <w:sz w:val="20"/>
          <w:szCs w:val="20"/>
          <w:lang w:val="es-PE"/>
        </w:rPr>
        <w:t xml:space="preserve"> López</w:t>
      </w:r>
      <w:r w:rsidR="00634494" w:rsidRPr="00766087">
        <w:rPr>
          <w:rFonts w:asciiTheme="majorHAnsi" w:hAnsiTheme="majorHAnsi"/>
          <w:sz w:val="20"/>
          <w:szCs w:val="20"/>
          <w:lang w:val="es-PE"/>
        </w:rPr>
        <w:t xml:space="preserve"> </w:t>
      </w:r>
      <w:r w:rsidR="002601C2" w:rsidRPr="00766087">
        <w:rPr>
          <w:rFonts w:asciiTheme="majorHAnsi" w:hAnsiTheme="majorHAnsi"/>
          <w:sz w:val="20"/>
          <w:szCs w:val="20"/>
          <w:lang w:val="es-PE"/>
        </w:rPr>
        <w:t>fue removida de su cargo sin tener en cuenta</w:t>
      </w:r>
      <w:r w:rsidR="007C03A3" w:rsidRPr="00766087">
        <w:rPr>
          <w:rFonts w:asciiTheme="majorHAnsi" w:hAnsiTheme="majorHAnsi"/>
          <w:sz w:val="20"/>
          <w:szCs w:val="20"/>
          <w:lang w:val="es-PE"/>
        </w:rPr>
        <w:t xml:space="preserve"> que tiene una deficiencia física y mental que limita sus capacidades</w:t>
      </w:r>
      <w:r w:rsidR="00425D6F">
        <w:rPr>
          <w:rFonts w:asciiTheme="majorHAnsi" w:hAnsiTheme="majorHAnsi"/>
          <w:sz w:val="20"/>
          <w:szCs w:val="20"/>
          <w:lang w:val="es-PE"/>
        </w:rPr>
        <w:t>;</w:t>
      </w:r>
      <w:r w:rsidR="007C03A3" w:rsidRPr="00766087">
        <w:rPr>
          <w:rFonts w:asciiTheme="majorHAnsi" w:hAnsiTheme="majorHAnsi"/>
          <w:sz w:val="20"/>
          <w:szCs w:val="20"/>
          <w:lang w:val="es-PE"/>
        </w:rPr>
        <w:t xml:space="preserve"> y</w:t>
      </w:r>
      <w:r w:rsidR="00425D6F">
        <w:rPr>
          <w:rFonts w:asciiTheme="majorHAnsi" w:hAnsiTheme="majorHAnsi"/>
          <w:sz w:val="20"/>
          <w:szCs w:val="20"/>
          <w:lang w:val="es-PE"/>
        </w:rPr>
        <w:t>,</w:t>
      </w:r>
      <w:r w:rsidR="007C03A3" w:rsidRPr="00766087">
        <w:rPr>
          <w:rFonts w:asciiTheme="majorHAnsi" w:hAnsiTheme="majorHAnsi"/>
          <w:sz w:val="20"/>
          <w:szCs w:val="20"/>
          <w:lang w:val="es-PE"/>
        </w:rPr>
        <w:t xml:space="preserve"> por ende, la mantiene en situación de </w:t>
      </w:r>
      <w:r w:rsidR="002601C2" w:rsidRPr="00766087">
        <w:rPr>
          <w:rFonts w:asciiTheme="majorHAnsi" w:hAnsiTheme="majorHAnsi"/>
          <w:sz w:val="20"/>
          <w:szCs w:val="20"/>
          <w:lang w:val="es-PE"/>
        </w:rPr>
        <w:t>discapacidad</w:t>
      </w:r>
      <w:r w:rsidR="00F80CDC" w:rsidRPr="00766087">
        <w:rPr>
          <w:rFonts w:asciiTheme="majorHAnsi" w:hAnsiTheme="majorHAnsi"/>
          <w:sz w:val="20"/>
          <w:szCs w:val="20"/>
          <w:lang w:val="es-PE"/>
        </w:rPr>
        <w:t xml:space="preserve">. </w:t>
      </w:r>
      <w:r w:rsidR="00634494" w:rsidRPr="00766087">
        <w:rPr>
          <w:rFonts w:asciiTheme="majorHAnsi" w:hAnsiTheme="majorHAnsi"/>
          <w:sz w:val="20"/>
          <w:szCs w:val="20"/>
          <w:lang w:val="es-PE"/>
        </w:rPr>
        <w:t>Asimismo, indica</w:t>
      </w:r>
      <w:r w:rsidR="002601C2" w:rsidRPr="00766087">
        <w:rPr>
          <w:rFonts w:asciiTheme="majorHAnsi" w:hAnsiTheme="majorHAnsi"/>
          <w:sz w:val="20"/>
          <w:szCs w:val="20"/>
          <w:lang w:val="es-PE"/>
        </w:rPr>
        <w:t xml:space="preserve"> </w:t>
      </w:r>
      <w:r w:rsidR="00F80CDC" w:rsidRPr="00766087">
        <w:rPr>
          <w:rFonts w:asciiTheme="majorHAnsi" w:hAnsiTheme="majorHAnsi"/>
          <w:sz w:val="20"/>
          <w:szCs w:val="20"/>
          <w:lang w:val="es-PE"/>
        </w:rPr>
        <w:t>que los</w:t>
      </w:r>
      <w:r w:rsidR="00701704" w:rsidRPr="00766087">
        <w:rPr>
          <w:rFonts w:asciiTheme="majorHAnsi" w:hAnsiTheme="majorHAnsi"/>
          <w:sz w:val="20"/>
          <w:szCs w:val="20"/>
          <w:lang w:val="es-PE"/>
        </w:rPr>
        <w:t xml:space="preserve"> problemas </w:t>
      </w:r>
      <w:r w:rsidR="00F80CDC" w:rsidRPr="00766087">
        <w:rPr>
          <w:rFonts w:asciiTheme="majorHAnsi" w:hAnsiTheme="majorHAnsi"/>
          <w:sz w:val="20"/>
          <w:szCs w:val="20"/>
          <w:lang w:val="es-PE"/>
        </w:rPr>
        <w:t>continuos</w:t>
      </w:r>
      <w:r w:rsidR="00701704" w:rsidRPr="00766087">
        <w:rPr>
          <w:rFonts w:asciiTheme="majorHAnsi" w:hAnsiTheme="majorHAnsi"/>
          <w:sz w:val="20"/>
          <w:szCs w:val="20"/>
          <w:lang w:val="es-PE"/>
        </w:rPr>
        <w:t xml:space="preserve"> de salud</w:t>
      </w:r>
      <w:r w:rsidR="00F80CDC" w:rsidRPr="00766087">
        <w:rPr>
          <w:rFonts w:asciiTheme="majorHAnsi" w:hAnsiTheme="majorHAnsi"/>
          <w:sz w:val="20"/>
          <w:szCs w:val="20"/>
          <w:lang w:val="es-PE"/>
        </w:rPr>
        <w:t xml:space="preserve"> de la señora Javier</w:t>
      </w:r>
      <w:r w:rsidR="00701704" w:rsidRPr="00766087">
        <w:rPr>
          <w:rFonts w:asciiTheme="majorHAnsi" w:hAnsiTheme="majorHAnsi"/>
          <w:sz w:val="20"/>
          <w:szCs w:val="20"/>
          <w:lang w:val="es-PE"/>
        </w:rPr>
        <w:t xml:space="preserve"> </w:t>
      </w:r>
      <w:r w:rsidR="00425D6F">
        <w:rPr>
          <w:rFonts w:asciiTheme="majorHAnsi" w:hAnsiTheme="majorHAnsi"/>
          <w:sz w:val="20"/>
          <w:szCs w:val="20"/>
          <w:lang w:val="es-PE"/>
        </w:rPr>
        <w:t xml:space="preserve">López </w:t>
      </w:r>
      <w:r w:rsidR="00701704" w:rsidRPr="00766087">
        <w:rPr>
          <w:rFonts w:asciiTheme="majorHAnsi" w:hAnsiTheme="majorHAnsi"/>
          <w:sz w:val="20"/>
          <w:szCs w:val="20"/>
          <w:lang w:val="es-PE"/>
        </w:rPr>
        <w:t xml:space="preserve">eran de expreso conocimiento del Consejo de la Magistratura, </w:t>
      </w:r>
      <w:r w:rsidR="002601C2" w:rsidRPr="00766087">
        <w:rPr>
          <w:rFonts w:asciiTheme="majorHAnsi" w:hAnsiTheme="majorHAnsi"/>
          <w:sz w:val="20"/>
          <w:szCs w:val="20"/>
          <w:lang w:val="es-PE"/>
        </w:rPr>
        <w:t>debido a</w:t>
      </w:r>
      <w:r w:rsidR="00701704" w:rsidRPr="00766087">
        <w:rPr>
          <w:rFonts w:asciiTheme="majorHAnsi" w:hAnsiTheme="majorHAnsi"/>
          <w:sz w:val="20"/>
          <w:szCs w:val="20"/>
          <w:lang w:val="es-PE"/>
        </w:rPr>
        <w:t xml:space="preserve"> las múltiples bajas </w:t>
      </w:r>
      <w:r w:rsidR="002601C2" w:rsidRPr="00766087">
        <w:rPr>
          <w:rFonts w:asciiTheme="majorHAnsi" w:hAnsiTheme="majorHAnsi"/>
          <w:sz w:val="20"/>
          <w:szCs w:val="20"/>
          <w:lang w:val="es-PE"/>
        </w:rPr>
        <w:t>médica</w:t>
      </w:r>
      <w:r w:rsidR="00634494" w:rsidRPr="00766087">
        <w:rPr>
          <w:rFonts w:asciiTheme="majorHAnsi" w:hAnsiTheme="majorHAnsi"/>
          <w:sz w:val="20"/>
          <w:szCs w:val="20"/>
          <w:lang w:val="es-PE"/>
        </w:rPr>
        <w:t>s</w:t>
      </w:r>
      <w:r w:rsidR="002601C2" w:rsidRPr="00766087">
        <w:rPr>
          <w:rFonts w:asciiTheme="majorHAnsi" w:hAnsiTheme="majorHAnsi"/>
          <w:sz w:val="20"/>
          <w:szCs w:val="20"/>
          <w:lang w:val="es-PE"/>
        </w:rPr>
        <w:t xml:space="preserve"> </w:t>
      </w:r>
      <w:r w:rsidR="00701704" w:rsidRPr="00766087">
        <w:rPr>
          <w:rFonts w:asciiTheme="majorHAnsi" w:hAnsiTheme="majorHAnsi"/>
          <w:sz w:val="20"/>
          <w:szCs w:val="20"/>
          <w:lang w:val="es-PE"/>
        </w:rPr>
        <w:t>que sufr</w:t>
      </w:r>
      <w:r w:rsidR="00F80CDC" w:rsidRPr="00766087">
        <w:rPr>
          <w:rFonts w:asciiTheme="majorHAnsi" w:hAnsiTheme="majorHAnsi"/>
          <w:sz w:val="20"/>
          <w:szCs w:val="20"/>
          <w:lang w:val="es-PE"/>
        </w:rPr>
        <w:t>ió</w:t>
      </w:r>
      <w:r w:rsidR="00701704" w:rsidRPr="00766087">
        <w:rPr>
          <w:rFonts w:asciiTheme="majorHAnsi" w:hAnsiTheme="majorHAnsi"/>
          <w:sz w:val="20"/>
          <w:szCs w:val="20"/>
          <w:lang w:val="es-PE"/>
        </w:rPr>
        <w:t xml:space="preserve"> d</w:t>
      </w:r>
      <w:r w:rsidR="002601C2" w:rsidRPr="00766087">
        <w:rPr>
          <w:rFonts w:asciiTheme="majorHAnsi" w:hAnsiTheme="majorHAnsi"/>
          <w:sz w:val="20"/>
          <w:szCs w:val="20"/>
          <w:lang w:val="es-PE"/>
        </w:rPr>
        <w:t>urante</w:t>
      </w:r>
      <w:r w:rsidR="00701704" w:rsidRPr="00766087">
        <w:rPr>
          <w:rFonts w:asciiTheme="majorHAnsi" w:hAnsiTheme="majorHAnsi"/>
          <w:sz w:val="20"/>
          <w:szCs w:val="20"/>
          <w:lang w:val="es-PE"/>
        </w:rPr>
        <w:t xml:space="preserve"> varios años.</w:t>
      </w:r>
    </w:p>
    <w:p w14:paraId="7C940B35" w14:textId="0A90D81E" w:rsidR="00EB4A99" w:rsidRPr="00EB4A99" w:rsidRDefault="00EB4A99" w:rsidP="00EB4A99">
      <w:pPr>
        <w:pStyle w:val="ListParagraph"/>
        <w:spacing w:before="240" w:after="240"/>
        <w:jc w:val="both"/>
        <w:rPr>
          <w:rFonts w:asciiTheme="majorHAnsi" w:hAnsiTheme="majorHAnsi"/>
          <w:i/>
          <w:iCs/>
          <w:sz w:val="20"/>
          <w:szCs w:val="20"/>
          <w:lang w:val="pt-BR"/>
        </w:rPr>
      </w:pPr>
      <w:r w:rsidRPr="00D907CC">
        <w:rPr>
          <w:rFonts w:asciiTheme="majorHAnsi" w:hAnsiTheme="majorHAnsi"/>
          <w:i/>
          <w:iCs/>
          <w:sz w:val="20"/>
          <w:szCs w:val="20"/>
          <w:lang w:val="pt-BR"/>
        </w:rPr>
        <w:t>Rosmery Mor</w:t>
      </w:r>
      <w:r w:rsidR="00C6420B">
        <w:rPr>
          <w:rFonts w:asciiTheme="majorHAnsi" w:hAnsiTheme="majorHAnsi"/>
          <w:i/>
          <w:iCs/>
          <w:sz w:val="20"/>
          <w:szCs w:val="20"/>
          <w:lang w:val="pt-BR"/>
        </w:rPr>
        <w:t>ó</w:t>
      </w:r>
      <w:r w:rsidRPr="00D907CC">
        <w:rPr>
          <w:rFonts w:asciiTheme="majorHAnsi" w:hAnsiTheme="majorHAnsi"/>
          <w:i/>
          <w:iCs/>
          <w:sz w:val="20"/>
          <w:szCs w:val="20"/>
          <w:lang w:val="pt-BR"/>
        </w:rPr>
        <w:t>n Sanjinéz (P-2625-19)</w:t>
      </w:r>
    </w:p>
    <w:p w14:paraId="3F4E164B" w14:textId="5CFF0504" w:rsidR="00EB4A99" w:rsidRPr="00EB4A99" w:rsidRDefault="000F5D9A">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sz w:val="20"/>
          <w:szCs w:val="20"/>
          <w:lang w:val="es-PE"/>
        </w:rPr>
      </w:pPr>
      <w:r w:rsidRPr="00EB4A99">
        <w:rPr>
          <w:rFonts w:asciiTheme="majorHAnsi" w:hAnsiTheme="majorHAnsi"/>
          <w:sz w:val="20"/>
          <w:szCs w:val="20"/>
          <w:lang w:val="es-PE"/>
        </w:rPr>
        <w:t xml:space="preserve">El peticionario </w:t>
      </w:r>
      <w:r w:rsidR="00527F68">
        <w:rPr>
          <w:rFonts w:asciiTheme="majorHAnsi" w:hAnsiTheme="majorHAnsi"/>
          <w:sz w:val="20"/>
          <w:szCs w:val="20"/>
          <w:lang w:val="es-PE"/>
        </w:rPr>
        <w:t>relata que</w:t>
      </w:r>
      <w:r w:rsidRPr="00EB4A99">
        <w:rPr>
          <w:rFonts w:asciiTheme="majorHAnsi" w:hAnsiTheme="majorHAnsi"/>
          <w:sz w:val="20"/>
          <w:szCs w:val="20"/>
          <w:lang w:val="es-PE"/>
        </w:rPr>
        <w:t xml:space="preserve"> </w:t>
      </w:r>
      <w:r w:rsidR="00527F68">
        <w:rPr>
          <w:rFonts w:asciiTheme="majorHAnsi" w:hAnsiTheme="majorHAnsi"/>
          <w:sz w:val="20"/>
          <w:szCs w:val="20"/>
          <w:lang w:val="es-PE"/>
        </w:rPr>
        <w:t>la señora</w:t>
      </w:r>
      <w:r w:rsidR="00EA09C1">
        <w:rPr>
          <w:rFonts w:asciiTheme="majorHAnsi" w:hAnsiTheme="majorHAnsi"/>
          <w:sz w:val="20"/>
          <w:szCs w:val="20"/>
          <w:lang w:val="es-PE"/>
        </w:rPr>
        <w:t xml:space="preserve"> </w:t>
      </w:r>
      <w:r w:rsidR="00C6420B">
        <w:rPr>
          <w:rFonts w:asciiTheme="majorHAnsi" w:hAnsiTheme="majorHAnsi"/>
          <w:sz w:val="20"/>
          <w:szCs w:val="20"/>
          <w:lang w:val="es-PE"/>
        </w:rPr>
        <w:t>Morón</w:t>
      </w:r>
      <w:r w:rsidR="00ED2B0F">
        <w:rPr>
          <w:rFonts w:asciiTheme="majorHAnsi" w:hAnsiTheme="majorHAnsi"/>
          <w:sz w:val="20"/>
          <w:szCs w:val="20"/>
          <w:lang w:val="es-PE"/>
        </w:rPr>
        <w:t xml:space="preserve"> Sanjinéz</w:t>
      </w:r>
      <w:r w:rsidR="00F612AD" w:rsidRPr="00EB4A99">
        <w:rPr>
          <w:rFonts w:asciiTheme="majorHAnsi" w:hAnsiTheme="majorHAnsi"/>
          <w:sz w:val="20"/>
          <w:szCs w:val="20"/>
          <w:lang w:val="es-PE"/>
        </w:rPr>
        <w:t xml:space="preserve"> ingresó a la carrera judicial en 201</w:t>
      </w:r>
      <w:r w:rsidR="00634494" w:rsidRPr="00EB4A99">
        <w:rPr>
          <w:rFonts w:asciiTheme="majorHAnsi" w:hAnsiTheme="majorHAnsi"/>
          <w:sz w:val="20"/>
          <w:szCs w:val="20"/>
          <w:lang w:val="es-PE"/>
        </w:rPr>
        <w:t>3</w:t>
      </w:r>
      <w:r w:rsidR="00F612AD" w:rsidRPr="00EB4A99">
        <w:rPr>
          <w:rFonts w:asciiTheme="majorHAnsi" w:hAnsiTheme="majorHAnsi"/>
          <w:sz w:val="20"/>
          <w:szCs w:val="20"/>
          <w:lang w:val="es-PE"/>
        </w:rPr>
        <w:t xml:space="preserve"> mediante convocatoria pública. </w:t>
      </w:r>
      <w:r w:rsidR="00634494" w:rsidRPr="00EB4A99">
        <w:rPr>
          <w:rFonts w:asciiTheme="majorHAnsi" w:hAnsiTheme="majorHAnsi"/>
          <w:sz w:val="20"/>
          <w:szCs w:val="20"/>
          <w:lang w:val="es-PE"/>
        </w:rPr>
        <w:t>Posteriorment</w:t>
      </w:r>
      <w:r w:rsidR="00F612AD" w:rsidRPr="00EB4A99">
        <w:rPr>
          <w:rFonts w:asciiTheme="majorHAnsi" w:hAnsiTheme="majorHAnsi"/>
          <w:sz w:val="20"/>
          <w:szCs w:val="20"/>
          <w:lang w:val="es-PE"/>
        </w:rPr>
        <w:t xml:space="preserve">e </w:t>
      </w:r>
      <w:r w:rsidR="00634494" w:rsidRPr="00EB4A99">
        <w:rPr>
          <w:rFonts w:asciiTheme="majorHAnsi" w:hAnsiTheme="majorHAnsi"/>
          <w:sz w:val="20"/>
          <w:szCs w:val="20"/>
          <w:lang w:val="es-PE"/>
        </w:rPr>
        <w:t>se desempeñó</w:t>
      </w:r>
      <w:r w:rsidR="00F612AD" w:rsidRPr="00EB4A99">
        <w:rPr>
          <w:rFonts w:asciiTheme="majorHAnsi" w:hAnsiTheme="majorHAnsi"/>
          <w:sz w:val="20"/>
          <w:szCs w:val="20"/>
          <w:lang w:val="es-PE"/>
        </w:rPr>
        <w:t xml:space="preserve"> </w:t>
      </w:r>
      <w:r w:rsidR="00810285">
        <w:rPr>
          <w:rFonts w:asciiTheme="majorHAnsi" w:hAnsiTheme="majorHAnsi"/>
          <w:sz w:val="20"/>
          <w:szCs w:val="20"/>
          <w:lang w:val="es-PE"/>
        </w:rPr>
        <w:t>en la</w:t>
      </w:r>
      <w:r w:rsidR="00F612AD" w:rsidRPr="00EB4A99">
        <w:rPr>
          <w:rFonts w:asciiTheme="majorHAnsi" w:hAnsiTheme="majorHAnsi"/>
          <w:sz w:val="20"/>
          <w:szCs w:val="20"/>
          <w:lang w:val="es-PE"/>
        </w:rPr>
        <w:t xml:space="preserve"> carrera </w:t>
      </w:r>
      <w:r w:rsidR="00810285">
        <w:rPr>
          <w:rFonts w:asciiTheme="majorHAnsi" w:hAnsiTheme="majorHAnsi"/>
          <w:sz w:val="20"/>
          <w:szCs w:val="20"/>
          <w:lang w:val="es-PE"/>
        </w:rPr>
        <w:t xml:space="preserve">judicial </w:t>
      </w:r>
      <w:r w:rsidR="00634494" w:rsidRPr="00EB4A99">
        <w:rPr>
          <w:rFonts w:asciiTheme="majorHAnsi" w:hAnsiTheme="majorHAnsi"/>
          <w:sz w:val="20"/>
          <w:szCs w:val="20"/>
          <w:lang w:val="es-PE"/>
        </w:rPr>
        <w:t>ocupando el cargo</w:t>
      </w:r>
      <w:r w:rsidR="00F612AD" w:rsidRPr="00EB4A99">
        <w:rPr>
          <w:rFonts w:asciiTheme="majorHAnsi" w:hAnsiTheme="majorHAnsi"/>
          <w:sz w:val="20"/>
          <w:szCs w:val="20"/>
          <w:lang w:val="es-PE"/>
        </w:rPr>
        <w:t xml:space="preserve"> de Jueza 2° de Instrucción en lo Penal de Riberalta, Beni, hasta su despido el 9 de mayo de 2017</w:t>
      </w:r>
      <w:r w:rsidR="005E0CA0">
        <w:rPr>
          <w:rFonts w:asciiTheme="majorHAnsi" w:hAnsiTheme="majorHAnsi"/>
          <w:sz w:val="20"/>
          <w:szCs w:val="20"/>
          <w:lang w:val="es-PE"/>
        </w:rPr>
        <w:t>.</w:t>
      </w:r>
    </w:p>
    <w:p w14:paraId="49B0EB35" w14:textId="77777777" w:rsidR="00EB4A99" w:rsidRPr="00EB4A99" w:rsidRDefault="00EB4A99" w:rsidP="00EB4A99">
      <w:pPr>
        <w:pStyle w:val="ListParagraph"/>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sz w:val="20"/>
          <w:szCs w:val="20"/>
          <w:lang w:val="es-PE"/>
        </w:rPr>
      </w:pPr>
    </w:p>
    <w:p w14:paraId="7AA93673" w14:textId="6F576EE5" w:rsidR="00EB4A99" w:rsidRPr="00EA09C1" w:rsidRDefault="00D902A6">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sz w:val="20"/>
          <w:szCs w:val="20"/>
          <w:lang w:val="es-PE"/>
        </w:rPr>
      </w:pPr>
      <w:r>
        <w:rPr>
          <w:rFonts w:asciiTheme="majorHAnsi" w:hAnsiTheme="majorHAnsi"/>
          <w:sz w:val="20"/>
          <w:szCs w:val="20"/>
          <w:lang w:val="es-PE"/>
        </w:rPr>
        <w:lastRenderedPageBreak/>
        <w:t>D</w:t>
      </w:r>
      <w:r w:rsidR="00F612AD" w:rsidRPr="00EA09C1">
        <w:rPr>
          <w:rFonts w:asciiTheme="majorHAnsi" w:hAnsiTheme="majorHAnsi"/>
          <w:sz w:val="20"/>
          <w:szCs w:val="20"/>
          <w:lang w:val="es-PE"/>
        </w:rPr>
        <w:t xml:space="preserve">esde el 2010 </w:t>
      </w:r>
      <w:r w:rsidR="00125EC9">
        <w:rPr>
          <w:rFonts w:asciiTheme="majorHAnsi" w:hAnsiTheme="majorHAnsi"/>
          <w:sz w:val="20"/>
          <w:szCs w:val="20"/>
          <w:lang w:val="es-PE"/>
        </w:rPr>
        <w:t xml:space="preserve">la señora </w:t>
      </w:r>
      <w:r w:rsidR="00C6420B" w:rsidRPr="00EA09C1">
        <w:rPr>
          <w:rFonts w:asciiTheme="majorHAnsi" w:hAnsiTheme="majorHAnsi"/>
          <w:sz w:val="20"/>
          <w:szCs w:val="20"/>
          <w:lang w:val="es-PE"/>
        </w:rPr>
        <w:t>Morón</w:t>
      </w:r>
      <w:r w:rsidR="00634494" w:rsidRPr="00EA09C1">
        <w:rPr>
          <w:rFonts w:asciiTheme="majorHAnsi" w:hAnsiTheme="majorHAnsi"/>
          <w:sz w:val="20"/>
          <w:szCs w:val="20"/>
          <w:lang w:val="es-PE"/>
        </w:rPr>
        <w:t xml:space="preserve"> </w:t>
      </w:r>
      <w:r w:rsidR="00ED2B0F">
        <w:rPr>
          <w:rFonts w:asciiTheme="majorHAnsi" w:hAnsiTheme="majorHAnsi"/>
          <w:sz w:val="20"/>
          <w:szCs w:val="20"/>
          <w:lang w:val="es-PE"/>
        </w:rPr>
        <w:t xml:space="preserve">Sanjinéz </w:t>
      </w:r>
      <w:r w:rsidR="00F612AD" w:rsidRPr="00EA09C1">
        <w:rPr>
          <w:rFonts w:asciiTheme="majorHAnsi" w:hAnsiTheme="majorHAnsi"/>
          <w:sz w:val="20"/>
          <w:szCs w:val="20"/>
          <w:lang w:val="es-PE"/>
        </w:rPr>
        <w:t>es la única tutora legal de su prima hermana</w:t>
      </w:r>
      <w:r w:rsidR="00634494" w:rsidRPr="00EA09C1">
        <w:rPr>
          <w:rFonts w:asciiTheme="majorHAnsi" w:hAnsiTheme="majorHAnsi"/>
          <w:sz w:val="20"/>
          <w:szCs w:val="20"/>
          <w:lang w:val="es-PE"/>
        </w:rPr>
        <w:t>,</w:t>
      </w:r>
      <w:r w:rsidR="00F612AD" w:rsidRPr="00EA09C1">
        <w:rPr>
          <w:rFonts w:asciiTheme="majorHAnsi" w:hAnsiTheme="majorHAnsi"/>
          <w:sz w:val="20"/>
          <w:szCs w:val="20"/>
          <w:lang w:val="es-PE"/>
        </w:rPr>
        <w:t xml:space="preserve"> Martha Dur</w:t>
      </w:r>
      <w:r>
        <w:rPr>
          <w:rFonts w:asciiTheme="majorHAnsi" w:hAnsiTheme="majorHAnsi"/>
          <w:sz w:val="20"/>
          <w:szCs w:val="20"/>
          <w:lang w:val="es-PE"/>
        </w:rPr>
        <w:t>á</w:t>
      </w:r>
      <w:r w:rsidR="00F612AD" w:rsidRPr="00EA09C1">
        <w:rPr>
          <w:rFonts w:asciiTheme="majorHAnsi" w:hAnsiTheme="majorHAnsi"/>
          <w:sz w:val="20"/>
          <w:szCs w:val="20"/>
          <w:lang w:val="es-PE"/>
        </w:rPr>
        <w:t>n Crespo</w:t>
      </w:r>
      <w:r w:rsidR="00ED2B0F">
        <w:rPr>
          <w:rFonts w:asciiTheme="majorHAnsi" w:hAnsiTheme="majorHAnsi"/>
          <w:sz w:val="20"/>
          <w:szCs w:val="20"/>
          <w:lang w:val="es-PE"/>
        </w:rPr>
        <w:t>,</w:t>
      </w:r>
      <w:r w:rsidR="00A139F7" w:rsidRPr="00EA09C1">
        <w:rPr>
          <w:rFonts w:asciiTheme="majorHAnsi" w:hAnsiTheme="majorHAnsi"/>
          <w:sz w:val="20"/>
          <w:szCs w:val="20"/>
          <w:lang w:val="es-PE"/>
        </w:rPr>
        <w:t xml:space="preserve"> </w:t>
      </w:r>
      <w:r w:rsidR="00F612AD" w:rsidRPr="00EA09C1">
        <w:rPr>
          <w:rFonts w:asciiTheme="majorHAnsi" w:hAnsiTheme="majorHAnsi"/>
          <w:sz w:val="20"/>
          <w:szCs w:val="20"/>
          <w:lang w:val="es-PE"/>
        </w:rPr>
        <w:t>de 61 años</w:t>
      </w:r>
      <w:r w:rsidR="00ED2B0F">
        <w:rPr>
          <w:rFonts w:asciiTheme="majorHAnsi" w:hAnsiTheme="majorHAnsi"/>
          <w:sz w:val="20"/>
          <w:szCs w:val="20"/>
          <w:lang w:val="es-PE"/>
        </w:rPr>
        <w:t>,</w:t>
      </w:r>
      <w:r w:rsidR="00EA09C1" w:rsidRPr="00EA09C1">
        <w:rPr>
          <w:rFonts w:asciiTheme="majorHAnsi" w:hAnsiTheme="majorHAnsi"/>
          <w:sz w:val="20"/>
          <w:szCs w:val="20"/>
          <w:lang w:val="es-PE"/>
        </w:rPr>
        <w:t xml:space="preserve"> quien fue diagnosticada con discapacidad auditiva, intelectual y físico</w:t>
      </w:r>
      <w:r w:rsidR="00F047F9">
        <w:rPr>
          <w:rFonts w:asciiTheme="majorHAnsi" w:hAnsiTheme="majorHAnsi"/>
          <w:sz w:val="20"/>
          <w:szCs w:val="20"/>
          <w:lang w:val="es-PE"/>
        </w:rPr>
        <w:t>-</w:t>
      </w:r>
      <w:r w:rsidR="00EA09C1" w:rsidRPr="00EA09C1">
        <w:rPr>
          <w:rFonts w:asciiTheme="majorHAnsi" w:hAnsiTheme="majorHAnsi"/>
          <w:sz w:val="20"/>
          <w:szCs w:val="20"/>
          <w:lang w:val="es-PE"/>
        </w:rPr>
        <w:t>motora</w:t>
      </w:r>
      <w:r w:rsidR="00F047F9">
        <w:rPr>
          <w:rFonts w:asciiTheme="majorHAnsi" w:hAnsiTheme="majorHAnsi"/>
          <w:sz w:val="20"/>
          <w:szCs w:val="20"/>
          <w:lang w:val="es-PE"/>
        </w:rPr>
        <w:t>,</w:t>
      </w:r>
      <w:r w:rsidR="00527F68">
        <w:rPr>
          <w:rFonts w:asciiTheme="majorHAnsi" w:hAnsiTheme="majorHAnsi"/>
          <w:sz w:val="20"/>
          <w:szCs w:val="20"/>
          <w:lang w:val="es-PE"/>
        </w:rPr>
        <w:t xml:space="preserve"> y</w:t>
      </w:r>
      <w:r w:rsidR="00EA09C1" w:rsidRPr="00EA09C1">
        <w:rPr>
          <w:rFonts w:asciiTheme="majorHAnsi" w:hAnsiTheme="majorHAnsi"/>
          <w:sz w:val="20"/>
          <w:szCs w:val="20"/>
          <w:lang w:val="es-PE"/>
        </w:rPr>
        <w:t xml:space="preserve"> requiere de cuidados continuos</w:t>
      </w:r>
      <w:r w:rsidR="007E46B1" w:rsidRPr="00EA09C1">
        <w:rPr>
          <w:rFonts w:asciiTheme="majorHAnsi" w:hAnsiTheme="majorHAnsi"/>
          <w:sz w:val="20"/>
          <w:szCs w:val="20"/>
          <w:lang w:val="es-PE"/>
        </w:rPr>
        <w:t xml:space="preserve">. </w:t>
      </w:r>
      <w:r w:rsidR="00EA09C1" w:rsidRPr="00EA09C1">
        <w:rPr>
          <w:rFonts w:asciiTheme="majorHAnsi" w:hAnsiTheme="majorHAnsi"/>
          <w:sz w:val="20"/>
          <w:szCs w:val="20"/>
          <w:lang w:val="es-PE"/>
        </w:rPr>
        <w:t>Para demostrar</w:t>
      </w:r>
      <w:r w:rsidR="00F047F9">
        <w:rPr>
          <w:rFonts w:asciiTheme="majorHAnsi" w:hAnsiTheme="majorHAnsi"/>
          <w:sz w:val="20"/>
          <w:szCs w:val="20"/>
          <w:lang w:val="es-PE"/>
        </w:rPr>
        <w:t>lo</w:t>
      </w:r>
      <w:r w:rsidR="00FB38B5">
        <w:rPr>
          <w:rFonts w:asciiTheme="majorHAnsi" w:hAnsiTheme="majorHAnsi"/>
          <w:sz w:val="20"/>
          <w:szCs w:val="20"/>
          <w:lang w:val="es-PE"/>
        </w:rPr>
        <w:t>,</w:t>
      </w:r>
      <w:r w:rsidR="00EA09C1" w:rsidRPr="00EA09C1">
        <w:rPr>
          <w:rFonts w:asciiTheme="majorHAnsi" w:hAnsiTheme="majorHAnsi"/>
          <w:sz w:val="20"/>
          <w:szCs w:val="20"/>
          <w:lang w:val="es-PE"/>
        </w:rPr>
        <w:t xml:space="preserve"> adjunta </w:t>
      </w:r>
      <w:r w:rsidR="007C03A3">
        <w:rPr>
          <w:rFonts w:asciiTheme="majorHAnsi" w:hAnsiTheme="majorHAnsi"/>
          <w:sz w:val="20"/>
          <w:szCs w:val="20"/>
          <w:lang w:val="es-PE"/>
        </w:rPr>
        <w:t xml:space="preserve">una </w:t>
      </w:r>
      <w:r w:rsidR="007E46B1" w:rsidRPr="00EA09C1">
        <w:rPr>
          <w:rFonts w:asciiTheme="majorHAnsi" w:hAnsiTheme="majorHAnsi"/>
          <w:sz w:val="20"/>
          <w:szCs w:val="20"/>
          <w:lang w:val="es-PE"/>
        </w:rPr>
        <w:t>copia de</w:t>
      </w:r>
      <w:r w:rsidR="00DD359D" w:rsidRPr="00EA09C1">
        <w:rPr>
          <w:rFonts w:asciiTheme="majorHAnsi" w:hAnsiTheme="majorHAnsi"/>
          <w:sz w:val="20"/>
          <w:szCs w:val="20"/>
          <w:lang w:val="es-PE"/>
        </w:rPr>
        <w:t xml:space="preserve">l </w:t>
      </w:r>
      <w:r w:rsidR="007E46B1" w:rsidRPr="00EA09C1">
        <w:rPr>
          <w:rFonts w:asciiTheme="majorHAnsi" w:hAnsiTheme="majorHAnsi"/>
          <w:sz w:val="20"/>
          <w:szCs w:val="20"/>
          <w:lang w:val="es-PE"/>
        </w:rPr>
        <w:t xml:space="preserve">carné de discapacidad </w:t>
      </w:r>
      <w:r w:rsidR="00DD359D" w:rsidRPr="00EA09C1">
        <w:rPr>
          <w:rFonts w:asciiTheme="majorHAnsi" w:hAnsiTheme="majorHAnsi"/>
          <w:sz w:val="20"/>
          <w:szCs w:val="20"/>
          <w:lang w:val="es-PE"/>
        </w:rPr>
        <w:t>de la señora Duran</w:t>
      </w:r>
      <w:r w:rsidR="00FB38B5">
        <w:rPr>
          <w:rFonts w:asciiTheme="majorHAnsi" w:hAnsiTheme="majorHAnsi"/>
          <w:sz w:val="20"/>
          <w:szCs w:val="20"/>
          <w:lang w:val="es-PE"/>
        </w:rPr>
        <w:t xml:space="preserve"> Crespo</w:t>
      </w:r>
      <w:r w:rsidR="00DD359D" w:rsidRPr="00EA09C1">
        <w:rPr>
          <w:rFonts w:asciiTheme="majorHAnsi" w:hAnsiTheme="majorHAnsi"/>
          <w:sz w:val="20"/>
          <w:szCs w:val="20"/>
          <w:lang w:val="es-PE"/>
        </w:rPr>
        <w:t xml:space="preserve">, </w:t>
      </w:r>
      <w:r w:rsidR="001872F0">
        <w:rPr>
          <w:rFonts w:asciiTheme="majorHAnsi" w:hAnsiTheme="majorHAnsi"/>
          <w:sz w:val="20"/>
          <w:szCs w:val="20"/>
          <w:lang w:val="es-PE"/>
        </w:rPr>
        <w:t>el cual</w:t>
      </w:r>
      <w:r w:rsidR="007C03A3">
        <w:rPr>
          <w:rFonts w:asciiTheme="majorHAnsi" w:hAnsiTheme="majorHAnsi"/>
          <w:sz w:val="20"/>
          <w:szCs w:val="20"/>
          <w:lang w:val="es-PE"/>
        </w:rPr>
        <w:t>, a su criterio,</w:t>
      </w:r>
      <w:r w:rsidR="009636B8">
        <w:rPr>
          <w:rFonts w:asciiTheme="majorHAnsi" w:hAnsiTheme="majorHAnsi"/>
          <w:sz w:val="20"/>
          <w:szCs w:val="20"/>
          <w:lang w:val="es-PE"/>
        </w:rPr>
        <w:t xml:space="preserve"> da fe de</w:t>
      </w:r>
      <w:r w:rsidR="00EA09C1" w:rsidRPr="00EA09C1">
        <w:rPr>
          <w:rFonts w:asciiTheme="majorHAnsi" w:hAnsiTheme="majorHAnsi"/>
          <w:sz w:val="20"/>
          <w:szCs w:val="20"/>
          <w:lang w:val="es-PE"/>
        </w:rPr>
        <w:t xml:space="preserve"> que la señora </w:t>
      </w:r>
      <w:r w:rsidR="00C6420B" w:rsidRPr="00EA09C1">
        <w:rPr>
          <w:rFonts w:asciiTheme="majorHAnsi" w:hAnsiTheme="majorHAnsi"/>
          <w:sz w:val="20"/>
          <w:szCs w:val="20"/>
          <w:lang w:val="es-PE"/>
        </w:rPr>
        <w:t>Morón</w:t>
      </w:r>
      <w:r w:rsidR="00DD359D" w:rsidRPr="00EA09C1">
        <w:rPr>
          <w:rFonts w:asciiTheme="majorHAnsi" w:hAnsiTheme="majorHAnsi"/>
          <w:sz w:val="20"/>
          <w:szCs w:val="20"/>
          <w:lang w:val="es-PE"/>
        </w:rPr>
        <w:t xml:space="preserve"> </w:t>
      </w:r>
      <w:r w:rsidR="00FB38B5">
        <w:rPr>
          <w:rFonts w:asciiTheme="majorHAnsi" w:hAnsiTheme="majorHAnsi"/>
          <w:sz w:val="20"/>
          <w:szCs w:val="20"/>
          <w:lang w:val="es-PE"/>
        </w:rPr>
        <w:t xml:space="preserve">Sanjinéz </w:t>
      </w:r>
      <w:r w:rsidR="00EA09C1" w:rsidRPr="00EA09C1">
        <w:rPr>
          <w:rFonts w:asciiTheme="majorHAnsi" w:hAnsiTheme="majorHAnsi"/>
          <w:sz w:val="20"/>
          <w:szCs w:val="20"/>
          <w:lang w:val="es-PE"/>
        </w:rPr>
        <w:t>es</w:t>
      </w:r>
      <w:r w:rsidR="00DD359D" w:rsidRPr="00EA09C1">
        <w:rPr>
          <w:rFonts w:asciiTheme="majorHAnsi" w:hAnsiTheme="majorHAnsi"/>
          <w:sz w:val="20"/>
          <w:szCs w:val="20"/>
          <w:lang w:val="es-PE"/>
        </w:rPr>
        <w:t xml:space="preserve"> la persona encargada </w:t>
      </w:r>
      <w:r w:rsidR="00EA09C1" w:rsidRPr="00EA09C1">
        <w:rPr>
          <w:rFonts w:asciiTheme="majorHAnsi" w:hAnsiTheme="majorHAnsi"/>
          <w:sz w:val="20"/>
          <w:szCs w:val="20"/>
          <w:lang w:val="es-PE"/>
        </w:rPr>
        <w:t xml:space="preserve">en casos de emergencia. Este documento estuvo vigente del año 2010 al 2013 y fue renovado en 2017, encontrándose vigente hasta 2021. </w:t>
      </w:r>
      <w:r w:rsidR="00F612AD" w:rsidRPr="00EA09C1">
        <w:rPr>
          <w:rFonts w:asciiTheme="majorHAnsi" w:hAnsiTheme="majorHAnsi"/>
          <w:sz w:val="20"/>
          <w:szCs w:val="20"/>
          <w:lang w:val="es-PE"/>
        </w:rPr>
        <w:t xml:space="preserve">Por </w:t>
      </w:r>
      <w:r w:rsidR="00634494" w:rsidRPr="00EA09C1">
        <w:rPr>
          <w:rFonts w:asciiTheme="majorHAnsi" w:hAnsiTheme="majorHAnsi"/>
          <w:sz w:val="20"/>
          <w:szCs w:val="20"/>
          <w:lang w:val="es-PE"/>
        </w:rPr>
        <w:t>esta razón</w:t>
      </w:r>
      <w:r w:rsidR="00F612AD" w:rsidRPr="00EA09C1">
        <w:rPr>
          <w:rFonts w:asciiTheme="majorHAnsi" w:hAnsiTheme="majorHAnsi"/>
          <w:sz w:val="20"/>
          <w:szCs w:val="20"/>
          <w:lang w:val="es-PE"/>
        </w:rPr>
        <w:t>,</w:t>
      </w:r>
      <w:r w:rsidR="00EA09C1" w:rsidRPr="00EA09C1">
        <w:rPr>
          <w:rFonts w:asciiTheme="majorHAnsi" w:hAnsiTheme="majorHAnsi"/>
          <w:sz w:val="20"/>
          <w:szCs w:val="20"/>
          <w:lang w:val="es-PE"/>
        </w:rPr>
        <w:t xml:space="preserve"> </w:t>
      </w:r>
      <w:r w:rsidR="00F55419">
        <w:rPr>
          <w:rFonts w:asciiTheme="majorHAnsi" w:hAnsiTheme="majorHAnsi"/>
          <w:sz w:val="20"/>
          <w:szCs w:val="20"/>
          <w:lang w:val="es-PE"/>
        </w:rPr>
        <w:t xml:space="preserve">el peticionario </w:t>
      </w:r>
      <w:r w:rsidR="00EA09C1" w:rsidRPr="00EA09C1">
        <w:rPr>
          <w:rFonts w:asciiTheme="majorHAnsi" w:hAnsiTheme="majorHAnsi"/>
          <w:sz w:val="20"/>
          <w:szCs w:val="20"/>
          <w:lang w:val="es-PE"/>
        </w:rPr>
        <w:t xml:space="preserve">alega </w:t>
      </w:r>
      <w:r w:rsidR="007C03A3" w:rsidRPr="00EA09C1">
        <w:rPr>
          <w:rFonts w:asciiTheme="majorHAnsi" w:hAnsiTheme="majorHAnsi"/>
          <w:sz w:val="20"/>
          <w:szCs w:val="20"/>
          <w:lang w:val="es-PE"/>
        </w:rPr>
        <w:t>que</w:t>
      </w:r>
      <w:r w:rsidR="006D4A0E">
        <w:rPr>
          <w:rFonts w:asciiTheme="majorHAnsi" w:hAnsiTheme="majorHAnsi"/>
          <w:sz w:val="20"/>
          <w:szCs w:val="20"/>
          <w:lang w:val="es-PE"/>
        </w:rPr>
        <w:t>,</w:t>
      </w:r>
      <w:r w:rsidR="00F612AD" w:rsidRPr="00EA09C1">
        <w:rPr>
          <w:rFonts w:asciiTheme="majorHAnsi" w:hAnsiTheme="majorHAnsi"/>
          <w:sz w:val="20"/>
          <w:szCs w:val="20"/>
          <w:lang w:val="es-PE"/>
        </w:rPr>
        <w:t xml:space="preserve"> </w:t>
      </w:r>
      <w:r w:rsidR="000B24BF" w:rsidRPr="00EA09C1">
        <w:rPr>
          <w:rFonts w:asciiTheme="majorHAnsi" w:hAnsiTheme="majorHAnsi"/>
          <w:sz w:val="20"/>
          <w:szCs w:val="20"/>
          <w:lang w:val="es-PE"/>
        </w:rPr>
        <w:t>conforme a la legislación interna</w:t>
      </w:r>
      <w:r w:rsidR="006D4A0E">
        <w:rPr>
          <w:rFonts w:asciiTheme="majorHAnsi" w:hAnsiTheme="majorHAnsi"/>
          <w:sz w:val="20"/>
          <w:szCs w:val="20"/>
          <w:lang w:val="es-PE"/>
        </w:rPr>
        <w:t>,</w:t>
      </w:r>
      <w:r w:rsidR="000B24BF" w:rsidRPr="00EA09C1">
        <w:rPr>
          <w:rFonts w:asciiTheme="majorHAnsi" w:hAnsiTheme="majorHAnsi"/>
          <w:sz w:val="20"/>
          <w:szCs w:val="20"/>
          <w:lang w:val="es-PE"/>
        </w:rPr>
        <w:t xml:space="preserve"> </w:t>
      </w:r>
      <w:r w:rsidR="003A3DFC" w:rsidRPr="00EA09C1">
        <w:rPr>
          <w:rFonts w:asciiTheme="majorHAnsi" w:hAnsiTheme="majorHAnsi"/>
          <w:sz w:val="20"/>
          <w:szCs w:val="20"/>
          <w:lang w:val="es-PE"/>
        </w:rPr>
        <w:t xml:space="preserve">goza </w:t>
      </w:r>
      <w:r w:rsidR="00F612AD" w:rsidRPr="00EA09C1">
        <w:rPr>
          <w:rFonts w:asciiTheme="majorHAnsi" w:hAnsiTheme="majorHAnsi"/>
          <w:sz w:val="20"/>
          <w:szCs w:val="20"/>
          <w:lang w:val="es-PE"/>
        </w:rPr>
        <w:t>de inamovilidad laboral</w:t>
      </w:r>
      <w:r w:rsidR="00EA09C1" w:rsidRPr="00EA09C1">
        <w:rPr>
          <w:rFonts w:asciiTheme="majorHAnsi" w:hAnsiTheme="majorHAnsi"/>
          <w:sz w:val="20"/>
          <w:szCs w:val="20"/>
          <w:lang w:val="es-PE"/>
        </w:rPr>
        <w:t xml:space="preserve"> al ser cuidadora de una persona con discapacidad,</w:t>
      </w:r>
      <w:r w:rsidR="000B24BF" w:rsidRPr="00EA09C1">
        <w:rPr>
          <w:rFonts w:asciiTheme="majorHAnsi" w:hAnsiTheme="majorHAnsi"/>
          <w:sz w:val="20"/>
          <w:szCs w:val="20"/>
          <w:lang w:val="es-PE"/>
        </w:rPr>
        <w:t xml:space="preserve"> </w:t>
      </w:r>
      <w:r w:rsidR="003A3DFC" w:rsidRPr="00EA09C1">
        <w:rPr>
          <w:rFonts w:asciiTheme="majorHAnsi" w:hAnsiTheme="majorHAnsi"/>
          <w:sz w:val="20"/>
          <w:szCs w:val="20"/>
          <w:lang w:val="es-PE"/>
        </w:rPr>
        <w:t>motivo por el que no podía ser despedida</w:t>
      </w:r>
      <w:r w:rsidR="00291A0A" w:rsidRPr="00EA09C1">
        <w:rPr>
          <w:rFonts w:asciiTheme="majorHAnsi" w:hAnsiTheme="majorHAnsi"/>
          <w:sz w:val="20"/>
          <w:szCs w:val="20"/>
          <w:lang w:val="es-PE"/>
        </w:rPr>
        <w:t>.</w:t>
      </w:r>
    </w:p>
    <w:p w14:paraId="489AD915" w14:textId="77777777" w:rsidR="00EB4A99" w:rsidRPr="00EB4A99" w:rsidRDefault="00EB4A99" w:rsidP="00EB4A99">
      <w:pPr>
        <w:pStyle w:val="ListParagraph"/>
        <w:rPr>
          <w:rFonts w:asciiTheme="majorHAnsi" w:hAnsiTheme="majorHAnsi"/>
          <w:sz w:val="20"/>
          <w:szCs w:val="20"/>
          <w:lang w:val="es-PE"/>
        </w:rPr>
      </w:pPr>
    </w:p>
    <w:p w14:paraId="0DB498C2" w14:textId="09E7CBDE" w:rsidR="00EB4A99" w:rsidRPr="007E46B1" w:rsidRDefault="00F612AD">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sz w:val="20"/>
          <w:szCs w:val="20"/>
          <w:lang w:val="es-PE"/>
        </w:rPr>
      </w:pPr>
      <w:r w:rsidRPr="007E46B1">
        <w:rPr>
          <w:rFonts w:asciiTheme="majorHAnsi" w:hAnsiTheme="majorHAnsi"/>
          <w:sz w:val="20"/>
          <w:szCs w:val="20"/>
          <w:lang w:val="es-PE"/>
        </w:rPr>
        <w:t xml:space="preserve">No obstante, mediante el </w:t>
      </w:r>
      <w:r w:rsidR="00C66963">
        <w:rPr>
          <w:rFonts w:asciiTheme="majorHAnsi" w:hAnsiTheme="majorHAnsi"/>
          <w:sz w:val="20"/>
          <w:szCs w:val="20"/>
          <w:lang w:val="es-PE"/>
        </w:rPr>
        <w:t xml:space="preserve">consabido </w:t>
      </w:r>
      <w:r w:rsidRPr="007E46B1">
        <w:rPr>
          <w:rFonts w:asciiTheme="majorHAnsi" w:hAnsiTheme="majorHAnsi"/>
          <w:sz w:val="20"/>
          <w:szCs w:val="20"/>
          <w:lang w:val="es-PE"/>
        </w:rPr>
        <w:t>Acuerdo de Sala Plena N°</w:t>
      </w:r>
      <w:r w:rsidR="00033137">
        <w:rPr>
          <w:rFonts w:asciiTheme="majorHAnsi" w:hAnsiTheme="majorHAnsi"/>
          <w:sz w:val="20"/>
          <w:szCs w:val="20"/>
          <w:lang w:val="es-PE"/>
        </w:rPr>
        <w:t xml:space="preserve"> </w:t>
      </w:r>
      <w:r w:rsidRPr="007E46B1">
        <w:rPr>
          <w:rFonts w:asciiTheme="majorHAnsi" w:hAnsiTheme="majorHAnsi"/>
          <w:sz w:val="20"/>
          <w:szCs w:val="20"/>
          <w:lang w:val="es-PE"/>
        </w:rPr>
        <w:t>73/2017</w:t>
      </w:r>
      <w:r w:rsidR="006D4A0E">
        <w:rPr>
          <w:rFonts w:asciiTheme="majorHAnsi" w:hAnsiTheme="majorHAnsi"/>
          <w:sz w:val="20"/>
          <w:szCs w:val="20"/>
          <w:lang w:val="es-PE"/>
        </w:rPr>
        <w:t>,</w:t>
      </w:r>
      <w:r w:rsidRPr="007E46B1">
        <w:rPr>
          <w:rFonts w:asciiTheme="majorHAnsi" w:hAnsiTheme="majorHAnsi"/>
          <w:sz w:val="20"/>
          <w:szCs w:val="20"/>
          <w:lang w:val="es-PE"/>
        </w:rPr>
        <w:t xml:space="preserve"> el Consejo de la Magistratura destituyó a la señora </w:t>
      </w:r>
      <w:r w:rsidR="00C6420B" w:rsidRPr="007E46B1">
        <w:rPr>
          <w:rFonts w:asciiTheme="majorHAnsi" w:hAnsiTheme="majorHAnsi"/>
          <w:sz w:val="20"/>
          <w:szCs w:val="20"/>
          <w:lang w:val="es-PE"/>
        </w:rPr>
        <w:t>Morón</w:t>
      </w:r>
      <w:r w:rsidR="00EA09C1">
        <w:rPr>
          <w:rFonts w:asciiTheme="majorHAnsi" w:hAnsiTheme="majorHAnsi"/>
          <w:sz w:val="20"/>
          <w:szCs w:val="20"/>
          <w:lang w:val="es-PE"/>
        </w:rPr>
        <w:t xml:space="preserve"> </w:t>
      </w:r>
      <w:r w:rsidR="006D4A0E">
        <w:rPr>
          <w:rFonts w:asciiTheme="majorHAnsi" w:hAnsiTheme="majorHAnsi"/>
          <w:sz w:val="20"/>
          <w:szCs w:val="20"/>
          <w:lang w:val="es-PE"/>
        </w:rPr>
        <w:t xml:space="preserve">Sanjinéz </w:t>
      </w:r>
      <w:r w:rsidR="00EA09C1">
        <w:rPr>
          <w:rFonts w:asciiTheme="majorHAnsi" w:hAnsiTheme="majorHAnsi"/>
          <w:sz w:val="20"/>
          <w:szCs w:val="20"/>
          <w:lang w:val="es-PE"/>
        </w:rPr>
        <w:t xml:space="preserve">basándose en el carácter transitorio de su cargo. </w:t>
      </w:r>
      <w:r w:rsidR="00B40EED">
        <w:rPr>
          <w:rFonts w:asciiTheme="majorHAnsi" w:hAnsiTheme="majorHAnsi"/>
          <w:sz w:val="20"/>
          <w:szCs w:val="20"/>
          <w:lang w:val="es-PE"/>
        </w:rPr>
        <w:t xml:space="preserve">Contra esta decisión, la presunta víctima </w:t>
      </w:r>
      <w:r w:rsidRPr="007E46B1">
        <w:rPr>
          <w:rFonts w:asciiTheme="majorHAnsi" w:hAnsiTheme="majorHAnsi"/>
          <w:sz w:val="20"/>
          <w:szCs w:val="20"/>
          <w:lang w:val="es-PE"/>
        </w:rPr>
        <w:t xml:space="preserve">interpuso un recurso de revocatoria </w:t>
      </w:r>
      <w:r w:rsidR="00AF0729">
        <w:rPr>
          <w:rFonts w:asciiTheme="majorHAnsi" w:hAnsiTheme="majorHAnsi"/>
          <w:sz w:val="20"/>
          <w:szCs w:val="20"/>
          <w:lang w:val="es-PE"/>
        </w:rPr>
        <w:t>en el que</w:t>
      </w:r>
      <w:r w:rsidR="00635DD8">
        <w:rPr>
          <w:rFonts w:asciiTheme="majorHAnsi" w:hAnsiTheme="majorHAnsi"/>
          <w:sz w:val="20"/>
          <w:szCs w:val="20"/>
          <w:lang w:val="es-PE"/>
        </w:rPr>
        <w:t xml:space="preserve"> también alegó </w:t>
      </w:r>
      <w:r w:rsidR="00E319AD" w:rsidRPr="007E46B1">
        <w:rPr>
          <w:rFonts w:asciiTheme="majorHAnsi" w:hAnsiTheme="majorHAnsi"/>
          <w:sz w:val="20"/>
          <w:szCs w:val="20"/>
          <w:lang w:val="es-PE"/>
        </w:rPr>
        <w:t xml:space="preserve">su condición de </w:t>
      </w:r>
      <w:r w:rsidR="00635DD8">
        <w:rPr>
          <w:rFonts w:asciiTheme="majorHAnsi" w:hAnsiTheme="majorHAnsi"/>
          <w:sz w:val="20"/>
          <w:szCs w:val="20"/>
          <w:lang w:val="es-PE"/>
        </w:rPr>
        <w:t>responsable</w:t>
      </w:r>
      <w:r w:rsidR="00E319AD" w:rsidRPr="007E46B1">
        <w:rPr>
          <w:rFonts w:asciiTheme="majorHAnsi" w:hAnsiTheme="majorHAnsi"/>
          <w:sz w:val="20"/>
          <w:szCs w:val="20"/>
          <w:lang w:val="es-PE"/>
        </w:rPr>
        <w:t xml:space="preserve"> de</w:t>
      </w:r>
      <w:r w:rsidR="00EA09C1">
        <w:rPr>
          <w:rFonts w:asciiTheme="majorHAnsi" w:hAnsiTheme="majorHAnsi"/>
          <w:sz w:val="20"/>
          <w:szCs w:val="20"/>
          <w:lang w:val="es-PE"/>
        </w:rPr>
        <w:t xml:space="preserve"> una</w:t>
      </w:r>
      <w:r w:rsidR="00E319AD" w:rsidRPr="007E46B1">
        <w:rPr>
          <w:rFonts w:asciiTheme="majorHAnsi" w:hAnsiTheme="majorHAnsi"/>
          <w:sz w:val="20"/>
          <w:szCs w:val="20"/>
          <w:lang w:val="es-PE"/>
        </w:rPr>
        <w:t xml:space="preserve"> persona con discapacidad. Pese a ello, el </w:t>
      </w:r>
      <w:r w:rsidR="00B40EED">
        <w:rPr>
          <w:rFonts w:asciiTheme="majorHAnsi" w:hAnsiTheme="majorHAnsi"/>
          <w:sz w:val="20"/>
          <w:szCs w:val="20"/>
          <w:lang w:val="es-PE"/>
        </w:rPr>
        <w:t>C</w:t>
      </w:r>
      <w:r w:rsidR="00E319AD" w:rsidRPr="007E46B1">
        <w:rPr>
          <w:rFonts w:asciiTheme="majorHAnsi" w:hAnsiTheme="majorHAnsi"/>
          <w:sz w:val="20"/>
          <w:szCs w:val="20"/>
          <w:lang w:val="es-PE"/>
        </w:rPr>
        <w:t>onsejo</w:t>
      </w:r>
      <w:r w:rsidR="000B24BF" w:rsidRPr="007E46B1">
        <w:rPr>
          <w:rFonts w:asciiTheme="majorHAnsi" w:hAnsiTheme="majorHAnsi"/>
          <w:sz w:val="20"/>
          <w:szCs w:val="20"/>
          <w:lang w:val="es-PE"/>
        </w:rPr>
        <w:t xml:space="preserve"> </w:t>
      </w:r>
      <w:r w:rsidRPr="007E46B1">
        <w:rPr>
          <w:rFonts w:asciiTheme="majorHAnsi" w:hAnsiTheme="majorHAnsi"/>
          <w:sz w:val="20"/>
          <w:szCs w:val="20"/>
          <w:lang w:val="es-PE"/>
        </w:rPr>
        <w:t>confirmó su decisión</w:t>
      </w:r>
      <w:r w:rsidR="00E319AD" w:rsidRPr="007E46B1">
        <w:rPr>
          <w:rFonts w:asciiTheme="majorHAnsi" w:hAnsiTheme="majorHAnsi"/>
          <w:sz w:val="20"/>
          <w:szCs w:val="20"/>
          <w:lang w:val="es-PE"/>
        </w:rPr>
        <w:t xml:space="preserve"> y no se </w:t>
      </w:r>
      <w:r w:rsidR="008227CC" w:rsidRPr="007E46B1">
        <w:rPr>
          <w:rFonts w:asciiTheme="majorHAnsi" w:hAnsiTheme="majorHAnsi"/>
          <w:sz w:val="20"/>
          <w:szCs w:val="20"/>
          <w:lang w:val="es-PE"/>
        </w:rPr>
        <w:t>pronunció</w:t>
      </w:r>
      <w:r w:rsidR="00E319AD" w:rsidRPr="007E46B1">
        <w:rPr>
          <w:rFonts w:asciiTheme="majorHAnsi" w:hAnsiTheme="majorHAnsi"/>
          <w:sz w:val="20"/>
          <w:szCs w:val="20"/>
          <w:lang w:val="es-PE"/>
        </w:rPr>
        <w:t xml:space="preserve"> sobre su condición de tutora </w:t>
      </w:r>
      <w:r w:rsidR="00635DD8">
        <w:rPr>
          <w:rFonts w:asciiTheme="majorHAnsi" w:hAnsiTheme="majorHAnsi"/>
          <w:sz w:val="20"/>
          <w:szCs w:val="20"/>
          <w:lang w:val="es-PE"/>
        </w:rPr>
        <w:t>al no haber adjuntado</w:t>
      </w:r>
      <w:r w:rsidR="000F2266" w:rsidRPr="007E46B1">
        <w:rPr>
          <w:rFonts w:asciiTheme="majorHAnsi" w:hAnsiTheme="majorHAnsi"/>
          <w:sz w:val="20"/>
          <w:szCs w:val="20"/>
          <w:lang w:val="es-PE"/>
        </w:rPr>
        <w:t xml:space="preserve"> documentos que </w:t>
      </w:r>
      <w:r w:rsidR="00635DD8">
        <w:rPr>
          <w:rFonts w:asciiTheme="majorHAnsi" w:hAnsiTheme="majorHAnsi"/>
          <w:sz w:val="20"/>
          <w:szCs w:val="20"/>
          <w:lang w:val="es-PE"/>
        </w:rPr>
        <w:t>lo probaran</w:t>
      </w:r>
      <w:r w:rsidR="00E319AD" w:rsidRPr="007E46B1">
        <w:rPr>
          <w:rFonts w:asciiTheme="majorHAnsi" w:hAnsiTheme="majorHAnsi"/>
          <w:sz w:val="20"/>
          <w:szCs w:val="20"/>
          <w:lang w:val="es-PE"/>
        </w:rPr>
        <w:t xml:space="preserve">. </w:t>
      </w:r>
      <w:r w:rsidRPr="007E46B1">
        <w:rPr>
          <w:rFonts w:asciiTheme="majorHAnsi" w:hAnsiTheme="majorHAnsi"/>
          <w:sz w:val="20"/>
          <w:szCs w:val="20"/>
          <w:lang w:val="es-PE"/>
        </w:rPr>
        <w:t>Ante esta situación</w:t>
      </w:r>
      <w:r w:rsidR="00291A0A" w:rsidRPr="007E46B1">
        <w:rPr>
          <w:rFonts w:asciiTheme="majorHAnsi" w:hAnsiTheme="majorHAnsi"/>
          <w:sz w:val="20"/>
          <w:szCs w:val="20"/>
          <w:lang w:val="es-PE"/>
        </w:rPr>
        <w:t>, presentó</w:t>
      </w:r>
      <w:r w:rsidRPr="007E46B1">
        <w:rPr>
          <w:rFonts w:asciiTheme="majorHAnsi" w:hAnsiTheme="majorHAnsi"/>
          <w:sz w:val="20"/>
          <w:szCs w:val="20"/>
          <w:lang w:val="es-PE"/>
        </w:rPr>
        <w:t xml:space="preserve"> una acción de amparo constitucional, </w:t>
      </w:r>
      <w:r w:rsidR="00E66C9C" w:rsidRPr="007E46B1">
        <w:rPr>
          <w:rFonts w:asciiTheme="majorHAnsi" w:hAnsiTheme="majorHAnsi"/>
          <w:sz w:val="20"/>
          <w:szCs w:val="20"/>
          <w:lang w:val="es-PE"/>
        </w:rPr>
        <w:t xml:space="preserve">pero </w:t>
      </w:r>
      <w:r w:rsidR="00A139F7" w:rsidRPr="007E46B1">
        <w:rPr>
          <w:rFonts w:asciiTheme="majorHAnsi" w:hAnsiTheme="majorHAnsi"/>
          <w:sz w:val="20"/>
          <w:szCs w:val="20"/>
          <w:lang w:val="es-PE"/>
        </w:rPr>
        <w:t>el Juzgado Segundo Público Civil y Comercial de Riberalta</w:t>
      </w:r>
      <w:r w:rsidR="00E66C9C" w:rsidRPr="007E46B1">
        <w:rPr>
          <w:rFonts w:asciiTheme="majorHAnsi" w:hAnsiTheme="majorHAnsi"/>
          <w:sz w:val="20"/>
          <w:szCs w:val="20"/>
          <w:lang w:val="es-PE"/>
        </w:rPr>
        <w:t xml:space="preserve"> </w:t>
      </w:r>
      <w:r w:rsidR="00A139F7" w:rsidRPr="007E46B1">
        <w:rPr>
          <w:rFonts w:asciiTheme="majorHAnsi" w:hAnsiTheme="majorHAnsi"/>
          <w:sz w:val="20"/>
          <w:szCs w:val="20"/>
          <w:lang w:val="es-PE"/>
        </w:rPr>
        <w:t xml:space="preserve">denegó </w:t>
      </w:r>
      <w:r w:rsidR="007E46B1">
        <w:rPr>
          <w:rFonts w:asciiTheme="majorHAnsi" w:hAnsiTheme="majorHAnsi"/>
          <w:sz w:val="20"/>
          <w:szCs w:val="20"/>
          <w:lang w:val="es-PE"/>
        </w:rPr>
        <w:t xml:space="preserve">su </w:t>
      </w:r>
      <w:r w:rsidR="00A139F7" w:rsidRPr="007E46B1">
        <w:rPr>
          <w:rFonts w:asciiTheme="majorHAnsi" w:hAnsiTheme="majorHAnsi"/>
          <w:sz w:val="20"/>
          <w:szCs w:val="20"/>
          <w:lang w:val="es-PE"/>
        </w:rPr>
        <w:t>reclamo</w:t>
      </w:r>
      <w:r w:rsidRPr="007E46B1">
        <w:rPr>
          <w:rFonts w:asciiTheme="majorHAnsi" w:hAnsiTheme="majorHAnsi"/>
          <w:sz w:val="20"/>
          <w:szCs w:val="20"/>
          <w:lang w:val="es-PE"/>
        </w:rPr>
        <w:t xml:space="preserve"> alegando la transitoriedad de su cargo</w:t>
      </w:r>
      <w:r w:rsidR="000F2266" w:rsidRPr="007E46B1">
        <w:rPr>
          <w:rFonts w:asciiTheme="majorHAnsi" w:hAnsiTheme="majorHAnsi"/>
          <w:sz w:val="20"/>
          <w:szCs w:val="20"/>
          <w:lang w:val="es-PE"/>
        </w:rPr>
        <w:t>. Respecto a su condición de tutora,</w:t>
      </w:r>
      <w:r w:rsidRPr="007E46B1">
        <w:rPr>
          <w:rFonts w:asciiTheme="majorHAnsi" w:hAnsiTheme="majorHAnsi"/>
          <w:sz w:val="20"/>
          <w:szCs w:val="20"/>
          <w:lang w:val="es-PE"/>
        </w:rPr>
        <w:t xml:space="preserve"> </w:t>
      </w:r>
      <w:r w:rsidR="007E46B1">
        <w:rPr>
          <w:rFonts w:asciiTheme="majorHAnsi" w:hAnsiTheme="majorHAnsi"/>
          <w:sz w:val="20"/>
          <w:szCs w:val="20"/>
          <w:lang w:val="es-PE"/>
        </w:rPr>
        <w:t>indic</w:t>
      </w:r>
      <w:r w:rsidR="008227CC" w:rsidRPr="007E46B1">
        <w:rPr>
          <w:rFonts w:asciiTheme="majorHAnsi" w:hAnsiTheme="majorHAnsi"/>
          <w:sz w:val="20"/>
          <w:szCs w:val="20"/>
          <w:lang w:val="es-PE"/>
        </w:rPr>
        <w:t xml:space="preserve">ó </w:t>
      </w:r>
      <w:r w:rsidR="00685592">
        <w:rPr>
          <w:rFonts w:asciiTheme="majorHAnsi" w:hAnsiTheme="majorHAnsi"/>
          <w:sz w:val="20"/>
          <w:szCs w:val="20"/>
          <w:lang w:val="es-PE"/>
        </w:rPr>
        <w:t xml:space="preserve">que </w:t>
      </w:r>
      <w:r w:rsidR="00685592" w:rsidRPr="00685592">
        <w:rPr>
          <w:rFonts w:asciiTheme="majorHAnsi" w:hAnsiTheme="majorHAnsi"/>
          <w:i/>
          <w:iCs/>
          <w:sz w:val="20"/>
          <w:szCs w:val="20"/>
          <w:lang w:val="es-PE"/>
        </w:rPr>
        <w:t xml:space="preserve">“el derecho a </w:t>
      </w:r>
      <w:r w:rsidRPr="00685592">
        <w:rPr>
          <w:rFonts w:asciiTheme="majorHAnsi" w:hAnsiTheme="majorHAnsi"/>
          <w:i/>
          <w:iCs/>
          <w:sz w:val="20"/>
          <w:szCs w:val="20"/>
          <w:lang w:val="es-PE"/>
        </w:rPr>
        <w:t xml:space="preserve">la inamovilidad laboral </w:t>
      </w:r>
      <w:r w:rsidR="00685592" w:rsidRPr="00685592">
        <w:rPr>
          <w:rFonts w:asciiTheme="majorHAnsi" w:hAnsiTheme="majorHAnsi"/>
          <w:i/>
          <w:iCs/>
          <w:sz w:val="20"/>
          <w:szCs w:val="20"/>
          <w:lang w:val="es-PE"/>
        </w:rPr>
        <w:t xml:space="preserve">de las personas con discapacidad </w:t>
      </w:r>
      <w:r w:rsidRPr="00685592">
        <w:rPr>
          <w:rFonts w:asciiTheme="majorHAnsi" w:hAnsiTheme="majorHAnsi"/>
          <w:i/>
          <w:iCs/>
          <w:sz w:val="20"/>
          <w:szCs w:val="20"/>
          <w:lang w:val="es-PE"/>
        </w:rPr>
        <w:t>no es absolut</w:t>
      </w:r>
      <w:r w:rsidR="00685592" w:rsidRPr="00685592">
        <w:rPr>
          <w:rFonts w:asciiTheme="majorHAnsi" w:hAnsiTheme="majorHAnsi"/>
          <w:i/>
          <w:iCs/>
          <w:sz w:val="20"/>
          <w:szCs w:val="20"/>
          <w:lang w:val="es-PE"/>
        </w:rPr>
        <w:t>o</w:t>
      </w:r>
      <w:r w:rsidR="008227CC" w:rsidRPr="00685592">
        <w:rPr>
          <w:rFonts w:asciiTheme="majorHAnsi" w:hAnsiTheme="majorHAnsi"/>
          <w:i/>
          <w:iCs/>
          <w:sz w:val="20"/>
          <w:szCs w:val="20"/>
          <w:lang w:val="es-PE"/>
        </w:rPr>
        <w:t xml:space="preserve">, ya que </w:t>
      </w:r>
      <w:r w:rsidR="00685592" w:rsidRPr="00685592">
        <w:rPr>
          <w:rFonts w:asciiTheme="majorHAnsi" w:hAnsiTheme="majorHAnsi"/>
          <w:i/>
          <w:iCs/>
          <w:sz w:val="20"/>
          <w:szCs w:val="20"/>
          <w:lang w:val="es-PE"/>
        </w:rPr>
        <w:t>excepcionalmente se permite el despido de estos trabajadores por ca</w:t>
      </w:r>
      <w:r w:rsidR="008227CC" w:rsidRPr="00685592">
        <w:rPr>
          <w:rFonts w:asciiTheme="majorHAnsi" w:hAnsiTheme="majorHAnsi"/>
          <w:i/>
          <w:iCs/>
          <w:sz w:val="20"/>
          <w:szCs w:val="20"/>
          <w:lang w:val="es-PE"/>
        </w:rPr>
        <w:t>usas legalmente establecidas</w:t>
      </w:r>
      <w:r w:rsidR="00685592" w:rsidRPr="00685592">
        <w:rPr>
          <w:rFonts w:asciiTheme="majorHAnsi" w:hAnsiTheme="majorHAnsi"/>
          <w:i/>
          <w:iCs/>
          <w:sz w:val="20"/>
          <w:szCs w:val="20"/>
          <w:lang w:val="es-PE"/>
        </w:rPr>
        <w:t xml:space="preserve"> y previo proceso interno instaurado en su contra, razón por la cual corresponde negar la tutela solicitada”</w:t>
      </w:r>
      <w:r w:rsidRPr="00685592">
        <w:rPr>
          <w:rFonts w:asciiTheme="majorHAnsi" w:hAnsiTheme="majorHAnsi"/>
          <w:i/>
          <w:iCs/>
          <w:sz w:val="20"/>
          <w:szCs w:val="20"/>
          <w:lang w:val="es-PE"/>
        </w:rPr>
        <w:t>.</w:t>
      </w:r>
      <w:r w:rsidR="008227CC" w:rsidRPr="007E46B1">
        <w:rPr>
          <w:rFonts w:asciiTheme="majorHAnsi" w:hAnsiTheme="majorHAnsi"/>
          <w:sz w:val="20"/>
          <w:szCs w:val="20"/>
          <w:lang w:val="es-PE"/>
        </w:rPr>
        <w:t xml:space="preserve"> Además, </w:t>
      </w:r>
      <w:r w:rsidR="00685592">
        <w:rPr>
          <w:rFonts w:asciiTheme="majorHAnsi" w:hAnsiTheme="majorHAnsi"/>
          <w:sz w:val="20"/>
          <w:szCs w:val="20"/>
          <w:lang w:val="es-PE"/>
        </w:rPr>
        <w:t>señaló</w:t>
      </w:r>
      <w:r w:rsidR="008227CC" w:rsidRPr="007E46B1">
        <w:rPr>
          <w:rFonts w:asciiTheme="majorHAnsi" w:hAnsiTheme="majorHAnsi"/>
          <w:sz w:val="20"/>
          <w:szCs w:val="20"/>
          <w:lang w:val="es-PE"/>
        </w:rPr>
        <w:t xml:space="preserve"> que no demostró con documentos oficiales su calidad de tutora </w:t>
      </w:r>
      <w:r w:rsidR="00635DD8">
        <w:rPr>
          <w:rFonts w:asciiTheme="majorHAnsi" w:hAnsiTheme="majorHAnsi"/>
          <w:sz w:val="20"/>
          <w:szCs w:val="20"/>
          <w:lang w:val="es-PE"/>
        </w:rPr>
        <w:t>de una persona con</w:t>
      </w:r>
      <w:r w:rsidR="008227CC" w:rsidRPr="007E46B1">
        <w:rPr>
          <w:rFonts w:asciiTheme="majorHAnsi" w:hAnsiTheme="majorHAnsi"/>
          <w:sz w:val="20"/>
          <w:szCs w:val="20"/>
          <w:lang w:val="es-PE"/>
        </w:rPr>
        <w:t xml:space="preserve"> discapacidad al Consejo de la Magistratura</w:t>
      </w:r>
      <w:r w:rsidR="000F2266" w:rsidRPr="007E46B1">
        <w:rPr>
          <w:rFonts w:asciiTheme="majorHAnsi" w:hAnsiTheme="majorHAnsi"/>
          <w:sz w:val="20"/>
          <w:szCs w:val="20"/>
          <w:lang w:val="es-PE"/>
        </w:rPr>
        <w:t xml:space="preserve">, pese a </w:t>
      </w:r>
      <w:r w:rsidR="007E46B1" w:rsidRPr="007E46B1">
        <w:rPr>
          <w:rFonts w:asciiTheme="majorHAnsi" w:hAnsiTheme="majorHAnsi"/>
          <w:sz w:val="20"/>
          <w:szCs w:val="20"/>
          <w:lang w:val="es-PE"/>
        </w:rPr>
        <w:t>que</w:t>
      </w:r>
      <w:r w:rsidR="00C212DF">
        <w:rPr>
          <w:rFonts w:asciiTheme="majorHAnsi" w:hAnsiTheme="majorHAnsi"/>
          <w:sz w:val="20"/>
          <w:szCs w:val="20"/>
          <w:lang w:val="es-PE"/>
        </w:rPr>
        <w:t>, precisa el peticionario,</w:t>
      </w:r>
      <w:r w:rsidR="000F2266" w:rsidRPr="007E46B1">
        <w:rPr>
          <w:rFonts w:asciiTheme="majorHAnsi" w:hAnsiTheme="majorHAnsi"/>
          <w:sz w:val="20"/>
          <w:szCs w:val="20"/>
          <w:lang w:val="es-PE"/>
        </w:rPr>
        <w:t xml:space="preserve"> para ese entonces</w:t>
      </w:r>
      <w:r w:rsidR="001C6E1C">
        <w:rPr>
          <w:rFonts w:asciiTheme="majorHAnsi" w:hAnsiTheme="majorHAnsi"/>
          <w:sz w:val="20"/>
          <w:szCs w:val="20"/>
          <w:lang w:val="es-PE"/>
        </w:rPr>
        <w:t xml:space="preserve"> aquella</w:t>
      </w:r>
      <w:r w:rsidR="000F2266" w:rsidRPr="007E46B1">
        <w:rPr>
          <w:rFonts w:asciiTheme="majorHAnsi" w:hAnsiTheme="majorHAnsi"/>
          <w:sz w:val="20"/>
          <w:szCs w:val="20"/>
          <w:lang w:val="es-PE"/>
        </w:rPr>
        <w:t xml:space="preserve"> ya contaba con la resolución de tutela y el carné de discapacidad actualizado</w:t>
      </w:r>
      <w:r w:rsidR="008227CC" w:rsidRPr="007E46B1">
        <w:rPr>
          <w:rFonts w:asciiTheme="majorHAnsi" w:hAnsiTheme="majorHAnsi"/>
          <w:sz w:val="20"/>
          <w:szCs w:val="20"/>
          <w:lang w:val="es-PE"/>
        </w:rPr>
        <w:t>.</w:t>
      </w:r>
    </w:p>
    <w:p w14:paraId="6455043F" w14:textId="77777777" w:rsidR="00EB4A99" w:rsidRPr="00EB4A99" w:rsidRDefault="00EB4A99" w:rsidP="00EB4A99">
      <w:pPr>
        <w:pStyle w:val="ListParagraph"/>
        <w:rPr>
          <w:rFonts w:asciiTheme="majorHAnsi" w:hAnsiTheme="majorHAnsi"/>
          <w:sz w:val="20"/>
          <w:szCs w:val="20"/>
          <w:lang w:val="es-PE"/>
        </w:rPr>
      </w:pPr>
    </w:p>
    <w:p w14:paraId="11935C28" w14:textId="111C22EF" w:rsidR="00EB4A99" w:rsidRPr="007E46B1" w:rsidRDefault="00F612AD">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sz w:val="20"/>
          <w:szCs w:val="20"/>
          <w:lang w:val="es-PE"/>
        </w:rPr>
      </w:pPr>
      <w:r w:rsidRPr="007E46B1">
        <w:rPr>
          <w:rFonts w:asciiTheme="majorHAnsi" w:hAnsiTheme="majorHAnsi"/>
          <w:sz w:val="20"/>
          <w:szCs w:val="20"/>
          <w:lang w:val="es-PE"/>
        </w:rPr>
        <w:t xml:space="preserve">Finalmente, el Tribunal Constitucional Plurinacional confirmó la denegatoria del amparo, </w:t>
      </w:r>
      <w:r w:rsidR="00514A54" w:rsidRPr="007E46B1">
        <w:rPr>
          <w:rFonts w:asciiTheme="majorHAnsi" w:hAnsiTheme="majorHAnsi"/>
          <w:sz w:val="20"/>
          <w:szCs w:val="20"/>
          <w:lang w:val="es-PE"/>
        </w:rPr>
        <w:t xml:space="preserve">reiterando la transitoriedad del cargo de la </w:t>
      </w:r>
      <w:r w:rsidR="00A82BBF" w:rsidRPr="007E46B1">
        <w:rPr>
          <w:rFonts w:asciiTheme="majorHAnsi" w:hAnsiTheme="majorHAnsi"/>
          <w:sz w:val="20"/>
          <w:szCs w:val="20"/>
          <w:lang w:val="es-PE"/>
        </w:rPr>
        <w:t xml:space="preserve">señora </w:t>
      </w:r>
      <w:r w:rsidR="00C6420B" w:rsidRPr="007E46B1">
        <w:rPr>
          <w:rFonts w:asciiTheme="majorHAnsi" w:hAnsiTheme="majorHAnsi"/>
          <w:sz w:val="20"/>
          <w:szCs w:val="20"/>
          <w:lang w:val="es-PE"/>
        </w:rPr>
        <w:t>Morón</w:t>
      </w:r>
      <w:r w:rsidR="00514A54" w:rsidRPr="007E46B1">
        <w:rPr>
          <w:rFonts w:asciiTheme="majorHAnsi" w:hAnsiTheme="majorHAnsi"/>
          <w:sz w:val="20"/>
          <w:szCs w:val="20"/>
          <w:lang w:val="es-PE"/>
        </w:rPr>
        <w:t xml:space="preserve"> </w:t>
      </w:r>
      <w:r w:rsidR="00CA0C77">
        <w:rPr>
          <w:rFonts w:asciiTheme="majorHAnsi" w:hAnsiTheme="majorHAnsi"/>
          <w:sz w:val="20"/>
          <w:szCs w:val="20"/>
          <w:lang w:val="es-PE"/>
        </w:rPr>
        <w:t xml:space="preserve">Sanjinéz </w:t>
      </w:r>
      <w:r w:rsidR="00514A54" w:rsidRPr="007E46B1">
        <w:rPr>
          <w:rFonts w:asciiTheme="majorHAnsi" w:hAnsiTheme="majorHAnsi"/>
          <w:sz w:val="20"/>
          <w:szCs w:val="20"/>
          <w:lang w:val="es-PE"/>
        </w:rPr>
        <w:t xml:space="preserve">y sin pronunciarse </w:t>
      </w:r>
      <w:r w:rsidR="00F12A3B">
        <w:rPr>
          <w:rFonts w:asciiTheme="majorHAnsi" w:hAnsiTheme="majorHAnsi"/>
          <w:sz w:val="20"/>
          <w:szCs w:val="20"/>
          <w:lang w:val="es-PE"/>
        </w:rPr>
        <w:t xml:space="preserve">sobre </w:t>
      </w:r>
      <w:r w:rsidR="00F12A3B" w:rsidRPr="007E46B1">
        <w:rPr>
          <w:rFonts w:asciiTheme="majorHAnsi" w:hAnsiTheme="majorHAnsi"/>
          <w:sz w:val="20"/>
          <w:szCs w:val="20"/>
          <w:lang w:val="es-PE"/>
        </w:rPr>
        <w:t>su</w:t>
      </w:r>
      <w:r w:rsidR="00A82BBF" w:rsidRPr="007E46B1">
        <w:rPr>
          <w:rFonts w:asciiTheme="majorHAnsi" w:hAnsiTheme="majorHAnsi"/>
          <w:sz w:val="20"/>
          <w:szCs w:val="20"/>
          <w:lang w:val="es-PE"/>
        </w:rPr>
        <w:t xml:space="preserve"> situación de tutora legal de una persona con discapacidad</w:t>
      </w:r>
      <w:r w:rsidR="00CA0C77">
        <w:rPr>
          <w:rFonts w:asciiTheme="majorHAnsi" w:hAnsiTheme="majorHAnsi"/>
          <w:sz w:val="20"/>
          <w:szCs w:val="20"/>
          <w:lang w:val="es-PE"/>
        </w:rPr>
        <w:t>. E</w:t>
      </w:r>
      <w:r w:rsidR="00A82BBF" w:rsidRPr="007E46B1">
        <w:rPr>
          <w:rFonts w:asciiTheme="majorHAnsi" w:hAnsiTheme="majorHAnsi"/>
          <w:sz w:val="20"/>
          <w:szCs w:val="20"/>
          <w:lang w:val="es-PE"/>
        </w:rPr>
        <w:t xml:space="preserve">sta decisión fue notificada el 30 de abril de 2019. Por tal razón, </w:t>
      </w:r>
      <w:r w:rsidR="007E46B1" w:rsidRPr="007E46B1">
        <w:rPr>
          <w:rFonts w:asciiTheme="majorHAnsi" w:hAnsiTheme="majorHAnsi"/>
          <w:sz w:val="20"/>
          <w:szCs w:val="20"/>
          <w:lang w:val="es-PE"/>
        </w:rPr>
        <w:t>el 2 de</w:t>
      </w:r>
      <w:r w:rsidR="00DD359D">
        <w:rPr>
          <w:rFonts w:asciiTheme="majorHAnsi" w:hAnsiTheme="majorHAnsi"/>
          <w:sz w:val="20"/>
          <w:szCs w:val="20"/>
          <w:lang w:val="es-PE"/>
        </w:rPr>
        <w:t xml:space="preserve"> </w:t>
      </w:r>
      <w:r w:rsidR="007E46B1" w:rsidRPr="007E46B1">
        <w:rPr>
          <w:rFonts w:asciiTheme="majorHAnsi" w:hAnsiTheme="majorHAnsi"/>
          <w:sz w:val="20"/>
          <w:szCs w:val="20"/>
          <w:lang w:val="es-PE"/>
        </w:rPr>
        <w:t>mayo de</w:t>
      </w:r>
      <w:r w:rsidR="00635DD8">
        <w:rPr>
          <w:rFonts w:asciiTheme="majorHAnsi" w:hAnsiTheme="majorHAnsi"/>
          <w:sz w:val="20"/>
          <w:szCs w:val="20"/>
          <w:lang w:val="es-PE"/>
        </w:rPr>
        <w:t xml:space="preserve"> </w:t>
      </w:r>
      <w:r w:rsidR="007E46B1" w:rsidRPr="007E46B1">
        <w:rPr>
          <w:rFonts w:asciiTheme="majorHAnsi" w:hAnsiTheme="majorHAnsi"/>
          <w:sz w:val="20"/>
          <w:szCs w:val="20"/>
          <w:lang w:val="es-PE"/>
        </w:rPr>
        <w:t xml:space="preserve">2019 </w:t>
      </w:r>
      <w:r w:rsidR="00A82BBF" w:rsidRPr="007E46B1">
        <w:rPr>
          <w:rFonts w:asciiTheme="majorHAnsi" w:hAnsiTheme="majorHAnsi"/>
          <w:sz w:val="20"/>
          <w:szCs w:val="20"/>
          <w:lang w:val="es-PE"/>
        </w:rPr>
        <w:t>la presunta víctima solicitó aclaración, enmienda y complementación</w:t>
      </w:r>
      <w:r w:rsidR="00685592">
        <w:rPr>
          <w:rFonts w:asciiTheme="majorHAnsi" w:hAnsiTheme="majorHAnsi"/>
          <w:sz w:val="20"/>
          <w:szCs w:val="20"/>
          <w:lang w:val="es-PE"/>
        </w:rPr>
        <w:t>,</w:t>
      </w:r>
      <w:r w:rsidR="007E46B1" w:rsidRPr="007E46B1">
        <w:rPr>
          <w:rFonts w:asciiTheme="majorHAnsi" w:hAnsiTheme="majorHAnsi"/>
          <w:sz w:val="20"/>
          <w:szCs w:val="20"/>
          <w:lang w:val="es-PE"/>
        </w:rPr>
        <w:t xml:space="preserve"> </w:t>
      </w:r>
      <w:r w:rsidR="00685592">
        <w:rPr>
          <w:rFonts w:asciiTheme="majorHAnsi" w:hAnsiTheme="majorHAnsi"/>
          <w:sz w:val="20"/>
          <w:szCs w:val="20"/>
          <w:lang w:val="es-PE"/>
        </w:rPr>
        <w:t>pidiendo</w:t>
      </w:r>
      <w:r w:rsidR="009414CF">
        <w:rPr>
          <w:rFonts w:asciiTheme="majorHAnsi" w:hAnsiTheme="majorHAnsi"/>
          <w:sz w:val="20"/>
          <w:szCs w:val="20"/>
          <w:lang w:val="es-PE"/>
        </w:rPr>
        <w:t xml:space="preserve"> al</w:t>
      </w:r>
      <w:r w:rsidR="00635DD8">
        <w:rPr>
          <w:rFonts w:asciiTheme="majorHAnsi" w:hAnsiTheme="majorHAnsi"/>
          <w:sz w:val="20"/>
          <w:szCs w:val="20"/>
          <w:lang w:val="es-PE"/>
        </w:rPr>
        <w:t xml:space="preserve"> tribunal</w:t>
      </w:r>
      <w:r w:rsidR="009414CF">
        <w:rPr>
          <w:rFonts w:asciiTheme="majorHAnsi" w:hAnsiTheme="majorHAnsi"/>
          <w:sz w:val="20"/>
          <w:szCs w:val="20"/>
          <w:lang w:val="es-PE"/>
        </w:rPr>
        <w:t xml:space="preserve"> que explique el motivo por el que no</w:t>
      </w:r>
      <w:r w:rsidR="00635DD8">
        <w:rPr>
          <w:rFonts w:asciiTheme="majorHAnsi" w:hAnsiTheme="majorHAnsi"/>
          <w:sz w:val="20"/>
          <w:szCs w:val="20"/>
          <w:lang w:val="es-PE"/>
        </w:rPr>
        <w:t xml:space="preserve"> se pronunció sobre uno de sus alegatos principales, </w:t>
      </w:r>
      <w:r w:rsidR="009414CF">
        <w:rPr>
          <w:rFonts w:asciiTheme="majorHAnsi" w:hAnsiTheme="majorHAnsi"/>
          <w:sz w:val="20"/>
          <w:szCs w:val="20"/>
          <w:lang w:val="es-PE"/>
        </w:rPr>
        <w:t>relativo a</w:t>
      </w:r>
      <w:r w:rsidR="00635DD8">
        <w:rPr>
          <w:rFonts w:asciiTheme="majorHAnsi" w:hAnsiTheme="majorHAnsi"/>
          <w:sz w:val="20"/>
          <w:szCs w:val="20"/>
          <w:lang w:val="es-PE"/>
        </w:rPr>
        <w:t xml:space="preserve"> la obligación de </w:t>
      </w:r>
      <w:r w:rsidR="007E46B1" w:rsidRPr="007E46B1">
        <w:rPr>
          <w:rFonts w:asciiTheme="majorHAnsi" w:hAnsiTheme="majorHAnsi"/>
          <w:sz w:val="20"/>
          <w:szCs w:val="20"/>
          <w:lang w:val="es-PE"/>
        </w:rPr>
        <w:t xml:space="preserve">inamovilidad laboral de personas con familiares con discapacidad dependientes. </w:t>
      </w:r>
      <w:r w:rsidR="00635DD8">
        <w:rPr>
          <w:rFonts w:asciiTheme="majorHAnsi" w:hAnsiTheme="majorHAnsi"/>
          <w:sz w:val="20"/>
          <w:szCs w:val="20"/>
          <w:lang w:val="es-PE"/>
        </w:rPr>
        <w:t>A pesar de ello</w:t>
      </w:r>
      <w:r w:rsidR="00A82BBF" w:rsidRPr="007E46B1">
        <w:rPr>
          <w:rFonts w:asciiTheme="majorHAnsi" w:hAnsiTheme="majorHAnsi"/>
          <w:sz w:val="20"/>
          <w:szCs w:val="20"/>
          <w:lang w:val="es-PE"/>
        </w:rPr>
        <w:t xml:space="preserve">, el tribunal resolvió </w:t>
      </w:r>
      <w:r w:rsidR="00A139F7" w:rsidRPr="007E46B1">
        <w:rPr>
          <w:rFonts w:asciiTheme="majorHAnsi" w:hAnsiTheme="majorHAnsi"/>
          <w:sz w:val="20"/>
          <w:szCs w:val="20"/>
          <w:lang w:val="es-PE"/>
        </w:rPr>
        <w:t>que su pedido no era procedente</w:t>
      </w:r>
      <w:r w:rsidR="009414CF">
        <w:rPr>
          <w:rFonts w:asciiTheme="majorHAnsi" w:hAnsiTheme="majorHAnsi"/>
          <w:sz w:val="20"/>
          <w:szCs w:val="20"/>
          <w:lang w:val="es-PE"/>
        </w:rPr>
        <w:t xml:space="preserve">, en tanto que el argumento está relacionado con el fondo de la problemática, mientras que este recurso solo está dirigido a aclarar conceptos o corregir errores materiales que </w:t>
      </w:r>
      <w:r w:rsidR="00A26EAE">
        <w:rPr>
          <w:rFonts w:asciiTheme="majorHAnsi" w:hAnsiTheme="majorHAnsi"/>
          <w:sz w:val="20"/>
          <w:szCs w:val="20"/>
          <w:lang w:val="es-PE"/>
        </w:rPr>
        <w:t>no mo</w:t>
      </w:r>
      <w:r w:rsidR="009414CF">
        <w:rPr>
          <w:rFonts w:asciiTheme="majorHAnsi" w:hAnsiTheme="majorHAnsi"/>
          <w:sz w:val="20"/>
          <w:szCs w:val="20"/>
          <w:lang w:val="es-PE"/>
        </w:rPr>
        <w:t>di</w:t>
      </w:r>
      <w:r w:rsidR="00A26EAE">
        <w:rPr>
          <w:rFonts w:asciiTheme="majorHAnsi" w:hAnsiTheme="majorHAnsi"/>
          <w:sz w:val="20"/>
          <w:szCs w:val="20"/>
          <w:lang w:val="es-PE"/>
        </w:rPr>
        <w:t>fiquen el fond</w:t>
      </w:r>
      <w:r w:rsidR="009414CF">
        <w:rPr>
          <w:rFonts w:asciiTheme="majorHAnsi" w:hAnsiTheme="majorHAnsi"/>
          <w:sz w:val="20"/>
          <w:szCs w:val="20"/>
          <w:lang w:val="es-PE"/>
        </w:rPr>
        <w:t>o</w:t>
      </w:r>
      <w:r w:rsidR="00A26EAE">
        <w:rPr>
          <w:rFonts w:asciiTheme="majorHAnsi" w:hAnsiTheme="majorHAnsi"/>
          <w:sz w:val="20"/>
          <w:szCs w:val="20"/>
          <w:lang w:val="es-PE"/>
        </w:rPr>
        <w:t xml:space="preserve"> de lo resuelto.</w:t>
      </w:r>
      <w:r w:rsidR="00A82BBF" w:rsidRPr="007E46B1">
        <w:rPr>
          <w:rFonts w:asciiTheme="majorHAnsi" w:hAnsiTheme="majorHAnsi"/>
          <w:sz w:val="20"/>
          <w:szCs w:val="20"/>
          <w:lang w:val="es-PE"/>
        </w:rPr>
        <w:t xml:space="preserve"> Esta última decisión fue notificada el 16 de agosto de 2019.</w:t>
      </w:r>
    </w:p>
    <w:p w14:paraId="5D433469" w14:textId="77777777" w:rsidR="00EB4A99" w:rsidRPr="00EB4A99" w:rsidRDefault="00EB4A99" w:rsidP="00EB4A99">
      <w:pPr>
        <w:pStyle w:val="ListParagraph"/>
        <w:rPr>
          <w:rFonts w:asciiTheme="majorHAnsi" w:hAnsiTheme="majorHAnsi"/>
          <w:sz w:val="20"/>
          <w:szCs w:val="20"/>
          <w:lang w:val="es-PE"/>
        </w:rPr>
      </w:pPr>
    </w:p>
    <w:p w14:paraId="6E41A7B9" w14:textId="18FF859D" w:rsidR="00EB4A99" w:rsidRPr="00EB4A99" w:rsidRDefault="008E2BEE">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sz w:val="20"/>
          <w:szCs w:val="20"/>
          <w:lang w:val="es-PE"/>
        </w:rPr>
      </w:pPr>
      <w:r>
        <w:rPr>
          <w:rFonts w:asciiTheme="majorHAnsi" w:hAnsiTheme="majorHAnsi"/>
          <w:sz w:val="20"/>
          <w:szCs w:val="20"/>
          <w:lang w:val="es-PE"/>
        </w:rPr>
        <w:t xml:space="preserve">El peticionario también aduce que </w:t>
      </w:r>
      <w:r w:rsidR="00634494" w:rsidRPr="00EB4A99">
        <w:rPr>
          <w:rFonts w:asciiTheme="majorHAnsi" w:hAnsiTheme="majorHAnsi"/>
          <w:sz w:val="20"/>
          <w:szCs w:val="20"/>
          <w:lang w:val="es-PE"/>
        </w:rPr>
        <w:t>se ha vulnerado la Convención Interamericana para la Eliminación de Todas las Formas de Discriminación contra las Personas con Discapacidad, d</w:t>
      </w:r>
      <w:r w:rsidR="00291A0A" w:rsidRPr="00EB4A99">
        <w:rPr>
          <w:rFonts w:asciiTheme="majorHAnsi" w:hAnsiTheme="majorHAnsi"/>
          <w:sz w:val="20"/>
          <w:szCs w:val="20"/>
          <w:lang w:val="es-PE"/>
        </w:rPr>
        <w:t>ado</w:t>
      </w:r>
      <w:r w:rsidR="00634494" w:rsidRPr="00EB4A99">
        <w:rPr>
          <w:rFonts w:asciiTheme="majorHAnsi" w:hAnsiTheme="majorHAnsi"/>
          <w:sz w:val="20"/>
          <w:szCs w:val="20"/>
          <w:lang w:val="es-PE"/>
        </w:rPr>
        <w:t xml:space="preserve"> que en la jurisdicción interna no se tomó en cuenta la condición de la </w:t>
      </w:r>
      <w:r w:rsidR="00C6420B">
        <w:rPr>
          <w:rFonts w:asciiTheme="majorHAnsi" w:hAnsiTheme="majorHAnsi"/>
          <w:sz w:val="20"/>
          <w:szCs w:val="20"/>
          <w:lang w:val="es-PE"/>
        </w:rPr>
        <w:t>señora</w:t>
      </w:r>
      <w:r w:rsidR="00634494" w:rsidRPr="00EB4A99">
        <w:rPr>
          <w:rFonts w:asciiTheme="majorHAnsi" w:hAnsiTheme="majorHAnsi"/>
          <w:sz w:val="20"/>
          <w:szCs w:val="20"/>
          <w:lang w:val="es-PE"/>
        </w:rPr>
        <w:t xml:space="preserve"> </w:t>
      </w:r>
      <w:r w:rsidR="00F12A3B" w:rsidRPr="00EB4A99">
        <w:rPr>
          <w:rFonts w:asciiTheme="majorHAnsi" w:hAnsiTheme="majorHAnsi"/>
          <w:sz w:val="20"/>
          <w:szCs w:val="20"/>
          <w:lang w:val="es-PE"/>
        </w:rPr>
        <w:t xml:space="preserve">Morón </w:t>
      </w:r>
      <w:r w:rsidR="00F12A3B">
        <w:rPr>
          <w:rFonts w:asciiTheme="majorHAnsi" w:hAnsiTheme="majorHAnsi"/>
          <w:sz w:val="20"/>
          <w:szCs w:val="20"/>
          <w:lang w:val="es-PE"/>
        </w:rPr>
        <w:t>Sanjinéz</w:t>
      </w:r>
      <w:r w:rsidR="00B9754F">
        <w:rPr>
          <w:rFonts w:asciiTheme="majorHAnsi" w:hAnsiTheme="majorHAnsi"/>
          <w:sz w:val="20"/>
          <w:szCs w:val="20"/>
          <w:lang w:val="es-PE"/>
        </w:rPr>
        <w:t xml:space="preserve"> </w:t>
      </w:r>
      <w:r w:rsidR="00634494" w:rsidRPr="00EB4A99">
        <w:rPr>
          <w:rFonts w:asciiTheme="majorHAnsi" w:hAnsiTheme="majorHAnsi"/>
          <w:sz w:val="20"/>
          <w:szCs w:val="20"/>
          <w:lang w:val="es-PE"/>
        </w:rPr>
        <w:t xml:space="preserve">como tutora legal de su prima. </w:t>
      </w:r>
      <w:r w:rsidR="00291A0A" w:rsidRPr="00EB4A99">
        <w:rPr>
          <w:rFonts w:asciiTheme="majorHAnsi" w:hAnsiTheme="majorHAnsi"/>
          <w:sz w:val="20"/>
          <w:szCs w:val="20"/>
          <w:lang w:val="es-PE"/>
        </w:rPr>
        <w:t>A</w:t>
      </w:r>
      <w:r w:rsidR="004B51F1">
        <w:rPr>
          <w:rFonts w:asciiTheme="majorHAnsi" w:hAnsiTheme="majorHAnsi"/>
          <w:sz w:val="20"/>
          <w:szCs w:val="20"/>
          <w:lang w:val="es-PE"/>
        </w:rPr>
        <w:t xml:space="preserve"> su juicio, </w:t>
      </w:r>
      <w:r w:rsidR="00634494" w:rsidRPr="00EB4A99">
        <w:rPr>
          <w:rFonts w:asciiTheme="majorHAnsi" w:hAnsiTheme="majorHAnsi"/>
          <w:sz w:val="20"/>
          <w:szCs w:val="20"/>
          <w:lang w:val="es-PE"/>
        </w:rPr>
        <w:t>el Estado no ha</w:t>
      </w:r>
      <w:r w:rsidR="004B51F1">
        <w:rPr>
          <w:rFonts w:asciiTheme="majorHAnsi" w:hAnsiTheme="majorHAnsi"/>
          <w:sz w:val="20"/>
          <w:szCs w:val="20"/>
          <w:lang w:val="es-PE"/>
        </w:rPr>
        <w:t>bría</w:t>
      </w:r>
      <w:r w:rsidR="00634494" w:rsidRPr="00EB4A99">
        <w:rPr>
          <w:rFonts w:asciiTheme="majorHAnsi" w:hAnsiTheme="majorHAnsi"/>
          <w:sz w:val="20"/>
          <w:szCs w:val="20"/>
          <w:lang w:val="es-PE"/>
        </w:rPr>
        <w:t xml:space="preserve"> cumplido </w:t>
      </w:r>
      <w:r w:rsidR="00291A0A" w:rsidRPr="00EB4A99">
        <w:rPr>
          <w:rFonts w:asciiTheme="majorHAnsi" w:hAnsiTheme="majorHAnsi"/>
          <w:sz w:val="20"/>
          <w:szCs w:val="20"/>
          <w:lang w:val="es-PE"/>
        </w:rPr>
        <w:t xml:space="preserve">con </w:t>
      </w:r>
      <w:r w:rsidR="00634494" w:rsidRPr="00EB4A99">
        <w:rPr>
          <w:rFonts w:asciiTheme="majorHAnsi" w:hAnsiTheme="majorHAnsi"/>
          <w:sz w:val="20"/>
          <w:szCs w:val="20"/>
          <w:lang w:val="es-PE"/>
        </w:rPr>
        <w:t xml:space="preserve">sus obligaciones convencionales de </w:t>
      </w:r>
      <w:r w:rsidR="00514A54" w:rsidRPr="00EB4A99">
        <w:rPr>
          <w:rFonts w:asciiTheme="majorHAnsi" w:hAnsiTheme="majorHAnsi"/>
          <w:sz w:val="20"/>
          <w:szCs w:val="20"/>
          <w:lang w:val="es-PE"/>
        </w:rPr>
        <w:t>evitar</w:t>
      </w:r>
      <w:r w:rsidR="00634494" w:rsidRPr="00EB4A99">
        <w:rPr>
          <w:rFonts w:asciiTheme="majorHAnsi" w:hAnsiTheme="majorHAnsi"/>
          <w:sz w:val="20"/>
          <w:szCs w:val="20"/>
          <w:lang w:val="es-PE"/>
        </w:rPr>
        <w:t xml:space="preserve"> </w:t>
      </w:r>
      <w:r w:rsidR="00291A0A" w:rsidRPr="00EB4A99">
        <w:rPr>
          <w:rFonts w:asciiTheme="majorHAnsi" w:hAnsiTheme="majorHAnsi"/>
          <w:sz w:val="20"/>
          <w:szCs w:val="20"/>
          <w:lang w:val="es-PE"/>
        </w:rPr>
        <w:t xml:space="preserve">la </w:t>
      </w:r>
      <w:r w:rsidR="00634494" w:rsidRPr="00EB4A99">
        <w:rPr>
          <w:rFonts w:asciiTheme="majorHAnsi" w:hAnsiTheme="majorHAnsi"/>
          <w:sz w:val="20"/>
          <w:szCs w:val="20"/>
          <w:lang w:val="es-PE"/>
        </w:rPr>
        <w:t xml:space="preserve">discriminación por discapacidad en </w:t>
      </w:r>
      <w:r w:rsidR="00291A0A" w:rsidRPr="00EB4A99">
        <w:rPr>
          <w:rFonts w:asciiTheme="majorHAnsi" w:hAnsiTheme="majorHAnsi"/>
          <w:sz w:val="20"/>
          <w:szCs w:val="20"/>
          <w:lang w:val="es-PE"/>
        </w:rPr>
        <w:t>el ámbito laboral</w:t>
      </w:r>
      <w:r w:rsidR="00634494" w:rsidRPr="00EB4A99">
        <w:rPr>
          <w:rFonts w:asciiTheme="majorHAnsi" w:hAnsiTheme="majorHAnsi"/>
          <w:sz w:val="20"/>
          <w:szCs w:val="20"/>
          <w:lang w:val="es-PE"/>
        </w:rPr>
        <w:t xml:space="preserve">, </w:t>
      </w:r>
      <w:r w:rsidR="00291A0A" w:rsidRPr="00EB4A99">
        <w:rPr>
          <w:rFonts w:asciiTheme="majorHAnsi" w:hAnsiTheme="majorHAnsi"/>
          <w:sz w:val="20"/>
          <w:szCs w:val="20"/>
          <w:lang w:val="es-PE"/>
        </w:rPr>
        <w:t>ya que</w:t>
      </w:r>
      <w:r w:rsidR="00634494" w:rsidRPr="00EB4A99">
        <w:rPr>
          <w:rFonts w:asciiTheme="majorHAnsi" w:hAnsiTheme="majorHAnsi"/>
          <w:sz w:val="20"/>
          <w:szCs w:val="20"/>
          <w:lang w:val="es-PE"/>
        </w:rPr>
        <w:t xml:space="preserve"> la normativa interna boliviana no </w:t>
      </w:r>
      <w:r w:rsidR="00784A52">
        <w:rPr>
          <w:rFonts w:asciiTheme="majorHAnsi" w:hAnsiTheme="majorHAnsi"/>
          <w:sz w:val="20"/>
          <w:szCs w:val="20"/>
          <w:lang w:val="es-PE"/>
        </w:rPr>
        <w:t xml:space="preserve">solo </w:t>
      </w:r>
      <w:r w:rsidR="00634494" w:rsidRPr="00EB4A99">
        <w:rPr>
          <w:rFonts w:asciiTheme="majorHAnsi" w:hAnsiTheme="majorHAnsi"/>
          <w:sz w:val="20"/>
          <w:szCs w:val="20"/>
          <w:lang w:val="es-PE"/>
        </w:rPr>
        <w:t>protege a la persona con discapacidad sino también a su</w:t>
      </w:r>
      <w:r w:rsidR="00291A0A" w:rsidRPr="00EB4A99">
        <w:rPr>
          <w:rFonts w:asciiTheme="majorHAnsi" w:hAnsiTheme="majorHAnsi"/>
          <w:sz w:val="20"/>
          <w:szCs w:val="20"/>
          <w:lang w:val="es-PE"/>
        </w:rPr>
        <w:t>s</w:t>
      </w:r>
      <w:r w:rsidR="00634494" w:rsidRPr="00EB4A99">
        <w:rPr>
          <w:rFonts w:asciiTheme="majorHAnsi" w:hAnsiTheme="majorHAnsi"/>
          <w:sz w:val="20"/>
          <w:szCs w:val="20"/>
          <w:lang w:val="es-PE"/>
        </w:rPr>
        <w:t xml:space="preserve"> tutor</w:t>
      </w:r>
      <w:r w:rsidR="00291A0A" w:rsidRPr="00EB4A99">
        <w:rPr>
          <w:rFonts w:asciiTheme="majorHAnsi" w:hAnsiTheme="majorHAnsi"/>
          <w:sz w:val="20"/>
          <w:szCs w:val="20"/>
          <w:lang w:val="es-PE"/>
        </w:rPr>
        <w:t>es</w:t>
      </w:r>
      <w:r w:rsidR="00634494" w:rsidRPr="00EB4A99">
        <w:rPr>
          <w:rFonts w:asciiTheme="majorHAnsi" w:hAnsiTheme="majorHAnsi"/>
          <w:sz w:val="20"/>
          <w:szCs w:val="20"/>
          <w:lang w:val="es-PE"/>
        </w:rPr>
        <w:t xml:space="preserve">. </w:t>
      </w:r>
    </w:p>
    <w:p w14:paraId="1BF8C85B" w14:textId="1B881E00" w:rsidR="00EB4A99" w:rsidRPr="00EB4A99" w:rsidRDefault="00EB4A99" w:rsidP="00EB4A99">
      <w:pPr>
        <w:pStyle w:val="ListParagraph"/>
        <w:spacing w:before="240" w:after="240"/>
        <w:jc w:val="both"/>
        <w:rPr>
          <w:rFonts w:asciiTheme="majorHAnsi" w:hAnsiTheme="majorHAnsi"/>
          <w:i/>
          <w:iCs/>
          <w:sz w:val="20"/>
          <w:szCs w:val="20"/>
          <w:lang w:val="pt-BR"/>
        </w:rPr>
      </w:pPr>
      <w:r w:rsidRPr="00D907CC">
        <w:rPr>
          <w:rFonts w:asciiTheme="majorHAnsi" w:hAnsiTheme="majorHAnsi"/>
          <w:i/>
          <w:iCs/>
          <w:sz w:val="20"/>
          <w:szCs w:val="20"/>
          <w:lang w:val="pt-BR"/>
        </w:rPr>
        <w:t>Cándida Pinto Chacón (P-3126-19)</w:t>
      </w:r>
    </w:p>
    <w:p w14:paraId="34AA64A7" w14:textId="548D4100" w:rsidR="00EB4A99" w:rsidRPr="00EB4A99" w:rsidRDefault="00784A52">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sz w:val="20"/>
          <w:szCs w:val="20"/>
          <w:lang w:val="es-PE"/>
        </w:rPr>
      </w:pPr>
      <w:r>
        <w:rPr>
          <w:rFonts w:asciiTheme="majorHAnsi" w:hAnsiTheme="majorHAnsi"/>
          <w:sz w:val="20"/>
          <w:szCs w:val="20"/>
          <w:lang w:val="es-PE"/>
        </w:rPr>
        <w:t>La</w:t>
      </w:r>
      <w:r w:rsidR="000F5D9A" w:rsidRPr="00EB4A99">
        <w:rPr>
          <w:rFonts w:asciiTheme="majorHAnsi" w:hAnsiTheme="majorHAnsi"/>
          <w:sz w:val="20"/>
          <w:szCs w:val="20"/>
          <w:lang w:val="es-PE"/>
        </w:rPr>
        <w:t xml:space="preserve"> señora Pinto </w:t>
      </w:r>
      <w:r w:rsidR="00B9754F">
        <w:rPr>
          <w:rFonts w:asciiTheme="majorHAnsi" w:hAnsiTheme="majorHAnsi"/>
          <w:sz w:val="20"/>
          <w:szCs w:val="20"/>
          <w:lang w:val="es-PE"/>
        </w:rPr>
        <w:t xml:space="preserve">Chacón </w:t>
      </w:r>
      <w:r w:rsidR="000F5D9A" w:rsidRPr="00EB4A99">
        <w:rPr>
          <w:rFonts w:asciiTheme="majorHAnsi" w:hAnsiTheme="majorHAnsi"/>
          <w:sz w:val="20"/>
          <w:szCs w:val="20"/>
          <w:lang w:val="es-PE"/>
        </w:rPr>
        <w:t>ejercía funciones como Jueza Pública Civil y Comercial Vigésima Primera de la ciudad de La Paz, provincia Murillo</w:t>
      </w:r>
      <w:r w:rsidR="00E66C9C" w:rsidRPr="00EB4A99">
        <w:rPr>
          <w:rFonts w:asciiTheme="majorHAnsi" w:hAnsiTheme="majorHAnsi"/>
          <w:sz w:val="20"/>
          <w:szCs w:val="20"/>
          <w:lang w:val="es-PE"/>
        </w:rPr>
        <w:t>, cuando fue notificada de su destitución por el Consejo</w:t>
      </w:r>
      <w:r w:rsidR="000F5D9A" w:rsidRPr="00EB4A99">
        <w:rPr>
          <w:rFonts w:asciiTheme="majorHAnsi" w:hAnsiTheme="majorHAnsi"/>
          <w:sz w:val="20"/>
          <w:szCs w:val="20"/>
          <w:lang w:val="es-PE"/>
        </w:rPr>
        <w:t xml:space="preserve"> de la Magistratura </w:t>
      </w:r>
      <w:r w:rsidR="00E66C9C" w:rsidRPr="00EB4A99">
        <w:rPr>
          <w:rFonts w:asciiTheme="majorHAnsi" w:hAnsiTheme="majorHAnsi"/>
          <w:sz w:val="20"/>
          <w:szCs w:val="20"/>
          <w:lang w:val="es-PE"/>
        </w:rPr>
        <w:t>mediante el Acuerdo de Sala Plena N°</w:t>
      </w:r>
      <w:r w:rsidR="00033137">
        <w:rPr>
          <w:rFonts w:asciiTheme="majorHAnsi" w:hAnsiTheme="majorHAnsi"/>
          <w:sz w:val="20"/>
          <w:szCs w:val="20"/>
          <w:lang w:val="es-PE"/>
        </w:rPr>
        <w:t xml:space="preserve"> </w:t>
      </w:r>
      <w:r w:rsidR="00E66C9C" w:rsidRPr="00EB4A99">
        <w:rPr>
          <w:rFonts w:asciiTheme="majorHAnsi" w:hAnsiTheme="majorHAnsi"/>
          <w:sz w:val="20"/>
          <w:szCs w:val="20"/>
          <w:lang w:val="es-PE"/>
        </w:rPr>
        <w:t>73/2017. Por tal motivo,</w:t>
      </w:r>
      <w:r w:rsidR="000F5D9A" w:rsidRPr="00EB4A99">
        <w:rPr>
          <w:rFonts w:asciiTheme="majorHAnsi" w:hAnsiTheme="majorHAnsi"/>
          <w:sz w:val="20"/>
          <w:szCs w:val="20"/>
          <w:lang w:val="es-PE"/>
        </w:rPr>
        <w:t xml:space="preserve"> interpuso un recurso de revocatoria ante dicho órgano, pero este solo confirmó su decisió</w:t>
      </w:r>
      <w:r w:rsidR="00493CDD">
        <w:rPr>
          <w:rFonts w:asciiTheme="majorHAnsi" w:hAnsiTheme="majorHAnsi"/>
          <w:sz w:val="20"/>
          <w:szCs w:val="20"/>
          <w:lang w:val="es-PE"/>
        </w:rPr>
        <w:t>n</w:t>
      </w:r>
      <w:r w:rsidR="000F5D9A" w:rsidRPr="00EB4A99">
        <w:rPr>
          <w:rFonts w:asciiTheme="majorHAnsi" w:hAnsiTheme="majorHAnsi"/>
          <w:sz w:val="20"/>
          <w:szCs w:val="20"/>
          <w:lang w:val="es-PE"/>
        </w:rPr>
        <w:t xml:space="preserve">. </w:t>
      </w:r>
    </w:p>
    <w:p w14:paraId="580FD8C9" w14:textId="77777777" w:rsidR="00EB4A99" w:rsidRPr="00EB4A99" w:rsidRDefault="00EB4A99" w:rsidP="00EB4A99">
      <w:pPr>
        <w:pStyle w:val="ListParagraph"/>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sz w:val="20"/>
          <w:szCs w:val="20"/>
          <w:lang w:val="es-PE"/>
        </w:rPr>
      </w:pPr>
    </w:p>
    <w:p w14:paraId="6EDA9D91" w14:textId="1CCA0AC8" w:rsidR="00EB4A99" w:rsidRPr="00CB416A" w:rsidRDefault="000C1A34">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sz w:val="20"/>
          <w:szCs w:val="20"/>
          <w:lang w:val="es-PE"/>
        </w:rPr>
      </w:pPr>
      <w:r>
        <w:rPr>
          <w:rFonts w:asciiTheme="majorHAnsi" w:hAnsiTheme="majorHAnsi"/>
          <w:sz w:val="20"/>
          <w:szCs w:val="20"/>
          <w:lang w:val="es-PE"/>
        </w:rPr>
        <w:t>L</w:t>
      </w:r>
      <w:r w:rsidR="00E66C9C" w:rsidRPr="00EB4A99">
        <w:rPr>
          <w:rFonts w:asciiTheme="majorHAnsi" w:hAnsiTheme="majorHAnsi"/>
          <w:sz w:val="20"/>
          <w:szCs w:val="20"/>
          <w:lang w:val="es-PE"/>
        </w:rPr>
        <w:t xml:space="preserve">a presunta víctima </w:t>
      </w:r>
      <w:r w:rsidR="000F5D9A" w:rsidRPr="00EB4A99">
        <w:rPr>
          <w:rFonts w:asciiTheme="majorHAnsi" w:hAnsiTheme="majorHAnsi"/>
          <w:sz w:val="20"/>
          <w:szCs w:val="20"/>
          <w:lang w:val="es-PE"/>
        </w:rPr>
        <w:t xml:space="preserve">presentó </w:t>
      </w:r>
      <w:r>
        <w:rPr>
          <w:rFonts w:asciiTheme="majorHAnsi" w:hAnsiTheme="majorHAnsi"/>
          <w:sz w:val="20"/>
          <w:szCs w:val="20"/>
          <w:lang w:val="es-PE"/>
        </w:rPr>
        <w:t xml:space="preserve">luego </w:t>
      </w:r>
      <w:r w:rsidR="000F5D9A" w:rsidRPr="00EB4A99">
        <w:rPr>
          <w:rFonts w:asciiTheme="majorHAnsi" w:hAnsiTheme="majorHAnsi"/>
          <w:sz w:val="20"/>
          <w:szCs w:val="20"/>
          <w:lang w:val="es-PE"/>
        </w:rPr>
        <w:t xml:space="preserve">una acción de amparo constitucional ante </w:t>
      </w:r>
      <w:r w:rsidR="00E66C9C" w:rsidRPr="00EB4A99">
        <w:rPr>
          <w:rFonts w:asciiTheme="majorHAnsi" w:hAnsiTheme="majorHAnsi"/>
          <w:sz w:val="20"/>
          <w:szCs w:val="20"/>
          <w:lang w:val="es-PE"/>
        </w:rPr>
        <w:t>la Sala Penal Segunda de Chuquisaca</w:t>
      </w:r>
      <w:r w:rsidR="000F5D9A" w:rsidRPr="00EB4A99">
        <w:rPr>
          <w:rFonts w:asciiTheme="majorHAnsi" w:hAnsiTheme="majorHAnsi"/>
          <w:sz w:val="20"/>
          <w:szCs w:val="20"/>
          <w:lang w:val="es-PE"/>
        </w:rPr>
        <w:t xml:space="preserve">, la cual </w:t>
      </w:r>
      <w:r w:rsidR="00E66C9C" w:rsidRPr="00EB4A99">
        <w:rPr>
          <w:rFonts w:asciiTheme="majorHAnsi" w:hAnsiTheme="majorHAnsi"/>
          <w:sz w:val="20"/>
          <w:szCs w:val="20"/>
          <w:lang w:val="es-PE"/>
        </w:rPr>
        <w:t>le denegó la tutela argumentando que por</w:t>
      </w:r>
      <w:r w:rsidR="000F5D9A" w:rsidRPr="00EB4A99">
        <w:rPr>
          <w:rFonts w:asciiTheme="majorHAnsi" w:hAnsiTheme="majorHAnsi"/>
          <w:sz w:val="20"/>
          <w:szCs w:val="20"/>
          <w:lang w:val="es-PE"/>
        </w:rPr>
        <w:t xml:space="preserve"> la transitoriedad de su cargo</w:t>
      </w:r>
      <w:r w:rsidR="00E66C9C" w:rsidRPr="00EB4A99">
        <w:rPr>
          <w:rFonts w:asciiTheme="majorHAnsi" w:hAnsiTheme="majorHAnsi"/>
          <w:sz w:val="20"/>
          <w:szCs w:val="20"/>
          <w:lang w:val="es-PE"/>
        </w:rPr>
        <w:t xml:space="preserve"> no se habían vulnerado sus derechos. Esta decisión fue confirmada por el Tribunal Constitucional Plurinacional de Bolivia, que notificó su decisión el 21 de setiembre de 2018.</w:t>
      </w:r>
    </w:p>
    <w:p w14:paraId="47B6F5C4" w14:textId="77777777" w:rsidR="00CB416A" w:rsidRDefault="00CB416A" w:rsidP="00CB416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sz w:val="20"/>
          <w:szCs w:val="20"/>
          <w:lang w:val="es-PE"/>
        </w:rPr>
      </w:pPr>
    </w:p>
    <w:p w14:paraId="4458D8A1" w14:textId="77777777" w:rsidR="00CB416A" w:rsidRDefault="00CB416A" w:rsidP="00CB416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sz w:val="20"/>
          <w:szCs w:val="20"/>
          <w:lang w:val="es-PE"/>
        </w:rPr>
      </w:pPr>
    </w:p>
    <w:p w14:paraId="5B76ADDD" w14:textId="77777777" w:rsidR="00CB416A" w:rsidRPr="00CB416A" w:rsidRDefault="00CB416A" w:rsidP="00CB416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sz w:val="20"/>
          <w:szCs w:val="20"/>
          <w:lang w:val="es-PE"/>
        </w:rPr>
      </w:pPr>
    </w:p>
    <w:p w14:paraId="4A51C8C8" w14:textId="1B04A8C4" w:rsidR="00EB4A99" w:rsidRPr="001645A9" w:rsidRDefault="001645A9" w:rsidP="00EB4A99">
      <w:pPr>
        <w:pStyle w:val="ListParagraph"/>
        <w:spacing w:before="240" w:after="240"/>
        <w:jc w:val="both"/>
        <w:rPr>
          <w:rFonts w:asciiTheme="majorHAnsi" w:hAnsiTheme="majorHAnsi"/>
          <w:b/>
          <w:sz w:val="20"/>
          <w:szCs w:val="20"/>
          <w:lang w:val="es-PE"/>
        </w:rPr>
      </w:pPr>
      <w:r w:rsidRPr="001645A9">
        <w:rPr>
          <w:rFonts w:asciiTheme="majorHAnsi" w:hAnsiTheme="majorHAnsi"/>
          <w:b/>
          <w:sz w:val="20"/>
          <w:szCs w:val="20"/>
          <w:lang w:val="es-PE"/>
        </w:rPr>
        <w:lastRenderedPageBreak/>
        <w:t xml:space="preserve">B. </w:t>
      </w:r>
      <w:r w:rsidRPr="001645A9">
        <w:rPr>
          <w:rFonts w:asciiTheme="majorHAnsi" w:hAnsiTheme="majorHAnsi"/>
          <w:b/>
          <w:sz w:val="20"/>
          <w:szCs w:val="20"/>
          <w:lang w:val="es-PE"/>
        </w:rPr>
        <w:tab/>
        <w:t xml:space="preserve">EL ESTADO BOLIVIANO </w:t>
      </w:r>
    </w:p>
    <w:p w14:paraId="697BB814" w14:textId="670D15F6" w:rsidR="00EB4A99" w:rsidRPr="002B3C21" w:rsidRDefault="00EB4A99" w:rsidP="00EB4A99">
      <w:pPr>
        <w:pStyle w:val="ListParagraph"/>
        <w:spacing w:before="240" w:after="240"/>
        <w:jc w:val="both"/>
        <w:rPr>
          <w:rFonts w:asciiTheme="majorHAnsi" w:hAnsiTheme="majorHAnsi"/>
          <w:b/>
          <w:bCs/>
          <w:color w:val="auto"/>
          <w:sz w:val="20"/>
          <w:szCs w:val="20"/>
          <w:lang w:val="es-PE"/>
        </w:rPr>
      </w:pPr>
      <w:r w:rsidRPr="002B3C21">
        <w:rPr>
          <w:rFonts w:asciiTheme="majorHAnsi" w:hAnsiTheme="majorHAnsi"/>
          <w:b/>
          <w:bCs/>
          <w:color w:val="auto"/>
          <w:sz w:val="20"/>
          <w:szCs w:val="20"/>
          <w:lang w:val="es-PE"/>
        </w:rPr>
        <w:t>Alegatos comunes</w:t>
      </w:r>
    </w:p>
    <w:p w14:paraId="2E6E76ED" w14:textId="5CEF442D" w:rsidR="00C84DA9" w:rsidRPr="00C93F65" w:rsidRDefault="00CE005B">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sz w:val="20"/>
          <w:szCs w:val="20"/>
          <w:lang w:val="es-PE"/>
        </w:rPr>
      </w:pPr>
      <w:r w:rsidRPr="00EB4A99">
        <w:rPr>
          <w:rFonts w:asciiTheme="majorHAnsi" w:hAnsiTheme="majorHAnsi"/>
          <w:sz w:val="20"/>
          <w:szCs w:val="20"/>
          <w:lang w:val="es-PE"/>
        </w:rPr>
        <w:t>Por su parte, el Estado</w:t>
      </w:r>
      <w:r w:rsidR="00C84DA9">
        <w:rPr>
          <w:rFonts w:asciiTheme="majorHAnsi" w:hAnsiTheme="majorHAnsi"/>
          <w:sz w:val="20"/>
          <w:szCs w:val="20"/>
          <w:lang w:val="es-PE"/>
        </w:rPr>
        <w:t xml:space="preserve"> </w:t>
      </w:r>
      <w:r w:rsidR="000F7FEA">
        <w:rPr>
          <w:rFonts w:asciiTheme="majorHAnsi" w:hAnsiTheme="majorHAnsi"/>
          <w:sz w:val="20"/>
          <w:szCs w:val="20"/>
          <w:lang w:val="es-PE"/>
        </w:rPr>
        <w:t>replica que</w:t>
      </w:r>
      <w:r w:rsidR="00C84DA9">
        <w:rPr>
          <w:rFonts w:asciiTheme="majorHAnsi" w:hAnsiTheme="majorHAnsi"/>
          <w:sz w:val="20"/>
          <w:szCs w:val="20"/>
          <w:lang w:val="es-PE"/>
        </w:rPr>
        <w:t xml:space="preserve"> el carácter transitorio de </w:t>
      </w:r>
      <w:r w:rsidR="000F7FEA">
        <w:rPr>
          <w:rFonts w:asciiTheme="majorHAnsi" w:hAnsiTheme="majorHAnsi"/>
          <w:sz w:val="20"/>
          <w:szCs w:val="20"/>
          <w:lang w:val="es-PE"/>
        </w:rPr>
        <w:t>los</w:t>
      </w:r>
      <w:r w:rsidR="005E0CA0">
        <w:rPr>
          <w:rFonts w:asciiTheme="majorHAnsi" w:hAnsiTheme="majorHAnsi"/>
          <w:sz w:val="20"/>
          <w:szCs w:val="20"/>
          <w:lang w:val="es-PE"/>
        </w:rPr>
        <w:t xml:space="preserve"> </w:t>
      </w:r>
      <w:r w:rsidR="00C84DA9">
        <w:rPr>
          <w:rFonts w:asciiTheme="majorHAnsi" w:hAnsiTheme="majorHAnsi"/>
          <w:sz w:val="20"/>
          <w:szCs w:val="20"/>
          <w:lang w:val="es-PE"/>
        </w:rPr>
        <w:t>cargos</w:t>
      </w:r>
      <w:r w:rsidR="000F7FEA">
        <w:rPr>
          <w:rFonts w:asciiTheme="majorHAnsi" w:hAnsiTheme="majorHAnsi"/>
          <w:sz w:val="20"/>
          <w:szCs w:val="20"/>
          <w:lang w:val="es-PE"/>
        </w:rPr>
        <w:t xml:space="preserve"> de las presuntas víctimas estaba sustentado</w:t>
      </w:r>
      <w:r w:rsidR="00EB4880">
        <w:rPr>
          <w:rFonts w:asciiTheme="majorHAnsi" w:hAnsiTheme="majorHAnsi"/>
          <w:sz w:val="20"/>
          <w:szCs w:val="20"/>
          <w:lang w:val="es-PE"/>
        </w:rPr>
        <w:t xml:space="preserve"> en</w:t>
      </w:r>
      <w:r w:rsidRPr="00EB4A99">
        <w:rPr>
          <w:rFonts w:asciiTheme="majorHAnsi" w:hAnsiTheme="majorHAnsi"/>
          <w:sz w:val="20"/>
          <w:szCs w:val="20"/>
          <w:lang w:val="es-PE"/>
        </w:rPr>
        <w:t xml:space="preserve"> </w:t>
      </w:r>
      <w:r w:rsidR="005E0CA0">
        <w:rPr>
          <w:rFonts w:asciiTheme="majorHAnsi" w:hAnsiTheme="majorHAnsi"/>
          <w:sz w:val="20"/>
          <w:szCs w:val="20"/>
          <w:lang w:val="es-PE"/>
        </w:rPr>
        <w:t>l</w:t>
      </w:r>
      <w:r w:rsidR="00C84DA9">
        <w:rPr>
          <w:rFonts w:asciiTheme="majorHAnsi" w:hAnsiTheme="majorHAnsi"/>
          <w:sz w:val="20"/>
          <w:szCs w:val="20"/>
          <w:lang w:val="es-PE"/>
        </w:rPr>
        <w:t>a necesidad de</w:t>
      </w:r>
      <w:r w:rsidRPr="00EB4A99">
        <w:rPr>
          <w:rFonts w:asciiTheme="majorHAnsi" w:hAnsiTheme="majorHAnsi"/>
          <w:sz w:val="20"/>
          <w:szCs w:val="20"/>
          <w:lang w:val="es-PE"/>
        </w:rPr>
        <w:t xml:space="preserve"> cumplir con el mandato del </w:t>
      </w:r>
      <w:r w:rsidR="000F7FEA">
        <w:rPr>
          <w:rFonts w:asciiTheme="majorHAnsi" w:hAnsiTheme="majorHAnsi"/>
          <w:sz w:val="20"/>
          <w:szCs w:val="20"/>
          <w:lang w:val="es-PE"/>
        </w:rPr>
        <w:t>P</w:t>
      </w:r>
      <w:r w:rsidRPr="00EB4A99">
        <w:rPr>
          <w:rFonts w:asciiTheme="majorHAnsi" w:hAnsiTheme="majorHAnsi"/>
          <w:sz w:val="20"/>
          <w:szCs w:val="20"/>
          <w:lang w:val="es-PE"/>
        </w:rPr>
        <w:t xml:space="preserve">oder </w:t>
      </w:r>
      <w:r w:rsidR="000F7FEA">
        <w:rPr>
          <w:rFonts w:asciiTheme="majorHAnsi" w:hAnsiTheme="majorHAnsi"/>
          <w:sz w:val="20"/>
          <w:szCs w:val="20"/>
          <w:lang w:val="es-PE"/>
        </w:rPr>
        <w:t>C</w:t>
      </w:r>
      <w:r w:rsidRPr="00EB4A99">
        <w:rPr>
          <w:rFonts w:asciiTheme="majorHAnsi" w:hAnsiTheme="majorHAnsi"/>
          <w:sz w:val="20"/>
          <w:szCs w:val="20"/>
          <w:lang w:val="es-PE"/>
        </w:rPr>
        <w:t xml:space="preserve">onstituyente </w:t>
      </w:r>
      <w:r w:rsidR="00787F5E">
        <w:rPr>
          <w:rFonts w:asciiTheme="majorHAnsi" w:hAnsiTheme="majorHAnsi"/>
          <w:sz w:val="20"/>
          <w:szCs w:val="20"/>
          <w:lang w:val="es-PE"/>
        </w:rPr>
        <w:t>de</w:t>
      </w:r>
      <w:r w:rsidRPr="00EB4A99">
        <w:rPr>
          <w:rFonts w:asciiTheme="majorHAnsi" w:hAnsiTheme="majorHAnsi"/>
          <w:sz w:val="20"/>
          <w:szCs w:val="20"/>
          <w:lang w:val="es-PE"/>
        </w:rPr>
        <w:t xml:space="preserve"> reformar el sistema</w:t>
      </w:r>
      <w:r w:rsidR="00004B61" w:rsidRPr="00EB4A99">
        <w:rPr>
          <w:rFonts w:asciiTheme="majorHAnsi" w:hAnsiTheme="majorHAnsi"/>
          <w:sz w:val="20"/>
          <w:szCs w:val="20"/>
          <w:lang w:val="es-PE"/>
        </w:rPr>
        <w:t xml:space="preserve"> de justicia</w:t>
      </w:r>
      <w:r w:rsidR="005E0CA0">
        <w:rPr>
          <w:rFonts w:asciiTheme="majorHAnsi" w:hAnsiTheme="majorHAnsi"/>
          <w:sz w:val="20"/>
          <w:szCs w:val="20"/>
          <w:lang w:val="es-PE"/>
        </w:rPr>
        <w:t xml:space="preserve">, aspecto que ha sido </w:t>
      </w:r>
      <w:r w:rsidR="00EB4880">
        <w:rPr>
          <w:rFonts w:asciiTheme="majorHAnsi" w:hAnsiTheme="majorHAnsi"/>
          <w:sz w:val="20"/>
          <w:szCs w:val="20"/>
          <w:lang w:val="es-PE"/>
        </w:rPr>
        <w:t>reconocido</w:t>
      </w:r>
      <w:r w:rsidR="005E0CA0">
        <w:rPr>
          <w:rFonts w:asciiTheme="majorHAnsi" w:hAnsiTheme="majorHAnsi"/>
          <w:sz w:val="20"/>
          <w:szCs w:val="20"/>
          <w:lang w:val="es-PE"/>
        </w:rPr>
        <w:t xml:space="preserve"> por la normativa</w:t>
      </w:r>
      <w:r w:rsidR="00EB4880">
        <w:rPr>
          <w:rFonts w:asciiTheme="majorHAnsi" w:hAnsiTheme="majorHAnsi"/>
          <w:sz w:val="20"/>
          <w:szCs w:val="20"/>
          <w:lang w:val="es-PE"/>
        </w:rPr>
        <w:t xml:space="preserve"> </w:t>
      </w:r>
      <w:r w:rsidR="005E0CA0">
        <w:rPr>
          <w:rFonts w:asciiTheme="majorHAnsi" w:hAnsiTheme="majorHAnsi"/>
          <w:sz w:val="20"/>
          <w:szCs w:val="20"/>
          <w:lang w:val="es-PE"/>
        </w:rPr>
        <w:t>vigente, así como por la jurisprudencia del Tribunal Constitucional</w:t>
      </w:r>
      <w:r w:rsidR="005E0CA0">
        <w:rPr>
          <w:rStyle w:val="FootnoteReference"/>
          <w:rFonts w:asciiTheme="majorHAnsi" w:hAnsiTheme="majorHAnsi"/>
          <w:sz w:val="20"/>
          <w:szCs w:val="20"/>
          <w:lang w:val="es-PE"/>
        </w:rPr>
        <w:footnoteReference w:id="9"/>
      </w:r>
      <w:r w:rsidRPr="00EB4A99">
        <w:rPr>
          <w:rFonts w:asciiTheme="majorHAnsi" w:hAnsiTheme="majorHAnsi"/>
          <w:sz w:val="20"/>
          <w:szCs w:val="20"/>
          <w:lang w:val="es-PE"/>
        </w:rPr>
        <w:t xml:space="preserve">. </w:t>
      </w:r>
      <w:r w:rsidR="00C84DA9" w:rsidRPr="00EB4A99">
        <w:rPr>
          <w:rFonts w:asciiTheme="majorHAnsi" w:hAnsiTheme="majorHAnsi"/>
          <w:sz w:val="20"/>
          <w:szCs w:val="20"/>
          <w:lang w:val="es-PE"/>
        </w:rPr>
        <w:t>En ese sentido, sostiene que las peticiones deben considerarse inadmisibles, pues los hechos no caracterizan violaciones de derechos humanos.</w:t>
      </w:r>
    </w:p>
    <w:p w14:paraId="69E9040F" w14:textId="77777777" w:rsidR="00C93F65" w:rsidRPr="00C93F65" w:rsidRDefault="00C93F65" w:rsidP="00C93F65">
      <w:pPr>
        <w:pStyle w:val="ListParagraph"/>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sz w:val="20"/>
          <w:szCs w:val="20"/>
          <w:lang w:val="es-PE"/>
        </w:rPr>
      </w:pPr>
    </w:p>
    <w:p w14:paraId="1A10EABE" w14:textId="4A038F57" w:rsidR="00047C96" w:rsidRPr="00EB4A99" w:rsidRDefault="007D1C8B">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sz w:val="20"/>
          <w:szCs w:val="20"/>
          <w:lang w:val="es-PE"/>
        </w:rPr>
      </w:pPr>
      <w:r>
        <w:rPr>
          <w:rFonts w:asciiTheme="majorHAnsi" w:hAnsiTheme="majorHAnsi"/>
          <w:sz w:val="20"/>
          <w:szCs w:val="20"/>
          <w:lang w:val="es-PE"/>
        </w:rPr>
        <w:t>C</w:t>
      </w:r>
      <w:r w:rsidR="002A553B">
        <w:rPr>
          <w:rFonts w:asciiTheme="majorHAnsi" w:hAnsiTheme="majorHAnsi"/>
          <w:sz w:val="20"/>
          <w:szCs w:val="20"/>
          <w:lang w:val="es-PE"/>
        </w:rPr>
        <w:t xml:space="preserve">on </w:t>
      </w:r>
      <w:r w:rsidR="00C93F65" w:rsidRPr="00EB4A99">
        <w:rPr>
          <w:rFonts w:asciiTheme="majorHAnsi" w:hAnsiTheme="majorHAnsi"/>
          <w:sz w:val="20"/>
          <w:szCs w:val="20"/>
          <w:lang w:val="es-PE"/>
        </w:rPr>
        <w:t xml:space="preserve">respecto a los casos </w:t>
      </w:r>
      <w:r w:rsidR="002A553B">
        <w:rPr>
          <w:rFonts w:asciiTheme="majorHAnsi" w:hAnsiTheme="majorHAnsi"/>
          <w:sz w:val="20"/>
          <w:szCs w:val="20"/>
          <w:lang w:val="es-PE"/>
        </w:rPr>
        <w:t>de</w:t>
      </w:r>
      <w:r w:rsidR="00C93F65" w:rsidRPr="00EB4A99">
        <w:rPr>
          <w:rFonts w:asciiTheme="majorHAnsi" w:hAnsiTheme="majorHAnsi"/>
          <w:sz w:val="20"/>
          <w:szCs w:val="20"/>
          <w:lang w:val="es-PE"/>
        </w:rPr>
        <w:t xml:space="preserve"> jueces destituidos por el Consejo de la Magistratura, </w:t>
      </w:r>
      <w:r w:rsidR="000D12AF">
        <w:rPr>
          <w:rFonts w:asciiTheme="majorHAnsi" w:hAnsiTheme="majorHAnsi"/>
          <w:sz w:val="20"/>
          <w:szCs w:val="20"/>
          <w:lang w:val="es-PE"/>
        </w:rPr>
        <w:t xml:space="preserve">Bolivia </w:t>
      </w:r>
      <w:r w:rsidR="00C93F65" w:rsidRPr="00EB4A99">
        <w:rPr>
          <w:rFonts w:asciiTheme="majorHAnsi" w:hAnsiTheme="majorHAnsi"/>
          <w:sz w:val="20"/>
          <w:szCs w:val="20"/>
          <w:lang w:val="es-PE"/>
        </w:rPr>
        <w:t>indica que</w:t>
      </w:r>
      <w:r w:rsidR="006545B9">
        <w:rPr>
          <w:rFonts w:asciiTheme="majorHAnsi" w:hAnsiTheme="majorHAnsi"/>
          <w:sz w:val="20"/>
          <w:szCs w:val="20"/>
          <w:lang w:val="es-PE"/>
        </w:rPr>
        <w:t>,</w:t>
      </w:r>
      <w:r w:rsidR="00047C96">
        <w:rPr>
          <w:rFonts w:asciiTheme="majorHAnsi" w:hAnsiTheme="majorHAnsi"/>
          <w:sz w:val="20"/>
          <w:szCs w:val="20"/>
          <w:lang w:val="es-PE"/>
        </w:rPr>
        <w:t xml:space="preserve"> s</w:t>
      </w:r>
      <w:r w:rsidR="00C93F65" w:rsidRPr="00EB4A99">
        <w:rPr>
          <w:rFonts w:asciiTheme="majorHAnsi" w:hAnsiTheme="majorHAnsi"/>
          <w:sz w:val="20"/>
          <w:szCs w:val="20"/>
          <w:lang w:val="es-PE"/>
        </w:rPr>
        <w:t xml:space="preserve">egún la Disposición Transitoria Cuarta de la Ley </w:t>
      </w:r>
      <w:r w:rsidR="00C93F65">
        <w:rPr>
          <w:rFonts w:asciiTheme="majorHAnsi" w:hAnsiTheme="majorHAnsi"/>
          <w:sz w:val="20"/>
          <w:szCs w:val="20"/>
          <w:lang w:val="es-PE"/>
        </w:rPr>
        <w:t>N°</w:t>
      </w:r>
      <w:r w:rsidR="00787F5E">
        <w:rPr>
          <w:rFonts w:asciiTheme="majorHAnsi" w:hAnsiTheme="majorHAnsi"/>
          <w:sz w:val="20"/>
          <w:szCs w:val="20"/>
          <w:lang w:val="es-PE"/>
        </w:rPr>
        <w:t xml:space="preserve"> </w:t>
      </w:r>
      <w:r w:rsidR="00C93F65">
        <w:rPr>
          <w:rFonts w:asciiTheme="majorHAnsi" w:hAnsiTheme="majorHAnsi"/>
          <w:sz w:val="20"/>
          <w:szCs w:val="20"/>
          <w:lang w:val="es-PE"/>
        </w:rPr>
        <w:t xml:space="preserve">25 </w:t>
      </w:r>
      <w:r w:rsidR="00C93F65" w:rsidRPr="00EB4A99">
        <w:rPr>
          <w:rFonts w:asciiTheme="majorHAnsi" w:hAnsiTheme="majorHAnsi"/>
          <w:sz w:val="20"/>
          <w:szCs w:val="20"/>
          <w:lang w:val="es-PE"/>
        </w:rPr>
        <w:t xml:space="preserve">del Órgano Judicial, las personas que laboraban en el extinto Poder Judicial pasaron a formar parte del Órgano Judicial en calidad de funcionarios públicos transitorios, con el fin de evitar el colapso de la institución </w:t>
      </w:r>
      <w:r w:rsidR="00C93F65" w:rsidRPr="00EB4A99">
        <w:rPr>
          <w:rFonts w:asciiTheme="majorHAnsi" w:hAnsiTheme="majorHAnsi"/>
          <w:i/>
          <w:iCs/>
          <w:sz w:val="20"/>
          <w:szCs w:val="20"/>
          <w:lang w:val="es-PE"/>
        </w:rPr>
        <w:t>“hasta la designación de las y los nuevos servidores públicos judiciales”.</w:t>
      </w:r>
      <w:r w:rsidR="00C93F65" w:rsidRPr="00EB4A99">
        <w:rPr>
          <w:rFonts w:asciiTheme="majorHAnsi" w:hAnsiTheme="majorHAnsi"/>
          <w:sz w:val="20"/>
          <w:szCs w:val="20"/>
          <w:lang w:val="es-PE"/>
        </w:rPr>
        <w:t xml:space="preserve"> </w:t>
      </w:r>
      <w:r w:rsidR="00787F5E">
        <w:rPr>
          <w:rFonts w:asciiTheme="majorHAnsi" w:hAnsiTheme="majorHAnsi"/>
          <w:sz w:val="20"/>
          <w:szCs w:val="20"/>
          <w:lang w:val="es-PE"/>
        </w:rPr>
        <w:t xml:space="preserve">No obstante, </w:t>
      </w:r>
      <w:r>
        <w:rPr>
          <w:rFonts w:asciiTheme="majorHAnsi" w:hAnsiTheme="majorHAnsi"/>
          <w:sz w:val="20"/>
          <w:szCs w:val="20"/>
          <w:lang w:val="es-PE"/>
        </w:rPr>
        <w:t>asegura</w:t>
      </w:r>
      <w:r w:rsidR="00787F5E">
        <w:rPr>
          <w:rFonts w:asciiTheme="majorHAnsi" w:hAnsiTheme="majorHAnsi"/>
          <w:sz w:val="20"/>
          <w:szCs w:val="20"/>
          <w:lang w:val="es-PE"/>
        </w:rPr>
        <w:t xml:space="preserve"> que esto no significa</w:t>
      </w:r>
      <w:r w:rsidR="00C93F65">
        <w:rPr>
          <w:rFonts w:asciiTheme="majorHAnsi" w:hAnsiTheme="majorHAnsi"/>
          <w:sz w:val="20"/>
          <w:szCs w:val="20"/>
          <w:lang w:val="es-PE"/>
        </w:rPr>
        <w:t xml:space="preserve"> reconocerles derechos exclusivos de funcionarios de carrera y estabilidad laboral. </w:t>
      </w:r>
      <w:r w:rsidR="00047C96">
        <w:rPr>
          <w:rFonts w:asciiTheme="majorHAnsi" w:hAnsiTheme="majorHAnsi"/>
          <w:sz w:val="20"/>
          <w:szCs w:val="20"/>
          <w:lang w:val="es-PE"/>
        </w:rPr>
        <w:t xml:space="preserve">Agrega que </w:t>
      </w:r>
      <w:r w:rsidR="00047C96" w:rsidRPr="00EB4A99">
        <w:rPr>
          <w:rFonts w:asciiTheme="majorHAnsi" w:hAnsiTheme="majorHAnsi"/>
          <w:sz w:val="20"/>
          <w:szCs w:val="20"/>
          <w:lang w:val="es-PE"/>
        </w:rPr>
        <w:t>las autoridades</w:t>
      </w:r>
      <w:r w:rsidR="00047C96">
        <w:rPr>
          <w:rFonts w:asciiTheme="majorHAnsi" w:hAnsiTheme="majorHAnsi"/>
          <w:sz w:val="20"/>
          <w:szCs w:val="20"/>
          <w:lang w:val="es-PE"/>
        </w:rPr>
        <w:t xml:space="preserve"> están</w:t>
      </w:r>
      <w:r w:rsidR="00047C96" w:rsidRPr="00EB4A99">
        <w:rPr>
          <w:rFonts w:asciiTheme="majorHAnsi" w:hAnsiTheme="majorHAnsi"/>
          <w:sz w:val="20"/>
          <w:szCs w:val="20"/>
          <w:lang w:val="es-PE"/>
        </w:rPr>
        <w:t xml:space="preserve"> realizando esfuerzos para lograr </w:t>
      </w:r>
      <w:r w:rsidR="00047C96">
        <w:rPr>
          <w:rFonts w:asciiTheme="majorHAnsi" w:hAnsiTheme="majorHAnsi"/>
          <w:sz w:val="20"/>
          <w:szCs w:val="20"/>
          <w:lang w:val="es-PE"/>
        </w:rPr>
        <w:t>su</w:t>
      </w:r>
      <w:r w:rsidR="00047C96" w:rsidRPr="00EB4A99">
        <w:rPr>
          <w:rFonts w:asciiTheme="majorHAnsi" w:hAnsiTheme="majorHAnsi"/>
          <w:sz w:val="20"/>
          <w:szCs w:val="20"/>
          <w:lang w:val="es-PE"/>
        </w:rPr>
        <w:t xml:space="preserve"> institucionalización, </w:t>
      </w:r>
      <w:r w:rsidR="00047C96">
        <w:rPr>
          <w:rFonts w:asciiTheme="majorHAnsi" w:hAnsiTheme="majorHAnsi"/>
          <w:sz w:val="20"/>
          <w:szCs w:val="20"/>
          <w:lang w:val="es-PE"/>
        </w:rPr>
        <w:t>mediante</w:t>
      </w:r>
      <w:r w:rsidR="00047C96" w:rsidRPr="00EB4A99">
        <w:rPr>
          <w:rFonts w:asciiTheme="majorHAnsi" w:hAnsiTheme="majorHAnsi"/>
          <w:sz w:val="20"/>
          <w:szCs w:val="20"/>
          <w:lang w:val="es-PE"/>
        </w:rPr>
        <w:t xml:space="preserve"> convocatorias públicas y cursos dirigidos a todas las personas interesadas </w:t>
      </w:r>
      <w:r w:rsidR="00047C96">
        <w:rPr>
          <w:rFonts w:asciiTheme="majorHAnsi" w:hAnsiTheme="majorHAnsi"/>
          <w:sz w:val="20"/>
          <w:szCs w:val="20"/>
          <w:lang w:val="es-PE"/>
        </w:rPr>
        <w:t>en</w:t>
      </w:r>
      <w:r w:rsidR="00047C96" w:rsidRPr="00EB4A99">
        <w:rPr>
          <w:rFonts w:asciiTheme="majorHAnsi" w:hAnsiTheme="majorHAnsi"/>
          <w:sz w:val="20"/>
          <w:szCs w:val="20"/>
          <w:lang w:val="es-PE"/>
        </w:rPr>
        <w:t xml:space="preserve"> ingresar a la carrera judicial, asegurando la igualdad de oportunidades.</w:t>
      </w:r>
    </w:p>
    <w:p w14:paraId="27EE9EFB" w14:textId="77777777" w:rsidR="00C84DA9" w:rsidRPr="00C84DA9" w:rsidRDefault="00C84DA9" w:rsidP="00C84DA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sz w:val="20"/>
          <w:szCs w:val="20"/>
          <w:lang w:val="es-PE"/>
        </w:rPr>
      </w:pPr>
    </w:p>
    <w:p w14:paraId="14D0C906" w14:textId="059EDD7E" w:rsidR="00C93F65" w:rsidRPr="009435BA" w:rsidRDefault="0004543A" w:rsidP="004A3652">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sz w:val="20"/>
          <w:szCs w:val="20"/>
          <w:lang w:val="es-PE"/>
        </w:rPr>
      </w:pPr>
      <w:r w:rsidRPr="009435BA">
        <w:rPr>
          <w:rFonts w:asciiTheme="majorHAnsi" w:hAnsiTheme="majorHAnsi"/>
          <w:sz w:val="20"/>
          <w:szCs w:val="20"/>
          <w:lang w:val="es-PE"/>
        </w:rPr>
        <w:t>Bolivia alega que, en 2010, a raíz de la publicación de la Ley N° 3, Ley de Necesidad de Transición a los Nuevos Entes del Órgano Judicial y Ministerio Público, las presuntas víctimas tuvieron conocimiento de que sus cargos habían sido declarados transitorios hasta la designación de las nuevas autoridades judiciales. No obstante, destaca que no cuestionaron tal modificación en ese momento, aun cuando tenían a su disposición acciones y mecanismos legales, como los recursos de revocatoria y jerárquico. A su juicio, esto demuestra que las presuntas víctimas pretenden desconocer que decidieron no cuestionar su situación de provisionalidad apenas fueron informadas de esta modificació</w:t>
      </w:r>
      <w:r w:rsidR="0027300D" w:rsidRPr="009435BA">
        <w:rPr>
          <w:rFonts w:asciiTheme="majorHAnsi" w:hAnsiTheme="majorHAnsi"/>
          <w:sz w:val="20"/>
          <w:szCs w:val="20"/>
          <w:lang w:val="es-PE"/>
        </w:rPr>
        <w:t>n</w:t>
      </w:r>
      <w:r w:rsidRPr="009435BA">
        <w:rPr>
          <w:rFonts w:asciiTheme="majorHAnsi" w:hAnsiTheme="majorHAnsi"/>
          <w:sz w:val="20"/>
          <w:szCs w:val="20"/>
          <w:lang w:val="es-PE"/>
        </w:rPr>
        <w:t>.</w:t>
      </w:r>
    </w:p>
    <w:p w14:paraId="77B19F1D" w14:textId="77777777" w:rsidR="00787F5E" w:rsidRPr="00787F5E" w:rsidRDefault="00787F5E" w:rsidP="00787F5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sz w:val="20"/>
          <w:szCs w:val="20"/>
          <w:lang w:val="es-PE"/>
        </w:rPr>
      </w:pPr>
    </w:p>
    <w:p w14:paraId="385719CD" w14:textId="72495712" w:rsidR="00EB4A99" w:rsidRPr="00EB4A99" w:rsidRDefault="00465410">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sz w:val="20"/>
          <w:szCs w:val="20"/>
          <w:lang w:val="es-PE"/>
        </w:rPr>
      </w:pPr>
      <w:r>
        <w:rPr>
          <w:rFonts w:asciiTheme="majorHAnsi" w:hAnsiTheme="majorHAnsi"/>
          <w:sz w:val="20"/>
          <w:szCs w:val="20"/>
          <w:lang w:val="es-PE"/>
        </w:rPr>
        <w:t xml:space="preserve">Bolivia considera además que </w:t>
      </w:r>
      <w:r w:rsidR="00CE005B" w:rsidRPr="00EB4A99">
        <w:rPr>
          <w:rFonts w:asciiTheme="majorHAnsi" w:hAnsiTheme="majorHAnsi"/>
          <w:sz w:val="20"/>
          <w:szCs w:val="20"/>
          <w:lang w:val="es-PE"/>
        </w:rPr>
        <w:t>la C</w:t>
      </w:r>
      <w:r w:rsidR="00FA6A89">
        <w:rPr>
          <w:rFonts w:asciiTheme="majorHAnsi" w:hAnsiTheme="majorHAnsi"/>
          <w:sz w:val="20"/>
          <w:szCs w:val="20"/>
          <w:lang w:val="es-PE"/>
        </w:rPr>
        <w:t>IDH</w:t>
      </w:r>
      <w:r w:rsidR="00CE005B" w:rsidRPr="00EB4A99">
        <w:rPr>
          <w:rFonts w:asciiTheme="majorHAnsi" w:hAnsiTheme="majorHAnsi"/>
          <w:sz w:val="20"/>
          <w:szCs w:val="20"/>
          <w:lang w:val="es-PE"/>
        </w:rPr>
        <w:t xml:space="preserve"> actuaría como un tribunal de cuarta instancia si decidiera analizar los presentes casos, </w:t>
      </w:r>
      <w:r w:rsidR="004E4DE0">
        <w:rPr>
          <w:rFonts w:asciiTheme="majorHAnsi" w:hAnsiTheme="majorHAnsi"/>
          <w:sz w:val="20"/>
          <w:szCs w:val="20"/>
          <w:lang w:val="es-PE"/>
        </w:rPr>
        <w:t>ya</w:t>
      </w:r>
      <w:r w:rsidR="00CE005B" w:rsidRPr="00EB4A99">
        <w:rPr>
          <w:rFonts w:asciiTheme="majorHAnsi" w:hAnsiTheme="majorHAnsi"/>
          <w:sz w:val="20"/>
          <w:szCs w:val="20"/>
          <w:lang w:val="es-PE"/>
        </w:rPr>
        <w:t xml:space="preserve"> que evaluaría la interpretación del derecho interno que ya ha realizado el Tribunal Constitucional Plurinacional dentro de su respectiva jurisdicción.</w:t>
      </w:r>
      <w:r w:rsidR="00636CF7">
        <w:rPr>
          <w:rFonts w:asciiTheme="majorHAnsi" w:hAnsiTheme="majorHAnsi"/>
          <w:sz w:val="20"/>
          <w:szCs w:val="20"/>
          <w:lang w:val="es-PE"/>
        </w:rPr>
        <w:t xml:space="preserve"> L</w:t>
      </w:r>
      <w:r w:rsidR="00787F5E">
        <w:rPr>
          <w:rFonts w:asciiTheme="majorHAnsi" w:hAnsiTheme="majorHAnsi"/>
          <w:sz w:val="20"/>
          <w:szCs w:val="20"/>
          <w:lang w:val="es-PE"/>
        </w:rPr>
        <w:t>as autoridades</w:t>
      </w:r>
      <w:r w:rsidR="00B16783" w:rsidRPr="00EB4A99">
        <w:rPr>
          <w:rFonts w:asciiTheme="majorHAnsi" w:hAnsiTheme="majorHAnsi"/>
          <w:sz w:val="20"/>
          <w:szCs w:val="20"/>
          <w:lang w:val="es-PE"/>
        </w:rPr>
        <w:t xml:space="preserve"> </w:t>
      </w:r>
      <w:r w:rsidR="00636CF7">
        <w:rPr>
          <w:rFonts w:asciiTheme="majorHAnsi" w:hAnsiTheme="majorHAnsi"/>
          <w:sz w:val="20"/>
          <w:szCs w:val="20"/>
          <w:lang w:val="es-PE"/>
        </w:rPr>
        <w:t>habrían garantizado</w:t>
      </w:r>
      <w:r w:rsidR="00B16783" w:rsidRPr="00EB4A99">
        <w:rPr>
          <w:rFonts w:asciiTheme="majorHAnsi" w:hAnsiTheme="majorHAnsi"/>
          <w:sz w:val="20"/>
          <w:szCs w:val="20"/>
          <w:lang w:val="es-PE"/>
        </w:rPr>
        <w:t xml:space="preserve"> el ejercicio de los derechos al debido proceso y protección judicial de las presuntas víctimas, tanto en el ámbito administrativo como constitucional.</w:t>
      </w:r>
    </w:p>
    <w:p w14:paraId="00859E8D" w14:textId="77777777" w:rsidR="00EB4A99" w:rsidRPr="00EB4A99" w:rsidRDefault="00EB4A99" w:rsidP="00EB4A99">
      <w:pPr>
        <w:pStyle w:val="ListParagraph"/>
        <w:rPr>
          <w:rFonts w:asciiTheme="majorHAnsi" w:hAnsiTheme="majorHAnsi"/>
          <w:sz w:val="20"/>
          <w:szCs w:val="20"/>
          <w:lang w:val="es-PE"/>
        </w:rPr>
      </w:pPr>
    </w:p>
    <w:p w14:paraId="482B2C80" w14:textId="0F80713F" w:rsidR="00EB4A99" w:rsidRPr="00787F5E" w:rsidRDefault="00CE005B" w:rsidP="00787F5E">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sz w:val="20"/>
          <w:szCs w:val="20"/>
          <w:lang w:val="es-PE"/>
        </w:rPr>
      </w:pPr>
      <w:r w:rsidRPr="00EB4A99">
        <w:rPr>
          <w:rFonts w:asciiTheme="majorHAnsi" w:hAnsiTheme="majorHAnsi"/>
          <w:sz w:val="20"/>
          <w:szCs w:val="20"/>
          <w:lang w:val="es-PE"/>
        </w:rPr>
        <w:t>Finalmente, arg</w:t>
      </w:r>
      <w:r w:rsidR="00026493" w:rsidRPr="00EB4A99">
        <w:rPr>
          <w:rFonts w:asciiTheme="majorHAnsi" w:hAnsiTheme="majorHAnsi"/>
          <w:sz w:val="20"/>
          <w:szCs w:val="20"/>
          <w:lang w:val="es-PE"/>
        </w:rPr>
        <w:t>umenta</w:t>
      </w:r>
      <w:r w:rsidRPr="00EB4A99">
        <w:rPr>
          <w:rFonts w:asciiTheme="majorHAnsi" w:hAnsiTheme="majorHAnsi"/>
          <w:sz w:val="20"/>
          <w:szCs w:val="20"/>
          <w:lang w:val="es-PE"/>
        </w:rPr>
        <w:t xml:space="preserve"> que la CIDH no tiene competencia </w:t>
      </w:r>
      <w:r w:rsidR="00415498">
        <w:rPr>
          <w:rFonts w:asciiTheme="majorHAnsi" w:hAnsiTheme="majorHAnsi"/>
          <w:sz w:val="20"/>
          <w:szCs w:val="20"/>
          <w:lang w:val="es-PE"/>
        </w:rPr>
        <w:t>por razón de la</w:t>
      </w:r>
      <w:r w:rsidRPr="00EB4A99">
        <w:rPr>
          <w:rFonts w:asciiTheme="majorHAnsi" w:hAnsiTheme="majorHAnsi"/>
          <w:sz w:val="20"/>
          <w:szCs w:val="20"/>
          <w:lang w:val="es-PE"/>
        </w:rPr>
        <w:t xml:space="preserve"> materia para pronunciarse sobre otros instrumentos jurídicos</w:t>
      </w:r>
      <w:r w:rsidR="00B3560E" w:rsidRPr="00EB4A99">
        <w:rPr>
          <w:rFonts w:asciiTheme="majorHAnsi" w:hAnsiTheme="majorHAnsi"/>
          <w:sz w:val="20"/>
          <w:szCs w:val="20"/>
          <w:lang w:val="es-PE"/>
        </w:rPr>
        <w:t xml:space="preserve"> alegados por la </w:t>
      </w:r>
      <w:r w:rsidR="00FB10F5" w:rsidRPr="00EB4A99">
        <w:rPr>
          <w:rFonts w:asciiTheme="majorHAnsi" w:hAnsiTheme="majorHAnsi"/>
          <w:sz w:val="20"/>
          <w:szCs w:val="20"/>
          <w:lang w:val="es-PE"/>
        </w:rPr>
        <w:t>parte</w:t>
      </w:r>
      <w:r w:rsidR="00B3560E" w:rsidRPr="00EB4A99">
        <w:rPr>
          <w:rFonts w:asciiTheme="majorHAnsi" w:hAnsiTheme="majorHAnsi"/>
          <w:sz w:val="20"/>
          <w:szCs w:val="20"/>
          <w:lang w:val="es-PE"/>
        </w:rPr>
        <w:t xml:space="preserve"> peticionaria</w:t>
      </w:r>
      <w:r w:rsidR="001F5809">
        <w:rPr>
          <w:rFonts w:asciiTheme="majorHAnsi" w:hAnsiTheme="majorHAnsi"/>
          <w:sz w:val="20"/>
          <w:szCs w:val="20"/>
          <w:lang w:val="es-PE"/>
        </w:rPr>
        <w:t xml:space="preserve"> fuera</w:t>
      </w:r>
      <w:r w:rsidR="000222B4" w:rsidRPr="00EB4A99">
        <w:rPr>
          <w:rFonts w:asciiTheme="majorHAnsi" w:hAnsiTheme="majorHAnsi"/>
          <w:sz w:val="20"/>
          <w:szCs w:val="20"/>
          <w:lang w:val="es-PE"/>
        </w:rPr>
        <w:t xml:space="preserve"> de la Convención Americana</w:t>
      </w:r>
      <w:r w:rsidRPr="00EB4A99">
        <w:rPr>
          <w:rFonts w:asciiTheme="majorHAnsi" w:hAnsiTheme="majorHAnsi"/>
          <w:sz w:val="20"/>
          <w:szCs w:val="20"/>
          <w:lang w:val="es-PE"/>
        </w:rPr>
        <w:t xml:space="preserve">. </w:t>
      </w:r>
      <w:r w:rsidR="000222B4">
        <w:rPr>
          <w:rFonts w:asciiTheme="majorHAnsi" w:hAnsiTheme="majorHAnsi"/>
          <w:sz w:val="20"/>
          <w:szCs w:val="20"/>
          <w:lang w:val="es-PE"/>
        </w:rPr>
        <w:t xml:space="preserve">En particular, </w:t>
      </w:r>
      <w:r w:rsidR="00D60DE5">
        <w:rPr>
          <w:rFonts w:asciiTheme="majorHAnsi" w:hAnsiTheme="majorHAnsi"/>
          <w:sz w:val="20"/>
          <w:szCs w:val="20"/>
          <w:lang w:val="es-PE"/>
        </w:rPr>
        <w:t>no podría</w:t>
      </w:r>
      <w:r w:rsidR="000222B4">
        <w:rPr>
          <w:rFonts w:asciiTheme="majorHAnsi" w:hAnsiTheme="majorHAnsi"/>
          <w:sz w:val="20"/>
          <w:szCs w:val="20"/>
          <w:lang w:val="es-PE"/>
        </w:rPr>
        <w:t xml:space="preserve"> </w:t>
      </w:r>
      <w:r w:rsidR="00274162">
        <w:rPr>
          <w:rFonts w:asciiTheme="majorHAnsi" w:hAnsiTheme="majorHAnsi"/>
          <w:sz w:val="20"/>
          <w:szCs w:val="20"/>
          <w:lang w:val="es-PE"/>
        </w:rPr>
        <w:t xml:space="preserve">determinar </w:t>
      </w:r>
      <w:r w:rsidR="000222B4">
        <w:rPr>
          <w:rFonts w:asciiTheme="majorHAnsi" w:hAnsiTheme="majorHAnsi"/>
          <w:sz w:val="20"/>
          <w:szCs w:val="20"/>
          <w:lang w:val="es-PE"/>
        </w:rPr>
        <w:t xml:space="preserve">vulneraciones al derecho al trabajo basándose en el </w:t>
      </w:r>
      <w:r w:rsidR="000222B4" w:rsidRPr="00EB4A99">
        <w:rPr>
          <w:rFonts w:asciiTheme="majorHAnsi" w:hAnsiTheme="majorHAnsi"/>
          <w:sz w:val="20"/>
          <w:szCs w:val="20"/>
          <w:lang w:val="es-PE"/>
        </w:rPr>
        <w:t>Protocolo de San Salvador</w:t>
      </w:r>
      <w:r w:rsidR="000222B4">
        <w:rPr>
          <w:rFonts w:asciiTheme="majorHAnsi" w:hAnsiTheme="majorHAnsi"/>
          <w:sz w:val="20"/>
          <w:szCs w:val="20"/>
          <w:lang w:val="es-PE"/>
        </w:rPr>
        <w:t xml:space="preserve"> ya que</w:t>
      </w:r>
      <w:r w:rsidR="00274162">
        <w:rPr>
          <w:rFonts w:asciiTheme="majorHAnsi" w:hAnsiTheme="majorHAnsi"/>
          <w:sz w:val="20"/>
          <w:szCs w:val="20"/>
          <w:lang w:val="es-PE"/>
        </w:rPr>
        <w:t>,</w:t>
      </w:r>
      <w:r w:rsidRPr="00EB4A99">
        <w:rPr>
          <w:rFonts w:asciiTheme="majorHAnsi" w:hAnsiTheme="majorHAnsi"/>
          <w:sz w:val="20"/>
          <w:szCs w:val="20"/>
          <w:lang w:val="es-PE"/>
        </w:rPr>
        <w:t xml:space="preserve"> conforme a</w:t>
      </w:r>
      <w:r w:rsidR="000222B4">
        <w:rPr>
          <w:rFonts w:asciiTheme="majorHAnsi" w:hAnsiTheme="majorHAnsi"/>
          <w:sz w:val="20"/>
          <w:szCs w:val="20"/>
          <w:lang w:val="es-PE"/>
        </w:rPr>
        <w:t xml:space="preserve"> su</w:t>
      </w:r>
      <w:r w:rsidRPr="00EB4A99">
        <w:rPr>
          <w:rFonts w:asciiTheme="majorHAnsi" w:hAnsiTheme="majorHAnsi"/>
          <w:sz w:val="20"/>
          <w:szCs w:val="20"/>
          <w:lang w:val="es-PE"/>
        </w:rPr>
        <w:t xml:space="preserve"> artículo 19 numeral 6, </w:t>
      </w:r>
      <w:r w:rsidR="00D13AD9">
        <w:rPr>
          <w:rFonts w:asciiTheme="majorHAnsi" w:hAnsiTheme="majorHAnsi"/>
          <w:sz w:val="20"/>
          <w:szCs w:val="20"/>
          <w:lang w:val="es-PE"/>
        </w:rPr>
        <w:t>la</w:t>
      </w:r>
      <w:r w:rsidR="000222B4">
        <w:rPr>
          <w:rFonts w:asciiTheme="majorHAnsi" w:hAnsiTheme="majorHAnsi"/>
          <w:sz w:val="20"/>
          <w:szCs w:val="20"/>
          <w:lang w:val="es-PE"/>
        </w:rPr>
        <w:t xml:space="preserve"> competencia</w:t>
      </w:r>
      <w:r w:rsidR="00D13AD9">
        <w:rPr>
          <w:rFonts w:asciiTheme="majorHAnsi" w:hAnsiTheme="majorHAnsi"/>
          <w:sz w:val="20"/>
          <w:szCs w:val="20"/>
          <w:lang w:val="es-PE"/>
        </w:rPr>
        <w:t xml:space="preserve"> de la CIDH</w:t>
      </w:r>
      <w:r w:rsidR="000222B4">
        <w:rPr>
          <w:rFonts w:asciiTheme="majorHAnsi" w:hAnsiTheme="majorHAnsi"/>
          <w:sz w:val="20"/>
          <w:szCs w:val="20"/>
          <w:lang w:val="es-PE"/>
        </w:rPr>
        <w:t xml:space="preserve"> se limita a</w:t>
      </w:r>
      <w:r w:rsidR="00A33543" w:rsidRPr="00EB4A99">
        <w:rPr>
          <w:rFonts w:asciiTheme="majorHAnsi" w:hAnsiTheme="majorHAnsi"/>
          <w:sz w:val="20"/>
          <w:szCs w:val="20"/>
          <w:lang w:val="es-PE"/>
        </w:rPr>
        <w:t xml:space="preserve"> analizar</w:t>
      </w:r>
      <w:r w:rsidRPr="00EB4A99">
        <w:rPr>
          <w:rFonts w:asciiTheme="majorHAnsi" w:hAnsiTheme="majorHAnsi"/>
          <w:sz w:val="20"/>
          <w:szCs w:val="20"/>
          <w:lang w:val="es-PE"/>
        </w:rPr>
        <w:t xml:space="preserve"> </w:t>
      </w:r>
      <w:r w:rsidR="00787F5E">
        <w:rPr>
          <w:rFonts w:asciiTheme="majorHAnsi" w:hAnsiTheme="majorHAnsi"/>
          <w:sz w:val="20"/>
          <w:szCs w:val="20"/>
          <w:lang w:val="es-PE"/>
        </w:rPr>
        <w:t xml:space="preserve">los </w:t>
      </w:r>
      <w:r w:rsidRPr="00EB4A99">
        <w:rPr>
          <w:rFonts w:asciiTheme="majorHAnsi" w:hAnsiTheme="majorHAnsi"/>
          <w:sz w:val="20"/>
          <w:szCs w:val="20"/>
          <w:lang w:val="es-PE"/>
        </w:rPr>
        <w:t xml:space="preserve">derechos </w:t>
      </w:r>
      <w:r w:rsidR="00787F5E">
        <w:rPr>
          <w:rFonts w:asciiTheme="majorHAnsi" w:hAnsiTheme="majorHAnsi"/>
          <w:sz w:val="20"/>
          <w:szCs w:val="20"/>
          <w:lang w:val="es-PE"/>
        </w:rPr>
        <w:t>a</w:t>
      </w:r>
      <w:r w:rsidRPr="00EB4A99">
        <w:rPr>
          <w:rFonts w:asciiTheme="majorHAnsi" w:hAnsiTheme="majorHAnsi"/>
          <w:sz w:val="20"/>
          <w:szCs w:val="20"/>
          <w:lang w:val="es-PE"/>
        </w:rPr>
        <w:t xml:space="preserve"> libertad sindical y </w:t>
      </w:r>
      <w:r w:rsidR="00787F5E">
        <w:rPr>
          <w:rFonts w:asciiTheme="majorHAnsi" w:hAnsiTheme="majorHAnsi"/>
          <w:sz w:val="20"/>
          <w:szCs w:val="20"/>
          <w:lang w:val="es-PE"/>
        </w:rPr>
        <w:t xml:space="preserve">a </w:t>
      </w:r>
      <w:r w:rsidRPr="00EB4A99">
        <w:rPr>
          <w:rFonts w:asciiTheme="majorHAnsi" w:hAnsiTheme="majorHAnsi"/>
          <w:sz w:val="20"/>
          <w:szCs w:val="20"/>
          <w:lang w:val="es-PE"/>
        </w:rPr>
        <w:t>la educación.</w:t>
      </w:r>
      <w:r w:rsidR="00A33543" w:rsidRPr="00EB4A99">
        <w:rPr>
          <w:rFonts w:asciiTheme="majorHAnsi" w:hAnsiTheme="majorHAnsi"/>
          <w:sz w:val="20"/>
          <w:szCs w:val="20"/>
          <w:lang w:val="es-PE"/>
        </w:rPr>
        <w:t xml:space="preserve"> </w:t>
      </w:r>
      <w:r w:rsidR="00D13AD9">
        <w:rPr>
          <w:rFonts w:asciiTheme="majorHAnsi" w:hAnsiTheme="majorHAnsi"/>
          <w:sz w:val="20"/>
          <w:szCs w:val="20"/>
          <w:lang w:val="es-PE"/>
        </w:rPr>
        <w:t>T</w:t>
      </w:r>
      <w:r w:rsidR="000222B4">
        <w:rPr>
          <w:rFonts w:asciiTheme="majorHAnsi" w:hAnsiTheme="majorHAnsi"/>
          <w:sz w:val="20"/>
          <w:szCs w:val="20"/>
          <w:lang w:val="es-PE"/>
        </w:rPr>
        <w:t xml:space="preserve">ampoco </w:t>
      </w:r>
      <w:r w:rsidR="00D13AD9">
        <w:rPr>
          <w:rFonts w:asciiTheme="majorHAnsi" w:hAnsiTheme="majorHAnsi"/>
          <w:sz w:val="20"/>
          <w:szCs w:val="20"/>
          <w:lang w:val="es-PE"/>
        </w:rPr>
        <w:t>sería</w:t>
      </w:r>
      <w:r w:rsidR="000222B4">
        <w:rPr>
          <w:rFonts w:asciiTheme="majorHAnsi" w:hAnsiTheme="majorHAnsi"/>
          <w:sz w:val="20"/>
          <w:szCs w:val="20"/>
          <w:lang w:val="es-PE"/>
        </w:rPr>
        <w:t xml:space="preserve"> competente para aplicar la Declaración Americana, </w:t>
      </w:r>
      <w:r w:rsidR="00787F5E">
        <w:rPr>
          <w:rFonts w:asciiTheme="majorHAnsi" w:hAnsiTheme="majorHAnsi"/>
          <w:sz w:val="20"/>
          <w:szCs w:val="20"/>
          <w:lang w:val="es-PE"/>
        </w:rPr>
        <w:t xml:space="preserve">toda vez que al momento de los hechos denunciados </w:t>
      </w:r>
      <w:r w:rsidR="00411B91">
        <w:rPr>
          <w:rFonts w:asciiTheme="majorHAnsi" w:hAnsiTheme="majorHAnsi"/>
          <w:sz w:val="20"/>
          <w:szCs w:val="20"/>
          <w:lang w:val="es-PE"/>
        </w:rPr>
        <w:t xml:space="preserve">Bolivia </w:t>
      </w:r>
      <w:r w:rsidR="00787F5E">
        <w:rPr>
          <w:rFonts w:asciiTheme="majorHAnsi" w:hAnsiTheme="majorHAnsi"/>
          <w:sz w:val="20"/>
          <w:szCs w:val="20"/>
          <w:lang w:val="es-PE"/>
        </w:rPr>
        <w:t>ya era parte de Convención Americana</w:t>
      </w:r>
      <w:r w:rsidR="00931403">
        <w:rPr>
          <w:rFonts w:asciiTheme="majorHAnsi" w:hAnsiTheme="majorHAnsi"/>
          <w:sz w:val="20"/>
          <w:szCs w:val="20"/>
          <w:lang w:val="es-PE"/>
        </w:rPr>
        <w:t>.</w:t>
      </w:r>
      <w:r w:rsidR="00787F5E">
        <w:rPr>
          <w:rFonts w:asciiTheme="majorHAnsi" w:hAnsiTheme="majorHAnsi"/>
          <w:sz w:val="20"/>
          <w:szCs w:val="20"/>
          <w:lang w:val="es-PE"/>
        </w:rPr>
        <w:t xml:space="preserve"> </w:t>
      </w:r>
    </w:p>
    <w:p w14:paraId="1DEF798B" w14:textId="6C98B538" w:rsidR="00EB4A99" w:rsidRPr="002B3C21" w:rsidRDefault="00EB4A99" w:rsidP="00EB4A99">
      <w:pPr>
        <w:pStyle w:val="ListParagraph"/>
        <w:spacing w:before="240" w:after="240"/>
        <w:jc w:val="both"/>
        <w:rPr>
          <w:rFonts w:asciiTheme="majorHAnsi" w:hAnsiTheme="majorHAnsi"/>
          <w:b/>
          <w:bCs/>
          <w:color w:val="auto"/>
          <w:sz w:val="20"/>
          <w:szCs w:val="20"/>
          <w:lang w:val="es-PE"/>
        </w:rPr>
      </w:pPr>
      <w:r w:rsidRPr="002B3C21">
        <w:rPr>
          <w:rFonts w:asciiTheme="majorHAnsi" w:hAnsiTheme="majorHAnsi"/>
          <w:b/>
          <w:bCs/>
          <w:color w:val="auto"/>
          <w:sz w:val="20"/>
          <w:szCs w:val="20"/>
          <w:lang w:val="es-PE"/>
        </w:rPr>
        <w:t>Alegatos específicos</w:t>
      </w:r>
    </w:p>
    <w:p w14:paraId="0970835E" w14:textId="77777777" w:rsidR="000F6669" w:rsidRDefault="00EB4A99" w:rsidP="000F6669">
      <w:pPr>
        <w:spacing w:before="240" w:after="240"/>
        <w:ind w:firstLine="720"/>
        <w:jc w:val="both"/>
        <w:rPr>
          <w:rFonts w:asciiTheme="majorHAnsi" w:hAnsiTheme="majorHAnsi"/>
          <w:i/>
          <w:iCs/>
          <w:sz w:val="20"/>
          <w:szCs w:val="20"/>
          <w:lang w:val="es-PE"/>
        </w:rPr>
      </w:pPr>
      <w:bookmarkStart w:id="4" w:name="_Hlk172736899"/>
      <w:r w:rsidRPr="00D907CC">
        <w:rPr>
          <w:rFonts w:asciiTheme="majorHAnsi" w:hAnsiTheme="majorHAnsi"/>
          <w:i/>
          <w:iCs/>
          <w:sz w:val="20"/>
          <w:szCs w:val="20"/>
          <w:lang w:val="es-PE"/>
        </w:rPr>
        <w:t>Gonzalo Varnoux (P-2287-16)</w:t>
      </w:r>
    </w:p>
    <w:bookmarkEnd w:id="4"/>
    <w:p w14:paraId="30AD91D3" w14:textId="396B27E6" w:rsidR="00EB4A99" w:rsidRPr="00422AD4" w:rsidRDefault="00422AD4">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sz w:val="20"/>
          <w:szCs w:val="20"/>
          <w:lang w:val="es-PE"/>
        </w:rPr>
      </w:pPr>
      <w:r>
        <w:rPr>
          <w:rFonts w:asciiTheme="majorHAnsi" w:hAnsiTheme="majorHAnsi"/>
          <w:sz w:val="20"/>
          <w:szCs w:val="20"/>
          <w:lang w:val="es-PE"/>
        </w:rPr>
        <w:t>El Estado</w:t>
      </w:r>
      <w:r w:rsidR="000F6669">
        <w:rPr>
          <w:rFonts w:asciiTheme="majorHAnsi" w:hAnsiTheme="majorHAnsi"/>
          <w:sz w:val="20"/>
          <w:szCs w:val="20"/>
          <w:lang w:val="es-PE"/>
        </w:rPr>
        <w:t xml:space="preserve"> </w:t>
      </w:r>
      <w:r w:rsidR="00C42FDB" w:rsidRPr="00EB4A99">
        <w:rPr>
          <w:rFonts w:asciiTheme="majorHAnsi" w:hAnsiTheme="majorHAnsi"/>
          <w:sz w:val="20"/>
          <w:szCs w:val="20"/>
          <w:lang w:val="es-PE"/>
        </w:rPr>
        <w:t>argument</w:t>
      </w:r>
      <w:r w:rsidR="000F6669">
        <w:rPr>
          <w:rFonts w:asciiTheme="majorHAnsi" w:hAnsiTheme="majorHAnsi"/>
          <w:sz w:val="20"/>
          <w:szCs w:val="20"/>
          <w:lang w:val="es-PE"/>
        </w:rPr>
        <w:t>a</w:t>
      </w:r>
      <w:r w:rsidR="00C42FDB" w:rsidRPr="00EB4A99">
        <w:rPr>
          <w:rFonts w:asciiTheme="majorHAnsi" w:hAnsiTheme="majorHAnsi"/>
          <w:sz w:val="20"/>
          <w:szCs w:val="20"/>
          <w:lang w:val="es-PE"/>
        </w:rPr>
        <w:t xml:space="preserve"> que existe falta de caracterización de las</w:t>
      </w:r>
      <w:r>
        <w:rPr>
          <w:rFonts w:asciiTheme="majorHAnsi" w:hAnsiTheme="majorHAnsi"/>
          <w:sz w:val="20"/>
          <w:szCs w:val="20"/>
          <w:lang w:val="es-PE"/>
        </w:rPr>
        <w:t xml:space="preserve"> presuntas</w:t>
      </w:r>
      <w:r w:rsidR="00C42FDB" w:rsidRPr="00EB4A99">
        <w:rPr>
          <w:rFonts w:asciiTheme="majorHAnsi" w:hAnsiTheme="majorHAnsi"/>
          <w:sz w:val="20"/>
          <w:szCs w:val="20"/>
          <w:lang w:val="es-PE"/>
        </w:rPr>
        <w:t xml:space="preserve"> violaciones de derechos humanos, </w:t>
      </w:r>
      <w:r>
        <w:rPr>
          <w:rFonts w:asciiTheme="majorHAnsi" w:hAnsiTheme="majorHAnsi"/>
          <w:sz w:val="20"/>
          <w:szCs w:val="20"/>
          <w:lang w:val="es-PE"/>
        </w:rPr>
        <w:t>ya</w:t>
      </w:r>
      <w:r w:rsidR="00C42FDB" w:rsidRPr="00EB4A99">
        <w:rPr>
          <w:rFonts w:asciiTheme="majorHAnsi" w:hAnsiTheme="majorHAnsi"/>
          <w:sz w:val="20"/>
          <w:szCs w:val="20"/>
          <w:lang w:val="es-PE"/>
        </w:rPr>
        <w:t xml:space="preserve"> que el señor Varnoux cumplía funciones como Fiscal de Materia I con carácter eventual</w:t>
      </w:r>
      <w:r w:rsidR="00F02935">
        <w:rPr>
          <w:rFonts w:asciiTheme="majorHAnsi" w:hAnsiTheme="majorHAnsi"/>
          <w:sz w:val="20"/>
          <w:szCs w:val="20"/>
          <w:lang w:val="es-PE"/>
        </w:rPr>
        <w:t>. P</w:t>
      </w:r>
      <w:r w:rsidR="00C42FDB" w:rsidRPr="00EB4A99">
        <w:rPr>
          <w:rFonts w:asciiTheme="majorHAnsi" w:hAnsiTheme="majorHAnsi"/>
          <w:sz w:val="20"/>
          <w:szCs w:val="20"/>
          <w:lang w:val="es-PE"/>
        </w:rPr>
        <w:t xml:space="preserve">or consiguiente, </w:t>
      </w:r>
      <w:r>
        <w:rPr>
          <w:rFonts w:asciiTheme="majorHAnsi" w:hAnsiTheme="majorHAnsi"/>
          <w:sz w:val="20"/>
          <w:szCs w:val="20"/>
          <w:lang w:val="es-PE"/>
        </w:rPr>
        <w:t xml:space="preserve">tanto </w:t>
      </w:r>
      <w:r w:rsidR="00C42FDB" w:rsidRPr="00EB4A99">
        <w:rPr>
          <w:rFonts w:asciiTheme="majorHAnsi" w:hAnsiTheme="majorHAnsi"/>
          <w:sz w:val="20"/>
          <w:szCs w:val="20"/>
          <w:lang w:val="es-PE"/>
        </w:rPr>
        <w:t xml:space="preserve">su </w:t>
      </w:r>
      <w:r w:rsidR="003008A3" w:rsidRPr="00EB4A99">
        <w:rPr>
          <w:rFonts w:asciiTheme="majorHAnsi" w:hAnsiTheme="majorHAnsi"/>
          <w:sz w:val="20"/>
          <w:szCs w:val="20"/>
          <w:lang w:val="es-PE"/>
        </w:rPr>
        <w:t>designación</w:t>
      </w:r>
      <w:r>
        <w:rPr>
          <w:rFonts w:asciiTheme="majorHAnsi" w:hAnsiTheme="majorHAnsi"/>
          <w:sz w:val="20"/>
          <w:szCs w:val="20"/>
          <w:lang w:val="es-PE"/>
        </w:rPr>
        <w:t xml:space="preserve"> </w:t>
      </w:r>
      <w:r w:rsidR="00C42FDB" w:rsidRPr="00EB4A99">
        <w:rPr>
          <w:rFonts w:asciiTheme="majorHAnsi" w:hAnsiTheme="majorHAnsi"/>
          <w:sz w:val="20"/>
          <w:szCs w:val="20"/>
          <w:lang w:val="es-PE"/>
        </w:rPr>
        <w:t xml:space="preserve">como su retiro son discrecionales </w:t>
      </w:r>
      <w:r>
        <w:rPr>
          <w:rFonts w:asciiTheme="majorHAnsi" w:hAnsiTheme="majorHAnsi"/>
          <w:sz w:val="20"/>
          <w:szCs w:val="20"/>
          <w:lang w:val="es-PE"/>
        </w:rPr>
        <w:t>conforme</w:t>
      </w:r>
      <w:r w:rsidR="00C42FDB" w:rsidRPr="00EB4A99">
        <w:rPr>
          <w:rFonts w:asciiTheme="majorHAnsi" w:hAnsiTheme="majorHAnsi"/>
          <w:sz w:val="20"/>
          <w:szCs w:val="20"/>
          <w:lang w:val="es-PE"/>
        </w:rPr>
        <w:t xml:space="preserve"> </w:t>
      </w:r>
      <w:r w:rsidR="00FB79E2">
        <w:rPr>
          <w:rFonts w:asciiTheme="majorHAnsi" w:hAnsiTheme="majorHAnsi"/>
          <w:sz w:val="20"/>
          <w:szCs w:val="20"/>
          <w:lang w:val="es-PE"/>
        </w:rPr>
        <w:t xml:space="preserve">a </w:t>
      </w:r>
      <w:r w:rsidR="00C42FDB" w:rsidRPr="00EB4A99">
        <w:rPr>
          <w:rFonts w:asciiTheme="majorHAnsi" w:hAnsiTheme="majorHAnsi"/>
          <w:sz w:val="20"/>
          <w:szCs w:val="20"/>
          <w:lang w:val="es-PE"/>
        </w:rPr>
        <w:t xml:space="preserve">la normativa nacional. </w:t>
      </w:r>
      <w:r>
        <w:rPr>
          <w:rFonts w:asciiTheme="majorHAnsi" w:hAnsiTheme="majorHAnsi"/>
          <w:sz w:val="20"/>
          <w:szCs w:val="20"/>
          <w:lang w:val="es-PE"/>
        </w:rPr>
        <w:t>En ese sentido</w:t>
      </w:r>
      <w:r w:rsidR="001E61E7" w:rsidRPr="00EB4A99">
        <w:rPr>
          <w:rFonts w:asciiTheme="majorHAnsi" w:hAnsiTheme="majorHAnsi"/>
          <w:sz w:val="20"/>
          <w:szCs w:val="20"/>
          <w:lang w:val="es-PE"/>
        </w:rPr>
        <w:t>,</w:t>
      </w:r>
      <w:r w:rsidR="003008A3" w:rsidRPr="00EB4A99">
        <w:rPr>
          <w:rFonts w:asciiTheme="majorHAnsi" w:hAnsiTheme="majorHAnsi"/>
          <w:sz w:val="20"/>
          <w:szCs w:val="20"/>
          <w:lang w:val="es-PE"/>
        </w:rPr>
        <w:t xml:space="preserve"> </w:t>
      </w:r>
      <w:r>
        <w:rPr>
          <w:rFonts w:asciiTheme="majorHAnsi" w:hAnsiTheme="majorHAnsi"/>
          <w:sz w:val="20"/>
          <w:szCs w:val="20"/>
          <w:lang w:val="es-PE"/>
        </w:rPr>
        <w:t xml:space="preserve">su desvinculación </w:t>
      </w:r>
      <w:r w:rsidR="00D51ACD">
        <w:rPr>
          <w:rFonts w:asciiTheme="majorHAnsi" w:hAnsiTheme="majorHAnsi"/>
          <w:sz w:val="20"/>
          <w:szCs w:val="20"/>
          <w:lang w:val="es-PE"/>
        </w:rPr>
        <w:t>se</w:t>
      </w:r>
      <w:r>
        <w:rPr>
          <w:rFonts w:asciiTheme="majorHAnsi" w:hAnsiTheme="majorHAnsi"/>
          <w:sz w:val="20"/>
          <w:szCs w:val="20"/>
          <w:lang w:val="es-PE"/>
        </w:rPr>
        <w:t xml:space="preserve"> realizó </w:t>
      </w:r>
      <w:r w:rsidR="00D51ACD">
        <w:rPr>
          <w:rFonts w:asciiTheme="majorHAnsi" w:hAnsiTheme="majorHAnsi"/>
          <w:sz w:val="20"/>
          <w:szCs w:val="20"/>
          <w:lang w:val="es-PE"/>
        </w:rPr>
        <w:t>en</w:t>
      </w:r>
      <w:r>
        <w:rPr>
          <w:rFonts w:asciiTheme="majorHAnsi" w:hAnsiTheme="majorHAnsi"/>
          <w:sz w:val="20"/>
          <w:szCs w:val="20"/>
          <w:lang w:val="es-PE"/>
        </w:rPr>
        <w:t xml:space="preserve"> base </w:t>
      </w:r>
      <w:r w:rsidR="00D51ACD">
        <w:rPr>
          <w:rFonts w:asciiTheme="majorHAnsi" w:hAnsiTheme="majorHAnsi"/>
          <w:sz w:val="20"/>
          <w:szCs w:val="20"/>
          <w:lang w:val="es-PE"/>
        </w:rPr>
        <w:t>a</w:t>
      </w:r>
      <w:r>
        <w:rPr>
          <w:rFonts w:asciiTheme="majorHAnsi" w:hAnsiTheme="majorHAnsi"/>
          <w:sz w:val="20"/>
          <w:szCs w:val="20"/>
          <w:lang w:val="es-PE"/>
        </w:rPr>
        <w:t xml:space="preserve"> </w:t>
      </w:r>
      <w:r w:rsidR="00FB6620" w:rsidRPr="00EB4A99">
        <w:rPr>
          <w:rFonts w:asciiTheme="majorHAnsi" w:hAnsiTheme="majorHAnsi"/>
          <w:sz w:val="20"/>
          <w:szCs w:val="20"/>
          <w:lang w:val="es-PE"/>
        </w:rPr>
        <w:t>una solicitud de reorganización en la Fiscalía Departamental de Chuquisaca</w:t>
      </w:r>
      <w:r>
        <w:rPr>
          <w:rFonts w:asciiTheme="majorHAnsi" w:hAnsiTheme="majorHAnsi"/>
          <w:sz w:val="20"/>
          <w:szCs w:val="20"/>
          <w:lang w:val="es-PE"/>
        </w:rPr>
        <w:t xml:space="preserve">, </w:t>
      </w:r>
      <w:r w:rsidR="00FB79E2">
        <w:rPr>
          <w:rFonts w:asciiTheme="majorHAnsi" w:hAnsiTheme="majorHAnsi"/>
          <w:sz w:val="20"/>
          <w:szCs w:val="20"/>
          <w:lang w:val="es-PE"/>
        </w:rPr>
        <w:t>no habiéndose demostrado</w:t>
      </w:r>
      <w:r>
        <w:rPr>
          <w:rFonts w:asciiTheme="majorHAnsi" w:hAnsiTheme="majorHAnsi"/>
          <w:sz w:val="20"/>
          <w:szCs w:val="20"/>
          <w:lang w:val="es-PE"/>
        </w:rPr>
        <w:t xml:space="preserve"> </w:t>
      </w:r>
      <w:r w:rsidRPr="00EB4A99">
        <w:rPr>
          <w:rFonts w:asciiTheme="majorHAnsi" w:hAnsiTheme="majorHAnsi"/>
          <w:sz w:val="20"/>
          <w:szCs w:val="20"/>
          <w:lang w:val="es-PE"/>
        </w:rPr>
        <w:t xml:space="preserve">algún tipo de discriminación por su condición de incapacidad o baja </w:t>
      </w:r>
      <w:r w:rsidRPr="00EB4A99">
        <w:rPr>
          <w:rFonts w:asciiTheme="majorHAnsi" w:hAnsiTheme="majorHAnsi"/>
          <w:sz w:val="20"/>
          <w:szCs w:val="20"/>
          <w:lang w:val="es-PE"/>
        </w:rPr>
        <w:lastRenderedPageBreak/>
        <w:t>médica</w:t>
      </w:r>
      <w:r w:rsidR="00FB6620" w:rsidRPr="00EB4A99">
        <w:rPr>
          <w:rFonts w:asciiTheme="majorHAnsi" w:hAnsiTheme="majorHAnsi"/>
          <w:sz w:val="20"/>
          <w:szCs w:val="20"/>
          <w:lang w:val="es-PE"/>
        </w:rPr>
        <w:t xml:space="preserve">. Agrega que </w:t>
      </w:r>
      <w:r w:rsidR="00C85383" w:rsidRPr="00EB4A99">
        <w:rPr>
          <w:rFonts w:asciiTheme="majorHAnsi" w:hAnsiTheme="majorHAnsi"/>
          <w:sz w:val="20"/>
          <w:szCs w:val="20"/>
          <w:lang w:val="es-PE"/>
        </w:rPr>
        <w:t xml:space="preserve">la presunta víctima </w:t>
      </w:r>
      <w:r w:rsidR="003008A3" w:rsidRPr="00EB4A99">
        <w:rPr>
          <w:rFonts w:asciiTheme="majorHAnsi" w:hAnsiTheme="majorHAnsi"/>
          <w:sz w:val="20"/>
          <w:szCs w:val="20"/>
          <w:lang w:val="es-PE"/>
        </w:rPr>
        <w:t>pudo</w:t>
      </w:r>
      <w:r w:rsidR="00C814C0" w:rsidRPr="00EB4A99">
        <w:rPr>
          <w:rFonts w:asciiTheme="majorHAnsi" w:hAnsiTheme="majorHAnsi"/>
          <w:sz w:val="20"/>
          <w:szCs w:val="20"/>
          <w:lang w:val="es-PE"/>
        </w:rPr>
        <w:t xml:space="preserve"> continuar recibiendo</w:t>
      </w:r>
      <w:r w:rsidR="001E61E7" w:rsidRPr="00EB4A99">
        <w:rPr>
          <w:rFonts w:asciiTheme="majorHAnsi" w:hAnsiTheme="majorHAnsi"/>
          <w:sz w:val="20"/>
          <w:szCs w:val="20"/>
          <w:lang w:val="es-PE"/>
        </w:rPr>
        <w:t xml:space="preserve"> </w:t>
      </w:r>
      <w:r w:rsidR="00C814C0" w:rsidRPr="00EB4A99">
        <w:rPr>
          <w:rFonts w:asciiTheme="majorHAnsi" w:hAnsiTheme="majorHAnsi"/>
          <w:sz w:val="20"/>
          <w:szCs w:val="20"/>
          <w:lang w:val="es-PE"/>
        </w:rPr>
        <w:t xml:space="preserve">atención </w:t>
      </w:r>
      <w:r w:rsidR="00C85383" w:rsidRPr="00EB4A99">
        <w:rPr>
          <w:rFonts w:asciiTheme="majorHAnsi" w:hAnsiTheme="majorHAnsi"/>
          <w:sz w:val="20"/>
          <w:szCs w:val="20"/>
          <w:lang w:val="es-PE"/>
        </w:rPr>
        <w:t>médica</w:t>
      </w:r>
      <w:r w:rsidR="001E61E7" w:rsidRPr="00EB4A99">
        <w:rPr>
          <w:rFonts w:asciiTheme="majorHAnsi" w:hAnsiTheme="majorHAnsi"/>
          <w:sz w:val="20"/>
          <w:szCs w:val="20"/>
          <w:lang w:val="es-PE"/>
        </w:rPr>
        <w:t xml:space="preserve"> </w:t>
      </w:r>
      <w:r w:rsidR="00C814C0" w:rsidRPr="00EB4A99">
        <w:rPr>
          <w:rFonts w:asciiTheme="majorHAnsi" w:hAnsiTheme="majorHAnsi"/>
          <w:sz w:val="20"/>
          <w:szCs w:val="20"/>
          <w:lang w:val="es-PE"/>
        </w:rPr>
        <w:t>en amparo del Decreto Ley N°</w:t>
      </w:r>
      <w:r w:rsidR="00F02935">
        <w:rPr>
          <w:rFonts w:asciiTheme="majorHAnsi" w:hAnsiTheme="majorHAnsi"/>
          <w:sz w:val="20"/>
          <w:szCs w:val="20"/>
          <w:lang w:val="es-PE"/>
        </w:rPr>
        <w:t xml:space="preserve"> </w:t>
      </w:r>
      <w:r w:rsidR="00C814C0" w:rsidRPr="00EB4A99">
        <w:rPr>
          <w:rFonts w:asciiTheme="majorHAnsi" w:hAnsiTheme="majorHAnsi"/>
          <w:sz w:val="20"/>
          <w:szCs w:val="20"/>
          <w:lang w:val="es-PE"/>
        </w:rPr>
        <w:t>13</w:t>
      </w:r>
      <w:r w:rsidR="00F02935">
        <w:rPr>
          <w:rFonts w:asciiTheme="majorHAnsi" w:hAnsiTheme="majorHAnsi"/>
          <w:sz w:val="20"/>
          <w:szCs w:val="20"/>
          <w:lang w:val="es-PE"/>
        </w:rPr>
        <w:t>.</w:t>
      </w:r>
      <w:r w:rsidR="00C814C0" w:rsidRPr="00EB4A99">
        <w:rPr>
          <w:rFonts w:asciiTheme="majorHAnsi" w:hAnsiTheme="majorHAnsi"/>
          <w:sz w:val="20"/>
          <w:szCs w:val="20"/>
          <w:lang w:val="es-PE"/>
        </w:rPr>
        <w:t>214</w:t>
      </w:r>
      <w:r w:rsidR="003008A3">
        <w:rPr>
          <w:rStyle w:val="FootnoteReference"/>
          <w:rFonts w:asciiTheme="majorHAnsi" w:hAnsiTheme="majorHAnsi"/>
          <w:sz w:val="20"/>
          <w:szCs w:val="20"/>
          <w:lang w:val="es-PE"/>
        </w:rPr>
        <w:footnoteReference w:id="10"/>
      </w:r>
      <w:r w:rsidR="00C814C0" w:rsidRPr="00EB4A99">
        <w:rPr>
          <w:rFonts w:asciiTheme="majorHAnsi" w:hAnsiTheme="majorHAnsi"/>
          <w:sz w:val="20"/>
          <w:szCs w:val="20"/>
          <w:lang w:val="es-PE"/>
        </w:rPr>
        <w:t xml:space="preserve"> y la Ley N°</w:t>
      </w:r>
      <w:r w:rsidR="00D119CF">
        <w:rPr>
          <w:rFonts w:asciiTheme="majorHAnsi" w:hAnsiTheme="majorHAnsi"/>
          <w:sz w:val="20"/>
          <w:szCs w:val="20"/>
          <w:lang w:val="es-PE"/>
        </w:rPr>
        <w:t xml:space="preserve"> </w:t>
      </w:r>
      <w:r w:rsidR="00C814C0" w:rsidRPr="00EB4A99">
        <w:rPr>
          <w:rFonts w:asciiTheme="majorHAnsi" w:hAnsiTheme="majorHAnsi"/>
          <w:sz w:val="20"/>
          <w:szCs w:val="20"/>
          <w:lang w:val="es-PE"/>
        </w:rPr>
        <w:t xml:space="preserve">475, Ley de prestaciones servicios de salud integral del Estado Plurinacional de Bolivia. </w:t>
      </w:r>
    </w:p>
    <w:p w14:paraId="503038C4" w14:textId="77777777" w:rsidR="00422AD4" w:rsidRPr="00422AD4" w:rsidRDefault="00422AD4" w:rsidP="00422AD4">
      <w:pPr>
        <w:pStyle w:val="ListParagraph"/>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sz w:val="20"/>
          <w:szCs w:val="20"/>
          <w:lang w:val="es-PE"/>
        </w:rPr>
      </w:pPr>
    </w:p>
    <w:p w14:paraId="7BC4A225" w14:textId="5EE6719A" w:rsidR="00422AD4" w:rsidRPr="00422AD4" w:rsidRDefault="00422AD4">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sz w:val="20"/>
          <w:szCs w:val="20"/>
          <w:lang w:val="es-PE"/>
        </w:rPr>
      </w:pPr>
      <w:r>
        <w:rPr>
          <w:rFonts w:asciiTheme="majorHAnsi" w:hAnsiTheme="majorHAnsi"/>
          <w:sz w:val="20"/>
          <w:szCs w:val="20"/>
          <w:lang w:val="es-PE"/>
        </w:rPr>
        <w:t xml:space="preserve">Asimismo, </w:t>
      </w:r>
      <w:r w:rsidRPr="00EB4A99">
        <w:rPr>
          <w:rFonts w:asciiTheme="majorHAnsi" w:hAnsiTheme="majorHAnsi"/>
          <w:sz w:val="20"/>
          <w:szCs w:val="20"/>
          <w:lang w:val="es-PE"/>
        </w:rPr>
        <w:t xml:space="preserve">la petición </w:t>
      </w:r>
      <w:r w:rsidR="00A6327C">
        <w:rPr>
          <w:rFonts w:asciiTheme="majorHAnsi" w:hAnsiTheme="majorHAnsi"/>
          <w:sz w:val="20"/>
          <w:szCs w:val="20"/>
          <w:lang w:val="es-PE"/>
        </w:rPr>
        <w:t>sería</w:t>
      </w:r>
      <w:r w:rsidRPr="00EB4A99">
        <w:rPr>
          <w:rFonts w:asciiTheme="majorHAnsi" w:hAnsiTheme="majorHAnsi"/>
          <w:sz w:val="20"/>
          <w:szCs w:val="20"/>
          <w:lang w:val="es-PE"/>
        </w:rPr>
        <w:t xml:space="preserve"> inadmisible por falta de agotamiento de la jurisdicción interna. Alega que la presunta víctima debió presentar un recurso de revocatoria ante la autoridad administrativa que emitió el memorándum donde se decidió su destitución</w:t>
      </w:r>
      <w:r w:rsidR="004672F2">
        <w:rPr>
          <w:rFonts w:asciiTheme="majorHAnsi" w:hAnsiTheme="majorHAnsi"/>
          <w:sz w:val="20"/>
          <w:szCs w:val="20"/>
          <w:lang w:val="es-PE"/>
        </w:rPr>
        <w:t>,</w:t>
      </w:r>
      <w:r w:rsidRPr="00EB4A99">
        <w:rPr>
          <w:rFonts w:asciiTheme="majorHAnsi" w:hAnsiTheme="majorHAnsi"/>
          <w:sz w:val="20"/>
          <w:szCs w:val="20"/>
          <w:lang w:val="es-PE"/>
        </w:rPr>
        <w:t xml:space="preserve"> y</w:t>
      </w:r>
      <w:r w:rsidR="004672F2">
        <w:rPr>
          <w:rFonts w:asciiTheme="majorHAnsi" w:hAnsiTheme="majorHAnsi"/>
          <w:sz w:val="20"/>
          <w:szCs w:val="20"/>
          <w:lang w:val="es-PE"/>
        </w:rPr>
        <w:t xml:space="preserve"> luego</w:t>
      </w:r>
      <w:r w:rsidRPr="00EB4A99">
        <w:rPr>
          <w:rFonts w:asciiTheme="majorHAnsi" w:hAnsiTheme="majorHAnsi"/>
          <w:sz w:val="20"/>
          <w:szCs w:val="20"/>
          <w:lang w:val="es-PE"/>
        </w:rPr>
        <w:t xml:space="preserve"> podía </w:t>
      </w:r>
      <w:r w:rsidR="00D119CF">
        <w:rPr>
          <w:rFonts w:asciiTheme="majorHAnsi" w:hAnsiTheme="majorHAnsi"/>
          <w:sz w:val="20"/>
          <w:szCs w:val="20"/>
          <w:lang w:val="es-PE"/>
        </w:rPr>
        <w:t>intentar</w:t>
      </w:r>
      <w:r w:rsidR="00D119CF" w:rsidRPr="00EB4A99">
        <w:rPr>
          <w:rFonts w:asciiTheme="majorHAnsi" w:hAnsiTheme="majorHAnsi"/>
          <w:sz w:val="20"/>
          <w:szCs w:val="20"/>
          <w:lang w:val="es-PE"/>
        </w:rPr>
        <w:t xml:space="preserve"> </w:t>
      </w:r>
      <w:r w:rsidR="007210D9" w:rsidRPr="00EB4A99">
        <w:rPr>
          <w:rFonts w:asciiTheme="majorHAnsi" w:hAnsiTheme="majorHAnsi"/>
          <w:sz w:val="20"/>
          <w:szCs w:val="20"/>
          <w:lang w:val="es-PE"/>
        </w:rPr>
        <w:t xml:space="preserve">también </w:t>
      </w:r>
      <w:r w:rsidRPr="00EB4A99">
        <w:rPr>
          <w:rFonts w:asciiTheme="majorHAnsi" w:hAnsiTheme="majorHAnsi"/>
          <w:sz w:val="20"/>
          <w:szCs w:val="20"/>
          <w:lang w:val="es-PE"/>
        </w:rPr>
        <w:t>un recurso jerárquico hasta llegar al proceso contencioso administrativo. Sumado a ello, en ninguna oportunidad denunció que su desvinculación laboral respondía a motivos discriminatorios, por lo que no le otorgó al Estado la opción de resolver el caso conforme a su normativa nacional.</w:t>
      </w:r>
    </w:p>
    <w:p w14:paraId="1BF2EC69" w14:textId="77777777" w:rsidR="00EB4A99" w:rsidRPr="00EB4A99" w:rsidRDefault="00EB4A99" w:rsidP="00EB4A99">
      <w:pPr>
        <w:pStyle w:val="ListParagraph"/>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sz w:val="20"/>
          <w:szCs w:val="20"/>
          <w:lang w:val="es-PE"/>
        </w:rPr>
      </w:pPr>
    </w:p>
    <w:p w14:paraId="3A6622BF" w14:textId="5516848A" w:rsidR="004B533A" w:rsidRPr="00F12A3B" w:rsidRDefault="00C814C0" w:rsidP="00F12A3B">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sz w:val="20"/>
          <w:szCs w:val="20"/>
          <w:lang w:val="es-PE"/>
        </w:rPr>
      </w:pPr>
      <w:r w:rsidRPr="00EB4A99">
        <w:rPr>
          <w:rFonts w:asciiTheme="majorHAnsi" w:hAnsiTheme="majorHAnsi"/>
          <w:sz w:val="20"/>
          <w:szCs w:val="20"/>
          <w:lang w:val="es-PE"/>
        </w:rPr>
        <w:t xml:space="preserve">Finalmente, indica que la CIDH no es competente para pronunciarse sobre la Convención Interamericana para la Eliminación de todas las Formas de Discriminación contra las personas con Discapacidad, debido a que </w:t>
      </w:r>
      <w:r w:rsidR="00FB6620" w:rsidRPr="00EB4A99">
        <w:rPr>
          <w:rFonts w:asciiTheme="majorHAnsi" w:hAnsiTheme="majorHAnsi"/>
          <w:sz w:val="20"/>
          <w:szCs w:val="20"/>
          <w:lang w:val="es-PE"/>
        </w:rPr>
        <w:t>este tratado</w:t>
      </w:r>
      <w:r w:rsidRPr="00EB4A99">
        <w:rPr>
          <w:rFonts w:asciiTheme="majorHAnsi" w:hAnsiTheme="majorHAnsi"/>
          <w:sz w:val="20"/>
          <w:szCs w:val="20"/>
          <w:lang w:val="es-PE"/>
        </w:rPr>
        <w:t xml:space="preserve"> cuenta con un órgano</w:t>
      </w:r>
      <w:r w:rsidR="00F83A5E">
        <w:rPr>
          <w:rFonts w:asciiTheme="majorHAnsi" w:hAnsiTheme="majorHAnsi"/>
          <w:sz w:val="20"/>
          <w:szCs w:val="20"/>
          <w:lang w:val="es-PE"/>
        </w:rPr>
        <w:t xml:space="preserve"> de supervisión</w:t>
      </w:r>
      <w:r w:rsidRPr="00EB4A99">
        <w:rPr>
          <w:rFonts w:asciiTheme="majorHAnsi" w:hAnsiTheme="majorHAnsi"/>
          <w:sz w:val="20"/>
          <w:szCs w:val="20"/>
          <w:lang w:val="es-PE"/>
        </w:rPr>
        <w:t xml:space="preserve"> propio y no existe disposición alguna que reconozca la competencia de la C</w:t>
      </w:r>
      <w:r w:rsidR="00174B35">
        <w:rPr>
          <w:rFonts w:asciiTheme="majorHAnsi" w:hAnsiTheme="majorHAnsi"/>
          <w:sz w:val="20"/>
          <w:szCs w:val="20"/>
          <w:lang w:val="es-PE"/>
        </w:rPr>
        <w:t>omisión Interamericana para este efecto</w:t>
      </w:r>
      <w:r w:rsidRPr="00EB4A99">
        <w:rPr>
          <w:rFonts w:asciiTheme="majorHAnsi" w:hAnsiTheme="majorHAnsi"/>
          <w:sz w:val="20"/>
          <w:szCs w:val="20"/>
          <w:lang w:val="es-PE"/>
        </w:rPr>
        <w:t xml:space="preserve">. </w:t>
      </w:r>
      <w:bookmarkStart w:id="5" w:name="_Hlk172737164"/>
    </w:p>
    <w:p w14:paraId="4674BE65" w14:textId="5230EFA3" w:rsidR="00EB4A99" w:rsidRPr="00EB4A99" w:rsidRDefault="00EB4A99" w:rsidP="00EB4A99">
      <w:pPr>
        <w:pStyle w:val="ListParagraph"/>
        <w:spacing w:before="240" w:after="240"/>
        <w:jc w:val="both"/>
        <w:rPr>
          <w:rFonts w:asciiTheme="majorHAnsi" w:hAnsiTheme="majorHAnsi"/>
          <w:i/>
          <w:iCs/>
          <w:sz w:val="20"/>
          <w:szCs w:val="20"/>
          <w:lang w:val="es-PE"/>
        </w:rPr>
      </w:pPr>
      <w:r w:rsidRPr="00D907CC">
        <w:rPr>
          <w:rFonts w:asciiTheme="majorHAnsi" w:hAnsiTheme="majorHAnsi"/>
          <w:i/>
          <w:iCs/>
          <w:sz w:val="20"/>
          <w:szCs w:val="20"/>
          <w:lang w:val="es-PE"/>
        </w:rPr>
        <w:t>Gisela Amanda Valda Clavijo (P-2722-18)</w:t>
      </w:r>
    </w:p>
    <w:bookmarkEnd w:id="5"/>
    <w:p w14:paraId="2A33EF8D" w14:textId="043C29AA" w:rsidR="00EB4A99" w:rsidRPr="00861DFF" w:rsidRDefault="0047171F">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sz w:val="20"/>
          <w:szCs w:val="20"/>
          <w:lang w:val="es-PE"/>
        </w:rPr>
      </w:pPr>
      <w:r w:rsidRPr="00EB4A99">
        <w:rPr>
          <w:rFonts w:asciiTheme="majorHAnsi" w:hAnsiTheme="majorHAnsi"/>
          <w:sz w:val="20"/>
          <w:szCs w:val="20"/>
          <w:lang w:val="es-PE"/>
        </w:rPr>
        <w:t>El Estado refiere que la presunta víctima tenía conocimiento de la transitoriedad de su cargo como Jueza Públic</w:t>
      </w:r>
      <w:r w:rsidR="00C27436">
        <w:rPr>
          <w:rFonts w:asciiTheme="majorHAnsi" w:hAnsiTheme="majorHAnsi"/>
          <w:sz w:val="20"/>
          <w:szCs w:val="20"/>
          <w:lang w:val="es-PE"/>
        </w:rPr>
        <w:t>a</w:t>
      </w:r>
      <w:r w:rsidRPr="00EB4A99">
        <w:rPr>
          <w:rFonts w:asciiTheme="majorHAnsi" w:hAnsiTheme="majorHAnsi"/>
          <w:sz w:val="20"/>
          <w:szCs w:val="20"/>
          <w:lang w:val="es-PE"/>
        </w:rPr>
        <w:t xml:space="preserve"> Civil y Comercial N°</w:t>
      </w:r>
      <w:r w:rsidR="00FB10F5" w:rsidRPr="00EB4A99">
        <w:rPr>
          <w:rFonts w:asciiTheme="majorHAnsi" w:hAnsiTheme="majorHAnsi"/>
          <w:sz w:val="20"/>
          <w:szCs w:val="20"/>
          <w:lang w:val="es-PE"/>
        </w:rPr>
        <w:t>1</w:t>
      </w:r>
      <w:r w:rsidR="000E6A45">
        <w:rPr>
          <w:rFonts w:asciiTheme="majorHAnsi" w:hAnsiTheme="majorHAnsi"/>
          <w:sz w:val="20"/>
          <w:szCs w:val="20"/>
          <w:lang w:val="es-PE"/>
        </w:rPr>
        <w:t>;</w:t>
      </w:r>
      <w:r w:rsidR="00B3560E" w:rsidRPr="00EB4A99">
        <w:rPr>
          <w:rFonts w:asciiTheme="majorHAnsi" w:hAnsiTheme="majorHAnsi"/>
          <w:sz w:val="20"/>
          <w:szCs w:val="20"/>
          <w:lang w:val="es-PE"/>
        </w:rPr>
        <w:t xml:space="preserve"> </w:t>
      </w:r>
      <w:r w:rsidR="0060334C" w:rsidRPr="00EB4A99">
        <w:rPr>
          <w:rFonts w:asciiTheme="majorHAnsi" w:hAnsiTheme="majorHAnsi"/>
          <w:sz w:val="20"/>
          <w:szCs w:val="20"/>
          <w:lang w:val="es-PE"/>
        </w:rPr>
        <w:t>y</w:t>
      </w:r>
      <w:r w:rsidR="000E6A45">
        <w:rPr>
          <w:rFonts w:asciiTheme="majorHAnsi" w:hAnsiTheme="majorHAnsi"/>
          <w:sz w:val="20"/>
          <w:szCs w:val="20"/>
          <w:lang w:val="es-PE"/>
        </w:rPr>
        <w:t>,</w:t>
      </w:r>
      <w:r w:rsidRPr="00EB4A99">
        <w:rPr>
          <w:rFonts w:asciiTheme="majorHAnsi" w:hAnsiTheme="majorHAnsi"/>
          <w:sz w:val="20"/>
          <w:szCs w:val="20"/>
          <w:lang w:val="es-PE"/>
        </w:rPr>
        <w:t xml:space="preserve"> sin embargo</w:t>
      </w:r>
      <w:r w:rsidR="00FB10F5" w:rsidRPr="00EB4A99">
        <w:rPr>
          <w:rFonts w:asciiTheme="majorHAnsi" w:hAnsiTheme="majorHAnsi"/>
          <w:sz w:val="20"/>
          <w:szCs w:val="20"/>
          <w:lang w:val="es-PE"/>
        </w:rPr>
        <w:t>,</w:t>
      </w:r>
      <w:r w:rsidRPr="00EB4A99">
        <w:rPr>
          <w:rFonts w:asciiTheme="majorHAnsi" w:hAnsiTheme="majorHAnsi"/>
          <w:sz w:val="20"/>
          <w:szCs w:val="20"/>
          <w:lang w:val="es-PE"/>
        </w:rPr>
        <w:t xml:space="preserve"> no interpuso recurso alguno al momento de </w:t>
      </w:r>
      <w:r w:rsidR="00B3560E" w:rsidRPr="00EB4A99">
        <w:rPr>
          <w:rFonts w:asciiTheme="majorHAnsi" w:hAnsiTheme="majorHAnsi"/>
          <w:sz w:val="20"/>
          <w:szCs w:val="20"/>
          <w:lang w:val="es-PE"/>
        </w:rPr>
        <w:t xml:space="preserve">su </w:t>
      </w:r>
      <w:r w:rsidRPr="00EB4A99">
        <w:rPr>
          <w:rFonts w:asciiTheme="majorHAnsi" w:hAnsiTheme="majorHAnsi"/>
          <w:sz w:val="20"/>
          <w:szCs w:val="20"/>
          <w:lang w:val="es-PE"/>
        </w:rPr>
        <w:t>designación. Además, como otros jueces transitorios</w:t>
      </w:r>
      <w:r w:rsidR="00861DFF">
        <w:rPr>
          <w:rFonts w:asciiTheme="majorHAnsi" w:hAnsiTheme="majorHAnsi"/>
          <w:sz w:val="20"/>
          <w:szCs w:val="20"/>
          <w:lang w:val="es-PE"/>
        </w:rPr>
        <w:t>,</w:t>
      </w:r>
      <w:r w:rsidRPr="00EB4A99">
        <w:rPr>
          <w:rFonts w:asciiTheme="majorHAnsi" w:hAnsiTheme="majorHAnsi"/>
          <w:sz w:val="20"/>
          <w:szCs w:val="20"/>
          <w:lang w:val="es-PE"/>
        </w:rPr>
        <w:t xml:space="preserve"> tenía la posibilidad de participar en los procesos de selección y designación que convoque el Consejo de la </w:t>
      </w:r>
      <w:r w:rsidRPr="00861DFF">
        <w:rPr>
          <w:rFonts w:asciiTheme="majorHAnsi" w:hAnsiTheme="majorHAnsi"/>
          <w:sz w:val="20"/>
          <w:szCs w:val="20"/>
          <w:lang w:val="es-PE"/>
        </w:rPr>
        <w:t>Magistratura</w:t>
      </w:r>
      <w:r w:rsidR="00B3560E" w:rsidRPr="00861DFF">
        <w:rPr>
          <w:rFonts w:asciiTheme="majorHAnsi" w:hAnsiTheme="majorHAnsi"/>
          <w:sz w:val="20"/>
          <w:szCs w:val="20"/>
          <w:lang w:val="es-PE"/>
        </w:rPr>
        <w:t>. No obstante</w:t>
      </w:r>
      <w:r w:rsidRPr="00861DFF">
        <w:rPr>
          <w:rFonts w:asciiTheme="majorHAnsi" w:hAnsiTheme="majorHAnsi"/>
          <w:sz w:val="20"/>
          <w:szCs w:val="20"/>
          <w:lang w:val="es-PE"/>
        </w:rPr>
        <w:t xml:space="preserve">, </w:t>
      </w:r>
      <w:r w:rsidR="0060334C" w:rsidRPr="00861DFF">
        <w:rPr>
          <w:rFonts w:asciiTheme="majorHAnsi" w:hAnsiTheme="majorHAnsi"/>
          <w:sz w:val="20"/>
          <w:szCs w:val="20"/>
          <w:lang w:val="es-PE"/>
        </w:rPr>
        <w:t>no postuló a ninguna convocatoria.</w:t>
      </w:r>
      <w:r w:rsidRPr="00861DFF">
        <w:rPr>
          <w:rFonts w:asciiTheme="majorHAnsi" w:hAnsiTheme="majorHAnsi"/>
          <w:sz w:val="20"/>
          <w:szCs w:val="20"/>
          <w:lang w:val="es-PE"/>
        </w:rPr>
        <w:t xml:space="preserve"> </w:t>
      </w:r>
    </w:p>
    <w:p w14:paraId="5EA8F4BB" w14:textId="31E47189" w:rsidR="00CC48B9" w:rsidRPr="00EB4A99" w:rsidRDefault="00CC48B9" w:rsidP="00CC48B9">
      <w:pPr>
        <w:spacing w:before="240" w:after="240"/>
        <w:ind w:firstLine="720"/>
        <w:jc w:val="both"/>
        <w:rPr>
          <w:rFonts w:asciiTheme="majorHAnsi" w:hAnsiTheme="majorHAnsi"/>
          <w:i/>
          <w:iCs/>
          <w:sz w:val="20"/>
          <w:szCs w:val="20"/>
          <w:lang w:val="pt-BR"/>
        </w:rPr>
      </w:pPr>
      <w:r w:rsidRPr="00EB4A99">
        <w:rPr>
          <w:rFonts w:asciiTheme="majorHAnsi" w:hAnsiTheme="majorHAnsi"/>
          <w:i/>
          <w:iCs/>
          <w:sz w:val="20"/>
          <w:szCs w:val="20"/>
          <w:lang w:val="pt-BR"/>
        </w:rPr>
        <w:t>Mar</w:t>
      </w:r>
      <w:r w:rsidR="007F54F8">
        <w:rPr>
          <w:rFonts w:asciiTheme="majorHAnsi" w:hAnsiTheme="majorHAnsi"/>
          <w:i/>
          <w:iCs/>
          <w:sz w:val="20"/>
          <w:szCs w:val="20"/>
          <w:lang w:val="pt-BR"/>
        </w:rPr>
        <w:t>í</w:t>
      </w:r>
      <w:r w:rsidRPr="00EB4A99">
        <w:rPr>
          <w:rFonts w:asciiTheme="majorHAnsi" w:hAnsiTheme="majorHAnsi"/>
          <w:i/>
          <w:iCs/>
          <w:sz w:val="20"/>
          <w:szCs w:val="20"/>
          <w:lang w:val="pt-BR"/>
        </w:rPr>
        <w:t>a Eugenia Romero Ossio (P-2774-18)</w:t>
      </w:r>
    </w:p>
    <w:p w14:paraId="12C1820D" w14:textId="66CD9385" w:rsidR="00CC48B9" w:rsidRPr="00EB4A99" w:rsidRDefault="00CC48B9">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sz w:val="20"/>
          <w:szCs w:val="20"/>
          <w:lang w:val="es-PE"/>
        </w:rPr>
      </w:pPr>
      <w:r w:rsidRPr="00EB4A99">
        <w:rPr>
          <w:rFonts w:asciiTheme="majorHAnsi" w:hAnsiTheme="majorHAnsi"/>
          <w:sz w:val="20"/>
          <w:szCs w:val="20"/>
          <w:lang w:val="es-PE"/>
        </w:rPr>
        <w:t>El Estado alega que la presunta víctima tenía conocimiento del carácter transitorio de su cargo, por lo que en 2018 postuló a la Convocatoria N°14/2018 cuyo procedimiento, criterios y plazos eran de conocimiento público. A pesar de ello, debido al incumplimiento de uno de los requisitos de forma solicitados</w:t>
      </w:r>
      <w:r w:rsidR="00311D33">
        <w:rPr>
          <w:rFonts w:asciiTheme="majorHAnsi" w:hAnsiTheme="majorHAnsi"/>
          <w:sz w:val="20"/>
          <w:szCs w:val="20"/>
          <w:lang w:val="es-PE"/>
        </w:rPr>
        <w:t>,</w:t>
      </w:r>
      <w:r w:rsidRPr="00EB4A99">
        <w:rPr>
          <w:rFonts w:asciiTheme="majorHAnsi" w:hAnsiTheme="majorHAnsi"/>
          <w:sz w:val="20"/>
          <w:szCs w:val="20"/>
          <w:lang w:val="es-PE"/>
        </w:rPr>
        <w:t xml:space="preserve"> se le declaró inhabilitada para participar del proceso. </w:t>
      </w:r>
    </w:p>
    <w:p w14:paraId="49CC910C" w14:textId="24A6F794" w:rsidR="00EB4A99" w:rsidRPr="00EB4A99" w:rsidRDefault="00EB4A99" w:rsidP="00EB4A99">
      <w:pPr>
        <w:pStyle w:val="ListParagraph"/>
        <w:spacing w:before="240" w:after="240"/>
        <w:jc w:val="both"/>
        <w:rPr>
          <w:rFonts w:asciiTheme="majorHAnsi" w:hAnsiTheme="majorHAnsi"/>
          <w:i/>
          <w:iCs/>
          <w:sz w:val="20"/>
          <w:szCs w:val="20"/>
          <w:lang w:val="pt-BR"/>
        </w:rPr>
      </w:pPr>
      <w:r w:rsidRPr="00D907CC">
        <w:rPr>
          <w:rFonts w:asciiTheme="majorHAnsi" w:hAnsiTheme="majorHAnsi"/>
          <w:i/>
          <w:iCs/>
          <w:sz w:val="20"/>
          <w:szCs w:val="20"/>
          <w:lang w:val="pt-BR"/>
        </w:rPr>
        <w:t>Jorge Marco Agüero García (P-76-19)</w:t>
      </w:r>
    </w:p>
    <w:p w14:paraId="0DD2F0C4" w14:textId="382FFCA6" w:rsidR="00EB4A99" w:rsidRPr="00EB4A99" w:rsidRDefault="00CD70AA">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sz w:val="20"/>
          <w:szCs w:val="20"/>
          <w:lang w:val="es-PE"/>
        </w:rPr>
      </w:pPr>
      <w:r w:rsidRPr="00EB4A99">
        <w:rPr>
          <w:rFonts w:asciiTheme="majorHAnsi" w:hAnsiTheme="majorHAnsi"/>
          <w:sz w:val="20"/>
          <w:szCs w:val="20"/>
          <w:lang w:val="es-PE"/>
        </w:rPr>
        <w:t xml:space="preserve">El Estado alega que la </w:t>
      </w:r>
      <w:r w:rsidR="00965B1C">
        <w:rPr>
          <w:rFonts w:asciiTheme="majorHAnsi" w:hAnsiTheme="majorHAnsi"/>
          <w:sz w:val="20"/>
          <w:szCs w:val="20"/>
          <w:lang w:val="es-PE"/>
        </w:rPr>
        <w:t>c</w:t>
      </w:r>
      <w:r w:rsidRPr="00EB4A99">
        <w:rPr>
          <w:rFonts w:asciiTheme="majorHAnsi" w:hAnsiTheme="majorHAnsi"/>
          <w:sz w:val="20"/>
          <w:szCs w:val="20"/>
          <w:lang w:val="es-PE"/>
        </w:rPr>
        <w:t xml:space="preserve">onvocatoria </w:t>
      </w:r>
      <w:r w:rsidR="00965B1C">
        <w:rPr>
          <w:rFonts w:asciiTheme="majorHAnsi" w:hAnsiTheme="majorHAnsi"/>
          <w:sz w:val="20"/>
          <w:szCs w:val="20"/>
          <w:lang w:val="es-PE"/>
        </w:rPr>
        <w:t>p</w:t>
      </w:r>
      <w:r w:rsidRPr="00EB4A99">
        <w:rPr>
          <w:rFonts w:asciiTheme="majorHAnsi" w:hAnsiTheme="majorHAnsi"/>
          <w:sz w:val="20"/>
          <w:szCs w:val="20"/>
          <w:lang w:val="es-PE"/>
        </w:rPr>
        <w:t>ública a la que postuló el señor Agüero</w:t>
      </w:r>
      <w:r w:rsidR="00965B1C">
        <w:rPr>
          <w:rFonts w:asciiTheme="majorHAnsi" w:hAnsiTheme="majorHAnsi"/>
          <w:sz w:val="20"/>
          <w:szCs w:val="20"/>
          <w:lang w:val="es-PE"/>
        </w:rPr>
        <w:t xml:space="preserve"> García</w:t>
      </w:r>
      <w:r w:rsidRPr="00EB4A99">
        <w:rPr>
          <w:rFonts w:asciiTheme="majorHAnsi" w:hAnsiTheme="majorHAnsi"/>
          <w:sz w:val="20"/>
          <w:szCs w:val="20"/>
          <w:lang w:val="es-PE"/>
        </w:rPr>
        <w:t xml:space="preserve"> indicaba expresamente que se realizaba para desempeñar “funciones transitorias”. Consciente de ello, </w:t>
      </w:r>
      <w:r w:rsidR="00705BBD">
        <w:rPr>
          <w:rFonts w:asciiTheme="majorHAnsi" w:hAnsiTheme="majorHAnsi"/>
          <w:sz w:val="20"/>
          <w:szCs w:val="20"/>
          <w:lang w:val="es-PE"/>
        </w:rPr>
        <w:t>este</w:t>
      </w:r>
      <w:r w:rsidRPr="00EB4A99">
        <w:rPr>
          <w:rFonts w:asciiTheme="majorHAnsi" w:hAnsiTheme="majorHAnsi"/>
          <w:sz w:val="20"/>
          <w:szCs w:val="20"/>
          <w:lang w:val="es-PE"/>
        </w:rPr>
        <w:t xml:space="preserve"> postuló a la Convocatoria N°</w:t>
      </w:r>
      <w:r w:rsidR="00965B1C">
        <w:rPr>
          <w:rFonts w:asciiTheme="majorHAnsi" w:hAnsiTheme="majorHAnsi"/>
          <w:sz w:val="20"/>
          <w:szCs w:val="20"/>
          <w:lang w:val="es-PE"/>
        </w:rPr>
        <w:t xml:space="preserve"> </w:t>
      </w:r>
      <w:r w:rsidRPr="00EB4A99">
        <w:rPr>
          <w:rFonts w:asciiTheme="majorHAnsi" w:hAnsiTheme="majorHAnsi"/>
          <w:sz w:val="20"/>
          <w:szCs w:val="20"/>
          <w:lang w:val="es-PE"/>
        </w:rPr>
        <w:t>1/2013 de 6 de diciembre de 2013</w:t>
      </w:r>
      <w:r w:rsidR="000A6724" w:rsidRPr="00EB4A99">
        <w:rPr>
          <w:rFonts w:asciiTheme="majorHAnsi" w:hAnsiTheme="majorHAnsi"/>
          <w:sz w:val="20"/>
          <w:szCs w:val="20"/>
          <w:lang w:val="es-PE"/>
        </w:rPr>
        <w:t xml:space="preserve"> para </w:t>
      </w:r>
      <w:r w:rsidR="00A91FC5">
        <w:rPr>
          <w:rFonts w:asciiTheme="majorHAnsi" w:hAnsiTheme="majorHAnsi"/>
          <w:sz w:val="20"/>
          <w:szCs w:val="20"/>
          <w:lang w:val="es-PE"/>
        </w:rPr>
        <w:t>asistir al</w:t>
      </w:r>
      <w:r w:rsidR="000A6724" w:rsidRPr="00EB4A99">
        <w:rPr>
          <w:rFonts w:asciiTheme="majorHAnsi" w:hAnsiTheme="majorHAnsi"/>
          <w:sz w:val="20"/>
          <w:szCs w:val="20"/>
          <w:lang w:val="es-PE"/>
        </w:rPr>
        <w:t xml:space="preserve"> primer curso de formación y especialización </w:t>
      </w:r>
      <w:r w:rsidR="00A91FC5">
        <w:rPr>
          <w:rFonts w:asciiTheme="majorHAnsi" w:hAnsiTheme="majorHAnsi"/>
          <w:sz w:val="20"/>
          <w:szCs w:val="20"/>
          <w:lang w:val="es-PE"/>
        </w:rPr>
        <w:t>y</w:t>
      </w:r>
      <w:r w:rsidR="000A6724" w:rsidRPr="00EB4A99">
        <w:rPr>
          <w:rFonts w:asciiTheme="majorHAnsi" w:hAnsiTheme="majorHAnsi"/>
          <w:sz w:val="20"/>
          <w:szCs w:val="20"/>
          <w:lang w:val="es-PE"/>
        </w:rPr>
        <w:t xml:space="preserve"> formar parte de la carrera judicial</w:t>
      </w:r>
      <w:r w:rsidR="00B16783" w:rsidRPr="00EB4A99">
        <w:rPr>
          <w:rFonts w:asciiTheme="majorHAnsi" w:hAnsiTheme="majorHAnsi"/>
          <w:sz w:val="20"/>
          <w:szCs w:val="20"/>
          <w:lang w:val="es-PE"/>
        </w:rPr>
        <w:t>; s</w:t>
      </w:r>
      <w:r w:rsidR="00B3560E" w:rsidRPr="00EB4A99">
        <w:rPr>
          <w:rFonts w:asciiTheme="majorHAnsi" w:hAnsiTheme="majorHAnsi"/>
          <w:sz w:val="20"/>
          <w:szCs w:val="20"/>
          <w:lang w:val="es-PE"/>
        </w:rPr>
        <w:t xml:space="preserve">in </w:t>
      </w:r>
      <w:r w:rsidRPr="00EB4A99">
        <w:rPr>
          <w:rFonts w:asciiTheme="majorHAnsi" w:hAnsiTheme="majorHAnsi"/>
          <w:sz w:val="20"/>
          <w:szCs w:val="20"/>
          <w:lang w:val="es-PE"/>
        </w:rPr>
        <w:t xml:space="preserve">embargo, no obtuvo la calificación mínima que requería </w:t>
      </w:r>
      <w:r w:rsidR="00B3560E" w:rsidRPr="00EB4A99">
        <w:rPr>
          <w:rFonts w:asciiTheme="majorHAnsi" w:hAnsiTheme="majorHAnsi"/>
          <w:sz w:val="20"/>
          <w:szCs w:val="20"/>
          <w:lang w:val="es-PE"/>
        </w:rPr>
        <w:t xml:space="preserve">en </w:t>
      </w:r>
      <w:r w:rsidRPr="00EB4A99">
        <w:rPr>
          <w:rFonts w:asciiTheme="majorHAnsi" w:hAnsiTheme="majorHAnsi"/>
          <w:sz w:val="20"/>
          <w:szCs w:val="20"/>
          <w:lang w:val="es-PE"/>
        </w:rPr>
        <w:t>el examen de admisión</w:t>
      </w:r>
      <w:r w:rsidR="000A6724" w:rsidRPr="00EB4A99">
        <w:rPr>
          <w:rFonts w:asciiTheme="majorHAnsi" w:hAnsiTheme="majorHAnsi"/>
          <w:sz w:val="20"/>
          <w:szCs w:val="20"/>
          <w:lang w:val="es-PE"/>
        </w:rPr>
        <w:t>. Añade que no existen</w:t>
      </w:r>
      <w:r w:rsidRPr="00EB4A99">
        <w:rPr>
          <w:rFonts w:asciiTheme="majorHAnsi" w:hAnsiTheme="majorHAnsi"/>
          <w:sz w:val="20"/>
          <w:szCs w:val="20"/>
          <w:lang w:val="es-PE"/>
        </w:rPr>
        <w:t xml:space="preserve"> </w:t>
      </w:r>
      <w:r w:rsidR="00426E5D">
        <w:rPr>
          <w:rFonts w:asciiTheme="majorHAnsi" w:hAnsiTheme="majorHAnsi"/>
          <w:sz w:val="20"/>
          <w:szCs w:val="20"/>
          <w:lang w:val="es-PE"/>
        </w:rPr>
        <w:t xml:space="preserve">registros </w:t>
      </w:r>
      <w:r w:rsidRPr="00EB4A99">
        <w:rPr>
          <w:rFonts w:asciiTheme="majorHAnsi" w:hAnsiTheme="majorHAnsi"/>
          <w:sz w:val="20"/>
          <w:szCs w:val="20"/>
          <w:lang w:val="es-PE"/>
        </w:rPr>
        <w:t>posteriores de intentos de postulación por parte del señor Agüero</w:t>
      </w:r>
      <w:r w:rsidR="007C6E33">
        <w:rPr>
          <w:rFonts w:asciiTheme="majorHAnsi" w:hAnsiTheme="majorHAnsi"/>
          <w:sz w:val="20"/>
          <w:szCs w:val="20"/>
          <w:lang w:val="es-PE"/>
        </w:rPr>
        <w:t xml:space="preserve"> García</w:t>
      </w:r>
      <w:r w:rsidRPr="00EB4A99">
        <w:rPr>
          <w:rFonts w:asciiTheme="majorHAnsi" w:hAnsiTheme="majorHAnsi"/>
          <w:sz w:val="20"/>
          <w:szCs w:val="20"/>
          <w:lang w:val="es-PE"/>
        </w:rPr>
        <w:t>.</w:t>
      </w:r>
    </w:p>
    <w:p w14:paraId="0F2A6085" w14:textId="081C48B0" w:rsidR="00EB4A99" w:rsidRPr="00EB4A99" w:rsidRDefault="00EB4A99" w:rsidP="00EB4A99">
      <w:pPr>
        <w:pStyle w:val="ListParagraph"/>
        <w:spacing w:before="240" w:after="240"/>
        <w:jc w:val="both"/>
        <w:rPr>
          <w:rFonts w:asciiTheme="majorHAnsi" w:hAnsiTheme="majorHAnsi"/>
          <w:i/>
          <w:iCs/>
          <w:sz w:val="20"/>
          <w:szCs w:val="20"/>
          <w:lang w:val="es-PE"/>
        </w:rPr>
      </w:pPr>
      <w:r w:rsidRPr="00033D7F">
        <w:rPr>
          <w:rFonts w:asciiTheme="majorHAnsi" w:hAnsiTheme="majorHAnsi"/>
          <w:i/>
          <w:iCs/>
          <w:sz w:val="20"/>
          <w:szCs w:val="20"/>
          <w:lang w:val="es-PE"/>
        </w:rPr>
        <w:t xml:space="preserve">Cintya Yackeline Salguero </w:t>
      </w:r>
      <w:r w:rsidR="00EF5F75">
        <w:rPr>
          <w:rFonts w:asciiTheme="majorHAnsi" w:hAnsiTheme="majorHAnsi"/>
          <w:i/>
          <w:iCs/>
          <w:sz w:val="20"/>
          <w:szCs w:val="20"/>
          <w:lang w:val="es-PE"/>
        </w:rPr>
        <w:t>Á</w:t>
      </w:r>
      <w:r w:rsidRPr="00033D7F">
        <w:rPr>
          <w:rFonts w:asciiTheme="majorHAnsi" w:hAnsiTheme="majorHAnsi"/>
          <w:i/>
          <w:iCs/>
          <w:sz w:val="20"/>
          <w:szCs w:val="20"/>
          <w:lang w:val="es-PE"/>
        </w:rPr>
        <w:t>ñez (P-1124-19)</w:t>
      </w:r>
    </w:p>
    <w:p w14:paraId="5C85537C" w14:textId="70AA7B33" w:rsidR="00EB4A99" w:rsidRPr="00CB416A" w:rsidRDefault="00FF7348">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sz w:val="20"/>
          <w:szCs w:val="20"/>
          <w:lang w:val="es-PE"/>
        </w:rPr>
      </w:pPr>
      <w:r w:rsidRPr="00EB4A99">
        <w:rPr>
          <w:rFonts w:asciiTheme="majorHAnsi" w:hAnsiTheme="majorHAnsi"/>
          <w:sz w:val="20"/>
          <w:szCs w:val="20"/>
          <w:lang w:val="es-PE"/>
        </w:rPr>
        <w:t xml:space="preserve">El Estado menciona que el Consejo </w:t>
      </w:r>
      <w:r w:rsidR="001E0410" w:rsidRPr="00EB4A99">
        <w:rPr>
          <w:rFonts w:asciiTheme="majorHAnsi" w:hAnsiTheme="majorHAnsi"/>
          <w:sz w:val="20"/>
          <w:szCs w:val="20"/>
          <w:lang w:val="es-PE"/>
        </w:rPr>
        <w:t>de</w:t>
      </w:r>
      <w:r w:rsidRPr="00EB4A99">
        <w:rPr>
          <w:rFonts w:asciiTheme="majorHAnsi" w:hAnsiTheme="majorHAnsi"/>
          <w:sz w:val="20"/>
          <w:szCs w:val="20"/>
          <w:lang w:val="es-PE"/>
        </w:rPr>
        <w:t xml:space="preserve"> la Magistratura publicó varias convocatorias para ocupar cargos en el sistema de </w:t>
      </w:r>
      <w:r w:rsidR="001E0410" w:rsidRPr="00EB4A99">
        <w:rPr>
          <w:rFonts w:asciiTheme="majorHAnsi" w:hAnsiTheme="majorHAnsi"/>
          <w:sz w:val="20"/>
          <w:szCs w:val="20"/>
          <w:lang w:val="es-PE"/>
        </w:rPr>
        <w:t>justicia</w:t>
      </w:r>
      <w:r w:rsidRPr="00EB4A99">
        <w:rPr>
          <w:rFonts w:asciiTheme="majorHAnsi" w:hAnsiTheme="majorHAnsi"/>
          <w:sz w:val="20"/>
          <w:szCs w:val="20"/>
          <w:lang w:val="es-PE"/>
        </w:rPr>
        <w:t xml:space="preserve"> hasta e</w:t>
      </w:r>
      <w:r w:rsidR="001E0410" w:rsidRPr="00EB4A99">
        <w:rPr>
          <w:rFonts w:asciiTheme="majorHAnsi" w:hAnsiTheme="majorHAnsi"/>
          <w:sz w:val="20"/>
          <w:szCs w:val="20"/>
          <w:lang w:val="es-PE"/>
        </w:rPr>
        <w:t>l</w:t>
      </w:r>
      <w:r w:rsidRPr="00EB4A99">
        <w:rPr>
          <w:rFonts w:asciiTheme="majorHAnsi" w:hAnsiTheme="majorHAnsi"/>
          <w:sz w:val="20"/>
          <w:szCs w:val="20"/>
          <w:lang w:val="es-PE"/>
        </w:rPr>
        <w:t xml:space="preserve"> 15 de setiembre de 2022. Pese a ello, no existen </w:t>
      </w:r>
      <w:r w:rsidR="00190790" w:rsidRPr="00EB4A99">
        <w:rPr>
          <w:rFonts w:asciiTheme="majorHAnsi" w:hAnsiTheme="majorHAnsi"/>
          <w:sz w:val="20"/>
          <w:szCs w:val="20"/>
          <w:lang w:val="es-PE"/>
        </w:rPr>
        <w:t>registros</w:t>
      </w:r>
      <w:r w:rsidRPr="00EB4A99">
        <w:rPr>
          <w:rFonts w:asciiTheme="majorHAnsi" w:hAnsiTheme="majorHAnsi"/>
          <w:sz w:val="20"/>
          <w:szCs w:val="20"/>
          <w:lang w:val="es-PE"/>
        </w:rPr>
        <w:t xml:space="preserve"> </w:t>
      </w:r>
      <w:r w:rsidR="00C97FB4">
        <w:rPr>
          <w:rFonts w:asciiTheme="majorHAnsi" w:hAnsiTheme="majorHAnsi"/>
          <w:sz w:val="20"/>
          <w:szCs w:val="20"/>
          <w:lang w:val="es-PE"/>
        </w:rPr>
        <w:t xml:space="preserve">de </w:t>
      </w:r>
      <w:r w:rsidRPr="00EB4A99">
        <w:rPr>
          <w:rFonts w:asciiTheme="majorHAnsi" w:hAnsiTheme="majorHAnsi"/>
          <w:sz w:val="20"/>
          <w:szCs w:val="20"/>
          <w:lang w:val="es-PE"/>
        </w:rPr>
        <w:t>que la señora Salguero</w:t>
      </w:r>
      <w:r w:rsidR="007C6E33">
        <w:rPr>
          <w:rFonts w:asciiTheme="majorHAnsi" w:hAnsiTheme="majorHAnsi"/>
          <w:sz w:val="20"/>
          <w:szCs w:val="20"/>
          <w:lang w:val="es-PE"/>
        </w:rPr>
        <w:t xml:space="preserve"> Añez</w:t>
      </w:r>
      <w:r w:rsidRPr="00EB4A99">
        <w:rPr>
          <w:rFonts w:asciiTheme="majorHAnsi" w:hAnsiTheme="majorHAnsi"/>
          <w:sz w:val="20"/>
          <w:szCs w:val="20"/>
          <w:lang w:val="es-PE"/>
        </w:rPr>
        <w:t xml:space="preserve"> se haya presentado a alguna ni postulado a</w:t>
      </w:r>
      <w:r w:rsidR="007C6E33">
        <w:rPr>
          <w:rFonts w:asciiTheme="majorHAnsi" w:hAnsiTheme="majorHAnsi"/>
          <w:sz w:val="20"/>
          <w:szCs w:val="20"/>
          <w:lang w:val="es-PE"/>
        </w:rPr>
        <w:t xml:space="preserve"> algún</w:t>
      </w:r>
      <w:r w:rsidRPr="00EB4A99">
        <w:rPr>
          <w:rFonts w:asciiTheme="majorHAnsi" w:hAnsiTheme="majorHAnsi"/>
          <w:sz w:val="20"/>
          <w:szCs w:val="20"/>
          <w:lang w:val="es-PE"/>
        </w:rPr>
        <w:t xml:space="preserve"> curso para regularizar su situación. </w:t>
      </w:r>
      <w:r w:rsidR="00190790" w:rsidRPr="00EB4A99">
        <w:rPr>
          <w:rFonts w:asciiTheme="majorHAnsi" w:hAnsiTheme="majorHAnsi"/>
          <w:sz w:val="20"/>
          <w:szCs w:val="20"/>
          <w:lang w:val="es-PE"/>
        </w:rPr>
        <w:t xml:space="preserve">Agrega que </w:t>
      </w:r>
      <w:r w:rsidR="00816361">
        <w:rPr>
          <w:rFonts w:asciiTheme="majorHAnsi" w:hAnsiTheme="majorHAnsi"/>
          <w:sz w:val="20"/>
          <w:szCs w:val="20"/>
          <w:lang w:val="es-PE"/>
        </w:rPr>
        <w:t>las autoridades no actuaron</w:t>
      </w:r>
      <w:r w:rsidR="00190790" w:rsidRPr="00EB4A99">
        <w:rPr>
          <w:rFonts w:asciiTheme="majorHAnsi" w:hAnsiTheme="majorHAnsi"/>
          <w:sz w:val="20"/>
          <w:szCs w:val="20"/>
          <w:lang w:val="es-PE"/>
        </w:rPr>
        <w:t xml:space="preserve"> de forma discrecional en la desvinculación de la presunta víctima, pues quien ocupó su antiguo cargo fue una juez</w:t>
      </w:r>
      <w:r w:rsidR="00856755" w:rsidRPr="00EB4A99">
        <w:rPr>
          <w:rFonts w:asciiTheme="majorHAnsi" w:hAnsiTheme="majorHAnsi"/>
          <w:sz w:val="20"/>
          <w:szCs w:val="20"/>
          <w:lang w:val="es-PE"/>
        </w:rPr>
        <w:t>a</w:t>
      </w:r>
      <w:r w:rsidR="00190790" w:rsidRPr="00EB4A99">
        <w:rPr>
          <w:rFonts w:asciiTheme="majorHAnsi" w:hAnsiTheme="majorHAnsi"/>
          <w:sz w:val="20"/>
          <w:szCs w:val="20"/>
          <w:lang w:val="es-PE"/>
        </w:rPr>
        <w:t xml:space="preserve"> que ingresó a la carrea judicial</w:t>
      </w:r>
      <w:r w:rsidR="0092359E" w:rsidRPr="00EB4A99">
        <w:rPr>
          <w:rFonts w:asciiTheme="majorHAnsi" w:hAnsiTheme="majorHAnsi"/>
          <w:sz w:val="20"/>
          <w:szCs w:val="20"/>
          <w:lang w:val="es-PE"/>
        </w:rPr>
        <w:t>,</w:t>
      </w:r>
      <w:r w:rsidR="00190790" w:rsidRPr="00EB4A99">
        <w:rPr>
          <w:rFonts w:asciiTheme="majorHAnsi" w:hAnsiTheme="majorHAnsi"/>
          <w:sz w:val="20"/>
          <w:szCs w:val="20"/>
          <w:lang w:val="es-PE"/>
        </w:rPr>
        <w:t xml:space="preserve"> de conformidad con las vías previstas en la normativa interna.</w:t>
      </w:r>
    </w:p>
    <w:p w14:paraId="4E590BD9" w14:textId="77777777" w:rsidR="00CB416A" w:rsidRDefault="00CB416A" w:rsidP="00CB416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sz w:val="20"/>
          <w:szCs w:val="20"/>
          <w:lang w:val="es-PE"/>
        </w:rPr>
      </w:pPr>
    </w:p>
    <w:p w14:paraId="12EAE43C" w14:textId="77777777" w:rsidR="00CB416A" w:rsidRPr="00CB416A" w:rsidRDefault="00CB416A" w:rsidP="00CB416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sz w:val="20"/>
          <w:szCs w:val="20"/>
          <w:lang w:val="es-PE"/>
        </w:rPr>
      </w:pPr>
    </w:p>
    <w:p w14:paraId="20CEAC89" w14:textId="507D810A" w:rsidR="00EB4A99" w:rsidRPr="00EB4A99" w:rsidRDefault="00EB4A99" w:rsidP="00EB4A99">
      <w:pPr>
        <w:pStyle w:val="ListParagraph"/>
        <w:spacing w:before="240" w:after="240"/>
        <w:jc w:val="both"/>
        <w:rPr>
          <w:rFonts w:asciiTheme="majorHAnsi" w:hAnsiTheme="majorHAnsi"/>
          <w:i/>
          <w:iCs/>
          <w:sz w:val="20"/>
          <w:szCs w:val="20"/>
          <w:lang w:val="pt-BR"/>
        </w:rPr>
      </w:pPr>
      <w:r w:rsidRPr="00033D7F">
        <w:rPr>
          <w:rFonts w:asciiTheme="majorHAnsi" w:hAnsiTheme="majorHAnsi"/>
          <w:i/>
          <w:iCs/>
          <w:sz w:val="20"/>
          <w:szCs w:val="20"/>
          <w:lang w:val="pt-BR"/>
        </w:rPr>
        <w:lastRenderedPageBreak/>
        <w:t>Roque Armando Camacho Negrete (P-1217-19)</w:t>
      </w:r>
    </w:p>
    <w:p w14:paraId="62DF8DBF" w14:textId="5854B0EB" w:rsidR="00EB4A99" w:rsidRPr="00EB4A99" w:rsidRDefault="0092359E">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sz w:val="20"/>
          <w:szCs w:val="20"/>
          <w:lang w:val="es-PE"/>
        </w:rPr>
      </w:pPr>
      <w:r w:rsidRPr="00EB4A99">
        <w:rPr>
          <w:rFonts w:asciiTheme="majorHAnsi" w:hAnsiTheme="majorHAnsi"/>
          <w:sz w:val="20"/>
          <w:szCs w:val="20"/>
          <w:lang w:val="es-PE"/>
        </w:rPr>
        <w:t xml:space="preserve">El Estado </w:t>
      </w:r>
      <w:r w:rsidR="008D2604">
        <w:rPr>
          <w:rFonts w:asciiTheme="majorHAnsi" w:hAnsiTheme="majorHAnsi"/>
          <w:sz w:val="20"/>
          <w:szCs w:val="20"/>
          <w:lang w:val="es-PE"/>
        </w:rPr>
        <w:t>explica</w:t>
      </w:r>
      <w:r w:rsidRPr="00EB4A99">
        <w:rPr>
          <w:rFonts w:asciiTheme="majorHAnsi" w:hAnsiTheme="majorHAnsi"/>
          <w:sz w:val="20"/>
          <w:szCs w:val="20"/>
          <w:lang w:val="es-PE"/>
        </w:rPr>
        <w:t xml:space="preserve"> que hasta el 4 de octubre de 2021 </w:t>
      </w:r>
      <w:r w:rsidR="00241A99">
        <w:rPr>
          <w:rFonts w:asciiTheme="majorHAnsi" w:hAnsiTheme="majorHAnsi"/>
          <w:sz w:val="20"/>
          <w:szCs w:val="20"/>
          <w:lang w:val="es-PE"/>
        </w:rPr>
        <w:t>el Sr. Camacho</w:t>
      </w:r>
      <w:r w:rsidRPr="00EB4A99">
        <w:rPr>
          <w:rFonts w:asciiTheme="majorHAnsi" w:hAnsiTheme="majorHAnsi"/>
          <w:sz w:val="20"/>
          <w:szCs w:val="20"/>
          <w:lang w:val="es-PE"/>
        </w:rPr>
        <w:t xml:space="preserve"> </w:t>
      </w:r>
      <w:r w:rsidR="009B69AD">
        <w:rPr>
          <w:rFonts w:asciiTheme="majorHAnsi" w:hAnsiTheme="majorHAnsi"/>
          <w:sz w:val="20"/>
          <w:szCs w:val="20"/>
          <w:lang w:val="es-PE"/>
        </w:rPr>
        <w:t xml:space="preserve">Negrete </w:t>
      </w:r>
      <w:r w:rsidRPr="00EB4A99">
        <w:rPr>
          <w:rFonts w:asciiTheme="majorHAnsi" w:hAnsiTheme="majorHAnsi"/>
          <w:sz w:val="20"/>
          <w:szCs w:val="20"/>
          <w:lang w:val="es-PE"/>
        </w:rPr>
        <w:t xml:space="preserve">no </w:t>
      </w:r>
      <w:r w:rsidR="0021231B">
        <w:rPr>
          <w:rFonts w:asciiTheme="majorHAnsi" w:hAnsiTheme="majorHAnsi"/>
          <w:sz w:val="20"/>
          <w:szCs w:val="20"/>
          <w:lang w:val="es-PE"/>
        </w:rPr>
        <w:t>estaba</w:t>
      </w:r>
      <w:r w:rsidRPr="00EB4A99">
        <w:rPr>
          <w:rFonts w:asciiTheme="majorHAnsi" w:hAnsiTheme="majorHAnsi"/>
          <w:sz w:val="20"/>
          <w:szCs w:val="20"/>
          <w:lang w:val="es-PE"/>
        </w:rPr>
        <w:t xml:space="preserve"> en la lista </w:t>
      </w:r>
      <w:r w:rsidR="00186055" w:rsidRPr="00EB4A99">
        <w:rPr>
          <w:rFonts w:asciiTheme="majorHAnsi" w:hAnsiTheme="majorHAnsi"/>
          <w:sz w:val="20"/>
          <w:szCs w:val="20"/>
          <w:lang w:val="es-PE"/>
        </w:rPr>
        <w:t xml:space="preserve">de postulantes a las convocatorias públicas </w:t>
      </w:r>
      <w:r w:rsidR="00067974">
        <w:rPr>
          <w:rFonts w:asciiTheme="majorHAnsi" w:hAnsiTheme="majorHAnsi"/>
          <w:sz w:val="20"/>
          <w:szCs w:val="20"/>
          <w:lang w:val="es-PE"/>
        </w:rPr>
        <w:t>hechas</w:t>
      </w:r>
      <w:r w:rsidR="00186055" w:rsidRPr="00EB4A99">
        <w:rPr>
          <w:rFonts w:asciiTheme="majorHAnsi" w:hAnsiTheme="majorHAnsi"/>
          <w:sz w:val="20"/>
          <w:szCs w:val="20"/>
          <w:lang w:val="es-PE"/>
        </w:rPr>
        <w:t xml:space="preserve"> por el Consejo de la Magistratura</w:t>
      </w:r>
      <w:r w:rsidR="00067974">
        <w:rPr>
          <w:rFonts w:asciiTheme="majorHAnsi" w:hAnsiTheme="majorHAnsi"/>
          <w:sz w:val="20"/>
          <w:szCs w:val="20"/>
          <w:lang w:val="es-PE"/>
        </w:rPr>
        <w:t>,</w:t>
      </w:r>
      <w:r w:rsidR="00186055" w:rsidRPr="00EB4A99">
        <w:rPr>
          <w:rFonts w:asciiTheme="majorHAnsi" w:hAnsiTheme="majorHAnsi"/>
          <w:sz w:val="20"/>
          <w:szCs w:val="20"/>
          <w:lang w:val="es-PE"/>
        </w:rPr>
        <w:t xml:space="preserve"> </w:t>
      </w:r>
      <w:r w:rsidR="00067974">
        <w:rPr>
          <w:rFonts w:asciiTheme="majorHAnsi" w:hAnsiTheme="majorHAnsi"/>
          <w:sz w:val="20"/>
          <w:szCs w:val="20"/>
          <w:lang w:val="es-PE"/>
        </w:rPr>
        <w:t>lo que demostraría</w:t>
      </w:r>
      <w:r w:rsidR="00186055" w:rsidRPr="00EB4A99">
        <w:rPr>
          <w:rFonts w:asciiTheme="majorHAnsi" w:hAnsiTheme="majorHAnsi"/>
          <w:sz w:val="20"/>
          <w:szCs w:val="20"/>
          <w:lang w:val="es-PE"/>
        </w:rPr>
        <w:t xml:space="preserve"> que</w:t>
      </w:r>
      <w:r w:rsidR="009B69AD">
        <w:rPr>
          <w:rFonts w:asciiTheme="majorHAnsi" w:hAnsiTheme="majorHAnsi"/>
          <w:sz w:val="20"/>
          <w:szCs w:val="20"/>
          <w:lang w:val="es-PE"/>
        </w:rPr>
        <w:t>,</w:t>
      </w:r>
      <w:r w:rsidR="00186055" w:rsidRPr="00EB4A99">
        <w:rPr>
          <w:rFonts w:asciiTheme="majorHAnsi" w:hAnsiTheme="majorHAnsi"/>
          <w:sz w:val="20"/>
          <w:szCs w:val="20"/>
          <w:lang w:val="es-PE"/>
        </w:rPr>
        <w:t xml:space="preserve"> a pesar de tener la posibilidad de ingresar a la carrera judicial a través de una de las formas establecidas por ley, </w:t>
      </w:r>
      <w:r w:rsidR="00241A99">
        <w:rPr>
          <w:rFonts w:asciiTheme="majorHAnsi" w:hAnsiTheme="majorHAnsi"/>
          <w:sz w:val="20"/>
          <w:szCs w:val="20"/>
          <w:lang w:val="es-PE"/>
        </w:rPr>
        <w:t>este</w:t>
      </w:r>
      <w:r w:rsidR="00186055" w:rsidRPr="00EB4A99">
        <w:rPr>
          <w:rFonts w:asciiTheme="majorHAnsi" w:hAnsiTheme="majorHAnsi"/>
          <w:sz w:val="20"/>
          <w:szCs w:val="20"/>
          <w:lang w:val="es-PE"/>
        </w:rPr>
        <w:t xml:space="preserve"> se reh</w:t>
      </w:r>
      <w:r w:rsidR="00E35C95">
        <w:rPr>
          <w:rFonts w:asciiTheme="majorHAnsi" w:hAnsiTheme="majorHAnsi"/>
          <w:sz w:val="20"/>
          <w:szCs w:val="20"/>
          <w:lang w:val="es-PE"/>
        </w:rPr>
        <w:t>usaría</w:t>
      </w:r>
      <w:r w:rsidR="00186055" w:rsidRPr="00EB4A99">
        <w:rPr>
          <w:rFonts w:asciiTheme="majorHAnsi" w:hAnsiTheme="majorHAnsi"/>
          <w:sz w:val="20"/>
          <w:szCs w:val="20"/>
          <w:lang w:val="es-PE"/>
        </w:rPr>
        <w:t xml:space="preserve"> a hacerlo.</w:t>
      </w:r>
    </w:p>
    <w:p w14:paraId="02F73303" w14:textId="77777777" w:rsidR="00EB4A99" w:rsidRPr="00EB4A99" w:rsidRDefault="00EB4A99" w:rsidP="00EB4A99">
      <w:pPr>
        <w:pStyle w:val="ListParagraph"/>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sz w:val="20"/>
          <w:szCs w:val="20"/>
          <w:lang w:val="es-PE"/>
        </w:rPr>
      </w:pPr>
    </w:p>
    <w:p w14:paraId="0A27D0FB" w14:textId="23FF4137" w:rsidR="00EB4A99" w:rsidRPr="0021231B" w:rsidRDefault="002B51F3">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sz w:val="20"/>
          <w:szCs w:val="20"/>
          <w:lang w:val="es-PE"/>
        </w:rPr>
      </w:pPr>
      <w:r w:rsidRPr="00EB4A99">
        <w:rPr>
          <w:rFonts w:asciiTheme="majorHAnsi" w:hAnsiTheme="majorHAnsi"/>
          <w:sz w:val="20"/>
          <w:szCs w:val="20"/>
          <w:lang w:val="es-PE"/>
        </w:rPr>
        <w:t>Asimismo, sobre la supuesta vulneración de la Convención Interamericana sobre la Protección de los Derechos Humanos de las Personas Mayores, Bolivia alega que</w:t>
      </w:r>
      <w:r w:rsidR="00F26267" w:rsidRPr="00EB4A99">
        <w:rPr>
          <w:rFonts w:asciiTheme="majorHAnsi" w:hAnsiTheme="majorHAnsi"/>
          <w:sz w:val="20"/>
          <w:szCs w:val="20"/>
          <w:lang w:val="es-PE"/>
        </w:rPr>
        <w:t xml:space="preserve"> este argumento es inadmisible por falta de agotamiento de la jurisdicción interna. </w:t>
      </w:r>
      <w:r w:rsidR="007D4430">
        <w:rPr>
          <w:rFonts w:asciiTheme="majorHAnsi" w:hAnsiTheme="majorHAnsi"/>
          <w:sz w:val="20"/>
          <w:szCs w:val="20"/>
          <w:lang w:val="es-PE"/>
        </w:rPr>
        <w:t>Señala</w:t>
      </w:r>
      <w:r w:rsidR="00345FD8" w:rsidRPr="00EB4A99">
        <w:rPr>
          <w:rFonts w:asciiTheme="majorHAnsi" w:hAnsiTheme="majorHAnsi"/>
          <w:sz w:val="20"/>
          <w:szCs w:val="20"/>
          <w:lang w:val="es-PE"/>
        </w:rPr>
        <w:t xml:space="preserve"> que la presunta víctima no denunció ante las autoridades competentes la supuesta discriminación por ser una persona adulta mayor, pese a haber tenido la oportunidad de hacerlo en su acción de amparo.</w:t>
      </w:r>
    </w:p>
    <w:p w14:paraId="6B83D144" w14:textId="5EA2E64A" w:rsidR="00EB4A99" w:rsidRPr="00EB4A99" w:rsidRDefault="00EB4A99" w:rsidP="00EB4A99">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720"/>
        <w:jc w:val="both"/>
        <w:rPr>
          <w:rFonts w:asciiTheme="majorHAnsi" w:hAnsiTheme="majorHAnsi"/>
          <w:i/>
          <w:iCs/>
          <w:sz w:val="20"/>
          <w:szCs w:val="20"/>
          <w:lang w:val="pt-BR"/>
        </w:rPr>
      </w:pPr>
      <w:bookmarkStart w:id="6" w:name="_Hlk172737272"/>
      <w:r w:rsidRPr="00033D7F">
        <w:rPr>
          <w:rFonts w:asciiTheme="majorHAnsi" w:hAnsiTheme="majorHAnsi"/>
          <w:i/>
          <w:iCs/>
          <w:sz w:val="20"/>
          <w:szCs w:val="20"/>
          <w:lang w:val="pt-BR"/>
        </w:rPr>
        <w:t>Sa</w:t>
      </w:r>
      <w:r w:rsidR="00C6420B">
        <w:rPr>
          <w:rFonts w:asciiTheme="majorHAnsi" w:hAnsiTheme="majorHAnsi"/>
          <w:i/>
          <w:iCs/>
          <w:sz w:val="20"/>
          <w:szCs w:val="20"/>
          <w:lang w:val="pt-BR"/>
        </w:rPr>
        <w:t>ú</w:t>
      </w:r>
      <w:r w:rsidRPr="00033D7F">
        <w:rPr>
          <w:rFonts w:asciiTheme="majorHAnsi" w:hAnsiTheme="majorHAnsi"/>
          <w:i/>
          <w:iCs/>
          <w:sz w:val="20"/>
          <w:szCs w:val="20"/>
          <w:lang w:val="pt-BR"/>
        </w:rPr>
        <w:t>l Saldaña Secos (P-1228-19)</w:t>
      </w:r>
    </w:p>
    <w:bookmarkEnd w:id="6"/>
    <w:p w14:paraId="0BF4B754" w14:textId="23FC4074" w:rsidR="00EB4A99" w:rsidRPr="0060334C" w:rsidRDefault="00345FD8" w:rsidP="0060334C">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lang w:val="es-PE"/>
        </w:rPr>
      </w:pPr>
      <w:r w:rsidRPr="00EB4A99">
        <w:rPr>
          <w:rFonts w:asciiTheme="majorHAnsi" w:hAnsiTheme="majorHAnsi"/>
          <w:sz w:val="20"/>
          <w:szCs w:val="20"/>
          <w:lang w:val="es-PE"/>
        </w:rPr>
        <w:t>El Estado refiere que la presunta víctima</w:t>
      </w:r>
      <w:r w:rsidR="0060334C">
        <w:rPr>
          <w:rFonts w:asciiTheme="majorHAnsi" w:hAnsiTheme="majorHAnsi"/>
          <w:sz w:val="20"/>
          <w:szCs w:val="20"/>
          <w:lang w:val="es-PE"/>
        </w:rPr>
        <w:t xml:space="preserve"> conoció que su cargo había sido declarado en transitoriedad</w:t>
      </w:r>
      <w:r w:rsidR="00D743F8">
        <w:rPr>
          <w:rFonts w:asciiTheme="majorHAnsi" w:hAnsiTheme="majorHAnsi"/>
          <w:sz w:val="20"/>
          <w:szCs w:val="20"/>
          <w:lang w:val="es-PE"/>
        </w:rPr>
        <w:t>;</w:t>
      </w:r>
      <w:r w:rsidR="0060334C">
        <w:rPr>
          <w:rFonts w:asciiTheme="majorHAnsi" w:hAnsiTheme="majorHAnsi"/>
          <w:sz w:val="20"/>
          <w:szCs w:val="20"/>
          <w:lang w:val="es-PE"/>
        </w:rPr>
        <w:t xml:space="preserve"> y</w:t>
      </w:r>
      <w:r w:rsidR="00D743F8">
        <w:rPr>
          <w:rFonts w:asciiTheme="majorHAnsi" w:hAnsiTheme="majorHAnsi"/>
          <w:sz w:val="20"/>
          <w:szCs w:val="20"/>
          <w:lang w:val="es-PE"/>
        </w:rPr>
        <w:t>, a</w:t>
      </w:r>
      <w:r w:rsidR="0060334C">
        <w:rPr>
          <w:rFonts w:asciiTheme="majorHAnsi" w:hAnsiTheme="majorHAnsi"/>
          <w:sz w:val="20"/>
          <w:szCs w:val="20"/>
          <w:lang w:val="es-PE"/>
        </w:rPr>
        <w:t xml:space="preserve"> pesar de ello, no interpuso recurso alguno</w:t>
      </w:r>
      <w:r w:rsidRPr="0060334C">
        <w:rPr>
          <w:rFonts w:asciiTheme="majorHAnsi" w:hAnsiTheme="majorHAnsi"/>
          <w:sz w:val="20"/>
          <w:szCs w:val="20"/>
          <w:lang w:val="es-PE"/>
        </w:rPr>
        <w:t xml:space="preserve">. Además, como </w:t>
      </w:r>
      <w:r w:rsidR="0060334C">
        <w:rPr>
          <w:rFonts w:asciiTheme="majorHAnsi" w:hAnsiTheme="majorHAnsi"/>
          <w:sz w:val="20"/>
          <w:szCs w:val="20"/>
          <w:lang w:val="es-PE"/>
        </w:rPr>
        <w:t xml:space="preserve">el resto de presuntas víctimas, </w:t>
      </w:r>
      <w:r w:rsidR="00DD6B9D">
        <w:rPr>
          <w:rFonts w:asciiTheme="majorHAnsi" w:hAnsiTheme="majorHAnsi"/>
          <w:sz w:val="20"/>
          <w:szCs w:val="20"/>
          <w:lang w:val="es-PE"/>
        </w:rPr>
        <w:t>habría tenido</w:t>
      </w:r>
      <w:r w:rsidRPr="0060334C">
        <w:rPr>
          <w:rFonts w:asciiTheme="majorHAnsi" w:hAnsiTheme="majorHAnsi"/>
          <w:sz w:val="20"/>
          <w:szCs w:val="20"/>
          <w:lang w:val="es-PE"/>
        </w:rPr>
        <w:t xml:space="preserve"> la posibilidad de participar en los procesos de selección y designación </w:t>
      </w:r>
      <w:r w:rsidR="0060334C">
        <w:rPr>
          <w:rFonts w:asciiTheme="majorHAnsi" w:hAnsiTheme="majorHAnsi"/>
          <w:sz w:val="20"/>
          <w:szCs w:val="20"/>
          <w:lang w:val="es-PE"/>
        </w:rPr>
        <w:t>gestionados por el</w:t>
      </w:r>
      <w:r w:rsidRPr="0060334C">
        <w:rPr>
          <w:rFonts w:asciiTheme="majorHAnsi" w:hAnsiTheme="majorHAnsi"/>
          <w:sz w:val="20"/>
          <w:szCs w:val="20"/>
          <w:lang w:val="es-PE"/>
        </w:rPr>
        <w:t xml:space="preserve"> Consejo de la Magistratura</w:t>
      </w:r>
      <w:r w:rsidR="00C51892" w:rsidRPr="0060334C">
        <w:rPr>
          <w:rFonts w:asciiTheme="majorHAnsi" w:hAnsiTheme="majorHAnsi"/>
          <w:sz w:val="20"/>
          <w:szCs w:val="20"/>
          <w:lang w:val="es-PE"/>
        </w:rPr>
        <w:t>,</w:t>
      </w:r>
      <w:r w:rsidRPr="0060334C">
        <w:rPr>
          <w:rFonts w:asciiTheme="majorHAnsi" w:hAnsiTheme="majorHAnsi"/>
          <w:sz w:val="20"/>
          <w:szCs w:val="20"/>
          <w:lang w:val="es-PE"/>
        </w:rPr>
        <w:t xml:space="preserve"> </w:t>
      </w:r>
      <w:r w:rsidR="0060334C">
        <w:rPr>
          <w:rFonts w:asciiTheme="majorHAnsi" w:hAnsiTheme="majorHAnsi"/>
          <w:sz w:val="20"/>
          <w:szCs w:val="20"/>
          <w:lang w:val="es-PE"/>
        </w:rPr>
        <w:t>pero no se presentó a ninguno</w:t>
      </w:r>
      <w:r w:rsidRPr="0060334C">
        <w:rPr>
          <w:rFonts w:asciiTheme="majorHAnsi" w:hAnsiTheme="majorHAnsi"/>
          <w:sz w:val="20"/>
          <w:szCs w:val="20"/>
          <w:lang w:val="es-PE"/>
        </w:rPr>
        <w:t xml:space="preserve">. </w:t>
      </w:r>
    </w:p>
    <w:p w14:paraId="49496F09" w14:textId="77777777" w:rsidR="00EB4A99" w:rsidRPr="00EB4A99" w:rsidRDefault="00EB4A99" w:rsidP="00EB4A99">
      <w:pPr>
        <w:pStyle w:val="ListParagraph"/>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sz w:val="20"/>
          <w:szCs w:val="20"/>
          <w:lang w:val="es-PE"/>
        </w:rPr>
      </w:pPr>
    </w:p>
    <w:p w14:paraId="7A35919A" w14:textId="1F4154F2" w:rsidR="00EB4A99" w:rsidRPr="00EB4A99" w:rsidRDefault="00D743F8">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sz w:val="20"/>
          <w:szCs w:val="20"/>
          <w:lang w:val="es-PE"/>
        </w:rPr>
      </w:pPr>
      <w:r>
        <w:rPr>
          <w:rFonts w:asciiTheme="majorHAnsi" w:hAnsiTheme="majorHAnsi"/>
          <w:sz w:val="20"/>
          <w:szCs w:val="20"/>
          <w:lang w:val="es-PE"/>
        </w:rPr>
        <w:t>Asimismo</w:t>
      </w:r>
      <w:r w:rsidR="00345FD8" w:rsidRPr="00EB4A99">
        <w:rPr>
          <w:rFonts w:asciiTheme="majorHAnsi" w:hAnsiTheme="majorHAnsi"/>
          <w:sz w:val="20"/>
          <w:szCs w:val="20"/>
          <w:lang w:val="es-PE"/>
        </w:rPr>
        <w:t xml:space="preserve">, </w:t>
      </w:r>
      <w:r w:rsidR="00172A6A" w:rsidRPr="00EB4A99">
        <w:rPr>
          <w:rFonts w:asciiTheme="majorHAnsi" w:hAnsiTheme="majorHAnsi"/>
          <w:sz w:val="20"/>
          <w:szCs w:val="20"/>
          <w:lang w:val="es-PE"/>
        </w:rPr>
        <w:t>respecto a</w:t>
      </w:r>
      <w:r w:rsidR="00345FD8" w:rsidRPr="00EB4A99">
        <w:rPr>
          <w:rFonts w:asciiTheme="majorHAnsi" w:hAnsiTheme="majorHAnsi"/>
          <w:sz w:val="20"/>
          <w:szCs w:val="20"/>
          <w:lang w:val="es-PE"/>
        </w:rPr>
        <w:t xml:space="preserve"> la presunta vulneración de la Convención Interamericana sobre la Protección de los Derechos Humanos de las Personas Mayores, Bolivia alega que este argumento es inadmisible por falta de agotamiento de la jurisdicción interna. Explica que la presunta víctima no denunció ante las autoridades competentes la supuesta discriminación por ser una persona adulta mayor, pese a haber tenido la oportunidad de hacerlo en su acción de amparo.</w:t>
      </w:r>
    </w:p>
    <w:p w14:paraId="741FC6EA" w14:textId="388C5789" w:rsidR="00EB4A99" w:rsidRPr="00EB4A99" w:rsidRDefault="00EB4A99" w:rsidP="00EB4A99">
      <w:pPr>
        <w:pStyle w:val="ListParagraph"/>
        <w:spacing w:before="240" w:after="240"/>
        <w:jc w:val="both"/>
        <w:rPr>
          <w:rFonts w:asciiTheme="majorHAnsi" w:hAnsiTheme="majorHAnsi"/>
          <w:i/>
          <w:iCs/>
          <w:sz w:val="20"/>
          <w:szCs w:val="20"/>
          <w:lang w:val="pt-BR"/>
        </w:rPr>
      </w:pPr>
      <w:r w:rsidRPr="00033D7F">
        <w:rPr>
          <w:rFonts w:asciiTheme="majorHAnsi" w:hAnsiTheme="majorHAnsi"/>
          <w:i/>
          <w:iCs/>
          <w:sz w:val="20"/>
          <w:szCs w:val="20"/>
          <w:lang w:val="pt-BR"/>
        </w:rPr>
        <w:t>V</w:t>
      </w:r>
      <w:r w:rsidR="00303491">
        <w:rPr>
          <w:rFonts w:asciiTheme="majorHAnsi" w:hAnsiTheme="majorHAnsi"/>
          <w:i/>
          <w:iCs/>
          <w:sz w:val="20"/>
          <w:szCs w:val="20"/>
          <w:lang w:val="pt-BR"/>
        </w:rPr>
        <w:t>í</w:t>
      </w:r>
      <w:r w:rsidRPr="00033D7F">
        <w:rPr>
          <w:rFonts w:asciiTheme="majorHAnsi" w:hAnsiTheme="majorHAnsi"/>
          <w:i/>
          <w:iCs/>
          <w:sz w:val="20"/>
          <w:szCs w:val="20"/>
          <w:lang w:val="pt-BR"/>
        </w:rPr>
        <w:t>ctor Hugo Rojas S</w:t>
      </w:r>
      <w:r w:rsidR="00303491">
        <w:rPr>
          <w:rFonts w:asciiTheme="majorHAnsi" w:hAnsiTheme="majorHAnsi"/>
          <w:i/>
          <w:iCs/>
          <w:sz w:val="20"/>
          <w:szCs w:val="20"/>
          <w:lang w:val="pt-BR"/>
        </w:rPr>
        <w:t>á</w:t>
      </w:r>
      <w:r w:rsidRPr="00033D7F">
        <w:rPr>
          <w:rFonts w:asciiTheme="majorHAnsi" w:hAnsiTheme="majorHAnsi"/>
          <w:i/>
          <w:iCs/>
          <w:sz w:val="20"/>
          <w:szCs w:val="20"/>
          <w:lang w:val="pt-BR"/>
        </w:rPr>
        <w:t>nchez (P-1278-19)</w:t>
      </w:r>
    </w:p>
    <w:p w14:paraId="51331948" w14:textId="32BEB2EA" w:rsidR="00EB4A99" w:rsidRPr="00EB4A99" w:rsidRDefault="00303491" w:rsidP="00141288">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sz w:val="20"/>
          <w:szCs w:val="20"/>
          <w:lang w:val="es-PE"/>
        </w:rPr>
      </w:pPr>
      <w:r>
        <w:rPr>
          <w:rFonts w:asciiTheme="majorHAnsi" w:hAnsiTheme="majorHAnsi"/>
          <w:sz w:val="20"/>
          <w:szCs w:val="20"/>
          <w:lang w:val="es-PE"/>
        </w:rPr>
        <w:t>Bolivia cuestiona</w:t>
      </w:r>
      <w:r w:rsidR="00EB6702" w:rsidRPr="00EB4A99">
        <w:rPr>
          <w:rFonts w:asciiTheme="majorHAnsi" w:hAnsiTheme="majorHAnsi"/>
          <w:sz w:val="20"/>
          <w:szCs w:val="20"/>
          <w:lang w:val="es-PE"/>
        </w:rPr>
        <w:t xml:space="preserve"> que </w:t>
      </w:r>
      <w:r w:rsidR="00D72365" w:rsidRPr="00EB4A99">
        <w:rPr>
          <w:rFonts w:asciiTheme="majorHAnsi" w:hAnsiTheme="majorHAnsi"/>
          <w:sz w:val="20"/>
          <w:szCs w:val="20"/>
          <w:lang w:val="es-PE"/>
        </w:rPr>
        <w:t xml:space="preserve">el señor Rojas </w:t>
      </w:r>
      <w:r w:rsidR="00DD3E2D">
        <w:rPr>
          <w:rFonts w:asciiTheme="majorHAnsi" w:hAnsiTheme="majorHAnsi"/>
          <w:sz w:val="20"/>
          <w:szCs w:val="20"/>
          <w:lang w:val="es-PE"/>
        </w:rPr>
        <w:t xml:space="preserve">Sánchez </w:t>
      </w:r>
      <w:r w:rsidR="00D72365" w:rsidRPr="00EB4A99">
        <w:rPr>
          <w:rFonts w:asciiTheme="majorHAnsi" w:hAnsiTheme="majorHAnsi"/>
          <w:sz w:val="20"/>
          <w:szCs w:val="20"/>
          <w:lang w:val="es-PE"/>
        </w:rPr>
        <w:t>no se presentó a ninguna convocatoria emitida por el Consejo de la Magistratura</w:t>
      </w:r>
      <w:r w:rsidR="00856755" w:rsidRPr="00EB4A99">
        <w:rPr>
          <w:rFonts w:asciiTheme="majorHAnsi" w:hAnsiTheme="majorHAnsi"/>
          <w:sz w:val="20"/>
          <w:szCs w:val="20"/>
          <w:lang w:val="es-PE"/>
        </w:rPr>
        <w:t xml:space="preserve">, </w:t>
      </w:r>
      <w:r w:rsidR="00D72365" w:rsidRPr="00EB4A99">
        <w:rPr>
          <w:rFonts w:asciiTheme="majorHAnsi" w:hAnsiTheme="majorHAnsi"/>
          <w:sz w:val="20"/>
          <w:szCs w:val="20"/>
          <w:lang w:val="es-PE"/>
        </w:rPr>
        <w:t xml:space="preserve">ni </w:t>
      </w:r>
      <w:r w:rsidR="00172A6A" w:rsidRPr="00EB4A99">
        <w:rPr>
          <w:rFonts w:asciiTheme="majorHAnsi" w:hAnsiTheme="majorHAnsi"/>
          <w:sz w:val="20"/>
          <w:szCs w:val="20"/>
          <w:lang w:val="es-PE"/>
        </w:rPr>
        <w:t>se postuló</w:t>
      </w:r>
      <w:r w:rsidR="00D72365" w:rsidRPr="00EB4A99">
        <w:rPr>
          <w:rFonts w:asciiTheme="majorHAnsi" w:hAnsiTheme="majorHAnsi"/>
          <w:sz w:val="20"/>
          <w:szCs w:val="20"/>
          <w:lang w:val="es-PE"/>
        </w:rPr>
        <w:t xml:space="preserve"> a curso </w:t>
      </w:r>
      <w:r w:rsidR="00EF7082">
        <w:rPr>
          <w:rFonts w:asciiTheme="majorHAnsi" w:hAnsiTheme="majorHAnsi"/>
          <w:sz w:val="20"/>
          <w:szCs w:val="20"/>
          <w:lang w:val="es-PE"/>
        </w:rPr>
        <w:t xml:space="preserve">alguno </w:t>
      </w:r>
      <w:r w:rsidR="00D72365" w:rsidRPr="00EB4A99">
        <w:rPr>
          <w:rFonts w:asciiTheme="majorHAnsi" w:hAnsiTheme="majorHAnsi"/>
          <w:sz w:val="20"/>
          <w:szCs w:val="20"/>
          <w:lang w:val="es-PE"/>
        </w:rPr>
        <w:t xml:space="preserve">para ingresar a la carrera judicial. Indica que esta </w:t>
      </w:r>
      <w:r w:rsidR="00172A6A" w:rsidRPr="00EB4A99">
        <w:rPr>
          <w:rFonts w:asciiTheme="majorHAnsi" w:hAnsiTheme="majorHAnsi"/>
          <w:sz w:val="20"/>
          <w:szCs w:val="20"/>
          <w:lang w:val="es-PE"/>
        </w:rPr>
        <w:t>falta</w:t>
      </w:r>
      <w:r w:rsidR="00D72365" w:rsidRPr="00EB4A99">
        <w:rPr>
          <w:rFonts w:asciiTheme="majorHAnsi" w:hAnsiTheme="majorHAnsi"/>
          <w:sz w:val="20"/>
          <w:szCs w:val="20"/>
          <w:lang w:val="es-PE"/>
        </w:rPr>
        <w:t xml:space="preserve"> de participación </w:t>
      </w:r>
      <w:r w:rsidR="00172A6A" w:rsidRPr="00EB4A99">
        <w:rPr>
          <w:rFonts w:asciiTheme="majorHAnsi" w:hAnsiTheme="majorHAnsi"/>
          <w:sz w:val="20"/>
          <w:szCs w:val="20"/>
          <w:lang w:val="es-PE"/>
        </w:rPr>
        <w:t xml:space="preserve">podría estar relacionada </w:t>
      </w:r>
      <w:r w:rsidR="00D72365" w:rsidRPr="00EB4A99">
        <w:rPr>
          <w:rFonts w:asciiTheme="majorHAnsi" w:hAnsiTheme="majorHAnsi"/>
          <w:sz w:val="20"/>
          <w:szCs w:val="20"/>
          <w:lang w:val="es-PE"/>
        </w:rPr>
        <w:t>con</w:t>
      </w:r>
      <w:r w:rsidR="00EB6702" w:rsidRPr="00EB4A99">
        <w:rPr>
          <w:rFonts w:asciiTheme="majorHAnsi" w:hAnsiTheme="majorHAnsi"/>
          <w:sz w:val="20"/>
          <w:szCs w:val="20"/>
          <w:lang w:val="es-PE"/>
        </w:rPr>
        <w:t xml:space="preserve"> </w:t>
      </w:r>
      <w:r w:rsidR="00141288">
        <w:rPr>
          <w:rFonts w:asciiTheme="majorHAnsi" w:hAnsiTheme="majorHAnsi"/>
          <w:sz w:val="20"/>
          <w:szCs w:val="20"/>
          <w:lang w:val="es-PE"/>
        </w:rPr>
        <w:t>sus</w:t>
      </w:r>
      <w:r w:rsidR="00172A6A" w:rsidRPr="00EB4A99">
        <w:rPr>
          <w:rFonts w:asciiTheme="majorHAnsi" w:hAnsiTheme="majorHAnsi"/>
          <w:sz w:val="20"/>
          <w:szCs w:val="20"/>
          <w:lang w:val="es-PE"/>
        </w:rPr>
        <w:t xml:space="preserve"> </w:t>
      </w:r>
      <w:r w:rsidR="00D72365" w:rsidRPr="00EB4A99">
        <w:rPr>
          <w:rFonts w:asciiTheme="majorHAnsi" w:hAnsiTheme="majorHAnsi"/>
          <w:sz w:val="20"/>
          <w:szCs w:val="20"/>
          <w:lang w:val="es-PE"/>
        </w:rPr>
        <w:t>antecedentes</w:t>
      </w:r>
      <w:r w:rsidR="00EB6702" w:rsidRPr="00EB4A99">
        <w:rPr>
          <w:rFonts w:asciiTheme="majorHAnsi" w:hAnsiTheme="majorHAnsi"/>
          <w:sz w:val="20"/>
          <w:szCs w:val="20"/>
          <w:lang w:val="es-PE"/>
        </w:rPr>
        <w:t xml:space="preserve"> penales, </w:t>
      </w:r>
      <w:r w:rsidR="00172A6A" w:rsidRPr="00EB4A99">
        <w:rPr>
          <w:rFonts w:asciiTheme="majorHAnsi" w:hAnsiTheme="majorHAnsi"/>
          <w:sz w:val="20"/>
          <w:szCs w:val="20"/>
          <w:lang w:val="es-PE"/>
        </w:rPr>
        <w:t>específicamente</w:t>
      </w:r>
      <w:r w:rsidR="00EB6702" w:rsidRPr="00EB4A99">
        <w:rPr>
          <w:rFonts w:asciiTheme="majorHAnsi" w:hAnsiTheme="majorHAnsi"/>
          <w:sz w:val="20"/>
          <w:szCs w:val="20"/>
          <w:lang w:val="es-PE"/>
        </w:rPr>
        <w:t xml:space="preserve"> </w:t>
      </w:r>
      <w:r w:rsidR="00172A6A" w:rsidRPr="00EB4A99">
        <w:rPr>
          <w:rFonts w:asciiTheme="majorHAnsi" w:hAnsiTheme="majorHAnsi"/>
          <w:sz w:val="20"/>
          <w:szCs w:val="20"/>
          <w:lang w:val="es-PE"/>
        </w:rPr>
        <w:t>en relación con</w:t>
      </w:r>
      <w:r w:rsidR="00EB6702" w:rsidRPr="00EB4A99">
        <w:rPr>
          <w:rFonts w:asciiTheme="majorHAnsi" w:hAnsiTheme="majorHAnsi"/>
          <w:sz w:val="20"/>
          <w:szCs w:val="20"/>
          <w:lang w:val="es-PE"/>
        </w:rPr>
        <w:t xml:space="preserve"> la </w:t>
      </w:r>
      <w:r w:rsidR="00B54981">
        <w:rPr>
          <w:rFonts w:asciiTheme="majorHAnsi" w:hAnsiTheme="majorHAnsi"/>
          <w:sz w:val="20"/>
          <w:szCs w:val="20"/>
          <w:lang w:val="es-PE"/>
        </w:rPr>
        <w:t>c</w:t>
      </w:r>
      <w:r w:rsidR="00D72365" w:rsidRPr="00EB4A99">
        <w:rPr>
          <w:rFonts w:asciiTheme="majorHAnsi" w:hAnsiTheme="majorHAnsi"/>
          <w:sz w:val="20"/>
          <w:szCs w:val="20"/>
          <w:lang w:val="es-PE"/>
        </w:rPr>
        <w:t>ausa</w:t>
      </w:r>
      <w:r w:rsidR="00EB6702" w:rsidRPr="00EB4A99">
        <w:rPr>
          <w:rFonts w:asciiTheme="majorHAnsi" w:hAnsiTheme="majorHAnsi"/>
          <w:sz w:val="20"/>
          <w:szCs w:val="20"/>
          <w:lang w:val="es-PE"/>
        </w:rPr>
        <w:t xml:space="preserve"> 46/17 que sigue el Ministerio Público </w:t>
      </w:r>
      <w:r w:rsidR="00141288">
        <w:rPr>
          <w:rFonts w:asciiTheme="majorHAnsi" w:hAnsiTheme="majorHAnsi"/>
          <w:sz w:val="20"/>
          <w:szCs w:val="20"/>
          <w:lang w:val="es-PE"/>
        </w:rPr>
        <w:t xml:space="preserve">en su contra </w:t>
      </w:r>
      <w:r w:rsidR="00EB6702" w:rsidRPr="00EB4A99">
        <w:rPr>
          <w:rFonts w:asciiTheme="majorHAnsi" w:hAnsiTheme="majorHAnsi"/>
          <w:sz w:val="20"/>
          <w:szCs w:val="20"/>
          <w:lang w:val="es-PE"/>
        </w:rPr>
        <w:t xml:space="preserve">por el delito de </w:t>
      </w:r>
      <w:r w:rsidR="00EF7082">
        <w:rPr>
          <w:rFonts w:asciiTheme="majorHAnsi" w:hAnsiTheme="majorHAnsi"/>
          <w:sz w:val="20"/>
          <w:szCs w:val="20"/>
          <w:lang w:val="es-PE"/>
        </w:rPr>
        <w:t>r</w:t>
      </w:r>
      <w:r w:rsidR="00EB6702" w:rsidRPr="00EB4A99">
        <w:rPr>
          <w:rFonts w:asciiTheme="majorHAnsi" w:hAnsiTheme="majorHAnsi"/>
          <w:sz w:val="20"/>
          <w:szCs w:val="20"/>
          <w:lang w:val="es-PE"/>
        </w:rPr>
        <w:t xml:space="preserve">esolución contraria a la </w:t>
      </w:r>
      <w:r w:rsidR="00D84521">
        <w:rPr>
          <w:rFonts w:asciiTheme="majorHAnsi" w:hAnsiTheme="majorHAnsi"/>
          <w:sz w:val="20"/>
          <w:szCs w:val="20"/>
          <w:lang w:val="es-PE"/>
        </w:rPr>
        <w:t>C</w:t>
      </w:r>
      <w:r w:rsidR="00EB6702" w:rsidRPr="00EB4A99">
        <w:rPr>
          <w:rFonts w:asciiTheme="majorHAnsi" w:hAnsiTheme="majorHAnsi"/>
          <w:sz w:val="20"/>
          <w:szCs w:val="20"/>
          <w:lang w:val="es-PE"/>
        </w:rPr>
        <w:t xml:space="preserve">onstitución y a las </w:t>
      </w:r>
      <w:r w:rsidR="00D84521">
        <w:rPr>
          <w:rFonts w:asciiTheme="majorHAnsi" w:hAnsiTheme="majorHAnsi"/>
          <w:sz w:val="20"/>
          <w:szCs w:val="20"/>
          <w:lang w:val="es-PE"/>
        </w:rPr>
        <w:t>l</w:t>
      </w:r>
      <w:r w:rsidR="00EB6702" w:rsidRPr="00EB4A99">
        <w:rPr>
          <w:rFonts w:asciiTheme="majorHAnsi" w:hAnsiTheme="majorHAnsi"/>
          <w:sz w:val="20"/>
          <w:szCs w:val="20"/>
          <w:lang w:val="es-PE"/>
        </w:rPr>
        <w:t>eyes</w:t>
      </w:r>
      <w:r w:rsidR="00141288">
        <w:rPr>
          <w:rFonts w:asciiTheme="majorHAnsi" w:hAnsiTheme="majorHAnsi"/>
          <w:sz w:val="20"/>
          <w:szCs w:val="20"/>
          <w:lang w:val="es-PE"/>
        </w:rPr>
        <w:t xml:space="preserve">, el cual desde el 2018 se encuentra suspendido debido a que la presunta víctima fue declarada en rebeldía. </w:t>
      </w:r>
    </w:p>
    <w:p w14:paraId="16D99CF3" w14:textId="77777777" w:rsidR="00EB4A99" w:rsidRPr="00EB4A99" w:rsidRDefault="00EB4A99" w:rsidP="00EB4A99">
      <w:pPr>
        <w:pStyle w:val="ListParagraph"/>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sz w:val="20"/>
          <w:szCs w:val="20"/>
          <w:lang w:val="es-PE"/>
        </w:rPr>
      </w:pPr>
    </w:p>
    <w:p w14:paraId="5F8DF739" w14:textId="0536345F" w:rsidR="00EB4A99" w:rsidRPr="00EB4A99" w:rsidRDefault="00D72365">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sz w:val="20"/>
          <w:szCs w:val="20"/>
          <w:lang w:val="es-PE"/>
        </w:rPr>
      </w:pPr>
      <w:r w:rsidRPr="00EB4A99">
        <w:rPr>
          <w:rFonts w:asciiTheme="majorHAnsi" w:hAnsiTheme="majorHAnsi"/>
          <w:sz w:val="20"/>
          <w:szCs w:val="20"/>
          <w:lang w:val="es-PE"/>
        </w:rPr>
        <w:t xml:space="preserve">En ese sentido, </w:t>
      </w:r>
      <w:r w:rsidR="00F75BE8">
        <w:rPr>
          <w:rFonts w:asciiTheme="majorHAnsi" w:hAnsiTheme="majorHAnsi"/>
          <w:sz w:val="20"/>
          <w:szCs w:val="20"/>
          <w:lang w:val="es-PE"/>
        </w:rPr>
        <w:t>el Estado</w:t>
      </w:r>
      <w:r w:rsidRPr="00EB4A99">
        <w:rPr>
          <w:rFonts w:asciiTheme="majorHAnsi" w:hAnsiTheme="majorHAnsi"/>
          <w:sz w:val="20"/>
          <w:szCs w:val="20"/>
          <w:lang w:val="es-PE"/>
        </w:rPr>
        <w:t xml:space="preserve"> </w:t>
      </w:r>
      <w:r w:rsidR="00F75BE8">
        <w:rPr>
          <w:rFonts w:asciiTheme="majorHAnsi" w:hAnsiTheme="majorHAnsi"/>
          <w:sz w:val="20"/>
          <w:szCs w:val="20"/>
          <w:lang w:val="es-PE"/>
        </w:rPr>
        <w:t>plantea</w:t>
      </w:r>
      <w:r w:rsidRPr="00EB4A99">
        <w:rPr>
          <w:rFonts w:asciiTheme="majorHAnsi" w:hAnsiTheme="majorHAnsi"/>
          <w:sz w:val="20"/>
          <w:szCs w:val="20"/>
          <w:lang w:val="es-PE"/>
        </w:rPr>
        <w:t xml:space="preserve"> que la presunta </w:t>
      </w:r>
      <w:r w:rsidR="00F75BE8">
        <w:rPr>
          <w:rFonts w:asciiTheme="majorHAnsi" w:hAnsiTheme="majorHAnsi"/>
          <w:sz w:val="20"/>
          <w:szCs w:val="20"/>
          <w:lang w:val="es-PE"/>
        </w:rPr>
        <w:t>víctima,</w:t>
      </w:r>
      <w:r w:rsidR="00D84521">
        <w:rPr>
          <w:rFonts w:asciiTheme="majorHAnsi" w:hAnsiTheme="majorHAnsi"/>
          <w:sz w:val="20"/>
          <w:szCs w:val="20"/>
          <w:lang w:val="es-PE"/>
        </w:rPr>
        <w:t xml:space="preserve"> </w:t>
      </w:r>
      <w:r w:rsidRPr="00EB4A99">
        <w:rPr>
          <w:rFonts w:asciiTheme="majorHAnsi" w:hAnsiTheme="majorHAnsi"/>
          <w:sz w:val="20"/>
          <w:szCs w:val="20"/>
          <w:lang w:val="es-PE"/>
        </w:rPr>
        <w:t xml:space="preserve">al tener antecedentes disciplinarios y </w:t>
      </w:r>
      <w:r w:rsidR="00172A6A" w:rsidRPr="00EB4A99">
        <w:rPr>
          <w:rFonts w:asciiTheme="majorHAnsi" w:hAnsiTheme="majorHAnsi"/>
          <w:sz w:val="20"/>
          <w:szCs w:val="20"/>
          <w:lang w:val="es-PE"/>
        </w:rPr>
        <w:t>estar</w:t>
      </w:r>
      <w:r w:rsidRPr="00EB4A99">
        <w:rPr>
          <w:rFonts w:asciiTheme="majorHAnsi" w:hAnsiTheme="majorHAnsi"/>
          <w:sz w:val="20"/>
          <w:szCs w:val="20"/>
          <w:lang w:val="es-PE"/>
        </w:rPr>
        <w:t xml:space="preserve"> declarado e</w:t>
      </w:r>
      <w:r w:rsidR="00361AEB" w:rsidRPr="00EB4A99">
        <w:rPr>
          <w:rFonts w:asciiTheme="majorHAnsi" w:hAnsiTheme="majorHAnsi"/>
          <w:sz w:val="20"/>
          <w:szCs w:val="20"/>
          <w:lang w:val="es-PE"/>
        </w:rPr>
        <w:t>n</w:t>
      </w:r>
      <w:r w:rsidRPr="00EB4A99">
        <w:rPr>
          <w:rFonts w:asciiTheme="majorHAnsi" w:hAnsiTheme="majorHAnsi"/>
          <w:sz w:val="20"/>
          <w:szCs w:val="20"/>
          <w:lang w:val="es-PE"/>
        </w:rPr>
        <w:t xml:space="preserve"> rebeldía, </w:t>
      </w:r>
      <w:r w:rsidR="00172A6A" w:rsidRPr="00EB4A99">
        <w:rPr>
          <w:rFonts w:asciiTheme="majorHAnsi" w:hAnsiTheme="majorHAnsi"/>
          <w:sz w:val="20"/>
          <w:szCs w:val="20"/>
          <w:lang w:val="es-PE"/>
        </w:rPr>
        <w:t xml:space="preserve">busca </w:t>
      </w:r>
      <w:r w:rsidRPr="00EB4A99">
        <w:rPr>
          <w:rFonts w:asciiTheme="majorHAnsi" w:hAnsiTheme="majorHAnsi"/>
          <w:sz w:val="20"/>
          <w:szCs w:val="20"/>
          <w:lang w:val="es-PE"/>
        </w:rPr>
        <w:t>que la CIDH</w:t>
      </w:r>
      <w:r w:rsidR="00B54981">
        <w:rPr>
          <w:rFonts w:asciiTheme="majorHAnsi" w:hAnsiTheme="majorHAnsi"/>
          <w:sz w:val="20"/>
          <w:szCs w:val="20"/>
          <w:lang w:val="es-PE"/>
        </w:rPr>
        <w:t xml:space="preserve"> omita su posible responsabilidad penal y</w:t>
      </w:r>
      <w:r w:rsidRPr="00EB4A99">
        <w:rPr>
          <w:rFonts w:asciiTheme="majorHAnsi" w:hAnsiTheme="majorHAnsi"/>
          <w:sz w:val="20"/>
          <w:szCs w:val="20"/>
          <w:lang w:val="es-PE"/>
        </w:rPr>
        <w:t xml:space="preserve"> actúe como un tribunal de alzada para pronunciarse sobre su caso, </w:t>
      </w:r>
      <w:r w:rsidR="00172A6A" w:rsidRPr="00EB4A99">
        <w:rPr>
          <w:rFonts w:asciiTheme="majorHAnsi" w:hAnsiTheme="majorHAnsi"/>
          <w:sz w:val="20"/>
          <w:szCs w:val="20"/>
          <w:lang w:val="es-PE"/>
        </w:rPr>
        <w:t xml:space="preserve">lo </w:t>
      </w:r>
      <w:r w:rsidR="00D84521">
        <w:rPr>
          <w:rFonts w:asciiTheme="majorHAnsi" w:hAnsiTheme="majorHAnsi"/>
          <w:sz w:val="20"/>
          <w:szCs w:val="20"/>
          <w:lang w:val="es-PE"/>
        </w:rPr>
        <w:t>que</w:t>
      </w:r>
      <w:r w:rsidR="00D84521" w:rsidRPr="00EB4A99">
        <w:rPr>
          <w:rFonts w:asciiTheme="majorHAnsi" w:hAnsiTheme="majorHAnsi"/>
          <w:sz w:val="20"/>
          <w:szCs w:val="20"/>
          <w:lang w:val="es-PE"/>
        </w:rPr>
        <w:t xml:space="preserve"> </w:t>
      </w:r>
      <w:r w:rsidRPr="00EB4A99">
        <w:rPr>
          <w:rFonts w:asciiTheme="majorHAnsi" w:hAnsiTheme="majorHAnsi"/>
          <w:sz w:val="20"/>
          <w:szCs w:val="20"/>
          <w:lang w:val="es-PE"/>
        </w:rPr>
        <w:t>contradic</w:t>
      </w:r>
      <w:r w:rsidR="00172A6A" w:rsidRPr="00EB4A99">
        <w:rPr>
          <w:rFonts w:asciiTheme="majorHAnsi" w:hAnsiTheme="majorHAnsi"/>
          <w:sz w:val="20"/>
          <w:szCs w:val="20"/>
          <w:lang w:val="es-PE"/>
        </w:rPr>
        <w:t>e</w:t>
      </w:r>
      <w:r w:rsidRPr="00EB4A99">
        <w:rPr>
          <w:rFonts w:asciiTheme="majorHAnsi" w:hAnsiTheme="majorHAnsi"/>
          <w:sz w:val="20"/>
          <w:szCs w:val="20"/>
          <w:lang w:val="es-PE"/>
        </w:rPr>
        <w:t xml:space="preserve"> el principio de subsidiariedad.</w:t>
      </w:r>
    </w:p>
    <w:p w14:paraId="410F0750" w14:textId="0E570828" w:rsidR="00EB4A99" w:rsidRPr="00EB4A99" w:rsidRDefault="00EB4A99" w:rsidP="00EB4A99">
      <w:pPr>
        <w:pStyle w:val="ListParagraph"/>
        <w:spacing w:before="240" w:after="240"/>
        <w:jc w:val="both"/>
        <w:rPr>
          <w:rFonts w:asciiTheme="majorHAnsi" w:hAnsiTheme="majorHAnsi"/>
          <w:i/>
          <w:iCs/>
          <w:sz w:val="20"/>
          <w:szCs w:val="20"/>
          <w:lang w:val="pt-BR"/>
        </w:rPr>
      </w:pPr>
      <w:bookmarkStart w:id="7" w:name="_Hlk172737330"/>
      <w:r w:rsidRPr="00033D7F">
        <w:rPr>
          <w:rFonts w:asciiTheme="majorHAnsi" w:hAnsiTheme="majorHAnsi"/>
          <w:i/>
          <w:iCs/>
          <w:sz w:val="20"/>
          <w:szCs w:val="20"/>
          <w:lang w:val="pt-BR"/>
        </w:rPr>
        <w:t>Nivel Nogales Guzm</w:t>
      </w:r>
      <w:r w:rsidR="00DD5677">
        <w:rPr>
          <w:rFonts w:asciiTheme="majorHAnsi" w:hAnsiTheme="majorHAnsi"/>
          <w:i/>
          <w:iCs/>
          <w:sz w:val="20"/>
          <w:szCs w:val="20"/>
          <w:lang w:val="pt-BR"/>
        </w:rPr>
        <w:t>á</w:t>
      </w:r>
      <w:r w:rsidRPr="00033D7F">
        <w:rPr>
          <w:rFonts w:asciiTheme="majorHAnsi" w:hAnsiTheme="majorHAnsi"/>
          <w:i/>
          <w:iCs/>
          <w:sz w:val="20"/>
          <w:szCs w:val="20"/>
          <w:lang w:val="pt-BR"/>
        </w:rPr>
        <w:t>n (P-1279-19)</w:t>
      </w:r>
    </w:p>
    <w:bookmarkEnd w:id="7"/>
    <w:p w14:paraId="038C5E43" w14:textId="2426B05D" w:rsidR="005015FA" w:rsidRPr="005015FA" w:rsidRDefault="009300A4">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sz w:val="20"/>
          <w:szCs w:val="20"/>
          <w:lang w:val="es-PE"/>
        </w:rPr>
      </w:pPr>
      <w:r w:rsidRPr="00EB4A99">
        <w:rPr>
          <w:rFonts w:asciiTheme="majorHAnsi" w:hAnsiTheme="majorHAnsi"/>
          <w:sz w:val="20"/>
          <w:szCs w:val="20"/>
          <w:lang w:val="es-PE"/>
        </w:rPr>
        <w:t>El Estado</w:t>
      </w:r>
      <w:r w:rsidR="00A94353" w:rsidRPr="00EB4A99">
        <w:rPr>
          <w:rFonts w:asciiTheme="majorHAnsi" w:hAnsiTheme="majorHAnsi"/>
          <w:sz w:val="20"/>
          <w:szCs w:val="20"/>
          <w:lang w:val="es-PE"/>
        </w:rPr>
        <w:t xml:space="preserve"> afirma</w:t>
      </w:r>
      <w:r w:rsidRPr="00EB4A99">
        <w:rPr>
          <w:rFonts w:asciiTheme="majorHAnsi" w:hAnsiTheme="majorHAnsi"/>
          <w:sz w:val="20"/>
          <w:szCs w:val="20"/>
          <w:lang w:val="es-PE"/>
        </w:rPr>
        <w:t xml:space="preserve"> que</w:t>
      </w:r>
      <w:r w:rsidR="00A94353" w:rsidRPr="00EB4A99">
        <w:rPr>
          <w:rFonts w:asciiTheme="majorHAnsi" w:hAnsiTheme="majorHAnsi"/>
          <w:sz w:val="20"/>
          <w:szCs w:val="20"/>
          <w:lang w:val="es-PE"/>
        </w:rPr>
        <w:t xml:space="preserve"> en 2016</w:t>
      </w:r>
      <w:r w:rsidRPr="00EB4A99">
        <w:rPr>
          <w:rFonts w:asciiTheme="majorHAnsi" w:hAnsiTheme="majorHAnsi"/>
          <w:sz w:val="20"/>
          <w:szCs w:val="20"/>
          <w:lang w:val="es-PE"/>
        </w:rPr>
        <w:t xml:space="preserve"> </w:t>
      </w:r>
      <w:r w:rsidR="00A94353" w:rsidRPr="00EB4A99">
        <w:rPr>
          <w:rFonts w:asciiTheme="majorHAnsi" w:hAnsiTheme="majorHAnsi"/>
          <w:sz w:val="20"/>
          <w:szCs w:val="20"/>
          <w:lang w:val="es-PE"/>
        </w:rPr>
        <w:t xml:space="preserve">el Consejo de la Magistratura notificó a la presunta víctima sobre el carácter transitorio de su cargo en el marco de la reforma del sistema de justicia. En ese sentido, </w:t>
      </w:r>
      <w:r w:rsidR="005A3180" w:rsidRPr="00EB4A99">
        <w:rPr>
          <w:rFonts w:asciiTheme="majorHAnsi" w:hAnsiTheme="majorHAnsi"/>
          <w:sz w:val="20"/>
          <w:szCs w:val="20"/>
          <w:lang w:val="es-PE"/>
        </w:rPr>
        <w:t xml:space="preserve">este </w:t>
      </w:r>
      <w:r w:rsidR="00A94353" w:rsidRPr="00EB4A99">
        <w:rPr>
          <w:rFonts w:asciiTheme="majorHAnsi" w:hAnsiTheme="majorHAnsi"/>
          <w:sz w:val="20"/>
          <w:szCs w:val="20"/>
          <w:lang w:val="es-PE"/>
        </w:rPr>
        <w:t>tenía pleno conocimiento de que debía desempeñar sus funciones hasta la designación de nuevas autoridades, aspecto que no cuestionó en su momento.</w:t>
      </w:r>
      <w:r w:rsidR="00876B92" w:rsidRPr="00EB4A99">
        <w:rPr>
          <w:rFonts w:asciiTheme="majorHAnsi" w:hAnsiTheme="majorHAnsi"/>
          <w:sz w:val="20"/>
          <w:szCs w:val="20"/>
          <w:lang w:val="es-PE"/>
        </w:rPr>
        <w:t xml:space="preserve"> </w:t>
      </w:r>
      <w:r w:rsidR="00172A6A" w:rsidRPr="00EB4A99">
        <w:rPr>
          <w:rFonts w:asciiTheme="majorHAnsi" w:hAnsiTheme="majorHAnsi"/>
          <w:sz w:val="20"/>
          <w:szCs w:val="20"/>
          <w:lang w:val="es-PE"/>
        </w:rPr>
        <w:t xml:space="preserve">Además, señala </w:t>
      </w:r>
      <w:r w:rsidR="00876B92" w:rsidRPr="00EB4A99">
        <w:rPr>
          <w:rFonts w:asciiTheme="majorHAnsi" w:hAnsiTheme="majorHAnsi"/>
          <w:sz w:val="20"/>
          <w:szCs w:val="20"/>
          <w:lang w:val="es-PE"/>
        </w:rPr>
        <w:t>que</w:t>
      </w:r>
      <w:r w:rsidRPr="00EB4A99">
        <w:rPr>
          <w:rFonts w:asciiTheme="majorHAnsi" w:hAnsiTheme="majorHAnsi"/>
          <w:sz w:val="20"/>
          <w:szCs w:val="20"/>
          <w:lang w:val="es-PE"/>
        </w:rPr>
        <w:t xml:space="preserve"> </w:t>
      </w:r>
      <w:r w:rsidR="00791025" w:rsidRPr="00EB4A99">
        <w:rPr>
          <w:rFonts w:asciiTheme="majorHAnsi" w:hAnsiTheme="majorHAnsi"/>
          <w:sz w:val="20"/>
          <w:szCs w:val="20"/>
          <w:lang w:val="es-PE"/>
        </w:rPr>
        <w:t xml:space="preserve">el señor Nogales </w:t>
      </w:r>
      <w:r w:rsidR="005A2952">
        <w:rPr>
          <w:rFonts w:asciiTheme="majorHAnsi" w:hAnsiTheme="majorHAnsi"/>
          <w:sz w:val="20"/>
          <w:szCs w:val="20"/>
          <w:lang w:val="es-PE"/>
        </w:rPr>
        <w:t xml:space="preserve">Guzmán </w:t>
      </w:r>
      <w:r w:rsidRPr="00EB4A99">
        <w:rPr>
          <w:rFonts w:asciiTheme="majorHAnsi" w:hAnsiTheme="majorHAnsi"/>
          <w:sz w:val="20"/>
          <w:szCs w:val="20"/>
          <w:lang w:val="es-PE"/>
        </w:rPr>
        <w:t>postuló a la Convocatoria N°</w:t>
      </w:r>
      <w:r w:rsidR="005A2952">
        <w:rPr>
          <w:rFonts w:asciiTheme="majorHAnsi" w:hAnsiTheme="majorHAnsi"/>
          <w:sz w:val="20"/>
          <w:szCs w:val="20"/>
          <w:lang w:val="es-PE"/>
        </w:rPr>
        <w:t xml:space="preserve"> </w:t>
      </w:r>
      <w:r w:rsidRPr="00EB4A99">
        <w:rPr>
          <w:rFonts w:asciiTheme="majorHAnsi" w:hAnsiTheme="majorHAnsi"/>
          <w:sz w:val="20"/>
          <w:szCs w:val="20"/>
          <w:lang w:val="es-PE"/>
        </w:rPr>
        <w:t>14/2018</w:t>
      </w:r>
      <w:r w:rsidR="00876B92" w:rsidRPr="00EB4A99">
        <w:rPr>
          <w:rFonts w:asciiTheme="majorHAnsi" w:hAnsiTheme="majorHAnsi"/>
          <w:sz w:val="20"/>
          <w:szCs w:val="20"/>
          <w:lang w:val="es-PE"/>
        </w:rPr>
        <w:t xml:space="preserve"> para ingresar a la carrera judicial</w:t>
      </w:r>
      <w:r w:rsidRPr="00EB4A99">
        <w:rPr>
          <w:rFonts w:asciiTheme="majorHAnsi" w:hAnsiTheme="majorHAnsi"/>
          <w:sz w:val="20"/>
          <w:szCs w:val="20"/>
          <w:lang w:val="es-PE"/>
        </w:rPr>
        <w:t>; sin embargo, no alcanzó la nota mínima requerida.</w:t>
      </w:r>
    </w:p>
    <w:p w14:paraId="5F82253F" w14:textId="71726112" w:rsidR="005015FA" w:rsidRPr="005015FA" w:rsidRDefault="005015FA" w:rsidP="005015FA">
      <w:pPr>
        <w:pStyle w:val="ListParagraph"/>
        <w:spacing w:before="240" w:after="240"/>
        <w:jc w:val="both"/>
        <w:rPr>
          <w:rFonts w:asciiTheme="majorHAnsi" w:hAnsiTheme="majorHAnsi"/>
          <w:i/>
          <w:iCs/>
          <w:sz w:val="20"/>
          <w:szCs w:val="20"/>
          <w:lang w:val="es-PE"/>
        </w:rPr>
      </w:pPr>
      <w:r w:rsidRPr="00033D7F">
        <w:rPr>
          <w:rFonts w:asciiTheme="majorHAnsi" w:hAnsiTheme="majorHAnsi"/>
          <w:i/>
          <w:iCs/>
          <w:sz w:val="20"/>
          <w:szCs w:val="20"/>
          <w:lang w:val="pt-BR"/>
        </w:rPr>
        <w:t>José Luis Alfaro Miranda (P-1428-19)</w:t>
      </w:r>
    </w:p>
    <w:p w14:paraId="48A9626B" w14:textId="0B83E620" w:rsidR="005015FA" w:rsidRPr="005015FA" w:rsidRDefault="006D1005">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sz w:val="20"/>
          <w:szCs w:val="20"/>
          <w:lang w:val="es-PE"/>
        </w:rPr>
      </w:pPr>
      <w:r w:rsidRPr="005015FA">
        <w:rPr>
          <w:rFonts w:asciiTheme="majorHAnsi" w:hAnsiTheme="majorHAnsi"/>
          <w:sz w:val="20"/>
          <w:szCs w:val="20"/>
          <w:lang w:val="es-PE"/>
        </w:rPr>
        <w:t xml:space="preserve">El Estado </w:t>
      </w:r>
      <w:r w:rsidR="003F0DE7">
        <w:rPr>
          <w:rFonts w:asciiTheme="majorHAnsi" w:hAnsiTheme="majorHAnsi"/>
          <w:sz w:val="20"/>
          <w:szCs w:val="20"/>
          <w:lang w:val="es-PE"/>
        </w:rPr>
        <w:t>resalta</w:t>
      </w:r>
      <w:r w:rsidR="003F0DE7" w:rsidRPr="005015FA">
        <w:rPr>
          <w:rFonts w:asciiTheme="majorHAnsi" w:hAnsiTheme="majorHAnsi"/>
          <w:sz w:val="20"/>
          <w:szCs w:val="20"/>
          <w:lang w:val="es-PE"/>
        </w:rPr>
        <w:t xml:space="preserve"> </w:t>
      </w:r>
      <w:r w:rsidRPr="005015FA">
        <w:rPr>
          <w:rFonts w:asciiTheme="majorHAnsi" w:hAnsiTheme="majorHAnsi"/>
          <w:sz w:val="20"/>
          <w:szCs w:val="20"/>
          <w:lang w:val="es-PE"/>
        </w:rPr>
        <w:t xml:space="preserve">que </w:t>
      </w:r>
      <w:r w:rsidR="005A3180" w:rsidRPr="005015FA">
        <w:rPr>
          <w:rFonts w:asciiTheme="majorHAnsi" w:hAnsiTheme="majorHAnsi"/>
          <w:sz w:val="20"/>
          <w:szCs w:val="20"/>
          <w:lang w:val="es-PE"/>
        </w:rPr>
        <w:t>el señor Alfaro</w:t>
      </w:r>
      <w:r w:rsidRPr="005015FA">
        <w:rPr>
          <w:rFonts w:asciiTheme="majorHAnsi" w:hAnsiTheme="majorHAnsi"/>
          <w:sz w:val="20"/>
          <w:szCs w:val="20"/>
          <w:lang w:val="es-PE"/>
        </w:rPr>
        <w:t xml:space="preserve"> </w:t>
      </w:r>
      <w:r w:rsidR="003F0DE7">
        <w:rPr>
          <w:rFonts w:asciiTheme="majorHAnsi" w:hAnsiTheme="majorHAnsi"/>
          <w:sz w:val="20"/>
          <w:szCs w:val="20"/>
          <w:lang w:val="es-PE"/>
        </w:rPr>
        <w:t xml:space="preserve">Miranda </w:t>
      </w:r>
      <w:r w:rsidRPr="005015FA">
        <w:rPr>
          <w:rFonts w:asciiTheme="majorHAnsi" w:hAnsiTheme="majorHAnsi"/>
          <w:sz w:val="20"/>
          <w:szCs w:val="20"/>
          <w:lang w:val="es-PE"/>
        </w:rPr>
        <w:t xml:space="preserve">conocía el carácter transitorio de su cargo y </w:t>
      </w:r>
      <w:r w:rsidR="005A3180" w:rsidRPr="005015FA">
        <w:rPr>
          <w:rFonts w:asciiTheme="majorHAnsi" w:hAnsiTheme="majorHAnsi"/>
          <w:sz w:val="20"/>
          <w:szCs w:val="20"/>
          <w:lang w:val="es-PE"/>
        </w:rPr>
        <w:t xml:space="preserve">que </w:t>
      </w:r>
      <w:r w:rsidRPr="005015FA">
        <w:rPr>
          <w:rFonts w:asciiTheme="majorHAnsi" w:hAnsiTheme="majorHAnsi"/>
          <w:sz w:val="20"/>
          <w:szCs w:val="20"/>
          <w:lang w:val="es-PE"/>
        </w:rPr>
        <w:t>tenía la posibilidad</w:t>
      </w:r>
      <w:r w:rsidR="00172A6A" w:rsidRPr="005015FA">
        <w:rPr>
          <w:rFonts w:asciiTheme="majorHAnsi" w:hAnsiTheme="majorHAnsi"/>
          <w:sz w:val="20"/>
          <w:szCs w:val="20"/>
          <w:lang w:val="es-PE"/>
        </w:rPr>
        <w:t xml:space="preserve"> </w:t>
      </w:r>
      <w:r w:rsidRPr="005015FA">
        <w:rPr>
          <w:rFonts w:asciiTheme="majorHAnsi" w:hAnsiTheme="majorHAnsi"/>
          <w:sz w:val="20"/>
          <w:szCs w:val="20"/>
          <w:lang w:val="es-PE"/>
        </w:rPr>
        <w:t>de</w:t>
      </w:r>
      <w:r w:rsidR="009605ED" w:rsidRPr="005015FA">
        <w:rPr>
          <w:rFonts w:asciiTheme="majorHAnsi" w:hAnsiTheme="majorHAnsi"/>
          <w:sz w:val="20"/>
          <w:szCs w:val="20"/>
          <w:lang w:val="es-PE"/>
        </w:rPr>
        <w:t xml:space="preserve"> </w:t>
      </w:r>
      <w:r w:rsidRPr="005015FA">
        <w:rPr>
          <w:rFonts w:asciiTheme="majorHAnsi" w:hAnsiTheme="majorHAnsi"/>
          <w:sz w:val="20"/>
          <w:szCs w:val="20"/>
          <w:lang w:val="es-PE"/>
        </w:rPr>
        <w:t>regularizar su situación postulando a las convocatorias que publica el Consejo de la Magistratura</w:t>
      </w:r>
      <w:r w:rsidR="00C9486C">
        <w:rPr>
          <w:rFonts w:asciiTheme="majorHAnsi" w:hAnsiTheme="majorHAnsi"/>
          <w:sz w:val="20"/>
          <w:szCs w:val="20"/>
          <w:lang w:val="es-PE"/>
        </w:rPr>
        <w:t>,</w:t>
      </w:r>
      <w:r w:rsidRPr="005015FA">
        <w:rPr>
          <w:rFonts w:asciiTheme="majorHAnsi" w:hAnsiTheme="majorHAnsi"/>
          <w:sz w:val="20"/>
          <w:szCs w:val="20"/>
          <w:lang w:val="es-PE"/>
        </w:rPr>
        <w:t xml:space="preserve"> </w:t>
      </w:r>
      <w:r w:rsidR="00C9486C">
        <w:rPr>
          <w:rFonts w:asciiTheme="majorHAnsi" w:hAnsiTheme="majorHAnsi"/>
          <w:sz w:val="20"/>
          <w:szCs w:val="20"/>
          <w:lang w:val="es-PE"/>
        </w:rPr>
        <w:t>pero</w:t>
      </w:r>
      <w:r w:rsidRPr="005015FA">
        <w:rPr>
          <w:rFonts w:asciiTheme="majorHAnsi" w:hAnsiTheme="majorHAnsi"/>
          <w:sz w:val="20"/>
          <w:szCs w:val="20"/>
          <w:lang w:val="es-PE"/>
        </w:rPr>
        <w:t xml:space="preserve"> no lo hizo. </w:t>
      </w:r>
      <w:r w:rsidR="00172A6A" w:rsidRPr="005015FA">
        <w:rPr>
          <w:rFonts w:asciiTheme="majorHAnsi" w:hAnsiTheme="majorHAnsi"/>
          <w:sz w:val="20"/>
          <w:szCs w:val="20"/>
          <w:lang w:val="es-PE"/>
        </w:rPr>
        <w:t>Además</w:t>
      </w:r>
      <w:r w:rsidRPr="005015FA">
        <w:rPr>
          <w:rFonts w:asciiTheme="majorHAnsi" w:hAnsiTheme="majorHAnsi"/>
          <w:sz w:val="20"/>
          <w:szCs w:val="20"/>
          <w:lang w:val="es-PE"/>
        </w:rPr>
        <w:t>, a</w:t>
      </w:r>
      <w:r w:rsidR="00172A6A" w:rsidRPr="005015FA">
        <w:rPr>
          <w:rFonts w:asciiTheme="majorHAnsi" w:hAnsiTheme="majorHAnsi"/>
          <w:sz w:val="20"/>
          <w:szCs w:val="20"/>
          <w:lang w:val="es-PE"/>
        </w:rPr>
        <w:t>rgumenta</w:t>
      </w:r>
      <w:r w:rsidRPr="005015FA">
        <w:rPr>
          <w:rFonts w:asciiTheme="majorHAnsi" w:hAnsiTheme="majorHAnsi"/>
          <w:sz w:val="20"/>
          <w:szCs w:val="20"/>
          <w:lang w:val="es-PE"/>
        </w:rPr>
        <w:t xml:space="preserve"> que </w:t>
      </w:r>
      <w:r w:rsidR="00D412AC">
        <w:rPr>
          <w:rFonts w:asciiTheme="majorHAnsi" w:hAnsiTheme="majorHAnsi"/>
          <w:sz w:val="20"/>
          <w:szCs w:val="20"/>
          <w:lang w:val="es-PE"/>
        </w:rPr>
        <w:t>a nivel interno no se</w:t>
      </w:r>
      <w:r w:rsidRPr="005015FA">
        <w:rPr>
          <w:rFonts w:asciiTheme="majorHAnsi" w:hAnsiTheme="majorHAnsi"/>
          <w:sz w:val="20"/>
          <w:szCs w:val="20"/>
          <w:lang w:val="es-PE"/>
        </w:rPr>
        <w:t xml:space="preserve"> actuó de forma discrecional en la desvinculación</w:t>
      </w:r>
      <w:r w:rsidR="009605ED" w:rsidRPr="005015FA">
        <w:rPr>
          <w:rFonts w:asciiTheme="majorHAnsi" w:hAnsiTheme="majorHAnsi"/>
          <w:sz w:val="20"/>
          <w:szCs w:val="20"/>
          <w:lang w:val="es-PE"/>
        </w:rPr>
        <w:t xml:space="preserve"> laboral</w:t>
      </w:r>
      <w:r w:rsidRPr="005015FA">
        <w:rPr>
          <w:rFonts w:asciiTheme="majorHAnsi" w:hAnsiTheme="majorHAnsi"/>
          <w:sz w:val="20"/>
          <w:szCs w:val="20"/>
          <w:lang w:val="es-PE"/>
        </w:rPr>
        <w:t xml:space="preserve"> de la presunta víctima, </w:t>
      </w:r>
      <w:r w:rsidR="00172A6A" w:rsidRPr="005015FA">
        <w:rPr>
          <w:rFonts w:asciiTheme="majorHAnsi" w:hAnsiTheme="majorHAnsi"/>
          <w:sz w:val="20"/>
          <w:szCs w:val="20"/>
          <w:lang w:val="es-PE"/>
        </w:rPr>
        <w:t xml:space="preserve">ya que la juez que </w:t>
      </w:r>
      <w:r w:rsidRPr="005015FA">
        <w:rPr>
          <w:rFonts w:asciiTheme="majorHAnsi" w:hAnsiTheme="majorHAnsi"/>
          <w:sz w:val="20"/>
          <w:szCs w:val="20"/>
          <w:lang w:val="es-PE"/>
        </w:rPr>
        <w:t>ocupó su antiguo cargo ingresó a la carre</w:t>
      </w:r>
      <w:r w:rsidR="00172A6A" w:rsidRPr="005015FA">
        <w:rPr>
          <w:rFonts w:asciiTheme="majorHAnsi" w:hAnsiTheme="majorHAnsi"/>
          <w:sz w:val="20"/>
          <w:szCs w:val="20"/>
          <w:lang w:val="es-PE"/>
        </w:rPr>
        <w:t>r</w:t>
      </w:r>
      <w:r w:rsidRPr="005015FA">
        <w:rPr>
          <w:rFonts w:asciiTheme="majorHAnsi" w:hAnsiTheme="majorHAnsi"/>
          <w:sz w:val="20"/>
          <w:szCs w:val="20"/>
          <w:lang w:val="es-PE"/>
        </w:rPr>
        <w:t>a judicial</w:t>
      </w:r>
      <w:r w:rsidR="009605ED" w:rsidRPr="005015FA">
        <w:rPr>
          <w:rFonts w:asciiTheme="majorHAnsi" w:hAnsiTheme="majorHAnsi"/>
          <w:sz w:val="20"/>
          <w:szCs w:val="20"/>
          <w:lang w:val="es-PE"/>
        </w:rPr>
        <w:t xml:space="preserve"> </w:t>
      </w:r>
      <w:r w:rsidRPr="005015FA">
        <w:rPr>
          <w:rFonts w:asciiTheme="majorHAnsi" w:hAnsiTheme="majorHAnsi"/>
          <w:sz w:val="20"/>
          <w:szCs w:val="20"/>
          <w:lang w:val="es-PE"/>
        </w:rPr>
        <w:t>de conform</w:t>
      </w:r>
      <w:r w:rsidR="00F17428">
        <w:rPr>
          <w:rFonts w:asciiTheme="majorHAnsi" w:hAnsiTheme="majorHAnsi"/>
          <w:sz w:val="20"/>
          <w:szCs w:val="20"/>
          <w:lang w:val="es-PE"/>
        </w:rPr>
        <w:t>idad</w:t>
      </w:r>
      <w:r w:rsidRPr="005015FA">
        <w:rPr>
          <w:rFonts w:asciiTheme="majorHAnsi" w:hAnsiTheme="majorHAnsi"/>
          <w:sz w:val="20"/>
          <w:szCs w:val="20"/>
          <w:lang w:val="es-PE"/>
        </w:rPr>
        <w:t xml:space="preserve"> </w:t>
      </w:r>
      <w:r w:rsidR="00172A6A" w:rsidRPr="005015FA">
        <w:rPr>
          <w:rFonts w:asciiTheme="majorHAnsi" w:hAnsiTheme="majorHAnsi"/>
          <w:sz w:val="20"/>
          <w:szCs w:val="20"/>
          <w:lang w:val="es-PE"/>
        </w:rPr>
        <w:t>a</w:t>
      </w:r>
      <w:r w:rsidRPr="005015FA">
        <w:rPr>
          <w:rFonts w:asciiTheme="majorHAnsi" w:hAnsiTheme="majorHAnsi"/>
          <w:sz w:val="20"/>
          <w:szCs w:val="20"/>
          <w:lang w:val="es-PE"/>
        </w:rPr>
        <w:t xml:space="preserve"> las vías </w:t>
      </w:r>
      <w:r w:rsidR="00172A6A" w:rsidRPr="005015FA">
        <w:rPr>
          <w:rFonts w:asciiTheme="majorHAnsi" w:hAnsiTheme="majorHAnsi"/>
          <w:sz w:val="20"/>
          <w:szCs w:val="20"/>
          <w:lang w:val="es-PE"/>
        </w:rPr>
        <w:t>establecidas</w:t>
      </w:r>
      <w:r w:rsidRPr="005015FA">
        <w:rPr>
          <w:rFonts w:asciiTheme="majorHAnsi" w:hAnsiTheme="majorHAnsi"/>
          <w:sz w:val="20"/>
          <w:szCs w:val="20"/>
          <w:lang w:val="es-PE"/>
        </w:rPr>
        <w:t xml:space="preserve"> en la normativa interna.</w:t>
      </w:r>
    </w:p>
    <w:p w14:paraId="01D51460" w14:textId="23FE4F1D" w:rsidR="005015FA" w:rsidRPr="005015FA" w:rsidRDefault="005015FA" w:rsidP="005015FA">
      <w:pPr>
        <w:pStyle w:val="ListParagraph"/>
        <w:spacing w:before="240" w:after="240"/>
        <w:jc w:val="both"/>
        <w:rPr>
          <w:rFonts w:asciiTheme="majorHAnsi" w:hAnsiTheme="majorHAnsi"/>
          <w:i/>
          <w:iCs/>
          <w:sz w:val="20"/>
          <w:szCs w:val="20"/>
          <w:lang w:val="pt-BR"/>
        </w:rPr>
      </w:pPr>
      <w:r w:rsidRPr="00033D7F">
        <w:rPr>
          <w:rFonts w:asciiTheme="majorHAnsi" w:hAnsiTheme="majorHAnsi"/>
          <w:i/>
          <w:iCs/>
          <w:sz w:val="20"/>
          <w:szCs w:val="20"/>
          <w:lang w:val="pt-BR"/>
        </w:rPr>
        <w:lastRenderedPageBreak/>
        <w:t>Jesús Sabino Altamirano Cruz (P-1563-19)</w:t>
      </w:r>
    </w:p>
    <w:p w14:paraId="64CD9007" w14:textId="5E200349" w:rsidR="005015FA" w:rsidRPr="00907831" w:rsidRDefault="00DD41E7">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sz w:val="20"/>
          <w:szCs w:val="20"/>
          <w:lang w:val="es-PE"/>
        </w:rPr>
      </w:pPr>
      <w:r w:rsidRPr="005015FA">
        <w:rPr>
          <w:rFonts w:asciiTheme="majorHAnsi" w:hAnsiTheme="majorHAnsi"/>
          <w:sz w:val="20"/>
          <w:szCs w:val="20"/>
          <w:lang w:val="es-PE"/>
        </w:rPr>
        <w:t xml:space="preserve">El Estado </w:t>
      </w:r>
      <w:r w:rsidR="00F63A3C" w:rsidRPr="005015FA">
        <w:rPr>
          <w:rFonts w:asciiTheme="majorHAnsi" w:hAnsiTheme="majorHAnsi"/>
          <w:sz w:val="20"/>
          <w:szCs w:val="20"/>
          <w:lang w:val="es-PE"/>
        </w:rPr>
        <w:t>informa</w:t>
      </w:r>
      <w:r w:rsidRPr="005015FA">
        <w:rPr>
          <w:rFonts w:asciiTheme="majorHAnsi" w:hAnsiTheme="majorHAnsi"/>
          <w:sz w:val="20"/>
          <w:szCs w:val="20"/>
          <w:lang w:val="es-PE"/>
        </w:rPr>
        <w:t xml:space="preserve"> que</w:t>
      </w:r>
      <w:r w:rsidR="00F63A3C" w:rsidRPr="005015FA">
        <w:rPr>
          <w:rFonts w:asciiTheme="majorHAnsi" w:hAnsiTheme="majorHAnsi"/>
          <w:sz w:val="20"/>
          <w:szCs w:val="20"/>
          <w:lang w:val="es-PE"/>
        </w:rPr>
        <w:t xml:space="preserve"> </w:t>
      </w:r>
      <w:r w:rsidR="002B2024">
        <w:rPr>
          <w:rFonts w:asciiTheme="majorHAnsi" w:hAnsiTheme="majorHAnsi"/>
          <w:sz w:val="20"/>
          <w:szCs w:val="20"/>
          <w:lang w:val="es-PE"/>
        </w:rPr>
        <w:t>este</w:t>
      </w:r>
      <w:r w:rsidRPr="005015FA">
        <w:rPr>
          <w:rFonts w:asciiTheme="majorHAnsi" w:hAnsiTheme="majorHAnsi"/>
          <w:sz w:val="20"/>
          <w:szCs w:val="20"/>
          <w:lang w:val="es-PE"/>
        </w:rPr>
        <w:t xml:space="preserve"> participó en la Convocatoria Pública </w:t>
      </w:r>
      <w:r w:rsidR="00172A6A" w:rsidRPr="005015FA">
        <w:rPr>
          <w:rFonts w:asciiTheme="majorHAnsi" w:hAnsiTheme="majorHAnsi"/>
          <w:sz w:val="20"/>
          <w:szCs w:val="20"/>
          <w:lang w:val="es-PE"/>
        </w:rPr>
        <w:t>N°</w:t>
      </w:r>
      <w:r w:rsidR="00BD3B37">
        <w:rPr>
          <w:rFonts w:asciiTheme="majorHAnsi" w:hAnsiTheme="majorHAnsi"/>
          <w:sz w:val="20"/>
          <w:szCs w:val="20"/>
          <w:lang w:val="es-PE"/>
        </w:rPr>
        <w:t xml:space="preserve"> </w:t>
      </w:r>
      <w:r w:rsidRPr="005015FA">
        <w:rPr>
          <w:rFonts w:asciiTheme="majorHAnsi" w:hAnsiTheme="majorHAnsi"/>
          <w:sz w:val="20"/>
          <w:szCs w:val="20"/>
          <w:lang w:val="es-PE"/>
        </w:rPr>
        <w:t xml:space="preserve">3/2019 </w:t>
      </w:r>
      <w:r w:rsidR="00C64134">
        <w:rPr>
          <w:rFonts w:asciiTheme="majorHAnsi" w:hAnsiTheme="majorHAnsi"/>
          <w:sz w:val="20"/>
          <w:szCs w:val="20"/>
          <w:lang w:val="es-PE"/>
        </w:rPr>
        <w:t>para el</w:t>
      </w:r>
      <w:r w:rsidRPr="005015FA">
        <w:rPr>
          <w:rFonts w:asciiTheme="majorHAnsi" w:hAnsiTheme="majorHAnsi"/>
          <w:sz w:val="20"/>
          <w:szCs w:val="20"/>
          <w:lang w:val="es-PE"/>
        </w:rPr>
        <w:t xml:space="preserve"> Juzgado Público Civil y Comercial 2° Capital</w:t>
      </w:r>
      <w:r w:rsidR="00B02BA3">
        <w:rPr>
          <w:rFonts w:asciiTheme="majorHAnsi" w:hAnsiTheme="majorHAnsi"/>
          <w:sz w:val="20"/>
          <w:szCs w:val="20"/>
          <w:lang w:val="es-PE"/>
        </w:rPr>
        <w:t xml:space="preserve"> de la ciudad de</w:t>
      </w:r>
      <w:r w:rsidRPr="005015FA">
        <w:rPr>
          <w:rFonts w:asciiTheme="majorHAnsi" w:hAnsiTheme="majorHAnsi"/>
          <w:sz w:val="20"/>
          <w:szCs w:val="20"/>
          <w:lang w:val="es-PE"/>
        </w:rPr>
        <w:t xml:space="preserve"> Tarija, </w:t>
      </w:r>
      <w:r w:rsidR="005A3180" w:rsidRPr="005015FA">
        <w:rPr>
          <w:rFonts w:asciiTheme="majorHAnsi" w:hAnsiTheme="majorHAnsi"/>
          <w:sz w:val="20"/>
          <w:szCs w:val="20"/>
          <w:lang w:val="es-PE"/>
        </w:rPr>
        <w:t xml:space="preserve">y como resultado </w:t>
      </w:r>
      <w:r w:rsidRPr="005015FA">
        <w:rPr>
          <w:rFonts w:asciiTheme="majorHAnsi" w:hAnsiTheme="majorHAnsi"/>
          <w:sz w:val="20"/>
          <w:szCs w:val="20"/>
          <w:lang w:val="es-PE"/>
        </w:rPr>
        <w:t>fue designad</w:t>
      </w:r>
      <w:r w:rsidR="002B2024">
        <w:rPr>
          <w:rFonts w:asciiTheme="majorHAnsi" w:hAnsiTheme="majorHAnsi"/>
          <w:sz w:val="20"/>
          <w:szCs w:val="20"/>
          <w:lang w:val="es-PE"/>
        </w:rPr>
        <w:t>o</w:t>
      </w:r>
      <w:r w:rsidRPr="005015FA">
        <w:rPr>
          <w:rFonts w:asciiTheme="majorHAnsi" w:hAnsiTheme="majorHAnsi"/>
          <w:sz w:val="20"/>
          <w:szCs w:val="20"/>
          <w:lang w:val="es-PE"/>
        </w:rPr>
        <w:t xml:space="preserve"> juez de carrera el 11 de octubre de 2019 por lo que no podría alegar la vulneración </w:t>
      </w:r>
      <w:r w:rsidR="002B2024">
        <w:rPr>
          <w:rFonts w:asciiTheme="majorHAnsi" w:hAnsiTheme="majorHAnsi"/>
          <w:sz w:val="20"/>
          <w:szCs w:val="20"/>
          <w:lang w:val="es-PE"/>
        </w:rPr>
        <w:t>a sus</w:t>
      </w:r>
      <w:r w:rsidRPr="005015FA">
        <w:rPr>
          <w:rFonts w:asciiTheme="majorHAnsi" w:hAnsiTheme="majorHAnsi"/>
          <w:sz w:val="20"/>
          <w:szCs w:val="20"/>
          <w:lang w:val="es-PE"/>
        </w:rPr>
        <w:t xml:space="preserve"> derecho</w:t>
      </w:r>
      <w:r w:rsidR="002B2024">
        <w:rPr>
          <w:rFonts w:asciiTheme="majorHAnsi" w:hAnsiTheme="majorHAnsi"/>
          <w:sz w:val="20"/>
          <w:szCs w:val="20"/>
          <w:lang w:val="es-PE"/>
        </w:rPr>
        <w:t>s</w:t>
      </w:r>
      <w:r w:rsidRPr="005015FA">
        <w:rPr>
          <w:rFonts w:asciiTheme="majorHAnsi" w:hAnsiTheme="majorHAnsi"/>
          <w:sz w:val="20"/>
          <w:szCs w:val="20"/>
          <w:lang w:val="es-PE"/>
        </w:rPr>
        <w:t xml:space="preserve">. </w:t>
      </w:r>
      <w:r w:rsidR="007D3359">
        <w:rPr>
          <w:rFonts w:asciiTheme="majorHAnsi" w:hAnsiTheme="majorHAnsi"/>
          <w:sz w:val="20"/>
          <w:szCs w:val="20"/>
          <w:lang w:val="es-PE"/>
        </w:rPr>
        <w:t>Aduce</w:t>
      </w:r>
      <w:r w:rsidR="00F63A3C" w:rsidRPr="005015FA">
        <w:rPr>
          <w:rFonts w:asciiTheme="majorHAnsi" w:hAnsiTheme="majorHAnsi"/>
          <w:sz w:val="20"/>
          <w:szCs w:val="20"/>
          <w:lang w:val="es-PE"/>
        </w:rPr>
        <w:t xml:space="preserve"> que el señor Altamirano</w:t>
      </w:r>
      <w:r w:rsidR="00BD3B37">
        <w:rPr>
          <w:rFonts w:asciiTheme="majorHAnsi" w:hAnsiTheme="majorHAnsi"/>
          <w:sz w:val="20"/>
          <w:szCs w:val="20"/>
          <w:lang w:val="es-PE"/>
        </w:rPr>
        <w:t xml:space="preserve"> Cruz</w:t>
      </w:r>
      <w:r w:rsidR="00F63A3C" w:rsidRPr="005015FA">
        <w:rPr>
          <w:rFonts w:asciiTheme="majorHAnsi" w:hAnsiTheme="majorHAnsi"/>
          <w:sz w:val="20"/>
          <w:szCs w:val="20"/>
          <w:lang w:val="es-PE"/>
        </w:rPr>
        <w:t xml:space="preserve"> pone en evidencia que los medios </w:t>
      </w:r>
      <w:r w:rsidR="0064055E">
        <w:rPr>
          <w:rFonts w:asciiTheme="majorHAnsi" w:hAnsiTheme="majorHAnsi"/>
          <w:sz w:val="20"/>
          <w:szCs w:val="20"/>
          <w:lang w:val="es-PE"/>
        </w:rPr>
        <w:t>con que contó</w:t>
      </w:r>
      <w:r w:rsidR="00F63A3C" w:rsidRPr="005015FA">
        <w:rPr>
          <w:rFonts w:asciiTheme="majorHAnsi" w:hAnsiTheme="majorHAnsi"/>
          <w:sz w:val="20"/>
          <w:szCs w:val="20"/>
          <w:lang w:val="es-PE"/>
        </w:rPr>
        <w:t xml:space="preserve"> para ingresar a la carrera judicial </w:t>
      </w:r>
      <w:r w:rsidR="005E3668">
        <w:rPr>
          <w:rFonts w:asciiTheme="majorHAnsi" w:hAnsiTheme="majorHAnsi"/>
          <w:sz w:val="20"/>
          <w:szCs w:val="20"/>
          <w:lang w:val="es-PE"/>
        </w:rPr>
        <w:t>fueron</w:t>
      </w:r>
      <w:r w:rsidR="00F63A3C" w:rsidRPr="005015FA">
        <w:rPr>
          <w:rFonts w:asciiTheme="majorHAnsi" w:hAnsiTheme="majorHAnsi"/>
          <w:sz w:val="20"/>
          <w:szCs w:val="20"/>
          <w:lang w:val="es-PE"/>
        </w:rPr>
        <w:t xml:space="preserve"> idóneos y efectivos.</w:t>
      </w:r>
    </w:p>
    <w:p w14:paraId="5A0787FE" w14:textId="124B58EF" w:rsidR="005015FA" w:rsidRPr="00CB416A" w:rsidRDefault="005015FA" w:rsidP="00CB416A">
      <w:pPr>
        <w:spacing w:before="240" w:after="240"/>
        <w:ind w:firstLine="720"/>
        <w:jc w:val="both"/>
        <w:rPr>
          <w:rFonts w:asciiTheme="majorHAnsi" w:hAnsiTheme="majorHAnsi"/>
          <w:i/>
          <w:iCs/>
          <w:sz w:val="20"/>
          <w:szCs w:val="20"/>
          <w:lang w:val="pt-BR"/>
        </w:rPr>
      </w:pPr>
      <w:bookmarkStart w:id="8" w:name="_Hlk172737409"/>
      <w:r w:rsidRPr="00CB416A">
        <w:rPr>
          <w:rFonts w:asciiTheme="majorHAnsi" w:hAnsiTheme="majorHAnsi"/>
          <w:i/>
          <w:iCs/>
          <w:sz w:val="20"/>
          <w:szCs w:val="20"/>
          <w:lang w:val="es-PE"/>
        </w:rPr>
        <w:t>E</w:t>
      </w:r>
      <w:r w:rsidRPr="00CB416A">
        <w:rPr>
          <w:rFonts w:asciiTheme="majorHAnsi" w:hAnsiTheme="majorHAnsi"/>
          <w:i/>
          <w:iCs/>
          <w:sz w:val="20"/>
          <w:szCs w:val="20"/>
          <w:lang w:val="pt-BR"/>
        </w:rPr>
        <w:t xml:space="preserve">milse Patricia Arnez Quiroz (P-1677-19) </w:t>
      </w:r>
    </w:p>
    <w:bookmarkEnd w:id="8"/>
    <w:p w14:paraId="16DCC069" w14:textId="42EDD99B" w:rsidR="009E76EC" w:rsidRPr="009E76EC" w:rsidRDefault="0032008D">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sz w:val="20"/>
          <w:szCs w:val="20"/>
          <w:lang w:val="es-PE"/>
        </w:rPr>
      </w:pPr>
      <w:r w:rsidRPr="0032008D">
        <w:rPr>
          <w:rFonts w:asciiTheme="majorHAnsi" w:hAnsiTheme="majorHAnsi"/>
          <w:sz w:val="20"/>
          <w:szCs w:val="20"/>
          <w:lang w:val="es-PE"/>
        </w:rPr>
        <w:t xml:space="preserve">El Estado indica que la presunta víctima </w:t>
      </w:r>
      <w:r w:rsidR="0064055E">
        <w:rPr>
          <w:rFonts w:asciiTheme="majorHAnsi" w:hAnsiTheme="majorHAnsi"/>
          <w:sz w:val="20"/>
          <w:szCs w:val="20"/>
          <w:lang w:val="es-PE"/>
        </w:rPr>
        <w:t>debió estar al tanto del</w:t>
      </w:r>
      <w:r w:rsidRPr="0032008D">
        <w:rPr>
          <w:rFonts w:asciiTheme="majorHAnsi" w:hAnsiTheme="majorHAnsi"/>
          <w:sz w:val="20"/>
          <w:szCs w:val="20"/>
          <w:lang w:val="es-PE"/>
        </w:rPr>
        <w:t xml:space="preserve"> carácter transitorio de su cargo desde 2016 </w:t>
      </w:r>
      <w:r w:rsidR="00A32CD3">
        <w:rPr>
          <w:rFonts w:asciiTheme="majorHAnsi" w:hAnsiTheme="majorHAnsi"/>
          <w:sz w:val="20"/>
          <w:szCs w:val="20"/>
          <w:lang w:val="es-PE"/>
        </w:rPr>
        <w:t xml:space="preserve">con </w:t>
      </w:r>
      <w:r w:rsidRPr="0032008D">
        <w:rPr>
          <w:rFonts w:asciiTheme="majorHAnsi" w:hAnsiTheme="majorHAnsi"/>
          <w:sz w:val="20"/>
          <w:szCs w:val="20"/>
          <w:lang w:val="es-PE"/>
        </w:rPr>
        <w:t xml:space="preserve">la reforma del sistema de justicia. Sin embargo, </w:t>
      </w:r>
      <w:r w:rsidR="00A32CD3">
        <w:rPr>
          <w:rFonts w:asciiTheme="majorHAnsi" w:hAnsiTheme="majorHAnsi"/>
          <w:sz w:val="20"/>
          <w:szCs w:val="20"/>
          <w:lang w:val="es-PE"/>
        </w:rPr>
        <w:t>no reclamó ni presentó recurso alguno</w:t>
      </w:r>
      <w:r w:rsidR="00014FD7">
        <w:rPr>
          <w:rFonts w:asciiTheme="majorHAnsi" w:hAnsiTheme="majorHAnsi"/>
          <w:sz w:val="20"/>
          <w:szCs w:val="20"/>
          <w:lang w:val="es-PE"/>
        </w:rPr>
        <w:t>,</w:t>
      </w:r>
      <w:r w:rsidRPr="0032008D">
        <w:rPr>
          <w:rFonts w:asciiTheme="majorHAnsi" w:hAnsiTheme="majorHAnsi"/>
          <w:sz w:val="20"/>
          <w:szCs w:val="20"/>
          <w:lang w:val="es-PE"/>
        </w:rPr>
        <w:t xml:space="preserve"> </w:t>
      </w:r>
      <w:r w:rsidR="00014FD7">
        <w:rPr>
          <w:rFonts w:asciiTheme="majorHAnsi" w:hAnsiTheme="majorHAnsi"/>
          <w:sz w:val="20"/>
          <w:szCs w:val="20"/>
          <w:lang w:val="es-PE"/>
        </w:rPr>
        <w:t>continuando</w:t>
      </w:r>
      <w:r w:rsidRPr="0032008D">
        <w:rPr>
          <w:rFonts w:asciiTheme="majorHAnsi" w:hAnsiTheme="majorHAnsi"/>
          <w:sz w:val="20"/>
          <w:szCs w:val="20"/>
          <w:lang w:val="es-PE"/>
        </w:rPr>
        <w:t xml:space="preserve"> con sus labores hasta su desvinculación laboral, aceptando tácitamente los cambios</w:t>
      </w:r>
      <w:r>
        <w:rPr>
          <w:rFonts w:asciiTheme="majorHAnsi" w:hAnsiTheme="majorHAnsi"/>
          <w:sz w:val="20"/>
          <w:szCs w:val="20"/>
          <w:lang w:val="es-PE"/>
        </w:rPr>
        <w:t xml:space="preserve"> establecidos</w:t>
      </w:r>
      <w:r w:rsidRPr="0032008D">
        <w:rPr>
          <w:rFonts w:asciiTheme="majorHAnsi" w:hAnsiTheme="majorHAnsi"/>
          <w:sz w:val="20"/>
          <w:szCs w:val="20"/>
          <w:lang w:val="es-PE"/>
        </w:rPr>
        <w:t>.</w:t>
      </w:r>
    </w:p>
    <w:p w14:paraId="5BE2E2F7" w14:textId="77777777" w:rsidR="009E76EC" w:rsidRPr="009E76EC" w:rsidRDefault="009E76EC" w:rsidP="009E76EC">
      <w:pPr>
        <w:pStyle w:val="ListParagraph"/>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sz w:val="20"/>
          <w:szCs w:val="20"/>
          <w:lang w:val="es-PE"/>
        </w:rPr>
      </w:pPr>
    </w:p>
    <w:p w14:paraId="1B26B6C0" w14:textId="0B6AC28D" w:rsidR="005015FA" w:rsidRPr="005015FA" w:rsidRDefault="00517349">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sz w:val="20"/>
          <w:szCs w:val="20"/>
          <w:lang w:val="es-PE"/>
        </w:rPr>
      </w:pPr>
      <w:r>
        <w:rPr>
          <w:rFonts w:asciiTheme="majorHAnsi" w:hAnsiTheme="majorHAnsi"/>
          <w:sz w:val="20"/>
          <w:szCs w:val="20"/>
          <w:lang w:val="es-PE"/>
        </w:rPr>
        <w:t>El Estado boliviano reitera que brindó</w:t>
      </w:r>
      <w:r w:rsidR="0032008D" w:rsidRPr="0032008D">
        <w:rPr>
          <w:rFonts w:asciiTheme="majorHAnsi" w:hAnsiTheme="majorHAnsi"/>
          <w:sz w:val="20"/>
          <w:szCs w:val="20"/>
          <w:lang w:val="es-PE"/>
        </w:rPr>
        <w:t xml:space="preserve"> la oportunidad a los jueces transitorios de optar por una de las modalidades de ingreso a la carrera judicial, que fue aprovechada por la presunta víctima, logrando ingresar como jueza de Sentencia Penal 1° de Sacaba en 2019. De esta manera, persist</w:t>
      </w:r>
      <w:r w:rsidR="000415E9">
        <w:rPr>
          <w:rFonts w:asciiTheme="majorHAnsi" w:hAnsiTheme="majorHAnsi"/>
          <w:sz w:val="20"/>
          <w:szCs w:val="20"/>
          <w:lang w:val="es-PE"/>
        </w:rPr>
        <w:t>iría</w:t>
      </w:r>
      <w:r w:rsidR="0032008D" w:rsidRPr="0032008D">
        <w:rPr>
          <w:rFonts w:asciiTheme="majorHAnsi" w:hAnsiTheme="majorHAnsi"/>
          <w:sz w:val="20"/>
          <w:szCs w:val="20"/>
          <w:lang w:val="es-PE"/>
        </w:rPr>
        <w:t xml:space="preserve"> la falta de caracterización de vulneraciones </w:t>
      </w:r>
      <w:r w:rsidR="008F2467">
        <w:rPr>
          <w:rFonts w:asciiTheme="majorHAnsi" w:hAnsiTheme="majorHAnsi"/>
          <w:sz w:val="20"/>
          <w:szCs w:val="20"/>
          <w:lang w:val="es-PE"/>
        </w:rPr>
        <w:t>a sus</w:t>
      </w:r>
      <w:r w:rsidR="0032008D" w:rsidRPr="0032008D">
        <w:rPr>
          <w:rFonts w:asciiTheme="majorHAnsi" w:hAnsiTheme="majorHAnsi"/>
          <w:sz w:val="20"/>
          <w:szCs w:val="20"/>
          <w:lang w:val="es-PE"/>
        </w:rPr>
        <w:t xml:space="preserve"> derechos, ya que no </w:t>
      </w:r>
      <w:r w:rsidR="008F2467">
        <w:rPr>
          <w:rFonts w:asciiTheme="majorHAnsi" w:hAnsiTheme="majorHAnsi"/>
          <w:sz w:val="20"/>
          <w:szCs w:val="20"/>
          <w:lang w:val="es-PE"/>
        </w:rPr>
        <w:t>habría habido</w:t>
      </w:r>
      <w:r w:rsidR="0032008D" w:rsidRPr="0032008D">
        <w:rPr>
          <w:rFonts w:asciiTheme="majorHAnsi" w:hAnsiTheme="majorHAnsi"/>
          <w:sz w:val="20"/>
          <w:szCs w:val="20"/>
          <w:lang w:val="es-PE"/>
        </w:rPr>
        <w:t xml:space="preserve"> arbitrariedades en el momento de la desvinculación</w:t>
      </w:r>
      <w:r w:rsidR="00564F73">
        <w:rPr>
          <w:rFonts w:asciiTheme="majorHAnsi" w:hAnsiTheme="majorHAnsi"/>
          <w:sz w:val="20"/>
          <w:szCs w:val="20"/>
          <w:lang w:val="es-PE"/>
        </w:rPr>
        <w:t>;</w:t>
      </w:r>
      <w:r w:rsidR="0032008D">
        <w:rPr>
          <w:rFonts w:asciiTheme="majorHAnsi" w:hAnsiTheme="majorHAnsi"/>
          <w:sz w:val="20"/>
          <w:szCs w:val="20"/>
          <w:lang w:val="es-PE"/>
        </w:rPr>
        <w:t xml:space="preserve"> </w:t>
      </w:r>
      <w:r w:rsidR="0032008D" w:rsidRPr="0032008D">
        <w:rPr>
          <w:rFonts w:asciiTheme="majorHAnsi" w:hAnsiTheme="majorHAnsi"/>
          <w:sz w:val="20"/>
          <w:szCs w:val="20"/>
          <w:lang w:val="es-PE"/>
        </w:rPr>
        <w:t>por el contrario</w:t>
      </w:r>
      <w:r w:rsidR="00564F73">
        <w:rPr>
          <w:rFonts w:asciiTheme="majorHAnsi" w:hAnsiTheme="majorHAnsi"/>
          <w:sz w:val="20"/>
          <w:szCs w:val="20"/>
          <w:lang w:val="es-PE"/>
        </w:rPr>
        <w:t>,</w:t>
      </w:r>
      <w:r w:rsidR="0032008D" w:rsidRPr="0032008D">
        <w:rPr>
          <w:rFonts w:asciiTheme="majorHAnsi" w:hAnsiTheme="majorHAnsi"/>
          <w:sz w:val="20"/>
          <w:szCs w:val="20"/>
          <w:lang w:val="es-PE"/>
        </w:rPr>
        <w:t xml:space="preserve"> </w:t>
      </w:r>
      <w:r w:rsidR="00374E7C">
        <w:rPr>
          <w:rFonts w:asciiTheme="majorHAnsi" w:hAnsiTheme="majorHAnsi"/>
          <w:sz w:val="20"/>
          <w:szCs w:val="20"/>
          <w:lang w:val="es-PE"/>
        </w:rPr>
        <w:t>aquel</w:t>
      </w:r>
      <w:r w:rsidR="00564F73">
        <w:rPr>
          <w:rFonts w:asciiTheme="majorHAnsi" w:hAnsiTheme="majorHAnsi"/>
          <w:sz w:val="20"/>
          <w:szCs w:val="20"/>
          <w:lang w:val="es-PE"/>
        </w:rPr>
        <w:t>la</w:t>
      </w:r>
      <w:r w:rsidR="00374E7C">
        <w:rPr>
          <w:rFonts w:asciiTheme="majorHAnsi" w:hAnsiTheme="majorHAnsi"/>
          <w:sz w:val="20"/>
          <w:szCs w:val="20"/>
          <w:lang w:val="es-PE"/>
        </w:rPr>
        <w:t xml:space="preserve"> tuvo </w:t>
      </w:r>
      <w:r w:rsidR="0032008D" w:rsidRPr="0032008D">
        <w:rPr>
          <w:rFonts w:asciiTheme="majorHAnsi" w:hAnsiTheme="majorHAnsi"/>
          <w:sz w:val="20"/>
          <w:szCs w:val="20"/>
          <w:lang w:val="es-PE"/>
        </w:rPr>
        <w:t>opciones para ingresar a la carrera judicial.</w:t>
      </w:r>
    </w:p>
    <w:p w14:paraId="12675BB7" w14:textId="2BBAE2DF" w:rsidR="005015FA" w:rsidRPr="005015FA" w:rsidRDefault="005015FA" w:rsidP="005015FA">
      <w:pPr>
        <w:pStyle w:val="ListParagraph"/>
        <w:spacing w:before="240" w:after="240"/>
        <w:jc w:val="both"/>
        <w:rPr>
          <w:rFonts w:asciiTheme="majorHAnsi" w:hAnsiTheme="majorHAnsi"/>
          <w:i/>
          <w:iCs/>
          <w:sz w:val="20"/>
          <w:szCs w:val="20"/>
          <w:lang w:val="pt-BR"/>
        </w:rPr>
      </w:pPr>
      <w:bookmarkStart w:id="9" w:name="_Hlk172737429"/>
      <w:r w:rsidRPr="00033D7F">
        <w:rPr>
          <w:rFonts w:asciiTheme="majorHAnsi" w:hAnsiTheme="majorHAnsi"/>
          <w:i/>
          <w:iCs/>
          <w:sz w:val="20"/>
          <w:szCs w:val="20"/>
          <w:lang w:val="pt-BR"/>
        </w:rPr>
        <w:t>N</w:t>
      </w:r>
      <w:r w:rsidR="00374E7C">
        <w:rPr>
          <w:rFonts w:asciiTheme="majorHAnsi" w:hAnsiTheme="majorHAnsi"/>
          <w:i/>
          <w:iCs/>
          <w:sz w:val="20"/>
          <w:szCs w:val="20"/>
          <w:lang w:val="pt-BR"/>
        </w:rPr>
        <w:t>é</w:t>
      </w:r>
      <w:r w:rsidRPr="00033D7F">
        <w:rPr>
          <w:rFonts w:asciiTheme="majorHAnsi" w:hAnsiTheme="majorHAnsi"/>
          <w:i/>
          <w:iCs/>
          <w:sz w:val="20"/>
          <w:szCs w:val="20"/>
          <w:lang w:val="pt-BR"/>
        </w:rPr>
        <w:t>stor Julio Enr</w:t>
      </w:r>
      <w:r w:rsidR="00374E7C">
        <w:rPr>
          <w:rFonts w:asciiTheme="majorHAnsi" w:hAnsiTheme="majorHAnsi"/>
          <w:i/>
          <w:iCs/>
          <w:sz w:val="20"/>
          <w:szCs w:val="20"/>
          <w:lang w:val="pt-BR"/>
        </w:rPr>
        <w:t>í</w:t>
      </w:r>
      <w:r w:rsidRPr="00033D7F">
        <w:rPr>
          <w:rFonts w:asciiTheme="majorHAnsi" w:hAnsiTheme="majorHAnsi"/>
          <w:i/>
          <w:iCs/>
          <w:sz w:val="20"/>
          <w:szCs w:val="20"/>
          <w:lang w:val="pt-BR"/>
        </w:rPr>
        <w:t>quez Quiroga (P-1736-19)</w:t>
      </w:r>
    </w:p>
    <w:bookmarkEnd w:id="9"/>
    <w:p w14:paraId="44E3483D" w14:textId="1D810DDA" w:rsidR="005015FA" w:rsidRPr="0060334C" w:rsidRDefault="000C1212" w:rsidP="0060334C">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sz w:val="20"/>
          <w:szCs w:val="20"/>
          <w:lang w:val="es-PE"/>
        </w:rPr>
      </w:pPr>
      <w:r>
        <w:rPr>
          <w:rFonts w:asciiTheme="majorHAnsi" w:hAnsiTheme="majorHAnsi"/>
          <w:sz w:val="20"/>
          <w:szCs w:val="20"/>
          <w:lang w:val="es-PE"/>
        </w:rPr>
        <w:t>Bolivia</w:t>
      </w:r>
      <w:r w:rsidR="004E04F9" w:rsidRPr="005015FA">
        <w:rPr>
          <w:rFonts w:asciiTheme="majorHAnsi" w:hAnsiTheme="majorHAnsi"/>
          <w:sz w:val="20"/>
          <w:szCs w:val="20"/>
          <w:lang w:val="es-PE"/>
        </w:rPr>
        <w:t xml:space="preserve"> señala que en </w:t>
      </w:r>
      <w:r w:rsidR="004C0D55" w:rsidRPr="005015FA">
        <w:rPr>
          <w:rFonts w:asciiTheme="majorHAnsi" w:hAnsiTheme="majorHAnsi"/>
          <w:sz w:val="20"/>
          <w:szCs w:val="20"/>
          <w:lang w:val="es-PE"/>
        </w:rPr>
        <w:t xml:space="preserve">febrero de </w:t>
      </w:r>
      <w:r w:rsidR="004E04F9" w:rsidRPr="005015FA">
        <w:rPr>
          <w:rFonts w:asciiTheme="majorHAnsi" w:hAnsiTheme="majorHAnsi"/>
          <w:sz w:val="20"/>
          <w:szCs w:val="20"/>
          <w:lang w:val="es-PE"/>
        </w:rPr>
        <w:t xml:space="preserve">2016 el </w:t>
      </w:r>
      <w:r w:rsidR="004C0D55" w:rsidRPr="005015FA">
        <w:rPr>
          <w:rFonts w:asciiTheme="majorHAnsi" w:hAnsiTheme="majorHAnsi"/>
          <w:sz w:val="20"/>
          <w:szCs w:val="20"/>
          <w:lang w:val="es-PE"/>
        </w:rPr>
        <w:t xml:space="preserve">Consejo de la Magistratura informó al </w:t>
      </w:r>
      <w:r w:rsidR="004E04F9" w:rsidRPr="005015FA">
        <w:rPr>
          <w:rFonts w:asciiTheme="majorHAnsi" w:hAnsiTheme="majorHAnsi"/>
          <w:sz w:val="20"/>
          <w:szCs w:val="20"/>
          <w:lang w:val="es-PE"/>
        </w:rPr>
        <w:t xml:space="preserve">señor </w:t>
      </w:r>
      <w:r w:rsidR="003C4511" w:rsidRPr="005015FA">
        <w:rPr>
          <w:rFonts w:asciiTheme="majorHAnsi" w:hAnsiTheme="majorHAnsi"/>
          <w:sz w:val="20"/>
          <w:szCs w:val="20"/>
          <w:lang w:val="es-PE"/>
        </w:rPr>
        <w:t>Enríquez</w:t>
      </w:r>
      <w:r w:rsidR="00BE5098">
        <w:rPr>
          <w:rFonts w:asciiTheme="majorHAnsi" w:hAnsiTheme="majorHAnsi"/>
          <w:sz w:val="20"/>
          <w:szCs w:val="20"/>
          <w:lang w:val="es-PE"/>
        </w:rPr>
        <w:t xml:space="preserve"> Quiroga</w:t>
      </w:r>
      <w:r w:rsidR="004E04F9" w:rsidRPr="005015FA">
        <w:rPr>
          <w:rFonts w:asciiTheme="majorHAnsi" w:hAnsiTheme="majorHAnsi"/>
          <w:sz w:val="20"/>
          <w:szCs w:val="20"/>
          <w:lang w:val="es-PE"/>
        </w:rPr>
        <w:t xml:space="preserve"> </w:t>
      </w:r>
      <w:r w:rsidR="004C0D55" w:rsidRPr="005015FA">
        <w:rPr>
          <w:rFonts w:asciiTheme="majorHAnsi" w:hAnsiTheme="majorHAnsi"/>
          <w:sz w:val="20"/>
          <w:szCs w:val="20"/>
          <w:lang w:val="es-PE"/>
        </w:rPr>
        <w:t xml:space="preserve">sobre </w:t>
      </w:r>
      <w:r w:rsidR="004E04F9" w:rsidRPr="005015FA">
        <w:rPr>
          <w:rFonts w:asciiTheme="majorHAnsi" w:hAnsiTheme="majorHAnsi"/>
          <w:sz w:val="20"/>
          <w:szCs w:val="20"/>
          <w:lang w:val="es-PE"/>
        </w:rPr>
        <w:t>el</w:t>
      </w:r>
      <w:r w:rsidR="004C0D55" w:rsidRPr="005015FA">
        <w:rPr>
          <w:rFonts w:asciiTheme="majorHAnsi" w:hAnsiTheme="majorHAnsi"/>
          <w:sz w:val="20"/>
          <w:szCs w:val="20"/>
          <w:lang w:val="es-PE"/>
        </w:rPr>
        <w:t xml:space="preserve"> nuevo</w:t>
      </w:r>
      <w:r w:rsidR="004E04F9" w:rsidRPr="005015FA">
        <w:rPr>
          <w:rFonts w:asciiTheme="majorHAnsi" w:hAnsiTheme="majorHAnsi"/>
          <w:sz w:val="20"/>
          <w:szCs w:val="20"/>
          <w:lang w:val="es-PE"/>
        </w:rPr>
        <w:t xml:space="preserve"> carácter transitorio de su cargo en el marco del reordenamiento del antiguo Poder Judicial, aspecto que no cuestionó</w:t>
      </w:r>
      <w:r w:rsidR="000F6669">
        <w:rPr>
          <w:rFonts w:asciiTheme="majorHAnsi" w:hAnsiTheme="majorHAnsi"/>
          <w:sz w:val="20"/>
          <w:szCs w:val="20"/>
          <w:lang w:val="es-PE"/>
        </w:rPr>
        <w:t xml:space="preserve"> en su momento</w:t>
      </w:r>
      <w:r w:rsidR="004E04F9" w:rsidRPr="005015FA">
        <w:rPr>
          <w:rFonts w:asciiTheme="majorHAnsi" w:hAnsiTheme="majorHAnsi"/>
          <w:sz w:val="20"/>
          <w:szCs w:val="20"/>
          <w:lang w:val="es-PE"/>
        </w:rPr>
        <w:t xml:space="preserve">. </w:t>
      </w:r>
      <w:r w:rsidR="0060334C">
        <w:rPr>
          <w:rFonts w:asciiTheme="majorHAnsi" w:hAnsiTheme="majorHAnsi"/>
          <w:sz w:val="20"/>
          <w:szCs w:val="20"/>
          <w:lang w:val="es-PE"/>
        </w:rPr>
        <w:t>Además, a su criterio</w:t>
      </w:r>
      <w:r w:rsidR="00BE5098">
        <w:rPr>
          <w:rFonts w:asciiTheme="majorHAnsi" w:hAnsiTheme="majorHAnsi"/>
          <w:sz w:val="20"/>
          <w:szCs w:val="20"/>
          <w:lang w:val="es-PE"/>
        </w:rPr>
        <w:t>,</w:t>
      </w:r>
      <w:r w:rsidR="0060334C">
        <w:rPr>
          <w:rFonts w:asciiTheme="majorHAnsi" w:hAnsiTheme="majorHAnsi"/>
          <w:sz w:val="20"/>
          <w:szCs w:val="20"/>
          <w:lang w:val="es-PE"/>
        </w:rPr>
        <w:t xml:space="preserve"> el hecho </w:t>
      </w:r>
      <w:r w:rsidR="00BE5098">
        <w:rPr>
          <w:rFonts w:asciiTheme="majorHAnsi" w:hAnsiTheme="majorHAnsi"/>
          <w:sz w:val="20"/>
          <w:szCs w:val="20"/>
          <w:lang w:val="es-PE"/>
        </w:rPr>
        <w:t xml:space="preserve">de </w:t>
      </w:r>
      <w:r w:rsidR="0060334C">
        <w:rPr>
          <w:rFonts w:asciiTheme="majorHAnsi" w:hAnsiTheme="majorHAnsi"/>
          <w:sz w:val="20"/>
          <w:szCs w:val="20"/>
          <w:lang w:val="es-PE"/>
        </w:rPr>
        <w:t xml:space="preserve">que la presunta víctima haya participado en 2018 y 2021 a dos convocatorias para ingresar a la carrera judicial demuestra que tenía </w:t>
      </w:r>
      <w:r w:rsidR="00DF5894">
        <w:rPr>
          <w:rFonts w:asciiTheme="majorHAnsi" w:hAnsiTheme="majorHAnsi"/>
          <w:sz w:val="20"/>
          <w:szCs w:val="20"/>
          <w:lang w:val="es-PE"/>
        </w:rPr>
        <w:t>conciencia de</w:t>
      </w:r>
      <w:r w:rsidR="0060334C">
        <w:rPr>
          <w:rFonts w:asciiTheme="majorHAnsi" w:hAnsiTheme="majorHAnsi"/>
          <w:sz w:val="20"/>
          <w:szCs w:val="20"/>
          <w:lang w:val="es-PE"/>
        </w:rPr>
        <w:t xml:space="preserve"> que su cargo era provisional. </w:t>
      </w:r>
    </w:p>
    <w:p w14:paraId="1AE5C7BE" w14:textId="77777777" w:rsidR="0060334C" w:rsidRPr="005015FA" w:rsidRDefault="0060334C" w:rsidP="0060334C">
      <w:pPr>
        <w:pStyle w:val="ListParagraph"/>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sz w:val="20"/>
          <w:szCs w:val="20"/>
          <w:lang w:val="es-PE"/>
        </w:rPr>
      </w:pPr>
    </w:p>
    <w:p w14:paraId="3E37E219" w14:textId="5D0616C8" w:rsidR="005015FA" w:rsidRPr="0060334C" w:rsidRDefault="0060334C" w:rsidP="0060334C">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sz w:val="20"/>
          <w:szCs w:val="20"/>
          <w:lang w:val="es-PE"/>
        </w:rPr>
      </w:pPr>
      <w:r w:rsidRPr="0060334C">
        <w:rPr>
          <w:rFonts w:asciiTheme="majorHAnsi" w:hAnsiTheme="majorHAnsi"/>
          <w:sz w:val="20"/>
          <w:szCs w:val="20"/>
          <w:lang w:val="es-PE"/>
        </w:rPr>
        <w:t xml:space="preserve">Finalmente, </w:t>
      </w:r>
      <w:r>
        <w:rPr>
          <w:rFonts w:asciiTheme="majorHAnsi" w:hAnsiTheme="majorHAnsi"/>
          <w:sz w:val="20"/>
          <w:szCs w:val="20"/>
          <w:lang w:val="es-PE"/>
        </w:rPr>
        <w:t xml:space="preserve">detalla que </w:t>
      </w:r>
      <w:r w:rsidRPr="0060334C">
        <w:rPr>
          <w:rFonts w:asciiTheme="majorHAnsi" w:hAnsiTheme="majorHAnsi"/>
          <w:sz w:val="20"/>
          <w:szCs w:val="20"/>
          <w:lang w:val="es-PE"/>
        </w:rPr>
        <w:t xml:space="preserve">el señor Enríquez </w:t>
      </w:r>
      <w:r w:rsidR="00BE5098">
        <w:rPr>
          <w:rFonts w:asciiTheme="majorHAnsi" w:hAnsiTheme="majorHAnsi"/>
          <w:sz w:val="20"/>
          <w:szCs w:val="20"/>
          <w:lang w:val="es-PE"/>
        </w:rPr>
        <w:t xml:space="preserve">Quiroga </w:t>
      </w:r>
      <w:r w:rsidRPr="0060334C">
        <w:rPr>
          <w:rFonts w:asciiTheme="majorHAnsi" w:hAnsiTheme="majorHAnsi"/>
          <w:sz w:val="20"/>
          <w:szCs w:val="20"/>
          <w:lang w:val="es-PE"/>
        </w:rPr>
        <w:t>fue detenido por presunta corrupción en la cárcel de San Roque, obteniendo detención domiciliaria por disposición de un Tribunal de Apelación en marzo de 2016.</w:t>
      </w:r>
      <w:r>
        <w:rPr>
          <w:rFonts w:asciiTheme="majorHAnsi" w:hAnsiTheme="majorHAnsi"/>
          <w:sz w:val="20"/>
          <w:szCs w:val="20"/>
          <w:lang w:val="es-PE"/>
        </w:rPr>
        <w:t xml:space="preserve"> Destaca </w:t>
      </w:r>
      <w:r w:rsidR="00F12A3B">
        <w:rPr>
          <w:rFonts w:asciiTheme="majorHAnsi" w:hAnsiTheme="majorHAnsi"/>
          <w:sz w:val="20"/>
          <w:szCs w:val="20"/>
          <w:lang w:val="es-PE"/>
        </w:rPr>
        <w:t>que,</w:t>
      </w:r>
      <w:r>
        <w:rPr>
          <w:rFonts w:asciiTheme="majorHAnsi" w:hAnsiTheme="majorHAnsi"/>
          <w:sz w:val="20"/>
          <w:szCs w:val="20"/>
          <w:lang w:val="es-PE"/>
        </w:rPr>
        <w:t xml:space="preserve"> s</w:t>
      </w:r>
      <w:r w:rsidR="004C0D55" w:rsidRPr="005015FA">
        <w:rPr>
          <w:rFonts w:asciiTheme="majorHAnsi" w:hAnsiTheme="majorHAnsi"/>
          <w:sz w:val="20"/>
          <w:szCs w:val="20"/>
          <w:lang w:val="es-PE"/>
        </w:rPr>
        <w:t xml:space="preserve">i bien </w:t>
      </w:r>
      <w:r>
        <w:rPr>
          <w:rFonts w:asciiTheme="majorHAnsi" w:hAnsiTheme="majorHAnsi"/>
          <w:sz w:val="20"/>
          <w:szCs w:val="20"/>
          <w:lang w:val="es-PE"/>
        </w:rPr>
        <w:t xml:space="preserve">el Consejo de la Magistratura no </w:t>
      </w:r>
      <w:r w:rsidR="00581651">
        <w:rPr>
          <w:rFonts w:asciiTheme="majorHAnsi" w:hAnsiTheme="majorHAnsi"/>
          <w:sz w:val="20"/>
          <w:szCs w:val="20"/>
          <w:lang w:val="es-PE"/>
        </w:rPr>
        <w:t>se refirió a esta circunstancia en</w:t>
      </w:r>
      <w:r>
        <w:rPr>
          <w:rFonts w:asciiTheme="majorHAnsi" w:hAnsiTheme="majorHAnsi"/>
          <w:sz w:val="20"/>
          <w:szCs w:val="20"/>
          <w:lang w:val="es-PE"/>
        </w:rPr>
        <w:t xml:space="preserve"> los procesos disciplinarios que se iniciaron en su contra al momento de destituirlo, es un criterio que sí tuvo en cuenta. </w:t>
      </w:r>
      <w:r w:rsidR="00EB029A">
        <w:rPr>
          <w:rFonts w:asciiTheme="majorHAnsi" w:hAnsiTheme="majorHAnsi"/>
          <w:sz w:val="20"/>
          <w:szCs w:val="20"/>
          <w:lang w:val="es-PE"/>
        </w:rPr>
        <w:t xml:space="preserve">La CIDH advierte, sin </w:t>
      </w:r>
      <w:r w:rsidR="00F12A3B">
        <w:rPr>
          <w:rFonts w:asciiTheme="majorHAnsi" w:hAnsiTheme="majorHAnsi"/>
          <w:sz w:val="20"/>
          <w:szCs w:val="20"/>
          <w:lang w:val="es-PE"/>
        </w:rPr>
        <w:t>embargo, que</w:t>
      </w:r>
      <w:r w:rsidR="00EB029A">
        <w:rPr>
          <w:rFonts w:asciiTheme="majorHAnsi" w:hAnsiTheme="majorHAnsi"/>
          <w:sz w:val="20"/>
          <w:szCs w:val="20"/>
          <w:lang w:val="es-PE"/>
        </w:rPr>
        <w:t xml:space="preserve"> e</w:t>
      </w:r>
      <w:r w:rsidR="00E6478A">
        <w:rPr>
          <w:rFonts w:asciiTheme="majorHAnsi" w:hAnsiTheme="majorHAnsi"/>
          <w:sz w:val="20"/>
          <w:szCs w:val="20"/>
          <w:lang w:val="es-PE"/>
        </w:rPr>
        <w:t xml:space="preserve">l Estado no indica concretamente en qué se fundamenta su suposición de que el Consejo de la Magistratura tuvo </w:t>
      </w:r>
      <w:r w:rsidR="00394EAA">
        <w:rPr>
          <w:rFonts w:asciiTheme="majorHAnsi" w:hAnsiTheme="majorHAnsi"/>
          <w:sz w:val="20"/>
          <w:szCs w:val="20"/>
          <w:lang w:val="es-PE"/>
        </w:rPr>
        <w:t xml:space="preserve">en cuenta </w:t>
      </w:r>
      <w:r w:rsidR="00131C54">
        <w:rPr>
          <w:rFonts w:asciiTheme="majorHAnsi" w:hAnsiTheme="majorHAnsi"/>
          <w:sz w:val="20"/>
          <w:szCs w:val="20"/>
          <w:lang w:val="es-PE"/>
        </w:rPr>
        <w:t xml:space="preserve">dicho proceso penal </w:t>
      </w:r>
      <w:r w:rsidR="00394EAA">
        <w:rPr>
          <w:rFonts w:asciiTheme="majorHAnsi" w:hAnsiTheme="majorHAnsi"/>
          <w:sz w:val="20"/>
          <w:szCs w:val="20"/>
          <w:lang w:val="es-PE"/>
        </w:rPr>
        <w:t>al momento de desvincular a la presunta víctima.</w:t>
      </w:r>
    </w:p>
    <w:p w14:paraId="0E4D4C3E" w14:textId="0A1B6AF8" w:rsidR="005015FA" w:rsidRPr="005015FA" w:rsidRDefault="005015FA" w:rsidP="005015FA">
      <w:pPr>
        <w:pStyle w:val="ListParagraph"/>
        <w:spacing w:before="240" w:after="240"/>
        <w:jc w:val="both"/>
        <w:rPr>
          <w:rFonts w:asciiTheme="majorHAnsi" w:hAnsiTheme="majorHAnsi"/>
          <w:i/>
          <w:iCs/>
          <w:sz w:val="20"/>
          <w:szCs w:val="20"/>
          <w:highlight w:val="yellow"/>
          <w:lang w:val="pt-BR"/>
        </w:rPr>
      </w:pPr>
      <w:r w:rsidRPr="00033D7F">
        <w:rPr>
          <w:rFonts w:asciiTheme="majorHAnsi" w:hAnsiTheme="majorHAnsi"/>
          <w:i/>
          <w:iCs/>
          <w:sz w:val="20"/>
          <w:szCs w:val="20"/>
          <w:lang w:val="pt-BR"/>
        </w:rPr>
        <w:t>Zulema Javier López (P-2284-19)</w:t>
      </w:r>
    </w:p>
    <w:p w14:paraId="683FE7A3" w14:textId="67C71A13" w:rsidR="005015FA" w:rsidRPr="00F12A3B" w:rsidRDefault="003265BB">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sz w:val="20"/>
          <w:szCs w:val="20"/>
          <w:lang w:val="es-PE"/>
        </w:rPr>
      </w:pPr>
      <w:r w:rsidRPr="005015FA">
        <w:rPr>
          <w:rFonts w:asciiTheme="majorHAnsi" w:hAnsiTheme="majorHAnsi"/>
          <w:sz w:val="20"/>
          <w:szCs w:val="20"/>
          <w:lang w:val="es-PE"/>
        </w:rPr>
        <w:t>El Estado informa que la señora</w:t>
      </w:r>
      <w:r w:rsidR="00EB029A">
        <w:rPr>
          <w:rFonts w:asciiTheme="majorHAnsi" w:hAnsiTheme="majorHAnsi"/>
          <w:sz w:val="20"/>
          <w:szCs w:val="20"/>
          <w:lang w:val="es-PE"/>
        </w:rPr>
        <w:t xml:space="preserve"> Javier</w:t>
      </w:r>
      <w:r w:rsidRPr="005015FA">
        <w:rPr>
          <w:rFonts w:asciiTheme="majorHAnsi" w:hAnsiTheme="majorHAnsi"/>
          <w:sz w:val="20"/>
          <w:szCs w:val="20"/>
          <w:lang w:val="es-PE"/>
        </w:rPr>
        <w:t xml:space="preserve"> López tenía conocimiento del </w:t>
      </w:r>
      <w:r w:rsidRPr="00F12A3B">
        <w:rPr>
          <w:rFonts w:asciiTheme="majorHAnsi" w:hAnsiTheme="majorHAnsi"/>
          <w:sz w:val="20"/>
          <w:szCs w:val="20"/>
          <w:lang w:val="es-PE"/>
        </w:rPr>
        <w:t xml:space="preserve">carácter transitorio de su cargo desde febrero de 2016. Teniendo en cuenta </w:t>
      </w:r>
      <w:r w:rsidR="005A6ECD" w:rsidRPr="00F12A3B">
        <w:rPr>
          <w:rFonts w:asciiTheme="majorHAnsi" w:hAnsiTheme="majorHAnsi"/>
          <w:sz w:val="20"/>
          <w:szCs w:val="20"/>
          <w:lang w:val="es-PE"/>
        </w:rPr>
        <w:t>esta circunstancia</w:t>
      </w:r>
      <w:r w:rsidR="00EB029A" w:rsidRPr="00F12A3B">
        <w:rPr>
          <w:rFonts w:asciiTheme="majorHAnsi" w:hAnsiTheme="majorHAnsi"/>
          <w:sz w:val="20"/>
          <w:szCs w:val="20"/>
          <w:lang w:val="es-PE"/>
        </w:rPr>
        <w:t>,</w:t>
      </w:r>
      <w:r w:rsidRPr="00F12A3B">
        <w:rPr>
          <w:rFonts w:asciiTheme="majorHAnsi" w:hAnsiTheme="majorHAnsi"/>
          <w:sz w:val="20"/>
          <w:szCs w:val="20"/>
          <w:lang w:val="es-PE"/>
        </w:rPr>
        <w:t xml:space="preserve"> </w:t>
      </w:r>
      <w:r w:rsidR="000F6669" w:rsidRPr="00F12A3B">
        <w:rPr>
          <w:rFonts w:asciiTheme="majorHAnsi" w:hAnsiTheme="majorHAnsi"/>
          <w:sz w:val="20"/>
          <w:szCs w:val="20"/>
          <w:lang w:val="es-PE"/>
        </w:rPr>
        <w:t xml:space="preserve">en </w:t>
      </w:r>
      <w:r w:rsidRPr="00F12A3B">
        <w:rPr>
          <w:rFonts w:asciiTheme="majorHAnsi" w:hAnsiTheme="majorHAnsi"/>
          <w:sz w:val="20"/>
          <w:szCs w:val="20"/>
          <w:lang w:val="es-PE"/>
        </w:rPr>
        <w:t>20</w:t>
      </w:r>
      <w:r w:rsidR="002A1700" w:rsidRPr="00F12A3B">
        <w:rPr>
          <w:rFonts w:asciiTheme="majorHAnsi" w:hAnsiTheme="majorHAnsi"/>
          <w:sz w:val="20"/>
          <w:szCs w:val="20"/>
          <w:lang w:val="es-PE"/>
        </w:rPr>
        <w:t>2</w:t>
      </w:r>
      <w:r w:rsidRPr="00F12A3B">
        <w:rPr>
          <w:rFonts w:asciiTheme="majorHAnsi" w:hAnsiTheme="majorHAnsi"/>
          <w:sz w:val="20"/>
          <w:szCs w:val="20"/>
          <w:lang w:val="es-PE"/>
        </w:rPr>
        <w:t>0 se presentó a una convocatoria pública para ingresar a la carrera judicial</w:t>
      </w:r>
      <w:r w:rsidR="00EB029A" w:rsidRPr="00F12A3B">
        <w:rPr>
          <w:rFonts w:asciiTheme="majorHAnsi" w:hAnsiTheme="majorHAnsi"/>
          <w:sz w:val="20"/>
          <w:szCs w:val="20"/>
          <w:lang w:val="es-PE"/>
        </w:rPr>
        <w:t>;</w:t>
      </w:r>
      <w:r w:rsidRPr="00F12A3B">
        <w:rPr>
          <w:rFonts w:asciiTheme="majorHAnsi" w:hAnsiTheme="majorHAnsi"/>
          <w:sz w:val="20"/>
          <w:szCs w:val="20"/>
          <w:lang w:val="es-PE"/>
        </w:rPr>
        <w:t xml:space="preserve"> sin embargo, no continu</w:t>
      </w:r>
      <w:r w:rsidR="00EB4A72" w:rsidRPr="00F12A3B">
        <w:rPr>
          <w:rFonts w:asciiTheme="majorHAnsi" w:hAnsiTheme="majorHAnsi"/>
          <w:sz w:val="20"/>
          <w:szCs w:val="20"/>
          <w:lang w:val="es-PE"/>
        </w:rPr>
        <w:t>ó</w:t>
      </w:r>
      <w:r w:rsidRPr="00F12A3B">
        <w:rPr>
          <w:rFonts w:asciiTheme="majorHAnsi" w:hAnsiTheme="majorHAnsi"/>
          <w:sz w:val="20"/>
          <w:szCs w:val="20"/>
          <w:lang w:val="es-PE"/>
        </w:rPr>
        <w:t xml:space="preserve"> con el proceso pese a haber quedado habilitada para el examen de admisión. </w:t>
      </w:r>
      <w:r w:rsidR="00EB4A72" w:rsidRPr="00F12A3B">
        <w:rPr>
          <w:rFonts w:asciiTheme="majorHAnsi" w:hAnsiTheme="majorHAnsi"/>
          <w:sz w:val="20"/>
          <w:szCs w:val="20"/>
          <w:lang w:val="es-PE"/>
        </w:rPr>
        <w:t xml:space="preserve">Aclara </w:t>
      </w:r>
      <w:r w:rsidRPr="00F12A3B">
        <w:rPr>
          <w:rFonts w:asciiTheme="majorHAnsi" w:hAnsiTheme="majorHAnsi"/>
          <w:sz w:val="20"/>
          <w:szCs w:val="20"/>
          <w:lang w:val="es-PE"/>
        </w:rPr>
        <w:t xml:space="preserve">que en este caso la desvinculación del cargo no se dio </w:t>
      </w:r>
      <w:r w:rsidR="000F6669" w:rsidRPr="00F12A3B">
        <w:rPr>
          <w:rFonts w:asciiTheme="majorHAnsi" w:hAnsiTheme="majorHAnsi"/>
          <w:sz w:val="20"/>
          <w:szCs w:val="20"/>
          <w:lang w:val="es-PE"/>
        </w:rPr>
        <w:t>debido a</w:t>
      </w:r>
      <w:r w:rsidRPr="00F12A3B">
        <w:rPr>
          <w:rFonts w:asciiTheme="majorHAnsi" w:hAnsiTheme="majorHAnsi"/>
          <w:sz w:val="20"/>
          <w:szCs w:val="20"/>
          <w:lang w:val="es-PE"/>
        </w:rPr>
        <w:t xml:space="preserve"> medidas disciplinarias, sino </w:t>
      </w:r>
      <w:r w:rsidR="00C72687" w:rsidRPr="00F12A3B">
        <w:rPr>
          <w:rFonts w:asciiTheme="majorHAnsi" w:hAnsiTheme="majorHAnsi"/>
          <w:sz w:val="20"/>
          <w:szCs w:val="20"/>
          <w:lang w:val="es-PE"/>
        </w:rPr>
        <w:t xml:space="preserve">a </w:t>
      </w:r>
      <w:r w:rsidRPr="00F12A3B">
        <w:rPr>
          <w:rFonts w:asciiTheme="majorHAnsi" w:hAnsiTheme="majorHAnsi"/>
          <w:sz w:val="20"/>
          <w:szCs w:val="20"/>
          <w:lang w:val="es-PE"/>
        </w:rPr>
        <w:t>que simplemente</w:t>
      </w:r>
      <w:r w:rsidR="00EA58FF" w:rsidRPr="00F12A3B">
        <w:rPr>
          <w:rFonts w:asciiTheme="majorHAnsi" w:hAnsiTheme="majorHAnsi"/>
          <w:sz w:val="20"/>
          <w:szCs w:val="20"/>
          <w:lang w:val="es-PE"/>
        </w:rPr>
        <w:t xml:space="preserve"> la presunta víctima </w:t>
      </w:r>
      <w:r w:rsidRPr="00F12A3B">
        <w:rPr>
          <w:rFonts w:asciiTheme="majorHAnsi" w:hAnsiTheme="majorHAnsi"/>
          <w:sz w:val="20"/>
          <w:szCs w:val="20"/>
          <w:lang w:val="es-PE"/>
        </w:rPr>
        <w:t>cumplió su mandato y fue reemplazada por una jueza de carrera seleccionada conform</w:t>
      </w:r>
      <w:r w:rsidR="00EA58FF" w:rsidRPr="00F12A3B">
        <w:rPr>
          <w:rFonts w:asciiTheme="majorHAnsi" w:hAnsiTheme="majorHAnsi"/>
          <w:sz w:val="20"/>
          <w:szCs w:val="20"/>
          <w:lang w:val="es-PE"/>
        </w:rPr>
        <w:t>e</w:t>
      </w:r>
      <w:r w:rsidRPr="00F12A3B">
        <w:rPr>
          <w:rFonts w:asciiTheme="majorHAnsi" w:hAnsiTheme="majorHAnsi"/>
          <w:sz w:val="20"/>
          <w:szCs w:val="20"/>
          <w:lang w:val="es-PE"/>
        </w:rPr>
        <w:t xml:space="preserve"> a la normativa vigente.  </w:t>
      </w:r>
    </w:p>
    <w:p w14:paraId="668F530F" w14:textId="77777777" w:rsidR="005015FA" w:rsidRPr="00F12A3B" w:rsidRDefault="005015FA" w:rsidP="005015FA">
      <w:pPr>
        <w:pStyle w:val="ListParagraph"/>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sz w:val="20"/>
          <w:szCs w:val="20"/>
          <w:lang w:val="es-PE"/>
        </w:rPr>
      </w:pPr>
    </w:p>
    <w:p w14:paraId="624D5870" w14:textId="2740D6FE" w:rsidR="005015FA" w:rsidRPr="00F12A3B" w:rsidRDefault="003265BB">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sz w:val="20"/>
          <w:szCs w:val="20"/>
          <w:lang w:val="es-PE"/>
        </w:rPr>
      </w:pPr>
      <w:r w:rsidRPr="00F12A3B">
        <w:rPr>
          <w:rFonts w:asciiTheme="majorHAnsi" w:hAnsiTheme="majorHAnsi"/>
          <w:sz w:val="20"/>
          <w:szCs w:val="20"/>
          <w:lang w:val="es-PE"/>
        </w:rPr>
        <w:t xml:space="preserve">Además, alega que la CIDH carece de competencia para pronunciarse sobre vulneraciones a la Convención Interamericana para la Eliminación de todas las Formas de Discriminación contra las </w:t>
      </w:r>
      <w:r w:rsidR="00C72687" w:rsidRPr="00F12A3B">
        <w:rPr>
          <w:rFonts w:asciiTheme="majorHAnsi" w:hAnsiTheme="majorHAnsi"/>
          <w:sz w:val="20"/>
          <w:szCs w:val="20"/>
          <w:lang w:val="es-PE"/>
        </w:rPr>
        <w:t>P</w:t>
      </w:r>
      <w:r w:rsidRPr="00F12A3B">
        <w:rPr>
          <w:rFonts w:asciiTheme="majorHAnsi" w:hAnsiTheme="majorHAnsi"/>
          <w:sz w:val="20"/>
          <w:szCs w:val="20"/>
          <w:lang w:val="es-PE"/>
        </w:rPr>
        <w:t xml:space="preserve">ersonas con Discapacidad, </w:t>
      </w:r>
      <w:r w:rsidR="00D100F9" w:rsidRPr="00F12A3B">
        <w:rPr>
          <w:rFonts w:asciiTheme="majorHAnsi" w:hAnsiTheme="majorHAnsi"/>
          <w:sz w:val="20"/>
          <w:szCs w:val="20"/>
          <w:lang w:val="es-PE"/>
        </w:rPr>
        <w:t>pues</w:t>
      </w:r>
      <w:r w:rsidRPr="00F12A3B">
        <w:rPr>
          <w:rFonts w:asciiTheme="majorHAnsi" w:hAnsiTheme="majorHAnsi"/>
          <w:sz w:val="20"/>
          <w:szCs w:val="20"/>
          <w:lang w:val="es-PE"/>
        </w:rPr>
        <w:t xml:space="preserve"> este tratado cuenta con un órgano propio para la supervisión de sus disposiciones y no existe disposición que reconozca </w:t>
      </w:r>
      <w:r w:rsidR="00514A54" w:rsidRPr="00F12A3B">
        <w:rPr>
          <w:rFonts w:asciiTheme="majorHAnsi" w:hAnsiTheme="majorHAnsi"/>
          <w:sz w:val="20"/>
          <w:szCs w:val="20"/>
          <w:lang w:val="es-PE"/>
        </w:rPr>
        <w:t xml:space="preserve">su </w:t>
      </w:r>
      <w:r w:rsidRPr="00F12A3B">
        <w:rPr>
          <w:rFonts w:asciiTheme="majorHAnsi" w:hAnsiTheme="majorHAnsi"/>
          <w:sz w:val="20"/>
          <w:szCs w:val="20"/>
          <w:lang w:val="es-PE"/>
        </w:rPr>
        <w:t xml:space="preserve">competencia. Sin perjuicio de ello, señala que la señora </w:t>
      </w:r>
      <w:r w:rsidR="00D100F9" w:rsidRPr="00F12A3B">
        <w:rPr>
          <w:rFonts w:asciiTheme="majorHAnsi" w:hAnsiTheme="majorHAnsi"/>
          <w:sz w:val="20"/>
          <w:szCs w:val="20"/>
          <w:lang w:val="es-PE"/>
        </w:rPr>
        <w:t xml:space="preserve">Javier </w:t>
      </w:r>
      <w:r w:rsidRPr="00F12A3B">
        <w:rPr>
          <w:rFonts w:asciiTheme="majorHAnsi" w:hAnsiTheme="majorHAnsi"/>
          <w:sz w:val="20"/>
          <w:szCs w:val="20"/>
          <w:lang w:val="es-PE"/>
        </w:rPr>
        <w:t>López no se encuentra en el Registro Único Nacional de Personas con Discapacidad de Bolivia y no hay registro de que haya informado al Órgano Judicial sobre su presunta condición de discapacidad, antes de su desvinculación.</w:t>
      </w:r>
    </w:p>
    <w:p w14:paraId="4C46A192" w14:textId="77777777" w:rsidR="005015FA" w:rsidRPr="00F12A3B" w:rsidRDefault="005015FA" w:rsidP="005015FA">
      <w:pPr>
        <w:pStyle w:val="ListParagraph"/>
        <w:rPr>
          <w:rFonts w:asciiTheme="majorHAnsi" w:hAnsiTheme="majorHAnsi"/>
          <w:sz w:val="20"/>
          <w:szCs w:val="20"/>
          <w:lang w:val="es-PE"/>
        </w:rPr>
      </w:pPr>
    </w:p>
    <w:p w14:paraId="21202B9C" w14:textId="7D84A87C" w:rsidR="005015FA" w:rsidRPr="00F12A3B" w:rsidRDefault="00222637">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sz w:val="20"/>
          <w:szCs w:val="20"/>
          <w:lang w:val="es-PE"/>
        </w:rPr>
      </w:pPr>
      <w:r w:rsidRPr="00F12A3B">
        <w:rPr>
          <w:rFonts w:asciiTheme="majorHAnsi" w:hAnsiTheme="majorHAnsi"/>
          <w:sz w:val="20"/>
          <w:szCs w:val="20"/>
          <w:lang w:val="es-PE"/>
        </w:rPr>
        <w:t xml:space="preserve">Respecto a la caracterización de los hechos, Bolivia agrega que </w:t>
      </w:r>
      <w:r w:rsidR="003265BB" w:rsidRPr="00F12A3B">
        <w:rPr>
          <w:rFonts w:asciiTheme="majorHAnsi" w:hAnsiTheme="majorHAnsi"/>
          <w:sz w:val="20"/>
          <w:szCs w:val="20"/>
          <w:lang w:val="es-PE"/>
        </w:rPr>
        <w:t xml:space="preserve">cuando </w:t>
      </w:r>
      <w:r w:rsidRPr="00F12A3B">
        <w:rPr>
          <w:rFonts w:asciiTheme="majorHAnsi" w:hAnsiTheme="majorHAnsi"/>
          <w:sz w:val="20"/>
          <w:szCs w:val="20"/>
          <w:lang w:val="es-PE"/>
        </w:rPr>
        <w:t xml:space="preserve">el </w:t>
      </w:r>
      <w:r w:rsidR="003265BB" w:rsidRPr="00F12A3B">
        <w:rPr>
          <w:rFonts w:asciiTheme="majorHAnsi" w:hAnsiTheme="majorHAnsi"/>
          <w:sz w:val="20"/>
          <w:szCs w:val="20"/>
          <w:lang w:val="es-PE"/>
        </w:rPr>
        <w:t xml:space="preserve">Juzgado Público Civil y Comercial N°27 </w:t>
      </w:r>
      <w:r w:rsidRPr="00F12A3B">
        <w:rPr>
          <w:rFonts w:asciiTheme="majorHAnsi" w:hAnsiTheme="majorHAnsi"/>
          <w:sz w:val="20"/>
          <w:szCs w:val="20"/>
          <w:lang w:val="es-PE"/>
        </w:rPr>
        <w:t>determinó denegar la tutel</w:t>
      </w:r>
      <w:r w:rsidR="003265BB" w:rsidRPr="00F12A3B">
        <w:rPr>
          <w:rFonts w:asciiTheme="majorHAnsi" w:hAnsiTheme="majorHAnsi"/>
          <w:sz w:val="20"/>
          <w:szCs w:val="20"/>
          <w:lang w:val="es-PE"/>
        </w:rPr>
        <w:t>a a la presunta víctima por la transitoriedad de su cargo, también indicó que no</w:t>
      </w:r>
      <w:r w:rsidRPr="00F12A3B">
        <w:rPr>
          <w:rFonts w:asciiTheme="majorHAnsi" w:hAnsiTheme="majorHAnsi"/>
          <w:sz w:val="20"/>
          <w:szCs w:val="20"/>
          <w:lang w:val="es-PE"/>
        </w:rPr>
        <w:t xml:space="preserve"> aportó documentación que acredite una capacidad diferente o incapacidad determinada</w:t>
      </w:r>
      <w:r w:rsidR="003265BB" w:rsidRPr="00F12A3B">
        <w:rPr>
          <w:rFonts w:asciiTheme="majorHAnsi" w:hAnsiTheme="majorHAnsi"/>
          <w:sz w:val="20"/>
          <w:szCs w:val="20"/>
          <w:lang w:val="es-PE"/>
        </w:rPr>
        <w:t xml:space="preserve"> para </w:t>
      </w:r>
      <w:r w:rsidR="003265BB" w:rsidRPr="00F12A3B">
        <w:rPr>
          <w:rFonts w:asciiTheme="majorHAnsi" w:hAnsiTheme="majorHAnsi"/>
          <w:sz w:val="20"/>
          <w:szCs w:val="20"/>
          <w:lang w:val="es-PE"/>
        </w:rPr>
        <w:lastRenderedPageBreak/>
        <w:t>tomar en cuenta su solicitud de inamovilidad laboral.</w:t>
      </w:r>
      <w:r w:rsidRPr="00F12A3B">
        <w:rPr>
          <w:rFonts w:asciiTheme="majorHAnsi" w:hAnsiTheme="majorHAnsi"/>
          <w:sz w:val="20"/>
          <w:szCs w:val="20"/>
          <w:lang w:val="es-PE"/>
        </w:rPr>
        <w:t xml:space="preserve"> </w:t>
      </w:r>
      <w:r w:rsidR="003265BB" w:rsidRPr="00F12A3B">
        <w:rPr>
          <w:rFonts w:asciiTheme="majorHAnsi" w:hAnsiTheme="majorHAnsi"/>
          <w:sz w:val="20"/>
          <w:szCs w:val="20"/>
          <w:lang w:val="es-PE"/>
        </w:rPr>
        <w:t>En esa línea,</w:t>
      </w:r>
      <w:r w:rsidRPr="00F12A3B">
        <w:rPr>
          <w:rFonts w:asciiTheme="majorHAnsi" w:hAnsiTheme="majorHAnsi"/>
          <w:sz w:val="20"/>
          <w:szCs w:val="20"/>
          <w:lang w:val="es-PE"/>
        </w:rPr>
        <w:t xml:space="preserve"> enfatiza que la CIDH no </w:t>
      </w:r>
      <w:r w:rsidR="003265BB" w:rsidRPr="00F12A3B">
        <w:rPr>
          <w:rFonts w:asciiTheme="majorHAnsi" w:hAnsiTheme="majorHAnsi"/>
          <w:sz w:val="20"/>
          <w:szCs w:val="20"/>
          <w:lang w:val="es-PE"/>
        </w:rPr>
        <w:t>se encuentra</w:t>
      </w:r>
      <w:r w:rsidRPr="00F12A3B">
        <w:rPr>
          <w:rFonts w:asciiTheme="majorHAnsi" w:hAnsiTheme="majorHAnsi"/>
          <w:sz w:val="20"/>
          <w:szCs w:val="20"/>
          <w:lang w:val="es-PE"/>
        </w:rPr>
        <w:t xml:space="preserve"> facultada para revisar resoluciones de tribunales internos que actúan </w:t>
      </w:r>
      <w:r w:rsidR="003265BB" w:rsidRPr="00F12A3B">
        <w:rPr>
          <w:rFonts w:asciiTheme="majorHAnsi" w:hAnsiTheme="majorHAnsi"/>
          <w:sz w:val="20"/>
          <w:szCs w:val="20"/>
          <w:lang w:val="es-PE"/>
        </w:rPr>
        <w:t>cumpliendo el debido proceso.</w:t>
      </w:r>
    </w:p>
    <w:p w14:paraId="60727841" w14:textId="3763A8B6" w:rsidR="005015FA" w:rsidRPr="00F12A3B" w:rsidRDefault="005015FA" w:rsidP="005015FA">
      <w:pPr>
        <w:pStyle w:val="ListParagraph"/>
        <w:spacing w:before="240" w:after="240"/>
        <w:jc w:val="both"/>
        <w:rPr>
          <w:rFonts w:asciiTheme="majorHAnsi" w:hAnsiTheme="majorHAnsi"/>
          <w:i/>
          <w:iCs/>
          <w:sz w:val="20"/>
          <w:szCs w:val="20"/>
          <w:lang w:val="pt-BR"/>
        </w:rPr>
      </w:pPr>
      <w:r w:rsidRPr="00F12A3B">
        <w:rPr>
          <w:rFonts w:asciiTheme="majorHAnsi" w:hAnsiTheme="majorHAnsi"/>
          <w:i/>
          <w:iCs/>
          <w:sz w:val="20"/>
          <w:szCs w:val="20"/>
          <w:lang w:val="pt-BR"/>
        </w:rPr>
        <w:t>Rosmery Mor</w:t>
      </w:r>
      <w:r w:rsidR="00C6420B" w:rsidRPr="00F12A3B">
        <w:rPr>
          <w:rFonts w:asciiTheme="majorHAnsi" w:hAnsiTheme="majorHAnsi"/>
          <w:i/>
          <w:iCs/>
          <w:sz w:val="20"/>
          <w:szCs w:val="20"/>
          <w:lang w:val="pt-BR"/>
        </w:rPr>
        <w:t>ó</w:t>
      </w:r>
      <w:r w:rsidRPr="00F12A3B">
        <w:rPr>
          <w:rFonts w:asciiTheme="majorHAnsi" w:hAnsiTheme="majorHAnsi"/>
          <w:i/>
          <w:iCs/>
          <w:sz w:val="20"/>
          <w:szCs w:val="20"/>
          <w:lang w:val="pt-BR"/>
        </w:rPr>
        <w:t>n Sanjinéz (P-2625-19)</w:t>
      </w:r>
    </w:p>
    <w:p w14:paraId="4F51073B" w14:textId="6540918F" w:rsidR="005015FA" w:rsidRPr="000763A0" w:rsidRDefault="0029073F">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sz w:val="20"/>
          <w:szCs w:val="20"/>
          <w:lang w:val="es-PE"/>
        </w:rPr>
      </w:pPr>
      <w:r w:rsidRPr="00F12A3B">
        <w:rPr>
          <w:rFonts w:asciiTheme="majorHAnsi" w:hAnsiTheme="majorHAnsi"/>
          <w:sz w:val="20"/>
          <w:szCs w:val="20"/>
          <w:lang w:val="es-PE"/>
        </w:rPr>
        <w:t>El Estado alega que</w:t>
      </w:r>
      <w:r w:rsidR="009A12FF" w:rsidRPr="00F12A3B">
        <w:rPr>
          <w:rFonts w:asciiTheme="majorHAnsi" w:hAnsiTheme="majorHAnsi"/>
          <w:sz w:val="20"/>
          <w:szCs w:val="20"/>
          <w:lang w:val="es-PE"/>
        </w:rPr>
        <w:t xml:space="preserve"> </w:t>
      </w:r>
      <w:r w:rsidRPr="00F12A3B">
        <w:rPr>
          <w:rFonts w:asciiTheme="majorHAnsi" w:hAnsiTheme="majorHAnsi"/>
          <w:sz w:val="20"/>
          <w:szCs w:val="20"/>
          <w:lang w:val="es-PE"/>
        </w:rPr>
        <w:t>no cumple con el requisito de admisibilidad establecido en el artículo 46.1</w:t>
      </w:r>
      <w:r w:rsidR="009A12FF" w:rsidRPr="00F12A3B">
        <w:rPr>
          <w:rFonts w:asciiTheme="majorHAnsi" w:hAnsiTheme="majorHAnsi"/>
          <w:sz w:val="20"/>
          <w:szCs w:val="20"/>
          <w:lang w:val="es-PE"/>
        </w:rPr>
        <w:t>.</w:t>
      </w:r>
      <w:r w:rsidRPr="00F12A3B">
        <w:rPr>
          <w:rFonts w:asciiTheme="majorHAnsi" w:hAnsiTheme="majorHAnsi"/>
          <w:sz w:val="20"/>
          <w:szCs w:val="20"/>
          <w:lang w:val="es-PE"/>
        </w:rPr>
        <w:t xml:space="preserve">b) de la </w:t>
      </w:r>
      <w:r w:rsidR="00A13BC7" w:rsidRPr="00F12A3B">
        <w:rPr>
          <w:rFonts w:asciiTheme="majorHAnsi" w:hAnsiTheme="majorHAnsi"/>
          <w:sz w:val="20"/>
          <w:szCs w:val="20"/>
          <w:lang w:val="es-PE"/>
        </w:rPr>
        <w:t>Convención Americana</w:t>
      </w:r>
      <w:r w:rsidRPr="00F12A3B">
        <w:rPr>
          <w:rFonts w:asciiTheme="majorHAnsi" w:hAnsiTheme="majorHAnsi"/>
          <w:sz w:val="20"/>
          <w:szCs w:val="20"/>
          <w:lang w:val="es-PE"/>
        </w:rPr>
        <w:t>, debido a que la sentencia SCP N°0722/2018-S3</w:t>
      </w:r>
      <w:r w:rsidR="00633B17" w:rsidRPr="00F12A3B">
        <w:rPr>
          <w:rFonts w:asciiTheme="majorHAnsi" w:hAnsiTheme="majorHAnsi"/>
          <w:sz w:val="20"/>
          <w:szCs w:val="20"/>
          <w:lang w:val="es-PE"/>
        </w:rPr>
        <w:t>,</w:t>
      </w:r>
      <w:r w:rsidRPr="00F12A3B">
        <w:rPr>
          <w:rFonts w:asciiTheme="majorHAnsi" w:hAnsiTheme="majorHAnsi"/>
          <w:sz w:val="20"/>
          <w:szCs w:val="20"/>
          <w:lang w:val="es-PE"/>
        </w:rPr>
        <w:t xml:space="preserve"> que rechazó la acción de amparo interpuesta por la señora Mor</w:t>
      </w:r>
      <w:r w:rsidR="00C6420B" w:rsidRPr="00F12A3B">
        <w:rPr>
          <w:rFonts w:asciiTheme="majorHAnsi" w:hAnsiTheme="majorHAnsi"/>
          <w:sz w:val="20"/>
          <w:szCs w:val="20"/>
          <w:lang w:val="es-PE"/>
        </w:rPr>
        <w:t>ó</w:t>
      </w:r>
      <w:r w:rsidRPr="00F12A3B">
        <w:rPr>
          <w:rFonts w:asciiTheme="majorHAnsi" w:hAnsiTheme="majorHAnsi"/>
          <w:sz w:val="20"/>
          <w:szCs w:val="20"/>
          <w:lang w:val="es-PE"/>
        </w:rPr>
        <w:t xml:space="preserve">n </w:t>
      </w:r>
      <w:r w:rsidR="00633B17" w:rsidRPr="00F12A3B">
        <w:rPr>
          <w:rFonts w:asciiTheme="majorHAnsi" w:hAnsiTheme="majorHAnsi"/>
          <w:sz w:val="20"/>
          <w:szCs w:val="20"/>
          <w:lang w:val="es-PE"/>
        </w:rPr>
        <w:t xml:space="preserve">Sanjinéz, </w:t>
      </w:r>
      <w:r w:rsidRPr="00F12A3B">
        <w:rPr>
          <w:rFonts w:asciiTheme="majorHAnsi" w:hAnsiTheme="majorHAnsi"/>
          <w:sz w:val="20"/>
          <w:szCs w:val="20"/>
          <w:lang w:val="es-PE"/>
        </w:rPr>
        <w:t>fue notificada el 30 de abril de 2019</w:t>
      </w:r>
      <w:r w:rsidR="00633B17" w:rsidRPr="00F12A3B">
        <w:rPr>
          <w:rFonts w:asciiTheme="majorHAnsi" w:hAnsiTheme="majorHAnsi"/>
          <w:sz w:val="20"/>
          <w:szCs w:val="20"/>
          <w:lang w:val="es-PE"/>
        </w:rPr>
        <w:t>;</w:t>
      </w:r>
      <w:r w:rsidRPr="00F12A3B">
        <w:rPr>
          <w:rFonts w:asciiTheme="majorHAnsi" w:hAnsiTheme="majorHAnsi"/>
          <w:sz w:val="20"/>
          <w:szCs w:val="20"/>
          <w:lang w:val="es-PE"/>
        </w:rPr>
        <w:t xml:space="preserve"> sin embargo, su petición individual fue presentada</w:t>
      </w:r>
      <w:r w:rsidR="00233EB9" w:rsidRPr="00F12A3B">
        <w:rPr>
          <w:rFonts w:asciiTheme="majorHAnsi" w:hAnsiTheme="majorHAnsi"/>
          <w:sz w:val="20"/>
          <w:szCs w:val="20"/>
          <w:lang w:val="es-PE"/>
        </w:rPr>
        <w:t xml:space="preserve"> a la CIDH</w:t>
      </w:r>
      <w:r w:rsidRPr="00F12A3B">
        <w:rPr>
          <w:rFonts w:asciiTheme="majorHAnsi" w:hAnsiTheme="majorHAnsi"/>
          <w:sz w:val="20"/>
          <w:szCs w:val="20"/>
          <w:lang w:val="es-PE"/>
        </w:rPr>
        <w:t xml:space="preserve"> el 5 de noviembre de 2019, </w:t>
      </w:r>
      <w:r w:rsidR="00233EB9" w:rsidRPr="00F12A3B">
        <w:rPr>
          <w:rFonts w:asciiTheme="majorHAnsi" w:hAnsiTheme="majorHAnsi"/>
          <w:sz w:val="20"/>
          <w:szCs w:val="20"/>
          <w:lang w:val="es-PE"/>
        </w:rPr>
        <w:t xml:space="preserve">es decir </w:t>
      </w:r>
      <w:r w:rsidRPr="00F12A3B">
        <w:rPr>
          <w:rFonts w:asciiTheme="majorHAnsi" w:hAnsiTheme="majorHAnsi"/>
          <w:sz w:val="20"/>
          <w:szCs w:val="20"/>
          <w:lang w:val="es-PE"/>
        </w:rPr>
        <w:t>seis meses y seis días después. Afirma que el recurso de aclaración, enmienda y complementación no configura un parámetro para</w:t>
      </w:r>
      <w:r w:rsidRPr="005015FA">
        <w:rPr>
          <w:rFonts w:asciiTheme="majorHAnsi" w:hAnsiTheme="majorHAnsi"/>
          <w:sz w:val="20"/>
          <w:szCs w:val="20"/>
          <w:lang w:val="es-PE"/>
        </w:rPr>
        <w:t xml:space="preserve"> contabilizar el plazo de caducidad, toda vez que está destinado a aclarar conceptos</w:t>
      </w:r>
      <w:r w:rsidR="003A7A89">
        <w:rPr>
          <w:rFonts w:asciiTheme="majorHAnsi" w:hAnsiTheme="majorHAnsi"/>
          <w:sz w:val="20"/>
          <w:szCs w:val="20"/>
          <w:lang w:val="es-PE"/>
        </w:rPr>
        <w:t xml:space="preserve"> y/o a </w:t>
      </w:r>
      <w:r w:rsidRPr="005015FA">
        <w:rPr>
          <w:rFonts w:asciiTheme="majorHAnsi" w:hAnsiTheme="majorHAnsi"/>
          <w:sz w:val="20"/>
          <w:szCs w:val="20"/>
          <w:lang w:val="es-PE"/>
        </w:rPr>
        <w:t>corregir omisiones, no a remediar supuestas vulneraciones de derechos.</w:t>
      </w:r>
    </w:p>
    <w:p w14:paraId="309B7F42" w14:textId="77777777" w:rsidR="000763A0" w:rsidRPr="000763A0" w:rsidRDefault="000763A0" w:rsidP="000763A0">
      <w:pPr>
        <w:pStyle w:val="ListParagraph"/>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sz w:val="20"/>
          <w:szCs w:val="20"/>
          <w:lang w:val="es-PE"/>
        </w:rPr>
      </w:pPr>
    </w:p>
    <w:p w14:paraId="779A8C96" w14:textId="1A50ACEC" w:rsidR="000763A0" w:rsidRPr="006D0BCC" w:rsidRDefault="000763A0">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sz w:val="20"/>
          <w:szCs w:val="20"/>
          <w:lang w:val="es-PE"/>
        </w:rPr>
      </w:pPr>
      <w:r w:rsidRPr="006D0BCC">
        <w:rPr>
          <w:sz w:val="20"/>
          <w:szCs w:val="20"/>
          <w:lang w:val="es-PE"/>
        </w:rPr>
        <w:t xml:space="preserve">Bolivia precisa que persiste </w:t>
      </w:r>
      <w:r w:rsidR="008821AC">
        <w:rPr>
          <w:sz w:val="20"/>
          <w:szCs w:val="20"/>
          <w:lang w:val="es-PE"/>
        </w:rPr>
        <w:t>la</w:t>
      </w:r>
      <w:r w:rsidRPr="006D0BCC">
        <w:rPr>
          <w:sz w:val="20"/>
          <w:szCs w:val="20"/>
          <w:lang w:val="es-PE"/>
        </w:rPr>
        <w:t xml:space="preserve"> falta de caracterización de vulneración de derechos </w:t>
      </w:r>
      <w:r w:rsidR="006D0BCC" w:rsidRPr="006D0BCC">
        <w:rPr>
          <w:rFonts w:asciiTheme="majorHAnsi" w:hAnsiTheme="majorHAnsi"/>
          <w:sz w:val="20"/>
          <w:szCs w:val="20"/>
          <w:lang w:val="es-PE"/>
        </w:rPr>
        <w:t>ya que la presunta víctima conocía el carácter provisorio de su cargo</w:t>
      </w:r>
      <w:r w:rsidR="00BD7586">
        <w:rPr>
          <w:rFonts w:asciiTheme="majorHAnsi" w:hAnsiTheme="majorHAnsi"/>
          <w:sz w:val="20"/>
          <w:szCs w:val="20"/>
          <w:lang w:val="es-PE"/>
        </w:rPr>
        <w:t>,</w:t>
      </w:r>
      <w:r w:rsidR="006D0BCC" w:rsidRPr="006D0BCC">
        <w:rPr>
          <w:rFonts w:asciiTheme="majorHAnsi" w:hAnsiTheme="majorHAnsi"/>
          <w:sz w:val="20"/>
          <w:szCs w:val="20"/>
          <w:lang w:val="es-PE"/>
        </w:rPr>
        <w:t xml:space="preserve"> y que podía postularse a las convocatorias públicas del Consejo de la Magistratura</w:t>
      </w:r>
      <w:r w:rsidR="00DB5053">
        <w:rPr>
          <w:rFonts w:asciiTheme="majorHAnsi" w:hAnsiTheme="majorHAnsi"/>
          <w:sz w:val="20"/>
          <w:szCs w:val="20"/>
          <w:lang w:val="es-PE"/>
        </w:rPr>
        <w:t>,</w:t>
      </w:r>
      <w:r w:rsidR="006D0BCC" w:rsidRPr="006D0BCC">
        <w:rPr>
          <w:rFonts w:asciiTheme="majorHAnsi" w:hAnsiTheme="majorHAnsi"/>
          <w:sz w:val="20"/>
          <w:szCs w:val="20"/>
          <w:lang w:val="es-PE"/>
        </w:rPr>
        <w:t xml:space="preserve"> </w:t>
      </w:r>
      <w:r w:rsidR="00DB5053">
        <w:rPr>
          <w:rFonts w:asciiTheme="majorHAnsi" w:hAnsiTheme="majorHAnsi"/>
          <w:sz w:val="20"/>
          <w:szCs w:val="20"/>
          <w:lang w:val="es-PE"/>
        </w:rPr>
        <w:t>pero</w:t>
      </w:r>
      <w:r w:rsidR="006D0BCC" w:rsidRPr="006D0BCC">
        <w:rPr>
          <w:rFonts w:asciiTheme="majorHAnsi" w:hAnsiTheme="majorHAnsi"/>
          <w:sz w:val="20"/>
          <w:szCs w:val="20"/>
          <w:lang w:val="es-PE"/>
        </w:rPr>
        <w:t xml:space="preserve"> no lo hizo. </w:t>
      </w:r>
      <w:r w:rsidR="00DB5053">
        <w:rPr>
          <w:rFonts w:asciiTheme="majorHAnsi" w:hAnsiTheme="majorHAnsi"/>
          <w:sz w:val="20"/>
          <w:szCs w:val="20"/>
          <w:lang w:val="es-PE"/>
        </w:rPr>
        <w:t>Con</w:t>
      </w:r>
      <w:r w:rsidRPr="006D0BCC">
        <w:rPr>
          <w:sz w:val="20"/>
          <w:szCs w:val="20"/>
          <w:lang w:val="es-PE"/>
        </w:rPr>
        <w:t xml:space="preserve"> relación a</w:t>
      </w:r>
      <w:r w:rsidR="006D0BCC">
        <w:rPr>
          <w:sz w:val="20"/>
          <w:szCs w:val="20"/>
          <w:lang w:val="es-PE"/>
        </w:rPr>
        <w:t xml:space="preserve">l </w:t>
      </w:r>
      <w:r w:rsidR="00DB5053">
        <w:rPr>
          <w:sz w:val="20"/>
          <w:szCs w:val="20"/>
          <w:lang w:val="es-PE"/>
        </w:rPr>
        <w:t>reclamo</w:t>
      </w:r>
      <w:r w:rsidR="006D0BCC">
        <w:rPr>
          <w:sz w:val="20"/>
          <w:szCs w:val="20"/>
          <w:lang w:val="es-PE"/>
        </w:rPr>
        <w:t xml:space="preserve"> subsidiario </w:t>
      </w:r>
      <w:r w:rsidR="00DB5053">
        <w:rPr>
          <w:sz w:val="20"/>
          <w:szCs w:val="20"/>
          <w:lang w:val="es-PE"/>
        </w:rPr>
        <w:t>de</w:t>
      </w:r>
      <w:r w:rsidRPr="006D0BCC">
        <w:rPr>
          <w:sz w:val="20"/>
          <w:szCs w:val="20"/>
          <w:lang w:val="es-PE"/>
        </w:rPr>
        <w:t xml:space="preserve"> la inamovilidad laboral por causa relacionada </w:t>
      </w:r>
      <w:r w:rsidR="00B60D74">
        <w:rPr>
          <w:sz w:val="20"/>
          <w:szCs w:val="20"/>
          <w:lang w:val="es-PE"/>
        </w:rPr>
        <w:t>con</w:t>
      </w:r>
      <w:r w:rsidRPr="006D0BCC">
        <w:rPr>
          <w:sz w:val="20"/>
          <w:szCs w:val="20"/>
          <w:lang w:val="es-PE"/>
        </w:rPr>
        <w:t xml:space="preserve"> la protección de las personas con discapacidad</w:t>
      </w:r>
      <w:r w:rsidR="006D0BCC">
        <w:rPr>
          <w:sz w:val="20"/>
          <w:szCs w:val="20"/>
          <w:lang w:val="es-PE"/>
        </w:rPr>
        <w:t>, el Estado a</w:t>
      </w:r>
      <w:r w:rsidRPr="006D0BCC">
        <w:rPr>
          <w:sz w:val="20"/>
          <w:szCs w:val="20"/>
          <w:lang w:val="es-PE"/>
        </w:rPr>
        <w:t xml:space="preserve">firma que la presunta víctima no se encontraría protegida por </w:t>
      </w:r>
      <w:r w:rsidR="00B60D74">
        <w:rPr>
          <w:sz w:val="20"/>
          <w:szCs w:val="20"/>
          <w:lang w:val="es-PE"/>
        </w:rPr>
        <w:t>esta</w:t>
      </w:r>
      <w:r w:rsidRPr="006D0BCC">
        <w:rPr>
          <w:sz w:val="20"/>
          <w:szCs w:val="20"/>
          <w:lang w:val="es-PE"/>
        </w:rPr>
        <w:t>, en tanto que la declaración de interdicción de Martha Dur</w:t>
      </w:r>
      <w:r w:rsidR="00B60D74">
        <w:rPr>
          <w:sz w:val="20"/>
          <w:szCs w:val="20"/>
          <w:lang w:val="es-PE"/>
        </w:rPr>
        <w:t>á</w:t>
      </w:r>
      <w:r w:rsidRPr="006D0BCC">
        <w:rPr>
          <w:sz w:val="20"/>
          <w:szCs w:val="20"/>
          <w:lang w:val="es-PE"/>
        </w:rPr>
        <w:t>n data del 3 de julio de 2017, siendo así un acto sobreviniente al memorándum de despido del 9 de mayo de 2017. En ese sentido, los alegatos del peticionario se encuentran dirigidos a cuestionar la decisión adoptada por tribunales domésticos, esperando que la CIDH actué como un tribunal de cuarta instancia.</w:t>
      </w:r>
    </w:p>
    <w:p w14:paraId="7BC60989" w14:textId="77777777" w:rsidR="005015FA" w:rsidRPr="005015FA" w:rsidRDefault="005015FA" w:rsidP="005015FA">
      <w:pPr>
        <w:pStyle w:val="ListParagraph"/>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sz w:val="20"/>
          <w:szCs w:val="20"/>
          <w:lang w:val="es-PE"/>
        </w:rPr>
      </w:pPr>
    </w:p>
    <w:p w14:paraId="259B4E0D" w14:textId="7A80C8E9" w:rsidR="005015FA" w:rsidRPr="003A7A89" w:rsidRDefault="000763A0">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sz w:val="20"/>
          <w:szCs w:val="20"/>
          <w:lang w:val="es-PE"/>
        </w:rPr>
      </w:pPr>
      <w:r>
        <w:rPr>
          <w:rFonts w:asciiTheme="majorHAnsi" w:hAnsiTheme="majorHAnsi"/>
          <w:sz w:val="20"/>
          <w:szCs w:val="20"/>
          <w:lang w:val="es-PE"/>
        </w:rPr>
        <w:t>Además</w:t>
      </w:r>
      <w:r w:rsidR="0029073F" w:rsidRPr="005015FA">
        <w:rPr>
          <w:rFonts w:asciiTheme="majorHAnsi" w:hAnsiTheme="majorHAnsi"/>
          <w:sz w:val="20"/>
          <w:szCs w:val="20"/>
          <w:lang w:val="es-PE"/>
        </w:rPr>
        <w:t>,</w:t>
      </w:r>
      <w:r w:rsidR="00514A54" w:rsidRPr="005015FA">
        <w:rPr>
          <w:rFonts w:asciiTheme="majorHAnsi" w:hAnsiTheme="majorHAnsi"/>
          <w:sz w:val="20"/>
          <w:szCs w:val="20"/>
          <w:lang w:val="es-PE"/>
        </w:rPr>
        <w:t xml:space="preserve"> </w:t>
      </w:r>
      <w:r w:rsidR="00AE72BF">
        <w:rPr>
          <w:rFonts w:asciiTheme="majorHAnsi" w:hAnsiTheme="majorHAnsi"/>
          <w:sz w:val="20"/>
          <w:szCs w:val="20"/>
          <w:lang w:val="es-PE"/>
        </w:rPr>
        <w:t>aduce</w:t>
      </w:r>
      <w:r w:rsidR="00514A54" w:rsidRPr="005015FA">
        <w:rPr>
          <w:rFonts w:asciiTheme="majorHAnsi" w:hAnsiTheme="majorHAnsi"/>
          <w:sz w:val="20"/>
          <w:szCs w:val="20"/>
          <w:lang w:val="es-PE"/>
        </w:rPr>
        <w:t xml:space="preserve"> que la CIDH </w:t>
      </w:r>
      <w:r w:rsidR="0029073F" w:rsidRPr="005015FA">
        <w:rPr>
          <w:rFonts w:asciiTheme="majorHAnsi" w:hAnsiTheme="majorHAnsi"/>
          <w:sz w:val="20"/>
          <w:szCs w:val="20"/>
          <w:lang w:val="es-PE"/>
        </w:rPr>
        <w:t>carece de</w:t>
      </w:r>
      <w:r w:rsidR="00514A54" w:rsidRPr="005015FA">
        <w:rPr>
          <w:rFonts w:asciiTheme="majorHAnsi" w:hAnsiTheme="majorHAnsi"/>
          <w:sz w:val="20"/>
          <w:szCs w:val="20"/>
          <w:lang w:val="es-PE"/>
        </w:rPr>
        <w:t xml:space="preserve"> competencia para pronunciarse sobre la Convención Interamericana para la Eliminación de todas las Formas de Discriminación contra las personas con Discapacidad, debido a que este tratado cuenta con un órgano propio para la supervisión de sus disposiciones</w:t>
      </w:r>
      <w:r w:rsidR="00AE72BF">
        <w:rPr>
          <w:rFonts w:asciiTheme="majorHAnsi" w:hAnsiTheme="majorHAnsi"/>
          <w:sz w:val="20"/>
          <w:szCs w:val="20"/>
          <w:lang w:val="es-PE"/>
        </w:rPr>
        <w:t>,</w:t>
      </w:r>
      <w:r w:rsidR="00514A54" w:rsidRPr="005015FA">
        <w:rPr>
          <w:rFonts w:asciiTheme="majorHAnsi" w:hAnsiTheme="majorHAnsi"/>
          <w:sz w:val="20"/>
          <w:szCs w:val="20"/>
          <w:lang w:val="es-PE"/>
        </w:rPr>
        <w:t xml:space="preserve"> y no existe disposición que reconozca </w:t>
      </w:r>
      <w:r w:rsidR="0029073F" w:rsidRPr="005015FA">
        <w:rPr>
          <w:rFonts w:asciiTheme="majorHAnsi" w:hAnsiTheme="majorHAnsi"/>
          <w:sz w:val="20"/>
          <w:szCs w:val="20"/>
          <w:lang w:val="es-PE"/>
        </w:rPr>
        <w:t>la</w:t>
      </w:r>
      <w:r w:rsidR="00514A54" w:rsidRPr="005015FA">
        <w:rPr>
          <w:rFonts w:asciiTheme="majorHAnsi" w:hAnsiTheme="majorHAnsi"/>
          <w:sz w:val="20"/>
          <w:szCs w:val="20"/>
          <w:lang w:val="es-PE"/>
        </w:rPr>
        <w:t xml:space="preserve"> competencia</w:t>
      </w:r>
      <w:r w:rsidR="0029073F" w:rsidRPr="005015FA">
        <w:rPr>
          <w:rFonts w:asciiTheme="majorHAnsi" w:hAnsiTheme="majorHAnsi"/>
          <w:sz w:val="20"/>
          <w:szCs w:val="20"/>
          <w:lang w:val="es-PE"/>
        </w:rPr>
        <w:t xml:space="preserve"> de la CIDH</w:t>
      </w:r>
      <w:r w:rsidR="00514A54" w:rsidRPr="005015FA">
        <w:rPr>
          <w:rFonts w:asciiTheme="majorHAnsi" w:hAnsiTheme="majorHAnsi"/>
          <w:sz w:val="20"/>
          <w:szCs w:val="20"/>
          <w:lang w:val="es-PE"/>
        </w:rPr>
        <w:t xml:space="preserve">. </w:t>
      </w:r>
      <w:r w:rsidR="0029073F" w:rsidRPr="005015FA">
        <w:rPr>
          <w:rFonts w:asciiTheme="majorHAnsi" w:hAnsiTheme="majorHAnsi"/>
          <w:sz w:val="20"/>
          <w:szCs w:val="20"/>
          <w:lang w:val="es-PE"/>
        </w:rPr>
        <w:t xml:space="preserve">Sin perjuicio de ello, informa que Martha Crespo </w:t>
      </w:r>
      <w:r w:rsidR="000F5D9A" w:rsidRPr="005015FA">
        <w:rPr>
          <w:rFonts w:asciiTheme="majorHAnsi" w:hAnsiTheme="majorHAnsi"/>
          <w:sz w:val="20"/>
          <w:szCs w:val="20"/>
          <w:lang w:val="es-PE"/>
        </w:rPr>
        <w:t>fue</w:t>
      </w:r>
      <w:r w:rsidR="0029073F" w:rsidRPr="005015FA">
        <w:rPr>
          <w:rFonts w:asciiTheme="majorHAnsi" w:hAnsiTheme="majorHAnsi"/>
          <w:sz w:val="20"/>
          <w:szCs w:val="20"/>
          <w:lang w:val="es-PE"/>
        </w:rPr>
        <w:t xml:space="preserve"> registrada como persona con discapacidad el 14 de julio de 2017</w:t>
      </w:r>
      <w:r>
        <w:rPr>
          <w:rFonts w:asciiTheme="majorHAnsi" w:hAnsiTheme="majorHAnsi"/>
          <w:sz w:val="20"/>
          <w:szCs w:val="20"/>
          <w:lang w:val="es-PE"/>
        </w:rPr>
        <w:t xml:space="preserve"> y </w:t>
      </w:r>
      <w:r w:rsidR="00535B3B" w:rsidRPr="005015FA">
        <w:rPr>
          <w:rFonts w:asciiTheme="majorHAnsi" w:hAnsiTheme="majorHAnsi"/>
          <w:sz w:val="20"/>
          <w:szCs w:val="20"/>
          <w:lang w:val="es-PE"/>
        </w:rPr>
        <w:t xml:space="preserve">el auto de demanda de declaración de interdicción </w:t>
      </w:r>
      <w:r>
        <w:rPr>
          <w:rFonts w:asciiTheme="majorHAnsi" w:hAnsiTheme="majorHAnsi"/>
          <w:sz w:val="20"/>
          <w:szCs w:val="20"/>
          <w:lang w:val="es-PE"/>
        </w:rPr>
        <w:t>es</w:t>
      </w:r>
      <w:r w:rsidR="00535B3B" w:rsidRPr="005015FA">
        <w:rPr>
          <w:rFonts w:asciiTheme="majorHAnsi" w:hAnsiTheme="majorHAnsi"/>
          <w:sz w:val="20"/>
          <w:szCs w:val="20"/>
          <w:lang w:val="es-PE"/>
        </w:rPr>
        <w:t xml:space="preserve"> de</w:t>
      </w:r>
      <w:r w:rsidR="000F5D9A" w:rsidRPr="005015FA">
        <w:rPr>
          <w:rFonts w:asciiTheme="majorHAnsi" w:hAnsiTheme="majorHAnsi"/>
          <w:sz w:val="20"/>
          <w:szCs w:val="20"/>
          <w:lang w:val="es-PE"/>
        </w:rPr>
        <w:t>l</w:t>
      </w:r>
      <w:r w:rsidR="00535B3B" w:rsidRPr="005015FA">
        <w:rPr>
          <w:rFonts w:asciiTheme="majorHAnsi" w:hAnsiTheme="majorHAnsi"/>
          <w:sz w:val="20"/>
          <w:szCs w:val="20"/>
          <w:lang w:val="es-PE"/>
        </w:rPr>
        <w:t xml:space="preserve"> 9 de junio de 2017, es decir</w:t>
      </w:r>
      <w:r w:rsidR="00470DFB">
        <w:rPr>
          <w:rFonts w:asciiTheme="majorHAnsi" w:hAnsiTheme="majorHAnsi"/>
          <w:sz w:val="20"/>
          <w:szCs w:val="20"/>
          <w:lang w:val="es-PE"/>
        </w:rPr>
        <w:t>,</w:t>
      </w:r>
      <w:r w:rsidR="00535B3B" w:rsidRPr="005015FA">
        <w:rPr>
          <w:rFonts w:asciiTheme="majorHAnsi" w:hAnsiTheme="majorHAnsi"/>
          <w:sz w:val="20"/>
          <w:szCs w:val="20"/>
          <w:lang w:val="es-PE"/>
        </w:rPr>
        <w:t xml:space="preserve"> </w:t>
      </w:r>
      <w:r w:rsidR="00470DFB">
        <w:rPr>
          <w:rFonts w:asciiTheme="majorHAnsi" w:hAnsiTheme="majorHAnsi"/>
          <w:sz w:val="20"/>
          <w:szCs w:val="20"/>
          <w:lang w:val="es-PE"/>
        </w:rPr>
        <w:t>serían</w:t>
      </w:r>
      <w:r>
        <w:rPr>
          <w:rFonts w:asciiTheme="majorHAnsi" w:hAnsiTheme="majorHAnsi"/>
          <w:sz w:val="20"/>
          <w:szCs w:val="20"/>
          <w:lang w:val="es-PE"/>
        </w:rPr>
        <w:t xml:space="preserve"> hechos posteriores a</w:t>
      </w:r>
      <w:r w:rsidR="00535B3B" w:rsidRPr="005015FA">
        <w:rPr>
          <w:rFonts w:asciiTheme="majorHAnsi" w:hAnsiTheme="majorHAnsi"/>
          <w:sz w:val="20"/>
          <w:szCs w:val="20"/>
          <w:lang w:val="es-PE"/>
        </w:rPr>
        <w:t xml:space="preserve"> la destitución de la señora Morón</w:t>
      </w:r>
      <w:r w:rsidR="00E25B98">
        <w:rPr>
          <w:rFonts w:asciiTheme="majorHAnsi" w:hAnsiTheme="majorHAnsi"/>
          <w:sz w:val="20"/>
          <w:szCs w:val="20"/>
          <w:lang w:val="es-PE"/>
        </w:rPr>
        <w:t xml:space="preserve"> Sanjinéz</w:t>
      </w:r>
      <w:r w:rsidR="003A7A89">
        <w:rPr>
          <w:rFonts w:asciiTheme="majorHAnsi" w:hAnsiTheme="majorHAnsi"/>
          <w:sz w:val="20"/>
          <w:szCs w:val="20"/>
          <w:lang w:val="es-PE"/>
        </w:rPr>
        <w:t>, por lo que no están relacionados a la desvinculación de su cargo.</w:t>
      </w:r>
    </w:p>
    <w:p w14:paraId="4B9EBC3D" w14:textId="330C7D14" w:rsidR="005015FA" w:rsidRPr="005015FA" w:rsidRDefault="005015FA" w:rsidP="005015FA">
      <w:pPr>
        <w:pStyle w:val="ListParagraph"/>
        <w:spacing w:before="240" w:after="240"/>
        <w:jc w:val="both"/>
        <w:rPr>
          <w:rFonts w:asciiTheme="majorHAnsi" w:hAnsiTheme="majorHAnsi"/>
          <w:i/>
          <w:iCs/>
          <w:sz w:val="20"/>
          <w:szCs w:val="20"/>
          <w:lang w:val="pt-BR"/>
        </w:rPr>
      </w:pPr>
      <w:bookmarkStart w:id="10" w:name="_Hlk172737497"/>
      <w:r w:rsidRPr="00033D7F">
        <w:rPr>
          <w:rFonts w:asciiTheme="majorHAnsi" w:hAnsiTheme="majorHAnsi"/>
          <w:i/>
          <w:iCs/>
          <w:sz w:val="20"/>
          <w:szCs w:val="20"/>
          <w:lang w:val="pt-BR"/>
        </w:rPr>
        <w:t>Cándida Pinto Chacón (P-3126-19)</w:t>
      </w:r>
    </w:p>
    <w:bookmarkEnd w:id="10"/>
    <w:p w14:paraId="25F7DCA4" w14:textId="66E56F48" w:rsidR="005015FA" w:rsidRPr="005015FA" w:rsidRDefault="00217B77">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sz w:val="20"/>
          <w:szCs w:val="20"/>
          <w:lang w:val="es-PE"/>
        </w:rPr>
      </w:pPr>
      <w:r w:rsidRPr="005015FA">
        <w:rPr>
          <w:rFonts w:asciiTheme="majorHAnsi" w:hAnsiTheme="majorHAnsi"/>
          <w:sz w:val="20"/>
          <w:szCs w:val="20"/>
          <w:lang w:val="es-PE"/>
        </w:rPr>
        <w:t xml:space="preserve">El Estado indica que la señora </w:t>
      </w:r>
      <w:r w:rsidR="00602D98">
        <w:rPr>
          <w:rFonts w:asciiTheme="majorHAnsi" w:hAnsiTheme="majorHAnsi"/>
          <w:sz w:val="20"/>
          <w:szCs w:val="20"/>
          <w:lang w:val="es-PE"/>
        </w:rPr>
        <w:t>Pinto</w:t>
      </w:r>
      <w:r w:rsidR="00E25B98">
        <w:rPr>
          <w:rFonts w:asciiTheme="majorHAnsi" w:hAnsiTheme="majorHAnsi"/>
          <w:sz w:val="20"/>
          <w:szCs w:val="20"/>
          <w:lang w:val="es-PE"/>
        </w:rPr>
        <w:t xml:space="preserve"> Chacón</w:t>
      </w:r>
      <w:r w:rsidRPr="005015FA">
        <w:rPr>
          <w:rFonts w:asciiTheme="majorHAnsi" w:hAnsiTheme="majorHAnsi"/>
          <w:sz w:val="20"/>
          <w:szCs w:val="20"/>
          <w:lang w:val="es-PE"/>
        </w:rPr>
        <w:t xml:space="preserve"> tenía conocimiento del carácter transitorio de su cargo; sin embargo, no </w:t>
      </w:r>
      <w:r w:rsidR="00A139F7">
        <w:rPr>
          <w:rFonts w:asciiTheme="majorHAnsi" w:hAnsiTheme="majorHAnsi"/>
          <w:sz w:val="20"/>
          <w:szCs w:val="20"/>
          <w:lang w:val="es-PE"/>
        </w:rPr>
        <w:t>objet</w:t>
      </w:r>
      <w:r w:rsidR="00602D98">
        <w:rPr>
          <w:rFonts w:asciiTheme="majorHAnsi" w:hAnsiTheme="majorHAnsi"/>
          <w:sz w:val="20"/>
          <w:szCs w:val="20"/>
          <w:lang w:val="es-PE"/>
        </w:rPr>
        <w:t>ó</w:t>
      </w:r>
      <w:r w:rsidR="00A139F7">
        <w:rPr>
          <w:rFonts w:asciiTheme="majorHAnsi" w:hAnsiTheme="majorHAnsi"/>
          <w:sz w:val="20"/>
          <w:szCs w:val="20"/>
          <w:lang w:val="es-PE"/>
        </w:rPr>
        <w:t xml:space="preserve"> </w:t>
      </w:r>
      <w:r w:rsidR="00602D98">
        <w:rPr>
          <w:rFonts w:asciiTheme="majorHAnsi" w:hAnsiTheme="majorHAnsi"/>
          <w:sz w:val="20"/>
          <w:szCs w:val="20"/>
          <w:lang w:val="es-PE"/>
        </w:rPr>
        <w:t>esta condición</w:t>
      </w:r>
      <w:r w:rsidR="00A139F7">
        <w:rPr>
          <w:rFonts w:asciiTheme="majorHAnsi" w:hAnsiTheme="majorHAnsi"/>
          <w:sz w:val="20"/>
          <w:szCs w:val="20"/>
          <w:lang w:val="es-PE"/>
        </w:rPr>
        <w:t xml:space="preserve"> en el momento oportuno</w:t>
      </w:r>
      <w:r w:rsidRPr="005015FA">
        <w:rPr>
          <w:rFonts w:asciiTheme="majorHAnsi" w:hAnsiTheme="majorHAnsi"/>
          <w:sz w:val="20"/>
          <w:szCs w:val="20"/>
          <w:lang w:val="es-PE"/>
        </w:rPr>
        <w:t xml:space="preserve">. Asimismo, no se presentó a ninguna convocatoria emitida por el Consejo de la Magistratura </w:t>
      </w:r>
      <w:r w:rsidR="00A139F7" w:rsidRPr="005015FA">
        <w:rPr>
          <w:rFonts w:asciiTheme="majorHAnsi" w:hAnsiTheme="majorHAnsi"/>
          <w:sz w:val="20"/>
          <w:szCs w:val="20"/>
          <w:lang w:val="es-PE"/>
        </w:rPr>
        <w:t xml:space="preserve">para ingresar a la carrera judicial </w:t>
      </w:r>
      <w:r w:rsidRPr="005015FA">
        <w:rPr>
          <w:rFonts w:asciiTheme="majorHAnsi" w:hAnsiTheme="majorHAnsi"/>
          <w:sz w:val="20"/>
          <w:szCs w:val="20"/>
          <w:lang w:val="es-PE"/>
        </w:rPr>
        <w:t xml:space="preserve">ni se postuló a algún curso para </w:t>
      </w:r>
      <w:r w:rsidR="00A139F7">
        <w:rPr>
          <w:rFonts w:asciiTheme="majorHAnsi" w:hAnsiTheme="majorHAnsi"/>
          <w:sz w:val="20"/>
          <w:szCs w:val="20"/>
          <w:lang w:val="es-PE"/>
        </w:rPr>
        <w:t>tal fin</w:t>
      </w:r>
      <w:r w:rsidRPr="005015FA">
        <w:rPr>
          <w:rFonts w:asciiTheme="majorHAnsi" w:hAnsiTheme="majorHAnsi"/>
          <w:sz w:val="20"/>
          <w:szCs w:val="20"/>
          <w:lang w:val="es-PE"/>
        </w:rPr>
        <w:t xml:space="preserve">. </w:t>
      </w:r>
      <w:r w:rsidR="00FC42B6" w:rsidRPr="005015FA">
        <w:rPr>
          <w:rFonts w:asciiTheme="majorHAnsi" w:hAnsiTheme="majorHAnsi"/>
          <w:sz w:val="20"/>
          <w:szCs w:val="20"/>
          <w:lang w:val="es-PE"/>
        </w:rPr>
        <w:t xml:space="preserve">Además, dado que la presunta víctima tiene antecedentes disciplinarios y fue declarada en rebeldía en un proceso penal en trámite, pretende que la CIDH se pronuncie sobre su caso como </w:t>
      </w:r>
      <w:r w:rsidR="005508FE">
        <w:rPr>
          <w:rFonts w:asciiTheme="majorHAnsi" w:hAnsiTheme="majorHAnsi"/>
          <w:sz w:val="20"/>
          <w:szCs w:val="20"/>
          <w:lang w:val="es-PE"/>
        </w:rPr>
        <w:t xml:space="preserve">si actuase como un tribunal internacional de alzada. </w:t>
      </w:r>
    </w:p>
    <w:p w14:paraId="3085020C" w14:textId="032AEB65" w:rsidR="005015FA" w:rsidRPr="005015FA" w:rsidRDefault="005015FA" w:rsidP="005015FA">
      <w:pPr>
        <w:spacing w:before="240" w:after="240"/>
        <w:ind w:firstLine="720"/>
        <w:jc w:val="both"/>
        <w:rPr>
          <w:rFonts w:ascii="Cambria" w:hAnsi="Cambria"/>
          <w:sz w:val="20"/>
          <w:szCs w:val="20"/>
          <w:lang w:val="es-UY"/>
        </w:rPr>
      </w:pPr>
      <w:r w:rsidRPr="00E64C3D">
        <w:rPr>
          <w:rFonts w:asciiTheme="majorHAnsi" w:eastAsia="Cambria" w:hAnsiTheme="majorHAnsi" w:cs="Cambria"/>
          <w:b/>
          <w:bCs/>
          <w:color w:val="000000"/>
          <w:sz w:val="20"/>
          <w:szCs w:val="20"/>
          <w:u w:color="000000"/>
          <w:lang w:val="es-ES" w:eastAsia="es-ES"/>
        </w:rPr>
        <w:t>VI</w:t>
      </w:r>
      <w:r w:rsidR="004F6181">
        <w:rPr>
          <w:rFonts w:asciiTheme="majorHAnsi" w:eastAsia="Cambria" w:hAnsiTheme="majorHAnsi" w:cs="Cambria"/>
          <w:b/>
          <w:bCs/>
          <w:color w:val="000000"/>
          <w:sz w:val="20"/>
          <w:szCs w:val="20"/>
          <w:u w:color="000000"/>
          <w:lang w:val="es-ES" w:eastAsia="es-ES"/>
        </w:rPr>
        <w:t>I</w:t>
      </w:r>
      <w:r w:rsidRPr="00E64C3D">
        <w:rPr>
          <w:rFonts w:asciiTheme="majorHAnsi" w:eastAsia="Cambria" w:hAnsiTheme="majorHAnsi" w:cs="Cambria"/>
          <w:b/>
          <w:bCs/>
          <w:color w:val="000000"/>
          <w:sz w:val="20"/>
          <w:szCs w:val="20"/>
          <w:u w:color="000000"/>
          <w:lang w:val="es-ES" w:eastAsia="es-ES"/>
        </w:rPr>
        <w:t>.</w:t>
      </w:r>
      <w:r w:rsidRPr="00E64C3D">
        <w:rPr>
          <w:rFonts w:asciiTheme="majorHAnsi" w:eastAsia="Cambria" w:hAnsiTheme="majorHAnsi" w:cs="Cambria"/>
          <w:b/>
          <w:bCs/>
          <w:color w:val="000000"/>
          <w:sz w:val="20"/>
          <w:szCs w:val="20"/>
          <w:u w:color="000000"/>
          <w:lang w:val="es-ES" w:eastAsia="es-ES"/>
        </w:rPr>
        <w:tab/>
      </w:r>
      <w:r w:rsidRPr="004F6181">
        <w:rPr>
          <w:rFonts w:asciiTheme="majorHAnsi" w:hAnsiTheme="majorHAnsi"/>
          <w:b/>
          <w:bCs/>
          <w:sz w:val="20"/>
          <w:szCs w:val="20"/>
          <w:lang w:val="es-ES_tradnl"/>
        </w:rPr>
        <w:t xml:space="preserve">ANÁLISIS </w:t>
      </w:r>
      <w:r w:rsidRPr="00E64C3D">
        <w:rPr>
          <w:rFonts w:asciiTheme="majorHAnsi" w:hAnsiTheme="majorHAnsi"/>
          <w:b/>
          <w:bCs/>
          <w:sz w:val="20"/>
          <w:szCs w:val="20"/>
          <w:lang w:val="es-ES_tradnl"/>
        </w:rPr>
        <w:t xml:space="preserve">DE </w:t>
      </w:r>
      <w:r w:rsidRPr="00E64C3D">
        <w:rPr>
          <w:rFonts w:asciiTheme="majorHAnsi" w:hAnsiTheme="majorHAnsi"/>
          <w:b/>
          <w:sz w:val="20"/>
          <w:szCs w:val="20"/>
          <w:lang w:val="es-ES"/>
        </w:rPr>
        <w:t>AGOTAMIENTO DE LOS RECURSOS INTERNOS Y PLAZO DE PRESENTACIÓN</w:t>
      </w:r>
      <w:r w:rsidRPr="00E64C3D">
        <w:rPr>
          <w:rFonts w:asciiTheme="majorHAnsi" w:eastAsia="Cambria" w:hAnsiTheme="majorHAnsi" w:cs="Cambria"/>
          <w:b/>
          <w:bCs/>
          <w:color w:val="000000"/>
          <w:sz w:val="20"/>
          <w:szCs w:val="20"/>
          <w:u w:color="000000"/>
          <w:lang w:val="es-ES" w:eastAsia="es-ES"/>
        </w:rPr>
        <w:t xml:space="preserve"> </w:t>
      </w:r>
    </w:p>
    <w:p w14:paraId="04F346EC" w14:textId="791D062B" w:rsidR="00660510" w:rsidRDefault="00D72ED7" w:rsidP="00660510">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heme="majorHAnsi" w:hAnsiTheme="majorHAnsi"/>
          <w:sz w:val="20"/>
          <w:szCs w:val="20"/>
          <w:lang w:val="es-PE"/>
        </w:rPr>
      </w:pPr>
      <w:r w:rsidRPr="00792F9B">
        <w:rPr>
          <w:rFonts w:asciiTheme="majorHAnsi" w:hAnsiTheme="majorHAnsi"/>
          <w:sz w:val="20"/>
          <w:szCs w:val="20"/>
          <w:lang w:val="es-PE"/>
        </w:rPr>
        <w:t xml:space="preserve">La Comisión </w:t>
      </w:r>
      <w:r w:rsidR="00EF6D55">
        <w:rPr>
          <w:rFonts w:asciiTheme="majorHAnsi" w:hAnsiTheme="majorHAnsi"/>
          <w:sz w:val="20"/>
          <w:szCs w:val="20"/>
          <w:lang w:val="es-PE"/>
        </w:rPr>
        <w:t>nota que el ob</w:t>
      </w:r>
      <w:r w:rsidR="00EF6D55" w:rsidRPr="002A1700">
        <w:rPr>
          <w:rFonts w:asciiTheme="majorHAnsi" w:hAnsiTheme="majorHAnsi"/>
          <w:sz w:val="20"/>
          <w:szCs w:val="20"/>
          <w:lang w:val="es-PE"/>
        </w:rPr>
        <w:t>jeto principal de las</w:t>
      </w:r>
      <w:r w:rsidR="008E7FD4" w:rsidRPr="002A1700">
        <w:rPr>
          <w:rFonts w:asciiTheme="majorHAnsi" w:hAnsiTheme="majorHAnsi"/>
          <w:sz w:val="20"/>
          <w:szCs w:val="20"/>
          <w:lang w:val="es-PE"/>
        </w:rPr>
        <w:t xml:space="preserve"> </w:t>
      </w:r>
      <w:r w:rsidR="00E25B98">
        <w:rPr>
          <w:rFonts w:asciiTheme="majorHAnsi" w:hAnsiTheme="majorHAnsi"/>
          <w:sz w:val="20"/>
          <w:szCs w:val="20"/>
          <w:lang w:val="es-PE"/>
        </w:rPr>
        <w:t>16</w:t>
      </w:r>
      <w:r w:rsidR="00E25B98" w:rsidRPr="002A1700">
        <w:rPr>
          <w:rFonts w:asciiTheme="majorHAnsi" w:hAnsiTheme="majorHAnsi"/>
          <w:sz w:val="20"/>
          <w:szCs w:val="20"/>
          <w:lang w:val="es-PE"/>
        </w:rPr>
        <w:t xml:space="preserve"> </w:t>
      </w:r>
      <w:r w:rsidR="008E7FD4" w:rsidRPr="002A1700">
        <w:rPr>
          <w:rFonts w:asciiTheme="majorHAnsi" w:hAnsiTheme="majorHAnsi"/>
          <w:sz w:val="20"/>
          <w:szCs w:val="20"/>
          <w:lang w:val="es-PE"/>
        </w:rPr>
        <w:t xml:space="preserve">peticiones </w:t>
      </w:r>
      <w:r w:rsidR="00792F9B" w:rsidRPr="002A1700">
        <w:rPr>
          <w:rFonts w:asciiTheme="majorHAnsi" w:hAnsiTheme="majorHAnsi"/>
          <w:sz w:val="20"/>
          <w:szCs w:val="20"/>
          <w:lang w:val="es-PE"/>
        </w:rPr>
        <w:t xml:space="preserve">acumuladas </w:t>
      </w:r>
      <w:r w:rsidR="008E7FD4" w:rsidRPr="002A1700">
        <w:rPr>
          <w:rFonts w:asciiTheme="majorHAnsi" w:hAnsiTheme="majorHAnsi"/>
          <w:sz w:val="20"/>
          <w:szCs w:val="20"/>
          <w:lang w:val="es-PE"/>
        </w:rPr>
        <w:t>en el presente informe</w:t>
      </w:r>
      <w:r w:rsidR="00967F21" w:rsidRPr="002A1700">
        <w:rPr>
          <w:rFonts w:asciiTheme="majorHAnsi" w:hAnsiTheme="majorHAnsi"/>
          <w:sz w:val="20"/>
          <w:szCs w:val="20"/>
          <w:lang w:val="es-PE"/>
        </w:rPr>
        <w:t xml:space="preserve"> es </w:t>
      </w:r>
      <w:r w:rsidR="008E7FD4" w:rsidRPr="002A1700">
        <w:rPr>
          <w:rFonts w:asciiTheme="majorHAnsi" w:hAnsiTheme="majorHAnsi"/>
          <w:sz w:val="20"/>
          <w:szCs w:val="20"/>
          <w:lang w:val="es-PE"/>
        </w:rPr>
        <w:t xml:space="preserve">cuestionar </w:t>
      </w:r>
      <w:r w:rsidR="00967F21" w:rsidRPr="002A1700">
        <w:rPr>
          <w:rFonts w:asciiTheme="majorHAnsi" w:hAnsiTheme="majorHAnsi"/>
          <w:sz w:val="20"/>
          <w:szCs w:val="20"/>
          <w:lang w:val="es-PE"/>
        </w:rPr>
        <w:t>la</w:t>
      </w:r>
      <w:r w:rsidR="008E7FD4" w:rsidRPr="002A1700">
        <w:rPr>
          <w:rFonts w:asciiTheme="majorHAnsi" w:hAnsiTheme="majorHAnsi"/>
          <w:sz w:val="20"/>
          <w:szCs w:val="20"/>
          <w:lang w:val="es-PE"/>
        </w:rPr>
        <w:t xml:space="preserve"> desvinculación laboral </w:t>
      </w:r>
      <w:r w:rsidR="00967F21" w:rsidRPr="002A1700">
        <w:rPr>
          <w:rFonts w:asciiTheme="majorHAnsi" w:hAnsiTheme="majorHAnsi"/>
          <w:sz w:val="20"/>
          <w:szCs w:val="20"/>
          <w:lang w:val="es-PE"/>
        </w:rPr>
        <w:t xml:space="preserve">de operadores </w:t>
      </w:r>
      <w:r w:rsidR="00BD2AE6" w:rsidRPr="002A1700">
        <w:rPr>
          <w:rFonts w:asciiTheme="majorHAnsi" w:hAnsiTheme="majorHAnsi"/>
          <w:sz w:val="20"/>
          <w:szCs w:val="20"/>
          <w:lang w:val="es-PE"/>
        </w:rPr>
        <w:t xml:space="preserve">y operadoras </w:t>
      </w:r>
      <w:r w:rsidR="00967F21" w:rsidRPr="002A1700">
        <w:rPr>
          <w:rFonts w:asciiTheme="majorHAnsi" w:hAnsiTheme="majorHAnsi"/>
          <w:sz w:val="20"/>
          <w:szCs w:val="20"/>
          <w:lang w:val="es-PE"/>
        </w:rPr>
        <w:t xml:space="preserve">de justicia </w:t>
      </w:r>
      <w:r w:rsidR="00EF6D55" w:rsidRPr="002A1700">
        <w:rPr>
          <w:rFonts w:asciiTheme="majorHAnsi" w:hAnsiTheme="majorHAnsi"/>
          <w:sz w:val="20"/>
          <w:szCs w:val="20"/>
          <w:lang w:val="es-PE"/>
        </w:rPr>
        <w:t>con</w:t>
      </w:r>
      <w:r w:rsidR="00360E97" w:rsidRPr="002A1700">
        <w:rPr>
          <w:rFonts w:asciiTheme="majorHAnsi" w:hAnsiTheme="majorHAnsi"/>
          <w:sz w:val="20"/>
          <w:szCs w:val="20"/>
          <w:lang w:val="es-PE"/>
        </w:rPr>
        <w:t xml:space="preserve"> base </w:t>
      </w:r>
      <w:r w:rsidR="00EF6D55" w:rsidRPr="002A1700">
        <w:rPr>
          <w:rFonts w:asciiTheme="majorHAnsi" w:hAnsiTheme="majorHAnsi"/>
          <w:sz w:val="20"/>
          <w:szCs w:val="20"/>
          <w:lang w:val="es-PE"/>
        </w:rPr>
        <w:t>solamente en e</w:t>
      </w:r>
      <w:r w:rsidR="008E7FD4" w:rsidRPr="002A1700">
        <w:rPr>
          <w:rFonts w:asciiTheme="majorHAnsi" w:hAnsiTheme="majorHAnsi"/>
          <w:sz w:val="20"/>
          <w:szCs w:val="20"/>
          <w:lang w:val="es-PE"/>
        </w:rPr>
        <w:t xml:space="preserve">l carácter transitorio de sus cargos. </w:t>
      </w:r>
      <w:r w:rsidR="00EF6D55" w:rsidRPr="002A1700">
        <w:rPr>
          <w:rFonts w:asciiTheme="majorHAnsi" w:hAnsiTheme="majorHAnsi"/>
          <w:sz w:val="20"/>
          <w:szCs w:val="20"/>
          <w:lang w:val="es-PE"/>
        </w:rPr>
        <w:t>A efecto</w:t>
      </w:r>
      <w:r w:rsidR="00EF6D55">
        <w:rPr>
          <w:rFonts w:asciiTheme="majorHAnsi" w:hAnsiTheme="majorHAnsi"/>
          <w:sz w:val="20"/>
          <w:szCs w:val="20"/>
          <w:lang w:val="es-PE"/>
        </w:rPr>
        <w:t>s de agotar la jurisdicción interna, las presuntas víctimas utilizaron la vía de amparo, obteniendo una resolución definitiva por parte del Tribunal Constitucional Plurinacional. A continuación, se presenta un breve resumen de las fechas de emisión y notificación de las sentencias</w:t>
      </w:r>
      <w:r w:rsidR="001A3A57">
        <w:rPr>
          <w:rFonts w:asciiTheme="majorHAnsi" w:hAnsiTheme="majorHAnsi"/>
          <w:sz w:val="20"/>
          <w:szCs w:val="20"/>
          <w:lang w:val="es-PE"/>
        </w:rPr>
        <w:t xml:space="preserve">, así como la fecha de presentación de cada petición. </w:t>
      </w:r>
      <w:r w:rsidR="00EF6D55">
        <w:rPr>
          <w:rFonts w:asciiTheme="majorHAnsi" w:hAnsiTheme="majorHAnsi"/>
          <w:sz w:val="20"/>
          <w:szCs w:val="20"/>
          <w:lang w:val="es-PE"/>
        </w:rPr>
        <w:t xml:space="preserve"> </w:t>
      </w:r>
    </w:p>
    <w:p w14:paraId="3E85DA2C" w14:textId="77777777" w:rsidR="003A011D" w:rsidRDefault="003A011D" w:rsidP="003A011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heme="majorHAnsi" w:hAnsiTheme="majorHAnsi"/>
          <w:sz w:val="20"/>
          <w:szCs w:val="20"/>
          <w:lang w:val="es-PE"/>
        </w:rPr>
      </w:pPr>
    </w:p>
    <w:p w14:paraId="416BD4D6" w14:textId="77777777" w:rsidR="003A011D" w:rsidRDefault="003A011D" w:rsidP="003A011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heme="majorHAnsi" w:hAnsiTheme="majorHAnsi"/>
          <w:sz w:val="20"/>
          <w:szCs w:val="20"/>
          <w:lang w:val="es-PE"/>
        </w:rPr>
      </w:pPr>
    </w:p>
    <w:p w14:paraId="4AFF933D" w14:textId="77777777" w:rsidR="003A011D" w:rsidRDefault="003A011D" w:rsidP="003A011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heme="majorHAnsi" w:hAnsiTheme="majorHAnsi"/>
          <w:sz w:val="20"/>
          <w:szCs w:val="20"/>
          <w:lang w:val="es-PE"/>
        </w:rPr>
      </w:pPr>
    </w:p>
    <w:p w14:paraId="770ECA3A" w14:textId="77777777" w:rsidR="003A011D" w:rsidRDefault="003A011D" w:rsidP="003A011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heme="majorHAnsi" w:hAnsiTheme="majorHAnsi"/>
          <w:sz w:val="20"/>
          <w:szCs w:val="20"/>
          <w:lang w:val="es-PE"/>
        </w:rPr>
      </w:pPr>
    </w:p>
    <w:p w14:paraId="442E6B13" w14:textId="77777777" w:rsidR="003A011D" w:rsidRDefault="003A011D" w:rsidP="003A011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heme="majorHAnsi" w:hAnsiTheme="majorHAnsi"/>
          <w:sz w:val="20"/>
          <w:szCs w:val="20"/>
          <w:lang w:val="es-PE"/>
        </w:rPr>
      </w:pPr>
    </w:p>
    <w:p w14:paraId="64B1AF1A" w14:textId="77777777" w:rsidR="003A011D" w:rsidRDefault="003A011D" w:rsidP="003A011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heme="majorHAnsi" w:hAnsiTheme="majorHAnsi"/>
          <w:sz w:val="20"/>
          <w:szCs w:val="20"/>
          <w:lang w:val="es-PE"/>
        </w:rPr>
      </w:pPr>
    </w:p>
    <w:p w14:paraId="3DB7CF9C" w14:textId="77777777" w:rsidR="003A011D" w:rsidRPr="003A011D" w:rsidRDefault="003A011D" w:rsidP="003A011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heme="majorHAnsi" w:hAnsiTheme="majorHAnsi"/>
          <w:sz w:val="20"/>
          <w:szCs w:val="20"/>
          <w:lang w:val="es-PE"/>
        </w:rPr>
      </w:pPr>
    </w:p>
    <w:p w14:paraId="577E983E" w14:textId="77777777" w:rsidR="00660510" w:rsidRDefault="00660510" w:rsidP="0066051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heme="majorHAnsi" w:hAnsiTheme="majorHAnsi"/>
          <w:sz w:val="20"/>
          <w:szCs w:val="20"/>
          <w:lang w:val="es-PE"/>
        </w:rPr>
      </w:pPr>
    </w:p>
    <w:tbl>
      <w:tblPr>
        <w:tblStyle w:val="TableGrid"/>
        <w:tblW w:w="9360" w:type="dxa"/>
        <w:tblInd w:w="85" w:type="dxa"/>
        <w:tblLook w:val="04A0" w:firstRow="1" w:lastRow="0" w:firstColumn="1" w:lastColumn="0" w:noHBand="0" w:noVBand="1"/>
      </w:tblPr>
      <w:tblGrid>
        <w:gridCol w:w="1170"/>
        <w:gridCol w:w="3870"/>
        <w:gridCol w:w="2160"/>
        <w:gridCol w:w="2160"/>
      </w:tblGrid>
      <w:tr w:rsidR="001A3A57" w:rsidRPr="00E36E90" w14:paraId="5E3B9A1E" w14:textId="314C13BE" w:rsidTr="00061E0A">
        <w:tc>
          <w:tcPr>
            <w:tcW w:w="1170" w:type="dxa"/>
            <w:shd w:val="clear" w:color="auto" w:fill="548DD4" w:themeFill="text2" w:themeFillTint="99"/>
          </w:tcPr>
          <w:p w14:paraId="63EF4FBB" w14:textId="77777777" w:rsidR="001A3A57" w:rsidRPr="00E36E90" w:rsidRDefault="001A3A57" w:rsidP="004A3652">
            <w:pPr>
              <w:pStyle w:val="ListParagraph"/>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0"/>
              <w:jc w:val="center"/>
              <w:rPr>
                <w:rFonts w:asciiTheme="majorHAnsi" w:hAnsiTheme="majorHAnsi"/>
                <w:b/>
                <w:bCs/>
                <w:color w:val="FFFFFF" w:themeColor="background1"/>
                <w:sz w:val="18"/>
                <w:szCs w:val="18"/>
                <w:lang w:val="es-PE"/>
              </w:rPr>
            </w:pPr>
            <w:r w:rsidRPr="00E36E90">
              <w:rPr>
                <w:rFonts w:asciiTheme="majorHAnsi" w:hAnsiTheme="majorHAnsi"/>
                <w:b/>
                <w:bCs/>
                <w:color w:val="FFFFFF" w:themeColor="background1"/>
                <w:sz w:val="18"/>
                <w:szCs w:val="18"/>
                <w:lang w:val="es-PE"/>
              </w:rPr>
              <w:lastRenderedPageBreak/>
              <w:t>Petición</w:t>
            </w:r>
          </w:p>
        </w:tc>
        <w:tc>
          <w:tcPr>
            <w:tcW w:w="3870" w:type="dxa"/>
            <w:shd w:val="clear" w:color="auto" w:fill="548DD4" w:themeFill="text2" w:themeFillTint="99"/>
          </w:tcPr>
          <w:p w14:paraId="6ED29DEF" w14:textId="77777777" w:rsidR="001A3A57" w:rsidRPr="00E36E90" w:rsidRDefault="001A3A57" w:rsidP="004A3652">
            <w:pPr>
              <w:pStyle w:val="ListParagraph"/>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0"/>
              <w:jc w:val="center"/>
              <w:rPr>
                <w:rFonts w:asciiTheme="majorHAnsi" w:hAnsiTheme="majorHAnsi"/>
                <w:b/>
                <w:bCs/>
                <w:color w:val="FFFFFF" w:themeColor="background1"/>
                <w:sz w:val="18"/>
                <w:szCs w:val="18"/>
                <w:lang w:val="es-PE"/>
              </w:rPr>
            </w:pPr>
            <w:r w:rsidRPr="00E36E90">
              <w:rPr>
                <w:rFonts w:asciiTheme="majorHAnsi" w:hAnsiTheme="majorHAnsi"/>
                <w:b/>
                <w:bCs/>
                <w:color w:val="FFFFFF" w:themeColor="background1"/>
                <w:sz w:val="18"/>
                <w:szCs w:val="18"/>
                <w:lang w:val="es-PE"/>
              </w:rPr>
              <w:t>Decisión que agotó la jurisdicción interna</w:t>
            </w:r>
          </w:p>
        </w:tc>
        <w:tc>
          <w:tcPr>
            <w:tcW w:w="2160" w:type="dxa"/>
            <w:shd w:val="clear" w:color="auto" w:fill="548DD4" w:themeFill="text2" w:themeFillTint="99"/>
          </w:tcPr>
          <w:p w14:paraId="2101D456" w14:textId="77777777" w:rsidR="001A3A57" w:rsidRPr="00E36E90" w:rsidRDefault="001A3A57" w:rsidP="004A3652">
            <w:pPr>
              <w:pStyle w:val="ListParagraph"/>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0"/>
              <w:jc w:val="center"/>
              <w:rPr>
                <w:rFonts w:asciiTheme="majorHAnsi" w:hAnsiTheme="majorHAnsi"/>
                <w:b/>
                <w:bCs/>
                <w:color w:val="FFFFFF" w:themeColor="background1"/>
                <w:sz w:val="18"/>
                <w:szCs w:val="18"/>
                <w:lang w:val="es-PE"/>
              </w:rPr>
            </w:pPr>
            <w:r w:rsidRPr="00E36E90">
              <w:rPr>
                <w:rFonts w:asciiTheme="majorHAnsi" w:hAnsiTheme="majorHAnsi"/>
                <w:b/>
                <w:bCs/>
                <w:color w:val="FFFFFF" w:themeColor="background1"/>
                <w:sz w:val="18"/>
                <w:szCs w:val="18"/>
                <w:lang w:val="es-PE"/>
              </w:rPr>
              <w:t>Fecha de notificación</w:t>
            </w:r>
          </w:p>
        </w:tc>
        <w:tc>
          <w:tcPr>
            <w:tcW w:w="2160" w:type="dxa"/>
            <w:shd w:val="clear" w:color="auto" w:fill="548DD4" w:themeFill="text2" w:themeFillTint="99"/>
          </w:tcPr>
          <w:p w14:paraId="4E9E246F" w14:textId="15CBC524" w:rsidR="001A3A57" w:rsidRPr="00E36E90" w:rsidRDefault="001A3A57" w:rsidP="004A3652">
            <w:pPr>
              <w:pStyle w:val="ListParagraph"/>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0"/>
              <w:jc w:val="center"/>
              <w:rPr>
                <w:rFonts w:asciiTheme="majorHAnsi" w:hAnsiTheme="majorHAnsi"/>
                <w:b/>
                <w:bCs/>
                <w:color w:val="FFFFFF" w:themeColor="background1"/>
                <w:sz w:val="18"/>
                <w:szCs w:val="18"/>
                <w:lang w:val="es-PE"/>
              </w:rPr>
            </w:pPr>
            <w:r w:rsidRPr="00E36E90">
              <w:rPr>
                <w:rFonts w:asciiTheme="majorHAnsi" w:hAnsiTheme="majorHAnsi"/>
                <w:b/>
                <w:bCs/>
                <w:color w:val="FFFFFF" w:themeColor="background1"/>
                <w:sz w:val="18"/>
                <w:szCs w:val="18"/>
                <w:lang w:val="es-PE"/>
              </w:rPr>
              <w:t>Fecha de presentación</w:t>
            </w:r>
          </w:p>
        </w:tc>
      </w:tr>
      <w:tr w:rsidR="001A3A57" w:rsidRPr="00E36E90" w14:paraId="4836EBF7" w14:textId="23E889F2" w:rsidTr="00061E0A">
        <w:tc>
          <w:tcPr>
            <w:tcW w:w="1170" w:type="dxa"/>
            <w:vAlign w:val="center"/>
          </w:tcPr>
          <w:p w14:paraId="2F94578D" w14:textId="77777777" w:rsidR="001A3A57" w:rsidRPr="00E36E90" w:rsidRDefault="001A3A57" w:rsidP="001A3A57">
            <w:pPr>
              <w:pStyle w:val="ListParagraph"/>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0"/>
              <w:rPr>
                <w:rFonts w:asciiTheme="majorHAnsi" w:hAnsiTheme="majorHAnsi"/>
                <w:sz w:val="18"/>
                <w:szCs w:val="18"/>
                <w:lang w:val="es-PE"/>
              </w:rPr>
            </w:pPr>
            <w:r w:rsidRPr="00E36E90">
              <w:rPr>
                <w:rFonts w:asciiTheme="majorHAnsi" w:hAnsiTheme="majorHAnsi"/>
                <w:b/>
                <w:sz w:val="18"/>
                <w:szCs w:val="18"/>
                <w:lang w:val="es-ES"/>
              </w:rPr>
              <w:t>P-2287-16</w:t>
            </w:r>
          </w:p>
        </w:tc>
        <w:tc>
          <w:tcPr>
            <w:tcW w:w="3870" w:type="dxa"/>
          </w:tcPr>
          <w:p w14:paraId="68EF9037" w14:textId="77777777" w:rsidR="001A3A57" w:rsidRPr="00E36E90" w:rsidRDefault="001A3A57" w:rsidP="001A3A57">
            <w:pPr>
              <w:pStyle w:val="ListParagraph"/>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0"/>
              <w:rPr>
                <w:rFonts w:asciiTheme="majorHAnsi" w:hAnsiTheme="majorHAnsi"/>
                <w:sz w:val="18"/>
                <w:szCs w:val="18"/>
                <w:lang w:val="es-PE"/>
              </w:rPr>
            </w:pPr>
            <w:r w:rsidRPr="00E36E90">
              <w:rPr>
                <w:rFonts w:asciiTheme="majorHAnsi" w:hAnsiTheme="majorHAnsi"/>
                <w:sz w:val="18"/>
                <w:szCs w:val="18"/>
                <w:lang w:val="es-PE"/>
              </w:rPr>
              <w:t>SCP N°0013/2016-S3 del 4 de enero de 2016.</w:t>
            </w:r>
          </w:p>
        </w:tc>
        <w:tc>
          <w:tcPr>
            <w:tcW w:w="2160" w:type="dxa"/>
          </w:tcPr>
          <w:p w14:paraId="497C7F92" w14:textId="77777777" w:rsidR="001A3A57" w:rsidRPr="00E36E90" w:rsidRDefault="001A3A57" w:rsidP="001A3A57">
            <w:pPr>
              <w:pStyle w:val="ListParagraph"/>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0"/>
              <w:rPr>
                <w:rFonts w:asciiTheme="majorHAnsi" w:hAnsiTheme="majorHAnsi"/>
                <w:sz w:val="18"/>
                <w:szCs w:val="18"/>
                <w:lang w:val="es-PE"/>
              </w:rPr>
            </w:pPr>
            <w:r w:rsidRPr="00E36E90">
              <w:rPr>
                <w:rFonts w:asciiTheme="majorHAnsi" w:hAnsiTheme="majorHAnsi"/>
                <w:sz w:val="18"/>
                <w:szCs w:val="18"/>
                <w:lang w:val="es-PE"/>
              </w:rPr>
              <w:t>20 de mayo de 2016</w:t>
            </w:r>
          </w:p>
        </w:tc>
        <w:tc>
          <w:tcPr>
            <w:tcW w:w="2160" w:type="dxa"/>
            <w:vAlign w:val="center"/>
          </w:tcPr>
          <w:p w14:paraId="2B00D7AA" w14:textId="434D9AE7" w:rsidR="001A3A57" w:rsidRPr="00E36E90" w:rsidRDefault="001A3A57" w:rsidP="001A3A57">
            <w:pPr>
              <w:pStyle w:val="ListParagraph"/>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0"/>
              <w:rPr>
                <w:rFonts w:asciiTheme="majorHAnsi" w:hAnsiTheme="majorHAnsi"/>
                <w:sz w:val="18"/>
                <w:szCs w:val="18"/>
                <w:lang w:val="es-PE"/>
              </w:rPr>
            </w:pPr>
            <w:r w:rsidRPr="00E36E90">
              <w:rPr>
                <w:rFonts w:asciiTheme="majorHAnsi" w:hAnsiTheme="majorHAnsi"/>
                <w:bCs/>
                <w:sz w:val="18"/>
                <w:szCs w:val="18"/>
                <w:lang w:val="es-ES"/>
              </w:rPr>
              <w:t>17 de noviembre de 2016</w:t>
            </w:r>
          </w:p>
        </w:tc>
      </w:tr>
      <w:tr w:rsidR="001A3A57" w:rsidRPr="00E36E90" w14:paraId="4B2603B5" w14:textId="5A5E6AED" w:rsidTr="00061E0A">
        <w:tc>
          <w:tcPr>
            <w:tcW w:w="1170" w:type="dxa"/>
            <w:vAlign w:val="center"/>
          </w:tcPr>
          <w:p w14:paraId="7E073A18" w14:textId="77777777" w:rsidR="001A3A57" w:rsidRPr="00E36E90" w:rsidRDefault="001A3A57" w:rsidP="001A3A57">
            <w:pPr>
              <w:pStyle w:val="ListParagraph"/>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0"/>
              <w:rPr>
                <w:rFonts w:asciiTheme="majorHAnsi" w:hAnsiTheme="majorHAnsi"/>
                <w:sz w:val="18"/>
                <w:szCs w:val="18"/>
                <w:lang w:val="es-PE"/>
              </w:rPr>
            </w:pPr>
            <w:r w:rsidRPr="00E36E90">
              <w:rPr>
                <w:rFonts w:asciiTheme="majorHAnsi" w:hAnsiTheme="majorHAnsi"/>
                <w:b/>
                <w:sz w:val="18"/>
                <w:szCs w:val="18"/>
                <w:lang w:val="es-ES"/>
              </w:rPr>
              <w:t>P-2722-18</w:t>
            </w:r>
          </w:p>
        </w:tc>
        <w:tc>
          <w:tcPr>
            <w:tcW w:w="3870" w:type="dxa"/>
          </w:tcPr>
          <w:p w14:paraId="764CA2FA" w14:textId="77777777" w:rsidR="001A3A57" w:rsidRPr="00E36E90" w:rsidRDefault="001A3A57" w:rsidP="001A3A57">
            <w:pPr>
              <w:pStyle w:val="ListParagraph"/>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0"/>
              <w:rPr>
                <w:rFonts w:asciiTheme="majorHAnsi" w:hAnsiTheme="majorHAnsi"/>
                <w:sz w:val="18"/>
                <w:szCs w:val="18"/>
                <w:lang w:val="es-PE"/>
              </w:rPr>
            </w:pPr>
            <w:r w:rsidRPr="00E36E90">
              <w:rPr>
                <w:rFonts w:asciiTheme="majorHAnsi" w:hAnsiTheme="majorHAnsi"/>
                <w:sz w:val="18"/>
                <w:szCs w:val="18"/>
                <w:lang w:val="es-PE"/>
              </w:rPr>
              <w:t>SCP N°097/2018-S2 del 29 de marzo de 2018.</w:t>
            </w:r>
          </w:p>
        </w:tc>
        <w:tc>
          <w:tcPr>
            <w:tcW w:w="2160" w:type="dxa"/>
          </w:tcPr>
          <w:p w14:paraId="75153F30" w14:textId="77777777" w:rsidR="001A3A57" w:rsidRPr="00E36E90" w:rsidRDefault="001A3A57" w:rsidP="001A3A57">
            <w:pPr>
              <w:pStyle w:val="ListParagraph"/>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0"/>
              <w:rPr>
                <w:rFonts w:asciiTheme="majorHAnsi" w:hAnsiTheme="majorHAnsi"/>
                <w:sz w:val="18"/>
                <w:szCs w:val="18"/>
                <w:lang w:val="es-PE"/>
              </w:rPr>
            </w:pPr>
            <w:r w:rsidRPr="00E36E90">
              <w:rPr>
                <w:rFonts w:asciiTheme="majorHAnsi" w:hAnsiTheme="majorHAnsi"/>
                <w:sz w:val="18"/>
                <w:szCs w:val="18"/>
                <w:lang w:val="es-PE"/>
              </w:rPr>
              <w:t>20 de junio de 2018</w:t>
            </w:r>
          </w:p>
        </w:tc>
        <w:tc>
          <w:tcPr>
            <w:tcW w:w="2160" w:type="dxa"/>
            <w:vAlign w:val="center"/>
          </w:tcPr>
          <w:p w14:paraId="7338DB97" w14:textId="133C5CCC" w:rsidR="001A3A57" w:rsidRPr="00E36E90" w:rsidRDefault="001A3A57" w:rsidP="001A3A57">
            <w:pPr>
              <w:pStyle w:val="ListParagraph"/>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0"/>
              <w:rPr>
                <w:rFonts w:asciiTheme="majorHAnsi" w:hAnsiTheme="majorHAnsi"/>
                <w:sz w:val="18"/>
                <w:szCs w:val="18"/>
                <w:lang w:val="es-PE"/>
              </w:rPr>
            </w:pPr>
            <w:r w:rsidRPr="00E36E90">
              <w:rPr>
                <w:rFonts w:asciiTheme="majorHAnsi" w:hAnsiTheme="majorHAnsi"/>
                <w:bCs/>
                <w:sz w:val="18"/>
                <w:szCs w:val="18"/>
                <w:lang w:val="es-ES"/>
              </w:rPr>
              <w:t>14 de diciembre de 2018</w:t>
            </w:r>
          </w:p>
        </w:tc>
      </w:tr>
      <w:tr w:rsidR="001A3A57" w:rsidRPr="00E36E90" w14:paraId="3C875366" w14:textId="674D135C" w:rsidTr="00061E0A">
        <w:tc>
          <w:tcPr>
            <w:tcW w:w="1170" w:type="dxa"/>
            <w:vAlign w:val="center"/>
          </w:tcPr>
          <w:p w14:paraId="0C69068E" w14:textId="77777777" w:rsidR="001A3A57" w:rsidRPr="00E36E90" w:rsidRDefault="001A3A57" w:rsidP="001A3A57">
            <w:pPr>
              <w:pStyle w:val="ListParagraph"/>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0"/>
              <w:rPr>
                <w:rFonts w:asciiTheme="majorHAnsi" w:hAnsiTheme="majorHAnsi"/>
                <w:sz w:val="18"/>
                <w:szCs w:val="18"/>
                <w:lang w:val="es-PE"/>
              </w:rPr>
            </w:pPr>
            <w:r w:rsidRPr="00E36E90">
              <w:rPr>
                <w:rFonts w:asciiTheme="majorHAnsi" w:hAnsiTheme="majorHAnsi"/>
                <w:b/>
                <w:sz w:val="18"/>
                <w:szCs w:val="18"/>
                <w:lang w:val="pt-BR"/>
              </w:rPr>
              <w:t>P-2774-18</w:t>
            </w:r>
          </w:p>
        </w:tc>
        <w:tc>
          <w:tcPr>
            <w:tcW w:w="3870" w:type="dxa"/>
          </w:tcPr>
          <w:p w14:paraId="342D3A39" w14:textId="77777777" w:rsidR="001A3A57" w:rsidRPr="00E36E90" w:rsidRDefault="001A3A57" w:rsidP="001A3A57">
            <w:pPr>
              <w:rPr>
                <w:rFonts w:asciiTheme="majorHAnsi" w:hAnsiTheme="majorHAnsi"/>
                <w:sz w:val="18"/>
                <w:szCs w:val="18"/>
                <w:lang w:val="es-PE"/>
              </w:rPr>
            </w:pPr>
            <w:r w:rsidRPr="00E36E90">
              <w:rPr>
                <w:rFonts w:asciiTheme="majorHAnsi" w:hAnsiTheme="majorHAnsi"/>
                <w:sz w:val="18"/>
                <w:szCs w:val="18"/>
                <w:lang w:val="es-PE"/>
              </w:rPr>
              <w:t>SCP N°0241/2018-S4 del 21 de mayo de 2018.</w:t>
            </w:r>
          </w:p>
        </w:tc>
        <w:tc>
          <w:tcPr>
            <w:tcW w:w="2160" w:type="dxa"/>
          </w:tcPr>
          <w:p w14:paraId="461F5EDE" w14:textId="77777777" w:rsidR="001A3A57" w:rsidRPr="00E36E90" w:rsidRDefault="001A3A57" w:rsidP="001A3A57">
            <w:pPr>
              <w:pStyle w:val="ListParagraph"/>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0"/>
              <w:rPr>
                <w:rFonts w:asciiTheme="majorHAnsi" w:hAnsiTheme="majorHAnsi"/>
                <w:sz w:val="18"/>
                <w:szCs w:val="18"/>
                <w:lang w:val="es-PE"/>
              </w:rPr>
            </w:pPr>
            <w:r w:rsidRPr="00E36E90">
              <w:rPr>
                <w:rFonts w:asciiTheme="majorHAnsi" w:hAnsiTheme="majorHAnsi"/>
                <w:sz w:val="18"/>
                <w:szCs w:val="18"/>
                <w:lang w:val="es-PE"/>
              </w:rPr>
              <w:t>23 de agosto de 2018</w:t>
            </w:r>
          </w:p>
        </w:tc>
        <w:tc>
          <w:tcPr>
            <w:tcW w:w="2160" w:type="dxa"/>
            <w:vAlign w:val="center"/>
          </w:tcPr>
          <w:p w14:paraId="12EC92A8" w14:textId="380FFD75" w:rsidR="001A3A57" w:rsidRPr="00E36E90" w:rsidRDefault="00E50CD0" w:rsidP="001A3A57">
            <w:pPr>
              <w:pStyle w:val="ListParagraph"/>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0"/>
              <w:rPr>
                <w:rFonts w:asciiTheme="majorHAnsi" w:hAnsiTheme="majorHAnsi"/>
                <w:sz w:val="18"/>
                <w:szCs w:val="18"/>
                <w:lang w:val="es-PE"/>
              </w:rPr>
            </w:pPr>
            <w:r>
              <w:rPr>
                <w:rFonts w:asciiTheme="majorHAnsi" w:hAnsiTheme="majorHAnsi"/>
                <w:bCs/>
                <w:sz w:val="18"/>
                <w:szCs w:val="18"/>
                <w:lang w:val="es-PE"/>
              </w:rPr>
              <w:t>19</w:t>
            </w:r>
            <w:r w:rsidR="001A3A57" w:rsidRPr="00E36E90">
              <w:rPr>
                <w:rFonts w:asciiTheme="majorHAnsi" w:hAnsiTheme="majorHAnsi"/>
                <w:bCs/>
                <w:sz w:val="18"/>
                <w:szCs w:val="18"/>
                <w:lang w:val="es-PE"/>
              </w:rPr>
              <w:t xml:space="preserve"> de </w:t>
            </w:r>
            <w:r>
              <w:rPr>
                <w:rFonts w:asciiTheme="majorHAnsi" w:hAnsiTheme="majorHAnsi"/>
                <w:bCs/>
                <w:sz w:val="18"/>
                <w:szCs w:val="18"/>
                <w:lang w:val="es-PE"/>
              </w:rPr>
              <w:t>diciembre</w:t>
            </w:r>
            <w:r w:rsidR="001A3A57" w:rsidRPr="00E36E90">
              <w:rPr>
                <w:rFonts w:asciiTheme="majorHAnsi" w:hAnsiTheme="majorHAnsi"/>
                <w:bCs/>
                <w:sz w:val="18"/>
                <w:szCs w:val="18"/>
                <w:lang w:val="es-PE"/>
              </w:rPr>
              <w:t xml:space="preserve"> de 2018</w:t>
            </w:r>
          </w:p>
        </w:tc>
      </w:tr>
      <w:tr w:rsidR="001A3A57" w:rsidRPr="00E36E90" w14:paraId="2478EE41" w14:textId="18C2EF88" w:rsidTr="00061E0A">
        <w:tc>
          <w:tcPr>
            <w:tcW w:w="1170" w:type="dxa"/>
            <w:vAlign w:val="center"/>
          </w:tcPr>
          <w:p w14:paraId="2E974759" w14:textId="77777777" w:rsidR="001A3A57" w:rsidRPr="00E36E90" w:rsidRDefault="001A3A57" w:rsidP="001A3A57">
            <w:pPr>
              <w:pStyle w:val="ListParagraph"/>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0"/>
              <w:rPr>
                <w:rFonts w:asciiTheme="majorHAnsi" w:hAnsiTheme="majorHAnsi"/>
                <w:sz w:val="18"/>
                <w:szCs w:val="18"/>
                <w:lang w:val="es-PE"/>
              </w:rPr>
            </w:pPr>
            <w:r w:rsidRPr="00E36E90">
              <w:rPr>
                <w:rFonts w:asciiTheme="majorHAnsi" w:hAnsiTheme="majorHAnsi"/>
                <w:b/>
                <w:sz w:val="18"/>
                <w:szCs w:val="18"/>
                <w:lang w:val="pt-BR"/>
              </w:rPr>
              <w:t>P-76-19</w:t>
            </w:r>
          </w:p>
        </w:tc>
        <w:tc>
          <w:tcPr>
            <w:tcW w:w="3870" w:type="dxa"/>
          </w:tcPr>
          <w:p w14:paraId="7C98EC42" w14:textId="77777777" w:rsidR="001A3A57" w:rsidRPr="00E36E90" w:rsidRDefault="001A3A57" w:rsidP="001A3A57">
            <w:pPr>
              <w:pStyle w:val="ListParagraph"/>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0"/>
              <w:rPr>
                <w:rFonts w:asciiTheme="majorHAnsi" w:hAnsiTheme="majorHAnsi"/>
                <w:sz w:val="18"/>
                <w:szCs w:val="18"/>
                <w:lang w:val="es-PE"/>
              </w:rPr>
            </w:pPr>
            <w:r w:rsidRPr="00E36E90">
              <w:rPr>
                <w:rFonts w:asciiTheme="majorHAnsi" w:hAnsiTheme="majorHAnsi"/>
                <w:sz w:val="18"/>
                <w:szCs w:val="18"/>
                <w:lang w:val="es-PE"/>
              </w:rPr>
              <w:t>SCP N°0192/2018-S3 del 22 de mayo de 2018.</w:t>
            </w:r>
          </w:p>
        </w:tc>
        <w:tc>
          <w:tcPr>
            <w:tcW w:w="2160" w:type="dxa"/>
          </w:tcPr>
          <w:p w14:paraId="11AC9265" w14:textId="77777777" w:rsidR="001A3A57" w:rsidRPr="00E36E90" w:rsidRDefault="001A3A57" w:rsidP="001A3A57">
            <w:pPr>
              <w:pStyle w:val="ListParagraph"/>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0"/>
              <w:rPr>
                <w:rFonts w:asciiTheme="majorHAnsi" w:hAnsiTheme="majorHAnsi"/>
                <w:sz w:val="18"/>
                <w:szCs w:val="18"/>
                <w:lang w:val="es-PE"/>
              </w:rPr>
            </w:pPr>
            <w:r w:rsidRPr="00E36E90">
              <w:rPr>
                <w:rFonts w:asciiTheme="majorHAnsi" w:hAnsiTheme="majorHAnsi"/>
                <w:sz w:val="18"/>
                <w:szCs w:val="18"/>
                <w:lang w:val="es-PE"/>
              </w:rPr>
              <w:t>23 de julio de 2018</w:t>
            </w:r>
          </w:p>
        </w:tc>
        <w:tc>
          <w:tcPr>
            <w:tcW w:w="2160" w:type="dxa"/>
            <w:vAlign w:val="center"/>
          </w:tcPr>
          <w:p w14:paraId="096BE63D" w14:textId="762D6486" w:rsidR="001A3A57" w:rsidRPr="00E36E90" w:rsidRDefault="001A3A57" w:rsidP="001A3A57">
            <w:pPr>
              <w:pStyle w:val="ListParagraph"/>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0"/>
              <w:rPr>
                <w:rFonts w:asciiTheme="majorHAnsi" w:hAnsiTheme="majorHAnsi"/>
                <w:sz w:val="18"/>
                <w:szCs w:val="18"/>
                <w:lang w:val="es-PE"/>
              </w:rPr>
            </w:pPr>
            <w:r w:rsidRPr="00E36E90">
              <w:rPr>
                <w:rFonts w:asciiTheme="majorHAnsi" w:hAnsiTheme="majorHAnsi"/>
                <w:bCs/>
                <w:sz w:val="18"/>
                <w:szCs w:val="18"/>
                <w:lang w:val="es-PE"/>
              </w:rPr>
              <w:t>11 de enero de 2019</w:t>
            </w:r>
          </w:p>
        </w:tc>
      </w:tr>
      <w:tr w:rsidR="001A3A57" w:rsidRPr="00E36E90" w14:paraId="0A32C82E" w14:textId="0B6C5D9F" w:rsidTr="00061E0A">
        <w:tc>
          <w:tcPr>
            <w:tcW w:w="1170" w:type="dxa"/>
            <w:vAlign w:val="center"/>
          </w:tcPr>
          <w:p w14:paraId="4E590AFB" w14:textId="77777777" w:rsidR="001A3A57" w:rsidRPr="00E36E90" w:rsidRDefault="001A3A57" w:rsidP="001A3A57">
            <w:pPr>
              <w:pStyle w:val="ListParagraph"/>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0"/>
              <w:rPr>
                <w:rFonts w:asciiTheme="majorHAnsi" w:hAnsiTheme="majorHAnsi"/>
                <w:sz w:val="18"/>
                <w:szCs w:val="18"/>
                <w:lang w:val="es-PE"/>
              </w:rPr>
            </w:pPr>
            <w:r w:rsidRPr="00E36E90">
              <w:rPr>
                <w:rFonts w:asciiTheme="majorHAnsi" w:hAnsiTheme="majorHAnsi"/>
                <w:b/>
                <w:sz w:val="18"/>
                <w:szCs w:val="18"/>
                <w:lang w:val="es-PE"/>
              </w:rPr>
              <w:t>P-1124-19</w:t>
            </w:r>
          </w:p>
        </w:tc>
        <w:tc>
          <w:tcPr>
            <w:tcW w:w="3870" w:type="dxa"/>
          </w:tcPr>
          <w:p w14:paraId="49071114" w14:textId="77777777" w:rsidR="001A3A57" w:rsidRPr="00E36E90" w:rsidRDefault="001A3A57" w:rsidP="001A3A57">
            <w:pPr>
              <w:rPr>
                <w:rFonts w:asciiTheme="majorHAnsi" w:hAnsiTheme="majorHAnsi"/>
                <w:sz w:val="18"/>
                <w:szCs w:val="18"/>
                <w:lang w:val="pt-BR"/>
              </w:rPr>
            </w:pPr>
            <w:r w:rsidRPr="00E36E90">
              <w:rPr>
                <w:rFonts w:asciiTheme="majorHAnsi" w:hAnsiTheme="majorHAnsi"/>
                <w:sz w:val="18"/>
                <w:szCs w:val="18"/>
                <w:u w:color="000000"/>
                <w:lang w:val="pt-BR"/>
              </w:rPr>
              <w:t xml:space="preserve">SCP </w:t>
            </w:r>
            <w:r w:rsidRPr="00E36E90">
              <w:rPr>
                <w:rFonts w:asciiTheme="majorHAnsi" w:hAnsiTheme="majorHAnsi"/>
                <w:sz w:val="18"/>
                <w:szCs w:val="18"/>
                <w:lang w:val="pt-BR"/>
              </w:rPr>
              <w:t>N°</w:t>
            </w:r>
            <w:r w:rsidRPr="00E36E90">
              <w:rPr>
                <w:rFonts w:asciiTheme="majorHAnsi" w:hAnsiTheme="majorHAnsi"/>
                <w:sz w:val="18"/>
                <w:szCs w:val="18"/>
                <w:u w:color="000000"/>
                <w:lang w:val="pt-BR"/>
              </w:rPr>
              <w:t xml:space="preserve">0350/2018-S3 del 27 de agosto </w:t>
            </w:r>
            <w:r w:rsidRPr="00E36E90">
              <w:rPr>
                <w:rFonts w:asciiTheme="majorHAnsi" w:hAnsiTheme="majorHAnsi"/>
                <w:sz w:val="18"/>
                <w:szCs w:val="18"/>
                <w:lang w:val="pt-BR"/>
              </w:rPr>
              <w:t>de 2018.</w:t>
            </w:r>
          </w:p>
        </w:tc>
        <w:tc>
          <w:tcPr>
            <w:tcW w:w="2160" w:type="dxa"/>
          </w:tcPr>
          <w:p w14:paraId="2F271A90" w14:textId="63CD11AA" w:rsidR="001A3A57" w:rsidRPr="00E36E90" w:rsidRDefault="001A3A57" w:rsidP="001A3A57">
            <w:pPr>
              <w:pStyle w:val="ListParagraph"/>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0"/>
              <w:rPr>
                <w:rFonts w:asciiTheme="majorHAnsi" w:hAnsiTheme="majorHAnsi"/>
                <w:sz w:val="18"/>
                <w:szCs w:val="18"/>
                <w:lang w:val="es-PE"/>
              </w:rPr>
            </w:pPr>
            <w:r w:rsidRPr="00E36E90">
              <w:rPr>
                <w:rFonts w:asciiTheme="majorHAnsi" w:hAnsiTheme="majorHAnsi"/>
                <w:sz w:val="18"/>
                <w:szCs w:val="18"/>
                <w:lang w:val="es-PE"/>
              </w:rPr>
              <w:t>7 de diciembre de 2018</w:t>
            </w:r>
          </w:p>
        </w:tc>
        <w:tc>
          <w:tcPr>
            <w:tcW w:w="2160" w:type="dxa"/>
            <w:vAlign w:val="center"/>
          </w:tcPr>
          <w:p w14:paraId="57505DB9" w14:textId="32D4D667" w:rsidR="001A3A57" w:rsidRPr="00E36E90" w:rsidRDefault="001A3A57" w:rsidP="001A3A57">
            <w:pPr>
              <w:pStyle w:val="ListParagraph"/>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0"/>
              <w:rPr>
                <w:rFonts w:asciiTheme="majorHAnsi" w:hAnsiTheme="majorHAnsi"/>
                <w:sz w:val="18"/>
                <w:szCs w:val="18"/>
                <w:lang w:val="es-PE"/>
              </w:rPr>
            </w:pPr>
            <w:r w:rsidRPr="00E36E90">
              <w:rPr>
                <w:rFonts w:asciiTheme="majorHAnsi" w:hAnsiTheme="majorHAnsi"/>
                <w:bCs/>
                <w:sz w:val="18"/>
                <w:szCs w:val="18"/>
                <w:lang w:val="es-PE"/>
              </w:rPr>
              <w:t>7 de mayo de 2019</w:t>
            </w:r>
          </w:p>
        </w:tc>
      </w:tr>
      <w:tr w:rsidR="001A3A57" w:rsidRPr="00E36E90" w14:paraId="635FC975" w14:textId="41286E8E" w:rsidTr="00061E0A">
        <w:tc>
          <w:tcPr>
            <w:tcW w:w="1170" w:type="dxa"/>
            <w:vAlign w:val="center"/>
          </w:tcPr>
          <w:p w14:paraId="59363339" w14:textId="77777777" w:rsidR="001A3A57" w:rsidRPr="00E36E90" w:rsidRDefault="001A3A57" w:rsidP="001A3A57">
            <w:pPr>
              <w:pStyle w:val="ListParagraph"/>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0"/>
              <w:rPr>
                <w:rFonts w:asciiTheme="majorHAnsi" w:hAnsiTheme="majorHAnsi"/>
                <w:sz w:val="18"/>
                <w:szCs w:val="18"/>
                <w:lang w:val="es-PE"/>
              </w:rPr>
            </w:pPr>
            <w:r w:rsidRPr="00E36E90">
              <w:rPr>
                <w:rFonts w:asciiTheme="majorHAnsi" w:hAnsiTheme="majorHAnsi"/>
                <w:b/>
                <w:sz w:val="18"/>
                <w:szCs w:val="18"/>
                <w:lang w:val="pt-BR"/>
              </w:rPr>
              <w:t>P-1217-19</w:t>
            </w:r>
          </w:p>
        </w:tc>
        <w:tc>
          <w:tcPr>
            <w:tcW w:w="3870" w:type="dxa"/>
          </w:tcPr>
          <w:p w14:paraId="0F57F97C" w14:textId="77777777" w:rsidR="001A3A57" w:rsidRPr="00E36E90" w:rsidRDefault="001A3A57" w:rsidP="001A3A57">
            <w:pPr>
              <w:rPr>
                <w:rFonts w:asciiTheme="majorHAnsi" w:hAnsiTheme="majorHAnsi"/>
                <w:sz w:val="18"/>
                <w:szCs w:val="18"/>
                <w:lang w:val="pt-BR"/>
              </w:rPr>
            </w:pPr>
            <w:r w:rsidRPr="00E36E90">
              <w:rPr>
                <w:rFonts w:asciiTheme="majorHAnsi" w:hAnsiTheme="majorHAnsi"/>
                <w:sz w:val="18"/>
                <w:szCs w:val="18"/>
                <w:u w:color="000000"/>
                <w:lang w:val="pt-BR"/>
              </w:rPr>
              <w:t xml:space="preserve">SCP </w:t>
            </w:r>
            <w:r w:rsidRPr="00E36E90">
              <w:rPr>
                <w:rFonts w:asciiTheme="majorHAnsi" w:hAnsiTheme="majorHAnsi"/>
                <w:sz w:val="18"/>
                <w:szCs w:val="18"/>
                <w:lang w:val="pt-BR"/>
              </w:rPr>
              <w:t>N°</w:t>
            </w:r>
            <w:r w:rsidRPr="00E36E90">
              <w:rPr>
                <w:rFonts w:asciiTheme="majorHAnsi" w:hAnsiTheme="majorHAnsi"/>
                <w:sz w:val="18"/>
                <w:szCs w:val="18"/>
                <w:u w:color="000000"/>
                <w:lang w:val="pt-BR"/>
              </w:rPr>
              <w:t xml:space="preserve">0350/2018-S3 del 27 de agosto </w:t>
            </w:r>
            <w:r w:rsidRPr="00E36E90">
              <w:rPr>
                <w:rFonts w:asciiTheme="majorHAnsi" w:hAnsiTheme="majorHAnsi"/>
                <w:sz w:val="18"/>
                <w:szCs w:val="18"/>
                <w:lang w:val="pt-BR"/>
              </w:rPr>
              <w:t>de 2018.</w:t>
            </w:r>
          </w:p>
        </w:tc>
        <w:tc>
          <w:tcPr>
            <w:tcW w:w="2160" w:type="dxa"/>
          </w:tcPr>
          <w:p w14:paraId="3D0AD37A" w14:textId="4D2B8F48" w:rsidR="001A3A57" w:rsidRPr="00E36E90" w:rsidRDefault="001A3A57" w:rsidP="001A3A57">
            <w:pPr>
              <w:pStyle w:val="ListParagraph"/>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0"/>
              <w:rPr>
                <w:rFonts w:asciiTheme="majorHAnsi" w:hAnsiTheme="majorHAnsi"/>
                <w:sz w:val="18"/>
                <w:szCs w:val="18"/>
                <w:lang w:val="es-PE"/>
              </w:rPr>
            </w:pPr>
            <w:r w:rsidRPr="00E36E90">
              <w:rPr>
                <w:rFonts w:asciiTheme="majorHAnsi" w:hAnsiTheme="majorHAnsi"/>
                <w:sz w:val="18"/>
                <w:szCs w:val="18"/>
                <w:lang w:val="es-PE"/>
              </w:rPr>
              <w:t>7 de diciembre de 2018</w:t>
            </w:r>
          </w:p>
        </w:tc>
        <w:tc>
          <w:tcPr>
            <w:tcW w:w="2160" w:type="dxa"/>
            <w:vAlign w:val="center"/>
          </w:tcPr>
          <w:p w14:paraId="47260A16" w14:textId="2A31FE1E" w:rsidR="001A3A57" w:rsidRPr="00E36E90" w:rsidRDefault="001A3A57" w:rsidP="001A3A57">
            <w:pPr>
              <w:pStyle w:val="ListParagraph"/>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0"/>
              <w:rPr>
                <w:rFonts w:asciiTheme="majorHAnsi" w:hAnsiTheme="majorHAnsi"/>
                <w:sz w:val="18"/>
                <w:szCs w:val="18"/>
                <w:lang w:val="es-PE"/>
              </w:rPr>
            </w:pPr>
            <w:r w:rsidRPr="00E36E90">
              <w:rPr>
                <w:rFonts w:asciiTheme="majorHAnsi" w:hAnsiTheme="majorHAnsi"/>
                <w:bCs/>
                <w:sz w:val="18"/>
                <w:szCs w:val="18"/>
                <w:lang w:val="pt-BR"/>
              </w:rPr>
              <w:t>20 de mayo de 2019</w:t>
            </w:r>
          </w:p>
        </w:tc>
      </w:tr>
      <w:tr w:rsidR="001A3A57" w:rsidRPr="00E36E90" w14:paraId="779D4584" w14:textId="195DD94B" w:rsidTr="00061E0A">
        <w:tc>
          <w:tcPr>
            <w:tcW w:w="1170" w:type="dxa"/>
            <w:vAlign w:val="center"/>
          </w:tcPr>
          <w:p w14:paraId="6CC07B0C" w14:textId="77777777" w:rsidR="001A3A57" w:rsidRPr="00E36E90" w:rsidRDefault="001A3A57" w:rsidP="001A3A57">
            <w:pPr>
              <w:pStyle w:val="ListParagraph"/>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0"/>
              <w:rPr>
                <w:rFonts w:asciiTheme="majorHAnsi" w:hAnsiTheme="majorHAnsi"/>
                <w:sz w:val="18"/>
                <w:szCs w:val="18"/>
                <w:lang w:val="es-PE"/>
              </w:rPr>
            </w:pPr>
            <w:r w:rsidRPr="00E36E90">
              <w:rPr>
                <w:rFonts w:asciiTheme="majorHAnsi" w:hAnsiTheme="majorHAnsi"/>
                <w:b/>
                <w:sz w:val="18"/>
                <w:szCs w:val="18"/>
                <w:lang w:val="pt-BR"/>
              </w:rPr>
              <w:t>P-1228-19</w:t>
            </w:r>
          </w:p>
        </w:tc>
        <w:tc>
          <w:tcPr>
            <w:tcW w:w="3870" w:type="dxa"/>
          </w:tcPr>
          <w:p w14:paraId="2F3D6AA1" w14:textId="77777777" w:rsidR="001A3A57" w:rsidRPr="00E36E90" w:rsidRDefault="001A3A57" w:rsidP="001A3A57">
            <w:pPr>
              <w:rPr>
                <w:rFonts w:asciiTheme="majorHAnsi" w:hAnsiTheme="majorHAnsi"/>
                <w:sz w:val="18"/>
                <w:szCs w:val="18"/>
                <w:lang w:val="pt-BR"/>
              </w:rPr>
            </w:pPr>
            <w:r w:rsidRPr="00E36E90">
              <w:rPr>
                <w:rFonts w:asciiTheme="majorHAnsi" w:hAnsiTheme="majorHAnsi"/>
                <w:sz w:val="18"/>
                <w:szCs w:val="18"/>
                <w:u w:color="000000"/>
                <w:lang w:val="pt-BR"/>
              </w:rPr>
              <w:t xml:space="preserve">SCP </w:t>
            </w:r>
            <w:r w:rsidRPr="00E36E90">
              <w:rPr>
                <w:rFonts w:asciiTheme="majorHAnsi" w:hAnsiTheme="majorHAnsi"/>
                <w:sz w:val="18"/>
                <w:szCs w:val="18"/>
                <w:lang w:val="pt-BR"/>
              </w:rPr>
              <w:t>N°</w:t>
            </w:r>
            <w:r w:rsidRPr="00E36E90">
              <w:rPr>
                <w:rFonts w:asciiTheme="majorHAnsi" w:hAnsiTheme="majorHAnsi"/>
                <w:sz w:val="18"/>
                <w:szCs w:val="18"/>
                <w:u w:color="000000"/>
                <w:lang w:val="pt-BR"/>
              </w:rPr>
              <w:t xml:space="preserve">0350/2018-S3 del 27 de agosto </w:t>
            </w:r>
            <w:r w:rsidRPr="00E36E90">
              <w:rPr>
                <w:rFonts w:asciiTheme="majorHAnsi" w:hAnsiTheme="majorHAnsi"/>
                <w:sz w:val="18"/>
                <w:szCs w:val="18"/>
                <w:lang w:val="pt-BR"/>
              </w:rPr>
              <w:t>de 2018.</w:t>
            </w:r>
          </w:p>
        </w:tc>
        <w:tc>
          <w:tcPr>
            <w:tcW w:w="2160" w:type="dxa"/>
          </w:tcPr>
          <w:p w14:paraId="62307249" w14:textId="1B24A5E9" w:rsidR="001A3A57" w:rsidRPr="00E36E90" w:rsidRDefault="001A3A57" w:rsidP="001A3A57">
            <w:pPr>
              <w:pStyle w:val="ListParagraph"/>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0"/>
              <w:rPr>
                <w:rFonts w:asciiTheme="majorHAnsi" w:hAnsiTheme="majorHAnsi"/>
                <w:sz w:val="18"/>
                <w:szCs w:val="18"/>
                <w:lang w:val="es-PE"/>
              </w:rPr>
            </w:pPr>
            <w:r w:rsidRPr="00E36E90">
              <w:rPr>
                <w:rFonts w:asciiTheme="majorHAnsi" w:hAnsiTheme="majorHAnsi"/>
                <w:sz w:val="18"/>
                <w:szCs w:val="18"/>
                <w:lang w:val="es-PE"/>
              </w:rPr>
              <w:t>7 de diciembre de 2018</w:t>
            </w:r>
          </w:p>
        </w:tc>
        <w:tc>
          <w:tcPr>
            <w:tcW w:w="2160" w:type="dxa"/>
            <w:vAlign w:val="center"/>
          </w:tcPr>
          <w:p w14:paraId="4065C9EB" w14:textId="5AEE906D" w:rsidR="001A3A57" w:rsidRPr="00E36E90" w:rsidRDefault="001A3A57" w:rsidP="001A3A57">
            <w:pPr>
              <w:pStyle w:val="ListParagraph"/>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0"/>
              <w:rPr>
                <w:rFonts w:asciiTheme="majorHAnsi" w:hAnsiTheme="majorHAnsi"/>
                <w:sz w:val="18"/>
                <w:szCs w:val="18"/>
                <w:lang w:val="es-PE"/>
              </w:rPr>
            </w:pPr>
            <w:r w:rsidRPr="00E36E90">
              <w:rPr>
                <w:rFonts w:asciiTheme="majorHAnsi" w:hAnsiTheme="majorHAnsi"/>
                <w:bCs/>
                <w:sz w:val="18"/>
                <w:szCs w:val="18"/>
                <w:lang w:val="pt-BR"/>
              </w:rPr>
              <w:t>21 de mayo de 2019</w:t>
            </w:r>
          </w:p>
        </w:tc>
      </w:tr>
      <w:tr w:rsidR="001A3A57" w:rsidRPr="00E36E90" w14:paraId="3D642333" w14:textId="1C0014A4" w:rsidTr="00061E0A">
        <w:tc>
          <w:tcPr>
            <w:tcW w:w="1170" w:type="dxa"/>
            <w:vAlign w:val="center"/>
          </w:tcPr>
          <w:p w14:paraId="6780C17A" w14:textId="77777777" w:rsidR="001A3A57" w:rsidRPr="00E36E90" w:rsidRDefault="001A3A57" w:rsidP="001A3A57">
            <w:pPr>
              <w:pStyle w:val="ListParagraph"/>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0"/>
              <w:rPr>
                <w:rFonts w:asciiTheme="majorHAnsi" w:hAnsiTheme="majorHAnsi"/>
                <w:sz w:val="18"/>
                <w:szCs w:val="18"/>
                <w:lang w:val="es-PE"/>
              </w:rPr>
            </w:pPr>
            <w:r w:rsidRPr="00E36E90">
              <w:rPr>
                <w:rFonts w:asciiTheme="majorHAnsi" w:hAnsiTheme="majorHAnsi"/>
                <w:b/>
                <w:sz w:val="18"/>
                <w:szCs w:val="18"/>
                <w:lang w:val="pt-BR"/>
              </w:rPr>
              <w:t>P-1278-19</w:t>
            </w:r>
          </w:p>
        </w:tc>
        <w:tc>
          <w:tcPr>
            <w:tcW w:w="3870" w:type="dxa"/>
          </w:tcPr>
          <w:p w14:paraId="518B4E25" w14:textId="77777777" w:rsidR="001A3A57" w:rsidRPr="00E36E90" w:rsidRDefault="001A3A57" w:rsidP="001A3A57">
            <w:pPr>
              <w:rPr>
                <w:rFonts w:asciiTheme="majorHAnsi" w:hAnsiTheme="majorHAnsi"/>
                <w:sz w:val="18"/>
                <w:szCs w:val="18"/>
                <w:lang w:val="pt-BR"/>
              </w:rPr>
            </w:pPr>
            <w:r w:rsidRPr="00E36E90">
              <w:rPr>
                <w:rFonts w:asciiTheme="majorHAnsi" w:hAnsiTheme="majorHAnsi"/>
                <w:sz w:val="18"/>
                <w:szCs w:val="18"/>
                <w:u w:color="000000"/>
                <w:lang w:val="pt-BR"/>
              </w:rPr>
              <w:t xml:space="preserve">SCP </w:t>
            </w:r>
            <w:r w:rsidRPr="00E36E90">
              <w:rPr>
                <w:rFonts w:asciiTheme="majorHAnsi" w:hAnsiTheme="majorHAnsi"/>
                <w:sz w:val="18"/>
                <w:szCs w:val="18"/>
                <w:lang w:val="pt-BR"/>
              </w:rPr>
              <w:t>N°</w:t>
            </w:r>
            <w:r w:rsidRPr="00E36E90">
              <w:rPr>
                <w:rFonts w:asciiTheme="majorHAnsi" w:hAnsiTheme="majorHAnsi"/>
                <w:sz w:val="18"/>
                <w:szCs w:val="18"/>
                <w:u w:color="000000"/>
                <w:lang w:val="pt-BR"/>
              </w:rPr>
              <w:t xml:space="preserve">0350/2018-S3 del 27 de agosto </w:t>
            </w:r>
            <w:r w:rsidRPr="00E36E90">
              <w:rPr>
                <w:rFonts w:asciiTheme="majorHAnsi" w:hAnsiTheme="majorHAnsi"/>
                <w:sz w:val="18"/>
                <w:szCs w:val="18"/>
                <w:lang w:val="pt-BR"/>
              </w:rPr>
              <w:t>de 2018.</w:t>
            </w:r>
          </w:p>
        </w:tc>
        <w:tc>
          <w:tcPr>
            <w:tcW w:w="2160" w:type="dxa"/>
          </w:tcPr>
          <w:p w14:paraId="6841BFB3" w14:textId="67FD8C92" w:rsidR="001A3A57" w:rsidRPr="00E36E90" w:rsidRDefault="001A3A57" w:rsidP="001A3A57">
            <w:pPr>
              <w:pStyle w:val="ListParagraph"/>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0"/>
              <w:rPr>
                <w:rFonts w:asciiTheme="majorHAnsi" w:hAnsiTheme="majorHAnsi"/>
                <w:sz w:val="18"/>
                <w:szCs w:val="18"/>
                <w:lang w:val="es-PE"/>
              </w:rPr>
            </w:pPr>
            <w:r w:rsidRPr="00E36E90">
              <w:rPr>
                <w:rFonts w:asciiTheme="majorHAnsi" w:hAnsiTheme="majorHAnsi"/>
                <w:sz w:val="18"/>
                <w:szCs w:val="18"/>
                <w:lang w:val="es-PE"/>
              </w:rPr>
              <w:t>7 de diciembre de 2018</w:t>
            </w:r>
          </w:p>
        </w:tc>
        <w:tc>
          <w:tcPr>
            <w:tcW w:w="2160" w:type="dxa"/>
            <w:vAlign w:val="center"/>
          </w:tcPr>
          <w:p w14:paraId="4A248A01" w14:textId="0D278309" w:rsidR="001A3A57" w:rsidRPr="00E36E90" w:rsidRDefault="001A3A57" w:rsidP="001A3A57">
            <w:pPr>
              <w:pStyle w:val="ListParagraph"/>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0"/>
              <w:rPr>
                <w:rFonts w:asciiTheme="majorHAnsi" w:hAnsiTheme="majorHAnsi"/>
                <w:sz w:val="18"/>
                <w:szCs w:val="18"/>
                <w:lang w:val="es-PE"/>
              </w:rPr>
            </w:pPr>
            <w:r w:rsidRPr="00E36E90">
              <w:rPr>
                <w:rFonts w:asciiTheme="majorHAnsi" w:hAnsiTheme="majorHAnsi"/>
                <w:bCs/>
                <w:sz w:val="18"/>
                <w:szCs w:val="18"/>
                <w:lang w:val="pt-BR"/>
              </w:rPr>
              <w:t>28 de mayo de 2019</w:t>
            </w:r>
          </w:p>
        </w:tc>
      </w:tr>
      <w:tr w:rsidR="001A3A57" w:rsidRPr="00E36E90" w14:paraId="6A40A223" w14:textId="76CF2B91" w:rsidTr="00061E0A">
        <w:tc>
          <w:tcPr>
            <w:tcW w:w="1170" w:type="dxa"/>
            <w:vAlign w:val="center"/>
          </w:tcPr>
          <w:p w14:paraId="45A727F4" w14:textId="1A3232BF" w:rsidR="001A3A57" w:rsidRPr="00E36E90" w:rsidRDefault="001A3A57" w:rsidP="001A3A57">
            <w:pPr>
              <w:pStyle w:val="ListParagraph"/>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0"/>
              <w:rPr>
                <w:rFonts w:asciiTheme="majorHAnsi" w:hAnsiTheme="majorHAnsi"/>
                <w:sz w:val="18"/>
                <w:szCs w:val="18"/>
                <w:lang w:val="es-PE"/>
              </w:rPr>
            </w:pPr>
            <w:r w:rsidRPr="00E36E90">
              <w:rPr>
                <w:rFonts w:asciiTheme="majorHAnsi" w:hAnsiTheme="majorHAnsi"/>
                <w:b/>
                <w:sz w:val="18"/>
                <w:szCs w:val="18"/>
                <w:lang w:val="pt-BR"/>
              </w:rPr>
              <w:t>P-1279-19</w:t>
            </w:r>
          </w:p>
        </w:tc>
        <w:tc>
          <w:tcPr>
            <w:tcW w:w="3870" w:type="dxa"/>
          </w:tcPr>
          <w:p w14:paraId="38B49FF8" w14:textId="77777777" w:rsidR="001A3A57" w:rsidRPr="00E36E90" w:rsidRDefault="001A3A57" w:rsidP="001A3A57">
            <w:pPr>
              <w:rPr>
                <w:rFonts w:asciiTheme="majorHAnsi" w:hAnsiTheme="majorHAnsi"/>
                <w:sz w:val="18"/>
                <w:szCs w:val="18"/>
                <w:lang w:val="pt-BR"/>
              </w:rPr>
            </w:pPr>
            <w:r w:rsidRPr="00E36E90">
              <w:rPr>
                <w:rFonts w:asciiTheme="majorHAnsi" w:hAnsiTheme="majorHAnsi"/>
                <w:sz w:val="18"/>
                <w:szCs w:val="18"/>
                <w:u w:color="000000"/>
                <w:lang w:val="pt-BR"/>
              </w:rPr>
              <w:t xml:space="preserve">SCP </w:t>
            </w:r>
            <w:r w:rsidRPr="00E36E90">
              <w:rPr>
                <w:rFonts w:asciiTheme="majorHAnsi" w:hAnsiTheme="majorHAnsi"/>
                <w:sz w:val="18"/>
                <w:szCs w:val="18"/>
                <w:lang w:val="pt-BR"/>
              </w:rPr>
              <w:t>N°</w:t>
            </w:r>
            <w:r w:rsidRPr="00E36E90">
              <w:rPr>
                <w:rFonts w:asciiTheme="majorHAnsi" w:hAnsiTheme="majorHAnsi"/>
                <w:sz w:val="18"/>
                <w:szCs w:val="18"/>
                <w:u w:color="000000"/>
                <w:lang w:val="pt-BR"/>
              </w:rPr>
              <w:t xml:space="preserve">0350/2018-S3 del 27 de agosto </w:t>
            </w:r>
            <w:r w:rsidRPr="00E36E90">
              <w:rPr>
                <w:rFonts w:asciiTheme="majorHAnsi" w:hAnsiTheme="majorHAnsi"/>
                <w:sz w:val="18"/>
                <w:szCs w:val="18"/>
                <w:lang w:val="pt-BR"/>
              </w:rPr>
              <w:t>de 2018.</w:t>
            </w:r>
          </w:p>
        </w:tc>
        <w:tc>
          <w:tcPr>
            <w:tcW w:w="2160" w:type="dxa"/>
          </w:tcPr>
          <w:p w14:paraId="0469CF41" w14:textId="0506AE56" w:rsidR="001A3A57" w:rsidRPr="00E36E90" w:rsidRDefault="001A3A57" w:rsidP="001A3A57">
            <w:pPr>
              <w:pStyle w:val="ListParagraph"/>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0"/>
              <w:rPr>
                <w:rFonts w:asciiTheme="majorHAnsi" w:hAnsiTheme="majorHAnsi"/>
                <w:sz w:val="18"/>
                <w:szCs w:val="18"/>
                <w:lang w:val="es-PE"/>
              </w:rPr>
            </w:pPr>
            <w:r w:rsidRPr="00E36E90">
              <w:rPr>
                <w:rFonts w:asciiTheme="majorHAnsi" w:hAnsiTheme="majorHAnsi"/>
                <w:sz w:val="18"/>
                <w:szCs w:val="18"/>
                <w:lang w:val="es-PE"/>
              </w:rPr>
              <w:t>7 de diciembre de 2018</w:t>
            </w:r>
          </w:p>
        </w:tc>
        <w:tc>
          <w:tcPr>
            <w:tcW w:w="2160" w:type="dxa"/>
            <w:vAlign w:val="center"/>
          </w:tcPr>
          <w:p w14:paraId="04C74667" w14:textId="3FDAB727" w:rsidR="001A3A57" w:rsidRPr="00E36E90" w:rsidRDefault="001A3A57" w:rsidP="001A3A57">
            <w:pPr>
              <w:pStyle w:val="ListParagraph"/>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0"/>
              <w:rPr>
                <w:rFonts w:asciiTheme="majorHAnsi" w:hAnsiTheme="majorHAnsi"/>
                <w:sz w:val="18"/>
                <w:szCs w:val="18"/>
                <w:lang w:val="es-PE"/>
              </w:rPr>
            </w:pPr>
            <w:r w:rsidRPr="00E36E90">
              <w:rPr>
                <w:rFonts w:asciiTheme="majorHAnsi" w:hAnsiTheme="majorHAnsi"/>
                <w:bCs/>
                <w:sz w:val="18"/>
                <w:szCs w:val="18"/>
                <w:lang w:val="pt-BR"/>
              </w:rPr>
              <w:t>28 de mayo de 2019</w:t>
            </w:r>
          </w:p>
        </w:tc>
      </w:tr>
      <w:tr w:rsidR="001A3A57" w:rsidRPr="00E36E90" w14:paraId="37F3F6BB" w14:textId="6BE4801B" w:rsidTr="00061E0A">
        <w:tc>
          <w:tcPr>
            <w:tcW w:w="1170" w:type="dxa"/>
            <w:vAlign w:val="center"/>
          </w:tcPr>
          <w:p w14:paraId="4C991B64" w14:textId="06698C26" w:rsidR="001A3A57" w:rsidRPr="00E36E90" w:rsidRDefault="001A3A57" w:rsidP="001A3A57">
            <w:pPr>
              <w:pStyle w:val="ListParagraph"/>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0"/>
              <w:rPr>
                <w:rFonts w:asciiTheme="majorHAnsi" w:hAnsiTheme="majorHAnsi"/>
                <w:sz w:val="18"/>
                <w:szCs w:val="18"/>
                <w:lang w:val="es-PE"/>
              </w:rPr>
            </w:pPr>
            <w:r w:rsidRPr="00E36E90">
              <w:rPr>
                <w:rFonts w:asciiTheme="majorHAnsi" w:hAnsiTheme="majorHAnsi"/>
                <w:b/>
                <w:sz w:val="18"/>
                <w:szCs w:val="18"/>
                <w:lang w:val="pt-BR"/>
              </w:rPr>
              <w:t>P-1428-19</w:t>
            </w:r>
          </w:p>
        </w:tc>
        <w:tc>
          <w:tcPr>
            <w:tcW w:w="3870" w:type="dxa"/>
          </w:tcPr>
          <w:p w14:paraId="28BC9CC7" w14:textId="77777777" w:rsidR="001A3A57" w:rsidRPr="00E36E90" w:rsidRDefault="001A3A57" w:rsidP="001A3A57">
            <w:pPr>
              <w:rPr>
                <w:rFonts w:asciiTheme="majorHAnsi" w:hAnsiTheme="majorHAnsi"/>
                <w:sz w:val="18"/>
                <w:szCs w:val="18"/>
                <w:u w:color="000000"/>
                <w:lang w:val="es-PE"/>
              </w:rPr>
            </w:pPr>
            <w:r w:rsidRPr="00E36E90">
              <w:rPr>
                <w:rFonts w:asciiTheme="majorHAnsi" w:hAnsiTheme="majorHAnsi"/>
                <w:sz w:val="18"/>
                <w:szCs w:val="18"/>
                <w:u w:color="000000"/>
                <w:lang w:val="es-PE"/>
              </w:rPr>
              <w:t xml:space="preserve">SCP </w:t>
            </w:r>
            <w:r w:rsidRPr="00E36E90">
              <w:rPr>
                <w:rFonts w:asciiTheme="majorHAnsi" w:hAnsiTheme="majorHAnsi"/>
                <w:sz w:val="18"/>
                <w:szCs w:val="18"/>
                <w:lang w:val="es-PE"/>
              </w:rPr>
              <w:t>N°</w:t>
            </w:r>
            <w:r w:rsidRPr="00E36E90">
              <w:rPr>
                <w:rFonts w:asciiTheme="majorHAnsi" w:hAnsiTheme="majorHAnsi"/>
                <w:sz w:val="18"/>
                <w:szCs w:val="18"/>
                <w:u w:color="000000"/>
                <w:lang w:val="es-PE"/>
              </w:rPr>
              <w:t>0665/2018-S4 del 16</w:t>
            </w:r>
          </w:p>
          <w:p w14:paraId="66D742C6" w14:textId="77777777" w:rsidR="001A3A57" w:rsidRPr="00E36E90" w:rsidRDefault="001A3A57" w:rsidP="001A3A57">
            <w:pPr>
              <w:pStyle w:val="ListParagraph"/>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0"/>
              <w:rPr>
                <w:rFonts w:asciiTheme="majorHAnsi" w:hAnsiTheme="majorHAnsi"/>
                <w:sz w:val="18"/>
                <w:szCs w:val="18"/>
                <w:lang w:val="es-PE"/>
              </w:rPr>
            </w:pPr>
            <w:r w:rsidRPr="00E36E90">
              <w:rPr>
                <w:rFonts w:asciiTheme="majorHAnsi" w:hAnsiTheme="majorHAnsi"/>
                <w:sz w:val="18"/>
                <w:szCs w:val="18"/>
                <w:lang w:val="es-PE"/>
              </w:rPr>
              <w:t>de octubre de 2018.</w:t>
            </w:r>
          </w:p>
        </w:tc>
        <w:tc>
          <w:tcPr>
            <w:tcW w:w="2160" w:type="dxa"/>
          </w:tcPr>
          <w:p w14:paraId="6B29A6E1" w14:textId="77777777" w:rsidR="001A3A57" w:rsidRPr="00E36E90" w:rsidRDefault="001A3A57" w:rsidP="001A3A57">
            <w:pPr>
              <w:pStyle w:val="ListParagraph"/>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0"/>
              <w:rPr>
                <w:rFonts w:asciiTheme="majorHAnsi" w:hAnsiTheme="majorHAnsi"/>
                <w:sz w:val="18"/>
                <w:szCs w:val="18"/>
                <w:lang w:val="es-PE"/>
              </w:rPr>
            </w:pPr>
            <w:r w:rsidRPr="00E36E90">
              <w:rPr>
                <w:rFonts w:asciiTheme="majorHAnsi" w:hAnsiTheme="majorHAnsi"/>
                <w:sz w:val="18"/>
                <w:szCs w:val="18"/>
                <w:lang w:val="es-PE"/>
              </w:rPr>
              <w:t>13 de febrero de 2019</w:t>
            </w:r>
          </w:p>
        </w:tc>
        <w:tc>
          <w:tcPr>
            <w:tcW w:w="2160" w:type="dxa"/>
            <w:vAlign w:val="center"/>
          </w:tcPr>
          <w:p w14:paraId="38138FD5" w14:textId="44B12690" w:rsidR="001A3A57" w:rsidRPr="00E36E90" w:rsidRDefault="001A3A57" w:rsidP="001A3A57">
            <w:pPr>
              <w:pStyle w:val="ListParagraph"/>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0"/>
              <w:rPr>
                <w:rFonts w:asciiTheme="majorHAnsi" w:hAnsiTheme="majorHAnsi"/>
                <w:sz w:val="18"/>
                <w:szCs w:val="18"/>
                <w:lang w:val="es-PE"/>
              </w:rPr>
            </w:pPr>
            <w:r w:rsidRPr="00E36E90">
              <w:rPr>
                <w:rFonts w:asciiTheme="majorHAnsi" w:hAnsiTheme="majorHAnsi"/>
                <w:bCs/>
                <w:sz w:val="18"/>
                <w:szCs w:val="18"/>
                <w:lang w:val="pt-BR"/>
              </w:rPr>
              <w:t>13 de junio de 2019</w:t>
            </w:r>
          </w:p>
        </w:tc>
      </w:tr>
      <w:tr w:rsidR="001A3A57" w:rsidRPr="00E36E90" w14:paraId="0A06578D" w14:textId="6181BA50" w:rsidTr="00061E0A">
        <w:tc>
          <w:tcPr>
            <w:tcW w:w="1170" w:type="dxa"/>
            <w:vAlign w:val="center"/>
          </w:tcPr>
          <w:p w14:paraId="254D3A7A" w14:textId="761B0A5D" w:rsidR="001A3A57" w:rsidRPr="00E36E90" w:rsidRDefault="001A3A57" w:rsidP="001A3A57">
            <w:pPr>
              <w:pStyle w:val="ListParagraph"/>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0"/>
              <w:rPr>
                <w:rFonts w:asciiTheme="majorHAnsi" w:hAnsiTheme="majorHAnsi"/>
                <w:sz w:val="18"/>
                <w:szCs w:val="18"/>
                <w:lang w:val="es-PE"/>
              </w:rPr>
            </w:pPr>
            <w:r w:rsidRPr="00E36E90">
              <w:rPr>
                <w:rFonts w:asciiTheme="majorHAnsi" w:hAnsiTheme="majorHAnsi"/>
                <w:b/>
                <w:sz w:val="18"/>
                <w:szCs w:val="18"/>
                <w:lang w:val="pt-BR"/>
              </w:rPr>
              <w:t>P-1563-19</w:t>
            </w:r>
          </w:p>
        </w:tc>
        <w:tc>
          <w:tcPr>
            <w:tcW w:w="3870" w:type="dxa"/>
          </w:tcPr>
          <w:p w14:paraId="1EC92C4B" w14:textId="77777777" w:rsidR="001A3A57" w:rsidRPr="00E36E90" w:rsidRDefault="001A3A57" w:rsidP="001A3A57">
            <w:pPr>
              <w:pStyle w:val="ListParagraph"/>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0"/>
              <w:rPr>
                <w:rFonts w:asciiTheme="majorHAnsi" w:hAnsiTheme="majorHAnsi"/>
                <w:sz w:val="18"/>
                <w:szCs w:val="18"/>
                <w:lang w:val="es-PE"/>
              </w:rPr>
            </w:pPr>
            <w:r w:rsidRPr="00E36E90">
              <w:rPr>
                <w:rFonts w:asciiTheme="majorHAnsi" w:hAnsiTheme="majorHAnsi"/>
                <w:sz w:val="18"/>
                <w:szCs w:val="18"/>
                <w:lang w:val="es-PE"/>
              </w:rPr>
              <w:t>SCP N°0476/2018-S4 del 3 de septiembre de 2018.</w:t>
            </w:r>
          </w:p>
        </w:tc>
        <w:tc>
          <w:tcPr>
            <w:tcW w:w="2160" w:type="dxa"/>
          </w:tcPr>
          <w:p w14:paraId="26B50826" w14:textId="77777777" w:rsidR="001A3A57" w:rsidRPr="00E36E90" w:rsidRDefault="001A3A57" w:rsidP="001A3A57">
            <w:pPr>
              <w:pStyle w:val="ListParagraph"/>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0"/>
              <w:rPr>
                <w:rFonts w:asciiTheme="majorHAnsi" w:hAnsiTheme="majorHAnsi"/>
                <w:sz w:val="18"/>
                <w:szCs w:val="18"/>
                <w:lang w:val="es-PE"/>
              </w:rPr>
            </w:pPr>
            <w:r w:rsidRPr="00E36E90">
              <w:rPr>
                <w:rFonts w:asciiTheme="majorHAnsi" w:hAnsiTheme="majorHAnsi"/>
                <w:sz w:val="18"/>
                <w:szCs w:val="18"/>
                <w:lang w:val="es-PE"/>
              </w:rPr>
              <w:t>29 de enero de 2019</w:t>
            </w:r>
          </w:p>
        </w:tc>
        <w:tc>
          <w:tcPr>
            <w:tcW w:w="2160" w:type="dxa"/>
            <w:vAlign w:val="center"/>
          </w:tcPr>
          <w:p w14:paraId="48D58A65" w14:textId="2DCFBB34" w:rsidR="001A3A57" w:rsidRPr="00E36E90" w:rsidRDefault="001A3A57" w:rsidP="001A3A57">
            <w:pPr>
              <w:pStyle w:val="ListParagraph"/>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0"/>
              <w:rPr>
                <w:rFonts w:asciiTheme="majorHAnsi" w:hAnsiTheme="majorHAnsi"/>
                <w:sz w:val="18"/>
                <w:szCs w:val="18"/>
                <w:lang w:val="es-PE"/>
              </w:rPr>
            </w:pPr>
            <w:r w:rsidRPr="00E36E90">
              <w:rPr>
                <w:rFonts w:asciiTheme="majorHAnsi" w:hAnsiTheme="majorHAnsi"/>
                <w:bCs/>
                <w:sz w:val="18"/>
                <w:szCs w:val="18"/>
                <w:lang w:val="pt-BR"/>
              </w:rPr>
              <w:t>9 de julio de 2019</w:t>
            </w:r>
          </w:p>
        </w:tc>
      </w:tr>
      <w:tr w:rsidR="001A3A57" w:rsidRPr="00E36E90" w14:paraId="539F0EB7" w14:textId="432B1DC8" w:rsidTr="00061E0A">
        <w:tc>
          <w:tcPr>
            <w:tcW w:w="1170" w:type="dxa"/>
            <w:vAlign w:val="center"/>
          </w:tcPr>
          <w:p w14:paraId="3059631D" w14:textId="6F0A3834" w:rsidR="001A3A57" w:rsidRPr="00E36E90" w:rsidRDefault="001A3A57" w:rsidP="001A3A57">
            <w:pPr>
              <w:pStyle w:val="ListParagraph"/>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0"/>
              <w:rPr>
                <w:rFonts w:asciiTheme="majorHAnsi" w:hAnsiTheme="majorHAnsi"/>
                <w:b/>
                <w:sz w:val="18"/>
                <w:szCs w:val="18"/>
                <w:lang w:val="pt-BR"/>
              </w:rPr>
            </w:pPr>
            <w:r w:rsidRPr="00E36E90">
              <w:rPr>
                <w:rFonts w:asciiTheme="majorHAnsi" w:hAnsiTheme="majorHAnsi"/>
                <w:b/>
                <w:sz w:val="18"/>
                <w:szCs w:val="18"/>
                <w:lang w:val="pt-BR"/>
              </w:rPr>
              <w:t>P-1677-19</w:t>
            </w:r>
          </w:p>
        </w:tc>
        <w:tc>
          <w:tcPr>
            <w:tcW w:w="3870" w:type="dxa"/>
          </w:tcPr>
          <w:p w14:paraId="703C0D6C" w14:textId="77777777" w:rsidR="001A3A57" w:rsidRPr="00E36E90" w:rsidRDefault="001A3A57" w:rsidP="001A3A57">
            <w:pPr>
              <w:rPr>
                <w:rFonts w:asciiTheme="majorHAnsi" w:hAnsiTheme="majorHAnsi"/>
                <w:sz w:val="18"/>
                <w:szCs w:val="18"/>
                <w:u w:color="000000"/>
                <w:lang w:val="pt-BR"/>
              </w:rPr>
            </w:pPr>
            <w:r w:rsidRPr="00E36E90">
              <w:rPr>
                <w:rFonts w:asciiTheme="majorHAnsi" w:hAnsiTheme="majorHAnsi"/>
                <w:sz w:val="18"/>
                <w:szCs w:val="18"/>
                <w:lang w:val="pt-BR"/>
              </w:rPr>
              <w:t>SCP N°</w:t>
            </w:r>
            <w:r w:rsidRPr="00E36E90">
              <w:rPr>
                <w:rFonts w:asciiTheme="majorHAnsi" w:hAnsiTheme="majorHAnsi"/>
                <w:sz w:val="18"/>
                <w:szCs w:val="18"/>
                <w:u w:color="000000"/>
                <w:lang w:val="pt-BR"/>
              </w:rPr>
              <w:t>0416/2018-S4 del</w:t>
            </w:r>
          </w:p>
          <w:p w14:paraId="4ADBE9C9" w14:textId="77777777" w:rsidR="001A3A57" w:rsidRPr="00E36E90" w:rsidRDefault="001A3A57" w:rsidP="001A3A57">
            <w:pPr>
              <w:pStyle w:val="ListParagraph"/>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0"/>
              <w:rPr>
                <w:rFonts w:asciiTheme="majorHAnsi" w:hAnsiTheme="majorHAnsi"/>
                <w:sz w:val="18"/>
                <w:szCs w:val="18"/>
                <w:lang w:val="pt-BR"/>
              </w:rPr>
            </w:pPr>
            <w:r w:rsidRPr="00E36E90">
              <w:rPr>
                <w:rFonts w:asciiTheme="majorHAnsi" w:hAnsiTheme="majorHAnsi"/>
                <w:sz w:val="18"/>
                <w:szCs w:val="18"/>
                <w:lang w:val="pt-BR"/>
              </w:rPr>
              <w:t>15 de agosto de 2018.</w:t>
            </w:r>
          </w:p>
        </w:tc>
        <w:tc>
          <w:tcPr>
            <w:tcW w:w="2160" w:type="dxa"/>
          </w:tcPr>
          <w:p w14:paraId="71A4A01B" w14:textId="77777777" w:rsidR="001A3A57" w:rsidRPr="00E36E90" w:rsidRDefault="001A3A57" w:rsidP="001A3A57">
            <w:pPr>
              <w:pStyle w:val="ListParagraph"/>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0"/>
              <w:rPr>
                <w:rFonts w:asciiTheme="majorHAnsi" w:hAnsiTheme="majorHAnsi"/>
                <w:sz w:val="18"/>
                <w:szCs w:val="18"/>
                <w:lang w:val="es-PE"/>
              </w:rPr>
            </w:pPr>
            <w:r w:rsidRPr="00E36E90">
              <w:rPr>
                <w:rFonts w:asciiTheme="majorHAnsi" w:hAnsiTheme="majorHAnsi"/>
                <w:sz w:val="18"/>
                <w:szCs w:val="18"/>
                <w:lang w:val="es-PE"/>
              </w:rPr>
              <w:t>21 de enero de 2019</w:t>
            </w:r>
          </w:p>
        </w:tc>
        <w:tc>
          <w:tcPr>
            <w:tcW w:w="2160" w:type="dxa"/>
            <w:vAlign w:val="center"/>
          </w:tcPr>
          <w:p w14:paraId="68225A5F" w14:textId="24EDA363" w:rsidR="001A3A57" w:rsidRPr="00E36E90" w:rsidRDefault="001A3A57" w:rsidP="001A3A57">
            <w:pPr>
              <w:pStyle w:val="ListParagraph"/>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0"/>
              <w:rPr>
                <w:rFonts w:asciiTheme="majorHAnsi" w:hAnsiTheme="majorHAnsi"/>
                <w:sz w:val="18"/>
                <w:szCs w:val="18"/>
                <w:lang w:val="es-PE"/>
              </w:rPr>
            </w:pPr>
            <w:r w:rsidRPr="00E36E90">
              <w:rPr>
                <w:rFonts w:asciiTheme="majorHAnsi" w:hAnsiTheme="majorHAnsi"/>
                <w:bCs/>
                <w:sz w:val="18"/>
                <w:szCs w:val="18"/>
                <w:lang w:val="pt-BR"/>
              </w:rPr>
              <w:t>20 de julio de 2019</w:t>
            </w:r>
          </w:p>
        </w:tc>
      </w:tr>
      <w:tr w:rsidR="001A3A57" w:rsidRPr="00E36E90" w14:paraId="44E6973C" w14:textId="08F1CAC1" w:rsidTr="00061E0A">
        <w:tc>
          <w:tcPr>
            <w:tcW w:w="1170" w:type="dxa"/>
            <w:vAlign w:val="center"/>
          </w:tcPr>
          <w:p w14:paraId="18045355" w14:textId="2B5B77A8" w:rsidR="001A3A57" w:rsidRPr="00E36E90" w:rsidRDefault="001A3A57" w:rsidP="001A3A57">
            <w:pPr>
              <w:pStyle w:val="ListParagraph"/>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0"/>
              <w:rPr>
                <w:rFonts w:asciiTheme="majorHAnsi" w:hAnsiTheme="majorHAnsi"/>
                <w:b/>
                <w:sz w:val="18"/>
                <w:szCs w:val="18"/>
                <w:lang w:val="pt-BR"/>
              </w:rPr>
            </w:pPr>
            <w:r w:rsidRPr="00E36E90">
              <w:rPr>
                <w:rFonts w:asciiTheme="majorHAnsi" w:hAnsiTheme="majorHAnsi"/>
                <w:b/>
                <w:sz w:val="18"/>
                <w:szCs w:val="18"/>
                <w:lang w:val="pt-BR"/>
              </w:rPr>
              <w:t>P-1736-19</w:t>
            </w:r>
          </w:p>
        </w:tc>
        <w:tc>
          <w:tcPr>
            <w:tcW w:w="3870" w:type="dxa"/>
          </w:tcPr>
          <w:p w14:paraId="78FD96FA" w14:textId="77777777" w:rsidR="001A3A57" w:rsidRPr="00E36E90" w:rsidRDefault="001A3A57" w:rsidP="001A3A57">
            <w:pPr>
              <w:rPr>
                <w:rFonts w:asciiTheme="majorHAnsi" w:hAnsiTheme="majorHAnsi"/>
                <w:sz w:val="18"/>
                <w:szCs w:val="18"/>
                <w:u w:color="000000"/>
                <w:lang w:val="pt-BR"/>
              </w:rPr>
            </w:pPr>
            <w:r w:rsidRPr="00E36E90">
              <w:rPr>
                <w:rFonts w:asciiTheme="majorHAnsi" w:hAnsiTheme="majorHAnsi"/>
                <w:sz w:val="18"/>
                <w:szCs w:val="18"/>
                <w:u w:color="000000"/>
                <w:lang w:val="pt-BR"/>
              </w:rPr>
              <w:t xml:space="preserve">SCP </w:t>
            </w:r>
            <w:r w:rsidRPr="00E36E90">
              <w:rPr>
                <w:rFonts w:asciiTheme="majorHAnsi" w:hAnsiTheme="majorHAnsi"/>
                <w:sz w:val="18"/>
                <w:szCs w:val="18"/>
                <w:lang w:val="pt-BR"/>
              </w:rPr>
              <w:t>N°</w:t>
            </w:r>
            <w:r w:rsidRPr="00E36E90">
              <w:rPr>
                <w:rFonts w:asciiTheme="majorHAnsi" w:hAnsiTheme="majorHAnsi"/>
                <w:sz w:val="18"/>
                <w:szCs w:val="18"/>
                <w:u w:color="000000"/>
                <w:lang w:val="pt-BR"/>
              </w:rPr>
              <w:t>0543/2018-S3 del 27</w:t>
            </w:r>
          </w:p>
          <w:p w14:paraId="3395F061" w14:textId="77777777" w:rsidR="001A3A57" w:rsidRPr="00E36E90" w:rsidRDefault="001A3A57" w:rsidP="001A3A57">
            <w:pPr>
              <w:pStyle w:val="ListParagraph"/>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0"/>
              <w:rPr>
                <w:rFonts w:asciiTheme="majorHAnsi" w:hAnsiTheme="majorHAnsi"/>
                <w:sz w:val="18"/>
                <w:szCs w:val="18"/>
                <w:lang w:val="pt-BR"/>
              </w:rPr>
            </w:pPr>
            <w:r w:rsidRPr="00E36E90">
              <w:rPr>
                <w:rFonts w:asciiTheme="majorHAnsi" w:hAnsiTheme="majorHAnsi"/>
                <w:sz w:val="18"/>
                <w:szCs w:val="18"/>
                <w:lang w:val="pt-BR"/>
              </w:rPr>
              <w:t>de agosto de 2018.</w:t>
            </w:r>
          </w:p>
        </w:tc>
        <w:tc>
          <w:tcPr>
            <w:tcW w:w="2160" w:type="dxa"/>
          </w:tcPr>
          <w:p w14:paraId="1A3380F3" w14:textId="77777777" w:rsidR="001A3A57" w:rsidRPr="00E36E90" w:rsidRDefault="001A3A57" w:rsidP="001A3A57">
            <w:pPr>
              <w:pStyle w:val="ListParagraph"/>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0"/>
              <w:rPr>
                <w:rFonts w:asciiTheme="majorHAnsi" w:hAnsiTheme="majorHAnsi"/>
                <w:sz w:val="18"/>
                <w:szCs w:val="18"/>
                <w:lang w:val="es-PE"/>
              </w:rPr>
            </w:pPr>
            <w:r w:rsidRPr="00E36E90">
              <w:rPr>
                <w:rFonts w:asciiTheme="majorHAnsi" w:hAnsiTheme="majorHAnsi"/>
                <w:sz w:val="18"/>
                <w:szCs w:val="18"/>
                <w:lang w:val="es-PE"/>
              </w:rPr>
              <w:t>6 de mayo de 2019</w:t>
            </w:r>
          </w:p>
        </w:tc>
        <w:tc>
          <w:tcPr>
            <w:tcW w:w="2160" w:type="dxa"/>
            <w:vAlign w:val="center"/>
          </w:tcPr>
          <w:p w14:paraId="3EFBF23B" w14:textId="768D471A" w:rsidR="001A3A57" w:rsidRPr="00E36E90" w:rsidRDefault="001A3A57" w:rsidP="001A3A57">
            <w:pPr>
              <w:pStyle w:val="ListParagraph"/>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0"/>
              <w:rPr>
                <w:rFonts w:asciiTheme="majorHAnsi" w:hAnsiTheme="majorHAnsi"/>
                <w:sz w:val="18"/>
                <w:szCs w:val="18"/>
                <w:lang w:val="es-PE"/>
              </w:rPr>
            </w:pPr>
            <w:r w:rsidRPr="00E36E90">
              <w:rPr>
                <w:rFonts w:asciiTheme="majorHAnsi" w:hAnsiTheme="majorHAnsi"/>
                <w:bCs/>
                <w:sz w:val="18"/>
                <w:szCs w:val="18"/>
                <w:lang w:val="pt-BR"/>
              </w:rPr>
              <w:t>31 de julio de 2019</w:t>
            </w:r>
          </w:p>
        </w:tc>
      </w:tr>
      <w:tr w:rsidR="001A3A57" w:rsidRPr="00E36E90" w14:paraId="1A0A8F2A" w14:textId="62888A0A" w:rsidTr="00061E0A">
        <w:tc>
          <w:tcPr>
            <w:tcW w:w="1170" w:type="dxa"/>
            <w:vAlign w:val="center"/>
          </w:tcPr>
          <w:p w14:paraId="5D44B209" w14:textId="31E4A35A" w:rsidR="001A3A57" w:rsidRPr="00E36E90" w:rsidRDefault="001A3A57" w:rsidP="001A3A57">
            <w:pPr>
              <w:pStyle w:val="ListParagraph"/>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0"/>
              <w:rPr>
                <w:rFonts w:asciiTheme="majorHAnsi" w:hAnsiTheme="majorHAnsi"/>
                <w:b/>
                <w:sz w:val="18"/>
                <w:szCs w:val="18"/>
                <w:lang w:val="pt-BR"/>
              </w:rPr>
            </w:pPr>
            <w:r w:rsidRPr="00E36E90">
              <w:rPr>
                <w:rFonts w:asciiTheme="majorHAnsi" w:hAnsiTheme="majorHAnsi"/>
                <w:b/>
                <w:sz w:val="18"/>
                <w:szCs w:val="18"/>
                <w:lang w:val="pt-BR"/>
              </w:rPr>
              <w:t>P-2284-19</w:t>
            </w:r>
          </w:p>
        </w:tc>
        <w:tc>
          <w:tcPr>
            <w:tcW w:w="3870" w:type="dxa"/>
          </w:tcPr>
          <w:p w14:paraId="2F6EE9EC" w14:textId="77777777" w:rsidR="001A3A57" w:rsidRPr="00E36E90" w:rsidRDefault="001A3A57" w:rsidP="001A3A57">
            <w:pPr>
              <w:pStyle w:val="ListParagraph"/>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0"/>
              <w:rPr>
                <w:rFonts w:asciiTheme="majorHAnsi" w:hAnsiTheme="majorHAnsi"/>
                <w:sz w:val="18"/>
                <w:szCs w:val="18"/>
                <w:lang w:val="es-PE"/>
              </w:rPr>
            </w:pPr>
            <w:r w:rsidRPr="00E36E90">
              <w:rPr>
                <w:rFonts w:asciiTheme="majorHAnsi" w:hAnsiTheme="majorHAnsi"/>
                <w:sz w:val="18"/>
                <w:szCs w:val="18"/>
                <w:lang w:val="es-PE"/>
              </w:rPr>
              <w:t>SCP N°0600/2018-S3 del 18 de septiembre de 2018.</w:t>
            </w:r>
          </w:p>
        </w:tc>
        <w:tc>
          <w:tcPr>
            <w:tcW w:w="2160" w:type="dxa"/>
          </w:tcPr>
          <w:p w14:paraId="4D10D6BB" w14:textId="77777777" w:rsidR="001A3A57" w:rsidRPr="00E36E90" w:rsidRDefault="001A3A57" w:rsidP="001A3A57">
            <w:pPr>
              <w:pStyle w:val="ListParagraph"/>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0"/>
              <w:rPr>
                <w:rFonts w:asciiTheme="majorHAnsi" w:hAnsiTheme="majorHAnsi"/>
                <w:sz w:val="18"/>
                <w:szCs w:val="18"/>
                <w:lang w:val="es-PE"/>
              </w:rPr>
            </w:pPr>
            <w:r w:rsidRPr="00E36E90">
              <w:rPr>
                <w:rFonts w:asciiTheme="majorHAnsi" w:hAnsiTheme="majorHAnsi"/>
                <w:sz w:val="18"/>
                <w:szCs w:val="18"/>
                <w:lang w:val="es-PE"/>
              </w:rPr>
              <w:t>11 de abril de 2019</w:t>
            </w:r>
          </w:p>
        </w:tc>
        <w:tc>
          <w:tcPr>
            <w:tcW w:w="2160" w:type="dxa"/>
            <w:vAlign w:val="center"/>
          </w:tcPr>
          <w:p w14:paraId="2B247BD9" w14:textId="5F1E2665" w:rsidR="001A3A57" w:rsidRPr="00E36E90" w:rsidRDefault="00E50CD0" w:rsidP="001A3A57">
            <w:pPr>
              <w:pStyle w:val="ListParagraph"/>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0"/>
              <w:rPr>
                <w:rFonts w:asciiTheme="majorHAnsi" w:hAnsiTheme="majorHAnsi"/>
                <w:sz w:val="18"/>
                <w:szCs w:val="18"/>
                <w:lang w:val="es-PE"/>
              </w:rPr>
            </w:pPr>
            <w:r>
              <w:rPr>
                <w:rFonts w:asciiTheme="majorHAnsi" w:hAnsiTheme="majorHAnsi"/>
                <w:bCs/>
                <w:sz w:val="18"/>
                <w:szCs w:val="18"/>
                <w:lang w:val="pt-BR"/>
              </w:rPr>
              <w:t>7</w:t>
            </w:r>
            <w:r w:rsidR="001A3A57" w:rsidRPr="00E36E90">
              <w:rPr>
                <w:rFonts w:asciiTheme="majorHAnsi" w:hAnsiTheme="majorHAnsi"/>
                <w:bCs/>
                <w:sz w:val="18"/>
                <w:szCs w:val="18"/>
                <w:lang w:val="pt-BR"/>
              </w:rPr>
              <w:t xml:space="preserve"> de octubre de 201</w:t>
            </w:r>
            <w:r>
              <w:rPr>
                <w:rFonts w:asciiTheme="majorHAnsi" w:hAnsiTheme="majorHAnsi"/>
                <w:bCs/>
                <w:sz w:val="18"/>
                <w:szCs w:val="18"/>
                <w:lang w:val="pt-BR"/>
              </w:rPr>
              <w:t>9</w:t>
            </w:r>
          </w:p>
        </w:tc>
      </w:tr>
      <w:tr w:rsidR="001A3A57" w:rsidRPr="00E36E90" w14:paraId="7A3426D9" w14:textId="31B001FC" w:rsidTr="00061E0A">
        <w:tc>
          <w:tcPr>
            <w:tcW w:w="1170" w:type="dxa"/>
            <w:vAlign w:val="center"/>
          </w:tcPr>
          <w:p w14:paraId="2222FFD2" w14:textId="17A1B68B" w:rsidR="001A3A57" w:rsidRPr="00E36E90" w:rsidRDefault="001A3A57" w:rsidP="001A3A57">
            <w:pPr>
              <w:pStyle w:val="ListParagraph"/>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0"/>
              <w:rPr>
                <w:rFonts w:asciiTheme="majorHAnsi" w:hAnsiTheme="majorHAnsi"/>
                <w:b/>
                <w:sz w:val="18"/>
                <w:szCs w:val="18"/>
                <w:lang w:val="pt-BR"/>
              </w:rPr>
            </w:pPr>
            <w:r w:rsidRPr="00E36E90">
              <w:rPr>
                <w:rFonts w:asciiTheme="majorHAnsi" w:hAnsiTheme="majorHAnsi"/>
                <w:b/>
                <w:sz w:val="18"/>
                <w:szCs w:val="18"/>
                <w:lang w:val="pt-BR"/>
              </w:rPr>
              <w:t>P-2625-19</w:t>
            </w:r>
          </w:p>
        </w:tc>
        <w:tc>
          <w:tcPr>
            <w:tcW w:w="3870" w:type="dxa"/>
          </w:tcPr>
          <w:p w14:paraId="33BCF2A8" w14:textId="77777777" w:rsidR="001A3A57" w:rsidRPr="00E36E90" w:rsidRDefault="001A3A57" w:rsidP="001A3A57">
            <w:pPr>
              <w:pStyle w:val="ListParagraph"/>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0"/>
              <w:rPr>
                <w:rFonts w:asciiTheme="majorHAnsi" w:hAnsiTheme="majorHAnsi"/>
                <w:sz w:val="18"/>
                <w:szCs w:val="18"/>
                <w:lang w:val="es-PE"/>
              </w:rPr>
            </w:pPr>
            <w:r w:rsidRPr="00E36E90">
              <w:rPr>
                <w:rFonts w:asciiTheme="majorHAnsi" w:hAnsiTheme="majorHAnsi"/>
                <w:sz w:val="18"/>
                <w:szCs w:val="18"/>
                <w:lang w:val="es-PE"/>
              </w:rPr>
              <w:t>SCP N°0722/2018-S3 del 26 de septiembre de 2018.</w:t>
            </w:r>
          </w:p>
          <w:p w14:paraId="72B5E8ED" w14:textId="77777777" w:rsidR="001A3A57" w:rsidRPr="00E36E90" w:rsidRDefault="001A3A57" w:rsidP="001A3A57">
            <w:pPr>
              <w:pStyle w:val="ListParagraph"/>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0"/>
              <w:rPr>
                <w:rFonts w:asciiTheme="majorHAnsi" w:hAnsiTheme="majorHAnsi"/>
                <w:sz w:val="18"/>
                <w:szCs w:val="18"/>
                <w:lang w:val="es-PE"/>
              </w:rPr>
            </w:pPr>
          </w:p>
          <w:p w14:paraId="47B5BA64" w14:textId="77777777" w:rsidR="001A3A57" w:rsidRPr="00E36E90" w:rsidRDefault="001A3A57" w:rsidP="001A3A57">
            <w:pPr>
              <w:rPr>
                <w:rFonts w:asciiTheme="majorHAnsi" w:hAnsiTheme="majorHAnsi"/>
                <w:sz w:val="18"/>
                <w:szCs w:val="18"/>
                <w:lang w:val="es-PE"/>
              </w:rPr>
            </w:pPr>
            <w:r w:rsidRPr="00E36E90">
              <w:rPr>
                <w:rFonts w:asciiTheme="majorHAnsi" w:hAnsiTheme="majorHAnsi"/>
                <w:sz w:val="18"/>
                <w:szCs w:val="18"/>
                <w:u w:color="000000"/>
                <w:lang w:val="es-PE"/>
              </w:rPr>
              <w:t xml:space="preserve">Luego, solicitó </w:t>
            </w:r>
            <w:r w:rsidRPr="00E36E90">
              <w:rPr>
                <w:rFonts w:asciiTheme="majorHAnsi" w:hAnsiTheme="majorHAnsi"/>
                <w:sz w:val="18"/>
                <w:szCs w:val="18"/>
                <w:lang w:val="es-PE"/>
              </w:rPr>
              <w:t>aclaración, enmienda y complementación resuelto por Auto Constitucional Plurinacional N°0011/2019-ECA de 14 de mayo de 2019.</w:t>
            </w:r>
          </w:p>
        </w:tc>
        <w:tc>
          <w:tcPr>
            <w:tcW w:w="2160" w:type="dxa"/>
          </w:tcPr>
          <w:p w14:paraId="21BC768E" w14:textId="77777777" w:rsidR="001A3A57" w:rsidRPr="00E36E90" w:rsidRDefault="001A3A57" w:rsidP="001A3A57">
            <w:pPr>
              <w:pStyle w:val="ListParagraph"/>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0"/>
              <w:rPr>
                <w:rFonts w:asciiTheme="majorHAnsi" w:hAnsiTheme="majorHAnsi"/>
                <w:sz w:val="18"/>
                <w:szCs w:val="18"/>
                <w:lang w:val="es-PE"/>
              </w:rPr>
            </w:pPr>
            <w:r w:rsidRPr="00E36E90">
              <w:rPr>
                <w:rFonts w:asciiTheme="majorHAnsi" w:hAnsiTheme="majorHAnsi"/>
                <w:sz w:val="18"/>
                <w:szCs w:val="18"/>
                <w:lang w:val="es-PE"/>
              </w:rPr>
              <w:t>30 de abril de 2019</w:t>
            </w:r>
          </w:p>
          <w:p w14:paraId="561CF276" w14:textId="77777777" w:rsidR="001A3A57" w:rsidRPr="00E36E90" w:rsidRDefault="001A3A57" w:rsidP="001A3A57">
            <w:pPr>
              <w:pStyle w:val="ListParagraph"/>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0"/>
              <w:rPr>
                <w:rFonts w:asciiTheme="majorHAnsi" w:hAnsiTheme="majorHAnsi"/>
                <w:sz w:val="18"/>
                <w:szCs w:val="18"/>
                <w:lang w:val="es-PE"/>
              </w:rPr>
            </w:pPr>
          </w:p>
          <w:p w14:paraId="2F8E80A5" w14:textId="77777777" w:rsidR="001A3A57" w:rsidRPr="00E36E90" w:rsidRDefault="001A3A57" w:rsidP="001A3A57">
            <w:pPr>
              <w:pStyle w:val="ListParagraph"/>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0"/>
              <w:rPr>
                <w:rFonts w:asciiTheme="majorHAnsi" w:hAnsiTheme="majorHAnsi"/>
                <w:sz w:val="18"/>
                <w:szCs w:val="18"/>
                <w:lang w:val="es-PE"/>
              </w:rPr>
            </w:pPr>
          </w:p>
          <w:p w14:paraId="08EA0360" w14:textId="77777777" w:rsidR="001A3A57" w:rsidRPr="00E36E90" w:rsidRDefault="001A3A57" w:rsidP="001A3A57">
            <w:pPr>
              <w:pStyle w:val="ListParagraph"/>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0"/>
              <w:rPr>
                <w:rFonts w:asciiTheme="majorHAnsi" w:hAnsiTheme="majorHAnsi"/>
                <w:sz w:val="18"/>
                <w:szCs w:val="18"/>
                <w:lang w:val="es-PE"/>
              </w:rPr>
            </w:pPr>
          </w:p>
          <w:p w14:paraId="14902DA7" w14:textId="77777777" w:rsidR="001A3A57" w:rsidRPr="00E36E90" w:rsidRDefault="001A3A57" w:rsidP="001A3A57">
            <w:pPr>
              <w:pStyle w:val="ListParagraph"/>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0"/>
              <w:rPr>
                <w:rFonts w:asciiTheme="majorHAnsi" w:hAnsiTheme="majorHAnsi"/>
                <w:sz w:val="18"/>
                <w:szCs w:val="18"/>
                <w:lang w:val="es-PE"/>
              </w:rPr>
            </w:pPr>
            <w:r w:rsidRPr="00E36E90">
              <w:rPr>
                <w:rFonts w:asciiTheme="majorHAnsi" w:hAnsiTheme="majorHAnsi"/>
                <w:sz w:val="18"/>
                <w:szCs w:val="18"/>
                <w:lang w:val="es-PE"/>
              </w:rPr>
              <w:t>16 de agosto de 2019</w:t>
            </w:r>
          </w:p>
        </w:tc>
        <w:tc>
          <w:tcPr>
            <w:tcW w:w="2160" w:type="dxa"/>
            <w:vAlign w:val="center"/>
          </w:tcPr>
          <w:p w14:paraId="4848E555" w14:textId="716E41B9" w:rsidR="001A3A57" w:rsidRPr="00E36E90" w:rsidRDefault="001A3A57" w:rsidP="001A3A57">
            <w:pPr>
              <w:pStyle w:val="ListParagraph"/>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0"/>
              <w:rPr>
                <w:rFonts w:asciiTheme="majorHAnsi" w:hAnsiTheme="majorHAnsi"/>
                <w:sz w:val="18"/>
                <w:szCs w:val="18"/>
                <w:lang w:val="es-PE"/>
              </w:rPr>
            </w:pPr>
            <w:r w:rsidRPr="00E36E90">
              <w:rPr>
                <w:rFonts w:asciiTheme="majorHAnsi" w:hAnsiTheme="majorHAnsi"/>
                <w:bCs/>
                <w:sz w:val="18"/>
                <w:szCs w:val="18"/>
                <w:lang w:val="pt-BR"/>
              </w:rPr>
              <w:t>6 de noviembre de 2019</w:t>
            </w:r>
          </w:p>
        </w:tc>
      </w:tr>
      <w:tr w:rsidR="001A3A57" w:rsidRPr="00E36E90" w14:paraId="052F7ED8" w14:textId="2F92BDFB" w:rsidTr="00061E0A">
        <w:tc>
          <w:tcPr>
            <w:tcW w:w="1170" w:type="dxa"/>
            <w:vAlign w:val="center"/>
          </w:tcPr>
          <w:p w14:paraId="3DC3421A" w14:textId="69706363" w:rsidR="001A3A57" w:rsidRPr="00E36E90" w:rsidRDefault="001A3A57" w:rsidP="001A3A57">
            <w:pPr>
              <w:pStyle w:val="ListParagraph"/>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0"/>
              <w:rPr>
                <w:rFonts w:asciiTheme="majorHAnsi" w:hAnsiTheme="majorHAnsi"/>
                <w:b/>
                <w:sz w:val="18"/>
                <w:szCs w:val="18"/>
                <w:lang w:val="pt-BR"/>
              </w:rPr>
            </w:pPr>
            <w:r w:rsidRPr="00E36E90">
              <w:rPr>
                <w:rFonts w:asciiTheme="majorHAnsi" w:hAnsiTheme="majorHAnsi"/>
                <w:b/>
                <w:sz w:val="18"/>
                <w:szCs w:val="18"/>
                <w:lang w:val="pt-BR"/>
              </w:rPr>
              <w:t>P-3126-19</w:t>
            </w:r>
          </w:p>
        </w:tc>
        <w:tc>
          <w:tcPr>
            <w:tcW w:w="3870" w:type="dxa"/>
          </w:tcPr>
          <w:p w14:paraId="06CBAF3F" w14:textId="77777777" w:rsidR="001A3A57" w:rsidRPr="00E36E90" w:rsidRDefault="001A3A57" w:rsidP="001A3A57">
            <w:pPr>
              <w:pStyle w:val="ListParagraph"/>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0"/>
              <w:rPr>
                <w:rFonts w:asciiTheme="majorHAnsi" w:hAnsiTheme="majorHAnsi"/>
                <w:sz w:val="18"/>
                <w:szCs w:val="18"/>
                <w:lang w:val="pt-BR"/>
              </w:rPr>
            </w:pPr>
            <w:r w:rsidRPr="00E36E90">
              <w:rPr>
                <w:rFonts w:asciiTheme="majorHAnsi" w:hAnsiTheme="majorHAnsi"/>
                <w:sz w:val="18"/>
                <w:szCs w:val="18"/>
                <w:lang w:val="pt-BR"/>
              </w:rPr>
              <w:t>SCP N°0237/2018-S1 de 12 de junio de 2018.</w:t>
            </w:r>
          </w:p>
        </w:tc>
        <w:tc>
          <w:tcPr>
            <w:tcW w:w="2160" w:type="dxa"/>
          </w:tcPr>
          <w:p w14:paraId="4F0EC885" w14:textId="79CD4AF6" w:rsidR="001A3A57" w:rsidRPr="00E36E90" w:rsidRDefault="001A3A57" w:rsidP="001A3A5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heme="majorHAnsi" w:hAnsiTheme="majorHAnsi"/>
                <w:sz w:val="18"/>
                <w:szCs w:val="18"/>
                <w:lang w:val="es-PE"/>
              </w:rPr>
            </w:pPr>
            <w:r w:rsidRPr="00E36E90">
              <w:rPr>
                <w:rFonts w:asciiTheme="majorHAnsi" w:hAnsiTheme="majorHAnsi"/>
                <w:sz w:val="18"/>
                <w:szCs w:val="18"/>
                <w:lang w:val="es-PE"/>
              </w:rPr>
              <w:t>21 de septiembre de 2018</w:t>
            </w:r>
          </w:p>
        </w:tc>
        <w:tc>
          <w:tcPr>
            <w:tcW w:w="2160" w:type="dxa"/>
            <w:vAlign w:val="center"/>
          </w:tcPr>
          <w:p w14:paraId="2B8F0054" w14:textId="0C4FB8C7" w:rsidR="001A3A57" w:rsidRPr="00E36E90" w:rsidRDefault="001A3A57" w:rsidP="001A3A5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heme="majorHAnsi" w:hAnsiTheme="majorHAnsi"/>
                <w:sz w:val="18"/>
                <w:szCs w:val="18"/>
                <w:lang w:val="es-PE"/>
              </w:rPr>
            </w:pPr>
            <w:r w:rsidRPr="00E36E90">
              <w:rPr>
                <w:rFonts w:asciiTheme="majorHAnsi" w:hAnsiTheme="majorHAnsi"/>
                <w:bCs/>
                <w:sz w:val="18"/>
                <w:szCs w:val="18"/>
                <w:lang w:val="pt-BR"/>
              </w:rPr>
              <w:t>13 de marzo de 2019</w:t>
            </w:r>
          </w:p>
        </w:tc>
      </w:tr>
    </w:tbl>
    <w:p w14:paraId="3A29780D" w14:textId="77777777" w:rsidR="00660510" w:rsidRPr="00660510" w:rsidRDefault="00660510" w:rsidP="0066051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heme="majorHAnsi" w:hAnsiTheme="majorHAnsi"/>
          <w:sz w:val="20"/>
          <w:szCs w:val="20"/>
          <w:lang w:val="es-PE"/>
        </w:rPr>
      </w:pPr>
    </w:p>
    <w:p w14:paraId="70977618" w14:textId="4B496EAF" w:rsidR="00CE1008" w:rsidRPr="00EF1102" w:rsidRDefault="00CE1008" w:rsidP="00CE1008">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heme="majorHAnsi" w:hAnsiTheme="majorHAnsi"/>
          <w:sz w:val="20"/>
          <w:szCs w:val="20"/>
          <w:lang w:val="es-PE"/>
        </w:rPr>
      </w:pPr>
      <w:r w:rsidRPr="00EF1102">
        <w:rPr>
          <w:rFonts w:asciiTheme="majorHAnsi" w:hAnsiTheme="majorHAnsi"/>
          <w:sz w:val="20"/>
          <w:szCs w:val="20"/>
          <w:lang w:val="es-PE"/>
        </w:rPr>
        <w:t xml:space="preserve">De este modo, la Comisión aprecia que las presuntas víctimas utilizaron la vía constitucional para cuestionar sus destituciones, brindándole la oportunidad al Estado de </w:t>
      </w:r>
      <w:r w:rsidR="00294A78" w:rsidRPr="00EF1102">
        <w:rPr>
          <w:rFonts w:asciiTheme="majorHAnsi" w:hAnsiTheme="majorHAnsi"/>
          <w:sz w:val="20"/>
          <w:szCs w:val="20"/>
          <w:lang w:val="es-PE"/>
        </w:rPr>
        <w:t>resolver</w:t>
      </w:r>
      <w:r w:rsidRPr="00EF1102">
        <w:rPr>
          <w:rFonts w:asciiTheme="majorHAnsi" w:hAnsiTheme="majorHAnsi"/>
          <w:sz w:val="20"/>
          <w:szCs w:val="20"/>
          <w:lang w:val="es-PE"/>
        </w:rPr>
        <w:t xml:space="preserve"> esta situación mediante sus mecanismos internos. Además, de acuerdo con la información detallada previamente, la parte peticionaria habría cumplido con presentar todas las peticiones dentro del plazo de seis meses, contados a partir de la notificación de la resolución del Tribunal Constitucional Plurinacional que resolvió cada caso. </w:t>
      </w:r>
    </w:p>
    <w:p w14:paraId="2E6A0790" w14:textId="77777777" w:rsidR="00CE1008" w:rsidRPr="00EF1102" w:rsidRDefault="00CE1008" w:rsidP="00CE100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heme="majorHAnsi" w:hAnsiTheme="majorHAnsi"/>
          <w:sz w:val="20"/>
          <w:szCs w:val="20"/>
          <w:lang w:val="es-PE"/>
        </w:rPr>
      </w:pPr>
    </w:p>
    <w:p w14:paraId="094A7341" w14:textId="02CF42D2" w:rsidR="00CE1008" w:rsidRPr="00F12A3B" w:rsidRDefault="00CE1008" w:rsidP="00CE1008">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heme="majorHAnsi" w:hAnsiTheme="majorHAnsi"/>
          <w:sz w:val="20"/>
          <w:szCs w:val="20"/>
          <w:lang w:val="es-PE"/>
        </w:rPr>
      </w:pPr>
      <w:r w:rsidRPr="00EF1102">
        <w:rPr>
          <w:rFonts w:asciiTheme="majorHAnsi" w:hAnsiTheme="majorHAnsi"/>
          <w:sz w:val="20"/>
          <w:szCs w:val="20"/>
          <w:lang w:val="es-ES"/>
        </w:rPr>
        <w:t xml:space="preserve">Sin embargo, </w:t>
      </w:r>
      <w:r w:rsidR="00660510" w:rsidRPr="00EF1102">
        <w:rPr>
          <w:rFonts w:asciiTheme="majorHAnsi" w:hAnsiTheme="majorHAnsi"/>
          <w:sz w:val="20"/>
          <w:szCs w:val="20"/>
          <w:lang w:val="es-PE"/>
        </w:rPr>
        <w:t>el Estado</w:t>
      </w:r>
      <w:r w:rsidR="009D301E" w:rsidRPr="00EF1102">
        <w:rPr>
          <w:rFonts w:asciiTheme="majorHAnsi" w:hAnsiTheme="majorHAnsi"/>
          <w:sz w:val="20"/>
          <w:szCs w:val="20"/>
          <w:lang w:val="es-PE"/>
        </w:rPr>
        <w:t xml:space="preserve"> boliviano</w:t>
      </w:r>
      <w:r w:rsidR="00660510" w:rsidRPr="00EF1102">
        <w:rPr>
          <w:rFonts w:asciiTheme="majorHAnsi" w:hAnsiTheme="majorHAnsi"/>
          <w:sz w:val="20"/>
          <w:szCs w:val="20"/>
          <w:lang w:val="es-PE"/>
        </w:rPr>
        <w:t xml:space="preserve"> </w:t>
      </w:r>
      <w:r w:rsidRPr="00EF1102">
        <w:rPr>
          <w:rFonts w:asciiTheme="majorHAnsi" w:hAnsiTheme="majorHAnsi"/>
          <w:sz w:val="20"/>
          <w:szCs w:val="20"/>
          <w:lang w:val="es-PE"/>
        </w:rPr>
        <w:t xml:space="preserve">cuestiona que en estas peticiones se haya cumplido correctamente con el requisito del previo agotamiento de la jurisdicción interna. Para tal fin, </w:t>
      </w:r>
      <w:r w:rsidR="001A3A57" w:rsidRPr="00EF1102">
        <w:rPr>
          <w:rFonts w:asciiTheme="majorHAnsi" w:hAnsiTheme="majorHAnsi"/>
          <w:sz w:val="20"/>
          <w:szCs w:val="20"/>
          <w:lang w:val="es-PE"/>
        </w:rPr>
        <w:t>present</w:t>
      </w:r>
      <w:r w:rsidR="009D301E" w:rsidRPr="00EF1102">
        <w:rPr>
          <w:rFonts w:asciiTheme="majorHAnsi" w:hAnsiTheme="majorHAnsi"/>
          <w:sz w:val="20"/>
          <w:szCs w:val="20"/>
          <w:lang w:val="es-PE"/>
        </w:rPr>
        <w:t>a</w:t>
      </w:r>
      <w:r w:rsidR="001A3A57" w:rsidRPr="00EF1102">
        <w:rPr>
          <w:rFonts w:asciiTheme="majorHAnsi" w:hAnsiTheme="majorHAnsi"/>
          <w:sz w:val="20"/>
          <w:szCs w:val="20"/>
          <w:lang w:val="es-PE"/>
        </w:rPr>
        <w:t xml:space="preserve"> un alegato denominado </w:t>
      </w:r>
      <w:r w:rsidR="00660510" w:rsidRPr="00EF1102">
        <w:rPr>
          <w:rFonts w:asciiTheme="majorHAnsi" w:hAnsiTheme="majorHAnsi"/>
          <w:sz w:val="20"/>
          <w:szCs w:val="20"/>
          <w:lang w:val="es-PE"/>
        </w:rPr>
        <w:t>“</w:t>
      </w:r>
      <w:r w:rsidR="001A3A57" w:rsidRPr="00EF1102">
        <w:rPr>
          <w:rFonts w:asciiTheme="majorHAnsi" w:hAnsiTheme="majorHAnsi"/>
          <w:sz w:val="20"/>
          <w:szCs w:val="20"/>
          <w:lang w:val="es-PE"/>
        </w:rPr>
        <w:t>p</w:t>
      </w:r>
      <w:r w:rsidR="00660510" w:rsidRPr="00EF1102">
        <w:rPr>
          <w:rFonts w:asciiTheme="majorHAnsi" w:hAnsiTheme="majorHAnsi"/>
          <w:sz w:val="20"/>
          <w:szCs w:val="20"/>
          <w:lang w:val="es-PE"/>
        </w:rPr>
        <w:t>rincipio general de los actos propios”</w:t>
      </w:r>
      <w:r w:rsidR="001A3A57" w:rsidRPr="00EF1102">
        <w:rPr>
          <w:rFonts w:asciiTheme="majorHAnsi" w:hAnsiTheme="majorHAnsi"/>
          <w:sz w:val="20"/>
          <w:szCs w:val="20"/>
          <w:lang w:val="es-PE"/>
        </w:rPr>
        <w:t>, mediante el cual cuestiona</w:t>
      </w:r>
      <w:r w:rsidR="00660510" w:rsidRPr="00EF1102">
        <w:rPr>
          <w:rFonts w:asciiTheme="majorHAnsi" w:hAnsiTheme="majorHAnsi"/>
          <w:sz w:val="20"/>
          <w:szCs w:val="20"/>
          <w:lang w:val="es-PE"/>
        </w:rPr>
        <w:t xml:space="preserve"> que las presuntas víctimas no interpusieron </w:t>
      </w:r>
      <w:r w:rsidR="00660510" w:rsidRPr="00F12A3B">
        <w:rPr>
          <w:rFonts w:asciiTheme="majorHAnsi" w:hAnsiTheme="majorHAnsi"/>
          <w:sz w:val="20"/>
          <w:szCs w:val="20"/>
          <w:lang w:val="es-PE"/>
        </w:rPr>
        <w:t xml:space="preserve">recurso alguno </w:t>
      </w:r>
      <w:r w:rsidRPr="00F12A3B">
        <w:rPr>
          <w:rFonts w:asciiTheme="majorHAnsi" w:hAnsiTheme="majorHAnsi"/>
          <w:sz w:val="20"/>
          <w:szCs w:val="20"/>
          <w:lang w:val="es-PE"/>
        </w:rPr>
        <w:t xml:space="preserve">apenas </w:t>
      </w:r>
      <w:r w:rsidR="001941FC" w:rsidRPr="00F12A3B">
        <w:rPr>
          <w:rFonts w:asciiTheme="majorHAnsi" w:hAnsiTheme="majorHAnsi"/>
          <w:sz w:val="20"/>
          <w:szCs w:val="20"/>
          <w:lang w:val="es-PE"/>
        </w:rPr>
        <w:t>tomaron conocimiento</w:t>
      </w:r>
      <w:r w:rsidRPr="00F12A3B">
        <w:rPr>
          <w:rFonts w:asciiTheme="majorHAnsi" w:hAnsiTheme="majorHAnsi"/>
          <w:sz w:val="20"/>
          <w:szCs w:val="20"/>
          <w:lang w:val="es-PE"/>
        </w:rPr>
        <w:t xml:space="preserve"> </w:t>
      </w:r>
      <w:r w:rsidR="00016AAE" w:rsidRPr="00F12A3B">
        <w:rPr>
          <w:rFonts w:asciiTheme="majorHAnsi" w:hAnsiTheme="majorHAnsi"/>
          <w:sz w:val="20"/>
          <w:szCs w:val="20"/>
          <w:lang w:val="es-PE"/>
        </w:rPr>
        <w:t xml:space="preserve">de </w:t>
      </w:r>
      <w:r w:rsidRPr="00F12A3B">
        <w:rPr>
          <w:rFonts w:asciiTheme="majorHAnsi" w:hAnsiTheme="majorHAnsi"/>
          <w:sz w:val="20"/>
          <w:szCs w:val="20"/>
          <w:lang w:val="es-PE"/>
        </w:rPr>
        <w:t xml:space="preserve">que sus plazas tenían condición de transitoriedad, en virtud de la publicación de la Ley N° 3, Ley de Necesidad de Transición a los Nuevos Entes del Órgano Judicial y Ministerio Público. A criterio de Bolivia, dichas personas debieron recurrir ya sea a la vía administrativa o judicial apenas tomaron conocimiento de tal situación. </w:t>
      </w:r>
    </w:p>
    <w:p w14:paraId="77616DE0" w14:textId="77777777" w:rsidR="00CE1008" w:rsidRPr="00F12A3B" w:rsidRDefault="00CE1008" w:rsidP="00CE100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heme="majorHAnsi" w:hAnsiTheme="majorHAnsi"/>
          <w:sz w:val="20"/>
          <w:szCs w:val="20"/>
          <w:lang w:val="es-PE"/>
        </w:rPr>
      </w:pPr>
    </w:p>
    <w:p w14:paraId="0DD7B1F4" w14:textId="01BFDE53" w:rsidR="004B5580" w:rsidRPr="00F12A3B" w:rsidRDefault="00660510" w:rsidP="004B5580">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sz w:val="20"/>
          <w:szCs w:val="20"/>
          <w:lang w:val="es-PE"/>
        </w:rPr>
      </w:pPr>
      <w:r w:rsidRPr="00F12A3B">
        <w:rPr>
          <w:rFonts w:asciiTheme="majorHAnsi" w:hAnsiTheme="majorHAnsi"/>
          <w:sz w:val="20"/>
          <w:szCs w:val="20"/>
          <w:lang w:val="es-PE"/>
        </w:rPr>
        <w:t xml:space="preserve">Al respecto, </w:t>
      </w:r>
      <w:r w:rsidR="001A3A57" w:rsidRPr="00F12A3B">
        <w:rPr>
          <w:rFonts w:asciiTheme="majorHAnsi" w:hAnsiTheme="majorHAnsi"/>
          <w:sz w:val="20"/>
          <w:szCs w:val="20"/>
          <w:lang w:val="es-PE"/>
        </w:rPr>
        <w:t>la Comisión recuerda que</w:t>
      </w:r>
      <w:r w:rsidR="007E6FC7" w:rsidRPr="00F12A3B">
        <w:rPr>
          <w:rFonts w:asciiTheme="majorHAnsi" w:hAnsiTheme="majorHAnsi"/>
          <w:sz w:val="20"/>
          <w:szCs w:val="20"/>
          <w:lang w:val="es-PE"/>
        </w:rPr>
        <w:t>,</w:t>
      </w:r>
      <w:r w:rsidR="001A3A57" w:rsidRPr="00F12A3B">
        <w:rPr>
          <w:rFonts w:asciiTheme="majorHAnsi" w:hAnsiTheme="majorHAnsi"/>
          <w:sz w:val="20"/>
          <w:szCs w:val="20"/>
          <w:lang w:val="es-PE"/>
        </w:rPr>
        <w:t xml:space="preserve"> de acuerdo con la jurisprudencia de la Corte IDH, cuando un Estado cuestiona la falta de agotamiento de los recursos internos, este “</w:t>
      </w:r>
      <w:r w:rsidRPr="00F12A3B">
        <w:rPr>
          <w:rFonts w:asciiTheme="majorHAnsi" w:hAnsiTheme="majorHAnsi"/>
          <w:i/>
          <w:iCs/>
          <w:sz w:val="20"/>
          <w:szCs w:val="20"/>
          <w:lang w:val="es-PE"/>
        </w:rPr>
        <w:t>debe, en primer lugar, precisar claramente ante la Comisión, durante la etapa de admisibilidad del caso, los recursos que, en su criterio, aún no se habrían agotado y demostrar que estos recursos son aplicables y efectivos”</w:t>
      </w:r>
      <w:r w:rsidRPr="00F12A3B">
        <w:rPr>
          <w:rStyle w:val="FootnoteReference"/>
          <w:rFonts w:asciiTheme="majorHAnsi" w:hAnsiTheme="majorHAnsi"/>
          <w:sz w:val="20"/>
          <w:szCs w:val="20"/>
          <w:lang w:val="es-PE"/>
        </w:rPr>
        <w:footnoteReference w:id="11"/>
      </w:r>
      <w:r w:rsidRPr="00F12A3B">
        <w:rPr>
          <w:rFonts w:asciiTheme="majorHAnsi" w:hAnsiTheme="majorHAnsi"/>
          <w:i/>
          <w:iCs/>
          <w:sz w:val="20"/>
          <w:szCs w:val="20"/>
          <w:lang w:val="es-PE"/>
        </w:rPr>
        <w:t xml:space="preserve">. </w:t>
      </w:r>
      <w:r w:rsidRPr="00F12A3B">
        <w:rPr>
          <w:rFonts w:asciiTheme="majorHAnsi" w:hAnsiTheme="majorHAnsi"/>
          <w:sz w:val="20"/>
          <w:szCs w:val="20"/>
          <w:lang w:val="es-PE"/>
        </w:rPr>
        <w:t xml:space="preserve">En </w:t>
      </w:r>
      <w:r w:rsidR="001A3A57" w:rsidRPr="00F12A3B">
        <w:rPr>
          <w:rFonts w:asciiTheme="majorHAnsi" w:hAnsiTheme="majorHAnsi"/>
          <w:sz w:val="20"/>
          <w:szCs w:val="20"/>
          <w:lang w:val="es-PE"/>
        </w:rPr>
        <w:t xml:space="preserve">el presente asunto, la Comisión considera que el Estado no precisa con claridad los recursos que las presuntas víctimas pudieron haber utilizado, y menos aún justifica en qué medida estos serían adecuados y eficaces. </w:t>
      </w:r>
    </w:p>
    <w:p w14:paraId="6ADB7B7C" w14:textId="77777777" w:rsidR="004B5580" w:rsidRPr="00F12A3B" w:rsidRDefault="004B5580" w:rsidP="004B5580">
      <w:pPr>
        <w:pStyle w:val="ListParagraph"/>
        <w:rPr>
          <w:sz w:val="20"/>
          <w:szCs w:val="20"/>
          <w:lang w:val="es-PE"/>
        </w:rPr>
      </w:pPr>
    </w:p>
    <w:p w14:paraId="7C0944A3" w14:textId="7146359D" w:rsidR="001A3A57" w:rsidRPr="00F12A3B" w:rsidRDefault="004B5580" w:rsidP="004B5580">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heme="majorHAnsi" w:hAnsiTheme="majorHAnsi"/>
          <w:sz w:val="20"/>
          <w:szCs w:val="20"/>
          <w:lang w:val="es-PE"/>
        </w:rPr>
      </w:pPr>
      <w:r w:rsidRPr="00F12A3B">
        <w:rPr>
          <w:rFonts w:asciiTheme="majorHAnsi" w:hAnsiTheme="majorHAnsi" w:cs="Baskerville Old Face"/>
          <w:sz w:val="20"/>
          <w:szCs w:val="20"/>
          <w:lang w:val="es-PE"/>
        </w:rPr>
        <w:t xml:space="preserve">Asimismo, reitera que el requisito de agotamiento de los recursos internos no implica que las presuntas víctimas tengan la obligación de agotar todos los recursos posibles a su disposición, pues si esta </w:t>
      </w:r>
      <w:r w:rsidRPr="00F12A3B">
        <w:rPr>
          <w:rFonts w:asciiTheme="majorHAnsi" w:hAnsiTheme="majorHAnsi" w:cs="Baskerville Old Face"/>
          <w:i/>
          <w:iCs/>
          <w:sz w:val="20"/>
          <w:szCs w:val="20"/>
          <w:lang w:val="es-PE"/>
        </w:rPr>
        <w:t xml:space="preserve">“planteó la cuestión por alguna de las alternativas válidas y adecuadas según el ordenamiento jurídico interno y </w:t>
      </w:r>
      <w:r w:rsidRPr="00F12A3B">
        <w:rPr>
          <w:rFonts w:asciiTheme="majorHAnsi" w:hAnsiTheme="majorHAnsi" w:cs="Baskerville Old Face"/>
          <w:i/>
          <w:iCs/>
          <w:sz w:val="20"/>
          <w:szCs w:val="20"/>
          <w:lang w:val="es-PE"/>
        </w:rPr>
        <w:lastRenderedPageBreak/>
        <w:t>el Estado tuvo la oportunidad de remediar la cuestión en su jurisdicción, la finalidad de la norma internacional está cumplida</w:t>
      </w:r>
      <w:r w:rsidRPr="00F12A3B">
        <w:rPr>
          <w:rFonts w:asciiTheme="majorHAnsi" w:hAnsiTheme="majorHAnsi" w:cs="Baskerville Old Face"/>
          <w:sz w:val="20"/>
          <w:szCs w:val="20"/>
          <w:lang w:val="es-PE"/>
        </w:rPr>
        <w:t>”</w:t>
      </w:r>
      <w:r w:rsidRPr="00F12A3B">
        <w:rPr>
          <w:rStyle w:val="FootnoteReference"/>
          <w:rFonts w:asciiTheme="majorHAnsi" w:hAnsiTheme="majorHAnsi" w:cs="Baskerville Old Face"/>
          <w:sz w:val="20"/>
          <w:szCs w:val="20"/>
          <w:lang w:val="es-PE"/>
        </w:rPr>
        <w:footnoteReference w:id="12"/>
      </w:r>
      <w:r w:rsidRPr="00F12A3B">
        <w:rPr>
          <w:rFonts w:asciiTheme="majorHAnsi" w:hAnsiTheme="majorHAnsi" w:cs="Baskerville Old Face"/>
          <w:sz w:val="20"/>
          <w:szCs w:val="20"/>
          <w:lang w:val="es-PE"/>
        </w:rPr>
        <w:t xml:space="preserve">. Con base en ello, la Comisión </w:t>
      </w:r>
      <w:r w:rsidR="00EC6714" w:rsidRPr="00F12A3B">
        <w:rPr>
          <w:rFonts w:asciiTheme="majorHAnsi" w:hAnsiTheme="majorHAnsi" w:cs="Baskerville Old Face"/>
          <w:sz w:val="20"/>
          <w:szCs w:val="20"/>
          <w:lang w:val="es-PE"/>
        </w:rPr>
        <w:t xml:space="preserve">advierte </w:t>
      </w:r>
      <w:r w:rsidRPr="00F12A3B">
        <w:rPr>
          <w:rFonts w:asciiTheme="majorHAnsi" w:hAnsiTheme="majorHAnsi" w:cs="Baskerville Old Face"/>
          <w:sz w:val="20"/>
          <w:szCs w:val="20"/>
          <w:lang w:val="es-PE"/>
        </w:rPr>
        <w:t xml:space="preserve">que las presuntas víctimas optaron por una vía idónea para cuestionar directamente su destitución, sin que haya ningún indicio que tal mecanismo haya sido utilizado sin cumplir algún requerimiento exigido por las normas internas. </w:t>
      </w:r>
      <w:r w:rsidR="001A3A57" w:rsidRPr="00F12A3B">
        <w:rPr>
          <w:rFonts w:asciiTheme="majorHAnsi" w:hAnsiTheme="majorHAnsi"/>
          <w:sz w:val="20"/>
          <w:szCs w:val="20"/>
          <w:lang w:val="es-PE"/>
        </w:rPr>
        <w:t>Por ello, la Comisión desestima e</w:t>
      </w:r>
      <w:r w:rsidRPr="00F12A3B">
        <w:rPr>
          <w:rFonts w:asciiTheme="majorHAnsi" w:hAnsiTheme="majorHAnsi"/>
          <w:sz w:val="20"/>
          <w:szCs w:val="20"/>
          <w:lang w:val="es-PE"/>
        </w:rPr>
        <w:t>l alegato de Bolivia.</w:t>
      </w:r>
    </w:p>
    <w:p w14:paraId="7B191D3B" w14:textId="77777777" w:rsidR="001A3A57" w:rsidRPr="00EF1102" w:rsidRDefault="001A3A57" w:rsidP="001A3A57">
      <w:pPr>
        <w:pStyle w:val="ListParagraph"/>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heme="majorHAnsi" w:hAnsiTheme="majorHAnsi"/>
          <w:sz w:val="20"/>
          <w:szCs w:val="20"/>
          <w:lang w:val="es-PE"/>
        </w:rPr>
      </w:pPr>
    </w:p>
    <w:p w14:paraId="1EA85704" w14:textId="77905FD0" w:rsidR="00660510" w:rsidRPr="001A3A57" w:rsidRDefault="00660510" w:rsidP="001A3A57">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heme="majorHAnsi" w:hAnsiTheme="majorHAnsi"/>
          <w:sz w:val="20"/>
          <w:szCs w:val="20"/>
          <w:lang w:val="es-PE"/>
        </w:rPr>
      </w:pPr>
      <w:r w:rsidRPr="00EF1102">
        <w:rPr>
          <w:rFonts w:asciiTheme="majorHAnsi" w:hAnsiTheme="majorHAnsi"/>
          <w:sz w:val="20"/>
          <w:szCs w:val="20"/>
          <w:lang w:val="es-PE"/>
        </w:rPr>
        <w:t xml:space="preserve">Sin perjuicio de </w:t>
      </w:r>
      <w:r w:rsidR="001A3A57" w:rsidRPr="00EF1102">
        <w:rPr>
          <w:rFonts w:asciiTheme="majorHAnsi" w:hAnsiTheme="majorHAnsi"/>
          <w:sz w:val="20"/>
          <w:szCs w:val="20"/>
          <w:lang w:val="es-PE"/>
        </w:rPr>
        <w:t>lo expuesto</w:t>
      </w:r>
      <w:r w:rsidRPr="00EF1102">
        <w:rPr>
          <w:rFonts w:asciiTheme="majorHAnsi" w:hAnsiTheme="majorHAnsi"/>
          <w:sz w:val="20"/>
          <w:szCs w:val="20"/>
          <w:lang w:val="es-PE"/>
        </w:rPr>
        <w:t xml:space="preserve">, </w:t>
      </w:r>
      <w:r w:rsidR="00BD2AE6" w:rsidRPr="00EF1102">
        <w:rPr>
          <w:rFonts w:asciiTheme="majorHAnsi" w:hAnsiTheme="majorHAnsi"/>
          <w:sz w:val="20"/>
          <w:szCs w:val="20"/>
          <w:lang w:val="es-PE"/>
        </w:rPr>
        <w:t>el Estado</w:t>
      </w:r>
      <w:r w:rsidR="004B5580" w:rsidRPr="00EF1102">
        <w:rPr>
          <w:rFonts w:asciiTheme="majorHAnsi" w:hAnsiTheme="majorHAnsi"/>
          <w:sz w:val="20"/>
          <w:szCs w:val="20"/>
          <w:lang w:val="es-PE"/>
        </w:rPr>
        <w:t xml:space="preserve"> también</w:t>
      </w:r>
      <w:r w:rsidR="00BD2AE6" w:rsidRPr="00EF1102">
        <w:rPr>
          <w:rFonts w:asciiTheme="majorHAnsi" w:hAnsiTheme="majorHAnsi"/>
          <w:sz w:val="20"/>
          <w:szCs w:val="20"/>
          <w:lang w:val="es-PE"/>
        </w:rPr>
        <w:t xml:space="preserve"> presenta cuestionamientos específicos </w:t>
      </w:r>
      <w:r w:rsidRPr="00EF1102">
        <w:rPr>
          <w:rFonts w:asciiTheme="majorHAnsi" w:hAnsiTheme="majorHAnsi"/>
          <w:sz w:val="20"/>
          <w:szCs w:val="20"/>
          <w:lang w:val="es-PE"/>
        </w:rPr>
        <w:t>en algunas</w:t>
      </w:r>
      <w:r w:rsidR="00BD2AE6" w:rsidRPr="00EF1102">
        <w:rPr>
          <w:rFonts w:asciiTheme="majorHAnsi" w:hAnsiTheme="majorHAnsi"/>
          <w:sz w:val="20"/>
          <w:szCs w:val="20"/>
          <w:lang w:val="es-PE"/>
        </w:rPr>
        <w:t xml:space="preserve"> petici</w:t>
      </w:r>
      <w:r w:rsidRPr="00EF1102">
        <w:rPr>
          <w:rFonts w:asciiTheme="majorHAnsi" w:hAnsiTheme="majorHAnsi"/>
          <w:sz w:val="20"/>
          <w:szCs w:val="20"/>
          <w:lang w:val="es-PE"/>
        </w:rPr>
        <w:t>ones</w:t>
      </w:r>
      <w:r w:rsidR="00BD2AE6" w:rsidRPr="00EF1102">
        <w:rPr>
          <w:rFonts w:asciiTheme="majorHAnsi" w:hAnsiTheme="majorHAnsi"/>
          <w:sz w:val="20"/>
          <w:szCs w:val="20"/>
          <w:lang w:val="es-PE"/>
        </w:rPr>
        <w:t>. Así, con respecto a</w:t>
      </w:r>
      <w:r w:rsidR="00796D04" w:rsidRPr="00EF1102">
        <w:rPr>
          <w:rFonts w:asciiTheme="majorHAnsi" w:hAnsiTheme="majorHAnsi"/>
          <w:sz w:val="20"/>
          <w:szCs w:val="20"/>
          <w:lang w:val="es-PE"/>
        </w:rPr>
        <w:t xml:space="preserve"> la petición </w:t>
      </w:r>
      <w:r w:rsidR="00796D04" w:rsidRPr="00EF1102">
        <w:rPr>
          <w:rFonts w:asciiTheme="majorHAnsi" w:hAnsiTheme="majorHAnsi"/>
          <w:sz w:val="20"/>
          <w:szCs w:val="20"/>
          <w:lang w:val="es-ES"/>
        </w:rPr>
        <w:t>P-2287-16 aleg</w:t>
      </w:r>
      <w:r w:rsidR="00BD2AE6" w:rsidRPr="00EF1102">
        <w:rPr>
          <w:rFonts w:asciiTheme="majorHAnsi" w:hAnsiTheme="majorHAnsi"/>
          <w:sz w:val="20"/>
          <w:szCs w:val="20"/>
          <w:lang w:val="es-ES"/>
        </w:rPr>
        <w:t>a</w:t>
      </w:r>
      <w:r w:rsidR="00796D04" w:rsidRPr="00EF1102">
        <w:rPr>
          <w:rFonts w:asciiTheme="majorHAnsi" w:hAnsiTheme="majorHAnsi"/>
          <w:sz w:val="20"/>
          <w:szCs w:val="20"/>
          <w:lang w:val="es-ES"/>
        </w:rPr>
        <w:t xml:space="preserve"> que </w:t>
      </w:r>
      <w:r w:rsidR="00796D04" w:rsidRPr="00EF1102">
        <w:rPr>
          <w:rFonts w:asciiTheme="majorHAnsi" w:hAnsiTheme="majorHAnsi"/>
          <w:sz w:val="20"/>
          <w:szCs w:val="20"/>
          <w:lang w:val="es-PE"/>
        </w:rPr>
        <w:t>existe falta de agotamiento de la jurisdicción intern</w:t>
      </w:r>
      <w:r w:rsidR="00796D04" w:rsidRPr="001A3A57">
        <w:rPr>
          <w:rFonts w:asciiTheme="majorHAnsi" w:hAnsiTheme="majorHAnsi"/>
          <w:sz w:val="20"/>
          <w:szCs w:val="20"/>
          <w:lang w:val="es-PE"/>
        </w:rPr>
        <w:t xml:space="preserve">a, pues </w:t>
      </w:r>
      <w:r w:rsidR="00BD2AE6" w:rsidRPr="001A3A57">
        <w:rPr>
          <w:rFonts w:asciiTheme="majorHAnsi" w:hAnsiTheme="majorHAnsi"/>
          <w:sz w:val="20"/>
          <w:szCs w:val="20"/>
          <w:lang w:val="es-PE"/>
        </w:rPr>
        <w:t>el señor Gonzalo Varnoux</w:t>
      </w:r>
      <w:r w:rsidR="00EF6D55" w:rsidRPr="001A3A57">
        <w:rPr>
          <w:rFonts w:asciiTheme="majorHAnsi" w:hAnsiTheme="majorHAnsi"/>
          <w:sz w:val="20"/>
          <w:szCs w:val="20"/>
          <w:lang w:val="es-PE"/>
        </w:rPr>
        <w:t xml:space="preserve"> </w:t>
      </w:r>
      <w:r w:rsidR="00796D04" w:rsidRPr="001A3A57">
        <w:rPr>
          <w:rFonts w:asciiTheme="majorHAnsi" w:hAnsiTheme="majorHAnsi"/>
          <w:sz w:val="20"/>
          <w:szCs w:val="20"/>
          <w:lang w:val="es-PE"/>
        </w:rPr>
        <w:t xml:space="preserve">no interpuso </w:t>
      </w:r>
      <w:r w:rsidR="0021231B" w:rsidRPr="001A3A57">
        <w:rPr>
          <w:rFonts w:asciiTheme="majorHAnsi" w:hAnsiTheme="majorHAnsi"/>
          <w:sz w:val="20"/>
          <w:szCs w:val="20"/>
          <w:lang w:val="es-PE"/>
        </w:rPr>
        <w:t xml:space="preserve">todos </w:t>
      </w:r>
      <w:r w:rsidR="009033FC" w:rsidRPr="001A3A57">
        <w:rPr>
          <w:rFonts w:asciiTheme="majorHAnsi" w:hAnsiTheme="majorHAnsi"/>
          <w:sz w:val="20"/>
          <w:szCs w:val="20"/>
          <w:lang w:val="es-PE"/>
        </w:rPr>
        <w:t>los recursos administrativos</w:t>
      </w:r>
      <w:r w:rsidR="00796D04" w:rsidRPr="001A3A57">
        <w:rPr>
          <w:rFonts w:asciiTheme="majorHAnsi" w:hAnsiTheme="majorHAnsi"/>
          <w:sz w:val="20"/>
          <w:szCs w:val="20"/>
          <w:lang w:val="es-PE"/>
        </w:rPr>
        <w:t xml:space="preserve"> </w:t>
      </w:r>
      <w:r w:rsidR="0021231B" w:rsidRPr="001A3A57">
        <w:rPr>
          <w:rFonts w:asciiTheme="majorHAnsi" w:hAnsiTheme="majorHAnsi"/>
          <w:sz w:val="20"/>
          <w:szCs w:val="20"/>
          <w:lang w:val="es-PE"/>
        </w:rPr>
        <w:t xml:space="preserve">requeridos </w:t>
      </w:r>
      <w:r w:rsidR="00796D04" w:rsidRPr="001A3A57">
        <w:rPr>
          <w:rFonts w:asciiTheme="majorHAnsi" w:hAnsiTheme="majorHAnsi"/>
          <w:sz w:val="20"/>
          <w:szCs w:val="20"/>
          <w:lang w:val="es-PE"/>
        </w:rPr>
        <w:t xml:space="preserve">para </w:t>
      </w:r>
      <w:r w:rsidR="00796D04" w:rsidRPr="001A3A57">
        <w:rPr>
          <w:rFonts w:asciiTheme="majorHAnsi" w:hAnsiTheme="majorHAnsi" w:cs="Baskerville Old Face"/>
          <w:sz w:val="20"/>
          <w:szCs w:val="20"/>
          <w:lang w:val="es-PE"/>
        </w:rPr>
        <w:t>cuestionar el memorándum que lo destituyó de su cargo. Asimismo, que no interpuso ningún recurso interno para cuestionar la</w:t>
      </w:r>
      <w:r w:rsidR="00B070C1" w:rsidRPr="001A3A57">
        <w:rPr>
          <w:rFonts w:asciiTheme="majorHAnsi" w:hAnsiTheme="majorHAnsi" w:cs="Baskerville Old Face"/>
          <w:sz w:val="20"/>
          <w:szCs w:val="20"/>
          <w:lang w:val="es-PE"/>
        </w:rPr>
        <w:t xml:space="preserve"> supuesta</w:t>
      </w:r>
      <w:r w:rsidR="00796D04" w:rsidRPr="001A3A57">
        <w:rPr>
          <w:rFonts w:asciiTheme="majorHAnsi" w:hAnsiTheme="majorHAnsi" w:cs="Baskerville Old Face"/>
          <w:sz w:val="20"/>
          <w:szCs w:val="20"/>
          <w:lang w:val="es-PE"/>
        </w:rPr>
        <w:t xml:space="preserve"> discriminación por discapacidad </w:t>
      </w:r>
      <w:r w:rsidR="00B070C1" w:rsidRPr="001A3A57">
        <w:rPr>
          <w:rFonts w:asciiTheme="majorHAnsi" w:hAnsiTheme="majorHAnsi" w:cs="Baskerville Old Face"/>
          <w:sz w:val="20"/>
          <w:szCs w:val="20"/>
          <w:lang w:val="es-PE"/>
        </w:rPr>
        <w:t>en su contra</w:t>
      </w:r>
      <w:r w:rsidR="00796D04" w:rsidRPr="001A3A57">
        <w:rPr>
          <w:rFonts w:asciiTheme="majorHAnsi" w:hAnsiTheme="majorHAnsi" w:cs="Baskerville Old Face"/>
          <w:sz w:val="20"/>
          <w:szCs w:val="20"/>
          <w:lang w:val="es-PE"/>
        </w:rPr>
        <w:t xml:space="preserve">. </w:t>
      </w:r>
    </w:p>
    <w:p w14:paraId="3B1EFDF5" w14:textId="77777777" w:rsidR="00660510" w:rsidRPr="00660510" w:rsidRDefault="00660510" w:rsidP="00660510">
      <w:pPr>
        <w:pStyle w:val="ListParagraph"/>
        <w:rPr>
          <w:rFonts w:asciiTheme="majorHAnsi" w:hAnsiTheme="majorHAnsi" w:cs="Baskerville Old Face"/>
          <w:sz w:val="20"/>
          <w:szCs w:val="20"/>
          <w:lang w:val="es-PE"/>
        </w:rPr>
      </w:pPr>
    </w:p>
    <w:p w14:paraId="405417CD" w14:textId="77777777" w:rsidR="004B5580" w:rsidRPr="004B5580" w:rsidRDefault="004B5580" w:rsidP="00660510">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heme="majorHAnsi" w:hAnsiTheme="majorHAnsi"/>
          <w:sz w:val="20"/>
          <w:szCs w:val="20"/>
          <w:lang w:val="es-PE"/>
        </w:rPr>
      </w:pPr>
      <w:r>
        <w:rPr>
          <w:rFonts w:asciiTheme="majorHAnsi" w:hAnsiTheme="majorHAnsi" w:cs="Baskerville Old Face"/>
          <w:sz w:val="20"/>
          <w:szCs w:val="20"/>
          <w:lang w:val="es-PE"/>
        </w:rPr>
        <w:t>Siguiendo lo expuesto en los párrafos previos</w:t>
      </w:r>
      <w:r w:rsidR="00796D04" w:rsidRPr="00660510">
        <w:rPr>
          <w:rFonts w:asciiTheme="majorHAnsi" w:hAnsiTheme="majorHAnsi" w:cs="Baskerville Old Face"/>
          <w:sz w:val="20"/>
          <w:szCs w:val="20"/>
          <w:lang w:val="es-PE"/>
        </w:rPr>
        <w:t>, la CIDH observa que la presunta víctima interpuso un recurso de reconsideración ante el Consejo Nacional de la Magistratura</w:t>
      </w:r>
      <w:r w:rsidR="005A3E4F" w:rsidRPr="00660510">
        <w:rPr>
          <w:rFonts w:asciiTheme="majorHAnsi" w:hAnsiTheme="majorHAnsi" w:cs="Baskerville Old Face"/>
          <w:sz w:val="20"/>
          <w:szCs w:val="20"/>
          <w:lang w:val="es-PE"/>
        </w:rPr>
        <w:t>, para luego acudir</w:t>
      </w:r>
      <w:r w:rsidR="00796D04" w:rsidRPr="00660510">
        <w:rPr>
          <w:rFonts w:asciiTheme="majorHAnsi" w:hAnsiTheme="majorHAnsi" w:cs="Baskerville Old Face"/>
          <w:sz w:val="20"/>
          <w:szCs w:val="20"/>
          <w:lang w:val="es-PE"/>
        </w:rPr>
        <w:t xml:space="preserve"> a la vía judicial</w:t>
      </w:r>
      <w:r w:rsidR="005A3E4F" w:rsidRPr="00660510">
        <w:rPr>
          <w:rFonts w:asciiTheme="majorHAnsi" w:hAnsiTheme="majorHAnsi" w:cs="Baskerville Old Face"/>
          <w:sz w:val="20"/>
          <w:szCs w:val="20"/>
          <w:lang w:val="es-PE"/>
        </w:rPr>
        <w:t>,</w:t>
      </w:r>
      <w:r w:rsidR="0021231B" w:rsidRPr="00660510">
        <w:rPr>
          <w:rFonts w:asciiTheme="majorHAnsi" w:hAnsiTheme="majorHAnsi" w:cs="Baskerville Old Face"/>
          <w:sz w:val="20"/>
          <w:szCs w:val="20"/>
          <w:lang w:val="es-PE"/>
        </w:rPr>
        <w:t xml:space="preserve"> donde, </w:t>
      </w:r>
      <w:r w:rsidR="00713CBA" w:rsidRPr="00660510">
        <w:rPr>
          <w:rFonts w:asciiTheme="majorHAnsi" w:hAnsiTheme="majorHAnsi" w:cs="Baskerville Old Face"/>
          <w:sz w:val="20"/>
          <w:szCs w:val="20"/>
          <w:lang w:val="es-PE"/>
        </w:rPr>
        <w:t xml:space="preserve">si bien en última instancia desestimaron </w:t>
      </w:r>
      <w:r w:rsidR="0021231B" w:rsidRPr="00660510">
        <w:rPr>
          <w:rFonts w:asciiTheme="majorHAnsi" w:hAnsiTheme="majorHAnsi" w:cs="Baskerville Old Face"/>
          <w:sz w:val="20"/>
          <w:szCs w:val="20"/>
          <w:lang w:val="es-PE"/>
        </w:rPr>
        <w:t>sus</w:t>
      </w:r>
      <w:r w:rsidR="00713CBA" w:rsidRPr="00660510">
        <w:rPr>
          <w:rFonts w:asciiTheme="majorHAnsi" w:hAnsiTheme="majorHAnsi" w:cs="Baskerville Old Face"/>
          <w:sz w:val="20"/>
          <w:szCs w:val="20"/>
          <w:lang w:val="es-PE"/>
        </w:rPr>
        <w:t xml:space="preserve"> argumentos de fondo</w:t>
      </w:r>
      <w:r w:rsidR="0021231B" w:rsidRPr="00660510">
        <w:rPr>
          <w:rFonts w:asciiTheme="majorHAnsi" w:hAnsiTheme="majorHAnsi" w:cs="Baskerville Old Face"/>
          <w:sz w:val="20"/>
          <w:szCs w:val="20"/>
          <w:lang w:val="es-PE"/>
        </w:rPr>
        <w:t xml:space="preserve">, </w:t>
      </w:r>
      <w:r w:rsidR="00713CBA" w:rsidRPr="00660510">
        <w:rPr>
          <w:rFonts w:asciiTheme="majorHAnsi" w:hAnsiTheme="majorHAnsi" w:cs="Baskerville Old Face"/>
          <w:sz w:val="20"/>
          <w:szCs w:val="20"/>
          <w:lang w:val="es-PE"/>
        </w:rPr>
        <w:t xml:space="preserve">ninguna </w:t>
      </w:r>
      <w:r w:rsidR="0021231B" w:rsidRPr="00660510">
        <w:rPr>
          <w:rFonts w:asciiTheme="majorHAnsi" w:hAnsiTheme="majorHAnsi" w:cs="Baskerville Old Face"/>
          <w:sz w:val="20"/>
          <w:szCs w:val="20"/>
          <w:lang w:val="es-PE"/>
        </w:rPr>
        <w:t xml:space="preserve">autoridad </w:t>
      </w:r>
      <w:r w:rsidR="00713CBA" w:rsidRPr="00660510">
        <w:rPr>
          <w:rFonts w:asciiTheme="majorHAnsi" w:hAnsiTheme="majorHAnsi" w:cs="Baskerville Old Face"/>
          <w:sz w:val="20"/>
          <w:szCs w:val="20"/>
          <w:lang w:val="es-PE"/>
        </w:rPr>
        <w:t xml:space="preserve">cuestionó los requisitos de procedencia de la acción de </w:t>
      </w:r>
      <w:r w:rsidR="00B070C1" w:rsidRPr="00660510">
        <w:rPr>
          <w:rFonts w:asciiTheme="majorHAnsi" w:hAnsiTheme="majorHAnsi" w:cs="Baskerville Old Face"/>
          <w:sz w:val="20"/>
          <w:szCs w:val="20"/>
          <w:lang w:val="es-PE"/>
        </w:rPr>
        <w:t>amparo</w:t>
      </w:r>
      <w:r w:rsidR="00713CBA" w:rsidRPr="00660510">
        <w:rPr>
          <w:rFonts w:asciiTheme="majorHAnsi" w:hAnsiTheme="majorHAnsi" w:cs="Baskerville Old Face"/>
          <w:sz w:val="20"/>
          <w:szCs w:val="20"/>
          <w:lang w:val="es-PE"/>
        </w:rPr>
        <w:t>.</w:t>
      </w:r>
      <w:r>
        <w:rPr>
          <w:rFonts w:asciiTheme="majorHAnsi" w:hAnsiTheme="majorHAnsi" w:cs="Baskerville Old Face"/>
          <w:sz w:val="20"/>
          <w:szCs w:val="20"/>
          <w:lang w:val="es-PE"/>
        </w:rPr>
        <w:t xml:space="preserve"> Por ende, resulta razonable inferir que la vía constitucional fue utilizada correctamente y que este era el mecanismo adecuado para canalizar la cuestión planteada. </w:t>
      </w:r>
    </w:p>
    <w:p w14:paraId="7521FCD2" w14:textId="77777777" w:rsidR="004B5580" w:rsidRPr="004B5580" w:rsidRDefault="004B5580" w:rsidP="004B5580">
      <w:pPr>
        <w:pStyle w:val="ListParagraph"/>
        <w:rPr>
          <w:rFonts w:asciiTheme="majorHAnsi" w:hAnsiTheme="majorHAnsi" w:cs="Baskerville Old Face"/>
          <w:sz w:val="20"/>
          <w:szCs w:val="20"/>
          <w:lang w:val="es-PE"/>
        </w:rPr>
      </w:pPr>
    </w:p>
    <w:p w14:paraId="20ACABD6" w14:textId="584F9453" w:rsidR="00660510" w:rsidRPr="00F12A3B" w:rsidRDefault="00713CBA" w:rsidP="00660510">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heme="majorHAnsi" w:hAnsiTheme="majorHAnsi"/>
          <w:sz w:val="20"/>
          <w:szCs w:val="20"/>
          <w:lang w:val="es-PE"/>
        </w:rPr>
      </w:pPr>
      <w:r w:rsidRPr="00F12A3B">
        <w:rPr>
          <w:rFonts w:asciiTheme="majorHAnsi" w:hAnsiTheme="majorHAnsi" w:cs="Baskerville Old Face"/>
          <w:sz w:val="20"/>
          <w:szCs w:val="20"/>
          <w:lang w:val="es-PE"/>
        </w:rPr>
        <w:t>A</w:t>
      </w:r>
      <w:r w:rsidR="00967F21" w:rsidRPr="00F12A3B">
        <w:rPr>
          <w:rFonts w:asciiTheme="majorHAnsi" w:hAnsiTheme="majorHAnsi" w:cs="Baskerville Old Face"/>
          <w:sz w:val="20"/>
          <w:szCs w:val="20"/>
          <w:lang w:val="es-PE"/>
        </w:rPr>
        <w:t>demás</w:t>
      </w:r>
      <w:r w:rsidRPr="00F12A3B">
        <w:rPr>
          <w:rFonts w:asciiTheme="majorHAnsi" w:hAnsiTheme="majorHAnsi" w:cs="Baskerville Old Face"/>
          <w:sz w:val="20"/>
          <w:szCs w:val="20"/>
          <w:lang w:val="es-PE"/>
        </w:rPr>
        <w:t xml:space="preserve">, </w:t>
      </w:r>
      <w:r w:rsidR="009033FC" w:rsidRPr="00F12A3B">
        <w:rPr>
          <w:rFonts w:asciiTheme="majorHAnsi" w:hAnsiTheme="majorHAnsi" w:cs="Baskerville Old Face"/>
          <w:sz w:val="20"/>
          <w:szCs w:val="20"/>
          <w:lang w:val="es-PE"/>
        </w:rPr>
        <w:t>en el marco de</w:t>
      </w:r>
      <w:r w:rsidR="00B070C1" w:rsidRPr="00F12A3B">
        <w:rPr>
          <w:rFonts w:asciiTheme="majorHAnsi" w:hAnsiTheme="majorHAnsi" w:cs="Baskerville Old Face"/>
          <w:sz w:val="20"/>
          <w:szCs w:val="20"/>
          <w:lang w:val="es-PE"/>
        </w:rPr>
        <w:t xml:space="preserve"> dicho proceso</w:t>
      </w:r>
      <w:r w:rsidR="009033FC" w:rsidRPr="00F12A3B">
        <w:rPr>
          <w:rFonts w:asciiTheme="majorHAnsi" w:hAnsiTheme="majorHAnsi" w:cs="Baskerville Old Face"/>
          <w:sz w:val="20"/>
          <w:szCs w:val="20"/>
          <w:lang w:val="es-PE"/>
        </w:rPr>
        <w:t>, el Tribunal Constitucional</w:t>
      </w:r>
      <w:r w:rsidR="00B070C1" w:rsidRPr="00F12A3B">
        <w:rPr>
          <w:rFonts w:asciiTheme="majorHAnsi" w:hAnsiTheme="majorHAnsi" w:cs="Baskerville Old Face"/>
          <w:sz w:val="20"/>
          <w:szCs w:val="20"/>
          <w:lang w:val="es-PE"/>
        </w:rPr>
        <w:t xml:space="preserve"> Plurinacional</w:t>
      </w:r>
      <w:r w:rsidR="009033FC" w:rsidRPr="00F12A3B">
        <w:rPr>
          <w:rFonts w:asciiTheme="majorHAnsi" w:hAnsiTheme="majorHAnsi" w:cs="Baskerville Old Face"/>
          <w:sz w:val="20"/>
          <w:szCs w:val="20"/>
          <w:lang w:val="es-PE"/>
        </w:rPr>
        <w:t xml:space="preserve"> </w:t>
      </w:r>
      <w:r w:rsidR="00C34082" w:rsidRPr="00F12A3B">
        <w:rPr>
          <w:rFonts w:asciiTheme="majorHAnsi" w:hAnsiTheme="majorHAnsi" w:cs="Baskerville Old Face"/>
          <w:sz w:val="20"/>
          <w:szCs w:val="20"/>
          <w:lang w:val="es-PE"/>
        </w:rPr>
        <w:t>t</w:t>
      </w:r>
      <w:r w:rsidR="00B070C1" w:rsidRPr="00F12A3B">
        <w:rPr>
          <w:rFonts w:asciiTheme="majorHAnsi" w:hAnsiTheme="majorHAnsi" w:cs="Baskerville Old Face"/>
          <w:sz w:val="20"/>
          <w:szCs w:val="20"/>
          <w:lang w:val="es-PE"/>
        </w:rPr>
        <w:t>uvo</w:t>
      </w:r>
      <w:r w:rsidRPr="00F12A3B">
        <w:rPr>
          <w:rFonts w:asciiTheme="majorHAnsi" w:hAnsiTheme="majorHAnsi" w:cs="Baskerville Old Face"/>
          <w:sz w:val="20"/>
          <w:szCs w:val="20"/>
          <w:lang w:val="es-PE"/>
        </w:rPr>
        <w:t xml:space="preserve"> conocimiento de la </w:t>
      </w:r>
      <w:r w:rsidR="00B070C1" w:rsidRPr="00F12A3B">
        <w:rPr>
          <w:rFonts w:asciiTheme="majorHAnsi" w:hAnsiTheme="majorHAnsi" w:cs="Baskerville Old Face"/>
          <w:sz w:val="20"/>
          <w:szCs w:val="20"/>
          <w:lang w:val="es-PE"/>
        </w:rPr>
        <w:t xml:space="preserve">grave </w:t>
      </w:r>
      <w:r w:rsidRPr="00F12A3B">
        <w:rPr>
          <w:rFonts w:asciiTheme="majorHAnsi" w:hAnsiTheme="majorHAnsi" w:cs="Baskerville Old Face"/>
          <w:sz w:val="20"/>
          <w:szCs w:val="20"/>
          <w:lang w:val="es-PE"/>
        </w:rPr>
        <w:t>condición de salud de la presunta víctima</w:t>
      </w:r>
      <w:r w:rsidR="00A407B0" w:rsidRPr="00F12A3B">
        <w:rPr>
          <w:rFonts w:asciiTheme="majorHAnsi" w:hAnsiTheme="majorHAnsi" w:cs="Baskerville Old Face"/>
          <w:sz w:val="20"/>
          <w:szCs w:val="20"/>
          <w:lang w:val="es-PE"/>
        </w:rPr>
        <w:t>;</w:t>
      </w:r>
      <w:r w:rsidR="00B070C1" w:rsidRPr="00F12A3B">
        <w:rPr>
          <w:rFonts w:asciiTheme="majorHAnsi" w:hAnsiTheme="majorHAnsi" w:cs="Baskerville Old Face"/>
          <w:sz w:val="20"/>
          <w:szCs w:val="20"/>
          <w:lang w:val="es-PE"/>
        </w:rPr>
        <w:t xml:space="preserve"> y</w:t>
      </w:r>
      <w:r w:rsidR="00A407B0" w:rsidRPr="00F12A3B">
        <w:rPr>
          <w:rFonts w:asciiTheme="majorHAnsi" w:hAnsiTheme="majorHAnsi" w:cs="Baskerville Old Face"/>
          <w:sz w:val="20"/>
          <w:szCs w:val="20"/>
          <w:lang w:val="es-PE"/>
        </w:rPr>
        <w:t>,</w:t>
      </w:r>
      <w:r w:rsidR="000F2376" w:rsidRPr="00F12A3B">
        <w:rPr>
          <w:rFonts w:asciiTheme="majorHAnsi" w:hAnsiTheme="majorHAnsi" w:cs="Baskerville Old Face"/>
          <w:sz w:val="20"/>
          <w:szCs w:val="20"/>
          <w:lang w:val="es-PE"/>
        </w:rPr>
        <w:t xml:space="preserve"> </w:t>
      </w:r>
      <w:r w:rsidR="009033FC" w:rsidRPr="00F12A3B">
        <w:rPr>
          <w:rFonts w:asciiTheme="majorHAnsi" w:hAnsiTheme="majorHAnsi" w:cs="Baskerville Old Face"/>
          <w:sz w:val="20"/>
          <w:szCs w:val="20"/>
          <w:lang w:val="es-PE"/>
        </w:rPr>
        <w:t>sin embargo, no se pronunció al respecto</w:t>
      </w:r>
      <w:r w:rsidR="005A3E4F" w:rsidRPr="00F12A3B">
        <w:rPr>
          <w:rFonts w:asciiTheme="majorHAnsi" w:hAnsiTheme="majorHAnsi" w:cs="Baskerville Old Face"/>
          <w:sz w:val="20"/>
          <w:szCs w:val="20"/>
          <w:lang w:val="es-PE"/>
        </w:rPr>
        <w:t>, habiendo tenido la oportunidad de hacerlo</w:t>
      </w:r>
      <w:r w:rsidR="009033FC" w:rsidRPr="00F12A3B">
        <w:rPr>
          <w:rFonts w:asciiTheme="majorHAnsi" w:hAnsiTheme="majorHAnsi" w:cs="Baskerville Old Face"/>
          <w:sz w:val="20"/>
          <w:szCs w:val="20"/>
          <w:lang w:val="es-PE"/>
        </w:rPr>
        <w:t>.</w:t>
      </w:r>
      <w:r w:rsidRPr="00F12A3B">
        <w:rPr>
          <w:rFonts w:asciiTheme="majorHAnsi" w:hAnsiTheme="majorHAnsi" w:cs="Baskerville Old Face"/>
          <w:sz w:val="20"/>
          <w:szCs w:val="20"/>
          <w:lang w:val="es-PE"/>
        </w:rPr>
        <w:t xml:space="preserve"> </w:t>
      </w:r>
      <w:r w:rsidR="00034C32" w:rsidRPr="00F12A3B">
        <w:rPr>
          <w:rFonts w:asciiTheme="majorHAnsi" w:hAnsiTheme="majorHAnsi"/>
          <w:sz w:val="20"/>
          <w:szCs w:val="20"/>
          <w:lang w:val="es-AR"/>
        </w:rPr>
        <w:t xml:space="preserve">En </w:t>
      </w:r>
      <w:r w:rsidR="009432D5" w:rsidRPr="00F12A3B">
        <w:rPr>
          <w:rFonts w:asciiTheme="majorHAnsi" w:hAnsiTheme="majorHAnsi"/>
          <w:sz w:val="20"/>
          <w:szCs w:val="20"/>
          <w:lang w:val="es-AR"/>
        </w:rPr>
        <w:t>tal sentido</w:t>
      </w:r>
      <w:r w:rsidR="00034C32" w:rsidRPr="00F12A3B">
        <w:rPr>
          <w:rFonts w:asciiTheme="majorHAnsi" w:hAnsiTheme="majorHAnsi"/>
          <w:sz w:val="20"/>
          <w:szCs w:val="20"/>
          <w:lang w:val="es-AR"/>
        </w:rPr>
        <w:t>, la Comisión considera que la presunta afectación derivada de tal situación está estrechamente conectada con los alegatos presentados por el señor Varnoux en su demanda de amparo</w:t>
      </w:r>
      <w:r w:rsidR="0030734C" w:rsidRPr="00F12A3B">
        <w:rPr>
          <w:rFonts w:asciiTheme="majorHAnsi" w:hAnsiTheme="majorHAnsi"/>
          <w:sz w:val="20"/>
          <w:szCs w:val="20"/>
          <w:lang w:val="es-AR"/>
        </w:rPr>
        <w:t>;</w:t>
      </w:r>
      <w:r w:rsidR="00034C32" w:rsidRPr="00F12A3B">
        <w:rPr>
          <w:rFonts w:asciiTheme="majorHAnsi" w:hAnsiTheme="majorHAnsi"/>
          <w:sz w:val="20"/>
          <w:szCs w:val="20"/>
          <w:lang w:val="es-AR"/>
        </w:rPr>
        <w:t xml:space="preserve"> y</w:t>
      </w:r>
      <w:r w:rsidR="0030734C" w:rsidRPr="00F12A3B">
        <w:rPr>
          <w:rFonts w:asciiTheme="majorHAnsi" w:hAnsiTheme="majorHAnsi"/>
          <w:sz w:val="20"/>
          <w:szCs w:val="20"/>
          <w:lang w:val="es-AR"/>
        </w:rPr>
        <w:t>,</w:t>
      </w:r>
      <w:r w:rsidR="00034C32" w:rsidRPr="00F12A3B">
        <w:rPr>
          <w:rFonts w:asciiTheme="majorHAnsi" w:hAnsiTheme="majorHAnsi"/>
          <w:sz w:val="20"/>
          <w:szCs w:val="20"/>
          <w:lang w:val="es-AR"/>
        </w:rPr>
        <w:t xml:space="preserve"> por ende, no resulta razonable exigir un agotamiento de recursos internos de manera separada y autónoma sobre este punto</w:t>
      </w:r>
      <w:r w:rsidR="00034C32" w:rsidRPr="00F12A3B">
        <w:rPr>
          <w:rStyle w:val="FootnoteReference"/>
          <w:rFonts w:asciiTheme="majorHAnsi" w:hAnsiTheme="majorHAnsi"/>
          <w:sz w:val="20"/>
          <w:szCs w:val="20"/>
          <w:lang w:val="es-PE"/>
        </w:rPr>
        <w:footnoteReference w:id="13"/>
      </w:r>
      <w:r w:rsidR="00034C32" w:rsidRPr="00F12A3B">
        <w:rPr>
          <w:rFonts w:asciiTheme="majorHAnsi" w:hAnsiTheme="majorHAnsi"/>
          <w:sz w:val="20"/>
          <w:szCs w:val="20"/>
          <w:lang w:val="es-PE"/>
        </w:rPr>
        <w:t xml:space="preserve">. </w:t>
      </w:r>
      <w:r w:rsidR="00796D04" w:rsidRPr="00F12A3B">
        <w:rPr>
          <w:rFonts w:asciiTheme="majorHAnsi" w:hAnsiTheme="majorHAnsi" w:cs="Baskerville Old Face"/>
          <w:sz w:val="20"/>
          <w:szCs w:val="20"/>
          <w:lang w:val="es-PE"/>
        </w:rPr>
        <w:t xml:space="preserve">En consecuencia, la Comisión </w:t>
      </w:r>
      <w:r w:rsidR="0030734C" w:rsidRPr="00F12A3B">
        <w:rPr>
          <w:rFonts w:asciiTheme="majorHAnsi" w:hAnsiTheme="majorHAnsi" w:cs="Baskerville Old Face"/>
          <w:sz w:val="20"/>
          <w:szCs w:val="20"/>
          <w:lang w:val="es-PE"/>
        </w:rPr>
        <w:t xml:space="preserve">concluye </w:t>
      </w:r>
      <w:r w:rsidR="00796D04" w:rsidRPr="00F12A3B">
        <w:rPr>
          <w:rFonts w:asciiTheme="majorHAnsi" w:hAnsiTheme="majorHAnsi" w:cs="Baskerville Old Face"/>
          <w:sz w:val="20"/>
          <w:szCs w:val="20"/>
          <w:lang w:val="es-PE"/>
        </w:rPr>
        <w:t xml:space="preserve">que la presunta víctima actuó de buena fe, </w:t>
      </w:r>
      <w:r w:rsidR="00967F21" w:rsidRPr="00F12A3B">
        <w:rPr>
          <w:rFonts w:asciiTheme="majorHAnsi" w:hAnsiTheme="majorHAnsi" w:cs="Baskerville Old Face"/>
          <w:sz w:val="20"/>
          <w:szCs w:val="20"/>
          <w:lang w:val="es-PE"/>
        </w:rPr>
        <w:t>cumpliendo</w:t>
      </w:r>
      <w:r w:rsidR="00D72ED7" w:rsidRPr="00F12A3B">
        <w:rPr>
          <w:rFonts w:asciiTheme="majorHAnsi" w:hAnsiTheme="majorHAnsi" w:cs="Baskerville Old Face"/>
          <w:sz w:val="20"/>
          <w:szCs w:val="20"/>
          <w:lang w:val="es-PE"/>
        </w:rPr>
        <w:t xml:space="preserve"> con agotar</w:t>
      </w:r>
      <w:r w:rsidR="00796D04" w:rsidRPr="00F12A3B">
        <w:rPr>
          <w:rFonts w:asciiTheme="majorHAnsi" w:hAnsiTheme="majorHAnsi" w:cs="Baskerville Old Face"/>
          <w:sz w:val="20"/>
          <w:szCs w:val="20"/>
          <w:lang w:val="es-PE"/>
        </w:rPr>
        <w:t xml:space="preserve"> los recursos adecuados para hacer valer su</w:t>
      </w:r>
      <w:r w:rsidR="00B070C1" w:rsidRPr="00F12A3B">
        <w:rPr>
          <w:rFonts w:asciiTheme="majorHAnsi" w:hAnsiTheme="majorHAnsi" w:cs="Baskerville Old Face"/>
          <w:sz w:val="20"/>
          <w:szCs w:val="20"/>
          <w:lang w:val="es-PE"/>
        </w:rPr>
        <w:t>s</w:t>
      </w:r>
      <w:r w:rsidR="00796D04" w:rsidRPr="00F12A3B">
        <w:rPr>
          <w:rFonts w:asciiTheme="majorHAnsi" w:hAnsiTheme="majorHAnsi" w:cs="Baskerville Old Face"/>
          <w:sz w:val="20"/>
          <w:szCs w:val="20"/>
          <w:lang w:val="es-PE"/>
        </w:rPr>
        <w:t xml:space="preserve"> derecho</w:t>
      </w:r>
      <w:r w:rsidR="00B070C1" w:rsidRPr="00F12A3B">
        <w:rPr>
          <w:rFonts w:asciiTheme="majorHAnsi" w:hAnsiTheme="majorHAnsi" w:cs="Baskerville Old Face"/>
          <w:sz w:val="20"/>
          <w:szCs w:val="20"/>
          <w:lang w:val="es-PE"/>
        </w:rPr>
        <w:t>s</w:t>
      </w:r>
      <w:r w:rsidR="001A3A57" w:rsidRPr="00F12A3B">
        <w:rPr>
          <w:rFonts w:asciiTheme="majorHAnsi" w:hAnsiTheme="majorHAnsi" w:cs="Baskerville Old Face"/>
          <w:sz w:val="20"/>
          <w:szCs w:val="20"/>
          <w:lang w:val="es-PE"/>
        </w:rPr>
        <w:t>. Por ello, la petición cumple con los requisitos previstos en los artículos 46.1.a) y b)</w:t>
      </w:r>
      <w:r w:rsidR="00796D04" w:rsidRPr="00F12A3B">
        <w:rPr>
          <w:rFonts w:asciiTheme="majorHAnsi" w:hAnsiTheme="majorHAnsi" w:cs="Baskerville Old Face"/>
          <w:sz w:val="20"/>
          <w:szCs w:val="20"/>
          <w:lang w:val="es-PE"/>
        </w:rPr>
        <w:t xml:space="preserve"> de la Convención Americana.</w:t>
      </w:r>
    </w:p>
    <w:p w14:paraId="1B48FEAC" w14:textId="77777777" w:rsidR="00660510" w:rsidRPr="00F12A3B" w:rsidRDefault="00660510" w:rsidP="00660510">
      <w:pPr>
        <w:pStyle w:val="ListParagraph"/>
        <w:rPr>
          <w:rFonts w:asciiTheme="majorHAnsi" w:hAnsiTheme="majorHAnsi" w:cs="Baskerville Old Face"/>
          <w:sz w:val="20"/>
          <w:szCs w:val="20"/>
          <w:lang w:val="es-PE"/>
        </w:rPr>
      </w:pPr>
    </w:p>
    <w:p w14:paraId="3F2CE7F2" w14:textId="44113611" w:rsidR="00660510" w:rsidRPr="00F12A3B" w:rsidRDefault="00CE1008" w:rsidP="00660510">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heme="majorHAnsi" w:hAnsiTheme="majorHAnsi"/>
          <w:sz w:val="20"/>
          <w:szCs w:val="20"/>
          <w:lang w:val="es-PE"/>
        </w:rPr>
      </w:pPr>
      <w:r w:rsidRPr="00F12A3B">
        <w:rPr>
          <w:rFonts w:asciiTheme="majorHAnsi" w:hAnsiTheme="majorHAnsi" w:cs="Baskerville Old Face"/>
          <w:sz w:val="20"/>
          <w:szCs w:val="20"/>
          <w:lang w:val="es-PE"/>
        </w:rPr>
        <w:t>Con</w:t>
      </w:r>
      <w:r w:rsidR="0021231B" w:rsidRPr="00F12A3B">
        <w:rPr>
          <w:rFonts w:asciiTheme="majorHAnsi" w:hAnsiTheme="majorHAnsi" w:cs="Baskerville Old Face"/>
          <w:sz w:val="20"/>
          <w:szCs w:val="20"/>
          <w:lang w:val="es-PE"/>
        </w:rPr>
        <w:t xml:space="preserve"> relación </w:t>
      </w:r>
      <w:r w:rsidRPr="00F12A3B">
        <w:rPr>
          <w:rFonts w:asciiTheme="majorHAnsi" w:hAnsiTheme="majorHAnsi" w:cs="Baskerville Old Face"/>
          <w:sz w:val="20"/>
          <w:szCs w:val="20"/>
          <w:lang w:val="es-PE"/>
        </w:rPr>
        <w:t>a</w:t>
      </w:r>
      <w:r w:rsidR="0021231B" w:rsidRPr="00F12A3B">
        <w:rPr>
          <w:rFonts w:asciiTheme="majorHAnsi" w:hAnsiTheme="majorHAnsi" w:cs="Baskerville Old Face"/>
          <w:sz w:val="20"/>
          <w:szCs w:val="20"/>
          <w:lang w:val="es-PE"/>
        </w:rPr>
        <w:t xml:space="preserve"> las peticiones P-1217-19</w:t>
      </w:r>
      <w:r w:rsidR="005C7BBC" w:rsidRPr="00F12A3B">
        <w:rPr>
          <w:rFonts w:asciiTheme="majorHAnsi" w:hAnsiTheme="majorHAnsi" w:cs="Baskerville Old Face"/>
          <w:sz w:val="20"/>
          <w:szCs w:val="20"/>
          <w:lang w:val="es-PE"/>
        </w:rPr>
        <w:t xml:space="preserve"> y</w:t>
      </w:r>
      <w:r w:rsidR="0021231B" w:rsidRPr="00F12A3B">
        <w:rPr>
          <w:rFonts w:asciiTheme="majorHAnsi" w:hAnsiTheme="majorHAnsi" w:cs="Baskerville Old Face"/>
          <w:sz w:val="20"/>
          <w:szCs w:val="20"/>
          <w:lang w:val="es-PE"/>
        </w:rPr>
        <w:t xml:space="preserve"> P-1228-19</w:t>
      </w:r>
      <w:r w:rsidR="005C7BBC" w:rsidRPr="00F12A3B">
        <w:rPr>
          <w:rFonts w:asciiTheme="majorHAnsi" w:hAnsiTheme="majorHAnsi" w:cs="Baskerville Old Face"/>
          <w:sz w:val="20"/>
          <w:szCs w:val="20"/>
          <w:lang w:val="es-PE"/>
        </w:rPr>
        <w:t xml:space="preserve">, el Estado </w:t>
      </w:r>
      <w:r w:rsidR="00465ABB" w:rsidRPr="00F12A3B">
        <w:rPr>
          <w:rFonts w:asciiTheme="majorHAnsi" w:hAnsiTheme="majorHAnsi" w:cs="Baskerville Old Face"/>
          <w:sz w:val="20"/>
          <w:szCs w:val="20"/>
          <w:lang w:val="es-PE"/>
        </w:rPr>
        <w:t>argumenta</w:t>
      </w:r>
      <w:r w:rsidR="005C7BBC" w:rsidRPr="00F12A3B">
        <w:rPr>
          <w:rFonts w:asciiTheme="majorHAnsi" w:hAnsiTheme="majorHAnsi" w:cs="Baskerville Old Face"/>
          <w:sz w:val="20"/>
          <w:szCs w:val="20"/>
          <w:lang w:val="es-PE"/>
        </w:rPr>
        <w:t xml:space="preserve"> que </w:t>
      </w:r>
      <w:r w:rsidR="008E37AE" w:rsidRPr="00F12A3B">
        <w:rPr>
          <w:rFonts w:asciiTheme="majorHAnsi" w:hAnsiTheme="majorHAnsi" w:cs="Baskerville Old Face"/>
          <w:sz w:val="20"/>
          <w:szCs w:val="20"/>
          <w:lang w:val="es-PE"/>
        </w:rPr>
        <w:t>las presuntas víctimas no agotaron la jurisdicción interna respecto a</w:t>
      </w:r>
      <w:r w:rsidR="005C7BBC" w:rsidRPr="00F12A3B">
        <w:rPr>
          <w:rFonts w:asciiTheme="majorHAnsi" w:hAnsiTheme="majorHAnsi" w:cs="Baskerville Old Face"/>
          <w:sz w:val="20"/>
          <w:szCs w:val="20"/>
          <w:lang w:val="es-PE"/>
        </w:rPr>
        <w:t xml:space="preserve"> </w:t>
      </w:r>
      <w:r w:rsidR="008E37AE" w:rsidRPr="00F12A3B">
        <w:rPr>
          <w:rFonts w:asciiTheme="majorHAnsi" w:hAnsiTheme="majorHAnsi" w:cs="Baskerville Old Face"/>
          <w:sz w:val="20"/>
          <w:szCs w:val="20"/>
          <w:lang w:val="es-PE"/>
        </w:rPr>
        <w:t xml:space="preserve">los derechos relacionados a la </w:t>
      </w:r>
      <w:r w:rsidR="008E37AE" w:rsidRPr="00F12A3B">
        <w:rPr>
          <w:rFonts w:asciiTheme="majorHAnsi" w:hAnsiTheme="majorHAnsi"/>
          <w:sz w:val="20"/>
          <w:szCs w:val="20"/>
          <w:lang w:val="es-PE"/>
        </w:rPr>
        <w:t>Convención Interamericana sobre la Protección de los Derechos Humanos de las Personas Mayores</w:t>
      </w:r>
      <w:r w:rsidR="00284683" w:rsidRPr="00F12A3B">
        <w:rPr>
          <w:rFonts w:asciiTheme="majorHAnsi" w:hAnsiTheme="majorHAnsi" w:cs="Baskerville Old Face"/>
          <w:sz w:val="20"/>
          <w:szCs w:val="20"/>
          <w:lang w:val="es-PE"/>
        </w:rPr>
        <w:t>;</w:t>
      </w:r>
      <w:r w:rsidR="00465ABB" w:rsidRPr="00F12A3B">
        <w:rPr>
          <w:rFonts w:asciiTheme="majorHAnsi" w:hAnsiTheme="majorHAnsi" w:cs="Baskerville Old Face"/>
          <w:sz w:val="20"/>
          <w:szCs w:val="20"/>
          <w:lang w:val="es-PE"/>
        </w:rPr>
        <w:t xml:space="preserve"> pues</w:t>
      </w:r>
      <w:r w:rsidR="00284683" w:rsidRPr="00F12A3B">
        <w:rPr>
          <w:rFonts w:asciiTheme="majorHAnsi" w:hAnsiTheme="majorHAnsi" w:cs="Baskerville Old Face"/>
          <w:sz w:val="20"/>
          <w:szCs w:val="20"/>
          <w:lang w:val="es-PE"/>
        </w:rPr>
        <w:t>,</w:t>
      </w:r>
      <w:r w:rsidR="008E37AE" w:rsidRPr="00F12A3B">
        <w:rPr>
          <w:rFonts w:asciiTheme="majorHAnsi" w:hAnsiTheme="majorHAnsi" w:cs="Baskerville Old Face"/>
          <w:sz w:val="20"/>
          <w:szCs w:val="20"/>
          <w:lang w:val="es-PE"/>
        </w:rPr>
        <w:t xml:space="preserve"> </w:t>
      </w:r>
      <w:r w:rsidR="005C7BBC" w:rsidRPr="00F12A3B">
        <w:rPr>
          <w:rFonts w:asciiTheme="majorHAnsi" w:hAnsiTheme="majorHAnsi" w:cs="Baskerville Old Face"/>
          <w:sz w:val="20"/>
          <w:szCs w:val="20"/>
          <w:lang w:val="es-PE"/>
        </w:rPr>
        <w:t>a nivel interno, no</w:t>
      </w:r>
      <w:r w:rsidR="008E37AE" w:rsidRPr="00F12A3B">
        <w:rPr>
          <w:rFonts w:asciiTheme="majorHAnsi" w:hAnsiTheme="majorHAnsi" w:cs="Baskerville Old Face"/>
          <w:sz w:val="20"/>
          <w:szCs w:val="20"/>
          <w:lang w:val="es-PE"/>
        </w:rPr>
        <w:t xml:space="preserve"> </w:t>
      </w:r>
      <w:r w:rsidR="00465ABB" w:rsidRPr="00F12A3B">
        <w:rPr>
          <w:rFonts w:asciiTheme="majorHAnsi" w:hAnsiTheme="majorHAnsi" w:cs="Baskerville Old Face"/>
          <w:sz w:val="20"/>
          <w:szCs w:val="20"/>
          <w:lang w:val="es-PE"/>
        </w:rPr>
        <w:t xml:space="preserve">mencionaron haber sufrido discriminación </w:t>
      </w:r>
      <w:r w:rsidR="008E37AE" w:rsidRPr="00F12A3B">
        <w:rPr>
          <w:rFonts w:asciiTheme="majorHAnsi" w:hAnsiTheme="majorHAnsi" w:cs="Baskerville Old Face"/>
          <w:sz w:val="20"/>
          <w:szCs w:val="20"/>
          <w:lang w:val="es-PE"/>
        </w:rPr>
        <w:t>por ser personas adultas mayores</w:t>
      </w:r>
      <w:r w:rsidR="00465ABB" w:rsidRPr="00F12A3B">
        <w:rPr>
          <w:rFonts w:asciiTheme="majorHAnsi" w:hAnsiTheme="majorHAnsi" w:cs="Baskerville Old Face"/>
          <w:sz w:val="20"/>
          <w:szCs w:val="20"/>
          <w:lang w:val="es-PE"/>
        </w:rPr>
        <w:t>.</w:t>
      </w:r>
      <w:r w:rsidR="008E37AE" w:rsidRPr="00F12A3B">
        <w:rPr>
          <w:rFonts w:asciiTheme="majorHAnsi" w:hAnsiTheme="majorHAnsi" w:cs="Baskerville Old Face"/>
          <w:sz w:val="20"/>
          <w:szCs w:val="20"/>
          <w:lang w:val="es-PE"/>
        </w:rPr>
        <w:t xml:space="preserve"> </w:t>
      </w:r>
      <w:r w:rsidR="009432D5" w:rsidRPr="00F12A3B">
        <w:rPr>
          <w:rFonts w:asciiTheme="majorHAnsi" w:hAnsiTheme="majorHAnsi" w:cs="Baskerville Old Face"/>
          <w:sz w:val="20"/>
          <w:szCs w:val="20"/>
          <w:lang w:val="es-PE"/>
        </w:rPr>
        <w:t>No obstante, siguiendo la lógica empleada en</w:t>
      </w:r>
      <w:r w:rsidR="00465ABB" w:rsidRPr="00F12A3B">
        <w:rPr>
          <w:rFonts w:asciiTheme="majorHAnsi" w:hAnsiTheme="majorHAnsi" w:cs="Baskerville Old Face"/>
          <w:sz w:val="20"/>
          <w:szCs w:val="20"/>
          <w:lang w:val="es-PE"/>
        </w:rPr>
        <w:t xml:space="preserve"> la petición previamente analizada, </w:t>
      </w:r>
      <w:r w:rsidR="005C7BBC" w:rsidRPr="00F12A3B">
        <w:rPr>
          <w:rFonts w:asciiTheme="majorHAnsi" w:hAnsiTheme="majorHAnsi" w:cs="Baskerville Old Face"/>
          <w:sz w:val="20"/>
          <w:szCs w:val="20"/>
          <w:lang w:val="es-PE"/>
        </w:rPr>
        <w:t xml:space="preserve">la Comisión </w:t>
      </w:r>
      <w:r w:rsidR="00465ABB" w:rsidRPr="00F12A3B">
        <w:rPr>
          <w:rFonts w:asciiTheme="majorHAnsi" w:hAnsiTheme="majorHAnsi" w:cs="Baskerville Old Face"/>
          <w:sz w:val="20"/>
          <w:szCs w:val="20"/>
          <w:lang w:val="es-PE"/>
        </w:rPr>
        <w:t>nota que en este caso</w:t>
      </w:r>
      <w:r w:rsidR="005C7BBC" w:rsidRPr="00F12A3B">
        <w:rPr>
          <w:rFonts w:asciiTheme="majorHAnsi" w:hAnsiTheme="majorHAnsi" w:cs="Baskerville Old Face"/>
          <w:sz w:val="20"/>
          <w:szCs w:val="20"/>
          <w:lang w:val="es-PE"/>
        </w:rPr>
        <w:t xml:space="preserve"> </w:t>
      </w:r>
      <w:r w:rsidR="008E37AE" w:rsidRPr="00F12A3B">
        <w:rPr>
          <w:rFonts w:asciiTheme="majorHAnsi" w:hAnsiTheme="majorHAnsi" w:cs="Baskerville Old Face"/>
          <w:sz w:val="20"/>
          <w:szCs w:val="20"/>
          <w:lang w:val="es-PE"/>
        </w:rPr>
        <w:t>las autoridades</w:t>
      </w:r>
      <w:r w:rsidR="005C7BBC" w:rsidRPr="00F12A3B">
        <w:rPr>
          <w:rFonts w:asciiTheme="majorHAnsi" w:hAnsiTheme="majorHAnsi" w:cs="Baskerville Old Face"/>
          <w:sz w:val="20"/>
          <w:szCs w:val="20"/>
          <w:lang w:val="es-PE"/>
        </w:rPr>
        <w:t xml:space="preserve"> </w:t>
      </w:r>
      <w:r w:rsidR="00465ABB" w:rsidRPr="00F12A3B">
        <w:rPr>
          <w:rFonts w:asciiTheme="majorHAnsi" w:hAnsiTheme="majorHAnsi" w:cs="Baskerville Old Face"/>
          <w:sz w:val="20"/>
          <w:szCs w:val="20"/>
          <w:lang w:val="es-PE"/>
        </w:rPr>
        <w:t>también conocían</w:t>
      </w:r>
      <w:r w:rsidR="005C7BBC" w:rsidRPr="00F12A3B">
        <w:rPr>
          <w:rFonts w:asciiTheme="majorHAnsi" w:hAnsiTheme="majorHAnsi" w:cs="Baskerville Old Face"/>
          <w:sz w:val="20"/>
          <w:szCs w:val="20"/>
          <w:lang w:val="es-PE"/>
        </w:rPr>
        <w:t xml:space="preserve"> la edad de las presuntas víctimas</w:t>
      </w:r>
      <w:r w:rsidR="00465ABB" w:rsidRPr="00F12A3B">
        <w:rPr>
          <w:rFonts w:asciiTheme="majorHAnsi" w:hAnsiTheme="majorHAnsi" w:cs="Baskerville Old Face"/>
          <w:sz w:val="20"/>
          <w:szCs w:val="20"/>
          <w:lang w:val="es-PE"/>
        </w:rPr>
        <w:t xml:space="preserve"> y</w:t>
      </w:r>
      <w:r w:rsidR="002D36C1" w:rsidRPr="00F12A3B">
        <w:rPr>
          <w:rFonts w:asciiTheme="majorHAnsi" w:hAnsiTheme="majorHAnsi" w:cs="Baskerville Old Face"/>
          <w:sz w:val="20"/>
          <w:szCs w:val="20"/>
          <w:lang w:val="es-PE"/>
        </w:rPr>
        <w:t>,</w:t>
      </w:r>
      <w:r w:rsidR="00465ABB" w:rsidRPr="00F12A3B">
        <w:rPr>
          <w:rFonts w:asciiTheme="majorHAnsi" w:hAnsiTheme="majorHAnsi" w:cs="Baskerville Old Face"/>
          <w:sz w:val="20"/>
          <w:szCs w:val="20"/>
          <w:lang w:val="es-PE"/>
        </w:rPr>
        <w:t xml:space="preserve"> a pesar de que tuvieron la oportunidad de analizar tal aspecto en el marco del proceso de amparo</w:t>
      </w:r>
      <w:r w:rsidR="002D36C1" w:rsidRPr="00F12A3B">
        <w:rPr>
          <w:rFonts w:asciiTheme="majorHAnsi" w:hAnsiTheme="majorHAnsi" w:cs="Baskerville Old Face"/>
          <w:sz w:val="20"/>
          <w:szCs w:val="20"/>
          <w:lang w:val="es-PE"/>
        </w:rPr>
        <w:t>,</w:t>
      </w:r>
      <w:r w:rsidR="00465ABB" w:rsidRPr="00F12A3B">
        <w:rPr>
          <w:rFonts w:asciiTheme="majorHAnsi" w:hAnsiTheme="majorHAnsi" w:cs="Baskerville Old Face"/>
          <w:sz w:val="20"/>
          <w:szCs w:val="20"/>
          <w:lang w:val="es-PE"/>
        </w:rPr>
        <w:t xml:space="preserve"> no lo hicieron</w:t>
      </w:r>
      <w:r w:rsidR="005C7BBC" w:rsidRPr="00F12A3B">
        <w:rPr>
          <w:rFonts w:asciiTheme="majorHAnsi" w:hAnsiTheme="majorHAnsi" w:cs="Baskerville Old Face"/>
          <w:sz w:val="20"/>
          <w:szCs w:val="20"/>
          <w:lang w:val="es-PE"/>
        </w:rPr>
        <w:t xml:space="preserve">. </w:t>
      </w:r>
      <w:r w:rsidR="00061E0A" w:rsidRPr="00F12A3B">
        <w:rPr>
          <w:rFonts w:asciiTheme="majorHAnsi" w:hAnsiTheme="majorHAnsi" w:cs="Baskerville Old Face"/>
          <w:sz w:val="20"/>
          <w:szCs w:val="20"/>
          <w:lang w:val="es-PE"/>
        </w:rPr>
        <w:t>De este modo, este asunto también cumple los requisitos previstos en los artículos 46.1.a) y b) de la Convención.</w:t>
      </w:r>
    </w:p>
    <w:p w14:paraId="38CB10EC" w14:textId="77777777" w:rsidR="00660510" w:rsidRPr="00F12A3B" w:rsidRDefault="00660510" w:rsidP="00660510">
      <w:pPr>
        <w:pStyle w:val="ListParagraph"/>
        <w:rPr>
          <w:rFonts w:asciiTheme="majorHAnsi" w:hAnsiTheme="majorHAnsi" w:cs="Baskerville Old Face"/>
          <w:sz w:val="20"/>
          <w:szCs w:val="20"/>
          <w:lang w:val="es-PE"/>
        </w:rPr>
      </w:pPr>
    </w:p>
    <w:p w14:paraId="5AAEB6EA" w14:textId="61A477E1" w:rsidR="00660510" w:rsidRPr="00F12A3B" w:rsidRDefault="00796D04" w:rsidP="00660510">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heme="majorHAnsi" w:hAnsiTheme="majorHAnsi"/>
          <w:sz w:val="20"/>
          <w:szCs w:val="20"/>
          <w:lang w:val="es-PE"/>
        </w:rPr>
      </w:pPr>
      <w:r w:rsidRPr="00F12A3B">
        <w:rPr>
          <w:rFonts w:asciiTheme="majorHAnsi" w:hAnsiTheme="majorHAnsi" w:cs="Baskerville Old Face"/>
          <w:sz w:val="20"/>
          <w:szCs w:val="20"/>
          <w:lang w:val="es-PE"/>
        </w:rPr>
        <w:t xml:space="preserve"> </w:t>
      </w:r>
      <w:r w:rsidR="005B0E10" w:rsidRPr="00F12A3B">
        <w:rPr>
          <w:rFonts w:asciiTheme="majorHAnsi" w:hAnsiTheme="majorHAnsi" w:cs="Baskerville Old Face"/>
          <w:sz w:val="20"/>
          <w:szCs w:val="20"/>
          <w:lang w:val="es-PE"/>
        </w:rPr>
        <w:t>Con r</w:t>
      </w:r>
      <w:r w:rsidR="0013231E" w:rsidRPr="00F12A3B">
        <w:rPr>
          <w:rFonts w:asciiTheme="majorHAnsi" w:hAnsiTheme="majorHAnsi" w:cs="Baskerville Old Face"/>
          <w:sz w:val="20"/>
          <w:szCs w:val="20"/>
          <w:lang w:val="es-PE"/>
        </w:rPr>
        <w:t>especto a</w:t>
      </w:r>
      <w:r w:rsidR="00DD359D" w:rsidRPr="00F12A3B">
        <w:rPr>
          <w:rFonts w:asciiTheme="majorHAnsi" w:hAnsiTheme="majorHAnsi" w:cs="Baskerville Old Face"/>
          <w:sz w:val="20"/>
          <w:szCs w:val="20"/>
          <w:lang w:val="es-PE"/>
        </w:rPr>
        <w:t xml:space="preserve"> la petición</w:t>
      </w:r>
      <w:r w:rsidR="009414CF" w:rsidRPr="00F12A3B">
        <w:rPr>
          <w:rFonts w:asciiTheme="majorHAnsi" w:hAnsiTheme="majorHAnsi" w:cs="Baskerville Old Face"/>
          <w:sz w:val="20"/>
          <w:szCs w:val="20"/>
          <w:lang w:val="es-PE"/>
        </w:rPr>
        <w:t xml:space="preserve"> P-2625-19</w:t>
      </w:r>
      <w:r w:rsidR="002D36C1" w:rsidRPr="00F12A3B">
        <w:rPr>
          <w:rFonts w:asciiTheme="majorHAnsi" w:hAnsiTheme="majorHAnsi" w:cs="Baskerville Old Face"/>
          <w:sz w:val="20"/>
          <w:szCs w:val="20"/>
          <w:lang w:val="es-PE"/>
        </w:rPr>
        <w:t>,</w:t>
      </w:r>
      <w:r w:rsidR="009414CF" w:rsidRPr="00F12A3B">
        <w:rPr>
          <w:rFonts w:asciiTheme="majorHAnsi" w:hAnsiTheme="majorHAnsi" w:cs="Baskerville Old Face"/>
          <w:sz w:val="20"/>
          <w:szCs w:val="20"/>
          <w:lang w:val="es-PE"/>
        </w:rPr>
        <w:t xml:space="preserve"> </w:t>
      </w:r>
      <w:r w:rsidR="005B0E10" w:rsidRPr="00F12A3B">
        <w:rPr>
          <w:rFonts w:asciiTheme="majorHAnsi" w:hAnsiTheme="majorHAnsi" w:cs="Baskerville Old Face"/>
          <w:sz w:val="20"/>
          <w:szCs w:val="20"/>
          <w:lang w:val="es-PE"/>
        </w:rPr>
        <w:t>Bolivia</w:t>
      </w:r>
      <w:r w:rsidR="0013231E" w:rsidRPr="00F12A3B">
        <w:rPr>
          <w:rFonts w:asciiTheme="majorHAnsi" w:hAnsiTheme="majorHAnsi" w:cs="Baskerville Old Face"/>
          <w:sz w:val="20"/>
          <w:szCs w:val="20"/>
          <w:lang w:val="es-PE"/>
        </w:rPr>
        <w:t xml:space="preserve"> plantea </w:t>
      </w:r>
      <w:r w:rsidR="00792F9B" w:rsidRPr="00F12A3B">
        <w:rPr>
          <w:rFonts w:asciiTheme="majorHAnsi" w:hAnsiTheme="majorHAnsi" w:cs="Baskerville Old Face"/>
          <w:sz w:val="20"/>
          <w:szCs w:val="20"/>
          <w:lang w:val="es-PE"/>
        </w:rPr>
        <w:t>una</w:t>
      </w:r>
      <w:r w:rsidR="0013231E" w:rsidRPr="00F12A3B">
        <w:rPr>
          <w:rFonts w:asciiTheme="majorHAnsi" w:hAnsiTheme="majorHAnsi" w:cs="Baskerville Old Face"/>
          <w:sz w:val="20"/>
          <w:szCs w:val="20"/>
          <w:lang w:val="es-PE"/>
        </w:rPr>
        <w:t xml:space="preserve"> excepción de extemporaneidad, indicando que </w:t>
      </w:r>
      <w:r w:rsidR="00465ABB" w:rsidRPr="00F12A3B">
        <w:rPr>
          <w:rFonts w:asciiTheme="majorHAnsi" w:hAnsiTheme="majorHAnsi" w:cs="Baskerville Old Face"/>
          <w:sz w:val="20"/>
          <w:szCs w:val="20"/>
          <w:lang w:val="es-PE"/>
        </w:rPr>
        <w:t>la</w:t>
      </w:r>
      <w:r w:rsidR="00125EC9" w:rsidRPr="00F12A3B">
        <w:rPr>
          <w:rFonts w:asciiTheme="majorHAnsi" w:hAnsiTheme="majorHAnsi" w:cs="Baskerville Old Face"/>
          <w:sz w:val="20"/>
          <w:szCs w:val="20"/>
          <w:lang w:val="es-PE"/>
        </w:rPr>
        <w:t xml:space="preserve"> señora </w:t>
      </w:r>
      <w:r w:rsidR="00C6420B" w:rsidRPr="00F12A3B">
        <w:rPr>
          <w:rFonts w:asciiTheme="majorHAnsi" w:hAnsiTheme="majorHAnsi"/>
          <w:sz w:val="20"/>
          <w:szCs w:val="20"/>
          <w:lang w:val="es-PE"/>
        </w:rPr>
        <w:t>Morón</w:t>
      </w:r>
      <w:r w:rsidR="00125EC9" w:rsidRPr="00F12A3B">
        <w:rPr>
          <w:rFonts w:asciiTheme="majorHAnsi" w:hAnsiTheme="majorHAnsi"/>
          <w:sz w:val="20"/>
          <w:szCs w:val="20"/>
          <w:lang w:val="es-PE"/>
        </w:rPr>
        <w:t xml:space="preserve"> </w:t>
      </w:r>
      <w:r w:rsidR="00D72912" w:rsidRPr="00F12A3B">
        <w:rPr>
          <w:rFonts w:asciiTheme="majorHAnsi" w:hAnsiTheme="majorHAnsi"/>
          <w:sz w:val="20"/>
          <w:szCs w:val="20"/>
          <w:lang w:val="es-PE"/>
        </w:rPr>
        <w:t xml:space="preserve">Sanjinéz </w:t>
      </w:r>
      <w:r w:rsidR="00125EC9" w:rsidRPr="00F12A3B">
        <w:rPr>
          <w:rFonts w:asciiTheme="majorHAnsi" w:hAnsiTheme="majorHAnsi"/>
          <w:sz w:val="20"/>
          <w:szCs w:val="20"/>
          <w:lang w:val="es-PE"/>
        </w:rPr>
        <w:t xml:space="preserve">agotó los </w:t>
      </w:r>
      <w:r w:rsidR="0013231E" w:rsidRPr="00F12A3B">
        <w:rPr>
          <w:rFonts w:asciiTheme="majorHAnsi" w:hAnsiTheme="majorHAnsi" w:cs="Baskerville Old Face"/>
          <w:sz w:val="20"/>
          <w:szCs w:val="20"/>
          <w:lang w:val="es-PE"/>
        </w:rPr>
        <w:t>recursos internos con la sentencia SCP N°0722/2018-S3</w:t>
      </w:r>
      <w:r w:rsidR="00E4225E" w:rsidRPr="00F12A3B">
        <w:rPr>
          <w:rFonts w:asciiTheme="majorHAnsi" w:hAnsiTheme="majorHAnsi" w:cs="Baskerville Old Face"/>
          <w:sz w:val="20"/>
          <w:szCs w:val="20"/>
          <w:lang w:val="es-PE"/>
        </w:rPr>
        <w:t>,</w:t>
      </w:r>
      <w:r w:rsidR="00125EC9" w:rsidRPr="00F12A3B">
        <w:rPr>
          <w:rFonts w:asciiTheme="majorHAnsi" w:hAnsiTheme="majorHAnsi" w:cs="Baskerville Old Face"/>
          <w:sz w:val="20"/>
          <w:szCs w:val="20"/>
          <w:lang w:val="es-PE"/>
        </w:rPr>
        <w:t xml:space="preserve"> </w:t>
      </w:r>
      <w:r w:rsidR="00E4225E" w:rsidRPr="00F12A3B">
        <w:rPr>
          <w:rFonts w:asciiTheme="majorHAnsi" w:hAnsiTheme="majorHAnsi" w:cs="Baskerville Old Face"/>
          <w:sz w:val="20"/>
          <w:szCs w:val="20"/>
          <w:lang w:val="es-PE"/>
        </w:rPr>
        <w:t>y</w:t>
      </w:r>
      <w:r w:rsidR="00125EC9" w:rsidRPr="00F12A3B">
        <w:rPr>
          <w:rFonts w:asciiTheme="majorHAnsi" w:hAnsiTheme="majorHAnsi" w:cs="Baskerville Old Face"/>
          <w:sz w:val="20"/>
          <w:szCs w:val="20"/>
          <w:lang w:val="es-PE"/>
        </w:rPr>
        <w:t xml:space="preserve"> presentó su </w:t>
      </w:r>
      <w:r w:rsidR="0013231E" w:rsidRPr="00F12A3B">
        <w:rPr>
          <w:rFonts w:asciiTheme="majorHAnsi" w:hAnsiTheme="majorHAnsi" w:cs="Baskerville Old Face"/>
          <w:sz w:val="20"/>
          <w:szCs w:val="20"/>
          <w:lang w:val="es-PE"/>
        </w:rPr>
        <w:t>petición días después de la conclusión del plazo</w:t>
      </w:r>
      <w:r w:rsidR="00D546DA" w:rsidRPr="00F12A3B">
        <w:rPr>
          <w:rFonts w:asciiTheme="majorHAnsi" w:hAnsiTheme="majorHAnsi" w:cs="Baskerville Old Face"/>
          <w:sz w:val="20"/>
          <w:szCs w:val="20"/>
          <w:lang w:val="es-PE"/>
        </w:rPr>
        <w:t xml:space="preserve"> de seis meses</w:t>
      </w:r>
      <w:r w:rsidR="0013231E" w:rsidRPr="00F12A3B">
        <w:rPr>
          <w:rFonts w:asciiTheme="majorHAnsi" w:hAnsiTheme="majorHAnsi" w:cs="Baskerville Old Face"/>
          <w:sz w:val="20"/>
          <w:szCs w:val="20"/>
          <w:lang w:val="es-PE"/>
        </w:rPr>
        <w:t xml:space="preserve"> establecido por el </w:t>
      </w:r>
      <w:r w:rsidR="0013231E" w:rsidRPr="00F12A3B">
        <w:rPr>
          <w:rFonts w:asciiTheme="majorHAnsi" w:hAnsiTheme="majorHAnsi"/>
          <w:sz w:val="20"/>
          <w:szCs w:val="20"/>
          <w:lang w:val="es-ES"/>
        </w:rPr>
        <w:t>artículo 46.1.b) de la Convención</w:t>
      </w:r>
      <w:r w:rsidR="00125EC9" w:rsidRPr="00F12A3B">
        <w:rPr>
          <w:rFonts w:asciiTheme="majorHAnsi" w:hAnsiTheme="majorHAnsi"/>
          <w:sz w:val="20"/>
          <w:szCs w:val="20"/>
          <w:lang w:val="es-ES"/>
        </w:rPr>
        <w:t>, contado a partir de la notificación de dicha resolución</w:t>
      </w:r>
      <w:r w:rsidR="0013231E" w:rsidRPr="00F12A3B">
        <w:rPr>
          <w:rFonts w:asciiTheme="majorHAnsi" w:hAnsiTheme="majorHAnsi"/>
          <w:sz w:val="20"/>
          <w:szCs w:val="20"/>
          <w:lang w:val="es-ES"/>
        </w:rPr>
        <w:t>.</w:t>
      </w:r>
      <w:r w:rsidR="00967F21" w:rsidRPr="00F12A3B">
        <w:rPr>
          <w:rFonts w:asciiTheme="majorHAnsi" w:hAnsiTheme="majorHAnsi"/>
          <w:sz w:val="20"/>
          <w:szCs w:val="20"/>
          <w:lang w:val="es-ES"/>
        </w:rPr>
        <w:t xml:space="preserve"> </w:t>
      </w:r>
      <w:r w:rsidR="009C10D5" w:rsidRPr="00F12A3B">
        <w:rPr>
          <w:rFonts w:asciiTheme="majorHAnsi" w:hAnsiTheme="majorHAnsi"/>
          <w:sz w:val="20"/>
          <w:szCs w:val="20"/>
          <w:lang w:val="es-ES"/>
        </w:rPr>
        <w:t>Sobre este punto</w:t>
      </w:r>
      <w:r w:rsidR="00C974DC" w:rsidRPr="00F12A3B">
        <w:rPr>
          <w:rFonts w:asciiTheme="majorHAnsi" w:hAnsiTheme="majorHAnsi"/>
          <w:sz w:val="20"/>
          <w:szCs w:val="20"/>
          <w:lang w:val="es-ES"/>
        </w:rPr>
        <w:t>,</w:t>
      </w:r>
      <w:r w:rsidR="00967F21" w:rsidRPr="00F12A3B">
        <w:rPr>
          <w:rFonts w:asciiTheme="majorHAnsi" w:hAnsiTheme="majorHAnsi"/>
          <w:sz w:val="20"/>
          <w:szCs w:val="20"/>
          <w:lang w:val="es-ES"/>
        </w:rPr>
        <w:t xml:space="preserve"> </w:t>
      </w:r>
      <w:r w:rsidR="00C974DC" w:rsidRPr="00F12A3B">
        <w:rPr>
          <w:rFonts w:asciiTheme="majorHAnsi" w:hAnsiTheme="majorHAnsi"/>
          <w:sz w:val="20"/>
          <w:szCs w:val="20"/>
          <w:lang w:val="es-ES"/>
        </w:rPr>
        <w:t>el</w:t>
      </w:r>
      <w:r w:rsidR="00967F21" w:rsidRPr="00F12A3B">
        <w:rPr>
          <w:rFonts w:asciiTheme="majorHAnsi" w:hAnsiTheme="majorHAnsi"/>
          <w:sz w:val="20"/>
          <w:szCs w:val="20"/>
          <w:lang w:val="es-ES"/>
        </w:rPr>
        <w:t xml:space="preserve"> </w:t>
      </w:r>
      <w:r w:rsidR="00C974DC" w:rsidRPr="00F12A3B">
        <w:rPr>
          <w:rFonts w:asciiTheme="majorHAnsi" w:hAnsiTheme="majorHAnsi"/>
          <w:sz w:val="20"/>
          <w:szCs w:val="20"/>
          <w:lang w:val="es-ES"/>
        </w:rPr>
        <w:t>peticionario</w:t>
      </w:r>
      <w:r w:rsidR="00967F21" w:rsidRPr="00F12A3B">
        <w:rPr>
          <w:rFonts w:asciiTheme="majorHAnsi" w:hAnsiTheme="majorHAnsi"/>
          <w:sz w:val="20"/>
          <w:szCs w:val="20"/>
          <w:lang w:val="es-ES"/>
        </w:rPr>
        <w:t xml:space="preserve"> </w:t>
      </w:r>
      <w:r w:rsidR="009C10D5" w:rsidRPr="00F12A3B">
        <w:rPr>
          <w:rFonts w:asciiTheme="majorHAnsi" w:hAnsiTheme="majorHAnsi"/>
          <w:sz w:val="20"/>
          <w:szCs w:val="20"/>
          <w:lang w:val="es-ES"/>
        </w:rPr>
        <w:t xml:space="preserve">replica </w:t>
      </w:r>
      <w:r w:rsidR="00967F21" w:rsidRPr="00F12A3B">
        <w:rPr>
          <w:rFonts w:asciiTheme="majorHAnsi" w:hAnsiTheme="majorHAnsi"/>
          <w:sz w:val="20"/>
          <w:szCs w:val="20"/>
          <w:lang w:val="es-ES"/>
        </w:rPr>
        <w:t xml:space="preserve">que los recursos internos se agotaron con la respuesta a su solicitud de </w:t>
      </w:r>
      <w:r w:rsidR="00967F21" w:rsidRPr="00F12A3B">
        <w:rPr>
          <w:rFonts w:asciiTheme="majorHAnsi" w:hAnsiTheme="majorHAnsi"/>
          <w:sz w:val="20"/>
          <w:szCs w:val="20"/>
          <w:lang w:val="es-PE"/>
        </w:rPr>
        <w:t>aclaración, enmienda y complementación</w:t>
      </w:r>
      <w:r w:rsidR="00792F9B" w:rsidRPr="00F12A3B">
        <w:rPr>
          <w:rFonts w:asciiTheme="majorHAnsi" w:hAnsiTheme="majorHAnsi"/>
          <w:sz w:val="20"/>
          <w:szCs w:val="20"/>
          <w:lang w:val="es-PE"/>
        </w:rPr>
        <w:t xml:space="preserve"> interpuesta ante el Tribunal Plurinacional Constitucional de Bolivia</w:t>
      </w:r>
      <w:r w:rsidR="00967F21" w:rsidRPr="00F12A3B">
        <w:rPr>
          <w:rFonts w:asciiTheme="majorHAnsi" w:hAnsiTheme="majorHAnsi"/>
          <w:sz w:val="20"/>
          <w:szCs w:val="20"/>
          <w:lang w:val="es-PE"/>
        </w:rPr>
        <w:t>,</w:t>
      </w:r>
      <w:r w:rsidR="00792F9B" w:rsidRPr="00F12A3B">
        <w:rPr>
          <w:rFonts w:asciiTheme="majorHAnsi" w:hAnsiTheme="majorHAnsi"/>
          <w:sz w:val="20"/>
          <w:szCs w:val="20"/>
          <w:lang w:val="es-PE"/>
        </w:rPr>
        <w:t xml:space="preserve"> </w:t>
      </w:r>
      <w:r w:rsidR="00125EC9" w:rsidRPr="00F12A3B">
        <w:rPr>
          <w:rFonts w:asciiTheme="majorHAnsi" w:hAnsiTheme="majorHAnsi"/>
          <w:sz w:val="20"/>
          <w:szCs w:val="20"/>
          <w:lang w:val="es-PE"/>
        </w:rPr>
        <w:t>la cual</w:t>
      </w:r>
      <w:r w:rsidR="00792F9B" w:rsidRPr="00F12A3B">
        <w:rPr>
          <w:rFonts w:asciiTheme="majorHAnsi" w:hAnsiTheme="majorHAnsi"/>
          <w:sz w:val="20"/>
          <w:szCs w:val="20"/>
          <w:lang w:val="es-PE"/>
        </w:rPr>
        <w:t xml:space="preserve"> fue</w:t>
      </w:r>
      <w:r w:rsidR="00967F21" w:rsidRPr="00F12A3B">
        <w:rPr>
          <w:rFonts w:asciiTheme="majorHAnsi" w:hAnsiTheme="majorHAnsi"/>
          <w:sz w:val="20"/>
          <w:szCs w:val="20"/>
          <w:lang w:val="es-PE"/>
        </w:rPr>
        <w:t xml:space="preserve"> notificada el 16 de agosto de 2019.</w:t>
      </w:r>
      <w:r w:rsidR="00C974DC" w:rsidRPr="00F12A3B">
        <w:rPr>
          <w:rFonts w:asciiTheme="majorHAnsi" w:hAnsiTheme="majorHAnsi"/>
          <w:sz w:val="20"/>
          <w:szCs w:val="20"/>
          <w:lang w:val="es-PE"/>
        </w:rPr>
        <w:t xml:space="preserve"> </w:t>
      </w:r>
    </w:p>
    <w:p w14:paraId="7BAC26BD" w14:textId="77777777" w:rsidR="00660510" w:rsidRPr="00F12A3B" w:rsidRDefault="00660510" w:rsidP="00660510">
      <w:pPr>
        <w:pStyle w:val="ListParagraph"/>
        <w:rPr>
          <w:rFonts w:asciiTheme="majorHAnsi" w:hAnsiTheme="majorHAnsi"/>
          <w:sz w:val="20"/>
          <w:szCs w:val="20"/>
          <w:lang w:val="es-ES"/>
        </w:rPr>
      </w:pPr>
    </w:p>
    <w:p w14:paraId="608E865B" w14:textId="1C7279F8" w:rsidR="00660510" w:rsidRPr="00F12A3B" w:rsidRDefault="00967F21" w:rsidP="00660510">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heme="majorHAnsi" w:hAnsiTheme="majorHAnsi"/>
          <w:sz w:val="20"/>
          <w:szCs w:val="20"/>
          <w:lang w:val="es-PE"/>
        </w:rPr>
      </w:pPr>
      <w:r w:rsidRPr="00F12A3B">
        <w:rPr>
          <w:rFonts w:asciiTheme="majorHAnsi" w:hAnsiTheme="majorHAnsi"/>
          <w:sz w:val="20"/>
          <w:szCs w:val="20"/>
          <w:lang w:val="es-ES"/>
        </w:rPr>
        <w:t xml:space="preserve"> </w:t>
      </w:r>
      <w:r w:rsidR="00A31FDC" w:rsidRPr="00F12A3B">
        <w:rPr>
          <w:rFonts w:asciiTheme="majorHAnsi" w:hAnsiTheme="majorHAnsi"/>
          <w:sz w:val="20"/>
          <w:szCs w:val="20"/>
          <w:lang w:val="es-ES"/>
        </w:rPr>
        <w:t xml:space="preserve">Al respecto, la Comisión </w:t>
      </w:r>
      <w:r w:rsidR="006E0976" w:rsidRPr="00F12A3B">
        <w:rPr>
          <w:rFonts w:asciiTheme="majorHAnsi" w:hAnsiTheme="majorHAnsi"/>
          <w:sz w:val="20"/>
          <w:szCs w:val="20"/>
          <w:lang w:val="es-ES"/>
        </w:rPr>
        <w:t xml:space="preserve">recuerda que </w:t>
      </w:r>
      <w:r w:rsidR="009C10D5" w:rsidRPr="00F12A3B">
        <w:rPr>
          <w:rFonts w:asciiTheme="majorHAnsi" w:hAnsiTheme="majorHAnsi"/>
          <w:sz w:val="20"/>
          <w:szCs w:val="20"/>
          <w:lang w:val="es-ES"/>
        </w:rPr>
        <w:t>si bien la parte peticionaria solo se encuentra en la obligación de utilizar los recursos ordinarios del ordenamiento interno</w:t>
      </w:r>
      <w:r w:rsidR="00660510" w:rsidRPr="00F12A3B">
        <w:rPr>
          <w:rStyle w:val="FootnoteReference"/>
          <w:rFonts w:asciiTheme="majorHAnsi" w:hAnsiTheme="majorHAnsi"/>
          <w:sz w:val="20"/>
          <w:szCs w:val="20"/>
          <w:lang w:val="es-ES"/>
        </w:rPr>
        <w:footnoteReference w:id="14"/>
      </w:r>
      <w:r w:rsidR="009C10D5" w:rsidRPr="00F12A3B">
        <w:rPr>
          <w:rFonts w:asciiTheme="majorHAnsi" w:hAnsiTheme="majorHAnsi"/>
          <w:sz w:val="20"/>
          <w:szCs w:val="20"/>
          <w:lang w:val="es-ES"/>
        </w:rPr>
        <w:t xml:space="preserve">, si esta además emplea de buena fe vías extraordinarias que sean adecuadas para atender su reclamo, entonces </w:t>
      </w:r>
      <w:r w:rsidR="00660510" w:rsidRPr="00F12A3B">
        <w:rPr>
          <w:rFonts w:asciiTheme="majorHAnsi" w:hAnsiTheme="majorHAnsi"/>
          <w:sz w:val="20"/>
          <w:szCs w:val="20"/>
          <w:lang w:val="es-ES"/>
        </w:rPr>
        <w:t xml:space="preserve">la Comisión puede considerarlas a </w:t>
      </w:r>
      <w:r w:rsidR="00660510" w:rsidRPr="00F12A3B">
        <w:rPr>
          <w:rFonts w:asciiTheme="majorHAnsi" w:hAnsiTheme="majorHAnsi"/>
          <w:sz w:val="20"/>
          <w:szCs w:val="20"/>
          <w:lang w:val="es-ES"/>
        </w:rPr>
        <w:lastRenderedPageBreak/>
        <w:t>efectos de verificar el cumplimiento de los requisitos previstos en los artículos 46.1.a) y b) de la Convención</w:t>
      </w:r>
      <w:r w:rsidR="00660510" w:rsidRPr="00F12A3B">
        <w:rPr>
          <w:rStyle w:val="FootnoteReference"/>
          <w:rFonts w:asciiTheme="majorHAnsi" w:hAnsiTheme="majorHAnsi"/>
          <w:sz w:val="20"/>
          <w:szCs w:val="20"/>
          <w:lang w:val="es-PE"/>
        </w:rPr>
        <w:footnoteReference w:id="15"/>
      </w:r>
      <w:r w:rsidR="00660510" w:rsidRPr="00F12A3B">
        <w:rPr>
          <w:rFonts w:asciiTheme="majorHAnsi" w:hAnsiTheme="majorHAnsi"/>
          <w:sz w:val="20"/>
          <w:szCs w:val="20"/>
          <w:lang w:val="es-ES"/>
        </w:rPr>
        <w:t>. En el presente asunto, la Comisión observa</w:t>
      </w:r>
      <w:r w:rsidR="00660510" w:rsidRPr="00F12A3B">
        <w:rPr>
          <w:rFonts w:asciiTheme="majorHAnsi" w:hAnsiTheme="majorHAnsi" w:cs="Baskerville Old Face"/>
          <w:sz w:val="20"/>
          <w:szCs w:val="20"/>
          <w:lang w:val="es-ES"/>
        </w:rPr>
        <w:t xml:space="preserve"> </w:t>
      </w:r>
      <w:r w:rsidR="00B02BF8" w:rsidRPr="00F12A3B">
        <w:rPr>
          <w:rFonts w:asciiTheme="majorHAnsi" w:hAnsiTheme="majorHAnsi" w:cs="Baskerville Old Face"/>
          <w:sz w:val="20"/>
          <w:szCs w:val="20"/>
          <w:lang w:val="es-PE"/>
        </w:rPr>
        <w:t xml:space="preserve">que la presunta víctima interpuso </w:t>
      </w:r>
      <w:r w:rsidR="00660510" w:rsidRPr="00F12A3B">
        <w:rPr>
          <w:rFonts w:asciiTheme="majorHAnsi" w:hAnsiTheme="majorHAnsi" w:cs="Baskerville Old Face"/>
          <w:sz w:val="20"/>
          <w:szCs w:val="20"/>
          <w:lang w:val="es-PE"/>
        </w:rPr>
        <w:t>una</w:t>
      </w:r>
      <w:r w:rsidR="00B02BF8" w:rsidRPr="00F12A3B">
        <w:rPr>
          <w:rFonts w:asciiTheme="majorHAnsi" w:hAnsiTheme="majorHAnsi" w:cs="Baskerville Old Face"/>
          <w:sz w:val="20"/>
          <w:szCs w:val="20"/>
          <w:lang w:val="es-PE"/>
        </w:rPr>
        <w:t xml:space="preserve"> solicitud de aclaración, enmienda y complementación debido a la falta de pronunciamiento del Tribunal Constitucional </w:t>
      </w:r>
      <w:r w:rsidR="00660510" w:rsidRPr="00F12A3B">
        <w:rPr>
          <w:rFonts w:asciiTheme="majorHAnsi" w:hAnsiTheme="majorHAnsi" w:cs="Baskerville Old Face"/>
          <w:sz w:val="20"/>
          <w:szCs w:val="20"/>
          <w:lang w:val="es-PE"/>
        </w:rPr>
        <w:t xml:space="preserve">Plurinacional </w:t>
      </w:r>
      <w:r w:rsidR="00B02BF8" w:rsidRPr="00F12A3B">
        <w:rPr>
          <w:rFonts w:asciiTheme="majorHAnsi" w:hAnsiTheme="majorHAnsi" w:cs="Baskerville Old Face"/>
          <w:sz w:val="20"/>
          <w:szCs w:val="20"/>
          <w:lang w:val="es-PE"/>
        </w:rPr>
        <w:t>respecto a su alegato de inamovilidad laboral por ser familiar de una persona con discapacidad. Aunque</w:t>
      </w:r>
      <w:r w:rsidR="00B02BF8" w:rsidRPr="00660510">
        <w:rPr>
          <w:rFonts w:asciiTheme="majorHAnsi" w:hAnsiTheme="majorHAnsi" w:cs="Baskerville Old Face"/>
          <w:sz w:val="20"/>
          <w:szCs w:val="20"/>
          <w:lang w:val="es-PE"/>
        </w:rPr>
        <w:t xml:space="preserve"> el tribunal declaró su solicitud como “no ha lugar”, el argumento principal para rechazar esta acción fue </w:t>
      </w:r>
      <w:r w:rsidR="00556B0D">
        <w:rPr>
          <w:rFonts w:asciiTheme="majorHAnsi" w:hAnsiTheme="majorHAnsi" w:cs="Baskerville Old Face"/>
          <w:sz w:val="20"/>
          <w:szCs w:val="20"/>
          <w:lang w:val="es-PE"/>
        </w:rPr>
        <w:t>ponderar</w:t>
      </w:r>
      <w:r w:rsidR="00556B0D" w:rsidRPr="00660510">
        <w:rPr>
          <w:rFonts w:asciiTheme="majorHAnsi" w:hAnsiTheme="majorHAnsi" w:cs="Baskerville Old Face"/>
          <w:sz w:val="20"/>
          <w:szCs w:val="20"/>
          <w:lang w:val="es-PE"/>
        </w:rPr>
        <w:t xml:space="preserve"> </w:t>
      </w:r>
      <w:r w:rsidR="00B02BF8" w:rsidRPr="00660510">
        <w:rPr>
          <w:rFonts w:asciiTheme="majorHAnsi" w:hAnsiTheme="majorHAnsi" w:cs="Baskerville Old Face"/>
          <w:sz w:val="20"/>
          <w:szCs w:val="20"/>
          <w:lang w:val="es-PE"/>
        </w:rPr>
        <w:t xml:space="preserve">que mediante </w:t>
      </w:r>
      <w:r w:rsidR="00660510" w:rsidRPr="00660510">
        <w:rPr>
          <w:rFonts w:asciiTheme="majorHAnsi" w:hAnsiTheme="majorHAnsi" w:cs="Baskerville Old Face"/>
          <w:sz w:val="20"/>
          <w:szCs w:val="20"/>
          <w:lang w:val="es-PE"/>
        </w:rPr>
        <w:t xml:space="preserve">este pedido </w:t>
      </w:r>
      <w:r w:rsidR="00B02BF8" w:rsidRPr="00660510">
        <w:rPr>
          <w:rFonts w:asciiTheme="majorHAnsi" w:hAnsiTheme="majorHAnsi" w:cs="Baskerville Old Face"/>
          <w:sz w:val="20"/>
          <w:szCs w:val="20"/>
          <w:lang w:val="es-PE"/>
        </w:rPr>
        <w:t xml:space="preserve">no puede modificar el fondo del asunto, sin justificar ni subsanar la falta de pronunciamiento sobre </w:t>
      </w:r>
      <w:r w:rsidR="00F97164" w:rsidRPr="00660510">
        <w:rPr>
          <w:rFonts w:asciiTheme="majorHAnsi" w:hAnsiTheme="majorHAnsi" w:cs="Baskerville Old Face"/>
          <w:sz w:val="20"/>
          <w:szCs w:val="20"/>
          <w:lang w:val="es-PE"/>
        </w:rPr>
        <w:t>el</w:t>
      </w:r>
      <w:r w:rsidR="00B02BF8" w:rsidRPr="00660510">
        <w:rPr>
          <w:rFonts w:asciiTheme="majorHAnsi" w:hAnsiTheme="majorHAnsi" w:cs="Baskerville Old Face"/>
          <w:sz w:val="20"/>
          <w:szCs w:val="20"/>
          <w:lang w:val="es-PE"/>
        </w:rPr>
        <w:t xml:space="preserve"> alegato de la presunta víctima. </w:t>
      </w:r>
      <w:r w:rsidR="00660510" w:rsidRPr="00660510">
        <w:rPr>
          <w:rFonts w:asciiTheme="majorHAnsi" w:hAnsiTheme="majorHAnsi" w:cs="Baskerville Old Face"/>
          <w:sz w:val="20"/>
          <w:szCs w:val="20"/>
          <w:lang w:val="es-PE"/>
        </w:rPr>
        <w:t xml:space="preserve">Con base en lo expuesto, la Comisión </w:t>
      </w:r>
      <w:r w:rsidR="00556B0D">
        <w:rPr>
          <w:rFonts w:asciiTheme="majorHAnsi" w:hAnsiTheme="majorHAnsi" w:cs="Baskerville Old Face"/>
          <w:sz w:val="20"/>
          <w:szCs w:val="20"/>
          <w:lang w:val="es-PE"/>
        </w:rPr>
        <w:t>entiende</w:t>
      </w:r>
      <w:r w:rsidR="00556B0D" w:rsidRPr="00660510">
        <w:rPr>
          <w:rFonts w:asciiTheme="majorHAnsi" w:hAnsiTheme="majorHAnsi" w:cs="Baskerville Old Face"/>
          <w:sz w:val="20"/>
          <w:szCs w:val="20"/>
          <w:lang w:val="es-PE"/>
        </w:rPr>
        <w:t xml:space="preserve"> </w:t>
      </w:r>
      <w:r w:rsidR="00660510" w:rsidRPr="00660510">
        <w:rPr>
          <w:rFonts w:asciiTheme="majorHAnsi" w:hAnsiTheme="majorHAnsi" w:cs="Baskerville Old Face"/>
          <w:sz w:val="20"/>
          <w:szCs w:val="20"/>
          <w:lang w:val="es-PE"/>
        </w:rPr>
        <w:t>que la presunta víctima interpuso de forma razonable el citado escrito, a fin de obtener un pronunciamiento judicial de un punto sustantivo de su reclamo</w:t>
      </w:r>
      <w:r w:rsidR="00341773">
        <w:rPr>
          <w:rFonts w:asciiTheme="majorHAnsi" w:hAnsiTheme="majorHAnsi" w:cs="Baskerville Old Face"/>
          <w:sz w:val="20"/>
          <w:szCs w:val="20"/>
          <w:lang w:val="es-PE"/>
        </w:rPr>
        <w:t>,</w:t>
      </w:r>
      <w:r w:rsidR="00660510" w:rsidRPr="00660510">
        <w:rPr>
          <w:rFonts w:asciiTheme="majorHAnsi" w:hAnsiTheme="majorHAnsi" w:cs="Baskerville Old Face"/>
          <w:sz w:val="20"/>
          <w:szCs w:val="20"/>
          <w:lang w:val="es-PE"/>
        </w:rPr>
        <w:t xml:space="preserve"> y de </w:t>
      </w:r>
      <w:r w:rsidR="00341773">
        <w:rPr>
          <w:rFonts w:asciiTheme="majorHAnsi" w:hAnsiTheme="majorHAnsi" w:cs="Baskerville Old Face"/>
          <w:sz w:val="20"/>
          <w:szCs w:val="20"/>
          <w:lang w:val="es-PE"/>
        </w:rPr>
        <w:t>e</w:t>
      </w:r>
      <w:r w:rsidR="00660510" w:rsidRPr="00660510">
        <w:rPr>
          <w:rFonts w:asciiTheme="majorHAnsi" w:hAnsiTheme="majorHAnsi" w:cs="Baskerville Old Face"/>
          <w:sz w:val="20"/>
          <w:szCs w:val="20"/>
          <w:lang w:val="es-PE"/>
        </w:rPr>
        <w:t>se modo establecer lo</w:t>
      </w:r>
      <w:r w:rsidR="00341773">
        <w:rPr>
          <w:rFonts w:asciiTheme="majorHAnsi" w:hAnsiTheme="majorHAnsi" w:cs="Baskerville Old Face"/>
          <w:sz w:val="20"/>
          <w:szCs w:val="20"/>
          <w:lang w:val="es-PE"/>
        </w:rPr>
        <w:t>s</w:t>
      </w:r>
      <w:r w:rsidR="00660510" w:rsidRPr="00660510">
        <w:rPr>
          <w:rFonts w:asciiTheme="majorHAnsi" w:hAnsiTheme="majorHAnsi" w:cs="Baskerville Old Face"/>
          <w:sz w:val="20"/>
          <w:szCs w:val="20"/>
          <w:lang w:val="es-PE"/>
        </w:rPr>
        <w:t xml:space="preserve"> términos en los que plantearía su petición. En consecuencia, </w:t>
      </w:r>
      <w:r w:rsidR="004D72B5">
        <w:rPr>
          <w:rFonts w:asciiTheme="majorHAnsi" w:hAnsiTheme="majorHAnsi" w:cs="Baskerville Old Face"/>
          <w:sz w:val="20"/>
          <w:szCs w:val="20"/>
          <w:lang w:val="es-PE"/>
        </w:rPr>
        <w:t xml:space="preserve">para </w:t>
      </w:r>
      <w:r w:rsidR="00660510" w:rsidRPr="00660510">
        <w:rPr>
          <w:rFonts w:asciiTheme="majorHAnsi" w:hAnsiTheme="majorHAnsi" w:cs="Baskerville Old Face"/>
          <w:sz w:val="20"/>
          <w:szCs w:val="20"/>
          <w:lang w:val="es-PE"/>
        </w:rPr>
        <w:t>la Comisión</w:t>
      </w:r>
      <w:r w:rsidR="004D72B5">
        <w:rPr>
          <w:rFonts w:asciiTheme="majorHAnsi" w:hAnsiTheme="majorHAnsi" w:cs="Baskerville Old Face"/>
          <w:sz w:val="20"/>
          <w:szCs w:val="20"/>
          <w:lang w:val="es-PE"/>
        </w:rPr>
        <w:t xml:space="preserve"> es</w:t>
      </w:r>
      <w:r w:rsidR="00556B0D" w:rsidRPr="00660510">
        <w:rPr>
          <w:rFonts w:asciiTheme="majorHAnsi" w:hAnsiTheme="majorHAnsi" w:cs="Baskerville Old Face"/>
          <w:sz w:val="20"/>
          <w:szCs w:val="20"/>
          <w:lang w:val="es-PE"/>
        </w:rPr>
        <w:t xml:space="preserve"> </w:t>
      </w:r>
      <w:r w:rsidR="00660510" w:rsidRPr="00660510">
        <w:rPr>
          <w:rFonts w:asciiTheme="majorHAnsi" w:hAnsiTheme="majorHAnsi" w:cs="Baskerville Old Face"/>
          <w:sz w:val="20"/>
          <w:szCs w:val="20"/>
          <w:lang w:val="es-PE"/>
        </w:rPr>
        <w:t xml:space="preserve">correcto emplear </w:t>
      </w:r>
      <w:r w:rsidR="00660510" w:rsidRPr="00F12A3B">
        <w:rPr>
          <w:rFonts w:asciiTheme="majorHAnsi" w:hAnsiTheme="majorHAnsi" w:cs="Baskerville Old Face"/>
          <w:sz w:val="20"/>
          <w:szCs w:val="20"/>
          <w:lang w:val="es-PE"/>
        </w:rPr>
        <w:t xml:space="preserve">dicho recurso para dar por cumplidos los requisitos al previo agotamiento de los recursos internos y plazo de presentación en este asunto. </w:t>
      </w:r>
    </w:p>
    <w:p w14:paraId="1025A52A" w14:textId="04D2DAD4" w:rsidR="00660510" w:rsidRPr="00F12A3B" w:rsidRDefault="00660510" w:rsidP="00660510">
      <w:pPr>
        <w:pStyle w:val="ListParagraph"/>
        <w:spacing w:before="240" w:after="240"/>
        <w:jc w:val="both"/>
        <w:rPr>
          <w:sz w:val="20"/>
          <w:szCs w:val="20"/>
          <w:lang w:val="es-ES"/>
        </w:rPr>
      </w:pPr>
      <w:r w:rsidRPr="00F12A3B">
        <w:rPr>
          <w:rFonts w:asciiTheme="majorHAnsi" w:hAnsiTheme="majorHAnsi"/>
          <w:b/>
          <w:bCs/>
          <w:sz w:val="20"/>
          <w:szCs w:val="20"/>
          <w:lang w:val="es-ES"/>
        </w:rPr>
        <w:t>VI</w:t>
      </w:r>
      <w:r w:rsidR="00A43712" w:rsidRPr="00F12A3B">
        <w:rPr>
          <w:rFonts w:asciiTheme="majorHAnsi" w:hAnsiTheme="majorHAnsi"/>
          <w:b/>
          <w:bCs/>
          <w:sz w:val="20"/>
          <w:szCs w:val="20"/>
          <w:lang w:val="es-ES"/>
        </w:rPr>
        <w:t>I</w:t>
      </w:r>
      <w:r w:rsidRPr="00F12A3B">
        <w:rPr>
          <w:rFonts w:asciiTheme="majorHAnsi" w:hAnsiTheme="majorHAnsi"/>
          <w:b/>
          <w:bCs/>
          <w:sz w:val="20"/>
          <w:szCs w:val="20"/>
          <w:lang w:val="es-ES"/>
        </w:rPr>
        <w:t>I.</w:t>
      </w:r>
      <w:r w:rsidRPr="00F12A3B">
        <w:rPr>
          <w:rFonts w:asciiTheme="majorHAnsi" w:hAnsiTheme="majorHAnsi"/>
          <w:b/>
          <w:bCs/>
          <w:sz w:val="20"/>
          <w:szCs w:val="20"/>
          <w:lang w:val="es-ES"/>
        </w:rPr>
        <w:tab/>
      </w:r>
      <w:r w:rsidRPr="00F12A3B">
        <w:rPr>
          <w:rFonts w:asciiTheme="majorHAnsi" w:hAnsiTheme="majorHAnsi"/>
          <w:b/>
          <w:bCs/>
          <w:sz w:val="20"/>
          <w:szCs w:val="20"/>
          <w:lang w:val="es-ES_tradnl"/>
        </w:rPr>
        <w:t xml:space="preserve">ANÁLISIS DE </w:t>
      </w:r>
      <w:r w:rsidRPr="00F12A3B">
        <w:rPr>
          <w:rFonts w:asciiTheme="majorHAnsi" w:hAnsiTheme="majorHAnsi"/>
          <w:b/>
          <w:bCs/>
          <w:sz w:val="20"/>
          <w:szCs w:val="20"/>
          <w:lang w:val="es-ES"/>
        </w:rPr>
        <w:t xml:space="preserve">CARACTERIZACIÓN </w:t>
      </w:r>
      <w:r w:rsidRPr="00F12A3B">
        <w:rPr>
          <w:rFonts w:asciiTheme="majorHAnsi" w:hAnsiTheme="majorHAnsi"/>
          <w:b/>
          <w:bCs/>
          <w:sz w:val="20"/>
          <w:szCs w:val="20"/>
          <w:lang w:val="es-UY"/>
        </w:rPr>
        <w:t>DE LOS HECHOS ALEGADOS</w:t>
      </w:r>
      <w:r w:rsidRPr="00F12A3B">
        <w:rPr>
          <w:sz w:val="20"/>
          <w:szCs w:val="20"/>
          <w:lang w:val="es-ES"/>
        </w:rPr>
        <w:t xml:space="preserve"> </w:t>
      </w:r>
    </w:p>
    <w:p w14:paraId="413816C3" w14:textId="40562F4A" w:rsidR="00660510" w:rsidRPr="001941FC" w:rsidRDefault="001941FC" w:rsidP="001941FC">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heme="majorHAnsi" w:hAnsiTheme="majorHAnsi"/>
          <w:sz w:val="20"/>
          <w:szCs w:val="20"/>
          <w:lang w:val="es-PE"/>
        </w:rPr>
      </w:pPr>
      <w:r w:rsidRPr="00F12A3B">
        <w:rPr>
          <w:sz w:val="20"/>
          <w:szCs w:val="20"/>
          <w:lang w:val="es-ES"/>
        </w:rPr>
        <w:t xml:space="preserve">En primer lugar, la Comisión reitera que el criterio de evaluación de la fase de admisibilidad difiere del que se utiliza para pronunciarse sobre el fondo de una petición; la CIDH debe realizar en esta etapa una evaluación </w:t>
      </w:r>
      <w:r w:rsidRPr="00F12A3B">
        <w:rPr>
          <w:i/>
          <w:iCs/>
          <w:sz w:val="20"/>
          <w:szCs w:val="20"/>
          <w:lang w:val="es-ES"/>
        </w:rPr>
        <w:t>prima facie</w:t>
      </w:r>
      <w:r w:rsidRPr="00F12A3B">
        <w:rPr>
          <w:sz w:val="20"/>
          <w:szCs w:val="20"/>
          <w:lang w:val="es-ES"/>
        </w:rPr>
        <w:t xml:space="preserve"> para determinar si la petición establece el fundamento de la violación, posible o potencial, de un derecho garantizado por la Convención, pero no para </w:t>
      </w:r>
      <w:r w:rsidR="00095941" w:rsidRPr="00F12A3B">
        <w:rPr>
          <w:sz w:val="20"/>
          <w:szCs w:val="20"/>
          <w:lang w:val="es-ES"/>
        </w:rPr>
        <w:t xml:space="preserve">resolver </w:t>
      </w:r>
      <w:r w:rsidRPr="00F12A3B">
        <w:rPr>
          <w:sz w:val="20"/>
          <w:szCs w:val="20"/>
          <w:lang w:val="es-ES"/>
        </w:rPr>
        <w:t>la existencia de una violación de derechos. Esta determinación sobre la caracterización de violaciones de la Convención Americana constituye un análisis primario, que no implica prejuzgar sobre el fondo del asunto. A los efectos de la admisibilidad, la Comisión debe decidir si los hechos alegados pueden caracterizar una violación de derechos, según lo estipulado en el artículo 47.b) de la Convención Americana o si la petición es “manifiestamente</w:t>
      </w:r>
      <w:r w:rsidRPr="001941FC">
        <w:rPr>
          <w:sz w:val="20"/>
          <w:szCs w:val="20"/>
          <w:lang w:val="es-ES"/>
        </w:rPr>
        <w:t xml:space="preserve"> infundada” o es “evidente su total improcedencia”, conforme al 47.c) de la Convención Americana.</w:t>
      </w:r>
    </w:p>
    <w:p w14:paraId="584E634E" w14:textId="77777777" w:rsidR="001941FC" w:rsidRPr="001941FC" w:rsidRDefault="001941FC" w:rsidP="001941FC">
      <w:pPr>
        <w:pStyle w:val="ListParagraph"/>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heme="majorHAnsi" w:hAnsiTheme="majorHAnsi"/>
          <w:sz w:val="20"/>
          <w:szCs w:val="20"/>
          <w:lang w:val="es-PE"/>
        </w:rPr>
      </w:pPr>
    </w:p>
    <w:p w14:paraId="3760D2B0" w14:textId="483F34A7" w:rsidR="00660510" w:rsidRDefault="00D36052" w:rsidP="00660510">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heme="majorHAnsi" w:hAnsiTheme="majorHAnsi"/>
          <w:sz w:val="20"/>
          <w:szCs w:val="20"/>
          <w:lang w:val="es-PE"/>
        </w:rPr>
      </w:pPr>
      <w:r w:rsidRPr="00660510">
        <w:rPr>
          <w:rFonts w:asciiTheme="majorHAnsi" w:hAnsiTheme="majorHAnsi"/>
          <w:sz w:val="20"/>
          <w:szCs w:val="20"/>
          <w:lang w:val="es-PE"/>
        </w:rPr>
        <w:t xml:space="preserve">En el presente </w:t>
      </w:r>
      <w:r w:rsidR="00C34C0C">
        <w:rPr>
          <w:rFonts w:asciiTheme="majorHAnsi" w:hAnsiTheme="majorHAnsi"/>
          <w:sz w:val="20"/>
          <w:szCs w:val="20"/>
          <w:lang w:val="es-PE"/>
        </w:rPr>
        <w:t>asunto</w:t>
      </w:r>
      <w:r w:rsidRPr="00660510">
        <w:rPr>
          <w:rFonts w:asciiTheme="majorHAnsi" w:hAnsiTheme="majorHAnsi"/>
          <w:sz w:val="20"/>
          <w:szCs w:val="20"/>
          <w:lang w:val="es-PE"/>
        </w:rPr>
        <w:t xml:space="preserve">, el Estado alega </w:t>
      </w:r>
      <w:r w:rsidR="00C34C0C">
        <w:rPr>
          <w:rFonts w:asciiTheme="majorHAnsi" w:hAnsiTheme="majorHAnsi"/>
          <w:sz w:val="20"/>
          <w:szCs w:val="20"/>
          <w:lang w:val="es-PE"/>
        </w:rPr>
        <w:t>que los hechos denunciados no caracterizan vulnerac</w:t>
      </w:r>
      <w:r w:rsidR="004518B1">
        <w:rPr>
          <w:rFonts w:asciiTheme="majorHAnsi" w:hAnsiTheme="majorHAnsi"/>
          <w:sz w:val="20"/>
          <w:szCs w:val="20"/>
          <w:lang w:val="es-PE"/>
        </w:rPr>
        <w:t>iones</w:t>
      </w:r>
      <w:r w:rsidR="00C34C0C">
        <w:rPr>
          <w:rFonts w:asciiTheme="majorHAnsi" w:hAnsiTheme="majorHAnsi"/>
          <w:sz w:val="20"/>
          <w:szCs w:val="20"/>
          <w:lang w:val="es-PE"/>
        </w:rPr>
        <w:t xml:space="preserve"> a los derechos invocados</w:t>
      </w:r>
      <w:r w:rsidRPr="00660510">
        <w:rPr>
          <w:rFonts w:asciiTheme="majorHAnsi" w:hAnsiTheme="majorHAnsi"/>
          <w:sz w:val="20"/>
          <w:szCs w:val="20"/>
          <w:lang w:val="es-PE"/>
        </w:rPr>
        <w:t xml:space="preserve">, en tanto </w:t>
      </w:r>
      <w:r w:rsidR="00905D3B">
        <w:rPr>
          <w:rFonts w:asciiTheme="majorHAnsi" w:hAnsiTheme="majorHAnsi"/>
          <w:sz w:val="20"/>
          <w:szCs w:val="20"/>
          <w:lang w:val="es-PE"/>
        </w:rPr>
        <w:t>las presuntas víctimas</w:t>
      </w:r>
      <w:r w:rsidR="00AF2269" w:rsidRPr="00660510">
        <w:rPr>
          <w:rFonts w:asciiTheme="majorHAnsi" w:hAnsiTheme="majorHAnsi"/>
          <w:sz w:val="20"/>
          <w:szCs w:val="20"/>
          <w:lang w:val="es-PE"/>
        </w:rPr>
        <w:t xml:space="preserve"> </w:t>
      </w:r>
      <w:r w:rsidRPr="00660510">
        <w:rPr>
          <w:rFonts w:asciiTheme="majorHAnsi" w:hAnsiTheme="majorHAnsi"/>
          <w:sz w:val="20"/>
          <w:szCs w:val="20"/>
          <w:lang w:val="es-PE"/>
        </w:rPr>
        <w:t xml:space="preserve">ocuparon cargos de carácter transitorio </w:t>
      </w:r>
      <w:r w:rsidR="00AF2269" w:rsidRPr="00660510">
        <w:rPr>
          <w:rFonts w:asciiTheme="majorHAnsi" w:hAnsiTheme="majorHAnsi"/>
          <w:sz w:val="20"/>
          <w:szCs w:val="20"/>
          <w:lang w:val="es-PE"/>
        </w:rPr>
        <w:t xml:space="preserve">en el marco de la reforma del sistema de justicia, aspecto sobre el cual tenían pleno conocimiento. Asimismo, indica que se </w:t>
      </w:r>
      <w:r w:rsidR="00086989" w:rsidRPr="00660510">
        <w:rPr>
          <w:rFonts w:asciiTheme="majorHAnsi" w:hAnsiTheme="majorHAnsi"/>
          <w:sz w:val="20"/>
          <w:szCs w:val="20"/>
          <w:lang w:val="es-PE"/>
        </w:rPr>
        <w:t xml:space="preserve">les </w:t>
      </w:r>
      <w:r w:rsidR="00AF2269" w:rsidRPr="00660510">
        <w:rPr>
          <w:rFonts w:asciiTheme="majorHAnsi" w:hAnsiTheme="majorHAnsi"/>
          <w:sz w:val="20"/>
          <w:szCs w:val="20"/>
          <w:lang w:val="es-PE"/>
        </w:rPr>
        <w:t>brindó la oportunidad de ingresar a la carrera judicial mediante concurso público</w:t>
      </w:r>
      <w:r w:rsidR="00086989" w:rsidRPr="00660510">
        <w:rPr>
          <w:rFonts w:asciiTheme="majorHAnsi" w:hAnsiTheme="majorHAnsi"/>
          <w:sz w:val="20"/>
          <w:szCs w:val="20"/>
          <w:lang w:val="es-PE"/>
        </w:rPr>
        <w:t xml:space="preserve"> y participación en cursos</w:t>
      </w:r>
      <w:r w:rsidR="00095941">
        <w:rPr>
          <w:rFonts w:asciiTheme="majorHAnsi" w:hAnsiTheme="majorHAnsi"/>
          <w:sz w:val="20"/>
          <w:szCs w:val="20"/>
          <w:lang w:val="es-PE"/>
        </w:rPr>
        <w:t>;</w:t>
      </w:r>
      <w:r w:rsidR="00AF2269" w:rsidRPr="00660510">
        <w:rPr>
          <w:rFonts w:asciiTheme="majorHAnsi" w:hAnsiTheme="majorHAnsi"/>
          <w:sz w:val="20"/>
          <w:szCs w:val="20"/>
          <w:lang w:val="es-PE"/>
        </w:rPr>
        <w:t xml:space="preserve"> sin embargo, la mayoría </w:t>
      </w:r>
      <w:r w:rsidR="00C34C0C">
        <w:rPr>
          <w:rFonts w:asciiTheme="majorHAnsi" w:hAnsiTheme="majorHAnsi"/>
          <w:sz w:val="20"/>
          <w:szCs w:val="20"/>
          <w:lang w:val="es-PE"/>
        </w:rPr>
        <w:t xml:space="preserve">de </w:t>
      </w:r>
      <w:r w:rsidR="00905D3B">
        <w:rPr>
          <w:rFonts w:asciiTheme="majorHAnsi" w:hAnsiTheme="majorHAnsi"/>
          <w:sz w:val="20"/>
          <w:szCs w:val="20"/>
          <w:lang w:val="es-PE"/>
        </w:rPr>
        <w:t>quienes hoy acuden a la CIDH</w:t>
      </w:r>
      <w:r w:rsidR="00C34C0C">
        <w:rPr>
          <w:rFonts w:asciiTheme="majorHAnsi" w:hAnsiTheme="majorHAnsi"/>
          <w:sz w:val="20"/>
          <w:szCs w:val="20"/>
          <w:lang w:val="es-PE"/>
        </w:rPr>
        <w:t xml:space="preserve"> </w:t>
      </w:r>
      <w:r w:rsidR="00AF2269" w:rsidRPr="00660510">
        <w:rPr>
          <w:rFonts w:asciiTheme="majorHAnsi" w:hAnsiTheme="majorHAnsi"/>
          <w:sz w:val="20"/>
          <w:szCs w:val="20"/>
          <w:lang w:val="es-PE"/>
        </w:rPr>
        <w:t>no postul</w:t>
      </w:r>
      <w:r w:rsidR="00C34C0C">
        <w:rPr>
          <w:rFonts w:asciiTheme="majorHAnsi" w:hAnsiTheme="majorHAnsi"/>
          <w:sz w:val="20"/>
          <w:szCs w:val="20"/>
          <w:lang w:val="es-PE"/>
        </w:rPr>
        <w:t>ó</w:t>
      </w:r>
      <w:r w:rsidR="00AF2269" w:rsidRPr="00660510">
        <w:rPr>
          <w:rFonts w:asciiTheme="majorHAnsi" w:hAnsiTheme="majorHAnsi"/>
          <w:sz w:val="20"/>
          <w:szCs w:val="20"/>
          <w:lang w:val="es-PE"/>
        </w:rPr>
        <w:t>,</w:t>
      </w:r>
      <w:r w:rsidR="00C34C0C">
        <w:rPr>
          <w:rFonts w:asciiTheme="majorHAnsi" w:hAnsiTheme="majorHAnsi"/>
          <w:sz w:val="20"/>
          <w:szCs w:val="20"/>
          <w:lang w:val="es-PE"/>
        </w:rPr>
        <w:t xml:space="preserve"> y otr</w:t>
      </w:r>
      <w:r w:rsidR="00197A7E">
        <w:rPr>
          <w:rFonts w:asciiTheme="majorHAnsi" w:hAnsiTheme="majorHAnsi"/>
          <w:sz w:val="20"/>
          <w:szCs w:val="20"/>
          <w:lang w:val="es-PE"/>
        </w:rPr>
        <w:t>o</w:t>
      </w:r>
      <w:r w:rsidR="00C34C0C">
        <w:rPr>
          <w:rFonts w:asciiTheme="majorHAnsi" w:hAnsiTheme="majorHAnsi"/>
          <w:sz w:val="20"/>
          <w:szCs w:val="20"/>
          <w:lang w:val="es-PE"/>
        </w:rPr>
        <w:t>s</w:t>
      </w:r>
      <w:r w:rsidR="00AF2269" w:rsidRPr="00660510">
        <w:rPr>
          <w:rFonts w:asciiTheme="majorHAnsi" w:hAnsiTheme="majorHAnsi"/>
          <w:sz w:val="20"/>
          <w:szCs w:val="20"/>
          <w:lang w:val="es-PE"/>
        </w:rPr>
        <w:t xml:space="preserve"> habrían obtenido una plaza estable luego de ser destituidos.</w:t>
      </w:r>
      <w:r w:rsidR="00092A6B" w:rsidRPr="00660510">
        <w:rPr>
          <w:rFonts w:asciiTheme="majorHAnsi" w:hAnsiTheme="majorHAnsi"/>
          <w:sz w:val="20"/>
          <w:szCs w:val="20"/>
          <w:lang w:val="es-PE"/>
        </w:rPr>
        <w:t xml:space="preserve"> Por último, menci</w:t>
      </w:r>
      <w:r w:rsidR="00C34C0C">
        <w:rPr>
          <w:rFonts w:asciiTheme="majorHAnsi" w:hAnsiTheme="majorHAnsi"/>
          <w:sz w:val="20"/>
          <w:szCs w:val="20"/>
          <w:lang w:val="es-PE"/>
        </w:rPr>
        <w:t xml:space="preserve">ona que </w:t>
      </w:r>
      <w:r w:rsidR="00197A7E">
        <w:rPr>
          <w:rFonts w:asciiTheme="majorHAnsi" w:hAnsiTheme="majorHAnsi"/>
          <w:sz w:val="20"/>
          <w:szCs w:val="20"/>
          <w:lang w:val="es-PE"/>
        </w:rPr>
        <w:t>ciertas</w:t>
      </w:r>
      <w:r w:rsidR="00C34C0C">
        <w:rPr>
          <w:rFonts w:asciiTheme="majorHAnsi" w:hAnsiTheme="majorHAnsi"/>
          <w:sz w:val="20"/>
          <w:szCs w:val="20"/>
          <w:lang w:val="es-PE"/>
        </w:rPr>
        <w:t xml:space="preserve"> presuntas víctimas habían estado enfrentando </w:t>
      </w:r>
      <w:r w:rsidR="00092A6B" w:rsidRPr="00660510">
        <w:rPr>
          <w:rFonts w:asciiTheme="majorHAnsi" w:hAnsiTheme="majorHAnsi"/>
          <w:sz w:val="20"/>
          <w:szCs w:val="20"/>
          <w:lang w:val="es-PE"/>
        </w:rPr>
        <w:t xml:space="preserve">procesos disciplinarios </w:t>
      </w:r>
      <w:r w:rsidR="00C34C0C">
        <w:rPr>
          <w:rFonts w:asciiTheme="majorHAnsi" w:hAnsiTheme="majorHAnsi"/>
          <w:sz w:val="20"/>
          <w:szCs w:val="20"/>
          <w:lang w:val="es-PE"/>
        </w:rPr>
        <w:t>al momento en que fueron destituido</w:t>
      </w:r>
      <w:r w:rsidR="00095941">
        <w:rPr>
          <w:rFonts w:asciiTheme="majorHAnsi" w:hAnsiTheme="majorHAnsi"/>
          <w:sz w:val="20"/>
          <w:szCs w:val="20"/>
          <w:lang w:val="es-PE"/>
        </w:rPr>
        <w:t>s</w:t>
      </w:r>
      <w:r w:rsidR="00092A6B" w:rsidRPr="00660510">
        <w:rPr>
          <w:rFonts w:asciiTheme="majorHAnsi" w:hAnsiTheme="majorHAnsi"/>
          <w:sz w:val="20"/>
          <w:szCs w:val="20"/>
          <w:lang w:val="es-PE"/>
        </w:rPr>
        <w:t>.</w:t>
      </w:r>
    </w:p>
    <w:p w14:paraId="187F8C3F" w14:textId="77777777" w:rsidR="00660510" w:rsidRPr="00660510" w:rsidRDefault="00660510" w:rsidP="00660510">
      <w:pPr>
        <w:pStyle w:val="ListParagraph"/>
        <w:rPr>
          <w:rFonts w:asciiTheme="majorHAnsi" w:hAnsiTheme="majorHAnsi"/>
          <w:sz w:val="20"/>
          <w:szCs w:val="20"/>
          <w:lang w:val="es-PE"/>
        </w:rPr>
      </w:pPr>
    </w:p>
    <w:p w14:paraId="4A8E156D" w14:textId="0212C4CA" w:rsidR="00660510" w:rsidRDefault="00AF2269" w:rsidP="00660510">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heme="majorHAnsi" w:hAnsiTheme="majorHAnsi"/>
          <w:sz w:val="20"/>
          <w:szCs w:val="20"/>
          <w:lang w:val="es-PE"/>
        </w:rPr>
      </w:pPr>
      <w:r w:rsidRPr="00660510">
        <w:rPr>
          <w:rFonts w:asciiTheme="majorHAnsi" w:hAnsiTheme="majorHAnsi"/>
          <w:sz w:val="20"/>
          <w:szCs w:val="20"/>
          <w:lang w:val="es-PE"/>
        </w:rPr>
        <w:t>Al respecto, la Comisión</w:t>
      </w:r>
      <w:r w:rsidR="00086989" w:rsidRPr="00660510">
        <w:rPr>
          <w:rFonts w:asciiTheme="majorHAnsi" w:hAnsiTheme="majorHAnsi"/>
          <w:sz w:val="20"/>
          <w:szCs w:val="20"/>
          <w:lang w:val="es-PE"/>
        </w:rPr>
        <w:t xml:space="preserve"> ha señalado que los Estados deben garantizar una actuación independiente de las y los operadores de justicia</w:t>
      </w:r>
      <w:r w:rsidR="00095941">
        <w:rPr>
          <w:rFonts w:asciiTheme="majorHAnsi" w:hAnsiTheme="majorHAnsi"/>
          <w:sz w:val="20"/>
          <w:szCs w:val="20"/>
          <w:lang w:val="es-PE"/>
        </w:rPr>
        <w:t>;</w:t>
      </w:r>
      <w:r w:rsidR="00086989" w:rsidRPr="00660510">
        <w:rPr>
          <w:rFonts w:asciiTheme="majorHAnsi" w:hAnsiTheme="majorHAnsi"/>
          <w:sz w:val="20"/>
          <w:szCs w:val="20"/>
          <w:lang w:val="es-PE"/>
        </w:rPr>
        <w:t xml:space="preserve"> por ello, deben otorgarles estabilidad y permanencia en el cargo. Aunque por circunstancias excepcionales puede ser necesario nombrar </w:t>
      </w:r>
      <w:r w:rsidR="00095941">
        <w:rPr>
          <w:rFonts w:asciiTheme="majorHAnsi" w:hAnsiTheme="majorHAnsi"/>
          <w:sz w:val="20"/>
          <w:szCs w:val="20"/>
          <w:lang w:val="es-PE"/>
        </w:rPr>
        <w:t xml:space="preserve">personas </w:t>
      </w:r>
      <w:r w:rsidR="00086989" w:rsidRPr="00660510">
        <w:rPr>
          <w:rFonts w:asciiTheme="majorHAnsi" w:hAnsiTheme="majorHAnsi"/>
          <w:sz w:val="20"/>
          <w:szCs w:val="20"/>
          <w:lang w:val="es-PE"/>
        </w:rPr>
        <w:t>operador</w:t>
      </w:r>
      <w:r w:rsidR="00095941">
        <w:rPr>
          <w:rFonts w:asciiTheme="majorHAnsi" w:hAnsiTheme="majorHAnsi"/>
          <w:sz w:val="20"/>
          <w:szCs w:val="20"/>
          <w:lang w:val="es-PE"/>
        </w:rPr>
        <w:t>a</w:t>
      </w:r>
      <w:r w:rsidR="00086989" w:rsidRPr="00660510">
        <w:rPr>
          <w:rFonts w:asciiTheme="majorHAnsi" w:hAnsiTheme="majorHAnsi"/>
          <w:sz w:val="20"/>
          <w:szCs w:val="20"/>
          <w:lang w:val="es-PE"/>
        </w:rPr>
        <w:t xml:space="preserve">s de justicia con un carácter temporal, como cuando se trata de períodos de transición durante la reestructuración del aparato de justicia, </w:t>
      </w:r>
      <w:r w:rsidR="00095941">
        <w:rPr>
          <w:rFonts w:asciiTheme="majorHAnsi" w:hAnsiTheme="majorHAnsi"/>
          <w:sz w:val="20"/>
          <w:szCs w:val="20"/>
          <w:lang w:val="es-PE"/>
        </w:rPr>
        <w:t>incluso</w:t>
      </w:r>
      <w:r w:rsidR="00086989" w:rsidRPr="00660510">
        <w:rPr>
          <w:rFonts w:asciiTheme="majorHAnsi" w:hAnsiTheme="majorHAnsi"/>
          <w:sz w:val="20"/>
          <w:szCs w:val="20"/>
          <w:lang w:val="es-PE"/>
        </w:rPr>
        <w:t xml:space="preserve"> en esos casos dichos operadores </w:t>
      </w:r>
      <w:r w:rsidR="00095941">
        <w:rPr>
          <w:rFonts w:asciiTheme="majorHAnsi" w:hAnsiTheme="majorHAnsi"/>
          <w:sz w:val="20"/>
          <w:szCs w:val="20"/>
          <w:lang w:val="es-PE"/>
        </w:rPr>
        <w:t xml:space="preserve">y operadoras </w:t>
      </w:r>
      <w:r w:rsidR="00086989" w:rsidRPr="00660510">
        <w:rPr>
          <w:rFonts w:asciiTheme="majorHAnsi" w:hAnsiTheme="majorHAnsi"/>
          <w:sz w:val="20"/>
          <w:szCs w:val="20"/>
          <w:lang w:val="es-PE"/>
        </w:rPr>
        <w:t xml:space="preserve">de justicia deben ser nombrados mediante </w:t>
      </w:r>
      <w:r w:rsidR="009432D5" w:rsidRPr="00660510">
        <w:rPr>
          <w:rFonts w:asciiTheme="majorHAnsi" w:hAnsiTheme="majorHAnsi"/>
          <w:sz w:val="20"/>
          <w:szCs w:val="20"/>
          <w:lang w:val="es-PE"/>
        </w:rPr>
        <w:t>un procedimiento</w:t>
      </w:r>
      <w:r w:rsidR="009432D5">
        <w:rPr>
          <w:rFonts w:asciiTheme="majorHAnsi" w:hAnsiTheme="majorHAnsi"/>
          <w:sz w:val="20"/>
          <w:szCs w:val="20"/>
          <w:lang w:val="es-PE"/>
        </w:rPr>
        <w:t xml:space="preserve"> adecuado</w:t>
      </w:r>
      <w:r w:rsidR="00086989" w:rsidRPr="00660510">
        <w:rPr>
          <w:rFonts w:asciiTheme="majorHAnsi" w:hAnsiTheme="majorHAnsi"/>
          <w:sz w:val="20"/>
          <w:szCs w:val="20"/>
          <w:lang w:val="es-PE"/>
        </w:rPr>
        <w:t>, por un tiempo o condición preestablecidas y deben tener garantías de estabilidad en sus cargos</w:t>
      </w:r>
      <w:r w:rsidR="00086989">
        <w:rPr>
          <w:rStyle w:val="FootnoteReference"/>
          <w:rFonts w:asciiTheme="majorHAnsi" w:hAnsiTheme="majorHAnsi"/>
          <w:sz w:val="20"/>
          <w:szCs w:val="20"/>
          <w:lang w:val="es-PE"/>
        </w:rPr>
        <w:footnoteReference w:id="16"/>
      </w:r>
      <w:r w:rsidR="00086989" w:rsidRPr="00660510">
        <w:rPr>
          <w:rFonts w:asciiTheme="majorHAnsi" w:hAnsiTheme="majorHAnsi"/>
          <w:sz w:val="20"/>
          <w:szCs w:val="20"/>
          <w:lang w:val="es-PE"/>
        </w:rPr>
        <w:t>.</w:t>
      </w:r>
    </w:p>
    <w:p w14:paraId="47D8CA98" w14:textId="77777777" w:rsidR="00660510" w:rsidRPr="00660510" w:rsidRDefault="00660510" w:rsidP="00660510">
      <w:pPr>
        <w:pStyle w:val="ListParagraph"/>
        <w:rPr>
          <w:rFonts w:asciiTheme="majorHAnsi" w:hAnsiTheme="majorHAnsi"/>
          <w:sz w:val="20"/>
          <w:szCs w:val="20"/>
          <w:lang w:val="es-PE"/>
        </w:rPr>
      </w:pPr>
    </w:p>
    <w:p w14:paraId="27B9525A" w14:textId="1F7B72BB" w:rsidR="00660510" w:rsidRPr="00660510" w:rsidRDefault="0000367B" w:rsidP="00660510">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heme="majorHAnsi" w:hAnsiTheme="majorHAnsi"/>
          <w:sz w:val="20"/>
          <w:szCs w:val="20"/>
          <w:lang w:val="es-PE"/>
        </w:rPr>
      </w:pPr>
      <w:r w:rsidRPr="00660510">
        <w:rPr>
          <w:rFonts w:asciiTheme="majorHAnsi" w:hAnsiTheme="majorHAnsi"/>
          <w:sz w:val="20"/>
          <w:szCs w:val="20"/>
          <w:lang w:val="es-PE"/>
        </w:rPr>
        <w:t xml:space="preserve">En esa línea, en los casos </w:t>
      </w:r>
      <w:r w:rsidRPr="00660510">
        <w:rPr>
          <w:rFonts w:asciiTheme="majorHAnsi" w:hAnsiTheme="majorHAnsi"/>
          <w:i/>
          <w:iCs/>
          <w:sz w:val="20"/>
          <w:szCs w:val="20"/>
          <w:lang w:val="es-PE"/>
        </w:rPr>
        <w:t xml:space="preserve">Martínez Esquivia vs. Colombia </w:t>
      </w:r>
      <w:r w:rsidRPr="00660510">
        <w:rPr>
          <w:rFonts w:asciiTheme="majorHAnsi" w:hAnsiTheme="majorHAnsi"/>
          <w:sz w:val="20"/>
          <w:szCs w:val="20"/>
          <w:lang w:val="es-PE"/>
        </w:rPr>
        <w:t xml:space="preserve">y </w:t>
      </w:r>
      <w:r w:rsidRPr="00660510">
        <w:rPr>
          <w:rFonts w:asciiTheme="majorHAnsi" w:hAnsiTheme="majorHAnsi"/>
          <w:i/>
          <w:iCs/>
          <w:sz w:val="20"/>
          <w:szCs w:val="20"/>
          <w:lang w:val="es-PE"/>
        </w:rPr>
        <w:t>Casa Nina vs. Perú</w:t>
      </w:r>
      <w:r w:rsidRPr="00660510">
        <w:rPr>
          <w:rFonts w:asciiTheme="majorHAnsi" w:hAnsiTheme="majorHAnsi"/>
          <w:sz w:val="20"/>
          <w:szCs w:val="20"/>
          <w:lang w:val="es-PE"/>
        </w:rPr>
        <w:t xml:space="preserve">, la Corte </w:t>
      </w:r>
      <w:r w:rsidR="007F3E50">
        <w:rPr>
          <w:rFonts w:asciiTheme="majorHAnsi" w:hAnsiTheme="majorHAnsi"/>
          <w:sz w:val="20"/>
          <w:szCs w:val="20"/>
          <w:lang w:val="es-PE"/>
        </w:rPr>
        <w:t>IDH</w:t>
      </w:r>
      <w:r w:rsidRPr="00660510">
        <w:rPr>
          <w:rFonts w:asciiTheme="majorHAnsi" w:hAnsiTheme="majorHAnsi"/>
          <w:sz w:val="20"/>
          <w:szCs w:val="20"/>
          <w:lang w:val="es-PE"/>
        </w:rPr>
        <w:t xml:space="preserve"> ha </w:t>
      </w:r>
      <w:r w:rsidR="00CA41E1">
        <w:rPr>
          <w:rFonts w:asciiTheme="majorHAnsi" w:hAnsiTheme="majorHAnsi"/>
          <w:sz w:val="20"/>
          <w:szCs w:val="20"/>
          <w:lang w:val="es-PE"/>
        </w:rPr>
        <w:t>sostenido</w:t>
      </w:r>
      <w:r w:rsidRPr="00660510">
        <w:rPr>
          <w:rFonts w:asciiTheme="majorHAnsi" w:hAnsiTheme="majorHAnsi"/>
          <w:sz w:val="20"/>
          <w:szCs w:val="20"/>
          <w:lang w:val="es-PE"/>
        </w:rPr>
        <w:t xml:space="preserve"> que los Estados “</w:t>
      </w:r>
      <w:r w:rsidRPr="00660510">
        <w:rPr>
          <w:rFonts w:asciiTheme="majorHAnsi" w:hAnsiTheme="majorHAnsi"/>
          <w:i/>
          <w:iCs/>
          <w:sz w:val="20"/>
          <w:szCs w:val="20"/>
          <w:lang w:val="es-PE"/>
        </w:rPr>
        <w:t>están obligados a asegurar que las y los fiscales provisionales sean independientes y objetivos, por ello, deben otorgarles cierto tipo de estabilidad y permanencia en el cargo, en</w:t>
      </w:r>
      <w:r w:rsidRPr="00660510">
        <w:rPr>
          <w:rFonts w:asciiTheme="majorHAnsi" w:hAnsiTheme="majorHAnsi" w:cs="Baskerville Old Face"/>
          <w:i/>
          <w:iCs/>
          <w:sz w:val="20"/>
          <w:szCs w:val="20"/>
          <w:lang w:val="es-PE"/>
        </w:rPr>
        <w:t xml:space="preserve"> tanto la provisionalidad no equivale a la arbitraria o libre remoción”</w:t>
      </w:r>
      <w:r>
        <w:rPr>
          <w:rStyle w:val="FootnoteReference"/>
          <w:rFonts w:asciiTheme="majorHAnsi" w:hAnsiTheme="majorHAnsi" w:cs="Baskerville Old Face"/>
          <w:i/>
          <w:iCs/>
          <w:sz w:val="20"/>
          <w:szCs w:val="20"/>
          <w:lang w:val="es-PE"/>
        </w:rPr>
        <w:footnoteReference w:id="17"/>
      </w:r>
      <w:r w:rsidRPr="00660510">
        <w:rPr>
          <w:rFonts w:asciiTheme="majorHAnsi" w:hAnsiTheme="majorHAnsi" w:cs="Baskerville Old Face"/>
          <w:sz w:val="20"/>
          <w:szCs w:val="20"/>
          <w:lang w:val="es-PE"/>
        </w:rPr>
        <w:t xml:space="preserve">. En consecuencia, </w:t>
      </w:r>
      <w:r w:rsidRPr="00660510">
        <w:rPr>
          <w:rFonts w:asciiTheme="majorHAnsi" w:hAnsiTheme="majorHAnsi" w:cs="Baskerville Old Face"/>
          <w:i/>
          <w:iCs/>
          <w:sz w:val="20"/>
          <w:szCs w:val="20"/>
          <w:lang w:val="es-PE"/>
        </w:rPr>
        <w:t>“la decisión que dispone la finalización del nombramiento de las y los fiscales provisionales debe estar debidamente motivada, para garantizar los derechos al debido proceso y a la protección judicial”</w:t>
      </w:r>
      <w:r>
        <w:rPr>
          <w:rStyle w:val="FootnoteReference"/>
          <w:rFonts w:asciiTheme="majorHAnsi" w:hAnsiTheme="majorHAnsi" w:cs="Baskerville Old Face"/>
          <w:sz w:val="20"/>
          <w:szCs w:val="20"/>
          <w:lang w:val="es-PE"/>
        </w:rPr>
        <w:footnoteReference w:id="18"/>
      </w:r>
      <w:r w:rsidRPr="00660510">
        <w:rPr>
          <w:rFonts w:asciiTheme="majorHAnsi" w:hAnsiTheme="majorHAnsi" w:cs="Baskerville Old Face"/>
          <w:sz w:val="20"/>
          <w:szCs w:val="20"/>
          <w:lang w:val="es-PE"/>
        </w:rPr>
        <w:t xml:space="preserve">. </w:t>
      </w:r>
      <w:r w:rsidRPr="00660510">
        <w:rPr>
          <w:rFonts w:asciiTheme="majorHAnsi" w:hAnsiTheme="majorHAnsi"/>
          <w:sz w:val="20"/>
          <w:szCs w:val="20"/>
          <w:lang w:val="es-PE"/>
        </w:rPr>
        <w:t xml:space="preserve">Por su parte, respecto a </w:t>
      </w:r>
      <w:r w:rsidR="00D1343B" w:rsidRPr="00660510">
        <w:rPr>
          <w:rFonts w:asciiTheme="majorHAnsi" w:hAnsiTheme="majorHAnsi"/>
          <w:sz w:val="20"/>
          <w:szCs w:val="20"/>
          <w:lang w:val="es-PE"/>
        </w:rPr>
        <w:t>la situación</w:t>
      </w:r>
      <w:r w:rsidRPr="00660510">
        <w:rPr>
          <w:rFonts w:asciiTheme="majorHAnsi" w:hAnsiTheme="majorHAnsi"/>
          <w:sz w:val="20"/>
          <w:szCs w:val="20"/>
          <w:lang w:val="es-PE"/>
        </w:rPr>
        <w:t xml:space="preserve"> de provisionalidad, en </w:t>
      </w:r>
      <w:r w:rsidR="00C34C0C">
        <w:rPr>
          <w:rFonts w:asciiTheme="majorHAnsi" w:hAnsiTheme="majorHAnsi"/>
          <w:sz w:val="20"/>
          <w:szCs w:val="20"/>
          <w:lang w:val="es-PE"/>
        </w:rPr>
        <w:t xml:space="preserve">las sentencias de los </w:t>
      </w:r>
      <w:r w:rsidRPr="00660510">
        <w:rPr>
          <w:rFonts w:asciiTheme="majorHAnsi" w:hAnsiTheme="majorHAnsi"/>
          <w:sz w:val="20"/>
          <w:szCs w:val="20"/>
          <w:lang w:val="es-PE"/>
        </w:rPr>
        <w:t>casos</w:t>
      </w:r>
      <w:r w:rsidR="00C34C0C">
        <w:rPr>
          <w:rFonts w:asciiTheme="majorHAnsi" w:hAnsiTheme="majorHAnsi"/>
          <w:sz w:val="20"/>
          <w:szCs w:val="20"/>
          <w:lang w:val="es-PE"/>
        </w:rPr>
        <w:t xml:space="preserve"> </w:t>
      </w:r>
      <w:r w:rsidRPr="00C34C0C">
        <w:rPr>
          <w:rFonts w:asciiTheme="majorHAnsi" w:hAnsiTheme="majorHAnsi"/>
          <w:i/>
          <w:iCs/>
          <w:sz w:val="20"/>
          <w:szCs w:val="20"/>
          <w:lang w:val="es-PE"/>
        </w:rPr>
        <w:t xml:space="preserve">Apitz Barbera y otros vs. </w:t>
      </w:r>
      <w:r w:rsidR="00086989" w:rsidRPr="00C34C0C">
        <w:rPr>
          <w:rFonts w:asciiTheme="majorHAnsi" w:hAnsiTheme="majorHAnsi"/>
          <w:i/>
          <w:iCs/>
          <w:sz w:val="20"/>
          <w:szCs w:val="20"/>
          <w:lang w:val="es-PE"/>
        </w:rPr>
        <w:t>Venezuela</w:t>
      </w:r>
      <w:r w:rsidRPr="00C34C0C">
        <w:rPr>
          <w:rFonts w:asciiTheme="majorHAnsi" w:hAnsiTheme="majorHAnsi"/>
          <w:i/>
          <w:iCs/>
          <w:sz w:val="20"/>
          <w:szCs w:val="20"/>
          <w:lang w:val="es-PE"/>
        </w:rPr>
        <w:t>; y Chocrón Chocrón vs. Venezuela</w:t>
      </w:r>
      <w:r w:rsidRPr="00660510">
        <w:rPr>
          <w:rFonts w:asciiTheme="majorHAnsi" w:hAnsiTheme="majorHAnsi"/>
          <w:sz w:val="20"/>
          <w:szCs w:val="20"/>
          <w:lang w:val="es-PE"/>
        </w:rPr>
        <w:t xml:space="preserve">, la Corte IDH </w:t>
      </w:r>
      <w:r w:rsidR="00C34C0C">
        <w:rPr>
          <w:rFonts w:asciiTheme="majorHAnsi" w:hAnsiTheme="majorHAnsi"/>
          <w:sz w:val="20"/>
          <w:szCs w:val="20"/>
          <w:lang w:val="es-PE"/>
        </w:rPr>
        <w:t xml:space="preserve">estableció </w:t>
      </w:r>
      <w:r w:rsidRPr="00660510">
        <w:rPr>
          <w:rFonts w:asciiTheme="majorHAnsi" w:hAnsiTheme="majorHAnsi"/>
          <w:sz w:val="20"/>
          <w:szCs w:val="20"/>
          <w:lang w:val="es-PE"/>
        </w:rPr>
        <w:t xml:space="preserve">que </w:t>
      </w:r>
      <w:r w:rsidRPr="00660510">
        <w:rPr>
          <w:rFonts w:asciiTheme="majorHAnsi" w:hAnsiTheme="majorHAnsi"/>
          <w:i/>
          <w:iCs/>
          <w:sz w:val="20"/>
          <w:szCs w:val="20"/>
          <w:lang w:val="es-PE"/>
        </w:rPr>
        <w:t>“</w:t>
      </w:r>
      <w:r w:rsidR="00C34C0C">
        <w:rPr>
          <w:rFonts w:asciiTheme="majorHAnsi" w:hAnsiTheme="majorHAnsi"/>
          <w:i/>
          <w:iCs/>
          <w:sz w:val="20"/>
          <w:szCs w:val="20"/>
          <w:lang w:val="es-PE"/>
        </w:rPr>
        <w:t>l</w:t>
      </w:r>
      <w:r w:rsidRPr="00660510">
        <w:rPr>
          <w:rFonts w:asciiTheme="majorHAnsi" w:hAnsiTheme="majorHAnsi"/>
          <w:i/>
          <w:iCs/>
          <w:sz w:val="20"/>
          <w:szCs w:val="20"/>
          <w:lang w:val="es-PE"/>
        </w:rPr>
        <w:t xml:space="preserve">os nombramientos provisionales deben constituir una situación de </w:t>
      </w:r>
      <w:r w:rsidRPr="00660510">
        <w:rPr>
          <w:rFonts w:asciiTheme="majorHAnsi" w:hAnsiTheme="majorHAnsi"/>
          <w:i/>
          <w:iCs/>
          <w:sz w:val="20"/>
          <w:szCs w:val="20"/>
          <w:lang w:val="es-PE"/>
        </w:rPr>
        <w:lastRenderedPageBreak/>
        <w:t>excepción y no la regla. De esta manera, la extensión en el tiempo de la provisionalidad de los jueces o el hecho de que la mayoría de los jueces se encuentren en dicha situación, generan importantes obstáculos para la independencia judicial”</w:t>
      </w:r>
      <w:r w:rsidRPr="00092A6B">
        <w:rPr>
          <w:rStyle w:val="FootnoteReference"/>
          <w:rFonts w:asciiTheme="majorHAnsi" w:hAnsiTheme="majorHAnsi"/>
          <w:i/>
          <w:iCs/>
          <w:sz w:val="20"/>
          <w:szCs w:val="20"/>
          <w:lang w:val="es-PE"/>
        </w:rPr>
        <w:footnoteReference w:id="19"/>
      </w:r>
      <w:r w:rsidRPr="00660510">
        <w:rPr>
          <w:rFonts w:asciiTheme="majorHAnsi" w:hAnsiTheme="majorHAnsi"/>
          <w:i/>
          <w:iCs/>
          <w:sz w:val="20"/>
          <w:szCs w:val="20"/>
          <w:lang w:val="es-PE"/>
        </w:rPr>
        <w:t>.</w:t>
      </w:r>
    </w:p>
    <w:p w14:paraId="078892BD" w14:textId="77777777" w:rsidR="00660510" w:rsidRPr="00660510" w:rsidRDefault="00660510" w:rsidP="00660510">
      <w:pPr>
        <w:pStyle w:val="ListParagraph"/>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heme="majorHAnsi" w:hAnsiTheme="majorHAnsi"/>
          <w:sz w:val="20"/>
          <w:szCs w:val="20"/>
          <w:lang w:val="es-PE"/>
        </w:rPr>
      </w:pPr>
    </w:p>
    <w:p w14:paraId="370D156F" w14:textId="70A851BB" w:rsidR="00660510" w:rsidRDefault="00086989" w:rsidP="00C34C0C">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heme="majorHAnsi" w:hAnsiTheme="majorHAnsi"/>
          <w:sz w:val="20"/>
          <w:szCs w:val="20"/>
          <w:lang w:val="es-PE"/>
        </w:rPr>
      </w:pPr>
      <w:r w:rsidRPr="00660510">
        <w:rPr>
          <w:rFonts w:asciiTheme="majorHAnsi" w:hAnsiTheme="majorHAnsi"/>
          <w:sz w:val="20"/>
          <w:szCs w:val="20"/>
          <w:lang w:val="es-PE"/>
        </w:rPr>
        <w:t>Teniendo presente lo anterior, l</w:t>
      </w:r>
      <w:r w:rsidR="003C32F0" w:rsidRPr="00660510">
        <w:rPr>
          <w:rFonts w:asciiTheme="majorHAnsi" w:hAnsiTheme="majorHAnsi"/>
          <w:sz w:val="20"/>
          <w:szCs w:val="20"/>
          <w:lang w:val="es-PE"/>
        </w:rPr>
        <w:t xml:space="preserve">a CIDH </w:t>
      </w:r>
      <w:r w:rsidR="00C34C0C">
        <w:rPr>
          <w:rFonts w:asciiTheme="majorHAnsi" w:hAnsiTheme="majorHAnsi"/>
          <w:sz w:val="20"/>
          <w:szCs w:val="20"/>
          <w:lang w:val="es-PE"/>
        </w:rPr>
        <w:t xml:space="preserve">nota que, de acuerdo con lo alegado por la parte peticionaria, las presuntas víctimas </w:t>
      </w:r>
      <w:r w:rsidR="00092A6B" w:rsidRPr="00660510">
        <w:rPr>
          <w:rFonts w:asciiTheme="majorHAnsi" w:hAnsiTheme="majorHAnsi"/>
          <w:sz w:val="20"/>
          <w:szCs w:val="20"/>
          <w:lang w:val="es-PE"/>
        </w:rPr>
        <w:t>fueron destituid</w:t>
      </w:r>
      <w:r w:rsidR="00C34C0C">
        <w:rPr>
          <w:rFonts w:asciiTheme="majorHAnsi" w:hAnsiTheme="majorHAnsi"/>
          <w:sz w:val="20"/>
          <w:szCs w:val="20"/>
          <w:lang w:val="es-PE"/>
        </w:rPr>
        <w:t>a</w:t>
      </w:r>
      <w:r w:rsidR="00092A6B" w:rsidRPr="00660510">
        <w:rPr>
          <w:rFonts w:asciiTheme="majorHAnsi" w:hAnsiTheme="majorHAnsi"/>
          <w:sz w:val="20"/>
          <w:szCs w:val="20"/>
          <w:lang w:val="es-PE"/>
        </w:rPr>
        <w:t xml:space="preserve">s </w:t>
      </w:r>
      <w:r w:rsidR="00C34C0C">
        <w:rPr>
          <w:rFonts w:asciiTheme="majorHAnsi" w:hAnsiTheme="majorHAnsi"/>
          <w:sz w:val="20"/>
          <w:szCs w:val="20"/>
          <w:lang w:val="es-PE"/>
        </w:rPr>
        <w:t>principalmente bajo</w:t>
      </w:r>
      <w:r w:rsidR="00092A6B" w:rsidRPr="00660510">
        <w:rPr>
          <w:rFonts w:asciiTheme="majorHAnsi" w:hAnsiTheme="majorHAnsi"/>
          <w:sz w:val="20"/>
          <w:szCs w:val="20"/>
          <w:lang w:val="es-PE"/>
        </w:rPr>
        <w:t xml:space="preserve"> el argumento de la transitoriedad de sus cargos. </w:t>
      </w:r>
      <w:r w:rsidR="00C34C0C">
        <w:rPr>
          <w:rFonts w:asciiTheme="majorHAnsi" w:hAnsiTheme="majorHAnsi"/>
          <w:sz w:val="20"/>
          <w:szCs w:val="20"/>
          <w:lang w:val="es-PE"/>
        </w:rPr>
        <w:t xml:space="preserve">Así, dichas decisiones no habrían estado justificadas en la existencia de procesos disciplinarios en su contra, por lo cual, si alguna de las presuntas víctimas </w:t>
      </w:r>
      <w:r w:rsidR="00323020">
        <w:rPr>
          <w:rFonts w:asciiTheme="majorHAnsi" w:hAnsiTheme="majorHAnsi"/>
          <w:sz w:val="20"/>
          <w:szCs w:val="20"/>
          <w:lang w:val="es-PE"/>
        </w:rPr>
        <w:t>enfrentaba algún proceso de este tipo</w:t>
      </w:r>
      <w:r w:rsidR="00C34C0C">
        <w:rPr>
          <w:rFonts w:asciiTheme="majorHAnsi" w:hAnsiTheme="majorHAnsi"/>
          <w:sz w:val="20"/>
          <w:szCs w:val="20"/>
          <w:lang w:val="es-PE"/>
        </w:rPr>
        <w:t>, tal aspecto no formó parte del punto de la evaluación. Por ende, la Comisión considera importante examinar en etapa de fondo si sus destituciones</w:t>
      </w:r>
      <w:r w:rsidRPr="00660510">
        <w:rPr>
          <w:rFonts w:asciiTheme="majorHAnsi" w:hAnsiTheme="majorHAnsi"/>
          <w:sz w:val="20"/>
          <w:szCs w:val="20"/>
          <w:lang w:val="es-PE"/>
        </w:rPr>
        <w:t xml:space="preserve"> </w:t>
      </w:r>
      <w:r w:rsidR="003C32F0" w:rsidRPr="00660510">
        <w:rPr>
          <w:rFonts w:asciiTheme="majorHAnsi" w:hAnsiTheme="majorHAnsi"/>
          <w:sz w:val="20"/>
          <w:szCs w:val="20"/>
          <w:lang w:val="es-PE"/>
        </w:rPr>
        <w:t xml:space="preserve">fueron respetuosas de los derechos contemplados en la Convención Americana. </w:t>
      </w:r>
    </w:p>
    <w:p w14:paraId="0BFC1659" w14:textId="77777777" w:rsidR="00660510" w:rsidRPr="00660510" w:rsidRDefault="00660510" w:rsidP="00660510">
      <w:pPr>
        <w:pStyle w:val="ListParagraph"/>
        <w:rPr>
          <w:rFonts w:asciiTheme="majorHAnsi" w:hAnsiTheme="majorHAnsi"/>
          <w:sz w:val="20"/>
          <w:szCs w:val="20"/>
          <w:lang w:val="es-PE"/>
        </w:rPr>
      </w:pPr>
    </w:p>
    <w:p w14:paraId="78AD8028" w14:textId="7ECED692" w:rsidR="001941FC" w:rsidRDefault="003C32F0" w:rsidP="001941FC">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heme="majorHAnsi" w:hAnsiTheme="majorHAnsi"/>
          <w:sz w:val="20"/>
          <w:szCs w:val="20"/>
          <w:lang w:val="es-PE"/>
        </w:rPr>
      </w:pPr>
      <w:r w:rsidRPr="00660510">
        <w:rPr>
          <w:rFonts w:asciiTheme="majorHAnsi" w:hAnsiTheme="majorHAnsi"/>
          <w:sz w:val="20"/>
          <w:szCs w:val="20"/>
          <w:lang w:val="es-PE"/>
        </w:rPr>
        <w:t>Asimismo,</w:t>
      </w:r>
      <w:r w:rsidR="00092A6B" w:rsidRPr="00660510">
        <w:rPr>
          <w:rFonts w:asciiTheme="majorHAnsi" w:hAnsiTheme="majorHAnsi"/>
          <w:sz w:val="20"/>
          <w:szCs w:val="20"/>
          <w:lang w:val="es-PE"/>
        </w:rPr>
        <w:t xml:space="preserve"> </w:t>
      </w:r>
      <w:r w:rsidR="007D21D7" w:rsidRPr="00660510">
        <w:rPr>
          <w:rFonts w:asciiTheme="majorHAnsi" w:hAnsiTheme="majorHAnsi"/>
          <w:sz w:val="20"/>
          <w:szCs w:val="20"/>
          <w:lang w:val="es-PE"/>
        </w:rPr>
        <w:t>aunque algun</w:t>
      </w:r>
      <w:r w:rsidR="00C34C0C">
        <w:rPr>
          <w:rFonts w:asciiTheme="majorHAnsi" w:hAnsiTheme="majorHAnsi"/>
          <w:sz w:val="20"/>
          <w:szCs w:val="20"/>
          <w:lang w:val="es-PE"/>
        </w:rPr>
        <w:t>a</w:t>
      </w:r>
      <w:r w:rsidR="007D21D7" w:rsidRPr="00660510">
        <w:rPr>
          <w:rFonts w:asciiTheme="majorHAnsi" w:hAnsiTheme="majorHAnsi"/>
          <w:sz w:val="20"/>
          <w:szCs w:val="20"/>
          <w:lang w:val="es-PE"/>
        </w:rPr>
        <w:t xml:space="preserve">s </w:t>
      </w:r>
      <w:r w:rsidR="00C34C0C">
        <w:rPr>
          <w:rFonts w:asciiTheme="majorHAnsi" w:hAnsiTheme="majorHAnsi"/>
          <w:sz w:val="20"/>
          <w:szCs w:val="20"/>
          <w:lang w:val="es-PE"/>
        </w:rPr>
        <w:t>de las presuntas víctimas habrían</w:t>
      </w:r>
      <w:r w:rsidR="00092A6B" w:rsidRPr="00660510">
        <w:rPr>
          <w:rFonts w:asciiTheme="majorHAnsi" w:hAnsiTheme="majorHAnsi"/>
          <w:sz w:val="20"/>
          <w:szCs w:val="20"/>
          <w:lang w:val="es-PE"/>
        </w:rPr>
        <w:t xml:space="preserve"> logra</w:t>
      </w:r>
      <w:r w:rsidR="00C34C0C">
        <w:rPr>
          <w:rFonts w:asciiTheme="majorHAnsi" w:hAnsiTheme="majorHAnsi"/>
          <w:sz w:val="20"/>
          <w:szCs w:val="20"/>
          <w:lang w:val="es-PE"/>
        </w:rPr>
        <w:t>do</w:t>
      </w:r>
      <w:r w:rsidR="00092A6B" w:rsidRPr="00660510">
        <w:rPr>
          <w:rFonts w:asciiTheme="majorHAnsi" w:hAnsiTheme="majorHAnsi"/>
          <w:sz w:val="20"/>
          <w:szCs w:val="20"/>
          <w:lang w:val="es-PE"/>
        </w:rPr>
        <w:t xml:space="preserve"> ingresar nuevamente a la carrera judicial, </w:t>
      </w:r>
      <w:r w:rsidR="007D21D7" w:rsidRPr="00660510">
        <w:rPr>
          <w:rFonts w:asciiTheme="majorHAnsi" w:hAnsiTheme="majorHAnsi"/>
          <w:sz w:val="20"/>
          <w:szCs w:val="20"/>
          <w:lang w:val="es-PE"/>
        </w:rPr>
        <w:t>esta nueva situación no anula la posible vulneración de derechos que se generó al momento de su destitución. Al respecto, l</w:t>
      </w:r>
      <w:r w:rsidR="00092A6B" w:rsidRPr="00660510">
        <w:rPr>
          <w:rFonts w:asciiTheme="majorHAnsi" w:hAnsiTheme="majorHAnsi"/>
          <w:sz w:val="20"/>
          <w:szCs w:val="20"/>
          <w:lang w:val="es-PE"/>
        </w:rPr>
        <w:t>a Comisión recuerda que</w:t>
      </w:r>
      <w:r w:rsidR="00D858E0">
        <w:rPr>
          <w:rFonts w:asciiTheme="majorHAnsi" w:hAnsiTheme="majorHAnsi"/>
          <w:sz w:val="20"/>
          <w:szCs w:val="20"/>
          <w:lang w:val="es-PE"/>
        </w:rPr>
        <w:t>,</w:t>
      </w:r>
      <w:r w:rsidRPr="00660510">
        <w:rPr>
          <w:rFonts w:asciiTheme="majorHAnsi" w:hAnsiTheme="majorHAnsi"/>
          <w:sz w:val="20"/>
          <w:szCs w:val="20"/>
          <w:lang w:val="es-PE"/>
        </w:rPr>
        <w:t xml:space="preserve"> para que un Estado </w:t>
      </w:r>
      <w:r w:rsidR="007D21D7" w:rsidRPr="00660510">
        <w:rPr>
          <w:rFonts w:asciiTheme="majorHAnsi" w:hAnsiTheme="majorHAnsi"/>
          <w:sz w:val="20"/>
          <w:szCs w:val="20"/>
          <w:lang w:val="es-PE"/>
        </w:rPr>
        <w:t>deje de ser responsables de</w:t>
      </w:r>
      <w:r w:rsidRPr="00660510">
        <w:rPr>
          <w:rFonts w:asciiTheme="majorHAnsi" w:hAnsiTheme="majorHAnsi"/>
          <w:sz w:val="20"/>
          <w:szCs w:val="20"/>
          <w:lang w:val="es-PE"/>
        </w:rPr>
        <w:t xml:space="preserve"> una alegada vulneración de derechos, las autoridades deben no solo cesar la afectación sino también repararla integralmente </w:t>
      </w:r>
      <w:r w:rsidR="007D21D7" w:rsidRPr="00660510">
        <w:rPr>
          <w:rFonts w:asciiTheme="majorHAnsi" w:hAnsiTheme="majorHAnsi"/>
          <w:sz w:val="20"/>
          <w:szCs w:val="20"/>
          <w:lang w:val="es-PE"/>
        </w:rPr>
        <w:t>mediante diversas medidas que pueden incluir compensaciones pecuniarias, medidas de restitución, satisfacción y garantías de no repetición</w:t>
      </w:r>
      <w:r w:rsidR="007D21D7" w:rsidRPr="007D21D7">
        <w:rPr>
          <w:rStyle w:val="FootnoteReference"/>
          <w:rFonts w:asciiTheme="majorHAnsi" w:hAnsiTheme="majorHAnsi"/>
          <w:sz w:val="20"/>
          <w:szCs w:val="20"/>
          <w:lang w:val="es-PE"/>
        </w:rPr>
        <w:footnoteReference w:id="20"/>
      </w:r>
      <w:r w:rsidR="007D21D7" w:rsidRPr="00660510">
        <w:rPr>
          <w:rFonts w:asciiTheme="majorHAnsi" w:hAnsiTheme="majorHAnsi"/>
          <w:sz w:val="20"/>
          <w:szCs w:val="20"/>
          <w:lang w:val="es-PE"/>
        </w:rPr>
        <w:t>. Este aspecto no se aprecia</w:t>
      </w:r>
      <w:r w:rsidR="00C34C0C">
        <w:rPr>
          <w:rFonts w:asciiTheme="majorHAnsi" w:hAnsiTheme="majorHAnsi"/>
          <w:sz w:val="20"/>
          <w:szCs w:val="20"/>
          <w:lang w:val="es-PE"/>
        </w:rPr>
        <w:t>,</w:t>
      </w:r>
      <w:r w:rsidR="007D21D7" w:rsidRPr="00660510">
        <w:rPr>
          <w:rFonts w:asciiTheme="majorHAnsi" w:hAnsiTheme="majorHAnsi"/>
          <w:sz w:val="20"/>
          <w:szCs w:val="20"/>
          <w:lang w:val="es-PE"/>
        </w:rPr>
        <w:t xml:space="preserve"> </w:t>
      </w:r>
      <w:r w:rsidR="007D21D7" w:rsidRPr="00C34C0C">
        <w:rPr>
          <w:rFonts w:asciiTheme="majorHAnsi" w:hAnsiTheme="majorHAnsi"/>
          <w:i/>
          <w:iCs/>
          <w:sz w:val="20"/>
          <w:szCs w:val="20"/>
          <w:lang w:val="es-PE"/>
        </w:rPr>
        <w:t>prima facie</w:t>
      </w:r>
      <w:r w:rsidR="00C34C0C">
        <w:rPr>
          <w:rFonts w:asciiTheme="majorHAnsi" w:hAnsiTheme="majorHAnsi"/>
          <w:sz w:val="20"/>
          <w:szCs w:val="20"/>
          <w:lang w:val="es-PE"/>
        </w:rPr>
        <w:t>,</w:t>
      </w:r>
      <w:r w:rsidR="007D21D7" w:rsidRPr="00660510">
        <w:rPr>
          <w:rFonts w:asciiTheme="majorHAnsi" w:hAnsiTheme="majorHAnsi"/>
          <w:sz w:val="20"/>
          <w:szCs w:val="20"/>
          <w:lang w:val="es-PE"/>
        </w:rPr>
        <w:t xml:space="preserve"> en estos casos.  </w:t>
      </w:r>
    </w:p>
    <w:p w14:paraId="331A89D3" w14:textId="77777777" w:rsidR="001941FC" w:rsidRPr="001941FC" w:rsidRDefault="001941FC" w:rsidP="001941FC">
      <w:pPr>
        <w:pStyle w:val="ListParagraph"/>
        <w:rPr>
          <w:sz w:val="20"/>
          <w:szCs w:val="20"/>
          <w:lang w:val="es-PE"/>
        </w:rPr>
      </w:pPr>
    </w:p>
    <w:p w14:paraId="11BBE6F2" w14:textId="54509B79" w:rsidR="005D0693" w:rsidRDefault="00C34C0C" w:rsidP="005D0693">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sz w:val="20"/>
          <w:szCs w:val="20"/>
          <w:lang w:val="es-PE"/>
        </w:rPr>
      </w:pPr>
      <w:r w:rsidRPr="001941FC">
        <w:rPr>
          <w:sz w:val="20"/>
          <w:szCs w:val="20"/>
          <w:lang w:val="es-PE"/>
        </w:rPr>
        <w:t>Con</w:t>
      </w:r>
      <w:r w:rsidR="00D1343B" w:rsidRPr="001941FC">
        <w:rPr>
          <w:sz w:val="20"/>
          <w:szCs w:val="20"/>
          <w:lang w:val="es-PE"/>
        </w:rPr>
        <w:t xml:space="preserve"> base a estas consideraciones, la Comisión estima que los alegatos de la parte peticionaria no resultan manifiestamente infundados y requieren un estudio de fondo, toda vez que</w:t>
      </w:r>
      <w:r w:rsidR="00D858E0">
        <w:rPr>
          <w:sz w:val="20"/>
          <w:szCs w:val="20"/>
          <w:lang w:val="es-PE"/>
        </w:rPr>
        <w:t>,</w:t>
      </w:r>
      <w:r w:rsidR="00D1343B" w:rsidRPr="001941FC">
        <w:rPr>
          <w:sz w:val="20"/>
          <w:szCs w:val="20"/>
          <w:lang w:val="es-PE"/>
        </w:rPr>
        <w:t xml:space="preserve"> de corroborarse como ciertos</w:t>
      </w:r>
      <w:r w:rsidR="00D858E0">
        <w:rPr>
          <w:sz w:val="20"/>
          <w:szCs w:val="20"/>
          <w:lang w:val="es-PE"/>
        </w:rPr>
        <w:t>,</w:t>
      </w:r>
      <w:r w:rsidR="00D1343B" w:rsidRPr="001941FC">
        <w:rPr>
          <w:sz w:val="20"/>
          <w:szCs w:val="20"/>
          <w:lang w:val="es-PE"/>
        </w:rPr>
        <w:t xml:space="preserve"> podrían constituir violaciones de los derechos protegidos en los artículos 8 (garantías judiciales), 23 (derechos políticos), 24 (igualdad ante la ley)</w:t>
      </w:r>
      <w:r w:rsidR="00574CE6">
        <w:rPr>
          <w:sz w:val="20"/>
          <w:szCs w:val="20"/>
          <w:lang w:val="es-PE"/>
        </w:rPr>
        <w:t xml:space="preserve"> y</w:t>
      </w:r>
      <w:r w:rsidR="00AE3590" w:rsidRPr="001941FC">
        <w:rPr>
          <w:sz w:val="20"/>
          <w:szCs w:val="20"/>
          <w:lang w:val="es-PE"/>
        </w:rPr>
        <w:t xml:space="preserve"> </w:t>
      </w:r>
      <w:r w:rsidR="00D1343B" w:rsidRPr="001941FC">
        <w:rPr>
          <w:sz w:val="20"/>
          <w:szCs w:val="20"/>
          <w:lang w:val="es-PE"/>
        </w:rPr>
        <w:t>25 (protección judicial) de la Convención Americana, en relación con su artículo 1.1 (obligación de respetar los derechos)</w:t>
      </w:r>
      <w:r w:rsidR="00FE3C35" w:rsidRPr="001941FC">
        <w:rPr>
          <w:sz w:val="20"/>
          <w:szCs w:val="20"/>
          <w:lang w:val="es-PE"/>
        </w:rPr>
        <w:t xml:space="preserve"> y </w:t>
      </w:r>
      <w:r w:rsidR="00FE3C35" w:rsidRPr="001941FC">
        <w:rPr>
          <w:rFonts w:cs="Calibri"/>
          <w:sz w:val="20"/>
          <w:szCs w:val="20"/>
          <w:lang w:val="es-PE"/>
        </w:rPr>
        <w:t>2 (</w:t>
      </w:r>
      <w:r w:rsidR="003103F3" w:rsidRPr="001941FC">
        <w:rPr>
          <w:rFonts w:cs="Calibri"/>
          <w:sz w:val="20"/>
          <w:szCs w:val="20"/>
          <w:lang w:val="es-PE"/>
        </w:rPr>
        <w:t>d</w:t>
      </w:r>
      <w:r w:rsidR="00FE3C35" w:rsidRPr="001941FC">
        <w:rPr>
          <w:rFonts w:cs="Calibri"/>
          <w:sz w:val="20"/>
          <w:szCs w:val="20"/>
          <w:lang w:val="es-PE"/>
        </w:rPr>
        <w:t xml:space="preserve">eber de </w:t>
      </w:r>
      <w:r w:rsidR="003103F3" w:rsidRPr="001941FC">
        <w:rPr>
          <w:rFonts w:cs="Calibri"/>
          <w:sz w:val="20"/>
          <w:szCs w:val="20"/>
          <w:lang w:val="es-PE"/>
        </w:rPr>
        <w:t>a</w:t>
      </w:r>
      <w:r w:rsidR="00FE3C35" w:rsidRPr="001941FC">
        <w:rPr>
          <w:rFonts w:cs="Calibri"/>
          <w:sz w:val="20"/>
          <w:szCs w:val="20"/>
          <w:lang w:val="es-PE"/>
        </w:rPr>
        <w:t xml:space="preserve">doptar </w:t>
      </w:r>
      <w:r w:rsidR="003103F3" w:rsidRPr="001941FC">
        <w:rPr>
          <w:rFonts w:cs="Calibri"/>
          <w:sz w:val="20"/>
          <w:szCs w:val="20"/>
          <w:lang w:val="es-PE"/>
        </w:rPr>
        <w:t>d</w:t>
      </w:r>
      <w:r w:rsidR="00FE3C35" w:rsidRPr="001941FC">
        <w:rPr>
          <w:rFonts w:cs="Calibri"/>
          <w:sz w:val="20"/>
          <w:szCs w:val="20"/>
          <w:lang w:val="es-PE"/>
        </w:rPr>
        <w:t xml:space="preserve">isposiciones de </w:t>
      </w:r>
      <w:r w:rsidR="003103F3" w:rsidRPr="001941FC">
        <w:rPr>
          <w:rFonts w:cs="Calibri"/>
          <w:sz w:val="20"/>
          <w:szCs w:val="20"/>
          <w:lang w:val="es-PE"/>
        </w:rPr>
        <w:t>d</w:t>
      </w:r>
      <w:r w:rsidR="00FE3C35" w:rsidRPr="001941FC">
        <w:rPr>
          <w:rFonts w:cs="Calibri"/>
          <w:sz w:val="20"/>
          <w:szCs w:val="20"/>
          <w:lang w:val="es-PE"/>
        </w:rPr>
        <w:t xml:space="preserve">erecho </w:t>
      </w:r>
      <w:r w:rsidR="003103F3" w:rsidRPr="001941FC">
        <w:rPr>
          <w:rFonts w:cs="Calibri"/>
          <w:sz w:val="20"/>
          <w:szCs w:val="20"/>
          <w:lang w:val="es-PE"/>
        </w:rPr>
        <w:t>i</w:t>
      </w:r>
      <w:r w:rsidR="00FE3C35" w:rsidRPr="001941FC">
        <w:rPr>
          <w:rFonts w:cs="Calibri"/>
          <w:sz w:val="20"/>
          <w:szCs w:val="20"/>
          <w:lang w:val="es-PE"/>
        </w:rPr>
        <w:t>nterno)</w:t>
      </w:r>
      <w:r w:rsidR="00D1343B" w:rsidRPr="001941FC">
        <w:rPr>
          <w:sz w:val="20"/>
          <w:szCs w:val="20"/>
          <w:lang w:val="es-PE"/>
        </w:rPr>
        <w:t xml:space="preserve">, en perjuicio de las presunta víctimas. </w:t>
      </w:r>
      <w:r w:rsidR="005C4655" w:rsidRPr="001941FC">
        <w:rPr>
          <w:sz w:val="20"/>
          <w:szCs w:val="20"/>
          <w:lang w:val="es-PE"/>
        </w:rPr>
        <w:t xml:space="preserve">Además, </w:t>
      </w:r>
      <w:r w:rsidR="001941FC">
        <w:rPr>
          <w:sz w:val="20"/>
          <w:szCs w:val="20"/>
          <w:lang w:val="es-PE"/>
        </w:rPr>
        <w:t xml:space="preserve">la Comisión también evaluará la posible vulneración al artículo 26 de la Convención </w:t>
      </w:r>
      <w:r w:rsidR="001941FC" w:rsidRPr="001941FC">
        <w:rPr>
          <w:sz w:val="20"/>
          <w:szCs w:val="20"/>
          <w:lang w:val="es-PE"/>
        </w:rPr>
        <w:t>(</w:t>
      </w:r>
      <w:r w:rsidR="00574CE6">
        <w:rPr>
          <w:sz w:val="20"/>
          <w:szCs w:val="20"/>
          <w:lang w:val="es-PE"/>
        </w:rPr>
        <w:t>d</w:t>
      </w:r>
      <w:r w:rsidR="001941FC" w:rsidRPr="001941FC">
        <w:rPr>
          <w:sz w:val="20"/>
          <w:szCs w:val="20"/>
          <w:lang w:val="es-PE"/>
        </w:rPr>
        <w:t xml:space="preserve">erechos </w:t>
      </w:r>
      <w:r w:rsidR="00574CE6">
        <w:rPr>
          <w:sz w:val="20"/>
          <w:szCs w:val="20"/>
          <w:lang w:val="es-PE"/>
        </w:rPr>
        <w:t>e</w:t>
      </w:r>
      <w:r w:rsidR="001941FC" w:rsidRPr="001941FC">
        <w:rPr>
          <w:sz w:val="20"/>
          <w:szCs w:val="20"/>
          <w:lang w:val="es-PE"/>
        </w:rPr>
        <w:t xml:space="preserve">conómicos, </w:t>
      </w:r>
      <w:r w:rsidR="00574CE6">
        <w:rPr>
          <w:sz w:val="20"/>
          <w:szCs w:val="20"/>
          <w:lang w:val="es-PE"/>
        </w:rPr>
        <w:t>s</w:t>
      </w:r>
      <w:r w:rsidR="001941FC" w:rsidRPr="001941FC">
        <w:rPr>
          <w:sz w:val="20"/>
          <w:szCs w:val="20"/>
          <w:lang w:val="es-PE"/>
        </w:rPr>
        <w:t xml:space="preserve">ociales y </w:t>
      </w:r>
      <w:r w:rsidR="00574CE6">
        <w:rPr>
          <w:sz w:val="20"/>
          <w:szCs w:val="20"/>
          <w:lang w:val="es-PE"/>
        </w:rPr>
        <w:t>c</w:t>
      </w:r>
      <w:r w:rsidR="001941FC" w:rsidRPr="001941FC">
        <w:rPr>
          <w:sz w:val="20"/>
          <w:szCs w:val="20"/>
          <w:lang w:val="es-PE"/>
        </w:rPr>
        <w:t>ulturales)</w:t>
      </w:r>
      <w:r w:rsidR="001941FC">
        <w:rPr>
          <w:sz w:val="20"/>
          <w:szCs w:val="20"/>
          <w:lang w:val="es-PE"/>
        </w:rPr>
        <w:t xml:space="preserve">, por las posibles afectaciones a la salud que sufrieron las presuntas víctimas en razón a su destitución. </w:t>
      </w:r>
    </w:p>
    <w:p w14:paraId="73A324B7" w14:textId="77777777" w:rsidR="00B550F4" w:rsidRPr="00F12A3B" w:rsidRDefault="00B550F4" w:rsidP="00F12A3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sz w:val="20"/>
          <w:szCs w:val="20"/>
          <w:lang w:val="es-PE"/>
        </w:rPr>
      </w:pPr>
    </w:p>
    <w:p w14:paraId="34425E95" w14:textId="145A5487" w:rsidR="003B690A" w:rsidRPr="006010EE" w:rsidRDefault="003B690A" w:rsidP="004A3652">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heme="majorHAnsi" w:hAnsiTheme="majorHAnsi"/>
          <w:sz w:val="20"/>
          <w:szCs w:val="20"/>
          <w:lang w:val="es-PE"/>
        </w:rPr>
      </w:pPr>
      <w:r w:rsidRPr="006010EE">
        <w:rPr>
          <w:rFonts w:asciiTheme="majorHAnsi" w:hAnsiTheme="majorHAnsi"/>
          <w:sz w:val="20"/>
          <w:szCs w:val="20"/>
          <w:lang w:val="es-PE"/>
        </w:rPr>
        <w:t xml:space="preserve">Respecto al alegado incumplimiento de la Convención Interamericana sobre la Protección de los Derechos Humanos de las Personas Mayores, el Estado es parte de esta desde el 17 de mayo de 2017. En tal sentido, la Comisión carece de competencia temporal para analizar las destituciones de las presuntas víctimas derivadas del Acuerdo de la Sala Plena N° 73/2017 del 5 de mayo de 2017, ya que ocurrieron antes de que </w:t>
      </w:r>
      <w:r w:rsidR="003E7726" w:rsidRPr="006010EE">
        <w:rPr>
          <w:rFonts w:asciiTheme="majorHAnsi" w:hAnsiTheme="majorHAnsi"/>
          <w:sz w:val="20"/>
          <w:szCs w:val="20"/>
          <w:lang w:val="es-PE"/>
        </w:rPr>
        <w:t>aquel</w:t>
      </w:r>
      <w:r w:rsidRPr="006010EE">
        <w:rPr>
          <w:rFonts w:asciiTheme="majorHAnsi" w:hAnsiTheme="majorHAnsi"/>
          <w:sz w:val="20"/>
          <w:szCs w:val="20"/>
          <w:lang w:val="es-PE"/>
        </w:rPr>
        <w:t xml:space="preserve"> depositara el </w:t>
      </w:r>
      <w:r w:rsidR="003E7726" w:rsidRPr="006010EE">
        <w:rPr>
          <w:rFonts w:asciiTheme="majorHAnsi" w:hAnsiTheme="majorHAnsi"/>
          <w:sz w:val="20"/>
          <w:szCs w:val="20"/>
          <w:lang w:val="es-PE"/>
        </w:rPr>
        <w:t xml:space="preserve">respectivo </w:t>
      </w:r>
      <w:r w:rsidRPr="006010EE">
        <w:rPr>
          <w:rFonts w:asciiTheme="majorHAnsi" w:hAnsiTheme="majorHAnsi"/>
          <w:sz w:val="20"/>
          <w:szCs w:val="20"/>
          <w:lang w:val="es-PE"/>
        </w:rPr>
        <w:t>instrumento de ratificación. Además, aunque la parte peticionaria cuestiona la destitución del señor Altamirano, ocurrida el 8 de junio de 2017 en virtud del Acuerdo de Sala Plena N° 103/2017, así como las sentencias del Tribunal Constitucional Plurinacional emitidas cuando la citada Convención ya estaba en vigor, no precisa cuál</w:t>
      </w:r>
      <w:r w:rsidR="00050ACB" w:rsidRPr="006010EE">
        <w:rPr>
          <w:rFonts w:asciiTheme="majorHAnsi" w:hAnsiTheme="majorHAnsi"/>
          <w:sz w:val="20"/>
          <w:szCs w:val="20"/>
          <w:lang w:val="es-PE"/>
        </w:rPr>
        <w:t>es</w:t>
      </w:r>
      <w:r w:rsidRPr="006010EE">
        <w:rPr>
          <w:rFonts w:asciiTheme="majorHAnsi" w:hAnsiTheme="majorHAnsi"/>
          <w:sz w:val="20"/>
          <w:szCs w:val="20"/>
          <w:lang w:val="es-PE"/>
        </w:rPr>
        <w:t xml:space="preserve"> de sus disposiciones se habría</w:t>
      </w:r>
      <w:r w:rsidR="00E077FA">
        <w:rPr>
          <w:rFonts w:asciiTheme="majorHAnsi" w:hAnsiTheme="majorHAnsi"/>
          <w:sz w:val="20"/>
          <w:szCs w:val="20"/>
          <w:lang w:val="es-PE"/>
        </w:rPr>
        <w:t>n</w:t>
      </w:r>
      <w:r w:rsidRPr="006010EE">
        <w:rPr>
          <w:rFonts w:asciiTheme="majorHAnsi" w:hAnsiTheme="majorHAnsi"/>
          <w:sz w:val="20"/>
          <w:szCs w:val="20"/>
          <w:lang w:val="es-PE"/>
        </w:rPr>
        <w:t xml:space="preserve"> incumplido ni aporta argumentos o información que permitan identificar que tales hechos puedan configura</w:t>
      </w:r>
      <w:r w:rsidR="00050ACB" w:rsidRPr="006010EE">
        <w:rPr>
          <w:rFonts w:asciiTheme="majorHAnsi" w:hAnsiTheme="majorHAnsi"/>
          <w:sz w:val="20"/>
          <w:szCs w:val="20"/>
          <w:lang w:val="es-PE"/>
        </w:rPr>
        <w:t>r</w:t>
      </w:r>
      <w:r w:rsidRPr="006010EE">
        <w:rPr>
          <w:rFonts w:asciiTheme="majorHAnsi" w:hAnsiTheme="majorHAnsi"/>
          <w:sz w:val="20"/>
          <w:szCs w:val="20"/>
          <w:lang w:val="es-PE"/>
        </w:rPr>
        <w:t xml:space="preserve"> </w:t>
      </w:r>
      <w:r w:rsidRPr="006010EE">
        <w:rPr>
          <w:rFonts w:asciiTheme="majorHAnsi" w:hAnsiTheme="majorHAnsi"/>
          <w:i/>
          <w:iCs/>
          <w:sz w:val="20"/>
          <w:szCs w:val="20"/>
          <w:lang w:val="es-PE"/>
        </w:rPr>
        <w:t>prima facie</w:t>
      </w:r>
      <w:r w:rsidRPr="006010EE">
        <w:rPr>
          <w:rFonts w:asciiTheme="majorHAnsi" w:hAnsiTheme="majorHAnsi"/>
          <w:sz w:val="20"/>
          <w:szCs w:val="20"/>
          <w:lang w:val="es-PE"/>
        </w:rPr>
        <w:t xml:space="preserve"> el desconocimiento de alguna de las obligaciones contempladas en este instrumento. Por lo tanto, se declara inadmisible este punto de la petición. No obstante, la Comisión tomará en cuenta la condición de adultos mayores de las presuntas víctimas al momento de analizar las posibles violaciones a derechos contemplados en la Convención Americana.</w:t>
      </w:r>
    </w:p>
    <w:p w14:paraId="10FE39BB" w14:textId="77777777" w:rsidR="005D0693" w:rsidRPr="005D0693" w:rsidRDefault="005D0693" w:rsidP="005D069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heme="majorHAnsi" w:hAnsiTheme="majorHAnsi"/>
          <w:sz w:val="20"/>
          <w:szCs w:val="20"/>
          <w:lang w:val="es-PE"/>
        </w:rPr>
      </w:pPr>
    </w:p>
    <w:p w14:paraId="7E31991E" w14:textId="092118BB" w:rsidR="00C34C0C" w:rsidRPr="00660510" w:rsidRDefault="00AE3590" w:rsidP="00C34C0C">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heme="majorHAnsi" w:hAnsiTheme="majorHAnsi"/>
          <w:sz w:val="20"/>
          <w:szCs w:val="20"/>
          <w:lang w:val="es-PE"/>
        </w:rPr>
      </w:pPr>
      <w:r w:rsidRPr="00660510">
        <w:rPr>
          <w:rFonts w:asciiTheme="majorHAnsi" w:hAnsiTheme="majorHAnsi" w:cs="Baskerville Old Face"/>
          <w:sz w:val="20"/>
          <w:szCs w:val="20"/>
          <w:lang w:val="es-PE"/>
        </w:rPr>
        <w:t>En relación con</w:t>
      </w:r>
      <w:r w:rsidR="00C34C0C" w:rsidRPr="00660510">
        <w:rPr>
          <w:rFonts w:asciiTheme="majorHAnsi" w:hAnsiTheme="majorHAnsi" w:cs="Baskerville Old Face"/>
          <w:sz w:val="20"/>
          <w:szCs w:val="20"/>
          <w:lang w:val="es-PE"/>
        </w:rPr>
        <w:t xml:space="preserve"> las vulneraciones a la </w:t>
      </w:r>
      <w:r w:rsidR="00C34C0C" w:rsidRPr="00660510">
        <w:rPr>
          <w:rFonts w:asciiTheme="majorHAnsi" w:hAnsiTheme="majorHAnsi"/>
          <w:sz w:val="20"/>
          <w:szCs w:val="20"/>
          <w:lang w:val="es-PE"/>
        </w:rPr>
        <w:t>Convención Interamericana para la Eliminación de todas las Formas de Discriminación contra las Personas con Discapacidad</w:t>
      </w:r>
      <w:r w:rsidR="00C34C0C" w:rsidRPr="00660510">
        <w:rPr>
          <w:rFonts w:asciiTheme="majorHAnsi" w:hAnsiTheme="majorHAnsi" w:cs="Baskerville Old Face"/>
          <w:sz w:val="20"/>
          <w:szCs w:val="20"/>
          <w:lang w:val="es-PE"/>
        </w:rPr>
        <w:t xml:space="preserve">, la Comisión </w:t>
      </w:r>
      <w:r>
        <w:rPr>
          <w:rFonts w:asciiTheme="majorHAnsi" w:hAnsiTheme="majorHAnsi" w:cs="Baskerville Old Face"/>
          <w:sz w:val="20"/>
          <w:szCs w:val="20"/>
          <w:lang w:val="es-PE"/>
        </w:rPr>
        <w:t>recuerda</w:t>
      </w:r>
      <w:r w:rsidR="00C34C0C" w:rsidRPr="00660510">
        <w:rPr>
          <w:rFonts w:asciiTheme="majorHAnsi" w:hAnsiTheme="majorHAnsi" w:cs="Baskerville Old Face"/>
          <w:sz w:val="20"/>
          <w:szCs w:val="20"/>
          <w:lang w:val="es-PE"/>
        </w:rPr>
        <w:t xml:space="preserve"> que carece de competencia para establecer violaciones a dicho tratado. Asimismo, respecto a los alegatos sobre violaciones a los artículos 3, 6 y 7 del Protocolo de San Salvador, la CIDH nota que la competencia prevista en los términos del artículo 19.6 de dicho tratado para establecer violaciones en el contexto de un caso individual se limita a los artículos 8 y 13. </w:t>
      </w:r>
      <w:r w:rsidR="00C34C0C" w:rsidRPr="00660510">
        <w:rPr>
          <w:rFonts w:asciiTheme="majorHAnsi" w:hAnsiTheme="majorHAnsi"/>
          <w:sz w:val="20"/>
          <w:szCs w:val="20"/>
          <w:lang w:val="es-PE"/>
        </w:rPr>
        <w:t xml:space="preserve">Además, la Comisión también </w:t>
      </w:r>
      <w:r w:rsidR="004B5C1C">
        <w:rPr>
          <w:rFonts w:asciiTheme="majorHAnsi" w:hAnsiTheme="majorHAnsi"/>
          <w:sz w:val="20"/>
          <w:szCs w:val="20"/>
          <w:lang w:val="es-PE"/>
        </w:rPr>
        <w:t>resalta</w:t>
      </w:r>
      <w:r w:rsidR="004B5C1C" w:rsidRPr="00660510">
        <w:rPr>
          <w:rFonts w:asciiTheme="majorHAnsi" w:hAnsiTheme="majorHAnsi"/>
          <w:sz w:val="20"/>
          <w:szCs w:val="20"/>
          <w:lang w:val="es-PE"/>
        </w:rPr>
        <w:t xml:space="preserve"> </w:t>
      </w:r>
      <w:r w:rsidR="00C34C0C" w:rsidRPr="00660510">
        <w:rPr>
          <w:rFonts w:asciiTheme="majorHAnsi" w:hAnsiTheme="majorHAnsi"/>
          <w:sz w:val="20"/>
          <w:szCs w:val="20"/>
          <w:lang w:val="es-PE"/>
        </w:rPr>
        <w:t xml:space="preserve">que, una vez que la Convención Americana entra en vigor en relación con un Estado, es ésta y no la Declaración la que pasa a ser la fuente primaria de derecho aplicable por la CIDH, siempre que la petición se refiera a la presunta violación de derechos idénticos en ambos </w:t>
      </w:r>
      <w:r w:rsidR="00C34C0C" w:rsidRPr="00660510">
        <w:rPr>
          <w:rFonts w:asciiTheme="majorHAnsi" w:hAnsiTheme="majorHAnsi"/>
          <w:sz w:val="20"/>
          <w:szCs w:val="20"/>
          <w:lang w:val="es-PE"/>
        </w:rPr>
        <w:lastRenderedPageBreak/>
        <w:t>instrumentos y no se trate de una situación de violación continua</w:t>
      </w:r>
      <w:r w:rsidR="00C34C0C">
        <w:rPr>
          <w:rStyle w:val="FootnoteReference"/>
          <w:rFonts w:asciiTheme="majorHAnsi" w:hAnsiTheme="majorHAnsi"/>
          <w:sz w:val="20"/>
          <w:szCs w:val="20"/>
          <w:lang w:val="es-PE"/>
        </w:rPr>
        <w:footnoteReference w:id="21"/>
      </w:r>
      <w:r w:rsidR="00C34C0C" w:rsidRPr="00660510">
        <w:rPr>
          <w:rFonts w:asciiTheme="majorHAnsi" w:hAnsiTheme="majorHAnsi"/>
          <w:sz w:val="20"/>
          <w:szCs w:val="20"/>
          <w:lang w:val="es-PE"/>
        </w:rPr>
        <w:t xml:space="preserve">. En tal sentido, la Comisión únicamente se limitará a determinar si, </w:t>
      </w:r>
      <w:r w:rsidR="00C34C0C" w:rsidRPr="00AE3590">
        <w:rPr>
          <w:rFonts w:asciiTheme="majorHAnsi" w:hAnsiTheme="majorHAnsi"/>
          <w:i/>
          <w:iCs/>
          <w:sz w:val="20"/>
          <w:szCs w:val="20"/>
          <w:lang w:val="es-PE"/>
        </w:rPr>
        <w:t>prima facie</w:t>
      </w:r>
      <w:r w:rsidR="00C34C0C" w:rsidRPr="00660510">
        <w:rPr>
          <w:rFonts w:asciiTheme="majorHAnsi" w:hAnsiTheme="majorHAnsi"/>
          <w:sz w:val="20"/>
          <w:szCs w:val="20"/>
          <w:lang w:val="es-PE"/>
        </w:rPr>
        <w:t xml:space="preserve">, en el presente asunto puede existir una posible afectación a los derechos contemplados en la Convención Americana. </w:t>
      </w:r>
      <w:r w:rsidR="00C34C0C" w:rsidRPr="00660510">
        <w:rPr>
          <w:rFonts w:asciiTheme="majorHAnsi" w:hAnsiTheme="majorHAnsi" w:cs="Baskerville Old Face"/>
          <w:sz w:val="20"/>
          <w:szCs w:val="20"/>
          <w:lang w:val="es-PE"/>
        </w:rPr>
        <w:t>Sin perjuicio de ello, los instrumentos mencionados podrán ser tomados en cuenta como parte del ejercicio interpretativo de las normas de la Convención Americana en la etapa de fondo del presente caso, en los términos del artículo 29 de la Convención.</w:t>
      </w:r>
    </w:p>
    <w:p w14:paraId="11273093" w14:textId="77777777" w:rsidR="00C34C0C" w:rsidRPr="00C34C0C" w:rsidRDefault="00C34C0C" w:rsidP="00C34C0C">
      <w:pPr>
        <w:pStyle w:val="ListParagraph"/>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heme="majorHAnsi" w:hAnsiTheme="majorHAnsi"/>
          <w:sz w:val="20"/>
          <w:szCs w:val="20"/>
          <w:lang w:val="es-PE"/>
        </w:rPr>
      </w:pPr>
    </w:p>
    <w:p w14:paraId="5906CA90" w14:textId="3ED3A783" w:rsidR="00FE3C35" w:rsidRPr="00A43712" w:rsidRDefault="00FE3C35" w:rsidP="00660510">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heme="majorHAnsi" w:hAnsiTheme="majorHAnsi"/>
          <w:sz w:val="20"/>
          <w:szCs w:val="20"/>
          <w:lang w:val="es-PE"/>
        </w:rPr>
      </w:pPr>
      <w:r w:rsidRPr="00A43712">
        <w:rPr>
          <w:sz w:val="20"/>
          <w:szCs w:val="20"/>
          <w:lang w:val="es-PE"/>
        </w:rPr>
        <w:t xml:space="preserve">Finalmente, respecto </w:t>
      </w:r>
      <w:r w:rsidR="00AE3590" w:rsidRPr="00A43712">
        <w:rPr>
          <w:sz w:val="20"/>
          <w:szCs w:val="20"/>
          <w:lang w:val="es-PE"/>
        </w:rPr>
        <w:t>a</w:t>
      </w:r>
      <w:r w:rsidR="00683069" w:rsidRPr="00A43712">
        <w:rPr>
          <w:sz w:val="20"/>
          <w:szCs w:val="20"/>
          <w:lang w:val="es-PE"/>
        </w:rPr>
        <w:t xml:space="preserve"> </w:t>
      </w:r>
      <w:r w:rsidR="00AE3590" w:rsidRPr="00A43712">
        <w:rPr>
          <w:sz w:val="20"/>
          <w:szCs w:val="20"/>
          <w:lang w:val="es-PE"/>
        </w:rPr>
        <w:t>l</w:t>
      </w:r>
      <w:r w:rsidR="00683069" w:rsidRPr="00A43712">
        <w:rPr>
          <w:sz w:val="20"/>
          <w:szCs w:val="20"/>
          <w:lang w:val="es-PE"/>
        </w:rPr>
        <w:t>os</w:t>
      </w:r>
      <w:r w:rsidRPr="00A43712">
        <w:rPr>
          <w:sz w:val="20"/>
          <w:szCs w:val="20"/>
          <w:lang w:val="es-PE"/>
        </w:rPr>
        <w:t xml:space="preserve"> artícul</w:t>
      </w:r>
      <w:r w:rsidR="00AE3590" w:rsidRPr="00A43712">
        <w:rPr>
          <w:sz w:val="20"/>
          <w:szCs w:val="20"/>
          <w:lang w:val="es-PE"/>
        </w:rPr>
        <w:t>o</w:t>
      </w:r>
      <w:r w:rsidR="00683069" w:rsidRPr="00A43712">
        <w:rPr>
          <w:sz w:val="20"/>
          <w:szCs w:val="20"/>
          <w:lang w:val="es-PE"/>
        </w:rPr>
        <w:t xml:space="preserve">s </w:t>
      </w:r>
      <w:r w:rsidRPr="00A43712">
        <w:rPr>
          <w:sz w:val="20"/>
          <w:szCs w:val="20"/>
          <w:lang w:val="es-PE"/>
        </w:rPr>
        <w:t>3 (derecho al reconocimiento de la personalidad jurídica)</w:t>
      </w:r>
      <w:r w:rsidR="00683069" w:rsidRPr="00A43712">
        <w:rPr>
          <w:sz w:val="20"/>
          <w:szCs w:val="20"/>
          <w:lang w:val="es-PE"/>
        </w:rPr>
        <w:t xml:space="preserve"> y 4 (derecho a la vida)</w:t>
      </w:r>
      <w:r w:rsidRPr="00A43712">
        <w:rPr>
          <w:sz w:val="20"/>
          <w:szCs w:val="20"/>
          <w:lang w:val="es-PE"/>
        </w:rPr>
        <w:t xml:space="preserve"> de la Convención Americana, la Comisión considera que la parte peticionaria no aporta argumentos o información que permitan, </w:t>
      </w:r>
      <w:r w:rsidRPr="00A43712">
        <w:rPr>
          <w:i/>
          <w:iCs/>
          <w:sz w:val="20"/>
          <w:szCs w:val="20"/>
          <w:lang w:val="es-PE"/>
        </w:rPr>
        <w:t>prima facie</w:t>
      </w:r>
      <w:r w:rsidRPr="00A43712">
        <w:rPr>
          <w:sz w:val="20"/>
          <w:szCs w:val="20"/>
          <w:lang w:val="es-PE"/>
        </w:rPr>
        <w:t>, identificar que su posible vulneración le sea internacionalmente atribuible al Estado boliviano</w:t>
      </w:r>
      <w:r w:rsidRPr="00A43712">
        <w:rPr>
          <w:rFonts w:asciiTheme="majorHAnsi" w:hAnsiTheme="majorHAnsi"/>
          <w:sz w:val="20"/>
          <w:szCs w:val="20"/>
          <w:lang w:val="es-PE"/>
        </w:rPr>
        <w:t>.</w:t>
      </w:r>
    </w:p>
    <w:p w14:paraId="29BB41F5" w14:textId="2ED5B29A" w:rsidR="003239B8" w:rsidRPr="00A43712" w:rsidRDefault="001F4523" w:rsidP="003239B8">
      <w:pPr>
        <w:pStyle w:val="ListParagraph"/>
        <w:spacing w:before="240" w:after="240"/>
        <w:jc w:val="both"/>
        <w:rPr>
          <w:rFonts w:asciiTheme="majorHAnsi" w:hAnsiTheme="majorHAnsi"/>
          <w:b/>
          <w:bCs/>
          <w:sz w:val="20"/>
          <w:szCs w:val="20"/>
          <w:lang w:val="es-ES"/>
        </w:rPr>
      </w:pPr>
      <w:r w:rsidRPr="00A43712">
        <w:rPr>
          <w:rFonts w:asciiTheme="majorHAnsi" w:hAnsiTheme="majorHAnsi"/>
          <w:b/>
          <w:bCs/>
          <w:sz w:val="20"/>
          <w:szCs w:val="20"/>
          <w:lang w:val="es-ES"/>
        </w:rPr>
        <w:t>IX</w:t>
      </w:r>
      <w:r w:rsidR="003239B8" w:rsidRPr="00A43712">
        <w:rPr>
          <w:rFonts w:asciiTheme="majorHAnsi" w:hAnsiTheme="majorHAnsi"/>
          <w:b/>
          <w:bCs/>
          <w:sz w:val="20"/>
          <w:szCs w:val="20"/>
          <w:lang w:val="es-ES"/>
        </w:rPr>
        <w:t xml:space="preserve">. </w:t>
      </w:r>
      <w:r w:rsidR="003239B8" w:rsidRPr="00A43712">
        <w:rPr>
          <w:rFonts w:asciiTheme="majorHAnsi" w:hAnsiTheme="majorHAnsi"/>
          <w:b/>
          <w:bCs/>
          <w:sz w:val="20"/>
          <w:szCs w:val="20"/>
          <w:lang w:val="es-ES"/>
        </w:rPr>
        <w:tab/>
        <w:t>DECISIÓN</w:t>
      </w:r>
    </w:p>
    <w:p w14:paraId="0FDE1D10" w14:textId="5FFBB3AE" w:rsidR="003239B8" w:rsidRPr="00FE13A5" w:rsidRDefault="003239B8" w:rsidP="005C465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FE13A5">
        <w:rPr>
          <w:rFonts w:asciiTheme="majorHAnsi" w:hAnsiTheme="majorHAnsi"/>
          <w:sz w:val="20"/>
          <w:szCs w:val="20"/>
          <w:lang w:val="es-ES"/>
        </w:rPr>
        <w:t xml:space="preserve">Declarar admisible la presente petición en relación con </w:t>
      </w:r>
      <w:r w:rsidR="000453B6" w:rsidRPr="00FE13A5">
        <w:rPr>
          <w:rFonts w:asciiTheme="majorHAnsi" w:hAnsiTheme="majorHAnsi" w:cs="Cambria"/>
          <w:color w:val="000000"/>
          <w:sz w:val="20"/>
          <w:szCs w:val="20"/>
          <w:lang w:val="es-PE" w:eastAsia="es-ES"/>
        </w:rPr>
        <w:t>los artículos 8, 23, 24</w:t>
      </w:r>
      <w:r w:rsidR="005C4655" w:rsidRPr="00FE13A5">
        <w:rPr>
          <w:rFonts w:asciiTheme="majorHAnsi" w:hAnsiTheme="majorHAnsi" w:cs="Cambria"/>
          <w:color w:val="000000"/>
          <w:sz w:val="20"/>
          <w:szCs w:val="20"/>
          <w:lang w:val="es-PE" w:eastAsia="es-ES"/>
        </w:rPr>
        <w:t>,</w:t>
      </w:r>
      <w:r w:rsidR="000453B6" w:rsidRPr="00FE13A5">
        <w:rPr>
          <w:rFonts w:asciiTheme="majorHAnsi" w:hAnsiTheme="majorHAnsi" w:cs="Cambria"/>
          <w:color w:val="000000"/>
          <w:sz w:val="20"/>
          <w:szCs w:val="20"/>
          <w:lang w:val="es-PE" w:eastAsia="es-ES"/>
        </w:rPr>
        <w:t xml:space="preserve"> 25 </w:t>
      </w:r>
      <w:r w:rsidR="005C4655" w:rsidRPr="00FE13A5">
        <w:rPr>
          <w:rFonts w:asciiTheme="majorHAnsi" w:hAnsiTheme="majorHAnsi" w:cs="Cambria"/>
          <w:color w:val="000000"/>
          <w:sz w:val="20"/>
          <w:szCs w:val="20"/>
          <w:lang w:val="es-PE" w:eastAsia="es-ES"/>
        </w:rPr>
        <w:t xml:space="preserve">y </w:t>
      </w:r>
      <w:r w:rsidR="005C4655" w:rsidRPr="00FE13A5">
        <w:rPr>
          <w:rFonts w:asciiTheme="majorHAnsi" w:hAnsiTheme="majorHAnsi"/>
          <w:sz w:val="20"/>
          <w:szCs w:val="20"/>
          <w:lang w:val="es-PE"/>
        </w:rPr>
        <w:t xml:space="preserve">26 </w:t>
      </w:r>
      <w:r w:rsidR="000453B6" w:rsidRPr="00FE13A5">
        <w:rPr>
          <w:rFonts w:asciiTheme="majorHAnsi" w:hAnsiTheme="majorHAnsi" w:cs="Cambria"/>
          <w:color w:val="000000"/>
          <w:sz w:val="20"/>
          <w:szCs w:val="20"/>
          <w:lang w:val="es-PE" w:eastAsia="es-ES"/>
        </w:rPr>
        <w:t>de la Convención Americana</w:t>
      </w:r>
      <w:r w:rsidR="0033385B" w:rsidRPr="00FE13A5">
        <w:rPr>
          <w:rFonts w:asciiTheme="majorHAnsi" w:hAnsiTheme="majorHAnsi" w:cs="Cambria"/>
          <w:color w:val="000000"/>
          <w:sz w:val="20"/>
          <w:szCs w:val="20"/>
          <w:lang w:val="es-PE" w:eastAsia="es-ES"/>
        </w:rPr>
        <w:t xml:space="preserve">; </w:t>
      </w:r>
    </w:p>
    <w:p w14:paraId="570DA61C" w14:textId="1C7B0DE8" w:rsidR="000419AD" w:rsidRPr="00FE13A5" w:rsidRDefault="000419AD" w:rsidP="005C4655">
      <w:pPr>
        <w:pStyle w:val="ListParagraph"/>
        <w:numPr>
          <w:ilvl w:val="0"/>
          <w:numId w:val="55"/>
        </w:numPr>
        <w:jc w:val="both"/>
        <w:rPr>
          <w:rFonts w:eastAsia="Arial Unicode MS" w:cs="Times New Roman"/>
          <w:color w:val="auto"/>
          <w:sz w:val="20"/>
          <w:szCs w:val="20"/>
          <w:lang w:val="es-ES" w:eastAsia="en-US"/>
        </w:rPr>
      </w:pPr>
      <w:r w:rsidRPr="00FE13A5">
        <w:rPr>
          <w:rFonts w:eastAsia="Arial Unicode MS" w:cs="Times New Roman"/>
          <w:color w:val="auto"/>
          <w:sz w:val="20"/>
          <w:szCs w:val="20"/>
          <w:lang w:val="es-ES" w:eastAsia="en-US"/>
        </w:rPr>
        <w:t xml:space="preserve">Declarar inadmisible la presente petición en relación con </w:t>
      </w:r>
      <w:r w:rsidR="003D7C10" w:rsidRPr="00FE13A5">
        <w:rPr>
          <w:color w:val="auto"/>
          <w:sz w:val="20"/>
          <w:szCs w:val="20"/>
          <w:lang w:val="es-PE"/>
        </w:rPr>
        <w:t>l</w:t>
      </w:r>
      <w:r w:rsidR="00A43712" w:rsidRPr="00FE13A5">
        <w:rPr>
          <w:color w:val="auto"/>
          <w:sz w:val="20"/>
          <w:szCs w:val="20"/>
          <w:lang w:val="es-PE"/>
        </w:rPr>
        <w:t>os</w:t>
      </w:r>
      <w:r w:rsidR="000453B6" w:rsidRPr="00FE13A5">
        <w:rPr>
          <w:color w:val="auto"/>
          <w:sz w:val="20"/>
          <w:szCs w:val="20"/>
          <w:lang w:val="es-PE"/>
        </w:rPr>
        <w:t xml:space="preserve"> artículo</w:t>
      </w:r>
      <w:r w:rsidR="00A43712" w:rsidRPr="00FE13A5">
        <w:rPr>
          <w:color w:val="auto"/>
          <w:sz w:val="20"/>
          <w:szCs w:val="20"/>
          <w:lang w:val="es-PE"/>
        </w:rPr>
        <w:t>s</w:t>
      </w:r>
      <w:r w:rsidR="000453B6" w:rsidRPr="00FE13A5">
        <w:rPr>
          <w:color w:val="auto"/>
          <w:sz w:val="20"/>
          <w:szCs w:val="20"/>
          <w:lang w:val="es-PE"/>
        </w:rPr>
        <w:t xml:space="preserve"> 3 </w:t>
      </w:r>
      <w:r w:rsidR="00A43712" w:rsidRPr="00FE13A5">
        <w:rPr>
          <w:color w:val="auto"/>
          <w:sz w:val="20"/>
          <w:szCs w:val="20"/>
          <w:lang w:val="es-PE"/>
        </w:rPr>
        <w:t>y 4</w:t>
      </w:r>
      <w:r w:rsidR="000453B6" w:rsidRPr="00FE13A5">
        <w:rPr>
          <w:sz w:val="20"/>
          <w:szCs w:val="20"/>
          <w:lang w:val="es-PE"/>
        </w:rPr>
        <w:t xml:space="preserve"> de la Convención Americana</w:t>
      </w:r>
      <w:r w:rsidR="00A758AA" w:rsidRPr="00FE13A5">
        <w:rPr>
          <w:rFonts w:eastAsia="Arial Unicode MS" w:cs="Times New Roman"/>
          <w:color w:val="auto"/>
          <w:sz w:val="20"/>
          <w:szCs w:val="20"/>
          <w:lang w:val="es-ES" w:eastAsia="en-US"/>
        </w:rPr>
        <w:t>;</w:t>
      </w:r>
      <w:r w:rsidR="004A6A54" w:rsidRPr="00FE13A5">
        <w:rPr>
          <w:rFonts w:eastAsia="Arial Unicode MS" w:cs="Times New Roman"/>
          <w:color w:val="auto"/>
          <w:sz w:val="20"/>
          <w:szCs w:val="20"/>
          <w:lang w:val="es-ES" w:eastAsia="en-US"/>
        </w:rPr>
        <w:t xml:space="preserve"> y</w:t>
      </w:r>
      <w:r w:rsidR="00A43712" w:rsidRPr="00FE13A5">
        <w:rPr>
          <w:sz w:val="20"/>
          <w:szCs w:val="20"/>
          <w:lang w:val="es-PE"/>
        </w:rPr>
        <w:t xml:space="preserve"> la </w:t>
      </w:r>
      <w:r w:rsidR="00A43712" w:rsidRPr="00FE13A5">
        <w:rPr>
          <w:bCs/>
          <w:sz w:val="20"/>
          <w:szCs w:val="20"/>
          <w:lang w:val="es-ES"/>
        </w:rPr>
        <w:t>Convención Interamericana sobre la Protección de los Derechos Humanos de las Personas Mayores</w:t>
      </w:r>
      <w:r w:rsidR="005A7936">
        <w:rPr>
          <w:bCs/>
          <w:sz w:val="20"/>
          <w:szCs w:val="20"/>
          <w:lang w:val="es-ES"/>
        </w:rPr>
        <w:t>, y;</w:t>
      </w:r>
    </w:p>
    <w:p w14:paraId="41AA5BF6" w14:textId="77777777" w:rsidR="000419AD" w:rsidRPr="00FE13A5" w:rsidRDefault="000419AD" w:rsidP="005C4655">
      <w:pPr>
        <w:pStyle w:val="ListParagraph"/>
        <w:jc w:val="both"/>
        <w:rPr>
          <w:rFonts w:eastAsia="Arial Unicode MS" w:cs="Times New Roman"/>
          <w:color w:val="auto"/>
          <w:sz w:val="20"/>
          <w:szCs w:val="20"/>
          <w:lang w:val="es-ES" w:eastAsia="en-US"/>
        </w:rPr>
      </w:pPr>
    </w:p>
    <w:p w14:paraId="12A7002C" w14:textId="77777777" w:rsidR="004A6A54" w:rsidRDefault="004A6A54" w:rsidP="005C465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FE13A5">
        <w:rPr>
          <w:rFonts w:asciiTheme="majorHAnsi" w:hAnsiTheme="majorHAnsi"/>
          <w:sz w:val="20"/>
          <w:szCs w:val="20"/>
          <w:lang w:val="es-ES"/>
        </w:rPr>
        <w:t>Notificar a las partes la presente decisión; continuar con el análisis del fondo de la cuestión; y publicar esta decisión e incluirla en su Informe Anual a la Asamblea General de la Organización de los Estados Americanos.</w:t>
      </w:r>
    </w:p>
    <w:p w14:paraId="02A6EE43" w14:textId="23767878" w:rsidR="00CC5146" w:rsidRPr="0088642B" w:rsidRDefault="00CC5146" w:rsidP="0088642B">
      <w:pPr>
        <w:pStyle w:val="paragraph"/>
        <w:spacing w:before="0" w:beforeAutospacing="0" w:after="0" w:afterAutospacing="0"/>
        <w:ind w:firstLine="720"/>
        <w:jc w:val="both"/>
        <w:textAlignment w:val="baseline"/>
        <w:rPr>
          <w:rFonts w:ascii="Segoe UI" w:hAnsi="Segoe UI" w:cs="Segoe UI"/>
          <w:sz w:val="18"/>
          <w:szCs w:val="18"/>
          <w:lang w:val="es-ES"/>
        </w:rPr>
      </w:pPr>
      <w:r>
        <w:rPr>
          <w:rStyle w:val="normaltextrun"/>
          <w:rFonts w:ascii="Cambria" w:hAnsi="Cambria" w:cs="Segoe UI"/>
          <w:sz w:val="20"/>
          <w:szCs w:val="20"/>
          <w:lang w:val="es-CL"/>
        </w:rPr>
        <w:t xml:space="preserve">Aprobado por la Comisión Interamericana de Derechos Humanos a los </w:t>
      </w:r>
      <w:r w:rsidR="00441509">
        <w:rPr>
          <w:rStyle w:val="normaltextrun"/>
          <w:rFonts w:ascii="Cambria" w:hAnsi="Cambria" w:cs="Segoe UI"/>
          <w:sz w:val="20"/>
          <w:szCs w:val="20"/>
          <w:lang w:val="es-CL"/>
        </w:rPr>
        <w:t>3</w:t>
      </w:r>
      <w:r>
        <w:rPr>
          <w:rStyle w:val="normaltextrun"/>
          <w:rFonts w:ascii="Cambria" w:hAnsi="Cambria" w:cs="Segoe UI"/>
          <w:sz w:val="20"/>
          <w:szCs w:val="20"/>
          <w:lang w:val="es-CL"/>
        </w:rPr>
        <w:t xml:space="preserve"> días del mes de </w:t>
      </w:r>
      <w:r w:rsidR="00441509">
        <w:rPr>
          <w:rStyle w:val="normaltextrun"/>
          <w:rFonts w:ascii="Cambria" w:hAnsi="Cambria" w:cs="Segoe UI"/>
          <w:sz w:val="20"/>
          <w:szCs w:val="20"/>
          <w:lang w:val="es-CL"/>
        </w:rPr>
        <w:t>septiembre</w:t>
      </w:r>
      <w:r>
        <w:rPr>
          <w:rStyle w:val="normaltextrun"/>
          <w:rFonts w:ascii="Cambria" w:hAnsi="Cambria" w:cs="Segoe UI"/>
          <w:sz w:val="20"/>
          <w:szCs w:val="20"/>
          <w:lang w:val="es-CL"/>
        </w:rPr>
        <w:t xml:space="preserve"> de 2024.  (Firmado): Carlos Bernal Pulido, Primer Vicepresidente; José Luis Caballero Ochoa, Segundo Vicepresidente; Edgar Stuardo Ralón Orellana</w:t>
      </w:r>
      <w:r w:rsidR="00441509">
        <w:rPr>
          <w:rStyle w:val="normaltextrun"/>
          <w:rFonts w:ascii="Cambria" w:hAnsi="Cambria" w:cs="Segoe UI"/>
          <w:sz w:val="20"/>
          <w:szCs w:val="20"/>
          <w:lang w:val="es-CL"/>
        </w:rPr>
        <w:t xml:space="preserve"> y</w:t>
      </w:r>
      <w:r>
        <w:rPr>
          <w:rStyle w:val="normaltextrun"/>
          <w:rFonts w:ascii="Cambria" w:hAnsi="Cambria" w:cs="Segoe UI"/>
          <w:sz w:val="20"/>
          <w:szCs w:val="20"/>
          <w:lang w:val="es-CL"/>
        </w:rPr>
        <w:t xml:space="preserve"> Andrea Pochak, </w:t>
      </w:r>
      <w:r w:rsidR="0088642B">
        <w:rPr>
          <w:rStyle w:val="normaltextrun"/>
          <w:rFonts w:ascii="Cambria" w:hAnsi="Cambria" w:cs="Segoe UI"/>
          <w:sz w:val="20"/>
          <w:szCs w:val="20"/>
          <w:lang w:val="es-CL"/>
        </w:rPr>
        <w:t>m</w:t>
      </w:r>
      <w:r>
        <w:rPr>
          <w:rStyle w:val="normaltextrun"/>
          <w:rFonts w:ascii="Cambria" w:hAnsi="Cambria" w:cs="Segoe UI"/>
          <w:sz w:val="20"/>
          <w:szCs w:val="20"/>
          <w:lang w:val="es-CL"/>
        </w:rPr>
        <w:t>iembros de la Comisión.</w:t>
      </w:r>
    </w:p>
    <w:sectPr w:rsidR="00CC5146" w:rsidRPr="0088642B"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312704" w14:textId="77777777" w:rsidR="00784E15" w:rsidRDefault="00784E15">
      <w:r>
        <w:separator/>
      </w:r>
    </w:p>
  </w:endnote>
  <w:endnote w:type="continuationSeparator" w:id="0">
    <w:p w14:paraId="2394FEC0" w14:textId="77777777" w:rsidR="00784E15" w:rsidRDefault="00784E15">
      <w:r>
        <w:continuationSeparator/>
      </w:r>
    </w:p>
  </w:endnote>
  <w:endnote w:type="continuationNotice" w:id="1">
    <w:p w14:paraId="137E1BA8" w14:textId="77777777" w:rsidR="00784E15" w:rsidRDefault="00784E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Baskerville Old Face">
    <w:panose1 w:val="02020602080505020303"/>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29E243E2" w14:textId="25B7F19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5D38F9">
          <w:rPr>
            <w:noProof/>
            <w:sz w:val="16"/>
            <w:szCs w:val="22"/>
          </w:rPr>
          <w:t>2</w:t>
        </w:r>
        <w:r w:rsidRPr="00934A2C">
          <w:rPr>
            <w:noProof/>
            <w:sz w:val="16"/>
            <w:szCs w:val="22"/>
          </w:rPr>
          <w:fldChar w:fldCharType="end"/>
        </w:r>
      </w:p>
    </w:sdtContent>
  </w:sdt>
  <w:p w14:paraId="68530E6A"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54FDC" w14:textId="77777777" w:rsidR="0070697F" w:rsidRPr="00934A2C" w:rsidRDefault="0070697F">
    <w:pPr>
      <w:pStyle w:val="Footer"/>
      <w:jc w:val="center"/>
      <w:rPr>
        <w:sz w:val="16"/>
        <w:szCs w:val="22"/>
      </w:rPr>
    </w:pPr>
  </w:p>
  <w:p w14:paraId="49059CE3"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146D4F" w14:textId="77777777" w:rsidR="00784E15" w:rsidRPr="000F35ED" w:rsidRDefault="00784E15">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67E9D739" w14:textId="77777777" w:rsidR="00784E15" w:rsidRPr="000F35ED" w:rsidRDefault="00784E15" w:rsidP="000F35ED">
      <w:pPr>
        <w:rPr>
          <w:rFonts w:asciiTheme="majorHAnsi" w:hAnsiTheme="majorHAnsi"/>
          <w:sz w:val="16"/>
          <w:szCs w:val="16"/>
        </w:rPr>
      </w:pPr>
      <w:r w:rsidRPr="000F35ED">
        <w:rPr>
          <w:rFonts w:asciiTheme="majorHAnsi" w:hAnsiTheme="majorHAnsi"/>
          <w:sz w:val="16"/>
          <w:szCs w:val="16"/>
        </w:rPr>
        <w:separator/>
      </w:r>
    </w:p>
    <w:p w14:paraId="10F29AC0" w14:textId="77777777" w:rsidR="00784E15" w:rsidRPr="000F35ED" w:rsidRDefault="00784E15"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6FB1341B" w14:textId="77777777" w:rsidR="00784E15" w:rsidRPr="000F35ED" w:rsidRDefault="00784E15"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48245A01" w14:textId="77777777" w:rsidR="00D907CC" w:rsidRPr="00A86675" w:rsidRDefault="00D907CC" w:rsidP="00A86675">
      <w:pPr>
        <w:pStyle w:val="FootnoteText"/>
        <w:ind w:firstLine="720"/>
        <w:jc w:val="both"/>
        <w:rPr>
          <w:rFonts w:asciiTheme="majorHAnsi" w:hAnsiTheme="majorHAnsi" w:cstheme="minorHAnsi"/>
          <w:sz w:val="16"/>
          <w:szCs w:val="16"/>
          <w:lang w:val="es-US"/>
        </w:rPr>
      </w:pPr>
      <w:r w:rsidRPr="00A86675">
        <w:rPr>
          <w:rStyle w:val="FootnoteReference"/>
          <w:rFonts w:asciiTheme="majorHAnsi" w:hAnsiTheme="majorHAnsi" w:cstheme="minorHAnsi"/>
          <w:sz w:val="16"/>
          <w:szCs w:val="16"/>
        </w:rPr>
        <w:footnoteRef/>
      </w:r>
      <w:r w:rsidRPr="00A86675">
        <w:rPr>
          <w:rFonts w:asciiTheme="majorHAnsi" w:hAnsiTheme="majorHAnsi" w:cstheme="minorHAnsi"/>
          <w:sz w:val="16"/>
          <w:szCs w:val="16"/>
          <w:lang w:val="es-US"/>
        </w:rPr>
        <w:t xml:space="preserve"> En adelante, “la Convención Americana” o “la Convención”.</w:t>
      </w:r>
    </w:p>
  </w:footnote>
  <w:footnote w:id="3">
    <w:p w14:paraId="2102DBE4" w14:textId="21C78516" w:rsidR="00A86675" w:rsidRPr="00A86675" w:rsidRDefault="00A86675" w:rsidP="00A8667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720"/>
        <w:jc w:val="both"/>
        <w:rPr>
          <w:rFonts w:asciiTheme="majorHAnsi" w:hAnsiTheme="majorHAnsi"/>
          <w:bCs/>
          <w:sz w:val="16"/>
          <w:szCs w:val="16"/>
          <w:lang w:val="es-ES"/>
        </w:rPr>
      </w:pPr>
      <w:r w:rsidRPr="00A86675">
        <w:rPr>
          <w:rStyle w:val="FootnoteReference"/>
          <w:rFonts w:asciiTheme="majorHAnsi" w:hAnsiTheme="majorHAnsi"/>
          <w:sz w:val="16"/>
          <w:szCs w:val="16"/>
        </w:rPr>
        <w:footnoteRef/>
      </w:r>
      <w:r w:rsidRPr="00A86675">
        <w:rPr>
          <w:rFonts w:asciiTheme="majorHAnsi" w:hAnsiTheme="majorHAnsi"/>
          <w:sz w:val="16"/>
          <w:szCs w:val="16"/>
          <w:lang w:val="es-PE"/>
        </w:rPr>
        <w:t xml:space="preserve"> </w:t>
      </w:r>
      <w:r w:rsidRPr="00A86675">
        <w:rPr>
          <w:rFonts w:asciiTheme="majorHAnsi" w:hAnsiTheme="majorHAnsi"/>
          <w:bCs/>
          <w:sz w:val="16"/>
          <w:szCs w:val="16"/>
          <w:lang w:val="es-ES"/>
        </w:rPr>
        <w:t>Art</w:t>
      </w:r>
      <w:r>
        <w:rPr>
          <w:rFonts w:asciiTheme="majorHAnsi" w:hAnsiTheme="majorHAnsi"/>
          <w:bCs/>
          <w:sz w:val="16"/>
          <w:szCs w:val="16"/>
          <w:lang w:val="es-ES"/>
        </w:rPr>
        <w:t>ículos</w:t>
      </w:r>
      <w:r w:rsidRPr="00A86675">
        <w:rPr>
          <w:rFonts w:asciiTheme="majorHAnsi" w:hAnsiTheme="majorHAnsi"/>
          <w:bCs/>
          <w:sz w:val="16"/>
          <w:szCs w:val="16"/>
          <w:lang w:val="es-ES"/>
        </w:rPr>
        <w:t xml:space="preserve"> 3 (Obligación de no discriminación)</w:t>
      </w:r>
      <w:r w:rsidR="00FE16AE">
        <w:rPr>
          <w:rFonts w:asciiTheme="majorHAnsi" w:hAnsiTheme="majorHAnsi"/>
          <w:bCs/>
          <w:sz w:val="16"/>
          <w:szCs w:val="16"/>
          <w:lang w:val="es-ES"/>
        </w:rPr>
        <w:t>,</w:t>
      </w:r>
      <w:r w:rsidRPr="00A86675">
        <w:rPr>
          <w:rFonts w:asciiTheme="majorHAnsi" w:hAnsiTheme="majorHAnsi"/>
          <w:bCs/>
          <w:sz w:val="16"/>
          <w:szCs w:val="16"/>
          <w:lang w:val="es-ES"/>
        </w:rPr>
        <w:t xml:space="preserve"> 6 (Derecho al trabajo) y 7 (Condiciones Justas, Equitativas y Satisfactorias de Trabajo) del Protocolo Adicional a la Convención Americana sobre Derechos Económicos y Culturales (</w:t>
      </w:r>
      <w:r>
        <w:rPr>
          <w:rFonts w:asciiTheme="majorHAnsi" w:hAnsiTheme="majorHAnsi"/>
          <w:bCs/>
          <w:sz w:val="16"/>
          <w:szCs w:val="16"/>
          <w:lang w:val="es-ES"/>
        </w:rPr>
        <w:t xml:space="preserve">en adelante, </w:t>
      </w:r>
      <w:r w:rsidRPr="00A86675">
        <w:rPr>
          <w:rFonts w:asciiTheme="majorHAnsi" w:hAnsiTheme="majorHAnsi"/>
          <w:bCs/>
          <w:sz w:val="16"/>
          <w:szCs w:val="16"/>
          <w:lang w:val="es-ES"/>
        </w:rPr>
        <w:t>Protocolo de San Salvador)</w:t>
      </w:r>
      <w:r>
        <w:rPr>
          <w:rFonts w:asciiTheme="majorHAnsi" w:hAnsiTheme="majorHAnsi"/>
          <w:bCs/>
          <w:sz w:val="16"/>
          <w:szCs w:val="16"/>
          <w:lang w:val="es-ES"/>
        </w:rPr>
        <w:t xml:space="preserve">; </w:t>
      </w:r>
      <w:r w:rsidRPr="00A86675">
        <w:rPr>
          <w:rFonts w:asciiTheme="majorHAnsi" w:hAnsiTheme="majorHAnsi"/>
          <w:bCs/>
          <w:sz w:val="16"/>
          <w:szCs w:val="16"/>
          <w:lang w:val="es-ES"/>
        </w:rPr>
        <w:t>II de la Declaración Americana de los Derechos y Deberes Del Hombre</w:t>
      </w:r>
      <w:r>
        <w:rPr>
          <w:rFonts w:asciiTheme="majorHAnsi" w:hAnsiTheme="majorHAnsi"/>
          <w:bCs/>
          <w:sz w:val="16"/>
          <w:szCs w:val="16"/>
          <w:lang w:val="es-ES"/>
        </w:rPr>
        <w:t xml:space="preserve">; los </w:t>
      </w:r>
      <w:r w:rsidRPr="00A86675">
        <w:rPr>
          <w:rFonts w:asciiTheme="majorHAnsi" w:hAnsiTheme="majorHAnsi"/>
          <w:bCs/>
          <w:sz w:val="16"/>
          <w:szCs w:val="16"/>
          <w:lang w:val="es-ES"/>
        </w:rPr>
        <w:t>Principios Básicos Relativos a la Independencia de la Judicatura de la</w:t>
      </w:r>
      <w:r>
        <w:rPr>
          <w:rFonts w:asciiTheme="majorHAnsi" w:hAnsiTheme="majorHAnsi"/>
          <w:bCs/>
          <w:sz w:val="16"/>
          <w:szCs w:val="16"/>
          <w:lang w:val="es-ES"/>
        </w:rPr>
        <w:t>s Naciones Unidas</w:t>
      </w:r>
      <w:r w:rsidR="00A31F2B">
        <w:rPr>
          <w:rFonts w:asciiTheme="majorHAnsi" w:hAnsiTheme="majorHAnsi"/>
          <w:bCs/>
          <w:sz w:val="16"/>
          <w:szCs w:val="16"/>
          <w:lang w:val="es-ES"/>
        </w:rPr>
        <w:t xml:space="preserve">; la </w:t>
      </w:r>
      <w:r w:rsidR="00A31F2B" w:rsidRPr="00A31F2B">
        <w:rPr>
          <w:rFonts w:asciiTheme="majorHAnsi" w:hAnsiTheme="majorHAnsi"/>
          <w:bCs/>
          <w:sz w:val="16"/>
          <w:szCs w:val="16"/>
          <w:lang w:val="es-ES"/>
        </w:rPr>
        <w:t>Convención Interamericana para la Eliminación de todas las Formas de Discriminación contra las Personas con Discapacidad</w:t>
      </w:r>
      <w:r w:rsidR="00A31F2B">
        <w:rPr>
          <w:rFonts w:asciiTheme="majorHAnsi" w:hAnsiTheme="majorHAnsi"/>
          <w:bCs/>
          <w:sz w:val="16"/>
          <w:szCs w:val="16"/>
          <w:lang w:val="es-ES"/>
        </w:rPr>
        <w:t xml:space="preserve">; y la </w:t>
      </w:r>
      <w:r w:rsidR="00A31F2B" w:rsidRPr="00A31F2B">
        <w:rPr>
          <w:rFonts w:asciiTheme="majorHAnsi" w:hAnsiTheme="majorHAnsi"/>
          <w:bCs/>
          <w:sz w:val="16"/>
          <w:szCs w:val="16"/>
          <w:lang w:val="es-ES"/>
        </w:rPr>
        <w:t>Convención Interamericana sobre la Protección de los Derechos Humanos de las Personas Mayores</w:t>
      </w:r>
      <w:r w:rsidR="00A31F2B">
        <w:rPr>
          <w:rFonts w:asciiTheme="majorHAnsi" w:hAnsiTheme="majorHAnsi"/>
          <w:bCs/>
          <w:sz w:val="16"/>
          <w:szCs w:val="16"/>
          <w:lang w:val="es-ES"/>
        </w:rPr>
        <w:t>.</w:t>
      </w:r>
    </w:p>
  </w:footnote>
  <w:footnote w:id="4">
    <w:p w14:paraId="79F07139" w14:textId="77777777" w:rsidR="008E3BFE" w:rsidRPr="007D21D7" w:rsidRDefault="008E3BFE" w:rsidP="00086989">
      <w:pPr>
        <w:pStyle w:val="FootnoteText"/>
        <w:spacing w:after="120"/>
        <w:ind w:firstLine="720"/>
        <w:jc w:val="both"/>
        <w:rPr>
          <w:rFonts w:asciiTheme="minorHAnsi" w:hAnsiTheme="minorHAnsi" w:cstheme="minorHAnsi"/>
          <w:sz w:val="16"/>
          <w:szCs w:val="16"/>
          <w:lang w:val="es-ES"/>
        </w:rPr>
      </w:pPr>
      <w:r w:rsidRPr="00A86675">
        <w:rPr>
          <w:rStyle w:val="FootnoteReference"/>
          <w:rFonts w:asciiTheme="majorHAnsi" w:hAnsiTheme="majorHAnsi" w:cstheme="minorHAnsi"/>
          <w:sz w:val="16"/>
          <w:szCs w:val="16"/>
        </w:rPr>
        <w:footnoteRef/>
      </w:r>
      <w:r w:rsidRPr="00A86675">
        <w:rPr>
          <w:rFonts w:asciiTheme="majorHAnsi" w:hAnsiTheme="majorHAnsi" w:cstheme="minorHAnsi"/>
          <w:sz w:val="16"/>
          <w:szCs w:val="16"/>
          <w:lang w:val="es-ES"/>
        </w:rPr>
        <w:t xml:space="preserve"> Las observaciones de cada parte fueron debidamente trasladadas a la parte contraria.</w:t>
      </w:r>
    </w:p>
  </w:footnote>
  <w:footnote w:id="5">
    <w:p w14:paraId="3FC9AD78" w14:textId="64DC69B0" w:rsidR="00C24825" w:rsidRPr="00302D54" w:rsidRDefault="00C24825" w:rsidP="00C24825">
      <w:pPr>
        <w:pStyle w:val="FootnoteText"/>
        <w:ind w:firstLine="720"/>
        <w:jc w:val="both"/>
        <w:rPr>
          <w:rFonts w:asciiTheme="majorHAnsi" w:hAnsiTheme="majorHAnsi" w:cstheme="minorHAnsi"/>
          <w:sz w:val="16"/>
          <w:szCs w:val="16"/>
          <w:lang w:val="es-PE"/>
        </w:rPr>
      </w:pPr>
      <w:r w:rsidRPr="00302D54">
        <w:rPr>
          <w:rStyle w:val="FootnoteReference"/>
          <w:rFonts w:asciiTheme="majorHAnsi" w:hAnsiTheme="majorHAnsi" w:cstheme="minorHAnsi"/>
          <w:sz w:val="16"/>
          <w:szCs w:val="16"/>
        </w:rPr>
        <w:footnoteRef/>
      </w:r>
      <w:r w:rsidRPr="00302D54">
        <w:rPr>
          <w:rFonts w:asciiTheme="majorHAnsi" w:hAnsiTheme="majorHAnsi" w:cstheme="minorHAnsi"/>
          <w:sz w:val="16"/>
          <w:szCs w:val="16"/>
          <w:lang w:val="es-PE"/>
        </w:rPr>
        <w:t xml:space="preserve"> La Ley N° 3 establece que: “Artículo 3 (Transitoriedad de los cargos del Poder Judicial y del Tribunal Constitucional). Se declaran transitorios todos los cargos de la Corte Suprema de Justicia, las Cortes Superiores de Distrito y Juzgados, Tribunal Agrario Nacional, el Tribunal Constitucional y el Consejo de la Judicatura, hasta que sean elegidas y posesionadas las Magistradas y Magistrados del Tribunal Supremo de Justicia, del Tribunal Agroambiental, del Tribunal Constitucional Plurinacional y Consejeros del Consejo de la Magistratura; debiéndose aplicar la Disposición Transitoria Sexta de la Constitución Política del Estado, en los casos que corresponda</w:t>
      </w:r>
      <w:r w:rsidR="005F52BA" w:rsidRPr="00302D54">
        <w:rPr>
          <w:rFonts w:asciiTheme="majorHAnsi" w:hAnsiTheme="majorHAnsi" w:cstheme="minorHAnsi"/>
          <w:sz w:val="16"/>
          <w:szCs w:val="16"/>
          <w:lang w:val="es-PE"/>
        </w:rPr>
        <w:t>”</w:t>
      </w:r>
      <w:r w:rsidRPr="00302D54">
        <w:rPr>
          <w:rFonts w:asciiTheme="majorHAnsi" w:hAnsiTheme="majorHAnsi" w:cstheme="minorHAnsi"/>
          <w:sz w:val="16"/>
          <w:szCs w:val="16"/>
          <w:lang w:val="es-PE"/>
        </w:rPr>
        <w:t>.</w:t>
      </w:r>
    </w:p>
  </w:footnote>
  <w:footnote w:id="6">
    <w:p w14:paraId="6B95CA4E" w14:textId="0ED80BD6" w:rsidR="00C24825" w:rsidRPr="00302D54" w:rsidRDefault="00C24825" w:rsidP="00C24825">
      <w:pPr>
        <w:pStyle w:val="FootnoteText"/>
        <w:ind w:firstLine="720"/>
        <w:jc w:val="both"/>
        <w:rPr>
          <w:rFonts w:asciiTheme="majorHAnsi" w:hAnsiTheme="majorHAnsi" w:cstheme="minorHAnsi"/>
          <w:sz w:val="16"/>
          <w:szCs w:val="16"/>
          <w:lang w:val="es-PE"/>
        </w:rPr>
      </w:pPr>
      <w:r w:rsidRPr="00302D54">
        <w:rPr>
          <w:rStyle w:val="FootnoteReference"/>
          <w:rFonts w:asciiTheme="majorHAnsi" w:hAnsiTheme="majorHAnsi" w:cstheme="minorHAnsi"/>
          <w:sz w:val="16"/>
          <w:szCs w:val="16"/>
        </w:rPr>
        <w:footnoteRef/>
      </w:r>
      <w:r w:rsidRPr="00302D54">
        <w:rPr>
          <w:rFonts w:asciiTheme="majorHAnsi" w:hAnsiTheme="majorHAnsi" w:cstheme="minorHAnsi"/>
          <w:sz w:val="16"/>
          <w:szCs w:val="16"/>
          <w:lang w:val="es-PE"/>
        </w:rPr>
        <w:t xml:space="preserve"> La Ley N° 260 </w:t>
      </w:r>
      <w:r w:rsidR="00450761" w:rsidRPr="00302D54">
        <w:rPr>
          <w:rFonts w:asciiTheme="majorHAnsi" w:hAnsiTheme="majorHAnsi" w:cstheme="minorHAnsi"/>
          <w:sz w:val="16"/>
          <w:szCs w:val="16"/>
          <w:lang w:val="es-PE"/>
        </w:rPr>
        <w:t>prevé</w:t>
      </w:r>
      <w:r w:rsidRPr="00302D54">
        <w:rPr>
          <w:rFonts w:asciiTheme="majorHAnsi" w:hAnsiTheme="majorHAnsi" w:cstheme="minorHAnsi"/>
          <w:sz w:val="16"/>
          <w:szCs w:val="16"/>
          <w:lang w:val="es-PE"/>
        </w:rPr>
        <w:t xml:space="preserve"> que: “Disposición Transitoria Segunda. En tanto no se designen Fiscales Superiores o Fiscales de Materia incorporadas o incorporados a la carrera fiscal, ni personal de apoyo a la función Fiscal institucionalizado conforme con la presente Ley, la o el Fiscal General del Estado podrá designarlas o designarlos interinamente, en los cargos vacantes”.</w:t>
      </w:r>
    </w:p>
  </w:footnote>
  <w:footnote w:id="7">
    <w:p w14:paraId="1E4027D8" w14:textId="2B3BE6CC" w:rsidR="003058DA" w:rsidRPr="00302D54" w:rsidRDefault="003058DA" w:rsidP="00086989">
      <w:pPr>
        <w:pStyle w:val="FootnoteText"/>
        <w:ind w:firstLine="720"/>
        <w:jc w:val="both"/>
        <w:rPr>
          <w:rFonts w:asciiTheme="majorHAnsi" w:hAnsiTheme="majorHAnsi" w:cstheme="minorHAnsi"/>
          <w:sz w:val="16"/>
          <w:szCs w:val="16"/>
          <w:lang w:val="es-PE"/>
        </w:rPr>
      </w:pPr>
      <w:r w:rsidRPr="00302D54">
        <w:rPr>
          <w:rStyle w:val="FootnoteReference"/>
          <w:rFonts w:asciiTheme="majorHAnsi" w:hAnsiTheme="majorHAnsi" w:cstheme="minorHAnsi"/>
          <w:sz w:val="16"/>
          <w:szCs w:val="16"/>
        </w:rPr>
        <w:footnoteRef/>
      </w:r>
      <w:r w:rsidRPr="00302D54">
        <w:rPr>
          <w:rFonts w:asciiTheme="majorHAnsi" w:hAnsiTheme="majorHAnsi" w:cstheme="minorHAnsi"/>
          <w:sz w:val="16"/>
          <w:szCs w:val="16"/>
          <w:lang w:val="es-PE"/>
        </w:rPr>
        <w:t xml:space="preserve"> La Constitución Política del Estado de Bolivia de 7 de febrero de 2009, </w:t>
      </w:r>
      <w:r w:rsidR="00E91ED3" w:rsidRPr="00302D54">
        <w:rPr>
          <w:rFonts w:asciiTheme="majorHAnsi" w:hAnsiTheme="majorHAnsi" w:cstheme="minorHAnsi"/>
          <w:sz w:val="16"/>
          <w:szCs w:val="16"/>
          <w:lang w:val="es-PE"/>
        </w:rPr>
        <w:t>sostiene</w:t>
      </w:r>
      <w:r w:rsidRPr="00302D54">
        <w:rPr>
          <w:rFonts w:asciiTheme="majorHAnsi" w:hAnsiTheme="majorHAnsi" w:cstheme="minorHAnsi"/>
          <w:sz w:val="16"/>
          <w:szCs w:val="16"/>
          <w:lang w:val="es-PE"/>
        </w:rPr>
        <w:t>: “Disposición Transitoria sexta: En el plazo máximo de un año después de que entre en vigencia la Ley del Órgano Judicial, y de acuerdo con ésta, se procederá a la revisión del escalafón judicial”.</w:t>
      </w:r>
    </w:p>
  </w:footnote>
  <w:footnote w:id="8">
    <w:p w14:paraId="0EAD897E" w14:textId="13DF9521" w:rsidR="003058DA" w:rsidRPr="003D7C10" w:rsidRDefault="003058DA" w:rsidP="00086989">
      <w:pPr>
        <w:pStyle w:val="Default"/>
        <w:ind w:firstLine="720"/>
        <w:jc w:val="both"/>
        <w:rPr>
          <w:rFonts w:asciiTheme="majorHAnsi" w:hAnsiTheme="majorHAnsi" w:cstheme="minorHAnsi"/>
          <w:sz w:val="16"/>
          <w:szCs w:val="16"/>
          <w:lang w:val="es-PE"/>
        </w:rPr>
      </w:pPr>
      <w:r w:rsidRPr="00302D54">
        <w:rPr>
          <w:rStyle w:val="FootnoteReference"/>
          <w:rFonts w:asciiTheme="majorHAnsi" w:hAnsiTheme="majorHAnsi" w:cstheme="minorHAnsi"/>
          <w:sz w:val="16"/>
          <w:szCs w:val="16"/>
        </w:rPr>
        <w:footnoteRef/>
      </w:r>
      <w:r w:rsidRPr="00302D54">
        <w:rPr>
          <w:rFonts w:asciiTheme="majorHAnsi" w:hAnsiTheme="majorHAnsi" w:cstheme="minorHAnsi"/>
          <w:sz w:val="16"/>
          <w:szCs w:val="16"/>
          <w:lang w:val="es-PE"/>
        </w:rPr>
        <w:t xml:space="preserve"> </w:t>
      </w:r>
      <w:r w:rsidRPr="00302D54">
        <w:rPr>
          <w:rFonts w:asciiTheme="majorHAnsi" w:eastAsia="Arial Unicode MS" w:hAnsiTheme="majorHAnsi" w:cstheme="minorHAnsi"/>
          <w:sz w:val="16"/>
          <w:szCs w:val="16"/>
          <w:bdr w:val="nil"/>
          <w:lang w:val="es-PE" w:eastAsia="es-ES"/>
        </w:rPr>
        <w:t>La Ley del Órgano Judicial de Bolivia N</w:t>
      </w:r>
      <w:r w:rsidR="00FD4C93" w:rsidRPr="00302D54">
        <w:rPr>
          <w:rFonts w:asciiTheme="majorHAnsi" w:eastAsia="Arial Unicode MS" w:hAnsiTheme="majorHAnsi" w:cstheme="minorHAnsi"/>
          <w:sz w:val="16"/>
          <w:szCs w:val="16"/>
          <w:bdr w:val="nil"/>
          <w:lang w:val="es-PE" w:eastAsia="es-ES"/>
        </w:rPr>
        <w:t>°</w:t>
      </w:r>
      <w:r w:rsidR="00E91ED3" w:rsidRPr="00302D54">
        <w:rPr>
          <w:rFonts w:asciiTheme="majorHAnsi" w:eastAsia="Arial Unicode MS" w:hAnsiTheme="majorHAnsi" w:cstheme="minorHAnsi"/>
          <w:sz w:val="16"/>
          <w:szCs w:val="16"/>
          <w:bdr w:val="nil"/>
          <w:lang w:val="es-PE" w:eastAsia="es-ES"/>
        </w:rPr>
        <w:t xml:space="preserve"> </w:t>
      </w:r>
      <w:r w:rsidRPr="00302D54">
        <w:rPr>
          <w:rFonts w:asciiTheme="majorHAnsi" w:eastAsia="Arial Unicode MS" w:hAnsiTheme="majorHAnsi" w:cstheme="minorHAnsi"/>
          <w:sz w:val="16"/>
          <w:szCs w:val="16"/>
          <w:bdr w:val="nil"/>
          <w:lang w:val="es-PE" w:eastAsia="es-ES"/>
        </w:rPr>
        <w:t xml:space="preserve">25 de 24 de junio de 2010, </w:t>
      </w:r>
      <w:r w:rsidR="00E91ED3" w:rsidRPr="00302D54">
        <w:rPr>
          <w:rFonts w:asciiTheme="majorHAnsi" w:eastAsia="Arial Unicode MS" w:hAnsiTheme="majorHAnsi" w:cstheme="minorHAnsi"/>
          <w:sz w:val="16"/>
          <w:szCs w:val="16"/>
          <w:bdr w:val="nil"/>
          <w:lang w:val="es-PE" w:eastAsia="es-ES"/>
        </w:rPr>
        <w:t>regula</w:t>
      </w:r>
      <w:r w:rsidRPr="00302D54">
        <w:rPr>
          <w:rFonts w:asciiTheme="majorHAnsi" w:eastAsia="Arial Unicode MS" w:hAnsiTheme="majorHAnsi" w:cstheme="minorHAnsi"/>
          <w:sz w:val="16"/>
          <w:szCs w:val="16"/>
          <w:bdr w:val="nil"/>
          <w:lang w:val="es-PE" w:eastAsia="es-ES"/>
        </w:rPr>
        <w:t xml:space="preserve">: “Disposición Transitoria tercera: Se establece un proceso de transición máximo de (2) dos años para que los distintos códigos que rigen la administración de justicia sean modificados para adecuarse a esta Ley y sean aprobados por la Asamblea </w:t>
      </w:r>
      <w:r w:rsidRPr="00302D54">
        <w:rPr>
          <w:rFonts w:asciiTheme="majorHAnsi" w:eastAsia="Arial Unicode MS" w:hAnsiTheme="majorHAnsi" w:cstheme="minorHAnsi"/>
          <w:sz w:val="16"/>
          <w:szCs w:val="16"/>
          <w:lang w:val="es-PE"/>
        </w:rPr>
        <w:t>Legislativa Plurinacional”.</w:t>
      </w:r>
    </w:p>
  </w:footnote>
  <w:footnote w:id="9">
    <w:p w14:paraId="32332BBC" w14:textId="6C878484" w:rsidR="005E0CA0" w:rsidRPr="00F12A3B" w:rsidRDefault="005E0CA0" w:rsidP="00441604">
      <w:pPr>
        <w:pStyle w:val="FootnoteText"/>
        <w:ind w:firstLine="720"/>
        <w:jc w:val="both"/>
        <w:rPr>
          <w:rFonts w:asciiTheme="majorHAnsi" w:hAnsiTheme="majorHAnsi" w:cstheme="minorHAnsi"/>
          <w:sz w:val="16"/>
          <w:szCs w:val="16"/>
          <w:lang w:val="es-PE"/>
        </w:rPr>
      </w:pPr>
      <w:r w:rsidRPr="003D7C10">
        <w:rPr>
          <w:rStyle w:val="FootnoteReference"/>
          <w:rFonts w:asciiTheme="majorHAnsi" w:hAnsiTheme="majorHAnsi" w:cstheme="minorHAnsi"/>
          <w:sz w:val="16"/>
          <w:szCs w:val="16"/>
        </w:rPr>
        <w:footnoteRef/>
      </w:r>
      <w:r w:rsidRPr="003D7C10">
        <w:rPr>
          <w:rFonts w:asciiTheme="majorHAnsi" w:hAnsiTheme="majorHAnsi" w:cstheme="minorHAnsi"/>
          <w:sz w:val="16"/>
          <w:szCs w:val="16"/>
          <w:lang w:val="es-PE"/>
        </w:rPr>
        <w:t xml:space="preserve"> La SCP N504/2015-S1 de 1 de junio de </w:t>
      </w:r>
      <w:r w:rsidRPr="00F12A3B">
        <w:rPr>
          <w:rFonts w:asciiTheme="majorHAnsi" w:hAnsiTheme="majorHAnsi" w:cstheme="minorHAnsi"/>
          <w:sz w:val="16"/>
          <w:szCs w:val="16"/>
          <w:lang w:val="es-PE"/>
        </w:rPr>
        <w:t>2015 estableció que todos los vocales, jueces y servidores de apoyo jurisdiccional y administrativo son transitorios, por lo que no gozan de inamovilidad. Además, la SCP 049/2016-S2</w:t>
      </w:r>
      <w:r w:rsidR="00837DC8" w:rsidRPr="00F12A3B">
        <w:rPr>
          <w:rFonts w:asciiTheme="majorHAnsi" w:hAnsiTheme="majorHAnsi" w:cstheme="minorHAnsi"/>
          <w:sz w:val="16"/>
          <w:szCs w:val="16"/>
          <w:lang w:val="es-PE"/>
        </w:rPr>
        <w:t>,</w:t>
      </w:r>
      <w:r w:rsidRPr="00F12A3B">
        <w:rPr>
          <w:rFonts w:asciiTheme="majorHAnsi" w:hAnsiTheme="majorHAnsi" w:cstheme="minorHAnsi"/>
          <w:sz w:val="16"/>
          <w:szCs w:val="16"/>
          <w:lang w:val="es-PE"/>
        </w:rPr>
        <w:t xml:space="preserve"> de 13 de mayo de 2016, reconoció que en la labor de la construcción del nuevo Órgano Judicial ha </w:t>
      </w:r>
      <w:r w:rsidR="00837DC8" w:rsidRPr="00F12A3B">
        <w:rPr>
          <w:rFonts w:asciiTheme="majorHAnsi" w:hAnsiTheme="majorHAnsi" w:cstheme="minorHAnsi"/>
          <w:sz w:val="16"/>
          <w:szCs w:val="16"/>
          <w:lang w:val="es-PE"/>
        </w:rPr>
        <w:t>previsto</w:t>
      </w:r>
      <w:r w:rsidRPr="00F12A3B">
        <w:rPr>
          <w:rFonts w:asciiTheme="majorHAnsi" w:hAnsiTheme="majorHAnsi" w:cstheme="minorHAnsi"/>
          <w:sz w:val="16"/>
          <w:szCs w:val="16"/>
          <w:lang w:val="es-PE"/>
        </w:rPr>
        <w:t xml:space="preserve"> que todos los cargos del Poder </w:t>
      </w:r>
      <w:r w:rsidR="000849CD" w:rsidRPr="00F12A3B">
        <w:rPr>
          <w:rFonts w:asciiTheme="majorHAnsi" w:hAnsiTheme="majorHAnsi" w:cstheme="minorHAnsi"/>
          <w:sz w:val="16"/>
          <w:szCs w:val="16"/>
          <w:lang w:val="es-PE"/>
        </w:rPr>
        <w:t>Judicial</w:t>
      </w:r>
      <w:r w:rsidRPr="00F12A3B">
        <w:rPr>
          <w:rFonts w:asciiTheme="majorHAnsi" w:hAnsiTheme="majorHAnsi" w:cstheme="minorHAnsi"/>
          <w:sz w:val="16"/>
          <w:szCs w:val="16"/>
          <w:lang w:val="es-PE"/>
        </w:rPr>
        <w:t xml:space="preserve"> ejercerán funciones hasta el nombramiento de los nuevos servidores públicos, a ser designados como titulares en reemplazo de los transitorios.</w:t>
      </w:r>
    </w:p>
  </w:footnote>
  <w:footnote w:id="10">
    <w:p w14:paraId="6F265BAE" w14:textId="0420B8DA" w:rsidR="003008A3" w:rsidRPr="003D7C10" w:rsidRDefault="003008A3" w:rsidP="00441604">
      <w:pPr>
        <w:pStyle w:val="FootnoteText"/>
        <w:ind w:firstLine="720"/>
        <w:jc w:val="both"/>
        <w:rPr>
          <w:rFonts w:asciiTheme="majorHAnsi" w:hAnsiTheme="majorHAnsi" w:cstheme="minorHAnsi"/>
          <w:sz w:val="16"/>
          <w:szCs w:val="16"/>
          <w:lang w:val="es-PE"/>
        </w:rPr>
      </w:pPr>
      <w:r w:rsidRPr="00F12A3B">
        <w:rPr>
          <w:rStyle w:val="FootnoteReference"/>
          <w:rFonts w:asciiTheme="majorHAnsi" w:hAnsiTheme="majorHAnsi" w:cstheme="minorHAnsi"/>
          <w:sz w:val="16"/>
          <w:szCs w:val="16"/>
        </w:rPr>
        <w:footnoteRef/>
      </w:r>
      <w:r w:rsidRPr="00F12A3B">
        <w:rPr>
          <w:rFonts w:asciiTheme="majorHAnsi" w:hAnsiTheme="majorHAnsi" w:cstheme="minorHAnsi"/>
          <w:sz w:val="16"/>
          <w:szCs w:val="16"/>
          <w:lang w:val="es-PE"/>
        </w:rPr>
        <w:t xml:space="preserve"> El Decreto Ley Nº 13</w:t>
      </w:r>
      <w:r w:rsidR="000E6A45" w:rsidRPr="00F12A3B">
        <w:rPr>
          <w:rFonts w:asciiTheme="majorHAnsi" w:hAnsiTheme="majorHAnsi" w:cstheme="minorHAnsi"/>
          <w:sz w:val="16"/>
          <w:szCs w:val="16"/>
          <w:lang w:val="es-PE"/>
        </w:rPr>
        <w:t>.</w:t>
      </w:r>
      <w:r w:rsidRPr="00F12A3B">
        <w:rPr>
          <w:rFonts w:asciiTheme="majorHAnsi" w:hAnsiTheme="majorHAnsi" w:cstheme="minorHAnsi"/>
          <w:sz w:val="16"/>
          <w:szCs w:val="16"/>
          <w:lang w:val="es-PE"/>
        </w:rPr>
        <w:t xml:space="preserve">214 en su </w:t>
      </w:r>
      <w:r w:rsidR="00B206B6" w:rsidRPr="00F12A3B">
        <w:rPr>
          <w:rFonts w:asciiTheme="majorHAnsi" w:hAnsiTheme="majorHAnsi" w:cstheme="minorHAnsi"/>
          <w:sz w:val="16"/>
          <w:szCs w:val="16"/>
          <w:lang w:val="es-PE"/>
        </w:rPr>
        <w:t>a</w:t>
      </w:r>
      <w:r w:rsidRPr="00F12A3B">
        <w:rPr>
          <w:rFonts w:asciiTheme="majorHAnsi" w:hAnsiTheme="majorHAnsi" w:cstheme="minorHAnsi"/>
          <w:sz w:val="16"/>
          <w:szCs w:val="16"/>
          <w:lang w:val="es-PE"/>
        </w:rPr>
        <w:t xml:space="preserve">rtículo 23 </w:t>
      </w:r>
      <w:r w:rsidR="00B206B6" w:rsidRPr="00F12A3B">
        <w:rPr>
          <w:rFonts w:asciiTheme="majorHAnsi" w:hAnsiTheme="majorHAnsi" w:cstheme="minorHAnsi"/>
          <w:sz w:val="16"/>
          <w:szCs w:val="16"/>
          <w:lang w:val="es-PE"/>
        </w:rPr>
        <w:t>contempla</w:t>
      </w:r>
      <w:r w:rsidR="00C85383" w:rsidRPr="00F12A3B">
        <w:rPr>
          <w:rFonts w:asciiTheme="majorHAnsi" w:hAnsiTheme="majorHAnsi" w:cstheme="minorHAnsi"/>
          <w:sz w:val="16"/>
          <w:szCs w:val="16"/>
          <w:lang w:val="es-PE"/>
        </w:rPr>
        <w:t xml:space="preserve"> que</w:t>
      </w:r>
      <w:r w:rsidRPr="00F12A3B">
        <w:rPr>
          <w:rFonts w:asciiTheme="majorHAnsi" w:hAnsiTheme="majorHAnsi" w:cstheme="minorHAnsi"/>
          <w:sz w:val="16"/>
          <w:szCs w:val="16"/>
          <w:lang w:val="es-PE"/>
        </w:rPr>
        <w:t>: “En caso de enfermedad comprobada por el médico tratante, antes de que el asegurado hubiera sido dado de baja, el derecho a las correspondientes</w:t>
      </w:r>
      <w:r w:rsidRPr="003D7C10">
        <w:rPr>
          <w:rFonts w:asciiTheme="majorHAnsi" w:hAnsiTheme="majorHAnsi" w:cstheme="minorHAnsi"/>
          <w:sz w:val="16"/>
          <w:szCs w:val="16"/>
          <w:lang w:val="es-PE"/>
        </w:rPr>
        <w:t xml:space="preserve"> prestaciones médicas por esa misma enfermedad, no se interrumpirá y podrá continuar hasta el término legal de 26 semanas o antes, si el tratamiento médico termina”.</w:t>
      </w:r>
    </w:p>
  </w:footnote>
  <w:footnote w:id="11">
    <w:p w14:paraId="7500F6E7" w14:textId="437D5272" w:rsidR="00660510" w:rsidRPr="003D7C10" w:rsidRDefault="00660510" w:rsidP="00660510">
      <w:pPr>
        <w:pStyle w:val="FootnoteText"/>
        <w:ind w:firstLine="720"/>
        <w:jc w:val="both"/>
        <w:rPr>
          <w:rFonts w:asciiTheme="majorHAnsi" w:hAnsiTheme="majorHAnsi" w:cstheme="minorHAnsi"/>
          <w:sz w:val="16"/>
          <w:szCs w:val="16"/>
          <w:lang w:val="es-ES"/>
        </w:rPr>
      </w:pPr>
      <w:r w:rsidRPr="003D7C10">
        <w:rPr>
          <w:rStyle w:val="FootnoteReference"/>
          <w:rFonts w:asciiTheme="majorHAnsi" w:hAnsiTheme="majorHAnsi" w:cstheme="minorHAnsi"/>
          <w:sz w:val="16"/>
          <w:szCs w:val="16"/>
        </w:rPr>
        <w:footnoteRef/>
      </w:r>
      <w:r w:rsidRPr="003D7C10">
        <w:rPr>
          <w:rFonts w:asciiTheme="majorHAnsi" w:hAnsiTheme="majorHAnsi" w:cstheme="minorHAnsi"/>
          <w:sz w:val="16"/>
          <w:szCs w:val="16"/>
          <w:lang w:val="es-PE"/>
        </w:rPr>
        <w:t xml:space="preserve"> Corte IDH</w:t>
      </w:r>
      <w:r>
        <w:rPr>
          <w:rFonts w:asciiTheme="majorHAnsi" w:hAnsiTheme="majorHAnsi" w:cstheme="minorHAnsi"/>
          <w:sz w:val="16"/>
          <w:szCs w:val="16"/>
          <w:lang w:val="es-PE"/>
        </w:rPr>
        <w:t>,</w:t>
      </w:r>
      <w:r w:rsidRPr="003D7C10">
        <w:rPr>
          <w:rFonts w:asciiTheme="majorHAnsi" w:hAnsiTheme="majorHAnsi" w:cstheme="minorHAnsi"/>
          <w:sz w:val="16"/>
          <w:szCs w:val="16"/>
          <w:lang w:val="es-PE"/>
        </w:rPr>
        <w:t xml:space="preserve"> </w:t>
      </w:r>
      <w:r w:rsidRPr="008228CC">
        <w:rPr>
          <w:rFonts w:asciiTheme="majorHAnsi" w:hAnsiTheme="majorHAnsi" w:cstheme="minorHAnsi"/>
          <w:i/>
          <w:iCs/>
          <w:sz w:val="16"/>
          <w:szCs w:val="16"/>
          <w:lang w:val="es-PE"/>
        </w:rPr>
        <w:t>Caso Cuya Lavy y Otros Vs. Perú</w:t>
      </w:r>
      <w:r>
        <w:rPr>
          <w:rFonts w:asciiTheme="majorHAnsi" w:hAnsiTheme="majorHAnsi" w:cstheme="minorHAnsi"/>
          <w:sz w:val="16"/>
          <w:szCs w:val="16"/>
          <w:lang w:val="es-PE"/>
        </w:rPr>
        <w:t>,</w:t>
      </w:r>
      <w:r w:rsidRPr="003D7C10">
        <w:rPr>
          <w:rFonts w:asciiTheme="majorHAnsi" w:hAnsiTheme="majorHAnsi" w:cstheme="minorHAnsi"/>
          <w:sz w:val="16"/>
          <w:szCs w:val="16"/>
          <w:lang w:val="es-PE"/>
        </w:rPr>
        <w:t xml:space="preserve"> Sentencia de 28 de septiembre de 2021</w:t>
      </w:r>
      <w:r w:rsidR="001941FC">
        <w:rPr>
          <w:rFonts w:asciiTheme="majorHAnsi" w:hAnsiTheme="majorHAnsi" w:cstheme="minorHAnsi"/>
          <w:sz w:val="16"/>
          <w:szCs w:val="16"/>
          <w:lang w:val="es-PE"/>
        </w:rPr>
        <w:t xml:space="preserve">, </w:t>
      </w:r>
      <w:r w:rsidRPr="003D7C10">
        <w:rPr>
          <w:rFonts w:asciiTheme="majorHAnsi" w:hAnsiTheme="majorHAnsi" w:cstheme="minorHAnsi"/>
          <w:sz w:val="16"/>
          <w:szCs w:val="16"/>
          <w:lang w:val="es-PE"/>
        </w:rPr>
        <w:t>Excepciones Preliminares, Fondo, Reparaciones y Costas</w:t>
      </w:r>
      <w:r w:rsidR="007C1177">
        <w:rPr>
          <w:rFonts w:asciiTheme="majorHAnsi" w:hAnsiTheme="majorHAnsi" w:cstheme="minorHAnsi"/>
          <w:sz w:val="16"/>
          <w:szCs w:val="16"/>
          <w:lang w:val="es-PE"/>
        </w:rPr>
        <w:t>,</w:t>
      </w:r>
      <w:r w:rsidR="001941FC">
        <w:rPr>
          <w:rFonts w:asciiTheme="majorHAnsi" w:hAnsiTheme="majorHAnsi" w:cstheme="minorHAnsi"/>
          <w:sz w:val="16"/>
          <w:szCs w:val="16"/>
          <w:lang w:val="es-PE"/>
        </w:rPr>
        <w:t xml:space="preserve"> </w:t>
      </w:r>
      <w:r w:rsidR="001941FC" w:rsidRPr="001941FC">
        <w:rPr>
          <w:rFonts w:asciiTheme="majorHAnsi" w:hAnsiTheme="majorHAnsi" w:cstheme="minorHAnsi"/>
          <w:sz w:val="16"/>
          <w:szCs w:val="16"/>
          <w:lang w:val="es-PE"/>
        </w:rPr>
        <w:t>Sentencia de 28 de septiembre de 2021</w:t>
      </w:r>
      <w:r w:rsidR="00DF386C">
        <w:rPr>
          <w:rFonts w:asciiTheme="majorHAnsi" w:hAnsiTheme="majorHAnsi" w:cstheme="minorHAnsi"/>
          <w:sz w:val="16"/>
          <w:szCs w:val="16"/>
          <w:lang w:val="es-PE"/>
        </w:rPr>
        <w:t>,</w:t>
      </w:r>
      <w:r w:rsidR="001941FC">
        <w:rPr>
          <w:rFonts w:asciiTheme="majorHAnsi" w:hAnsiTheme="majorHAnsi" w:cstheme="minorHAnsi"/>
          <w:sz w:val="16"/>
          <w:szCs w:val="16"/>
          <w:lang w:val="es-PE"/>
        </w:rPr>
        <w:t xml:space="preserve"> </w:t>
      </w:r>
      <w:r w:rsidR="001941FC" w:rsidRPr="001941FC">
        <w:rPr>
          <w:rFonts w:asciiTheme="majorHAnsi" w:hAnsiTheme="majorHAnsi" w:cstheme="minorHAnsi"/>
          <w:sz w:val="16"/>
          <w:szCs w:val="16"/>
          <w:lang w:val="es-PE"/>
        </w:rPr>
        <w:t>Serie C No. 438</w:t>
      </w:r>
      <w:r w:rsidR="001941FC">
        <w:rPr>
          <w:rFonts w:asciiTheme="majorHAnsi" w:hAnsiTheme="majorHAnsi" w:cstheme="minorHAnsi"/>
          <w:sz w:val="16"/>
          <w:szCs w:val="16"/>
          <w:lang w:val="es-PE"/>
        </w:rPr>
        <w:t>, p</w:t>
      </w:r>
      <w:r w:rsidRPr="003D7C10">
        <w:rPr>
          <w:rFonts w:asciiTheme="majorHAnsi" w:hAnsiTheme="majorHAnsi" w:cstheme="minorHAnsi"/>
          <w:sz w:val="16"/>
          <w:szCs w:val="16"/>
          <w:lang w:val="es-PE"/>
        </w:rPr>
        <w:t>árr. 33.</w:t>
      </w:r>
    </w:p>
  </w:footnote>
  <w:footnote w:id="12">
    <w:p w14:paraId="09D4525A" w14:textId="7E2DD9F3" w:rsidR="004B5580" w:rsidRPr="003D7C10" w:rsidRDefault="004B5580" w:rsidP="004B5580">
      <w:pPr>
        <w:pStyle w:val="FootnoteText"/>
        <w:ind w:firstLine="720"/>
        <w:jc w:val="both"/>
        <w:rPr>
          <w:rFonts w:asciiTheme="majorHAnsi" w:hAnsiTheme="majorHAnsi" w:cstheme="minorHAnsi"/>
          <w:sz w:val="16"/>
          <w:szCs w:val="16"/>
          <w:lang w:val="es-ES"/>
        </w:rPr>
      </w:pPr>
      <w:r w:rsidRPr="003D7C10">
        <w:rPr>
          <w:rStyle w:val="FootnoteReference"/>
          <w:rFonts w:asciiTheme="majorHAnsi" w:hAnsiTheme="majorHAnsi" w:cstheme="minorHAnsi"/>
          <w:sz w:val="16"/>
          <w:szCs w:val="16"/>
        </w:rPr>
        <w:footnoteRef/>
      </w:r>
      <w:r w:rsidRPr="003D7C10">
        <w:rPr>
          <w:rFonts w:asciiTheme="majorHAnsi" w:hAnsiTheme="majorHAnsi" w:cstheme="minorHAnsi"/>
          <w:sz w:val="16"/>
          <w:szCs w:val="16"/>
          <w:lang w:val="es-PE"/>
        </w:rPr>
        <w:t xml:space="preserve"> CIDH, Informe No. 70/04, Petición 667/01, Admisibilidad, Jesús Manuel Naranjo Cárdenas y otros, Jubilados de la empresa venezolana de aviación VIASA</w:t>
      </w:r>
      <w:r w:rsidR="004B533A">
        <w:rPr>
          <w:rFonts w:asciiTheme="majorHAnsi" w:hAnsiTheme="majorHAnsi" w:cstheme="minorHAnsi"/>
          <w:sz w:val="16"/>
          <w:szCs w:val="16"/>
          <w:lang w:val="es-PE"/>
        </w:rPr>
        <w:t>,</w:t>
      </w:r>
      <w:r w:rsidRPr="003D7C10">
        <w:rPr>
          <w:rFonts w:asciiTheme="majorHAnsi" w:hAnsiTheme="majorHAnsi" w:cstheme="minorHAnsi"/>
          <w:sz w:val="16"/>
          <w:szCs w:val="16"/>
          <w:lang w:val="es-PE"/>
        </w:rPr>
        <w:t xml:space="preserve"> Venezuela, 15 de octubre de 2004, párr. 52.  </w:t>
      </w:r>
    </w:p>
  </w:footnote>
  <w:footnote w:id="13">
    <w:p w14:paraId="6E2B8986" w14:textId="2082BA47" w:rsidR="00034C32" w:rsidRPr="00F8157B" w:rsidRDefault="00034C32" w:rsidP="00034C32">
      <w:pPr>
        <w:pStyle w:val="FootnoteText"/>
        <w:ind w:firstLine="720"/>
        <w:rPr>
          <w:rFonts w:asciiTheme="majorHAnsi" w:hAnsiTheme="majorHAnsi"/>
          <w:sz w:val="16"/>
          <w:szCs w:val="16"/>
          <w:lang w:val="es-US"/>
        </w:rPr>
      </w:pPr>
      <w:r w:rsidRPr="00F8157B">
        <w:rPr>
          <w:rStyle w:val="FootnoteReference"/>
          <w:rFonts w:asciiTheme="majorHAnsi" w:hAnsiTheme="majorHAnsi"/>
          <w:sz w:val="16"/>
          <w:szCs w:val="16"/>
        </w:rPr>
        <w:footnoteRef/>
      </w:r>
      <w:r w:rsidRPr="00AD0320">
        <w:rPr>
          <w:rFonts w:asciiTheme="majorHAnsi" w:hAnsiTheme="majorHAnsi"/>
          <w:sz w:val="16"/>
          <w:szCs w:val="16"/>
          <w:lang w:val="es-ES"/>
        </w:rPr>
        <w:t xml:space="preserve"> Corte IDH, </w:t>
      </w:r>
      <w:r w:rsidRPr="00AD0320">
        <w:rPr>
          <w:rFonts w:asciiTheme="majorHAnsi" w:hAnsiTheme="majorHAnsi"/>
          <w:i/>
          <w:iCs/>
          <w:sz w:val="16"/>
          <w:szCs w:val="16"/>
          <w:lang w:val="es-ES"/>
        </w:rPr>
        <w:t xml:space="preserve">Caso Olivera Fuentes Vs. </w:t>
      </w:r>
      <w:r w:rsidRPr="00034C32">
        <w:rPr>
          <w:rFonts w:asciiTheme="majorHAnsi" w:hAnsiTheme="majorHAnsi"/>
          <w:i/>
          <w:iCs/>
          <w:sz w:val="16"/>
          <w:szCs w:val="16"/>
          <w:lang w:val="es-PE"/>
        </w:rPr>
        <w:t>Perú</w:t>
      </w:r>
      <w:r>
        <w:rPr>
          <w:rFonts w:asciiTheme="majorHAnsi" w:hAnsiTheme="majorHAnsi"/>
          <w:sz w:val="16"/>
          <w:szCs w:val="16"/>
          <w:lang w:val="es-PE"/>
        </w:rPr>
        <w:t>,</w:t>
      </w:r>
      <w:r w:rsidRPr="00F8157B">
        <w:rPr>
          <w:rFonts w:asciiTheme="majorHAnsi" w:hAnsiTheme="majorHAnsi"/>
          <w:sz w:val="16"/>
          <w:szCs w:val="16"/>
          <w:lang w:val="es-PE"/>
        </w:rPr>
        <w:t xml:space="preserve"> Excepciones Preliminares, Fondo, Reparaciones y Costas</w:t>
      </w:r>
      <w:r w:rsidR="004B533A">
        <w:rPr>
          <w:rFonts w:asciiTheme="majorHAnsi" w:hAnsiTheme="majorHAnsi"/>
          <w:sz w:val="16"/>
          <w:szCs w:val="16"/>
          <w:lang w:val="es-PE"/>
        </w:rPr>
        <w:t>,</w:t>
      </w:r>
      <w:r w:rsidRPr="00F8157B">
        <w:rPr>
          <w:rFonts w:asciiTheme="majorHAnsi" w:hAnsiTheme="majorHAnsi"/>
          <w:sz w:val="16"/>
          <w:szCs w:val="16"/>
          <w:lang w:val="es-PE"/>
        </w:rPr>
        <w:t xml:space="preserve"> </w:t>
      </w:r>
      <w:r w:rsidRPr="00034C32">
        <w:rPr>
          <w:rFonts w:asciiTheme="majorHAnsi" w:hAnsiTheme="majorHAnsi"/>
          <w:sz w:val="16"/>
          <w:szCs w:val="16"/>
          <w:lang w:val="es-PE"/>
        </w:rPr>
        <w:t>Sentencia de 4 de febrero de 2023</w:t>
      </w:r>
      <w:r w:rsidR="004B533A">
        <w:rPr>
          <w:rFonts w:asciiTheme="majorHAnsi" w:hAnsiTheme="majorHAnsi"/>
          <w:sz w:val="16"/>
          <w:szCs w:val="16"/>
          <w:lang w:val="es-PE"/>
        </w:rPr>
        <w:t>,</w:t>
      </w:r>
      <w:r w:rsidRPr="00034C32">
        <w:rPr>
          <w:rFonts w:asciiTheme="majorHAnsi" w:hAnsiTheme="majorHAnsi"/>
          <w:sz w:val="16"/>
          <w:szCs w:val="16"/>
          <w:lang w:val="es-PE"/>
        </w:rPr>
        <w:t xml:space="preserve"> Serie C No. 484, párr. 26.</w:t>
      </w:r>
    </w:p>
  </w:footnote>
  <w:footnote w:id="14">
    <w:p w14:paraId="22AA7EDE" w14:textId="594B7E5C" w:rsidR="00660510" w:rsidRPr="00660510" w:rsidRDefault="00660510" w:rsidP="00660510">
      <w:pPr>
        <w:pStyle w:val="FootnoteText"/>
        <w:ind w:firstLine="720"/>
        <w:rPr>
          <w:rFonts w:asciiTheme="majorHAnsi" w:hAnsiTheme="majorHAnsi"/>
          <w:sz w:val="16"/>
          <w:szCs w:val="16"/>
          <w:lang w:val="es-PE"/>
        </w:rPr>
      </w:pPr>
      <w:r w:rsidRPr="00660510">
        <w:rPr>
          <w:rStyle w:val="FootnoteReference"/>
          <w:rFonts w:asciiTheme="majorHAnsi" w:hAnsiTheme="majorHAnsi"/>
          <w:sz w:val="16"/>
          <w:szCs w:val="16"/>
        </w:rPr>
        <w:footnoteRef/>
      </w:r>
      <w:r w:rsidRPr="00660510">
        <w:rPr>
          <w:rFonts w:asciiTheme="majorHAnsi" w:hAnsiTheme="majorHAnsi"/>
          <w:sz w:val="16"/>
          <w:szCs w:val="16"/>
          <w:lang w:val="es-PE"/>
        </w:rPr>
        <w:t xml:space="preserve"> CIDH, Informe No. 161/17, Petición 29-07</w:t>
      </w:r>
      <w:r w:rsidR="008965C8">
        <w:rPr>
          <w:rFonts w:asciiTheme="majorHAnsi" w:hAnsiTheme="majorHAnsi"/>
          <w:sz w:val="16"/>
          <w:szCs w:val="16"/>
          <w:lang w:val="es-PE"/>
        </w:rPr>
        <w:t>,</w:t>
      </w:r>
      <w:r w:rsidRPr="00660510">
        <w:rPr>
          <w:rFonts w:asciiTheme="majorHAnsi" w:hAnsiTheme="majorHAnsi"/>
          <w:sz w:val="16"/>
          <w:szCs w:val="16"/>
          <w:lang w:val="es-PE"/>
        </w:rPr>
        <w:t xml:space="preserve"> Admisibilidad</w:t>
      </w:r>
      <w:r w:rsidR="008965C8">
        <w:rPr>
          <w:rFonts w:asciiTheme="majorHAnsi" w:hAnsiTheme="majorHAnsi"/>
          <w:sz w:val="16"/>
          <w:szCs w:val="16"/>
          <w:lang w:val="es-PE"/>
        </w:rPr>
        <w:t>,</w:t>
      </w:r>
      <w:r w:rsidRPr="00660510">
        <w:rPr>
          <w:rFonts w:asciiTheme="majorHAnsi" w:hAnsiTheme="majorHAnsi"/>
          <w:sz w:val="16"/>
          <w:szCs w:val="16"/>
          <w:lang w:val="es-PE"/>
        </w:rPr>
        <w:t xml:space="preserve"> </w:t>
      </w:r>
      <w:r w:rsidRPr="00644683">
        <w:rPr>
          <w:rFonts w:asciiTheme="majorHAnsi" w:hAnsiTheme="majorHAnsi"/>
          <w:sz w:val="16"/>
          <w:szCs w:val="16"/>
          <w:lang w:val="es-PE"/>
        </w:rPr>
        <w:t>Andy Williams Garcés Suárez y familia</w:t>
      </w:r>
      <w:r w:rsidR="008965C8">
        <w:rPr>
          <w:rFonts w:asciiTheme="majorHAnsi" w:hAnsiTheme="majorHAnsi"/>
          <w:sz w:val="16"/>
          <w:szCs w:val="16"/>
          <w:lang w:val="es-PE"/>
        </w:rPr>
        <w:t>,</w:t>
      </w:r>
      <w:r w:rsidRPr="00644683">
        <w:rPr>
          <w:rFonts w:asciiTheme="majorHAnsi" w:hAnsiTheme="majorHAnsi"/>
          <w:sz w:val="16"/>
          <w:szCs w:val="16"/>
          <w:lang w:val="es-PE"/>
        </w:rPr>
        <w:t xml:space="preserve"> </w:t>
      </w:r>
      <w:r w:rsidRPr="00660510">
        <w:rPr>
          <w:rFonts w:asciiTheme="majorHAnsi" w:hAnsiTheme="majorHAnsi"/>
          <w:sz w:val="16"/>
          <w:szCs w:val="16"/>
          <w:lang w:val="es-PE"/>
        </w:rPr>
        <w:t>Perú</w:t>
      </w:r>
      <w:r w:rsidR="008965C8">
        <w:rPr>
          <w:rFonts w:asciiTheme="majorHAnsi" w:hAnsiTheme="majorHAnsi"/>
          <w:sz w:val="16"/>
          <w:szCs w:val="16"/>
          <w:lang w:val="es-PE"/>
        </w:rPr>
        <w:t>,</w:t>
      </w:r>
      <w:r w:rsidRPr="00660510">
        <w:rPr>
          <w:rFonts w:asciiTheme="majorHAnsi" w:hAnsiTheme="majorHAnsi"/>
          <w:sz w:val="16"/>
          <w:szCs w:val="16"/>
          <w:lang w:val="es-PE"/>
        </w:rPr>
        <w:t xml:space="preserve"> 30 de noviembre de 2017, párr. 12.</w:t>
      </w:r>
    </w:p>
  </w:footnote>
  <w:footnote w:id="15">
    <w:p w14:paraId="61B59864" w14:textId="7BFC3FA0" w:rsidR="00660510" w:rsidRPr="003D7C10" w:rsidRDefault="00660510" w:rsidP="00660510">
      <w:pPr>
        <w:pStyle w:val="FootnoteText"/>
        <w:ind w:firstLine="720"/>
        <w:jc w:val="both"/>
        <w:rPr>
          <w:rFonts w:asciiTheme="majorHAnsi" w:hAnsiTheme="majorHAnsi" w:cstheme="minorHAnsi"/>
          <w:sz w:val="16"/>
          <w:szCs w:val="16"/>
          <w:lang w:val="es-ES"/>
        </w:rPr>
      </w:pPr>
      <w:r w:rsidRPr="003D7C10">
        <w:rPr>
          <w:rStyle w:val="FootnoteReference"/>
          <w:rFonts w:asciiTheme="majorHAnsi" w:hAnsiTheme="majorHAnsi" w:cstheme="minorHAnsi"/>
          <w:sz w:val="16"/>
          <w:szCs w:val="16"/>
        </w:rPr>
        <w:footnoteRef/>
      </w:r>
      <w:r w:rsidRPr="003D7C10">
        <w:rPr>
          <w:rFonts w:asciiTheme="majorHAnsi" w:hAnsiTheme="majorHAnsi" w:cstheme="minorHAnsi"/>
          <w:sz w:val="16"/>
          <w:szCs w:val="16"/>
          <w:lang w:val="es-PE"/>
        </w:rPr>
        <w:t xml:space="preserve"> CIDH, Informe No. 58/1</w:t>
      </w:r>
      <w:r w:rsidR="00DF386C">
        <w:rPr>
          <w:rFonts w:asciiTheme="majorHAnsi" w:hAnsiTheme="majorHAnsi" w:cstheme="minorHAnsi"/>
          <w:sz w:val="16"/>
          <w:szCs w:val="16"/>
          <w:lang w:val="es-PE"/>
        </w:rPr>
        <w:t>,</w:t>
      </w:r>
      <w:r w:rsidRPr="003D7C10">
        <w:rPr>
          <w:rFonts w:asciiTheme="majorHAnsi" w:hAnsiTheme="majorHAnsi" w:cstheme="minorHAnsi"/>
          <w:sz w:val="16"/>
          <w:szCs w:val="16"/>
          <w:lang w:val="es-PE"/>
        </w:rPr>
        <w:t xml:space="preserve"> Admisibilidad</w:t>
      </w:r>
      <w:r w:rsidR="00DF386C">
        <w:rPr>
          <w:rFonts w:asciiTheme="majorHAnsi" w:hAnsiTheme="majorHAnsi" w:cstheme="minorHAnsi"/>
          <w:sz w:val="16"/>
          <w:szCs w:val="16"/>
          <w:lang w:val="es-PE"/>
        </w:rPr>
        <w:t>,</w:t>
      </w:r>
      <w:r w:rsidRPr="003D7C10">
        <w:rPr>
          <w:rFonts w:asciiTheme="majorHAnsi" w:hAnsiTheme="majorHAnsi" w:cstheme="minorHAnsi"/>
          <w:sz w:val="16"/>
          <w:szCs w:val="16"/>
          <w:lang w:val="es-PE"/>
        </w:rPr>
        <w:t xml:space="preserve"> Rómulo Rubén Palma Rodríguez</w:t>
      </w:r>
      <w:r w:rsidR="00DF386C">
        <w:rPr>
          <w:rFonts w:asciiTheme="majorHAnsi" w:hAnsiTheme="majorHAnsi" w:cstheme="minorHAnsi"/>
          <w:sz w:val="16"/>
          <w:szCs w:val="16"/>
          <w:lang w:val="es-PE"/>
        </w:rPr>
        <w:t>,</w:t>
      </w:r>
      <w:r w:rsidRPr="003D7C10">
        <w:rPr>
          <w:rFonts w:asciiTheme="majorHAnsi" w:hAnsiTheme="majorHAnsi" w:cstheme="minorHAnsi"/>
          <w:sz w:val="16"/>
          <w:szCs w:val="16"/>
          <w:lang w:val="es-PE"/>
        </w:rPr>
        <w:t xml:space="preserve"> Perú</w:t>
      </w:r>
      <w:r w:rsidR="00DF386C">
        <w:rPr>
          <w:rFonts w:asciiTheme="majorHAnsi" w:hAnsiTheme="majorHAnsi" w:cstheme="minorHAnsi"/>
          <w:sz w:val="16"/>
          <w:szCs w:val="16"/>
          <w:lang w:val="es-PE"/>
        </w:rPr>
        <w:t>,</w:t>
      </w:r>
      <w:r w:rsidRPr="003D7C10">
        <w:rPr>
          <w:rFonts w:asciiTheme="majorHAnsi" w:hAnsiTheme="majorHAnsi" w:cstheme="minorHAnsi"/>
          <w:sz w:val="16"/>
          <w:szCs w:val="16"/>
          <w:lang w:val="es-PE"/>
        </w:rPr>
        <w:t xml:space="preserve"> 5 de mayo de 2018, párr. 15</w:t>
      </w:r>
      <w:r w:rsidR="008C186B">
        <w:rPr>
          <w:rFonts w:asciiTheme="majorHAnsi" w:hAnsiTheme="majorHAnsi" w:cstheme="minorHAnsi"/>
          <w:sz w:val="16"/>
          <w:szCs w:val="16"/>
          <w:lang w:val="es-PE"/>
        </w:rPr>
        <w:t>.</w:t>
      </w:r>
    </w:p>
  </w:footnote>
  <w:footnote w:id="16">
    <w:p w14:paraId="18C135E7" w14:textId="7EDAFCB7" w:rsidR="00086989" w:rsidRPr="003D7C10" w:rsidRDefault="00086989" w:rsidP="00441604">
      <w:pPr>
        <w:pStyle w:val="FootnoteText"/>
        <w:ind w:firstLine="720"/>
        <w:jc w:val="both"/>
        <w:rPr>
          <w:rFonts w:asciiTheme="majorHAnsi" w:hAnsiTheme="majorHAnsi" w:cstheme="minorHAnsi"/>
          <w:sz w:val="16"/>
          <w:szCs w:val="16"/>
          <w:lang w:val="es-ES"/>
        </w:rPr>
      </w:pPr>
      <w:r w:rsidRPr="003D7C10">
        <w:rPr>
          <w:rStyle w:val="FootnoteReference"/>
          <w:rFonts w:asciiTheme="majorHAnsi" w:hAnsiTheme="majorHAnsi" w:cstheme="minorHAnsi"/>
          <w:sz w:val="16"/>
          <w:szCs w:val="16"/>
        </w:rPr>
        <w:footnoteRef/>
      </w:r>
      <w:r w:rsidRPr="003D7C10">
        <w:rPr>
          <w:rFonts w:asciiTheme="majorHAnsi" w:hAnsiTheme="majorHAnsi" w:cstheme="minorHAnsi"/>
          <w:sz w:val="16"/>
          <w:szCs w:val="16"/>
          <w:lang w:val="es-PE"/>
        </w:rPr>
        <w:t xml:space="preserve"> CIDH</w:t>
      </w:r>
      <w:r w:rsidR="0033385B">
        <w:rPr>
          <w:rFonts w:asciiTheme="majorHAnsi" w:hAnsiTheme="majorHAnsi" w:cstheme="minorHAnsi"/>
          <w:sz w:val="16"/>
          <w:szCs w:val="16"/>
          <w:lang w:val="es-PE"/>
        </w:rPr>
        <w:t xml:space="preserve">, </w:t>
      </w:r>
      <w:r w:rsidRPr="0033385B">
        <w:rPr>
          <w:rFonts w:asciiTheme="majorHAnsi" w:hAnsiTheme="majorHAnsi" w:cstheme="minorHAnsi"/>
          <w:i/>
          <w:iCs/>
          <w:sz w:val="16"/>
          <w:szCs w:val="16"/>
          <w:lang w:val="es-PE"/>
        </w:rPr>
        <w:t>Garantías para la Independencia de las y los Operadores de Justicia. Hacia el Fortalecimiento del Acceso a la Justicia y el Estado de Derecho en las Américas</w:t>
      </w:r>
      <w:r w:rsidR="0033385B">
        <w:rPr>
          <w:rFonts w:asciiTheme="majorHAnsi" w:hAnsiTheme="majorHAnsi" w:cstheme="minorHAnsi"/>
          <w:sz w:val="16"/>
          <w:szCs w:val="16"/>
          <w:lang w:val="es-PE"/>
        </w:rPr>
        <w:t>,</w:t>
      </w:r>
      <w:r w:rsidRPr="003D7C10">
        <w:rPr>
          <w:rFonts w:asciiTheme="majorHAnsi" w:hAnsiTheme="majorHAnsi" w:cstheme="minorHAnsi"/>
          <w:sz w:val="16"/>
          <w:szCs w:val="16"/>
          <w:lang w:val="es-PE"/>
        </w:rPr>
        <w:t xml:space="preserve"> 5 de diciembre de 2013</w:t>
      </w:r>
      <w:r w:rsidR="0033385B">
        <w:rPr>
          <w:rFonts w:asciiTheme="majorHAnsi" w:hAnsiTheme="majorHAnsi" w:cstheme="minorHAnsi"/>
          <w:sz w:val="16"/>
          <w:szCs w:val="16"/>
          <w:lang w:val="es-PE"/>
        </w:rPr>
        <w:t>,</w:t>
      </w:r>
      <w:r w:rsidRPr="003D7C10">
        <w:rPr>
          <w:rFonts w:asciiTheme="majorHAnsi" w:hAnsiTheme="majorHAnsi" w:cstheme="minorHAnsi"/>
          <w:sz w:val="16"/>
          <w:szCs w:val="16"/>
          <w:lang w:val="es-PE"/>
        </w:rPr>
        <w:t xml:space="preserve"> </w:t>
      </w:r>
      <w:r w:rsidR="0033385B">
        <w:rPr>
          <w:rFonts w:asciiTheme="majorHAnsi" w:hAnsiTheme="majorHAnsi" w:cstheme="minorHAnsi"/>
          <w:sz w:val="16"/>
          <w:szCs w:val="16"/>
          <w:lang w:val="es-ES"/>
        </w:rPr>
        <w:t>p</w:t>
      </w:r>
      <w:r w:rsidRPr="003D7C10">
        <w:rPr>
          <w:rFonts w:asciiTheme="majorHAnsi" w:hAnsiTheme="majorHAnsi" w:cstheme="minorHAnsi"/>
          <w:sz w:val="16"/>
          <w:szCs w:val="16"/>
          <w:lang w:val="es-ES"/>
        </w:rPr>
        <w:t xml:space="preserve">árr. 93. </w:t>
      </w:r>
    </w:p>
  </w:footnote>
  <w:footnote w:id="17">
    <w:p w14:paraId="7F7E845C" w14:textId="45C1F8C8" w:rsidR="0000367B" w:rsidRPr="003D7C10" w:rsidRDefault="0000367B" w:rsidP="00441604">
      <w:pPr>
        <w:pStyle w:val="FootnoteText"/>
        <w:ind w:firstLine="720"/>
        <w:jc w:val="both"/>
        <w:rPr>
          <w:rFonts w:asciiTheme="majorHAnsi" w:hAnsiTheme="majorHAnsi" w:cstheme="minorHAnsi"/>
          <w:sz w:val="16"/>
          <w:szCs w:val="16"/>
          <w:lang w:val="es-ES"/>
        </w:rPr>
      </w:pPr>
      <w:r w:rsidRPr="003D7C10">
        <w:rPr>
          <w:rStyle w:val="FootnoteReference"/>
          <w:rFonts w:asciiTheme="majorHAnsi" w:hAnsiTheme="majorHAnsi" w:cstheme="minorHAnsi"/>
          <w:sz w:val="16"/>
          <w:szCs w:val="16"/>
        </w:rPr>
        <w:footnoteRef/>
      </w:r>
      <w:r w:rsidRPr="00AD0320">
        <w:rPr>
          <w:rFonts w:asciiTheme="majorHAnsi" w:hAnsiTheme="majorHAnsi" w:cstheme="minorHAnsi"/>
          <w:sz w:val="16"/>
          <w:szCs w:val="16"/>
          <w:lang w:val="es-ES"/>
        </w:rPr>
        <w:t xml:space="preserve"> Corte IDH</w:t>
      </w:r>
      <w:r w:rsidR="0033385B" w:rsidRPr="00AD0320">
        <w:rPr>
          <w:rFonts w:asciiTheme="majorHAnsi" w:hAnsiTheme="majorHAnsi" w:cstheme="minorHAnsi"/>
          <w:sz w:val="16"/>
          <w:szCs w:val="16"/>
          <w:lang w:val="es-ES"/>
        </w:rPr>
        <w:t>,</w:t>
      </w:r>
      <w:r w:rsidRPr="00AD0320">
        <w:rPr>
          <w:rFonts w:asciiTheme="majorHAnsi" w:hAnsiTheme="majorHAnsi" w:cstheme="minorHAnsi"/>
          <w:sz w:val="16"/>
          <w:szCs w:val="16"/>
          <w:lang w:val="es-ES"/>
        </w:rPr>
        <w:t xml:space="preserve"> </w:t>
      </w:r>
      <w:r w:rsidRPr="00AD0320">
        <w:rPr>
          <w:rFonts w:asciiTheme="majorHAnsi" w:hAnsiTheme="majorHAnsi" w:cstheme="minorHAnsi"/>
          <w:i/>
          <w:iCs/>
          <w:sz w:val="16"/>
          <w:szCs w:val="16"/>
          <w:lang w:val="es-ES"/>
        </w:rPr>
        <w:t xml:space="preserve">Caso Martínez Esquivia Vs. </w:t>
      </w:r>
      <w:r w:rsidRPr="0033385B">
        <w:rPr>
          <w:rFonts w:asciiTheme="majorHAnsi" w:hAnsiTheme="majorHAnsi" w:cstheme="minorHAnsi"/>
          <w:i/>
          <w:iCs/>
          <w:sz w:val="16"/>
          <w:szCs w:val="16"/>
          <w:lang w:val="es-PE"/>
        </w:rPr>
        <w:t>Colombia</w:t>
      </w:r>
      <w:r w:rsidR="0033385B">
        <w:rPr>
          <w:rFonts w:asciiTheme="majorHAnsi" w:hAnsiTheme="majorHAnsi" w:cstheme="minorHAnsi"/>
          <w:sz w:val="16"/>
          <w:szCs w:val="16"/>
          <w:lang w:val="es-PE"/>
        </w:rPr>
        <w:t>,</w:t>
      </w:r>
      <w:r w:rsidRPr="003D7C10">
        <w:rPr>
          <w:rFonts w:asciiTheme="majorHAnsi" w:hAnsiTheme="majorHAnsi" w:cstheme="minorHAnsi"/>
          <w:sz w:val="16"/>
          <w:szCs w:val="16"/>
          <w:lang w:val="es-PE"/>
        </w:rPr>
        <w:t xml:space="preserve"> Excepciones preliminares, Fondo y Reparaciones</w:t>
      </w:r>
      <w:r w:rsidR="00022070">
        <w:rPr>
          <w:rFonts w:asciiTheme="majorHAnsi" w:hAnsiTheme="majorHAnsi" w:cstheme="minorHAnsi"/>
          <w:sz w:val="16"/>
          <w:szCs w:val="16"/>
          <w:lang w:val="es-PE"/>
        </w:rPr>
        <w:t>,</w:t>
      </w:r>
      <w:r w:rsidRPr="003D7C10">
        <w:rPr>
          <w:rFonts w:asciiTheme="majorHAnsi" w:hAnsiTheme="majorHAnsi" w:cstheme="minorHAnsi"/>
          <w:sz w:val="16"/>
          <w:szCs w:val="16"/>
          <w:lang w:val="es-PE"/>
        </w:rPr>
        <w:t xml:space="preserve"> Sentencia de 6 de octubre de 2020</w:t>
      </w:r>
      <w:r w:rsidR="00142AD4">
        <w:rPr>
          <w:rFonts w:asciiTheme="majorHAnsi" w:hAnsiTheme="majorHAnsi" w:cstheme="minorHAnsi"/>
          <w:sz w:val="16"/>
          <w:szCs w:val="16"/>
          <w:lang w:val="es-PE"/>
        </w:rPr>
        <w:t>,</w:t>
      </w:r>
      <w:r w:rsidRPr="003D7C10">
        <w:rPr>
          <w:rFonts w:asciiTheme="majorHAnsi" w:hAnsiTheme="majorHAnsi" w:cstheme="minorHAnsi"/>
          <w:sz w:val="16"/>
          <w:szCs w:val="16"/>
          <w:lang w:val="es-PE"/>
        </w:rPr>
        <w:t xml:space="preserve"> Serie C No. 412, párr. 97; y </w:t>
      </w:r>
      <w:r w:rsidRPr="003D7C10">
        <w:rPr>
          <w:rFonts w:asciiTheme="majorHAnsi" w:hAnsiTheme="majorHAnsi" w:cstheme="minorHAnsi"/>
          <w:i/>
          <w:iCs/>
          <w:sz w:val="16"/>
          <w:szCs w:val="16"/>
          <w:lang w:val="es-PE"/>
        </w:rPr>
        <w:t>Caso Casa Nina Vs. Perú</w:t>
      </w:r>
      <w:r w:rsidR="001941FC">
        <w:rPr>
          <w:rFonts w:asciiTheme="majorHAnsi" w:hAnsiTheme="majorHAnsi" w:cstheme="minorHAnsi"/>
          <w:sz w:val="16"/>
          <w:szCs w:val="16"/>
          <w:lang w:val="es-PE"/>
        </w:rPr>
        <w:t>,</w:t>
      </w:r>
      <w:r w:rsidRPr="003D7C10">
        <w:rPr>
          <w:rFonts w:asciiTheme="majorHAnsi" w:hAnsiTheme="majorHAnsi" w:cstheme="minorHAnsi"/>
          <w:sz w:val="16"/>
          <w:szCs w:val="16"/>
          <w:lang w:val="es-PE"/>
        </w:rPr>
        <w:t xml:space="preserve"> Excepciones Preliminares, Fondo, Reparaciones y Costas</w:t>
      </w:r>
      <w:r w:rsidR="00142AD4">
        <w:rPr>
          <w:rFonts w:asciiTheme="majorHAnsi" w:hAnsiTheme="majorHAnsi" w:cstheme="minorHAnsi"/>
          <w:sz w:val="16"/>
          <w:szCs w:val="16"/>
          <w:lang w:val="es-PE"/>
        </w:rPr>
        <w:t>,</w:t>
      </w:r>
      <w:r w:rsidRPr="003D7C10">
        <w:rPr>
          <w:rFonts w:asciiTheme="majorHAnsi" w:hAnsiTheme="majorHAnsi" w:cstheme="minorHAnsi"/>
          <w:sz w:val="16"/>
          <w:szCs w:val="16"/>
          <w:lang w:val="es-PE"/>
        </w:rPr>
        <w:t xml:space="preserve"> Sentencia de 24 de noviembre de 2020</w:t>
      </w:r>
      <w:r w:rsidR="00142AD4">
        <w:rPr>
          <w:rFonts w:asciiTheme="majorHAnsi" w:hAnsiTheme="majorHAnsi" w:cstheme="minorHAnsi"/>
          <w:sz w:val="16"/>
          <w:szCs w:val="16"/>
          <w:lang w:val="es-PE"/>
        </w:rPr>
        <w:t>,</w:t>
      </w:r>
      <w:r w:rsidRPr="003D7C10">
        <w:rPr>
          <w:rFonts w:asciiTheme="majorHAnsi" w:hAnsiTheme="majorHAnsi" w:cstheme="minorHAnsi"/>
          <w:sz w:val="16"/>
          <w:szCs w:val="16"/>
          <w:lang w:val="es-PE"/>
        </w:rPr>
        <w:t xml:space="preserve"> Serie C No. 419, párr. 81  </w:t>
      </w:r>
    </w:p>
  </w:footnote>
  <w:footnote w:id="18">
    <w:p w14:paraId="33A8AA85" w14:textId="58C2F5FB" w:rsidR="0000367B" w:rsidRPr="003D7C10" w:rsidRDefault="0000367B" w:rsidP="00441604">
      <w:pPr>
        <w:pStyle w:val="FootnoteText"/>
        <w:ind w:firstLine="720"/>
        <w:jc w:val="both"/>
        <w:rPr>
          <w:rFonts w:asciiTheme="majorHAnsi" w:hAnsiTheme="majorHAnsi" w:cstheme="minorHAnsi"/>
          <w:sz w:val="16"/>
          <w:szCs w:val="16"/>
          <w:lang w:val="es-ES"/>
        </w:rPr>
      </w:pPr>
      <w:r w:rsidRPr="003D7C10">
        <w:rPr>
          <w:rStyle w:val="FootnoteReference"/>
          <w:rFonts w:asciiTheme="majorHAnsi" w:hAnsiTheme="majorHAnsi" w:cstheme="minorHAnsi"/>
          <w:sz w:val="16"/>
          <w:szCs w:val="16"/>
        </w:rPr>
        <w:footnoteRef/>
      </w:r>
      <w:r w:rsidRPr="00AD0320">
        <w:rPr>
          <w:rFonts w:asciiTheme="majorHAnsi" w:hAnsiTheme="majorHAnsi" w:cstheme="minorHAnsi"/>
          <w:sz w:val="16"/>
          <w:szCs w:val="16"/>
          <w:lang w:val="es-ES"/>
        </w:rPr>
        <w:t xml:space="preserve"> Corte IDH</w:t>
      </w:r>
      <w:r w:rsidR="0033385B" w:rsidRPr="00AD0320">
        <w:rPr>
          <w:rFonts w:asciiTheme="majorHAnsi" w:hAnsiTheme="majorHAnsi" w:cstheme="minorHAnsi"/>
          <w:sz w:val="16"/>
          <w:szCs w:val="16"/>
          <w:lang w:val="es-ES"/>
        </w:rPr>
        <w:t>,</w:t>
      </w:r>
      <w:r w:rsidRPr="00AD0320">
        <w:rPr>
          <w:rFonts w:asciiTheme="majorHAnsi" w:hAnsiTheme="majorHAnsi" w:cstheme="minorHAnsi"/>
          <w:sz w:val="16"/>
          <w:szCs w:val="16"/>
          <w:lang w:val="es-ES"/>
        </w:rPr>
        <w:t xml:space="preserve"> </w:t>
      </w:r>
      <w:r w:rsidRPr="00AD0320">
        <w:rPr>
          <w:rFonts w:asciiTheme="majorHAnsi" w:hAnsiTheme="majorHAnsi" w:cstheme="minorHAnsi"/>
          <w:i/>
          <w:iCs/>
          <w:sz w:val="16"/>
          <w:szCs w:val="16"/>
          <w:lang w:val="es-ES"/>
        </w:rPr>
        <w:t xml:space="preserve">Caso Casa Nina Vs. </w:t>
      </w:r>
      <w:r w:rsidRPr="003D7C10">
        <w:rPr>
          <w:rFonts w:asciiTheme="majorHAnsi" w:hAnsiTheme="majorHAnsi" w:cstheme="minorHAnsi"/>
          <w:i/>
          <w:iCs/>
          <w:sz w:val="16"/>
          <w:szCs w:val="16"/>
          <w:lang w:val="es-PE"/>
        </w:rPr>
        <w:t>Perú</w:t>
      </w:r>
      <w:r w:rsidR="001A451B">
        <w:rPr>
          <w:rFonts w:asciiTheme="majorHAnsi" w:hAnsiTheme="majorHAnsi" w:cstheme="minorHAnsi"/>
          <w:sz w:val="16"/>
          <w:szCs w:val="16"/>
          <w:lang w:val="es-PE"/>
        </w:rPr>
        <w:t>,</w:t>
      </w:r>
      <w:r w:rsidRPr="003D7C10">
        <w:rPr>
          <w:rFonts w:asciiTheme="majorHAnsi" w:hAnsiTheme="majorHAnsi" w:cstheme="minorHAnsi"/>
          <w:sz w:val="16"/>
          <w:szCs w:val="16"/>
          <w:lang w:val="es-PE"/>
        </w:rPr>
        <w:t xml:space="preserve"> Excepciones Preliminares, Fondo, Reparaciones y Costas</w:t>
      </w:r>
      <w:r w:rsidR="00022070">
        <w:rPr>
          <w:rFonts w:asciiTheme="majorHAnsi" w:hAnsiTheme="majorHAnsi" w:cstheme="minorHAnsi"/>
          <w:sz w:val="16"/>
          <w:szCs w:val="16"/>
          <w:lang w:val="es-PE"/>
        </w:rPr>
        <w:t>,</w:t>
      </w:r>
      <w:r w:rsidRPr="003D7C10">
        <w:rPr>
          <w:rFonts w:asciiTheme="majorHAnsi" w:hAnsiTheme="majorHAnsi" w:cstheme="minorHAnsi"/>
          <w:sz w:val="16"/>
          <w:szCs w:val="16"/>
          <w:lang w:val="es-PE"/>
        </w:rPr>
        <w:t xml:space="preserve"> Sentencia de 24 de noviembre de 2020</w:t>
      </w:r>
      <w:r w:rsidR="007526AE">
        <w:rPr>
          <w:rFonts w:asciiTheme="majorHAnsi" w:hAnsiTheme="majorHAnsi" w:cstheme="minorHAnsi"/>
          <w:sz w:val="16"/>
          <w:szCs w:val="16"/>
          <w:lang w:val="es-PE"/>
        </w:rPr>
        <w:t>,</w:t>
      </w:r>
      <w:r w:rsidRPr="003D7C10">
        <w:rPr>
          <w:rFonts w:asciiTheme="majorHAnsi" w:hAnsiTheme="majorHAnsi" w:cstheme="minorHAnsi"/>
          <w:sz w:val="16"/>
          <w:szCs w:val="16"/>
          <w:lang w:val="es-PE"/>
        </w:rPr>
        <w:t xml:space="preserve"> Serie C No. 419, párr. 81.  </w:t>
      </w:r>
    </w:p>
  </w:footnote>
  <w:footnote w:id="19">
    <w:p w14:paraId="5F79F8D3" w14:textId="33AAB2E2" w:rsidR="0000367B" w:rsidRPr="003D7C10" w:rsidRDefault="0000367B" w:rsidP="00441604">
      <w:pPr>
        <w:pStyle w:val="FootnoteText"/>
        <w:ind w:firstLine="720"/>
        <w:jc w:val="both"/>
        <w:rPr>
          <w:rFonts w:asciiTheme="majorHAnsi" w:hAnsiTheme="majorHAnsi" w:cstheme="minorHAnsi"/>
          <w:sz w:val="16"/>
          <w:szCs w:val="16"/>
          <w:lang w:val="es-ES"/>
        </w:rPr>
      </w:pPr>
      <w:r w:rsidRPr="003D7C10">
        <w:rPr>
          <w:rStyle w:val="FootnoteReference"/>
          <w:rFonts w:asciiTheme="majorHAnsi" w:hAnsiTheme="majorHAnsi" w:cstheme="minorHAnsi"/>
          <w:sz w:val="16"/>
          <w:szCs w:val="16"/>
        </w:rPr>
        <w:footnoteRef/>
      </w:r>
      <w:r w:rsidRPr="003D7C10">
        <w:rPr>
          <w:rFonts w:asciiTheme="majorHAnsi" w:hAnsiTheme="majorHAnsi" w:cstheme="minorHAnsi"/>
          <w:sz w:val="16"/>
          <w:szCs w:val="16"/>
          <w:lang w:val="es-PE"/>
        </w:rPr>
        <w:t xml:space="preserve"> </w:t>
      </w:r>
      <w:r w:rsidR="00D1343B" w:rsidRPr="003D7C10">
        <w:rPr>
          <w:rFonts w:asciiTheme="majorHAnsi" w:hAnsiTheme="majorHAnsi" w:cstheme="minorHAnsi"/>
          <w:sz w:val="16"/>
          <w:szCs w:val="16"/>
          <w:lang w:val="es-PE"/>
        </w:rPr>
        <w:t>Corte IDH</w:t>
      </w:r>
      <w:r w:rsidR="0033385B">
        <w:rPr>
          <w:rFonts w:asciiTheme="majorHAnsi" w:hAnsiTheme="majorHAnsi" w:cstheme="minorHAnsi"/>
          <w:sz w:val="16"/>
          <w:szCs w:val="16"/>
          <w:lang w:val="es-PE"/>
        </w:rPr>
        <w:t>,</w:t>
      </w:r>
      <w:r w:rsidR="00D1343B" w:rsidRPr="003D7C10">
        <w:rPr>
          <w:rFonts w:asciiTheme="majorHAnsi" w:hAnsiTheme="majorHAnsi" w:cstheme="minorHAnsi"/>
          <w:sz w:val="16"/>
          <w:szCs w:val="16"/>
          <w:lang w:val="es-PE"/>
        </w:rPr>
        <w:t xml:space="preserve"> </w:t>
      </w:r>
      <w:r w:rsidR="00D1343B" w:rsidRPr="0033385B">
        <w:rPr>
          <w:rFonts w:asciiTheme="majorHAnsi" w:hAnsiTheme="majorHAnsi" w:cstheme="minorHAnsi"/>
          <w:i/>
          <w:iCs/>
          <w:sz w:val="16"/>
          <w:szCs w:val="16"/>
          <w:lang w:val="es-PE"/>
        </w:rPr>
        <w:t>Caso Apitz Barbera y otros (“Corte Primera de lo Contencioso Administrativo”) Vs. Venezuela</w:t>
      </w:r>
      <w:r w:rsidR="001941FC">
        <w:rPr>
          <w:rFonts w:asciiTheme="majorHAnsi" w:hAnsiTheme="majorHAnsi" w:cstheme="minorHAnsi"/>
          <w:sz w:val="16"/>
          <w:szCs w:val="16"/>
          <w:lang w:val="es-PE"/>
        </w:rPr>
        <w:t>,</w:t>
      </w:r>
      <w:r w:rsidR="00D1343B" w:rsidRPr="003D7C10">
        <w:rPr>
          <w:rFonts w:asciiTheme="majorHAnsi" w:hAnsiTheme="majorHAnsi" w:cstheme="minorHAnsi"/>
          <w:sz w:val="16"/>
          <w:szCs w:val="16"/>
          <w:lang w:val="es-PE"/>
        </w:rPr>
        <w:t xml:space="preserve"> Excepción Preliminar, Fondo, Reparaciones y Costas</w:t>
      </w:r>
      <w:r w:rsidR="001A451B">
        <w:rPr>
          <w:rFonts w:asciiTheme="majorHAnsi" w:hAnsiTheme="majorHAnsi" w:cstheme="minorHAnsi"/>
          <w:sz w:val="16"/>
          <w:szCs w:val="16"/>
          <w:lang w:val="es-PE"/>
        </w:rPr>
        <w:t>,</w:t>
      </w:r>
      <w:r w:rsidR="00D1343B" w:rsidRPr="003D7C10">
        <w:rPr>
          <w:rFonts w:asciiTheme="majorHAnsi" w:hAnsiTheme="majorHAnsi" w:cstheme="minorHAnsi"/>
          <w:sz w:val="16"/>
          <w:szCs w:val="16"/>
          <w:lang w:val="es-PE"/>
        </w:rPr>
        <w:t xml:space="preserve"> Sentencia de 5 de agosto de 2008</w:t>
      </w:r>
      <w:r w:rsidR="007526AE">
        <w:rPr>
          <w:rFonts w:asciiTheme="majorHAnsi" w:hAnsiTheme="majorHAnsi" w:cstheme="minorHAnsi"/>
          <w:sz w:val="16"/>
          <w:szCs w:val="16"/>
          <w:lang w:val="es-PE"/>
        </w:rPr>
        <w:t>,</w:t>
      </w:r>
      <w:r w:rsidR="00D1343B" w:rsidRPr="003D7C10">
        <w:rPr>
          <w:rFonts w:asciiTheme="majorHAnsi" w:hAnsiTheme="majorHAnsi" w:cstheme="minorHAnsi"/>
          <w:sz w:val="16"/>
          <w:szCs w:val="16"/>
          <w:lang w:val="es-PE"/>
        </w:rPr>
        <w:t xml:space="preserve"> Serie C No. 182, párr. 43. En sentido similar</w:t>
      </w:r>
      <w:r w:rsidR="0033385B">
        <w:rPr>
          <w:rFonts w:asciiTheme="majorHAnsi" w:hAnsiTheme="majorHAnsi" w:cstheme="minorHAnsi"/>
          <w:sz w:val="16"/>
          <w:szCs w:val="16"/>
          <w:lang w:val="es-PE"/>
        </w:rPr>
        <w:t>: Corte IDH,</w:t>
      </w:r>
      <w:r w:rsidR="00D1343B" w:rsidRPr="003D7C10">
        <w:rPr>
          <w:rFonts w:asciiTheme="majorHAnsi" w:hAnsiTheme="majorHAnsi" w:cstheme="minorHAnsi"/>
          <w:sz w:val="16"/>
          <w:szCs w:val="16"/>
          <w:lang w:val="es-PE"/>
        </w:rPr>
        <w:t xml:space="preserve"> </w:t>
      </w:r>
      <w:r w:rsidR="00D1343B" w:rsidRPr="0033385B">
        <w:rPr>
          <w:rFonts w:asciiTheme="majorHAnsi" w:hAnsiTheme="majorHAnsi" w:cstheme="minorHAnsi"/>
          <w:i/>
          <w:iCs/>
          <w:sz w:val="16"/>
          <w:szCs w:val="16"/>
          <w:lang w:val="es-PE"/>
        </w:rPr>
        <w:t>Caso Chocrón Chocrón Vs. Venezuela</w:t>
      </w:r>
      <w:r w:rsidR="007526AE">
        <w:rPr>
          <w:rFonts w:asciiTheme="majorHAnsi" w:hAnsiTheme="majorHAnsi" w:cstheme="minorHAnsi"/>
          <w:sz w:val="16"/>
          <w:szCs w:val="16"/>
          <w:lang w:val="es-PE"/>
        </w:rPr>
        <w:t>,</w:t>
      </w:r>
      <w:r w:rsidR="00D1343B" w:rsidRPr="003D7C10">
        <w:rPr>
          <w:rFonts w:asciiTheme="majorHAnsi" w:hAnsiTheme="majorHAnsi" w:cstheme="minorHAnsi"/>
          <w:sz w:val="16"/>
          <w:szCs w:val="16"/>
          <w:lang w:val="es-PE"/>
        </w:rPr>
        <w:t xml:space="preserve"> Excepción Preliminar, Fondo, Reparaciones y Costas</w:t>
      </w:r>
      <w:r w:rsidR="00142AD4">
        <w:rPr>
          <w:rFonts w:asciiTheme="majorHAnsi" w:hAnsiTheme="majorHAnsi" w:cstheme="minorHAnsi"/>
          <w:sz w:val="16"/>
          <w:szCs w:val="16"/>
          <w:lang w:val="es-PE"/>
        </w:rPr>
        <w:t>,</w:t>
      </w:r>
      <w:r w:rsidR="00D1343B" w:rsidRPr="003D7C10">
        <w:rPr>
          <w:rFonts w:asciiTheme="majorHAnsi" w:hAnsiTheme="majorHAnsi" w:cstheme="minorHAnsi"/>
          <w:sz w:val="16"/>
          <w:szCs w:val="16"/>
          <w:lang w:val="es-PE"/>
        </w:rPr>
        <w:t xml:space="preserve"> Sentencia de 1 de julio de 2011</w:t>
      </w:r>
      <w:r w:rsidR="00142AD4">
        <w:rPr>
          <w:rFonts w:asciiTheme="majorHAnsi" w:hAnsiTheme="majorHAnsi" w:cstheme="minorHAnsi"/>
          <w:sz w:val="16"/>
          <w:szCs w:val="16"/>
          <w:lang w:val="es-PE"/>
        </w:rPr>
        <w:t>,</w:t>
      </w:r>
      <w:r w:rsidR="00D1343B" w:rsidRPr="003D7C10">
        <w:rPr>
          <w:rFonts w:asciiTheme="majorHAnsi" w:hAnsiTheme="majorHAnsi" w:cstheme="minorHAnsi"/>
          <w:sz w:val="16"/>
          <w:szCs w:val="16"/>
          <w:lang w:val="es-PE"/>
        </w:rPr>
        <w:t xml:space="preserve"> Serie C No. 227, párr. 107</w:t>
      </w:r>
      <w:r w:rsidR="007526AE">
        <w:rPr>
          <w:rFonts w:asciiTheme="majorHAnsi" w:hAnsiTheme="majorHAnsi" w:cstheme="minorHAnsi"/>
          <w:sz w:val="16"/>
          <w:szCs w:val="16"/>
          <w:lang w:val="es-PE"/>
        </w:rPr>
        <w:t>.</w:t>
      </w:r>
    </w:p>
  </w:footnote>
  <w:footnote w:id="20">
    <w:p w14:paraId="485E92D5" w14:textId="397F95FC" w:rsidR="007D21D7" w:rsidRPr="003D7C10" w:rsidRDefault="007D21D7" w:rsidP="00302D54">
      <w:pPr>
        <w:pStyle w:val="FootnoteText"/>
        <w:ind w:firstLine="720"/>
        <w:jc w:val="both"/>
        <w:rPr>
          <w:rFonts w:asciiTheme="majorHAnsi" w:hAnsiTheme="majorHAnsi" w:cstheme="minorHAnsi"/>
          <w:sz w:val="16"/>
          <w:szCs w:val="16"/>
          <w:lang w:val="es-PE"/>
        </w:rPr>
      </w:pPr>
      <w:r w:rsidRPr="003D7C10">
        <w:rPr>
          <w:rStyle w:val="FootnoteReference"/>
          <w:rFonts w:asciiTheme="majorHAnsi" w:hAnsiTheme="majorHAnsi" w:cstheme="minorHAnsi"/>
          <w:sz w:val="16"/>
          <w:szCs w:val="16"/>
        </w:rPr>
        <w:footnoteRef/>
      </w:r>
      <w:r w:rsidRPr="003D7C10">
        <w:rPr>
          <w:rFonts w:asciiTheme="majorHAnsi" w:hAnsiTheme="majorHAnsi" w:cstheme="minorHAnsi"/>
          <w:sz w:val="16"/>
          <w:szCs w:val="16"/>
          <w:lang w:val="es-PE"/>
        </w:rPr>
        <w:t xml:space="preserve"> Corte IDH</w:t>
      </w:r>
      <w:r w:rsidR="0033385B">
        <w:rPr>
          <w:rFonts w:asciiTheme="majorHAnsi" w:hAnsiTheme="majorHAnsi" w:cstheme="minorHAnsi"/>
          <w:sz w:val="16"/>
          <w:szCs w:val="16"/>
          <w:lang w:val="es-PE"/>
        </w:rPr>
        <w:t>,</w:t>
      </w:r>
      <w:r w:rsidRPr="003D7C10">
        <w:rPr>
          <w:rFonts w:asciiTheme="majorHAnsi" w:hAnsiTheme="majorHAnsi" w:cstheme="minorHAnsi"/>
          <w:sz w:val="16"/>
          <w:szCs w:val="16"/>
          <w:lang w:val="es-PE"/>
        </w:rPr>
        <w:t xml:space="preserve"> </w:t>
      </w:r>
      <w:r w:rsidRPr="0033385B">
        <w:rPr>
          <w:rFonts w:asciiTheme="majorHAnsi" w:hAnsiTheme="majorHAnsi" w:cstheme="minorHAnsi"/>
          <w:i/>
          <w:iCs/>
          <w:sz w:val="16"/>
          <w:szCs w:val="16"/>
          <w:lang w:val="es-PE"/>
        </w:rPr>
        <w:t>Caso Chocrón Chocrón Vs. Venezuela</w:t>
      </w:r>
      <w:r w:rsidR="0033385B">
        <w:rPr>
          <w:rFonts w:asciiTheme="majorHAnsi" w:hAnsiTheme="majorHAnsi" w:cstheme="minorHAnsi"/>
          <w:sz w:val="16"/>
          <w:szCs w:val="16"/>
          <w:lang w:val="es-PE"/>
        </w:rPr>
        <w:t>,</w:t>
      </w:r>
      <w:r w:rsidRPr="003D7C10">
        <w:rPr>
          <w:rFonts w:asciiTheme="majorHAnsi" w:hAnsiTheme="majorHAnsi" w:cstheme="minorHAnsi"/>
          <w:sz w:val="16"/>
          <w:szCs w:val="16"/>
          <w:lang w:val="es-PE"/>
        </w:rPr>
        <w:t xml:space="preserve"> Excepción Preliminar, Fondo, Reparaciones y Costas</w:t>
      </w:r>
      <w:r w:rsidR="004360C1">
        <w:rPr>
          <w:rFonts w:asciiTheme="majorHAnsi" w:hAnsiTheme="majorHAnsi" w:cstheme="minorHAnsi"/>
          <w:sz w:val="16"/>
          <w:szCs w:val="16"/>
          <w:lang w:val="es-PE"/>
        </w:rPr>
        <w:t>,</w:t>
      </w:r>
      <w:r w:rsidRPr="003D7C10">
        <w:rPr>
          <w:rFonts w:asciiTheme="majorHAnsi" w:hAnsiTheme="majorHAnsi" w:cstheme="minorHAnsi"/>
          <w:sz w:val="16"/>
          <w:szCs w:val="16"/>
          <w:lang w:val="es-PE"/>
        </w:rPr>
        <w:t xml:space="preserve"> Sentencia de 1 de julio de 2011</w:t>
      </w:r>
      <w:r w:rsidR="004360C1">
        <w:rPr>
          <w:rFonts w:asciiTheme="majorHAnsi" w:hAnsiTheme="majorHAnsi" w:cstheme="minorHAnsi"/>
          <w:sz w:val="16"/>
          <w:szCs w:val="16"/>
          <w:lang w:val="es-PE"/>
        </w:rPr>
        <w:t>,</w:t>
      </w:r>
      <w:r w:rsidRPr="003D7C10">
        <w:rPr>
          <w:rFonts w:asciiTheme="majorHAnsi" w:hAnsiTheme="majorHAnsi" w:cstheme="minorHAnsi"/>
          <w:sz w:val="16"/>
          <w:szCs w:val="16"/>
          <w:lang w:val="es-PE"/>
        </w:rPr>
        <w:t xml:space="preserve"> Serie C No. 227.</w:t>
      </w:r>
    </w:p>
  </w:footnote>
  <w:footnote w:id="21">
    <w:p w14:paraId="4FCC208A" w14:textId="2FE68FCD" w:rsidR="00C34C0C" w:rsidRPr="007D21D7" w:rsidRDefault="00C34C0C" w:rsidP="00C34C0C">
      <w:pPr>
        <w:pStyle w:val="FootnoteText"/>
        <w:ind w:firstLine="720"/>
        <w:jc w:val="both"/>
        <w:rPr>
          <w:rFonts w:asciiTheme="minorHAnsi" w:hAnsiTheme="minorHAnsi" w:cstheme="minorHAnsi"/>
          <w:sz w:val="16"/>
          <w:szCs w:val="16"/>
          <w:lang w:val="es-ES"/>
        </w:rPr>
      </w:pPr>
      <w:r w:rsidRPr="003D7C10">
        <w:rPr>
          <w:rStyle w:val="FootnoteReference"/>
          <w:rFonts w:asciiTheme="majorHAnsi" w:hAnsiTheme="majorHAnsi" w:cstheme="minorHAnsi"/>
          <w:sz w:val="16"/>
          <w:szCs w:val="16"/>
        </w:rPr>
        <w:footnoteRef/>
      </w:r>
      <w:r w:rsidRPr="003D7C10">
        <w:rPr>
          <w:rFonts w:asciiTheme="majorHAnsi" w:hAnsiTheme="majorHAnsi" w:cstheme="minorHAnsi"/>
          <w:sz w:val="16"/>
          <w:szCs w:val="16"/>
          <w:lang w:val="es-PE"/>
        </w:rPr>
        <w:t xml:space="preserve"> CIDH, Informe No. 180/18</w:t>
      </w:r>
      <w:r w:rsidR="002A789E">
        <w:rPr>
          <w:rFonts w:asciiTheme="majorHAnsi" w:hAnsiTheme="majorHAnsi" w:cstheme="minorHAnsi"/>
          <w:sz w:val="16"/>
          <w:szCs w:val="16"/>
          <w:lang w:val="es-PE"/>
        </w:rPr>
        <w:t>,</w:t>
      </w:r>
      <w:r w:rsidRPr="003D7C10">
        <w:rPr>
          <w:rFonts w:asciiTheme="majorHAnsi" w:hAnsiTheme="majorHAnsi" w:cstheme="minorHAnsi"/>
          <w:sz w:val="16"/>
          <w:szCs w:val="16"/>
          <w:lang w:val="es-PE"/>
        </w:rPr>
        <w:t xml:space="preserve"> Petición 1616-07</w:t>
      </w:r>
      <w:r w:rsidR="002A789E">
        <w:rPr>
          <w:rFonts w:asciiTheme="majorHAnsi" w:hAnsiTheme="majorHAnsi" w:cstheme="minorHAnsi"/>
          <w:sz w:val="16"/>
          <w:szCs w:val="16"/>
          <w:lang w:val="es-PE"/>
        </w:rPr>
        <w:t>,</w:t>
      </w:r>
      <w:r w:rsidRPr="003D7C10">
        <w:rPr>
          <w:rFonts w:asciiTheme="majorHAnsi" w:hAnsiTheme="majorHAnsi" w:cstheme="minorHAnsi"/>
          <w:sz w:val="16"/>
          <w:szCs w:val="16"/>
          <w:lang w:val="es-PE"/>
        </w:rPr>
        <w:t xml:space="preserve"> Admisibilidad. A.G.A. y familiares</w:t>
      </w:r>
      <w:r w:rsidR="004360C1">
        <w:rPr>
          <w:rFonts w:asciiTheme="majorHAnsi" w:hAnsiTheme="majorHAnsi" w:cstheme="minorHAnsi"/>
          <w:sz w:val="16"/>
          <w:szCs w:val="16"/>
          <w:lang w:val="es-PE"/>
        </w:rPr>
        <w:t>,</w:t>
      </w:r>
      <w:r w:rsidRPr="003D7C10">
        <w:rPr>
          <w:rFonts w:asciiTheme="majorHAnsi" w:hAnsiTheme="majorHAnsi" w:cstheme="minorHAnsi"/>
          <w:sz w:val="16"/>
          <w:szCs w:val="16"/>
          <w:lang w:val="es-PE"/>
        </w:rPr>
        <w:t xml:space="preserve"> </w:t>
      </w:r>
      <w:r w:rsidRPr="00302D54">
        <w:rPr>
          <w:rFonts w:asciiTheme="majorHAnsi" w:hAnsiTheme="majorHAnsi" w:cstheme="minorHAnsi"/>
          <w:sz w:val="16"/>
          <w:szCs w:val="16"/>
          <w:lang w:val="es-PE"/>
        </w:rPr>
        <w:t>Colombia</w:t>
      </w:r>
      <w:r w:rsidR="004360C1" w:rsidRPr="00302D54">
        <w:rPr>
          <w:rFonts w:asciiTheme="majorHAnsi" w:hAnsiTheme="majorHAnsi" w:cstheme="minorHAnsi"/>
          <w:sz w:val="16"/>
          <w:szCs w:val="16"/>
          <w:lang w:val="es-PE"/>
        </w:rPr>
        <w:t>,</w:t>
      </w:r>
      <w:r w:rsidRPr="00302D54">
        <w:rPr>
          <w:rFonts w:asciiTheme="majorHAnsi" w:hAnsiTheme="majorHAnsi" w:cstheme="minorHAnsi"/>
          <w:sz w:val="16"/>
          <w:szCs w:val="16"/>
          <w:lang w:val="es-PE"/>
        </w:rPr>
        <w:t xml:space="preserve"> 26 de diciembre de 2018, párr. 17.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A00DB" w14:textId="77777777" w:rsidR="00040C3A" w:rsidRDefault="00040C3A" w:rsidP="00010BC7">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401BB" w14:textId="77777777" w:rsidR="00A50FCF" w:rsidRDefault="00A50FCF" w:rsidP="00A50FCF">
    <w:pPr>
      <w:pStyle w:val="Header"/>
      <w:tabs>
        <w:tab w:val="clear" w:pos="4320"/>
        <w:tab w:val="clear" w:pos="8640"/>
      </w:tabs>
      <w:jc w:val="center"/>
      <w:rPr>
        <w:sz w:val="22"/>
        <w:szCs w:val="22"/>
      </w:rPr>
    </w:pPr>
    <w:r>
      <w:rPr>
        <w:noProof/>
        <w:sz w:val="22"/>
        <w:szCs w:val="22"/>
        <w:lang w:val="es-419" w:eastAsia="es-419"/>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040C3A" w:rsidRPr="00EC7D62" w:rsidRDefault="00E358DF" w:rsidP="00A50FCF">
    <w:pPr>
      <w:pStyle w:val="Header"/>
      <w:tabs>
        <w:tab w:val="clear" w:pos="4320"/>
        <w:tab w:val="clear" w:pos="8640"/>
      </w:tabs>
      <w:jc w:val="center"/>
      <w:rPr>
        <w:sz w:val="22"/>
        <w:szCs w:val="22"/>
      </w:rPr>
    </w:pPr>
    <w:r>
      <w:rPr>
        <w:noProof/>
        <w:sz w:val="22"/>
        <w:szCs w:val="22"/>
      </w:rPr>
      <w:pict w14:anchorId="4367A34C">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BAC7669"/>
    <w:multiLevelType w:val="hybridMultilevel"/>
    <w:tmpl w:val="E9AE6D66"/>
    <w:lvl w:ilvl="0" w:tplc="AB3E019A">
      <w:start w:val="2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29807C44"/>
    <w:lvl w:ilvl="0" w:tplc="99D62BE0">
      <w:start w:val="1"/>
      <w:numFmt w:val="decimal"/>
      <w:lvlText w:val="%1."/>
      <w:lvlJc w:val="left"/>
      <w:pPr>
        <w:tabs>
          <w:tab w:val="num" w:pos="720"/>
        </w:tabs>
        <w:ind w:left="0" w:firstLine="720"/>
      </w:pPr>
      <w:rPr>
        <w:rFonts w:asciiTheme="majorHAnsi" w:hAnsiTheme="majorHAnsi" w:hint="default"/>
        <w:b w:val="0"/>
        <w:bCs/>
        <w:i w:val="0"/>
        <w:iCs w:val="0"/>
        <w:color w:val="auto"/>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AA11502"/>
    <w:multiLevelType w:val="hybridMultilevel"/>
    <w:tmpl w:val="B538A3C2"/>
    <w:lvl w:ilvl="0" w:tplc="ED50A8BA">
      <w:start w:val="1"/>
      <w:numFmt w:val="decimal"/>
      <w:lvlText w:val="%1."/>
      <w:lvlJc w:val="left"/>
      <w:pPr>
        <w:tabs>
          <w:tab w:val="num" w:pos="720"/>
        </w:tabs>
        <w:ind w:left="0" w:firstLine="720"/>
      </w:pPr>
      <w:rPr>
        <w:rFonts w:hint="default"/>
        <w:i w:val="0"/>
        <w:iCs w:val="0"/>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8"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9"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2DF19D7"/>
    <w:multiLevelType w:val="multilevel"/>
    <w:tmpl w:val="E7265BB0"/>
    <w:styleLink w:val="List5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4ED0E06"/>
    <w:multiLevelType w:val="hybridMultilevel"/>
    <w:tmpl w:val="B538A3C2"/>
    <w:lvl w:ilvl="0" w:tplc="FFFFFFFF">
      <w:start w:val="1"/>
      <w:numFmt w:val="decimal"/>
      <w:lvlText w:val="%1."/>
      <w:lvlJc w:val="left"/>
      <w:pPr>
        <w:tabs>
          <w:tab w:val="num" w:pos="720"/>
        </w:tabs>
        <w:ind w:left="0" w:firstLine="720"/>
      </w:pPr>
      <w:rPr>
        <w:rFonts w:hint="default"/>
        <w:i w:val="0"/>
        <w:iCs w:val="0"/>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92723E7"/>
    <w:multiLevelType w:val="multilevel"/>
    <w:tmpl w:val="0CF8CC36"/>
    <w:styleLink w:val="List2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5" w15:restartNumberingAfterBreak="0">
    <w:nsid w:val="5BF62682"/>
    <w:multiLevelType w:val="multilevel"/>
    <w:tmpl w:val="44B09150"/>
    <w:styleLink w:val="List5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7"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45A711E"/>
    <w:multiLevelType w:val="multilevel"/>
    <w:tmpl w:val="ED88159C"/>
    <w:styleLink w:val="List4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8C26FCF"/>
    <w:multiLevelType w:val="multilevel"/>
    <w:tmpl w:val="2FCAD168"/>
    <w:styleLink w:val="List3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4"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299000730">
    <w:abstractNumId w:val="4"/>
  </w:num>
  <w:num w:numId="2" w16cid:durableId="1420520311">
    <w:abstractNumId w:val="6"/>
  </w:num>
  <w:num w:numId="3" w16cid:durableId="1713266273">
    <w:abstractNumId w:val="53"/>
  </w:num>
  <w:num w:numId="4" w16cid:durableId="2068602545">
    <w:abstractNumId w:val="22"/>
  </w:num>
  <w:num w:numId="5" w16cid:durableId="1616525600">
    <w:abstractNumId w:val="47"/>
  </w:num>
  <w:num w:numId="6" w16cid:durableId="1902403871">
    <w:abstractNumId w:val="27"/>
  </w:num>
  <w:num w:numId="7" w16cid:durableId="2142066646">
    <w:abstractNumId w:val="7"/>
  </w:num>
  <w:num w:numId="8" w16cid:durableId="1861747358">
    <w:abstractNumId w:val="18"/>
  </w:num>
  <w:num w:numId="9" w16cid:durableId="1025256902">
    <w:abstractNumId w:val="38"/>
  </w:num>
  <w:num w:numId="10" w16cid:durableId="1866940441">
    <w:abstractNumId w:val="42"/>
  </w:num>
  <w:num w:numId="11" w16cid:durableId="251017014">
    <w:abstractNumId w:val="0"/>
  </w:num>
  <w:num w:numId="12" w16cid:durableId="2134210098">
    <w:abstractNumId w:val="37"/>
  </w:num>
  <w:num w:numId="13" w16cid:durableId="255601910">
    <w:abstractNumId w:val="44"/>
  </w:num>
  <w:num w:numId="14" w16cid:durableId="1761757703">
    <w:abstractNumId w:val="1"/>
  </w:num>
  <w:num w:numId="15" w16cid:durableId="1186796706">
    <w:abstractNumId w:val="2"/>
  </w:num>
  <w:num w:numId="16" w16cid:durableId="1606693034">
    <w:abstractNumId w:val="8"/>
  </w:num>
  <w:num w:numId="17" w16cid:durableId="1738476247">
    <w:abstractNumId w:val="9"/>
  </w:num>
  <w:num w:numId="18" w16cid:durableId="1484001738">
    <w:abstractNumId w:val="10"/>
  </w:num>
  <w:num w:numId="19" w16cid:durableId="866941465">
    <w:abstractNumId w:val="11"/>
  </w:num>
  <w:num w:numId="20" w16cid:durableId="891114917">
    <w:abstractNumId w:val="12"/>
  </w:num>
  <w:num w:numId="21" w16cid:durableId="1852600886">
    <w:abstractNumId w:val="13"/>
  </w:num>
  <w:num w:numId="22" w16cid:durableId="925655403">
    <w:abstractNumId w:val="14"/>
  </w:num>
  <w:num w:numId="23" w16cid:durableId="1122456303">
    <w:abstractNumId w:val="15"/>
  </w:num>
  <w:num w:numId="24" w16cid:durableId="2034264947">
    <w:abstractNumId w:val="16"/>
  </w:num>
  <w:num w:numId="25" w16cid:durableId="943655646">
    <w:abstractNumId w:val="19"/>
  </w:num>
  <w:num w:numId="26" w16cid:durableId="48573556">
    <w:abstractNumId w:val="20"/>
  </w:num>
  <w:num w:numId="27" w16cid:durableId="1714845553">
    <w:abstractNumId w:val="23"/>
  </w:num>
  <w:num w:numId="28" w16cid:durableId="43258639">
    <w:abstractNumId w:val="24"/>
  </w:num>
  <w:num w:numId="29" w16cid:durableId="1533766946">
    <w:abstractNumId w:val="25"/>
  </w:num>
  <w:num w:numId="30" w16cid:durableId="1375960398">
    <w:abstractNumId w:val="26"/>
  </w:num>
  <w:num w:numId="31" w16cid:durableId="142351334">
    <w:abstractNumId w:val="28"/>
  </w:num>
  <w:num w:numId="32" w16cid:durableId="179467967">
    <w:abstractNumId w:val="29"/>
  </w:num>
  <w:num w:numId="33" w16cid:durableId="1445685242">
    <w:abstractNumId w:val="30"/>
  </w:num>
  <w:num w:numId="34" w16cid:durableId="2049792361">
    <w:abstractNumId w:val="31"/>
  </w:num>
  <w:num w:numId="35" w16cid:durableId="1766075673">
    <w:abstractNumId w:val="32"/>
  </w:num>
  <w:num w:numId="36" w16cid:durableId="1193613694">
    <w:abstractNumId w:val="34"/>
  </w:num>
  <w:num w:numId="37" w16cid:durableId="1731923604">
    <w:abstractNumId w:val="35"/>
  </w:num>
  <w:num w:numId="38" w16cid:durableId="1266036850">
    <w:abstractNumId w:val="36"/>
  </w:num>
  <w:num w:numId="39" w16cid:durableId="1881671385">
    <w:abstractNumId w:val="39"/>
  </w:num>
  <w:num w:numId="40" w16cid:durableId="1301611395">
    <w:abstractNumId w:val="40"/>
  </w:num>
  <w:num w:numId="41" w16cid:durableId="1131166778">
    <w:abstractNumId w:val="46"/>
  </w:num>
  <w:num w:numId="42" w16cid:durableId="507405131">
    <w:abstractNumId w:val="48"/>
  </w:num>
  <w:num w:numId="43" w16cid:durableId="147091870">
    <w:abstractNumId w:val="49"/>
  </w:num>
  <w:num w:numId="44" w16cid:durableId="655454458">
    <w:abstractNumId w:val="51"/>
  </w:num>
  <w:num w:numId="45" w16cid:durableId="1812089391">
    <w:abstractNumId w:val="52"/>
  </w:num>
  <w:num w:numId="46" w16cid:durableId="515115365">
    <w:abstractNumId w:val="54"/>
  </w:num>
  <w:num w:numId="47" w16cid:durableId="1221944455">
    <w:abstractNumId w:val="55"/>
  </w:num>
  <w:num w:numId="48" w16cid:durableId="908535618">
    <w:abstractNumId w:val="56"/>
  </w:num>
  <w:num w:numId="49" w16cid:durableId="825898735">
    <w:abstractNumId w:val="57"/>
  </w:num>
  <w:num w:numId="50" w16cid:durableId="49690932">
    <w:abstractNumId w:val="58"/>
  </w:num>
  <w:num w:numId="51" w16cid:durableId="2095399920">
    <w:abstractNumId w:val="21"/>
  </w:num>
  <w:num w:numId="52" w16cid:durableId="1435326325">
    <w:abstractNumId w:val="41"/>
  </w:num>
  <w:num w:numId="53" w16cid:durableId="935866318">
    <w:abstractNumId w:val="50"/>
  </w:num>
  <w:num w:numId="54" w16cid:durableId="749347125">
    <w:abstractNumId w:val="45"/>
  </w:num>
  <w:num w:numId="55" w16cid:durableId="1694842942">
    <w:abstractNumId w:val="43"/>
  </w:num>
  <w:num w:numId="56" w16cid:durableId="721095861">
    <w:abstractNumId w:val="17"/>
  </w:num>
  <w:num w:numId="57" w16cid:durableId="1387099799">
    <w:abstractNumId w:val="3"/>
  </w:num>
  <w:num w:numId="58" w16cid:durableId="483552212">
    <w:abstractNumId w:val="33"/>
  </w:num>
  <w:num w:numId="59" w16cid:durableId="219633537">
    <w:abstractNumId w:val="5"/>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367B"/>
    <w:rsid w:val="00004B61"/>
    <w:rsid w:val="00006AAA"/>
    <w:rsid w:val="00006E1F"/>
    <w:rsid w:val="000070D7"/>
    <w:rsid w:val="00010BC7"/>
    <w:rsid w:val="000147C5"/>
    <w:rsid w:val="00014FD7"/>
    <w:rsid w:val="00016AAE"/>
    <w:rsid w:val="0001788C"/>
    <w:rsid w:val="00017A99"/>
    <w:rsid w:val="00020A5E"/>
    <w:rsid w:val="00021187"/>
    <w:rsid w:val="00022070"/>
    <w:rsid w:val="000222B4"/>
    <w:rsid w:val="00025304"/>
    <w:rsid w:val="00026493"/>
    <w:rsid w:val="00033137"/>
    <w:rsid w:val="000337EF"/>
    <w:rsid w:val="00033D7F"/>
    <w:rsid w:val="00034C32"/>
    <w:rsid w:val="00040C3A"/>
    <w:rsid w:val="00040E90"/>
    <w:rsid w:val="000415E9"/>
    <w:rsid w:val="000419AD"/>
    <w:rsid w:val="00042834"/>
    <w:rsid w:val="000433C9"/>
    <w:rsid w:val="000453B6"/>
    <w:rsid w:val="0004543A"/>
    <w:rsid w:val="0004665D"/>
    <w:rsid w:val="00047C96"/>
    <w:rsid w:val="00050ACB"/>
    <w:rsid w:val="00053F2A"/>
    <w:rsid w:val="0005535C"/>
    <w:rsid w:val="000563F9"/>
    <w:rsid w:val="00061E0A"/>
    <w:rsid w:val="00062B02"/>
    <w:rsid w:val="00067949"/>
    <w:rsid w:val="00067974"/>
    <w:rsid w:val="00067F77"/>
    <w:rsid w:val="000716C5"/>
    <w:rsid w:val="000719C0"/>
    <w:rsid w:val="000721E0"/>
    <w:rsid w:val="00074B4A"/>
    <w:rsid w:val="00075E23"/>
    <w:rsid w:val="000763A0"/>
    <w:rsid w:val="0007648A"/>
    <w:rsid w:val="00076C35"/>
    <w:rsid w:val="000838E5"/>
    <w:rsid w:val="00083A25"/>
    <w:rsid w:val="000849CD"/>
    <w:rsid w:val="00085BBB"/>
    <w:rsid w:val="00086989"/>
    <w:rsid w:val="00087C13"/>
    <w:rsid w:val="00092A6B"/>
    <w:rsid w:val="0009344A"/>
    <w:rsid w:val="00095941"/>
    <w:rsid w:val="000978C1"/>
    <w:rsid w:val="000A392E"/>
    <w:rsid w:val="000A575F"/>
    <w:rsid w:val="000A6724"/>
    <w:rsid w:val="000A796A"/>
    <w:rsid w:val="000B062C"/>
    <w:rsid w:val="000B24BF"/>
    <w:rsid w:val="000B2EE9"/>
    <w:rsid w:val="000C1212"/>
    <w:rsid w:val="000C1883"/>
    <w:rsid w:val="000C1A34"/>
    <w:rsid w:val="000C3BE5"/>
    <w:rsid w:val="000C683B"/>
    <w:rsid w:val="000C7CEA"/>
    <w:rsid w:val="000D05CB"/>
    <w:rsid w:val="000D10DB"/>
    <w:rsid w:val="000D12AF"/>
    <w:rsid w:val="000D26B2"/>
    <w:rsid w:val="000D4A91"/>
    <w:rsid w:val="000D513B"/>
    <w:rsid w:val="000D53D1"/>
    <w:rsid w:val="000D794C"/>
    <w:rsid w:val="000E31E6"/>
    <w:rsid w:val="000E5931"/>
    <w:rsid w:val="000E5EB5"/>
    <w:rsid w:val="000E6A45"/>
    <w:rsid w:val="000F1619"/>
    <w:rsid w:val="000F2266"/>
    <w:rsid w:val="000F2376"/>
    <w:rsid w:val="000F35ED"/>
    <w:rsid w:val="000F4501"/>
    <w:rsid w:val="000F5D9A"/>
    <w:rsid w:val="000F6388"/>
    <w:rsid w:val="000F65D7"/>
    <w:rsid w:val="000F65E6"/>
    <w:rsid w:val="000F6669"/>
    <w:rsid w:val="000F7FEA"/>
    <w:rsid w:val="00102C07"/>
    <w:rsid w:val="00103F5B"/>
    <w:rsid w:val="00107131"/>
    <w:rsid w:val="0010736F"/>
    <w:rsid w:val="001079EB"/>
    <w:rsid w:val="00113F73"/>
    <w:rsid w:val="001150EC"/>
    <w:rsid w:val="00117F8C"/>
    <w:rsid w:val="00121CC2"/>
    <w:rsid w:val="00123FBD"/>
    <w:rsid w:val="00125EC9"/>
    <w:rsid w:val="001264FF"/>
    <w:rsid w:val="00130631"/>
    <w:rsid w:val="00131425"/>
    <w:rsid w:val="00131C54"/>
    <w:rsid w:val="00132171"/>
    <w:rsid w:val="0013231E"/>
    <w:rsid w:val="00132543"/>
    <w:rsid w:val="00133EE5"/>
    <w:rsid w:val="00141288"/>
    <w:rsid w:val="00141B1E"/>
    <w:rsid w:val="00142AD4"/>
    <w:rsid w:val="00146673"/>
    <w:rsid w:val="00147545"/>
    <w:rsid w:val="0015770B"/>
    <w:rsid w:val="001577C1"/>
    <w:rsid w:val="00162850"/>
    <w:rsid w:val="001639C7"/>
    <w:rsid w:val="001645A9"/>
    <w:rsid w:val="0016605B"/>
    <w:rsid w:val="001669D1"/>
    <w:rsid w:val="00167A34"/>
    <w:rsid w:val="0017170D"/>
    <w:rsid w:val="00172A6A"/>
    <w:rsid w:val="0017306B"/>
    <w:rsid w:val="001747F4"/>
    <w:rsid w:val="00174B35"/>
    <w:rsid w:val="00182FC7"/>
    <w:rsid w:val="00185E6E"/>
    <w:rsid w:val="00186055"/>
    <w:rsid w:val="001872F0"/>
    <w:rsid w:val="00190790"/>
    <w:rsid w:val="001941FC"/>
    <w:rsid w:val="0019566B"/>
    <w:rsid w:val="001973C6"/>
    <w:rsid w:val="00197A7E"/>
    <w:rsid w:val="001A2846"/>
    <w:rsid w:val="001A3A57"/>
    <w:rsid w:val="001A451B"/>
    <w:rsid w:val="001A492F"/>
    <w:rsid w:val="001A6F74"/>
    <w:rsid w:val="001A7870"/>
    <w:rsid w:val="001B2975"/>
    <w:rsid w:val="001B3A00"/>
    <w:rsid w:val="001B422E"/>
    <w:rsid w:val="001B7B46"/>
    <w:rsid w:val="001C1A0A"/>
    <w:rsid w:val="001C1B41"/>
    <w:rsid w:val="001C6B2E"/>
    <w:rsid w:val="001C6E1C"/>
    <w:rsid w:val="001D0805"/>
    <w:rsid w:val="001D0B6B"/>
    <w:rsid w:val="001D49CA"/>
    <w:rsid w:val="001D549F"/>
    <w:rsid w:val="001D65EF"/>
    <w:rsid w:val="001D7945"/>
    <w:rsid w:val="001E0410"/>
    <w:rsid w:val="001E15A4"/>
    <w:rsid w:val="001E18BA"/>
    <w:rsid w:val="001E4145"/>
    <w:rsid w:val="001E49E7"/>
    <w:rsid w:val="001E61E7"/>
    <w:rsid w:val="001E7B2B"/>
    <w:rsid w:val="001F34B2"/>
    <w:rsid w:val="001F4523"/>
    <w:rsid w:val="001F4BCF"/>
    <w:rsid w:val="001F5779"/>
    <w:rsid w:val="001F5809"/>
    <w:rsid w:val="001F5D1F"/>
    <w:rsid w:val="001F7201"/>
    <w:rsid w:val="001F7376"/>
    <w:rsid w:val="0021039C"/>
    <w:rsid w:val="0021231B"/>
    <w:rsid w:val="00212944"/>
    <w:rsid w:val="00214313"/>
    <w:rsid w:val="00215A24"/>
    <w:rsid w:val="00215A57"/>
    <w:rsid w:val="0021633B"/>
    <w:rsid w:val="00217B77"/>
    <w:rsid w:val="00222123"/>
    <w:rsid w:val="0022218C"/>
    <w:rsid w:val="00222637"/>
    <w:rsid w:val="00223A29"/>
    <w:rsid w:val="00224A84"/>
    <w:rsid w:val="002250A3"/>
    <w:rsid w:val="002271C7"/>
    <w:rsid w:val="00231D0B"/>
    <w:rsid w:val="00233EB9"/>
    <w:rsid w:val="00235217"/>
    <w:rsid w:val="00236A89"/>
    <w:rsid w:val="00236D03"/>
    <w:rsid w:val="00241639"/>
    <w:rsid w:val="0024176F"/>
    <w:rsid w:val="0024196C"/>
    <w:rsid w:val="00241A99"/>
    <w:rsid w:val="002469D2"/>
    <w:rsid w:val="00246D1F"/>
    <w:rsid w:val="00247403"/>
    <w:rsid w:val="00247542"/>
    <w:rsid w:val="00251C7B"/>
    <w:rsid w:val="00254326"/>
    <w:rsid w:val="00254430"/>
    <w:rsid w:val="002601C2"/>
    <w:rsid w:val="0026020D"/>
    <w:rsid w:val="00266B61"/>
    <w:rsid w:val="0026712A"/>
    <w:rsid w:val="002704DB"/>
    <w:rsid w:val="0027300D"/>
    <w:rsid w:val="00274032"/>
    <w:rsid w:val="00274162"/>
    <w:rsid w:val="0027492F"/>
    <w:rsid w:val="0027595C"/>
    <w:rsid w:val="00277651"/>
    <w:rsid w:val="0028030E"/>
    <w:rsid w:val="00282A64"/>
    <w:rsid w:val="00283150"/>
    <w:rsid w:val="00284683"/>
    <w:rsid w:val="0029073F"/>
    <w:rsid w:val="00291A0A"/>
    <w:rsid w:val="00291A8A"/>
    <w:rsid w:val="0029211F"/>
    <w:rsid w:val="0029438C"/>
    <w:rsid w:val="00294A78"/>
    <w:rsid w:val="00294B6E"/>
    <w:rsid w:val="0029576C"/>
    <w:rsid w:val="00296B75"/>
    <w:rsid w:val="002A0AAE"/>
    <w:rsid w:val="002A0D9C"/>
    <w:rsid w:val="002A1700"/>
    <w:rsid w:val="002A50E7"/>
    <w:rsid w:val="002A553B"/>
    <w:rsid w:val="002A5820"/>
    <w:rsid w:val="002A5A05"/>
    <w:rsid w:val="002A6735"/>
    <w:rsid w:val="002A789E"/>
    <w:rsid w:val="002B0A2C"/>
    <w:rsid w:val="002B2024"/>
    <w:rsid w:val="002B2DAD"/>
    <w:rsid w:val="002B3C21"/>
    <w:rsid w:val="002B51F3"/>
    <w:rsid w:val="002C1F9D"/>
    <w:rsid w:val="002C216A"/>
    <w:rsid w:val="002C4436"/>
    <w:rsid w:val="002C5226"/>
    <w:rsid w:val="002D2B26"/>
    <w:rsid w:val="002D36C1"/>
    <w:rsid w:val="002D4410"/>
    <w:rsid w:val="002D473B"/>
    <w:rsid w:val="002D7EA2"/>
    <w:rsid w:val="002E0D27"/>
    <w:rsid w:val="002E187C"/>
    <w:rsid w:val="002E1D32"/>
    <w:rsid w:val="002E1EEE"/>
    <w:rsid w:val="002E58B0"/>
    <w:rsid w:val="002E68FC"/>
    <w:rsid w:val="002E6BBC"/>
    <w:rsid w:val="002F03E3"/>
    <w:rsid w:val="002F0F04"/>
    <w:rsid w:val="002F2500"/>
    <w:rsid w:val="002F65CD"/>
    <w:rsid w:val="002F66FE"/>
    <w:rsid w:val="003008A3"/>
    <w:rsid w:val="00300E5C"/>
    <w:rsid w:val="003011DA"/>
    <w:rsid w:val="003013BC"/>
    <w:rsid w:val="00302733"/>
    <w:rsid w:val="00302D54"/>
    <w:rsid w:val="00303491"/>
    <w:rsid w:val="003058DA"/>
    <w:rsid w:val="00305D18"/>
    <w:rsid w:val="00305D53"/>
    <w:rsid w:val="0030734C"/>
    <w:rsid w:val="003103F3"/>
    <w:rsid w:val="0031117D"/>
    <w:rsid w:val="00311D33"/>
    <w:rsid w:val="00314078"/>
    <w:rsid w:val="00314148"/>
    <w:rsid w:val="00314E14"/>
    <w:rsid w:val="0031535D"/>
    <w:rsid w:val="00315814"/>
    <w:rsid w:val="003176DC"/>
    <w:rsid w:val="0032008D"/>
    <w:rsid w:val="00321161"/>
    <w:rsid w:val="00322C5F"/>
    <w:rsid w:val="00323020"/>
    <w:rsid w:val="003239B8"/>
    <w:rsid w:val="00324861"/>
    <w:rsid w:val="00325FA7"/>
    <w:rsid w:val="003265BB"/>
    <w:rsid w:val="0032746B"/>
    <w:rsid w:val="0033169F"/>
    <w:rsid w:val="0033385B"/>
    <w:rsid w:val="00333C94"/>
    <w:rsid w:val="00341773"/>
    <w:rsid w:val="00344977"/>
    <w:rsid w:val="00345FD8"/>
    <w:rsid w:val="003460E5"/>
    <w:rsid w:val="0034643F"/>
    <w:rsid w:val="00346C95"/>
    <w:rsid w:val="00350B8F"/>
    <w:rsid w:val="00356185"/>
    <w:rsid w:val="00360380"/>
    <w:rsid w:val="00360E97"/>
    <w:rsid w:val="00361AEB"/>
    <w:rsid w:val="0036213A"/>
    <w:rsid w:val="00363D6F"/>
    <w:rsid w:val="00364137"/>
    <w:rsid w:val="0036450A"/>
    <w:rsid w:val="003648CD"/>
    <w:rsid w:val="003729B0"/>
    <w:rsid w:val="00374E7C"/>
    <w:rsid w:val="0037519E"/>
    <w:rsid w:val="0037596E"/>
    <w:rsid w:val="003865AF"/>
    <w:rsid w:val="00386CF0"/>
    <w:rsid w:val="00390EC7"/>
    <w:rsid w:val="00391E69"/>
    <w:rsid w:val="00392529"/>
    <w:rsid w:val="00392A4F"/>
    <w:rsid w:val="00392C41"/>
    <w:rsid w:val="00393F76"/>
    <w:rsid w:val="00394EAA"/>
    <w:rsid w:val="00397150"/>
    <w:rsid w:val="003A011D"/>
    <w:rsid w:val="003A1F12"/>
    <w:rsid w:val="003A324B"/>
    <w:rsid w:val="003A3C70"/>
    <w:rsid w:val="003A3DFC"/>
    <w:rsid w:val="003A743D"/>
    <w:rsid w:val="003A7A89"/>
    <w:rsid w:val="003B1B44"/>
    <w:rsid w:val="003B690A"/>
    <w:rsid w:val="003B70FB"/>
    <w:rsid w:val="003B7486"/>
    <w:rsid w:val="003C2239"/>
    <w:rsid w:val="003C32F0"/>
    <w:rsid w:val="003C40E5"/>
    <w:rsid w:val="003C4511"/>
    <w:rsid w:val="003C676B"/>
    <w:rsid w:val="003D0A11"/>
    <w:rsid w:val="003D33A4"/>
    <w:rsid w:val="003D3BC2"/>
    <w:rsid w:val="003D7C10"/>
    <w:rsid w:val="003D7DC5"/>
    <w:rsid w:val="003E16A6"/>
    <w:rsid w:val="003E3C1F"/>
    <w:rsid w:val="003E6CA1"/>
    <w:rsid w:val="003E7726"/>
    <w:rsid w:val="003E7CCD"/>
    <w:rsid w:val="003F0DE7"/>
    <w:rsid w:val="003F101E"/>
    <w:rsid w:val="003F13E2"/>
    <w:rsid w:val="003F2329"/>
    <w:rsid w:val="003F3C84"/>
    <w:rsid w:val="003F5070"/>
    <w:rsid w:val="003F721B"/>
    <w:rsid w:val="00404F8C"/>
    <w:rsid w:val="00405F9C"/>
    <w:rsid w:val="00406373"/>
    <w:rsid w:val="004065A8"/>
    <w:rsid w:val="00411B91"/>
    <w:rsid w:val="00415498"/>
    <w:rsid w:val="004165C2"/>
    <w:rsid w:val="00420875"/>
    <w:rsid w:val="00421C4D"/>
    <w:rsid w:val="00421E19"/>
    <w:rsid w:val="00421E32"/>
    <w:rsid w:val="00422AD4"/>
    <w:rsid w:val="00423485"/>
    <w:rsid w:val="00425D6F"/>
    <w:rsid w:val="00426248"/>
    <w:rsid w:val="00426E5D"/>
    <w:rsid w:val="004274A2"/>
    <w:rsid w:val="004309C7"/>
    <w:rsid w:val="0043195F"/>
    <w:rsid w:val="00435291"/>
    <w:rsid w:val="004357CA"/>
    <w:rsid w:val="00435AC4"/>
    <w:rsid w:val="004360C1"/>
    <w:rsid w:val="00436B39"/>
    <w:rsid w:val="00436FF4"/>
    <w:rsid w:val="00441509"/>
    <w:rsid w:val="00441524"/>
    <w:rsid w:val="00441604"/>
    <w:rsid w:val="00441E0D"/>
    <w:rsid w:val="00441EC9"/>
    <w:rsid w:val="00441ECB"/>
    <w:rsid w:val="00442AB4"/>
    <w:rsid w:val="00444E6B"/>
    <w:rsid w:val="00445193"/>
    <w:rsid w:val="00445622"/>
    <w:rsid w:val="004456A0"/>
    <w:rsid w:val="00446DBA"/>
    <w:rsid w:val="00450761"/>
    <w:rsid w:val="004508F0"/>
    <w:rsid w:val="004518B1"/>
    <w:rsid w:val="004538E9"/>
    <w:rsid w:val="004573D9"/>
    <w:rsid w:val="00460894"/>
    <w:rsid w:val="00462C1B"/>
    <w:rsid w:val="00465410"/>
    <w:rsid w:val="00465ABB"/>
    <w:rsid w:val="004672F2"/>
    <w:rsid w:val="0046793E"/>
    <w:rsid w:val="00467B7E"/>
    <w:rsid w:val="00470DFB"/>
    <w:rsid w:val="0047171F"/>
    <w:rsid w:val="004728EB"/>
    <w:rsid w:val="00472AE7"/>
    <w:rsid w:val="00473BB4"/>
    <w:rsid w:val="00477592"/>
    <w:rsid w:val="00483ACA"/>
    <w:rsid w:val="00484B3B"/>
    <w:rsid w:val="00486F1C"/>
    <w:rsid w:val="00493783"/>
    <w:rsid w:val="00493CDD"/>
    <w:rsid w:val="0049419D"/>
    <w:rsid w:val="004A0D36"/>
    <w:rsid w:val="004A33A3"/>
    <w:rsid w:val="004A3652"/>
    <w:rsid w:val="004A3861"/>
    <w:rsid w:val="004A6A54"/>
    <w:rsid w:val="004B51F1"/>
    <w:rsid w:val="004B533A"/>
    <w:rsid w:val="004B5580"/>
    <w:rsid w:val="004B5C1C"/>
    <w:rsid w:val="004B6C7B"/>
    <w:rsid w:val="004B6F73"/>
    <w:rsid w:val="004C0D55"/>
    <w:rsid w:val="004C20D2"/>
    <w:rsid w:val="004C2312"/>
    <w:rsid w:val="004C4B62"/>
    <w:rsid w:val="004C54C9"/>
    <w:rsid w:val="004C57D2"/>
    <w:rsid w:val="004D39B8"/>
    <w:rsid w:val="004D40D5"/>
    <w:rsid w:val="004D4ABA"/>
    <w:rsid w:val="004D6025"/>
    <w:rsid w:val="004D6F2A"/>
    <w:rsid w:val="004D72B5"/>
    <w:rsid w:val="004E04F9"/>
    <w:rsid w:val="004E0A6C"/>
    <w:rsid w:val="004E2649"/>
    <w:rsid w:val="004E4D8F"/>
    <w:rsid w:val="004E4DE0"/>
    <w:rsid w:val="004E62CC"/>
    <w:rsid w:val="004F1704"/>
    <w:rsid w:val="004F610B"/>
    <w:rsid w:val="004F6181"/>
    <w:rsid w:val="004F626F"/>
    <w:rsid w:val="00501399"/>
    <w:rsid w:val="005015FA"/>
    <w:rsid w:val="0050208B"/>
    <w:rsid w:val="0050633D"/>
    <w:rsid w:val="00506487"/>
    <w:rsid w:val="00506F16"/>
    <w:rsid w:val="00507BC4"/>
    <w:rsid w:val="00507D93"/>
    <w:rsid w:val="0051162A"/>
    <w:rsid w:val="005121BC"/>
    <w:rsid w:val="005128E4"/>
    <w:rsid w:val="005133DB"/>
    <w:rsid w:val="00514504"/>
    <w:rsid w:val="00514A54"/>
    <w:rsid w:val="00517349"/>
    <w:rsid w:val="00520AC7"/>
    <w:rsid w:val="00525560"/>
    <w:rsid w:val="00526CCF"/>
    <w:rsid w:val="00527E2E"/>
    <w:rsid w:val="00527F68"/>
    <w:rsid w:val="00531166"/>
    <w:rsid w:val="00532D82"/>
    <w:rsid w:val="00535B3B"/>
    <w:rsid w:val="00541C4F"/>
    <w:rsid w:val="00542870"/>
    <w:rsid w:val="00544C49"/>
    <w:rsid w:val="00545B15"/>
    <w:rsid w:val="005508FE"/>
    <w:rsid w:val="005516A1"/>
    <w:rsid w:val="005559EF"/>
    <w:rsid w:val="0055600D"/>
    <w:rsid w:val="005564B7"/>
    <w:rsid w:val="00556B0D"/>
    <w:rsid w:val="00557657"/>
    <w:rsid w:val="00557794"/>
    <w:rsid w:val="00563557"/>
    <w:rsid w:val="00564F0A"/>
    <w:rsid w:val="00564F73"/>
    <w:rsid w:val="0057402A"/>
    <w:rsid w:val="00574CE6"/>
    <w:rsid w:val="005769E0"/>
    <w:rsid w:val="005771D0"/>
    <w:rsid w:val="005807C9"/>
    <w:rsid w:val="00581651"/>
    <w:rsid w:val="00584B91"/>
    <w:rsid w:val="00584DF4"/>
    <w:rsid w:val="00585320"/>
    <w:rsid w:val="0059092F"/>
    <w:rsid w:val="0059191A"/>
    <w:rsid w:val="005921FF"/>
    <w:rsid w:val="00592C28"/>
    <w:rsid w:val="005A24ED"/>
    <w:rsid w:val="005A254F"/>
    <w:rsid w:val="005A2952"/>
    <w:rsid w:val="005A3180"/>
    <w:rsid w:val="005A399B"/>
    <w:rsid w:val="005A3E4F"/>
    <w:rsid w:val="005A56E3"/>
    <w:rsid w:val="005A6D0E"/>
    <w:rsid w:val="005A6ECD"/>
    <w:rsid w:val="005A7313"/>
    <w:rsid w:val="005A7936"/>
    <w:rsid w:val="005B0144"/>
    <w:rsid w:val="005B0E10"/>
    <w:rsid w:val="005B0EE8"/>
    <w:rsid w:val="005B5278"/>
    <w:rsid w:val="005B52B0"/>
    <w:rsid w:val="005B5C75"/>
    <w:rsid w:val="005B6806"/>
    <w:rsid w:val="005C4225"/>
    <w:rsid w:val="005C4655"/>
    <w:rsid w:val="005C4B01"/>
    <w:rsid w:val="005C514F"/>
    <w:rsid w:val="005C75B9"/>
    <w:rsid w:val="005C7BBC"/>
    <w:rsid w:val="005D0693"/>
    <w:rsid w:val="005D38F9"/>
    <w:rsid w:val="005E0CA0"/>
    <w:rsid w:val="005E3668"/>
    <w:rsid w:val="005E7EC0"/>
    <w:rsid w:val="005F0DAD"/>
    <w:rsid w:val="005F0F33"/>
    <w:rsid w:val="005F52BA"/>
    <w:rsid w:val="005F7CBC"/>
    <w:rsid w:val="00600DEB"/>
    <w:rsid w:val="006010EE"/>
    <w:rsid w:val="00602D98"/>
    <w:rsid w:val="0060334C"/>
    <w:rsid w:val="00607C67"/>
    <w:rsid w:val="00613D7E"/>
    <w:rsid w:val="00615A70"/>
    <w:rsid w:val="00621FE1"/>
    <w:rsid w:val="00624C3F"/>
    <w:rsid w:val="0062514F"/>
    <w:rsid w:val="0062686C"/>
    <w:rsid w:val="00627C9F"/>
    <w:rsid w:val="006311E9"/>
    <w:rsid w:val="00632354"/>
    <w:rsid w:val="00633B17"/>
    <w:rsid w:val="00634494"/>
    <w:rsid w:val="00635421"/>
    <w:rsid w:val="00635DD8"/>
    <w:rsid w:val="00636CF7"/>
    <w:rsid w:val="00636D4F"/>
    <w:rsid w:val="0064055E"/>
    <w:rsid w:val="00642810"/>
    <w:rsid w:val="0064458A"/>
    <w:rsid w:val="006445D2"/>
    <w:rsid w:val="00644683"/>
    <w:rsid w:val="006461DD"/>
    <w:rsid w:val="00646562"/>
    <w:rsid w:val="00650BDD"/>
    <w:rsid w:val="00651944"/>
    <w:rsid w:val="00652333"/>
    <w:rsid w:val="006545B9"/>
    <w:rsid w:val="00654715"/>
    <w:rsid w:val="00654A76"/>
    <w:rsid w:val="006569FA"/>
    <w:rsid w:val="0066039F"/>
    <w:rsid w:val="00660510"/>
    <w:rsid w:val="00661C37"/>
    <w:rsid w:val="00662C96"/>
    <w:rsid w:val="006708C2"/>
    <w:rsid w:val="0067173D"/>
    <w:rsid w:val="00673D2F"/>
    <w:rsid w:val="0067722B"/>
    <w:rsid w:val="0068009E"/>
    <w:rsid w:val="006819B3"/>
    <w:rsid w:val="00683069"/>
    <w:rsid w:val="00685592"/>
    <w:rsid w:val="00685594"/>
    <w:rsid w:val="00687736"/>
    <w:rsid w:val="00687A04"/>
    <w:rsid w:val="00690525"/>
    <w:rsid w:val="00690FDC"/>
    <w:rsid w:val="00691167"/>
    <w:rsid w:val="00692219"/>
    <w:rsid w:val="00692CD4"/>
    <w:rsid w:val="00694FBF"/>
    <w:rsid w:val="006A05B8"/>
    <w:rsid w:val="006A17D2"/>
    <w:rsid w:val="006A2BFD"/>
    <w:rsid w:val="006A6089"/>
    <w:rsid w:val="006A73E6"/>
    <w:rsid w:val="006A79A0"/>
    <w:rsid w:val="006A7F86"/>
    <w:rsid w:val="006B06BC"/>
    <w:rsid w:val="006B0D14"/>
    <w:rsid w:val="006B2D5C"/>
    <w:rsid w:val="006B3D9A"/>
    <w:rsid w:val="006B4489"/>
    <w:rsid w:val="006B6CC2"/>
    <w:rsid w:val="006C2215"/>
    <w:rsid w:val="006C388C"/>
    <w:rsid w:val="006C4EB1"/>
    <w:rsid w:val="006D007C"/>
    <w:rsid w:val="006D0B7B"/>
    <w:rsid w:val="006D0BCC"/>
    <w:rsid w:val="006D1005"/>
    <w:rsid w:val="006D116E"/>
    <w:rsid w:val="006D187F"/>
    <w:rsid w:val="006D4A0E"/>
    <w:rsid w:val="006D5B19"/>
    <w:rsid w:val="006D703F"/>
    <w:rsid w:val="006E0166"/>
    <w:rsid w:val="006E0976"/>
    <w:rsid w:val="006E1357"/>
    <w:rsid w:val="006E2FFB"/>
    <w:rsid w:val="006E7B34"/>
    <w:rsid w:val="006F1E7C"/>
    <w:rsid w:val="006F3331"/>
    <w:rsid w:val="006F55D4"/>
    <w:rsid w:val="00701704"/>
    <w:rsid w:val="00705BBD"/>
    <w:rsid w:val="00705F30"/>
    <w:rsid w:val="0070697F"/>
    <w:rsid w:val="00711FF5"/>
    <w:rsid w:val="007139FD"/>
    <w:rsid w:val="00713CBA"/>
    <w:rsid w:val="00716058"/>
    <w:rsid w:val="00716A6A"/>
    <w:rsid w:val="00716D1A"/>
    <w:rsid w:val="00717543"/>
    <w:rsid w:val="00717DAF"/>
    <w:rsid w:val="007210D9"/>
    <w:rsid w:val="0072199C"/>
    <w:rsid w:val="007223DE"/>
    <w:rsid w:val="00722C9F"/>
    <w:rsid w:val="007253B8"/>
    <w:rsid w:val="0072555D"/>
    <w:rsid w:val="00726599"/>
    <w:rsid w:val="00735651"/>
    <w:rsid w:val="0073741F"/>
    <w:rsid w:val="00741316"/>
    <w:rsid w:val="0074388A"/>
    <w:rsid w:val="00746650"/>
    <w:rsid w:val="007500AB"/>
    <w:rsid w:val="00750AC7"/>
    <w:rsid w:val="007526AE"/>
    <w:rsid w:val="00754555"/>
    <w:rsid w:val="00755EFF"/>
    <w:rsid w:val="007579DE"/>
    <w:rsid w:val="00765C88"/>
    <w:rsid w:val="00766087"/>
    <w:rsid w:val="0076643F"/>
    <w:rsid w:val="00767108"/>
    <w:rsid w:val="007720EF"/>
    <w:rsid w:val="007741C8"/>
    <w:rsid w:val="00774249"/>
    <w:rsid w:val="00777F63"/>
    <w:rsid w:val="00777FCC"/>
    <w:rsid w:val="007813C4"/>
    <w:rsid w:val="00784A52"/>
    <w:rsid w:val="00784E15"/>
    <w:rsid w:val="00787A6B"/>
    <w:rsid w:val="00787F5E"/>
    <w:rsid w:val="00791025"/>
    <w:rsid w:val="00792F9B"/>
    <w:rsid w:val="0079405B"/>
    <w:rsid w:val="007941C4"/>
    <w:rsid w:val="00795D75"/>
    <w:rsid w:val="00796D04"/>
    <w:rsid w:val="00797D1D"/>
    <w:rsid w:val="007A01AC"/>
    <w:rsid w:val="007A0AD2"/>
    <w:rsid w:val="007A14EF"/>
    <w:rsid w:val="007A19E3"/>
    <w:rsid w:val="007A3B36"/>
    <w:rsid w:val="007A42A0"/>
    <w:rsid w:val="007A5817"/>
    <w:rsid w:val="007A676D"/>
    <w:rsid w:val="007B027F"/>
    <w:rsid w:val="007B05C4"/>
    <w:rsid w:val="007B0759"/>
    <w:rsid w:val="007B20FC"/>
    <w:rsid w:val="007B567D"/>
    <w:rsid w:val="007B60E9"/>
    <w:rsid w:val="007B6C95"/>
    <w:rsid w:val="007B6CC3"/>
    <w:rsid w:val="007B76D3"/>
    <w:rsid w:val="007C03A3"/>
    <w:rsid w:val="007C042E"/>
    <w:rsid w:val="007C1177"/>
    <w:rsid w:val="007C2A0D"/>
    <w:rsid w:val="007C3334"/>
    <w:rsid w:val="007C49C3"/>
    <w:rsid w:val="007C6E33"/>
    <w:rsid w:val="007C75A8"/>
    <w:rsid w:val="007D1C8B"/>
    <w:rsid w:val="007D21D7"/>
    <w:rsid w:val="007D2B98"/>
    <w:rsid w:val="007D3359"/>
    <w:rsid w:val="007D370F"/>
    <w:rsid w:val="007D4430"/>
    <w:rsid w:val="007E21BC"/>
    <w:rsid w:val="007E3A73"/>
    <w:rsid w:val="007E46B1"/>
    <w:rsid w:val="007E6FC7"/>
    <w:rsid w:val="007E7C82"/>
    <w:rsid w:val="007F11EF"/>
    <w:rsid w:val="007F2AA1"/>
    <w:rsid w:val="007F3E50"/>
    <w:rsid w:val="007F54F8"/>
    <w:rsid w:val="007F588D"/>
    <w:rsid w:val="007F70E6"/>
    <w:rsid w:val="007F7829"/>
    <w:rsid w:val="00803F1C"/>
    <w:rsid w:val="0080600E"/>
    <w:rsid w:val="00806155"/>
    <w:rsid w:val="00810285"/>
    <w:rsid w:val="00811F4B"/>
    <w:rsid w:val="00814688"/>
    <w:rsid w:val="00814C11"/>
    <w:rsid w:val="00816361"/>
    <w:rsid w:val="00817612"/>
    <w:rsid w:val="00821918"/>
    <w:rsid w:val="008227CC"/>
    <w:rsid w:val="008228CC"/>
    <w:rsid w:val="0082454B"/>
    <w:rsid w:val="00827D7A"/>
    <w:rsid w:val="008338A4"/>
    <w:rsid w:val="00834D49"/>
    <w:rsid w:val="00835E10"/>
    <w:rsid w:val="00837C45"/>
    <w:rsid w:val="00837DC8"/>
    <w:rsid w:val="00840D7C"/>
    <w:rsid w:val="00841A9D"/>
    <w:rsid w:val="008442AF"/>
    <w:rsid w:val="00844730"/>
    <w:rsid w:val="008457C2"/>
    <w:rsid w:val="008522FD"/>
    <w:rsid w:val="00853BE0"/>
    <w:rsid w:val="008543D6"/>
    <w:rsid w:val="00856755"/>
    <w:rsid w:val="00857A82"/>
    <w:rsid w:val="00861849"/>
    <w:rsid w:val="00861DFF"/>
    <w:rsid w:val="00862BEF"/>
    <w:rsid w:val="00867314"/>
    <w:rsid w:val="00867B63"/>
    <w:rsid w:val="00872172"/>
    <w:rsid w:val="00873836"/>
    <w:rsid w:val="00876B92"/>
    <w:rsid w:val="00877126"/>
    <w:rsid w:val="00881929"/>
    <w:rsid w:val="0088211A"/>
    <w:rsid w:val="008821AC"/>
    <w:rsid w:val="00884E6C"/>
    <w:rsid w:val="00885737"/>
    <w:rsid w:val="0088642B"/>
    <w:rsid w:val="00890650"/>
    <w:rsid w:val="0089311F"/>
    <w:rsid w:val="00894F1D"/>
    <w:rsid w:val="00895A08"/>
    <w:rsid w:val="008965C8"/>
    <w:rsid w:val="008979DD"/>
    <w:rsid w:val="00897E12"/>
    <w:rsid w:val="008A1C5A"/>
    <w:rsid w:val="008A1F86"/>
    <w:rsid w:val="008A47A6"/>
    <w:rsid w:val="008A6E9E"/>
    <w:rsid w:val="008A7E0F"/>
    <w:rsid w:val="008B12F5"/>
    <w:rsid w:val="008B36A0"/>
    <w:rsid w:val="008B6C58"/>
    <w:rsid w:val="008C06ED"/>
    <w:rsid w:val="008C0909"/>
    <w:rsid w:val="008C186B"/>
    <w:rsid w:val="008C5E2D"/>
    <w:rsid w:val="008C6482"/>
    <w:rsid w:val="008D0A4D"/>
    <w:rsid w:val="008D2604"/>
    <w:rsid w:val="008D5317"/>
    <w:rsid w:val="008D5E0A"/>
    <w:rsid w:val="008D68F6"/>
    <w:rsid w:val="008D768D"/>
    <w:rsid w:val="008E1DF9"/>
    <w:rsid w:val="008E2BEE"/>
    <w:rsid w:val="008E3759"/>
    <w:rsid w:val="008E37AE"/>
    <w:rsid w:val="008E3BFE"/>
    <w:rsid w:val="008E7FD4"/>
    <w:rsid w:val="008F08CC"/>
    <w:rsid w:val="008F14B9"/>
    <w:rsid w:val="008F1912"/>
    <w:rsid w:val="008F2467"/>
    <w:rsid w:val="008F45D1"/>
    <w:rsid w:val="009009AC"/>
    <w:rsid w:val="0090270B"/>
    <w:rsid w:val="009033FC"/>
    <w:rsid w:val="009041DC"/>
    <w:rsid w:val="00904980"/>
    <w:rsid w:val="00905D3B"/>
    <w:rsid w:val="00906F48"/>
    <w:rsid w:val="00907831"/>
    <w:rsid w:val="00911E02"/>
    <w:rsid w:val="00917B5A"/>
    <w:rsid w:val="00920367"/>
    <w:rsid w:val="00920A58"/>
    <w:rsid w:val="00920A8C"/>
    <w:rsid w:val="0092359E"/>
    <w:rsid w:val="00925988"/>
    <w:rsid w:val="00927C22"/>
    <w:rsid w:val="009300A4"/>
    <w:rsid w:val="00931403"/>
    <w:rsid w:val="00934A2C"/>
    <w:rsid w:val="00934D34"/>
    <w:rsid w:val="0093570B"/>
    <w:rsid w:val="00935E51"/>
    <w:rsid w:val="009414CF"/>
    <w:rsid w:val="009414F7"/>
    <w:rsid w:val="009432D5"/>
    <w:rsid w:val="009435BA"/>
    <w:rsid w:val="00947234"/>
    <w:rsid w:val="00953192"/>
    <w:rsid w:val="00954274"/>
    <w:rsid w:val="009559BD"/>
    <w:rsid w:val="009562AD"/>
    <w:rsid w:val="00956B0C"/>
    <w:rsid w:val="009605ED"/>
    <w:rsid w:val="009636B8"/>
    <w:rsid w:val="00965B1C"/>
    <w:rsid w:val="009661D1"/>
    <w:rsid w:val="0096706E"/>
    <w:rsid w:val="009672B0"/>
    <w:rsid w:val="00967F21"/>
    <w:rsid w:val="009726E2"/>
    <w:rsid w:val="0097392E"/>
    <w:rsid w:val="00974491"/>
    <w:rsid w:val="00975C4E"/>
    <w:rsid w:val="00976FFB"/>
    <w:rsid w:val="00980167"/>
    <w:rsid w:val="00981FBA"/>
    <w:rsid w:val="00986F76"/>
    <w:rsid w:val="009871C8"/>
    <w:rsid w:val="00990B39"/>
    <w:rsid w:val="00990BCA"/>
    <w:rsid w:val="009925D5"/>
    <w:rsid w:val="00997326"/>
    <w:rsid w:val="00997BC5"/>
    <w:rsid w:val="009A12FF"/>
    <w:rsid w:val="009A272D"/>
    <w:rsid w:val="009A3960"/>
    <w:rsid w:val="009A3D68"/>
    <w:rsid w:val="009A4F41"/>
    <w:rsid w:val="009A68CC"/>
    <w:rsid w:val="009A6D64"/>
    <w:rsid w:val="009A6ED0"/>
    <w:rsid w:val="009B11FC"/>
    <w:rsid w:val="009B1FC9"/>
    <w:rsid w:val="009B2124"/>
    <w:rsid w:val="009B381B"/>
    <w:rsid w:val="009B69AD"/>
    <w:rsid w:val="009B72A7"/>
    <w:rsid w:val="009C0523"/>
    <w:rsid w:val="009C10D5"/>
    <w:rsid w:val="009C3D6F"/>
    <w:rsid w:val="009C4811"/>
    <w:rsid w:val="009C4EA2"/>
    <w:rsid w:val="009C6197"/>
    <w:rsid w:val="009C7C4A"/>
    <w:rsid w:val="009D1579"/>
    <w:rsid w:val="009D1753"/>
    <w:rsid w:val="009D1C42"/>
    <w:rsid w:val="009D25B9"/>
    <w:rsid w:val="009D301E"/>
    <w:rsid w:val="009D4501"/>
    <w:rsid w:val="009D54C8"/>
    <w:rsid w:val="009D63A5"/>
    <w:rsid w:val="009D7611"/>
    <w:rsid w:val="009E0B61"/>
    <w:rsid w:val="009E3760"/>
    <w:rsid w:val="009E53DE"/>
    <w:rsid w:val="009E6072"/>
    <w:rsid w:val="009E6E92"/>
    <w:rsid w:val="009E76EC"/>
    <w:rsid w:val="009E7C29"/>
    <w:rsid w:val="009F2042"/>
    <w:rsid w:val="009F2418"/>
    <w:rsid w:val="009F4DF2"/>
    <w:rsid w:val="00A02E65"/>
    <w:rsid w:val="00A03819"/>
    <w:rsid w:val="00A03D24"/>
    <w:rsid w:val="00A05ADF"/>
    <w:rsid w:val="00A07F3C"/>
    <w:rsid w:val="00A11212"/>
    <w:rsid w:val="00A11E44"/>
    <w:rsid w:val="00A139F7"/>
    <w:rsid w:val="00A13BC7"/>
    <w:rsid w:val="00A155E4"/>
    <w:rsid w:val="00A1569B"/>
    <w:rsid w:val="00A171A1"/>
    <w:rsid w:val="00A22645"/>
    <w:rsid w:val="00A22B2A"/>
    <w:rsid w:val="00A23907"/>
    <w:rsid w:val="00A23FD4"/>
    <w:rsid w:val="00A26EAE"/>
    <w:rsid w:val="00A30100"/>
    <w:rsid w:val="00A308EC"/>
    <w:rsid w:val="00A31EE6"/>
    <w:rsid w:val="00A31F2B"/>
    <w:rsid w:val="00A31FDC"/>
    <w:rsid w:val="00A328B3"/>
    <w:rsid w:val="00A32CD3"/>
    <w:rsid w:val="00A33543"/>
    <w:rsid w:val="00A407B0"/>
    <w:rsid w:val="00A43712"/>
    <w:rsid w:val="00A45CF0"/>
    <w:rsid w:val="00A46EB3"/>
    <w:rsid w:val="00A50FCF"/>
    <w:rsid w:val="00A528D1"/>
    <w:rsid w:val="00A5353C"/>
    <w:rsid w:val="00A536AD"/>
    <w:rsid w:val="00A610CD"/>
    <w:rsid w:val="00A62120"/>
    <w:rsid w:val="00A625FA"/>
    <w:rsid w:val="00A6279F"/>
    <w:rsid w:val="00A6327C"/>
    <w:rsid w:val="00A65D0E"/>
    <w:rsid w:val="00A6605E"/>
    <w:rsid w:val="00A70100"/>
    <w:rsid w:val="00A702E5"/>
    <w:rsid w:val="00A71484"/>
    <w:rsid w:val="00A758AA"/>
    <w:rsid w:val="00A758D1"/>
    <w:rsid w:val="00A7659D"/>
    <w:rsid w:val="00A76826"/>
    <w:rsid w:val="00A777B0"/>
    <w:rsid w:val="00A77A25"/>
    <w:rsid w:val="00A77ECC"/>
    <w:rsid w:val="00A82BBF"/>
    <w:rsid w:val="00A84FEF"/>
    <w:rsid w:val="00A850F0"/>
    <w:rsid w:val="00A86675"/>
    <w:rsid w:val="00A870A1"/>
    <w:rsid w:val="00A873B2"/>
    <w:rsid w:val="00A90922"/>
    <w:rsid w:val="00A91FC5"/>
    <w:rsid w:val="00A94353"/>
    <w:rsid w:val="00AA09A2"/>
    <w:rsid w:val="00AA318E"/>
    <w:rsid w:val="00AA52AC"/>
    <w:rsid w:val="00AA7996"/>
    <w:rsid w:val="00AB5532"/>
    <w:rsid w:val="00AB73E8"/>
    <w:rsid w:val="00AC19CB"/>
    <w:rsid w:val="00AC19CE"/>
    <w:rsid w:val="00AC1E3C"/>
    <w:rsid w:val="00AC26BC"/>
    <w:rsid w:val="00AD0320"/>
    <w:rsid w:val="00AD2FBE"/>
    <w:rsid w:val="00AD54B2"/>
    <w:rsid w:val="00AD69D7"/>
    <w:rsid w:val="00AE0EC0"/>
    <w:rsid w:val="00AE17AB"/>
    <w:rsid w:val="00AE3590"/>
    <w:rsid w:val="00AE3E24"/>
    <w:rsid w:val="00AE5488"/>
    <w:rsid w:val="00AE6C05"/>
    <w:rsid w:val="00AE6F91"/>
    <w:rsid w:val="00AE72BF"/>
    <w:rsid w:val="00AF0729"/>
    <w:rsid w:val="00AF2269"/>
    <w:rsid w:val="00AF2FD2"/>
    <w:rsid w:val="00AF3B47"/>
    <w:rsid w:val="00AF50EA"/>
    <w:rsid w:val="00AF5571"/>
    <w:rsid w:val="00B02BA3"/>
    <w:rsid w:val="00B02BF8"/>
    <w:rsid w:val="00B03BFF"/>
    <w:rsid w:val="00B04AB4"/>
    <w:rsid w:val="00B04CD7"/>
    <w:rsid w:val="00B070C1"/>
    <w:rsid w:val="00B07341"/>
    <w:rsid w:val="00B10D1E"/>
    <w:rsid w:val="00B11421"/>
    <w:rsid w:val="00B12067"/>
    <w:rsid w:val="00B1334D"/>
    <w:rsid w:val="00B15E5C"/>
    <w:rsid w:val="00B16783"/>
    <w:rsid w:val="00B206B6"/>
    <w:rsid w:val="00B20828"/>
    <w:rsid w:val="00B2096A"/>
    <w:rsid w:val="00B20E35"/>
    <w:rsid w:val="00B21A1A"/>
    <w:rsid w:val="00B23EB9"/>
    <w:rsid w:val="00B2434D"/>
    <w:rsid w:val="00B24CEB"/>
    <w:rsid w:val="00B24D5D"/>
    <w:rsid w:val="00B260DE"/>
    <w:rsid w:val="00B30539"/>
    <w:rsid w:val="00B314DB"/>
    <w:rsid w:val="00B316FD"/>
    <w:rsid w:val="00B328F3"/>
    <w:rsid w:val="00B33FF0"/>
    <w:rsid w:val="00B3560E"/>
    <w:rsid w:val="00B3606D"/>
    <w:rsid w:val="00B361F2"/>
    <w:rsid w:val="00B3718B"/>
    <w:rsid w:val="00B3745F"/>
    <w:rsid w:val="00B40EED"/>
    <w:rsid w:val="00B44619"/>
    <w:rsid w:val="00B44D25"/>
    <w:rsid w:val="00B4632A"/>
    <w:rsid w:val="00B46683"/>
    <w:rsid w:val="00B4714D"/>
    <w:rsid w:val="00B50883"/>
    <w:rsid w:val="00B530F1"/>
    <w:rsid w:val="00B54981"/>
    <w:rsid w:val="00B550F4"/>
    <w:rsid w:val="00B5631A"/>
    <w:rsid w:val="00B56C8C"/>
    <w:rsid w:val="00B60D74"/>
    <w:rsid w:val="00B6255F"/>
    <w:rsid w:val="00B63FF9"/>
    <w:rsid w:val="00B66F1C"/>
    <w:rsid w:val="00B70C53"/>
    <w:rsid w:val="00B74D2A"/>
    <w:rsid w:val="00B8299E"/>
    <w:rsid w:val="00B85CBA"/>
    <w:rsid w:val="00B90602"/>
    <w:rsid w:val="00B90908"/>
    <w:rsid w:val="00B92642"/>
    <w:rsid w:val="00B9754F"/>
    <w:rsid w:val="00BA05C5"/>
    <w:rsid w:val="00BA15FB"/>
    <w:rsid w:val="00BA276C"/>
    <w:rsid w:val="00BA5309"/>
    <w:rsid w:val="00BA5480"/>
    <w:rsid w:val="00BA55D2"/>
    <w:rsid w:val="00BA586C"/>
    <w:rsid w:val="00BA5E86"/>
    <w:rsid w:val="00BA6CDE"/>
    <w:rsid w:val="00BB02A4"/>
    <w:rsid w:val="00BB0CB8"/>
    <w:rsid w:val="00BB140A"/>
    <w:rsid w:val="00BB306F"/>
    <w:rsid w:val="00BB5C40"/>
    <w:rsid w:val="00BB71DF"/>
    <w:rsid w:val="00BB7563"/>
    <w:rsid w:val="00BB77A0"/>
    <w:rsid w:val="00BB77AF"/>
    <w:rsid w:val="00BC0794"/>
    <w:rsid w:val="00BC1C0A"/>
    <w:rsid w:val="00BC7910"/>
    <w:rsid w:val="00BC7F11"/>
    <w:rsid w:val="00BD2AE6"/>
    <w:rsid w:val="00BD3B37"/>
    <w:rsid w:val="00BD44B9"/>
    <w:rsid w:val="00BD4B89"/>
    <w:rsid w:val="00BD5922"/>
    <w:rsid w:val="00BD5C76"/>
    <w:rsid w:val="00BD657E"/>
    <w:rsid w:val="00BD7586"/>
    <w:rsid w:val="00BE1552"/>
    <w:rsid w:val="00BE17A0"/>
    <w:rsid w:val="00BE2E9F"/>
    <w:rsid w:val="00BE5098"/>
    <w:rsid w:val="00BE61AE"/>
    <w:rsid w:val="00BE7049"/>
    <w:rsid w:val="00BF02CB"/>
    <w:rsid w:val="00BF26A6"/>
    <w:rsid w:val="00BF2F0D"/>
    <w:rsid w:val="00BF6FD8"/>
    <w:rsid w:val="00C00A13"/>
    <w:rsid w:val="00C03680"/>
    <w:rsid w:val="00C054DF"/>
    <w:rsid w:val="00C212DF"/>
    <w:rsid w:val="00C21762"/>
    <w:rsid w:val="00C21FEF"/>
    <w:rsid w:val="00C230DC"/>
    <w:rsid w:val="00C23BA4"/>
    <w:rsid w:val="00C24543"/>
    <w:rsid w:val="00C24825"/>
    <w:rsid w:val="00C256A2"/>
    <w:rsid w:val="00C25ADB"/>
    <w:rsid w:val="00C27436"/>
    <w:rsid w:val="00C30A0A"/>
    <w:rsid w:val="00C31525"/>
    <w:rsid w:val="00C337CF"/>
    <w:rsid w:val="00C34082"/>
    <w:rsid w:val="00C3472E"/>
    <w:rsid w:val="00C34C0C"/>
    <w:rsid w:val="00C3540D"/>
    <w:rsid w:val="00C4031A"/>
    <w:rsid w:val="00C414DE"/>
    <w:rsid w:val="00C42FDB"/>
    <w:rsid w:val="00C434B4"/>
    <w:rsid w:val="00C4461C"/>
    <w:rsid w:val="00C47ED1"/>
    <w:rsid w:val="00C505CE"/>
    <w:rsid w:val="00C51515"/>
    <w:rsid w:val="00C51892"/>
    <w:rsid w:val="00C539D3"/>
    <w:rsid w:val="00C53D7E"/>
    <w:rsid w:val="00C5660B"/>
    <w:rsid w:val="00C576A8"/>
    <w:rsid w:val="00C63DA9"/>
    <w:rsid w:val="00C64134"/>
    <w:rsid w:val="00C6420B"/>
    <w:rsid w:val="00C65C1B"/>
    <w:rsid w:val="00C66963"/>
    <w:rsid w:val="00C66B72"/>
    <w:rsid w:val="00C718F1"/>
    <w:rsid w:val="00C71D82"/>
    <w:rsid w:val="00C72232"/>
    <w:rsid w:val="00C72687"/>
    <w:rsid w:val="00C741C1"/>
    <w:rsid w:val="00C7511E"/>
    <w:rsid w:val="00C754B8"/>
    <w:rsid w:val="00C814C0"/>
    <w:rsid w:val="00C83AEA"/>
    <w:rsid w:val="00C84601"/>
    <w:rsid w:val="00C84DA9"/>
    <w:rsid w:val="00C85383"/>
    <w:rsid w:val="00C86120"/>
    <w:rsid w:val="00C87AC4"/>
    <w:rsid w:val="00C9177D"/>
    <w:rsid w:val="00C92A9A"/>
    <w:rsid w:val="00C939E7"/>
    <w:rsid w:val="00C93F65"/>
    <w:rsid w:val="00C94779"/>
    <w:rsid w:val="00C9486C"/>
    <w:rsid w:val="00C95034"/>
    <w:rsid w:val="00C9567A"/>
    <w:rsid w:val="00C96924"/>
    <w:rsid w:val="00C96AA5"/>
    <w:rsid w:val="00C96F2C"/>
    <w:rsid w:val="00C974DC"/>
    <w:rsid w:val="00C97FB4"/>
    <w:rsid w:val="00CA09F2"/>
    <w:rsid w:val="00CA0C77"/>
    <w:rsid w:val="00CA41E1"/>
    <w:rsid w:val="00CA43B1"/>
    <w:rsid w:val="00CA4D40"/>
    <w:rsid w:val="00CA57FE"/>
    <w:rsid w:val="00CA5F32"/>
    <w:rsid w:val="00CA7E76"/>
    <w:rsid w:val="00CB013B"/>
    <w:rsid w:val="00CB204A"/>
    <w:rsid w:val="00CB212D"/>
    <w:rsid w:val="00CB2660"/>
    <w:rsid w:val="00CB416A"/>
    <w:rsid w:val="00CC13E2"/>
    <w:rsid w:val="00CC3827"/>
    <w:rsid w:val="00CC48B9"/>
    <w:rsid w:val="00CC5146"/>
    <w:rsid w:val="00CC54DC"/>
    <w:rsid w:val="00CC5E90"/>
    <w:rsid w:val="00CC71A3"/>
    <w:rsid w:val="00CD046C"/>
    <w:rsid w:val="00CD31AE"/>
    <w:rsid w:val="00CD5E33"/>
    <w:rsid w:val="00CD70AA"/>
    <w:rsid w:val="00CE005B"/>
    <w:rsid w:val="00CE076C"/>
    <w:rsid w:val="00CE1008"/>
    <w:rsid w:val="00CE13B3"/>
    <w:rsid w:val="00CE457D"/>
    <w:rsid w:val="00CE5199"/>
    <w:rsid w:val="00CE5836"/>
    <w:rsid w:val="00CE66D5"/>
    <w:rsid w:val="00CE6BF1"/>
    <w:rsid w:val="00CF2E7B"/>
    <w:rsid w:val="00CF637A"/>
    <w:rsid w:val="00CF6473"/>
    <w:rsid w:val="00CF648B"/>
    <w:rsid w:val="00D059DE"/>
    <w:rsid w:val="00D05ABD"/>
    <w:rsid w:val="00D0623A"/>
    <w:rsid w:val="00D06E16"/>
    <w:rsid w:val="00D100F9"/>
    <w:rsid w:val="00D119CF"/>
    <w:rsid w:val="00D12D52"/>
    <w:rsid w:val="00D1343B"/>
    <w:rsid w:val="00D13530"/>
    <w:rsid w:val="00D13AD9"/>
    <w:rsid w:val="00D13FCE"/>
    <w:rsid w:val="00D1791E"/>
    <w:rsid w:val="00D24306"/>
    <w:rsid w:val="00D243AB"/>
    <w:rsid w:val="00D306D1"/>
    <w:rsid w:val="00D30800"/>
    <w:rsid w:val="00D30EB5"/>
    <w:rsid w:val="00D33943"/>
    <w:rsid w:val="00D3437A"/>
    <w:rsid w:val="00D34786"/>
    <w:rsid w:val="00D356DE"/>
    <w:rsid w:val="00D36052"/>
    <w:rsid w:val="00D37A6F"/>
    <w:rsid w:val="00D37BFC"/>
    <w:rsid w:val="00D412AC"/>
    <w:rsid w:val="00D4452B"/>
    <w:rsid w:val="00D45D34"/>
    <w:rsid w:val="00D47A8E"/>
    <w:rsid w:val="00D50CFB"/>
    <w:rsid w:val="00D50F27"/>
    <w:rsid w:val="00D51120"/>
    <w:rsid w:val="00D517E1"/>
    <w:rsid w:val="00D51ACD"/>
    <w:rsid w:val="00D52941"/>
    <w:rsid w:val="00D52D14"/>
    <w:rsid w:val="00D53D13"/>
    <w:rsid w:val="00D546DA"/>
    <w:rsid w:val="00D54EB9"/>
    <w:rsid w:val="00D55895"/>
    <w:rsid w:val="00D6009D"/>
    <w:rsid w:val="00D60DE5"/>
    <w:rsid w:val="00D6316D"/>
    <w:rsid w:val="00D63A39"/>
    <w:rsid w:val="00D66BD9"/>
    <w:rsid w:val="00D6721C"/>
    <w:rsid w:val="00D712D3"/>
    <w:rsid w:val="00D71422"/>
    <w:rsid w:val="00D72365"/>
    <w:rsid w:val="00D72912"/>
    <w:rsid w:val="00D72DC6"/>
    <w:rsid w:val="00D72ED7"/>
    <w:rsid w:val="00D73650"/>
    <w:rsid w:val="00D743F8"/>
    <w:rsid w:val="00D74683"/>
    <w:rsid w:val="00D7540C"/>
    <w:rsid w:val="00D7558D"/>
    <w:rsid w:val="00D77384"/>
    <w:rsid w:val="00D8015C"/>
    <w:rsid w:val="00D81D92"/>
    <w:rsid w:val="00D82F06"/>
    <w:rsid w:val="00D84521"/>
    <w:rsid w:val="00D85668"/>
    <w:rsid w:val="00D858E0"/>
    <w:rsid w:val="00D85BBF"/>
    <w:rsid w:val="00D86509"/>
    <w:rsid w:val="00D876F9"/>
    <w:rsid w:val="00D902A6"/>
    <w:rsid w:val="00D907CC"/>
    <w:rsid w:val="00D90E2C"/>
    <w:rsid w:val="00D91B58"/>
    <w:rsid w:val="00D93A6E"/>
    <w:rsid w:val="00D9444B"/>
    <w:rsid w:val="00DA7B5F"/>
    <w:rsid w:val="00DB0689"/>
    <w:rsid w:val="00DB2598"/>
    <w:rsid w:val="00DB2D0E"/>
    <w:rsid w:val="00DB4C00"/>
    <w:rsid w:val="00DB5053"/>
    <w:rsid w:val="00DB5A2C"/>
    <w:rsid w:val="00DC11E7"/>
    <w:rsid w:val="00DC24E3"/>
    <w:rsid w:val="00DC2B2D"/>
    <w:rsid w:val="00DC3A98"/>
    <w:rsid w:val="00DC4490"/>
    <w:rsid w:val="00DC7023"/>
    <w:rsid w:val="00DC769A"/>
    <w:rsid w:val="00DD0556"/>
    <w:rsid w:val="00DD359D"/>
    <w:rsid w:val="00DD3D86"/>
    <w:rsid w:val="00DD3E2D"/>
    <w:rsid w:val="00DD41E7"/>
    <w:rsid w:val="00DD432C"/>
    <w:rsid w:val="00DD4AD2"/>
    <w:rsid w:val="00DD5677"/>
    <w:rsid w:val="00DD588F"/>
    <w:rsid w:val="00DD6B9D"/>
    <w:rsid w:val="00DD75E3"/>
    <w:rsid w:val="00DD7967"/>
    <w:rsid w:val="00DE2187"/>
    <w:rsid w:val="00DE434D"/>
    <w:rsid w:val="00DE72E4"/>
    <w:rsid w:val="00DF15AE"/>
    <w:rsid w:val="00DF1EC4"/>
    <w:rsid w:val="00DF386C"/>
    <w:rsid w:val="00DF3AB8"/>
    <w:rsid w:val="00DF503E"/>
    <w:rsid w:val="00DF5894"/>
    <w:rsid w:val="00E01608"/>
    <w:rsid w:val="00E017C4"/>
    <w:rsid w:val="00E0340B"/>
    <w:rsid w:val="00E04A90"/>
    <w:rsid w:val="00E0551F"/>
    <w:rsid w:val="00E05754"/>
    <w:rsid w:val="00E06B8F"/>
    <w:rsid w:val="00E077FA"/>
    <w:rsid w:val="00E106AF"/>
    <w:rsid w:val="00E13093"/>
    <w:rsid w:val="00E13A16"/>
    <w:rsid w:val="00E14725"/>
    <w:rsid w:val="00E17589"/>
    <w:rsid w:val="00E177E3"/>
    <w:rsid w:val="00E219C7"/>
    <w:rsid w:val="00E23FD2"/>
    <w:rsid w:val="00E248B2"/>
    <w:rsid w:val="00E2550C"/>
    <w:rsid w:val="00E25B98"/>
    <w:rsid w:val="00E264CA"/>
    <w:rsid w:val="00E30ACB"/>
    <w:rsid w:val="00E30D46"/>
    <w:rsid w:val="00E319AD"/>
    <w:rsid w:val="00E324E4"/>
    <w:rsid w:val="00E3358B"/>
    <w:rsid w:val="00E358DF"/>
    <w:rsid w:val="00E35C95"/>
    <w:rsid w:val="00E360AA"/>
    <w:rsid w:val="00E36E90"/>
    <w:rsid w:val="00E4118C"/>
    <w:rsid w:val="00E414AE"/>
    <w:rsid w:val="00E41AA1"/>
    <w:rsid w:val="00E4225E"/>
    <w:rsid w:val="00E43157"/>
    <w:rsid w:val="00E44821"/>
    <w:rsid w:val="00E461CE"/>
    <w:rsid w:val="00E477F5"/>
    <w:rsid w:val="00E50CD0"/>
    <w:rsid w:val="00E51F6D"/>
    <w:rsid w:val="00E52552"/>
    <w:rsid w:val="00E54D28"/>
    <w:rsid w:val="00E55E7E"/>
    <w:rsid w:val="00E56292"/>
    <w:rsid w:val="00E573E4"/>
    <w:rsid w:val="00E6478A"/>
    <w:rsid w:val="00E64862"/>
    <w:rsid w:val="00E64C3D"/>
    <w:rsid w:val="00E66C9C"/>
    <w:rsid w:val="00E67724"/>
    <w:rsid w:val="00E720CA"/>
    <w:rsid w:val="00E72EF0"/>
    <w:rsid w:val="00E73105"/>
    <w:rsid w:val="00E73111"/>
    <w:rsid w:val="00E740C5"/>
    <w:rsid w:val="00E81AF2"/>
    <w:rsid w:val="00E81FF8"/>
    <w:rsid w:val="00E82DDC"/>
    <w:rsid w:val="00E84EB5"/>
    <w:rsid w:val="00E8508E"/>
    <w:rsid w:val="00E8558D"/>
    <w:rsid w:val="00E85662"/>
    <w:rsid w:val="00E8789F"/>
    <w:rsid w:val="00E900CC"/>
    <w:rsid w:val="00E90979"/>
    <w:rsid w:val="00E91ED3"/>
    <w:rsid w:val="00E9291B"/>
    <w:rsid w:val="00E93F1A"/>
    <w:rsid w:val="00E974A4"/>
    <w:rsid w:val="00E97B71"/>
    <w:rsid w:val="00EA09C1"/>
    <w:rsid w:val="00EA111C"/>
    <w:rsid w:val="00EA2146"/>
    <w:rsid w:val="00EA3D34"/>
    <w:rsid w:val="00EA5858"/>
    <w:rsid w:val="00EA58B0"/>
    <w:rsid w:val="00EA58FF"/>
    <w:rsid w:val="00EB029A"/>
    <w:rsid w:val="00EB08A4"/>
    <w:rsid w:val="00EB197F"/>
    <w:rsid w:val="00EB454D"/>
    <w:rsid w:val="00EB4880"/>
    <w:rsid w:val="00EB4A72"/>
    <w:rsid w:val="00EB4A99"/>
    <w:rsid w:val="00EB6702"/>
    <w:rsid w:val="00EC05A3"/>
    <w:rsid w:val="00EC2CB6"/>
    <w:rsid w:val="00EC2CCC"/>
    <w:rsid w:val="00EC557A"/>
    <w:rsid w:val="00EC6714"/>
    <w:rsid w:val="00EC799E"/>
    <w:rsid w:val="00ED04D9"/>
    <w:rsid w:val="00ED149F"/>
    <w:rsid w:val="00ED1FA6"/>
    <w:rsid w:val="00ED2567"/>
    <w:rsid w:val="00ED2B0F"/>
    <w:rsid w:val="00ED549D"/>
    <w:rsid w:val="00ED55B1"/>
    <w:rsid w:val="00ED6699"/>
    <w:rsid w:val="00ED76BE"/>
    <w:rsid w:val="00EE00E9"/>
    <w:rsid w:val="00EE1058"/>
    <w:rsid w:val="00EE280B"/>
    <w:rsid w:val="00EE5705"/>
    <w:rsid w:val="00EF1102"/>
    <w:rsid w:val="00EF1AAA"/>
    <w:rsid w:val="00EF5F75"/>
    <w:rsid w:val="00EF619B"/>
    <w:rsid w:val="00EF6D55"/>
    <w:rsid w:val="00EF6E7C"/>
    <w:rsid w:val="00EF7082"/>
    <w:rsid w:val="00F00AB5"/>
    <w:rsid w:val="00F00B55"/>
    <w:rsid w:val="00F017D8"/>
    <w:rsid w:val="00F02935"/>
    <w:rsid w:val="00F02AD1"/>
    <w:rsid w:val="00F03252"/>
    <w:rsid w:val="00F047F9"/>
    <w:rsid w:val="00F07CC8"/>
    <w:rsid w:val="00F10404"/>
    <w:rsid w:val="00F128F3"/>
    <w:rsid w:val="00F12A3B"/>
    <w:rsid w:val="00F13DF8"/>
    <w:rsid w:val="00F14069"/>
    <w:rsid w:val="00F14696"/>
    <w:rsid w:val="00F17428"/>
    <w:rsid w:val="00F22154"/>
    <w:rsid w:val="00F22E0D"/>
    <w:rsid w:val="00F253CC"/>
    <w:rsid w:val="00F26267"/>
    <w:rsid w:val="00F27494"/>
    <w:rsid w:val="00F3058D"/>
    <w:rsid w:val="00F32F19"/>
    <w:rsid w:val="00F33BB7"/>
    <w:rsid w:val="00F356C1"/>
    <w:rsid w:val="00F37106"/>
    <w:rsid w:val="00F379E5"/>
    <w:rsid w:val="00F4082F"/>
    <w:rsid w:val="00F415D4"/>
    <w:rsid w:val="00F43DC3"/>
    <w:rsid w:val="00F44E25"/>
    <w:rsid w:val="00F519CF"/>
    <w:rsid w:val="00F52B7E"/>
    <w:rsid w:val="00F55419"/>
    <w:rsid w:val="00F56BA5"/>
    <w:rsid w:val="00F60E22"/>
    <w:rsid w:val="00F612AD"/>
    <w:rsid w:val="00F627D5"/>
    <w:rsid w:val="00F63A3C"/>
    <w:rsid w:val="00F65F01"/>
    <w:rsid w:val="00F67BC5"/>
    <w:rsid w:val="00F75169"/>
    <w:rsid w:val="00F75BC4"/>
    <w:rsid w:val="00F75BE8"/>
    <w:rsid w:val="00F76212"/>
    <w:rsid w:val="00F7665A"/>
    <w:rsid w:val="00F80CDC"/>
    <w:rsid w:val="00F80F24"/>
    <w:rsid w:val="00F80F7E"/>
    <w:rsid w:val="00F81395"/>
    <w:rsid w:val="00F81BB8"/>
    <w:rsid w:val="00F8230D"/>
    <w:rsid w:val="00F833FA"/>
    <w:rsid w:val="00F83A5E"/>
    <w:rsid w:val="00F85D82"/>
    <w:rsid w:val="00F8676B"/>
    <w:rsid w:val="00F87C0E"/>
    <w:rsid w:val="00F90C64"/>
    <w:rsid w:val="00F917D1"/>
    <w:rsid w:val="00F94DAB"/>
    <w:rsid w:val="00F9653B"/>
    <w:rsid w:val="00F97164"/>
    <w:rsid w:val="00FA4613"/>
    <w:rsid w:val="00FA6A89"/>
    <w:rsid w:val="00FB0276"/>
    <w:rsid w:val="00FB0D51"/>
    <w:rsid w:val="00FB10F5"/>
    <w:rsid w:val="00FB1D9C"/>
    <w:rsid w:val="00FB38B5"/>
    <w:rsid w:val="00FB62CF"/>
    <w:rsid w:val="00FB6620"/>
    <w:rsid w:val="00FB79E2"/>
    <w:rsid w:val="00FB7A86"/>
    <w:rsid w:val="00FC012F"/>
    <w:rsid w:val="00FC0B58"/>
    <w:rsid w:val="00FC2278"/>
    <w:rsid w:val="00FC42B6"/>
    <w:rsid w:val="00FC52BB"/>
    <w:rsid w:val="00FD04F7"/>
    <w:rsid w:val="00FD3C3B"/>
    <w:rsid w:val="00FD4C93"/>
    <w:rsid w:val="00FD7AA1"/>
    <w:rsid w:val="00FE07DD"/>
    <w:rsid w:val="00FE13A5"/>
    <w:rsid w:val="00FE16AE"/>
    <w:rsid w:val="00FE3A5F"/>
    <w:rsid w:val="00FE3C35"/>
    <w:rsid w:val="00FE3FBA"/>
    <w:rsid w:val="00FE6B45"/>
    <w:rsid w:val="00FF29A2"/>
    <w:rsid w:val="00FF55F3"/>
    <w:rsid w:val="00FF5851"/>
    <w:rsid w:val="00FF67D1"/>
    <w:rsid w:val="00FF7348"/>
    <w:rsid w:val="00FF7B79"/>
    <w:rsid w:val="0999296A"/>
    <w:rsid w:val="0AADADC4"/>
    <w:rsid w:val="2739A572"/>
    <w:rsid w:val="303A28B8"/>
    <w:rsid w:val="399E38C5"/>
    <w:rsid w:val="40A9147A"/>
    <w:rsid w:val="4914C070"/>
    <w:rsid w:val="5DE388E0"/>
    <w:rsid w:val="72B6724D"/>
    <w:rsid w:val="7E06B0EB"/>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1"/>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1">
    <w:name w:val="List 21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1">
    <w:name w:val="List 31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2"/>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1">
    <w:name w:val="List 41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9"/>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1">
    <w:name w:val="List 51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10"/>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link w:val="FootnoteReference"/>
    <w:rsid w:val="0093570B"/>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paragraph" w:styleId="Revision">
    <w:name w:val="Revision"/>
    <w:hidden/>
    <w:uiPriority w:val="99"/>
    <w:semiHidden/>
    <w:rsid w:val="00E23FD2"/>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character" w:styleId="CommentReference">
    <w:name w:val="annotation reference"/>
    <w:basedOn w:val="DefaultParagraphFont"/>
    <w:uiPriority w:val="99"/>
    <w:semiHidden/>
    <w:unhideWhenUsed/>
    <w:rsid w:val="00E23FD2"/>
    <w:rPr>
      <w:sz w:val="16"/>
      <w:szCs w:val="16"/>
    </w:rPr>
  </w:style>
  <w:style w:type="paragraph" w:styleId="CommentText">
    <w:name w:val="annotation text"/>
    <w:basedOn w:val="Normal"/>
    <w:link w:val="CommentTextChar"/>
    <w:uiPriority w:val="99"/>
    <w:unhideWhenUsed/>
    <w:rsid w:val="00E23FD2"/>
    <w:rPr>
      <w:sz w:val="20"/>
      <w:szCs w:val="20"/>
    </w:rPr>
  </w:style>
  <w:style w:type="character" w:customStyle="1" w:styleId="CommentTextChar">
    <w:name w:val="Comment Text Char"/>
    <w:basedOn w:val="DefaultParagraphFont"/>
    <w:link w:val="CommentText"/>
    <w:uiPriority w:val="99"/>
    <w:rsid w:val="00E23FD2"/>
    <w:rPr>
      <w:lang w:val="en-US" w:eastAsia="en-US"/>
    </w:rPr>
  </w:style>
  <w:style w:type="paragraph" w:styleId="CommentSubject">
    <w:name w:val="annotation subject"/>
    <w:basedOn w:val="CommentText"/>
    <w:next w:val="CommentText"/>
    <w:link w:val="CommentSubjectChar"/>
    <w:uiPriority w:val="99"/>
    <w:semiHidden/>
    <w:unhideWhenUsed/>
    <w:rsid w:val="00E23FD2"/>
    <w:rPr>
      <w:b/>
      <w:bCs/>
    </w:rPr>
  </w:style>
  <w:style w:type="character" w:customStyle="1" w:styleId="CommentSubjectChar">
    <w:name w:val="Comment Subject Char"/>
    <w:basedOn w:val="CommentTextChar"/>
    <w:link w:val="CommentSubject"/>
    <w:uiPriority w:val="99"/>
    <w:semiHidden/>
    <w:rsid w:val="00E23FD2"/>
    <w:rPr>
      <w:b/>
      <w:bCs/>
      <w:lang w:val="en-US" w:eastAsia="en-US"/>
    </w:rPr>
  </w:style>
  <w:style w:type="character" w:styleId="UnresolvedMention">
    <w:name w:val="Unresolved Mention"/>
    <w:basedOn w:val="DefaultParagraphFont"/>
    <w:uiPriority w:val="99"/>
    <w:semiHidden/>
    <w:unhideWhenUsed/>
    <w:rsid w:val="00212944"/>
    <w:rPr>
      <w:color w:val="605E5C"/>
      <w:shd w:val="clear" w:color="auto" w:fill="E1DFDD"/>
    </w:rPr>
  </w:style>
  <w:style w:type="paragraph" w:customStyle="1" w:styleId="paragraph">
    <w:name w:val="paragraph"/>
    <w:basedOn w:val="Normal"/>
    <w:rsid w:val="00CC514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normaltextrun">
    <w:name w:val="normaltextrun"/>
    <w:basedOn w:val="DefaultParagraphFont"/>
    <w:rsid w:val="00CC5146"/>
  </w:style>
  <w:style w:type="character" w:customStyle="1" w:styleId="eop">
    <w:name w:val="eop"/>
    <w:basedOn w:val="DefaultParagraphFont"/>
    <w:rsid w:val="00CC51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731292">
      <w:bodyDiv w:val="1"/>
      <w:marLeft w:val="0"/>
      <w:marRight w:val="0"/>
      <w:marTop w:val="0"/>
      <w:marBottom w:val="0"/>
      <w:divBdr>
        <w:top w:val="none" w:sz="0" w:space="0" w:color="auto"/>
        <w:left w:val="none" w:sz="0" w:space="0" w:color="auto"/>
        <w:bottom w:val="none" w:sz="0" w:space="0" w:color="auto"/>
        <w:right w:val="none" w:sz="0" w:space="0" w:color="auto"/>
      </w:divBdr>
    </w:div>
    <w:div w:id="763915633">
      <w:bodyDiv w:val="1"/>
      <w:marLeft w:val="0"/>
      <w:marRight w:val="0"/>
      <w:marTop w:val="0"/>
      <w:marBottom w:val="0"/>
      <w:divBdr>
        <w:top w:val="none" w:sz="0" w:space="0" w:color="auto"/>
        <w:left w:val="none" w:sz="0" w:space="0" w:color="auto"/>
        <w:bottom w:val="none" w:sz="0" w:space="0" w:color="auto"/>
        <w:right w:val="none" w:sz="0" w:space="0" w:color="auto"/>
      </w:divBdr>
    </w:div>
    <w:div w:id="1032847461">
      <w:bodyDiv w:val="1"/>
      <w:marLeft w:val="0"/>
      <w:marRight w:val="0"/>
      <w:marTop w:val="0"/>
      <w:marBottom w:val="0"/>
      <w:divBdr>
        <w:top w:val="none" w:sz="0" w:space="0" w:color="auto"/>
        <w:left w:val="none" w:sz="0" w:space="0" w:color="auto"/>
        <w:bottom w:val="none" w:sz="0" w:space="0" w:color="auto"/>
        <w:right w:val="none" w:sz="0" w:space="0" w:color="auto"/>
      </w:divBdr>
    </w:div>
    <w:div w:id="1116169715">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463382659">
      <w:bodyDiv w:val="1"/>
      <w:marLeft w:val="0"/>
      <w:marRight w:val="0"/>
      <w:marTop w:val="0"/>
      <w:marBottom w:val="0"/>
      <w:divBdr>
        <w:top w:val="none" w:sz="0" w:space="0" w:color="auto"/>
        <w:left w:val="none" w:sz="0" w:space="0" w:color="auto"/>
        <w:bottom w:val="none" w:sz="0" w:space="0" w:color="auto"/>
        <w:right w:val="none" w:sz="0" w:space="0" w:color="auto"/>
      </w:divBdr>
    </w:div>
    <w:div w:id="1513642522">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9465724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3517CDC92094CCAB4CF2B9F08AC681E"/>
        <w:category>
          <w:name w:val="General"/>
          <w:gallery w:val="placeholder"/>
        </w:category>
        <w:types>
          <w:type w:val="bbPlcHdr"/>
        </w:types>
        <w:behaviors>
          <w:behavior w:val="content"/>
        </w:behaviors>
        <w:guid w:val="{8FEE0DC5-E6F6-48D6-A71F-1EDB14716AD6}"/>
      </w:docPartPr>
      <w:docPartBody>
        <w:p w:rsidR="00EA37F0" w:rsidRDefault="008C0909" w:rsidP="008C0909">
          <w:pPr>
            <w:pStyle w:val="D3517CDC92094CCAB4CF2B9F08AC681E"/>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Baskerville Old Face">
    <w:panose1 w:val="02020602080505020303"/>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4076E"/>
    <w:rsid w:val="0007435C"/>
    <w:rsid w:val="00085C31"/>
    <w:rsid w:val="00092860"/>
    <w:rsid w:val="000C7CEA"/>
    <w:rsid w:val="001370F2"/>
    <w:rsid w:val="00146673"/>
    <w:rsid w:val="0015313F"/>
    <w:rsid w:val="00174415"/>
    <w:rsid w:val="001B68CE"/>
    <w:rsid w:val="001E021E"/>
    <w:rsid w:val="00200821"/>
    <w:rsid w:val="00201CE6"/>
    <w:rsid w:val="00212B9A"/>
    <w:rsid w:val="0025245B"/>
    <w:rsid w:val="0025686A"/>
    <w:rsid w:val="002603BD"/>
    <w:rsid w:val="00274032"/>
    <w:rsid w:val="002A3923"/>
    <w:rsid w:val="002B0DF7"/>
    <w:rsid w:val="0030273E"/>
    <w:rsid w:val="00302C25"/>
    <w:rsid w:val="00305D18"/>
    <w:rsid w:val="00364945"/>
    <w:rsid w:val="003769A5"/>
    <w:rsid w:val="00391E69"/>
    <w:rsid w:val="00394049"/>
    <w:rsid w:val="003D2407"/>
    <w:rsid w:val="003E16A6"/>
    <w:rsid w:val="00407C0B"/>
    <w:rsid w:val="00426C7F"/>
    <w:rsid w:val="00444F1A"/>
    <w:rsid w:val="00483ACA"/>
    <w:rsid w:val="00484B3B"/>
    <w:rsid w:val="004B5BBB"/>
    <w:rsid w:val="004E62CC"/>
    <w:rsid w:val="004F2DF8"/>
    <w:rsid w:val="004F458A"/>
    <w:rsid w:val="00516128"/>
    <w:rsid w:val="00564992"/>
    <w:rsid w:val="005A328B"/>
    <w:rsid w:val="005A7F7A"/>
    <w:rsid w:val="005E5BD2"/>
    <w:rsid w:val="00607C67"/>
    <w:rsid w:val="00613C47"/>
    <w:rsid w:val="00650494"/>
    <w:rsid w:val="00677FE5"/>
    <w:rsid w:val="0069468E"/>
    <w:rsid w:val="006C2215"/>
    <w:rsid w:val="006C2D5A"/>
    <w:rsid w:val="006F24A1"/>
    <w:rsid w:val="00711FF5"/>
    <w:rsid w:val="00732090"/>
    <w:rsid w:val="00735651"/>
    <w:rsid w:val="007579DE"/>
    <w:rsid w:val="00765083"/>
    <w:rsid w:val="00773029"/>
    <w:rsid w:val="00782F54"/>
    <w:rsid w:val="00797076"/>
    <w:rsid w:val="007A73AD"/>
    <w:rsid w:val="007B4881"/>
    <w:rsid w:val="007C785F"/>
    <w:rsid w:val="008C0909"/>
    <w:rsid w:val="008E400C"/>
    <w:rsid w:val="009726E2"/>
    <w:rsid w:val="009A261B"/>
    <w:rsid w:val="009B1115"/>
    <w:rsid w:val="009C3CB6"/>
    <w:rsid w:val="009C7C4A"/>
    <w:rsid w:val="009F52F5"/>
    <w:rsid w:val="00A27BF6"/>
    <w:rsid w:val="00A308EC"/>
    <w:rsid w:val="00A4418E"/>
    <w:rsid w:val="00A75867"/>
    <w:rsid w:val="00AA2E17"/>
    <w:rsid w:val="00AB3C9C"/>
    <w:rsid w:val="00AC15A4"/>
    <w:rsid w:val="00AD6CF5"/>
    <w:rsid w:val="00AE2448"/>
    <w:rsid w:val="00AF6D87"/>
    <w:rsid w:val="00B0336C"/>
    <w:rsid w:val="00B21A1A"/>
    <w:rsid w:val="00B2266A"/>
    <w:rsid w:val="00B30277"/>
    <w:rsid w:val="00B35F8B"/>
    <w:rsid w:val="00B46683"/>
    <w:rsid w:val="00B67533"/>
    <w:rsid w:val="00B70AA2"/>
    <w:rsid w:val="00BC5196"/>
    <w:rsid w:val="00BD5EBA"/>
    <w:rsid w:val="00C30A0A"/>
    <w:rsid w:val="00C3472E"/>
    <w:rsid w:val="00C367A3"/>
    <w:rsid w:val="00C7511E"/>
    <w:rsid w:val="00C85DDA"/>
    <w:rsid w:val="00CB1183"/>
    <w:rsid w:val="00CE3FA8"/>
    <w:rsid w:val="00D241E9"/>
    <w:rsid w:val="00D76F32"/>
    <w:rsid w:val="00D7750D"/>
    <w:rsid w:val="00DB2F4C"/>
    <w:rsid w:val="00DC19E8"/>
    <w:rsid w:val="00DD12DF"/>
    <w:rsid w:val="00E27CD2"/>
    <w:rsid w:val="00E40C68"/>
    <w:rsid w:val="00E6449B"/>
    <w:rsid w:val="00EA22CE"/>
    <w:rsid w:val="00EA37F0"/>
    <w:rsid w:val="00EC2CCC"/>
    <w:rsid w:val="00EC557A"/>
    <w:rsid w:val="00F00D2F"/>
    <w:rsid w:val="00F128DF"/>
    <w:rsid w:val="00F128F3"/>
    <w:rsid w:val="00F33BB7"/>
    <w:rsid w:val="00F415D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C0909"/>
    <w:rPr>
      <w:color w:val="808080"/>
    </w:rPr>
  </w:style>
  <w:style w:type="paragraph" w:customStyle="1" w:styleId="D3517CDC92094CCAB4CF2B9F08AC681E">
    <w:name w:val="D3517CDC92094CCAB4CF2B9F08AC681E"/>
    <w:rsid w:val="008C0909"/>
    <w:pPr>
      <w:spacing w:after="160" w:line="259" w:lineRule="auto"/>
    </w:pPr>
    <w:rPr>
      <w:kern w:val="2"/>
      <w:lang w:val="es-PE" w:eastAsia="es-PE"/>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6126BE-6309-409F-9A97-9BD99ECB8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11717</Words>
  <Characters>66793</Characters>
  <Application>Microsoft Office Word</Application>
  <DocSecurity>0</DocSecurity>
  <Lines>556</Lines>
  <Paragraphs>156</Paragraphs>
  <ScaleCrop>false</ScaleCrop>
  <Company/>
  <LinksUpToDate>false</LinksUpToDate>
  <CharactersWithSpaces>78354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2025-01-28T15:13:00Z</dcterms:created>
  <dcterms:modified xsi:type="dcterms:W3CDTF">2025-01-28T15:13:00Z</dcterms:modified>
</cp:coreProperties>
</file>