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3CECEC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9A44C2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A4335">
                              <w:rPr>
                                <w:rFonts w:asciiTheme="majorHAnsi" w:hAnsiTheme="majorHAnsi" w:cs="Arial"/>
                                <w:b/>
                                <w:bCs/>
                                <w:color w:val="0D0D0D" w:themeColor="text1" w:themeTint="F2"/>
                                <w:sz w:val="36"/>
                                <w:szCs w:val="22"/>
                                <w:lang w:val="es-ES_tradnl"/>
                              </w:rPr>
                              <w:t>101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5D3B7E2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F26A6">
                              <w:rPr>
                                <w:rFonts w:asciiTheme="majorHAnsi" w:hAnsiTheme="majorHAnsi" w:cs="Arial"/>
                                <w:b/>
                                <w:color w:val="0D0D0D" w:themeColor="text1" w:themeTint="F2"/>
                                <w:sz w:val="36"/>
                                <w:szCs w:val="22"/>
                                <w:lang w:val="es-ES_tradnl"/>
                              </w:rPr>
                              <w:t>5</w:t>
                            </w:r>
                            <w:r w:rsidR="00B60258">
                              <w:rPr>
                                <w:rFonts w:asciiTheme="majorHAnsi" w:hAnsiTheme="majorHAnsi" w:cs="Arial"/>
                                <w:b/>
                                <w:color w:val="0D0D0D" w:themeColor="text1" w:themeTint="F2"/>
                                <w:sz w:val="36"/>
                                <w:szCs w:val="22"/>
                                <w:lang w:val="es-ES_tradnl"/>
                              </w:rPr>
                              <w:t>44</w:t>
                            </w:r>
                            <w:r w:rsidR="00246D1F" w:rsidRPr="004E2649">
                              <w:rPr>
                                <w:rFonts w:asciiTheme="majorHAnsi" w:hAnsiTheme="majorHAnsi" w:cs="Arial"/>
                                <w:b/>
                                <w:color w:val="0D0D0D" w:themeColor="text1" w:themeTint="F2"/>
                                <w:sz w:val="36"/>
                                <w:szCs w:val="22"/>
                                <w:lang w:val="es-ES_tradnl"/>
                              </w:rPr>
                              <w:t>-</w:t>
                            </w:r>
                            <w:r w:rsidR="00B60258">
                              <w:rPr>
                                <w:rFonts w:asciiTheme="majorHAnsi" w:hAnsiTheme="majorHAnsi" w:cs="Arial"/>
                                <w:b/>
                                <w:color w:val="0D0D0D" w:themeColor="text1" w:themeTint="F2"/>
                                <w:sz w:val="36"/>
                                <w:szCs w:val="22"/>
                                <w:lang w:val="es-ES_tradnl"/>
                              </w:rPr>
                              <w:t>19</w:t>
                            </w:r>
                            <w:r w:rsidR="00246D1F" w:rsidRPr="004E2649">
                              <w:rPr>
                                <w:rFonts w:asciiTheme="majorHAnsi" w:hAnsiTheme="majorHAnsi" w:cs="Arial"/>
                                <w:b/>
                                <w:color w:val="0D0D0D" w:themeColor="text1" w:themeTint="F2"/>
                                <w:sz w:val="36"/>
                                <w:szCs w:val="22"/>
                                <w:lang w:val="es-ES_tradnl"/>
                              </w:rPr>
                              <w:t xml:space="preserve"> </w:t>
                            </w:r>
                          </w:p>
                          <w:p w14:paraId="70CF6833" w14:textId="67FE139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3AF31C7A" w:rsidR="00EB197F" w:rsidRPr="00EB197F" w:rsidRDefault="008306C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MAGDA HAASE PÉREZ</w:t>
                            </w:r>
                            <w:r w:rsidR="00EB197F" w:rsidRPr="00EB197F">
                              <w:rPr>
                                <w:rFonts w:asciiTheme="majorHAnsi" w:hAnsiTheme="majorHAnsi" w:cs="Arial"/>
                                <w:color w:val="0D0D0D" w:themeColor="text1" w:themeTint="F2"/>
                                <w:szCs w:val="22"/>
                                <w:lang w:val="es-ES_tradnl"/>
                              </w:rPr>
                              <w:t xml:space="preserve"> </w:t>
                            </w:r>
                          </w:p>
                          <w:p w14:paraId="35068D0D" w14:textId="3CC93333" w:rsidR="005B52B0" w:rsidRPr="00EB197F" w:rsidRDefault="00B60258" w:rsidP="00997BC5">
                            <w:pPr>
                              <w:spacing w:line="276" w:lineRule="auto"/>
                              <w:rPr>
                                <w:rFonts w:asciiTheme="majorHAnsi" w:hAnsiTheme="majorHAnsi" w:cs="Arial"/>
                                <w:color w:val="0D0D0D" w:themeColor="text1" w:themeTint="F2"/>
                                <w:szCs w:val="22"/>
                                <w:lang w:val="es-PE"/>
                              </w:rPr>
                            </w:pPr>
                            <w:r>
                              <w:rPr>
                                <w:rFonts w:asciiTheme="majorHAnsi" w:hAnsiTheme="majorHAnsi" w:cs="Arial"/>
                                <w:color w:val="0D0D0D" w:themeColor="text1" w:themeTint="F2"/>
                                <w:szCs w:val="22"/>
                                <w:lang w:val="es-PE"/>
                              </w:rPr>
                              <w:t>BOLIVIA</w:t>
                            </w:r>
                          </w:p>
                          <w:p w14:paraId="575DFD52" w14:textId="77777777" w:rsidR="005B52B0" w:rsidRPr="00EB197F" w:rsidRDefault="005B52B0" w:rsidP="007A5817">
                            <w:pPr>
                              <w:rPr>
                                <w:color w:val="0D0D0D" w:themeColor="text1" w:themeTint="F2"/>
                                <w:lang w:val="es-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9A44C2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A4335">
                        <w:rPr>
                          <w:rFonts w:asciiTheme="majorHAnsi" w:hAnsiTheme="majorHAnsi" w:cs="Arial"/>
                          <w:b/>
                          <w:bCs/>
                          <w:color w:val="0D0D0D" w:themeColor="text1" w:themeTint="F2"/>
                          <w:sz w:val="36"/>
                          <w:szCs w:val="22"/>
                          <w:lang w:val="es-ES_tradnl"/>
                        </w:rPr>
                        <w:t>101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5D3B7E2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F26A6">
                        <w:rPr>
                          <w:rFonts w:asciiTheme="majorHAnsi" w:hAnsiTheme="majorHAnsi" w:cs="Arial"/>
                          <w:b/>
                          <w:color w:val="0D0D0D" w:themeColor="text1" w:themeTint="F2"/>
                          <w:sz w:val="36"/>
                          <w:szCs w:val="22"/>
                          <w:lang w:val="es-ES_tradnl"/>
                        </w:rPr>
                        <w:t>5</w:t>
                      </w:r>
                      <w:r w:rsidR="00B60258">
                        <w:rPr>
                          <w:rFonts w:asciiTheme="majorHAnsi" w:hAnsiTheme="majorHAnsi" w:cs="Arial"/>
                          <w:b/>
                          <w:color w:val="0D0D0D" w:themeColor="text1" w:themeTint="F2"/>
                          <w:sz w:val="36"/>
                          <w:szCs w:val="22"/>
                          <w:lang w:val="es-ES_tradnl"/>
                        </w:rPr>
                        <w:t>44</w:t>
                      </w:r>
                      <w:r w:rsidR="00246D1F" w:rsidRPr="004E2649">
                        <w:rPr>
                          <w:rFonts w:asciiTheme="majorHAnsi" w:hAnsiTheme="majorHAnsi" w:cs="Arial"/>
                          <w:b/>
                          <w:color w:val="0D0D0D" w:themeColor="text1" w:themeTint="F2"/>
                          <w:sz w:val="36"/>
                          <w:szCs w:val="22"/>
                          <w:lang w:val="es-ES_tradnl"/>
                        </w:rPr>
                        <w:t>-</w:t>
                      </w:r>
                      <w:r w:rsidR="00B60258">
                        <w:rPr>
                          <w:rFonts w:asciiTheme="majorHAnsi" w:hAnsiTheme="majorHAnsi" w:cs="Arial"/>
                          <w:b/>
                          <w:color w:val="0D0D0D" w:themeColor="text1" w:themeTint="F2"/>
                          <w:sz w:val="36"/>
                          <w:szCs w:val="22"/>
                          <w:lang w:val="es-ES_tradnl"/>
                        </w:rPr>
                        <w:t>19</w:t>
                      </w:r>
                      <w:r w:rsidR="00246D1F" w:rsidRPr="004E2649">
                        <w:rPr>
                          <w:rFonts w:asciiTheme="majorHAnsi" w:hAnsiTheme="majorHAnsi" w:cs="Arial"/>
                          <w:b/>
                          <w:color w:val="0D0D0D" w:themeColor="text1" w:themeTint="F2"/>
                          <w:sz w:val="36"/>
                          <w:szCs w:val="22"/>
                          <w:lang w:val="es-ES_tradnl"/>
                        </w:rPr>
                        <w:t xml:space="preserve"> </w:t>
                      </w:r>
                    </w:p>
                    <w:p w14:paraId="70CF6833" w14:textId="67FE139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3AF31C7A" w:rsidR="00EB197F" w:rsidRPr="00EB197F" w:rsidRDefault="008306C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MAGDA HAASE PÉREZ</w:t>
                      </w:r>
                      <w:r w:rsidR="00EB197F" w:rsidRPr="00EB197F">
                        <w:rPr>
                          <w:rFonts w:asciiTheme="majorHAnsi" w:hAnsiTheme="majorHAnsi" w:cs="Arial"/>
                          <w:color w:val="0D0D0D" w:themeColor="text1" w:themeTint="F2"/>
                          <w:szCs w:val="22"/>
                          <w:lang w:val="es-ES_tradnl"/>
                        </w:rPr>
                        <w:t xml:space="preserve"> </w:t>
                      </w:r>
                    </w:p>
                    <w:p w14:paraId="35068D0D" w14:textId="3CC93333" w:rsidR="005B52B0" w:rsidRPr="00EB197F" w:rsidRDefault="00B60258" w:rsidP="00997BC5">
                      <w:pPr>
                        <w:spacing w:line="276" w:lineRule="auto"/>
                        <w:rPr>
                          <w:rFonts w:asciiTheme="majorHAnsi" w:hAnsiTheme="majorHAnsi" w:cs="Arial"/>
                          <w:color w:val="0D0D0D" w:themeColor="text1" w:themeTint="F2"/>
                          <w:szCs w:val="22"/>
                          <w:lang w:val="es-PE"/>
                        </w:rPr>
                      </w:pPr>
                      <w:r>
                        <w:rPr>
                          <w:rFonts w:asciiTheme="majorHAnsi" w:hAnsiTheme="majorHAnsi" w:cs="Arial"/>
                          <w:color w:val="0D0D0D" w:themeColor="text1" w:themeTint="F2"/>
                          <w:szCs w:val="22"/>
                          <w:lang w:val="es-PE"/>
                        </w:rPr>
                        <w:t>BOLIVIA</w:t>
                      </w:r>
                    </w:p>
                    <w:p w14:paraId="575DFD52" w14:textId="77777777" w:rsidR="005B52B0" w:rsidRPr="00EB197F" w:rsidRDefault="005B52B0" w:rsidP="007A5817">
                      <w:pPr>
                        <w:rPr>
                          <w:color w:val="0D0D0D" w:themeColor="text1" w:themeTint="F2"/>
                          <w:lang w:val="es-PE"/>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F9ACC9F" w:rsidR="00627C9F" w:rsidRPr="00BC2D1B" w:rsidRDefault="00834D49" w:rsidP="007A5817">
                            <w:pPr>
                              <w:spacing w:line="276" w:lineRule="auto"/>
                              <w:jc w:val="right"/>
                              <w:rPr>
                                <w:rFonts w:asciiTheme="minorHAnsi" w:hAnsiTheme="minorHAnsi"/>
                                <w:color w:val="FFFFFF" w:themeColor="background1"/>
                                <w:sz w:val="22"/>
                                <w:lang w:val="es-ES"/>
                              </w:rPr>
                            </w:pPr>
                            <w:r w:rsidRPr="00BC2D1B">
                              <w:rPr>
                                <w:rFonts w:asciiTheme="minorHAnsi" w:hAnsiTheme="minorHAnsi"/>
                                <w:color w:val="FFFFFF" w:themeColor="background1"/>
                                <w:sz w:val="22"/>
                                <w:lang w:val="es-ES"/>
                              </w:rPr>
                              <w:t>OEA/Ser.L/V/II</w:t>
                            </w:r>
                          </w:p>
                          <w:p w14:paraId="6A41611B" w14:textId="70957FBE" w:rsidR="00627C9F" w:rsidRPr="00BC2D1B" w:rsidRDefault="00627C9F" w:rsidP="007A5817">
                            <w:pPr>
                              <w:spacing w:line="276" w:lineRule="auto"/>
                              <w:jc w:val="right"/>
                              <w:rPr>
                                <w:rFonts w:asciiTheme="minorHAnsi" w:hAnsiTheme="minorHAnsi"/>
                                <w:color w:val="FFFFFF" w:themeColor="background1"/>
                                <w:sz w:val="22"/>
                                <w:lang w:val="es-ES"/>
                              </w:rPr>
                            </w:pPr>
                            <w:r w:rsidRPr="00BC2D1B">
                              <w:rPr>
                                <w:rFonts w:asciiTheme="minorHAnsi" w:hAnsiTheme="minorHAnsi"/>
                                <w:color w:val="FFFFFF" w:themeColor="background1"/>
                                <w:sz w:val="22"/>
                                <w:lang w:val="es-ES"/>
                              </w:rPr>
                              <w:t xml:space="preserve">Doc. </w:t>
                            </w:r>
                            <w:r w:rsidR="000A4335" w:rsidRPr="00BC2D1B">
                              <w:rPr>
                                <w:rFonts w:asciiTheme="minorHAnsi" w:hAnsiTheme="minorHAnsi"/>
                                <w:color w:val="FFFFFF" w:themeColor="background1"/>
                                <w:sz w:val="22"/>
                                <w:lang w:val="es-ES"/>
                              </w:rPr>
                              <w:t>106</w:t>
                            </w:r>
                          </w:p>
                          <w:p w14:paraId="69373ED2" w14:textId="62C44563" w:rsidR="00627C9F" w:rsidRPr="00C25ADB" w:rsidRDefault="000A433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F9ACC9F" w:rsidR="00627C9F" w:rsidRPr="00BC2D1B" w:rsidRDefault="00834D49" w:rsidP="007A5817">
                      <w:pPr>
                        <w:spacing w:line="276" w:lineRule="auto"/>
                        <w:jc w:val="right"/>
                        <w:rPr>
                          <w:rFonts w:asciiTheme="minorHAnsi" w:hAnsiTheme="minorHAnsi"/>
                          <w:color w:val="FFFFFF" w:themeColor="background1"/>
                          <w:sz w:val="22"/>
                          <w:lang w:val="es-ES"/>
                        </w:rPr>
                      </w:pPr>
                      <w:r w:rsidRPr="00BC2D1B">
                        <w:rPr>
                          <w:rFonts w:asciiTheme="minorHAnsi" w:hAnsiTheme="minorHAnsi"/>
                          <w:color w:val="FFFFFF" w:themeColor="background1"/>
                          <w:sz w:val="22"/>
                          <w:lang w:val="es-ES"/>
                        </w:rPr>
                        <w:t>OEA/Ser.L/V/II</w:t>
                      </w:r>
                    </w:p>
                    <w:p w14:paraId="6A41611B" w14:textId="70957FBE" w:rsidR="00627C9F" w:rsidRPr="00BC2D1B" w:rsidRDefault="00627C9F" w:rsidP="007A5817">
                      <w:pPr>
                        <w:spacing w:line="276" w:lineRule="auto"/>
                        <w:jc w:val="right"/>
                        <w:rPr>
                          <w:rFonts w:asciiTheme="minorHAnsi" w:hAnsiTheme="minorHAnsi"/>
                          <w:color w:val="FFFFFF" w:themeColor="background1"/>
                          <w:sz w:val="22"/>
                          <w:lang w:val="es-ES"/>
                        </w:rPr>
                      </w:pPr>
                      <w:r w:rsidRPr="00BC2D1B">
                        <w:rPr>
                          <w:rFonts w:asciiTheme="minorHAnsi" w:hAnsiTheme="minorHAnsi"/>
                          <w:color w:val="FFFFFF" w:themeColor="background1"/>
                          <w:sz w:val="22"/>
                          <w:lang w:val="es-ES"/>
                        </w:rPr>
                        <w:t xml:space="preserve">Doc. </w:t>
                      </w:r>
                      <w:r w:rsidR="000A4335" w:rsidRPr="00BC2D1B">
                        <w:rPr>
                          <w:rFonts w:asciiTheme="minorHAnsi" w:hAnsiTheme="minorHAnsi"/>
                          <w:color w:val="FFFFFF" w:themeColor="background1"/>
                          <w:sz w:val="22"/>
                          <w:lang w:val="es-ES"/>
                        </w:rPr>
                        <w:t>106</w:t>
                      </w:r>
                    </w:p>
                    <w:p w14:paraId="69373ED2" w14:textId="62C44563" w:rsidR="00627C9F" w:rsidRPr="00C25ADB" w:rsidRDefault="000A433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524B2DD4"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04699">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E04699">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E04699">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524B2DD4"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04699">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E04699">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E04699">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A1FDE3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35501" w:rsidRPr="00235501">
                              <w:rPr>
                                <w:rFonts w:asciiTheme="majorHAnsi" w:hAnsiTheme="majorHAnsi"/>
                                <w:color w:val="595959" w:themeColor="text1" w:themeTint="A6"/>
                                <w:sz w:val="18"/>
                                <w:szCs w:val="18"/>
                                <w:lang w:val="pt-BR"/>
                              </w:rPr>
                              <w:t>101</w:t>
                            </w:r>
                            <w:r w:rsidR="007B05C4" w:rsidRPr="00235501">
                              <w:rPr>
                                <w:rFonts w:asciiTheme="majorHAnsi" w:hAnsiTheme="majorHAnsi"/>
                                <w:color w:val="595959" w:themeColor="text1" w:themeTint="A6"/>
                                <w:sz w:val="18"/>
                                <w:szCs w:val="18"/>
                                <w:lang w:val="pt-BR"/>
                              </w:rPr>
                              <w:t>/</w:t>
                            </w:r>
                            <w:r w:rsidR="00235501" w:rsidRPr="00235501">
                              <w:rPr>
                                <w:rFonts w:asciiTheme="majorHAnsi" w:hAnsiTheme="majorHAnsi"/>
                                <w:color w:val="595959" w:themeColor="text1" w:themeTint="A6"/>
                                <w:sz w:val="18"/>
                                <w:szCs w:val="18"/>
                                <w:lang w:val="pt-BR"/>
                              </w:rPr>
                              <w:t>24</w:t>
                            </w:r>
                            <w:r w:rsidRPr="0023550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B1B44">
                              <w:rPr>
                                <w:rFonts w:asciiTheme="majorHAnsi" w:hAnsiTheme="majorHAnsi"/>
                                <w:color w:val="595959" w:themeColor="text1" w:themeTint="A6"/>
                                <w:sz w:val="18"/>
                                <w:szCs w:val="18"/>
                                <w:lang w:val="es-ES"/>
                              </w:rPr>
                              <w:t>5</w:t>
                            </w:r>
                            <w:r w:rsidR="00425882">
                              <w:rPr>
                                <w:rFonts w:asciiTheme="majorHAnsi" w:hAnsiTheme="majorHAnsi"/>
                                <w:color w:val="595959" w:themeColor="text1" w:themeTint="A6"/>
                                <w:sz w:val="18"/>
                                <w:szCs w:val="18"/>
                                <w:lang w:val="es-ES"/>
                              </w:rPr>
                              <w:t>4</w:t>
                            </w:r>
                            <w:r w:rsidR="003B1B44">
                              <w:rPr>
                                <w:rFonts w:asciiTheme="majorHAnsi" w:hAnsiTheme="majorHAnsi"/>
                                <w:color w:val="595959" w:themeColor="text1" w:themeTint="A6"/>
                                <w:sz w:val="18"/>
                                <w:szCs w:val="18"/>
                                <w:lang w:val="es-ES"/>
                              </w:rPr>
                              <w:t>4</w:t>
                            </w:r>
                            <w:r w:rsidR="00441E0D">
                              <w:rPr>
                                <w:rFonts w:asciiTheme="majorHAnsi" w:hAnsiTheme="majorHAnsi"/>
                                <w:color w:val="595959" w:themeColor="text1" w:themeTint="A6"/>
                                <w:sz w:val="18"/>
                                <w:szCs w:val="18"/>
                                <w:lang w:val="es-ES"/>
                              </w:rPr>
                              <w:t>-</w:t>
                            </w:r>
                            <w:r w:rsidR="00425882">
                              <w:rPr>
                                <w:rFonts w:asciiTheme="majorHAnsi" w:hAnsiTheme="majorHAnsi"/>
                                <w:color w:val="595959" w:themeColor="text1" w:themeTint="A6"/>
                                <w:sz w:val="18"/>
                                <w:szCs w:val="18"/>
                                <w:lang w:val="es-ES"/>
                              </w:rPr>
                              <w:t>19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25882">
                              <w:rPr>
                                <w:rFonts w:asciiTheme="majorHAnsi" w:hAnsiTheme="majorHAnsi"/>
                                <w:color w:val="595959" w:themeColor="text1" w:themeTint="A6"/>
                                <w:sz w:val="18"/>
                                <w:szCs w:val="18"/>
                                <w:lang w:val="es-ES_tradnl"/>
                              </w:rPr>
                              <w:t>Magda Haase Pérez</w:t>
                            </w:r>
                            <w:r w:rsidRPr="00890650">
                              <w:rPr>
                                <w:rFonts w:asciiTheme="majorHAnsi" w:hAnsiTheme="majorHAnsi"/>
                                <w:color w:val="595959" w:themeColor="text1" w:themeTint="A6"/>
                                <w:sz w:val="18"/>
                                <w:szCs w:val="18"/>
                                <w:lang w:val="es-ES_tradnl"/>
                              </w:rPr>
                              <w:t xml:space="preserve">. </w:t>
                            </w:r>
                            <w:r w:rsidR="00425882">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235501">
                              <w:rPr>
                                <w:rFonts w:asciiTheme="majorHAnsi" w:hAnsiTheme="majorHAnsi"/>
                                <w:color w:val="595959" w:themeColor="text1" w:themeTint="A6"/>
                                <w:sz w:val="18"/>
                                <w:szCs w:val="18"/>
                                <w:lang w:val="es-ES"/>
                              </w:rPr>
                              <w:t>1º de julio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6A1FDE3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35501" w:rsidRPr="00235501">
                        <w:rPr>
                          <w:rFonts w:asciiTheme="majorHAnsi" w:hAnsiTheme="majorHAnsi"/>
                          <w:color w:val="595959" w:themeColor="text1" w:themeTint="A6"/>
                          <w:sz w:val="18"/>
                          <w:szCs w:val="18"/>
                          <w:lang w:val="pt-BR"/>
                        </w:rPr>
                        <w:t>101</w:t>
                      </w:r>
                      <w:r w:rsidR="007B05C4" w:rsidRPr="00235501">
                        <w:rPr>
                          <w:rFonts w:asciiTheme="majorHAnsi" w:hAnsiTheme="majorHAnsi"/>
                          <w:color w:val="595959" w:themeColor="text1" w:themeTint="A6"/>
                          <w:sz w:val="18"/>
                          <w:szCs w:val="18"/>
                          <w:lang w:val="pt-BR"/>
                        </w:rPr>
                        <w:t>/</w:t>
                      </w:r>
                      <w:r w:rsidR="00235501" w:rsidRPr="00235501">
                        <w:rPr>
                          <w:rFonts w:asciiTheme="majorHAnsi" w:hAnsiTheme="majorHAnsi"/>
                          <w:color w:val="595959" w:themeColor="text1" w:themeTint="A6"/>
                          <w:sz w:val="18"/>
                          <w:szCs w:val="18"/>
                          <w:lang w:val="pt-BR"/>
                        </w:rPr>
                        <w:t>24</w:t>
                      </w:r>
                      <w:r w:rsidRPr="0023550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B1B44">
                        <w:rPr>
                          <w:rFonts w:asciiTheme="majorHAnsi" w:hAnsiTheme="majorHAnsi"/>
                          <w:color w:val="595959" w:themeColor="text1" w:themeTint="A6"/>
                          <w:sz w:val="18"/>
                          <w:szCs w:val="18"/>
                          <w:lang w:val="es-ES"/>
                        </w:rPr>
                        <w:t>5</w:t>
                      </w:r>
                      <w:r w:rsidR="00425882">
                        <w:rPr>
                          <w:rFonts w:asciiTheme="majorHAnsi" w:hAnsiTheme="majorHAnsi"/>
                          <w:color w:val="595959" w:themeColor="text1" w:themeTint="A6"/>
                          <w:sz w:val="18"/>
                          <w:szCs w:val="18"/>
                          <w:lang w:val="es-ES"/>
                        </w:rPr>
                        <w:t>4</w:t>
                      </w:r>
                      <w:r w:rsidR="003B1B44">
                        <w:rPr>
                          <w:rFonts w:asciiTheme="majorHAnsi" w:hAnsiTheme="majorHAnsi"/>
                          <w:color w:val="595959" w:themeColor="text1" w:themeTint="A6"/>
                          <w:sz w:val="18"/>
                          <w:szCs w:val="18"/>
                          <w:lang w:val="es-ES"/>
                        </w:rPr>
                        <w:t>4</w:t>
                      </w:r>
                      <w:r w:rsidR="00441E0D">
                        <w:rPr>
                          <w:rFonts w:asciiTheme="majorHAnsi" w:hAnsiTheme="majorHAnsi"/>
                          <w:color w:val="595959" w:themeColor="text1" w:themeTint="A6"/>
                          <w:sz w:val="18"/>
                          <w:szCs w:val="18"/>
                          <w:lang w:val="es-ES"/>
                        </w:rPr>
                        <w:t>-</w:t>
                      </w:r>
                      <w:r w:rsidR="00425882">
                        <w:rPr>
                          <w:rFonts w:asciiTheme="majorHAnsi" w:hAnsiTheme="majorHAnsi"/>
                          <w:color w:val="595959" w:themeColor="text1" w:themeTint="A6"/>
                          <w:sz w:val="18"/>
                          <w:szCs w:val="18"/>
                          <w:lang w:val="es-ES"/>
                        </w:rPr>
                        <w:t>19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25882">
                        <w:rPr>
                          <w:rFonts w:asciiTheme="majorHAnsi" w:hAnsiTheme="majorHAnsi"/>
                          <w:color w:val="595959" w:themeColor="text1" w:themeTint="A6"/>
                          <w:sz w:val="18"/>
                          <w:szCs w:val="18"/>
                          <w:lang w:val="es-ES_tradnl"/>
                        </w:rPr>
                        <w:t>Magda Haase Pérez</w:t>
                      </w:r>
                      <w:r w:rsidRPr="00890650">
                        <w:rPr>
                          <w:rFonts w:asciiTheme="majorHAnsi" w:hAnsiTheme="majorHAnsi"/>
                          <w:color w:val="595959" w:themeColor="text1" w:themeTint="A6"/>
                          <w:sz w:val="18"/>
                          <w:szCs w:val="18"/>
                          <w:lang w:val="es-ES_tradnl"/>
                        </w:rPr>
                        <w:t xml:space="preserve">. </w:t>
                      </w:r>
                      <w:r w:rsidR="00425882">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235501">
                        <w:rPr>
                          <w:rFonts w:asciiTheme="majorHAnsi" w:hAnsiTheme="majorHAnsi"/>
                          <w:color w:val="595959" w:themeColor="text1" w:themeTint="A6"/>
                          <w:sz w:val="18"/>
                          <w:szCs w:val="18"/>
                          <w:lang w:val="es-ES"/>
                        </w:rPr>
                        <w:t>1º de julio de 2024</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60282EC" w:rsidR="00D72DC6" w:rsidRPr="00D72DC6" w:rsidRDefault="00235501" w:rsidP="00F02AD1">
                            <w:pPr>
                              <w:rPr>
                                <w:color w:val="FFFFFF" w:themeColor="background1"/>
                                <w14:textFill>
                                  <w14:noFill/>
                                </w14:textFill>
                              </w:rPr>
                            </w:pPr>
                            <w:r>
                              <w:rPr>
                                <w:noProof/>
                                <w:color w:val="FFFFFF" w:themeColor="background1"/>
                              </w:rPr>
                              <w:drawing>
                                <wp:inline distT="0" distB="0" distL="0" distR="0" wp14:anchorId="396588A7" wp14:editId="07383E3F">
                                  <wp:extent cx="1824355" cy="469265"/>
                                  <wp:effectExtent l="0" t="0" r="4445" b="6985"/>
                                  <wp:docPr id="1078309050" name="Picture 10783090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560282EC" w:rsidR="00D72DC6" w:rsidRPr="00D72DC6" w:rsidRDefault="00235501" w:rsidP="00F02AD1">
                      <w:pPr>
                        <w:rPr>
                          <w:color w:val="FFFFFF" w:themeColor="background1"/>
                          <w14:textFill>
                            <w14:noFill/>
                          </w14:textFill>
                        </w:rPr>
                      </w:pPr>
                      <w:r>
                        <w:rPr>
                          <w:noProof/>
                          <w:color w:val="FFFFFF" w:themeColor="background1"/>
                        </w:rPr>
                        <w:drawing>
                          <wp:inline distT="0" distB="0" distL="0" distR="0" wp14:anchorId="396588A7" wp14:editId="07383E3F">
                            <wp:extent cx="1824355" cy="469265"/>
                            <wp:effectExtent l="0" t="0" r="4445" b="6985"/>
                            <wp:docPr id="1078309050" name="Picture 10783090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6E05E176" w:rsidR="003239B8" w:rsidRPr="00D13530" w:rsidRDefault="00116663" w:rsidP="00D13530">
            <w:pPr>
              <w:jc w:val="both"/>
              <w:rPr>
                <w:rFonts w:ascii="Cambria" w:hAnsi="Cambria"/>
                <w:bCs/>
                <w:sz w:val="20"/>
                <w:szCs w:val="20"/>
                <w:lang w:val="es-PE"/>
              </w:rPr>
            </w:pPr>
            <w:r>
              <w:rPr>
                <w:rFonts w:ascii="Cambria" w:hAnsi="Cambria"/>
                <w:bCs/>
                <w:sz w:val="20"/>
                <w:szCs w:val="20"/>
                <w:lang w:val="es-PE"/>
              </w:rPr>
              <w:t>Eduardo Coria Castillo</w:t>
            </w:r>
          </w:p>
        </w:tc>
      </w:tr>
      <w:tr w:rsidR="003239B8" w:rsidRPr="008306C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841FE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1D161C07" w:rsidR="003239B8" w:rsidRPr="000D05CB" w:rsidRDefault="00425882" w:rsidP="008D2290">
            <w:pPr>
              <w:jc w:val="both"/>
              <w:rPr>
                <w:rFonts w:ascii="Cambria" w:hAnsi="Cambria"/>
                <w:bCs/>
                <w:sz w:val="20"/>
                <w:szCs w:val="20"/>
                <w:lang w:val="es-ES"/>
              </w:rPr>
            </w:pPr>
            <w:r>
              <w:rPr>
                <w:rFonts w:ascii="Cambria" w:hAnsi="Cambria"/>
                <w:bCs/>
                <w:sz w:val="20"/>
                <w:szCs w:val="20"/>
                <w:lang w:val="es-ES"/>
              </w:rPr>
              <w:t>Magda Haase Pérez</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5DE5B3EF" w:rsidR="003239B8" w:rsidRPr="000D05CB" w:rsidRDefault="00116663" w:rsidP="008D2290">
            <w:pPr>
              <w:jc w:val="both"/>
              <w:rPr>
                <w:rFonts w:ascii="Cambria" w:hAnsi="Cambria"/>
                <w:bCs/>
                <w:sz w:val="20"/>
                <w:szCs w:val="20"/>
              </w:rPr>
            </w:pPr>
            <w:r>
              <w:rPr>
                <w:rFonts w:ascii="Cambria" w:hAnsi="Cambria"/>
                <w:bCs/>
                <w:sz w:val="20"/>
                <w:szCs w:val="20"/>
              </w:rPr>
              <w:t>Bolivia</w:t>
            </w:r>
          </w:p>
        </w:tc>
      </w:tr>
      <w:tr w:rsidR="00223A29" w:rsidRPr="00F1046C"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5B5AAF9A" w:rsidR="00223A29" w:rsidRPr="003C02C9" w:rsidRDefault="001E5D2C" w:rsidP="008D2290">
            <w:pPr>
              <w:jc w:val="both"/>
              <w:rPr>
                <w:rFonts w:ascii="Cambria" w:hAnsi="Cambria"/>
                <w:bCs/>
                <w:sz w:val="20"/>
                <w:szCs w:val="20"/>
                <w:lang w:val="es-PE"/>
              </w:rPr>
            </w:pPr>
            <w:r>
              <w:rPr>
                <w:rFonts w:ascii="Cambria" w:hAnsi="Cambria"/>
                <w:bCs/>
                <w:sz w:val="20"/>
                <w:szCs w:val="20"/>
                <w:lang w:val="es-ES"/>
              </w:rPr>
              <w:t>Artículos 4</w:t>
            </w:r>
            <w:r w:rsidR="00EE3DBC">
              <w:rPr>
                <w:rFonts w:ascii="Cambria" w:hAnsi="Cambria"/>
                <w:bCs/>
                <w:sz w:val="20"/>
                <w:szCs w:val="20"/>
                <w:lang w:val="es-ES"/>
              </w:rPr>
              <w:t xml:space="preserve"> (vida)</w:t>
            </w:r>
            <w:r>
              <w:rPr>
                <w:rFonts w:ascii="Cambria" w:hAnsi="Cambria"/>
                <w:bCs/>
                <w:sz w:val="20"/>
                <w:szCs w:val="20"/>
                <w:lang w:val="es-ES"/>
              </w:rPr>
              <w:t>, 5</w:t>
            </w:r>
            <w:r w:rsidR="00EE3DBC">
              <w:rPr>
                <w:rFonts w:ascii="Cambria" w:hAnsi="Cambria"/>
                <w:bCs/>
                <w:sz w:val="20"/>
                <w:szCs w:val="20"/>
                <w:lang w:val="es-ES"/>
              </w:rPr>
              <w:t xml:space="preserve"> (</w:t>
            </w:r>
            <w:r w:rsidR="007C0ABD">
              <w:rPr>
                <w:rFonts w:ascii="Cambria" w:hAnsi="Cambria"/>
                <w:bCs/>
                <w:sz w:val="20"/>
                <w:szCs w:val="20"/>
                <w:lang w:val="es-ES"/>
              </w:rPr>
              <w:t>integridad personal)</w:t>
            </w:r>
            <w:r>
              <w:rPr>
                <w:rFonts w:ascii="Cambria" w:hAnsi="Cambria"/>
                <w:bCs/>
                <w:sz w:val="20"/>
                <w:szCs w:val="20"/>
                <w:lang w:val="es-ES"/>
              </w:rPr>
              <w:t>,</w:t>
            </w:r>
            <w:r w:rsidR="00EE3DBC">
              <w:rPr>
                <w:rFonts w:ascii="Cambria" w:hAnsi="Cambria"/>
                <w:bCs/>
                <w:sz w:val="20"/>
                <w:szCs w:val="20"/>
                <w:lang w:val="es-ES"/>
              </w:rPr>
              <w:t xml:space="preserve"> 8</w:t>
            </w:r>
            <w:r w:rsidR="007C0ABD">
              <w:rPr>
                <w:rFonts w:ascii="Cambria" w:hAnsi="Cambria"/>
                <w:bCs/>
                <w:sz w:val="20"/>
                <w:szCs w:val="20"/>
                <w:lang w:val="es-ES"/>
              </w:rPr>
              <w:t xml:space="preserve"> (garantías judiciales)</w:t>
            </w:r>
            <w:r w:rsidR="00EE3DBC">
              <w:rPr>
                <w:rFonts w:ascii="Cambria" w:hAnsi="Cambria"/>
                <w:bCs/>
                <w:sz w:val="20"/>
                <w:szCs w:val="20"/>
                <w:lang w:val="es-ES"/>
              </w:rPr>
              <w:t>, 23</w:t>
            </w:r>
            <w:r w:rsidR="007C0ABD">
              <w:rPr>
                <w:rFonts w:ascii="Cambria" w:hAnsi="Cambria"/>
                <w:bCs/>
                <w:sz w:val="20"/>
                <w:szCs w:val="20"/>
                <w:lang w:val="es-ES"/>
              </w:rPr>
              <w:t xml:space="preserve"> (derechos políticos)</w:t>
            </w:r>
            <w:r w:rsidR="00EE3DBC">
              <w:rPr>
                <w:rFonts w:ascii="Cambria" w:hAnsi="Cambria"/>
                <w:bCs/>
                <w:sz w:val="20"/>
                <w:szCs w:val="20"/>
                <w:lang w:val="es-ES"/>
              </w:rPr>
              <w:t>, 25</w:t>
            </w:r>
            <w:r w:rsidR="007C0ABD">
              <w:rPr>
                <w:rFonts w:ascii="Cambria" w:hAnsi="Cambria"/>
                <w:bCs/>
                <w:sz w:val="20"/>
                <w:szCs w:val="20"/>
                <w:lang w:val="es-ES"/>
              </w:rPr>
              <w:t xml:space="preserve"> (protección judicial)</w:t>
            </w:r>
            <w:r w:rsidR="00EE3DBC">
              <w:rPr>
                <w:rFonts w:ascii="Cambria" w:hAnsi="Cambria"/>
                <w:bCs/>
                <w:sz w:val="20"/>
                <w:szCs w:val="20"/>
                <w:lang w:val="es-ES"/>
              </w:rPr>
              <w:t xml:space="preserve"> y 26</w:t>
            </w:r>
            <w:r w:rsidR="007C0ABD">
              <w:rPr>
                <w:rFonts w:ascii="Cambria" w:hAnsi="Cambria"/>
                <w:bCs/>
                <w:sz w:val="20"/>
                <w:szCs w:val="20"/>
                <w:lang w:val="es-ES"/>
              </w:rPr>
              <w:t xml:space="preserve"> (derechos económicos, sociales y culturales) </w:t>
            </w:r>
            <w:r w:rsidR="003C02C9">
              <w:rPr>
                <w:rFonts w:ascii="Cambria" w:hAnsi="Cambria"/>
                <w:bCs/>
                <w:sz w:val="20"/>
                <w:szCs w:val="20"/>
                <w:lang w:val="es-ES"/>
              </w:rPr>
              <w:t>de la Convención Americana sobre Derechos Humanos</w:t>
            </w:r>
            <w:r w:rsidR="003C02C9">
              <w:rPr>
                <w:rStyle w:val="FootnoteReference"/>
                <w:rFonts w:ascii="Cambria" w:hAnsi="Cambria"/>
                <w:bCs/>
                <w:sz w:val="20"/>
                <w:szCs w:val="20"/>
                <w:lang w:val="es-ES"/>
              </w:rPr>
              <w:footnoteReference w:id="2"/>
            </w:r>
            <w:r w:rsidR="007C0ABD">
              <w:rPr>
                <w:rFonts w:ascii="Cambria" w:hAnsi="Cambria"/>
                <w:bCs/>
                <w:sz w:val="20"/>
                <w:szCs w:val="20"/>
                <w:lang w:val="es-ES"/>
              </w:rPr>
              <w:t xml:space="preserve">; y el artículo 7 de la Convención </w:t>
            </w:r>
            <w:r w:rsidR="00B476D7">
              <w:rPr>
                <w:rFonts w:ascii="Cambria" w:hAnsi="Cambria"/>
                <w:bCs/>
                <w:sz w:val="20"/>
                <w:szCs w:val="20"/>
                <w:lang w:val="es-ES"/>
              </w:rPr>
              <w:t>Interamericana para Prevenir, Sancionar y Erradicar la Violencia Contra la Mujer</w:t>
            </w:r>
            <w:r w:rsidR="00464CE2">
              <w:rPr>
                <w:rFonts w:ascii="Cambria" w:hAnsi="Cambria"/>
                <w:bCs/>
                <w:sz w:val="20"/>
                <w:szCs w:val="20"/>
                <w:lang w:val="es-ES"/>
              </w:rPr>
              <w:t xml:space="preserve"> (</w:t>
            </w:r>
            <w:r w:rsidR="00464CE2" w:rsidRPr="00464CE2">
              <w:rPr>
                <w:rFonts w:ascii="Cambria" w:hAnsi="Cambria"/>
                <w:bCs/>
                <w:sz w:val="20"/>
                <w:szCs w:val="20"/>
                <w:lang w:val="es-ES"/>
              </w:rPr>
              <w:t xml:space="preserve">Convención </w:t>
            </w:r>
            <w:r w:rsidR="00464CE2">
              <w:rPr>
                <w:rFonts w:ascii="Cambria" w:hAnsi="Cambria"/>
                <w:bCs/>
                <w:sz w:val="20"/>
                <w:szCs w:val="20"/>
                <w:lang w:val="es-ES"/>
              </w:rPr>
              <w:t xml:space="preserve">de </w:t>
            </w:r>
            <w:r w:rsidR="00464CE2" w:rsidRPr="00464CE2">
              <w:rPr>
                <w:rFonts w:ascii="Cambria" w:hAnsi="Cambria"/>
                <w:bCs/>
                <w:sz w:val="20"/>
                <w:szCs w:val="20"/>
                <w:lang w:val="es-ES"/>
              </w:rPr>
              <w:t>Belém Do Pará</w:t>
            </w:r>
            <w:r w:rsidR="00464CE2">
              <w:rPr>
                <w:rFonts w:ascii="Cambria" w:hAnsi="Cambria"/>
                <w:bCs/>
                <w:sz w:val="20"/>
                <w:szCs w:val="20"/>
                <w:lang w:val="es-ES"/>
              </w:rPr>
              <w:t>)</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C19DCC8" w:rsidR="004C2312" w:rsidRPr="003239B8" w:rsidRDefault="0099726F" w:rsidP="002625EA">
            <w:pPr>
              <w:jc w:val="both"/>
              <w:rPr>
                <w:rFonts w:ascii="Cambria" w:hAnsi="Cambria"/>
                <w:bCs/>
                <w:sz w:val="20"/>
                <w:szCs w:val="20"/>
                <w:lang w:val="es-ES"/>
              </w:rPr>
            </w:pPr>
            <w:r>
              <w:rPr>
                <w:rFonts w:ascii="Cambria" w:hAnsi="Cambria"/>
                <w:bCs/>
                <w:sz w:val="20"/>
                <w:szCs w:val="20"/>
                <w:lang w:val="es-ES"/>
              </w:rPr>
              <w:t>13 de marzo de 2019</w:t>
            </w:r>
          </w:p>
        </w:tc>
      </w:tr>
      <w:tr w:rsidR="00131425" w:rsidRPr="00F1046C"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483D3790" w:rsidR="00131425" w:rsidRPr="003239B8" w:rsidRDefault="008E6189" w:rsidP="002625EA">
            <w:pPr>
              <w:jc w:val="both"/>
              <w:rPr>
                <w:rFonts w:ascii="Cambria" w:hAnsi="Cambria"/>
                <w:bCs/>
                <w:sz w:val="20"/>
                <w:szCs w:val="20"/>
                <w:lang w:val="es-ES"/>
              </w:rPr>
            </w:pPr>
            <w:r>
              <w:rPr>
                <w:rFonts w:ascii="Cambria" w:hAnsi="Cambria"/>
                <w:bCs/>
                <w:sz w:val="20"/>
                <w:szCs w:val="20"/>
                <w:lang w:val="es-ES"/>
              </w:rPr>
              <w:t xml:space="preserve">18 de marzo de 2019, </w:t>
            </w:r>
            <w:r w:rsidR="00F97E3C">
              <w:rPr>
                <w:rFonts w:ascii="Cambria" w:hAnsi="Cambria"/>
                <w:bCs/>
                <w:sz w:val="20"/>
                <w:szCs w:val="20"/>
                <w:lang w:val="es-ES"/>
              </w:rPr>
              <w:t>25 de marzo de 2019, 17 de abril de 2019</w:t>
            </w:r>
            <w:r w:rsidR="00C03432">
              <w:rPr>
                <w:rFonts w:ascii="Cambria" w:hAnsi="Cambria"/>
                <w:bCs/>
                <w:sz w:val="20"/>
                <w:szCs w:val="20"/>
                <w:lang w:val="es-ES"/>
              </w:rPr>
              <w:t>, 4 de febrero de 2020</w:t>
            </w:r>
            <w:r w:rsidR="000505A0">
              <w:rPr>
                <w:rFonts w:ascii="Cambria" w:hAnsi="Cambria"/>
                <w:bCs/>
                <w:sz w:val="20"/>
                <w:szCs w:val="20"/>
                <w:lang w:val="es-ES"/>
              </w:rPr>
              <w:t xml:space="preserve"> y 9 de noviembre de 2022</w:t>
            </w:r>
          </w:p>
        </w:tc>
      </w:tr>
      <w:tr w:rsidR="004C2312" w:rsidRPr="008306C5"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7CAC7F0" w:rsidR="004C2312" w:rsidRPr="003239B8" w:rsidRDefault="00831448" w:rsidP="008D2290">
            <w:pPr>
              <w:jc w:val="both"/>
              <w:rPr>
                <w:rFonts w:ascii="Cambria" w:hAnsi="Cambria"/>
                <w:bCs/>
                <w:sz w:val="20"/>
                <w:szCs w:val="20"/>
                <w:lang w:val="es-ES"/>
              </w:rPr>
            </w:pPr>
            <w:r>
              <w:rPr>
                <w:rFonts w:ascii="Cambria" w:hAnsi="Cambria"/>
                <w:bCs/>
                <w:sz w:val="20"/>
                <w:szCs w:val="20"/>
                <w:lang w:val="es-ES"/>
              </w:rPr>
              <w:t>8 de diciembre de 2022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68723C13" w:rsidR="004C2312" w:rsidRPr="003239B8" w:rsidRDefault="00426EB1" w:rsidP="008D2290">
            <w:pPr>
              <w:jc w:val="both"/>
              <w:rPr>
                <w:rFonts w:ascii="Cambria" w:hAnsi="Cambria"/>
                <w:bCs/>
                <w:sz w:val="20"/>
                <w:szCs w:val="20"/>
                <w:lang w:val="es-ES"/>
              </w:rPr>
            </w:pPr>
            <w:r>
              <w:rPr>
                <w:rFonts w:ascii="Cambria" w:hAnsi="Cambria"/>
                <w:bCs/>
                <w:sz w:val="20"/>
                <w:szCs w:val="20"/>
                <w:lang w:val="es-ES"/>
              </w:rPr>
              <w:t>6 de abril de 2023</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0E5AD35D" w:rsidR="001E49E7" w:rsidRPr="003239B8" w:rsidRDefault="00C03432" w:rsidP="002625EA">
            <w:pPr>
              <w:jc w:val="both"/>
              <w:rPr>
                <w:rFonts w:ascii="Cambria" w:hAnsi="Cambria"/>
                <w:bCs/>
                <w:sz w:val="20"/>
                <w:szCs w:val="20"/>
                <w:lang w:val="es-ES"/>
              </w:rPr>
            </w:pPr>
            <w:r>
              <w:rPr>
                <w:rFonts w:ascii="Cambria" w:hAnsi="Cambria"/>
                <w:bCs/>
                <w:sz w:val="20"/>
                <w:szCs w:val="20"/>
                <w:lang w:val="es-ES"/>
              </w:rPr>
              <w:t>5 de agosto de 2022</w:t>
            </w:r>
          </w:p>
        </w:tc>
      </w:tr>
      <w:tr w:rsidR="001E49E7" w:rsidRPr="008306C5"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427DFB71" w:rsidR="001E49E7" w:rsidRPr="003239B8" w:rsidRDefault="00FB2883" w:rsidP="002625EA">
            <w:pPr>
              <w:jc w:val="both"/>
              <w:rPr>
                <w:rFonts w:ascii="Cambria" w:hAnsi="Cambria"/>
                <w:bCs/>
                <w:sz w:val="20"/>
                <w:szCs w:val="20"/>
                <w:lang w:val="es-ES"/>
              </w:rPr>
            </w:pPr>
            <w:r>
              <w:rPr>
                <w:rFonts w:ascii="Cambria" w:hAnsi="Cambria"/>
                <w:bCs/>
                <w:sz w:val="20"/>
                <w:szCs w:val="20"/>
                <w:lang w:val="es-ES"/>
              </w:rPr>
              <w:t>9 de septiembre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6E1526">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30B2C07F" w:rsidR="003239B8" w:rsidRPr="00B3745F" w:rsidRDefault="00B74BD0"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6E1526">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22AAE37F" w:rsidR="003239B8" w:rsidRPr="00B3745F" w:rsidRDefault="00B74BD0"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6E1526">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0BC650A6" w:rsidR="003239B8" w:rsidRPr="00B3745F" w:rsidRDefault="00B74BD0" w:rsidP="008D2290">
            <w:pPr>
              <w:rPr>
                <w:rFonts w:ascii="Cambria" w:hAnsi="Cambria"/>
                <w:bCs/>
                <w:sz w:val="20"/>
                <w:szCs w:val="20"/>
              </w:rPr>
            </w:pPr>
            <w:r>
              <w:rPr>
                <w:rFonts w:ascii="Cambria" w:hAnsi="Cambria"/>
                <w:bCs/>
                <w:sz w:val="20"/>
                <w:szCs w:val="20"/>
              </w:rPr>
              <w:t>Sí</w:t>
            </w:r>
          </w:p>
        </w:tc>
      </w:tr>
      <w:tr w:rsidR="003239B8" w:rsidRPr="00F1046C" w14:paraId="30ABEC3E" w14:textId="77777777" w:rsidTr="006E1526">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4B95A4BD" w:rsidR="003239B8" w:rsidRPr="00B3745F" w:rsidRDefault="00AF4A95"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w:t>
            </w:r>
            <w:r w:rsidRPr="00ED6590">
              <w:rPr>
                <w:rFonts w:ascii="Cambria" w:hAnsi="Cambria"/>
                <w:bCs/>
                <w:sz w:val="20"/>
                <w:szCs w:val="20"/>
                <w:lang w:val="es-ES"/>
              </w:rPr>
              <w:t>do el 19 de julio de 1979)</w:t>
            </w:r>
            <w:r w:rsidR="00ED596F">
              <w:rPr>
                <w:rFonts w:ascii="Cambria" w:hAnsi="Cambria"/>
                <w:bCs/>
                <w:sz w:val="20"/>
                <w:szCs w:val="20"/>
                <w:lang w:val="es-ES"/>
              </w:rPr>
              <w:t>;</w:t>
            </w:r>
            <w:r w:rsidR="00866011" w:rsidRPr="00ED6590">
              <w:rPr>
                <w:rFonts w:ascii="Cambria" w:hAnsi="Cambria"/>
                <w:bCs/>
                <w:sz w:val="20"/>
                <w:szCs w:val="20"/>
                <w:lang w:val="es-ES"/>
              </w:rPr>
              <w:t xml:space="preserve"> y Convención Belém Do Pará (depósito del instrumento de ratificación realizado el 12 de mayo de 1994)</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4E35FD" w14:paraId="1231C988" w14:textId="77777777" w:rsidTr="006E1526">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60CE8117" w:rsidR="00EE00E9" w:rsidRPr="007C0ABD" w:rsidRDefault="00C64B13" w:rsidP="008D2290">
            <w:pPr>
              <w:jc w:val="both"/>
              <w:rPr>
                <w:rFonts w:ascii="Cambria" w:hAnsi="Cambria"/>
                <w:bCs/>
                <w:sz w:val="20"/>
                <w:szCs w:val="20"/>
                <w:lang w:val="es-PE"/>
              </w:rPr>
            </w:pPr>
            <w:r w:rsidRPr="007C0ABD">
              <w:rPr>
                <w:rFonts w:ascii="Cambria" w:hAnsi="Cambria"/>
                <w:bCs/>
                <w:sz w:val="20"/>
                <w:szCs w:val="20"/>
                <w:lang w:val="es-PE"/>
              </w:rPr>
              <w:t>No</w:t>
            </w:r>
          </w:p>
        </w:tc>
      </w:tr>
      <w:tr w:rsidR="003239B8" w:rsidRPr="00F1046C" w14:paraId="15FAA7D1" w14:textId="77777777" w:rsidTr="006E1526">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34695C92" w:rsidR="003239B8" w:rsidRPr="007C0ABD" w:rsidRDefault="001E2C54" w:rsidP="008D2290">
            <w:pPr>
              <w:jc w:val="both"/>
              <w:rPr>
                <w:rFonts w:ascii="Cambria" w:hAnsi="Cambria"/>
                <w:bCs/>
                <w:sz w:val="20"/>
                <w:szCs w:val="20"/>
                <w:lang w:val="es-PE"/>
              </w:rPr>
            </w:pPr>
            <w:r>
              <w:rPr>
                <w:rFonts w:asciiTheme="majorHAnsi" w:hAnsiTheme="majorHAnsi"/>
                <w:bCs/>
                <w:sz w:val="20"/>
                <w:szCs w:val="20"/>
                <w:lang w:val="es-ES"/>
              </w:rPr>
              <w:t xml:space="preserve">Artículos </w:t>
            </w:r>
            <w:r w:rsidRPr="00AB1684">
              <w:rPr>
                <w:rFonts w:asciiTheme="majorHAnsi" w:hAnsiTheme="majorHAnsi"/>
                <w:bCs/>
                <w:sz w:val="20"/>
                <w:szCs w:val="20"/>
                <w:lang w:val="es-ES"/>
              </w:rPr>
              <w:t xml:space="preserve">5 (integridad personal), 8 (garantías judiciales), 23 (derechos políticos), 24 (igualdad ante la ley), 25 (protección judicial) y 26 (derechos económicos, sociales y </w:t>
            </w:r>
            <w:r w:rsidR="001F4116" w:rsidRPr="00AB1684">
              <w:rPr>
                <w:rFonts w:asciiTheme="majorHAnsi" w:hAnsiTheme="majorHAnsi"/>
                <w:bCs/>
                <w:sz w:val="20"/>
                <w:szCs w:val="20"/>
                <w:lang w:val="es-ES"/>
              </w:rPr>
              <w:t xml:space="preserve">culturales) </w:t>
            </w:r>
            <w:r w:rsidR="001F4116" w:rsidRPr="007C0ABD">
              <w:rPr>
                <w:rFonts w:ascii="Cambria" w:hAnsi="Cambria"/>
                <w:bCs/>
                <w:sz w:val="20"/>
                <w:szCs w:val="20"/>
                <w:lang w:val="es-PE"/>
              </w:rPr>
              <w:t>de</w:t>
            </w:r>
            <w:r w:rsidR="007C0ABD" w:rsidRPr="007C0ABD">
              <w:rPr>
                <w:rFonts w:ascii="Cambria" w:hAnsi="Cambria"/>
                <w:bCs/>
                <w:sz w:val="20"/>
                <w:szCs w:val="20"/>
                <w:lang w:val="es-PE"/>
              </w:rPr>
              <w:t xml:space="preserve"> la Convención Americana</w:t>
            </w:r>
            <w:r>
              <w:rPr>
                <w:rFonts w:ascii="Cambria" w:hAnsi="Cambria"/>
                <w:bCs/>
                <w:sz w:val="20"/>
                <w:szCs w:val="20"/>
                <w:lang w:val="es-PE"/>
              </w:rPr>
              <w:t>; y 7 de la Convención Belém Do Pará</w:t>
            </w:r>
          </w:p>
        </w:tc>
      </w:tr>
      <w:tr w:rsidR="003239B8" w:rsidRPr="00F1046C" w14:paraId="4EFD141E" w14:textId="77777777" w:rsidTr="006E1526">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35778C7B" w:rsidR="003239B8" w:rsidRPr="00DC24E3" w:rsidRDefault="00C64B13"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F1046C" w14:paraId="52B5BA17" w14:textId="77777777" w:rsidTr="006E1526">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5F234D67" w:rsidR="003239B8" w:rsidRPr="00C64B13" w:rsidRDefault="00C64B13" w:rsidP="008D2290">
            <w:pPr>
              <w:rPr>
                <w:rFonts w:ascii="Cambria" w:hAnsi="Cambria"/>
                <w:bCs/>
                <w:sz w:val="20"/>
                <w:szCs w:val="20"/>
                <w:lang w:val="es-PE"/>
              </w:rPr>
            </w:pPr>
            <w:r w:rsidRPr="00C64B13">
              <w:rPr>
                <w:rFonts w:ascii="Cambria" w:hAnsi="Cambria"/>
                <w:bCs/>
                <w:sz w:val="20"/>
                <w:szCs w:val="20"/>
                <w:lang w:val="es-PE"/>
              </w:rPr>
              <w:t>Sí, en los términos d</w:t>
            </w:r>
            <w:r>
              <w:rPr>
                <w:rFonts w:ascii="Cambria" w:hAnsi="Cambria"/>
                <w:bCs/>
                <w:sz w:val="20"/>
                <w:szCs w:val="20"/>
                <w:lang w:val="es-PE"/>
              </w:rPr>
              <w:t>e la sección VI</w:t>
            </w:r>
          </w:p>
        </w:tc>
      </w:tr>
    </w:tbl>
    <w:p w14:paraId="4F300825" w14:textId="77777777" w:rsidR="00D94CC6" w:rsidRDefault="00D94CC6" w:rsidP="003239B8">
      <w:pPr>
        <w:spacing w:before="240" w:after="240"/>
        <w:ind w:firstLine="720"/>
        <w:jc w:val="both"/>
        <w:rPr>
          <w:rFonts w:asciiTheme="majorHAnsi" w:hAnsiTheme="majorHAnsi"/>
          <w:b/>
          <w:sz w:val="20"/>
          <w:szCs w:val="20"/>
          <w:lang w:val="es-UY"/>
        </w:rPr>
      </w:pPr>
    </w:p>
    <w:p w14:paraId="4B2098C9" w14:textId="77777777" w:rsidR="00D94CC6" w:rsidRDefault="00D94CC6" w:rsidP="003239B8">
      <w:pPr>
        <w:spacing w:before="240" w:after="240"/>
        <w:ind w:firstLine="720"/>
        <w:jc w:val="both"/>
        <w:rPr>
          <w:rFonts w:asciiTheme="majorHAnsi" w:hAnsiTheme="majorHAnsi"/>
          <w:b/>
          <w:sz w:val="20"/>
          <w:szCs w:val="20"/>
          <w:lang w:val="es-UY"/>
        </w:rPr>
      </w:pPr>
    </w:p>
    <w:p w14:paraId="18E6423B" w14:textId="1ADDD427" w:rsidR="003239B8" w:rsidRPr="0094106A" w:rsidRDefault="00223A29" w:rsidP="0094106A">
      <w:pPr>
        <w:spacing w:after="240"/>
        <w:ind w:firstLine="720"/>
        <w:jc w:val="both"/>
        <w:rPr>
          <w:rFonts w:asciiTheme="majorHAnsi" w:hAnsiTheme="majorHAnsi"/>
          <w:b/>
          <w:sz w:val="20"/>
          <w:szCs w:val="20"/>
          <w:lang w:val="es-ES"/>
        </w:rPr>
      </w:pPr>
      <w:r w:rsidRPr="0094106A">
        <w:rPr>
          <w:rFonts w:asciiTheme="majorHAnsi" w:hAnsiTheme="majorHAnsi"/>
          <w:b/>
          <w:sz w:val="20"/>
          <w:szCs w:val="20"/>
          <w:lang w:val="es-ES"/>
        </w:rPr>
        <w:lastRenderedPageBreak/>
        <w:t xml:space="preserve">V. </w:t>
      </w:r>
      <w:r w:rsidRPr="0094106A">
        <w:rPr>
          <w:rFonts w:asciiTheme="majorHAnsi" w:hAnsiTheme="majorHAnsi"/>
          <w:b/>
          <w:sz w:val="20"/>
          <w:szCs w:val="20"/>
          <w:lang w:val="es-ES"/>
        </w:rPr>
        <w:tab/>
      </w:r>
      <w:r w:rsidR="00867314" w:rsidRPr="0094106A">
        <w:rPr>
          <w:rFonts w:asciiTheme="majorHAnsi" w:hAnsiTheme="majorHAnsi"/>
          <w:b/>
          <w:sz w:val="20"/>
          <w:szCs w:val="20"/>
          <w:lang w:val="es-ES"/>
        </w:rPr>
        <w:t>POSICIÓN DE LAS PARTES</w:t>
      </w:r>
    </w:p>
    <w:p w14:paraId="68B07DF0" w14:textId="187E5465" w:rsidR="00592BCE" w:rsidRPr="0094106A" w:rsidRDefault="00592BCE" w:rsidP="0094106A">
      <w:pPr>
        <w:spacing w:after="240"/>
        <w:ind w:firstLine="720"/>
        <w:jc w:val="both"/>
        <w:rPr>
          <w:rFonts w:asciiTheme="majorHAnsi" w:hAnsiTheme="majorHAnsi"/>
          <w:b/>
          <w:sz w:val="20"/>
          <w:szCs w:val="20"/>
          <w:lang w:val="es-ES"/>
        </w:rPr>
      </w:pPr>
      <w:r w:rsidRPr="0094106A">
        <w:rPr>
          <w:rFonts w:asciiTheme="majorHAnsi" w:hAnsiTheme="majorHAnsi"/>
          <w:b/>
          <w:sz w:val="20"/>
          <w:szCs w:val="20"/>
          <w:lang w:val="es-ES"/>
        </w:rPr>
        <w:t>El peticionario</w:t>
      </w:r>
    </w:p>
    <w:p w14:paraId="60833916" w14:textId="7D9F2C78" w:rsidR="00610C21" w:rsidRPr="0094106A" w:rsidRDefault="00610C21"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 xml:space="preserve">La parte peticionaria denuncia que las autoridades municipales obligaron a la señora Haase Pérez a renunciar a su cargo de concejala en Tarvita, tras ejercer acoso </w:t>
      </w:r>
      <w:r w:rsidR="0040605D" w:rsidRPr="0094106A">
        <w:rPr>
          <w:rFonts w:asciiTheme="majorHAnsi" w:hAnsiTheme="majorHAnsi"/>
          <w:sz w:val="20"/>
          <w:szCs w:val="20"/>
          <w:lang w:val="es-ES"/>
        </w:rPr>
        <w:t xml:space="preserve">laboral </w:t>
      </w:r>
      <w:r w:rsidRPr="0094106A">
        <w:rPr>
          <w:rFonts w:asciiTheme="majorHAnsi" w:hAnsiTheme="majorHAnsi"/>
          <w:sz w:val="20"/>
          <w:szCs w:val="20"/>
          <w:lang w:val="es-ES"/>
        </w:rPr>
        <w:t xml:space="preserve">y violencia política en su contra. Agrega </w:t>
      </w:r>
      <w:r w:rsidR="00E54646" w:rsidRPr="0094106A">
        <w:rPr>
          <w:rFonts w:asciiTheme="majorHAnsi" w:hAnsiTheme="majorHAnsi"/>
          <w:sz w:val="20"/>
          <w:szCs w:val="20"/>
          <w:lang w:val="es-ES"/>
        </w:rPr>
        <w:t>que,</w:t>
      </w:r>
      <w:r w:rsidRPr="0094106A">
        <w:rPr>
          <w:rFonts w:asciiTheme="majorHAnsi" w:hAnsiTheme="majorHAnsi"/>
          <w:sz w:val="20"/>
          <w:szCs w:val="20"/>
          <w:lang w:val="es-ES"/>
        </w:rPr>
        <w:t xml:space="preserve"> aunque la justicia constitucional dispuso su reincorporación, nunca se le pagaron los haberes dejados de percibir durante el tiempo que estuvo forzosamente fuera de su puesto.</w:t>
      </w:r>
    </w:p>
    <w:p w14:paraId="53EB0588" w14:textId="5C032EAB" w:rsidR="003648C2" w:rsidRPr="0094106A" w:rsidRDefault="003648C2" w:rsidP="009410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
        </w:rPr>
      </w:pPr>
      <w:r w:rsidRPr="0094106A">
        <w:rPr>
          <w:rFonts w:asciiTheme="majorHAnsi" w:hAnsiTheme="majorHAnsi"/>
          <w:i/>
          <w:iCs/>
          <w:sz w:val="20"/>
          <w:szCs w:val="20"/>
          <w:lang w:val="es-ES"/>
        </w:rPr>
        <w:t xml:space="preserve">Alegado acoso contra la presunta víctima y renuncia </w:t>
      </w:r>
      <w:r w:rsidR="00B77EA7" w:rsidRPr="0094106A">
        <w:rPr>
          <w:rFonts w:asciiTheme="majorHAnsi" w:hAnsiTheme="majorHAnsi"/>
          <w:i/>
          <w:iCs/>
          <w:sz w:val="20"/>
          <w:szCs w:val="20"/>
          <w:lang w:val="es-ES"/>
        </w:rPr>
        <w:t>forzada</w:t>
      </w:r>
      <w:r w:rsidR="00154031" w:rsidRPr="0094106A">
        <w:rPr>
          <w:rFonts w:asciiTheme="majorHAnsi" w:hAnsiTheme="majorHAnsi"/>
          <w:i/>
          <w:iCs/>
          <w:sz w:val="20"/>
          <w:szCs w:val="20"/>
          <w:lang w:val="es-ES"/>
        </w:rPr>
        <w:t xml:space="preserve"> </w:t>
      </w:r>
      <w:r w:rsidRPr="0094106A">
        <w:rPr>
          <w:rFonts w:asciiTheme="majorHAnsi" w:hAnsiTheme="majorHAnsi"/>
          <w:i/>
          <w:iCs/>
          <w:sz w:val="20"/>
          <w:szCs w:val="20"/>
          <w:lang w:val="es-ES"/>
        </w:rPr>
        <w:t>al cargo de concejala</w:t>
      </w:r>
    </w:p>
    <w:p w14:paraId="65F66C70" w14:textId="073CE263" w:rsidR="00B56A9F" w:rsidRPr="0094106A" w:rsidRDefault="00886334"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L</w:t>
      </w:r>
      <w:r w:rsidR="00FF4123" w:rsidRPr="0094106A">
        <w:rPr>
          <w:rFonts w:asciiTheme="majorHAnsi" w:hAnsiTheme="majorHAnsi"/>
          <w:sz w:val="20"/>
          <w:szCs w:val="20"/>
          <w:lang w:val="es-ES"/>
        </w:rPr>
        <w:t>uego de ganar las elecciones municipales el 30 de mayo de 2010</w:t>
      </w:r>
      <w:r w:rsidR="0013470D" w:rsidRPr="0094106A">
        <w:rPr>
          <w:rFonts w:asciiTheme="majorHAnsi" w:hAnsiTheme="majorHAnsi"/>
          <w:sz w:val="20"/>
          <w:szCs w:val="20"/>
          <w:lang w:val="es-ES"/>
        </w:rPr>
        <w:t>,</w:t>
      </w:r>
      <w:r w:rsidR="00FF4123" w:rsidRPr="0094106A">
        <w:rPr>
          <w:rFonts w:asciiTheme="majorHAnsi" w:hAnsiTheme="majorHAnsi"/>
          <w:sz w:val="20"/>
          <w:szCs w:val="20"/>
          <w:lang w:val="es-ES"/>
        </w:rPr>
        <w:t xml:space="preserve"> la </w:t>
      </w:r>
      <w:r w:rsidR="0013470D" w:rsidRPr="0094106A">
        <w:rPr>
          <w:rFonts w:asciiTheme="majorHAnsi" w:hAnsiTheme="majorHAnsi"/>
          <w:sz w:val="20"/>
          <w:szCs w:val="20"/>
          <w:lang w:val="es-ES"/>
        </w:rPr>
        <w:t xml:space="preserve">señora Haase Pérez </w:t>
      </w:r>
      <w:r w:rsidR="00FF4123" w:rsidRPr="0094106A">
        <w:rPr>
          <w:rFonts w:asciiTheme="majorHAnsi" w:hAnsiTheme="majorHAnsi"/>
          <w:sz w:val="20"/>
          <w:szCs w:val="20"/>
          <w:lang w:val="es-ES"/>
        </w:rPr>
        <w:t>asumió el cargo de concejala para el Gobierno Autónomo Municipal de Tarvita</w:t>
      </w:r>
      <w:r w:rsidR="009273B8">
        <w:rPr>
          <w:rFonts w:asciiTheme="majorHAnsi" w:hAnsiTheme="majorHAnsi"/>
          <w:sz w:val="20"/>
          <w:szCs w:val="20"/>
          <w:lang w:val="es-ES"/>
        </w:rPr>
        <w:t xml:space="preserve">, </w:t>
      </w:r>
      <w:r w:rsidR="009273B8" w:rsidRPr="009273B8">
        <w:rPr>
          <w:rFonts w:asciiTheme="majorHAnsi" w:hAnsiTheme="majorHAnsi"/>
          <w:sz w:val="20"/>
          <w:szCs w:val="20"/>
          <w:lang w:val="es-ES"/>
        </w:rPr>
        <w:t>provincia de Azurduy en el departamento de Chuquisaca</w:t>
      </w:r>
      <w:r w:rsidR="00FF4123" w:rsidRPr="0094106A">
        <w:rPr>
          <w:rFonts w:asciiTheme="majorHAnsi" w:hAnsiTheme="majorHAnsi"/>
          <w:sz w:val="20"/>
          <w:szCs w:val="20"/>
          <w:lang w:val="es-ES"/>
        </w:rPr>
        <w:t xml:space="preserve">. </w:t>
      </w:r>
      <w:r w:rsidR="0013470D" w:rsidRPr="0094106A">
        <w:rPr>
          <w:rFonts w:asciiTheme="majorHAnsi" w:hAnsiTheme="majorHAnsi"/>
          <w:sz w:val="20"/>
          <w:szCs w:val="20"/>
          <w:lang w:val="es-ES"/>
        </w:rPr>
        <w:t>E</w:t>
      </w:r>
      <w:r w:rsidR="00FF4123" w:rsidRPr="0094106A">
        <w:rPr>
          <w:rFonts w:asciiTheme="majorHAnsi" w:hAnsiTheme="majorHAnsi"/>
          <w:sz w:val="20"/>
          <w:szCs w:val="20"/>
          <w:lang w:val="es-ES"/>
        </w:rPr>
        <w:t xml:space="preserve">n el ejercicio de sus funciones, </w:t>
      </w:r>
      <w:r w:rsidR="00CD7868" w:rsidRPr="0094106A">
        <w:rPr>
          <w:rFonts w:asciiTheme="majorHAnsi" w:hAnsiTheme="majorHAnsi"/>
          <w:sz w:val="20"/>
          <w:szCs w:val="20"/>
          <w:lang w:val="es-ES"/>
        </w:rPr>
        <w:t>esta</w:t>
      </w:r>
      <w:r w:rsidR="00FF4123" w:rsidRPr="0094106A">
        <w:rPr>
          <w:rFonts w:asciiTheme="majorHAnsi" w:hAnsiTheme="majorHAnsi"/>
          <w:sz w:val="20"/>
          <w:szCs w:val="20"/>
          <w:lang w:val="es-ES"/>
        </w:rPr>
        <w:t xml:space="preserve"> fiscalizó y solicitó informes al alcalde, por encontrarse en desacuerdo con tres resoluciones del Consejo Municipal, las cuales consideró que mostraban indicios de prácticas de corrupción.</w:t>
      </w:r>
    </w:p>
    <w:p w14:paraId="6EF06721" w14:textId="0535A442" w:rsidR="00B56A9F" w:rsidRPr="0094106A" w:rsidRDefault="00D27BDE"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 xml:space="preserve">El peticionario señala que </w:t>
      </w:r>
      <w:r w:rsidR="00D128D2" w:rsidRPr="0094106A">
        <w:rPr>
          <w:rFonts w:asciiTheme="majorHAnsi" w:hAnsiTheme="majorHAnsi"/>
          <w:sz w:val="20"/>
          <w:szCs w:val="20"/>
          <w:lang w:val="es-ES"/>
        </w:rPr>
        <w:t>a modo de represalia, el 11 de mayo de 2011 el alcalde, junto con otros concejales y policías, organizó una manifestación</w:t>
      </w:r>
      <w:r w:rsidR="00EB4320" w:rsidRPr="0094106A">
        <w:rPr>
          <w:rFonts w:asciiTheme="majorHAnsi" w:hAnsiTheme="majorHAnsi"/>
          <w:sz w:val="20"/>
          <w:szCs w:val="20"/>
          <w:lang w:val="es-ES"/>
        </w:rPr>
        <w:t xml:space="preserve"> alrededor del establecimiento público donde se encontraba la presunta víctima</w:t>
      </w:r>
      <w:r w:rsidR="00FC7CB2" w:rsidRPr="0094106A">
        <w:rPr>
          <w:rFonts w:asciiTheme="majorHAnsi" w:hAnsiTheme="majorHAnsi"/>
          <w:sz w:val="20"/>
          <w:szCs w:val="20"/>
          <w:lang w:val="es-ES"/>
        </w:rPr>
        <w:t xml:space="preserve">, en la que participaron cerca de 200 personas, </w:t>
      </w:r>
      <w:r w:rsidR="00EB4320" w:rsidRPr="0094106A">
        <w:rPr>
          <w:rFonts w:asciiTheme="majorHAnsi" w:hAnsiTheme="majorHAnsi"/>
          <w:sz w:val="20"/>
          <w:szCs w:val="20"/>
          <w:lang w:val="es-ES"/>
        </w:rPr>
        <w:t>quienes,</w:t>
      </w:r>
      <w:r w:rsidR="00FC7CB2" w:rsidRPr="0094106A">
        <w:rPr>
          <w:rFonts w:asciiTheme="majorHAnsi" w:hAnsiTheme="majorHAnsi"/>
          <w:sz w:val="20"/>
          <w:szCs w:val="20"/>
          <w:lang w:val="es-ES"/>
        </w:rPr>
        <w:t xml:space="preserve"> </w:t>
      </w:r>
      <w:r w:rsidR="00D128D2" w:rsidRPr="0094106A">
        <w:rPr>
          <w:rFonts w:asciiTheme="majorHAnsi" w:hAnsiTheme="majorHAnsi"/>
          <w:sz w:val="20"/>
          <w:szCs w:val="20"/>
          <w:lang w:val="es-ES"/>
        </w:rPr>
        <w:t xml:space="preserve">con explosión de dinamitas y petardos, </w:t>
      </w:r>
      <w:r w:rsidR="00771DA5" w:rsidRPr="0094106A">
        <w:rPr>
          <w:rFonts w:asciiTheme="majorHAnsi" w:hAnsiTheme="majorHAnsi"/>
          <w:sz w:val="20"/>
          <w:szCs w:val="20"/>
          <w:lang w:val="es-ES"/>
        </w:rPr>
        <w:t>vociferaban que la presunta víctima</w:t>
      </w:r>
      <w:r w:rsidR="00D128D2" w:rsidRPr="0094106A">
        <w:rPr>
          <w:rFonts w:asciiTheme="majorHAnsi" w:hAnsiTheme="majorHAnsi"/>
          <w:sz w:val="20"/>
          <w:szCs w:val="20"/>
          <w:lang w:val="es-ES"/>
        </w:rPr>
        <w:t xml:space="preserve"> que renuncie a su cargo. Asimismo</w:t>
      </w:r>
      <w:r w:rsidR="00081691" w:rsidRPr="0094106A">
        <w:rPr>
          <w:rFonts w:asciiTheme="majorHAnsi" w:hAnsiTheme="majorHAnsi"/>
          <w:sz w:val="20"/>
          <w:szCs w:val="20"/>
          <w:lang w:val="es-ES"/>
        </w:rPr>
        <w:t>,</w:t>
      </w:r>
      <w:r w:rsidR="00D128D2" w:rsidRPr="0094106A">
        <w:rPr>
          <w:rFonts w:asciiTheme="majorHAnsi" w:hAnsiTheme="majorHAnsi"/>
          <w:sz w:val="20"/>
          <w:szCs w:val="20"/>
          <w:lang w:val="es-ES"/>
        </w:rPr>
        <w:t xml:space="preserve"> amenazaron con bloquear caminos e imputar las posibles muertes de las personas presentes a la señora Haase Pérez. </w:t>
      </w:r>
    </w:p>
    <w:p w14:paraId="00678549" w14:textId="77777777" w:rsidR="005D45F8" w:rsidRPr="0094106A" w:rsidRDefault="00D128D2"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 xml:space="preserve">Luego de que tal situación se prolongara por cerca de </w:t>
      </w:r>
      <w:r w:rsidR="00692E29" w:rsidRPr="0094106A">
        <w:rPr>
          <w:rFonts w:asciiTheme="majorHAnsi" w:hAnsiTheme="majorHAnsi"/>
          <w:sz w:val="20"/>
          <w:szCs w:val="20"/>
          <w:lang w:val="es-ES"/>
        </w:rPr>
        <w:t>12</w:t>
      </w:r>
      <w:r w:rsidRPr="0094106A">
        <w:rPr>
          <w:rFonts w:asciiTheme="majorHAnsi" w:hAnsiTheme="majorHAnsi"/>
          <w:sz w:val="20"/>
          <w:szCs w:val="20"/>
          <w:lang w:val="es-ES"/>
        </w:rPr>
        <w:t xml:space="preserve"> horas, ante la violencia verbal y las amenazas que estaba recibiendo, la presunta víctima se vio obligada a redactar su carta de renuncia. </w:t>
      </w:r>
      <w:r w:rsidR="002A0571" w:rsidRPr="0094106A">
        <w:rPr>
          <w:rFonts w:asciiTheme="majorHAnsi" w:hAnsiTheme="majorHAnsi"/>
          <w:sz w:val="20"/>
          <w:szCs w:val="20"/>
          <w:lang w:val="es-ES"/>
        </w:rPr>
        <w:t>A juicio del peticionario,</w:t>
      </w:r>
      <w:r w:rsidRPr="0094106A">
        <w:rPr>
          <w:rFonts w:asciiTheme="majorHAnsi" w:hAnsiTheme="majorHAnsi"/>
          <w:sz w:val="20"/>
          <w:szCs w:val="20"/>
          <w:lang w:val="es-ES"/>
        </w:rPr>
        <w:t xml:space="preserve"> durante todo ese tiempo la señora Haase Pérez estuvo privada de su libertad, pues no podía salir del lugar donde se encontraba por miedo a ser agredida, y recién al día siguiente, el 12 de mayo, </w:t>
      </w:r>
      <w:r w:rsidR="00893D59" w:rsidRPr="0094106A">
        <w:rPr>
          <w:rFonts w:asciiTheme="majorHAnsi" w:hAnsiTheme="majorHAnsi"/>
          <w:sz w:val="20"/>
          <w:szCs w:val="20"/>
          <w:lang w:val="es-ES"/>
        </w:rPr>
        <w:t xml:space="preserve">esta </w:t>
      </w:r>
      <w:r w:rsidRPr="0094106A">
        <w:rPr>
          <w:rFonts w:asciiTheme="majorHAnsi" w:hAnsiTheme="majorHAnsi"/>
          <w:sz w:val="20"/>
          <w:szCs w:val="20"/>
          <w:lang w:val="es-ES"/>
        </w:rPr>
        <w:t xml:space="preserve">pudo movilizarse escoltada a las oficinas del Concejo Municipal para </w:t>
      </w:r>
      <w:r w:rsidR="00F54084" w:rsidRPr="0094106A">
        <w:rPr>
          <w:rFonts w:asciiTheme="majorHAnsi" w:hAnsiTheme="majorHAnsi"/>
          <w:sz w:val="20"/>
          <w:szCs w:val="20"/>
          <w:lang w:val="es-ES"/>
        </w:rPr>
        <w:t>formalizar</w:t>
      </w:r>
      <w:r w:rsidRPr="0094106A">
        <w:rPr>
          <w:rFonts w:asciiTheme="majorHAnsi" w:hAnsiTheme="majorHAnsi"/>
          <w:sz w:val="20"/>
          <w:szCs w:val="20"/>
          <w:lang w:val="es-ES"/>
        </w:rPr>
        <w:t xml:space="preserve"> su renuncia al cargo.</w:t>
      </w:r>
      <w:r w:rsidR="00DD05F4" w:rsidRPr="0094106A">
        <w:rPr>
          <w:rFonts w:asciiTheme="majorHAnsi" w:hAnsiTheme="majorHAnsi"/>
          <w:sz w:val="20"/>
          <w:szCs w:val="20"/>
          <w:lang w:val="es-ES"/>
        </w:rPr>
        <w:t xml:space="preserve"> Ese mismo día,</w:t>
      </w:r>
      <w:r w:rsidR="009835C9" w:rsidRPr="0094106A">
        <w:rPr>
          <w:rFonts w:asciiTheme="majorHAnsi" w:hAnsiTheme="majorHAnsi"/>
          <w:sz w:val="20"/>
          <w:szCs w:val="20"/>
          <w:lang w:val="es-ES"/>
        </w:rPr>
        <w:t xml:space="preserve"> el Consejo Municipal de Tarvita, mediante la resolución Nº 57/2011, aceptó </w:t>
      </w:r>
      <w:r w:rsidR="005D45F8" w:rsidRPr="0094106A">
        <w:rPr>
          <w:rFonts w:asciiTheme="majorHAnsi" w:hAnsiTheme="majorHAnsi"/>
          <w:sz w:val="20"/>
          <w:szCs w:val="20"/>
          <w:lang w:val="es-ES"/>
        </w:rPr>
        <w:t>la</w:t>
      </w:r>
      <w:r w:rsidR="009835C9" w:rsidRPr="0094106A">
        <w:rPr>
          <w:rFonts w:asciiTheme="majorHAnsi" w:hAnsiTheme="majorHAnsi"/>
          <w:sz w:val="20"/>
          <w:szCs w:val="20"/>
          <w:lang w:val="es-ES"/>
        </w:rPr>
        <w:t xml:space="preserve"> </w:t>
      </w:r>
      <w:r w:rsidR="005D45F8" w:rsidRPr="0094106A">
        <w:rPr>
          <w:rFonts w:asciiTheme="majorHAnsi" w:hAnsiTheme="majorHAnsi"/>
          <w:sz w:val="20"/>
          <w:szCs w:val="20"/>
          <w:lang w:val="es-ES"/>
        </w:rPr>
        <w:t>dimisión</w:t>
      </w:r>
      <w:r w:rsidR="009835C9" w:rsidRPr="0094106A">
        <w:rPr>
          <w:rFonts w:asciiTheme="majorHAnsi" w:hAnsiTheme="majorHAnsi"/>
          <w:sz w:val="20"/>
          <w:szCs w:val="20"/>
          <w:lang w:val="es-ES"/>
        </w:rPr>
        <w:t xml:space="preserve">. </w:t>
      </w:r>
    </w:p>
    <w:p w14:paraId="2988E053" w14:textId="58AD0A08" w:rsidR="009835C9" w:rsidRPr="0094106A" w:rsidRDefault="005D45F8"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 xml:space="preserve">El peticionario </w:t>
      </w:r>
      <w:r w:rsidR="002C0F8D" w:rsidRPr="0094106A">
        <w:rPr>
          <w:rFonts w:asciiTheme="majorHAnsi" w:hAnsiTheme="majorHAnsi"/>
          <w:sz w:val="20"/>
          <w:szCs w:val="20"/>
          <w:lang w:val="es-ES"/>
        </w:rPr>
        <w:t>informa</w:t>
      </w:r>
      <w:r w:rsidR="009835C9" w:rsidRPr="0094106A">
        <w:rPr>
          <w:rFonts w:asciiTheme="majorHAnsi" w:hAnsiTheme="majorHAnsi"/>
          <w:sz w:val="20"/>
          <w:szCs w:val="20"/>
          <w:lang w:val="es-ES"/>
        </w:rPr>
        <w:t xml:space="preserve"> que aunque el 22 de mayo de 2011 la señora Haase Pérez presentó un recurso de reconsideración contra esta decisión, el 7 de junio de 2011 el presidente y el secretario del Concejo Municipal, a través de la resolución Nº 34/2011, rechazaron </w:t>
      </w:r>
      <w:r w:rsidR="002C0F8D" w:rsidRPr="0094106A">
        <w:rPr>
          <w:rFonts w:asciiTheme="majorHAnsi" w:hAnsiTheme="majorHAnsi"/>
          <w:sz w:val="20"/>
          <w:szCs w:val="20"/>
          <w:lang w:val="es-ES"/>
        </w:rPr>
        <w:t>el</w:t>
      </w:r>
      <w:r w:rsidR="009835C9" w:rsidRPr="0094106A">
        <w:rPr>
          <w:rFonts w:asciiTheme="majorHAnsi" w:hAnsiTheme="majorHAnsi"/>
          <w:sz w:val="20"/>
          <w:szCs w:val="20"/>
          <w:lang w:val="es-ES"/>
        </w:rPr>
        <w:t xml:space="preserve"> pedido sin consultar con el pleno </w:t>
      </w:r>
      <w:r w:rsidR="008F4BF1" w:rsidRPr="0094106A">
        <w:rPr>
          <w:rFonts w:asciiTheme="majorHAnsi" w:hAnsiTheme="majorHAnsi"/>
          <w:sz w:val="20"/>
          <w:szCs w:val="20"/>
          <w:lang w:val="es-ES"/>
        </w:rPr>
        <w:t>de ese cuerpo</w:t>
      </w:r>
      <w:r w:rsidR="009835C9" w:rsidRPr="0094106A">
        <w:rPr>
          <w:rFonts w:asciiTheme="majorHAnsi" w:hAnsiTheme="majorHAnsi"/>
          <w:sz w:val="20"/>
          <w:szCs w:val="20"/>
          <w:lang w:val="es-ES"/>
        </w:rPr>
        <w:t>.</w:t>
      </w:r>
    </w:p>
    <w:p w14:paraId="7E4B36ED" w14:textId="29722F71" w:rsidR="003648C2" w:rsidRPr="0094106A" w:rsidRDefault="003648C2" w:rsidP="009410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
        </w:rPr>
      </w:pPr>
      <w:r w:rsidRPr="0094106A">
        <w:rPr>
          <w:rFonts w:asciiTheme="majorHAnsi" w:hAnsiTheme="majorHAnsi"/>
          <w:i/>
          <w:iCs/>
          <w:sz w:val="20"/>
          <w:szCs w:val="20"/>
          <w:lang w:val="es-ES"/>
        </w:rPr>
        <w:t xml:space="preserve">Procesos de amparo y restitución de la presunta víctima a su cargo </w:t>
      </w:r>
    </w:p>
    <w:p w14:paraId="64AA01B7" w14:textId="4FF32EE1" w:rsidR="0021652A" w:rsidRPr="0094106A" w:rsidRDefault="00515BCB"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 xml:space="preserve">Frente a esta </w:t>
      </w:r>
      <w:r w:rsidR="00805BC1" w:rsidRPr="0094106A">
        <w:rPr>
          <w:rFonts w:asciiTheme="majorHAnsi" w:hAnsiTheme="majorHAnsi"/>
          <w:sz w:val="20"/>
          <w:szCs w:val="20"/>
          <w:lang w:val="es-ES"/>
        </w:rPr>
        <w:t>desvinculación</w:t>
      </w:r>
      <w:r w:rsidRPr="0094106A">
        <w:rPr>
          <w:rFonts w:asciiTheme="majorHAnsi" w:hAnsiTheme="majorHAnsi"/>
          <w:sz w:val="20"/>
          <w:szCs w:val="20"/>
          <w:lang w:val="es-ES"/>
        </w:rPr>
        <w:t xml:space="preserve"> forzada,</w:t>
      </w:r>
      <w:r w:rsidR="00A11539" w:rsidRPr="0094106A">
        <w:rPr>
          <w:rFonts w:asciiTheme="majorHAnsi" w:hAnsiTheme="majorHAnsi"/>
          <w:sz w:val="20"/>
          <w:szCs w:val="20"/>
          <w:lang w:val="es-ES"/>
        </w:rPr>
        <w:t xml:space="preserve"> la señora Haase Pérez interpuso una acción de amparo, solicitando la nulidad de su renuncia y de las resoluciones Nº 57/2011 y 34/2011. Como resultado, el 7 de junio de 2013, el Tribunal Constitucional Plurinacional, mediante la sentencia 0460/2013, declaró fundado el reclamo y ordenó al Consejo Municipal de Tarvita emitir una nueva resolución debidamente motivada en respuesta al recurso de reconsideración planteado por la accionante.</w:t>
      </w:r>
    </w:p>
    <w:p w14:paraId="460E7AB1" w14:textId="534799DB" w:rsidR="0021652A" w:rsidRPr="0094106A" w:rsidRDefault="0021652A"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 xml:space="preserve">Sin embargo, el 14 de noviembre de 2013 el Consejo Municipal de Tarvita, mediante la resolución 353/2013, solo ratificó su decisión, sin brindar una debida motivación. En consecuencia, el 28 de marzo de 2014, la señora Haase Pérez presentó una segunda acción de amparo, solicitando la nulidad de su despido, su inmediata restitución y el pago de sus haberes, costas, daños y perjuicios. </w:t>
      </w:r>
      <w:r w:rsidR="00881CA2" w:rsidRPr="0094106A">
        <w:rPr>
          <w:rFonts w:asciiTheme="majorHAnsi" w:hAnsiTheme="majorHAnsi"/>
          <w:sz w:val="20"/>
          <w:szCs w:val="20"/>
          <w:lang w:val="es-ES"/>
        </w:rPr>
        <w:t>Así, e</w:t>
      </w:r>
      <w:r w:rsidRPr="0094106A">
        <w:rPr>
          <w:rFonts w:asciiTheme="majorHAnsi" w:hAnsiTheme="majorHAnsi"/>
          <w:sz w:val="20"/>
          <w:szCs w:val="20"/>
          <w:lang w:val="es-ES"/>
        </w:rPr>
        <w:t xml:space="preserve">l 20 de noviembre de 2014 el Tribunal Constitucional Plurinacional volvió a tutelar los derechos de la presunta víctima y ordenó dejar sin efecto las resoluciones que aceptaban su renuncia, así como su restitución como concejala del Municipio de Tarvita, pero sin derecho a percibir el pago de sus haberes mensuales durante el tiempo no trabajado. En virtud de esta decisión, </w:t>
      </w:r>
      <w:r w:rsidR="004A43FE" w:rsidRPr="0094106A">
        <w:rPr>
          <w:rFonts w:asciiTheme="majorHAnsi" w:hAnsiTheme="majorHAnsi"/>
          <w:sz w:val="20"/>
          <w:szCs w:val="20"/>
          <w:lang w:val="es-ES"/>
        </w:rPr>
        <w:t>indica el peticionario,</w:t>
      </w:r>
      <w:r w:rsidRPr="0094106A">
        <w:rPr>
          <w:rFonts w:asciiTheme="majorHAnsi" w:hAnsiTheme="majorHAnsi"/>
          <w:sz w:val="20"/>
          <w:szCs w:val="20"/>
          <w:lang w:val="es-ES"/>
        </w:rPr>
        <w:t xml:space="preserve"> la señora Haase Pérez logró reincorporarse a sus funciones como concejala</w:t>
      </w:r>
      <w:r w:rsidR="00024F59" w:rsidRPr="0094106A">
        <w:rPr>
          <w:rFonts w:asciiTheme="majorHAnsi" w:hAnsiTheme="majorHAnsi"/>
          <w:sz w:val="20"/>
          <w:szCs w:val="20"/>
          <w:lang w:val="es-ES"/>
        </w:rPr>
        <w:t xml:space="preserve">, luego de estar fuera del cargo por casi tres años. </w:t>
      </w:r>
    </w:p>
    <w:p w14:paraId="62BD145E" w14:textId="77777777" w:rsidR="00C82154" w:rsidRPr="0094106A" w:rsidRDefault="00C82154" w:rsidP="009410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
        </w:rPr>
      </w:pPr>
    </w:p>
    <w:p w14:paraId="7EA57775" w14:textId="77777777" w:rsidR="00C82154" w:rsidRPr="0094106A" w:rsidRDefault="00C82154" w:rsidP="009410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
        </w:rPr>
      </w:pPr>
    </w:p>
    <w:p w14:paraId="7B8C36DD" w14:textId="0AC33A6F" w:rsidR="003648C2" w:rsidRPr="0094106A" w:rsidRDefault="003648C2" w:rsidP="009410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
        </w:rPr>
      </w:pPr>
      <w:r w:rsidRPr="0094106A">
        <w:rPr>
          <w:rFonts w:asciiTheme="majorHAnsi" w:hAnsiTheme="majorHAnsi"/>
          <w:i/>
          <w:iCs/>
          <w:sz w:val="20"/>
          <w:szCs w:val="20"/>
          <w:lang w:val="es-ES"/>
        </w:rPr>
        <w:t>Proceso laboral</w:t>
      </w:r>
    </w:p>
    <w:p w14:paraId="01816758" w14:textId="014C96C6" w:rsidR="00B2347D" w:rsidRPr="0094106A" w:rsidRDefault="00A14D0A"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En vista de</w:t>
      </w:r>
      <w:r w:rsidR="00740594" w:rsidRPr="0094106A">
        <w:rPr>
          <w:rFonts w:asciiTheme="majorHAnsi" w:hAnsiTheme="majorHAnsi"/>
          <w:sz w:val="20"/>
          <w:szCs w:val="20"/>
          <w:lang w:val="es-ES"/>
        </w:rPr>
        <w:t xml:space="preserve"> que las autoridades no restituyeron sus derechos laborales ni pagaron sus haberes devengados, </w:t>
      </w:r>
      <w:r w:rsidR="00223720" w:rsidRPr="0094106A">
        <w:rPr>
          <w:rFonts w:asciiTheme="majorHAnsi" w:hAnsiTheme="majorHAnsi"/>
          <w:sz w:val="20"/>
          <w:szCs w:val="20"/>
          <w:lang w:val="es-ES"/>
        </w:rPr>
        <w:t xml:space="preserve">el 30 de agosto de 2016 </w:t>
      </w:r>
      <w:r w:rsidR="004306B2" w:rsidRPr="0094106A">
        <w:rPr>
          <w:rFonts w:asciiTheme="majorHAnsi" w:hAnsiTheme="majorHAnsi"/>
          <w:sz w:val="20"/>
          <w:szCs w:val="20"/>
          <w:lang w:val="es-ES"/>
        </w:rPr>
        <w:t>la señora</w:t>
      </w:r>
      <w:r w:rsidR="00223720" w:rsidRPr="0094106A">
        <w:rPr>
          <w:rFonts w:asciiTheme="majorHAnsi" w:hAnsiTheme="majorHAnsi"/>
          <w:sz w:val="20"/>
          <w:szCs w:val="20"/>
          <w:lang w:val="es-ES"/>
        </w:rPr>
        <w:t xml:space="preserve"> Haase Pérez </w:t>
      </w:r>
      <w:r w:rsidR="00740594" w:rsidRPr="0094106A">
        <w:rPr>
          <w:rFonts w:asciiTheme="majorHAnsi" w:hAnsiTheme="majorHAnsi"/>
          <w:sz w:val="20"/>
          <w:szCs w:val="20"/>
          <w:lang w:val="es-ES"/>
        </w:rPr>
        <w:t xml:space="preserve">interpuso una demanda en la vía laboral. El 23 de marzo de 2017, el Juzgado del Trabajo y Seguridad Social de Sucre declaró fundada la acción y ordenó el pago de los salarios y aguinaldos desde el 2011 hasta el 2014. No obstante, ante la apelación presentada por la representación del gobierno autónomo municipal de Tarvita, el 15 de noviembre de 2017 el tribunal de segunda instancia revocó </w:t>
      </w:r>
      <w:r w:rsidR="000E417D" w:rsidRPr="0094106A">
        <w:rPr>
          <w:rFonts w:asciiTheme="majorHAnsi" w:hAnsiTheme="majorHAnsi"/>
          <w:sz w:val="20"/>
          <w:szCs w:val="20"/>
          <w:lang w:val="es-ES"/>
        </w:rPr>
        <w:t>la primera decisión</w:t>
      </w:r>
      <w:r w:rsidR="00740594" w:rsidRPr="0094106A">
        <w:rPr>
          <w:rFonts w:asciiTheme="majorHAnsi" w:hAnsiTheme="majorHAnsi"/>
          <w:sz w:val="20"/>
          <w:szCs w:val="20"/>
          <w:lang w:val="es-ES"/>
        </w:rPr>
        <w:t xml:space="preserve"> y declaró infundado el reclamo, considerando que ya había sido resuelto por la sentencia del Tribunal Constitucional Plurinacional. La presunta víctima cuestionó </w:t>
      </w:r>
      <w:r w:rsidR="00EA3E79" w:rsidRPr="0094106A">
        <w:rPr>
          <w:rFonts w:asciiTheme="majorHAnsi" w:hAnsiTheme="majorHAnsi"/>
          <w:sz w:val="20"/>
          <w:szCs w:val="20"/>
          <w:lang w:val="es-ES"/>
        </w:rPr>
        <w:t>este fallo</w:t>
      </w:r>
      <w:r w:rsidR="00740594" w:rsidRPr="0094106A">
        <w:rPr>
          <w:rFonts w:asciiTheme="majorHAnsi" w:hAnsiTheme="majorHAnsi"/>
          <w:sz w:val="20"/>
          <w:szCs w:val="20"/>
          <w:lang w:val="es-ES"/>
        </w:rPr>
        <w:t xml:space="preserve"> mediante un recurso de casación, argumentando que la referida sentencia constitucional no le impedía reclamar el pago de sus haberes en la vía pertinente. Sin embargo, el 19 de marzo de 2019 el Tribunal Supremo de Justicia lo declaró infundado.</w:t>
      </w:r>
    </w:p>
    <w:p w14:paraId="5B21657E" w14:textId="67BF06B3" w:rsidR="00B2347D" w:rsidRPr="0094106A" w:rsidRDefault="00B2347D" w:rsidP="0094106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sidRPr="0094106A">
        <w:rPr>
          <w:rFonts w:asciiTheme="majorHAnsi" w:hAnsiTheme="majorHAnsi"/>
          <w:i/>
          <w:iCs/>
          <w:sz w:val="20"/>
          <w:szCs w:val="20"/>
          <w:lang w:val="es-ES"/>
        </w:rPr>
        <w:t>Proceso penal</w:t>
      </w:r>
    </w:p>
    <w:p w14:paraId="5C8E14BB" w14:textId="77777777" w:rsidR="00842787" w:rsidRPr="0094106A" w:rsidRDefault="00B2347D"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 xml:space="preserve">Finalmente, </w:t>
      </w:r>
      <w:r w:rsidR="006E40B2" w:rsidRPr="0094106A">
        <w:rPr>
          <w:rFonts w:asciiTheme="majorHAnsi" w:hAnsiTheme="majorHAnsi"/>
          <w:sz w:val="20"/>
          <w:szCs w:val="20"/>
          <w:lang w:val="es-ES"/>
        </w:rPr>
        <w:t>el peticionario narra</w:t>
      </w:r>
      <w:r w:rsidRPr="0094106A">
        <w:rPr>
          <w:rFonts w:asciiTheme="majorHAnsi" w:hAnsiTheme="majorHAnsi"/>
          <w:sz w:val="20"/>
          <w:szCs w:val="20"/>
          <w:lang w:val="es-ES"/>
        </w:rPr>
        <w:t xml:space="preserve"> que la señora Haase Pérez también presentó una denuncia por los acontecimientos ocurridos el 11 y 12 de mayo. En respuesta, el 26 de octubre de 2012 el fiscal a cargo del caso emitió una imputación formal contra seis </w:t>
      </w:r>
      <w:r w:rsidR="00900C24" w:rsidRPr="0094106A">
        <w:rPr>
          <w:rFonts w:asciiTheme="majorHAnsi" w:hAnsiTheme="majorHAnsi"/>
          <w:sz w:val="20"/>
          <w:szCs w:val="20"/>
          <w:lang w:val="es-ES"/>
        </w:rPr>
        <w:t xml:space="preserve">autoridades y funcionarios municipales </w:t>
      </w:r>
      <w:r w:rsidRPr="0094106A">
        <w:rPr>
          <w:rFonts w:asciiTheme="majorHAnsi" w:hAnsiTheme="majorHAnsi"/>
          <w:sz w:val="20"/>
          <w:szCs w:val="20"/>
          <w:lang w:val="es-ES"/>
        </w:rPr>
        <w:t xml:space="preserve">por la presunta comisión de los delitos de coacción, privación de libertad y acoso político. </w:t>
      </w:r>
    </w:p>
    <w:p w14:paraId="07D0C4B3" w14:textId="2A4A1745" w:rsidR="00842787" w:rsidRPr="0094106A" w:rsidRDefault="00B2347D"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 xml:space="preserve">No obstante, el 3 de enero de 2014 dicha autoridad decidió sobreseer el caso en favor de los imputados, argumentando que </w:t>
      </w:r>
      <w:r w:rsidR="00842787" w:rsidRPr="0094106A">
        <w:rPr>
          <w:rFonts w:asciiTheme="majorHAnsi" w:hAnsiTheme="majorHAnsi"/>
          <w:sz w:val="20"/>
          <w:szCs w:val="20"/>
          <w:lang w:val="es-ES"/>
        </w:rPr>
        <w:t>no se evidenciaba “</w:t>
      </w:r>
      <w:r w:rsidR="00842787" w:rsidRPr="0094106A">
        <w:rPr>
          <w:rFonts w:asciiTheme="majorHAnsi" w:hAnsiTheme="majorHAnsi"/>
          <w:i/>
          <w:iCs/>
          <w:sz w:val="20"/>
          <w:szCs w:val="20"/>
          <w:lang w:val="es-ES"/>
        </w:rPr>
        <w:t>la presión intensa y agresiones verbales y psicológicas contra la señora Magda Haase y tampoco la presión para que realice y firme su renuncia contra su voluntad, pero sí se evidencia la solicitud que se realiza a la Concejal Magda Haase, para que renuncie a su cargo</w:t>
      </w:r>
      <w:r w:rsidR="00842787" w:rsidRPr="0094106A">
        <w:rPr>
          <w:rFonts w:asciiTheme="majorHAnsi" w:hAnsiTheme="majorHAnsi"/>
          <w:sz w:val="20"/>
          <w:szCs w:val="20"/>
          <w:lang w:val="es-ES"/>
        </w:rPr>
        <w:t>”.</w:t>
      </w:r>
    </w:p>
    <w:p w14:paraId="093FBFBD" w14:textId="200BC2A4" w:rsidR="000B2767" w:rsidRPr="0094106A" w:rsidRDefault="00842787"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Informa que la</w:t>
      </w:r>
      <w:r w:rsidR="00B2347D" w:rsidRPr="0094106A">
        <w:rPr>
          <w:rFonts w:asciiTheme="majorHAnsi" w:hAnsiTheme="majorHAnsi"/>
          <w:sz w:val="20"/>
          <w:szCs w:val="20"/>
          <w:lang w:val="es-ES"/>
        </w:rPr>
        <w:t xml:space="preserve"> señora Haase Pérez presentó un recurso de revocatoria contra esta determinación, </w:t>
      </w:r>
      <w:r w:rsidRPr="0094106A">
        <w:rPr>
          <w:rFonts w:asciiTheme="majorHAnsi" w:hAnsiTheme="majorHAnsi"/>
          <w:sz w:val="20"/>
          <w:szCs w:val="20"/>
          <w:lang w:val="es-ES"/>
        </w:rPr>
        <w:t>alegando que solo se había hecho un análisis imparcial y superficial de la situación denunciada, pues la fiscalía nunca valoró el hecho que estuvo trece horas privada de su libertad por una turba enardecida</w:t>
      </w:r>
      <w:r w:rsidR="00343BF5" w:rsidRPr="0094106A">
        <w:rPr>
          <w:rFonts w:asciiTheme="majorHAnsi" w:hAnsiTheme="majorHAnsi"/>
          <w:sz w:val="20"/>
          <w:szCs w:val="20"/>
          <w:lang w:val="es-ES"/>
        </w:rPr>
        <w:t xml:space="preserve">, ni tampoco examinó correctamente las pruebas que acreditaban la responsabilidad de los funcionarios municipales. A pesar de </w:t>
      </w:r>
      <w:r w:rsidR="00F1046C" w:rsidRPr="0094106A">
        <w:rPr>
          <w:rFonts w:asciiTheme="majorHAnsi" w:hAnsiTheme="majorHAnsi"/>
          <w:sz w:val="20"/>
          <w:szCs w:val="20"/>
          <w:lang w:val="es-ES"/>
        </w:rPr>
        <w:t>ello, el</w:t>
      </w:r>
      <w:r w:rsidR="00B2347D" w:rsidRPr="0094106A">
        <w:rPr>
          <w:rFonts w:asciiTheme="majorHAnsi" w:hAnsiTheme="majorHAnsi"/>
          <w:sz w:val="20"/>
          <w:szCs w:val="20"/>
          <w:lang w:val="es-ES"/>
        </w:rPr>
        <w:t xml:space="preserve"> 11 de abril de 2014, la Fiscalía Departamental de Chuquisaca ratificó la decisión impugnada</w:t>
      </w:r>
      <w:r w:rsidR="00856B28" w:rsidRPr="0094106A">
        <w:rPr>
          <w:rFonts w:asciiTheme="majorHAnsi" w:hAnsiTheme="majorHAnsi"/>
          <w:sz w:val="20"/>
          <w:szCs w:val="20"/>
          <w:lang w:val="es-ES"/>
        </w:rPr>
        <w:t>, indicando lo siguiente:</w:t>
      </w:r>
    </w:p>
    <w:p w14:paraId="5F47280A" w14:textId="2334B00D" w:rsidR="00856B28" w:rsidRPr="0094106A" w:rsidRDefault="006545DA" w:rsidP="009410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ES"/>
        </w:rPr>
      </w:pPr>
      <w:r w:rsidRPr="0094106A">
        <w:rPr>
          <w:rFonts w:asciiTheme="majorHAnsi" w:hAnsiTheme="majorHAnsi"/>
          <w:color w:val="000000" w:themeColor="text1"/>
          <w:sz w:val="20"/>
          <w:szCs w:val="20"/>
          <w:lang w:val="es-ES"/>
        </w:rPr>
        <w:t>[...]</w:t>
      </w:r>
      <w:r w:rsidRPr="0094106A">
        <w:rPr>
          <w:rFonts w:asciiTheme="majorHAnsi" w:hAnsiTheme="majorHAnsi"/>
          <w:sz w:val="20"/>
          <w:szCs w:val="20"/>
          <w:lang w:val="es-ES"/>
        </w:rPr>
        <w:t xml:space="preserve"> </w:t>
      </w:r>
      <w:r w:rsidR="00E51B91" w:rsidRPr="0094106A">
        <w:rPr>
          <w:rFonts w:asciiTheme="majorHAnsi" w:hAnsiTheme="majorHAnsi"/>
          <w:sz w:val="20"/>
          <w:szCs w:val="20"/>
          <w:lang w:val="es-ES"/>
        </w:rPr>
        <w:t xml:space="preserve">si bien la querellante señala que en el cabildo se encontraban más de 200 personas, las cuáles habrían presionado para que renuncie al cargo de concejal, sin embargo no se tiene establecido y aclarado objetivamente sobre la participación de cada uno de imputados (sic) </w:t>
      </w:r>
      <w:r w:rsidR="00E51B91" w:rsidRPr="0094106A">
        <w:rPr>
          <w:rFonts w:asciiTheme="majorHAnsi" w:hAnsiTheme="majorHAnsi"/>
          <w:color w:val="000000" w:themeColor="text1"/>
          <w:sz w:val="20"/>
          <w:szCs w:val="20"/>
          <w:lang w:val="es-ES"/>
        </w:rPr>
        <w:t>[...]</w:t>
      </w:r>
      <w:r w:rsidR="0056032A" w:rsidRPr="0094106A">
        <w:rPr>
          <w:rFonts w:asciiTheme="majorHAnsi" w:hAnsiTheme="majorHAnsi"/>
          <w:sz w:val="20"/>
          <w:szCs w:val="20"/>
          <w:lang w:val="es-ES"/>
        </w:rPr>
        <w:t>, llegándose a determinar que la investigación no a aportados (sic) suficientes elementos que den fe sobre el modo de participación de cada uno de los imputados en los hechos querellados, máxime cuando dela (sic) documental cursante en el cuaderno de investigaciones así como por versión de la propia querellante se tien</w:t>
      </w:r>
      <w:r w:rsidR="009D4C5B" w:rsidRPr="0094106A">
        <w:rPr>
          <w:rFonts w:asciiTheme="majorHAnsi" w:hAnsiTheme="majorHAnsi"/>
          <w:sz w:val="20"/>
          <w:szCs w:val="20"/>
          <w:lang w:val="es-ES"/>
        </w:rPr>
        <w:t>e que el cabildo referido se tenía la participación de más de dos centenares de individuos, correspondiendo en consecuencia aplicar el principio indubio pro reo, toda vez que no se tiene acreditado objetivamente la participación de cada uno de los imputados en los hechos denunciados de Acoso Política, Privación de Libertad y Coacción, así c</w:t>
      </w:r>
      <w:r w:rsidR="00036D43" w:rsidRPr="0094106A">
        <w:rPr>
          <w:rFonts w:asciiTheme="majorHAnsi" w:hAnsiTheme="majorHAnsi"/>
          <w:sz w:val="20"/>
          <w:szCs w:val="20"/>
          <w:lang w:val="es-ES"/>
        </w:rPr>
        <w:t xml:space="preserve">omo de cada uno de los elementos componentes de los tipos penales aludidos. </w:t>
      </w:r>
    </w:p>
    <w:p w14:paraId="643DB1C4" w14:textId="29AD9628" w:rsidR="000B2767" w:rsidRPr="0094106A" w:rsidRDefault="000B2767" w:rsidP="0094106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sidRPr="0094106A">
        <w:rPr>
          <w:rFonts w:asciiTheme="majorHAnsi" w:hAnsiTheme="majorHAnsi"/>
          <w:i/>
          <w:iCs/>
          <w:sz w:val="20"/>
          <w:szCs w:val="20"/>
          <w:lang w:val="es-ES"/>
        </w:rPr>
        <w:t>Consideraciones finales</w:t>
      </w:r>
    </w:p>
    <w:p w14:paraId="1A9FC001" w14:textId="270087D5" w:rsidR="00F4396B" w:rsidRPr="0094106A" w:rsidRDefault="000B2767"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Con base en las citadas consideraciones de hecho, la parte peticionaria denuncia que la señora Haase Pérez sufrió la vulneración de sus derechos laborales</w:t>
      </w:r>
      <w:r w:rsidR="00EA6361" w:rsidRPr="0094106A">
        <w:rPr>
          <w:rFonts w:asciiTheme="majorHAnsi" w:hAnsiTheme="majorHAnsi"/>
          <w:sz w:val="20"/>
          <w:szCs w:val="20"/>
          <w:lang w:val="es-ES"/>
        </w:rPr>
        <w:t>,</w:t>
      </w:r>
      <w:r w:rsidRPr="0094106A">
        <w:rPr>
          <w:rFonts w:asciiTheme="majorHAnsi" w:hAnsiTheme="majorHAnsi"/>
          <w:sz w:val="20"/>
          <w:szCs w:val="20"/>
          <w:lang w:val="es-ES"/>
        </w:rPr>
        <w:t xml:space="preserve"> acoso y violencia política durante años por parte de sus rivales políticos. Considera que estos actos constituyeron un trato discriminatorio </w:t>
      </w:r>
      <w:r w:rsidR="00EA6361" w:rsidRPr="0094106A">
        <w:rPr>
          <w:rFonts w:asciiTheme="majorHAnsi" w:hAnsiTheme="majorHAnsi"/>
          <w:sz w:val="20"/>
          <w:szCs w:val="20"/>
          <w:lang w:val="es-ES"/>
        </w:rPr>
        <w:t>e incluso</w:t>
      </w:r>
      <w:r w:rsidRPr="0094106A">
        <w:rPr>
          <w:rFonts w:asciiTheme="majorHAnsi" w:hAnsiTheme="majorHAnsi"/>
          <w:sz w:val="20"/>
          <w:szCs w:val="20"/>
          <w:lang w:val="es-ES"/>
        </w:rPr>
        <w:t xml:space="preserve"> violencia de género debido a su condición de mujer.</w:t>
      </w:r>
      <w:r w:rsidR="009D11DE" w:rsidRPr="0094106A">
        <w:rPr>
          <w:rFonts w:asciiTheme="majorHAnsi" w:hAnsiTheme="majorHAnsi"/>
          <w:sz w:val="20"/>
          <w:szCs w:val="20"/>
          <w:lang w:val="es-ES"/>
        </w:rPr>
        <w:t xml:space="preserve"> A pesar de ello, sostiene que la Fiscalía sobreseyó </w:t>
      </w:r>
      <w:r w:rsidR="00C16BAD" w:rsidRPr="0094106A">
        <w:rPr>
          <w:rFonts w:asciiTheme="majorHAnsi" w:hAnsiTheme="majorHAnsi"/>
          <w:sz w:val="20"/>
          <w:szCs w:val="20"/>
          <w:lang w:val="es-ES"/>
        </w:rPr>
        <w:t xml:space="preserve">la investigación orientada a identificar y sancionar a los responsables por presunta falta de pruebas. </w:t>
      </w:r>
    </w:p>
    <w:p w14:paraId="71BF81CE" w14:textId="72F24CB9" w:rsidR="00F4396B" w:rsidRPr="0094106A" w:rsidRDefault="00F4396B" w:rsidP="0094106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b/>
          <w:bCs/>
          <w:sz w:val="20"/>
          <w:szCs w:val="20"/>
          <w:lang w:val="es-ES"/>
        </w:rPr>
        <w:lastRenderedPageBreak/>
        <w:t>El Estado</w:t>
      </w:r>
      <w:r w:rsidR="00132D1B" w:rsidRPr="0094106A">
        <w:rPr>
          <w:rFonts w:asciiTheme="majorHAnsi" w:hAnsiTheme="majorHAnsi"/>
          <w:b/>
          <w:bCs/>
          <w:sz w:val="20"/>
          <w:szCs w:val="20"/>
          <w:lang w:val="es-ES"/>
        </w:rPr>
        <w:t xml:space="preserve"> boliviano</w:t>
      </w:r>
    </w:p>
    <w:p w14:paraId="64A023A0" w14:textId="77777777" w:rsidR="0061397E" w:rsidRPr="0094106A" w:rsidRDefault="00F4396B"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Por su parte, el Estado replica que la petición es inadmisible por agotamiento indebido de la jurisdicción interna. Sostiene que la señora Haase Pérez no interpuso una acción de amparo contra la resolución de la Fiscalía Departamental de Chuquisaca, que confirmó el sobreseimiento de la investigación penal contra su supuesto agresor, a pesar de que esta era la única vía judicial para lograr tal resultado. En consecuencia, solicita a la CIDH que declare que el presente asunto no cumple con el requisito previsto en el artículo 46.1.a) de la Convención.</w:t>
      </w:r>
    </w:p>
    <w:p w14:paraId="71728A42" w14:textId="06967D0D" w:rsidR="0061397E" w:rsidRPr="0094106A" w:rsidRDefault="00F4396B"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 xml:space="preserve">Adicionalmente, sostiene que los hechos expuestos por la parte peticionaria no constituyen </w:t>
      </w:r>
      <w:r w:rsidR="0070368E" w:rsidRPr="0094106A">
        <w:rPr>
          <w:rFonts w:asciiTheme="majorHAnsi" w:hAnsiTheme="majorHAnsi"/>
          <w:sz w:val="20"/>
          <w:szCs w:val="20"/>
          <w:lang w:val="es-ES"/>
        </w:rPr>
        <w:t>violaciones a los</w:t>
      </w:r>
      <w:r w:rsidRPr="0094106A">
        <w:rPr>
          <w:rFonts w:asciiTheme="majorHAnsi" w:hAnsiTheme="majorHAnsi"/>
          <w:sz w:val="20"/>
          <w:szCs w:val="20"/>
          <w:lang w:val="es-ES"/>
        </w:rPr>
        <w:t xml:space="preserve"> derechos humanos</w:t>
      </w:r>
      <w:r w:rsidR="0070368E" w:rsidRPr="0094106A">
        <w:rPr>
          <w:rFonts w:asciiTheme="majorHAnsi" w:hAnsiTheme="majorHAnsi"/>
          <w:sz w:val="20"/>
          <w:szCs w:val="20"/>
          <w:lang w:val="es-ES"/>
        </w:rPr>
        <w:t xml:space="preserve"> de la presunta víctima</w:t>
      </w:r>
      <w:r w:rsidRPr="0094106A">
        <w:rPr>
          <w:rFonts w:asciiTheme="majorHAnsi" w:hAnsiTheme="majorHAnsi"/>
          <w:sz w:val="20"/>
          <w:szCs w:val="20"/>
          <w:lang w:val="es-ES"/>
        </w:rPr>
        <w:t>. Para tal efecto, aporta una serie de documentos que explican las distintas políticas y normas que se han adoptado a efectos de prohibir todo tipo de discriminación y</w:t>
      </w:r>
      <w:r w:rsidR="0070368E" w:rsidRPr="0094106A">
        <w:rPr>
          <w:rFonts w:asciiTheme="majorHAnsi" w:hAnsiTheme="majorHAnsi"/>
          <w:sz w:val="20"/>
          <w:szCs w:val="20"/>
          <w:lang w:val="es-ES"/>
        </w:rPr>
        <w:t xml:space="preserve"> </w:t>
      </w:r>
      <w:r w:rsidRPr="0094106A">
        <w:rPr>
          <w:rFonts w:asciiTheme="majorHAnsi" w:hAnsiTheme="majorHAnsi"/>
          <w:sz w:val="20"/>
          <w:szCs w:val="20"/>
          <w:lang w:val="es-ES"/>
        </w:rPr>
        <w:t>asegurar la participación política de las mujeres.</w:t>
      </w:r>
    </w:p>
    <w:p w14:paraId="54138E9A" w14:textId="3C43D97C" w:rsidR="0061397E" w:rsidRPr="0094106A" w:rsidRDefault="00F4396B"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Con base en ello, sostiene que luego de su renuncia, la señora Haase Pérez pudo presentar una demanda en la vía constitucional y, como resultado, el Tribunal Constitucional Plurinacional le otorgó la razón, provocando que retomara sus funciones como concejala del Municipio de Tarvita. En tal sentido, a criterio del Estado, no subsisten los motivos que sustentan tal extremo de la petición.</w:t>
      </w:r>
    </w:p>
    <w:p w14:paraId="1C4514C8" w14:textId="77777777" w:rsidR="0061397E" w:rsidRPr="0094106A" w:rsidRDefault="00F4396B"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Además, sostiene que tampoco existen elementos que puedan caracterizar una posible vulneración a los derechos a la vida, a la integridad personal, o a las obligaciones de la Convención de Belém Do Pará, pues la presunta víctima no puso en conocimiento de las autoridades competentes su posible afectación. Destaca que el proceso penal iniciado en 2011 se circunscribió a esclarecer la posible comisión de los delitos de privación de libertad, acoso político y coacción, dado que la señora Haase Pérez no incluyó en su denuncia un certificado forense que acreditara la presencia de alguna lesión. Por ende, no resulta posible atribuir al Estado responsabilidad por tales afectaciones.</w:t>
      </w:r>
    </w:p>
    <w:p w14:paraId="5FA4B122" w14:textId="65DFEF6A" w:rsidR="00F4396B" w:rsidRPr="0094106A" w:rsidRDefault="0061397E"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Por último</w:t>
      </w:r>
      <w:r w:rsidR="00F4396B" w:rsidRPr="0094106A">
        <w:rPr>
          <w:rFonts w:asciiTheme="majorHAnsi" w:hAnsiTheme="majorHAnsi"/>
          <w:sz w:val="20"/>
          <w:szCs w:val="20"/>
          <w:lang w:val="es-ES"/>
        </w:rPr>
        <w:t>, indica que solo puede constituirse la afectación a un derecho social si el Estado ha incumplido “metas”, “finalidades” o “principios y mecanismos” que se haya comprometido a alcanzar o implementar respecto a este. En el presente caso, indica que el ordenamiento boliviano ha implementado las medidas necesarias para la protección de los derechos laborales de las mujeres electas por voto popular y, además, cuenta con los procedimientos administrativos, laborales y constitucionales para el reclamo de sueldos de servidoras y servidores públicos. Destaca que el hecho de que la presunta víctima haya obtenido un resultado contrario a sus intereses no significa que se haya vulnerado el deber de adoptar disposiciones de derecho interno. Por ello, a criterio del Estado, este aspecto tampoco caracteriza una violación a alguna de las obligaciones establecidas en la Convención.</w:t>
      </w:r>
    </w:p>
    <w:p w14:paraId="6F4D4171" w14:textId="018ED597" w:rsidR="003239B8" w:rsidRPr="0094106A" w:rsidRDefault="003239B8" w:rsidP="0094106A">
      <w:pPr>
        <w:spacing w:after="240"/>
        <w:ind w:firstLine="720"/>
        <w:jc w:val="both"/>
        <w:rPr>
          <w:rFonts w:asciiTheme="majorHAnsi" w:hAnsiTheme="majorHAnsi"/>
          <w:sz w:val="20"/>
          <w:szCs w:val="20"/>
          <w:lang w:val="es-ES"/>
        </w:rPr>
      </w:pPr>
      <w:r w:rsidRPr="0094106A">
        <w:rPr>
          <w:rFonts w:asciiTheme="majorHAnsi" w:eastAsia="Cambria" w:hAnsiTheme="majorHAnsi" w:cs="Cambria"/>
          <w:b/>
          <w:bCs/>
          <w:color w:val="000000"/>
          <w:sz w:val="20"/>
          <w:szCs w:val="20"/>
          <w:u w:color="000000"/>
          <w:lang w:val="es-ES" w:eastAsia="es-ES"/>
        </w:rPr>
        <w:t>VI.</w:t>
      </w:r>
      <w:r w:rsidRPr="0094106A">
        <w:rPr>
          <w:rFonts w:asciiTheme="majorHAnsi" w:eastAsia="Cambria" w:hAnsiTheme="majorHAnsi" w:cs="Cambria"/>
          <w:b/>
          <w:bCs/>
          <w:color w:val="000000"/>
          <w:sz w:val="20"/>
          <w:szCs w:val="20"/>
          <w:u w:color="000000"/>
          <w:lang w:val="es-ES" w:eastAsia="es-ES"/>
        </w:rPr>
        <w:tab/>
      </w:r>
      <w:r w:rsidR="004A6A54" w:rsidRPr="0094106A">
        <w:rPr>
          <w:rFonts w:asciiTheme="majorHAnsi" w:hAnsiTheme="majorHAnsi"/>
          <w:b/>
          <w:bCs/>
          <w:sz w:val="20"/>
          <w:szCs w:val="20"/>
          <w:lang w:val="es-ES"/>
        </w:rPr>
        <w:t xml:space="preserve">ANÁLISIS DE </w:t>
      </w:r>
      <w:r w:rsidR="00C21FEF" w:rsidRPr="0094106A">
        <w:rPr>
          <w:rFonts w:asciiTheme="majorHAnsi" w:hAnsiTheme="majorHAnsi"/>
          <w:b/>
          <w:sz w:val="20"/>
          <w:szCs w:val="20"/>
          <w:lang w:val="es-ES"/>
        </w:rPr>
        <w:t>AGOTAMIENTO DE LOS RECURSOS INTERNOS Y PLAZO DE PRESENTACIÓN</w:t>
      </w:r>
      <w:r w:rsidR="00C21FEF" w:rsidRPr="0094106A">
        <w:rPr>
          <w:rFonts w:asciiTheme="majorHAnsi" w:eastAsia="Cambria" w:hAnsiTheme="majorHAnsi" w:cs="Cambria"/>
          <w:b/>
          <w:bCs/>
          <w:color w:val="000000"/>
          <w:sz w:val="20"/>
          <w:szCs w:val="20"/>
          <w:u w:color="000000"/>
          <w:lang w:val="es-ES" w:eastAsia="es-ES"/>
        </w:rPr>
        <w:t xml:space="preserve"> </w:t>
      </w:r>
    </w:p>
    <w:p w14:paraId="0ABC5167" w14:textId="77777777" w:rsidR="00F36CD6" w:rsidRPr="0094106A" w:rsidRDefault="0001622D"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La CIDH considera que para efectos de evaluar la idoneidad de los recursos disponibles a un determinado peticionario bajo el ordenamiento nacional, la CIDH usualmente establece con precisión cuál es el reclamo específico que se ha formulado en sede interamericana, para luego identificar los recursos judiciales provistos por el sistema jurídico doméstico que estaban disponibles y eran adecuados para ventilar ese reclamo en particular; en ello consiste, precisamente, la idoneidad y efectividad de cada recurso en concreto, en que provea una oportunidad real para que la alegada lesión a los derechos humanos sea remediada y resuelta por los jueces nacionales, de manera efectiva y oportuna, antes de que se pueda acudir al Sistema Interamericano</w:t>
      </w:r>
      <w:r w:rsidRPr="0094106A">
        <w:rPr>
          <w:rStyle w:val="FootnoteReference"/>
          <w:rFonts w:asciiTheme="majorHAnsi" w:hAnsiTheme="majorHAnsi"/>
          <w:sz w:val="20"/>
          <w:szCs w:val="20"/>
          <w:lang w:val="es-ES"/>
        </w:rPr>
        <w:footnoteReference w:id="4"/>
      </w:r>
      <w:r w:rsidRPr="0094106A">
        <w:rPr>
          <w:rFonts w:asciiTheme="majorHAnsi" w:hAnsiTheme="majorHAnsi"/>
          <w:sz w:val="20"/>
          <w:szCs w:val="20"/>
          <w:lang w:val="es-ES"/>
        </w:rPr>
        <w:t>.</w:t>
      </w:r>
    </w:p>
    <w:p w14:paraId="70D3BE44" w14:textId="77777777" w:rsidR="00F36CD6" w:rsidRPr="0094106A" w:rsidRDefault="00F36CD6"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En el presente asunto, la Comisión observa que la parte peticionaria cuestiona tanto la falta de pago de sus salarios durante el tiempo que no pudo ejercer sus funciones como concejala, como la falta de una debida investigación por las prácticas de acoso y violencia que sufrió.</w:t>
      </w:r>
    </w:p>
    <w:p w14:paraId="1C2C9C0F" w14:textId="77777777" w:rsidR="00F36CD6" w:rsidRPr="0094106A" w:rsidRDefault="00F36CD6"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lastRenderedPageBreak/>
        <w:t>Sobre el primer punto, la Comisión nota que la señora Haase Pérez interpuso una demanda por la vía laboral, pero tras agotar las distintas instancias, el 19 de marzo de 2019, el Tribunal Supremo de Justicia la declaró infundada. A criterio de la parte peticionaria, con la citada sentencia la presunta víctima agotó la jurisdicción interna. Por su parte, el Estado no controvierte el agotamiento de los recursos internos ni hace referencias al plazo de presentación de la petición. En atención a esto y a la información presente en el expediente, la Comisión concluye que este reclamo cumple con el requisito de agotamiento de los recursos internos de conformidad con el artículo 46.1.a) de la Convención Americana. Asimismo, en vista de que esta fue recibida el 13 de marzo de 2019, también cumple con el requisito de plazo previsto en el artículo 46.1.b) de la Convención.</w:t>
      </w:r>
    </w:p>
    <w:p w14:paraId="5AF09BC4" w14:textId="5298910A" w:rsidR="00F36CD6" w:rsidRPr="0094106A" w:rsidRDefault="00F36CD6"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Respecto a la alegada ausencia de investigación y sanción a los responsables</w:t>
      </w:r>
      <w:r w:rsidR="00563B1F" w:rsidRPr="0094106A">
        <w:rPr>
          <w:rFonts w:asciiTheme="majorHAnsi" w:hAnsiTheme="majorHAnsi"/>
          <w:sz w:val="20"/>
          <w:szCs w:val="20"/>
          <w:lang w:val="es-ES"/>
        </w:rPr>
        <w:t xml:space="preserve"> de haber ejercido violencia contra la presunta víctima</w:t>
      </w:r>
      <w:r w:rsidRPr="0094106A">
        <w:rPr>
          <w:rFonts w:asciiTheme="majorHAnsi" w:hAnsiTheme="majorHAnsi"/>
          <w:sz w:val="20"/>
          <w:szCs w:val="20"/>
          <w:lang w:val="es-ES"/>
        </w:rPr>
        <w:t>, la Comisión aprecia que, aunque el 26 de octubre de 2012 la Fiscalía emitió una imputación formal contra seis personas, el 3 de enero de 2014 decidió sobreseer el caso en favor de los imputados. Ante ello, la señora Haase Pérez presentó un recurso de revocatoria, pero el 11 de abril de 2014 la Fiscalía Departamental de Chuquisaca ratificó la decisión impugnada.</w:t>
      </w:r>
    </w:p>
    <w:p w14:paraId="66845BE5" w14:textId="73AFB967" w:rsidR="00EB74A8" w:rsidRPr="0094106A" w:rsidRDefault="00432A69"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Dada la situación descrita, l</w:t>
      </w:r>
      <w:r w:rsidR="00917D73" w:rsidRPr="0094106A">
        <w:rPr>
          <w:rFonts w:asciiTheme="majorHAnsi" w:hAnsiTheme="majorHAnsi"/>
          <w:sz w:val="20"/>
          <w:szCs w:val="20"/>
          <w:lang w:val="es-ES"/>
        </w:rPr>
        <w:t xml:space="preserve">a CIDH </w:t>
      </w:r>
      <w:r w:rsidR="00B95A83" w:rsidRPr="0094106A">
        <w:rPr>
          <w:rFonts w:asciiTheme="majorHAnsi" w:hAnsiTheme="majorHAnsi"/>
          <w:sz w:val="20"/>
          <w:szCs w:val="20"/>
          <w:lang w:val="es-ES"/>
        </w:rPr>
        <w:t>recuerda</w:t>
      </w:r>
      <w:r w:rsidRPr="0094106A">
        <w:rPr>
          <w:rFonts w:asciiTheme="majorHAnsi" w:hAnsiTheme="majorHAnsi"/>
          <w:sz w:val="20"/>
          <w:szCs w:val="20"/>
          <w:lang w:val="es-ES"/>
        </w:rPr>
        <w:t xml:space="preserve"> que </w:t>
      </w:r>
      <w:r w:rsidR="00917D73" w:rsidRPr="0094106A">
        <w:rPr>
          <w:rFonts w:asciiTheme="majorHAnsi" w:hAnsiTheme="majorHAnsi"/>
          <w:sz w:val="20"/>
          <w:szCs w:val="20"/>
          <w:lang w:val="es-ES"/>
        </w:rPr>
        <w:t>toda vez que el Estado tenga conocimiento de la comisión de un delito perseguible de oficio, tiene la obligación de iniciar o presentar una acción penal, pues ésta constituye el medio adecuado para esclarecer los hechos, procesar a los responsables y determinar las sanciones penales correspondientes, además de facilitar otras formas de reparación pecuniaria</w:t>
      </w:r>
      <w:r w:rsidR="00917D73" w:rsidRPr="0094106A">
        <w:rPr>
          <w:rStyle w:val="FootnoteReference"/>
          <w:rFonts w:asciiTheme="majorHAnsi" w:hAnsiTheme="majorHAnsi"/>
          <w:sz w:val="20"/>
          <w:szCs w:val="20"/>
          <w:lang w:val="es-ES"/>
        </w:rPr>
        <w:footnoteReference w:id="5"/>
      </w:r>
      <w:r w:rsidR="00917D73" w:rsidRPr="0094106A">
        <w:rPr>
          <w:rFonts w:asciiTheme="majorHAnsi" w:hAnsiTheme="majorHAnsi"/>
          <w:sz w:val="20"/>
          <w:szCs w:val="20"/>
          <w:lang w:val="es-ES"/>
        </w:rPr>
        <w:t>.</w:t>
      </w:r>
      <w:r w:rsidR="009756E5" w:rsidRPr="0094106A">
        <w:rPr>
          <w:rFonts w:asciiTheme="majorHAnsi" w:hAnsiTheme="majorHAnsi"/>
          <w:sz w:val="20"/>
          <w:szCs w:val="20"/>
          <w:lang w:val="es-ES"/>
        </w:rPr>
        <w:t xml:space="preserve"> En el presente asunto, </w:t>
      </w:r>
      <w:r w:rsidR="00F07E9C" w:rsidRPr="0094106A">
        <w:rPr>
          <w:rFonts w:asciiTheme="majorHAnsi" w:hAnsiTheme="majorHAnsi"/>
          <w:sz w:val="20"/>
          <w:szCs w:val="20"/>
          <w:lang w:val="es-ES"/>
        </w:rPr>
        <w:t xml:space="preserve">la Comisión </w:t>
      </w:r>
      <w:r w:rsidR="00276CE3" w:rsidRPr="0094106A">
        <w:rPr>
          <w:rFonts w:asciiTheme="majorHAnsi" w:hAnsiTheme="majorHAnsi"/>
          <w:sz w:val="20"/>
          <w:szCs w:val="20"/>
          <w:lang w:val="es-ES"/>
        </w:rPr>
        <w:t>subraya</w:t>
      </w:r>
      <w:r w:rsidR="00F07E9C" w:rsidRPr="0094106A">
        <w:rPr>
          <w:rFonts w:asciiTheme="majorHAnsi" w:hAnsiTheme="majorHAnsi"/>
          <w:sz w:val="20"/>
          <w:szCs w:val="20"/>
          <w:lang w:val="es-ES"/>
        </w:rPr>
        <w:t xml:space="preserve"> que la obligación del Estado de llevar a cabo una investigación de oficio con todos los medios legales a su alcance en el presente </w:t>
      </w:r>
      <w:r w:rsidR="00EB74A8" w:rsidRPr="0094106A">
        <w:rPr>
          <w:rFonts w:asciiTheme="majorHAnsi" w:hAnsiTheme="majorHAnsi"/>
          <w:sz w:val="20"/>
          <w:szCs w:val="20"/>
          <w:lang w:val="es-ES"/>
        </w:rPr>
        <w:t>caso</w:t>
      </w:r>
      <w:r w:rsidR="00F07E9C" w:rsidRPr="0094106A">
        <w:rPr>
          <w:rFonts w:asciiTheme="majorHAnsi" w:hAnsiTheme="majorHAnsi"/>
          <w:sz w:val="20"/>
          <w:szCs w:val="20"/>
          <w:lang w:val="es-ES"/>
        </w:rPr>
        <w:t xml:space="preserve"> no sólo derivaba del hecho de tratarse de un posible delito de acción pública, </w:t>
      </w:r>
      <w:r w:rsidR="00343BF5" w:rsidRPr="0094106A">
        <w:rPr>
          <w:rFonts w:asciiTheme="majorHAnsi" w:hAnsiTheme="majorHAnsi"/>
          <w:sz w:val="20"/>
          <w:szCs w:val="20"/>
          <w:lang w:val="es-ES"/>
        </w:rPr>
        <w:t>sino,</w:t>
      </w:r>
      <w:r w:rsidR="00F07E9C" w:rsidRPr="0094106A">
        <w:rPr>
          <w:rFonts w:asciiTheme="majorHAnsi" w:hAnsiTheme="majorHAnsi"/>
          <w:sz w:val="20"/>
          <w:szCs w:val="20"/>
          <w:lang w:val="es-ES"/>
        </w:rPr>
        <w:t xml:space="preserve"> además, de un</w:t>
      </w:r>
      <w:r w:rsidR="00FE5BA7" w:rsidRPr="0094106A">
        <w:rPr>
          <w:rFonts w:asciiTheme="majorHAnsi" w:hAnsiTheme="majorHAnsi"/>
          <w:sz w:val="20"/>
          <w:szCs w:val="20"/>
          <w:lang w:val="es-ES"/>
        </w:rPr>
        <w:t xml:space="preserve"> </w:t>
      </w:r>
      <w:r w:rsidR="00AA5656" w:rsidRPr="0094106A">
        <w:rPr>
          <w:rFonts w:asciiTheme="majorHAnsi" w:hAnsiTheme="majorHAnsi"/>
          <w:sz w:val="20"/>
          <w:szCs w:val="20"/>
          <w:lang w:val="es-ES"/>
        </w:rPr>
        <w:t xml:space="preserve">posible </w:t>
      </w:r>
      <w:r w:rsidR="00FE5BA7" w:rsidRPr="0094106A">
        <w:rPr>
          <w:rFonts w:asciiTheme="majorHAnsi" w:hAnsiTheme="majorHAnsi"/>
          <w:sz w:val="20"/>
          <w:szCs w:val="20"/>
          <w:lang w:val="es-ES"/>
        </w:rPr>
        <w:t xml:space="preserve">caso de violencia política contra la mujer. Por ende, el Estado tenía el deber de investigar con una debida diligencia lo ocurrido, en los términos de la Convención Belém Do Pará. </w:t>
      </w:r>
    </w:p>
    <w:p w14:paraId="3A140562" w14:textId="0C9970E0" w:rsidR="005055D8" w:rsidRPr="0094106A" w:rsidRDefault="00DC66EC"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Sin embargo</w:t>
      </w:r>
      <w:r w:rsidR="00E26D5B" w:rsidRPr="0094106A">
        <w:rPr>
          <w:rFonts w:asciiTheme="majorHAnsi" w:hAnsiTheme="majorHAnsi"/>
          <w:sz w:val="20"/>
          <w:szCs w:val="20"/>
          <w:lang w:val="es-ES"/>
        </w:rPr>
        <w:t xml:space="preserve">, el Estado </w:t>
      </w:r>
      <w:r w:rsidR="0007355F" w:rsidRPr="0094106A">
        <w:rPr>
          <w:rFonts w:asciiTheme="majorHAnsi" w:hAnsiTheme="majorHAnsi"/>
          <w:sz w:val="20"/>
          <w:szCs w:val="20"/>
          <w:lang w:val="es-ES"/>
        </w:rPr>
        <w:t>replica</w:t>
      </w:r>
      <w:r w:rsidR="00E26D5B" w:rsidRPr="0094106A">
        <w:rPr>
          <w:rFonts w:asciiTheme="majorHAnsi" w:hAnsiTheme="majorHAnsi"/>
          <w:sz w:val="20"/>
          <w:szCs w:val="20"/>
          <w:lang w:val="es-ES"/>
        </w:rPr>
        <w:t xml:space="preserve"> que la presunta víctima no cumplió con agotar la jurisdicción interna, pues no interpuso una acción de amparo contra la resolución que confirmó el sobreseimiento de la investigación. </w:t>
      </w:r>
      <w:r w:rsidR="0005069A" w:rsidRPr="0094106A">
        <w:rPr>
          <w:rFonts w:asciiTheme="majorHAnsi" w:hAnsiTheme="majorHAnsi"/>
          <w:sz w:val="20"/>
          <w:szCs w:val="20"/>
          <w:lang w:val="es-ES"/>
        </w:rPr>
        <w:t>En relación con esto</w:t>
      </w:r>
      <w:r w:rsidR="00862BCA" w:rsidRPr="0094106A">
        <w:rPr>
          <w:rFonts w:asciiTheme="majorHAnsi" w:hAnsiTheme="majorHAnsi"/>
          <w:sz w:val="20"/>
          <w:szCs w:val="20"/>
          <w:lang w:val="es-ES"/>
        </w:rPr>
        <w:t xml:space="preserve">, </w:t>
      </w:r>
      <w:r w:rsidR="005055D8" w:rsidRPr="0094106A">
        <w:rPr>
          <w:rFonts w:asciiTheme="majorHAnsi" w:hAnsiTheme="majorHAnsi"/>
          <w:sz w:val="20"/>
          <w:szCs w:val="20"/>
          <w:lang w:val="es-ES"/>
        </w:rPr>
        <w:t>la Comisión recuerda que, como regla general, la parte peticionaria solo tiene en principio la obligación de agotar las vías judiciales ordinarias a nivel interno</w:t>
      </w:r>
      <w:r w:rsidR="00862BCA" w:rsidRPr="0094106A">
        <w:rPr>
          <w:rStyle w:val="FootnoteReference"/>
          <w:rFonts w:asciiTheme="majorHAnsi" w:hAnsiTheme="majorHAnsi"/>
          <w:sz w:val="20"/>
          <w:szCs w:val="20"/>
          <w:lang w:val="es-ES"/>
        </w:rPr>
        <w:footnoteReference w:id="6"/>
      </w:r>
      <w:r w:rsidR="005055D8" w:rsidRPr="0094106A">
        <w:rPr>
          <w:rFonts w:asciiTheme="majorHAnsi" w:hAnsiTheme="majorHAnsi"/>
          <w:sz w:val="20"/>
          <w:szCs w:val="20"/>
          <w:lang w:val="es-ES"/>
        </w:rPr>
        <w:t xml:space="preserve">. Por ello, la CIDH considera que cuando se alegan irregularidades a lo largo </w:t>
      </w:r>
      <w:r w:rsidR="00862BCA" w:rsidRPr="0094106A">
        <w:rPr>
          <w:rFonts w:asciiTheme="majorHAnsi" w:hAnsiTheme="majorHAnsi"/>
          <w:sz w:val="20"/>
          <w:szCs w:val="20"/>
          <w:lang w:val="es-ES"/>
        </w:rPr>
        <w:t xml:space="preserve">de una investigación penal, </w:t>
      </w:r>
      <w:r w:rsidR="005055D8" w:rsidRPr="0094106A">
        <w:rPr>
          <w:rFonts w:asciiTheme="majorHAnsi" w:hAnsiTheme="majorHAnsi"/>
          <w:sz w:val="20"/>
          <w:szCs w:val="20"/>
          <w:lang w:val="es-ES"/>
        </w:rPr>
        <w:t xml:space="preserve">no es necesario, en principio, un recurso extraordinario o una vía procesal adicional para cumplir con el requisito establecido en el artículo 46.1.a) de la Convención. A juicio de la Comisión, el hecho de que el asunto controvertido ya haya estado bajo conocimiento de </w:t>
      </w:r>
      <w:r w:rsidR="00862BCA" w:rsidRPr="0094106A">
        <w:rPr>
          <w:rFonts w:asciiTheme="majorHAnsi" w:hAnsiTheme="majorHAnsi"/>
          <w:sz w:val="20"/>
          <w:szCs w:val="20"/>
          <w:lang w:val="es-ES"/>
        </w:rPr>
        <w:t>la Fiscalía</w:t>
      </w:r>
      <w:r w:rsidR="00360B17" w:rsidRPr="0094106A">
        <w:rPr>
          <w:rFonts w:asciiTheme="majorHAnsi" w:hAnsiTheme="majorHAnsi"/>
          <w:sz w:val="20"/>
          <w:szCs w:val="20"/>
          <w:lang w:val="es-ES"/>
        </w:rPr>
        <w:t xml:space="preserve">, la cual tenía </w:t>
      </w:r>
      <w:r w:rsidR="005055D8" w:rsidRPr="0094106A">
        <w:rPr>
          <w:rFonts w:asciiTheme="majorHAnsi" w:hAnsiTheme="majorHAnsi"/>
          <w:sz w:val="20"/>
          <w:szCs w:val="20"/>
          <w:lang w:val="es-ES"/>
        </w:rPr>
        <w:t xml:space="preserve">la obligación y capacidad </w:t>
      </w:r>
      <w:r w:rsidR="00862BCA" w:rsidRPr="0094106A">
        <w:rPr>
          <w:rFonts w:asciiTheme="majorHAnsi" w:hAnsiTheme="majorHAnsi"/>
          <w:sz w:val="20"/>
          <w:szCs w:val="20"/>
          <w:lang w:val="es-ES"/>
        </w:rPr>
        <w:t>de solventar</w:t>
      </w:r>
      <w:r w:rsidR="005055D8" w:rsidRPr="0094106A">
        <w:rPr>
          <w:rFonts w:asciiTheme="majorHAnsi" w:hAnsiTheme="majorHAnsi"/>
          <w:sz w:val="20"/>
          <w:szCs w:val="20"/>
          <w:lang w:val="es-ES"/>
        </w:rPr>
        <w:t xml:space="preserve"> cualquier posible violación de derechos que pudieran sufrir las personas involucradas en el trámite de</w:t>
      </w:r>
      <w:r w:rsidR="00862BCA" w:rsidRPr="0094106A">
        <w:rPr>
          <w:rFonts w:asciiTheme="majorHAnsi" w:hAnsiTheme="majorHAnsi"/>
          <w:sz w:val="20"/>
          <w:szCs w:val="20"/>
          <w:lang w:val="es-ES"/>
        </w:rPr>
        <w:t xml:space="preserve"> la investigación</w:t>
      </w:r>
      <w:r w:rsidR="005055D8" w:rsidRPr="0094106A">
        <w:rPr>
          <w:rFonts w:asciiTheme="majorHAnsi" w:hAnsiTheme="majorHAnsi"/>
          <w:sz w:val="20"/>
          <w:szCs w:val="20"/>
          <w:lang w:val="es-ES"/>
        </w:rPr>
        <w:t>, acredita que el Estado tuvo la oportunidad de solucionar el asunto a nivel doméstico</w:t>
      </w:r>
      <w:r w:rsidR="00862BCA" w:rsidRPr="0094106A">
        <w:rPr>
          <w:rFonts w:asciiTheme="majorHAnsi" w:hAnsiTheme="majorHAnsi"/>
          <w:sz w:val="20"/>
          <w:szCs w:val="20"/>
          <w:lang w:val="es-ES"/>
        </w:rPr>
        <w:t>.</w:t>
      </w:r>
    </w:p>
    <w:p w14:paraId="1DDC330F" w14:textId="151EBB1B" w:rsidR="00024F59" w:rsidRPr="00334F02" w:rsidRDefault="00024F59" w:rsidP="00334F02">
      <w:pPr>
        <w:pStyle w:val="ListParagraph"/>
        <w:numPr>
          <w:ilvl w:val="0"/>
          <w:numId w:val="103"/>
        </w:numPr>
        <w:spacing w:after="240"/>
        <w:jc w:val="both"/>
        <w:rPr>
          <w:rFonts w:asciiTheme="majorHAnsi" w:eastAsia="Arial Unicode MS" w:hAnsiTheme="majorHAnsi" w:cs="Times New Roman"/>
          <w:color w:val="auto"/>
          <w:sz w:val="20"/>
          <w:szCs w:val="20"/>
          <w:lang w:val="es-ES" w:eastAsia="en-US"/>
        </w:rPr>
      </w:pPr>
      <w:r w:rsidRPr="0094106A">
        <w:rPr>
          <w:rFonts w:asciiTheme="majorHAnsi" w:eastAsia="Arial Unicode MS" w:hAnsiTheme="majorHAnsi" w:cs="Times New Roman"/>
          <w:color w:val="auto"/>
          <w:sz w:val="20"/>
          <w:szCs w:val="20"/>
          <w:lang w:val="es-ES" w:eastAsia="en-US"/>
        </w:rPr>
        <w:t>Asimismo, aunque Bolivia sostiene que la señora Haase Pérez no alegó el incumplimiento de las obligaciones previstas en la Convención Belém do Pará ni afectaciones a su derecho a la integridad, la Comisión advierte que la Fiscalía tuvo conocimiento de los mismos hechos expuestos en esta petición y, con base en ello, era su deber establecer todas las líneas de investigación pertinentes y aplicar la normativa adecuada para investigar con debida diligencia los presuntos actos de violencia contra la mujer. En consecuencia, la Comisión considera que no resulta razonable exigir un agotamiento de recursos internos de manera separada y autónoma sobre estos alegatos</w:t>
      </w:r>
      <w:r w:rsidRPr="0094106A">
        <w:rPr>
          <w:rStyle w:val="FootnoteReference"/>
          <w:rFonts w:asciiTheme="majorHAnsi" w:hAnsiTheme="majorHAnsi"/>
          <w:sz w:val="20"/>
          <w:szCs w:val="20"/>
          <w:lang w:val="es-ES"/>
        </w:rPr>
        <w:footnoteReference w:id="7"/>
      </w:r>
      <w:r w:rsidRPr="0094106A">
        <w:rPr>
          <w:rFonts w:asciiTheme="majorHAnsi" w:eastAsia="Arial Unicode MS" w:hAnsiTheme="majorHAnsi" w:cs="Times New Roman"/>
          <w:color w:val="auto"/>
          <w:sz w:val="20"/>
          <w:szCs w:val="20"/>
          <w:lang w:val="es-ES" w:eastAsia="en-US"/>
        </w:rPr>
        <w:t>.</w:t>
      </w:r>
    </w:p>
    <w:p w14:paraId="52B7C261" w14:textId="7150C5C5" w:rsidR="003F1DFC" w:rsidRPr="0094106A" w:rsidRDefault="003F1DFC"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 xml:space="preserve">Con base en ello, la Comisión aprecia que, a pesar de que la presunta víctima utilizó la vía adecuada para que se investigaran debidamente los alegados actos de acoso y violencia política que sufrió en su condición de mujer, la Fiscalía sobreseyó la investigación al considerar que no existían pruebas que </w:t>
      </w:r>
      <w:r w:rsidRPr="0094106A">
        <w:rPr>
          <w:rFonts w:asciiTheme="majorHAnsi" w:hAnsiTheme="majorHAnsi"/>
          <w:sz w:val="20"/>
          <w:szCs w:val="20"/>
          <w:lang w:val="es-ES"/>
        </w:rPr>
        <w:lastRenderedPageBreak/>
        <w:t xml:space="preserve">permitieran fundamentar adecuadamente una acusación. </w:t>
      </w:r>
      <w:r w:rsidR="00343BF5" w:rsidRPr="0094106A">
        <w:rPr>
          <w:rFonts w:asciiTheme="majorHAnsi" w:hAnsiTheme="majorHAnsi"/>
          <w:sz w:val="20"/>
          <w:szCs w:val="20"/>
          <w:lang w:val="es-ES"/>
        </w:rPr>
        <w:t>Al respecto, la Comisión nota que la presunta víctima cuestiona esta determinación, indicando que la fiscalía no investigó de manera imparcial y diligente los hechos, pues únicamente hizo un análisis superficial de lo ocurrido, sin realizar un verdadero esclarecimiento de las circunstancias que motivaron su renuncia. A pesar de este alegato</w:t>
      </w:r>
      <w:r w:rsidRPr="0094106A">
        <w:rPr>
          <w:rFonts w:asciiTheme="majorHAnsi" w:hAnsiTheme="majorHAnsi"/>
          <w:sz w:val="20"/>
          <w:szCs w:val="20"/>
          <w:lang w:val="es-ES"/>
        </w:rPr>
        <w:t>, la Comisión advierte que el Estado no aporta documentos ni argumentos que permitan conocer las acciones emprendidas por la Fiscalía y, por ende, no existen elementos en el expediente que permitan esclarecer si la investigación fue realizada debidamente.</w:t>
      </w:r>
      <w:r w:rsidR="00343BF5" w:rsidRPr="0094106A">
        <w:rPr>
          <w:rFonts w:asciiTheme="majorHAnsi" w:hAnsiTheme="majorHAnsi"/>
          <w:sz w:val="20"/>
          <w:szCs w:val="20"/>
          <w:lang w:val="es-ES"/>
        </w:rPr>
        <w:t xml:space="preserve"> </w:t>
      </w:r>
    </w:p>
    <w:p w14:paraId="31B10EB2" w14:textId="77777777" w:rsidR="004D2645" w:rsidRPr="0094106A" w:rsidRDefault="00287B3C"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Sobre este punto, la Comisión re</w:t>
      </w:r>
      <w:r w:rsidR="00A9482C" w:rsidRPr="0094106A">
        <w:rPr>
          <w:rFonts w:asciiTheme="majorHAnsi" w:hAnsiTheme="majorHAnsi"/>
          <w:sz w:val="20"/>
          <w:szCs w:val="20"/>
          <w:lang w:val="es-ES"/>
        </w:rPr>
        <w:t>cuerda</w:t>
      </w:r>
      <w:r w:rsidRPr="0094106A">
        <w:rPr>
          <w:rFonts w:asciiTheme="majorHAnsi" w:hAnsiTheme="majorHAnsi"/>
          <w:sz w:val="20"/>
          <w:szCs w:val="20"/>
          <w:lang w:val="es-ES"/>
        </w:rPr>
        <w:t xml:space="preserve"> que “</w:t>
      </w:r>
      <w:r w:rsidRPr="0094106A">
        <w:rPr>
          <w:rFonts w:asciiTheme="majorHAnsi" w:hAnsiTheme="majorHAnsi"/>
          <w:i/>
          <w:iCs/>
          <w:sz w:val="20"/>
          <w:szCs w:val="20"/>
          <w:lang w:val="es-ES"/>
        </w:rPr>
        <w:t>a diferencia del derecho penal interno, en los procesos sobre violaciones de derechos humanos, la defensa del Estado no puede descansar sobre la imposibilidad del demandante de allegar pruebas que, en muchos casos, no pueden obtenerse sin la cooperación del Estad</w:t>
      </w:r>
      <w:r w:rsidRPr="0094106A">
        <w:rPr>
          <w:rFonts w:asciiTheme="majorHAnsi" w:hAnsiTheme="majorHAnsi"/>
          <w:sz w:val="20"/>
          <w:szCs w:val="20"/>
          <w:lang w:val="es-ES"/>
        </w:rPr>
        <w:t>o”</w:t>
      </w:r>
      <w:r w:rsidRPr="0094106A">
        <w:rPr>
          <w:rStyle w:val="FootnoteReference"/>
          <w:rFonts w:asciiTheme="majorHAnsi" w:hAnsiTheme="majorHAnsi"/>
          <w:sz w:val="20"/>
          <w:szCs w:val="20"/>
          <w:lang w:val="es-ES"/>
        </w:rPr>
        <w:footnoteReference w:id="8"/>
      </w:r>
      <w:r w:rsidRPr="0094106A">
        <w:rPr>
          <w:rFonts w:asciiTheme="majorHAnsi" w:hAnsiTheme="majorHAnsi"/>
          <w:sz w:val="20"/>
          <w:szCs w:val="20"/>
          <w:lang w:val="es-ES"/>
        </w:rPr>
        <w:t>. Conforme a lo explicado por la Corte Interamericana de Derechos Humanos, esto es así puesto que es el Estado quien tiene el control de los medios para aclarar hechos ocurridos dentro de su territorio</w:t>
      </w:r>
      <w:r w:rsidRPr="0094106A">
        <w:rPr>
          <w:rStyle w:val="FootnoteReference"/>
          <w:rFonts w:asciiTheme="majorHAnsi" w:hAnsiTheme="majorHAnsi"/>
          <w:sz w:val="20"/>
          <w:szCs w:val="20"/>
          <w:lang w:val="es-ES"/>
        </w:rPr>
        <w:footnoteReference w:id="9"/>
      </w:r>
      <w:r w:rsidRPr="0094106A">
        <w:rPr>
          <w:rFonts w:asciiTheme="majorHAnsi" w:hAnsiTheme="majorHAnsi"/>
          <w:sz w:val="20"/>
          <w:szCs w:val="20"/>
          <w:lang w:val="es-ES"/>
        </w:rPr>
        <w:t xml:space="preserve">. A criterio de la Comisión, tal razonamiento resulta también aplicable en la etapa de admisibilidad, cuando la parte peticionaria indica haber utilizado las vías internas y el Estado no brinda información que cuestione o confirme tal situación. </w:t>
      </w:r>
    </w:p>
    <w:p w14:paraId="3F0203A2" w14:textId="538D6AF6" w:rsidR="00E53335" w:rsidRPr="0094106A" w:rsidRDefault="00E53335"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 xml:space="preserve">Con base en ello, y dadas las características de los hechos expuestos, considerando que la Fiscalía tiene el deber de investigar de oficio y con debida diligencia los presuntos actos de acoso y violencia sufridos por la presunta víctima, la Comisión considera que el análisis del agotamiento de los recursos internos está inextricablemente unido al fondo del asunto e implica un análisis más amplio de estos procesos en sí mismos a la luz de los artículos 8 y 25 de la Convención Americana. Por ello, con base en el artículo 36.3 de su Reglamento, la Comisión considera pertinente diferir el tratamiento de la admisibilidad hasta el debate y decisión sobre el fondo. </w:t>
      </w:r>
    </w:p>
    <w:p w14:paraId="4FFBE378" w14:textId="4807A743" w:rsidR="003239B8" w:rsidRPr="0094106A" w:rsidRDefault="003239B8" w:rsidP="009410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94106A">
        <w:rPr>
          <w:rFonts w:asciiTheme="majorHAnsi" w:hAnsiTheme="majorHAnsi"/>
          <w:b/>
          <w:bCs/>
          <w:sz w:val="20"/>
          <w:szCs w:val="20"/>
          <w:lang w:val="es-ES"/>
        </w:rPr>
        <w:t>VII.</w:t>
      </w:r>
      <w:r w:rsidRPr="0094106A">
        <w:rPr>
          <w:rFonts w:asciiTheme="majorHAnsi" w:hAnsiTheme="majorHAnsi"/>
          <w:b/>
          <w:bCs/>
          <w:sz w:val="20"/>
          <w:szCs w:val="20"/>
          <w:lang w:val="es-ES"/>
        </w:rPr>
        <w:tab/>
      </w:r>
      <w:r w:rsidR="004A6A54" w:rsidRPr="0094106A">
        <w:rPr>
          <w:rFonts w:asciiTheme="majorHAnsi" w:hAnsiTheme="majorHAnsi"/>
          <w:b/>
          <w:bCs/>
          <w:sz w:val="20"/>
          <w:szCs w:val="20"/>
          <w:lang w:val="es-ES"/>
        </w:rPr>
        <w:t xml:space="preserve">ANÁLISIS DE </w:t>
      </w:r>
      <w:r w:rsidR="00C21FEF" w:rsidRPr="0094106A">
        <w:rPr>
          <w:rFonts w:asciiTheme="majorHAnsi" w:hAnsiTheme="majorHAnsi"/>
          <w:b/>
          <w:bCs/>
          <w:sz w:val="20"/>
          <w:szCs w:val="20"/>
          <w:lang w:val="es-ES"/>
        </w:rPr>
        <w:t>CARACTERIZACIÓN DE LOS HECHOS ALEGADOS</w:t>
      </w:r>
    </w:p>
    <w:p w14:paraId="0B106C5D" w14:textId="549844AC" w:rsidR="00551049" w:rsidRPr="0094106A" w:rsidRDefault="00123BAB"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94106A">
        <w:rPr>
          <w:rFonts w:asciiTheme="majorHAnsi" w:hAnsiTheme="majorHAnsi"/>
          <w:i/>
          <w:iCs/>
          <w:sz w:val="20"/>
          <w:szCs w:val="20"/>
          <w:lang w:val="es-ES"/>
        </w:rPr>
        <w:t>prima facie</w:t>
      </w:r>
      <w:r w:rsidRPr="0094106A">
        <w:rPr>
          <w:rFonts w:asciiTheme="majorHAnsi" w:hAnsiTheme="majorHAns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59CB30CF" w14:textId="532344BA" w:rsidR="001E2C54" w:rsidRPr="0094106A" w:rsidRDefault="00C472B3"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En atención a las fundamentaciones ya expuestas, y tras examinar los elementos de hecho y de derecho formulados por las partes, la Comisión estima que las alegaciones de la parte peticionaria no resultan manifiestamente infundadas y requieren un estudio de fondo, pues los hechos alegados, de corroborarse como ciertos, podrían caracterizar violaciones a los artículos</w:t>
      </w:r>
      <w:r w:rsidRPr="0094106A">
        <w:rPr>
          <w:rFonts w:asciiTheme="majorHAnsi" w:hAnsiTheme="majorHAnsi"/>
          <w:bCs/>
          <w:sz w:val="20"/>
          <w:szCs w:val="20"/>
          <w:lang w:val="es-ES"/>
        </w:rPr>
        <w:t xml:space="preserve"> 5 (derecho a la integridad personal), 8 (garantías judiciales), 23 (derechos políticos), 24 (igualdad ante la ley), 25 (protección judicial) y 26 (derechos económicos, sociales y culturales) de la Convención Americana, en relación con su artículo 1.1 (obligación de respetar los derechos) en perjuicio de la señora </w:t>
      </w:r>
      <w:r w:rsidR="00AB1684" w:rsidRPr="0094106A">
        <w:rPr>
          <w:rFonts w:asciiTheme="majorHAnsi" w:hAnsiTheme="majorHAnsi"/>
          <w:bCs/>
          <w:sz w:val="20"/>
          <w:szCs w:val="20"/>
          <w:lang w:val="es-ES"/>
        </w:rPr>
        <w:t>Haase Pérez</w:t>
      </w:r>
      <w:r w:rsidRPr="0094106A">
        <w:rPr>
          <w:rFonts w:asciiTheme="majorHAnsi" w:hAnsiTheme="majorHAnsi"/>
          <w:bCs/>
          <w:sz w:val="20"/>
          <w:szCs w:val="20"/>
          <w:lang w:val="es-ES"/>
        </w:rPr>
        <w:t>, así como el incumplimiento del artículo 7 de la Convención Belém Do Pará, toda vez que el hostigamiento, agresiones</w:t>
      </w:r>
      <w:r w:rsidR="00AB1684" w:rsidRPr="0094106A">
        <w:rPr>
          <w:rFonts w:asciiTheme="majorHAnsi" w:hAnsiTheme="majorHAnsi"/>
          <w:bCs/>
          <w:sz w:val="20"/>
          <w:szCs w:val="20"/>
          <w:lang w:val="es-ES"/>
        </w:rPr>
        <w:t xml:space="preserve"> y</w:t>
      </w:r>
      <w:r w:rsidRPr="0094106A">
        <w:rPr>
          <w:rFonts w:asciiTheme="majorHAnsi" w:hAnsiTheme="majorHAnsi"/>
          <w:bCs/>
          <w:sz w:val="20"/>
          <w:szCs w:val="20"/>
          <w:lang w:val="es-ES"/>
        </w:rPr>
        <w:t xml:space="preserve"> amenazas</w:t>
      </w:r>
      <w:r w:rsidR="00B1006C" w:rsidRPr="0094106A">
        <w:rPr>
          <w:rFonts w:asciiTheme="majorHAnsi" w:hAnsiTheme="majorHAnsi"/>
          <w:bCs/>
          <w:sz w:val="20"/>
          <w:szCs w:val="20"/>
          <w:lang w:val="es-ES"/>
        </w:rPr>
        <w:t xml:space="preserve"> contra ella</w:t>
      </w:r>
      <w:r w:rsidRPr="0094106A">
        <w:rPr>
          <w:rFonts w:asciiTheme="majorHAnsi" w:hAnsiTheme="majorHAnsi"/>
          <w:bCs/>
          <w:sz w:val="20"/>
          <w:szCs w:val="20"/>
          <w:lang w:val="es-ES"/>
        </w:rPr>
        <w:t xml:space="preserve"> se habría</w:t>
      </w:r>
      <w:r w:rsidR="00B1006C" w:rsidRPr="0094106A">
        <w:rPr>
          <w:rFonts w:asciiTheme="majorHAnsi" w:hAnsiTheme="majorHAnsi"/>
          <w:bCs/>
          <w:sz w:val="20"/>
          <w:szCs w:val="20"/>
          <w:lang w:val="es-ES"/>
        </w:rPr>
        <w:t>n</w:t>
      </w:r>
      <w:r w:rsidRPr="0094106A">
        <w:rPr>
          <w:rFonts w:asciiTheme="majorHAnsi" w:hAnsiTheme="majorHAnsi"/>
          <w:bCs/>
          <w:sz w:val="20"/>
          <w:szCs w:val="20"/>
          <w:lang w:val="es-ES"/>
        </w:rPr>
        <w:t xml:space="preserve"> producido como actos dirigidos a impedir el ejercicio de </w:t>
      </w:r>
      <w:r w:rsidR="00B1006C" w:rsidRPr="0094106A">
        <w:rPr>
          <w:rFonts w:asciiTheme="majorHAnsi" w:hAnsiTheme="majorHAnsi"/>
          <w:bCs/>
          <w:sz w:val="20"/>
          <w:szCs w:val="20"/>
          <w:lang w:val="es-ES"/>
        </w:rPr>
        <w:t xml:space="preserve">su </w:t>
      </w:r>
      <w:r w:rsidRPr="0094106A">
        <w:rPr>
          <w:rFonts w:asciiTheme="majorHAnsi" w:hAnsiTheme="majorHAnsi"/>
          <w:bCs/>
          <w:sz w:val="20"/>
          <w:szCs w:val="20"/>
          <w:lang w:val="es-ES"/>
        </w:rPr>
        <w:t>actividad como mujer electa para un cargo púbico</w:t>
      </w:r>
      <w:r w:rsidRPr="0094106A">
        <w:rPr>
          <w:rStyle w:val="FootnoteReference"/>
          <w:rFonts w:asciiTheme="majorHAnsi" w:hAnsiTheme="majorHAnsi"/>
          <w:bCs/>
          <w:sz w:val="20"/>
          <w:szCs w:val="20"/>
          <w:lang w:val="es-ES"/>
        </w:rPr>
        <w:footnoteReference w:id="10"/>
      </w:r>
      <w:r w:rsidRPr="0094106A">
        <w:rPr>
          <w:rFonts w:asciiTheme="majorHAnsi" w:hAnsiTheme="majorHAnsi"/>
          <w:bCs/>
          <w:sz w:val="20"/>
          <w:szCs w:val="20"/>
          <w:lang w:val="es-ES"/>
        </w:rPr>
        <w:t xml:space="preserve">. </w:t>
      </w:r>
    </w:p>
    <w:p w14:paraId="4A0DE313" w14:textId="123F4CAA" w:rsidR="00C472B3" w:rsidRPr="0094106A" w:rsidRDefault="00C472B3" w:rsidP="00941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lastRenderedPageBreak/>
        <w:t xml:space="preserve">Finalmente, respecto del artículo </w:t>
      </w:r>
      <w:r w:rsidR="001E2C54" w:rsidRPr="0094106A">
        <w:rPr>
          <w:rFonts w:asciiTheme="majorHAnsi" w:hAnsiTheme="majorHAnsi"/>
          <w:bCs/>
          <w:sz w:val="20"/>
          <w:szCs w:val="20"/>
          <w:lang w:val="es-ES"/>
        </w:rPr>
        <w:t>4</w:t>
      </w:r>
      <w:r w:rsidRPr="0094106A">
        <w:rPr>
          <w:rFonts w:asciiTheme="majorHAnsi" w:hAnsiTheme="majorHAnsi"/>
          <w:bCs/>
          <w:sz w:val="20"/>
          <w:szCs w:val="20"/>
          <w:lang w:val="es-ES"/>
        </w:rPr>
        <w:t xml:space="preserve"> (</w:t>
      </w:r>
      <w:r w:rsidR="001E2C54" w:rsidRPr="0094106A">
        <w:rPr>
          <w:rFonts w:asciiTheme="majorHAnsi" w:hAnsiTheme="majorHAnsi"/>
          <w:bCs/>
          <w:sz w:val="20"/>
          <w:szCs w:val="20"/>
          <w:lang w:val="es-ES"/>
        </w:rPr>
        <w:t>derecho a la vida</w:t>
      </w:r>
      <w:r w:rsidRPr="0094106A">
        <w:rPr>
          <w:rFonts w:asciiTheme="majorHAnsi" w:hAnsiTheme="majorHAnsi"/>
          <w:bCs/>
          <w:sz w:val="20"/>
          <w:szCs w:val="20"/>
          <w:lang w:val="es-ES"/>
        </w:rPr>
        <w:t>)</w:t>
      </w:r>
      <w:r w:rsidRPr="0094106A">
        <w:rPr>
          <w:rFonts w:asciiTheme="majorHAnsi" w:hAnsiTheme="majorHAnsi"/>
          <w:sz w:val="20"/>
          <w:szCs w:val="20"/>
          <w:lang w:val="es-ES"/>
        </w:rPr>
        <w:t xml:space="preserve"> de la Convención Americana, la Comisión concluye que la parte peticionaria no aporta argumentos o información que permitan, </w:t>
      </w:r>
      <w:r w:rsidRPr="0094106A">
        <w:rPr>
          <w:rFonts w:asciiTheme="majorHAnsi" w:hAnsiTheme="majorHAnsi"/>
          <w:i/>
          <w:iCs/>
          <w:sz w:val="20"/>
          <w:szCs w:val="20"/>
          <w:lang w:val="es-ES"/>
        </w:rPr>
        <w:t>prima facie</w:t>
      </w:r>
      <w:r w:rsidRPr="0094106A">
        <w:rPr>
          <w:rFonts w:asciiTheme="majorHAnsi" w:hAnsiTheme="majorHAnsi"/>
          <w:sz w:val="20"/>
          <w:szCs w:val="20"/>
          <w:lang w:val="es-ES"/>
        </w:rPr>
        <w:t>, identificar su posible vulneración</w:t>
      </w:r>
      <w:r w:rsidR="00547D88">
        <w:rPr>
          <w:rFonts w:asciiTheme="majorHAnsi" w:hAnsiTheme="majorHAnsi"/>
          <w:sz w:val="20"/>
          <w:szCs w:val="20"/>
          <w:lang w:val="es-ES"/>
        </w:rPr>
        <w:t>.</w:t>
      </w:r>
    </w:p>
    <w:p w14:paraId="29BB41F5" w14:textId="77777777" w:rsidR="003239B8" w:rsidRPr="0094106A" w:rsidRDefault="003239B8" w:rsidP="0094106A">
      <w:pPr>
        <w:pStyle w:val="ListParagraph"/>
        <w:spacing w:after="240"/>
        <w:jc w:val="both"/>
        <w:rPr>
          <w:rFonts w:asciiTheme="majorHAnsi" w:hAnsiTheme="majorHAnsi"/>
          <w:b/>
          <w:bCs/>
          <w:sz w:val="20"/>
          <w:szCs w:val="20"/>
          <w:lang w:val="es-ES"/>
        </w:rPr>
      </w:pPr>
      <w:r w:rsidRPr="0094106A">
        <w:rPr>
          <w:rFonts w:asciiTheme="majorHAnsi" w:hAnsiTheme="majorHAnsi"/>
          <w:b/>
          <w:bCs/>
          <w:sz w:val="20"/>
          <w:szCs w:val="20"/>
          <w:lang w:val="es-ES"/>
        </w:rPr>
        <w:t xml:space="preserve">VIII. </w:t>
      </w:r>
      <w:r w:rsidRPr="0094106A">
        <w:rPr>
          <w:rFonts w:asciiTheme="majorHAnsi" w:hAnsiTheme="majorHAnsi"/>
          <w:b/>
          <w:bCs/>
          <w:sz w:val="20"/>
          <w:szCs w:val="20"/>
          <w:lang w:val="es-ES"/>
        </w:rPr>
        <w:tab/>
        <w:t>DECISIÓN</w:t>
      </w:r>
    </w:p>
    <w:p w14:paraId="0FDE1D10" w14:textId="79158299" w:rsidR="003239B8" w:rsidRPr="0094106A" w:rsidRDefault="003239B8" w:rsidP="0094106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 xml:space="preserve">Declarar admisible la presente petición en relación con </w:t>
      </w:r>
      <w:r w:rsidR="005A2B55" w:rsidRPr="0094106A">
        <w:rPr>
          <w:rFonts w:asciiTheme="majorHAnsi" w:hAnsiTheme="majorHAnsi"/>
          <w:sz w:val="20"/>
          <w:szCs w:val="20"/>
          <w:lang w:val="es-ES"/>
        </w:rPr>
        <w:t>los artículos 5, 8, 23, 24, 25 y 26 de la Convención Americana</w:t>
      </w:r>
      <w:r w:rsidR="00A758AA" w:rsidRPr="0094106A">
        <w:rPr>
          <w:rFonts w:asciiTheme="majorHAnsi" w:hAnsiTheme="majorHAnsi"/>
          <w:sz w:val="20"/>
          <w:szCs w:val="20"/>
          <w:lang w:val="es-ES"/>
        </w:rPr>
        <w:t>;</w:t>
      </w:r>
      <w:r w:rsidR="005A2B55" w:rsidRPr="0094106A">
        <w:rPr>
          <w:rFonts w:asciiTheme="majorHAnsi" w:hAnsiTheme="majorHAnsi"/>
          <w:sz w:val="20"/>
          <w:szCs w:val="20"/>
          <w:lang w:val="es-ES"/>
        </w:rPr>
        <w:t xml:space="preserve"> y el artículo 7 de la Convención Belém Do Pará;</w:t>
      </w:r>
      <w:r w:rsidR="007B76D3" w:rsidRPr="0094106A">
        <w:rPr>
          <w:rFonts w:asciiTheme="majorHAnsi" w:hAnsiTheme="majorHAnsi"/>
          <w:sz w:val="20"/>
          <w:szCs w:val="20"/>
          <w:lang w:val="es-ES"/>
        </w:rPr>
        <w:t xml:space="preserve"> </w:t>
      </w:r>
    </w:p>
    <w:p w14:paraId="41AA5BF6" w14:textId="17D1B915" w:rsidR="000419AD" w:rsidRPr="00B80CA0" w:rsidRDefault="000419AD" w:rsidP="00B80CA0">
      <w:pPr>
        <w:pStyle w:val="ListParagraph"/>
        <w:numPr>
          <w:ilvl w:val="0"/>
          <w:numId w:val="109"/>
        </w:numPr>
        <w:spacing w:after="240"/>
        <w:rPr>
          <w:rFonts w:asciiTheme="majorHAnsi" w:eastAsia="Arial Unicode MS" w:hAnsiTheme="majorHAnsi" w:cs="Times New Roman"/>
          <w:color w:val="auto"/>
          <w:sz w:val="20"/>
          <w:szCs w:val="20"/>
          <w:lang w:val="es-ES" w:eastAsia="en-US"/>
        </w:rPr>
      </w:pPr>
      <w:r w:rsidRPr="0094106A">
        <w:rPr>
          <w:rFonts w:asciiTheme="majorHAnsi" w:eastAsia="Arial Unicode MS" w:hAnsiTheme="majorHAnsi" w:cs="Times New Roman"/>
          <w:color w:val="auto"/>
          <w:sz w:val="20"/>
          <w:szCs w:val="20"/>
          <w:lang w:val="es-ES" w:eastAsia="en-US"/>
        </w:rPr>
        <w:t>Decl</w:t>
      </w:r>
      <w:r w:rsidRPr="00C24CAC">
        <w:rPr>
          <w:rFonts w:asciiTheme="majorHAnsi" w:eastAsia="Arial Unicode MS" w:hAnsiTheme="majorHAnsi" w:cs="Times New Roman"/>
          <w:color w:val="auto"/>
          <w:sz w:val="20"/>
          <w:szCs w:val="20"/>
          <w:lang w:val="es-ES" w:eastAsia="en-US"/>
        </w:rPr>
        <w:t>arar inadmisible la pre</w:t>
      </w:r>
      <w:r w:rsidRPr="0094106A">
        <w:rPr>
          <w:rFonts w:asciiTheme="majorHAnsi" w:eastAsia="Arial Unicode MS" w:hAnsiTheme="majorHAnsi" w:cs="Times New Roman"/>
          <w:color w:val="auto"/>
          <w:sz w:val="20"/>
          <w:szCs w:val="20"/>
          <w:lang w:val="es-ES" w:eastAsia="en-US"/>
        </w:rPr>
        <w:t xml:space="preserve">sente petición en relación con </w:t>
      </w:r>
      <w:r w:rsidR="005A2B55" w:rsidRPr="0094106A">
        <w:rPr>
          <w:rFonts w:asciiTheme="majorHAnsi" w:eastAsia="Arial Unicode MS" w:hAnsiTheme="majorHAnsi" w:cs="Times New Roman"/>
          <w:color w:val="auto"/>
          <w:sz w:val="20"/>
          <w:szCs w:val="20"/>
          <w:lang w:val="es-ES" w:eastAsia="en-US"/>
        </w:rPr>
        <w:t>el artículo 4 de la Convención</w:t>
      </w:r>
      <w:r w:rsidR="00305C05">
        <w:rPr>
          <w:rFonts w:asciiTheme="majorHAnsi" w:eastAsia="Arial Unicode MS" w:hAnsiTheme="majorHAnsi" w:cs="Times New Roman"/>
          <w:color w:val="auto"/>
          <w:sz w:val="20"/>
          <w:szCs w:val="20"/>
          <w:lang w:val="es-ES" w:eastAsia="en-US"/>
        </w:rPr>
        <w:t>,</w:t>
      </w:r>
      <w:r w:rsidR="004A6A54" w:rsidRPr="0094106A">
        <w:rPr>
          <w:rFonts w:asciiTheme="majorHAnsi" w:eastAsia="Arial Unicode MS" w:hAnsiTheme="majorHAnsi" w:cs="Times New Roman"/>
          <w:color w:val="auto"/>
          <w:sz w:val="20"/>
          <w:szCs w:val="20"/>
          <w:lang w:val="es-ES" w:eastAsia="en-US"/>
        </w:rPr>
        <w:t xml:space="preserve"> y</w:t>
      </w:r>
      <w:r w:rsidR="00305C05">
        <w:rPr>
          <w:rFonts w:asciiTheme="majorHAnsi" w:eastAsia="Arial Unicode MS" w:hAnsiTheme="majorHAnsi" w:cs="Times New Roman"/>
          <w:color w:val="auto"/>
          <w:sz w:val="20"/>
          <w:szCs w:val="20"/>
          <w:lang w:val="es-ES" w:eastAsia="en-US"/>
        </w:rPr>
        <w:t>;</w:t>
      </w:r>
    </w:p>
    <w:p w14:paraId="12A7002C" w14:textId="77777777" w:rsidR="004A6A54" w:rsidRDefault="004A6A54" w:rsidP="0094106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4106A">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CD4DFBD" w14:textId="7B478957" w:rsidR="003239B8" w:rsidRPr="00F1046C" w:rsidRDefault="00305C05" w:rsidP="00F1046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al </w:t>
      </w:r>
      <w:r>
        <w:rPr>
          <w:rStyle w:val="normaltextrun"/>
          <w:rFonts w:ascii="Cambria" w:eastAsia="Trebuchet MS" w:hAnsi="Cambria" w:cs="Segoe UI"/>
          <w:sz w:val="20"/>
          <w:szCs w:val="20"/>
          <w:lang w:val="es-CL"/>
        </w:rPr>
        <w:t>primer</w:t>
      </w:r>
      <w:r>
        <w:rPr>
          <w:rStyle w:val="normaltextrun"/>
          <w:rFonts w:ascii="Cambria" w:hAnsi="Cambria" w:cs="Segoe UI"/>
          <w:sz w:val="20"/>
          <w:szCs w:val="20"/>
          <w:lang w:val="es-CL"/>
        </w:rPr>
        <w:t xml:space="preserve"> día del mes de </w:t>
      </w:r>
      <w:r>
        <w:rPr>
          <w:rStyle w:val="normaltextrun"/>
          <w:rFonts w:ascii="Cambria" w:eastAsia="Trebuchet MS" w:hAnsi="Cambria" w:cs="Segoe UI"/>
          <w:sz w:val="20"/>
          <w:szCs w:val="20"/>
          <w:lang w:val="es-CL"/>
        </w:rPr>
        <w:t>julio</w:t>
      </w:r>
      <w:r>
        <w:rPr>
          <w:rStyle w:val="normaltextrun"/>
          <w:rFonts w:ascii="Cambria" w:hAnsi="Cambria" w:cs="Segoe UI"/>
          <w:sz w:val="20"/>
          <w:szCs w:val="20"/>
          <w:lang w:val="es-CL"/>
        </w:rPr>
        <w:t xml:space="preserve"> de 2024.</w:t>
      </w:r>
      <w:r w:rsidR="00F1046C">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Carlos Bernal Pulido, Primer Vicepresidente; José Luis Caballero Ochoa, Segundo Vicepresidente; Edgar Stuardo Ralón Orellana</w:t>
      </w:r>
      <w:r>
        <w:rPr>
          <w:rStyle w:val="normaltextrun"/>
          <w:rFonts w:ascii="Cambria" w:eastAsia="Trebuchet MS" w:hAnsi="Cambria" w:cs="Segoe UI"/>
          <w:sz w:val="20"/>
          <w:szCs w:val="20"/>
          <w:lang w:val="es-CL"/>
        </w:rPr>
        <w:t xml:space="preserve"> y</w:t>
      </w:r>
      <w:r>
        <w:rPr>
          <w:rStyle w:val="normaltextrun"/>
          <w:rFonts w:ascii="Cambria" w:hAnsi="Cambria" w:cs="Segoe UI"/>
          <w:sz w:val="20"/>
          <w:szCs w:val="20"/>
          <w:lang w:val="es-CL"/>
        </w:rPr>
        <w:t xml:space="preserve"> Andrea Pochak</w:t>
      </w:r>
      <w:r>
        <w:rPr>
          <w:rStyle w:val="normaltextrun"/>
          <w:rFonts w:ascii="Cambria" w:eastAsia="Trebuchet MS" w:hAnsi="Cambria" w:cs="Segoe UI"/>
          <w:sz w:val="20"/>
          <w:szCs w:val="20"/>
          <w:lang w:val="es-CL"/>
        </w:rPr>
        <w:t>,</w:t>
      </w:r>
      <w:r>
        <w:rPr>
          <w:rStyle w:val="normaltextrun"/>
          <w:rFonts w:ascii="Cambria" w:hAnsi="Cambria" w:cs="Segoe UI"/>
          <w:sz w:val="20"/>
          <w:szCs w:val="20"/>
          <w:lang w:val="es-CL"/>
        </w:rPr>
        <w:t xml:space="preserve"> </w:t>
      </w:r>
      <w:r w:rsidR="00F1046C">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0D98495A" w14:textId="77777777" w:rsidR="008D768D" w:rsidRPr="0094106A" w:rsidRDefault="008D768D" w:rsidP="0094106A">
      <w:pPr>
        <w:tabs>
          <w:tab w:val="center" w:pos="5400"/>
        </w:tabs>
        <w:suppressAutoHyphens/>
        <w:spacing w:after="240"/>
        <w:rPr>
          <w:rFonts w:asciiTheme="majorHAnsi" w:hAnsiTheme="majorHAnsi"/>
          <w:sz w:val="20"/>
          <w:szCs w:val="20"/>
          <w:lang w:val="es-ES"/>
        </w:rPr>
      </w:pPr>
    </w:p>
    <w:p w14:paraId="2642C68E" w14:textId="77777777" w:rsidR="008D768D" w:rsidRPr="0094106A" w:rsidRDefault="008D768D" w:rsidP="0094106A">
      <w:pPr>
        <w:tabs>
          <w:tab w:val="center" w:pos="5400"/>
        </w:tabs>
        <w:suppressAutoHyphens/>
        <w:spacing w:after="240"/>
        <w:rPr>
          <w:rFonts w:asciiTheme="majorHAnsi" w:hAnsiTheme="majorHAnsi"/>
          <w:sz w:val="20"/>
          <w:szCs w:val="20"/>
          <w:lang w:val="es-ES"/>
        </w:rPr>
      </w:pPr>
    </w:p>
    <w:p w14:paraId="6AC80CA6" w14:textId="77777777" w:rsidR="00722C9F" w:rsidRPr="0094106A" w:rsidRDefault="00722C9F" w:rsidP="0094106A">
      <w:pPr>
        <w:spacing w:after="240"/>
        <w:rPr>
          <w:rFonts w:asciiTheme="majorHAnsi" w:hAnsiTheme="majorHAnsi" w:cs="Calibri"/>
          <w:sz w:val="20"/>
          <w:szCs w:val="20"/>
          <w:lang w:val="es-ES"/>
        </w:rPr>
      </w:pPr>
    </w:p>
    <w:sectPr w:rsidR="00722C9F" w:rsidRPr="0094106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9291" w14:textId="77777777" w:rsidR="00A21221" w:rsidRDefault="00A21221">
      <w:r>
        <w:separator/>
      </w:r>
    </w:p>
  </w:endnote>
  <w:endnote w:type="continuationSeparator" w:id="0">
    <w:p w14:paraId="44F5ECD5" w14:textId="77777777" w:rsidR="00A21221" w:rsidRDefault="00A2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885A" w14:textId="77777777" w:rsidR="00A21221" w:rsidRPr="000F35ED" w:rsidRDefault="00A2122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011391B" w14:textId="77777777" w:rsidR="00A21221" w:rsidRPr="000F35ED" w:rsidRDefault="00A21221" w:rsidP="000F35ED">
      <w:pPr>
        <w:rPr>
          <w:rFonts w:asciiTheme="majorHAnsi" w:hAnsiTheme="majorHAnsi"/>
          <w:sz w:val="16"/>
          <w:szCs w:val="16"/>
        </w:rPr>
      </w:pPr>
      <w:r w:rsidRPr="000F35ED">
        <w:rPr>
          <w:rFonts w:asciiTheme="majorHAnsi" w:hAnsiTheme="majorHAnsi"/>
          <w:sz w:val="16"/>
          <w:szCs w:val="16"/>
        </w:rPr>
        <w:separator/>
      </w:r>
    </w:p>
    <w:p w14:paraId="4FC89028" w14:textId="77777777" w:rsidR="00A21221" w:rsidRPr="000F35ED" w:rsidRDefault="00A2122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5DA9E84" w14:textId="77777777" w:rsidR="00A21221" w:rsidRPr="000F35ED" w:rsidRDefault="00A2122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8D63C04" w14:textId="77777777" w:rsidR="003C02C9" w:rsidRPr="00B476D7" w:rsidRDefault="003C02C9" w:rsidP="00334F02">
      <w:pPr>
        <w:pStyle w:val="FootnoteText"/>
        <w:ind w:firstLine="720"/>
        <w:jc w:val="both"/>
        <w:rPr>
          <w:rFonts w:asciiTheme="majorHAnsi" w:hAnsiTheme="majorHAnsi"/>
          <w:sz w:val="16"/>
          <w:szCs w:val="16"/>
          <w:lang w:val="es-US"/>
        </w:rPr>
      </w:pPr>
      <w:r w:rsidRPr="008B453D">
        <w:rPr>
          <w:rStyle w:val="FootnoteReference"/>
          <w:rFonts w:asciiTheme="majorHAnsi" w:hAnsiTheme="majorHAnsi"/>
          <w:sz w:val="16"/>
          <w:szCs w:val="16"/>
        </w:rPr>
        <w:footnoteRef/>
      </w:r>
      <w:r w:rsidRPr="008B453D">
        <w:rPr>
          <w:rFonts w:asciiTheme="majorHAnsi" w:hAnsiTheme="majorHAnsi"/>
          <w:sz w:val="16"/>
          <w:szCs w:val="16"/>
          <w:lang w:val="es-US"/>
        </w:rPr>
        <w:t xml:space="preserve"> En adelante, “la Convención Americana” o “la Convenc</w:t>
      </w:r>
      <w:r w:rsidRPr="00B476D7">
        <w:rPr>
          <w:rFonts w:asciiTheme="majorHAnsi" w:hAnsiTheme="majorHAnsi"/>
          <w:sz w:val="16"/>
          <w:szCs w:val="16"/>
          <w:lang w:val="es-US"/>
        </w:rPr>
        <w:t>ión”.</w:t>
      </w:r>
    </w:p>
  </w:footnote>
  <w:footnote w:id="3">
    <w:p w14:paraId="79F07139" w14:textId="77777777" w:rsidR="008E3BFE" w:rsidRPr="00537490" w:rsidRDefault="008E3BFE" w:rsidP="00334F02">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4EF0A7EF" w14:textId="77777777" w:rsidR="0001622D" w:rsidRPr="009756E5" w:rsidRDefault="0001622D" w:rsidP="00334F02">
      <w:pPr>
        <w:pStyle w:val="FootnoteText"/>
        <w:ind w:firstLine="720"/>
        <w:jc w:val="both"/>
        <w:rPr>
          <w:rFonts w:asciiTheme="majorHAnsi" w:hAnsiTheme="majorHAnsi"/>
          <w:sz w:val="16"/>
          <w:szCs w:val="16"/>
          <w:lang w:val="es-US"/>
        </w:rPr>
      </w:pPr>
      <w:r w:rsidRPr="006F7039">
        <w:rPr>
          <w:rStyle w:val="FootnoteReference"/>
          <w:rFonts w:asciiTheme="majorHAnsi" w:hAnsiTheme="majorHAnsi"/>
          <w:sz w:val="16"/>
          <w:szCs w:val="16"/>
        </w:rPr>
        <w:footnoteRef/>
      </w:r>
      <w:r w:rsidRPr="006F7039">
        <w:rPr>
          <w:rFonts w:asciiTheme="majorHAnsi" w:hAnsiTheme="majorHAnsi"/>
          <w:sz w:val="16"/>
          <w:szCs w:val="16"/>
          <w:lang w:val="es-US"/>
        </w:rPr>
        <w:t xml:space="preserve"> CIDH, Informe No. 56/08, Petición 11.602</w:t>
      </w:r>
      <w:r w:rsidRPr="009756E5">
        <w:rPr>
          <w:rFonts w:asciiTheme="majorHAnsi" w:hAnsiTheme="majorHAnsi"/>
          <w:sz w:val="16"/>
          <w:szCs w:val="16"/>
          <w:lang w:val="es-US"/>
        </w:rPr>
        <w:t>. Admisibilidad. Trabajadores despedidos de Petróleos Del Perú (Petroperú) Zona Noroeste –Talara. Perú. 24 de julio de 2008, párr. 58.</w:t>
      </w:r>
    </w:p>
  </w:footnote>
  <w:footnote w:id="5">
    <w:p w14:paraId="0E93204B" w14:textId="77777777" w:rsidR="009756E5" w:rsidRPr="009756E5" w:rsidRDefault="00917D73" w:rsidP="00334F02">
      <w:pPr>
        <w:pStyle w:val="FootnoteText"/>
        <w:ind w:firstLine="720"/>
        <w:jc w:val="both"/>
        <w:rPr>
          <w:rFonts w:asciiTheme="majorHAnsi" w:hAnsiTheme="majorHAnsi"/>
          <w:sz w:val="16"/>
          <w:szCs w:val="16"/>
          <w:lang w:val="es-PE"/>
        </w:rPr>
      </w:pPr>
      <w:r w:rsidRPr="009756E5">
        <w:rPr>
          <w:rStyle w:val="FootnoteReference"/>
          <w:rFonts w:asciiTheme="majorHAnsi" w:hAnsiTheme="majorHAnsi"/>
          <w:sz w:val="16"/>
          <w:szCs w:val="16"/>
        </w:rPr>
        <w:footnoteRef/>
      </w:r>
      <w:r w:rsidRPr="009756E5">
        <w:rPr>
          <w:rFonts w:asciiTheme="majorHAnsi" w:hAnsiTheme="majorHAnsi"/>
          <w:sz w:val="16"/>
          <w:szCs w:val="16"/>
          <w:lang w:val="es-PE"/>
        </w:rPr>
        <w:t xml:space="preserve"> </w:t>
      </w:r>
      <w:r w:rsidR="009756E5" w:rsidRPr="009756E5">
        <w:rPr>
          <w:rFonts w:asciiTheme="majorHAnsi" w:hAnsiTheme="majorHAnsi"/>
          <w:sz w:val="16"/>
          <w:szCs w:val="16"/>
          <w:lang w:val="es-PE"/>
        </w:rPr>
        <w:t>CIDH, Informe No. 159/17, Petición 712-08, Admisibilidad, Sebastián Larroza Velázquez y familia, Paraguay, 30 de noviembre</w:t>
      </w:r>
    </w:p>
    <w:p w14:paraId="3D68B601" w14:textId="1F281205" w:rsidR="00917D73" w:rsidRPr="009756E5" w:rsidRDefault="009756E5" w:rsidP="00334F02">
      <w:pPr>
        <w:pStyle w:val="FootnoteText"/>
        <w:jc w:val="both"/>
        <w:rPr>
          <w:rFonts w:asciiTheme="majorHAnsi" w:hAnsiTheme="majorHAnsi"/>
          <w:sz w:val="16"/>
          <w:szCs w:val="16"/>
          <w:lang w:val="es-PE"/>
        </w:rPr>
      </w:pPr>
      <w:r w:rsidRPr="009756E5">
        <w:rPr>
          <w:rFonts w:asciiTheme="majorHAnsi" w:hAnsiTheme="majorHAnsi"/>
          <w:sz w:val="16"/>
          <w:szCs w:val="16"/>
          <w:lang w:val="es-PE"/>
        </w:rPr>
        <w:t>de 2017, párr. 14; CIDH, Informe No. 108/19, Petición 81-09, Admisibilidad, Anael Fidel Sanjuanelo Polo y familia, Colombia, 0028 de julio de 2019, párr. 17-19.</w:t>
      </w:r>
    </w:p>
  </w:footnote>
  <w:footnote w:id="6">
    <w:p w14:paraId="45F136A6" w14:textId="2FA388D2" w:rsidR="00862BCA" w:rsidRPr="008529CD" w:rsidRDefault="00862BCA" w:rsidP="00334F02">
      <w:pPr>
        <w:pStyle w:val="FootnoteText"/>
        <w:ind w:firstLine="720"/>
        <w:jc w:val="both"/>
        <w:rPr>
          <w:rFonts w:asciiTheme="majorHAnsi" w:hAnsiTheme="majorHAnsi"/>
          <w:color w:val="auto"/>
          <w:sz w:val="16"/>
          <w:szCs w:val="16"/>
          <w:lang w:val="es-PE"/>
        </w:rPr>
      </w:pPr>
      <w:r w:rsidRPr="008529CD">
        <w:rPr>
          <w:rStyle w:val="FootnoteReference"/>
          <w:rFonts w:asciiTheme="majorHAnsi" w:hAnsiTheme="majorHAnsi"/>
          <w:sz w:val="16"/>
          <w:szCs w:val="16"/>
        </w:rPr>
        <w:footnoteRef/>
      </w:r>
      <w:r w:rsidRPr="008529CD">
        <w:rPr>
          <w:rFonts w:asciiTheme="majorHAnsi" w:hAnsiTheme="majorHAnsi"/>
          <w:sz w:val="16"/>
          <w:szCs w:val="16"/>
          <w:lang w:val="es-PE"/>
        </w:rPr>
        <w:t xml:space="preserve"> </w:t>
      </w:r>
      <w:r w:rsidR="008529CD" w:rsidRPr="008529CD">
        <w:rPr>
          <w:rFonts w:asciiTheme="majorHAnsi" w:hAnsiTheme="majorHAnsi"/>
          <w:sz w:val="16"/>
          <w:szCs w:val="16"/>
          <w:lang w:val="es-PE"/>
        </w:rPr>
        <w:t>CIDH, Informe No. 161/17, Petici</w:t>
      </w:r>
      <w:r w:rsidR="008529CD" w:rsidRPr="008529CD">
        <w:rPr>
          <w:rFonts w:asciiTheme="majorHAnsi" w:hAnsiTheme="majorHAnsi"/>
          <w:color w:val="auto"/>
          <w:sz w:val="16"/>
          <w:szCs w:val="16"/>
          <w:lang w:val="es-PE"/>
        </w:rPr>
        <w:t xml:space="preserve">ón 29-07. Admisibilidad. </w:t>
      </w:r>
      <w:r w:rsidR="008529CD" w:rsidRPr="00F1046C">
        <w:rPr>
          <w:rFonts w:asciiTheme="majorHAnsi" w:hAnsiTheme="majorHAnsi"/>
          <w:color w:val="auto"/>
          <w:sz w:val="16"/>
          <w:szCs w:val="16"/>
          <w:lang w:val="es-AR"/>
        </w:rPr>
        <w:t xml:space="preserve">Andy Williams Garcés Suárez y familia. </w:t>
      </w:r>
      <w:r w:rsidR="008529CD" w:rsidRPr="008529CD">
        <w:rPr>
          <w:rFonts w:asciiTheme="majorHAnsi" w:hAnsiTheme="majorHAnsi"/>
          <w:color w:val="auto"/>
          <w:sz w:val="16"/>
          <w:szCs w:val="16"/>
          <w:lang w:val="es-PE"/>
        </w:rPr>
        <w:t>Perú. 30 de noviembre de 2017, párr. 12.</w:t>
      </w:r>
    </w:p>
  </w:footnote>
  <w:footnote w:id="7">
    <w:p w14:paraId="5350CE89" w14:textId="77777777" w:rsidR="00024F59" w:rsidRPr="00F8157B" w:rsidRDefault="00024F59" w:rsidP="00334F02">
      <w:pPr>
        <w:pStyle w:val="FootnoteText"/>
        <w:ind w:firstLine="720"/>
        <w:rPr>
          <w:rFonts w:asciiTheme="majorHAnsi" w:hAnsiTheme="majorHAnsi"/>
          <w:sz w:val="16"/>
          <w:szCs w:val="16"/>
          <w:lang w:val="es-US"/>
        </w:rPr>
      </w:pPr>
      <w:r w:rsidRPr="00F8157B">
        <w:rPr>
          <w:rStyle w:val="FootnoteReference"/>
          <w:rFonts w:asciiTheme="majorHAnsi" w:hAnsiTheme="majorHAnsi"/>
          <w:sz w:val="16"/>
          <w:szCs w:val="16"/>
        </w:rPr>
        <w:footnoteRef/>
      </w:r>
      <w:r w:rsidRPr="00F1046C">
        <w:rPr>
          <w:rFonts w:asciiTheme="majorHAnsi" w:hAnsiTheme="majorHAnsi"/>
          <w:sz w:val="16"/>
          <w:szCs w:val="16"/>
          <w:lang w:val="es-AR"/>
        </w:rPr>
        <w:t xml:space="preserve"> Corte IDH. Caso Olivera Fuentes Vs. </w:t>
      </w:r>
      <w:r w:rsidRPr="00F8157B">
        <w:rPr>
          <w:rFonts w:asciiTheme="majorHAnsi" w:hAnsiTheme="majorHAnsi"/>
          <w:sz w:val="16"/>
          <w:szCs w:val="16"/>
          <w:lang w:val="es-PE"/>
        </w:rPr>
        <w:t xml:space="preserve">Perú. Excepciones Preliminares, Fondo, Reparaciones y Costas. </w:t>
      </w:r>
      <w:r w:rsidRPr="00024F59">
        <w:rPr>
          <w:rFonts w:asciiTheme="majorHAnsi" w:hAnsiTheme="majorHAnsi"/>
          <w:sz w:val="16"/>
          <w:szCs w:val="16"/>
          <w:lang w:val="es-PE"/>
        </w:rPr>
        <w:t>Sentencia de 4 de febrero de 2023. Serie C No. 484, párr. 26.</w:t>
      </w:r>
    </w:p>
  </w:footnote>
  <w:footnote w:id="8">
    <w:p w14:paraId="2298B585" w14:textId="77777777" w:rsidR="00287B3C" w:rsidRPr="00CF02F2" w:rsidRDefault="00287B3C" w:rsidP="00334F02">
      <w:pPr>
        <w:pStyle w:val="FootnoteText"/>
        <w:ind w:firstLine="720"/>
        <w:jc w:val="both"/>
        <w:rPr>
          <w:rFonts w:asciiTheme="majorHAnsi" w:hAnsiTheme="majorHAnsi"/>
          <w:sz w:val="16"/>
          <w:szCs w:val="16"/>
          <w:lang w:val="es-US"/>
        </w:rPr>
      </w:pPr>
      <w:r w:rsidRPr="00CF02F2">
        <w:rPr>
          <w:rStyle w:val="FootnoteReference"/>
          <w:rFonts w:asciiTheme="majorHAnsi" w:hAnsiTheme="majorHAnsi"/>
          <w:sz w:val="16"/>
          <w:szCs w:val="16"/>
        </w:rPr>
        <w:footnoteRef/>
      </w:r>
      <w:r w:rsidRPr="00CF02F2">
        <w:rPr>
          <w:rFonts w:asciiTheme="majorHAnsi" w:hAnsiTheme="majorHAnsi"/>
          <w:sz w:val="16"/>
          <w:szCs w:val="16"/>
          <w:lang w:val="es-US"/>
        </w:rPr>
        <w:t xml:space="preserve"> Corte IDH</w:t>
      </w:r>
      <w:r>
        <w:rPr>
          <w:rFonts w:asciiTheme="majorHAnsi" w:hAnsiTheme="majorHAnsi"/>
          <w:sz w:val="16"/>
          <w:szCs w:val="16"/>
          <w:lang w:val="es-US"/>
        </w:rPr>
        <w:t>,</w:t>
      </w:r>
      <w:r w:rsidRPr="00CF02F2">
        <w:rPr>
          <w:rFonts w:asciiTheme="majorHAnsi" w:hAnsiTheme="majorHAnsi"/>
          <w:sz w:val="16"/>
          <w:szCs w:val="16"/>
          <w:lang w:val="es-US"/>
        </w:rPr>
        <w:t xml:space="preserve"> </w:t>
      </w:r>
      <w:r w:rsidRPr="009D4060">
        <w:rPr>
          <w:rFonts w:asciiTheme="majorHAnsi" w:hAnsiTheme="majorHAnsi"/>
          <w:i/>
          <w:iCs/>
          <w:sz w:val="16"/>
          <w:szCs w:val="16"/>
          <w:lang w:val="es-US"/>
        </w:rPr>
        <w:t>Caso V</w:t>
      </w:r>
      <w:r w:rsidRPr="00F32B01">
        <w:rPr>
          <w:rFonts w:asciiTheme="majorHAnsi" w:hAnsiTheme="majorHAnsi"/>
          <w:i/>
          <w:iCs/>
          <w:sz w:val="16"/>
          <w:szCs w:val="16"/>
          <w:lang w:val="es-US"/>
        </w:rPr>
        <w:t>elásquez Rodríguez Vs. Honduras</w:t>
      </w:r>
      <w:r w:rsidRPr="00F32B01">
        <w:rPr>
          <w:rFonts w:asciiTheme="majorHAnsi" w:hAnsiTheme="majorHAnsi"/>
          <w:sz w:val="16"/>
          <w:szCs w:val="16"/>
          <w:lang w:val="es-US"/>
        </w:rPr>
        <w:t xml:space="preserve">, Fondo, Sentencia del 29 de julio de 1988, Serie C No. 4, párr. 135; </w:t>
      </w:r>
      <w:r w:rsidRPr="00F32B01">
        <w:rPr>
          <w:rFonts w:asciiTheme="majorHAnsi" w:hAnsiTheme="majorHAnsi"/>
          <w:i/>
          <w:iCs/>
          <w:sz w:val="16"/>
          <w:szCs w:val="16"/>
          <w:lang w:val="es-US"/>
        </w:rPr>
        <w:t>Caso Gangaram Panday Vs. Surinam</w:t>
      </w:r>
      <w:r w:rsidRPr="00F32B01">
        <w:rPr>
          <w:rFonts w:asciiTheme="majorHAnsi" w:hAnsiTheme="majorHAnsi"/>
          <w:sz w:val="16"/>
          <w:szCs w:val="16"/>
          <w:lang w:val="es-US"/>
        </w:rPr>
        <w:t xml:space="preserve">, Sentencia deL 21 de enero de 1994, Serie C No. 16, párr. 49; ver también </w:t>
      </w:r>
      <w:r w:rsidRPr="00F32B01">
        <w:rPr>
          <w:rFonts w:asciiTheme="majorHAnsi" w:hAnsiTheme="majorHAnsi"/>
          <w:i/>
          <w:iCs/>
          <w:sz w:val="16"/>
          <w:szCs w:val="16"/>
          <w:lang w:val="es-US"/>
        </w:rPr>
        <w:t>Caso Loayza Tamayo Vs. Perú</w:t>
      </w:r>
      <w:r w:rsidRPr="00F32B01">
        <w:rPr>
          <w:rFonts w:asciiTheme="majorHAnsi" w:hAnsiTheme="majorHAnsi"/>
          <w:sz w:val="16"/>
          <w:szCs w:val="16"/>
          <w:lang w:val="es-US"/>
        </w:rPr>
        <w:t xml:space="preserve">, Sentencia del 17 de septiembre de 1997, Serie C No. 33, párr. 42; </w:t>
      </w:r>
      <w:r w:rsidRPr="00F32B01">
        <w:rPr>
          <w:rFonts w:asciiTheme="majorHAnsi" w:hAnsiTheme="majorHAnsi"/>
          <w:i/>
          <w:iCs/>
          <w:sz w:val="16"/>
          <w:szCs w:val="16"/>
          <w:lang w:val="es-US"/>
        </w:rPr>
        <w:t>Caso Castillo Páez Vs. Perú</w:t>
      </w:r>
      <w:r w:rsidRPr="00F32B01">
        <w:rPr>
          <w:rFonts w:asciiTheme="majorHAnsi" w:hAnsiTheme="majorHAnsi"/>
          <w:sz w:val="16"/>
          <w:szCs w:val="16"/>
          <w:lang w:val="es-US"/>
        </w:rPr>
        <w:t xml:space="preserve">, Sentencia del 3 de noviembre de 1997, Serie C No. 34, párr. 39; </w:t>
      </w:r>
      <w:r w:rsidRPr="00F32B01">
        <w:rPr>
          <w:rFonts w:asciiTheme="majorHAnsi" w:hAnsiTheme="majorHAnsi"/>
          <w:i/>
          <w:iCs/>
          <w:sz w:val="16"/>
          <w:szCs w:val="16"/>
          <w:lang w:val="es-US"/>
        </w:rPr>
        <w:t>Caso Blake Vs. Guatemala</w:t>
      </w:r>
      <w:r w:rsidRPr="00CF02F2">
        <w:rPr>
          <w:rFonts w:asciiTheme="majorHAnsi" w:hAnsiTheme="majorHAnsi"/>
          <w:sz w:val="16"/>
          <w:szCs w:val="16"/>
          <w:lang w:val="es-US"/>
        </w:rPr>
        <w:t>, Sentencia de</w:t>
      </w:r>
      <w:r>
        <w:rPr>
          <w:rFonts w:asciiTheme="majorHAnsi" w:hAnsiTheme="majorHAnsi"/>
          <w:sz w:val="16"/>
          <w:szCs w:val="16"/>
          <w:lang w:val="es-US"/>
        </w:rPr>
        <w:t>l</w:t>
      </w:r>
      <w:r w:rsidRPr="00CF02F2">
        <w:rPr>
          <w:rFonts w:asciiTheme="majorHAnsi" w:hAnsiTheme="majorHAnsi"/>
          <w:sz w:val="16"/>
          <w:szCs w:val="16"/>
          <w:lang w:val="es-US"/>
        </w:rPr>
        <w:t xml:space="preserve"> 24 de enero de 1998</w:t>
      </w:r>
      <w:r>
        <w:rPr>
          <w:rFonts w:asciiTheme="majorHAnsi" w:hAnsiTheme="majorHAnsi"/>
          <w:sz w:val="16"/>
          <w:szCs w:val="16"/>
          <w:lang w:val="es-US"/>
        </w:rPr>
        <w:t>,</w:t>
      </w:r>
      <w:r w:rsidRPr="00CF02F2">
        <w:rPr>
          <w:rFonts w:asciiTheme="majorHAnsi" w:hAnsiTheme="majorHAnsi"/>
          <w:sz w:val="16"/>
          <w:szCs w:val="16"/>
          <w:lang w:val="es-US"/>
        </w:rPr>
        <w:t xml:space="preserve"> Serie C No. 36, párr. 49; </w:t>
      </w:r>
      <w:r w:rsidRPr="009D4060">
        <w:rPr>
          <w:rFonts w:asciiTheme="majorHAnsi" w:hAnsiTheme="majorHAnsi"/>
          <w:i/>
          <w:iCs/>
          <w:sz w:val="16"/>
          <w:szCs w:val="16"/>
          <w:lang w:val="es-US"/>
        </w:rPr>
        <w:t>Caso Vélez Restrepo y familiares Vs. Colombia</w:t>
      </w:r>
      <w:r>
        <w:rPr>
          <w:rFonts w:asciiTheme="majorHAnsi" w:hAnsiTheme="majorHAnsi"/>
          <w:sz w:val="16"/>
          <w:szCs w:val="16"/>
          <w:lang w:val="es-US"/>
        </w:rPr>
        <w:t>,</w:t>
      </w:r>
      <w:r w:rsidRPr="00CF02F2">
        <w:rPr>
          <w:rFonts w:asciiTheme="majorHAnsi" w:hAnsiTheme="majorHAnsi"/>
          <w:sz w:val="16"/>
          <w:szCs w:val="16"/>
          <w:lang w:val="es-US"/>
        </w:rPr>
        <w:t xml:space="preserve"> Excepción Preliminar, Fondo, Reparaciones y Costas</w:t>
      </w:r>
      <w:r>
        <w:rPr>
          <w:rFonts w:asciiTheme="majorHAnsi" w:hAnsiTheme="majorHAnsi"/>
          <w:sz w:val="16"/>
          <w:szCs w:val="16"/>
          <w:lang w:val="es-US"/>
        </w:rPr>
        <w:t>,</w:t>
      </w:r>
      <w:r w:rsidRPr="00CF02F2">
        <w:rPr>
          <w:rFonts w:asciiTheme="majorHAnsi" w:hAnsiTheme="majorHAnsi"/>
          <w:sz w:val="16"/>
          <w:szCs w:val="16"/>
          <w:lang w:val="es-US"/>
        </w:rPr>
        <w:t xml:space="preserve"> Sentencia de</w:t>
      </w:r>
      <w:r>
        <w:rPr>
          <w:rFonts w:asciiTheme="majorHAnsi" w:hAnsiTheme="majorHAnsi"/>
          <w:sz w:val="16"/>
          <w:szCs w:val="16"/>
          <w:lang w:val="es-US"/>
        </w:rPr>
        <w:t>l</w:t>
      </w:r>
      <w:r w:rsidRPr="00CF02F2">
        <w:rPr>
          <w:rFonts w:asciiTheme="majorHAnsi" w:hAnsiTheme="majorHAnsi"/>
          <w:sz w:val="16"/>
          <w:szCs w:val="16"/>
          <w:lang w:val="es-US"/>
        </w:rPr>
        <w:t xml:space="preserve"> 3 de septiembre de 2012</w:t>
      </w:r>
      <w:r>
        <w:rPr>
          <w:rFonts w:asciiTheme="majorHAnsi" w:hAnsiTheme="majorHAnsi"/>
          <w:sz w:val="16"/>
          <w:szCs w:val="16"/>
          <w:lang w:val="es-US"/>
        </w:rPr>
        <w:t>,</w:t>
      </w:r>
      <w:r w:rsidRPr="00CF02F2">
        <w:rPr>
          <w:rFonts w:asciiTheme="majorHAnsi" w:hAnsiTheme="majorHAnsi"/>
          <w:sz w:val="16"/>
          <w:szCs w:val="16"/>
          <w:lang w:val="es-US"/>
        </w:rPr>
        <w:t xml:space="preserve"> Serie C No. 248</w:t>
      </w:r>
      <w:r>
        <w:rPr>
          <w:rFonts w:asciiTheme="majorHAnsi" w:hAnsiTheme="majorHAnsi"/>
          <w:sz w:val="16"/>
          <w:szCs w:val="16"/>
          <w:lang w:val="es-US"/>
        </w:rPr>
        <w:t>,</w:t>
      </w:r>
      <w:r w:rsidRPr="00CF02F2">
        <w:rPr>
          <w:rFonts w:asciiTheme="majorHAnsi" w:hAnsiTheme="majorHAnsi"/>
          <w:sz w:val="16"/>
          <w:szCs w:val="16"/>
          <w:lang w:val="es-US"/>
        </w:rPr>
        <w:t xml:space="preserve"> </w:t>
      </w:r>
      <w:r>
        <w:rPr>
          <w:rFonts w:asciiTheme="majorHAnsi" w:hAnsiTheme="majorHAnsi"/>
          <w:sz w:val="16"/>
          <w:szCs w:val="16"/>
          <w:lang w:val="es-US"/>
        </w:rPr>
        <w:t>p</w:t>
      </w:r>
      <w:r w:rsidRPr="00CF02F2">
        <w:rPr>
          <w:rFonts w:asciiTheme="majorHAnsi" w:hAnsiTheme="majorHAnsi"/>
          <w:sz w:val="16"/>
          <w:szCs w:val="16"/>
          <w:lang w:val="es-US"/>
        </w:rPr>
        <w:t xml:space="preserve">árr. 156; </w:t>
      </w:r>
      <w:r w:rsidRPr="009D4060">
        <w:rPr>
          <w:rFonts w:asciiTheme="majorHAnsi" w:hAnsiTheme="majorHAnsi"/>
          <w:i/>
          <w:iCs/>
          <w:sz w:val="16"/>
          <w:szCs w:val="16"/>
          <w:lang w:val="es-US"/>
        </w:rPr>
        <w:t>Caso Rodríguez Vera y otros (Desaparecidos del Palacio de Justicia) Vs. Colombia</w:t>
      </w:r>
      <w:r>
        <w:rPr>
          <w:rFonts w:asciiTheme="majorHAnsi" w:hAnsiTheme="majorHAnsi"/>
          <w:sz w:val="16"/>
          <w:szCs w:val="16"/>
          <w:lang w:val="es-US"/>
        </w:rPr>
        <w:t>,</w:t>
      </w:r>
      <w:r w:rsidRPr="00CF02F2">
        <w:rPr>
          <w:rFonts w:asciiTheme="majorHAnsi" w:hAnsiTheme="majorHAnsi"/>
          <w:sz w:val="16"/>
          <w:szCs w:val="16"/>
          <w:lang w:val="es-US"/>
        </w:rPr>
        <w:t xml:space="preserve"> Excepciones Preliminares, Fondo, Reparaciones y Costas</w:t>
      </w:r>
      <w:r>
        <w:rPr>
          <w:rFonts w:asciiTheme="majorHAnsi" w:hAnsiTheme="majorHAnsi"/>
          <w:sz w:val="16"/>
          <w:szCs w:val="16"/>
          <w:lang w:val="es-US"/>
        </w:rPr>
        <w:t>,</w:t>
      </w:r>
      <w:r w:rsidRPr="00CF02F2">
        <w:rPr>
          <w:rFonts w:asciiTheme="majorHAnsi" w:hAnsiTheme="majorHAnsi"/>
          <w:sz w:val="16"/>
          <w:szCs w:val="16"/>
          <w:lang w:val="es-US"/>
        </w:rPr>
        <w:t xml:space="preserve"> Sentencia de</w:t>
      </w:r>
      <w:r>
        <w:rPr>
          <w:rFonts w:asciiTheme="majorHAnsi" w:hAnsiTheme="majorHAnsi"/>
          <w:sz w:val="16"/>
          <w:szCs w:val="16"/>
          <w:lang w:val="es-US"/>
        </w:rPr>
        <w:t>l</w:t>
      </w:r>
      <w:r w:rsidRPr="00CF02F2">
        <w:rPr>
          <w:rFonts w:asciiTheme="majorHAnsi" w:hAnsiTheme="majorHAnsi"/>
          <w:sz w:val="16"/>
          <w:szCs w:val="16"/>
          <w:lang w:val="es-US"/>
        </w:rPr>
        <w:t xml:space="preserve"> 14 de noviembre de 2014</w:t>
      </w:r>
      <w:r>
        <w:rPr>
          <w:rFonts w:asciiTheme="majorHAnsi" w:hAnsiTheme="majorHAnsi"/>
          <w:sz w:val="16"/>
          <w:szCs w:val="16"/>
          <w:lang w:val="es-US"/>
        </w:rPr>
        <w:t>,</w:t>
      </w:r>
      <w:r w:rsidRPr="00CF02F2">
        <w:rPr>
          <w:rFonts w:asciiTheme="majorHAnsi" w:hAnsiTheme="majorHAnsi"/>
          <w:sz w:val="16"/>
          <w:szCs w:val="16"/>
          <w:lang w:val="es-US"/>
        </w:rPr>
        <w:t xml:space="preserve"> Serie C No. 287</w:t>
      </w:r>
      <w:r>
        <w:rPr>
          <w:rFonts w:asciiTheme="majorHAnsi" w:hAnsiTheme="majorHAnsi"/>
          <w:sz w:val="16"/>
          <w:szCs w:val="16"/>
          <w:lang w:val="es-US"/>
        </w:rPr>
        <w:t>,</w:t>
      </w:r>
      <w:r w:rsidRPr="00CF02F2">
        <w:rPr>
          <w:rFonts w:asciiTheme="majorHAnsi" w:hAnsiTheme="majorHAnsi"/>
          <w:sz w:val="16"/>
          <w:szCs w:val="16"/>
          <w:lang w:val="es-US"/>
        </w:rPr>
        <w:t xml:space="preserve"> </w:t>
      </w:r>
      <w:r>
        <w:rPr>
          <w:rFonts w:asciiTheme="majorHAnsi" w:hAnsiTheme="majorHAnsi"/>
          <w:sz w:val="16"/>
          <w:szCs w:val="16"/>
          <w:lang w:val="es-US"/>
        </w:rPr>
        <w:t>p</w:t>
      </w:r>
      <w:r w:rsidRPr="00CF02F2">
        <w:rPr>
          <w:rFonts w:asciiTheme="majorHAnsi" w:hAnsiTheme="majorHAnsi"/>
          <w:sz w:val="16"/>
          <w:szCs w:val="16"/>
          <w:lang w:val="es-US"/>
        </w:rPr>
        <w:t>árr. 230</w:t>
      </w:r>
      <w:r>
        <w:rPr>
          <w:rFonts w:asciiTheme="majorHAnsi" w:hAnsiTheme="majorHAnsi"/>
          <w:sz w:val="16"/>
          <w:szCs w:val="16"/>
          <w:lang w:val="es-US"/>
        </w:rPr>
        <w:t>.</w:t>
      </w:r>
    </w:p>
  </w:footnote>
  <w:footnote w:id="9">
    <w:p w14:paraId="57787E4A" w14:textId="77777777" w:rsidR="00287B3C" w:rsidRPr="00CF02F2" w:rsidRDefault="00287B3C" w:rsidP="00334F02">
      <w:pPr>
        <w:pStyle w:val="FootnoteText"/>
        <w:ind w:firstLine="720"/>
        <w:jc w:val="both"/>
        <w:rPr>
          <w:rFonts w:asciiTheme="majorHAnsi" w:hAnsiTheme="majorHAnsi"/>
          <w:sz w:val="16"/>
          <w:szCs w:val="16"/>
          <w:lang w:val="es-PE"/>
        </w:rPr>
      </w:pPr>
      <w:r w:rsidRPr="00CF02F2">
        <w:rPr>
          <w:rStyle w:val="FootnoteReference"/>
          <w:rFonts w:asciiTheme="majorHAnsi" w:hAnsiTheme="majorHAnsi"/>
          <w:sz w:val="16"/>
          <w:szCs w:val="16"/>
        </w:rPr>
        <w:footnoteRef/>
      </w:r>
      <w:r w:rsidRPr="00CF02F2">
        <w:rPr>
          <w:rFonts w:asciiTheme="majorHAnsi" w:hAnsiTheme="majorHAnsi"/>
          <w:sz w:val="16"/>
          <w:szCs w:val="16"/>
          <w:lang w:val="es-US"/>
        </w:rPr>
        <w:t xml:space="preserve"> Corte IDH</w:t>
      </w:r>
      <w:r>
        <w:rPr>
          <w:rFonts w:asciiTheme="majorHAnsi" w:hAnsiTheme="majorHAnsi"/>
          <w:sz w:val="16"/>
          <w:szCs w:val="16"/>
          <w:lang w:val="es-US"/>
        </w:rPr>
        <w:t>,</w:t>
      </w:r>
      <w:r w:rsidRPr="00CF02F2">
        <w:rPr>
          <w:rFonts w:asciiTheme="majorHAnsi" w:hAnsiTheme="majorHAnsi"/>
          <w:sz w:val="16"/>
          <w:szCs w:val="16"/>
          <w:lang w:val="es-US"/>
        </w:rPr>
        <w:t xml:space="preserve"> </w:t>
      </w:r>
      <w:r w:rsidRPr="009D4060">
        <w:rPr>
          <w:rFonts w:asciiTheme="majorHAnsi" w:hAnsiTheme="majorHAnsi"/>
          <w:i/>
          <w:iCs/>
          <w:sz w:val="16"/>
          <w:szCs w:val="16"/>
          <w:lang w:val="es-US"/>
        </w:rPr>
        <w:t>Caso Velásquez Rodríguez Vs. Honduras</w:t>
      </w:r>
      <w:r>
        <w:rPr>
          <w:rFonts w:asciiTheme="majorHAnsi" w:hAnsiTheme="majorHAnsi"/>
          <w:sz w:val="16"/>
          <w:szCs w:val="16"/>
          <w:lang w:val="es-US"/>
        </w:rPr>
        <w:t>,</w:t>
      </w:r>
      <w:r w:rsidRPr="00CF02F2">
        <w:rPr>
          <w:rFonts w:asciiTheme="majorHAnsi" w:hAnsiTheme="majorHAnsi"/>
          <w:sz w:val="16"/>
          <w:szCs w:val="16"/>
          <w:lang w:val="es-US"/>
        </w:rPr>
        <w:t xml:space="preserve"> Fondo</w:t>
      </w:r>
      <w:r>
        <w:rPr>
          <w:rFonts w:asciiTheme="majorHAnsi" w:hAnsiTheme="majorHAnsi"/>
          <w:sz w:val="16"/>
          <w:szCs w:val="16"/>
          <w:lang w:val="es-US"/>
        </w:rPr>
        <w:t>,</w:t>
      </w:r>
      <w:r w:rsidRPr="00CF02F2">
        <w:rPr>
          <w:rFonts w:asciiTheme="majorHAnsi" w:hAnsiTheme="majorHAnsi"/>
          <w:sz w:val="16"/>
          <w:szCs w:val="16"/>
          <w:lang w:val="es-US"/>
        </w:rPr>
        <w:t xml:space="preserve"> Sentencia de</w:t>
      </w:r>
      <w:r>
        <w:rPr>
          <w:rFonts w:asciiTheme="majorHAnsi" w:hAnsiTheme="majorHAnsi"/>
          <w:sz w:val="16"/>
          <w:szCs w:val="16"/>
          <w:lang w:val="es-US"/>
        </w:rPr>
        <w:t>l</w:t>
      </w:r>
      <w:r w:rsidRPr="00CF02F2">
        <w:rPr>
          <w:rFonts w:asciiTheme="majorHAnsi" w:hAnsiTheme="majorHAnsi"/>
          <w:sz w:val="16"/>
          <w:szCs w:val="16"/>
          <w:lang w:val="es-US"/>
        </w:rPr>
        <w:t xml:space="preserve"> 29 de julio de 1988</w:t>
      </w:r>
      <w:r>
        <w:rPr>
          <w:rFonts w:asciiTheme="majorHAnsi" w:hAnsiTheme="majorHAnsi"/>
          <w:sz w:val="16"/>
          <w:szCs w:val="16"/>
          <w:lang w:val="es-US"/>
        </w:rPr>
        <w:t>,</w:t>
      </w:r>
      <w:r w:rsidRPr="00CF02F2">
        <w:rPr>
          <w:rFonts w:asciiTheme="majorHAnsi" w:hAnsiTheme="majorHAnsi"/>
          <w:sz w:val="16"/>
          <w:szCs w:val="16"/>
          <w:lang w:val="es-US"/>
        </w:rPr>
        <w:t xml:space="preserve"> Serie C No. 4</w:t>
      </w:r>
      <w:r>
        <w:rPr>
          <w:rFonts w:asciiTheme="majorHAnsi" w:hAnsiTheme="majorHAnsi"/>
          <w:sz w:val="16"/>
          <w:szCs w:val="16"/>
          <w:lang w:val="es-US"/>
        </w:rPr>
        <w:t>,</w:t>
      </w:r>
      <w:r w:rsidRPr="00CF02F2">
        <w:rPr>
          <w:rFonts w:asciiTheme="majorHAnsi" w:hAnsiTheme="majorHAnsi"/>
          <w:sz w:val="16"/>
          <w:szCs w:val="16"/>
          <w:lang w:val="es-US"/>
        </w:rPr>
        <w:t xml:space="preserve"> </w:t>
      </w:r>
      <w:r>
        <w:rPr>
          <w:rFonts w:asciiTheme="majorHAnsi" w:hAnsiTheme="majorHAnsi"/>
          <w:sz w:val="16"/>
          <w:szCs w:val="16"/>
          <w:lang w:val="es-US"/>
        </w:rPr>
        <w:t>p</w:t>
      </w:r>
      <w:r w:rsidRPr="00CF02F2">
        <w:rPr>
          <w:rFonts w:asciiTheme="majorHAnsi" w:hAnsiTheme="majorHAnsi"/>
          <w:sz w:val="16"/>
          <w:szCs w:val="16"/>
          <w:lang w:val="es-US"/>
        </w:rPr>
        <w:t>árr. 136.</w:t>
      </w:r>
    </w:p>
  </w:footnote>
  <w:footnote w:id="10">
    <w:p w14:paraId="6495DABE" w14:textId="77777777" w:rsidR="00C472B3" w:rsidRDefault="00C472B3" w:rsidP="00334F02">
      <w:pPr>
        <w:pStyle w:val="FootnoteText"/>
        <w:ind w:firstLine="720"/>
        <w:jc w:val="both"/>
        <w:rPr>
          <w:rFonts w:asciiTheme="majorHAnsi" w:hAnsiTheme="majorHAnsi"/>
          <w:sz w:val="16"/>
          <w:szCs w:val="16"/>
          <w:lang w:val="es-ES"/>
        </w:rPr>
      </w:pPr>
      <w:r w:rsidRPr="008529CD">
        <w:rPr>
          <w:rStyle w:val="FootnoteReference"/>
          <w:rFonts w:asciiTheme="majorHAnsi" w:hAnsiTheme="majorHAnsi"/>
          <w:color w:val="auto"/>
          <w:sz w:val="16"/>
          <w:szCs w:val="16"/>
          <w:lang w:val="es-ES"/>
        </w:rPr>
        <w:footnoteRef/>
      </w:r>
      <w:r w:rsidRPr="008529CD">
        <w:rPr>
          <w:rFonts w:asciiTheme="majorHAnsi" w:hAnsiTheme="majorHAnsi"/>
          <w:color w:val="auto"/>
          <w:sz w:val="16"/>
          <w:szCs w:val="16"/>
          <w:lang w:val="es-ES"/>
        </w:rPr>
        <w:t xml:space="preserve"> A este respecto, véase particularmente: CIDH, Informe No. 463/21. Petición 882-14. Admisibilidad. Maria Corina Machado. Venezuela. 27 de noviembre de 2021, párr.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41FE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 w:numId="110" w16cid:durableId="21048415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D78"/>
    <w:rsid w:val="00010C75"/>
    <w:rsid w:val="0001462E"/>
    <w:rsid w:val="0001622D"/>
    <w:rsid w:val="0001788C"/>
    <w:rsid w:val="00024F59"/>
    <w:rsid w:val="00030DF4"/>
    <w:rsid w:val="000337EF"/>
    <w:rsid w:val="00036D43"/>
    <w:rsid w:val="00040C3A"/>
    <w:rsid w:val="000419AD"/>
    <w:rsid w:val="000433C9"/>
    <w:rsid w:val="000505A0"/>
    <w:rsid w:val="0005069A"/>
    <w:rsid w:val="00071010"/>
    <w:rsid w:val="000716C5"/>
    <w:rsid w:val="0007355F"/>
    <w:rsid w:val="00073CEE"/>
    <w:rsid w:val="00074981"/>
    <w:rsid w:val="00075E23"/>
    <w:rsid w:val="00081691"/>
    <w:rsid w:val="0008399A"/>
    <w:rsid w:val="0009344A"/>
    <w:rsid w:val="000955FE"/>
    <w:rsid w:val="000A392E"/>
    <w:rsid w:val="000A4335"/>
    <w:rsid w:val="000A575F"/>
    <w:rsid w:val="000B062C"/>
    <w:rsid w:val="000B2767"/>
    <w:rsid w:val="000C5D3D"/>
    <w:rsid w:val="000D05CB"/>
    <w:rsid w:val="000D10DB"/>
    <w:rsid w:val="000D135D"/>
    <w:rsid w:val="000D5690"/>
    <w:rsid w:val="000E417D"/>
    <w:rsid w:val="000E5610"/>
    <w:rsid w:val="000E5EB5"/>
    <w:rsid w:val="000F291E"/>
    <w:rsid w:val="000F35ED"/>
    <w:rsid w:val="00107131"/>
    <w:rsid w:val="0010736F"/>
    <w:rsid w:val="001115DB"/>
    <w:rsid w:val="00113F73"/>
    <w:rsid w:val="00115FA9"/>
    <w:rsid w:val="00116663"/>
    <w:rsid w:val="00121CC2"/>
    <w:rsid w:val="00123BAB"/>
    <w:rsid w:val="00131425"/>
    <w:rsid w:val="00132D1B"/>
    <w:rsid w:val="00133EE5"/>
    <w:rsid w:val="0013470D"/>
    <w:rsid w:val="00154031"/>
    <w:rsid w:val="001553A3"/>
    <w:rsid w:val="00156D0D"/>
    <w:rsid w:val="00167A34"/>
    <w:rsid w:val="0017373B"/>
    <w:rsid w:val="0018373E"/>
    <w:rsid w:val="0019566B"/>
    <w:rsid w:val="001A7870"/>
    <w:rsid w:val="001B3900"/>
    <w:rsid w:val="001B3A00"/>
    <w:rsid w:val="001B78E2"/>
    <w:rsid w:val="001C1B41"/>
    <w:rsid w:val="001C6605"/>
    <w:rsid w:val="001D2A89"/>
    <w:rsid w:val="001D65EF"/>
    <w:rsid w:val="001D7945"/>
    <w:rsid w:val="001E2C54"/>
    <w:rsid w:val="001E49E7"/>
    <w:rsid w:val="001E5D2C"/>
    <w:rsid w:val="001F4116"/>
    <w:rsid w:val="001F7201"/>
    <w:rsid w:val="0021652A"/>
    <w:rsid w:val="0021763E"/>
    <w:rsid w:val="00223720"/>
    <w:rsid w:val="00223A29"/>
    <w:rsid w:val="002250A3"/>
    <w:rsid w:val="00235217"/>
    <w:rsid w:val="00235501"/>
    <w:rsid w:val="00244175"/>
    <w:rsid w:val="002469D2"/>
    <w:rsid w:val="00246D1F"/>
    <w:rsid w:val="00247403"/>
    <w:rsid w:val="00247542"/>
    <w:rsid w:val="00250170"/>
    <w:rsid w:val="002549C6"/>
    <w:rsid w:val="0026020D"/>
    <w:rsid w:val="00264566"/>
    <w:rsid w:val="00266B61"/>
    <w:rsid w:val="0026712A"/>
    <w:rsid w:val="002704DB"/>
    <w:rsid w:val="00276CE3"/>
    <w:rsid w:val="00286E22"/>
    <w:rsid w:val="00287B3C"/>
    <w:rsid w:val="002A0571"/>
    <w:rsid w:val="002A0AAE"/>
    <w:rsid w:val="002A38F5"/>
    <w:rsid w:val="002A4354"/>
    <w:rsid w:val="002A5820"/>
    <w:rsid w:val="002B7525"/>
    <w:rsid w:val="002C0F8D"/>
    <w:rsid w:val="002C1BEE"/>
    <w:rsid w:val="002D2B26"/>
    <w:rsid w:val="002D7EA2"/>
    <w:rsid w:val="002E0433"/>
    <w:rsid w:val="002E187C"/>
    <w:rsid w:val="002E2B33"/>
    <w:rsid w:val="002F1711"/>
    <w:rsid w:val="002F1C81"/>
    <w:rsid w:val="00302733"/>
    <w:rsid w:val="003027B8"/>
    <w:rsid w:val="00305C05"/>
    <w:rsid w:val="00314078"/>
    <w:rsid w:val="00314EC6"/>
    <w:rsid w:val="0031535D"/>
    <w:rsid w:val="003239B8"/>
    <w:rsid w:val="0033169F"/>
    <w:rsid w:val="00334F02"/>
    <w:rsid w:val="00335B5E"/>
    <w:rsid w:val="003401F3"/>
    <w:rsid w:val="00340503"/>
    <w:rsid w:val="00343BF5"/>
    <w:rsid w:val="00344977"/>
    <w:rsid w:val="0034557F"/>
    <w:rsid w:val="00346C95"/>
    <w:rsid w:val="00356185"/>
    <w:rsid w:val="00360380"/>
    <w:rsid w:val="00360B17"/>
    <w:rsid w:val="003648C2"/>
    <w:rsid w:val="0036613F"/>
    <w:rsid w:val="0037519E"/>
    <w:rsid w:val="00381A29"/>
    <w:rsid w:val="00386CF0"/>
    <w:rsid w:val="0039178A"/>
    <w:rsid w:val="003A6B75"/>
    <w:rsid w:val="003B1B44"/>
    <w:rsid w:val="003B56CD"/>
    <w:rsid w:val="003B70FB"/>
    <w:rsid w:val="003C02C9"/>
    <w:rsid w:val="003C2239"/>
    <w:rsid w:val="003C676B"/>
    <w:rsid w:val="003C7DB2"/>
    <w:rsid w:val="003D3BC2"/>
    <w:rsid w:val="003D757F"/>
    <w:rsid w:val="003E482F"/>
    <w:rsid w:val="003E6CA1"/>
    <w:rsid w:val="003F1DFC"/>
    <w:rsid w:val="004053B3"/>
    <w:rsid w:val="00405F9C"/>
    <w:rsid w:val="0040605D"/>
    <w:rsid w:val="004065A8"/>
    <w:rsid w:val="00415F9E"/>
    <w:rsid w:val="004165C2"/>
    <w:rsid w:val="00425882"/>
    <w:rsid w:val="00426EB1"/>
    <w:rsid w:val="004306B2"/>
    <w:rsid w:val="0043260F"/>
    <w:rsid w:val="00432A69"/>
    <w:rsid w:val="00436B39"/>
    <w:rsid w:val="00441524"/>
    <w:rsid w:val="00441D53"/>
    <w:rsid w:val="00441E0D"/>
    <w:rsid w:val="00441ECB"/>
    <w:rsid w:val="00445193"/>
    <w:rsid w:val="00462C1B"/>
    <w:rsid w:val="00464CE2"/>
    <w:rsid w:val="00467B7E"/>
    <w:rsid w:val="00473BB4"/>
    <w:rsid w:val="00477592"/>
    <w:rsid w:val="00486F1C"/>
    <w:rsid w:val="00492EDF"/>
    <w:rsid w:val="0049419D"/>
    <w:rsid w:val="004A43FE"/>
    <w:rsid w:val="004A49E1"/>
    <w:rsid w:val="004A4F22"/>
    <w:rsid w:val="004A4F7E"/>
    <w:rsid w:val="004A6A54"/>
    <w:rsid w:val="004C20D2"/>
    <w:rsid w:val="004C2312"/>
    <w:rsid w:val="004C4B62"/>
    <w:rsid w:val="004C54C9"/>
    <w:rsid w:val="004C62D3"/>
    <w:rsid w:val="004D2645"/>
    <w:rsid w:val="004D3AD0"/>
    <w:rsid w:val="004D3AEA"/>
    <w:rsid w:val="004D4ABA"/>
    <w:rsid w:val="004D6025"/>
    <w:rsid w:val="004E2649"/>
    <w:rsid w:val="004E35FD"/>
    <w:rsid w:val="004E4023"/>
    <w:rsid w:val="004F626F"/>
    <w:rsid w:val="00501399"/>
    <w:rsid w:val="00501897"/>
    <w:rsid w:val="00504104"/>
    <w:rsid w:val="005055D8"/>
    <w:rsid w:val="0050633D"/>
    <w:rsid w:val="00507BC4"/>
    <w:rsid w:val="005128E4"/>
    <w:rsid w:val="005133DB"/>
    <w:rsid w:val="00514504"/>
    <w:rsid w:val="00515BCB"/>
    <w:rsid w:val="00525560"/>
    <w:rsid w:val="005337A1"/>
    <w:rsid w:val="00533969"/>
    <w:rsid w:val="005354A8"/>
    <w:rsid w:val="00536A09"/>
    <w:rsid w:val="00544C49"/>
    <w:rsid w:val="00547D88"/>
    <w:rsid w:val="00551049"/>
    <w:rsid w:val="005516A1"/>
    <w:rsid w:val="005559EF"/>
    <w:rsid w:val="005564B7"/>
    <w:rsid w:val="0056032A"/>
    <w:rsid w:val="00560C25"/>
    <w:rsid w:val="005611B6"/>
    <w:rsid w:val="00563557"/>
    <w:rsid w:val="00563B1F"/>
    <w:rsid w:val="0057402A"/>
    <w:rsid w:val="005771D0"/>
    <w:rsid w:val="0058043A"/>
    <w:rsid w:val="005850BE"/>
    <w:rsid w:val="0059191A"/>
    <w:rsid w:val="005921FF"/>
    <w:rsid w:val="00592BCE"/>
    <w:rsid w:val="005955B1"/>
    <w:rsid w:val="005A1CB8"/>
    <w:rsid w:val="005A24ED"/>
    <w:rsid w:val="005A254F"/>
    <w:rsid w:val="005A2B55"/>
    <w:rsid w:val="005A6D0E"/>
    <w:rsid w:val="005B52B0"/>
    <w:rsid w:val="005B6806"/>
    <w:rsid w:val="005C0811"/>
    <w:rsid w:val="005C10A2"/>
    <w:rsid w:val="005C4225"/>
    <w:rsid w:val="005D38F9"/>
    <w:rsid w:val="005D45F8"/>
    <w:rsid w:val="005D7F4D"/>
    <w:rsid w:val="005E2E64"/>
    <w:rsid w:val="005F0DAD"/>
    <w:rsid w:val="005F0F33"/>
    <w:rsid w:val="005F5C3B"/>
    <w:rsid w:val="00600DEB"/>
    <w:rsid w:val="00602EF9"/>
    <w:rsid w:val="00610C21"/>
    <w:rsid w:val="0061397E"/>
    <w:rsid w:val="00627C9F"/>
    <w:rsid w:val="006311E9"/>
    <w:rsid w:val="00632354"/>
    <w:rsid w:val="00635421"/>
    <w:rsid w:val="00642810"/>
    <w:rsid w:val="00652333"/>
    <w:rsid w:val="006545DA"/>
    <w:rsid w:val="00657EF4"/>
    <w:rsid w:val="0066335E"/>
    <w:rsid w:val="0068009E"/>
    <w:rsid w:val="0068184A"/>
    <w:rsid w:val="00684EFE"/>
    <w:rsid w:val="00692219"/>
    <w:rsid w:val="00692E29"/>
    <w:rsid w:val="006A05B8"/>
    <w:rsid w:val="006A17D2"/>
    <w:rsid w:val="006A5CB9"/>
    <w:rsid w:val="006A73E6"/>
    <w:rsid w:val="006B1709"/>
    <w:rsid w:val="006B2D5C"/>
    <w:rsid w:val="006B6D4E"/>
    <w:rsid w:val="006C4EB1"/>
    <w:rsid w:val="006D166A"/>
    <w:rsid w:val="006D5B19"/>
    <w:rsid w:val="006E0166"/>
    <w:rsid w:val="006E1526"/>
    <w:rsid w:val="006E2FFB"/>
    <w:rsid w:val="006E40B2"/>
    <w:rsid w:val="006E7B34"/>
    <w:rsid w:val="0070368E"/>
    <w:rsid w:val="0070697F"/>
    <w:rsid w:val="00721355"/>
    <w:rsid w:val="0072199C"/>
    <w:rsid w:val="00722C9F"/>
    <w:rsid w:val="007253B8"/>
    <w:rsid w:val="0073109D"/>
    <w:rsid w:val="0073741F"/>
    <w:rsid w:val="00740594"/>
    <w:rsid w:val="00747E5B"/>
    <w:rsid w:val="0075783B"/>
    <w:rsid w:val="00763738"/>
    <w:rsid w:val="0076643F"/>
    <w:rsid w:val="00771DA5"/>
    <w:rsid w:val="00777F63"/>
    <w:rsid w:val="007A5817"/>
    <w:rsid w:val="007B05C4"/>
    <w:rsid w:val="007B339B"/>
    <w:rsid w:val="007B60E9"/>
    <w:rsid w:val="007B6CC3"/>
    <w:rsid w:val="007B76D3"/>
    <w:rsid w:val="007C0ABD"/>
    <w:rsid w:val="007C2CC1"/>
    <w:rsid w:val="007C3334"/>
    <w:rsid w:val="007C4489"/>
    <w:rsid w:val="007D2B98"/>
    <w:rsid w:val="007D360F"/>
    <w:rsid w:val="007D474B"/>
    <w:rsid w:val="007E21BC"/>
    <w:rsid w:val="007E28F3"/>
    <w:rsid w:val="007E7C82"/>
    <w:rsid w:val="007F0187"/>
    <w:rsid w:val="007F2AA1"/>
    <w:rsid w:val="007F588D"/>
    <w:rsid w:val="00803B33"/>
    <w:rsid w:val="00803F1C"/>
    <w:rsid w:val="008058DD"/>
    <w:rsid w:val="00805BC1"/>
    <w:rsid w:val="0080600E"/>
    <w:rsid w:val="008067C3"/>
    <w:rsid w:val="00814688"/>
    <w:rsid w:val="00817612"/>
    <w:rsid w:val="00826EC1"/>
    <w:rsid w:val="008306C5"/>
    <w:rsid w:val="00831448"/>
    <w:rsid w:val="008338A4"/>
    <w:rsid w:val="00834D49"/>
    <w:rsid w:val="00837488"/>
    <w:rsid w:val="00837C45"/>
    <w:rsid w:val="00841FEF"/>
    <w:rsid w:val="00842787"/>
    <w:rsid w:val="00844730"/>
    <w:rsid w:val="008457C2"/>
    <w:rsid w:val="00852707"/>
    <w:rsid w:val="008529CD"/>
    <w:rsid w:val="00856B28"/>
    <w:rsid w:val="00857A82"/>
    <w:rsid w:val="00862BCA"/>
    <w:rsid w:val="0086490F"/>
    <w:rsid w:val="00866011"/>
    <w:rsid w:val="00867314"/>
    <w:rsid w:val="00873836"/>
    <w:rsid w:val="00881CA2"/>
    <w:rsid w:val="00885737"/>
    <w:rsid w:val="00886334"/>
    <w:rsid w:val="00890650"/>
    <w:rsid w:val="00890FD3"/>
    <w:rsid w:val="00893D59"/>
    <w:rsid w:val="008970E9"/>
    <w:rsid w:val="00897E12"/>
    <w:rsid w:val="008A620D"/>
    <w:rsid w:val="008A7E0F"/>
    <w:rsid w:val="008B12F5"/>
    <w:rsid w:val="008C5E2D"/>
    <w:rsid w:val="008C7EB3"/>
    <w:rsid w:val="008D768D"/>
    <w:rsid w:val="008E3759"/>
    <w:rsid w:val="008E3BFE"/>
    <w:rsid w:val="008E6189"/>
    <w:rsid w:val="008E73E4"/>
    <w:rsid w:val="008F1912"/>
    <w:rsid w:val="008F4BF1"/>
    <w:rsid w:val="008F68D5"/>
    <w:rsid w:val="00900C24"/>
    <w:rsid w:val="0090270B"/>
    <w:rsid w:val="009041DC"/>
    <w:rsid w:val="009050A1"/>
    <w:rsid w:val="00912380"/>
    <w:rsid w:val="00913A43"/>
    <w:rsid w:val="00914994"/>
    <w:rsid w:val="00917B5A"/>
    <w:rsid w:val="00917D73"/>
    <w:rsid w:val="00920A58"/>
    <w:rsid w:val="00920A8C"/>
    <w:rsid w:val="009273B8"/>
    <w:rsid w:val="00934A2C"/>
    <w:rsid w:val="0094106A"/>
    <w:rsid w:val="00964CA3"/>
    <w:rsid w:val="009659C6"/>
    <w:rsid w:val="0096706E"/>
    <w:rsid w:val="00974491"/>
    <w:rsid w:val="009756E5"/>
    <w:rsid w:val="00975C4E"/>
    <w:rsid w:val="00981FBA"/>
    <w:rsid w:val="00983053"/>
    <w:rsid w:val="009835C9"/>
    <w:rsid w:val="0099726F"/>
    <w:rsid w:val="00997BC5"/>
    <w:rsid w:val="009A2683"/>
    <w:rsid w:val="009A39F9"/>
    <w:rsid w:val="009A4F41"/>
    <w:rsid w:val="009A5EA0"/>
    <w:rsid w:val="009B381B"/>
    <w:rsid w:val="009B3C99"/>
    <w:rsid w:val="009D11DE"/>
    <w:rsid w:val="009D1753"/>
    <w:rsid w:val="009D4C5B"/>
    <w:rsid w:val="009D5D38"/>
    <w:rsid w:val="009D7611"/>
    <w:rsid w:val="009E0B61"/>
    <w:rsid w:val="009E53DE"/>
    <w:rsid w:val="009F24E6"/>
    <w:rsid w:val="009F2B57"/>
    <w:rsid w:val="00A03E2B"/>
    <w:rsid w:val="00A10F14"/>
    <w:rsid w:val="00A11212"/>
    <w:rsid w:val="00A11539"/>
    <w:rsid w:val="00A11E44"/>
    <w:rsid w:val="00A14D0A"/>
    <w:rsid w:val="00A21221"/>
    <w:rsid w:val="00A23907"/>
    <w:rsid w:val="00A25E20"/>
    <w:rsid w:val="00A30100"/>
    <w:rsid w:val="00A328B3"/>
    <w:rsid w:val="00A33D14"/>
    <w:rsid w:val="00A340A0"/>
    <w:rsid w:val="00A446AE"/>
    <w:rsid w:val="00A44B11"/>
    <w:rsid w:val="00A50FCF"/>
    <w:rsid w:val="00A51675"/>
    <w:rsid w:val="00A528D1"/>
    <w:rsid w:val="00A551C6"/>
    <w:rsid w:val="00A5684C"/>
    <w:rsid w:val="00A610CD"/>
    <w:rsid w:val="00A626E9"/>
    <w:rsid w:val="00A758AA"/>
    <w:rsid w:val="00A76532"/>
    <w:rsid w:val="00A7693B"/>
    <w:rsid w:val="00A83330"/>
    <w:rsid w:val="00A91192"/>
    <w:rsid w:val="00A9482C"/>
    <w:rsid w:val="00A9573B"/>
    <w:rsid w:val="00AA09A2"/>
    <w:rsid w:val="00AA1A5D"/>
    <w:rsid w:val="00AA52AC"/>
    <w:rsid w:val="00AA5656"/>
    <w:rsid w:val="00AA7713"/>
    <w:rsid w:val="00AA7996"/>
    <w:rsid w:val="00AB1684"/>
    <w:rsid w:val="00AB1CC6"/>
    <w:rsid w:val="00AC19CB"/>
    <w:rsid w:val="00AD1410"/>
    <w:rsid w:val="00AE5488"/>
    <w:rsid w:val="00AE6F91"/>
    <w:rsid w:val="00AF4A95"/>
    <w:rsid w:val="00AF5571"/>
    <w:rsid w:val="00AF57D4"/>
    <w:rsid w:val="00AF582A"/>
    <w:rsid w:val="00B016EF"/>
    <w:rsid w:val="00B032A8"/>
    <w:rsid w:val="00B07341"/>
    <w:rsid w:val="00B1006C"/>
    <w:rsid w:val="00B13141"/>
    <w:rsid w:val="00B22AD5"/>
    <w:rsid w:val="00B2302A"/>
    <w:rsid w:val="00B2347D"/>
    <w:rsid w:val="00B30539"/>
    <w:rsid w:val="00B30CC0"/>
    <w:rsid w:val="00B314DB"/>
    <w:rsid w:val="00B31751"/>
    <w:rsid w:val="00B361F2"/>
    <w:rsid w:val="00B3718B"/>
    <w:rsid w:val="00B3745F"/>
    <w:rsid w:val="00B4152B"/>
    <w:rsid w:val="00B4632A"/>
    <w:rsid w:val="00B46C59"/>
    <w:rsid w:val="00B476D7"/>
    <w:rsid w:val="00B51F72"/>
    <w:rsid w:val="00B530F1"/>
    <w:rsid w:val="00B56A9F"/>
    <w:rsid w:val="00B60258"/>
    <w:rsid w:val="00B70B0F"/>
    <w:rsid w:val="00B74BD0"/>
    <w:rsid w:val="00B774F0"/>
    <w:rsid w:val="00B77550"/>
    <w:rsid w:val="00B77D21"/>
    <w:rsid w:val="00B77EA7"/>
    <w:rsid w:val="00B80CA0"/>
    <w:rsid w:val="00B95A83"/>
    <w:rsid w:val="00BA02C0"/>
    <w:rsid w:val="00BA276C"/>
    <w:rsid w:val="00BA79B3"/>
    <w:rsid w:val="00BB306F"/>
    <w:rsid w:val="00BB3F0E"/>
    <w:rsid w:val="00BC2D1B"/>
    <w:rsid w:val="00BD4B89"/>
    <w:rsid w:val="00BD5922"/>
    <w:rsid w:val="00BF02CB"/>
    <w:rsid w:val="00BF173F"/>
    <w:rsid w:val="00BF26A6"/>
    <w:rsid w:val="00BF6FD8"/>
    <w:rsid w:val="00C03432"/>
    <w:rsid w:val="00C03680"/>
    <w:rsid w:val="00C054DF"/>
    <w:rsid w:val="00C11F7D"/>
    <w:rsid w:val="00C16BAD"/>
    <w:rsid w:val="00C21762"/>
    <w:rsid w:val="00C21FEF"/>
    <w:rsid w:val="00C23BA4"/>
    <w:rsid w:val="00C24543"/>
    <w:rsid w:val="00C24CAC"/>
    <w:rsid w:val="00C256A2"/>
    <w:rsid w:val="00C25ADB"/>
    <w:rsid w:val="00C269C0"/>
    <w:rsid w:val="00C314AC"/>
    <w:rsid w:val="00C41403"/>
    <w:rsid w:val="00C472B3"/>
    <w:rsid w:val="00C51515"/>
    <w:rsid w:val="00C515BA"/>
    <w:rsid w:val="00C5660B"/>
    <w:rsid w:val="00C60241"/>
    <w:rsid w:val="00C60E86"/>
    <w:rsid w:val="00C61970"/>
    <w:rsid w:val="00C64B13"/>
    <w:rsid w:val="00C66B72"/>
    <w:rsid w:val="00C741C1"/>
    <w:rsid w:val="00C74981"/>
    <w:rsid w:val="00C81A11"/>
    <w:rsid w:val="00C82154"/>
    <w:rsid w:val="00C87AC4"/>
    <w:rsid w:val="00C9567A"/>
    <w:rsid w:val="00C9605F"/>
    <w:rsid w:val="00C97C46"/>
    <w:rsid w:val="00CB212D"/>
    <w:rsid w:val="00CB2660"/>
    <w:rsid w:val="00CB3B66"/>
    <w:rsid w:val="00CC5E90"/>
    <w:rsid w:val="00CD046C"/>
    <w:rsid w:val="00CD22D9"/>
    <w:rsid w:val="00CD7868"/>
    <w:rsid w:val="00CD7D6F"/>
    <w:rsid w:val="00CE076C"/>
    <w:rsid w:val="00CE13B3"/>
    <w:rsid w:val="00CE5199"/>
    <w:rsid w:val="00CE66D5"/>
    <w:rsid w:val="00CF4EC7"/>
    <w:rsid w:val="00CF637A"/>
    <w:rsid w:val="00D059DE"/>
    <w:rsid w:val="00D05ABD"/>
    <w:rsid w:val="00D06E25"/>
    <w:rsid w:val="00D076AA"/>
    <w:rsid w:val="00D128D2"/>
    <w:rsid w:val="00D13530"/>
    <w:rsid w:val="00D13FCE"/>
    <w:rsid w:val="00D15E35"/>
    <w:rsid w:val="00D27BDE"/>
    <w:rsid w:val="00D306D1"/>
    <w:rsid w:val="00D30800"/>
    <w:rsid w:val="00D34786"/>
    <w:rsid w:val="00D37BFC"/>
    <w:rsid w:val="00D467B0"/>
    <w:rsid w:val="00D47A8E"/>
    <w:rsid w:val="00D52D14"/>
    <w:rsid w:val="00D545D3"/>
    <w:rsid w:val="00D64752"/>
    <w:rsid w:val="00D712D3"/>
    <w:rsid w:val="00D71422"/>
    <w:rsid w:val="00D72DC6"/>
    <w:rsid w:val="00D7558D"/>
    <w:rsid w:val="00D7676B"/>
    <w:rsid w:val="00D81D92"/>
    <w:rsid w:val="00D876F9"/>
    <w:rsid w:val="00D94CC6"/>
    <w:rsid w:val="00DA667E"/>
    <w:rsid w:val="00DA7B5F"/>
    <w:rsid w:val="00DC11E7"/>
    <w:rsid w:val="00DC24E3"/>
    <w:rsid w:val="00DC4438"/>
    <w:rsid w:val="00DC66EC"/>
    <w:rsid w:val="00DC7023"/>
    <w:rsid w:val="00DC769A"/>
    <w:rsid w:val="00DD05F4"/>
    <w:rsid w:val="00DD3D86"/>
    <w:rsid w:val="00DD4AD2"/>
    <w:rsid w:val="00DF1EC4"/>
    <w:rsid w:val="00E0340B"/>
    <w:rsid w:val="00E03901"/>
    <w:rsid w:val="00E04699"/>
    <w:rsid w:val="00E04A90"/>
    <w:rsid w:val="00E0551F"/>
    <w:rsid w:val="00E219C7"/>
    <w:rsid w:val="00E26D5B"/>
    <w:rsid w:val="00E36C4C"/>
    <w:rsid w:val="00E36D7D"/>
    <w:rsid w:val="00E4118C"/>
    <w:rsid w:val="00E43157"/>
    <w:rsid w:val="00E461CE"/>
    <w:rsid w:val="00E51B91"/>
    <w:rsid w:val="00E53335"/>
    <w:rsid w:val="00E54646"/>
    <w:rsid w:val="00E54D28"/>
    <w:rsid w:val="00E573E4"/>
    <w:rsid w:val="00E62850"/>
    <w:rsid w:val="00E64C3D"/>
    <w:rsid w:val="00E70BAD"/>
    <w:rsid w:val="00E720CA"/>
    <w:rsid w:val="00E731BE"/>
    <w:rsid w:val="00E806AC"/>
    <w:rsid w:val="00E82DDC"/>
    <w:rsid w:val="00E84EB5"/>
    <w:rsid w:val="00E85662"/>
    <w:rsid w:val="00E8789F"/>
    <w:rsid w:val="00E95861"/>
    <w:rsid w:val="00E97B71"/>
    <w:rsid w:val="00EA3D34"/>
    <w:rsid w:val="00EA3E79"/>
    <w:rsid w:val="00EA5036"/>
    <w:rsid w:val="00EA6361"/>
    <w:rsid w:val="00EB197F"/>
    <w:rsid w:val="00EB4320"/>
    <w:rsid w:val="00EB454D"/>
    <w:rsid w:val="00EB74A8"/>
    <w:rsid w:val="00EC08BB"/>
    <w:rsid w:val="00EC2736"/>
    <w:rsid w:val="00EC4AEF"/>
    <w:rsid w:val="00ED549D"/>
    <w:rsid w:val="00ED596F"/>
    <w:rsid w:val="00ED6590"/>
    <w:rsid w:val="00ED76BE"/>
    <w:rsid w:val="00EE00E9"/>
    <w:rsid w:val="00EE12B4"/>
    <w:rsid w:val="00EE3DBC"/>
    <w:rsid w:val="00EE62E9"/>
    <w:rsid w:val="00EF1AAA"/>
    <w:rsid w:val="00EF619B"/>
    <w:rsid w:val="00F00B55"/>
    <w:rsid w:val="00F02AD1"/>
    <w:rsid w:val="00F07E9C"/>
    <w:rsid w:val="00F1046C"/>
    <w:rsid w:val="00F15D7B"/>
    <w:rsid w:val="00F17BDF"/>
    <w:rsid w:val="00F253CC"/>
    <w:rsid w:val="00F25E5E"/>
    <w:rsid w:val="00F36CD6"/>
    <w:rsid w:val="00F37106"/>
    <w:rsid w:val="00F4396B"/>
    <w:rsid w:val="00F44E25"/>
    <w:rsid w:val="00F519CF"/>
    <w:rsid w:val="00F54084"/>
    <w:rsid w:val="00F56BA5"/>
    <w:rsid w:val="00F60E22"/>
    <w:rsid w:val="00F73D0F"/>
    <w:rsid w:val="00F81395"/>
    <w:rsid w:val="00F81BB8"/>
    <w:rsid w:val="00F822C0"/>
    <w:rsid w:val="00F90C64"/>
    <w:rsid w:val="00F917D1"/>
    <w:rsid w:val="00F9653B"/>
    <w:rsid w:val="00F96DC4"/>
    <w:rsid w:val="00F97E3C"/>
    <w:rsid w:val="00FA5D37"/>
    <w:rsid w:val="00FB2883"/>
    <w:rsid w:val="00FB62CF"/>
    <w:rsid w:val="00FB75F9"/>
    <w:rsid w:val="00FC7CB2"/>
    <w:rsid w:val="00FD1581"/>
    <w:rsid w:val="00FD3C3B"/>
    <w:rsid w:val="00FE07DD"/>
    <w:rsid w:val="00FE5BA7"/>
    <w:rsid w:val="00FE6B45"/>
    <w:rsid w:val="00FF0258"/>
    <w:rsid w:val="00FF412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C02C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E36C4C"/>
    <w:rPr>
      <w:sz w:val="16"/>
      <w:szCs w:val="16"/>
    </w:rPr>
  </w:style>
  <w:style w:type="paragraph" w:styleId="CommentText">
    <w:name w:val="annotation text"/>
    <w:basedOn w:val="Normal"/>
    <w:link w:val="CommentTextChar"/>
    <w:uiPriority w:val="99"/>
    <w:unhideWhenUsed/>
    <w:rsid w:val="00E36C4C"/>
    <w:rPr>
      <w:sz w:val="20"/>
      <w:szCs w:val="20"/>
    </w:rPr>
  </w:style>
  <w:style w:type="character" w:customStyle="1" w:styleId="CommentTextChar">
    <w:name w:val="Comment Text Char"/>
    <w:basedOn w:val="DefaultParagraphFont"/>
    <w:link w:val="CommentText"/>
    <w:uiPriority w:val="99"/>
    <w:rsid w:val="00E36C4C"/>
    <w:rPr>
      <w:lang w:val="en-US" w:eastAsia="en-US"/>
    </w:rPr>
  </w:style>
  <w:style w:type="paragraph" w:styleId="CommentSubject">
    <w:name w:val="annotation subject"/>
    <w:basedOn w:val="CommentText"/>
    <w:next w:val="CommentText"/>
    <w:link w:val="CommentSubjectChar"/>
    <w:uiPriority w:val="99"/>
    <w:semiHidden/>
    <w:unhideWhenUsed/>
    <w:rsid w:val="00E36C4C"/>
    <w:rPr>
      <w:b/>
      <w:bCs/>
    </w:rPr>
  </w:style>
  <w:style w:type="character" w:customStyle="1" w:styleId="CommentSubjectChar">
    <w:name w:val="Comment Subject Char"/>
    <w:basedOn w:val="CommentTextChar"/>
    <w:link w:val="CommentSubject"/>
    <w:uiPriority w:val="99"/>
    <w:semiHidden/>
    <w:rsid w:val="00E36C4C"/>
    <w:rPr>
      <w:b/>
      <w:bCs/>
      <w:lang w:val="en-US" w:eastAsia="en-US"/>
    </w:rPr>
  </w:style>
  <w:style w:type="character" w:customStyle="1" w:styleId="normaltextrun">
    <w:name w:val="normaltextrun"/>
    <w:basedOn w:val="DefaultParagraphFont"/>
    <w:rsid w:val="00305C05"/>
  </w:style>
  <w:style w:type="character" w:customStyle="1" w:styleId="eop">
    <w:name w:val="eop"/>
    <w:basedOn w:val="DefaultParagraphFont"/>
    <w:rsid w:val="00305C05"/>
  </w:style>
  <w:style w:type="paragraph" w:customStyle="1" w:styleId="paragraph">
    <w:name w:val="paragraph"/>
    <w:basedOn w:val="Normal"/>
    <w:rsid w:val="00305C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20526">
      <w:bodyDiv w:val="1"/>
      <w:marLeft w:val="0"/>
      <w:marRight w:val="0"/>
      <w:marTop w:val="0"/>
      <w:marBottom w:val="0"/>
      <w:divBdr>
        <w:top w:val="none" w:sz="0" w:space="0" w:color="auto"/>
        <w:left w:val="none" w:sz="0" w:space="0" w:color="auto"/>
        <w:bottom w:val="none" w:sz="0" w:space="0" w:color="auto"/>
        <w:right w:val="none" w:sz="0" w:space="0" w:color="auto"/>
      </w:divBdr>
    </w:div>
    <w:div w:id="279723028">
      <w:bodyDiv w:val="1"/>
      <w:marLeft w:val="0"/>
      <w:marRight w:val="0"/>
      <w:marTop w:val="0"/>
      <w:marBottom w:val="0"/>
      <w:divBdr>
        <w:top w:val="none" w:sz="0" w:space="0" w:color="auto"/>
        <w:left w:val="none" w:sz="0" w:space="0" w:color="auto"/>
        <w:bottom w:val="none" w:sz="0" w:space="0" w:color="auto"/>
        <w:right w:val="none" w:sz="0" w:space="0" w:color="auto"/>
      </w:divBdr>
    </w:div>
    <w:div w:id="605697418">
      <w:bodyDiv w:val="1"/>
      <w:marLeft w:val="0"/>
      <w:marRight w:val="0"/>
      <w:marTop w:val="0"/>
      <w:marBottom w:val="0"/>
      <w:divBdr>
        <w:top w:val="none" w:sz="0" w:space="0" w:color="auto"/>
        <w:left w:val="none" w:sz="0" w:space="0" w:color="auto"/>
        <w:bottom w:val="none" w:sz="0" w:space="0" w:color="auto"/>
        <w:right w:val="none" w:sz="0" w:space="0" w:color="auto"/>
      </w:divBdr>
    </w:div>
    <w:div w:id="621107746">
      <w:bodyDiv w:val="1"/>
      <w:marLeft w:val="0"/>
      <w:marRight w:val="0"/>
      <w:marTop w:val="0"/>
      <w:marBottom w:val="0"/>
      <w:divBdr>
        <w:top w:val="none" w:sz="0" w:space="0" w:color="auto"/>
        <w:left w:val="none" w:sz="0" w:space="0" w:color="auto"/>
        <w:bottom w:val="none" w:sz="0" w:space="0" w:color="auto"/>
        <w:right w:val="none" w:sz="0" w:space="0" w:color="auto"/>
      </w:divBdr>
    </w:div>
    <w:div w:id="653417679">
      <w:bodyDiv w:val="1"/>
      <w:marLeft w:val="0"/>
      <w:marRight w:val="0"/>
      <w:marTop w:val="0"/>
      <w:marBottom w:val="0"/>
      <w:divBdr>
        <w:top w:val="none" w:sz="0" w:space="0" w:color="auto"/>
        <w:left w:val="none" w:sz="0" w:space="0" w:color="auto"/>
        <w:bottom w:val="none" w:sz="0" w:space="0" w:color="auto"/>
        <w:right w:val="none" w:sz="0" w:space="0" w:color="auto"/>
      </w:divBdr>
    </w:div>
    <w:div w:id="682975960">
      <w:bodyDiv w:val="1"/>
      <w:marLeft w:val="0"/>
      <w:marRight w:val="0"/>
      <w:marTop w:val="0"/>
      <w:marBottom w:val="0"/>
      <w:divBdr>
        <w:top w:val="none" w:sz="0" w:space="0" w:color="auto"/>
        <w:left w:val="none" w:sz="0" w:space="0" w:color="auto"/>
        <w:bottom w:val="none" w:sz="0" w:space="0" w:color="auto"/>
        <w:right w:val="none" w:sz="0" w:space="0" w:color="auto"/>
      </w:divBdr>
    </w:div>
    <w:div w:id="113784235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16567481">
      <w:bodyDiv w:val="1"/>
      <w:marLeft w:val="0"/>
      <w:marRight w:val="0"/>
      <w:marTop w:val="0"/>
      <w:marBottom w:val="0"/>
      <w:divBdr>
        <w:top w:val="none" w:sz="0" w:space="0" w:color="auto"/>
        <w:left w:val="none" w:sz="0" w:space="0" w:color="auto"/>
        <w:bottom w:val="none" w:sz="0" w:space="0" w:color="auto"/>
        <w:right w:val="none" w:sz="0" w:space="0" w:color="auto"/>
      </w:divBdr>
    </w:div>
    <w:div w:id="1561330651">
      <w:bodyDiv w:val="1"/>
      <w:marLeft w:val="0"/>
      <w:marRight w:val="0"/>
      <w:marTop w:val="0"/>
      <w:marBottom w:val="0"/>
      <w:divBdr>
        <w:top w:val="none" w:sz="0" w:space="0" w:color="auto"/>
        <w:left w:val="none" w:sz="0" w:space="0" w:color="auto"/>
        <w:bottom w:val="none" w:sz="0" w:space="0" w:color="auto"/>
        <w:right w:val="none" w:sz="0" w:space="0" w:color="auto"/>
      </w:divBdr>
    </w:div>
    <w:div w:id="1632830154">
      <w:bodyDiv w:val="1"/>
      <w:marLeft w:val="0"/>
      <w:marRight w:val="0"/>
      <w:marTop w:val="0"/>
      <w:marBottom w:val="0"/>
      <w:divBdr>
        <w:top w:val="none" w:sz="0" w:space="0" w:color="auto"/>
        <w:left w:val="none" w:sz="0" w:space="0" w:color="auto"/>
        <w:bottom w:val="none" w:sz="0" w:space="0" w:color="auto"/>
        <w:right w:val="none" w:sz="0" w:space="0" w:color="auto"/>
      </w:divBdr>
    </w:div>
    <w:div w:id="1709913558">
      <w:bodyDiv w:val="1"/>
      <w:marLeft w:val="0"/>
      <w:marRight w:val="0"/>
      <w:marTop w:val="0"/>
      <w:marBottom w:val="0"/>
      <w:divBdr>
        <w:top w:val="none" w:sz="0" w:space="0" w:color="auto"/>
        <w:left w:val="none" w:sz="0" w:space="0" w:color="auto"/>
        <w:bottom w:val="none" w:sz="0" w:space="0" w:color="auto"/>
        <w:right w:val="none" w:sz="0" w:space="0" w:color="auto"/>
      </w:divBdr>
    </w:div>
    <w:div w:id="1759861011">
      <w:bodyDiv w:val="1"/>
      <w:marLeft w:val="0"/>
      <w:marRight w:val="0"/>
      <w:marTop w:val="0"/>
      <w:marBottom w:val="0"/>
      <w:divBdr>
        <w:top w:val="none" w:sz="0" w:space="0" w:color="auto"/>
        <w:left w:val="none" w:sz="0" w:space="0" w:color="auto"/>
        <w:bottom w:val="none" w:sz="0" w:space="0" w:color="auto"/>
        <w:right w:val="none" w:sz="0" w:space="0" w:color="auto"/>
      </w:divBdr>
    </w:div>
    <w:div w:id="176032263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5323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B68CE"/>
    <w:rsid w:val="00200821"/>
    <w:rsid w:val="00201CE6"/>
    <w:rsid w:val="0025245B"/>
    <w:rsid w:val="002A3923"/>
    <w:rsid w:val="0036613F"/>
    <w:rsid w:val="00394049"/>
    <w:rsid w:val="004A3ACF"/>
    <w:rsid w:val="004B34E7"/>
    <w:rsid w:val="004B5BBB"/>
    <w:rsid w:val="004F2DF8"/>
    <w:rsid w:val="00520D31"/>
    <w:rsid w:val="005B44FC"/>
    <w:rsid w:val="00644CA7"/>
    <w:rsid w:val="006D6862"/>
    <w:rsid w:val="006F24A1"/>
    <w:rsid w:val="00855198"/>
    <w:rsid w:val="008729A3"/>
    <w:rsid w:val="009A261B"/>
    <w:rsid w:val="009C3CB6"/>
    <w:rsid w:val="00A4418E"/>
    <w:rsid w:val="00AA2E17"/>
    <w:rsid w:val="00AC15A4"/>
    <w:rsid w:val="00B0336C"/>
    <w:rsid w:val="00B30277"/>
    <w:rsid w:val="00C31037"/>
    <w:rsid w:val="00D241E9"/>
    <w:rsid w:val="00D7750D"/>
    <w:rsid w:val="00F00D2F"/>
    <w:rsid w:val="00F02104"/>
    <w:rsid w:val="00F128DF"/>
    <w:rsid w:val="00F2116E"/>
    <w:rsid w:val="00FB422A"/>
    <w:rsid w:val="00FE70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3470</Words>
  <Characters>19783</Characters>
  <Application>Microsoft Office Word</Application>
  <DocSecurity>0</DocSecurity>
  <Lines>164</Lines>
  <Paragraphs>46</Paragraphs>
  <ScaleCrop>false</ScaleCrop>
  <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2024-09-24T20:28:00Z</dcterms:created>
  <dcterms:modified xsi:type="dcterms:W3CDTF">2024-09-24T20:28:00Z</dcterms:modified>
</cp:coreProperties>
</file>