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7F84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871CCA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054D1">
                              <w:rPr>
                                <w:rFonts w:asciiTheme="majorHAnsi" w:hAnsiTheme="majorHAnsi" w:cs="Arial"/>
                                <w:b/>
                                <w:bCs/>
                                <w:color w:val="0D0D0D" w:themeColor="text1" w:themeTint="F2"/>
                                <w:sz w:val="36"/>
                                <w:szCs w:val="22"/>
                                <w:lang w:val="es-ES_tradnl"/>
                              </w:rPr>
                              <w:t>77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CC6785">
                              <w:rPr>
                                <w:rFonts w:asciiTheme="majorHAnsi" w:hAnsiTheme="majorHAnsi" w:cs="Arial"/>
                                <w:b/>
                                <w:bCs/>
                                <w:color w:val="0D0D0D" w:themeColor="text1" w:themeTint="F2"/>
                                <w:sz w:val="36"/>
                                <w:szCs w:val="22"/>
                                <w:lang w:val="es-ES_tradnl"/>
                              </w:rPr>
                              <w:t>4</w:t>
                            </w:r>
                          </w:p>
                          <w:p w14:paraId="45F30ECA" w14:textId="7674682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F6B57" w:rsidRPr="00DF6B57">
                              <w:rPr>
                                <w:rFonts w:asciiTheme="majorHAnsi" w:hAnsiTheme="majorHAnsi" w:cs="Arial"/>
                                <w:b/>
                                <w:color w:val="0D0D0D" w:themeColor="text1" w:themeTint="F2"/>
                                <w:sz w:val="36"/>
                                <w:szCs w:val="22"/>
                                <w:lang w:val="es-ES_tradnl"/>
                              </w:rPr>
                              <w:t>2066-17</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82F5F3B" w14:textId="4455F591" w:rsidR="008E0EF4" w:rsidRPr="0010736F" w:rsidRDefault="008E0EF4" w:rsidP="008E0EF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AA Y BB</w:t>
                            </w:r>
                          </w:p>
                          <w:p w14:paraId="1C650A77" w14:textId="4D9D02FF" w:rsidR="008E0EF4" w:rsidRPr="00AE5488" w:rsidRDefault="008E0EF4" w:rsidP="008E0EF4">
                            <w:pPr>
                              <w:rPr>
                                <w:color w:val="0D0D0D" w:themeColor="text1" w:themeTint="F2"/>
                                <w:lang w:val="es-ES_tradnl"/>
                              </w:rPr>
                            </w:pPr>
                            <w:r>
                              <w:rPr>
                                <w:rFonts w:asciiTheme="majorHAnsi" w:hAnsiTheme="majorHAnsi" w:cs="Arial"/>
                                <w:color w:val="0D0D0D" w:themeColor="text1" w:themeTint="F2"/>
                                <w:szCs w:val="22"/>
                                <w:lang w:val="es-ES_tradnl"/>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871CCA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054D1">
                        <w:rPr>
                          <w:rFonts w:asciiTheme="majorHAnsi" w:hAnsiTheme="majorHAnsi" w:cs="Arial"/>
                          <w:b/>
                          <w:bCs/>
                          <w:color w:val="0D0D0D" w:themeColor="text1" w:themeTint="F2"/>
                          <w:sz w:val="36"/>
                          <w:szCs w:val="22"/>
                          <w:lang w:val="es-ES_tradnl"/>
                        </w:rPr>
                        <w:t>77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CC6785">
                        <w:rPr>
                          <w:rFonts w:asciiTheme="majorHAnsi" w:hAnsiTheme="majorHAnsi" w:cs="Arial"/>
                          <w:b/>
                          <w:bCs/>
                          <w:color w:val="0D0D0D" w:themeColor="text1" w:themeTint="F2"/>
                          <w:sz w:val="36"/>
                          <w:szCs w:val="22"/>
                          <w:lang w:val="es-ES_tradnl"/>
                        </w:rPr>
                        <w:t>4</w:t>
                      </w:r>
                    </w:p>
                    <w:p w14:paraId="45F30ECA" w14:textId="7674682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F6B57" w:rsidRPr="00DF6B57">
                        <w:rPr>
                          <w:rFonts w:asciiTheme="majorHAnsi" w:hAnsiTheme="majorHAnsi" w:cs="Arial"/>
                          <w:b/>
                          <w:color w:val="0D0D0D" w:themeColor="text1" w:themeTint="F2"/>
                          <w:sz w:val="36"/>
                          <w:szCs w:val="22"/>
                          <w:lang w:val="es-ES_tradnl"/>
                        </w:rPr>
                        <w:t>2066-17</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82F5F3B" w14:textId="4455F591" w:rsidR="008E0EF4" w:rsidRPr="0010736F" w:rsidRDefault="008E0EF4" w:rsidP="008E0EF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AA Y BB</w:t>
                      </w:r>
                    </w:p>
                    <w:p w14:paraId="1C650A77" w14:textId="4D9D02FF" w:rsidR="008E0EF4" w:rsidRPr="00AE5488" w:rsidRDefault="008E0EF4" w:rsidP="008E0EF4">
                      <w:pPr>
                        <w:rPr>
                          <w:color w:val="0D0D0D" w:themeColor="text1" w:themeTint="F2"/>
                          <w:lang w:val="es-ES_tradnl"/>
                        </w:rPr>
                      </w:pPr>
                      <w:r>
                        <w:rPr>
                          <w:rFonts w:asciiTheme="majorHAnsi" w:hAnsiTheme="majorHAnsi" w:cs="Arial"/>
                          <w:color w:val="0D0D0D" w:themeColor="text1" w:themeTint="F2"/>
                          <w:szCs w:val="22"/>
                          <w:lang w:val="es-ES_tradnl"/>
                        </w:rPr>
                        <w:t>BRASIL</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3A1504F" w:rsidR="00627C9F" w:rsidRPr="00E30C7D" w:rsidRDefault="00834D49" w:rsidP="007A5817">
                            <w:pPr>
                              <w:spacing w:line="276" w:lineRule="auto"/>
                              <w:jc w:val="right"/>
                              <w:rPr>
                                <w:rFonts w:asciiTheme="minorHAnsi" w:hAnsiTheme="minorHAnsi"/>
                                <w:color w:val="FFFFFF" w:themeColor="background1"/>
                                <w:sz w:val="22"/>
                                <w:lang w:val="es-ES"/>
                              </w:rPr>
                            </w:pPr>
                            <w:r w:rsidRPr="00E30C7D">
                              <w:rPr>
                                <w:rFonts w:asciiTheme="minorHAnsi" w:hAnsiTheme="minorHAnsi"/>
                                <w:color w:val="FFFFFF" w:themeColor="background1"/>
                                <w:sz w:val="22"/>
                                <w:lang w:val="es-ES"/>
                              </w:rPr>
                              <w:t>OEA/Ser.L/V/II</w:t>
                            </w:r>
                          </w:p>
                          <w:p w14:paraId="71D2D5D2" w14:textId="1ECBBE5E" w:rsidR="00627C9F" w:rsidRPr="00E30C7D" w:rsidRDefault="00627C9F" w:rsidP="007A5817">
                            <w:pPr>
                              <w:spacing w:line="276" w:lineRule="auto"/>
                              <w:jc w:val="right"/>
                              <w:rPr>
                                <w:rFonts w:asciiTheme="minorHAnsi" w:hAnsiTheme="minorHAnsi"/>
                                <w:color w:val="FFFFFF" w:themeColor="background1"/>
                                <w:sz w:val="22"/>
                                <w:lang w:val="es-ES"/>
                              </w:rPr>
                            </w:pPr>
                            <w:r w:rsidRPr="00E30C7D">
                              <w:rPr>
                                <w:rFonts w:asciiTheme="minorHAnsi" w:hAnsiTheme="minorHAnsi"/>
                                <w:color w:val="FFFFFF" w:themeColor="background1"/>
                                <w:sz w:val="22"/>
                                <w:lang w:val="es-ES"/>
                              </w:rPr>
                              <w:t xml:space="preserve">Doc. </w:t>
                            </w:r>
                            <w:r w:rsidR="00F468EC" w:rsidRPr="00E30C7D">
                              <w:rPr>
                                <w:rFonts w:asciiTheme="minorHAnsi" w:hAnsiTheme="minorHAnsi"/>
                                <w:color w:val="FFFFFF" w:themeColor="background1"/>
                                <w:sz w:val="22"/>
                                <w:lang w:val="es-ES"/>
                              </w:rPr>
                              <w:t>80</w:t>
                            </w:r>
                          </w:p>
                          <w:p w14:paraId="4061DBBD" w14:textId="0661DE30" w:rsidR="00627C9F" w:rsidRPr="00C25ADB" w:rsidRDefault="00831A0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 2024</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3A1504F" w:rsidR="00627C9F" w:rsidRPr="00E30C7D" w:rsidRDefault="00834D49" w:rsidP="007A5817">
                      <w:pPr>
                        <w:spacing w:line="276" w:lineRule="auto"/>
                        <w:jc w:val="right"/>
                        <w:rPr>
                          <w:rFonts w:asciiTheme="minorHAnsi" w:hAnsiTheme="minorHAnsi"/>
                          <w:color w:val="FFFFFF" w:themeColor="background1"/>
                          <w:sz w:val="22"/>
                          <w:lang w:val="es-ES"/>
                        </w:rPr>
                      </w:pPr>
                      <w:r w:rsidRPr="00E30C7D">
                        <w:rPr>
                          <w:rFonts w:asciiTheme="minorHAnsi" w:hAnsiTheme="minorHAnsi"/>
                          <w:color w:val="FFFFFF" w:themeColor="background1"/>
                          <w:sz w:val="22"/>
                          <w:lang w:val="es-ES"/>
                        </w:rPr>
                        <w:t>OEA/Ser.L/V/II</w:t>
                      </w:r>
                    </w:p>
                    <w:p w14:paraId="71D2D5D2" w14:textId="1ECBBE5E" w:rsidR="00627C9F" w:rsidRPr="00E30C7D" w:rsidRDefault="00627C9F" w:rsidP="007A5817">
                      <w:pPr>
                        <w:spacing w:line="276" w:lineRule="auto"/>
                        <w:jc w:val="right"/>
                        <w:rPr>
                          <w:rFonts w:asciiTheme="minorHAnsi" w:hAnsiTheme="minorHAnsi"/>
                          <w:color w:val="FFFFFF" w:themeColor="background1"/>
                          <w:sz w:val="22"/>
                          <w:lang w:val="es-ES"/>
                        </w:rPr>
                      </w:pPr>
                      <w:r w:rsidRPr="00E30C7D">
                        <w:rPr>
                          <w:rFonts w:asciiTheme="minorHAnsi" w:hAnsiTheme="minorHAnsi"/>
                          <w:color w:val="FFFFFF" w:themeColor="background1"/>
                          <w:sz w:val="22"/>
                          <w:lang w:val="es-ES"/>
                        </w:rPr>
                        <w:t xml:space="preserve">Doc. </w:t>
                      </w:r>
                      <w:r w:rsidR="00F468EC" w:rsidRPr="00E30C7D">
                        <w:rPr>
                          <w:rFonts w:asciiTheme="minorHAnsi" w:hAnsiTheme="minorHAnsi"/>
                          <w:color w:val="FFFFFF" w:themeColor="background1"/>
                          <w:sz w:val="22"/>
                          <w:lang w:val="es-ES"/>
                        </w:rPr>
                        <w:t>80</w:t>
                      </w:r>
                    </w:p>
                    <w:p w14:paraId="4061DBBD" w14:textId="0661DE30" w:rsidR="00627C9F" w:rsidRPr="00C25ADB" w:rsidRDefault="00831A0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 2024</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BC7A99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9171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891715">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C6785">
                              <w:rPr>
                                <w:rFonts w:asciiTheme="majorHAnsi" w:hAnsiTheme="majorHAnsi"/>
                                <w:color w:val="0D0D0D" w:themeColor="text1" w:themeTint="F2"/>
                                <w:sz w:val="18"/>
                                <w:szCs w:val="22"/>
                                <w:lang w:val="es-ES"/>
                              </w:rPr>
                              <w:t>4</w:t>
                            </w:r>
                            <w:r w:rsidR="0089171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BC7A99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9171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891715">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C6785">
                        <w:rPr>
                          <w:rFonts w:asciiTheme="majorHAnsi" w:hAnsiTheme="majorHAnsi"/>
                          <w:color w:val="0D0D0D" w:themeColor="text1" w:themeTint="F2"/>
                          <w:sz w:val="18"/>
                          <w:szCs w:val="22"/>
                          <w:lang w:val="es-ES"/>
                        </w:rPr>
                        <w:t>4</w:t>
                      </w:r>
                      <w:r w:rsidR="0089171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951EC" w14:textId="77777777" w:rsidR="00891715"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1715" w:rsidRPr="00891715">
                              <w:rPr>
                                <w:rFonts w:asciiTheme="majorHAnsi" w:hAnsiTheme="majorHAnsi"/>
                                <w:color w:val="595959" w:themeColor="text1" w:themeTint="A6"/>
                                <w:sz w:val="18"/>
                                <w:szCs w:val="18"/>
                                <w:lang w:val="pt-BR"/>
                              </w:rPr>
                              <w:t>77</w:t>
                            </w:r>
                            <w:r w:rsidR="007B05C4" w:rsidRPr="00891715">
                              <w:rPr>
                                <w:rFonts w:asciiTheme="majorHAnsi" w:hAnsiTheme="majorHAnsi"/>
                                <w:color w:val="595959" w:themeColor="text1" w:themeTint="A6"/>
                                <w:sz w:val="18"/>
                                <w:szCs w:val="18"/>
                                <w:lang w:val="pt-BR"/>
                              </w:rPr>
                              <w:t>/</w:t>
                            </w:r>
                            <w:r w:rsidR="00891715" w:rsidRPr="00891715">
                              <w:rPr>
                                <w:rFonts w:asciiTheme="majorHAnsi" w:hAnsiTheme="majorHAnsi"/>
                                <w:color w:val="595959" w:themeColor="text1" w:themeTint="A6"/>
                                <w:sz w:val="18"/>
                                <w:szCs w:val="18"/>
                                <w:lang w:val="pt-BR"/>
                              </w:rPr>
                              <w:t>24</w:t>
                            </w:r>
                            <w:r w:rsidRPr="0089171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F6B57" w:rsidRPr="00DF6B57">
                              <w:rPr>
                                <w:rFonts w:asciiTheme="majorHAnsi" w:hAnsiTheme="majorHAnsi"/>
                                <w:color w:val="595959" w:themeColor="text1" w:themeTint="A6"/>
                                <w:sz w:val="18"/>
                                <w:szCs w:val="18"/>
                                <w:lang w:val="es-ES"/>
                              </w:rPr>
                              <w:t xml:space="preserve">2066-17. </w:t>
                            </w:r>
                          </w:p>
                          <w:p w14:paraId="7FD77785" w14:textId="0D907F6D" w:rsidR="00113F73" w:rsidRPr="007B05C4" w:rsidRDefault="00DF6B57" w:rsidP="00113F73">
                            <w:pPr>
                              <w:spacing w:line="276" w:lineRule="auto"/>
                              <w:rPr>
                                <w:rFonts w:asciiTheme="majorHAnsi" w:hAnsiTheme="majorHAnsi"/>
                                <w:color w:val="595959" w:themeColor="text1" w:themeTint="A6"/>
                                <w:sz w:val="18"/>
                                <w:szCs w:val="18"/>
                                <w:lang w:val="es-ES"/>
                              </w:rPr>
                            </w:pPr>
                            <w:r w:rsidRPr="00DF6B57">
                              <w:rPr>
                                <w:rFonts w:asciiTheme="majorHAnsi" w:hAnsiTheme="majorHAnsi"/>
                                <w:color w:val="595959" w:themeColor="text1" w:themeTint="A6"/>
                                <w:sz w:val="18"/>
                                <w:szCs w:val="18"/>
                                <w:lang w:val="es-ES"/>
                              </w:rPr>
                              <w:t xml:space="preserve">Admisibilidad. AA </w:t>
                            </w:r>
                            <w:r>
                              <w:rPr>
                                <w:rFonts w:asciiTheme="majorHAnsi" w:hAnsiTheme="majorHAnsi"/>
                                <w:color w:val="595959" w:themeColor="text1" w:themeTint="A6"/>
                                <w:sz w:val="18"/>
                                <w:szCs w:val="18"/>
                                <w:lang w:val="es-ES"/>
                              </w:rPr>
                              <w:t>y</w:t>
                            </w:r>
                            <w:r w:rsidRPr="00DF6B57">
                              <w:rPr>
                                <w:rFonts w:asciiTheme="majorHAnsi" w:hAnsiTheme="majorHAnsi"/>
                                <w:color w:val="595959" w:themeColor="text1" w:themeTint="A6"/>
                                <w:sz w:val="18"/>
                                <w:szCs w:val="18"/>
                                <w:lang w:val="es-ES"/>
                              </w:rPr>
                              <w:t xml:space="preserve"> BB</w:t>
                            </w:r>
                            <w:r w:rsidR="00113F73"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89171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C27CC5">
                              <w:rPr>
                                <w:rFonts w:asciiTheme="majorHAnsi" w:hAnsiTheme="majorHAnsi"/>
                                <w:color w:val="595959" w:themeColor="text1" w:themeTint="A6"/>
                                <w:sz w:val="18"/>
                                <w:szCs w:val="18"/>
                                <w:lang w:val="es-ES"/>
                              </w:rPr>
                              <w:t>3 de junio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EF951EC" w14:textId="77777777" w:rsidR="00891715"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1715" w:rsidRPr="00891715">
                        <w:rPr>
                          <w:rFonts w:asciiTheme="majorHAnsi" w:hAnsiTheme="majorHAnsi"/>
                          <w:color w:val="595959" w:themeColor="text1" w:themeTint="A6"/>
                          <w:sz w:val="18"/>
                          <w:szCs w:val="18"/>
                          <w:lang w:val="pt-BR"/>
                        </w:rPr>
                        <w:t>77</w:t>
                      </w:r>
                      <w:r w:rsidR="007B05C4" w:rsidRPr="00891715">
                        <w:rPr>
                          <w:rFonts w:asciiTheme="majorHAnsi" w:hAnsiTheme="majorHAnsi"/>
                          <w:color w:val="595959" w:themeColor="text1" w:themeTint="A6"/>
                          <w:sz w:val="18"/>
                          <w:szCs w:val="18"/>
                          <w:lang w:val="pt-BR"/>
                        </w:rPr>
                        <w:t>/</w:t>
                      </w:r>
                      <w:r w:rsidR="00891715" w:rsidRPr="00891715">
                        <w:rPr>
                          <w:rFonts w:asciiTheme="majorHAnsi" w:hAnsiTheme="majorHAnsi"/>
                          <w:color w:val="595959" w:themeColor="text1" w:themeTint="A6"/>
                          <w:sz w:val="18"/>
                          <w:szCs w:val="18"/>
                          <w:lang w:val="pt-BR"/>
                        </w:rPr>
                        <w:t>24</w:t>
                      </w:r>
                      <w:r w:rsidRPr="0089171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F6B57" w:rsidRPr="00DF6B57">
                        <w:rPr>
                          <w:rFonts w:asciiTheme="majorHAnsi" w:hAnsiTheme="majorHAnsi"/>
                          <w:color w:val="595959" w:themeColor="text1" w:themeTint="A6"/>
                          <w:sz w:val="18"/>
                          <w:szCs w:val="18"/>
                          <w:lang w:val="es-ES"/>
                        </w:rPr>
                        <w:t xml:space="preserve">2066-17. </w:t>
                      </w:r>
                    </w:p>
                    <w:p w14:paraId="7FD77785" w14:textId="0D907F6D" w:rsidR="00113F73" w:rsidRPr="007B05C4" w:rsidRDefault="00DF6B57" w:rsidP="00113F73">
                      <w:pPr>
                        <w:spacing w:line="276" w:lineRule="auto"/>
                        <w:rPr>
                          <w:rFonts w:asciiTheme="majorHAnsi" w:hAnsiTheme="majorHAnsi"/>
                          <w:color w:val="595959" w:themeColor="text1" w:themeTint="A6"/>
                          <w:sz w:val="18"/>
                          <w:szCs w:val="18"/>
                          <w:lang w:val="es-ES"/>
                        </w:rPr>
                      </w:pPr>
                      <w:r w:rsidRPr="00DF6B57">
                        <w:rPr>
                          <w:rFonts w:asciiTheme="majorHAnsi" w:hAnsiTheme="majorHAnsi"/>
                          <w:color w:val="595959" w:themeColor="text1" w:themeTint="A6"/>
                          <w:sz w:val="18"/>
                          <w:szCs w:val="18"/>
                          <w:lang w:val="es-ES"/>
                        </w:rPr>
                        <w:t xml:space="preserve">Admisibilidad. AA </w:t>
                      </w:r>
                      <w:r>
                        <w:rPr>
                          <w:rFonts w:asciiTheme="majorHAnsi" w:hAnsiTheme="majorHAnsi"/>
                          <w:color w:val="595959" w:themeColor="text1" w:themeTint="A6"/>
                          <w:sz w:val="18"/>
                          <w:szCs w:val="18"/>
                          <w:lang w:val="es-ES"/>
                        </w:rPr>
                        <w:t>y</w:t>
                      </w:r>
                      <w:r w:rsidRPr="00DF6B57">
                        <w:rPr>
                          <w:rFonts w:asciiTheme="majorHAnsi" w:hAnsiTheme="majorHAnsi"/>
                          <w:color w:val="595959" w:themeColor="text1" w:themeTint="A6"/>
                          <w:sz w:val="18"/>
                          <w:szCs w:val="18"/>
                          <w:lang w:val="es-ES"/>
                        </w:rPr>
                        <w:t xml:space="preserve"> BB</w:t>
                      </w:r>
                      <w:r w:rsidR="00113F73"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89171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C27CC5">
                        <w:rPr>
                          <w:rFonts w:asciiTheme="majorHAnsi" w:hAnsiTheme="majorHAnsi"/>
                          <w:color w:val="595959" w:themeColor="text1" w:themeTint="A6"/>
                          <w:sz w:val="18"/>
                          <w:szCs w:val="18"/>
                          <w:lang w:val="es-ES"/>
                        </w:rPr>
                        <w:t>3 de junio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A1F25EC"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03B1F1B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FEC3FE" w:rsidR="0070697F" w:rsidRDefault="0023745E" w:rsidP="005516A1">
      <w:pPr>
        <w:tabs>
          <w:tab w:val="center" w:pos="5400"/>
        </w:tabs>
        <w:suppressAutoHyphens/>
        <w:jc w:val="center"/>
        <w:rPr>
          <w:rFonts w:asciiTheme="majorHAnsi" w:hAnsiTheme="majorHAnsi"/>
          <w:b/>
          <w:sz w:val="20"/>
          <w:lang w:val="es-ES_tradnl"/>
        </w:rPr>
        <w:sectPr w:rsidR="0070697F" w:rsidSect="00522350">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66B0F73F">
                <wp:simplePos x="0" y="0"/>
                <wp:positionH relativeFrom="column">
                  <wp:posOffset>1301115</wp:posOffset>
                </wp:positionH>
                <wp:positionV relativeFrom="paragraph">
                  <wp:posOffset>498475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0568E90" w:rsidR="00D72DC6" w:rsidRPr="00D72DC6" w:rsidRDefault="009030AD" w:rsidP="00F02AD1">
                            <w:pPr>
                              <w:rPr>
                                <w:color w:val="FFFFFF" w:themeColor="background1"/>
                                <w14:textFill>
                                  <w14:noFill/>
                                </w14:textFill>
                              </w:rPr>
                            </w:pPr>
                            <w:r>
                              <w:rPr>
                                <w:noProof/>
                                <w:color w:val="FFFFFF" w:themeColor="background1"/>
                              </w:rPr>
                              <w:drawing>
                                <wp:inline distT="0" distB="0" distL="0" distR="0" wp14:anchorId="23A806C7" wp14:editId="0018B95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39.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3EFHneEA&#10;AAAKAQAADwAAAAAAAAAAAAAAAADUBAAAZHJzL2Rvd25yZXYueG1sUEsFBgAAAAAEAAQA8wAAAOIF&#10;AAAAAA==&#10;" fillcolor="white [3201]" stroked="f" strokeweight=".5pt">
                <v:textbox>
                  <w:txbxContent>
                    <w:p w14:paraId="16E85441" w14:textId="50568E90" w:rsidR="00D72DC6" w:rsidRPr="00D72DC6" w:rsidRDefault="009030AD" w:rsidP="00F02AD1">
                      <w:pPr>
                        <w:rPr>
                          <w:color w:val="FFFFFF" w:themeColor="background1"/>
                          <w14:textFill>
                            <w14:noFill/>
                          </w14:textFill>
                        </w:rPr>
                      </w:pPr>
                      <w:r>
                        <w:rPr>
                          <w:noProof/>
                          <w:color w:val="FFFFFF" w:themeColor="background1"/>
                        </w:rPr>
                        <w:drawing>
                          <wp:inline distT="0" distB="0" distL="0" distR="0" wp14:anchorId="23A806C7" wp14:editId="0018B95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Parte peticionaria:</w:t>
            </w:r>
          </w:p>
        </w:tc>
        <w:tc>
          <w:tcPr>
            <w:tcW w:w="5760" w:type="dxa"/>
            <w:vAlign w:val="center"/>
          </w:tcPr>
          <w:p w14:paraId="07DAAE2E" w14:textId="32E56BF2" w:rsidR="003239B8" w:rsidRPr="00723817" w:rsidRDefault="00DF6B57" w:rsidP="008D2290">
            <w:pPr>
              <w:jc w:val="both"/>
              <w:rPr>
                <w:rFonts w:ascii="Cambria" w:hAnsi="Cambria"/>
                <w:bCs/>
                <w:sz w:val="19"/>
                <w:szCs w:val="19"/>
              </w:rPr>
            </w:pPr>
            <w:r>
              <w:rPr>
                <w:rFonts w:ascii="Cambria" w:hAnsi="Cambria"/>
                <w:bCs/>
                <w:sz w:val="19"/>
                <w:szCs w:val="19"/>
              </w:rPr>
              <w:t>AA</w:t>
            </w:r>
          </w:p>
        </w:tc>
      </w:tr>
      <w:tr w:rsidR="003239B8" w:rsidRPr="00080583"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723817" w:rsidRDefault="003F093B" w:rsidP="008D2290">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Pr>
                    <w:rFonts w:ascii="Cambria" w:hAnsi="Cambria"/>
                    <w:b/>
                    <w:bCs/>
                    <w:color w:val="FFFFFF" w:themeColor="background1"/>
                    <w:sz w:val="19"/>
                    <w:szCs w:val="19"/>
                  </w:rPr>
                  <w:t>Presuntas víctimas</w:t>
                </w:r>
              </w:sdtContent>
            </w:sdt>
            <w:r w:rsidR="003239B8" w:rsidRPr="00723817">
              <w:rPr>
                <w:rFonts w:ascii="Cambria" w:hAnsi="Cambria"/>
                <w:b/>
                <w:bCs/>
                <w:color w:val="FFFFFF" w:themeColor="background1"/>
                <w:sz w:val="19"/>
                <w:szCs w:val="19"/>
              </w:rPr>
              <w:t>:</w:t>
            </w:r>
          </w:p>
        </w:tc>
        <w:tc>
          <w:tcPr>
            <w:tcW w:w="5760" w:type="dxa"/>
            <w:vAlign w:val="center"/>
          </w:tcPr>
          <w:p w14:paraId="143D44A8" w14:textId="728F6998" w:rsidR="001D21C7" w:rsidRPr="00DF6B57" w:rsidRDefault="00DF6B57" w:rsidP="00FC6219">
            <w:pPr>
              <w:jc w:val="both"/>
              <w:rPr>
                <w:rFonts w:ascii="Cambria" w:hAnsi="Cambria"/>
                <w:bCs/>
                <w:sz w:val="19"/>
                <w:szCs w:val="19"/>
                <w:lang w:val="es-MX"/>
              </w:rPr>
            </w:pPr>
            <w:r w:rsidRPr="00DF6B57">
              <w:rPr>
                <w:rFonts w:ascii="Cambria" w:hAnsi="Cambria"/>
                <w:bCs/>
                <w:sz w:val="19"/>
                <w:szCs w:val="19"/>
                <w:lang w:val="es-MX"/>
              </w:rPr>
              <w:t xml:space="preserve">AA y su </w:t>
            </w:r>
            <w:r w:rsidR="00E80F29">
              <w:rPr>
                <w:rFonts w:ascii="Cambria" w:hAnsi="Cambria"/>
                <w:bCs/>
                <w:sz w:val="19"/>
                <w:szCs w:val="19"/>
                <w:lang w:val="es-MX"/>
              </w:rPr>
              <w:t>niña</w:t>
            </w:r>
            <w:r w:rsidRPr="00DF6B57">
              <w:rPr>
                <w:rFonts w:ascii="Cambria" w:hAnsi="Cambria"/>
                <w:bCs/>
                <w:sz w:val="19"/>
                <w:szCs w:val="19"/>
                <w:lang w:val="es-MX"/>
              </w:rPr>
              <w:t xml:space="preserve"> B</w:t>
            </w:r>
            <w:r>
              <w:rPr>
                <w:rFonts w:ascii="Cambria" w:hAnsi="Cambria"/>
                <w:bCs/>
                <w:sz w:val="19"/>
                <w:szCs w:val="19"/>
                <w:lang w:val="es-MX"/>
              </w:rPr>
              <w:t>B</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Estado denunciado:</w:t>
            </w:r>
          </w:p>
        </w:tc>
        <w:tc>
          <w:tcPr>
            <w:tcW w:w="5760" w:type="dxa"/>
            <w:vAlign w:val="center"/>
          </w:tcPr>
          <w:p w14:paraId="5D0EC05D" w14:textId="2EAEE1E0" w:rsidR="003239B8" w:rsidRPr="00723817" w:rsidRDefault="00771587" w:rsidP="008D2290">
            <w:pPr>
              <w:jc w:val="both"/>
              <w:rPr>
                <w:rFonts w:ascii="Cambria" w:hAnsi="Cambria"/>
                <w:bCs/>
                <w:sz w:val="19"/>
                <w:szCs w:val="19"/>
              </w:rPr>
            </w:pPr>
            <w:r>
              <w:rPr>
                <w:rFonts w:ascii="Cambria" w:hAnsi="Cambria"/>
                <w:bCs/>
                <w:sz w:val="19"/>
                <w:szCs w:val="19"/>
              </w:rPr>
              <w:t>Brasil</w:t>
            </w:r>
          </w:p>
        </w:tc>
      </w:tr>
      <w:tr w:rsidR="00223A29" w:rsidRPr="00080583"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723817" w:rsidRDefault="001B3A00" w:rsidP="00E4118C">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 xml:space="preserve">Derechos </w:t>
            </w:r>
            <w:r w:rsidR="00E4118C" w:rsidRPr="00723817">
              <w:rPr>
                <w:rFonts w:ascii="Cambria" w:hAnsi="Cambria"/>
                <w:b/>
                <w:bCs/>
                <w:color w:val="FFFFFF" w:themeColor="background1"/>
                <w:sz w:val="19"/>
                <w:szCs w:val="19"/>
              </w:rPr>
              <w:t>invocados</w:t>
            </w:r>
            <w:r w:rsidRPr="00723817">
              <w:rPr>
                <w:rFonts w:ascii="Cambria" w:hAnsi="Cambria"/>
                <w:b/>
                <w:bCs/>
                <w:color w:val="FFFFFF" w:themeColor="background1"/>
                <w:sz w:val="19"/>
                <w:szCs w:val="19"/>
              </w:rPr>
              <w:t>:</w:t>
            </w:r>
          </w:p>
        </w:tc>
        <w:tc>
          <w:tcPr>
            <w:tcW w:w="5760" w:type="dxa"/>
            <w:vAlign w:val="center"/>
          </w:tcPr>
          <w:p w14:paraId="52B28392" w14:textId="41B8D1A4" w:rsidR="00223A29" w:rsidRPr="00771587" w:rsidRDefault="006B3D47" w:rsidP="008D2290">
            <w:pPr>
              <w:jc w:val="both"/>
              <w:rPr>
                <w:rFonts w:ascii="Cambria" w:hAnsi="Cambria"/>
                <w:bCs/>
                <w:sz w:val="19"/>
                <w:szCs w:val="19"/>
                <w:lang w:val="es-MX"/>
              </w:rPr>
            </w:pPr>
            <w:r w:rsidRPr="006B3D47">
              <w:rPr>
                <w:rFonts w:ascii="Cambria" w:hAnsi="Cambria"/>
                <w:bCs/>
                <w:sz w:val="19"/>
                <w:szCs w:val="19"/>
                <w:lang w:val="es-MX" w:bidi="es-ES"/>
              </w:rPr>
              <w:t>La peticionaria denuncia genéricamente la violación de los derechos de los niños</w:t>
            </w:r>
            <w:r w:rsidR="00217D24">
              <w:rPr>
                <w:rFonts w:ascii="Cambria" w:hAnsi="Cambria"/>
                <w:bCs/>
                <w:sz w:val="19"/>
                <w:szCs w:val="19"/>
                <w:lang w:val="es-MX" w:bidi="es-ES"/>
              </w:rPr>
              <w:t xml:space="preserve"> y</w:t>
            </w:r>
            <w:r w:rsidR="007C3AD2">
              <w:rPr>
                <w:rFonts w:ascii="Cambria" w:hAnsi="Cambria"/>
                <w:bCs/>
                <w:sz w:val="19"/>
                <w:szCs w:val="19"/>
                <w:lang w:val="es-MX" w:bidi="es-ES"/>
              </w:rPr>
              <w:t xml:space="preserve"> </w:t>
            </w:r>
            <w:r w:rsidRPr="006B3D47">
              <w:rPr>
                <w:rFonts w:ascii="Cambria" w:hAnsi="Cambria"/>
                <w:bCs/>
                <w:sz w:val="19"/>
                <w:szCs w:val="19"/>
                <w:lang w:val="es-MX" w:bidi="es-ES"/>
              </w:rPr>
              <w:t>el derecho a la igualdad e imparcialidad en las investigaciones</w:t>
            </w:r>
            <w:r w:rsidR="00217D24">
              <w:rPr>
                <w:rFonts w:ascii="Cambria" w:hAnsi="Cambria"/>
                <w:bCs/>
                <w:sz w:val="19"/>
                <w:szCs w:val="19"/>
                <w:lang w:val="es-MX" w:bidi="es-ES"/>
              </w:rPr>
              <w:t>. De la lectura de la petición, se puede entender que la peticionaria se refiere a los derechos establecidos, entre otros, en los artículos 5 (integridad personal), 8 (garantías judiciales), 19 (derechos del niño)</w:t>
            </w:r>
            <w:r w:rsidR="0042145A">
              <w:rPr>
                <w:rFonts w:ascii="Cambria" w:hAnsi="Cambria"/>
                <w:bCs/>
                <w:sz w:val="19"/>
                <w:szCs w:val="19"/>
                <w:lang w:val="es-MX" w:bidi="es-ES"/>
              </w:rPr>
              <w:t xml:space="preserve"> y 25 (protección judicial) de la Convención Americana sobre Derechos Humanos</w:t>
            </w:r>
            <w:r w:rsidR="0042145A">
              <w:rPr>
                <w:rStyle w:val="FootnoteReference"/>
                <w:rFonts w:ascii="Cambria" w:hAnsi="Cambria"/>
                <w:bCs/>
                <w:sz w:val="19"/>
                <w:szCs w:val="19"/>
                <w:lang w:val="es-MX" w:bidi="es-ES"/>
              </w:rPr>
              <w:footnoteReference w:id="2"/>
            </w:r>
            <w:r w:rsidR="0042145A">
              <w:rPr>
                <w:rFonts w:ascii="Cambria" w:hAnsi="Cambria"/>
                <w:bCs/>
                <w:sz w:val="19"/>
                <w:szCs w:val="19"/>
                <w:lang w:val="es-MX" w:bidi="es-ES"/>
              </w:rPr>
              <w:t>; y</w:t>
            </w:r>
            <w:r w:rsidR="00217D24">
              <w:rPr>
                <w:rFonts w:ascii="Cambria" w:hAnsi="Cambria"/>
                <w:bCs/>
                <w:sz w:val="19"/>
                <w:szCs w:val="19"/>
                <w:lang w:val="es-MX" w:bidi="es-ES"/>
              </w:rPr>
              <w:t xml:space="preserve"> </w:t>
            </w:r>
            <w:r w:rsidR="0042145A">
              <w:rPr>
                <w:rFonts w:ascii="Cambria" w:hAnsi="Cambria"/>
                <w:bCs/>
                <w:sz w:val="19"/>
                <w:szCs w:val="19"/>
                <w:lang w:val="es-MX" w:bidi="es-ES"/>
              </w:rPr>
              <w:t>o</w:t>
            </w:r>
            <w:r w:rsidR="004F479E">
              <w:rPr>
                <w:rFonts w:ascii="Cambria" w:hAnsi="Cambria"/>
                <w:bCs/>
                <w:sz w:val="19"/>
                <w:szCs w:val="19"/>
                <w:lang w:val="es-MX" w:bidi="es-ES"/>
              </w:rPr>
              <w:t>tros instrumentos internacionales</w:t>
            </w:r>
            <w:r w:rsidR="004F479E" w:rsidRPr="004F479E">
              <w:rPr>
                <w:rFonts w:ascii="Cambria" w:hAnsi="Cambria"/>
                <w:sz w:val="19"/>
                <w:szCs w:val="19"/>
                <w:vertAlign w:val="superscript"/>
                <w:lang w:bidi="es-ES"/>
              </w:rPr>
              <w:footnoteReference w:id="3"/>
            </w:r>
            <w:r w:rsidR="004F479E">
              <w:rPr>
                <w:rFonts w:ascii="Cambria" w:hAnsi="Cambria"/>
                <w:bCs/>
                <w:sz w:val="19"/>
                <w:szCs w:val="19"/>
                <w:lang w:val="es-MX" w:bidi="es-ES"/>
              </w:rPr>
              <w:t xml:space="preserve">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723817" w:rsidRDefault="004A6A54" w:rsidP="004A6A54">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P</w:t>
            </w:r>
            <w:r w:rsidR="004C2312" w:rsidRPr="00723817">
              <w:rPr>
                <w:rFonts w:ascii="Cambria" w:hAnsi="Cambria"/>
                <w:b/>
                <w:bCs/>
                <w:color w:val="FFFFFF" w:themeColor="background1"/>
                <w:sz w:val="19"/>
                <w:szCs w:val="19"/>
                <w:lang w:val="es-ES"/>
              </w:rPr>
              <w:t>resentación de la petición:</w:t>
            </w:r>
          </w:p>
        </w:tc>
        <w:tc>
          <w:tcPr>
            <w:tcW w:w="5760" w:type="dxa"/>
            <w:vAlign w:val="center"/>
          </w:tcPr>
          <w:p w14:paraId="6883A5F8" w14:textId="23020EE7" w:rsidR="004C2312" w:rsidRPr="00723817" w:rsidRDefault="00DF6B57" w:rsidP="002625EA">
            <w:pPr>
              <w:jc w:val="both"/>
              <w:rPr>
                <w:rFonts w:ascii="Cambria" w:hAnsi="Cambria"/>
                <w:bCs/>
                <w:sz w:val="19"/>
                <w:szCs w:val="19"/>
                <w:lang w:val="es-ES"/>
              </w:rPr>
            </w:pPr>
            <w:r w:rsidRPr="00DF6B57">
              <w:rPr>
                <w:rFonts w:ascii="Cambria" w:hAnsi="Cambria"/>
                <w:bCs/>
                <w:sz w:val="19"/>
                <w:szCs w:val="19"/>
                <w:lang w:val="es-ES"/>
              </w:rPr>
              <w:t>13 de noviembre de 2017</w:t>
            </w:r>
          </w:p>
        </w:tc>
      </w:tr>
      <w:tr w:rsidR="001D21C7" w:rsidRPr="00080583"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1D21C7" w:rsidRPr="00723817" w:rsidRDefault="001D21C7" w:rsidP="001D21C7">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Información adicional recibida durante la etapa de estudio:</w:t>
            </w:r>
          </w:p>
        </w:tc>
        <w:tc>
          <w:tcPr>
            <w:tcW w:w="5760" w:type="dxa"/>
            <w:vAlign w:val="center"/>
          </w:tcPr>
          <w:p w14:paraId="65CBC29E" w14:textId="21A84A0D" w:rsidR="001D21C7" w:rsidRPr="00C47257" w:rsidRDefault="00DF6B57" w:rsidP="001D21C7">
            <w:pPr>
              <w:jc w:val="both"/>
              <w:rPr>
                <w:rFonts w:ascii="Cambria" w:hAnsi="Cambria"/>
                <w:bCs/>
                <w:sz w:val="19"/>
                <w:szCs w:val="19"/>
                <w:lang w:val="es-ES"/>
              </w:rPr>
            </w:pPr>
            <w:r w:rsidRPr="00C47257">
              <w:rPr>
                <w:rFonts w:ascii="Cambria" w:hAnsi="Cambria"/>
                <w:bCs/>
                <w:sz w:val="19"/>
                <w:szCs w:val="19"/>
                <w:lang w:val="es-ES"/>
              </w:rPr>
              <w:t>6 de noviembre de 2018</w:t>
            </w:r>
            <w:r w:rsidR="00C47257" w:rsidRPr="00C47257">
              <w:rPr>
                <w:rFonts w:ascii="Cambria" w:hAnsi="Cambria"/>
                <w:bCs/>
                <w:sz w:val="19"/>
                <w:szCs w:val="19"/>
                <w:lang w:val="es-ES"/>
              </w:rPr>
              <w:t xml:space="preserve"> y</w:t>
            </w:r>
            <w:r w:rsidRPr="00C47257">
              <w:rPr>
                <w:rFonts w:ascii="Cambria" w:hAnsi="Cambria"/>
                <w:bCs/>
                <w:sz w:val="19"/>
                <w:szCs w:val="19"/>
                <w:lang w:val="es-ES"/>
              </w:rPr>
              <w:t xml:space="preserve"> 24 de agosto de 2021</w:t>
            </w:r>
          </w:p>
        </w:tc>
      </w:tr>
      <w:tr w:rsidR="001D21C7" w:rsidRPr="001D21C7"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723817" w:rsidRDefault="00974312" w:rsidP="001D21C7">
            <w:pPr>
              <w:jc w:val="center"/>
              <w:rPr>
                <w:rFonts w:ascii="Cambria" w:hAnsi="Cambria"/>
                <w:b/>
                <w:bCs/>
                <w:color w:val="FFFFFF" w:themeColor="background1"/>
                <w:sz w:val="19"/>
                <w:szCs w:val="19"/>
                <w:lang w:val="es-ES"/>
              </w:rPr>
            </w:pPr>
            <w:r>
              <w:rPr>
                <w:rFonts w:ascii="Cambria" w:hAnsi="Cambria"/>
                <w:b/>
                <w:color w:val="FFFFFF" w:themeColor="background1"/>
                <w:sz w:val="19"/>
                <w:szCs w:val="19"/>
                <w:lang w:val="es-ES"/>
              </w:rPr>
              <w:t>N</w:t>
            </w:r>
            <w:r w:rsidR="001D21C7" w:rsidRPr="00723817">
              <w:rPr>
                <w:rFonts w:ascii="Cambria" w:hAnsi="Cambria"/>
                <w:b/>
                <w:color w:val="FFFFFF" w:themeColor="background1"/>
                <w:sz w:val="19"/>
                <w:szCs w:val="19"/>
                <w:lang w:val="es-ES"/>
              </w:rPr>
              <w:t>otificación de la petición al Estado:</w:t>
            </w:r>
          </w:p>
        </w:tc>
        <w:tc>
          <w:tcPr>
            <w:tcW w:w="5760" w:type="dxa"/>
            <w:vAlign w:val="center"/>
          </w:tcPr>
          <w:p w14:paraId="58485921" w14:textId="7AF3F320" w:rsidR="001D21C7" w:rsidRPr="00723817" w:rsidRDefault="00DF6B57" w:rsidP="001D21C7">
            <w:pPr>
              <w:jc w:val="both"/>
              <w:rPr>
                <w:rFonts w:ascii="Cambria" w:hAnsi="Cambria"/>
                <w:bCs/>
                <w:sz w:val="19"/>
                <w:szCs w:val="19"/>
                <w:lang w:val="es-ES"/>
              </w:rPr>
            </w:pPr>
            <w:r w:rsidRPr="00DF6B57">
              <w:rPr>
                <w:rFonts w:ascii="Cambria" w:hAnsi="Cambria"/>
                <w:bCs/>
                <w:sz w:val="19"/>
                <w:szCs w:val="19"/>
                <w:lang w:val="es-ES"/>
              </w:rPr>
              <w:t>14 de octubre de 2021</w:t>
            </w:r>
          </w:p>
        </w:tc>
      </w:tr>
      <w:tr w:rsidR="00DF6B57" w:rsidRPr="001D21C7" w14:paraId="32A2A6F9" w14:textId="77777777" w:rsidTr="004A6A54">
        <w:tc>
          <w:tcPr>
            <w:tcW w:w="3600" w:type="dxa"/>
            <w:tcBorders>
              <w:top w:val="single" w:sz="6" w:space="0" w:color="auto"/>
              <w:bottom w:val="single" w:sz="6" w:space="0" w:color="auto"/>
            </w:tcBorders>
            <w:shd w:val="clear" w:color="auto" w:fill="386294"/>
            <w:vAlign w:val="center"/>
          </w:tcPr>
          <w:p w14:paraId="3475C285" w14:textId="0ECA9AB4" w:rsidR="00DF6B57" w:rsidRDefault="00DF6B57" w:rsidP="001D21C7">
            <w:pPr>
              <w:jc w:val="center"/>
              <w:rPr>
                <w:rFonts w:ascii="Cambria" w:hAnsi="Cambria"/>
                <w:b/>
                <w:color w:val="FFFFFF" w:themeColor="background1"/>
                <w:sz w:val="19"/>
                <w:szCs w:val="19"/>
                <w:lang w:val="es-ES"/>
              </w:rPr>
            </w:pPr>
            <w:r>
              <w:rPr>
                <w:rFonts w:ascii="Cambria" w:hAnsi="Cambria"/>
                <w:b/>
                <w:color w:val="FFFFFF" w:themeColor="background1"/>
                <w:sz w:val="19"/>
                <w:szCs w:val="19"/>
                <w:lang w:val="es-ES"/>
              </w:rPr>
              <w:t>Solicitación de prorrogación</w:t>
            </w:r>
          </w:p>
        </w:tc>
        <w:tc>
          <w:tcPr>
            <w:tcW w:w="5760" w:type="dxa"/>
            <w:vAlign w:val="center"/>
          </w:tcPr>
          <w:p w14:paraId="24B44408" w14:textId="18C404BC" w:rsidR="00DF6B57" w:rsidRPr="00DF6B57" w:rsidRDefault="00DF6B57" w:rsidP="001D21C7">
            <w:pPr>
              <w:jc w:val="both"/>
              <w:rPr>
                <w:rFonts w:ascii="Cambria" w:hAnsi="Cambria"/>
                <w:bCs/>
                <w:sz w:val="19"/>
                <w:szCs w:val="19"/>
                <w:lang w:val="es-ES"/>
              </w:rPr>
            </w:pPr>
            <w:r w:rsidRPr="00DF6B57">
              <w:rPr>
                <w:rFonts w:ascii="Cambria" w:hAnsi="Cambria"/>
                <w:bCs/>
                <w:sz w:val="19"/>
                <w:szCs w:val="19"/>
                <w:lang w:val="es-ES"/>
              </w:rPr>
              <w:t xml:space="preserve">14 de </w:t>
            </w:r>
            <w:r>
              <w:rPr>
                <w:rFonts w:ascii="Cambria" w:hAnsi="Cambria"/>
                <w:bCs/>
                <w:sz w:val="19"/>
                <w:szCs w:val="19"/>
                <w:lang w:val="es-ES"/>
              </w:rPr>
              <w:t>enero</w:t>
            </w:r>
            <w:r w:rsidRPr="00DF6B57">
              <w:rPr>
                <w:rFonts w:ascii="Cambria" w:hAnsi="Cambria"/>
                <w:bCs/>
                <w:sz w:val="19"/>
                <w:szCs w:val="19"/>
                <w:lang w:val="es-ES"/>
              </w:rPr>
              <w:t xml:space="preserve"> de 2022</w:t>
            </w:r>
          </w:p>
        </w:tc>
      </w:tr>
      <w:tr w:rsidR="001D21C7"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723817" w:rsidRDefault="001D21C7" w:rsidP="001D21C7">
            <w:pPr>
              <w:jc w:val="center"/>
              <w:rPr>
                <w:rFonts w:ascii="Cambria" w:hAnsi="Cambria"/>
                <w:b/>
                <w:bCs/>
                <w:color w:val="FFFFFF" w:themeColor="background1"/>
                <w:sz w:val="19"/>
                <w:szCs w:val="19"/>
                <w:lang w:val="es-ES"/>
              </w:rPr>
            </w:pPr>
            <w:r w:rsidRPr="00723817">
              <w:rPr>
                <w:rFonts w:ascii="Cambria" w:hAnsi="Cambria"/>
                <w:b/>
                <w:color w:val="FFFFFF" w:themeColor="background1"/>
                <w:sz w:val="19"/>
                <w:szCs w:val="19"/>
                <w:lang w:val="es-ES"/>
              </w:rPr>
              <w:t>Primera respuesta del Estado</w:t>
            </w:r>
            <w:r w:rsidR="00974312">
              <w:rPr>
                <w:rFonts w:ascii="Cambria" w:hAnsi="Cambria"/>
                <w:b/>
                <w:color w:val="FFFFFF" w:themeColor="background1"/>
                <w:sz w:val="19"/>
                <w:szCs w:val="19"/>
                <w:lang w:val="es-ES"/>
              </w:rPr>
              <w:t>:</w:t>
            </w:r>
          </w:p>
        </w:tc>
        <w:tc>
          <w:tcPr>
            <w:tcW w:w="5760" w:type="dxa"/>
            <w:vAlign w:val="center"/>
          </w:tcPr>
          <w:p w14:paraId="6B47064C" w14:textId="1C05B5CA" w:rsidR="001D21C7" w:rsidRPr="00723817" w:rsidRDefault="00DF6B57" w:rsidP="001D21C7">
            <w:pPr>
              <w:jc w:val="both"/>
              <w:rPr>
                <w:rFonts w:ascii="Cambria" w:hAnsi="Cambria"/>
                <w:bCs/>
                <w:sz w:val="19"/>
                <w:szCs w:val="19"/>
                <w:lang w:val="es-ES"/>
              </w:rPr>
            </w:pPr>
            <w:r w:rsidRPr="00DF6B57">
              <w:rPr>
                <w:rFonts w:ascii="Cambria" w:hAnsi="Cambria"/>
                <w:bCs/>
                <w:sz w:val="19"/>
                <w:szCs w:val="19"/>
                <w:lang w:val="es-ES"/>
              </w:rPr>
              <w:t>8 de febrero de 2022</w:t>
            </w:r>
          </w:p>
        </w:tc>
      </w:tr>
      <w:tr w:rsidR="00DF6B57" w:rsidRPr="00080583" w14:paraId="4B2A5E73" w14:textId="77777777" w:rsidTr="004A6A54">
        <w:tc>
          <w:tcPr>
            <w:tcW w:w="3600" w:type="dxa"/>
            <w:tcBorders>
              <w:top w:val="single" w:sz="6" w:space="0" w:color="auto"/>
              <w:bottom w:val="single" w:sz="6" w:space="0" w:color="auto"/>
            </w:tcBorders>
            <w:shd w:val="clear" w:color="auto" w:fill="386294"/>
            <w:vAlign w:val="center"/>
          </w:tcPr>
          <w:p w14:paraId="365AF93C" w14:textId="781FB4FD" w:rsidR="00DF6B57" w:rsidRPr="00723817" w:rsidRDefault="00DF6B57" w:rsidP="001D21C7">
            <w:pPr>
              <w:jc w:val="center"/>
              <w:rPr>
                <w:rFonts w:ascii="Cambria" w:hAnsi="Cambria"/>
                <w:b/>
                <w:color w:val="FFFFFF" w:themeColor="background1"/>
                <w:sz w:val="19"/>
                <w:szCs w:val="19"/>
                <w:lang w:val="es-ES"/>
              </w:rPr>
            </w:pPr>
            <w:r>
              <w:rPr>
                <w:rFonts w:ascii="Cambria" w:hAnsi="Cambria"/>
                <w:b/>
                <w:color w:val="FFFFFF" w:themeColor="background1"/>
                <w:sz w:val="19"/>
                <w:szCs w:val="19"/>
                <w:lang w:val="es-ES"/>
              </w:rPr>
              <w:t>Observaciones adicionales de la parte peticionaria</w:t>
            </w:r>
          </w:p>
        </w:tc>
        <w:tc>
          <w:tcPr>
            <w:tcW w:w="5760" w:type="dxa"/>
            <w:vAlign w:val="center"/>
          </w:tcPr>
          <w:p w14:paraId="5B183807" w14:textId="502E9703" w:rsidR="00DF6B57" w:rsidRPr="00DF6B57" w:rsidRDefault="00DF6B57" w:rsidP="001D21C7">
            <w:pPr>
              <w:jc w:val="both"/>
              <w:rPr>
                <w:rFonts w:ascii="Cambria" w:hAnsi="Cambria"/>
                <w:bCs/>
                <w:sz w:val="19"/>
                <w:szCs w:val="19"/>
                <w:lang w:val="es-MX"/>
              </w:rPr>
            </w:pPr>
            <w:r w:rsidRPr="00DF6B57">
              <w:rPr>
                <w:rFonts w:ascii="Cambria" w:hAnsi="Cambria"/>
                <w:bCs/>
                <w:color w:val="000000" w:themeColor="text1"/>
                <w:sz w:val="20"/>
                <w:szCs w:val="20"/>
                <w:lang w:val="es-MX"/>
              </w:rPr>
              <w:t>23 de noviembre de 2021</w:t>
            </w:r>
            <w:r w:rsidR="00C47257">
              <w:rPr>
                <w:rFonts w:ascii="Cambria" w:hAnsi="Cambria"/>
                <w:bCs/>
                <w:color w:val="000000" w:themeColor="text1"/>
                <w:sz w:val="20"/>
                <w:szCs w:val="20"/>
                <w:lang w:val="es-MX"/>
              </w:rPr>
              <w:t xml:space="preserve"> y</w:t>
            </w:r>
            <w:r w:rsidRPr="00DF6B57">
              <w:rPr>
                <w:rFonts w:ascii="Cambria" w:hAnsi="Cambria"/>
                <w:bCs/>
                <w:color w:val="000000" w:themeColor="text1"/>
                <w:sz w:val="20"/>
                <w:szCs w:val="20"/>
                <w:lang w:val="es-MX"/>
              </w:rPr>
              <w:t xml:space="preserve"> 21 de enero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C47257">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723817" w:rsidRDefault="003239B8" w:rsidP="008D2290">
            <w:pPr>
              <w:jc w:val="center"/>
              <w:rPr>
                <w:rFonts w:ascii="Cambria" w:hAnsi="Cambria"/>
                <w:b/>
                <w:bCs/>
                <w:i/>
                <w:color w:val="FFFFFF" w:themeColor="background1"/>
                <w:sz w:val="19"/>
                <w:szCs w:val="19"/>
              </w:rPr>
            </w:pPr>
            <w:r w:rsidRPr="00723817">
              <w:rPr>
                <w:rFonts w:ascii="Cambria" w:hAnsi="Cambria"/>
                <w:b/>
                <w:bCs/>
                <w:color w:val="FFFFFF" w:themeColor="background1"/>
                <w:sz w:val="19"/>
                <w:szCs w:val="19"/>
              </w:rPr>
              <w:t>Competencia</w:t>
            </w:r>
            <w:r w:rsidRPr="00723817">
              <w:rPr>
                <w:rFonts w:ascii="Cambria" w:hAnsi="Cambria"/>
                <w:b/>
                <w:bCs/>
                <w:i/>
                <w:color w:val="FFFFFF" w:themeColor="background1"/>
                <w:sz w:val="19"/>
                <w:szCs w:val="19"/>
              </w:rPr>
              <w:t xml:space="preserve"> Ratione personae:</w:t>
            </w:r>
          </w:p>
        </w:tc>
        <w:tc>
          <w:tcPr>
            <w:tcW w:w="5776" w:type="dxa"/>
            <w:vAlign w:val="center"/>
          </w:tcPr>
          <w:p w14:paraId="1E494D5D" w14:textId="47C0DB82" w:rsidR="003239B8" w:rsidRPr="00723817" w:rsidRDefault="00A004BB" w:rsidP="008D2290">
            <w:pPr>
              <w:rPr>
                <w:rFonts w:ascii="Cambria" w:hAnsi="Cambria"/>
                <w:bCs/>
                <w:sz w:val="19"/>
                <w:szCs w:val="19"/>
              </w:rPr>
            </w:pPr>
            <w:r w:rsidRPr="00723817">
              <w:rPr>
                <w:rFonts w:ascii="Cambria" w:hAnsi="Cambria"/>
                <w:bCs/>
                <w:sz w:val="19"/>
                <w:szCs w:val="19"/>
              </w:rPr>
              <w:t>Sí</w:t>
            </w:r>
          </w:p>
        </w:tc>
      </w:tr>
      <w:tr w:rsidR="003239B8" w:rsidRPr="00540F17" w14:paraId="54503A4F" w14:textId="77777777" w:rsidTr="00C47257">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Competencia</w:t>
            </w:r>
            <w:r w:rsidRPr="00723817">
              <w:rPr>
                <w:rFonts w:ascii="Cambria" w:hAnsi="Cambria"/>
                <w:b/>
                <w:bCs/>
                <w:i/>
                <w:color w:val="FFFFFF" w:themeColor="background1"/>
                <w:sz w:val="19"/>
                <w:szCs w:val="19"/>
              </w:rPr>
              <w:t xml:space="preserve"> Ratione loci</w:t>
            </w:r>
            <w:r w:rsidRPr="00723817">
              <w:rPr>
                <w:rFonts w:ascii="Cambria" w:hAnsi="Cambria"/>
                <w:b/>
                <w:bCs/>
                <w:color w:val="FFFFFF" w:themeColor="background1"/>
                <w:sz w:val="19"/>
                <w:szCs w:val="19"/>
              </w:rPr>
              <w:t>:</w:t>
            </w:r>
          </w:p>
        </w:tc>
        <w:tc>
          <w:tcPr>
            <w:tcW w:w="5776" w:type="dxa"/>
            <w:vAlign w:val="center"/>
          </w:tcPr>
          <w:p w14:paraId="77C8256A" w14:textId="5E819D9D" w:rsidR="003239B8" w:rsidRPr="00723817" w:rsidRDefault="00A004BB" w:rsidP="008D2290">
            <w:pPr>
              <w:rPr>
                <w:rFonts w:ascii="Cambria" w:hAnsi="Cambria"/>
                <w:bCs/>
                <w:sz w:val="19"/>
                <w:szCs w:val="19"/>
              </w:rPr>
            </w:pPr>
            <w:r w:rsidRPr="00723817">
              <w:rPr>
                <w:rFonts w:ascii="Cambria" w:hAnsi="Cambria"/>
                <w:bCs/>
                <w:sz w:val="19"/>
                <w:szCs w:val="19"/>
              </w:rPr>
              <w:t>Sí</w:t>
            </w:r>
          </w:p>
        </w:tc>
      </w:tr>
      <w:tr w:rsidR="003239B8" w:rsidRPr="00540F17" w14:paraId="6618D96A" w14:textId="77777777" w:rsidTr="00C47257">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Competencia</w:t>
            </w:r>
            <w:r w:rsidRPr="00723817">
              <w:rPr>
                <w:rFonts w:ascii="Cambria" w:hAnsi="Cambria"/>
                <w:b/>
                <w:bCs/>
                <w:i/>
                <w:color w:val="FFFFFF" w:themeColor="background1"/>
                <w:sz w:val="19"/>
                <w:szCs w:val="19"/>
              </w:rPr>
              <w:t xml:space="preserve"> Ratione temporis</w:t>
            </w:r>
            <w:r w:rsidRPr="00723817">
              <w:rPr>
                <w:rFonts w:ascii="Cambria" w:hAnsi="Cambria"/>
                <w:b/>
                <w:bCs/>
                <w:color w:val="FFFFFF" w:themeColor="background1"/>
                <w:sz w:val="19"/>
                <w:szCs w:val="19"/>
              </w:rPr>
              <w:t>:</w:t>
            </w:r>
          </w:p>
        </w:tc>
        <w:tc>
          <w:tcPr>
            <w:tcW w:w="5776" w:type="dxa"/>
            <w:vAlign w:val="center"/>
          </w:tcPr>
          <w:p w14:paraId="523F6BD6" w14:textId="69B6757A" w:rsidR="003239B8" w:rsidRPr="00723817" w:rsidRDefault="00A004BB" w:rsidP="008D2290">
            <w:pPr>
              <w:rPr>
                <w:rFonts w:ascii="Cambria" w:hAnsi="Cambria"/>
                <w:bCs/>
                <w:sz w:val="19"/>
                <w:szCs w:val="19"/>
              </w:rPr>
            </w:pPr>
            <w:r w:rsidRPr="00723817">
              <w:rPr>
                <w:rFonts w:ascii="Cambria" w:hAnsi="Cambria"/>
                <w:bCs/>
                <w:sz w:val="19"/>
                <w:szCs w:val="19"/>
              </w:rPr>
              <w:t>Sí</w:t>
            </w:r>
          </w:p>
        </w:tc>
      </w:tr>
      <w:tr w:rsidR="003239B8" w:rsidRPr="00080583" w14:paraId="34C2A0A9" w14:textId="77777777" w:rsidTr="00C47257">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Competencia</w:t>
            </w:r>
            <w:r w:rsidRPr="00723817">
              <w:rPr>
                <w:rFonts w:ascii="Cambria" w:hAnsi="Cambria"/>
                <w:b/>
                <w:bCs/>
                <w:i/>
                <w:color w:val="FFFFFF" w:themeColor="background1"/>
                <w:sz w:val="19"/>
                <w:szCs w:val="19"/>
              </w:rPr>
              <w:t xml:space="preserve"> Ratione materia</w:t>
            </w:r>
            <w:r w:rsidR="00EE00E9" w:rsidRPr="00723817">
              <w:rPr>
                <w:rFonts w:ascii="Cambria" w:hAnsi="Cambria"/>
                <w:b/>
                <w:bCs/>
                <w:i/>
                <w:color w:val="FFFFFF" w:themeColor="background1"/>
                <w:sz w:val="19"/>
                <w:szCs w:val="19"/>
              </w:rPr>
              <w:t>e</w:t>
            </w:r>
            <w:r w:rsidRPr="00723817">
              <w:rPr>
                <w:rFonts w:ascii="Cambria" w:hAnsi="Cambria"/>
                <w:b/>
                <w:bCs/>
                <w:color w:val="FFFFFF" w:themeColor="background1"/>
                <w:sz w:val="19"/>
                <w:szCs w:val="19"/>
              </w:rPr>
              <w:t>:</w:t>
            </w:r>
          </w:p>
        </w:tc>
        <w:tc>
          <w:tcPr>
            <w:tcW w:w="5776" w:type="dxa"/>
            <w:vAlign w:val="center"/>
          </w:tcPr>
          <w:p w14:paraId="257C8337" w14:textId="03974622" w:rsidR="003239B8" w:rsidRPr="00723817" w:rsidRDefault="00A004BB" w:rsidP="008D2290">
            <w:pPr>
              <w:jc w:val="both"/>
              <w:rPr>
                <w:rFonts w:ascii="Cambria" w:hAnsi="Cambria"/>
                <w:bCs/>
                <w:sz w:val="19"/>
                <w:szCs w:val="19"/>
                <w:lang w:val="es-ES"/>
              </w:rPr>
            </w:pPr>
            <w:r w:rsidRPr="00723817">
              <w:rPr>
                <w:rFonts w:ascii="Cambria" w:hAnsi="Cambria"/>
                <w:bCs/>
                <w:sz w:val="19"/>
                <w:szCs w:val="19"/>
                <w:lang w:val="es-ES" w:bidi="es-ES"/>
              </w:rPr>
              <w:t xml:space="preserve">Sí, Convención Americana (depósito de instrumento realizado el </w:t>
            </w:r>
            <w:r w:rsidR="008205F3">
              <w:rPr>
                <w:rFonts w:ascii="Cambria" w:hAnsi="Cambria"/>
                <w:bCs/>
                <w:sz w:val="19"/>
                <w:szCs w:val="19"/>
                <w:lang w:val="es-ES" w:bidi="es-ES"/>
              </w:rPr>
              <w:t>25</w:t>
            </w:r>
            <w:r w:rsidRPr="00723817">
              <w:rPr>
                <w:rFonts w:ascii="Cambria" w:hAnsi="Cambria"/>
                <w:bCs/>
                <w:sz w:val="19"/>
                <w:szCs w:val="19"/>
                <w:lang w:val="es-ES" w:bidi="es-ES"/>
              </w:rPr>
              <w:t xml:space="preserve"> de </w:t>
            </w:r>
            <w:r w:rsidR="008205F3">
              <w:rPr>
                <w:rFonts w:ascii="Cambria" w:hAnsi="Cambria"/>
                <w:bCs/>
                <w:sz w:val="19"/>
                <w:szCs w:val="19"/>
                <w:lang w:val="es-ES" w:bidi="es-ES"/>
              </w:rPr>
              <w:t>septiembre</w:t>
            </w:r>
            <w:r w:rsidRPr="00723817">
              <w:rPr>
                <w:rFonts w:ascii="Cambria" w:hAnsi="Cambria"/>
                <w:bCs/>
                <w:sz w:val="19"/>
                <w:szCs w:val="19"/>
                <w:lang w:val="es-ES" w:bidi="es-ES"/>
              </w:rPr>
              <w:t xml:space="preserve"> de 19</w:t>
            </w:r>
            <w:r w:rsidR="008205F3">
              <w:rPr>
                <w:rFonts w:ascii="Cambria" w:hAnsi="Cambria"/>
                <w:bCs/>
                <w:sz w:val="19"/>
                <w:szCs w:val="19"/>
                <w:lang w:val="es-ES" w:bidi="es-ES"/>
              </w:rPr>
              <w:t>92)</w:t>
            </w:r>
            <w:r w:rsidR="001176B4">
              <w:rPr>
                <w:rFonts w:ascii="Cambria" w:hAnsi="Cambria"/>
                <w:bCs/>
                <w:sz w:val="19"/>
                <w:szCs w:val="19"/>
                <w:lang w:val="es-ES" w:bidi="es-ES"/>
              </w:rPr>
              <w:t xml:space="preserve">; y la </w:t>
            </w:r>
            <w:r w:rsidR="00700F50">
              <w:rPr>
                <w:rFonts w:ascii="Cambria" w:hAnsi="Cambria"/>
                <w:bCs/>
                <w:sz w:val="19"/>
                <w:szCs w:val="19"/>
                <w:lang w:val="es-ES" w:bidi="es-ES"/>
              </w:rPr>
              <w:t xml:space="preserve">Convención de Belém do Pará </w:t>
            </w:r>
            <w:r w:rsidR="00700F50" w:rsidRPr="00723817">
              <w:rPr>
                <w:rFonts w:ascii="Cambria" w:hAnsi="Cambria"/>
                <w:bCs/>
                <w:sz w:val="19"/>
                <w:szCs w:val="19"/>
                <w:lang w:val="es-ES" w:bidi="es-ES"/>
              </w:rPr>
              <w:t xml:space="preserve">(depósito de instrumento realizado el </w:t>
            </w:r>
            <w:r w:rsidR="00700F50">
              <w:rPr>
                <w:rFonts w:ascii="Cambria" w:hAnsi="Cambria"/>
                <w:bCs/>
                <w:sz w:val="19"/>
                <w:szCs w:val="19"/>
                <w:lang w:val="es-ES" w:bidi="es-ES"/>
              </w:rPr>
              <w:t>27</w:t>
            </w:r>
            <w:r w:rsidR="00700F50" w:rsidRPr="00723817">
              <w:rPr>
                <w:rFonts w:ascii="Cambria" w:hAnsi="Cambria"/>
                <w:bCs/>
                <w:sz w:val="19"/>
                <w:szCs w:val="19"/>
                <w:lang w:val="es-ES" w:bidi="es-ES"/>
              </w:rPr>
              <w:t xml:space="preserve"> de </w:t>
            </w:r>
            <w:r w:rsidR="00700F50">
              <w:rPr>
                <w:rFonts w:ascii="Cambria" w:hAnsi="Cambria"/>
                <w:bCs/>
                <w:sz w:val="19"/>
                <w:szCs w:val="19"/>
                <w:lang w:val="es-ES" w:bidi="es-ES"/>
              </w:rPr>
              <w:t xml:space="preserve">noviembre </w:t>
            </w:r>
            <w:r w:rsidR="00700F50" w:rsidRPr="00723817">
              <w:rPr>
                <w:rFonts w:ascii="Cambria" w:hAnsi="Cambria"/>
                <w:bCs/>
                <w:sz w:val="19"/>
                <w:szCs w:val="19"/>
                <w:lang w:val="es-ES" w:bidi="es-ES"/>
              </w:rPr>
              <w:t>de 19</w:t>
            </w:r>
            <w:r w:rsidR="00700F50">
              <w:rPr>
                <w:rFonts w:ascii="Cambria" w:hAnsi="Cambria"/>
                <w:bCs/>
                <w:sz w:val="19"/>
                <w:szCs w:val="19"/>
                <w:lang w:val="es-ES" w:bidi="es-ES"/>
              </w:rPr>
              <w:t>95)</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EE00E9" w:rsidRPr="003E51E9" w14:paraId="161C8568" w14:textId="77777777" w:rsidTr="00C47257">
        <w:trPr>
          <w:cantSplit/>
        </w:trPr>
        <w:tc>
          <w:tcPr>
            <w:tcW w:w="3563" w:type="dxa"/>
            <w:tcBorders>
              <w:top w:val="single" w:sz="4" w:space="0" w:color="auto"/>
              <w:bottom w:val="single" w:sz="6" w:space="0" w:color="auto"/>
            </w:tcBorders>
            <w:shd w:val="clear" w:color="auto" w:fill="386294"/>
            <w:vAlign w:val="center"/>
          </w:tcPr>
          <w:p w14:paraId="1C72AC6C" w14:textId="77777777" w:rsidR="00EE00E9" w:rsidRPr="00723817" w:rsidRDefault="00EE00E9" w:rsidP="008D2290">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Duplicación de procedimientos y cosa juzgada internacional:</w:t>
            </w:r>
          </w:p>
        </w:tc>
        <w:tc>
          <w:tcPr>
            <w:tcW w:w="5774" w:type="dxa"/>
            <w:vAlign w:val="center"/>
          </w:tcPr>
          <w:p w14:paraId="764D7F60" w14:textId="003B40D1" w:rsidR="00EE00E9" w:rsidRPr="00723817" w:rsidRDefault="00A004BB" w:rsidP="008D2290">
            <w:pPr>
              <w:jc w:val="both"/>
              <w:rPr>
                <w:rFonts w:ascii="Cambria" w:hAnsi="Cambria"/>
                <w:bCs/>
                <w:sz w:val="19"/>
                <w:szCs w:val="19"/>
                <w:lang w:val="es-ES"/>
              </w:rPr>
            </w:pPr>
            <w:r w:rsidRPr="00723817">
              <w:rPr>
                <w:rFonts w:ascii="Cambria" w:hAnsi="Cambria"/>
                <w:bCs/>
                <w:sz w:val="19"/>
                <w:szCs w:val="19"/>
                <w:lang w:val="es-ES"/>
              </w:rPr>
              <w:t>No</w:t>
            </w:r>
          </w:p>
        </w:tc>
      </w:tr>
      <w:tr w:rsidR="003239B8" w:rsidRPr="00080583" w14:paraId="3ED57BF3" w14:textId="77777777" w:rsidTr="00C47257">
        <w:trPr>
          <w:cantSplit/>
        </w:trPr>
        <w:tc>
          <w:tcPr>
            <w:tcW w:w="3563" w:type="dxa"/>
            <w:tcBorders>
              <w:top w:val="single" w:sz="4" w:space="0" w:color="auto"/>
              <w:bottom w:val="single" w:sz="6" w:space="0" w:color="auto"/>
            </w:tcBorders>
            <w:shd w:val="clear" w:color="auto" w:fill="386294"/>
            <w:vAlign w:val="center"/>
          </w:tcPr>
          <w:p w14:paraId="5F36A040" w14:textId="77777777" w:rsidR="003239B8" w:rsidRPr="00723817" w:rsidRDefault="003239B8" w:rsidP="008D2290">
            <w:pPr>
              <w:jc w:val="center"/>
              <w:rPr>
                <w:rFonts w:ascii="Cambria" w:hAnsi="Cambria"/>
                <w:b/>
                <w:bCs/>
                <w:i/>
                <w:color w:val="FFFFFF" w:themeColor="background1"/>
                <w:sz w:val="19"/>
                <w:szCs w:val="19"/>
              </w:rPr>
            </w:pPr>
            <w:r w:rsidRPr="00723817">
              <w:rPr>
                <w:rFonts w:ascii="Cambria" w:hAnsi="Cambria"/>
                <w:b/>
                <w:bCs/>
                <w:color w:val="FFFFFF" w:themeColor="background1"/>
                <w:sz w:val="19"/>
                <w:szCs w:val="19"/>
              </w:rPr>
              <w:t>Derechos declarados admisibles</w:t>
            </w:r>
            <w:r w:rsidRPr="00723817">
              <w:rPr>
                <w:rFonts w:ascii="Cambria" w:hAnsi="Cambria"/>
                <w:b/>
                <w:bCs/>
                <w:i/>
                <w:color w:val="FFFFFF" w:themeColor="background1"/>
                <w:sz w:val="19"/>
                <w:szCs w:val="19"/>
              </w:rPr>
              <w:t>:</w:t>
            </w:r>
          </w:p>
        </w:tc>
        <w:tc>
          <w:tcPr>
            <w:tcW w:w="5774" w:type="dxa"/>
            <w:vAlign w:val="center"/>
          </w:tcPr>
          <w:p w14:paraId="4DAE9D4D" w14:textId="266F274C" w:rsidR="003239B8" w:rsidRPr="00723817" w:rsidRDefault="00700F50" w:rsidP="008D2290">
            <w:pPr>
              <w:jc w:val="both"/>
              <w:rPr>
                <w:rFonts w:ascii="Cambria" w:hAnsi="Cambria"/>
                <w:bCs/>
                <w:sz w:val="19"/>
                <w:szCs w:val="19"/>
                <w:lang w:val="es-ES"/>
              </w:rPr>
            </w:pPr>
            <w:r>
              <w:rPr>
                <w:rFonts w:ascii="Cambria" w:hAnsi="Cambria"/>
                <w:bCs/>
                <w:sz w:val="19"/>
                <w:szCs w:val="19"/>
                <w:lang w:val="es-ES" w:bidi="es-ES"/>
              </w:rPr>
              <w:t>A</w:t>
            </w:r>
            <w:r w:rsidRPr="00700F50">
              <w:rPr>
                <w:rFonts w:ascii="Cambria" w:hAnsi="Cambria"/>
                <w:bCs/>
                <w:sz w:val="19"/>
                <w:szCs w:val="19"/>
                <w:lang w:val="es-ES" w:bidi="es-ES"/>
              </w:rPr>
              <w:t xml:space="preserve">rtículos 5 (integridad personal), 8 (garantías judiciales), 19 (derechos del niño) y 25 (protección judicial), de la Convención </w:t>
            </w:r>
            <w:r w:rsidRPr="0042145A">
              <w:rPr>
                <w:rFonts w:ascii="Cambria" w:hAnsi="Cambria"/>
                <w:bCs/>
                <w:sz w:val="19"/>
                <w:szCs w:val="19"/>
                <w:lang w:val="es-ES" w:bidi="es-ES"/>
              </w:rPr>
              <w:t>Americana</w:t>
            </w:r>
            <w:r w:rsidR="00695320" w:rsidRPr="0042145A">
              <w:rPr>
                <w:rFonts w:ascii="Cambria" w:hAnsi="Cambria"/>
                <w:bCs/>
                <w:sz w:val="19"/>
                <w:szCs w:val="19"/>
                <w:lang w:val="es-ES" w:bidi="es-ES"/>
              </w:rPr>
              <w:t>,</w:t>
            </w:r>
            <w:r w:rsidRPr="0042145A">
              <w:rPr>
                <w:rFonts w:ascii="Cambria" w:hAnsi="Cambria"/>
                <w:bCs/>
                <w:sz w:val="19"/>
                <w:szCs w:val="19"/>
                <w:lang w:val="es-ES" w:bidi="es-ES"/>
              </w:rPr>
              <w:t xml:space="preserve"> en relación con </w:t>
            </w:r>
            <w:r w:rsidR="00187431" w:rsidRPr="0042145A">
              <w:rPr>
                <w:rFonts w:ascii="Cambria" w:hAnsi="Cambria"/>
                <w:bCs/>
                <w:sz w:val="19"/>
                <w:szCs w:val="19"/>
                <w:lang w:val="es-ES" w:bidi="es-ES"/>
              </w:rPr>
              <w:t>sus</w:t>
            </w:r>
            <w:r w:rsidRPr="0042145A">
              <w:rPr>
                <w:rFonts w:ascii="Cambria" w:hAnsi="Cambria"/>
                <w:bCs/>
                <w:sz w:val="19"/>
                <w:szCs w:val="19"/>
                <w:lang w:val="es-ES" w:bidi="es-ES"/>
              </w:rPr>
              <w:t xml:space="preserve"> artículo</w:t>
            </w:r>
            <w:r w:rsidR="00695320" w:rsidRPr="0042145A">
              <w:rPr>
                <w:rFonts w:ascii="Cambria" w:hAnsi="Cambria"/>
                <w:bCs/>
                <w:sz w:val="19"/>
                <w:szCs w:val="19"/>
                <w:lang w:val="es-ES" w:bidi="es-ES"/>
              </w:rPr>
              <w:t>s</w:t>
            </w:r>
            <w:r w:rsidRPr="0042145A">
              <w:rPr>
                <w:rFonts w:ascii="Cambria" w:hAnsi="Cambria"/>
                <w:bCs/>
                <w:sz w:val="19"/>
                <w:szCs w:val="19"/>
                <w:lang w:val="es-ES" w:bidi="es-ES"/>
              </w:rPr>
              <w:t xml:space="preserve"> 1</w:t>
            </w:r>
            <w:r w:rsidR="00B50EF6">
              <w:rPr>
                <w:rFonts w:ascii="Cambria" w:hAnsi="Cambria"/>
                <w:bCs/>
                <w:sz w:val="19"/>
                <w:szCs w:val="19"/>
                <w:lang w:val="es-ES" w:bidi="es-ES"/>
              </w:rPr>
              <w:t>.1</w:t>
            </w:r>
            <w:r w:rsidRPr="0042145A">
              <w:rPr>
                <w:rFonts w:ascii="Cambria" w:hAnsi="Cambria"/>
                <w:bCs/>
                <w:sz w:val="19"/>
                <w:szCs w:val="19"/>
                <w:lang w:val="es-ES" w:bidi="es-ES"/>
              </w:rPr>
              <w:t xml:space="preserve"> (obligación</w:t>
            </w:r>
            <w:r w:rsidRPr="00700F50">
              <w:rPr>
                <w:rFonts w:ascii="Cambria" w:hAnsi="Cambria"/>
                <w:bCs/>
                <w:sz w:val="19"/>
                <w:szCs w:val="19"/>
                <w:lang w:val="es-ES" w:bidi="es-ES"/>
              </w:rPr>
              <w:t xml:space="preserve"> de respetar los derechos) y 2 (deber de adoptar disposiciones de derecho interno);</w:t>
            </w:r>
            <w:r w:rsidR="0042145A">
              <w:rPr>
                <w:rFonts w:ascii="Cambria" w:hAnsi="Cambria"/>
                <w:bCs/>
                <w:sz w:val="19"/>
                <w:szCs w:val="19"/>
                <w:lang w:val="es-ES" w:bidi="es-ES"/>
              </w:rPr>
              <w:t xml:space="preserve"> y el</w:t>
            </w:r>
            <w:r w:rsidRPr="00700F50">
              <w:rPr>
                <w:rFonts w:ascii="Cambria" w:hAnsi="Cambria"/>
                <w:bCs/>
                <w:sz w:val="19"/>
                <w:szCs w:val="19"/>
                <w:lang w:val="es-ES" w:bidi="es-ES"/>
              </w:rPr>
              <w:t xml:space="preserve"> </w:t>
            </w:r>
            <w:r w:rsidR="00B50EF6">
              <w:rPr>
                <w:rFonts w:ascii="Cambria" w:hAnsi="Cambria"/>
                <w:bCs/>
                <w:sz w:val="19"/>
                <w:szCs w:val="19"/>
                <w:lang w:val="es-ES" w:bidi="es-ES"/>
              </w:rPr>
              <w:t>a</w:t>
            </w:r>
            <w:r w:rsidRPr="00700F50">
              <w:rPr>
                <w:rFonts w:ascii="Cambria" w:hAnsi="Cambria"/>
                <w:bCs/>
                <w:sz w:val="19"/>
                <w:szCs w:val="19"/>
                <w:lang w:val="es-ES" w:bidi="es-ES"/>
              </w:rPr>
              <w:t>rtículo 7 de la Convención de Belém do Pará</w:t>
            </w:r>
          </w:p>
        </w:tc>
      </w:tr>
      <w:tr w:rsidR="003239B8" w:rsidRPr="00080583" w14:paraId="5702249F" w14:textId="77777777" w:rsidTr="00C47257">
        <w:trPr>
          <w:cantSplit/>
        </w:trPr>
        <w:tc>
          <w:tcPr>
            <w:tcW w:w="3563" w:type="dxa"/>
            <w:tcBorders>
              <w:top w:val="single" w:sz="6" w:space="0" w:color="auto"/>
              <w:bottom w:val="single" w:sz="6" w:space="0" w:color="auto"/>
            </w:tcBorders>
            <w:shd w:val="clear" w:color="auto" w:fill="386294"/>
            <w:vAlign w:val="center"/>
          </w:tcPr>
          <w:p w14:paraId="1F00DF1D" w14:textId="77777777" w:rsidR="003239B8" w:rsidRPr="00723817" w:rsidRDefault="003239B8" w:rsidP="008D2290">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Agotamiento de recursos internos</w:t>
            </w:r>
            <w:r w:rsidR="00EE00E9" w:rsidRPr="00723817">
              <w:rPr>
                <w:rFonts w:ascii="Cambria" w:hAnsi="Cambria"/>
                <w:b/>
                <w:bCs/>
                <w:color w:val="FFFFFF" w:themeColor="background1"/>
                <w:sz w:val="19"/>
                <w:szCs w:val="19"/>
                <w:lang w:val="es-ES"/>
              </w:rPr>
              <w:t xml:space="preserve"> o procedencia de una excepción</w:t>
            </w:r>
            <w:r w:rsidRPr="00723817">
              <w:rPr>
                <w:rFonts w:ascii="Cambria" w:hAnsi="Cambria"/>
                <w:b/>
                <w:bCs/>
                <w:color w:val="FFFFFF" w:themeColor="background1"/>
                <w:sz w:val="19"/>
                <w:szCs w:val="19"/>
                <w:lang w:val="es-ES"/>
              </w:rPr>
              <w:t>:</w:t>
            </w:r>
          </w:p>
        </w:tc>
        <w:tc>
          <w:tcPr>
            <w:tcW w:w="5774" w:type="dxa"/>
            <w:vAlign w:val="center"/>
          </w:tcPr>
          <w:p w14:paraId="7F7C1A19" w14:textId="0A359570" w:rsidR="003239B8" w:rsidRPr="00723817" w:rsidRDefault="00A004BB" w:rsidP="008D2290">
            <w:pPr>
              <w:rPr>
                <w:rFonts w:ascii="Cambria" w:hAnsi="Cambria"/>
                <w:bCs/>
                <w:sz w:val="19"/>
                <w:szCs w:val="19"/>
                <w:lang w:val="es-ES"/>
              </w:rPr>
            </w:pPr>
            <w:r w:rsidRPr="00723817">
              <w:rPr>
                <w:rFonts w:ascii="Cambria" w:hAnsi="Cambria"/>
                <w:bCs/>
                <w:sz w:val="19"/>
                <w:szCs w:val="19"/>
                <w:lang w:val="es-ES" w:bidi="es-ES"/>
              </w:rPr>
              <w:t>Sí</w:t>
            </w:r>
            <w:r w:rsidR="00CC6785">
              <w:rPr>
                <w:rFonts w:ascii="Cambria" w:hAnsi="Cambria"/>
                <w:bCs/>
                <w:sz w:val="19"/>
                <w:szCs w:val="19"/>
                <w:lang w:val="es-ES" w:bidi="es-ES"/>
              </w:rPr>
              <w:t>, en los términos de la Sección VI</w:t>
            </w:r>
          </w:p>
        </w:tc>
      </w:tr>
      <w:tr w:rsidR="000342AB" w:rsidRPr="00080583" w14:paraId="7A101B89" w14:textId="77777777" w:rsidTr="00C47257">
        <w:trPr>
          <w:cantSplit/>
        </w:trPr>
        <w:tc>
          <w:tcPr>
            <w:tcW w:w="3563" w:type="dxa"/>
            <w:tcBorders>
              <w:top w:val="single" w:sz="6" w:space="0" w:color="auto"/>
              <w:bottom w:val="single" w:sz="6" w:space="0" w:color="auto"/>
            </w:tcBorders>
            <w:shd w:val="clear" w:color="auto" w:fill="386294"/>
            <w:vAlign w:val="center"/>
          </w:tcPr>
          <w:p w14:paraId="0843C533" w14:textId="77777777" w:rsidR="000342AB" w:rsidRPr="00723817" w:rsidRDefault="000342AB" w:rsidP="000342AB">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Presentación dentro de plazo:</w:t>
            </w:r>
          </w:p>
        </w:tc>
        <w:tc>
          <w:tcPr>
            <w:tcW w:w="5774" w:type="dxa"/>
            <w:vAlign w:val="center"/>
          </w:tcPr>
          <w:p w14:paraId="2AF0FC69" w14:textId="4DCB981B" w:rsidR="000342AB" w:rsidRPr="00723817" w:rsidRDefault="000342AB" w:rsidP="000342AB">
            <w:pPr>
              <w:rPr>
                <w:rFonts w:ascii="Cambria" w:hAnsi="Cambria"/>
                <w:bCs/>
                <w:sz w:val="19"/>
                <w:szCs w:val="19"/>
                <w:lang w:val="es-ES"/>
              </w:rPr>
            </w:pPr>
            <w:r w:rsidRPr="00723817">
              <w:rPr>
                <w:rFonts w:ascii="Cambria" w:hAnsi="Cambria"/>
                <w:bCs/>
                <w:sz w:val="19"/>
                <w:szCs w:val="19"/>
                <w:lang w:val="es-ES" w:bidi="es-ES"/>
              </w:rPr>
              <w:t>Sí</w:t>
            </w:r>
            <w:r w:rsidR="00CC6785">
              <w:rPr>
                <w:rFonts w:ascii="Cambria" w:hAnsi="Cambria"/>
                <w:bCs/>
                <w:sz w:val="19"/>
                <w:szCs w:val="19"/>
                <w:lang w:val="es-ES" w:bidi="es-ES"/>
              </w:rPr>
              <w:t>, en los términos de la Sección VI</w:t>
            </w:r>
          </w:p>
        </w:tc>
      </w:tr>
    </w:tbl>
    <w:p w14:paraId="4C9B89D2" w14:textId="77777777" w:rsidR="001176B4" w:rsidRDefault="001176B4" w:rsidP="009463E1">
      <w:pPr>
        <w:spacing w:before="240" w:after="240"/>
        <w:ind w:firstLine="720"/>
        <w:jc w:val="both"/>
        <w:rPr>
          <w:rFonts w:asciiTheme="majorHAnsi" w:hAnsiTheme="majorHAnsi"/>
          <w:b/>
          <w:sz w:val="20"/>
          <w:szCs w:val="20"/>
          <w:lang w:val="es-UY"/>
        </w:rPr>
      </w:pPr>
    </w:p>
    <w:p w14:paraId="3FB4FD7F" w14:textId="77777777" w:rsidR="001176B4" w:rsidRDefault="001176B4" w:rsidP="009463E1">
      <w:pPr>
        <w:spacing w:before="240" w:after="240"/>
        <w:ind w:firstLine="720"/>
        <w:jc w:val="both"/>
        <w:rPr>
          <w:rFonts w:asciiTheme="majorHAnsi" w:hAnsiTheme="majorHAnsi"/>
          <w:b/>
          <w:sz w:val="20"/>
          <w:szCs w:val="20"/>
          <w:lang w:val="es-UY"/>
        </w:rPr>
      </w:pPr>
    </w:p>
    <w:p w14:paraId="56FD5D57" w14:textId="060317CE" w:rsidR="003239B8" w:rsidRPr="00FD237E" w:rsidRDefault="00223A29" w:rsidP="00FD237E">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FD237E">
        <w:rPr>
          <w:rFonts w:asciiTheme="majorHAnsi" w:hAnsiTheme="majorHAnsi"/>
          <w:b/>
          <w:sz w:val="20"/>
          <w:szCs w:val="20"/>
          <w:lang w:val="es-UY"/>
        </w:rPr>
        <w:t>POSICIÓN DE LAS PARTES</w:t>
      </w:r>
      <w:r w:rsidR="003239B8" w:rsidRPr="00FD237E">
        <w:rPr>
          <w:rFonts w:asciiTheme="majorHAnsi" w:hAnsiTheme="majorHAnsi"/>
          <w:b/>
          <w:sz w:val="20"/>
          <w:szCs w:val="20"/>
          <w:lang w:val="es-UY"/>
        </w:rPr>
        <w:t xml:space="preserve"> </w:t>
      </w:r>
    </w:p>
    <w:p w14:paraId="6F3CB910" w14:textId="6E0AA1DA" w:rsidR="00CC6785" w:rsidRPr="00FD237E" w:rsidRDefault="00357C26" w:rsidP="00FD237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419"/>
        </w:rPr>
      </w:pPr>
      <w:r w:rsidRPr="00FD237E">
        <w:rPr>
          <w:rFonts w:asciiTheme="majorHAnsi" w:hAnsiTheme="majorHAnsi"/>
          <w:i/>
          <w:iCs/>
          <w:sz w:val="20"/>
          <w:szCs w:val="20"/>
          <w:lang w:val="es-419"/>
        </w:rPr>
        <w:t>L</w:t>
      </w:r>
      <w:r w:rsidR="00CC6785" w:rsidRPr="00FD237E">
        <w:rPr>
          <w:rFonts w:asciiTheme="majorHAnsi" w:hAnsiTheme="majorHAnsi"/>
          <w:i/>
          <w:iCs/>
          <w:sz w:val="20"/>
          <w:szCs w:val="20"/>
          <w:lang w:val="es-419"/>
        </w:rPr>
        <w:t>a parte peticionaria</w:t>
      </w:r>
    </w:p>
    <w:p w14:paraId="141315ED" w14:textId="5FE4FFF8" w:rsidR="008E2546" w:rsidRPr="00FD237E" w:rsidRDefault="00CC6785"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419"/>
        </w:rPr>
      </w:pPr>
      <w:r w:rsidRPr="00FD237E">
        <w:rPr>
          <w:rFonts w:asciiTheme="majorHAnsi" w:hAnsiTheme="majorHAnsi"/>
          <w:sz w:val="20"/>
          <w:szCs w:val="20"/>
          <w:lang w:val="es-ES"/>
        </w:rPr>
        <w:t>La parte peticionaria denuncia la impunidad generada por los procesos internos ante la violencia sexual sufrida por una niña de parte de su padre, a pesar de haberse comprobado la existencia de dicha violencia. Además, señala que la niña fue revictimizada a través de la realización de peritajes, exámenes, entrevistas y confrontaciones, sumado a la obligación de convivir y buscar una reconciliación con su agresor</w:t>
      </w:r>
      <w:r w:rsidR="00700F50" w:rsidRPr="00FD237E">
        <w:rPr>
          <w:rFonts w:asciiTheme="majorHAnsi" w:hAnsiTheme="majorHAnsi"/>
          <w:sz w:val="20"/>
          <w:szCs w:val="20"/>
          <w:lang w:val="es-419"/>
        </w:rPr>
        <w:t>.</w:t>
      </w:r>
    </w:p>
    <w:p w14:paraId="27824601" w14:textId="51CE0190" w:rsidR="004A32B0" w:rsidRPr="00FD237E" w:rsidRDefault="004A32B0"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419"/>
        </w:rPr>
      </w:pPr>
      <w:r w:rsidRPr="00FD237E">
        <w:rPr>
          <w:rFonts w:asciiTheme="majorHAnsi" w:hAnsiTheme="majorHAnsi"/>
          <w:sz w:val="20"/>
          <w:szCs w:val="20"/>
          <w:lang w:val="es-ES"/>
        </w:rPr>
        <w:t xml:space="preserve">La parte peticionaria sostiene que la presunta víctima sufrió </w:t>
      </w:r>
      <w:r w:rsidR="006F01B9" w:rsidRPr="00FD237E">
        <w:rPr>
          <w:rFonts w:asciiTheme="majorHAnsi" w:hAnsiTheme="majorHAnsi"/>
          <w:sz w:val="20"/>
          <w:szCs w:val="20"/>
          <w:lang w:val="es-ES"/>
        </w:rPr>
        <w:t>violación</w:t>
      </w:r>
      <w:r w:rsidRPr="00FD237E">
        <w:rPr>
          <w:rFonts w:asciiTheme="majorHAnsi" w:hAnsiTheme="majorHAnsi"/>
          <w:sz w:val="20"/>
          <w:szCs w:val="20"/>
          <w:lang w:val="es-ES"/>
        </w:rPr>
        <w:t xml:space="preserve"> sexual por parte de su padre durante las visitas. El 1 de octubre de 2013 la menor, entonces de </w:t>
      </w:r>
      <w:r w:rsidR="009A0072" w:rsidRPr="00FD237E">
        <w:rPr>
          <w:rFonts w:asciiTheme="majorHAnsi" w:hAnsiTheme="majorHAnsi"/>
          <w:sz w:val="20"/>
          <w:szCs w:val="20"/>
          <w:lang w:val="es-ES"/>
        </w:rPr>
        <w:t xml:space="preserve">tres </w:t>
      </w:r>
      <w:r w:rsidRPr="00FD237E">
        <w:rPr>
          <w:rFonts w:asciiTheme="majorHAnsi" w:hAnsiTheme="majorHAnsi"/>
          <w:sz w:val="20"/>
          <w:szCs w:val="20"/>
          <w:lang w:val="es-ES"/>
        </w:rPr>
        <w:t xml:space="preserve">años, manifestó dolor en la región anal, </w:t>
      </w:r>
      <w:r w:rsidR="00E21F44" w:rsidRPr="00FD237E">
        <w:rPr>
          <w:rFonts w:asciiTheme="majorHAnsi" w:hAnsiTheme="majorHAnsi"/>
          <w:sz w:val="20"/>
          <w:szCs w:val="20"/>
          <w:lang w:val="es-ES"/>
        </w:rPr>
        <w:t xml:space="preserve">alegadamente </w:t>
      </w:r>
      <w:r w:rsidRPr="00FD237E">
        <w:rPr>
          <w:rFonts w:asciiTheme="majorHAnsi" w:hAnsiTheme="majorHAnsi"/>
          <w:sz w:val="20"/>
          <w:szCs w:val="20"/>
          <w:lang w:val="es-ES"/>
        </w:rPr>
        <w:t>atribuido a su padre. Al día siguiente, su madre confrontó al padre, quien reaccionó agresivamente acusando a la niña de mentir. El 4 de octubre la madre</w:t>
      </w:r>
      <w:r w:rsidR="00BA4FDD" w:rsidRPr="00FD237E">
        <w:rPr>
          <w:rFonts w:asciiTheme="majorHAnsi" w:hAnsiTheme="majorHAnsi"/>
          <w:sz w:val="20"/>
          <w:szCs w:val="20"/>
          <w:lang w:val="es-ES"/>
        </w:rPr>
        <w:t xml:space="preserve"> de 2013</w:t>
      </w:r>
      <w:r w:rsidRPr="00FD237E">
        <w:rPr>
          <w:rFonts w:asciiTheme="majorHAnsi" w:hAnsiTheme="majorHAnsi"/>
          <w:sz w:val="20"/>
          <w:szCs w:val="20"/>
          <w:lang w:val="es-ES"/>
        </w:rPr>
        <w:t xml:space="preserve"> llevó a la niña a una consulta médica</w:t>
      </w:r>
      <w:r w:rsidR="00BA4FDD" w:rsidRPr="00FD237E">
        <w:rPr>
          <w:rFonts w:asciiTheme="majorHAnsi" w:hAnsiTheme="majorHAnsi"/>
          <w:sz w:val="20"/>
          <w:szCs w:val="20"/>
          <w:lang w:val="es-ES"/>
        </w:rPr>
        <w:t>. La pediatra habló con la niña, hizo un examen físico, encontró edema e hiperemia en la región anal</w:t>
      </w:r>
      <w:r w:rsidR="006E0B1C" w:rsidRPr="00FD237E">
        <w:rPr>
          <w:rFonts w:asciiTheme="majorHAnsi" w:hAnsiTheme="majorHAnsi"/>
          <w:sz w:val="20"/>
          <w:szCs w:val="20"/>
          <w:lang w:val="es-ES"/>
        </w:rPr>
        <w:t>,</w:t>
      </w:r>
      <w:r w:rsidR="00BA4FDD" w:rsidRPr="00FD237E">
        <w:rPr>
          <w:rFonts w:asciiTheme="majorHAnsi" w:hAnsiTheme="majorHAnsi"/>
          <w:sz w:val="20"/>
          <w:szCs w:val="20"/>
          <w:lang w:val="es-ES"/>
        </w:rPr>
        <w:t xml:space="preserve"> </w:t>
      </w:r>
      <w:r w:rsidR="006E0B1C" w:rsidRPr="00FD237E">
        <w:rPr>
          <w:rFonts w:asciiTheme="majorHAnsi" w:hAnsiTheme="majorHAnsi"/>
          <w:sz w:val="20"/>
          <w:szCs w:val="20"/>
          <w:lang w:val="es-ES"/>
        </w:rPr>
        <w:t>concluyendo</w:t>
      </w:r>
      <w:r w:rsidR="00BA4FDD" w:rsidRPr="00FD237E">
        <w:rPr>
          <w:rFonts w:asciiTheme="majorHAnsi" w:hAnsiTheme="majorHAnsi"/>
          <w:sz w:val="20"/>
          <w:szCs w:val="20"/>
          <w:lang w:val="es-ES"/>
        </w:rPr>
        <w:t xml:space="preserve"> que había sospecha de abuso como resultado del examen físico junto con la declaración de la niña de que tenía el ano dolorido y magullado después de que su padre la lastimara con el dedo allí.</w:t>
      </w:r>
      <w:r w:rsidRPr="00FD237E">
        <w:rPr>
          <w:rFonts w:asciiTheme="majorHAnsi" w:hAnsiTheme="majorHAnsi"/>
          <w:sz w:val="20"/>
          <w:szCs w:val="20"/>
          <w:lang w:val="es-ES"/>
        </w:rPr>
        <w:t xml:space="preserve"> Tras una nueva confrontación, el padre alegó enfermedad mental y falta de recuerdo de los hechos.</w:t>
      </w:r>
      <w:r w:rsidR="009302DD" w:rsidRPr="00FD237E">
        <w:rPr>
          <w:rFonts w:asciiTheme="majorHAnsi" w:hAnsiTheme="majorHAnsi"/>
          <w:sz w:val="20"/>
          <w:szCs w:val="20"/>
          <w:lang w:val="es-ES"/>
        </w:rPr>
        <w:t xml:space="preserve"> </w:t>
      </w:r>
      <w:r w:rsidRPr="00FD237E">
        <w:rPr>
          <w:rFonts w:asciiTheme="majorHAnsi" w:hAnsiTheme="majorHAnsi"/>
          <w:sz w:val="20"/>
          <w:szCs w:val="20"/>
          <w:lang w:val="es-ES"/>
        </w:rPr>
        <w:t>La madre buscó asesoramiento legal para solicitar el divorcio y medidas de protección, que se implementaron desde el 11 de octubre de 2013, dentro de un proceso de separación de cuerpos y alejamiento, incluyendo una orden de restricción y custodia (</w:t>
      </w:r>
      <w:r w:rsidRPr="00FD237E">
        <w:rPr>
          <w:rFonts w:asciiTheme="majorHAnsi" w:hAnsiTheme="majorHAnsi"/>
          <w:sz w:val="20"/>
          <w:szCs w:val="20"/>
          <w:lang w:val="es-419"/>
        </w:rPr>
        <w:t>expediente 001036.20.2013.8.26.0010</w:t>
      </w:r>
      <w:r w:rsidRPr="00FD237E">
        <w:rPr>
          <w:rFonts w:asciiTheme="majorHAnsi" w:hAnsiTheme="majorHAnsi"/>
          <w:sz w:val="20"/>
          <w:szCs w:val="20"/>
          <w:lang w:val="es-ES"/>
        </w:rPr>
        <w:t>). Desde entonces, hasta la presentación de la denuncia ante la Comisión Interamericana, la niña ha estado bajo cuidado psicológico especializado en violencia doméstica.</w:t>
      </w:r>
    </w:p>
    <w:p w14:paraId="2484A703" w14:textId="1DF0D5FB" w:rsidR="004A32B0" w:rsidRPr="00FD237E" w:rsidRDefault="004A32B0"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419"/>
        </w:rPr>
      </w:pPr>
      <w:r w:rsidRPr="00FD237E">
        <w:rPr>
          <w:rFonts w:asciiTheme="majorHAnsi" w:hAnsiTheme="majorHAnsi"/>
          <w:sz w:val="20"/>
          <w:szCs w:val="20"/>
          <w:lang w:val="es-ES"/>
        </w:rPr>
        <w:t>Ad</w:t>
      </w:r>
      <w:r w:rsidR="005175C6" w:rsidRPr="00FD237E">
        <w:rPr>
          <w:rFonts w:asciiTheme="majorHAnsi" w:hAnsiTheme="majorHAnsi"/>
          <w:sz w:val="20"/>
          <w:szCs w:val="20"/>
          <w:lang w:val="es-ES"/>
        </w:rPr>
        <w:t>icionalmente</w:t>
      </w:r>
      <w:r w:rsidRPr="00FD237E">
        <w:rPr>
          <w:rFonts w:asciiTheme="majorHAnsi" w:hAnsiTheme="majorHAnsi"/>
          <w:sz w:val="20"/>
          <w:szCs w:val="20"/>
          <w:lang w:val="es-ES"/>
        </w:rPr>
        <w:t xml:space="preserve">, la madre gestionó un proceso de divorcio que incluyó la pérdida de la patria potestad por abuso sexual y división de bienes, junto con el proceso de medida provisional de separación. La defensa del padre argumentó que el dolor anal se debía a una condición intestinal de la niña, acusando a la madre de implantar falsos recuerdos de abuso en un intento de alienación parental. En septiembre de 2016 el padre recibió autorización para visitas supervisadas. </w:t>
      </w:r>
      <w:r w:rsidR="00FD6330" w:rsidRPr="00FD237E">
        <w:rPr>
          <w:rFonts w:asciiTheme="majorHAnsi" w:hAnsiTheme="majorHAnsi"/>
          <w:sz w:val="20"/>
          <w:szCs w:val="20"/>
          <w:lang w:val="es-ES"/>
        </w:rPr>
        <w:t>Debido a</w:t>
      </w:r>
      <w:r w:rsidRPr="00FD237E">
        <w:rPr>
          <w:rFonts w:asciiTheme="majorHAnsi" w:hAnsiTheme="majorHAnsi"/>
          <w:sz w:val="20"/>
          <w:szCs w:val="20"/>
          <w:lang w:val="es-ES"/>
        </w:rPr>
        <w:t xml:space="preserve"> estas</w:t>
      </w:r>
      <w:r w:rsidR="00FD6330" w:rsidRPr="00FD237E">
        <w:rPr>
          <w:rFonts w:asciiTheme="majorHAnsi" w:hAnsiTheme="majorHAnsi"/>
          <w:sz w:val="20"/>
          <w:szCs w:val="20"/>
          <w:lang w:val="es-ES"/>
        </w:rPr>
        <w:t xml:space="preserve"> visitas</w:t>
      </w:r>
      <w:r w:rsidRPr="00FD237E">
        <w:rPr>
          <w:rFonts w:asciiTheme="majorHAnsi" w:hAnsiTheme="majorHAnsi"/>
          <w:sz w:val="20"/>
          <w:szCs w:val="20"/>
          <w:lang w:val="es-ES"/>
        </w:rPr>
        <w:t xml:space="preserve"> la niña presentó ataques de pánico y pesadillas, sin que se revocara la autorización. En julio de 2017 el juez del divorcio ordenó a la madre pagar a un perito en alienación parental. La peticionaria denuncia que este perito era amigo del asistente técnico del padre. En agosto de 2017</w:t>
      </w:r>
      <w:r w:rsidR="00ED2066" w:rsidRPr="00FD237E">
        <w:rPr>
          <w:rFonts w:asciiTheme="majorHAnsi" w:hAnsiTheme="majorHAnsi"/>
          <w:sz w:val="20"/>
          <w:szCs w:val="20"/>
          <w:lang w:val="es-ES"/>
        </w:rPr>
        <w:t xml:space="preserve"> e</w:t>
      </w:r>
      <w:r w:rsidRPr="00FD237E">
        <w:rPr>
          <w:rFonts w:asciiTheme="majorHAnsi" w:hAnsiTheme="majorHAnsi"/>
          <w:sz w:val="20"/>
          <w:szCs w:val="20"/>
          <w:lang w:val="es-ES"/>
        </w:rPr>
        <w:t>l juez aclaró que analizaría el reconocimiento de actos de alienación parental en la sentencia.</w:t>
      </w:r>
    </w:p>
    <w:p w14:paraId="479074EE" w14:textId="177A1711" w:rsidR="007F2D7C" w:rsidRPr="00FD237E" w:rsidRDefault="00B249AB"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419"/>
        </w:rPr>
      </w:pPr>
      <w:bookmarkStart w:id="2" w:name="_Hlk107320564"/>
      <w:r w:rsidRPr="00FD237E">
        <w:rPr>
          <w:rFonts w:asciiTheme="majorHAnsi" w:hAnsiTheme="majorHAnsi"/>
          <w:sz w:val="20"/>
          <w:szCs w:val="20"/>
          <w:lang w:val="es-419"/>
        </w:rPr>
        <w:t xml:space="preserve">El 13 de noviembre de 2019 </w:t>
      </w:r>
      <w:r w:rsidR="004A32B0" w:rsidRPr="00FD237E">
        <w:rPr>
          <w:rFonts w:asciiTheme="majorHAnsi" w:hAnsiTheme="majorHAnsi"/>
          <w:sz w:val="20"/>
          <w:szCs w:val="20"/>
          <w:lang w:val="es-419"/>
        </w:rPr>
        <w:t>el juez</w:t>
      </w:r>
      <w:r w:rsidRPr="00FD237E">
        <w:rPr>
          <w:rFonts w:asciiTheme="majorHAnsi" w:hAnsiTheme="majorHAnsi"/>
          <w:sz w:val="20"/>
          <w:szCs w:val="20"/>
          <w:lang w:val="es-419"/>
        </w:rPr>
        <w:t xml:space="preserve"> llevó a cabo una audiencia de instrucción y juicio en la que determinó un régimen de visitas semanales a los domingos, supervisadas por la madre, en las instalaciones del edificio donde ella reside. El 12 de febrero de 2020</w:t>
      </w:r>
      <w:r w:rsidR="00C544BB" w:rsidRPr="00FD237E">
        <w:rPr>
          <w:rFonts w:asciiTheme="majorHAnsi" w:hAnsiTheme="majorHAnsi"/>
          <w:sz w:val="20"/>
          <w:szCs w:val="20"/>
          <w:lang w:val="es-419"/>
        </w:rPr>
        <w:t>,</w:t>
      </w:r>
      <w:r w:rsidRPr="00FD237E">
        <w:rPr>
          <w:rFonts w:asciiTheme="majorHAnsi" w:hAnsiTheme="majorHAnsi"/>
          <w:sz w:val="20"/>
          <w:szCs w:val="20"/>
          <w:lang w:val="es-419"/>
        </w:rPr>
        <w:t xml:space="preserve"> </w:t>
      </w:r>
      <w:r w:rsidR="004A32B0" w:rsidRPr="00FD237E">
        <w:rPr>
          <w:rFonts w:asciiTheme="majorHAnsi" w:hAnsiTheme="majorHAnsi"/>
          <w:sz w:val="20"/>
          <w:szCs w:val="20"/>
          <w:lang w:val="es-419"/>
        </w:rPr>
        <w:t xml:space="preserve">en el contexto de </w:t>
      </w:r>
      <w:r w:rsidRPr="00FD237E">
        <w:rPr>
          <w:rFonts w:asciiTheme="majorHAnsi" w:hAnsiTheme="majorHAnsi"/>
          <w:sz w:val="20"/>
          <w:szCs w:val="20"/>
          <w:lang w:val="es-419"/>
        </w:rPr>
        <w:t>una nueva audiencia de conciliación</w:t>
      </w:r>
      <w:r w:rsidR="004A32B0" w:rsidRPr="00FD237E">
        <w:rPr>
          <w:rFonts w:asciiTheme="majorHAnsi" w:hAnsiTheme="majorHAnsi"/>
          <w:sz w:val="20"/>
          <w:szCs w:val="20"/>
          <w:lang w:val="es-419"/>
        </w:rPr>
        <w:t>, el juez determinó</w:t>
      </w:r>
      <w:r w:rsidRPr="00FD237E">
        <w:rPr>
          <w:rFonts w:asciiTheme="majorHAnsi" w:hAnsiTheme="majorHAnsi"/>
          <w:sz w:val="20"/>
          <w:szCs w:val="20"/>
          <w:lang w:val="es-419"/>
        </w:rPr>
        <w:t xml:space="preserve"> visita</w:t>
      </w:r>
      <w:r w:rsidR="003F5AFC" w:rsidRPr="00FD237E">
        <w:rPr>
          <w:rFonts w:asciiTheme="majorHAnsi" w:hAnsiTheme="majorHAnsi"/>
          <w:sz w:val="20"/>
          <w:szCs w:val="20"/>
          <w:lang w:val="es-419"/>
        </w:rPr>
        <w:t>s</w:t>
      </w:r>
      <w:r w:rsidRPr="00FD237E">
        <w:rPr>
          <w:rFonts w:asciiTheme="majorHAnsi" w:hAnsiTheme="majorHAnsi"/>
          <w:sz w:val="20"/>
          <w:szCs w:val="20"/>
          <w:lang w:val="es-419"/>
        </w:rPr>
        <w:t xml:space="preserve"> quincenal</w:t>
      </w:r>
      <w:r w:rsidR="003F5AFC" w:rsidRPr="00FD237E">
        <w:rPr>
          <w:rFonts w:asciiTheme="majorHAnsi" w:hAnsiTheme="majorHAnsi"/>
          <w:sz w:val="20"/>
          <w:szCs w:val="20"/>
          <w:lang w:val="es-419"/>
        </w:rPr>
        <w:t>es</w:t>
      </w:r>
      <w:r w:rsidRPr="00FD237E">
        <w:rPr>
          <w:rFonts w:asciiTheme="majorHAnsi" w:hAnsiTheme="majorHAnsi"/>
          <w:sz w:val="20"/>
          <w:szCs w:val="20"/>
          <w:lang w:val="es-419"/>
        </w:rPr>
        <w:t xml:space="preserve"> en la misma forma que la</w:t>
      </w:r>
      <w:r w:rsidR="003F5AFC" w:rsidRPr="00FD237E">
        <w:rPr>
          <w:rFonts w:asciiTheme="majorHAnsi" w:hAnsiTheme="majorHAnsi"/>
          <w:sz w:val="20"/>
          <w:szCs w:val="20"/>
          <w:lang w:val="es-419"/>
        </w:rPr>
        <w:t>s</w:t>
      </w:r>
      <w:r w:rsidRPr="00FD237E">
        <w:rPr>
          <w:rFonts w:asciiTheme="majorHAnsi" w:hAnsiTheme="majorHAnsi"/>
          <w:sz w:val="20"/>
          <w:szCs w:val="20"/>
          <w:lang w:val="es-419"/>
        </w:rPr>
        <w:t xml:space="preserve"> anterior</w:t>
      </w:r>
      <w:r w:rsidR="003F5AFC" w:rsidRPr="00FD237E">
        <w:rPr>
          <w:rFonts w:asciiTheme="majorHAnsi" w:hAnsiTheme="majorHAnsi"/>
          <w:sz w:val="20"/>
          <w:szCs w:val="20"/>
          <w:lang w:val="es-419"/>
        </w:rPr>
        <w:t>es,</w:t>
      </w:r>
      <w:r w:rsidRPr="00FD237E">
        <w:rPr>
          <w:rFonts w:asciiTheme="majorHAnsi" w:hAnsiTheme="majorHAnsi"/>
          <w:sz w:val="20"/>
          <w:szCs w:val="20"/>
          <w:lang w:val="es-419"/>
        </w:rPr>
        <w:t xml:space="preserve"> y</w:t>
      </w:r>
      <w:r w:rsidR="003F5AFC" w:rsidRPr="00FD237E">
        <w:rPr>
          <w:rFonts w:asciiTheme="majorHAnsi" w:hAnsiTheme="majorHAnsi"/>
          <w:sz w:val="20"/>
          <w:szCs w:val="20"/>
          <w:lang w:val="es-419"/>
        </w:rPr>
        <w:t xml:space="preserve"> </w:t>
      </w:r>
      <w:r w:rsidR="004A32B0" w:rsidRPr="00FD237E">
        <w:rPr>
          <w:rFonts w:asciiTheme="majorHAnsi" w:hAnsiTheme="majorHAnsi"/>
          <w:sz w:val="20"/>
          <w:szCs w:val="20"/>
          <w:lang w:val="es-419"/>
        </w:rPr>
        <w:t xml:space="preserve">el Ministerio Público presentó una propuesta </w:t>
      </w:r>
      <w:r w:rsidRPr="00FD237E">
        <w:rPr>
          <w:rFonts w:asciiTheme="majorHAnsi" w:hAnsiTheme="majorHAnsi"/>
          <w:sz w:val="20"/>
          <w:szCs w:val="20"/>
          <w:lang w:val="es-419"/>
        </w:rPr>
        <w:t xml:space="preserve">para que los padres participen </w:t>
      </w:r>
      <w:r w:rsidR="00AE263F" w:rsidRPr="00FD237E">
        <w:rPr>
          <w:rFonts w:asciiTheme="majorHAnsi" w:hAnsiTheme="majorHAnsi"/>
          <w:sz w:val="20"/>
          <w:szCs w:val="20"/>
          <w:lang w:val="es-419"/>
        </w:rPr>
        <w:t>de una</w:t>
      </w:r>
      <w:r w:rsidRPr="00FD237E">
        <w:rPr>
          <w:rFonts w:asciiTheme="majorHAnsi" w:hAnsiTheme="majorHAnsi"/>
          <w:sz w:val="20"/>
          <w:szCs w:val="20"/>
          <w:lang w:val="es-419"/>
        </w:rPr>
        <w:t xml:space="preserve"> “constelación familiar”.</w:t>
      </w:r>
    </w:p>
    <w:p w14:paraId="5C8FFC57" w14:textId="6B5F0BA0" w:rsidR="005175C6" w:rsidRPr="00FD237E" w:rsidRDefault="00AE263F"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419"/>
        </w:rPr>
      </w:pPr>
      <w:r w:rsidRPr="00FD237E">
        <w:rPr>
          <w:rFonts w:asciiTheme="majorHAnsi" w:hAnsiTheme="majorHAnsi"/>
          <w:sz w:val="20"/>
          <w:szCs w:val="20"/>
          <w:lang w:val="es-419"/>
        </w:rPr>
        <w:t xml:space="preserve">El 16 de noviembre de 2021 </w:t>
      </w:r>
      <w:r w:rsidR="004A32B0" w:rsidRPr="00FD237E">
        <w:rPr>
          <w:rFonts w:asciiTheme="majorHAnsi" w:hAnsiTheme="majorHAnsi"/>
          <w:sz w:val="20"/>
          <w:szCs w:val="20"/>
          <w:lang w:val="es-419"/>
        </w:rPr>
        <w:t>el juez</w:t>
      </w:r>
      <w:r w:rsidRPr="00FD237E">
        <w:rPr>
          <w:rFonts w:asciiTheme="majorHAnsi" w:hAnsiTheme="majorHAnsi"/>
          <w:sz w:val="20"/>
          <w:szCs w:val="20"/>
          <w:lang w:val="es-419"/>
        </w:rPr>
        <w:t xml:space="preserve"> emitió la sentencia</w:t>
      </w:r>
      <w:r w:rsidR="00616B00" w:rsidRPr="00FD237E">
        <w:rPr>
          <w:rFonts w:asciiTheme="majorHAnsi" w:hAnsiTheme="majorHAnsi"/>
          <w:sz w:val="20"/>
          <w:szCs w:val="20"/>
          <w:lang w:val="es-419"/>
        </w:rPr>
        <w:t xml:space="preserve"> de primera instancia</w:t>
      </w:r>
      <w:r w:rsidRPr="00FD237E">
        <w:rPr>
          <w:rFonts w:asciiTheme="majorHAnsi" w:hAnsiTheme="majorHAnsi"/>
          <w:sz w:val="20"/>
          <w:szCs w:val="20"/>
          <w:lang w:val="es-419"/>
        </w:rPr>
        <w:t xml:space="preserve">. </w:t>
      </w:r>
      <w:r w:rsidR="005175C6" w:rsidRPr="00FD237E">
        <w:rPr>
          <w:rFonts w:asciiTheme="majorHAnsi" w:hAnsiTheme="majorHAnsi"/>
          <w:sz w:val="20"/>
          <w:szCs w:val="20"/>
          <w:lang w:val="es-ES"/>
        </w:rPr>
        <w:t>La peticionaria argumenta que a</w:t>
      </w:r>
      <w:r w:rsidR="004A32B0" w:rsidRPr="00FD237E">
        <w:rPr>
          <w:rFonts w:asciiTheme="majorHAnsi" w:hAnsiTheme="majorHAnsi"/>
          <w:sz w:val="20"/>
          <w:szCs w:val="20"/>
          <w:lang w:val="es-ES"/>
        </w:rPr>
        <w:t xml:space="preserve"> pesar de evidencias de maltrato, incluidos testimonios de la niña y profesionales (una psicóloga y una pediatra), el juez ordenó reanudar la convivencia con el padre, inicialmente con acompañamiento terapéutico durante seis meses y luego sin restricciones, amenazando con sancionar a la madre por obstruir las visitas.</w:t>
      </w:r>
      <w:r w:rsidR="0044173D" w:rsidRPr="00FD237E">
        <w:rPr>
          <w:rFonts w:asciiTheme="majorHAnsi" w:hAnsiTheme="majorHAnsi"/>
          <w:sz w:val="20"/>
          <w:szCs w:val="20"/>
          <w:lang w:val="es-ES"/>
        </w:rPr>
        <w:t xml:space="preserve"> </w:t>
      </w:r>
    </w:p>
    <w:p w14:paraId="61B8E585" w14:textId="23BBD087" w:rsidR="005175C6" w:rsidRPr="00FD237E" w:rsidRDefault="001E296A"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419"/>
        </w:rPr>
      </w:pPr>
      <w:r w:rsidRPr="00FD237E">
        <w:rPr>
          <w:rFonts w:asciiTheme="majorHAnsi" w:hAnsiTheme="majorHAnsi"/>
          <w:sz w:val="20"/>
          <w:szCs w:val="20"/>
          <w:lang w:val="es-419"/>
        </w:rPr>
        <w:t xml:space="preserve">Por otro lado, </w:t>
      </w:r>
      <w:r w:rsidRPr="00FD237E">
        <w:rPr>
          <w:rFonts w:asciiTheme="majorHAnsi" w:hAnsiTheme="majorHAnsi"/>
          <w:sz w:val="20"/>
          <w:szCs w:val="20"/>
          <w:lang w:val="es-ES"/>
        </w:rPr>
        <w:t>l</w:t>
      </w:r>
      <w:r w:rsidR="005175C6" w:rsidRPr="00FD237E">
        <w:rPr>
          <w:rFonts w:asciiTheme="majorHAnsi" w:hAnsiTheme="majorHAnsi"/>
          <w:sz w:val="20"/>
          <w:szCs w:val="20"/>
          <w:lang w:val="es-ES"/>
        </w:rPr>
        <w:t>a peticionaria informa ademá</w:t>
      </w:r>
      <w:r w:rsidRPr="00FD237E">
        <w:rPr>
          <w:rFonts w:asciiTheme="majorHAnsi" w:hAnsiTheme="majorHAnsi"/>
          <w:sz w:val="20"/>
          <w:szCs w:val="20"/>
          <w:lang w:val="es-ES"/>
        </w:rPr>
        <w:t xml:space="preserve">s </w:t>
      </w:r>
      <w:r w:rsidR="00C63B73" w:rsidRPr="00FD237E">
        <w:rPr>
          <w:rFonts w:asciiTheme="majorHAnsi" w:hAnsiTheme="majorHAnsi"/>
          <w:sz w:val="20"/>
          <w:szCs w:val="20"/>
          <w:lang w:val="es-ES"/>
        </w:rPr>
        <w:t xml:space="preserve">que </w:t>
      </w:r>
      <w:r w:rsidR="005175C6" w:rsidRPr="00FD237E">
        <w:rPr>
          <w:rFonts w:asciiTheme="majorHAnsi" w:hAnsiTheme="majorHAnsi"/>
          <w:sz w:val="20"/>
          <w:szCs w:val="20"/>
          <w:lang w:val="es-ES"/>
        </w:rPr>
        <w:t>la</w:t>
      </w:r>
      <w:r w:rsidR="00C63B73" w:rsidRPr="00FD237E">
        <w:rPr>
          <w:rFonts w:asciiTheme="majorHAnsi" w:hAnsiTheme="majorHAnsi"/>
          <w:sz w:val="20"/>
          <w:szCs w:val="20"/>
          <w:lang w:val="es-ES"/>
        </w:rPr>
        <w:t xml:space="preserve"> alegada</w:t>
      </w:r>
      <w:r w:rsidR="005175C6" w:rsidRPr="00FD237E">
        <w:rPr>
          <w:rFonts w:asciiTheme="majorHAnsi" w:hAnsiTheme="majorHAnsi"/>
          <w:sz w:val="20"/>
          <w:szCs w:val="20"/>
          <w:lang w:val="es-ES"/>
        </w:rPr>
        <w:t xml:space="preserve"> violación sexual fue investigada penalmente bajo la investigación policial 278/2016</w:t>
      </w:r>
      <w:r w:rsidR="00C63B73" w:rsidRPr="00FD237E">
        <w:rPr>
          <w:rFonts w:asciiTheme="majorHAnsi" w:hAnsiTheme="majorHAnsi"/>
          <w:sz w:val="20"/>
          <w:szCs w:val="20"/>
          <w:lang w:val="es-ES"/>
        </w:rPr>
        <w:t>,</w:t>
      </w:r>
      <w:r w:rsidR="005175C6" w:rsidRPr="00FD237E">
        <w:rPr>
          <w:rFonts w:asciiTheme="majorHAnsi" w:hAnsiTheme="majorHAnsi"/>
          <w:sz w:val="20"/>
          <w:szCs w:val="20"/>
          <w:lang w:val="es-ES"/>
        </w:rPr>
        <w:t xml:space="preserve"> y a continuación en el expediente 0006994-61.2016.8.26.0009 del Juzgado Penal de Vila Prudente. El Juzgado tomó testimonio a ambos padres y promovió una evaluación psicológica de la niña, añadiendo su testimonio al caso el 18 de julio de 2017. Los días 2 y 9 de noviembre de 2017, declararon el pediatra y el psicólogo de la niña. </w:t>
      </w:r>
      <w:r w:rsidR="00AC5EB1" w:rsidRPr="00FD237E">
        <w:rPr>
          <w:rFonts w:asciiTheme="majorHAnsi" w:hAnsiTheme="majorHAnsi"/>
          <w:sz w:val="20"/>
          <w:szCs w:val="20"/>
          <w:lang w:val="es-ES"/>
        </w:rPr>
        <w:t>Luego añade que e</w:t>
      </w:r>
      <w:r w:rsidR="00682D03" w:rsidRPr="00FD237E">
        <w:rPr>
          <w:rFonts w:asciiTheme="majorHAnsi" w:hAnsiTheme="majorHAnsi"/>
          <w:sz w:val="20"/>
          <w:szCs w:val="20"/>
          <w:lang w:val="es-ES"/>
        </w:rPr>
        <w:t>l 9 de abril de 2019, la Fiscalía recomendó cerrar el caso por insuficiencia de pruebas</w:t>
      </w:r>
      <w:r w:rsidR="00F36A1C" w:rsidRPr="00FD237E">
        <w:rPr>
          <w:rFonts w:asciiTheme="majorHAnsi" w:hAnsiTheme="majorHAnsi"/>
          <w:sz w:val="20"/>
          <w:szCs w:val="20"/>
          <w:lang w:val="es-ES"/>
        </w:rPr>
        <w:t>,</w:t>
      </w:r>
      <w:r w:rsidR="00682D03" w:rsidRPr="00FD237E">
        <w:rPr>
          <w:rFonts w:asciiTheme="majorHAnsi" w:hAnsiTheme="majorHAnsi"/>
          <w:sz w:val="20"/>
          <w:szCs w:val="20"/>
          <w:lang w:val="es-ES"/>
        </w:rPr>
        <w:t xml:space="preserve"> y el Juzgado procedió al archivo </w:t>
      </w:r>
      <w:r w:rsidR="00F36A1C" w:rsidRPr="00FD237E">
        <w:rPr>
          <w:rFonts w:asciiTheme="majorHAnsi" w:hAnsiTheme="majorHAnsi"/>
          <w:sz w:val="20"/>
          <w:szCs w:val="20"/>
          <w:lang w:val="es-ES"/>
        </w:rPr>
        <w:t xml:space="preserve">dos días después, el 11 de abril. </w:t>
      </w:r>
      <w:r w:rsidR="00BA4FDD" w:rsidRPr="00FD237E">
        <w:rPr>
          <w:rFonts w:asciiTheme="majorHAnsi" w:hAnsiTheme="majorHAnsi"/>
          <w:sz w:val="20"/>
          <w:szCs w:val="20"/>
          <w:lang w:val="es-ES"/>
        </w:rPr>
        <w:t xml:space="preserve">– La CIDH observa que las copias del dictamen de la Fiscalía y de la decisión judicial sobre el archivo sugieren que ambas fueron concisas, limitándose esencialmente a señalar la necesidad de archivar el caso debido a la falta de pruebas. – </w:t>
      </w:r>
    </w:p>
    <w:p w14:paraId="35F838EA" w14:textId="050AC21D" w:rsidR="0050198D" w:rsidRPr="00FD237E" w:rsidRDefault="0050198D"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419"/>
        </w:rPr>
      </w:pPr>
      <w:r w:rsidRPr="00FD237E">
        <w:rPr>
          <w:rFonts w:asciiTheme="majorHAnsi" w:hAnsiTheme="majorHAnsi"/>
          <w:sz w:val="20"/>
          <w:szCs w:val="20"/>
          <w:lang w:val="es-ES"/>
        </w:rPr>
        <w:lastRenderedPageBreak/>
        <w:t xml:space="preserve">La parte peticionaria sostiene que los derechos de la niña fueron vulnerados no solo por la violación sexual que sufrió, sino también por el proceso judicial que propició su revictimización mediante múltiples indagaciones, exámenes y la exposición a situaciones traumáticas. Destaca especialmente la crítica hacia el proceso de familia, el cual, de manera singular, impuso la obligación de buscar una reconciliación y convivencia con su agresor. Asimismo, afirma que el enfoque de reconciliación y convivencia no solo ignora el trauma sufrido sino que, según alega la peticionaria, también refleja una falta de diligencia y profundidad en la investigación de los hechos en el ámbito penal, subrayando una aparente negligencia en proteger debidamente los derechos de la </w:t>
      </w:r>
      <w:r w:rsidR="006E0B1C" w:rsidRPr="00FD237E">
        <w:rPr>
          <w:rFonts w:asciiTheme="majorHAnsi" w:hAnsiTheme="majorHAnsi"/>
          <w:sz w:val="20"/>
          <w:szCs w:val="20"/>
          <w:lang w:val="es-ES"/>
        </w:rPr>
        <w:t>niña</w:t>
      </w:r>
      <w:r w:rsidRPr="00FD237E">
        <w:rPr>
          <w:rFonts w:asciiTheme="majorHAnsi" w:hAnsiTheme="majorHAnsi"/>
          <w:sz w:val="20"/>
          <w:szCs w:val="20"/>
          <w:lang w:val="es-ES"/>
        </w:rPr>
        <w:t xml:space="preserve"> y asegurar justicia frente al abuso experimentado.</w:t>
      </w:r>
    </w:p>
    <w:p w14:paraId="0A479E16" w14:textId="14CA6805" w:rsidR="0050198D" w:rsidRPr="00FD237E" w:rsidRDefault="0050198D"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419"/>
        </w:rPr>
      </w:pPr>
      <w:r w:rsidRPr="00FD237E">
        <w:rPr>
          <w:rFonts w:asciiTheme="majorHAnsi" w:hAnsiTheme="majorHAnsi"/>
          <w:sz w:val="20"/>
          <w:szCs w:val="20"/>
          <w:lang w:val="es-419"/>
        </w:rPr>
        <w:t>Adicionalmente, la peticionaria sostiene que las leyes internas no aseguran el debido proceso legal, dado que, a su juicio, la Ley 12.318/2010 ha incorporado al ordenamiento jurídico interno criterios de análisis sesgados respecto a la denominada “alienación parental”, los cuales tienden a presuponer la falsedad de las denuncias de abuso sexual. Ad</w:t>
      </w:r>
      <w:r w:rsidR="00A07530" w:rsidRPr="00FD237E">
        <w:rPr>
          <w:rFonts w:asciiTheme="majorHAnsi" w:hAnsiTheme="majorHAnsi"/>
          <w:sz w:val="20"/>
          <w:szCs w:val="20"/>
          <w:lang w:val="es-419"/>
        </w:rPr>
        <w:t>emás</w:t>
      </w:r>
      <w:r w:rsidRPr="00FD237E">
        <w:rPr>
          <w:rFonts w:asciiTheme="majorHAnsi" w:hAnsiTheme="majorHAnsi"/>
          <w:sz w:val="20"/>
          <w:szCs w:val="20"/>
          <w:lang w:val="es-419"/>
        </w:rPr>
        <w:t>, señala que existió un retardo injustificado en los procesos internos, lo cual se refleja en el prolongado tiempo requerido para agendar entrevistas con los expertos, y en la excesiva demora en el análisis de los hechos de manera general.</w:t>
      </w:r>
    </w:p>
    <w:bookmarkEnd w:id="2"/>
    <w:p w14:paraId="79C4E96B" w14:textId="0E1FBF8A" w:rsidR="009463E1" w:rsidRPr="00FD237E" w:rsidRDefault="00B04C5D" w:rsidP="00FD237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rFonts w:asciiTheme="majorHAnsi" w:hAnsiTheme="majorHAnsi"/>
          <w:sz w:val="20"/>
          <w:szCs w:val="20"/>
          <w:lang w:val="es-419"/>
        </w:rPr>
      </w:pPr>
      <w:r w:rsidRPr="00FD237E">
        <w:rPr>
          <w:rFonts w:asciiTheme="majorHAnsi" w:hAnsiTheme="majorHAnsi"/>
          <w:i/>
          <w:iCs/>
          <w:sz w:val="20"/>
          <w:szCs w:val="20"/>
          <w:lang w:val="es-419"/>
        </w:rPr>
        <w:t>El Estado brasileño</w:t>
      </w:r>
    </w:p>
    <w:p w14:paraId="7BCB4751" w14:textId="4896250F" w:rsidR="00E80F29" w:rsidRPr="00FD237E" w:rsidRDefault="009008B6"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
        </w:rPr>
      </w:pPr>
      <w:r w:rsidRPr="00FD237E">
        <w:rPr>
          <w:rFonts w:asciiTheme="majorHAnsi" w:hAnsiTheme="majorHAnsi"/>
          <w:sz w:val="20"/>
          <w:szCs w:val="20"/>
          <w:lang w:val="es-ES"/>
        </w:rPr>
        <w:t xml:space="preserve">El Estado </w:t>
      </w:r>
      <w:r w:rsidR="00E80F29" w:rsidRPr="00FD237E">
        <w:rPr>
          <w:rFonts w:asciiTheme="majorHAnsi" w:hAnsiTheme="majorHAnsi"/>
          <w:sz w:val="20"/>
          <w:szCs w:val="20"/>
          <w:lang w:val="es-ES"/>
        </w:rPr>
        <w:t xml:space="preserve">aclara, en primer lugar, que en su interpretación la denuncia presentada </w:t>
      </w:r>
      <w:r w:rsidR="00914E90" w:rsidRPr="00FD237E">
        <w:rPr>
          <w:rFonts w:asciiTheme="majorHAnsi" w:hAnsiTheme="majorHAnsi"/>
          <w:sz w:val="20"/>
          <w:szCs w:val="20"/>
          <w:lang w:val="es-ES"/>
        </w:rPr>
        <w:t>a la CIDH</w:t>
      </w:r>
      <w:r w:rsidR="00E80F29" w:rsidRPr="00FD237E">
        <w:rPr>
          <w:rFonts w:asciiTheme="majorHAnsi" w:hAnsiTheme="majorHAnsi"/>
          <w:sz w:val="20"/>
          <w:szCs w:val="20"/>
          <w:lang w:val="es-ES"/>
        </w:rPr>
        <w:t xml:space="preserve"> se refiere esencialmente a alegadas vulneraciones de derechos humanos derivadas del proceso judicial 0010366-20.2013.8.26.0010, respecto al divorcio de su cónyuge combinado con la pérdida de poder familiar, que decidió sobre la custodia de su hija menor.</w:t>
      </w:r>
    </w:p>
    <w:p w14:paraId="0F55F5B6" w14:textId="54CFC9B3" w:rsidR="00E80F29" w:rsidRPr="00FD237E" w:rsidRDefault="00E80F29"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
        </w:rPr>
      </w:pPr>
      <w:r w:rsidRPr="00FD237E">
        <w:rPr>
          <w:rFonts w:asciiTheme="majorHAnsi" w:hAnsiTheme="majorHAnsi"/>
          <w:sz w:val="20"/>
          <w:szCs w:val="20"/>
          <w:lang w:val="es-ES"/>
        </w:rPr>
        <w:t xml:space="preserve">El Estado alega que cuando la denuncia fue realizada ante la CIDH seguían en regular tramitación acciones judiciales internas involucrando a la </w:t>
      </w:r>
      <w:r w:rsidR="00914E90" w:rsidRPr="00FD237E">
        <w:rPr>
          <w:rFonts w:asciiTheme="majorHAnsi" w:hAnsiTheme="majorHAnsi"/>
          <w:sz w:val="20"/>
          <w:szCs w:val="20"/>
          <w:lang w:val="es-ES"/>
        </w:rPr>
        <w:t>madre y el padre de la niña</w:t>
      </w:r>
      <w:r w:rsidRPr="00FD237E">
        <w:rPr>
          <w:rFonts w:asciiTheme="majorHAnsi" w:hAnsiTheme="majorHAnsi"/>
          <w:sz w:val="20"/>
          <w:szCs w:val="20"/>
          <w:lang w:val="es-ES"/>
        </w:rPr>
        <w:t>, ante el Primer Juzgado de Familia y Sucesiones del Foro Regional de Ipiranga, de la Comarca de São Paulo, con la realización de las necesarias diligencias probatorias, ante las circunstancias litigiosas del proceso de divorcio y de decisión sobre la custodia de la hija menor. Conforme a la información del Juzgado competente, tramitaban regularmente ante dicha vara tres procedimientos involucrando a las partes, con plena observancia de las garantías del debido proceso y la defensa amplia, con la actuación regular del Ministerio Público en todas las fases procesales. Las partes fueron debidamente notificadas</w:t>
      </w:r>
      <w:r w:rsidR="00874F06" w:rsidRPr="00FD237E">
        <w:rPr>
          <w:rFonts w:asciiTheme="majorHAnsi" w:hAnsiTheme="majorHAnsi"/>
          <w:sz w:val="20"/>
          <w:szCs w:val="20"/>
          <w:lang w:val="es-ES"/>
        </w:rPr>
        <w:t>,</w:t>
      </w:r>
      <w:r w:rsidRPr="00FD237E">
        <w:rPr>
          <w:rFonts w:asciiTheme="majorHAnsi" w:hAnsiTheme="majorHAnsi"/>
          <w:sz w:val="20"/>
          <w:szCs w:val="20"/>
          <w:lang w:val="es-ES"/>
        </w:rPr>
        <w:t xml:space="preserve"> a través de sus abogados constituidos, de todas las decisiones emitidas por el Juzgado, tanto que se valieron, cuando lo consideraron necesario, de la utilización de los recursos legales disponibles, todos evaluados y juzgados por la instancia superior. El Juzgado no descuidó de determinar y garantizar la producción de todas las pruebas que consideró importantes y necesarias para la plena protección del derecho de defensa, con el objetivo de orientar la formación de su convencimiento y propiciar el juicio fundamentado del fondo de las demandas o procedimientos. </w:t>
      </w:r>
    </w:p>
    <w:p w14:paraId="40F65391" w14:textId="24D91B50" w:rsidR="00E80F29" w:rsidRPr="00FD237E" w:rsidRDefault="00E80F29"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
        </w:rPr>
      </w:pPr>
      <w:r w:rsidRPr="00FD237E">
        <w:rPr>
          <w:rFonts w:asciiTheme="majorHAnsi" w:hAnsiTheme="majorHAnsi"/>
          <w:sz w:val="20"/>
          <w:szCs w:val="20"/>
          <w:lang w:val="es-ES"/>
        </w:rPr>
        <w:t xml:space="preserve">El Estado indica que </w:t>
      </w:r>
      <w:r w:rsidRPr="00FD237E">
        <w:rPr>
          <w:rFonts w:asciiTheme="majorHAnsi" w:eastAsia="Arial Unicode MS" w:hAnsiTheme="majorHAnsi" w:cs="Times New Roman"/>
          <w:color w:val="auto"/>
          <w:sz w:val="20"/>
          <w:szCs w:val="20"/>
          <w:lang w:val="es-ES" w:eastAsia="en-US"/>
        </w:rPr>
        <w:t>e</w:t>
      </w:r>
      <w:r w:rsidRPr="00FD237E">
        <w:rPr>
          <w:rFonts w:asciiTheme="majorHAnsi" w:hAnsiTheme="majorHAnsi"/>
          <w:sz w:val="20"/>
          <w:szCs w:val="20"/>
          <w:lang w:val="es-ES"/>
        </w:rPr>
        <w:t>l 16 de noviembre de 2021 el Juzgado dictó sentencia en juicio conjunto en los procedimientos en que litigaban el padre y la madre. La sentencia acogió la solicitud de custodia unilateral formulada por la madre, desestimó la solicitud de reconocimiento de la práctica de alienación parental por parte de la madre y determinó las condiciones de visitas del padre. Debido a la naturaleza de los temas debatidos, para la protección de los derechos de las partes y la protección de la menor, los procesos tramitaron en secreto de justicia. El Estado sostiene que el proceso interno tuvo sus efectos regulares, y que la petici</w:t>
      </w:r>
      <w:r w:rsidR="00914E90" w:rsidRPr="00FD237E">
        <w:rPr>
          <w:rFonts w:asciiTheme="majorHAnsi" w:hAnsiTheme="majorHAnsi"/>
          <w:sz w:val="20"/>
          <w:szCs w:val="20"/>
          <w:lang w:val="es-ES"/>
        </w:rPr>
        <w:t>ón</w:t>
      </w:r>
      <w:r w:rsidRPr="00FD237E">
        <w:rPr>
          <w:rFonts w:asciiTheme="majorHAnsi" w:hAnsiTheme="majorHAnsi"/>
          <w:sz w:val="20"/>
          <w:szCs w:val="20"/>
          <w:lang w:val="es-ES"/>
        </w:rPr>
        <w:t xml:space="preserve"> intenta, de manera indebida e innecesaria, </w:t>
      </w:r>
      <w:r w:rsidR="00914E90" w:rsidRPr="00FD237E">
        <w:rPr>
          <w:rFonts w:asciiTheme="majorHAnsi" w:hAnsiTheme="majorHAnsi"/>
          <w:sz w:val="20"/>
          <w:szCs w:val="20"/>
          <w:lang w:val="es-ES"/>
        </w:rPr>
        <w:t>provocar la CIDH a revisar los juicios internos. Indica, además, que la madre tenía a su disposición recursos adicionales frente a la sentencia del 16 de noviembre de 2021, y que, por lo tanto, no agotó a todos los recursos internos.</w:t>
      </w:r>
    </w:p>
    <w:p w14:paraId="17168794" w14:textId="294936B2" w:rsidR="00914E90" w:rsidRPr="00FD237E" w:rsidRDefault="00914E90"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
        </w:rPr>
      </w:pPr>
      <w:r w:rsidRPr="00FD237E">
        <w:rPr>
          <w:rFonts w:asciiTheme="majorHAnsi" w:hAnsiTheme="majorHAnsi"/>
          <w:sz w:val="20"/>
          <w:szCs w:val="20"/>
          <w:lang w:val="es-ES"/>
        </w:rPr>
        <w:t>El Estado argumenta además, que no se aplican a la petición ninguna de las excepciones a la regla del previo agotamiento y plazo de presentación, ya que el derecho interno protege el debido proceso legal con robustez, el Estado no presentó obstáculos para que la madre buscara protección judicial interna, y no existió demora injustificada en la decisión sobre los recursos interpuestos.</w:t>
      </w:r>
    </w:p>
    <w:p w14:paraId="7A877853" w14:textId="37AC29D1" w:rsidR="00914E90" w:rsidRPr="00FD237E" w:rsidRDefault="00914E90"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419"/>
        </w:rPr>
      </w:pPr>
      <w:r w:rsidRPr="00FD237E">
        <w:rPr>
          <w:rFonts w:asciiTheme="majorHAnsi" w:hAnsiTheme="majorHAnsi"/>
          <w:sz w:val="20"/>
          <w:szCs w:val="20"/>
          <w:lang w:val="es-ES"/>
        </w:rPr>
        <w:t xml:space="preserve">Adicionalmente, el Estado sostiene que la petición no cumple con el requisito del plazo de presentación porque, en el momento de la denuncia a la CIDH, la peticionaria aún no había agotado los recursos existentes, habiendo la peticionaria, al parecer, precipitado la conclusión de que el poder judicial interno la </w:t>
      </w:r>
      <w:r w:rsidRPr="00FD237E">
        <w:rPr>
          <w:rFonts w:asciiTheme="majorHAnsi" w:hAnsiTheme="majorHAnsi"/>
          <w:sz w:val="20"/>
          <w:szCs w:val="20"/>
          <w:lang w:val="es-ES"/>
        </w:rPr>
        <w:lastRenderedPageBreak/>
        <w:t>declararía como incidente en alienación parental y no consideraría su pedido de custodia unilateral de la menor</w:t>
      </w:r>
      <w:r w:rsidR="009302DD" w:rsidRPr="00FD237E">
        <w:rPr>
          <w:rFonts w:asciiTheme="majorHAnsi" w:hAnsiTheme="majorHAnsi"/>
          <w:sz w:val="20"/>
          <w:szCs w:val="20"/>
          <w:lang w:val="es-ES"/>
        </w:rPr>
        <w:t>. Así,</w:t>
      </w:r>
      <w:r w:rsidRPr="00FD237E">
        <w:rPr>
          <w:rFonts w:asciiTheme="majorHAnsi" w:hAnsiTheme="majorHAnsi"/>
          <w:sz w:val="20"/>
          <w:szCs w:val="20"/>
          <w:lang w:val="es-ES"/>
        </w:rPr>
        <w:t xml:space="preserve"> la instancia internacional fue accionada antes de que la justicia civil interna pudiera finalizar su análisis de la situación controvertida, de contornos fácticos desafiantes, que involucraban más que solo cuestiones de derecho y que requirieron una robusta producción de pruebas</w:t>
      </w:r>
      <w:r w:rsidR="009302DD" w:rsidRPr="00FD237E">
        <w:rPr>
          <w:rFonts w:asciiTheme="majorHAnsi" w:hAnsiTheme="majorHAnsi"/>
          <w:sz w:val="20"/>
          <w:szCs w:val="20"/>
          <w:lang w:val="es-ES"/>
        </w:rPr>
        <w:t>.</w:t>
      </w:r>
    </w:p>
    <w:p w14:paraId="67B45F1D" w14:textId="75BC2084" w:rsidR="00914E90" w:rsidRPr="00FD237E" w:rsidRDefault="009302DD" w:rsidP="00FD23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419"/>
        </w:rPr>
      </w:pPr>
      <w:r w:rsidRPr="00FD237E">
        <w:rPr>
          <w:rFonts w:asciiTheme="majorHAnsi" w:hAnsiTheme="majorHAnsi"/>
          <w:sz w:val="20"/>
          <w:szCs w:val="20"/>
          <w:lang w:val="es-ES"/>
        </w:rPr>
        <w:t xml:space="preserve">El Estado también considera que la petición es inadmisible </w:t>
      </w:r>
      <w:r w:rsidRPr="00FD237E">
        <w:rPr>
          <w:rFonts w:asciiTheme="majorHAnsi" w:hAnsiTheme="majorHAnsi"/>
          <w:sz w:val="20"/>
          <w:szCs w:val="20"/>
          <w:lang w:val="es-419"/>
        </w:rPr>
        <w:t xml:space="preserve">debido al principio de subsidiariedad que rige el Sistema Interamericano de Protección de los Derechos Humanos. Argumenta que el sistema de peticiones y casos está destinado a actuar cuando las autoridades domésticas no han protegido adecuadamente a las víctimas, y no como un mecanismo para revisar decisiones judiciales nacionales que se han tomado dentro del marco de sus competencias y con las garantías judiciales adecuadas. En conclusión, </w:t>
      </w:r>
      <w:r w:rsidRPr="00FD237E">
        <w:rPr>
          <w:rFonts w:asciiTheme="majorHAnsi" w:hAnsiTheme="majorHAnsi"/>
          <w:sz w:val="20"/>
          <w:szCs w:val="20"/>
          <w:lang w:val="es-ES"/>
        </w:rPr>
        <w:t xml:space="preserve">considera que la petición es inadmisible porque no presenta hechos vulneradores de la Convención. En este sentido, señala que </w:t>
      </w:r>
      <w:r w:rsidRPr="00FD237E">
        <w:rPr>
          <w:rFonts w:asciiTheme="majorHAnsi" w:eastAsia="Arial Unicode MS" w:hAnsiTheme="majorHAnsi" w:cs="Times New Roman"/>
          <w:color w:val="auto"/>
          <w:sz w:val="20"/>
          <w:szCs w:val="20"/>
          <w:lang w:val="es-419" w:eastAsia="en-US"/>
        </w:rPr>
        <w:t>los juicios internos</w:t>
      </w:r>
      <w:r w:rsidRPr="00FD237E">
        <w:rPr>
          <w:rFonts w:asciiTheme="majorHAnsi" w:hAnsiTheme="majorHAnsi"/>
          <w:sz w:val="20"/>
          <w:szCs w:val="20"/>
          <w:lang w:val="es-419"/>
        </w:rPr>
        <w:t xml:space="preserve"> reconocieron la custodia unilateral solicitada por la madre y han rechazado las alegaciones de alienación parental, demostrando el compromiso del Estado con la protección judicial efectiva de los derechos humanos. </w:t>
      </w:r>
    </w:p>
    <w:p w14:paraId="6B466593" w14:textId="463B15D0" w:rsidR="00B83158" w:rsidRPr="00FD237E" w:rsidRDefault="00B83158" w:rsidP="00FD237E">
      <w:pPr>
        <w:spacing w:before="240" w:after="240"/>
        <w:ind w:firstLine="720"/>
        <w:jc w:val="both"/>
        <w:rPr>
          <w:rFonts w:asciiTheme="majorHAnsi" w:hAnsiTheme="majorHAnsi"/>
          <w:sz w:val="20"/>
          <w:szCs w:val="20"/>
          <w:lang w:val="es-UY"/>
        </w:rPr>
      </w:pPr>
      <w:r w:rsidRPr="00FD237E">
        <w:rPr>
          <w:rFonts w:asciiTheme="majorHAnsi" w:hAnsiTheme="majorHAnsi"/>
          <w:b/>
          <w:sz w:val="20"/>
          <w:szCs w:val="20"/>
          <w:lang w:val="es-UY"/>
        </w:rPr>
        <w:t xml:space="preserve">VI. </w:t>
      </w:r>
      <w:r w:rsidRPr="00FD237E">
        <w:rPr>
          <w:rFonts w:asciiTheme="majorHAnsi" w:hAnsiTheme="majorHAnsi"/>
          <w:b/>
          <w:sz w:val="20"/>
          <w:szCs w:val="20"/>
          <w:lang w:val="es-UY"/>
        </w:rPr>
        <w:tab/>
      </w:r>
      <w:r w:rsidRPr="00FD237E">
        <w:rPr>
          <w:rFonts w:asciiTheme="majorHAnsi" w:hAnsiTheme="majorHAnsi"/>
          <w:b/>
          <w:bCs/>
          <w:sz w:val="20"/>
          <w:szCs w:val="20"/>
          <w:lang w:val="es-ES_tradnl"/>
        </w:rPr>
        <w:t xml:space="preserve">ANÁLISIS DE </w:t>
      </w:r>
      <w:r w:rsidRPr="00FD237E">
        <w:rPr>
          <w:rFonts w:asciiTheme="majorHAnsi" w:hAnsiTheme="majorHAnsi"/>
          <w:b/>
          <w:sz w:val="20"/>
          <w:szCs w:val="20"/>
          <w:lang w:val="es-ES"/>
        </w:rPr>
        <w:t>AGOTAMIENTO DE LOS RECURSOS INTERNOS Y PLAZO DE PRESENTACIÓN</w:t>
      </w:r>
      <w:r w:rsidRPr="00FD237E">
        <w:rPr>
          <w:rFonts w:asciiTheme="majorHAnsi" w:eastAsia="Cambria" w:hAnsiTheme="majorHAnsi" w:cs="Cambria"/>
          <w:b/>
          <w:bCs/>
          <w:color w:val="000000"/>
          <w:sz w:val="20"/>
          <w:szCs w:val="20"/>
          <w:u w:color="000000"/>
          <w:lang w:val="es-ES" w:eastAsia="es-ES"/>
        </w:rPr>
        <w:t xml:space="preserve"> </w:t>
      </w:r>
    </w:p>
    <w:p w14:paraId="13DBF39D" w14:textId="542CF0A1" w:rsidR="0050198D" w:rsidRPr="00FD237E" w:rsidRDefault="001238A7" w:rsidP="00FD237E">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FD237E">
        <w:rPr>
          <w:rFonts w:asciiTheme="majorHAnsi" w:hAnsiTheme="majorHAnsi"/>
          <w:sz w:val="20"/>
          <w:szCs w:val="20"/>
          <w:lang w:val="es-ES"/>
        </w:rPr>
        <w:t xml:space="preserve">La Comisión Interamericana nota que la petición se refiere a dos temas principales: i) la falta de investigación y sanción, en el ámbito penal, de la violencia sexual cometida contra una niña por parte de su padre; </w:t>
      </w:r>
      <w:r w:rsidR="00CC4A05" w:rsidRPr="00FD237E">
        <w:rPr>
          <w:rFonts w:asciiTheme="majorHAnsi" w:hAnsiTheme="majorHAnsi"/>
          <w:sz w:val="20"/>
          <w:szCs w:val="20"/>
          <w:lang w:val="es-ES"/>
        </w:rPr>
        <w:t xml:space="preserve">ii) </w:t>
      </w:r>
      <w:r w:rsidRPr="00FD237E">
        <w:rPr>
          <w:rFonts w:asciiTheme="majorHAnsi" w:hAnsiTheme="majorHAnsi"/>
          <w:sz w:val="20"/>
          <w:szCs w:val="20"/>
          <w:lang w:val="es-ES"/>
        </w:rPr>
        <w:t>irregularidades en el ámbito del proceso civil que incluyeron medidas inadecuadas para la reconciliación y convivencia entre el agresor y su familia.</w:t>
      </w:r>
    </w:p>
    <w:p w14:paraId="679BE2D8" w14:textId="44D0A879" w:rsidR="004F479E" w:rsidRPr="00FD237E" w:rsidRDefault="00035913" w:rsidP="00FD237E">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FD237E">
        <w:rPr>
          <w:rFonts w:asciiTheme="majorHAnsi" w:hAnsiTheme="majorHAnsi"/>
          <w:sz w:val="20"/>
          <w:szCs w:val="20"/>
          <w:lang w:val="es-ES"/>
        </w:rPr>
        <w:t>El Estado brasileño sostiene la necesidad de agotar los recursos internos antes de proceder a presentar una denuncia a la CIDH. No obstante, incluso si se adoptase una interpretación diferente respecto al momento oportuno para el agotamiento de dichos recursos en el caso en cuestión estos aún no se habrían agotado, dado que la sentencia sobre el fondo del asunto civil se emitió el 16 de noviembre de 2021 y la peticionaria aún contaba con la posibilidad de utilizar recursos ordinarios contra esta decisión judicial. El Estado también señala que, más allá de estos recursos, la parte sigue teniendo la opción de recurrir al Poder Judicial interno para otros reclamos, en caso de que persistan cuestiones pendientes relacionadas con la custodia y el régimen de poder familiar. Finalmente, el Estado argumenta que la petición no cumplió con el plazo de seis meses para su presentación, ya que se recurrió a la instancia internacional antes de que la jurisdicción civil interna finalizase su evaluación de la situación controvertida.</w:t>
      </w:r>
    </w:p>
    <w:p w14:paraId="6DCC4375" w14:textId="7DB9384E" w:rsidR="004F479E" w:rsidRPr="00FD237E" w:rsidRDefault="0065051C" w:rsidP="00FD237E">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FD237E">
        <w:rPr>
          <w:rFonts w:asciiTheme="majorHAnsi" w:hAnsiTheme="majorHAnsi"/>
          <w:sz w:val="20"/>
          <w:szCs w:val="20"/>
          <w:lang w:val="es-ES"/>
        </w:rPr>
        <w:t xml:space="preserve">En atención a estas consideraciones, la CIDH </w:t>
      </w:r>
      <w:r w:rsidR="00325552" w:rsidRPr="00FD237E">
        <w:rPr>
          <w:rFonts w:asciiTheme="majorHAnsi" w:hAnsiTheme="majorHAnsi"/>
          <w:sz w:val="20"/>
          <w:szCs w:val="20"/>
          <w:lang w:val="es-ES"/>
        </w:rPr>
        <w:t>reitera que e</w:t>
      </w:r>
      <w:r w:rsidR="004F479E" w:rsidRPr="00FD237E">
        <w:rPr>
          <w:rFonts w:asciiTheme="majorHAnsi" w:hAnsiTheme="majorHAnsi"/>
          <w:sz w:val="20"/>
          <w:szCs w:val="20"/>
          <w:lang w:val="es-ES"/>
        </w:rPr>
        <w:t>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1238A7" w:rsidRPr="00FD237E">
        <w:rPr>
          <w:rStyle w:val="FootnoteReference"/>
          <w:rFonts w:asciiTheme="majorHAnsi" w:hAnsiTheme="majorHAnsi"/>
          <w:sz w:val="20"/>
          <w:szCs w:val="20"/>
          <w:lang w:val="es-ES"/>
        </w:rPr>
        <w:footnoteReference w:id="5"/>
      </w:r>
    </w:p>
    <w:p w14:paraId="607176E9" w14:textId="108F24C1" w:rsidR="00035913" w:rsidRPr="00FD237E" w:rsidRDefault="00035913" w:rsidP="00FD237E">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FD237E">
        <w:rPr>
          <w:rFonts w:asciiTheme="majorHAnsi" w:hAnsiTheme="majorHAnsi"/>
          <w:sz w:val="20"/>
          <w:szCs w:val="20"/>
          <w:lang w:val="es-ES"/>
        </w:rPr>
        <w:t xml:space="preserve">En relación con </w:t>
      </w:r>
      <w:r w:rsidR="001238A7" w:rsidRPr="00FD237E">
        <w:rPr>
          <w:rFonts w:asciiTheme="majorHAnsi" w:hAnsiTheme="majorHAnsi"/>
          <w:sz w:val="20"/>
          <w:szCs w:val="20"/>
          <w:lang w:val="es-ES"/>
        </w:rPr>
        <w:t xml:space="preserve">la alegada falta de investigación y sanción penal </w:t>
      </w:r>
      <w:r w:rsidRPr="00FD237E">
        <w:rPr>
          <w:rFonts w:asciiTheme="majorHAnsi" w:hAnsiTheme="majorHAnsi"/>
          <w:sz w:val="20"/>
          <w:szCs w:val="20"/>
          <w:lang w:val="es-ES"/>
        </w:rPr>
        <w:t>la CIDH subraya que, ante indicios de violación sexual, el mecanismo adecuado para esclarecer los hechos, enjuiciar a los culpables y facilitar otras formas de reparación es el proceso penal. Además, en situaciones que involucran a menores, el Estado debe no solo promover una investigación rápida y diligente, sino también implementar medidas específicas para proteger a la potencial víctima dada su especial vulnerabilidad</w:t>
      </w:r>
      <w:r w:rsidR="00682D03" w:rsidRPr="00FD237E">
        <w:rPr>
          <w:rStyle w:val="FootnoteReference"/>
          <w:rFonts w:asciiTheme="majorHAnsi" w:hAnsiTheme="majorHAnsi"/>
          <w:sz w:val="20"/>
          <w:szCs w:val="20"/>
          <w:lang w:val="es-ES"/>
        </w:rPr>
        <w:footnoteReference w:id="6"/>
      </w:r>
      <w:r w:rsidRPr="00FD237E">
        <w:rPr>
          <w:rFonts w:asciiTheme="majorHAnsi" w:hAnsiTheme="majorHAnsi"/>
          <w:sz w:val="20"/>
          <w:szCs w:val="20"/>
          <w:lang w:val="es-ES"/>
        </w:rPr>
        <w:t>.</w:t>
      </w:r>
    </w:p>
    <w:p w14:paraId="3F2B2EFF" w14:textId="634E68B0" w:rsidR="00CA3D1B" w:rsidRPr="00FD237E" w:rsidRDefault="00682D03" w:rsidP="00FD237E">
      <w:pPr>
        <w:pStyle w:val="ListParagraph"/>
        <w:widowControl w:val="0"/>
        <w:numPr>
          <w:ilvl w:val="0"/>
          <w:numId w:val="59"/>
        </w:numPr>
        <w:spacing w:before="240" w:after="240"/>
        <w:ind w:left="0" w:firstLine="720"/>
        <w:jc w:val="both"/>
        <w:rPr>
          <w:rFonts w:asciiTheme="majorHAnsi" w:hAnsiTheme="majorHAnsi"/>
          <w:sz w:val="20"/>
          <w:szCs w:val="20"/>
          <w:lang w:val="es-419"/>
        </w:rPr>
      </w:pPr>
      <w:r w:rsidRPr="00FD237E">
        <w:rPr>
          <w:rFonts w:asciiTheme="majorHAnsi" w:hAnsiTheme="majorHAnsi"/>
          <w:sz w:val="20"/>
          <w:szCs w:val="20"/>
          <w:lang w:val="es-ES"/>
        </w:rPr>
        <w:t>Según la información proporcionada por la peticionaria, la alegada violación sexual fue investigada penalmente bajo la investigación policial 278/2016</w:t>
      </w:r>
      <w:r w:rsidR="00D129C1" w:rsidRPr="00FD237E">
        <w:rPr>
          <w:rFonts w:asciiTheme="majorHAnsi" w:hAnsiTheme="majorHAnsi"/>
          <w:sz w:val="20"/>
          <w:szCs w:val="20"/>
          <w:lang w:val="es-ES"/>
        </w:rPr>
        <w:t>,</w:t>
      </w:r>
      <w:r w:rsidRPr="00FD237E">
        <w:rPr>
          <w:rFonts w:asciiTheme="majorHAnsi" w:hAnsiTheme="majorHAnsi"/>
          <w:sz w:val="20"/>
          <w:szCs w:val="20"/>
          <w:lang w:val="es-ES"/>
        </w:rPr>
        <w:t xml:space="preserve"> y a continuación, en el expediente 0006994-61.2016.8.26.0009 del Juzgado Penal de Vila Prudente. El 9 de abril de 2019 la Fiscalía recomendó cerrar el caso por insuficiencia de pruebas y el Juzgado procedió al archivo el 11 de abril de 2019. No hay ninguna disposición jurídica que permita apelar esta decisión. En consecuencia, la Comisión nota que la parte </w:t>
      </w:r>
      <w:r w:rsidRPr="00FD237E">
        <w:rPr>
          <w:rFonts w:asciiTheme="majorHAnsi" w:hAnsiTheme="majorHAnsi"/>
          <w:sz w:val="20"/>
          <w:szCs w:val="20"/>
          <w:lang w:val="es-ES"/>
        </w:rPr>
        <w:lastRenderedPageBreak/>
        <w:t xml:space="preserve">peticionaria no contaría con un medio ordinario, adecuado y eficaz para impugnar judicialmente el archivamiento. </w:t>
      </w:r>
      <w:r w:rsidR="00826B4A" w:rsidRPr="00FD237E">
        <w:rPr>
          <w:rFonts w:asciiTheme="majorHAnsi" w:hAnsiTheme="majorHAnsi"/>
          <w:sz w:val="20"/>
          <w:szCs w:val="20"/>
          <w:lang w:val="es-ES"/>
        </w:rPr>
        <w:t xml:space="preserve">El Estado, por su parte, y en consonancia, no alega que la peticionaria debió agotar algún recurso adicional luego de esta decisión de archivo. </w:t>
      </w:r>
      <w:r w:rsidRPr="00FD237E">
        <w:rPr>
          <w:rFonts w:asciiTheme="majorHAnsi" w:hAnsiTheme="majorHAnsi"/>
          <w:sz w:val="20"/>
          <w:szCs w:val="20"/>
          <w:lang w:val="es-ES"/>
        </w:rPr>
        <w:t>Por consiguiente, la CIDH considera oportuno aplicar en el caso de autos la excepción prevista en el artículo 46.2.a</w:t>
      </w:r>
      <w:r w:rsidR="00186604" w:rsidRPr="00FD237E">
        <w:rPr>
          <w:rFonts w:asciiTheme="majorHAnsi" w:hAnsiTheme="majorHAnsi"/>
          <w:sz w:val="20"/>
          <w:szCs w:val="20"/>
          <w:lang w:val="es-ES"/>
        </w:rPr>
        <w:t>)</w:t>
      </w:r>
      <w:r w:rsidRPr="00FD237E">
        <w:rPr>
          <w:rFonts w:asciiTheme="majorHAnsi" w:hAnsiTheme="majorHAnsi"/>
          <w:sz w:val="20"/>
          <w:szCs w:val="20"/>
          <w:lang w:val="es-ES"/>
        </w:rPr>
        <w:t xml:space="preserve"> de la Convención Americana</w:t>
      </w:r>
      <w:r w:rsidR="00826B4A" w:rsidRPr="00FD237E">
        <w:rPr>
          <w:rFonts w:asciiTheme="majorHAnsi" w:hAnsiTheme="majorHAnsi"/>
          <w:sz w:val="20"/>
          <w:szCs w:val="20"/>
          <w:lang w:val="es-ES"/>
        </w:rPr>
        <w:t>, como lo ha hecho además en otros precedentes de Brasil</w:t>
      </w:r>
      <w:r w:rsidRPr="00FD237E">
        <w:rPr>
          <w:rStyle w:val="FootnoteReference"/>
          <w:rFonts w:asciiTheme="majorHAnsi" w:hAnsiTheme="majorHAnsi"/>
          <w:sz w:val="20"/>
          <w:szCs w:val="20"/>
          <w:lang w:val="es-ES"/>
        </w:rPr>
        <w:footnoteReference w:id="7"/>
      </w:r>
      <w:r w:rsidR="00826B4A" w:rsidRPr="00FD237E">
        <w:rPr>
          <w:rFonts w:asciiTheme="majorHAnsi" w:hAnsiTheme="majorHAnsi"/>
          <w:sz w:val="20"/>
          <w:szCs w:val="20"/>
          <w:lang w:val="es-ES"/>
        </w:rPr>
        <w:t>.</w:t>
      </w:r>
    </w:p>
    <w:p w14:paraId="3F2DAE53" w14:textId="7048232D" w:rsidR="00035913" w:rsidRPr="00FD237E" w:rsidRDefault="00443831" w:rsidP="00FD237E">
      <w:pPr>
        <w:pStyle w:val="ListParagraph"/>
        <w:widowControl w:val="0"/>
        <w:numPr>
          <w:ilvl w:val="0"/>
          <w:numId w:val="59"/>
        </w:numPr>
        <w:spacing w:before="240" w:after="240"/>
        <w:ind w:left="0" w:firstLine="720"/>
        <w:jc w:val="both"/>
        <w:rPr>
          <w:rFonts w:asciiTheme="majorHAnsi" w:hAnsiTheme="majorHAnsi"/>
          <w:sz w:val="20"/>
          <w:szCs w:val="20"/>
          <w:lang w:val="es-419"/>
        </w:rPr>
      </w:pPr>
      <w:r w:rsidRPr="00FD237E">
        <w:rPr>
          <w:rFonts w:asciiTheme="majorHAnsi" w:hAnsiTheme="majorHAnsi"/>
          <w:sz w:val="20"/>
          <w:szCs w:val="20"/>
          <w:lang w:val="es-ES"/>
        </w:rPr>
        <w:t xml:space="preserve"> En los casos en los cuales resulten aplicables las excepciones al requisito del previo agotamiento de los recursos internos, la petición deberá presentarse dentro de un plazo razonable, a criterio de la Comisión</w:t>
      </w:r>
      <w:r w:rsidR="00CC4A05" w:rsidRPr="00FD237E">
        <w:rPr>
          <w:rFonts w:asciiTheme="majorHAnsi" w:hAnsiTheme="majorHAnsi"/>
          <w:sz w:val="20"/>
          <w:szCs w:val="20"/>
          <w:lang w:val="es-ES"/>
        </w:rPr>
        <w:t>, en los términos del artículo 32 del Reglamento de la CIDH</w:t>
      </w:r>
      <w:r w:rsidRPr="00FD237E">
        <w:rPr>
          <w:rFonts w:asciiTheme="majorHAnsi" w:hAnsiTheme="majorHAnsi"/>
          <w:sz w:val="20"/>
          <w:szCs w:val="20"/>
          <w:lang w:val="es-ES"/>
        </w:rPr>
        <w:t xml:space="preserve">. </w:t>
      </w:r>
      <w:r w:rsidR="00CC4A05" w:rsidRPr="00FD237E">
        <w:rPr>
          <w:rFonts w:asciiTheme="majorHAnsi" w:hAnsiTheme="majorHAnsi"/>
          <w:sz w:val="20"/>
          <w:szCs w:val="20"/>
          <w:lang w:val="es-ES"/>
        </w:rPr>
        <w:t>L</w:t>
      </w:r>
      <w:r w:rsidRPr="00FD237E">
        <w:rPr>
          <w:rFonts w:asciiTheme="majorHAnsi" w:hAnsiTheme="majorHAnsi"/>
          <w:sz w:val="20"/>
          <w:szCs w:val="20"/>
          <w:lang w:val="es-ES"/>
        </w:rPr>
        <w:t>os hechos denunciados se iniciaron en 2013</w:t>
      </w:r>
      <w:r w:rsidR="00CC4A05" w:rsidRPr="00FD237E">
        <w:rPr>
          <w:rFonts w:asciiTheme="majorHAnsi" w:hAnsiTheme="majorHAnsi"/>
          <w:sz w:val="20"/>
          <w:szCs w:val="20"/>
          <w:lang w:val="es-ES"/>
        </w:rPr>
        <w:t>. Las supuestas consecuencias de la falta de investigación y sanciones penales se extienden hasta el presente.</w:t>
      </w:r>
      <w:r w:rsidRPr="00FD237E">
        <w:rPr>
          <w:rFonts w:asciiTheme="majorHAnsi" w:hAnsiTheme="majorHAnsi"/>
          <w:sz w:val="20"/>
          <w:szCs w:val="20"/>
          <w:lang w:val="es-ES"/>
        </w:rPr>
        <w:t xml:space="preserve"> </w:t>
      </w:r>
      <w:r w:rsidR="00CC4A05" w:rsidRPr="00FD237E">
        <w:rPr>
          <w:rFonts w:asciiTheme="majorHAnsi" w:hAnsiTheme="majorHAnsi"/>
          <w:sz w:val="20"/>
          <w:szCs w:val="20"/>
          <w:lang w:val="es-ES"/>
        </w:rPr>
        <w:t>Considerando lo anterior, y dado que la petición ante la CIDH fue presentada el 13 de noviembre de 2017, la CIDH concluye que</w:t>
      </w:r>
      <w:r w:rsidRPr="00FD237E">
        <w:rPr>
          <w:rFonts w:asciiTheme="majorHAnsi" w:hAnsiTheme="majorHAnsi"/>
          <w:sz w:val="20"/>
          <w:szCs w:val="20"/>
          <w:lang w:val="es-ES"/>
        </w:rPr>
        <w:t xml:space="preserve"> la presentación se dio dentro de un plazo razonable.</w:t>
      </w:r>
    </w:p>
    <w:p w14:paraId="6BE52369" w14:textId="5D494F58" w:rsidR="00682D03" w:rsidRPr="00FD237E" w:rsidRDefault="00825317" w:rsidP="00FD237E">
      <w:pPr>
        <w:pStyle w:val="ListParagraph"/>
        <w:widowControl w:val="0"/>
        <w:numPr>
          <w:ilvl w:val="0"/>
          <w:numId w:val="59"/>
        </w:numPr>
        <w:spacing w:before="240" w:after="240"/>
        <w:ind w:left="0" w:firstLine="720"/>
        <w:jc w:val="both"/>
        <w:rPr>
          <w:rFonts w:asciiTheme="majorHAnsi" w:hAnsiTheme="majorHAnsi"/>
          <w:sz w:val="20"/>
          <w:szCs w:val="20"/>
          <w:lang w:val="es-419"/>
        </w:rPr>
      </w:pPr>
      <w:bookmarkStart w:id="3" w:name="_Hlk117845212"/>
      <w:r w:rsidRPr="00FD237E">
        <w:rPr>
          <w:rFonts w:asciiTheme="majorHAnsi" w:hAnsiTheme="majorHAnsi"/>
          <w:sz w:val="20"/>
          <w:szCs w:val="20"/>
          <w:lang w:val="es-ES_tradnl"/>
        </w:rPr>
        <w:t xml:space="preserve">En atención a estas consideraciones, es pertinente recordar que </w:t>
      </w:r>
      <w:r w:rsidRPr="00FD237E">
        <w:rPr>
          <w:rFonts w:asciiTheme="majorHAnsi" w:hAnsiTheme="majorHAnsi"/>
          <w:sz w:val="20"/>
          <w:szCs w:val="20"/>
          <w:lang w:val="es-CO"/>
        </w:rPr>
        <w:t>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bookmarkEnd w:id="3"/>
    </w:p>
    <w:p w14:paraId="3AA316B4" w14:textId="77777777" w:rsidR="005C2C57" w:rsidRPr="00FD237E" w:rsidRDefault="00682D03" w:rsidP="00FD237E">
      <w:pPr>
        <w:pStyle w:val="ListParagraph"/>
        <w:widowControl w:val="0"/>
        <w:numPr>
          <w:ilvl w:val="0"/>
          <w:numId w:val="59"/>
        </w:numPr>
        <w:spacing w:before="240" w:after="240"/>
        <w:ind w:left="0" w:firstLine="720"/>
        <w:jc w:val="both"/>
        <w:rPr>
          <w:rFonts w:asciiTheme="majorHAnsi" w:hAnsiTheme="majorHAnsi"/>
          <w:sz w:val="20"/>
          <w:szCs w:val="20"/>
          <w:lang w:val="es-419"/>
        </w:rPr>
      </w:pPr>
      <w:r w:rsidRPr="00FD237E">
        <w:rPr>
          <w:rFonts w:asciiTheme="majorHAnsi" w:hAnsiTheme="majorHAnsi"/>
          <w:sz w:val="20"/>
          <w:szCs w:val="20"/>
          <w:lang w:val="es-ES"/>
        </w:rPr>
        <w:t xml:space="preserve">Con respecto </w:t>
      </w:r>
      <w:r w:rsidR="00CC4A05" w:rsidRPr="00FD237E">
        <w:rPr>
          <w:rFonts w:asciiTheme="majorHAnsi" w:hAnsiTheme="majorHAnsi"/>
          <w:sz w:val="20"/>
          <w:szCs w:val="20"/>
          <w:lang w:val="es-ES"/>
        </w:rPr>
        <w:t xml:space="preserve">al proceso civil, </w:t>
      </w:r>
      <w:r w:rsidR="00C00339" w:rsidRPr="00FD237E">
        <w:rPr>
          <w:rFonts w:asciiTheme="majorHAnsi" w:hAnsiTheme="majorHAnsi"/>
          <w:sz w:val="20"/>
          <w:szCs w:val="20"/>
          <w:lang w:val="es-ES"/>
        </w:rPr>
        <w:t>la parte peticionaria indica</w:t>
      </w:r>
      <w:r w:rsidR="00CD3251" w:rsidRPr="00FD237E">
        <w:rPr>
          <w:rFonts w:asciiTheme="majorHAnsi" w:hAnsiTheme="majorHAnsi"/>
          <w:sz w:val="20"/>
          <w:szCs w:val="20"/>
          <w:lang w:val="es-ES"/>
        </w:rPr>
        <w:t xml:space="preserve">, en resumen, que el juez autorizó al padre visitas supervisadas desde septiembre de 2016, determinó la pericia sobre alienación parental en julio de 2017, estableció visitas semanales supervisadas por la madre en noviembre de 2019, las cambió a quincenales en febrero de 2020, y emitió la sentencia el 16 de noviembre de 2021. De su parte, el Estado igualmente indica que el 16 de noviembre de 2021 el juez dictó sentencia, aclarando que la decisión </w:t>
      </w:r>
      <w:r w:rsidR="00CD3251" w:rsidRPr="00FD237E">
        <w:rPr>
          <w:rFonts w:asciiTheme="majorHAnsi" w:hAnsiTheme="majorHAnsi"/>
          <w:sz w:val="20"/>
          <w:szCs w:val="20"/>
          <w:lang w:val="es-419"/>
        </w:rPr>
        <w:t xml:space="preserve">acogió la solicitud de custodia unilateral formulada por la madre, desestimó la denuncia del padre de que la madre practicó alienación parental y determinó las condiciones de visitas del padre. </w:t>
      </w:r>
    </w:p>
    <w:p w14:paraId="1D9168E8" w14:textId="455014E9" w:rsidR="005C2C57" w:rsidRPr="00FD237E" w:rsidRDefault="005C2C57" w:rsidP="00FD237E">
      <w:pPr>
        <w:pStyle w:val="ListParagraph"/>
        <w:widowControl w:val="0"/>
        <w:numPr>
          <w:ilvl w:val="0"/>
          <w:numId w:val="59"/>
        </w:numPr>
        <w:spacing w:before="240" w:after="240"/>
        <w:ind w:left="0" w:firstLine="720"/>
        <w:jc w:val="both"/>
        <w:rPr>
          <w:rFonts w:asciiTheme="majorHAnsi" w:hAnsiTheme="majorHAnsi"/>
          <w:sz w:val="20"/>
          <w:szCs w:val="20"/>
          <w:lang w:val="es-419"/>
        </w:rPr>
      </w:pPr>
      <w:r w:rsidRPr="00FD237E">
        <w:rPr>
          <w:rFonts w:asciiTheme="majorHAnsi" w:hAnsiTheme="majorHAnsi"/>
          <w:sz w:val="20"/>
          <w:szCs w:val="20"/>
          <w:lang w:val="es-ES"/>
        </w:rPr>
        <w:t xml:space="preserve">La Comisión Interamericana señala que, hasta el momento, las partes no han suministrado información sobre la presentación de algún recurso contra </w:t>
      </w:r>
      <w:r w:rsidR="00826B4A" w:rsidRPr="00FD237E">
        <w:rPr>
          <w:rFonts w:asciiTheme="majorHAnsi" w:hAnsiTheme="majorHAnsi"/>
          <w:sz w:val="20"/>
          <w:szCs w:val="20"/>
          <w:lang w:val="es-ES"/>
        </w:rPr>
        <w:t>esta</w:t>
      </w:r>
      <w:r w:rsidRPr="00FD237E">
        <w:rPr>
          <w:rFonts w:asciiTheme="majorHAnsi" w:hAnsiTheme="majorHAnsi"/>
          <w:sz w:val="20"/>
          <w:szCs w:val="20"/>
          <w:lang w:val="es-ES"/>
        </w:rPr>
        <w:t xml:space="preserve"> sentencia</w:t>
      </w:r>
      <w:r w:rsidR="00826B4A" w:rsidRPr="00FD237E">
        <w:rPr>
          <w:rFonts w:asciiTheme="majorHAnsi" w:hAnsiTheme="majorHAnsi"/>
          <w:sz w:val="20"/>
          <w:szCs w:val="20"/>
          <w:lang w:val="es-ES"/>
        </w:rPr>
        <w:t xml:space="preserve"> de primera instancia</w:t>
      </w:r>
      <w:r w:rsidRPr="00FD237E">
        <w:rPr>
          <w:rFonts w:asciiTheme="majorHAnsi" w:hAnsiTheme="majorHAnsi"/>
          <w:sz w:val="20"/>
          <w:szCs w:val="20"/>
          <w:lang w:val="es-ES"/>
        </w:rPr>
        <w:t xml:space="preserve">. Tampoco han especificado si la sentencia concluyó el proceso civil. En este </w:t>
      </w:r>
      <w:r w:rsidR="00826B4A" w:rsidRPr="00FD237E">
        <w:rPr>
          <w:rFonts w:asciiTheme="majorHAnsi" w:hAnsiTheme="majorHAnsi"/>
          <w:sz w:val="20"/>
          <w:szCs w:val="20"/>
          <w:lang w:val="es-ES"/>
        </w:rPr>
        <w:t>sentido, la Comisión considera que este reclamo no cumple con el requisito de agotamiento de los recursos internos establecido en el</w:t>
      </w:r>
      <w:r w:rsidRPr="00FD237E">
        <w:rPr>
          <w:rFonts w:asciiTheme="majorHAnsi" w:hAnsiTheme="majorHAnsi"/>
          <w:sz w:val="20"/>
          <w:szCs w:val="20"/>
          <w:lang w:val="es-ES"/>
        </w:rPr>
        <w:t xml:space="preserve"> artículo 46.1.a) de la Convención, </w:t>
      </w:r>
      <w:r w:rsidR="00826B4A" w:rsidRPr="00FD237E">
        <w:rPr>
          <w:rFonts w:asciiTheme="majorHAnsi" w:hAnsiTheme="majorHAnsi"/>
          <w:sz w:val="20"/>
          <w:szCs w:val="20"/>
          <w:lang w:val="es-ES"/>
        </w:rPr>
        <w:t>por lo que los reclamos relativos a este proceso judicial no forman parte del marco fáctico del presente caso</w:t>
      </w:r>
      <w:r w:rsidRPr="00FD237E">
        <w:rPr>
          <w:rFonts w:asciiTheme="majorHAnsi" w:hAnsiTheme="majorHAnsi"/>
          <w:sz w:val="20"/>
          <w:szCs w:val="20"/>
          <w:lang w:val="es-ES"/>
        </w:rPr>
        <w:t>.</w:t>
      </w:r>
    </w:p>
    <w:p w14:paraId="2C613E54" w14:textId="77777777" w:rsidR="00C9124E" w:rsidRPr="00FD237E" w:rsidRDefault="00C9124E" w:rsidP="00FD237E">
      <w:pPr>
        <w:pStyle w:val="ListParagraph"/>
        <w:spacing w:before="240" w:after="240"/>
        <w:ind w:left="758"/>
        <w:jc w:val="both"/>
        <w:rPr>
          <w:rFonts w:asciiTheme="majorHAnsi" w:hAnsiTheme="majorHAnsi"/>
          <w:b/>
          <w:sz w:val="20"/>
          <w:szCs w:val="20"/>
          <w:lang w:val="es-ES"/>
        </w:rPr>
      </w:pPr>
      <w:r w:rsidRPr="00FD237E">
        <w:rPr>
          <w:rFonts w:asciiTheme="majorHAnsi" w:hAnsiTheme="majorHAnsi"/>
          <w:b/>
          <w:sz w:val="20"/>
          <w:szCs w:val="20"/>
          <w:lang w:val="es-UY"/>
        </w:rPr>
        <w:t xml:space="preserve">VII. </w:t>
      </w:r>
      <w:r w:rsidRPr="00FD237E">
        <w:rPr>
          <w:rFonts w:asciiTheme="majorHAnsi" w:hAnsiTheme="majorHAnsi"/>
          <w:b/>
          <w:sz w:val="20"/>
          <w:szCs w:val="20"/>
          <w:lang w:val="es-UY"/>
        </w:rPr>
        <w:tab/>
      </w:r>
      <w:r w:rsidRPr="00FD237E">
        <w:rPr>
          <w:rFonts w:asciiTheme="majorHAnsi" w:hAnsiTheme="majorHAnsi"/>
          <w:b/>
          <w:bCs/>
          <w:sz w:val="20"/>
          <w:szCs w:val="20"/>
          <w:lang w:val="es-ES_tradnl"/>
        </w:rPr>
        <w:t xml:space="preserve">ANÁLISIS DE </w:t>
      </w:r>
      <w:r w:rsidRPr="00FD237E">
        <w:rPr>
          <w:rFonts w:asciiTheme="majorHAnsi" w:hAnsiTheme="majorHAnsi"/>
          <w:b/>
          <w:bCs/>
          <w:sz w:val="20"/>
          <w:szCs w:val="20"/>
          <w:lang w:val="es-ES"/>
        </w:rPr>
        <w:t xml:space="preserve">CARACTERIZACIÓN </w:t>
      </w:r>
      <w:r w:rsidRPr="00FD237E">
        <w:rPr>
          <w:rFonts w:asciiTheme="majorHAnsi" w:hAnsiTheme="majorHAnsi"/>
          <w:b/>
          <w:bCs/>
          <w:sz w:val="20"/>
          <w:szCs w:val="20"/>
          <w:lang w:val="es-UY"/>
        </w:rPr>
        <w:t>DE LOS HECHOS ALEGADOS</w:t>
      </w:r>
    </w:p>
    <w:p w14:paraId="62C2E51E" w14:textId="14E7AA7F" w:rsidR="004D168B" w:rsidRDefault="004D168B" w:rsidP="00FD237E">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FD237E">
        <w:rPr>
          <w:rFonts w:asciiTheme="majorHAnsi" w:hAnsiTheme="majorHAnsi"/>
          <w:sz w:val="20"/>
          <w:szCs w:val="20"/>
          <w:lang w:val="es-ES"/>
        </w:rPr>
        <w:t xml:space="preserve">El Estado argumenta la inadmisibilidad de la petición basándose en la incompetencia </w:t>
      </w:r>
      <w:r w:rsidRPr="00FD237E">
        <w:rPr>
          <w:rFonts w:asciiTheme="majorHAnsi" w:hAnsiTheme="majorHAnsi"/>
          <w:i/>
          <w:iCs/>
          <w:sz w:val="20"/>
          <w:szCs w:val="20"/>
          <w:lang w:val="es-ES"/>
        </w:rPr>
        <w:t>ratione materiae</w:t>
      </w:r>
      <w:r w:rsidRPr="00FD237E">
        <w:rPr>
          <w:rFonts w:asciiTheme="majorHAnsi" w:hAnsiTheme="majorHAnsi"/>
          <w:sz w:val="20"/>
          <w:szCs w:val="20"/>
          <w:lang w:val="es-ES"/>
        </w:rPr>
        <w:t xml:space="preserve"> de la CIDH para actuar como instancia de apelación respecto a decisiones judiciales internas, y sostiene que la petición no demuestra violaciones de derechos humanos según los tratados relevantes. Destaca que, desde su perspectiva, los mecanismos judiciales internos han sido efectivos y adecuados.</w:t>
      </w:r>
    </w:p>
    <w:p w14:paraId="0CB39CFE" w14:textId="77777777" w:rsidR="00C83B77" w:rsidRDefault="00C83B77" w:rsidP="00C83B77">
      <w:pPr>
        <w:pStyle w:val="ListParagraph"/>
        <w:widowControl w:val="0"/>
        <w:spacing w:before="240" w:after="240"/>
        <w:jc w:val="both"/>
        <w:rPr>
          <w:rFonts w:asciiTheme="majorHAnsi" w:hAnsiTheme="majorHAnsi"/>
          <w:sz w:val="20"/>
          <w:szCs w:val="20"/>
          <w:lang w:val="es-ES"/>
        </w:rPr>
      </w:pPr>
    </w:p>
    <w:p w14:paraId="0B7B7754" w14:textId="5A97CD80" w:rsidR="00BB3A34" w:rsidRPr="00FD237E" w:rsidRDefault="00BB3A34" w:rsidP="00FD237E">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FD237E">
        <w:rPr>
          <w:rFonts w:asciiTheme="majorHAnsi" w:hAnsiTheme="majorHAnsi"/>
          <w:sz w:val="20"/>
          <w:szCs w:val="20"/>
          <w:lang w:val="es-ES"/>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Comisión debe realizar una evaluación prima facie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fondo del asunto</w:t>
      </w:r>
      <w:r w:rsidR="005C2C57" w:rsidRPr="00FD237E">
        <w:rPr>
          <w:rStyle w:val="FootnoteReference"/>
          <w:rFonts w:asciiTheme="majorHAnsi" w:hAnsiTheme="majorHAnsi"/>
          <w:sz w:val="20"/>
          <w:szCs w:val="20"/>
          <w:lang w:val="es-ES"/>
        </w:rPr>
        <w:footnoteReference w:id="8"/>
      </w:r>
      <w:r w:rsidRPr="00FD237E">
        <w:rPr>
          <w:rFonts w:asciiTheme="majorHAnsi" w:hAnsiTheme="majorHAnsi"/>
          <w:sz w:val="20"/>
          <w:szCs w:val="20"/>
          <w:lang w:val="es-ES"/>
        </w:rPr>
        <w:t>.</w:t>
      </w:r>
    </w:p>
    <w:p w14:paraId="7EE456F6" w14:textId="41FB82EE" w:rsidR="00F15957" w:rsidRPr="00FD237E" w:rsidRDefault="004D168B" w:rsidP="00FD237E">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FD237E">
        <w:rPr>
          <w:rFonts w:asciiTheme="majorHAnsi" w:hAnsiTheme="majorHAnsi"/>
          <w:sz w:val="20"/>
          <w:szCs w:val="20"/>
          <w:lang w:val="es-ES"/>
        </w:rPr>
        <w:t xml:space="preserve">La petición incluye alegatos sobre la </w:t>
      </w:r>
      <w:r w:rsidR="005C2C57" w:rsidRPr="00FD237E">
        <w:rPr>
          <w:rFonts w:asciiTheme="majorHAnsi" w:hAnsiTheme="majorHAnsi"/>
          <w:sz w:val="20"/>
          <w:szCs w:val="20"/>
          <w:lang w:val="es-ES"/>
        </w:rPr>
        <w:t xml:space="preserve">falta de investigación y sanción con respecto a la </w:t>
      </w:r>
      <w:r w:rsidRPr="00FD237E">
        <w:rPr>
          <w:rFonts w:asciiTheme="majorHAnsi" w:hAnsiTheme="majorHAnsi"/>
          <w:sz w:val="20"/>
          <w:szCs w:val="20"/>
          <w:lang w:val="es-ES"/>
        </w:rPr>
        <w:t xml:space="preserve">violencia sexual sufrida por una menor a manos de su padre. </w:t>
      </w:r>
      <w:r w:rsidR="004F479E" w:rsidRPr="00FD237E">
        <w:rPr>
          <w:rFonts w:asciiTheme="majorHAnsi" w:hAnsiTheme="majorHAnsi"/>
          <w:sz w:val="20"/>
          <w:szCs w:val="20"/>
          <w:lang w:val="es-ES"/>
        </w:rPr>
        <w:t>La peticionaria también denuncia específicamente que la legislación interna sobre alienación parental genera daños y violaciones de derechos durante los procesos internos (Ley 12.318/2010). La CIDH considera que este punto también merece un análisis en la etapa sustantiva, a fin de evaluar si esta legislación ha traído efectos concretos contrarios a los estándares internacionales de derechos humanos aplicables al caso, teniendo en cuenta la obligación de adoptar disposiciones de derecho interno que son compatibles y promueven derechos</w:t>
      </w:r>
      <w:r w:rsidR="00F15957" w:rsidRPr="00FD237E">
        <w:rPr>
          <w:rFonts w:asciiTheme="majorHAnsi" w:hAnsiTheme="majorHAnsi"/>
          <w:sz w:val="20"/>
          <w:szCs w:val="20"/>
          <w:lang w:val="es-ES"/>
        </w:rPr>
        <w:t xml:space="preserve">. </w:t>
      </w:r>
    </w:p>
    <w:p w14:paraId="06AABA41" w14:textId="77777777" w:rsidR="004F479E" w:rsidRPr="00FD237E" w:rsidRDefault="004F479E" w:rsidP="00FD237E">
      <w:pPr>
        <w:pStyle w:val="ListParagraph"/>
        <w:widowControl w:val="0"/>
        <w:numPr>
          <w:ilvl w:val="0"/>
          <w:numId w:val="59"/>
        </w:numPr>
        <w:spacing w:before="240" w:after="240"/>
        <w:ind w:left="0" w:firstLine="720"/>
        <w:jc w:val="both"/>
        <w:rPr>
          <w:rFonts w:asciiTheme="majorHAnsi" w:hAnsiTheme="majorHAnsi"/>
          <w:bCs/>
          <w:sz w:val="20"/>
          <w:szCs w:val="20"/>
          <w:lang w:val="es-ES"/>
        </w:rPr>
      </w:pPr>
      <w:r w:rsidRPr="00FD237E">
        <w:rPr>
          <w:rFonts w:asciiTheme="majorHAnsi" w:hAnsiTheme="majorHAnsi"/>
          <w:sz w:val="20"/>
          <w:szCs w:val="20"/>
          <w:lang w:val="es-ES"/>
        </w:rPr>
        <w:t xml:space="preserve">En atención al expuesto, tras examinar los elementos de hecho y de derecho expuestos por las partes, la Comisión estima que las alegaciones del peticionario no resultan manifiestamente infundadas y requieren un estudio de fondo, pues los hechos alegados, de corroborarse como ciertos podrían caracterizar violaciones fundamentalmente a los artículos </w:t>
      </w:r>
      <w:r w:rsidR="001276F0" w:rsidRPr="00FD237E">
        <w:rPr>
          <w:rFonts w:asciiTheme="majorHAnsi" w:hAnsiTheme="majorHAnsi"/>
          <w:bCs/>
          <w:sz w:val="20"/>
          <w:szCs w:val="20"/>
          <w:lang w:val="es-ES"/>
        </w:rPr>
        <w:t>5 (integridad personal), 8 (garantías judiciales), 19 (derechos del niño) y 25 (protección judicial), todos relacionados con los artículos 1.1 (obligación respetar los derechos) y 2 (deber de adoptar disposiciones de derecho interno) de la Convención Americana</w:t>
      </w:r>
      <w:r w:rsidRPr="00FD237E">
        <w:rPr>
          <w:rFonts w:asciiTheme="majorHAnsi" w:hAnsiTheme="majorHAnsi"/>
          <w:bCs/>
          <w:sz w:val="20"/>
          <w:szCs w:val="20"/>
          <w:lang w:val="es-ES"/>
        </w:rPr>
        <w:t>,</w:t>
      </w:r>
      <w:r w:rsidR="001276F0" w:rsidRPr="00FD237E">
        <w:rPr>
          <w:rFonts w:asciiTheme="majorHAnsi" w:hAnsiTheme="majorHAnsi"/>
          <w:bCs/>
          <w:sz w:val="20"/>
          <w:szCs w:val="20"/>
          <w:lang w:val="es-ES"/>
        </w:rPr>
        <w:t xml:space="preserve"> y </w:t>
      </w:r>
      <w:r w:rsidRPr="00FD237E">
        <w:rPr>
          <w:rFonts w:asciiTheme="majorHAnsi" w:hAnsiTheme="majorHAnsi"/>
          <w:bCs/>
          <w:sz w:val="20"/>
          <w:szCs w:val="20"/>
          <w:lang w:val="es-ES"/>
        </w:rPr>
        <w:t>a</w:t>
      </w:r>
      <w:r w:rsidR="001276F0" w:rsidRPr="00FD237E">
        <w:rPr>
          <w:rFonts w:asciiTheme="majorHAnsi" w:hAnsiTheme="majorHAnsi"/>
          <w:bCs/>
          <w:sz w:val="20"/>
          <w:szCs w:val="20"/>
          <w:lang w:val="es-ES"/>
        </w:rPr>
        <w:t>l artículo 7 de la Convención de Belém do Pará, en perjuicio de</w:t>
      </w:r>
      <w:r w:rsidR="00D75B49" w:rsidRPr="00FD237E">
        <w:rPr>
          <w:rFonts w:asciiTheme="majorHAnsi" w:hAnsiTheme="majorHAnsi"/>
          <w:bCs/>
          <w:sz w:val="20"/>
          <w:szCs w:val="20"/>
          <w:lang w:val="es-ES"/>
        </w:rPr>
        <w:t xml:space="preserve"> </w:t>
      </w:r>
      <w:r w:rsidR="00BB3A34" w:rsidRPr="00FD237E">
        <w:rPr>
          <w:rFonts w:asciiTheme="majorHAnsi" w:hAnsiTheme="majorHAnsi"/>
          <w:bCs/>
          <w:sz w:val="20"/>
          <w:szCs w:val="20"/>
          <w:lang w:val="es-ES"/>
        </w:rPr>
        <w:t>AA y BB</w:t>
      </w:r>
      <w:r w:rsidR="001276F0" w:rsidRPr="00FD237E">
        <w:rPr>
          <w:rFonts w:asciiTheme="majorHAnsi" w:hAnsiTheme="majorHAnsi"/>
          <w:bCs/>
          <w:sz w:val="20"/>
          <w:szCs w:val="20"/>
          <w:lang w:val="es-ES"/>
        </w:rPr>
        <w:t>, en los términos del presente informe.</w:t>
      </w:r>
    </w:p>
    <w:p w14:paraId="220F9150" w14:textId="77777777" w:rsidR="00B7274E" w:rsidRDefault="004F479E" w:rsidP="00B7274E">
      <w:pPr>
        <w:pStyle w:val="ListParagraph"/>
        <w:widowControl w:val="0"/>
        <w:numPr>
          <w:ilvl w:val="0"/>
          <w:numId w:val="59"/>
        </w:numPr>
        <w:spacing w:before="240" w:after="240"/>
        <w:ind w:left="0" w:firstLine="720"/>
        <w:jc w:val="both"/>
        <w:rPr>
          <w:rFonts w:asciiTheme="majorHAnsi" w:hAnsiTheme="majorHAnsi"/>
          <w:bCs/>
          <w:sz w:val="20"/>
          <w:szCs w:val="20"/>
          <w:lang w:val="es-ES"/>
        </w:rPr>
      </w:pPr>
      <w:r w:rsidRPr="00FD237E">
        <w:rPr>
          <w:rFonts w:asciiTheme="majorHAnsi" w:hAnsiTheme="majorHAnsi"/>
          <w:bCs/>
          <w:sz w:val="20"/>
          <w:szCs w:val="20"/>
          <w:lang w:val="es-ES"/>
        </w:rPr>
        <w:t>Respecto a los demás instrumentos internacionales invocados por la peticionaria, de conformidad con el artículo 29 de la Convención Americana, la Comisión los puede tomar en cuenta para interpretar y aplicar la Convención Americana y otros instrumentos aplicables.</w:t>
      </w:r>
    </w:p>
    <w:p w14:paraId="54EC47AC" w14:textId="70D49FDC" w:rsidR="00B7274E" w:rsidRPr="00B7274E" w:rsidRDefault="00B7274E" w:rsidP="00B7274E">
      <w:pPr>
        <w:pStyle w:val="ListParagraph"/>
        <w:widowControl w:val="0"/>
        <w:numPr>
          <w:ilvl w:val="0"/>
          <w:numId w:val="59"/>
        </w:numPr>
        <w:spacing w:before="240" w:after="240"/>
        <w:ind w:left="0" w:firstLine="720"/>
        <w:jc w:val="both"/>
        <w:rPr>
          <w:rFonts w:asciiTheme="majorHAnsi" w:hAnsiTheme="majorHAnsi"/>
          <w:bCs/>
          <w:sz w:val="20"/>
          <w:szCs w:val="20"/>
          <w:lang w:val="es-ES"/>
        </w:rPr>
      </w:pPr>
      <w:r>
        <w:rPr>
          <w:rFonts w:asciiTheme="majorHAnsi" w:hAnsiTheme="majorHAnsi"/>
          <w:bCs/>
          <w:sz w:val="20"/>
          <w:szCs w:val="20"/>
          <w:lang w:val="es-ES"/>
        </w:rPr>
        <w:t xml:space="preserve">Finalmente, con respecto al argumento del Estado sobre </w:t>
      </w:r>
      <w:r w:rsidRPr="00B7274E">
        <w:rPr>
          <w:rFonts w:asciiTheme="majorHAnsi" w:hAnsiTheme="majorHAnsi"/>
          <w:bCs/>
          <w:sz w:val="20"/>
          <w:szCs w:val="20"/>
          <w:lang w:val="es-ES"/>
        </w:rPr>
        <w:t>la incompetencia de la CIDH para actuar como instancia de apelación respecto a decisiones judiciales interna</w:t>
      </w:r>
      <w:r>
        <w:rPr>
          <w:rFonts w:asciiTheme="majorHAnsi" w:hAnsiTheme="majorHAnsi"/>
          <w:bCs/>
          <w:sz w:val="20"/>
          <w:szCs w:val="20"/>
          <w:lang w:val="es-ES"/>
        </w:rPr>
        <w:t xml:space="preserve">s, </w:t>
      </w:r>
      <w:r w:rsidRPr="00B7274E">
        <w:rPr>
          <w:sz w:val="20"/>
          <w:szCs w:val="20"/>
          <w:lang w:val="es-ES_tradnl"/>
        </w:rPr>
        <w:t xml:space="preserve">la Comisión subraya el carácter complementario del sistema interamericano y resalta que, según lo ha indicado la Corte Interamericana, para que proceda una excepción de “cuarta instancia” </w:t>
      </w:r>
      <w:r w:rsidRPr="000228E7">
        <w:rPr>
          <w:sz w:val="20"/>
          <w:szCs w:val="20"/>
          <w:lang w:val="es-ES_tradnl"/>
        </w:rPr>
        <w:t>sería necesario que se “</w:t>
      </w:r>
      <w:r w:rsidRPr="000228E7">
        <w:rPr>
          <w:i/>
          <w:iCs/>
          <w:sz w:val="20"/>
          <w:szCs w:val="20"/>
          <w:lang w:val="es-ES_tradnl"/>
        </w:rPr>
        <w:t>busque que […][se]  revise el fallo de un tribunal interno en virtud de su incorrecta apreciación de la prueba, los hechos o el derecho interno, sin que, a la vez, se alegue que tal fallo incurrió en una violación de tratados internacionales [ …]</w:t>
      </w:r>
      <w:r w:rsidRPr="000228E7">
        <w:rPr>
          <w:sz w:val="20"/>
          <w:szCs w:val="20"/>
          <w:lang w:val="es-ES_tradnl"/>
        </w:rPr>
        <w:t>”</w:t>
      </w:r>
      <w:r w:rsidRPr="000228E7">
        <w:rPr>
          <w:rStyle w:val="FootnoteReference"/>
          <w:sz w:val="20"/>
          <w:szCs w:val="20"/>
          <w:lang w:val="es-ES_tradnl"/>
        </w:rPr>
        <w:footnoteReference w:id="9"/>
      </w:r>
      <w:r w:rsidRPr="000228E7">
        <w:rPr>
          <w:sz w:val="20"/>
          <w:szCs w:val="20"/>
          <w:lang w:val="es-ES_tradnl"/>
        </w:rPr>
        <w:t>.  En el presente caso, la Comisión considera que, tal como lo ha indicado la Corte Interamericana, “</w:t>
      </w:r>
      <w:r w:rsidRPr="000228E7">
        <w:rPr>
          <w:i/>
          <w:iCs/>
          <w:sz w:val="20"/>
          <w:szCs w:val="20"/>
          <w:lang w:val="es-ES_tradnl"/>
        </w:rPr>
        <w:t>[le]compete verificar si en los pasos efectivamente dados a nivel interno se violaron o no obligaciones internacionales del Estado derivadas de los instrumentos interamericanos que le otorgan competencia</w:t>
      </w:r>
      <w:r w:rsidRPr="000228E7">
        <w:rPr>
          <w:sz w:val="20"/>
          <w:szCs w:val="20"/>
          <w:lang w:val="es-ES_tradnl"/>
        </w:rPr>
        <w:t>”</w:t>
      </w:r>
      <w:r w:rsidRPr="000228E7">
        <w:rPr>
          <w:sz w:val="20"/>
          <w:szCs w:val="20"/>
          <w:vertAlign w:val="superscript"/>
        </w:rPr>
        <w:footnoteReference w:id="10"/>
      </w:r>
      <w:r w:rsidRPr="000228E7">
        <w:rPr>
          <w:sz w:val="20"/>
          <w:szCs w:val="20"/>
          <w:lang w:val="es-ES_tradnl"/>
        </w:rPr>
        <w:t>.  Asimismo, le corresponde examinar “</w:t>
      </w:r>
      <w:r w:rsidRPr="000228E7">
        <w:rPr>
          <w:i/>
          <w:iCs/>
          <w:sz w:val="20"/>
          <w:szCs w:val="20"/>
          <w:lang w:val="es-ES_tradnl"/>
        </w:rPr>
        <w:t>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Pr="000228E7">
        <w:rPr>
          <w:sz w:val="20"/>
          <w:szCs w:val="20"/>
          <w:lang w:val="es-ES_tradnl"/>
        </w:rPr>
        <w:t>”</w:t>
      </w:r>
      <w:r w:rsidRPr="000228E7">
        <w:rPr>
          <w:sz w:val="20"/>
          <w:szCs w:val="20"/>
          <w:vertAlign w:val="superscript"/>
        </w:rPr>
        <w:footnoteReference w:id="11"/>
      </w:r>
      <w:r w:rsidRPr="000228E7">
        <w:rPr>
          <w:sz w:val="20"/>
          <w:szCs w:val="20"/>
          <w:lang w:val="es-ES_tradnl"/>
        </w:rPr>
        <w:t>. En este sentido, el análisis sobre si el Estado incurrió en violaciones a la Convención Americana es una cuestión que corresponde</w:t>
      </w:r>
      <w:r w:rsidRPr="00B7274E">
        <w:rPr>
          <w:sz w:val="20"/>
          <w:szCs w:val="20"/>
          <w:lang w:val="es-ES_tradnl"/>
        </w:rPr>
        <w:t xml:space="preserve"> ser decidida en el fondo del presente asunto. </w:t>
      </w:r>
    </w:p>
    <w:p w14:paraId="40DABB4D" w14:textId="4EA69279" w:rsidR="006E3BAD" w:rsidRPr="00FD237E" w:rsidRDefault="006E3BAD" w:rsidP="00FD237E">
      <w:pPr>
        <w:pStyle w:val="ListParagraph"/>
        <w:widowControl w:val="0"/>
        <w:spacing w:before="240" w:after="240"/>
        <w:ind w:left="709"/>
        <w:jc w:val="both"/>
        <w:rPr>
          <w:rFonts w:asciiTheme="majorHAnsi" w:hAnsiTheme="majorHAnsi"/>
          <w:b/>
          <w:sz w:val="20"/>
          <w:szCs w:val="20"/>
          <w:lang w:val="es-ES"/>
        </w:rPr>
      </w:pPr>
      <w:r w:rsidRPr="00FD237E">
        <w:rPr>
          <w:rFonts w:asciiTheme="majorHAnsi" w:hAnsiTheme="majorHAnsi"/>
          <w:b/>
          <w:sz w:val="20"/>
          <w:szCs w:val="20"/>
          <w:lang w:val="es-UY"/>
        </w:rPr>
        <w:lastRenderedPageBreak/>
        <w:t xml:space="preserve">VIII. </w:t>
      </w:r>
      <w:r w:rsidRPr="00FD237E">
        <w:rPr>
          <w:rFonts w:asciiTheme="majorHAnsi" w:hAnsiTheme="majorHAnsi"/>
          <w:b/>
          <w:sz w:val="20"/>
          <w:szCs w:val="20"/>
          <w:lang w:val="es-UY"/>
        </w:rPr>
        <w:tab/>
      </w:r>
      <w:r w:rsidRPr="00FD237E">
        <w:rPr>
          <w:rFonts w:asciiTheme="majorHAnsi" w:hAnsiTheme="majorHAnsi"/>
          <w:b/>
          <w:bCs/>
          <w:sz w:val="20"/>
          <w:szCs w:val="20"/>
          <w:lang w:val="es-ES_tradnl"/>
        </w:rPr>
        <w:t>DECISIÓN</w:t>
      </w:r>
    </w:p>
    <w:p w14:paraId="0B9EBB21" w14:textId="18BBC420" w:rsidR="006C3A93" w:rsidRPr="00FD237E" w:rsidRDefault="006C3A93" w:rsidP="00FD237E">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
        </w:rPr>
      </w:pPr>
      <w:r w:rsidRPr="00FD237E">
        <w:rPr>
          <w:rFonts w:asciiTheme="majorHAnsi" w:hAnsiTheme="majorHAnsi"/>
          <w:sz w:val="20"/>
          <w:szCs w:val="20"/>
          <w:lang w:val="es-ES"/>
        </w:rPr>
        <w:t>Declarar admisible la presente petición en relación con los artículos 5, 8, 19 y 25 de la Convención Americana, en conexión con los artículos 1.1 y 2; y artículo 7 de la Convención de Belém do Pará;</w:t>
      </w:r>
      <w:r w:rsidR="00C83B77">
        <w:rPr>
          <w:rFonts w:asciiTheme="majorHAnsi" w:hAnsiTheme="majorHAnsi"/>
          <w:sz w:val="20"/>
          <w:szCs w:val="20"/>
          <w:lang w:val="es-ES"/>
        </w:rPr>
        <w:t xml:space="preserve"> y</w:t>
      </w:r>
    </w:p>
    <w:p w14:paraId="245C05A6" w14:textId="631C3D3C" w:rsidR="006E3BAD" w:rsidRDefault="006E3BAD" w:rsidP="00FD237E">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
        </w:rPr>
      </w:pPr>
      <w:r w:rsidRPr="00FD237E">
        <w:rPr>
          <w:rFonts w:asciiTheme="majorHAnsi" w:hAnsiTheme="majorHAnsi"/>
          <w:sz w:val="20"/>
          <w:szCs w:val="20"/>
          <w:lang w:val="es-ES"/>
        </w:rPr>
        <w:t>Notificar a las partes la presente decisión; continuar con el análisis del fondo de la cuestión; publicar esta decisión e incluirla en su Informe Anual a la Asamblea General de la Organización de los Estados Americanos.</w:t>
      </w:r>
    </w:p>
    <w:p w14:paraId="4B45E010" w14:textId="74CC334C" w:rsidR="00704ABC" w:rsidRDefault="00282299" w:rsidP="0028229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
        </w:rPr>
      </w:pPr>
      <w:r>
        <w:rPr>
          <w:rStyle w:val="normaltextrun"/>
          <w:rFonts w:cs="Segoe UI"/>
          <w:sz w:val="20"/>
          <w:szCs w:val="20"/>
          <w:lang w:val="es-CL"/>
        </w:rPr>
        <w:t xml:space="preserve">Aprobado por la Comisión Interamericana de Derechos Humanos a los </w:t>
      </w:r>
      <w:r w:rsidR="00AC15B4">
        <w:rPr>
          <w:rStyle w:val="normaltextrun"/>
          <w:rFonts w:cs="Segoe UI"/>
          <w:sz w:val="20"/>
          <w:szCs w:val="20"/>
          <w:lang w:val="es-CL"/>
        </w:rPr>
        <w:t>3</w:t>
      </w:r>
      <w:r>
        <w:rPr>
          <w:rStyle w:val="normaltextrun"/>
          <w:rFonts w:cs="Segoe UI"/>
          <w:sz w:val="20"/>
          <w:szCs w:val="20"/>
          <w:lang w:val="es-CL"/>
        </w:rPr>
        <w:t xml:space="preserve"> días del mes de </w:t>
      </w:r>
      <w:r w:rsidR="00AC15B4">
        <w:rPr>
          <w:rStyle w:val="normaltextrun"/>
          <w:rFonts w:cs="Segoe UI"/>
          <w:sz w:val="20"/>
          <w:szCs w:val="20"/>
          <w:lang w:val="es-CL"/>
        </w:rPr>
        <w:t>junio</w:t>
      </w:r>
      <w:r>
        <w:rPr>
          <w:rStyle w:val="normaltextrun"/>
          <w:rFonts w:cs="Segoe UI"/>
          <w:sz w:val="20"/>
          <w:szCs w:val="20"/>
          <w:lang w:val="es-CL"/>
        </w:rPr>
        <w:t xml:space="preserve"> de 2024.  (Firmado): R</w:t>
      </w:r>
      <w:r w:rsidRPr="00923259">
        <w:rPr>
          <w:rStyle w:val="normaltextrun"/>
          <w:rFonts w:cs="Segoe UI"/>
          <w:sz w:val="20"/>
          <w:szCs w:val="20"/>
          <w:lang w:val="es-CL"/>
        </w:rPr>
        <w:t>oberta Clarke</w:t>
      </w:r>
      <w:r>
        <w:rPr>
          <w:rStyle w:val="normaltextrun"/>
          <w:rFonts w:cs="Segoe UI"/>
          <w:sz w:val="20"/>
          <w:szCs w:val="20"/>
          <w:lang w:val="es-CL"/>
        </w:rPr>
        <w:t xml:space="preserve">, Presidenta; Carlos Bernal Pulido, Primer Vicepresidente; Arif Bulkan y Gloria Monique de Mees, </w:t>
      </w:r>
      <w:r w:rsidR="00080583">
        <w:rPr>
          <w:rStyle w:val="normaltextrun"/>
          <w:rFonts w:cs="Segoe UI"/>
          <w:sz w:val="20"/>
          <w:szCs w:val="20"/>
          <w:lang w:val="es-CL"/>
        </w:rPr>
        <w:t>m</w:t>
      </w:r>
      <w:r>
        <w:rPr>
          <w:rStyle w:val="normaltextrun"/>
          <w:rFonts w:cs="Segoe UI"/>
          <w:sz w:val="20"/>
          <w:szCs w:val="20"/>
          <w:lang w:val="es-CL"/>
        </w:rPr>
        <w:t xml:space="preserve">iembros de la Comisión. </w:t>
      </w:r>
      <w:r w:rsidRPr="00407104">
        <w:rPr>
          <w:rStyle w:val="eop"/>
          <w:rFonts w:cs="Segoe UI"/>
          <w:sz w:val="20"/>
          <w:szCs w:val="20"/>
          <w:lang w:val="es-ES"/>
        </w:rPr>
        <w:t> </w:t>
      </w:r>
    </w:p>
    <w:p w14:paraId="5AF0DCFC" w14:textId="77777777" w:rsidR="001B142C" w:rsidRPr="00FD237E" w:rsidRDefault="001B142C" w:rsidP="001B142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rFonts w:asciiTheme="majorHAnsi" w:hAnsiTheme="majorHAnsi"/>
          <w:sz w:val="20"/>
          <w:szCs w:val="20"/>
          <w:lang w:val="es-ES"/>
        </w:rPr>
      </w:pPr>
    </w:p>
    <w:sectPr w:rsidR="001B142C" w:rsidRPr="00FD237E" w:rsidSect="0052235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B8D2" w14:textId="77777777" w:rsidR="0058387C" w:rsidRDefault="0058387C">
      <w:r>
        <w:separator/>
      </w:r>
    </w:p>
  </w:endnote>
  <w:endnote w:type="continuationSeparator" w:id="0">
    <w:p w14:paraId="0ACC28D7" w14:textId="77777777" w:rsidR="0058387C" w:rsidRDefault="0058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76C8" w14:textId="77777777" w:rsidR="0058387C" w:rsidRPr="000F35ED" w:rsidRDefault="0058387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716651" w14:textId="77777777" w:rsidR="0058387C" w:rsidRPr="000F35ED" w:rsidRDefault="0058387C" w:rsidP="000F35ED">
      <w:pPr>
        <w:rPr>
          <w:rFonts w:asciiTheme="majorHAnsi" w:hAnsiTheme="majorHAnsi"/>
          <w:sz w:val="16"/>
          <w:szCs w:val="16"/>
        </w:rPr>
      </w:pPr>
      <w:r w:rsidRPr="000F35ED">
        <w:rPr>
          <w:rFonts w:asciiTheme="majorHAnsi" w:hAnsiTheme="majorHAnsi"/>
          <w:sz w:val="16"/>
          <w:szCs w:val="16"/>
        </w:rPr>
        <w:separator/>
      </w:r>
    </w:p>
    <w:p w14:paraId="1E6F0EA4" w14:textId="77777777" w:rsidR="0058387C" w:rsidRPr="000F35ED" w:rsidRDefault="0058387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723658" w14:textId="77777777" w:rsidR="0058387C" w:rsidRPr="000F35ED" w:rsidRDefault="0058387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97C2A3" w14:textId="4986D3C8" w:rsidR="0042145A" w:rsidRPr="00FD237E" w:rsidRDefault="0042145A" w:rsidP="0042145A">
      <w:pPr>
        <w:pStyle w:val="FootnoteText"/>
        <w:ind w:firstLine="709"/>
        <w:rPr>
          <w:rFonts w:asciiTheme="majorHAnsi" w:hAnsiTheme="majorHAnsi"/>
          <w:sz w:val="16"/>
          <w:szCs w:val="16"/>
          <w:lang w:val="es-ES"/>
        </w:rPr>
      </w:pPr>
      <w:r w:rsidRPr="00FD237E">
        <w:rPr>
          <w:rStyle w:val="FootnoteReference"/>
          <w:rFonts w:asciiTheme="majorHAnsi" w:hAnsiTheme="majorHAnsi"/>
          <w:sz w:val="16"/>
          <w:szCs w:val="16"/>
        </w:rPr>
        <w:footnoteRef/>
      </w:r>
      <w:r w:rsidRPr="00FD237E">
        <w:rPr>
          <w:rFonts w:asciiTheme="majorHAnsi" w:hAnsiTheme="majorHAnsi"/>
          <w:sz w:val="16"/>
          <w:szCs w:val="16"/>
          <w:lang w:val="es-ES"/>
        </w:rPr>
        <w:t xml:space="preserve"> En adelante “la Convención” o “la Convención Americana”.</w:t>
      </w:r>
    </w:p>
  </w:footnote>
  <w:footnote w:id="3">
    <w:p w14:paraId="4B75CED8" w14:textId="2D4A9EE2" w:rsidR="004F479E" w:rsidRPr="00FD237E" w:rsidRDefault="004F479E" w:rsidP="004F479E">
      <w:pPr>
        <w:pStyle w:val="FootnoteText"/>
        <w:ind w:firstLine="709"/>
        <w:jc w:val="both"/>
        <w:rPr>
          <w:rFonts w:asciiTheme="majorHAnsi" w:hAnsiTheme="majorHAnsi"/>
          <w:color w:val="auto"/>
          <w:sz w:val="16"/>
          <w:szCs w:val="16"/>
          <w:lang w:val="es-ES"/>
        </w:rPr>
      </w:pPr>
      <w:r w:rsidRPr="00FD237E">
        <w:rPr>
          <w:rStyle w:val="FootnoteReference"/>
          <w:rFonts w:asciiTheme="majorHAnsi" w:hAnsiTheme="majorHAnsi"/>
          <w:color w:val="auto"/>
          <w:sz w:val="16"/>
          <w:szCs w:val="16"/>
        </w:rPr>
        <w:footnoteRef/>
      </w:r>
      <w:r w:rsidR="006B3D47" w:rsidRPr="00FD237E">
        <w:rPr>
          <w:rFonts w:asciiTheme="majorHAnsi" w:hAnsiTheme="majorHAnsi"/>
          <w:bCs/>
          <w:color w:val="auto"/>
          <w:sz w:val="16"/>
          <w:szCs w:val="16"/>
          <w:lang w:val="es-ES"/>
        </w:rPr>
        <w:t xml:space="preserve"> L</w:t>
      </w:r>
      <w:r w:rsidRPr="00FD237E">
        <w:rPr>
          <w:rFonts w:asciiTheme="majorHAnsi" w:hAnsiTheme="majorHAnsi"/>
          <w:bCs/>
          <w:color w:val="auto"/>
          <w:sz w:val="16"/>
          <w:szCs w:val="16"/>
          <w:lang w:val="es-MX"/>
        </w:rPr>
        <w:t>os artículos 19, 27.1 y 39 de la Convención de las Naciones Unidas sobre los Derechos del Niño.</w:t>
      </w:r>
    </w:p>
  </w:footnote>
  <w:footnote w:id="4">
    <w:p w14:paraId="1AFEF3B0" w14:textId="05211D91" w:rsidR="008E3BFE" w:rsidRPr="00FD237E" w:rsidRDefault="008E3BFE" w:rsidP="00682D03">
      <w:pPr>
        <w:pStyle w:val="FootnoteText"/>
        <w:ind w:firstLine="709"/>
        <w:jc w:val="both"/>
        <w:rPr>
          <w:rFonts w:asciiTheme="majorHAnsi" w:hAnsiTheme="majorHAnsi"/>
          <w:color w:val="auto"/>
          <w:sz w:val="16"/>
          <w:szCs w:val="16"/>
          <w:lang w:val="es-ES"/>
        </w:rPr>
      </w:pPr>
      <w:r w:rsidRPr="00FD237E">
        <w:rPr>
          <w:rStyle w:val="FootnoteReference"/>
          <w:rFonts w:asciiTheme="majorHAnsi" w:hAnsiTheme="majorHAnsi"/>
          <w:color w:val="auto"/>
          <w:sz w:val="16"/>
          <w:szCs w:val="16"/>
        </w:rPr>
        <w:footnoteRef/>
      </w:r>
      <w:r w:rsidRPr="00FD237E">
        <w:rPr>
          <w:rFonts w:asciiTheme="majorHAnsi" w:hAnsiTheme="majorHAnsi"/>
          <w:color w:val="auto"/>
          <w:sz w:val="16"/>
          <w:szCs w:val="16"/>
          <w:lang w:val="es-ES"/>
        </w:rPr>
        <w:t xml:space="preserve"> </w:t>
      </w:r>
      <w:r w:rsidR="003444A9" w:rsidRPr="00FD237E">
        <w:rPr>
          <w:rFonts w:asciiTheme="majorHAnsi" w:hAnsiTheme="majorHAnsi"/>
          <w:color w:val="auto"/>
          <w:sz w:val="16"/>
          <w:szCs w:val="16"/>
          <w:lang w:val="es-ES"/>
        </w:rPr>
        <w:t>Las observaciones de cada parte fueron debidamente trasladadas a la parte contraria.</w:t>
      </w:r>
    </w:p>
  </w:footnote>
  <w:footnote w:id="5">
    <w:p w14:paraId="48106A80" w14:textId="23394470" w:rsidR="001238A7" w:rsidRPr="00FD237E" w:rsidRDefault="001238A7" w:rsidP="001238A7">
      <w:pPr>
        <w:pStyle w:val="FootnoteText"/>
        <w:ind w:firstLine="709"/>
        <w:jc w:val="both"/>
        <w:rPr>
          <w:rFonts w:asciiTheme="majorHAnsi" w:hAnsiTheme="majorHAnsi"/>
          <w:color w:val="auto"/>
          <w:sz w:val="16"/>
          <w:szCs w:val="16"/>
          <w:lang w:val="es-ES"/>
        </w:rPr>
      </w:pPr>
      <w:r w:rsidRPr="00FD237E">
        <w:rPr>
          <w:rStyle w:val="FootnoteReference"/>
          <w:rFonts w:asciiTheme="majorHAnsi" w:hAnsiTheme="majorHAnsi"/>
          <w:color w:val="auto"/>
          <w:sz w:val="16"/>
          <w:szCs w:val="16"/>
        </w:rPr>
        <w:footnoteRef/>
      </w:r>
      <w:r w:rsidRPr="00FD237E">
        <w:rPr>
          <w:rFonts w:asciiTheme="majorHAnsi" w:hAnsiTheme="majorHAnsi"/>
          <w:color w:val="auto"/>
          <w:sz w:val="16"/>
          <w:szCs w:val="16"/>
          <w:lang w:val="es-MX"/>
        </w:rPr>
        <w:t xml:space="preserve"> CIDH, Informe No. 169/11. Caso 12.066. Admisibilidad y Fondo. Hacienda Brasil Verde. Brasil. 3 de noviembre de 2011, párrafo 43.</w:t>
      </w:r>
    </w:p>
  </w:footnote>
  <w:footnote w:id="6">
    <w:p w14:paraId="6953EF69" w14:textId="77777777" w:rsidR="00682D03" w:rsidRPr="00FD237E" w:rsidRDefault="00682D03" w:rsidP="00682D03">
      <w:pPr>
        <w:pStyle w:val="FootnoteText"/>
        <w:ind w:firstLine="709"/>
        <w:jc w:val="both"/>
        <w:rPr>
          <w:rFonts w:asciiTheme="majorHAnsi" w:hAnsiTheme="majorHAnsi"/>
          <w:color w:val="auto"/>
          <w:sz w:val="16"/>
          <w:szCs w:val="16"/>
          <w:lang w:val="es-ES"/>
        </w:rPr>
      </w:pPr>
      <w:r w:rsidRPr="00FD237E">
        <w:rPr>
          <w:rStyle w:val="FootnoteReference"/>
          <w:rFonts w:asciiTheme="majorHAnsi" w:hAnsiTheme="majorHAnsi"/>
          <w:color w:val="auto"/>
          <w:sz w:val="16"/>
          <w:szCs w:val="16"/>
        </w:rPr>
        <w:footnoteRef/>
      </w:r>
      <w:r w:rsidRPr="00FD237E">
        <w:rPr>
          <w:rFonts w:asciiTheme="majorHAnsi" w:hAnsiTheme="majorHAnsi"/>
          <w:color w:val="auto"/>
          <w:sz w:val="16"/>
          <w:szCs w:val="16"/>
          <w:lang w:val="es-MX"/>
        </w:rPr>
        <w:t xml:space="preserve"> CIDH, Informe No. 420/21. Petición 1564-14. Admisibilidad. J.Z y S.Z. Brasil. 31 de diciembre de 2021, párrafo 19.</w:t>
      </w:r>
    </w:p>
  </w:footnote>
  <w:footnote w:id="7">
    <w:p w14:paraId="2E657936" w14:textId="0A3F0355" w:rsidR="00682D03" w:rsidRPr="00FD237E" w:rsidRDefault="00682D03" w:rsidP="00682D03">
      <w:pPr>
        <w:pStyle w:val="FootnoteText"/>
        <w:ind w:firstLine="709"/>
        <w:jc w:val="both"/>
        <w:rPr>
          <w:rFonts w:asciiTheme="majorHAnsi" w:hAnsiTheme="majorHAnsi"/>
          <w:color w:val="auto"/>
          <w:sz w:val="16"/>
          <w:szCs w:val="16"/>
          <w:lang w:val="es-ES"/>
        </w:rPr>
      </w:pPr>
      <w:r w:rsidRPr="00FD237E">
        <w:rPr>
          <w:rStyle w:val="FootnoteReference"/>
          <w:rFonts w:asciiTheme="majorHAnsi" w:hAnsiTheme="majorHAnsi"/>
          <w:color w:val="auto"/>
          <w:sz w:val="16"/>
          <w:szCs w:val="16"/>
        </w:rPr>
        <w:footnoteRef/>
      </w:r>
      <w:r w:rsidRPr="00FD237E">
        <w:rPr>
          <w:rFonts w:asciiTheme="majorHAnsi" w:hAnsiTheme="majorHAnsi"/>
          <w:color w:val="auto"/>
          <w:sz w:val="16"/>
          <w:szCs w:val="16"/>
          <w:lang w:val="es-ES"/>
        </w:rPr>
        <w:t xml:space="preserve"> Similarmente: CIDH, Informe No. 79/23. Petición 1388-14. Admisibilidad. Márcio José Sabino Pereira y familiares. Brasil. 7 de junio de 2023, párr. 12</w:t>
      </w:r>
      <w:r w:rsidR="00AB733F" w:rsidRPr="00FD237E">
        <w:rPr>
          <w:rFonts w:asciiTheme="majorHAnsi" w:hAnsiTheme="majorHAnsi"/>
          <w:color w:val="auto"/>
          <w:sz w:val="16"/>
          <w:szCs w:val="16"/>
          <w:lang w:val="es-ES"/>
        </w:rPr>
        <w:t xml:space="preserve"> (“</w:t>
      </w:r>
      <w:r w:rsidR="00AB733F" w:rsidRPr="00FD237E">
        <w:rPr>
          <w:rFonts w:asciiTheme="majorHAnsi" w:hAnsiTheme="majorHAnsi"/>
          <w:i/>
          <w:iCs/>
          <w:color w:val="auto"/>
          <w:sz w:val="16"/>
          <w:szCs w:val="16"/>
          <w:lang w:val="es-ES"/>
        </w:rPr>
        <w:t>el Ministerio Público pidió el archivamiento, que fue concedido por el Poder Judicial, y no hay ninguna disposición jurídica que permita apelar esta decisión. En consecuencia, la Comisión nota que la parte peticionaria no contaría con un medio ordinario, adecuado y eficaz para impugnar judicialmente el archivamiento. Por consiguiente, la CIDH considera oportuno aplicar en el caso de autos la excepción prevista en el artículo 46.2.a de la Convención Americana</w:t>
      </w:r>
      <w:r w:rsidR="00AB733F" w:rsidRPr="00FD237E">
        <w:rPr>
          <w:rFonts w:asciiTheme="majorHAnsi" w:hAnsiTheme="majorHAnsi"/>
          <w:color w:val="auto"/>
          <w:sz w:val="16"/>
          <w:szCs w:val="16"/>
          <w:lang w:val="es-ES"/>
        </w:rPr>
        <w:t>”)</w:t>
      </w:r>
      <w:r w:rsidRPr="00FD237E">
        <w:rPr>
          <w:rFonts w:asciiTheme="majorHAnsi" w:hAnsiTheme="majorHAnsi"/>
          <w:color w:val="auto"/>
          <w:sz w:val="16"/>
          <w:szCs w:val="16"/>
          <w:lang w:val="es-ES"/>
        </w:rPr>
        <w:t>; CIDH, Informe No. 226/20. Petición 32-07. Admisibilidad. Márcio Antônio Maia de Souza y familiares. Brasil. 6 de septiembre de 2020, párrs. 8 y 9</w:t>
      </w:r>
      <w:r w:rsidR="00AB733F" w:rsidRPr="00FD237E">
        <w:rPr>
          <w:rFonts w:asciiTheme="majorHAnsi" w:hAnsiTheme="majorHAnsi"/>
          <w:color w:val="auto"/>
          <w:sz w:val="16"/>
          <w:szCs w:val="16"/>
          <w:lang w:val="es-ES"/>
        </w:rPr>
        <w:t xml:space="preserve"> (“</w:t>
      </w:r>
      <w:r w:rsidR="00AB733F" w:rsidRPr="00FD237E">
        <w:rPr>
          <w:rFonts w:asciiTheme="majorHAnsi" w:hAnsiTheme="majorHAnsi"/>
          <w:i/>
          <w:iCs/>
          <w:color w:val="auto"/>
          <w:sz w:val="16"/>
          <w:szCs w:val="16"/>
          <w:lang w:val="es-ES"/>
        </w:rPr>
        <w:t>una vez que el Ministerio Público requirió el archivo de la investigación y este requerimiento fue concedido por el Poder Judicial, no le fue permitido a la parte peticionaria agotar otros recursos. Por lo tanto, la excepción está contenida en el artículo 46.2.b de la Convención Americana. […] Además, la Comisión observa que a los familiares de la supuesta víctima se les impidió recurrir la decisión por la cual se archivó la investigación policial y que tampoco pudieron solicitar su retiro del archivo, porque están impedidos por la legislación brasileña. En circunstancias como ésta, la Comisión considera que sin juzgar anticipadamente el mérito y como lo hizo en casos de naturaleza similar, resulta aplicable a la presente petición, la excepción al agotamiento referida en el artículo 46.2.a de la Convención Americana</w:t>
      </w:r>
      <w:r w:rsidR="00AB733F" w:rsidRPr="00FD237E">
        <w:rPr>
          <w:rFonts w:asciiTheme="majorHAnsi" w:hAnsiTheme="majorHAnsi"/>
          <w:color w:val="auto"/>
          <w:sz w:val="16"/>
          <w:szCs w:val="16"/>
          <w:lang w:val="es-ES"/>
        </w:rPr>
        <w:t>.”)</w:t>
      </w:r>
      <w:r w:rsidRPr="00FD237E">
        <w:rPr>
          <w:rFonts w:asciiTheme="majorHAnsi" w:hAnsiTheme="majorHAnsi"/>
          <w:color w:val="auto"/>
          <w:sz w:val="16"/>
          <w:szCs w:val="16"/>
          <w:lang w:val="es-ES"/>
        </w:rPr>
        <w:t>; CIDH, Informe No. 351/22. Petición 1387-12. Admisibilidad. Alberto Castillo Cruz y familiares. México. 19 de mayo de 2022, párrafos 22 a 24.</w:t>
      </w:r>
    </w:p>
  </w:footnote>
  <w:footnote w:id="8">
    <w:p w14:paraId="29742E7E" w14:textId="6FB19B0E" w:rsidR="005C2C57" w:rsidRPr="005C2C57" w:rsidRDefault="005C2C57" w:rsidP="005C2C57">
      <w:pPr>
        <w:pStyle w:val="FootnoteText"/>
        <w:ind w:firstLine="709"/>
        <w:jc w:val="both"/>
        <w:rPr>
          <w:rFonts w:asciiTheme="majorHAnsi" w:hAnsiTheme="majorHAnsi"/>
          <w:color w:val="auto"/>
          <w:sz w:val="16"/>
          <w:szCs w:val="16"/>
          <w:lang w:val="es-ES"/>
        </w:rPr>
      </w:pPr>
      <w:r w:rsidRPr="00FD237E">
        <w:rPr>
          <w:rStyle w:val="FootnoteReference"/>
          <w:rFonts w:asciiTheme="majorHAnsi" w:hAnsiTheme="majorHAnsi"/>
          <w:color w:val="auto"/>
          <w:sz w:val="16"/>
          <w:szCs w:val="16"/>
        </w:rPr>
        <w:footnoteRef/>
      </w:r>
      <w:r w:rsidRPr="00FD237E">
        <w:rPr>
          <w:rFonts w:asciiTheme="majorHAnsi" w:hAnsiTheme="majorHAnsi"/>
          <w:color w:val="auto"/>
          <w:sz w:val="16"/>
          <w:szCs w:val="16"/>
          <w:lang w:val="es-ES"/>
        </w:rPr>
        <w:t xml:space="preserve"> CIDH, Informe No. 41/07. Petición 998-05. Admisibilidad. </w:t>
      </w:r>
      <w:r w:rsidRPr="00FD237E">
        <w:rPr>
          <w:rFonts w:asciiTheme="majorHAnsi" w:hAnsiTheme="majorHAnsi"/>
          <w:color w:val="auto"/>
          <w:sz w:val="16"/>
          <w:szCs w:val="16"/>
          <w:lang w:val="pt-BR"/>
        </w:rPr>
        <w:t xml:space="preserve">Lazinho Brambilla da Silva. Brasil. </w:t>
      </w:r>
      <w:r w:rsidRPr="00FD237E">
        <w:rPr>
          <w:rFonts w:asciiTheme="majorHAnsi" w:hAnsiTheme="majorHAnsi"/>
          <w:color w:val="auto"/>
          <w:sz w:val="16"/>
          <w:szCs w:val="16"/>
          <w:lang w:val="es-ES"/>
        </w:rPr>
        <w:t>23 de junio de 2007, párrafos 74-75.</w:t>
      </w:r>
    </w:p>
  </w:footnote>
  <w:footnote w:id="9">
    <w:p w14:paraId="4EFA90D8" w14:textId="77777777" w:rsidR="00B7274E" w:rsidRPr="00A11B3B" w:rsidRDefault="00B7274E" w:rsidP="00B7274E">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10">
    <w:p w14:paraId="7D938D79" w14:textId="77777777" w:rsidR="00B7274E" w:rsidRPr="00A11B3B" w:rsidRDefault="00B7274E" w:rsidP="00B7274E">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11">
    <w:p w14:paraId="20A76773" w14:textId="77777777" w:rsidR="00B7274E" w:rsidRPr="00A11B3B" w:rsidRDefault="00B7274E" w:rsidP="00B7274E">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Palma Mendoza y otros Vs. Ecuador. Excepción Preliminar y Fondo. Sentencia de 3 de septiembre de 2012. </w:t>
      </w:r>
      <w:r w:rsidRPr="00080583">
        <w:rPr>
          <w:rFonts w:ascii="Cambria" w:hAnsi="Cambria"/>
          <w:sz w:val="16"/>
          <w:szCs w:val="16"/>
          <w:lang w:val="es-AR"/>
        </w:rPr>
        <w:t xml:space="preserve">Serie C No. 247, párr. 18; Corte IDH. Caso Rosadio Villavicencio Vs. </w:t>
      </w:r>
      <w:r w:rsidRPr="00A11B3B">
        <w:rPr>
          <w:rFonts w:ascii="Cambria" w:hAnsi="Cambria"/>
          <w:sz w:val="16"/>
          <w:szCs w:val="16"/>
          <w:lang w:val="es-ES_tradnl"/>
        </w:rPr>
        <w:t xml:space="preserve">Perú. Excepciones Preliminares, Fondo, Reparaciones y Costas. </w:t>
      </w:r>
      <w:r w:rsidRPr="00A11B3B">
        <w:rPr>
          <w:rFonts w:ascii="Cambria" w:hAnsi="Cambria"/>
          <w:sz w:val="16"/>
          <w:szCs w:val="16"/>
          <w:lang w:val="es-US"/>
        </w:rPr>
        <w:t xml:space="preserve">Sentencia de 14 de octubre de 2019. Serie C No. 388., párr. 24; </w:t>
      </w:r>
      <w:r w:rsidRPr="00A11B3B">
        <w:rPr>
          <w:rFonts w:ascii="Cambria" w:hAnsi="Cambria"/>
          <w:sz w:val="16"/>
          <w:szCs w:val="16"/>
          <w:lang w:val="es-ES_tradnl"/>
        </w:rPr>
        <w:t xml:space="preserve">Corte IDH. Caso Cabrera García y Montiel Flores Vs. México. Excepción Preliminar, Fondo, Reparaciones y Costas. </w:t>
      </w:r>
      <w:r w:rsidRPr="00A11B3B">
        <w:rPr>
          <w:rFonts w:ascii="Cambria" w:hAnsi="Cambria"/>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F093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9BCDF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13570C"/>
    <w:multiLevelType w:val="multilevel"/>
    <w:tmpl w:val="5E2AE7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6"/>
  </w:num>
  <w:num w:numId="3" w16cid:durableId="1663389590">
    <w:abstractNumId w:val="58"/>
  </w:num>
  <w:num w:numId="4" w16cid:durableId="82342866">
    <w:abstractNumId w:val="22"/>
  </w:num>
  <w:num w:numId="5" w16cid:durableId="1599026591">
    <w:abstractNumId w:val="51"/>
  </w:num>
  <w:num w:numId="6" w16cid:durableId="1795514418">
    <w:abstractNumId w:val="29"/>
  </w:num>
  <w:num w:numId="7" w16cid:durableId="396254">
    <w:abstractNumId w:val="8"/>
  </w:num>
  <w:num w:numId="8" w16cid:durableId="1302268258">
    <w:abstractNumId w:val="18"/>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2"/>
  </w:num>
  <w:num w:numId="60" w16cid:durableId="712732366">
    <w:abstractNumId w:val="35"/>
  </w:num>
  <w:num w:numId="61" w16cid:durableId="1097671741">
    <w:abstractNumId w:val="47"/>
  </w:num>
  <w:num w:numId="62" w16cid:durableId="1840730130">
    <w:abstractNumId w:val="53"/>
  </w:num>
  <w:num w:numId="63" w16cid:durableId="369187513">
    <w:abstractNumId w:val="3"/>
  </w:num>
  <w:num w:numId="64" w16cid:durableId="984119965">
    <w:abstractNumId w:val="5"/>
  </w:num>
  <w:num w:numId="65" w16cid:durableId="84110803">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9E"/>
    <w:rsid w:val="00000CDA"/>
    <w:rsid w:val="00006E1F"/>
    <w:rsid w:val="000070D7"/>
    <w:rsid w:val="000077B5"/>
    <w:rsid w:val="00007E23"/>
    <w:rsid w:val="000131C1"/>
    <w:rsid w:val="0001788C"/>
    <w:rsid w:val="000228E7"/>
    <w:rsid w:val="000337EF"/>
    <w:rsid w:val="000342AB"/>
    <w:rsid w:val="00035913"/>
    <w:rsid w:val="00040C3A"/>
    <w:rsid w:val="000419AD"/>
    <w:rsid w:val="000433C9"/>
    <w:rsid w:val="000444E7"/>
    <w:rsid w:val="00071174"/>
    <w:rsid w:val="000716C5"/>
    <w:rsid w:val="00075E23"/>
    <w:rsid w:val="00075F0F"/>
    <w:rsid w:val="00080583"/>
    <w:rsid w:val="0009344A"/>
    <w:rsid w:val="0009565B"/>
    <w:rsid w:val="000970F4"/>
    <w:rsid w:val="000A392E"/>
    <w:rsid w:val="000A3AB0"/>
    <w:rsid w:val="000A575F"/>
    <w:rsid w:val="000B66F4"/>
    <w:rsid w:val="000B7730"/>
    <w:rsid w:val="000C09E6"/>
    <w:rsid w:val="000D05CB"/>
    <w:rsid w:val="000D10DB"/>
    <w:rsid w:val="000E5EB5"/>
    <w:rsid w:val="000F35ED"/>
    <w:rsid w:val="000F3BFF"/>
    <w:rsid w:val="0010550C"/>
    <w:rsid w:val="00107131"/>
    <w:rsid w:val="0010736F"/>
    <w:rsid w:val="0011076A"/>
    <w:rsid w:val="00113F73"/>
    <w:rsid w:val="001176B4"/>
    <w:rsid w:val="00121CC2"/>
    <w:rsid w:val="001238A7"/>
    <w:rsid w:val="001276F0"/>
    <w:rsid w:val="00131425"/>
    <w:rsid w:val="00133EE5"/>
    <w:rsid w:val="001421DF"/>
    <w:rsid w:val="00165562"/>
    <w:rsid w:val="00167A34"/>
    <w:rsid w:val="00184A32"/>
    <w:rsid w:val="00186604"/>
    <w:rsid w:val="00187431"/>
    <w:rsid w:val="001A137B"/>
    <w:rsid w:val="001A520D"/>
    <w:rsid w:val="001A7870"/>
    <w:rsid w:val="001A7D7B"/>
    <w:rsid w:val="001B142C"/>
    <w:rsid w:val="001B3A00"/>
    <w:rsid w:val="001C027E"/>
    <w:rsid w:val="001C1B41"/>
    <w:rsid w:val="001D21C7"/>
    <w:rsid w:val="001D3060"/>
    <w:rsid w:val="001D65EF"/>
    <w:rsid w:val="001E15E7"/>
    <w:rsid w:val="001E296A"/>
    <w:rsid w:val="001E308A"/>
    <w:rsid w:val="001E49E7"/>
    <w:rsid w:val="001F7201"/>
    <w:rsid w:val="001F75A8"/>
    <w:rsid w:val="00217D24"/>
    <w:rsid w:val="00223A29"/>
    <w:rsid w:val="002250A3"/>
    <w:rsid w:val="00234F71"/>
    <w:rsid w:val="00235217"/>
    <w:rsid w:val="0023745E"/>
    <w:rsid w:val="00237C68"/>
    <w:rsid w:val="00246D1F"/>
    <w:rsid w:val="00247403"/>
    <w:rsid w:val="00247542"/>
    <w:rsid w:val="002636CF"/>
    <w:rsid w:val="00266B61"/>
    <w:rsid w:val="0026712A"/>
    <w:rsid w:val="002704DB"/>
    <w:rsid w:val="00275A32"/>
    <w:rsid w:val="00280B37"/>
    <w:rsid w:val="00282299"/>
    <w:rsid w:val="002A0AAE"/>
    <w:rsid w:val="002A1B80"/>
    <w:rsid w:val="002A5820"/>
    <w:rsid w:val="002B13B6"/>
    <w:rsid w:val="002B1533"/>
    <w:rsid w:val="002D2B26"/>
    <w:rsid w:val="002D7EA2"/>
    <w:rsid w:val="002E187C"/>
    <w:rsid w:val="002E47BA"/>
    <w:rsid w:val="002F3F8C"/>
    <w:rsid w:val="00302733"/>
    <w:rsid w:val="003054D1"/>
    <w:rsid w:val="00305835"/>
    <w:rsid w:val="00306F33"/>
    <w:rsid w:val="00314078"/>
    <w:rsid w:val="0031535D"/>
    <w:rsid w:val="0031604B"/>
    <w:rsid w:val="003239B8"/>
    <w:rsid w:val="00325552"/>
    <w:rsid w:val="0033169F"/>
    <w:rsid w:val="003444A9"/>
    <w:rsid w:val="00344977"/>
    <w:rsid w:val="003459D0"/>
    <w:rsid w:val="00346C95"/>
    <w:rsid w:val="00356185"/>
    <w:rsid w:val="00357C26"/>
    <w:rsid w:val="00360380"/>
    <w:rsid w:val="0037519E"/>
    <w:rsid w:val="00380295"/>
    <w:rsid w:val="00386CF0"/>
    <w:rsid w:val="003B246A"/>
    <w:rsid w:val="003B70FB"/>
    <w:rsid w:val="003C0A2F"/>
    <w:rsid w:val="003C1FCF"/>
    <w:rsid w:val="003C228D"/>
    <w:rsid w:val="003C676B"/>
    <w:rsid w:val="003D3BC2"/>
    <w:rsid w:val="003D67A9"/>
    <w:rsid w:val="003E51E9"/>
    <w:rsid w:val="003E5242"/>
    <w:rsid w:val="003E6CA1"/>
    <w:rsid w:val="003F093B"/>
    <w:rsid w:val="003F5154"/>
    <w:rsid w:val="003F5AFC"/>
    <w:rsid w:val="00405F9C"/>
    <w:rsid w:val="004065A8"/>
    <w:rsid w:val="004165C2"/>
    <w:rsid w:val="004205D0"/>
    <w:rsid w:val="0042145A"/>
    <w:rsid w:val="004241A0"/>
    <w:rsid w:val="00427B38"/>
    <w:rsid w:val="0044173D"/>
    <w:rsid w:val="00441ECB"/>
    <w:rsid w:val="00443831"/>
    <w:rsid w:val="00445193"/>
    <w:rsid w:val="00462C1B"/>
    <w:rsid w:val="00467B7E"/>
    <w:rsid w:val="00473BB4"/>
    <w:rsid w:val="00477592"/>
    <w:rsid w:val="00486F1C"/>
    <w:rsid w:val="0049419D"/>
    <w:rsid w:val="004A057B"/>
    <w:rsid w:val="004A32B0"/>
    <w:rsid w:val="004A6A54"/>
    <w:rsid w:val="004B421C"/>
    <w:rsid w:val="004C20D2"/>
    <w:rsid w:val="004C2312"/>
    <w:rsid w:val="004C4B62"/>
    <w:rsid w:val="004C54C9"/>
    <w:rsid w:val="004C7BCD"/>
    <w:rsid w:val="004D168B"/>
    <w:rsid w:val="004D2A22"/>
    <w:rsid w:val="004D4ABA"/>
    <w:rsid w:val="004D5D5E"/>
    <w:rsid w:val="004D6025"/>
    <w:rsid w:val="004E013A"/>
    <w:rsid w:val="004E2649"/>
    <w:rsid w:val="004F1840"/>
    <w:rsid w:val="004F1B17"/>
    <w:rsid w:val="004F3317"/>
    <w:rsid w:val="004F479E"/>
    <w:rsid w:val="004F626F"/>
    <w:rsid w:val="00501399"/>
    <w:rsid w:val="0050198D"/>
    <w:rsid w:val="005047ED"/>
    <w:rsid w:val="0050633D"/>
    <w:rsid w:val="00507BC4"/>
    <w:rsid w:val="005128E4"/>
    <w:rsid w:val="005133DB"/>
    <w:rsid w:val="00514504"/>
    <w:rsid w:val="005175C6"/>
    <w:rsid w:val="00521E1F"/>
    <w:rsid w:val="00522350"/>
    <w:rsid w:val="00525560"/>
    <w:rsid w:val="005308C1"/>
    <w:rsid w:val="00544C49"/>
    <w:rsid w:val="005516A1"/>
    <w:rsid w:val="0055546E"/>
    <w:rsid w:val="005559EF"/>
    <w:rsid w:val="005627DD"/>
    <w:rsid w:val="00563557"/>
    <w:rsid w:val="005702CB"/>
    <w:rsid w:val="0057402A"/>
    <w:rsid w:val="005771D0"/>
    <w:rsid w:val="005836BE"/>
    <w:rsid w:val="0058387C"/>
    <w:rsid w:val="0059191A"/>
    <w:rsid w:val="005921FF"/>
    <w:rsid w:val="005A24ED"/>
    <w:rsid w:val="005A6D0E"/>
    <w:rsid w:val="005B039F"/>
    <w:rsid w:val="005B52B0"/>
    <w:rsid w:val="005B6806"/>
    <w:rsid w:val="005C2C57"/>
    <w:rsid w:val="005C4225"/>
    <w:rsid w:val="005C6C81"/>
    <w:rsid w:val="005F0791"/>
    <w:rsid w:val="005F0DAD"/>
    <w:rsid w:val="005F0F33"/>
    <w:rsid w:val="00600DEB"/>
    <w:rsid w:val="00607D81"/>
    <w:rsid w:val="00616B00"/>
    <w:rsid w:val="0062107C"/>
    <w:rsid w:val="00627562"/>
    <w:rsid w:val="00627C9F"/>
    <w:rsid w:val="006311E9"/>
    <w:rsid w:val="00632354"/>
    <w:rsid w:val="00635421"/>
    <w:rsid w:val="00635B94"/>
    <w:rsid w:val="00642810"/>
    <w:rsid w:val="0065051C"/>
    <w:rsid w:val="00652333"/>
    <w:rsid w:val="0068009E"/>
    <w:rsid w:val="00682D03"/>
    <w:rsid w:val="00686B0D"/>
    <w:rsid w:val="00692219"/>
    <w:rsid w:val="00693EB9"/>
    <w:rsid w:val="00695320"/>
    <w:rsid w:val="006960FB"/>
    <w:rsid w:val="006A17D2"/>
    <w:rsid w:val="006A73E6"/>
    <w:rsid w:val="006B2D5C"/>
    <w:rsid w:val="006B3D47"/>
    <w:rsid w:val="006C074D"/>
    <w:rsid w:val="006C0ECF"/>
    <w:rsid w:val="006C3A93"/>
    <w:rsid w:val="006C4EB1"/>
    <w:rsid w:val="006D0A62"/>
    <w:rsid w:val="006D195E"/>
    <w:rsid w:val="006D402C"/>
    <w:rsid w:val="006E0166"/>
    <w:rsid w:val="006E0B1C"/>
    <w:rsid w:val="006E2FFB"/>
    <w:rsid w:val="006E3BAD"/>
    <w:rsid w:val="006E3F40"/>
    <w:rsid w:val="006E7B34"/>
    <w:rsid w:val="006F0092"/>
    <w:rsid w:val="006F01B9"/>
    <w:rsid w:val="00700F50"/>
    <w:rsid w:val="00704ABC"/>
    <w:rsid w:val="0070697F"/>
    <w:rsid w:val="007103C4"/>
    <w:rsid w:val="0072199C"/>
    <w:rsid w:val="00722C9F"/>
    <w:rsid w:val="00723817"/>
    <w:rsid w:val="007253B8"/>
    <w:rsid w:val="00736A6F"/>
    <w:rsid w:val="0073741F"/>
    <w:rsid w:val="007450E9"/>
    <w:rsid w:val="00751EB7"/>
    <w:rsid w:val="0076643F"/>
    <w:rsid w:val="00771587"/>
    <w:rsid w:val="00777F63"/>
    <w:rsid w:val="007928B8"/>
    <w:rsid w:val="00793F1C"/>
    <w:rsid w:val="00796041"/>
    <w:rsid w:val="007A0DC6"/>
    <w:rsid w:val="007A5817"/>
    <w:rsid w:val="007B05C4"/>
    <w:rsid w:val="007B60E9"/>
    <w:rsid w:val="007B6595"/>
    <w:rsid w:val="007B6CC3"/>
    <w:rsid w:val="007B76D3"/>
    <w:rsid w:val="007C18F9"/>
    <w:rsid w:val="007C3334"/>
    <w:rsid w:val="007C3AD2"/>
    <w:rsid w:val="007C40E2"/>
    <w:rsid w:val="007D2B98"/>
    <w:rsid w:val="007E1EE8"/>
    <w:rsid w:val="007E21BC"/>
    <w:rsid w:val="007E62F2"/>
    <w:rsid w:val="007E6888"/>
    <w:rsid w:val="007E7C82"/>
    <w:rsid w:val="007F25F4"/>
    <w:rsid w:val="007F2AA1"/>
    <w:rsid w:val="007F2D7C"/>
    <w:rsid w:val="007F588D"/>
    <w:rsid w:val="00803F1C"/>
    <w:rsid w:val="0080600E"/>
    <w:rsid w:val="00814688"/>
    <w:rsid w:val="00817612"/>
    <w:rsid w:val="008205F3"/>
    <w:rsid w:val="00825317"/>
    <w:rsid w:val="00826B4A"/>
    <w:rsid w:val="00831A0F"/>
    <w:rsid w:val="008338A4"/>
    <w:rsid w:val="00834D49"/>
    <w:rsid w:val="00837C45"/>
    <w:rsid w:val="00841CD0"/>
    <w:rsid w:val="00844730"/>
    <w:rsid w:val="008457C2"/>
    <w:rsid w:val="00847EB8"/>
    <w:rsid w:val="00857A82"/>
    <w:rsid w:val="008625D2"/>
    <w:rsid w:val="00872CBE"/>
    <w:rsid w:val="00873836"/>
    <w:rsid w:val="00874F06"/>
    <w:rsid w:val="00885737"/>
    <w:rsid w:val="00890650"/>
    <w:rsid w:val="00891715"/>
    <w:rsid w:val="008944DC"/>
    <w:rsid w:val="00895F48"/>
    <w:rsid w:val="00897E12"/>
    <w:rsid w:val="008A511F"/>
    <w:rsid w:val="008A7E0F"/>
    <w:rsid w:val="008B12F5"/>
    <w:rsid w:val="008C5E2D"/>
    <w:rsid w:val="008D23E6"/>
    <w:rsid w:val="008D768D"/>
    <w:rsid w:val="008E0EF4"/>
    <w:rsid w:val="008E2546"/>
    <w:rsid w:val="008E3759"/>
    <w:rsid w:val="008E3BFE"/>
    <w:rsid w:val="008F1912"/>
    <w:rsid w:val="009008B6"/>
    <w:rsid w:val="0090270B"/>
    <w:rsid w:val="009030AD"/>
    <w:rsid w:val="009041DC"/>
    <w:rsid w:val="00914E90"/>
    <w:rsid w:val="00917B5A"/>
    <w:rsid w:val="00920A58"/>
    <w:rsid w:val="00920A8C"/>
    <w:rsid w:val="009302DD"/>
    <w:rsid w:val="00934A2C"/>
    <w:rsid w:val="00936E4E"/>
    <w:rsid w:val="00937452"/>
    <w:rsid w:val="009445F4"/>
    <w:rsid w:val="009463E1"/>
    <w:rsid w:val="00957C0E"/>
    <w:rsid w:val="00965F26"/>
    <w:rsid w:val="0096706E"/>
    <w:rsid w:val="00974312"/>
    <w:rsid w:val="00974491"/>
    <w:rsid w:val="00975C4E"/>
    <w:rsid w:val="00981FBA"/>
    <w:rsid w:val="00982364"/>
    <w:rsid w:val="009838C1"/>
    <w:rsid w:val="00997BC5"/>
    <w:rsid w:val="009A0072"/>
    <w:rsid w:val="009A431F"/>
    <w:rsid w:val="009A4F41"/>
    <w:rsid w:val="009B381B"/>
    <w:rsid w:val="009C59C1"/>
    <w:rsid w:val="009D1753"/>
    <w:rsid w:val="009D2D7C"/>
    <w:rsid w:val="009D7611"/>
    <w:rsid w:val="009E0B61"/>
    <w:rsid w:val="009E53DE"/>
    <w:rsid w:val="009E7F46"/>
    <w:rsid w:val="00A004BB"/>
    <w:rsid w:val="00A07530"/>
    <w:rsid w:val="00A11212"/>
    <w:rsid w:val="00A11E44"/>
    <w:rsid w:val="00A30100"/>
    <w:rsid w:val="00A328B3"/>
    <w:rsid w:val="00A34797"/>
    <w:rsid w:val="00A348E6"/>
    <w:rsid w:val="00A4733F"/>
    <w:rsid w:val="00A50FCF"/>
    <w:rsid w:val="00A528D1"/>
    <w:rsid w:val="00A610CD"/>
    <w:rsid w:val="00A758AA"/>
    <w:rsid w:val="00A76E91"/>
    <w:rsid w:val="00AA09A2"/>
    <w:rsid w:val="00AA5191"/>
    <w:rsid w:val="00AA7996"/>
    <w:rsid w:val="00AB3141"/>
    <w:rsid w:val="00AB733F"/>
    <w:rsid w:val="00AC15B4"/>
    <w:rsid w:val="00AC19CB"/>
    <w:rsid w:val="00AC5EB1"/>
    <w:rsid w:val="00AE263F"/>
    <w:rsid w:val="00AE5488"/>
    <w:rsid w:val="00AE6F91"/>
    <w:rsid w:val="00AF1AF9"/>
    <w:rsid w:val="00AF5571"/>
    <w:rsid w:val="00B0247A"/>
    <w:rsid w:val="00B04C5D"/>
    <w:rsid w:val="00B05117"/>
    <w:rsid w:val="00B07341"/>
    <w:rsid w:val="00B11718"/>
    <w:rsid w:val="00B249AB"/>
    <w:rsid w:val="00B30539"/>
    <w:rsid w:val="00B314DB"/>
    <w:rsid w:val="00B34A44"/>
    <w:rsid w:val="00B361F2"/>
    <w:rsid w:val="00B3718B"/>
    <w:rsid w:val="00B3745F"/>
    <w:rsid w:val="00B4632A"/>
    <w:rsid w:val="00B50EF6"/>
    <w:rsid w:val="00B530F1"/>
    <w:rsid w:val="00B53779"/>
    <w:rsid w:val="00B56A98"/>
    <w:rsid w:val="00B7274E"/>
    <w:rsid w:val="00B77D37"/>
    <w:rsid w:val="00B83158"/>
    <w:rsid w:val="00B93D7F"/>
    <w:rsid w:val="00BA2401"/>
    <w:rsid w:val="00BA276C"/>
    <w:rsid w:val="00BA27E4"/>
    <w:rsid w:val="00BA4FDD"/>
    <w:rsid w:val="00BB019D"/>
    <w:rsid w:val="00BB306F"/>
    <w:rsid w:val="00BB3A34"/>
    <w:rsid w:val="00BB4A81"/>
    <w:rsid w:val="00BB6B26"/>
    <w:rsid w:val="00BD0FF5"/>
    <w:rsid w:val="00BD4B89"/>
    <w:rsid w:val="00BD5922"/>
    <w:rsid w:val="00BF02CB"/>
    <w:rsid w:val="00BF6FD8"/>
    <w:rsid w:val="00C00339"/>
    <w:rsid w:val="00C0259D"/>
    <w:rsid w:val="00C03680"/>
    <w:rsid w:val="00C054DF"/>
    <w:rsid w:val="00C13055"/>
    <w:rsid w:val="00C20BC2"/>
    <w:rsid w:val="00C21762"/>
    <w:rsid w:val="00C21FEF"/>
    <w:rsid w:val="00C23BA4"/>
    <w:rsid w:val="00C24543"/>
    <w:rsid w:val="00C256A2"/>
    <w:rsid w:val="00C25ADB"/>
    <w:rsid w:val="00C27CC5"/>
    <w:rsid w:val="00C47257"/>
    <w:rsid w:val="00C51515"/>
    <w:rsid w:val="00C544BB"/>
    <w:rsid w:val="00C5660B"/>
    <w:rsid w:val="00C56831"/>
    <w:rsid w:val="00C636B2"/>
    <w:rsid w:val="00C63B73"/>
    <w:rsid w:val="00C66B72"/>
    <w:rsid w:val="00C721DB"/>
    <w:rsid w:val="00C7326E"/>
    <w:rsid w:val="00C83B77"/>
    <w:rsid w:val="00C87AC4"/>
    <w:rsid w:val="00C9124E"/>
    <w:rsid w:val="00C9567A"/>
    <w:rsid w:val="00CA3D1B"/>
    <w:rsid w:val="00CB212D"/>
    <w:rsid w:val="00CB2660"/>
    <w:rsid w:val="00CB58A6"/>
    <w:rsid w:val="00CC41C7"/>
    <w:rsid w:val="00CC4A05"/>
    <w:rsid w:val="00CC543D"/>
    <w:rsid w:val="00CC5E90"/>
    <w:rsid w:val="00CC6785"/>
    <w:rsid w:val="00CD046C"/>
    <w:rsid w:val="00CD1D3B"/>
    <w:rsid w:val="00CD3251"/>
    <w:rsid w:val="00CE076C"/>
    <w:rsid w:val="00CE5199"/>
    <w:rsid w:val="00CE66D5"/>
    <w:rsid w:val="00CF637A"/>
    <w:rsid w:val="00D01312"/>
    <w:rsid w:val="00D059DE"/>
    <w:rsid w:val="00D05ABD"/>
    <w:rsid w:val="00D129C1"/>
    <w:rsid w:val="00D13FCE"/>
    <w:rsid w:val="00D306D1"/>
    <w:rsid w:val="00D30800"/>
    <w:rsid w:val="00D34786"/>
    <w:rsid w:val="00D37BFC"/>
    <w:rsid w:val="00D471A2"/>
    <w:rsid w:val="00D47A8E"/>
    <w:rsid w:val="00D52D14"/>
    <w:rsid w:val="00D712D3"/>
    <w:rsid w:val="00D71422"/>
    <w:rsid w:val="00D718B3"/>
    <w:rsid w:val="00D72DC6"/>
    <w:rsid w:val="00D7558D"/>
    <w:rsid w:val="00D75B49"/>
    <w:rsid w:val="00D80733"/>
    <w:rsid w:val="00D80A66"/>
    <w:rsid w:val="00D81D92"/>
    <w:rsid w:val="00D876F9"/>
    <w:rsid w:val="00D92F63"/>
    <w:rsid w:val="00DA3198"/>
    <w:rsid w:val="00DA7B5F"/>
    <w:rsid w:val="00DC11E7"/>
    <w:rsid w:val="00DC24E3"/>
    <w:rsid w:val="00DC7023"/>
    <w:rsid w:val="00DC769A"/>
    <w:rsid w:val="00DD3D86"/>
    <w:rsid w:val="00DD4AD2"/>
    <w:rsid w:val="00DD515C"/>
    <w:rsid w:val="00DE0A58"/>
    <w:rsid w:val="00DE2862"/>
    <w:rsid w:val="00DF1EC4"/>
    <w:rsid w:val="00DF6B57"/>
    <w:rsid w:val="00E0340B"/>
    <w:rsid w:val="00E04A90"/>
    <w:rsid w:val="00E0551F"/>
    <w:rsid w:val="00E219C7"/>
    <w:rsid w:val="00E21F44"/>
    <w:rsid w:val="00E2321A"/>
    <w:rsid w:val="00E30C7D"/>
    <w:rsid w:val="00E40E47"/>
    <w:rsid w:val="00E4118C"/>
    <w:rsid w:val="00E42404"/>
    <w:rsid w:val="00E43157"/>
    <w:rsid w:val="00E461CE"/>
    <w:rsid w:val="00E573E4"/>
    <w:rsid w:val="00E64C3D"/>
    <w:rsid w:val="00E66AFF"/>
    <w:rsid w:val="00E720CA"/>
    <w:rsid w:val="00E73C19"/>
    <w:rsid w:val="00E80F29"/>
    <w:rsid w:val="00E84EB5"/>
    <w:rsid w:val="00E85662"/>
    <w:rsid w:val="00E8789F"/>
    <w:rsid w:val="00E95F8D"/>
    <w:rsid w:val="00E97B71"/>
    <w:rsid w:val="00EA3D34"/>
    <w:rsid w:val="00EB454D"/>
    <w:rsid w:val="00EB47CD"/>
    <w:rsid w:val="00EB77C7"/>
    <w:rsid w:val="00ED2066"/>
    <w:rsid w:val="00ED2B3F"/>
    <w:rsid w:val="00ED549D"/>
    <w:rsid w:val="00ED5E10"/>
    <w:rsid w:val="00ED76BE"/>
    <w:rsid w:val="00EE00E9"/>
    <w:rsid w:val="00EE36C0"/>
    <w:rsid w:val="00EF1AAA"/>
    <w:rsid w:val="00EF619B"/>
    <w:rsid w:val="00F00B55"/>
    <w:rsid w:val="00F02AD1"/>
    <w:rsid w:val="00F15957"/>
    <w:rsid w:val="00F17870"/>
    <w:rsid w:val="00F21196"/>
    <w:rsid w:val="00F22514"/>
    <w:rsid w:val="00F253CC"/>
    <w:rsid w:val="00F36A1C"/>
    <w:rsid w:val="00F37106"/>
    <w:rsid w:val="00F44E25"/>
    <w:rsid w:val="00F468EC"/>
    <w:rsid w:val="00F519CF"/>
    <w:rsid w:val="00F553FF"/>
    <w:rsid w:val="00F56BA5"/>
    <w:rsid w:val="00F60C89"/>
    <w:rsid w:val="00F60E22"/>
    <w:rsid w:val="00F63D51"/>
    <w:rsid w:val="00F76177"/>
    <w:rsid w:val="00F80D59"/>
    <w:rsid w:val="00F81395"/>
    <w:rsid w:val="00F81BB8"/>
    <w:rsid w:val="00F8227D"/>
    <w:rsid w:val="00F90C64"/>
    <w:rsid w:val="00F917D1"/>
    <w:rsid w:val="00F9653B"/>
    <w:rsid w:val="00FA203E"/>
    <w:rsid w:val="00FB62CF"/>
    <w:rsid w:val="00FB66EE"/>
    <w:rsid w:val="00FC6219"/>
    <w:rsid w:val="00FD237E"/>
    <w:rsid w:val="00FD3C3B"/>
    <w:rsid w:val="00FD4E08"/>
    <w:rsid w:val="00FD5701"/>
    <w:rsid w:val="00FD6330"/>
    <w:rsid w:val="00FD667B"/>
    <w:rsid w:val="00FD715C"/>
    <w:rsid w:val="00FE07DD"/>
    <w:rsid w:val="00FE382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1">
    <w:name w:val="1"/>
    <w:basedOn w:val="Normal"/>
    <w:link w:val="FootnoteReference"/>
    <w:rsid w:val="008205F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4D168B"/>
  </w:style>
  <w:style w:type="character" w:styleId="CommentReference">
    <w:name w:val="annotation reference"/>
    <w:basedOn w:val="DefaultParagraphFont"/>
    <w:uiPriority w:val="99"/>
    <w:semiHidden/>
    <w:unhideWhenUsed/>
    <w:rsid w:val="00B34A44"/>
    <w:rPr>
      <w:sz w:val="16"/>
      <w:szCs w:val="16"/>
    </w:rPr>
  </w:style>
  <w:style w:type="paragraph" w:styleId="CommentText">
    <w:name w:val="annotation text"/>
    <w:basedOn w:val="Normal"/>
    <w:link w:val="CommentTextChar"/>
    <w:uiPriority w:val="99"/>
    <w:unhideWhenUsed/>
    <w:rsid w:val="00B34A44"/>
    <w:rPr>
      <w:sz w:val="20"/>
      <w:szCs w:val="20"/>
    </w:rPr>
  </w:style>
  <w:style w:type="character" w:customStyle="1" w:styleId="CommentTextChar">
    <w:name w:val="Comment Text Char"/>
    <w:basedOn w:val="DefaultParagraphFont"/>
    <w:link w:val="CommentText"/>
    <w:uiPriority w:val="99"/>
    <w:rsid w:val="00B34A44"/>
    <w:rPr>
      <w:lang w:val="en-US" w:eastAsia="en-US"/>
    </w:rPr>
  </w:style>
  <w:style w:type="paragraph" w:styleId="CommentSubject">
    <w:name w:val="annotation subject"/>
    <w:basedOn w:val="CommentText"/>
    <w:next w:val="CommentText"/>
    <w:link w:val="CommentSubjectChar"/>
    <w:uiPriority w:val="99"/>
    <w:semiHidden/>
    <w:unhideWhenUsed/>
    <w:rsid w:val="00B34A44"/>
    <w:rPr>
      <w:b/>
      <w:bCs/>
    </w:rPr>
  </w:style>
  <w:style w:type="character" w:customStyle="1" w:styleId="CommentSubjectChar">
    <w:name w:val="Comment Subject Char"/>
    <w:basedOn w:val="CommentTextChar"/>
    <w:link w:val="CommentSubject"/>
    <w:uiPriority w:val="99"/>
    <w:semiHidden/>
    <w:rsid w:val="00B34A44"/>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7274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customStyle="1" w:styleId="normaltextrun">
    <w:name w:val="normaltextrun"/>
    <w:basedOn w:val="DefaultParagraphFont"/>
    <w:rsid w:val="00282299"/>
  </w:style>
  <w:style w:type="character" w:customStyle="1" w:styleId="eop">
    <w:name w:val="eop"/>
    <w:basedOn w:val="DefaultParagraphFont"/>
    <w:rsid w:val="0028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380">
      <w:bodyDiv w:val="1"/>
      <w:marLeft w:val="0"/>
      <w:marRight w:val="0"/>
      <w:marTop w:val="0"/>
      <w:marBottom w:val="0"/>
      <w:divBdr>
        <w:top w:val="none" w:sz="0" w:space="0" w:color="auto"/>
        <w:left w:val="none" w:sz="0" w:space="0" w:color="auto"/>
        <w:bottom w:val="none" w:sz="0" w:space="0" w:color="auto"/>
        <w:right w:val="none" w:sz="0" w:space="0" w:color="auto"/>
      </w:divBdr>
    </w:div>
    <w:div w:id="358626770">
      <w:bodyDiv w:val="1"/>
      <w:marLeft w:val="0"/>
      <w:marRight w:val="0"/>
      <w:marTop w:val="0"/>
      <w:marBottom w:val="0"/>
      <w:divBdr>
        <w:top w:val="none" w:sz="0" w:space="0" w:color="auto"/>
        <w:left w:val="none" w:sz="0" w:space="0" w:color="auto"/>
        <w:bottom w:val="none" w:sz="0" w:space="0" w:color="auto"/>
        <w:right w:val="none" w:sz="0" w:space="0" w:color="auto"/>
      </w:divBdr>
    </w:div>
    <w:div w:id="47896382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62836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215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1C1"/>
    <w:rsid w:val="0008633E"/>
    <w:rsid w:val="000F266E"/>
    <w:rsid w:val="00200821"/>
    <w:rsid w:val="0025245B"/>
    <w:rsid w:val="002A3923"/>
    <w:rsid w:val="00394049"/>
    <w:rsid w:val="003B0C71"/>
    <w:rsid w:val="003F22AA"/>
    <w:rsid w:val="004B5BBB"/>
    <w:rsid w:val="004F2DF8"/>
    <w:rsid w:val="00517E2A"/>
    <w:rsid w:val="006255DD"/>
    <w:rsid w:val="006D12AA"/>
    <w:rsid w:val="006F24A1"/>
    <w:rsid w:val="007016BF"/>
    <w:rsid w:val="0081217B"/>
    <w:rsid w:val="00875B8A"/>
    <w:rsid w:val="008B75BF"/>
    <w:rsid w:val="00957046"/>
    <w:rsid w:val="009A261B"/>
    <w:rsid w:val="00AA2E17"/>
    <w:rsid w:val="00AC15A4"/>
    <w:rsid w:val="00B0336C"/>
    <w:rsid w:val="00B64DE8"/>
    <w:rsid w:val="00C600CE"/>
    <w:rsid w:val="00D241E9"/>
    <w:rsid w:val="00D7750D"/>
    <w:rsid w:val="00E32779"/>
    <w:rsid w:val="00E42404"/>
    <w:rsid w:val="00F00D2F"/>
    <w:rsid w:val="00F128DF"/>
    <w:rsid w:val="00F52A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77/24</dc:title>
  <dc:creator/>
  <cp:lastModifiedBy/>
  <cp:revision>1</cp:revision>
  <dcterms:created xsi:type="dcterms:W3CDTF">2024-08-21T15:22:00Z</dcterms:created>
  <dcterms:modified xsi:type="dcterms:W3CDTF">2024-08-21T21:56:00Z</dcterms:modified>
</cp:coreProperties>
</file>