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4F0D1B" w:rsidRDefault="00D306D1" w:rsidP="00627C9F">
      <w:pPr>
        <w:jc w:val="both"/>
        <w:rPr>
          <w:rFonts w:asciiTheme="majorHAnsi" w:hAnsiTheme="majorHAnsi" w:cs="Univers"/>
          <w:b/>
          <w:bCs/>
          <w:sz w:val="22"/>
          <w:szCs w:val="22"/>
          <w:lang w:val="es-ES_tradnl"/>
        </w:rPr>
      </w:pPr>
      <w:r w:rsidRPr="004F0D1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FC6F13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4F0D1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4F0D1B">
        <w:rPr>
          <w:rFonts w:asciiTheme="majorHAnsi" w:hAnsiTheme="majorHAnsi" w:cs="Univers"/>
          <w:b/>
          <w:bCs/>
          <w:sz w:val="22"/>
          <w:szCs w:val="22"/>
          <w:lang w:val="es-ES_tradnl"/>
        </w:rPr>
        <w:t xml:space="preserve"> </w:t>
      </w:r>
    </w:p>
    <w:p w14:paraId="751BC92D" w14:textId="77777777" w:rsidR="00040C3A" w:rsidRPr="004F0D1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4F0D1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4F0D1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4F0D1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4F0D1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4F0D1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4F0D1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4F0D1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4F0D1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4F0D1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4F0D1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4F0D1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4F0D1B" w:rsidRDefault="003D3BC2" w:rsidP="00040C3A">
      <w:pPr>
        <w:tabs>
          <w:tab w:val="center" w:pos="5400"/>
        </w:tabs>
        <w:suppressAutoHyphens/>
        <w:jc w:val="center"/>
        <w:rPr>
          <w:rFonts w:asciiTheme="majorHAnsi" w:hAnsiTheme="majorHAnsi"/>
          <w:sz w:val="22"/>
          <w:szCs w:val="22"/>
          <w:lang w:val="es-ES_tradnl"/>
        </w:rPr>
      </w:pPr>
      <w:r w:rsidRPr="004F0D1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FD906A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A627A">
                              <w:rPr>
                                <w:rFonts w:asciiTheme="majorHAnsi" w:hAnsiTheme="majorHAnsi" w:cs="Arial"/>
                                <w:b/>
                                <w:bCs/>
                                <w:color w:val="0D0D0D" w:themeColor="text1" w:themeTint="F2"/>
                                <w:sz w:val="36"/>
                                <w:szCs w:val="22"/>
                                <w:lang w:val="es-ES_tradnl"/>
                              </w:rPr>
                              <w:t>174</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EA1625">
                              <w:rPr>
                                <w:rFonts w:asciiTheme="majorHAnsi" w:hAnsiTheme="majorHAnsi" w:cs="Arial"/>
                                <w:b/>
                                <w:bCs/>
                                <w:color w:val="0D0D0D" w:themeColor="text1" w:themeTint="F2"/>
                                <w:sz w:val="36"/>
                                <w:szCs w:val="22"/>
                                <w:lang w:val="es-ES_tradnl"/>
                              </w:rPr>
                              <w:t>4</w:t>
                            </w:r>
                          </w:p>
                          <w:p w14:paraId="45F30ECA" w14:textId="3CF823E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C7901">
                              <w:rPr>
                                <w:rFonts w:asciiTheme="majorHAnsi" w:hAnsiTheme="majorHAnsi" w:cs="Arial"/>
                                <w:b/>
                                <w:color w:val="0D0D0D" w:themeColor="text1" w:themeTint="F2"/>
                                <w:sz w:val="36"/>
                                <w:szCs w:val="22"/>
                                <w:lang w:val="es-ES_tradnl"/>
                              </w:rPr>
                              <w:t>731-13</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B9F7D22" w14:textId="62C15D99" w:rsidR="005B52B0" w:rsidRDefault="00E4476F" w:rsidP="006B3E22">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MX"/>
                              </w:rPr>
                              <w:t>MIEMBROS DEL PUEBLO</w:t>
                            </w:r>
                            <w:r w:rsidR="006C7901">
                              <w:rPr>
                                <w:rFonts w:asciiTheme="majorHAnsi" w:hAnsiTheme="majorHAnsi" w:cs="Arial"/>
                                <w:color w:val="0D0D0D" w:themeColor="text1" w:themeTint="F2"/>
                                <w:szCs w:val="22"/>
                                <w:lang w:val="es-MX"/>
                              </w:rPr>
                              <w:t xml:space="preserve"> INDÍGENA AWA-GUAJÁ</w:t>
                            </w:r>
                          </w:p>
                          <w:p w14:paraId="1724503F" w14:textId="453E79D6" w:rsidR="006B3E22" w:rsidRPr="00DF6B57" w:rsidRDefault="006B3E22" w:rsidP="006B3E22">
                            <w:pPr>
                              <w:spacing w:line="276" w:lineRule="auto"/>
                              <w:rPr>
                                <w:color w:val="0D0D0D" w:themeColor="text1" w:themeTint="F2"/>
                                <w:lang w:val="es-MX"/>
                              </w:rPr>
                            </w:pPr>
                            <w:r>
                              <w:rPr>
                                <w:rFonts w:asciiTheme="majorHAnsi" w:hAnsiTheme="majorHAnsi" w:cs="Arial"/>
                                <w:color w:val="0D0D0D" w:themeColor="text1" w:themeTint="F2"/>
                                <w:szCs w:val="22"/>
                                <w:lang w:val="es-MX"/>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1FD906A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A627A">
                        <w:rPr>
                          <w:rFonts w:asciiTheme="majorHAnsi" w:hAnsiTheme="majorHAnsi" w:cs="Arial"/>
                          <w:b/>
                          <w:bCs/>
                          <w:color w:val="0D0D0D" w:themeColor="text1" w:themeTint="F2"/>
                          <w:sz w:val="36"/>
                          <w:szCs w:val="22"/>
                          <w:lang w:val="es-ES_tradnl"/>
                        </w:rPr>
                        <w:t>174</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EA1625">
                        <w:rPr>
                          <w:rFonts w:asciiTheme="majorHAnsi" w:hAnsiTheme="majorHAnsi" w:cs="Arial"/>
                          <w:b/>
                          <w:bCs/>
                          <w:color w:val="0D0D0D" w:themeColor="text1" w:themeTint="F2"/>
                          <w:sz w:val="36"/>
                          <w:szCs w:val="22"/>
                          <w:lang w:val="es-ES_tradnl"/>
                        </w:rPr>
                        <w:t>4</w:t>
                      </w:r>
                    </w:p>
                    <w:p w14:paraId="45F30ECA" w14:textId="3CF823E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C7901">
                        <w:rPr>
                          <w:rFonts w:asciiTheme="majorHAnsi" w:hAnsiTheme="majorHAnsi" w:cs="Arial"/>
                          <w:b/>
                          <w:color w:val="0D0D0D" w:themeColor="text1" w:themeTint="F2"/>
                          <w:sz w:val="36"/>
                          <w:szCs w:val="22"/>
                          <w:lang w:val="es-ES_tradnl"/>
                        </w:rPr>
                        <w:t>731-13</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B9F7D22" w14:textId="62C15D99" w:rsidR="005B52B0" w:rsidRDefault="00E4476F" w:rsidP="006B3E22">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MX"/>
                        </w:rPr>
                        <w:t>MIEMBROS DEL PUEBLO</w:t>
                      </w:r>
                      <w:r w:rsidR="006C7901">
                        <w:rPr>
                          <w:rFonts w:asciiTheme="majorHAnsi" w:hAnsiTheme="majorHAnsi" w:cs="Arial"/>
                          <w:color w:val="0D0D0D" w:themeColor="text1" w:themeTint="F2"/>
                          <w:szCs w:val="22"/>
                          <w:lang w:val="es-MX"/>
                        </w:rPr>
                        <w:t xml:space="preserve"> INDÍGENA AWA-GUAJÁ</w:t>
                      </w:r>
                    </w:p>
                    <w:p w14:paraId="1724503F" w14:textId="453E79D6" w:rsidR="006B3E22" w:rsidRPr="00DF6B57" w:rsidRDefault="006B3E22" w:rsidP="006B3E22">
                      <w:pPr>
                        <w:spacing w:line="276" w:lineRule="auto"/>
                        <w:rPr>
                          <w:color w:val="0D0D0D" w:themeColor="text1" w:themeTint="F2"/>
                          <w:lang w:val="es-MX"/>
                        </w:rPr>
                      </w:pPr>
                      <w:r>
                        <w:rPr>
                          <w:rFonts w:asciiTheme="majorHAnsi" w:hAnsiTheme="majorHAnsi" w:cs="Arial"/>
                          <w:color w:val="0D0D0D" w:themeColor="text1" w:themeTint="F2"/>
                          <w:szCs w:val="22"/>
                          <w:lang w:val="es-MX"/>
                        </w:rPr>
                        <w:t>BRASIL</w:t>
                      </w:r>
                    </w:p>
                  </w:txbxContent>
                </v:textbox>
              </v:shape>
            </w:pict>
          </mc:Fallback>
        </mc:AlternateContent>
      </w:r>
      <w:r w:rsidR="004E2649" w:rsidRPr="004F0D1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7DA0E9E" w:rsidR="00627C9F" w:rsidRPr="0080015F" w:rsidRDefault="00834D49" w:rsidP="007A5817">
                            <w:pPr>
                              <w:spacing w:line="276" w:lineRule="auto"/>
                              <w:jc w:val="right"/>
                              <w:rPr>
                                <w:rFonts w:asciiTheme="minorHAnsi" w:hAnsiTheme="minorHAnsi"/>
                                <w:color w:val="FFFFFF" w:themeColor="background1"/>
                                <w:sz w:val="22"/>
                                <w:lang w:val="es-AR"/>
                              </w:rPr>
                            </w:pPr>
                            <w:r w:rsidRPr="0080015F">
                              <w:rPr>
                                <w:rFonts w:asciiTheme="minorHAnsi" w:hAnsiTheme="minorHAnsi"/>
                                <w:color w:val="FFFFFF" w:themeColor="background1"/>
                                <w:sz w:val="22"/>
                                <w:lang w:val="es-AR"/>
                              </w:rPr>
                              <w:t>OEA/Ser.L/V/II</w:t>
                            </w:r>
                          </w:p>
                          <w:p w14:paraId="71D2D5D2" w14:textId="292FA62E" w:rsidR="00627C9F" w:rsidRPr="0080015F" w:rsidRDefault="00627C9F" w:rsidP="007A5817">
                            <w:pPr>
                              <w:spacing w:line="276" w:lineRule="auto"/>
                              <w:jc w:val="right"/>
                              <w:rPr>
                                <w:rFonts w:asciiTheme="minorHAnsi" w:hAnsiTheme="minorHAnsi"/>
                                <w:color w:val="FFFFFF" w:themeColor="background1"/>
                                <w:sz w:val="22"/>
                                <w:lang w:val="es-AR"/>
                              </w:rPr>
                            </w:pPr>
                            <w:r w:rsidRPr="0080015F">
                              <w:rPr>
                                <w:rFonts w:asciiTheme="minorHAnsi" w:hAnsiTheme="minorHAnsi"/>
                                <w:color w:val="FFFFFF" w:themeColor="background1"/>
                                <w:sz w:val="22"/>
                                <w:lang w:val="es-AR"/>
                              </w:rPr>
                              <w:t xml:space="preserve">Doc. </w:t>
                            </w:r>
                            <w:r w:rsidR="00B179F3" w:rsidRPr="0080015F">
                              <w:rPr>
                                <w:rFonts w:asciiTheme="minorHAnsi" w:hAnsiTheme="minorHAnsi"/>
                                <w:color w:val="FFFFFF" w:themeColor="background1"/>
                                <w:sz w:val="22"/>
                                <w:lang w:val="es-AR"/>
                              </w:rPr>
                              <w:t>183</w:t>
                            </w:r>
                          </w:p>
                          <w:p w14:paraId="4061DBBD" w14:textId="178E3BCB" w:rsidR="00627C9F" w:rsidRPr="00C25ADB" w:rsidRDefault="00B179F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EA1625">
                              <w:rPr>
                                <w:rFonts w:asciiTheme="minorHAnsi" w:hAnsiTheme="minorHAnsi"/>
                                <w:color w:val="FFFFFF" w:themeColor="background1"/>
                                <w:sz w:val="22"/>
                                <w:lang w:val="es-PA"/>
                              </w:rPr>
                              <w:t>4</w:t>
                            </w:r>
                          </w:p>
                          <w:p w14:paraId="0537C4A5" w14:textId="2B8A7845"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w:t>
                            </w:r>
                            <w:r w:rsidR="00DF6B57">
                              <w:rPr>
                                <w:rFonts w:asciiTheme="minorHAnsi" w:hAnsiTheme="minorHAnsi"/>
                                <w:color w:val="FFFFFF" w:themeColor="background1"/>
                                <w:sz w:val="22"/>
                                <w:lang w:val="es-PA"/>
                              </w:rPr>
                              <w:t xml:space="preserve">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7DA0E9E" w:rsidR="00627C9F" w:rsidRPr="0080015F" w:rsidRDefault="00834D49" w:rsidP="007A5817">
                      <w:pPr>
                        <w:spacing w:line="276" w:lineRule="auto"/>
                        <w:jc w:val="right"/>
                        <w:rPr>
                          <w:rFonts w:asciiTheme="minorHAnsi" w:hAnsiTheme="minorHAnsi"/>
                          <w:color w:val="FFFFFF" w:themeColor="background1"/>
                          <w:sz w:val="22"/>
                          <w:lang w:val="es-AR"/>
                        </w:rPr>
                      </w:pPr>
                      <w:r w:rsidRPr="0080015F">
                        <w:rPr>
                          <w:rFonts w:asciiTheme="minorHAnsi" w:hAnsiTheme="minorHAnsi"/>
                          <w:color w:val="FFFFFF" w:themeColor="background1"/>
                          <w:sz w:val="22"/>
                          <w:lang w:val="es-AR"/>
                        </w:rPr>
                        <w:t>OEA/Ser.L/V/II</w:t>
                      </w:r>
                    </w:p>
                    <w:p w14:paraId="71D2D5D2" w14:textId="292FA62E" w:rsidR="00627C9F" w:rsidRPr="0080015F" w:rsidRDefault="00627C9F" w:rsidP="007A5817">
                      <w:pPr>
                        <w:spacing w:line="276" w:lineRule="auto"/>
                        <w:jc w:val="right"/>
                        <w:rPr>
                          <w:rFonts w:asciiTheme="minorHAnsi" w:hAnsiTheme="minorHAnsi"/>
                          <w:color w:val="FFFFFF" w:themeColor="background1"/>
                          <w:sz w:val="22"/>
                          <w:lang w:val="es-AR"/>
                        </w:rPr>
                      </w:pPr>
                      <w:r w:rsidRPr="0080015F">
                        <w:rPr>
                          <w:rFonts w:asciiTheme="minorHAnsi" w:hAnsiTheme="minorHAnsi"/>
                          <w:color w:val="FFFFFF" w:themeColor="background1"/>
                          <w:sz w:val="22"/>
                          <w:lang w:val="es-AR"/>
                        </w:rPr>
                        <w:t xml:space="preserve">Doc. </w:t>
                      </w:r>
                      <w:r w:rsidR="00B179F3" w:rsidRPr="0080015F">
                        <w:rPr>
                          <w:rFonts w:asciiTheme="minorHAnsi" w:hAnsiTheme="minorHAnsi"/>
                          <w:color w:val="FFFFFF" w:themeColor="background1"/>
                          <w:sz w:val="22"/>
                          <w:lang w:val="es-AR"/>
                        </w:rPr>
                        <w:t>183</w:t>
                      </w:r>
                    </w:p>
                    <w:p w14:paraId="4061DBBD" w14:textId="178E3BCB" w:rsidR="00627C9F" w:rsidRPr="00C25ADB" w:rsidRDefault="00B179F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EA1625">
                        <w:rPr>
                          <w:rFonts w:asciiTheme="minorHAnsi" w:hAnsiTheme="minorHAnsi"/>
                          <w:color w:val="FFFFFF" w:themeColor="background1"/>
                          <w:sz w:val="22"/>
                          <w:lang w:val="es-PA"/>
                        </w:rPr>
                        <w:t>4</w:t>
                      </w:r>
                    </w:p>
                    <w:p w14:paraId="0537C4A5" w14:textId="2B8A7845"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w:t>
                      </w:r>
                      <w:r w:rsidR="00DF6B57">
                        <w:rPr>
                          <w:rFonts w:asciiTheme="minorHAnsi" w:hAnsiTheme="minorHAnsi"/>
                          <w:color w:val="FFFFFF" w:themeColor="background1"/>
                          <w:sz w:val="22"/>
                          <w:lang w:val="es-PA"/>
                        </w:rPr>
                        <w:t xml:space="preserve"> portugués</w:t>
                      </w:r>
                    </w:p>
                  </w:txbxContent>
                </v:textbox>
              </v:shape>
            </w:pict>
          </mc:Fallback>
        </mc:AlternateContent>
      </w:r>
    </w:p>
    <w:p w14:paraId="05E23869" w14:textId="77777777" w:rsidR="00040C3A" w:rsidRPr="004F0D1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4F0D1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4F0D1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4F0D1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4F0D1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4F0D1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4F0D1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4F0D1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4F0D1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4F0D1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4F0D1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4F0D1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4F0D1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4F0D1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4F0D1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4F0D1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4F0D1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4F0D1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4F0D1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4F0D1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4F0D1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4F0D1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4F0D1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4F0D1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4F0D1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4F0D1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4F0D1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4F0D1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4F0D1B" w:rsidRDefault="0090270B" w:rsidP="00040C3A">
      <w:pPr>
        <w:tabs>
          <w:tab w:val="center" w:pos="5400"/>
        </w:tabs>
        <w:suppressAutoHyphens/>
        <w:jc w:val="center"/>
        <w:rPr>
          <w:rFonts w:asciiTheme="majorHAnsi" w:hAnsiTheme="majorHAnsi"/>
          <w:sz w:val="18"/>
          <w:szCs w:val="22"/>
          <w:lang w:val="es-ES_tradnl"/>
        </w:rPr>
      </w:pPr>
      <w:r w:rsidRPr="004F0D1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20F240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179F3">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B179F3">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EA1625">
                              <w:rPr>
                                <w:rFonts w:asciiTheme="majorHAnsi" w:hAnsiTheme="majorHAnsi"/>
                                <w:color w:val="0D0D0D" w:themeColor="text1" w:themeTint="F2"/>
                                <w:sz w:val="18"/>
                                <w:szCs w:val="22"/>
                                <w:lang w:val="es-ES"/>
                              </w:rPr>
                              <w:t>4</w:t>
                            </w:r>
                            <w:r w:rsidR="00B179F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20F240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179F3">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B179F3">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EA1625">
                        <w:rPr>
                          <w:rFonts w:asciiTheme="majorHAnsi" w:hAnsiTheme="majorHAnsi"/>
                          <w:color w:val="0D0D0D" w:themeColor="text1" w:themeTint="F2"/>
                          <w:sz w:val="18"/>
                          <w:szCs w:val="22"/>
                          <w:lang w:val="es-ES"/>
                        </w:rPr>
                        <w:t>4</w:t>
                      </w:r>
                      <w:r w:rsidR="00B179F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4F0D1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4F0D1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4F0D1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4F0D1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4F0D1B" w:rsidRDefault="0090270B" w:rsidP="00040C3A">
      <w:pPr>
        <w:tabs>
          <w:tab w:val="center" w:pos="5400"/>
        </w:tabs>
        <w:suppressAutoHyphens/>
        <w:jc w:val="center"/>
        <w:rPr>
          <w:rFonts w:asciiTheme="majorHAnsi" w:hAnsiTheme="majorHAnsi"/>
          <w:sz w:val="18"/>
          <w:szCs w:val="22"/>
          <w:lang w:val="es-ES_tradnl"/>
        </w:rPr>
      </w:pPr>
      <w:r w:rsidRPr="004F0D1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AAC75D" w14:textId="77777777" w:rsidR="001753EC"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179F3" w:rsidRPr="001753EC">
                              <w:rPr>
                                <w:rFonts w:asciiTheme="majorHAnsi" w:hAnsiTheme="majorHAnsi"/>
                                <w:color w:val="595959" w:themeColor="text1" w:themeTint="A6"/>
                                <w:sz w:val="18"/>
                                <w:szCs w:val="18"/>
                                <w:lang w:val="pt-BR"/>
                              </w:rPr>
                              <w:t>174</w:t>
                            </w:r>
                            <w:r w:rsidR="007B05C4" w:rsidRPr="001753EC">
                              <w:rPr>
                                <w:rFonts w:asciiTheme="majorHAnsi" w:hAnsiTheme="majorHAnsi"/>
                                <w:color w:val="595959" w:themeColor="text1" w:themeTint="A6"/>
                                <w:sz w:val="18"/>
                                <w:szCs w:val="18"/>
                                <w:lang w:val="pt-BR"/>
                              </w:rPr>
                              <w:t>/</w:t>
                            </w:r>
                            <w:r w:rsidR="00B179F3" w:rsidRPr="001753EC">
                              <w:rPr>
                                <w:rFonts w:asciiTheme="majorHAnsi" w:hAnsiTheme="majorHAnsi"/>
                                <w:color w:val="595959" w:themeColor="text1" w:themeTint="A6"/>
                                <w:sz w:val="18"/>
                                <w:szCs w:val="18"/>
                                <w:lang w:val="pt-BR"/>
                              </w:rPr>
                              <w:t>24</w:t>
                            </w:r>
                            <w:r w:rsidRPr="001753E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C7901">
                              <w:rPr>
                                <w:rFonts w:asciiTheme="majorHAnsi" w:hAnsiTheme="majorHAnsi"/>
                                <w:color w:val="595959" w:themeColor="text1" w:themeTint="A6"/>
                                <w:sz w:val="18"/>
                                <w:szCs w:val="18"/>
                                <w:lang w:val="es-ES"/>
                              </w:rPr>
                              <w:t>731-13</w:t>
                            </w:r>
                            <w:r w:rsidR="00DF6B57" w:rsidRPr="00DF6B57">
                              <w:rPr>
                                <w:rFonts w:asciiTheme="majorHAnsi" w:hAnsiTheme="majorHAnsi"/>
                                <w:color w:val="595959" w:themeColor="text1" w:themeTint="A6"/>
                                <w:sz w:val="18"/>
                                <w:szCs w:val="18"/>
                                <w:lang w:val="es-ES"/>
                              </w:rPr>
                              <w:t xml:space="preserve">. Admisibilidad. </w:t>
                            </w:r>
                          </w:p>
                          <w:p w14:paraId="7FD77785" w14:textId="041D51DB" w:rsidR="00113F73" w:rsidRPr="007B05C4" w:rsidRDefault="00E4476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Miembros del p</w:t>
                            </w:r>
                            <w:r w:rsidR="006C7901">
                              <w:rPr>
                                <w:rFonts w:asciiTheme="majorHAnsi" w:hAnsiTheme="majorHAnsi"/>
                                <w:color w:val="595959" w:themeColor="text1" w:themeTint="A6"/>
                                <w:sz w:val="18"/>
                                <w:szCs w:val="18"/>
                                <w:lang w:val="es-ES"/>
                              </w:rPr>
                              <w:t>ueblo indígena Awa-Guajá</w:t>
                            </w:r>
                            <w:r w:rsidR="00113F73" w:rsidRPr="00890650">
                              <w:rPr>
                                <w:rFonts w:asciiTheme="majorHAnsi" w:hAnsiTheme="majorHAnsi"/>
                                <w:color w:val="595959" w:themeColor="text1" w:themeTint="A6"/>
                                <w:sz w:val="18"/>
                                <w:szCs w:val="18"/>
                                <w:lang w:val="es-ES_tradnl"/>
                              </w:rPr>
                              <w:t xml:space="preserve">. </w:t>
                            </w:r>
                            <w:r w:rsidR="00771587">
                              <w:rPr>
                                <w:rFonts w:asciiTheme="majorHAnsi" w:hAnsiTheme="majorHAnsi"/>
                                <w:color w:val="595959" w:themeColor="text1" w:themeTint="A6"/>
                                <w:sz w:val="18"/>
                                <w:szCs w:val="18"/>
                                <w:lang w:val="es-ES_tradnl"/>
                              </w:rPr>
                              <w:t>Brasil</w:t>
                            </w:r>
                            <w:r w:rsidR="001753EC">
                              <w:rPr>
                                <w:rFonts w:asciiTheme="majorHAnsi" w:hAnsiTheme="majorHAnsi"/>
                                <w:color w:val="595959" w:themeColor="text1" w:themeTint="A6"/>
                                <w:sz w:val="18"/>
                                <w:szCs w:val="18"/>
                                <w:lang w:val="es-ES_tradnl"/>
                              </w:rPr>
                              <w:t>.</w:t>
                            </w:r>
                            <w:r w:rsidR="00113F73" w:rsidRPr="00890650">
                              <w:rPr>
                                <w:rFonts w:asciiTheme="majorHAnsi" w:hAnsiTheme="majorHAnsi"/>
                                <w:color w:val="595959" w:themeColor="text1" w:themeTint="A6"/>
                                <w:sz w:val="18"/>
                                <w:szCs w:val="18"/>
                                <w:lang w:val="es-ES_tradnl"/>
                              </w:rPr>
                              <w:t xml:space="preserve"> </w:t>
                            </w:r>
                            <w:r w:rsidR="001753EC">
                              <w:rPr>
                                <w:rFonts w:asciiTheme="majorHAnsi" w:hAnsiTheme="majorHAnsi"/>
                                <w:color w:val="595959" w:themeColor="text1" w:themeTint="A6"/>
                                <w:sz w:val="18"/>
                                <w:szCs w:val="18"/>
                                <w:lang w:val="es-ES"/>
                              </w:rPr>
                              <w:t>18 de octubre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0AAC75D" w14:textId="77777777" w:rsidR="001753EC"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179F3" w:rsidRPr="001753EC">
                        <w:rPr>
                          <w:rFonts w:asciiTheme="majorHAnsi" w:hAnsiTheme="majorHAnsi"/>
                          <w:color w:val="595959" w:themeColor="text1" w:themeTint="A6"/>
                          <w:sz w:val="18"/>
                          <w:szCs w:val="18"/>
                          <w:lang w:val="pt-BR"/>
                        </w:rPr>
                        <w:t>174</w:t>
                      </w:r>
                      <w:r w:rsidR="007B05C4" w:rsidRPr="001753EC">
                        <w:rPr>
                          <w:rFonts w:asciiTheme="majorHAnsi" w:hAnsiTheme="majorHAnsi"/>
                          <w:color w:val="595959" w:themeColor="text1" w:themeTint="A6"/>
                          <w:sz w:val="18"/>
                          <w:szCs w:val="18"/>
                          <w:lang w:val="pt-BR"/>
                        </w:rPr>
                        <w:t>/</w:t>
                      </w:r>
                      <w:r w:rsidR="00B179F3" w:rsidRPr="001753EC">
                        <w:rPr>
                          <w:rFonts w:asciiTheme="majorHAnsi" w:hAnsiTheme="majorHAnsi"/>
                          <w:color w:val="595959" w:themeColor="text1" w:themeTint="A6"/>
                          <w:sz w:val="18"/>
                          <w:szCs w:val="18"/>
                          <w:lang w:val="pt-BR"/>
                        </w:rPr>
                        <w:t>24</w:t>
                      </w:r>
                      <w:r w:rsidRPr="001753E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C7901">
                        <w:rPr>
                          <w:rFonts w:asciiTheme="majorHAnsi" w:hAnsiTheme="majorHAnsi"/>
                          <w:color w:val="595959" w:themeColor="text1" w:themeTint="A6"/>
                          <w:sz w:val="18"/>
                          <w:szCs w:val="18"/>
                          <w:lang w:val="es-ES"/>
                        </w:rPr>
                        <w:t>731-13</w:t>
                      </w:r>
                      <w:r w:rsidR="00DF6B57" w:rsidRPr="00DF6B57">
                        <w:rPr>
                          <w:rFonts w:asciiTheme="majorHAnsi" w:hAnsiTheme="majorHAnsi"/>
                          <w:color w:val="595959" w:themeColor="text1" w:themeTint="A6"/>
                          <w:sz w:val="18"/>
                          <w:szCs w:val="18"/>
                          <w:lang w:val="es-ES"/>
                        </w:rPr>
                        <w:t xml:space="preserve">. Admisibilidad. </w:t>
                      </w:r>
                    </w:p>
                    <w:p w14:paraId="7FD77785" w14:textId="041D51DB" w:rsidR="00113F73" w:rsidRPr="007B05C4" w:rsidRDefault="00E4476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Miembros del p</w:t>
                      </w:r>
                      <w:r w:rsidR="006C7901">
                        <w:rPr>
                          <w:rFonts w:asciiTheme="majorHAnsi" w:hAnsiTheme="majorHAnsi"/>
                          <w:color w:val="595959" w:themeColor="text1" w:themeTint="A6"/>
                          <w:sz w:val="18"/>
                          <w:szCs w:val="18"/>
                          <w:lang w:val="es-ES"/>
                        </w:rPr>
                        <w:t>ueblo indígena Awa-Guajá</w:t>
                      </w:r>
                      <w:r w:rsidR="00113F73" w:rsidRPr="00890650">
                        <w:rPr>
                          <w:rFonts w:asciiTheme="majorHAnsi" w:hAnsiTheme="majorHAnsi"/>
                          <w:color w:val="595959" w:themeColor="text1" w:themeTint="A6"/>
                          <w:sz w:val="18"/>
                          <w:szCs w:val="18"/>
                          <w:lang w:val="es-ES_tradnl"/>
                        </w:rPr>
                        <w:t xml:space="preserve">. </w:t>
                      </w:r>
                      <w:r w:rsidR="00771587">
                        <w:rPr>
                          <w:rFonts w:asciiTheme="majorHAnsi" w:hAnsiTheme="majorHAnsi"/>
                          <w:color w:val="595959" w:themeColor="text1" w:themeTint="A6"/>
                          <w:sz w:val="18"/>
                          <w:szCs w:val="18"/>
                          <w:lang w:val="es-ES_tradnl"/>
                        </w:rPr>
                        <w:t>Brasil</w:t>
                      </w:r>
                      <w:r w:rsidR="001753EC">
                        <w:rPr>
                          <w:rFonts w:asciiTheme="majorHAnsi" w:hAnsiTheme="majorHAnsi"/>
                          <w:color w:val="595959" w:themeColor="text1" w:themeTint="A6"/>
                          <w:sz w:val="18"/>
                          <w:szCs w:val="18"/>
                          <w:lang w:val="es-ES_tradnl"/>
                        </w:rPr>
                        <w:t>.</w:t>
                      </w:r>
                      <w:r w:rsidR="00113F73" w:rsidRPr="00890650">
                        <w:rPr>
                          <w:rFonts w:asciiTheme="majorHAnsi" w:hAnsiTheme="majorHAnsi"/>
                          <w:color w:val="595959" w:themeColor="text1" w:themeTint="A6"/>
                          <w:sz w:val="18"/>
                          <w:szCs w:val="18"/>
                          <w:lang w:val="es-ES_tradnl"/>
                        </w:rPr>
                        <w:t xml:space="preserve"> </w:t>
                      </w:r>
                      <w:r w:rsidR="001753EC">
                        <w:rPr>
                          <w:rFonts w:asciiTheme="majorHAnsi" w:hAnsiTheme="majorHAnsi"/>
                          <w:color w:val="595959" w:themeColor="text1" w:themeTint="A6"/>
                          <w:sz w:val="18"/>
                          <w:szCs w:val="18"/>
                          <w:lang w:val="es-ES"/>
                        </w:rPr>
                        <w:t>18 de octubre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4F0D1B" w:rsidRDefault="00A50FCF" w:rsidP="00040C3A">
      <w:pPr>
        <w:tabs>
          <w:tab w:val="center" w:pos="5400"/>
        </w:tabs>
        <w:suppressAutoHyphens/>
        <w:jc w:val="center"/>
        <w:rPr>
          <w:rFonts w:asciiTheme="majorHAnsi" w:hAnsiTheme="majorHAnsi"/>
          <w:sz w:val="18"/>
          <w:szCs w:val="22"/>
          <w:lang w:val="es-ES_tradnl"/>
        </w:rPr>
      </w:pPr>
    </w:p>
    <w:p w14:paraId="0C9396CC" w14:textId="1EC54D0E" w:rsidR="0090270B" w:rsidRPr="004F0D1B" w:rsidRDefault="00D306D1" w:rsidP="005516A1">
      <w:pPr>
        <w:tabs>
          <w:tab w:val="center" w:pos="5400"/>
        </w:tabs>
        <w:suppressAutoHyphens/>
        <w:jc w:val="center"/>
        <w:rPr>
          <w:rFonts w:asciiTheme="majorHAnsi" w:hAnsiTheme="majorHAnsi"/>
          <w:b/>
          <w:sz w:val="20"/>
          <w:lang w:val="es-ES_tradnl"/>
        </w:rPr>
      </w:pPr>
      <w:r w:rsidRPr="004F0D1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6C35E15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1229E4A9" w:rsidR="0070697F" w:rsidRPr="004F0D1B" w:rsidRDefault="001E115B" w:rsidP="005516A1">
      <w:pPr>
        <w:tabs>
          <w:tab w:val="center" w:pos="5400"/>
        </w:tabs>
        <w:suppressAutoHyphens/>
        <w:jc w:val="center"/>
        <w:rPr>
          <w:rFonts w:asciiTheme="majorHAnsi" w:hAnsiTheme="majorHAnsi"/>
          <w:b/>
          <w:sz w:val="20"/>
          <w:lang w:val="es-ES_tradnl"/>
        </w:rPr>
        <w:sectPr w:rsidR="0070697F" w:rsidRPr="004F0D1B" w:rsidSect="00967D25">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4F0D1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1BC9B90">
                <wp:simplePos x="0" y="0"/>
                <wp:positionH relativeFrom="column">
                  <wp:posOffset>1320165</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43A90491" w:rsidR="00D72DC6" w:rsidRPr="00D72DC6" w:rsidRDefault="001E115B" w:rsidP="00F02AD1">
                            <w:pPr>
                              <w:rPr>
                                <w:color w:val="FFFFFF" w:themeColor="background1"/>
                                <w14:textFill>
                                  <w14:noFill/>
                                </w14:textFill>
                              </w:rPr>
                            </w:pPr>
                            <w:r>
                              <w:rPr>
                                <w:noProof/>
                                <w:color w:val="FFFFFF" w:themeColor="background1"/>
                              </w:rPr>
                              <w:drawing>
                                <wp:inline distT="0" distB="0" distL="0" distR="0" wp14:anchorId="4620F99B" wp14:editId="7A147B5C">
                                  <wp:extent cx="1824355" cy="469265"/>
                                  <wp:effectExtent l="0" t="0" r="4445" b="6985"/>
                                  <wp:docPr id="1413794037" name="Picture 14137940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1YB84&#10;4QAAAAoBAAAPAAAAZHJzL2Rvd25yZXYueG1sTI9NT4NAEIbvJv6HzZh4MXaxpFCRpTHGj6Q3S6vx&#10;tmVHILKzhN0C/nvHk95mMk/eed58M9tOjDj41pGCm0UEAqlypqVawb58ul6D8EGT0Z0jVPCNHjbF&#10;+VmuM+MmesVxF2rBIeQzraAJoc+k9FWDVvuF65H49ukGqwOvQy3NoCcOt51cRlEirW6JPzS6x4cG&#10;q6/dySr4uKrft35+PkzxKu4fX8YyfTOlUpcX8/0diIBz+IPhV5/VoWCnozuR8aJTsIzSW0YVpCl3&#10;YmC9ink4MpkkMcgil/8rFD8AAAD//wMAUEsBAi0AFAAGAAgAAAAhALaDOJL+AAAA4QEAABMAAAAA&#10;AAAAAAAAAAAAAAAAAFtDb250ZW50X1R5cGVzXS54bWxQSwECLQAUAAYACAAAACEAOP0h/9YAAACU&#10;AQAACwAAAAAAAAAAAAAAAAAvAQAAX3JlbHMvLnJlbHNQSwECLQAUAAYACAAAACEAWVqe3HoCAABs&#10;BQAADgAAAAAAAAAAAAAAAAAuAgAAZHJzL2Uyb0RvYy54bWxQSwECLQAUAAYACAAAACEAdWAfOOEA&#10;AAAKAQAADwAAAAAAAAAAAAAAAADUBAAAZHJzL2Rvd25yZXYueG1sUEsFBgAAAAAEAAQA8wAAAOIF&#10;AAAAAA==&#10;" fillcolor="white [3201]" stroked="f" strokeweight=".5pt">
                <v:textbox>
                  <w:txbxContent>
                    <w:p w14:paraId="16E85441" w14:textId="43A90491" w:rsidR="00D72DC6" w:rsidRPr="00D72DC6" w:rsidRDefault="001E115B" w:rsidP="00F02AD1">
                      <w:pPr>
                        <w:rPr>
                          <w:color w:val="FFFFFF" w:themeColor="background1"/>
                          <w14:textFill>
                            <w14:noFill/>
                          </w14:textFill>
                        </w:rPr>
                      </w:pPr>
                      <w:r>
                        <w:rPr>
                          <w:noProof/>
                          <w:color w:val="FFFFFF" w:themeColor="background1"/>
                        </w:rPr>
                        <w:drawing>
                          <wp:inline distT="0" distB="0" distL="0" distR="0" wp14:anchorId="4620F99B" wp14:editId="7A147B5C">
                            <wp:extent cx="1824355" cy="469265"/>
                            <wp:effectExtent l="0" t="0" r="4445" b="6985"/>
                            <wp:docPr id="1413794037" name="Picture 14137940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4F0D1B">
        <w:rPr>
          <w:rFonts w:asciiTheme="majorHAnsi" w:hAnsiTheme="majorHAnsi"/>
          <w:b/>
          <w:sz w:val="20"/>
          <w:lang w:val="es-ES_tradnl"/>
        </w:rPr>
        <w:tab/>
      </w:r>
    </w:p>
    <w:p w14:paraId="2786EE58" w14:textId="77777777" w:rsidR="003239B8" w:rsidRPr="004F0D1B" w:rsidRDefault="003239B8" w:rsidP="004A6A54">
      <w:pPr>
        <w:spacing w:after="240"/>
        <w:ind w:firstLine="720"/>
        <w:jc w:val="both"/>
        <w:rPr>
          <w:rFonts w:asciiTheme="majorHAnsi" w:hAnsiTheme="majorHAnsi"/>
          <w:b/>
          <w:bCs/>
          <w:sz w:val="20"/>
          <w:szCs w:val="20"/>
          <w:lang w:val="es-ES"/>
        </w:rPr>
      </w:pPr>
      <w:r w:rsidRPr="004F0D1B">
        <w:rPr>
          <w:rFonts w:asciiTheme="majorHAnsi" w:hAnsiTheme="majorHAnsi"/>
          <w:b/>
          <w:bCs/>
          <w:sz w:val="20"/>
          <w:szCs w:val="20"/>
          <w:lang w:val="es-ES"/>
        </w:rPr>
        <w:lastRenderedPageBreak/>
        <w:t>I.</w:t>
      </w:r>
      <w:r w:rsidRPr="004F0D1B">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0015F"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4F0D1B" w:rsidRDefault="003239B8" w:rsidP="008D2290">
            <w:pPr>
              <w:jc w:val="center"/>
              <w:rPr>
                <w:rFonts w:ascii="Cambria" w:hAnsi="Cambria"/>
                <w:b/>
                <w:bCs/>
                <w:color w:val="FFFFFF" w:themeColor="background1"/>
                <w:sz w:val="20"/>
                <w:szCs w:val="20"/>
              </w:rPr>
            </w:pPr>
            <w:r w:rsidRPr="004F0D1B">
              <w:rPr>
                <w:rFonts w:ascii="Cambria" w:hAnsi="Cambria"/>
                <w:b/>
                <w:bCs/>
                <w:color w:val="FFFFFF" w:themeColor="background1"/>
                <w:sz w:val="20"/>
                <w:szCs w:val="20"/>
              </w:rPr>
              <w:t>Parte peticionaria:</w:t>
            </w:r>
          </w:p>
        </w:tc>
        <w:tc>
          <w:tcPr>
            <w:tcW w:w="5760" w:type="dxa"/>
            <w:vAlign w:val="center"/>
          </w:tcPr>
          <w:p w14:paraId="07DAAE2E" w14:textId="101681C9" w:rsidR="003239B8" w:rsidRPr="004F0D1B" w:rsidRDefault="006C7901" w:rsidP="008D2290">
            <w:pPr>
              <w:jc w:val="both"/>
              <w:rPr>
                <w:rFonts w:ascii="Cambria" w:hAnsi="Cambria"/>
                <w:bCs/>
                <w:sz w:val="20"/>
                <w:szCs w:val="20"/>
                <w:lang w:val="pt-BR"/>
              </w:rPr>
            </w:pPr>
            <w:r w:rsidRPr="004F0D1B">
              <w:rPr>
                <w:rFonts w:asciiTheme="majorHAnsi" w:hAnsiTheme="majorHAnsi"/>
                <w:bCs/>
                <w:sz w:val="20"/>
                <w:szCs w:val="20"/>
                <w:lang w:val="pt-BR"/>
              </w:rPr>
              <w:t>Conselho Indigenista Missionário</w:t>
            </w:r>
            <w:r w:rsidR="00D10167" w:rsidRPr="004F0D1B">
              <w:rPr>
                <w:rFonts w:asciiTheme="majorHAnsi" w:hAnsiTheme="majorHAnsi"/>
                <w:bCs/>
                <w:sz w:val="20"/>
                <w:szCs w:val="20"/>
                <w:lang w:val="pt-BR"/>
              </w:rPr>
              <w:t xml:space="preserve"> y</w:t>
            </w:r>
            <w:r w:rsidRPr="004F0D1B">
              <w:rPr>
                <w:rFonts w:asciiTheme="majorHAnsi" w:hAnsiTheme="majorHAnsi"/>
                <w:bCs/>
                <w:sz w:val="20"/>
                <w:szCs w:val="20"/>
                <w:lang w:val="pt-BR"/>
              </w:rPr>
              <w:t xml:space="preserve"> Survival International</w:t>
            </w:r>
          </w:p>
        </w:tc>
      </w:tr>
      <w:tr w:rsidR="003239B8" w:rsidRPr="0080015F"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4F0D1B" w:rsidRDefault="00B60625" w:rsidP="008D2290">
            <w:pPr>
              <w:jc w:val="center"/>
              <w:rPr>
                <w:rFonts w:ascii="Cambria" w:hAnsi="Cambria"/>
                <w:b/>
                <w:bCs/>
                <w:color w:val="FFFFFF" w:themeColor="background1"/>
                <w:sz w:val="20"/>
                <w:szCs w:val="20"/>
                <w:lang w:val="es-PE"/>
              </w:rPr>
            </w:pPr>
            <w:sdt>
              <w:sdtPr>
                <w:rPr>
                  <w:rFonts w:ascii="Cambria" w:hAnsi="Cambria"/>
                  <w:b/>
                  <w:bCs/>
                  <w:color w:val="FFFFFF" w:themeColor="background1"/>
                  <w:sz w:val="20"/>
                  <w:szCs w:val="20"/>
                  <w:lang w:val="es-PE"/>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4F0D1B">
                  <w:rPr>
                    <w:rFonts w:ascii="Cambria" w:hAnsi="Cambria"/>
                    <w:b/>
                    <w:bCs/>
                    <w:color w:val="FFFFFF" w:themeColor="background1"/>
                    <w:sz w:val="20"/>
                    <w:szCs w:val="20"/>
                    <w:lang w:val="es-PE"/>
                  </w:rPr>
                  <w:t>Presuntas víctimas</w:t>
                </w:r>
              </w:sdtContent>
            </w:sdt>
            <w:r w:rsidR="003239B8" w:rsidRPr="004F0D1B">
              <w:rPr>
                <w:rFonts w:ascii="Cambria" w:hAnsi="Cambria"/>
                <w:b/>
                <w:bCs/>
                <w:color w:val="FFFFFF" w:themeColor="background1"/>
                <w:sz w:val="20"/>
                <w:szCs w:val="20"/>
                <w:lang w:val="es-PE"/>
              </w:rPr>
              <w:t>:</w:t>
            </w:r>
          </w:p>
        </w:tc>
        <w:tc>
          <w:tcPr>
            <w:tcW w:w="5760" w:type="dxa"/>
            <w:vAlign w:val="center"/>
          </w:tcPr>
          <w:p w14:paraId="143D44A8" w14:textId="18C78B61" w:rsidR="001D21C7" w:rsidRPr="004F0D1B" w:rsidRDefault="00E4476F" w:rsidP="00FC6219">
            <w:pPr>
              <w:jc w:val="both"/>
              <w:rPr>
                <w:rFonts w:ascii="Cambria" w:hAnsi="Cambria"/>
                <w:bCs/>
                <w:sz w:val="20"/>
                <w:szCs w:val="20"/>
                <w:lang w:val="es-PE"/>
              </w:rPr>
            </w:pPr>
            <w:r w:rsidRPr="004F0D1B">
              <w:rPr>
                <w:rFonts w:ascii="Cambria" w:hAnsi="Cambria"/>
                <w:bCs/>
                <w:sz w:val="20"/>
                <w:szCs w:val="20"/>
                <w:lang w:val="es-PE"/>
              </w:rPr>
              <w:t xml:space="preserve">Miembros del pueblo </w:t>
            </w:r>
            <w:r w:rsidR="006C7901" w:rsidRPr="004F0D1B">
              <w:rPr>
                <w:rFonts w:ascii="Cambria" w:hAnsi="Cambria"/>
                <w:bCs/>
                <w:sz w:val="20"/>
                <w:szCs w:val="20"/>
                <w:lang w:val="es-PE"/>
              </w:rPr>
              <w:t>indígena Awa-Guajá</w:t>
            </w:r>
          </w:p>
        </w:tc>
      </w:tr>
      <w:tr w:rsidR="003239B8" w:rsidRPr="004F0D1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4F0D1B" w:rsidRDefault="003239B8" w:rsidP="008D2290">
            <w:pPr>
              <w:jc w:val="center"/>
              <w:rPr>
                <w:rFonts w:ascii="Cambria" w:hAnsi="Cambria"/>
                <w:b/>
                <w:bCs/>
                <w:color w:val="FFFFFF" w:themeColor="background1"/>
                <w:sz w:val="20"/>
                <w:szCs w:val="20"/>
                <w:lang w:val="es-PE"/>
              </w:rPr>
            </w:pPr>
            <w:r w:rsidRPr="004F0D1B">
              <w:rPr>
                <w:rFonts w:ascii="Cambria" w:hAnsi="Cambria"/>
                <w:b/>
                <w:bCs/>
                <w:color w:val="FFFFFF" w:themeColor="background1"/>
                <w:sz w:val="20"/>
                <w:szCs w:val="20"/>
                <w:lang w:val="es-PE"/>
              </w:rPr>
              <w:t>Estado denunciado:</w:t>
            </w:r>
          </w:p>
        </w:tc>
        <w:tc>
          <w:tcPr>
            <w:tcW w:w="5760" w:type="dxa"/>
            <w:vAlign w:val="center"/>
          </w:tcPr>
          <w:p w14:paraId="5D0EC05D" w14:textId="2EAEE1E0" w:rsidR="003239B8" w:rsidRPr="004F0D1B" w:rsidRDefault="00771587" w:rsidP="008D2290">
            <w:pPr>
              <w:jc w:val="both"/>
              <w:rPr>
                <w:rFonts w:ascii="Cambria" w:hAnsi="Cambria"/>
                <w:bCs/>
                <w:sz w:val="20"/>
                <w:szCs w:val="20"/>
                <w:lang w:val="es-PE"/>
              </w:rPr>
            </w:pPr>
            <w:r w:rsidRPr="004F0D1B">
              <w:rPr>
                <w:rFonts w:ascii="Cambria" w:hAnsi="Cambria"/>
                <w:bCs/>
                <w:sz w:val="20"/>
                <w:szCs w:val="20"/>
                <w:lang w:val="es-PE"/>
              </w:rPr>
              <w:t>Brasil</w:t>
            </w:r>
          </w:p>
        </w:tc>
      </w:tr>
      <w:tr w:rsidR="00223A29" w:rsidRPr="0080015F"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6C74C18D" w:rsidR="00223A29" w:rsidRPr="004F0D1B" w:rsidRDefault="001B3A00" w:rsidP="00E4118C">
            <w:pPr>
              <w:jc w:val="center"/>
              <w:rPr>
                <w:rFonts w:ascii="Cambria" w:hAnsi="Cambria"/>
                <w:b/>
                <w:bCs/>
                <w:color w:val="FFFFFF" w:themeColor="background1"/>
                <w:sz w:val="20"/>
                <w:szCs w:val="20"/>
                <w:lang w:val="es-PE"/>
              </w:rPr>
            </w:pPr>
            <w:r w:rsidRPr="004F0D1B">
              <w:rPr>
                <w:rFonts w:ascii="Cambria" w:hAnsi="Cambria"/>
                <w:b/>
                <w:bCs/>
                <w:color w:val="FFFFFF" w:themeColor="background1"/>
                <w:sz w:val="20"/>
                <w:szCs w:val="20"/>
                <w:lang w:val="es-PE"/>
              </w:rPr>
              <w:t xml:space="preserve">Derechos </w:t>
            </w:r>
            <w:r w:rsidR="00E4118C" w:rsidRPr="004F0D1B">
              <w:rPr>
                <w:rFonts w:ascii="Cambria" w:hAnsi="Cambria"/>
                <w:b/>
                <w:bCs/>
                <w:color w:val="FFFFFF" w:themeColor="background1"/>
                <w:sz w:val="20"/>
                <w:szCs w:val="20"/>
                <w:lang w:val="es-PE"/>
              </w:rPr>
              <w:t>invocados</w:t>
            </w:r>
            <w:r w:rsidR="00761458" w:rsidRPr="004F0D1B">
              <w:rPr>
                <w:rStyle w:val="FootnoteReference"/>
                <w:rFonts w:ascii="Cambria" w:hAnsi="Cambria"/>
                <w:b/>
                <w:bCs/>
                <w:color w:val="FFFFFF" w:themeColor="background1"/>
                <w:sz w:val="20"/>
                <w:szCs w:val="20"/>
                <w:lang w:val="es-PE"/>
              </w:rPr>
              <w:footnoteReference w:id="2"/>
            </w:r>
            <w:r w:rsidRPr="004F0D1B">
              <w:rPr>
                <w:rFonts w:ascii="Cambria" w:hAnsi="Cambria"/>
                <w:b/>
                <w:bCs/>
                <w:color w:val="FFFFFF" w:themeColor="background1"/>
                <w:sz w:val="20"/>
                <w:szCs w:val="20"/>
                <w:lang w:val="es-PE"/>
              </w:rPr>
              <w:t>:</w:t>
            </w:r>
          </w:p>
        </w:tc>
        <w:tc>
          <w:tcPr>
            <w:tcW w:w="5760" w:type="dxa"/>
            <w:vAlign w:val="center"/>
          </w:tcPr>
          <w:p w14:paraId="52B28392" w14:textId="79CE72D0" w:rsidR="00F7289E" w:rsidRPr="004F0D1B" w:rsidRDefault="00F7289E" w:rsidP="008D2290">
            <w:pPr>
              <w:jc w:val="both"/>
              <w:rPr>
                <w:rFonts w:ascii="Cambria" w:hAnsi="Cambria"/>
                <w:bCs/>
                <w:sz w:val="20"/>
                <w:szCs w:val="20"/>
                <w:lang w:val="es-PE"/>
              </w:rPr>
            </w:pPr>
            <w:r w:rsidRPr="004F0D1B">
              <w:rPr>
                <w:rFonts w:ascii="Cambria" w:hAnsi="Cambria"/>
                <w:bCs/>
                <w:sz w:val="20"/>
                <w:szCs w:val="20"/>
                <w:lang w:val="es-PE"/>
              </w:rPr>
              <w:t>Artículos</w:t>
            </w:r>
            <w:r w:rsidR="006C7901" w:rsidRPr="004F0D1B">
              <w:rPr>
                <w:rFonts w:ascii="Cambria" w:hAnsi="Cambria"/>
                <w:bCs/>
                <w:sz w:val="20"/>
                <w:szCs w:val="20"/>
                <w:lang w:val="es-PE"/>
              </w:rPr>
              <w:t xml:space="preserve"> 4 (vida),</w:t>
            </w:r>
            <w:r w:rsidRPr="004F0D1B">
              <w:rPr>
                <w:rFonts w:ascii="Cambria" w:hAnsi="Cambria"/>
                <w:bCs/>
                <w:sz w:val="20"/>
                <w:szCs w:val="20"/>
                <w:lang w:val="es-PE"/>
              </w:rPr>
              <w:t xml:space="preserve"> 8 (garantías judiciales),</w:t>
            </w:r>
            <w:r w:rsidR="006C7901" w:rsidRPr="004F0D1B">
              <w:rPr>
                <w:rFonts w:ascii="Cambria" w:hAnsi="Cambria"/>
                <w:bCs/>
                <w:sz w:val="20"/>
                <w:szCs w:val="20"/>
                <w:lang w:val="es-PE"/>
              </w:rPr>
              <w:t xml:space="preserve"> 21 (propiedad),</w:t>
            </w:r>
            <w:r w:rsidRPr="004F0D1B">
              <w:rPr>
                <w:rFonts w:ascii="Cambria" w:hAnsi="Cambria"/>
                <w:bCs/>
                <w:sz w:val="20"/>
                <w:szCs w:val="20"/>
                <w:lang w:val="es-PE"/>
              </w:rPr>
              <w:t xml:space="preserve"> 25 (protección judicial)</w:t>
            </w:r>
            <w:r w:rsidR="006C7901" w:rsidRPr="004F0D1B">
              <w:rPr>
                <w:rFonts w:ascii="Cambria" w:hAnsi="Cambria"/>
                <w:bCs/>
                <w:sz w:val="20"/>
                <w:szCs w:val="20"/>
                <w:lang w:val="es-PE"/>
              </w:rPr>
              <w:t xml:space="preserve"> y 26 (derechos económicos, sociales y culturales)</w:t>
            </w:r>
            <w:r w:rsidRPr="004F0D1B">
              <w:rPr>
                <w:rFonts w:ascii="Cambria" w:hAnsi="Cambria"/>
                <w:bCs/>
                <w:sz w:val="20"/>
                <w:szCs w:val="20"/>
                <w:lang w:val="es-PE"/>
              </w:rPr>
              <w:t xml:space="preserve"> de la Convención Americana</w:t>
            </w:r>
            <w:r w:rsidR="00605AC0" w:rsidRPr="004F0D1B">
              <w:rPr>
                <w:rFonts w:ascii="Cambria" w:hAnsi="Cambria"/>
                <w:bCs/>
                <w:sz w:val="20"/>
                <w:szCs w:val="20"/>
                <w:lang w:val="es-PE"/>
              </w:rPr>
              <w:t xml:space="preserve"> sobre Derechos Humanos</w:t>
            </w:r>
            <w:r w:rsidR="00605AC0" w:rsidRPr="004F0D1B">
              <w:rPr>
                <w:rFonts w:ascii="Cambria" w:hAnsi="Cambria"/>
                <w:sz w:val="20"/>
                <w:szCs w:val="20"/>
                <w:vertAlign w:val="superscript"/>
                <w:lang w:val="es-PE"/>
              </w:rPr>
              <w:footnoteReference w:id="3"/>
            </w:r>
          </w:p>
        </w:tc>
      </w:tr>
    </w:tbl>
    <w:p w14:paraId="176FB213" w14:textId="77777777" w:rsidR="003239B8" w:rsidRPr="004F0D1B" w:rsidRDefault="003239B8" w:rsidP="003239B8">
      <w:pPr>
        <w:spacing w:before="240" w:after="240"/>
        <w:ind w:firstLine="720"/>
        <w:jc w:val="both"/>
        <w:rPr>
          <w:rFonts w:asciiTheme="majorHAnsi" w:hAnsiTheme="majorHAnsi"/>
          <w:b/>
          <w:bCs/>
          <w:sz w:val="20"/>
          <w:szCs w:val="20"/>
          <w:lang w:val="es-ES"/>
        </w:rPr>
      </w:pPr>
      <w:r w:rsidRPr="004F0D1B">
        <w:rPr>
          <w:rFonts w:asciiTheme="majorHAnsi" w:hAnsiTheme="majorHAnsi"/>
          <w:b/>
          <w:bCs/>
          <w:sz w:val="20"/>
          <w:szCs w:val="20"/>
          <w:lang w:val="es-ES"/>
        </w:rPr>
        <w:t>II.</w:t>
      </w:r>
      <w:r w:rsidRPr="004F0D1B">
        <w:rPr>
          <w:rFonts w:asciiTheme="majorHAnsi" w:hAnsiTheme="majorHAnsi"/>
          <w:b/>
          <w:bCs/>
          <w:sz w:val="20"/>
          <w:szCs w:val="20"/>
          <w:lang w:val="es-ES"/>
        </w:rPr>
        <w:tab/>
        <w:t>TRÁMITE ANTE LA CIDH</w:t>
      </w:r>
      <w:r w:rsidR="008E3BFE" w:rsidRPr="004F0D1B">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F0D1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4F0D1B" w:rsidRDefault="004A6A54" w:rsidP="004A6A54">
            <w:pPr>
              <w:jc w:val="center"/>
              <w:rPr>
                <w:rFonts w:ascii="Cambria" w:hAnsi="Cambria"/>
                <w:b/>
                <w:bCs/>
                <w:color w:val="FFFFFF" w:themeColor="background1"/>
                <w:sz w:val="20"/>
                <w:szCs w:val="20"/>
                <w:lang w:val="es-ES"/>
              </w:rPr>
            </w:pPr>
            <w:r w:rsidRPr="004F0D1B">
              <w:rPr>
                <w:rFonts w:ascii="Cambria" w:hAnsi="Cambria"/>
                <w:b/>
                <w:bCs/>
                <w:color w:val="FFFFFF" w:themeColor="background1"/>
                <w:sz w:val="20"/>
                <w:szCs w:val="20"/>
                <w:lang w:val="es-ES"/>
              </w:rPr>
              <w:t>P</w:t>
            </w:r>
            <w:r w:rsidR="004C2312" w:rsidRPr="004F0D1B">
              <w:rPr>
                <w:rFonts w:ascii="Cambria" w:hAnsi="Cambria"/>
                <w:b/>
                <w:bCs/>
                <w:color w:val="FFFFFF" w:themeColor="background1"/>
                <w:sz w:val="20"/>
                <w:szCs w:val="20"/>
                <w:lang w:val="es-ES"/>
              </w:rPr>
              <w:t>resentación de la petición:</w:t>
            </w:r>
          </w:p>
        </w:tc>
        <w:tc>
          <w:tcPr>
            <w:tcW w:w="5760" w:type="dxa"/>
            <w:vAlign w:val="center"/>
          </w:tcPr>
          <w:p w14:paraId="6883A5F8" w14:textId="65362501" w:rsidR="004C2312" w:rsidRPr="004F0D1B" w:rsidRDefault="006C7901" w:rsidP="002625EA">
            <w:pPr>
              <w:jc w:val="both"/>
              <w:rPr>
                <w:rFonts w:ascii="Cambria" w:hAnsi="Cambria"/>
                <w:bCs/>
                <w:sz w:val="20"/>
                <w:szCs w:val="20"/>
                <w:lang w:val="es-ES"/>
              </w:rPr>
            </w:pPr>
            <w:r w:rsidRPr="004F0D1B">
              <w:rPr>
                <w:rFonts w:ascii="Cambria" w:hAnsi="Cambria"/>
                <w:bCs/>
                <w:sz w:val="20"/>
                <w:szCs w:val="20"/>
                <w:lang w:val="pt-BR"/>
              </w:rPr>
              <w:t>6 de mayo de 2013</w:t>
            </w:r>
          </w:p>
        </w:tc>
      </w:tr>
      <w:tr w:rsidR="001D21C7" w:rsidRPr="004F0D1B" w14:paraId="54F62341" w14:textId="77777777" w:rsidTr="004A6A54">
        <w:tc>
          <w:tcPr>
            <w:tcW w:w="3600" w:type="dxa"/>
            <w:tcBorders>
              <w:top w:val="single" w:sz="6" w:space="0" w:color="auto"/>
              <w:bottom w:val="single" w:sz="6" w:space="0" w:color="auto"/>
            </w:tcBorders>
            <w:shd w:val="clear" w:color="auto" w:fill="386294"/>
            <w:vAlign w:val="center"/>
          </w:tcPr>
          <w:p w14:paraId="48CC6F04" w14:textId="1DAB0FD4" w:rsidR="001D21C7" w:rsidRPr="004F0D1B" w:rsidRDefault="006B3E22" w:rsidP="001D21C7">
            <w:pPr>
              <w:jc w:val="center"/>
              <w:rPr>
                <w:rFonts w:ascii="Cambria" w:hAnsi="Cambria"/>
                <w:b/>
                <w:bCs/>
                <w:color w:val="FFFFFF" w:themeColor="background1"/>
                <w:sz w:val="20"/>
                <w:szCs w:val="20"/>
                <w:lang w:val="es-ES"/>
              </w:rPr>
            </w:pPr>
            <w:r w:rsidRPr="004F0D1B">
              <w:rPr>
                <w:rFonts w:ascii="Cambria" w:hAnsi="Cambria"/>
                <w:b/>
                <w:color w:val="FFFFFF" w:themeColor="background1"/>
                <w:sz w:val="20"/>
                <w:szCs w:val="20"/>
                <w:lang w:val="es-ES"/>
              </w:rPr>
              <w:t>Notificación de la petición al Estado:</w:t>
            </w:r>
          </w:p>
        </w:tc>
        <w:tc>
          <w:tcPr>
            <w:tcW w:w="5760" w:type="dxa"/>
            <w:vAlign w:val="center"/>
          </w:tcPr>
          <w:p w14:paraId="65CBC29E" w14:textId="368070F4" w:rsidR="001D21C7" w:rsidRPr="004F0D1B" w:rsidRDefault="006C7901" w:rsidP="001D21C7">
            <w:pPr>
              <w:jc w:val="both"/>
              <w:rPr>
                <w:rFonts w:ascii="Cambria" w:hAnsi="Cambria"/>
                <w:bCs/>
                <w:sz w:val="20"/>
                <w:szCs w:val="20"/>
                <w:lang w:val="pt-BR"/>
              </w:rPr>
            </w:pPr>
            <w:r w:rsidRPr="004F0D1B">
              <w:rPr>
                <w:rFonts w:ascii="Cambria" w:hAnsi="Cambria"/>
                <w:bCs/>
                <w:sz w:val="20"/>
                <w:szCs w:val="20"/>
                <w:lang w:val="pt-BR"/>
              </w:rPr>
              <w:t>24 de diciembre de 2015</w:t>
            </w:r>
          </w:p>
        </w:tc>
      </w:tr>
      <w:tr w:rsidR="001D21C7" w:rsidRPr="004F0D1B"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1D21C7" w:rsidRPr="004F0D1B" w:rsidRDefault="001D21C7" w:rsidP="001D21C7">
            <w:pPr>
              <w:jc w:val="center"/>
              <w:rPr>
                <w:rFonts w:ascii="Cambria" w:hAnsi="Cambria"/>
                <w:b/>
                <w:bCs/>
                <w:color w:val="FFFFFF" w:themeColor="background1"/>
                <w:sz w:val="20"/>
                <w:szCs w:val="20"/>
                <w:lang w:val="es-ES"/>
              </w:rPr>
            </w:pPr>
            <w:r w:rsidRPr="004F0D1B">
              <w:rPr>
                <w:rFonts w:ascii="Cambria" w:hAnsi="Cambria"/>
                <w:b/>
                <w:color w:val="FFFFFF" w:themeColor="background1"/>
                <w:sz w:val="20"/>
                <w:szCs w:val="20"/>
                <w:lang w:val="es-ES"/>
              </w:rPr>
              <w:t>Primera respuesta del Estado</w:t>
            </w:r>
            <w:r w:rsidR="00974312" w:rsidRPr="004F0D1B">
              <w:rPr>
                <w:rFonts w:ascii="Cambria" w:hAnsi="Cambria"/>
                <w:b/>
                <w:color w:val="FFFFFF" w:themeColor="background1"/>
                <w:sz w:val="20"/>
                <w:szCs w:val="20"/>
                <w:lang w:val="es-ES"/>
              </w:rPr>
              <w:t>:</w:t>
            </w:r>
          </w:p>
        </w:tc>
        <w:tc>
          <w:tcPr>
            <w:tcW w:w="5760" w:type="dxa"/>
            <w:vAlign w:val="center"/>
          </w:tcPr>
          <w:p w14:paraId="6B47064C" w14:textId="727A14E8" w:rsidR="001D21C7" w:rsidRPr="004F0D1B" w:rsidRDefault="006C7901" w:rsidP="001D21C7">
            <w:pPr>
              <w:jc w:val="both"/>
              <w:rPr>
                <w:rFonts w:ascii="Cambria" w:hAnsi="Cambria"/>
                <w:bCs/>
                <w:sz w:val="20"/>
                <w:szCs w:val="20"/>
                <w:lang w:val="es-ES"/>
              </w:rPr>
            </w:pPr>
            <w:r w:rsidRPr="004F0D1B">
              <w:rPr>
                <w:rFonts w:ascii="Cambria" w:hAnsi="Cambria"/>
                <w:bCs/>
                <w:sz w:val="20"/>
                <w:szCs w:val="20"/>
                <w:lang w:val="pt-BR"/>
              </w:rPr>
              <w:t>28 de abril de 2016</w:t>
            </w:r>
          </w:p>
        </w:tc>
      </w:tr>
      <w:tr w:rsidR="00DF6B57" w:rsidRPr="0080015F" w14:paraId="4B2A5E73" w14:textId="77777777" w:rsidTr="004A6A54">
        <w:tc>
          <w:tcPr>
            <w:tcW w:w="3600" w:type="dxa"/>
            <w:tcBorders>
              <w:top w:val="single" w:sz="6" w:space="0" w:color="auto"/>
              <w:bottom w:val="single" w:sz="6" w:space="0" w:color="auto"/>
            </w:tcBorders>
            <w:shd w:val="clear" w:color="auto" w:fill="386294"/>
            <w:vAlign w:val="center"/>
          </w:tcPr>
          <w:p w14:paraId="365AF93C" w14:textId="796D86F1" w:rsidR="00DF6B57" w:rsidRPr="004F0D1B" w:rsidRDefault="00DF6B57" w:rsidP="001D21C7">
            <w:pPr>
              <w:jc w:val="center"/>
              <w:rPr>
                <w:rFonts w:ascii="Cambria" w:hAnsi="Cambria"/>
                <w:b/>
                <w:color w:val="FFFFFF" w:themeColor="background1"/>
                <w:sz w:val="20"/>
                <w:szCs w:val="20"/>
                <w:lang w:val="es-ES"/>
              </w:rPr>
            </w:pPr>
            <w:r w:rsidRPr="004F0D1B">
              <w:rPr>
                <w:rFonts w:ascii="Cambria" w:hAnsi="Cambria"/>
                <w:b/>
                <w:color w:val="FFFFFF" w:themeColor="background1"/>
                <w:sz w:val="20"/>
                <w:szCs w:val="20"/>
                <w:lang w:val="es-ES"/>
              </w:rPr>
              <w:t>Observaciones adicionales de la parte peticionaria</w:t>
            </w:r>
            <w:r w:rsidR="001F1BFE" w:rsidRPr="004F0D1B">
              <w:rPr>
                <w:rFonts w:ascii="Cambria" w:hAnsi="Cambria"/>
                <w:b/>
                <w:color w:val="FFFFFF" w:themeColor="background1"/>
                <w:sz w:val="20"/>
                <w:szCs w:val="20"/>
                <w:lang w:val="es-ES"/>
              </w:rPr>
              <w:t>:</w:t>
            </w:r>
          </w:p>
        </w:tc>
        <w:tc>
          <w:tcPr>
            <w:tcW w:w="5760" w:type="dxa"/>
            <w:vAlign w:val="center"/>
          </w:tcPr>
          <w:p w14:paraId="5B183807" w14:textId="212985E5" w:rsidR="00DF6B57" w:rsidRPr="004F0D1B" w:rsidRDefault="006C7901" w:rsidP="001D21C7">
            <w:pPr>
              <w:jc w:val="both"/>
              <w:rPr>
                <w:rFonts w:ascii="Cambria" w:hAnsi="Cambria"/>
                <w:bCs/>
                <w:sz w:val="20"/>
                <w:szCs w:val="20"/>
                <w:lang w:val="es-ES"/>
              </w:rPr>
            </w:pPr>
            <w:r w:rsidRPr="004F0D1B">
              <w:rPr>
                <w:rFonts w:ascii="Cambria" w:hAnsi="Cambria"/>
                <w:bCs/>
                <w:color w:val="000000" w:themeColor="text1"/>
                <w:sz w:val="20"/>
                <w:szCs w:val="20"/>
                <w:lang w:val="es-ES"/>
              </w:rPr>
              <w:t>17 de enero</w:t>
            </w:r>
            <w:r w:rsidR="0053344B" w:rsidRPr="004F0D1B">
              <w:rPr>
                <w:rFonts w:ascii="Cambria" w:hAnsi="Cambria"/>
                <w:bCs/>
                <w:color w:val="000000" w:themeColor="text1"/>
                <w:sz w:val="20"/>
                <w:szCs w:val="20"/>
                <w:lang w:val="es-ES"/>
              </w:rPr>
              <w:t xml:space="preserve"> de 2019</w:t>
            </w:r>
            <w:r w:rsidRPr="004F0D1B">
              <w:rPr>
                <w:rFonts w:ascii="Cambria" w:hAnsi="Cambria"/>
                <w:bCs/>
                <w:color w:val="000000" w:themeColor="text1"/>
                <w:sz w:val="20"/>
                <w:szCs w:val="20"/>
                <w:lang w:val="es-ES"/>
              </w:rPr>
              <w:t xml:space="preserve">, 5 de febrero </w:t>
            </w:r>
            <w:r w:rsidR="0053344B" w:rsidRPr="004F0D1B">
              <w:rPr>
                <w:rFonts w:ascii="Cambria" w:hAnsi="Cambria"/>
                <w:bCs/>
                <w:color w:val="000000" w:themeColor="text1"/>
                <w:sz w:val="20"/>
                <w:szCs w:val="20"/>
                <w:lang w:val="es-ES"/>
              </w:rPr>
              <w:t>de 2019</w:t>
            </w:r>
            <w:r w:rsidR="00E425B8" w:rsidRPr="004F0D1B">
              <w:rPr>
                <w:rFonts w:ascii="Cambria" w:hAnsi="Cambria"/>
                <w:bCs/>
                <w:color w:val="000000" w:themeColor="text1"/>
                <w:sz w:val="20"/>
                <w:szCs w:val="20"/>
                <w:lang w:val="es-ES"/>
              </w:rPr>
              <w:t xml:space="preserve"> y</w:t>
            </w:r>
            <w:r w:rsidRPr="004F0D1B">
              <w:rPr>
                <w:rFonts w:ascii="Cambria" w:hAnsi="Cambria"/>
                <w:bCs/>
                <w:color w:val="000000" w:themeColor="text1"/>
                <w:sz w:val="20"/>
                <w:szCs w:val="20"/>
                <w:lang w:val="es-ES"/>
              </w:rPr>
              <w:t xml:space="preserve"> 2 de septiembre de 2019</w:t>
            </w:r>
          </w:p>
        </w:tc>
      </w:tr>
      <w:tr w:rsidR="00F7289E" w:rsidRPr="004F0D1B" w14:paraId="3B8EA6D2" w14:textId="77777777" w:rsidTr="004A6A54">
        <w:tc>
          <w:tcPr>
            <w:tcW w:w="3600" w:type="dxa"/>
            <w:tcBorders>
              <w:top w:val="single" w:sz="6" w:space="0" w:color="auto"/>
              <w:bottom w:val="single" w:sz="6" w:space="0" w:color="auto"/>
            </w:tcBorders>
            <w:shd w:val="clear" w:color="auto" w:fill="386294"/>
            <w:vAlign w:val="center"/>
          </w:tcPr>
          <w:p w14:paraId="17E6814D" w14:textId="181EEF19" w:rsidR="00F7289E" w:rsidRPr="004F0D1B" w:rsidRDefault="00F7289E" w:rsidP="001D21C7">
            <w:pPr>
              <w:jc w:val="center"/>
              <w:rPr>
                <w:rFonts w:ascii="Cambria" w:hAnsi="Cambria"/>
                <w:b/>
                <w:color w:val="FFFFFF" w:themeColor="background1"/>
                <w:sz w:val="20"/>
                <w:szCs w:val="20"/>
                <w:lang w:val="es-ES"/>
              </w:rPr>
            </w:pPr>
            <w:r w:rsidRPr="004F0D1B">
              <w:rPr>
                <w:rFonts w:ascii="Cambria" w:hAnsi="Cambria"/>
                <w:b/>
                <w:color w:val="FFFFFF" w:themeColor="background1"/>
                <w:sz w:val="20"/>
                <w:szCs w:val="20"/>
                <w:lang w:val="es-ES"/>
              </w:rPr>
              <w:t>Obser</w:t>
            </w:r>
            <w:r w:rsidR="00E425B8" w:rsidRPr="004F0D1B">
              <w:rPr>
                <w:rFonts w:ascii="Cambria" w:hAnsi="Cambria"/>
                <w:b/>
                <w:color w:val="FFFFFF" w:themeColor="background1"/>
                <w:sz w:val="20"/>
                <w:szCs w:val="20"/>
                <w:lang w:val="es-ES"/>
              </w:rPr>
              <w:t>v</w:t>
            </w:r>
            <w:r w:rsidRPr="004F0D1B">
              <w:rPr>
                <w:rFonts w:ascii="Cambria" w:hAnsi="Cambria"/>
                <w:b/>
                <w:color w:val="FFFFFF" w:themeColor="background1"/>
                <w:sz w:val="20"/>
                <w:szCs w:val="20"/>
                <w:lang w:val="es-ES"/>
              </w:rPr>
              <w:t>aciones adicionales del Estado:</w:t>
            </w:r>
          </w:p>
        </w:tc>
        <w:tc>
          <w:tcPr>
            <w:tcW w:w="5760" w:type="dxa"/>
            <w:vAlign w:val="center"/>
          </w:tcPr>
          <w:p w14:paraId="00FB162F" w14:textId="1F607CCE" w:rsidR="00F7289E" w:rsidRPr="004F0D1B" w:rsidRDefault="004653A2" w:rsidP="001D21C7">
            <w:pPr>
              <w:jc w:val="both"/>
              <w:rPr>
                <w:rFonts w:ascii="Cambria" w:hAnsi="Cambria"/>
                <w:bCs/>
                <w:color w:val="000000" w:themeColor="text1"/>
                <w:sz w:val="20"/>
                <w:szCs w:val="20"/>
                <w:lang w:val="pt-BR"/>
              </w:rPr>
            </w:pPr>
            <w:r w:rsidRPr="004F0D1B">
              <w:rPr>
                <w:rFonts w:ascii="Cambria" w:hAnsi="Cambria"/>
                <w:bCs/>
                <w:color w:val="000000" w:themeColor="text1"/>
                <w:sz w:val="20"/>
                <w:szCs w:val="20"/>
                <w:lang w:val="pt-BR"/>
              </w:rPr>
              <w:t>6 de noviembre de 2020</w:t>
            </w:r>
          </w:p>
        </w:tc>
      </w:tr>
    </w:tbl>
    <w:p w14:paraId="0FC6E9E8" w14:textId="77777777" w:rsidR="003239B8" w:rsidRPr="004F0D1B" w:rsidRDefault="003239B8" w:rsidP="003239B8">
      <w:pPr>
        <w:spacing w:before="240" w:after="240"/>
        <w:ind w:firstLine="720"/>
        <w:jc w:val="both"/>
        <w:rPr>
          <w:rFonts w:asciiTheme="majorHAnsi" w:hAnsiTheme="majorHAnsi"/>
          <w:b/>
          <w:bCs/>
          <w:sz w:val="20"/>
          <w:szCs w:val="20"/>
          <w:lang w:val="es-ES"/>
        </w:rPr>
      </w:pPr>
      <w:r w:rsidRPr="004F0D1B">
        <w:rPr>
          <w:rFonts w:asciiTheme="majorHAnsi" w:hAnsiTheme="majorHAnsi"/>
          <w:b/>
          <w:bCs/>
          <w:sz w:val="20"/>
          <w:szCs w:val="20"/>
          <w:lang w:val="es-ES"/>
        </w:rPr>
        <w:t xml:space="preserve">III. </w:t>
      </w:r>
      <w:r w:rsidRPr="004F0D1B">
        <w:rPr>
          <w:rFonts w:asciiTheme="majorHAnsi" w:hAnsiTheme="majorHAnsi"/>
          <w:b/>
          <w:bCs/>
          <w:sz w:val="20"/>
          <w:szCs w:val="20"/>
          <w:lang w:val="es-ES"/>
        </w:rPr>
        <w:tab/>
        <w:t>COMPETENCIA</w:t>
      </w:r>
      <w:r w:rsidR="00EE00E9" w:rsidRPr="004F0D1B">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4F0D1B"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4F0D1B" w:rsidRDefault="003239B8" w:rsidP="008D2290">
            <w:pPr>
              <w:jc w:val="center"/>
              <w:rPr>
                <w:rFonts w:ascii="Cambria" w:hAnsi="Cambria"/>
                <w:b/>
                <w:bCs/>
                <w:i/>
                <w:color w:val="FFFFFF" w:themeColor="background1"/>
                <w:sz w:val="20"/>
                <w:szCs w:val="20"/>
              </w:rPr>
            </w:pPr>
            <w:r w:rsidRPr="004F0D1B">
              <w:rPr>
                <w:rFonts w:ascii="Cambria" w:hAnsi="Cambria"/>
                <w:b/>
                <w:bCs/>
                <w:color w:val="FFFFFF" w:themeColor="background1"/>
                <w:sz w:val="20"/>
                <w:szCs w:val="20"/>
              </w:rPr>
              <w:t>Competencia</w:t>
            </w:r>
            <w:r w:rsidRPr="004F0D1B">
              <w:rPr>
                <w:rFonts w:ascii="Cambria" w:hAnsi="Cambria"/>
                <w:b/>
                <w:bCs/>
                <w:i/>
                <w:color w:val="FFFFFF" w:themeColor="background1"/>
                <w:sz w:val="20"/>
                <w:szCs w:val="20"/>
              </w:rPr>
              <w:t xml:space="preserve"> Ratione personae:</w:t>
            </w:r>
          </w:p>
        </w:tc>
        <w:tc>
          <w:tcPr>
            <w:tcW w:w="5760" w:type="dxa"/>
            <w:vAlign w:val="center"/>
          </w:tcPr>
          <w:p w14:paraId="1E494D5D" w14:textId="47C0DB82" w:rsidR="003239B8" w:rsidRPr="004F0D1B" w:rsidRDefault="00A004BB" w:rsidP="008D2290">
            <w:pPr>
              <w:rPr>
                <w:rFonts w:ascii="Cambria" w:hAnsi="Cambria"/>
                <w:bCs/>
                <w:sz w:val="20"/>
                <w:szCs w:val="20"/>
              </w:rPr>
            </w:pPr>
            <w:r w:rsidRPr="004F0D1B">
              <w:rPr>
                <w:rFonts w:ascii="Cambria" w:hAnsi="Cambria"/>
                <w:bCs/>
                <w:sz w:val="20"/>
                <w:szCs w:val="20"/>
              </w:rPr>
              <w:t>Sí</w:t>
            </w:r>
          </w:p>
        </w:tc>
      </w:tr>
      <w:tr w:rsidR="003239B8" w:rsidRPr="004F0D1B"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4F0D1B" w:rsidRDefault="003239B8" w:rsidP="008D2290">
            <w:pPr>
              <w:jc w:val="center"/>
              <w:rPr>
                <w:rFonts w:ascii="Cambria" w:hAnsi="Cambria"/>
                <w:b/>
                <w:bCs/>
                <w:color w:val="FFFFFF" w:themeColor="background1"/>
                <w:sz w:val="20"/>
                <w:szCs w:val="20"/>
              </w:rPr>
            </w:pPr>
            <w:r w:rsidRPr="004F0D1B">
              <w:rPr>
                <w:rFonts w:ascii="Cambria" w:hAnsi="Cambria"/>
                <w:b/>
                <w:bCs/>
                <w:color w:val="FFFFFF" w:themeColor="background1"/>
                <w:sz w:val="20"/>
                <w:szCs w:val="20"/>
              </w:rPr>
              <w:t>Competencia</w:t>
            </w:r>
            <w:r w:rsidRPr="004F0D1B">
              <w:rPr>
                <w:rFonts w:ascii="Cambria" w:hAnsi="Cambria"/>
                <w:b/>
                <w:bCs/>
                <w:i/>
                <w:color w:val="FFFFFF" w:themeColor="background1"/>
                <w:sz w:val="20"/>
                <w:szCs w:val="20"/>
              </w:rPr>
              <w:t xml:space="preserve"> Ratione loci</w:t>
            </w:r>
            <w:r w:rsidRPr="004F0D1B">
              <w:rPr>
                <w:rFonts w:ascii="Cambria" w:hAnsi="Cambria"/>
                <w:b/>
                <w:bCs/>
                <w:color w:val="FFFFFF" w:themeColor="background1"/>
                <w:sz w:val="20"/>
                <w:szCs w:val="20"/>
              </w:rPr>
              <w:t>:</w:t>
            </w:r>
          </w:p>
        </w:tc>
        <w:tc>
          <w:tcPr>
            <w:tcW w:w="5760" w:type="dxa"/>
            <w:vAlign w:val="center"/>
          </w:tcPr>
          <w:p w14:paraId="77C8256A" w14:textId="5E819D9D" w:rsidR="003239B8" w:rsidRPr="004F0D1B" w:rsidRDefault="00A004BB" w:rsidP="008D2290">
            <w:pPr>
              <w:rPr>
                <w:rFonts w:ascii="Cambria" w:hAnsi="Cambria"/>
                <w:bCs/>
                <w:sz w:val="20"/>
                <w:szCs w:val="20"/>
              </w:rPr>
            </w:pPr>
            <w:r w:rsidRPr="004F0D1B">
              <w:rPr>
                <w:rFonts w:ascii="Cambria" w:hAnsi="Cambria"/>
                <w:bCs/>
                <w:sz w:val="20"/>
                <w:szCs w:val="20"/>
              </w:rPr>
              <w:t>Sí</w:t>
            </w:r>
          </w:p>
        </w:tc>
      </w:tr>
      <w:tr w:rsidR="003239B8" w:rsidRPr="004F0D1B"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4F0D1B" w:rsidRDefault="003239B8" w:rsidP="008D2290">
            <w:pPr>
              <w:jc w:val="center"/>
              <w:rPr>
                <w:rFonts w:ascii="Cambria" w:hAnsi="Cambria"/>
                <w:b/>
                <w:bCs/>
                <w:color w:val="FFFFFF" w:themeColor="background1"/>
                <w:sz w:val="20"/>
                <w:szCs w:val="20"/>
              </w:rPr>
            </w:pPr>
            <w:r w:rsidRPr="004F0D1B">
              <w:rPr>
                <w:rFonts w:ascii="Cambria" w:hAnsi="Cambria"/>
                <w:b/>
                <w:bCs/>
                <w:color w:val="FFFFFF" w:themeColor="background1"/>
                <w:sz w:val="20"/>
                <w:szCs w:val="20"/>
              </w:rPr>
              <w:t>Competencia</w:t>
            </w:r>
            <w:r w:rsidRPr="004F0D1B">
              <w:rPr>
                <w:rFonts w:ascii="Cambria" w:hAnsi="Cambria"/>
                <w:b/>
                <w:bCs/>
                <w:i/>
                <w:color w:val="FFFFFF" w:themeColor="background1"/>
                <w:sz w:val="20"/>
                <w:szCs w:val="20"/>
              </w:rPr>
              <w:t xml:space="preserve"> Ratione temporis</w:t>
            </w:r>
            <w:r w:rsidRPr="004F0D1B">
              <w:rPr>
                <w:rFonts w:ascii="Cambria" w:hAnsi="Cambria"/>
                <w:b/>
                <w:bCs/>
                <w:color w:val="FFFFFF" w:themeColor="background1"/>
                <w:sz w:val="20"/>
                <w:szCs w:val="20"/>
              </w:rPr>
              <w:t>:</w:t>
            </w:r>
          </w:p>
        </w:tc>
        <w:tc>
          <w:tcPr>
            <w:tcW w:w="5760" w:type="dxa"/>
            <w:vAlign w:val="center"/>
          </w:tcPr>
          <w:p w14:paraId="523F6BD6" w14:textId="69B6757A" w:rsidR="003239B8" w:rsidRPr="004F0D1B" w:rsidRDefault="00A004BB" w:rsidP="008D2290">
            <w:pPr>
              <w:rPr>
                <w:rFonts w:ascii="Cambria" w:hAnsi="Cambria"/>
                <w:bCs/>
                <w:sz w:val="20"/>
                <w:szCs w:val="20"/>
              </w:rPr>
            </w:pPr>
            <w:r w:rsidRPr="004F0D1B">
              <w:rPr>
                <w:rFonts w:ascii="Cambria" w:hAnsi="Cambria"/>
                <w:bCs/>
                <w:sz w:val="20"/>
                <w:szCs w:val="20"/>
              </w:rPr>
              <w:t>Sí</w:t>
            </w:r>
          </w:p>
        </w:tc>
      </w:tr>
      <w:tr w:rsidR="003239B8" w:rsidRPr="0080015F"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4F0D1B" w:rsidRDefault="003239B8" w:rsidP="008D2290">
            <w:pPr>
              <w:jc w:val="center"/>
              <w:rPr>
                <w:rFonts w:ascii="Cambria" w:hAnsi="Cambria"/>
                <w:b/>
                <w:bCs/>
                <w:color w:val="FFFFFF" w:themeColor="background1"/>
                <w:sz w:val="20"/>
                <w:szCs w:val="20"/>
              </w:rPr>
            </w:pPr>
            <w:r w:rsidRPr="004F0D1B">
              <w:rPr>
                <w:rFonts w:ascii="Cambria" w:hAnsi="Cambria"/>
                <w:b/>
                <w:bCs/>
                <w:color w:val="FFFFFF" w:themeColor="background1"/>
                <w:sz w:val="20"/>
                <w:szCs w:val="20"/>
              </w:rPr>
              <w:t>Competencia</w:t>
            </w:r>
            <w:r w:rsidRPr="004F0D1B">
              <w:rPr>
                <w:rFonts w:ascii="Cambria" w:hAnsi="Cambria"/>
                <w:b/>
                <w:bCs/>
                <w:i/>
                <w:color w:val="FFFFFF" w:themeColor="background1"/>
                <w:sz w:val="20"/>
                <w:szCs w:val="20"/>
              </w:rPr>
              <w:t xml:space="preserve"> Ratione materia</w:t>
            </w:r>
            <w:r w:rsidR="00EE00E9" w:rsidRPr="004F0D1B">
              <w:rPr>
                <w:rFonts w:ascii="Cambria" w:hAnsi="Cambria"/>
                <w:b/>
                <w:bCs/>
                <w:i/>
                <w:color w:val="FFFFFF" w:themeColor="background1"/>
                <w:sz w:val="20"/>
                <w:szCs w:val="20"/>
              </w:rPr>
              <w:t>e</w:t>
            </w:r>
            <w:r w:rsidRPr="004F0D1B">
              <w:rPr>
                <w:rFonts w:ascii="Cambria" w:hAnsi="Cambria"/>
                <w:b/>
                <w:bCs/>
                <w:color w:val="FFFFFF" w:themeColor="background1"/>
                <w:sz w:val="20"/>
                <w:szCs w:val="20"/>
              </w:rPr>
              <w:t>:</w:t>
            </w:r>
          </w:p>
        </w:tc>
        <w:tc>
          <w:tcPr>
            <w:tcW w:w="5760" w:type="dxa"/>
            <w:vAlign w:val="center"/>
          </w:tcPr>
          <w:p w14:paraId="257C8337" w14:textId="09AAABCD" w:rsidR="003239B8" w:rsidRPr="004F0D1B" w:rsidRDefault="00FD639B" w:rsidP="008D2290">
            <w:pPr>
              <w:jc w:val="both"/>
              <w:rPr>
                <w:rFonts w:ascii="Cambria" w:hAnsi="Cambria"/>
                <w:bCs/>
                <w:sz w:val="20"/>
                <w:szCs w:val="20"/>
                <w:lang w:val="es-ES"/>
              </w:rPr>
            </w:pPr>
            <w:r w:rsidRPr="004F0D1B">
              <w:rPr>
                <w:rFonts w:ascii="Cambria" w:hAnsi="Cambria"/>
                <w:bCs/>
                <w:sz w:val="20"/>
                <w:szCs w:val="20"/>
                <w:lang w:val="es-ES" w:bidi="es-ES"/>
              </w:rPr>
              <w:t>Sí, Convención</w:t>
            </w:r>
            <w:r w:rsidR="00A004BB" w:rsidRPr="004F0D1B">
              <w:rPr>
                <w:rFonts w:ascii="Cambria" w:hAnsi="Cambria"/>
                <w:bCs/>
                <w:sz w:val="20"/>
                <w:szCs w:val="20"/>
                <w:lang w:val="es-ES" w:bidi="es-ES"/>
              </w:rPr>
              <w:t xml:space="preserve"> Americana (depósito de instrumento realizado el </w:t>
            </w:r>
            <w:r w:rsidR="008205F3" w:rsidRPr="004F0D1B">
              <w:rPr>
                <w:rFonts w:ascii="Cambria" w:hAnsi="Cambria"/>
                <w:bCs/>
                <w:sz w:val="20"/>
                <w:szCs w:val="20"/>
                <w:lang w:val="es-ES" w:bidi="es-ES"/>
              </w:rPr>
              <w:t>25</w:t>
            </w:r>
            <w:r w:rsidR="00A004BB" w:rsidRPr="004F0D1B">
              <w:rPr>
                <w:rFonts w:ascii="Cambria" w:hAnsi="Cambria"/>
                <w:bCs/>
                <w:sz w:val="20"/>
                <w:szCs w:val="20"/>
                <w:lang w:val="es-ES" w:bidi="es-ES"/>
              </w:rPr>
              <w:t xml:space="preserve"> de </w:t>
            </w:r>
            <w:r w:rsidR="008205F3" w:rsidRPr="004F0D1B">
              <w:rPr>
                <w:rFonts w:ascii="Cambria" w:hAnsi="Cambria"/>
                <w:bCs/>
                <w:sz w:val="20"/>
                <w:szCs w:val="20"/>
                <w:lang w:val="es-ES" w:bidi="es-ES"/>
              </w:rPr>
              <w:t>septiembre</w:t>
            </w:r>
            <w:r w:rsidR="00A004BB" w:rsidRPr="004F0D1B">
              <w:rPr>
                <w:rFonts w:ascii="Cambria" w:hAnsi="Cambria"/>
                <w:bCs/>
                <w:sz w:val="20"/>
                <w:szCs w:val="20"/>
                <w:lang w:val="es-ES" w:bidi="es-ES"/>
              </w:rPr>
              <w:t xml:space="preserve"> de 19</w:t>
            </w:r>
            <w:r w:rsidR="008205F3" w:rsidRPr="004F0D1B">
              <w:rPr>
                <w:rFonts w:ascii="Cambria" w:hAnsi="Cambria"/>
                <w:bCs/>
                <w:sz w:val="20"/>
                <w:szCs w:val="20"/>
                <w:lang w:val="es-ES" w:bidi="es-ES"/>
              </w:rPr>
              <w:t>92)</w:t>
            </w:r>
          </w:p>
        </w:tc>
      </w:tr>
    </w:tbl>
    <w:p w14:paraId="299A3868" w14:textId="763E2446" w:rsidR="003239B8" w:rsidRPr="004F0D1B" w:rsidRDefault="003239B8" w:rsidP="003239B8">
      <w:pPr>
        <w:spacing w:before="240" w:after="240"/>
        <w:ind w:firstLine="720"/>
        <w:jc w:val="both"/>
        <w:rPr>
          <w:rFonts w:asciiTheme="majorHAnsi" w:hAnsiTheme="majorHAnsi"/>
          <w:b/>
          <w:bCs/>
          <w:sz w:val="20"/>
          <w:szCs w:val="20"/>
          <w:lang w:val="es-ES"/>
        </w:rPr>
      </w:pPr>
      <w:r w:rsidRPr="004F0D1B">
        <w:rPr>
          <w:rFonts w:asciiTheme="majorHAnsi" w:hAnsiTheme="majorHAnsi"/>
          <w:b/>
          <w:bCs/>
          <w:sz w:val="20"/>
          <w:szCs w:val="20"/>
          <w:lang w:val="es-ES"/>
        </w:rPr>
        <w:t xml:space="preserve">IV. </w:t>
      </w:r>
      <w:r w:rsidRPr="004F0D1B">
        <w:rPr>
          <w:rFonts w:asciiTheme="majorHAnsi" w:hAnsiTheme="majorHAnsi"/>
          <w:b/>
          <w:bCs/>
          <w:sz w:val="20"/>
          <w:szCs w:val="20"/>
          <w:lang w:val="es-ES"/>
        </w:rPr>
        <w:tab/>
      </w:r>
      <w:r w:rsidR="00EE00E9" w:rsidRPr="004F0D1B">
        <w:rPr>
          <w:rFonts w:asciiTheme="majorHAnsi" w:hAnsiTheme="majorHAnsi"/>
          <w:b/>
          <w:bCs/>
          <w:sz w:val="20"/>
          <w:szCs w:val="20"/>
          <w:lang w:val="es-ES"/>
        </w:rPr>
        <w:t>DUPLICACIÓN</w:t>
      </w:r>
      <w:r w:rsidR="00EE00E9" w:rsidRPr="004F0D1B">
        <w:rPr>
          <w:rFonts w:asciiTheme="majorHAnsi" w:hAnsiTheme="majorHAnsi"/>
          <w:b/>
          <w:bCs/>
          <w:color w:val="FFFFFF" w:themeColor="background1"/>
          <w:sz w:val="20"/>
          <w:szCs w:val="20"/>
          <w:lang w:val="es-ES"/>
        </w:rPr>
        <w:t xml:space="preserve"> </w:t>
      </w:r>
      <w:r w:rsidR="00EE00E9" w:rsidRPr="004F0D1B">
        <w:rPr>
          <w:rFonts w:asciiTheme="majorHAnsi" w:hAnsiTheme="majorHAnsi"/>
          <w:b/>
          <w:bCs/>
          <w:sz w:val="20"/>
          <w:szCs w:val="20"/>
          <w:lang w:val="es-ES"/>
        </w:rPr>
        <w:t>DE PROCEDIMIENTOS Y COSA JUZGADA</w:t>
      </w:r>
      <w:r w:rsidR="00EE00E9" w:rsidRPr="004F0D1B">
        <w:rPr>
          <w:rFonts w:asciiTheme="majorHAnsi" w:hAnsiTheme="majorHAnsi"/>
          <w:b/>
          <w:bCs/>
          <w:i/>
          <w:sz w:val="20"/>
          <w:szCs w:val="20"/>
          <w:lang w:val="es-ES"/>
        </w:rPr>
        <w:t xml:space="preserve"> </w:t>
      </w:r>
      <w:r w:rsidR="00EE00E9" w:rsidRPr="004F0D1B">
        <w:rPr>
          <w:rFonts w:asciiTheme="majorHAnsi" w:hAnsiTheme="majorHAnsi"/>
          <w:b/>
          <w:bCs/>
          <w:sz w:val="20"/>
          <w:szCs w:val="20"/>
          <w:lang w:val="es-ES"/>
        </w:rPr>
        <w:t xml:space="preserve">INTERNACIONAL, </w:t>
      </w:r>
      <w:r w:rsidRPr="004F0D1B">
        <w:rPr>
          <w:rFonts w:asciiTheme="majorHAnsi" w:hAnsiTheme="majorHAnsi"/>
          <w:b/>
          <w:bCs/>
          <w:sz w:val="20"/>
          <w:szCs w:val="20"/>
          <w:lang w:val="es-ES"/>
        </w:rPr>
        <w:t xml:space="preserve">CARACTERIZACIÓN, </w:t>
      </w:r>
      <w:r w:rsidRPr="004F0D1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4F0D1B" w14:paraId="161C8568" w14:textId="77777777" w:rsidTr="000342AB">
        <w:trPr>
          <w:cantSplit/>
        </w:trPr>
        <w:tc>
          <w:tcPr>
            <w:tcW w:w="3563" w:type="dxa"/>
            <w:tcBorders>
              <w:top w:val="single" w:sz="4" w:space="0" w:color="auto"/>
              <w:bottom w:val="single" w:sz="6" w:space="0" w:color="auto"/>
            </w:tcBorders>
            <w:shd w:val="clear" w:color="auto" w:fill="386294"/>
            <w:vAlign w:val="center"/>
          </w:tcPr>
          <w:p w14:paraId="1C72AC6C" w14:textId="77777777" w:rsidR="00EE00E9" w:rsidRPr="004F0D1B" w:rsidRDefault="00EE00E9" w:rsidP="008D2290">
            <w:pPr>
              <w:jc w:val="center"/>
              <w:rPr>
                <w:rFonts w:ascii="Cambria" w:hAnsi="Cambria"/>
                <w:b/>
                <w:bCs/>
                <w:color w:val="FFFFFF" w:themeColor="background1"/>
                <w:sz w:val="20"/>
                <w:szCs w:val="20"/>
                <w:lang w:val="es-ES"/>
              </w:rPr>
            </w:pPr>
            <w:r w:rsidRPr="004F0D1B">
              <w:rPr>
                <w:rFonts w:ascii="Cambria" w:hAnsi="Cambria"/>
                <w:b/>
                <w:bCs/>
                <w:color w:val="FFFFFF" w:themeColor="background1"/>
                <w:sz w:val="20"/>
                <w:szCs w:val="20"/>
                <w:lang w:val="es-ES"/>
              </w:rPr>
              <w:t>Duplicación de procedimientos y cosa juzgada internacional:</w:t>
            </w:r>
          </w:p>
        </w:tc>
        <w:tc>
          <w:tcPr>
            <w:tcW w:w="5679" w:type="dxa"/>
            <w:vAlign w:val="center"/>
          </w:tcPr>
          <w:p w14:paraId="764D7F60" w14:textId="003B40D1" w:rsidR="00EE00E9" w:rsidRPr="004F0D1B" w:rsidRDefault="00A004BB" w:rsidP="008D2290">
            <w:pPr>
              <w:jc w:val="both"/>
              <w:rPr>
                <w:rFonts w:ascii="Cambria" w:hAnsi="Cambria"/>
                <w:bCs/>
                <w:sz w:val="20"/>
                <w:szCs w:val="20"/>
                <w:lang w:val="es-ES"/>
              </w:rPr>
            </w:pPr>
            <w:r w:rsidRPr="004F0D1B">
              <w:rPr>
                <w:rFonts w:ascii="Cambria" w:hAnsi="Cambria"/>
                <w:bCs/>
                <w:sz w:val="20"/>
                <w:szCs w:val="20"/>
                <w:lang w:val="es-ES"/>
              </w:rPr>
              <w:t>No</w:t>
            </w:r>
          </w:p>
        </w:tc>
      </w:tr>
      <w:tr w:rsidR="003239B8" w:rsidRPr="0080015F" w14:paraId="3ED57BF3" w14:textId="77777777" w:rsidTr="000342AB">
        <w:trPr>
          <w:cantSplit/>
        </w:trPr>
        <w:tc>
          <w:tcPr>
            <w:tcW w:w="3563" w:type="dxa"/>
            <w:tcBorders>
              <w:top w:val="single" w:sz="4" w:space="0" w:color="auto"/>
              <w:bottom w:val="single" w:sz="6" w:space="0" w:color="auto"/>
            </w:tcBorders>
            <w:shd w:val="clear" w:color="auto" w:fill="386294"/>
            <w:vAlign w:val="center"/>
          </w:tcPr>
          <w:p w14:paraId="5F36A040" w14:textId="77777777" w:rsidR="003239B8" w:rsidRPr="004F0D1B" w:rsidRDefault="003239B8" w:rsidP="008D2290">
            <w:pPr>
              <w:jc w:val="center"/>
              <w:rPr>
                <w:rFonts w:ascii="Cambria" w:hAnsi="Cambria"/>
                <w:b/>
                <w:bCs/>
                <w:i/>
                <w:color w:val="FFFFFF" w:themeColor="background1"/>
                <w:sz w:val="20"/>
                <w:szCs w:val="20"/>
              </w:rPr>
            </w:pPr>
            <w:r w:rsidRPr="004F0D1B">
              <w:rPr>
                <w:rFonts w:ascii="Cambria" w:hAnsi="Cambria"/>
                <w:b/>
                <w:bCs/>
                <w:color w:val="FFFFFF" w:themeColor="background1"/>
                <w:sz w:val="20"/>
                <w:szCs w:val="20"/>
              </w:rPr>
              <w:t>Derechos declarados admisibles</w:t>
            </w:r>
            <w:r w:rsidRPr="004F0D1B">
              <w:rPr>
                <w:rFonts w:ascii="Cambria" w:hAnsi="Cambria"/>
                <w:b/>
                <w:bCs/>
                <w:i/>
                <w:color w:val="FFFFFF" w:themeColor="background1"/>
                <w:sz w:val="20"/>
                <w:szCs w:val="20"/>
              </w:rPr>
              <w:t>:</w:t>
            </w:r>
          </w:p>
        </w:tc>
        <w:tc>
          <w:tcPr>
            <w:tcW w:w="5679" w:type="dxa"/>
            <w:vAlign w:val="center"/>
          </w:tcPr>
          <w:p w14:paraId="4DAE9D4D" w14:textId="0A4F2AAB" w:rsidR="003239B8" w:rsidRPr="004F0D1B" w:rsidRDefault="006C7901" w:rsidP="008D2290">
            <w:pPr>
              <w:jc w:val="both"/>
              <w:rPr>
                <w:rFonts w:ascii="Cambria" w:hAnsi="Cambria"/>
                <w:bCs/>
                <w:sz w:val="20"/>
                <w:szCs w:val="20"/>
                <w:lang w:val="es-ES" w:bidi="es-ES"/>
              </w:rPr>
            </w:pPr>
            <w:r w:rsidRPr="004F0D1B">
              <w:rPr>
                <w:rFonts w:ascii="Cambria" w:hAnsi="Cambria"/>
                <w:bCs/>
                <w:sz w:val="20"/>
                <w:szCs w:val="20"/>
                <w:lang w:val="es-ES" w:bidi="es-ES"/>
              </w:rPr>
              <w:t>Artículos</w:t>
            </w:r>
            <w:r w:rsidR="00674795" w:rsidRPr="004F0D1B">
              <w:rPr>
                <w:rFonts w:ascii="Cambria" w:hAnsi="Cambria"/>
                <w:bCs/>
                <w:sz w:val="20"/>
                <w:szCs w:val="20"/>
                <w:lang w:val="es-ES" w:bidi="es-ES"/>
              </w:rPr>
              <w:t xml:space="preserve"> 4 (vida),</w:t>
            </w:r>
            <w:r w:rsidRPr="004F0D1B">
              <w:rPr>
                <w:rFonts w:ascii="Cambria" w:hAnsi="Cambria"/>
                <w:bCs/>
                <w:sz w:val="20"/>
                <w:szCs w:val="20"/>
                <w:lang w:val="es-ES" w:bidi="es-ES"/>
              </w:rPr>
              <w:t xml:space="preserve"> </w:t>
            </w:r>
            <w:r w:rsidR="00564A3B" w:rsidRPr="004F0D1B">
              <w:rPr>
                <w:rFonts w:ascii="Cambria" w:hAnsi="Cambria"/>
                <w:bCs/>
                <w:sz w:val="20"/>
                <w:szCs w:val="20"/>
                <w:lang w:val="es-ES" w:bidi="es-ES"/>
              </w:rPr>
              <w:t>5 (integridad personal), 8 (garantías judiciales), 21 (propiedad), 24 (igualdad ante la ley), 25 (protección judicial) y 26 (desarrollo progresivo de los derechos económicos, sociales, culturales y ambientales) de la Convención Americana</w:t>
            </w:r>
          </w:p>
        </w:tc>
      </w:tr>
      <w:tr w:rsidR="003239B8" w:rsidRPr="0080015F" w14:paraId="5702249F" w14:textId="77777777" w:rsidTr="000342AB">
        <w:trPr>
          <w:cantSplit/>
        </w:trPr>
        <w:tc>
          <w:tcPr>
            <w:tcW w:w="3563" w:type="dxa"/>
            <w:tcBorders>
              <w:top w:val="single" w:sz="6" w:space="0" w:color="auto"/>
              <w:bottom w:val="single" w:sz="6" w:space="0" w:color="auto"/>
            </w:tcBorders>
            <w:shd w:val="clear" w:color="auto" w:fill="386294"/>
            <w:vAlign w:val="center"/>
          </w:tcPr>
          <w:p w14:paraId="1F00DF1D" w14:textId="77777777" w:rsidR="003239B8" w:rsidRPr="004F0D1B" w:rsidRDefault="003239B8" w:rsidP="008D2290">
            <w:pPr>
              <w:jc w:val="center"/>
              <w:rPr>
                <w:rFonts w:ascii="Cambria" w:hAnsi="Cambria"/>
                <w:b/>
                <w:bCs/>
                <w:color w:val="FFFFFF" w:themeColor="background1"/>
                <w:sz w:val="20"/>
                <w:szCs w:val="20"/>
                <w:lang w:val="es-ES"/>
              </w:rPr>
            </w:pPr>
            <w:r w:rsidRPr="004F0D1B">
              <w:rPr>
                <w:rFonts w:ascii="Cambria" w:hAnsi="Cambria"/>
                <w:b/>
                <w:bCs/>
                <w:color w:val="FFFFFF" w:themeColor="background1"/>
                <w:sz w:val="20"/>
                <w:szCs w:val="20"/>
                <w:lang w:val="es-ES"/>
              </w:rPr>
              <w:t>Agotamiento de recursos internos</w:t>
            </w:r>
            <w:r w:rsidR="00EE00E9" w:rsidRPr="004F0D1B">
              <w:rPr>
                <w:rFonts w:ascii="Cambria" w:hAnsi="Cambria"/>
                <w:b/>
                <w:bCs/>
                <w:color w:val="FFFFFF" w:themeColor="background1"/>
                <w:sz w:val="20"/>
                <w:szCs w:val="20"/>
                <w:lang w:val="es-ES"/>
              </w:rPr>
              <w:t xml:space="preserve"> o procedencia de una excepción</w:t>
            </w:r>
            <w:r w:rsidRPr="004F0D1B">
              <w:rPr>
                <w:rFonts w:ascii="Cambria" w:hAnsi="Cambria"/>
                <w:b/>
                <w:bCs/>
                <w:color w:val="FFFFFF" w:themeColor="background1"/>
                <w:sz w:val="20"/>
                <w:szCs w:val="20"/>
                <w:lang w:val="es-ES"/>
              </w:rPr>
              <w:t>:</w:t>
            </w:r>
          </w:p>
        </w:tc>
        <w:tc>
          <w:tcPr>
            <w:tcW w:w="5679" w:type="dxa"/>
            <w:vAlign w:val="center"/>
          </w:tcPr>
          <w:p w14:paraId="7F7C1A19" w14:textId="3834C4CD" w:rsidR="003239B8" w:rsidRPr="004F0D1B" w:rsidRDefault="00A004BB" w:rsidP="008D2290">
            <w:pPr>
              <w:rPr>
                <w:rFonts w:ascii="Cambria" w:hAnsi="Cambria"/>
                <w:bCs/>
                <w:sz w:val="20"/>
                <w:szCs w:val="20"/>
                <w:lang w:val="es-ES"/>
              </w:rPr>
            </w:pPr>
            <w:r w:rsidRPr="004F0D1B">
              <w:rPr>
                <w:rFonts w:ascii="Cambria" w:hAnsi="Cambria"/>
                <w:bCs/>
                <w:sz w:val="20"/>
                <w:szCs w:val="20"/>
                <w:lang w:val="es-ES" w:bidi="es-ES"/>
              </w:rPr>
              <w:t>Sí</w:t>
            </w:r>
            <w:r w:rsidR="00C171C3" w:rsidRPr="004F0D1B">
              <w:rPr>
                <w:rFonts w:ascii="Cambria" w:hAnsi="Cambria"/>
                <w:bCs/>
                <w:sz w:val="20"/>
                <w:szCs w:val="20"/>
                <w:lang w:val="es-ES" w:bidi="es-ES"/>
              </w:rPr>
              <w:t>, en los términos de la Sección VI</w:t>
            </w:r>
            <w:r w:rsidR="000342AB" w:rsidRPr="004F0D1B">
              <w:rPr>
                <w:rFonts w:ascii="Cambria" w:hAnsi="Cambria"/>
                <w:bCs/>
                <w:sz w:val="20"/>
                <w:szCs w:val="20"/>
                <w:lang w:val="es-ES" w:bidi="es-ES"/>
              </w:rPr>
              <w:t xml:space="preserve"> </w:t>
            </w:r>
          </w:p>
        </w:tc>
      </w:tr>
      <w:tr w:rsidR="000342AB" w:rsidRPr="0080015F" w14:paraId="7A101B89" w14:textId="77777777" w:rsidTr="000342AB">
        <w:trPr>
          <w:cantSplit/>
        </w:trPr>
        <w:tc>
          <w:tcPr>
            <w:tcW w:w="3563" w:type="dxa"/>
            <w:tcBorders>
              <w:top w:val="single" w:sz="6" w:space="0" w:color="auto"/>
              <w:bottom w:val="single" w:sz="6" w:space="0" w:color="auto"/>
            </w:tcBorders>
            <w:shd w:val="clear" w:color="auto" w:fill="386294"/>
            <w:vAlign w:val="center"/>
          </w:tcPr>
          <w:p w14:paraId="0843C533" w14:textId="77777777" w:rsidR="000342AB" w:rsidRPr="004F0D1B" w:rsidRDefault="000342AB" w:rsidP="000342AB">
            <w:pPr>
              <w:jc w:val="center"/>
              <w:rPr>
                <w:rFonts w:ascii="Cambria" w:hAnsi="Cambria"/>
                <w:b/>
                <w:bCs/>
                <w:color w:val="FFFFFF" w:themeColor="background1"/>
                <w:sz w:val="20"/>
                <w:szCs w:val="20"/>
              </w:rPr>
            </w:pPr>
            <w:r w:rsidRPr="004F0D1B">
              <w:rPr>
                <w:rFonts w:ascii="Cambria" w:hAnsi="Cambria"/>
                <w:b/>
                <w:bCs/>
                <w:color w:val="FFFFFF" w:themeColor="background1"/>
                <w:sz w:val="20"/>
                <w:szCs w:val="20"/>
              </w:rPr>
              <w:t>Presentación dentro de plazo:</w:t>
            </w:r>
          </w:p>
        </w:tc>
        <w:tc>
          <w:tcPr>
            <w:tcW w:w="5679" w:type="dxa"/>
            <w:vAlign w:val="center"/>
          </w:tcPr>
          <w:p w14:paraId="2AF0FC69" w14:textId="105407D7" w:rsidR="000342AB" w:rsidRPr="004F0D1B" w:rsidRDefault="00C171C3" w:rsidP="000342AB">
            <w:pPr>
              <w:rPr>
                <w:rFonts w:ascii="Cambria" w:hAnsi="Cambria"/>
                <w:bCs/>
                <w:sz w:val="20"/>
                <w:szCs w:val="20"/>
                <w:lang w:val="es-ES"/>
              </w:rPr>
            </w:pPr>
            <w:r w:rsidRPr="004F0D1B">
              <w:rPr>
                <w:rFonts w:ascii="Cambria" w:hAnsi="Cambria"/>
                <w:bCs/>
                <w:sz w:val="20"/>
                <w:szCs w:val="20"/>
                <w:lang w:val="es-ES" w:bidi="es-ES"/>
              </w:rPr>
              <w:t>Sí, en los términos de la Sección VI</w:t>
            </w:r>
          </w:p>
        </w:tc>
      </w:tr>
    </w:tbl>
    <w:p w14:paraId="4274012A" w14:textId="77777777" w:rsidR="009434AB" w:rsidRDefault="009434AB" w:rsidP="009434AB">
      <w:pPr>
        <w:spacing w:after="240"/>
        <w:ind w:firstLine="720"/>
        <w:jc w:val="both"/>
        <w:rPr>
          <w:rFonts w:asciiTheme="majorHAnsi" w:hAnsiTheme="majorHAnsi"/>
          <w:b/>
          <w:sz w:val="20"/>
          <w:szCs w:val="20"/>
          <w:lang w:val="es-UY"/>
        </w:rPr>
      </w:pPr>
    </w:p>
    <w:p w14:paraId="5B7F91CB" w14:textId="77777777" w:rsidR="009434AB" w:rsidRDefault="009434AB" w:rsidP="009434AB">
      <w:pPr>
        <w:spacing w:after="240"/>
        <w:ind w:firstLine="720"/>
        <w:jc w:val="both"/>
        <w:rPr>
          <w:rFonts w:asciiTheme="majorHAnsi" w:hAnsiTheme="majorHAnsi"/>
          <w:b/>
          <w:sz w:val="20"/>
          <w:szCs w:val="20"/>
          <w:lang w:val="es-UY"/>
        </w:rPr>
      </w:pPr>
    </w:p>
    <w:p w14:paraId="1BCAA518" w14:textId="77777777" w:rsidR="009434AB" w:rsidRDefault="009434AB" w:rsidP="009434AB">
      <w:pPr>
        <w:spacing w:after="240"/>
        <w:ind w:firstLine="720"/>
        <w:jc w:val="both"/>
        <w:rPr>
          <w:rFonts w:asciiTheme="majorHAnsi" w:hAnsiTheme="majorHAnsi"/>
          <w:b/>
          <w:sz w:val="20"/>
          <w:szCs w:val="20"/>
          <w:lang w:val="es-UY"/>
        </w:rPr>
      </w:pPr>
    </w:p>
    <w:p w14:paraId="68DA834B" w14:textId="77777777" w:rsidR="009434AB" w:rsidRDefault="009434AB" w:rsidP="009434AB">
      <w:pPr>
        <w:spacing w:after="240"/>
        <w:ind w:firstLine="720"/>
        <w:jc w:val="both"/>
        <w:rPr>
          <w:rFonts w:asciiTheme="majorHAnsi" w:hAnsiTheme="majorHAnsi"/>
          <w:b/>
          <w:sz w:val="20"/>
          <w:szCs w:val="20"/>
          <w:lang w:val="es-UY"/>
        </w:rPr>
      </w:pPr>
    </w:p>
    <w:p w14:paraId="56FD5D57" w14:textId="482C5C37" w:rsidR="003239B8" w:rsidRPr="004F0D1B" w:rsidRDefault="00223A29" w:rsidP="009434AB">
      <w:pPr>
        <w:spacing w:after="240"/>
        <w:ind w:firstLine="720"/>
        <w:jc w:val="both"/>
        <w:rPr>
          <w:rFonts w:asciiTheme="majorHAnsi" w:hAnsiTheme="majorHAnsi"/>
          <w:b/>
          <w:sz w:val="20"/>
          <w:szCs w:val="20"/>
          <w:lang w:val="es-UY"/>
        </w:rPr>
      </w:pPr>
      <w:r w:rsidRPr="004F0D1B">
        <w:rPr>
          <w:rFonts w:asciiTheme="majorHAnsi" w:hAnsiTheme="majorHAnsi"/>
          <w:b/>
          <w:sz w:val="20"/>
          <w:szCs w:val="20"/>
          <w:lang w:val="es-UY"/>
        </w:rPr>
        <w:lastRenderedPageBreak/>
        <w:t xml:space="preserve">V. </w:t>
      </w:r>
      <w:r w:rsidRPr="004F0D1B">
        <w:rPr>
          <w:rFonts w:asciiTheme="majorHAnsi" w:hAnsiTheme="majorHAnsi"/>
          <w:b/>
          <w:sz w:val="20"/>
          <w:szCs w:val="20"/>
          <w:lang w:val="es-UY"/>
        </w:rPr>
        <w:tab/>
      </w:r>
      <w:r w:rsidR="004241A0" w:rsidRPr="004F0D1B">
        <w:rPr>
          <w:rFonts w:asciiTheme="majorHAnsi" w:hAnsiTheme="majorHAnsi"/>
          <w:b/>
          <w:sz w:val="20"/>
          <w:szCs w:val="20"/>
          <w:lang w:val="es-UY"/>
        </w:rPr>
        <w:t>POSICIÓN DE LAS PARTES</w:t>
      </w:r>
      <w:r w:rsidR="003239B8" w:rsidRPr="004F0D1B">
        <w:rPr>
          <w:rFonts w:asciiTheme="majorHAnsi" w:hAnsiTheme="majorHAnsi"/>
          <w:b/>
          <w:sz w:val="20"/>
          <w:szCs w:val="20"/>
          <w:lang w:val="es-UY"/>
        </w:rPr>
        <w:t xml:space="preserve"> </w:t>
      </w:r>
    </w:p>
    <w:p w14:paraId="1F7969CE" w14:textId="58AF62AA" w:rsidR="00CD3109" w:rsidRPr="004F0D1B" w:rsidRDefault="00761458" w:rsidP="009434A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i/>
          <w:iCs/>
          <w:sz w:val="20"/>
          <w:szCs w:val="20"/>
          <w:lang w:val="es-419"/>
        </w:rPr>
      </w:pPr>
      <w:r w:rsidRPr="004F0D1B">
        <w:rPr>
          <w:i/>
          <w:iCs/>
          <w:sz w:val="20"/>
          <w:szCs w:val="20"/>
          <w:lang w:val="es-419"/>
        </w:rPr>
        <w:t>L</w:t>
      </w:r>
      <w:r w:rsidR="00CD3109" w:rsidRPr="004F0D1B">
        <w:rPr>
          <w:i/>
          <w:iCs/>
          <w:sz w:val="20"/>
          <w:szCs w:val="20"/>
          <w:lang w:val="es-419"/>
        </w:rPr>
        <w:t>a parte peticionaria</w:t>
      </w:r>
    </w:p>
    <w:p w14:paraId="786D2AAD" w14:textId="31DEDD66" w:rsidR="00C61B18" w:rsidRPr="004F0D1B" w:rsidRDefault="00C61B18" w:rsidP="009434A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419"/>
        </w:rPr>
      </w:pPr>
      <w:r w:rsidRPr="004F0D1B">
        <w:rPr>
          <w:sz w:val="20"/>
          <w:szCs w:val="20"/>
          <w:lang w:val="es-419"/>
        </w:rPr>
        <w:t>Las organizaciones peticionarias denuncian la demarcación parcial e insuficiente de las tierras indígenas del pueblo Awá, así como la falta de seguridad territorial, lo que ha permitido la presencia de invasores, derivando en amenazas, actos violentos, degradación ambiental y graves riesgos para su forma de vida.</w:t>
      </w:r>
    </w:p>
    <w:p w14:paraId="44E6F81E" w14:textId="22D8D265" w:rsidR="00C00BC8" w:rsidRPr="004F0D1B" w:rsidRDefault="00C00BC8" w:rsidP="009434A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419"/>
        </w:rPr>
      </w:pPr>
      <w:r w:rsidRPr="004F0D1B">
        <w:rPr>
          <w:sz w:val="20"/>
          <w:szCs w:val="20"/>
          <w:lang w:val="es-PE"/>
        </w:rPr>
        <w:t>A modo de contexto, relatan que en 1950 y 1985, debido a la construcción de la carretera BR</w:t>
      </w:r>
      <w:r w:rsidR="00C66031" w:rsidRPr="004F0D1B">
        <w:rPr>
          <w:sz w:val="20"/>
          <w:szCs w:val="20"/>
          <w:lang w:val="es-PE"/>
        </w:rPr>
        <w:t>-</w:t>
      </w:r>
      <w:r w:rsidRPr="004F0D1B">
        <w:rPr>
          <w:sz w:val="20"/>
          <w:szCs w:val="20"/>
          <w:lang w:val="es-PE"/>
        </w:rPr>
        <w:t xml:space="preserve">222 y una vía férrea, madereros incursionaron en las tierras del pueblo Awá y realizaron actividades económicas, provocando conflictos, ataques, asesinatos y la introducción de enfermedades contagiosas. Entre los incidentes más recientes, destacan las incursiones de madereros armados en septiembre de 2012, quienes obligaron a un equipo de la Fundación Nacional </w:t>
      </w:r>
      <w:r w:rsidR="008E67B2" w:rsidRPr="004F0D1B">
        <w:rPr>
          <w:sz w:val="20"/>
          <w:szCs w:val="20"/>
          <w:lang w:val="es-PE"/>
        </w:rPr>
        <w:t>de los Pueblos Indígenas</w:t>
      </w:r>
      <w:r w:rsidRPr="004F0D1B">
        <w:rPr>
          <w:sz w:val="20"/>
          <w:szCs w:val="20"/>
          <w:lang w:val="es-PE"/>
        </w:rPr>
        <w:t xml:space="preserve"> (FUNAI) a retirarse de la región. En febrero de 2013, los indígenas Awá informaron a una de las organizaciones peticionarias que los madereros se encontraban en ese momento a pocos kilómetros de sus hogares.</w:t>
      </w:r>
    </w:p>
    <w:p w14:paraId="43573B8A" w14:textId="4FFA08F3" w:rsidR="00C61B18" w:rsidRPr="004F0D1B" w:rsidRDefault="00C61B18" w:rsidP="009434A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419"/>
        </w:rPr>
      </w:pPr>
      <w:r w:rsidRPr="004F0D1B">
        <w:rPr>
          <w:sz w:val="20"/>
          <w:szCs w:val="20"/>
          <w:lang w:val="es-419"/>
        </w:rPr>
        <w:t>Asimismo, señalan que aunque en 2004 las autoridades reconocieron formalmente uno de los territorios habitados por el pueblo Awá, lo que inicialmente contribuyó a una disminución de la deforestación en la zona, en 2009 dicho territorio sufrió una de las mayores pérdidas forestales del país. Por esta razón, aunque la parte peticionaria valora este avance en la protección de sus derechos, advierte que la subsistencia del pueblo Awá sigue en peligro si continúa el actual ritmo de deforestación. Además, subrayan que la degradación del territorio se ve exacerbada por incendios, muchos de los cuales son provocados deliberadamente para expandir áreas de pastoreo.</w:t>
      </w:r>
    </w:p>
    <w:p w14:paraId="7205EDAA" w14:textId="78A6B7FA" w:rsidR="00C00BC8" w:rsidRPr="004F0D1B" w:rsidRDefault="00730164" w:rsidP="009434A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419"/>
        </w:rPr>
      </w:pPr>
      <w:r w:rsidRPr="004F0D1B">
        <w:rPr>
          <w:sz w:val="20"/>
          <w:szCs w:val="20"/>
          <w:lang w:val="es-PE"/>
        </w:rPr>
        <w:t>Con r</w:t>
      </w:r>
      <w:r w:rsidR="00C00BC8" w:rsidRPr="004F0D1B">
        <w:rPr>
          <w:sz w:val="20"/>
          <w:szCs w:val="20"/>
          <w:lang w:val="es-PE"/>
        </w:rPr>
        <w:t>especto al agotamiento de la jurisdicción interna, alegan que la legislación brasileña no prevé recursos para que los integrantes del pueblo Awá que viven en aislamiento voluntario puedan obtener la protección de sus derechos. Sin perjuicio de ello, detallan que en 2002 la Fiscalía Pública Federal (Ministerio Público Federal, "MPF") interpuso una acción civil pública para que el Poder Judicial ordenara al Estado demarcar</w:t>
      </w:r>
      <w:r w:rsidR="007A1A45" w:rsidRPr="004F0D1B">
        <w:rPr>
          <w:sz w:val="20"/>
          <w:szCs w:val="20"/>
          <w:lang w:val="es-PE"/>
        </w:rPr>
        <w:t xml:space="preserve"> y sanear</w:t>
      </w:r>
      <w:r w:rsidR="00C00BC8" w:rsidRPr="004F0D1B">
        <w:rPr>
          <w:sz w:val="20"/>
          <w:szCs w:val="20"/>
          <w:lang w:val="es-PE"/>
        </w:rPr>
        <w:t xml:space="preserve"> todo el territorio Awá. Aunque en 2012 el Tribunal Regional Federal de la 1ª Región (TRF1) emitió un fallo favorable para esta demarcación y la expulsión de invasores, la decisión no ha sido implementada. Asimismo, otros territorios Awá —Alto Turiaçu, Caru y Araribóia— siguen bajo presión</w:t>
      </w:r>
      <w:r w:rsidR="003259EF" w:rsidRPr="004F0D1B">
        <w:rPr>
          <w:sz w:val="20"/>
          <w:szCs w:val="20"/>
          <w:lang w:val="es-PE"/>
        </w:rPr>
        <w:t xml:space="preserve"> de los invasores</w:t>
      </w:r>
      <w:r w:rsidR="00C00BC8" w:rsidRPr="004F0D1B">
        <w:rPr>
          <w:sz w:val="20"/>
          <w:szCs w:val="20"/>
          <w:lang w:val="es-PE"/>
        </w:rPr>
        <w:t xml:space="preserve">, sin ser incluidos en las </w:t>
      </w:r>
      <w:r w:rsidR="005B0651" w:rsidRPr="004F0D1B">
        <w:rPr>
          <w:sz w:val="20"/>
          <w:szCs w:val="20"/>
          <w:lang w:val="es-PE"/>
        </w:rPr>
        <w:t>determinaciones judiciales de demarcación y saneamiento o ex</w:t>
      </w:r>
      <w:r w:rsidR="001709C4" w:rsidRPr="004F0D1B">
        <w:rPr>
          <w:sz w:val="20"/>
          <w:szCs w:val="20"/>
          <w:lang w:val="es-PE"/>
        </w:rPr>
        <w:t>p</w:t>
      </w:r>
      <w:r w:rsidR="005B0651" w:rsidRPr="004F0D1B">
        <w:rPr>
          <w:sz w:val="20"/>
          <w:szCs w:val="20"/>
          <w:lang w:val="es-PE"/>
        </w:rPr>
        <w:t>u</w:t>
      </w:r>
      <w:r w:rsidR="001709C4" w:rsidRPr="004F0D1B">
        <w:rPr>
          <w:sz w:val="20"/>
          <w:szCs w:val="20"/>
          <w:lang w:val="es-PE"/>
        </w:rPr>
        <w:t>l</w:t>
      </w:r>
      <w:r w:rsidR="005B0651" w:rsidRPr="004F0D1B">
        <w:rPr>
          <w:sz w:val="20"/>
          <w:szCs w:val="20"/>
          <w:lang w:val="es-PE"/>
        </w:rPr>
        <w:t>sión de los invasores</w:t>
      </w:r>
      <w:r w:rsidR="00C00BC8" w:rsidRPr="004F0D1B">
        <w:rPr>
          <w:sz w:val="20"/>
          <w:szCs w:val="20"/>
          <w:lang w:val="es-PE"/>
        </w:rPr>
        <w:t>.</w:t>
      </w:r>
    </w:p>
    <w:p w14:paraId="2F782C64" w14:textId="45000193" w:rsidR="00CD3109" w:rsidRPr="004F0D1B" w:rsidRDefault="00726E3A" w:rsidP="009434A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i/>
          <w:iCs/>
          <w:sz w:val="20"/>
          <w:szCs w:val="20"/>
          <w:lang w:val="es-419"/>
        </w:rPr>
      </w:pPr>
      <w:r w:rsidRPr="004F0D1B">
        <w:rPr>
          <w:i/>
          <w:iCs/>
          <w:sz w:val="20"/>
          <w:szCs w:val="20"/>
          <w:lang w:val="es-419"/>
        </w:rPr>
        <w:t>E</w:t>
      </w:r>
      <w:r w:rsidR="00CD3109" w:rsidRPr="004F0D1B">
        <w:rPr>
          <w:i/>
          <w:iCs/>
          <w:sz w:val="20"/>
          <w:szCs w:val="20"/>
          <w:lang w:val="es-419"/>
        </w:rPr>
        <w:t>l Estado</w:t>
      </w:r>
      <w:r w:rsidRPr="004F0D1B">
        <w:rPr>
          <w:i/>
          <w:iCs/>
          <w:sz w:val="20"/>
          <w:szCs w:val="20"/>
          <w:lang w:val="es-419"/>
        </w:rPr>
        <w:t xml:space="preserve"> brasileño</w:t>
      </w:r>
      <w:r w:rsidR="00CD3109" w:rsidRPr="004F0D1B">
        <w:rPr>
          <w:i/>
          <w:iCs/>
          <w:sz w:val="20"/>
          <w:szCs w:val="20"/>
          <w:lang w:val="es-419"/>
        </w:rPr>
        <w:t xml:space="preserve"> </w:t>
      </w:r>
    </w:p>
    <w:p w14:paraId="5D5719BB" w14:textId="5E050D79" w:rsidR="003D331F" w:rsidRPr="004F0D1B" w:rsidRDefault="003D331F" w:rsidP="009434A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419"/>
        </w:rPr>
      </w:pPr>
      <w:r w:rsidRPr="004F0D1B">
        <w:rPr>
          <w:sz w:val="20"/>
          <w:szCs w:val="20"/>
          <w:lang w:val="es-ES"/>
        </w:rPr>
        <w:t xml:space="preserve">El Estado sostiene, primeramente, que la Comisión Interamericana no tiene competencia </w:t>
      </w:r>
      <w:r w:rsidR="00C61B18" w:rsidRPr="004F0D1B">
        <w:rPr>
          <w:sz w:val="20"/>
          <w:szCs w:val="20"/>
          <w:lang w:val="es-ES"/>
        </w:rPr>
        <w:t>debido a</w:t>
      </w:r>
      <w:r w:rsidRPr="004F0D1B">
        <w:rPr>
          <w:sz w:val="20"/>
          <w:szCs w:val="20"/>
          <w:lang w:val="es-ES"/>
        </w:rPr>
        <w:t xml:space="preserve"> la materia para declarar violaciones a la Convención 169 de la OIT invocada por la parte peticionaria, ya que esta convención no forma parte del sistema interamericano.</w:t>
      </w:r>
    </w:p>
    <w:p w14:paraId="4C65D0DA" w14:textId="6126ED7F" w:rsidR="008555BF" w:rsidRPr="004F0D1B" w:rsidRDefault="003D331F" w:rsidP="009434A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419"/>
        </w:rPr>
      </w:pPr>
      <w:r w:rsidRPr="004F0D1B">
        <w:rPr>
          <w:sz w:val="20"/>
          <w:szCs w:val="20"/>
          <w:lang w:val="es-419"/>
        </w:rPr>
        <w:t>A</w:t>
      </w:r>
      <w:r w:rsidR="00FB5290" w:rsidRPr="004F0D1B">
        <w:rPr>
          <w:sz w:val="20"/>
          <w:szCs w:val="20"/>
          <w:lang w:val="es-419"/>
        </w:rPr>
        <w:t>lega</w:t>
      </w:r>
      <w:r w:rsidR="008555BF" w:rsidRPr="004F0D1B">
        <w:rPr>
          <w:sz w:val="20"/>
          <w:szCs w:val="20"/>
          <w:lang w:val="es-419"/>
        </w:rPr>
        <w:t xml:space="preserve"> que la parte peticionaria presentó </w:t>
      </w:r>
      <w:r w:rsidRPr="004F0D1B">
        <w:rPr>
          <w:sz w:val="20"/>
          <w:szCs w:val="20"/>
          <w:lang w:val="es-419"/>
        </w:rPr>
        <w:t>la denuncia a la CIDH</w:t>
      </w:r>
      <w:r w:rsidR="008555BF" w:rsidRPr="004F0D1B">
        <w:rPr>
          <w:sz w:val="20"/>
          <w:szCs w:val="20"/>
          <w:lang w:val="es-419"/>
        </w:rPr>
        <w:t xml:space="preserve"> antes de que concluyese la tramitación de la acción civil pública interpuesta para demarcar todo el territorio Awá (Acción Civil Pública No. 2002.37.00.003918-2). Señala que, si bien el 9 de diciembre de 2011 el TRF1, tras una decisión de primera instancia, dispuso que en el plazo de un año las autoridades expulsaran a las personas no indígenas de las referidas tierras, una de las partes interpuso un recurso de aclaración, el cual recién fue resuelto el 6 de agosto de 2012. Tras ello, también se presentaron otros recursos, los cuales fueron decididos el 20 de </w:t>
      </w:r>
      <w:r w:rsidR="001709C4" w:rsidRPr="004F0D1B">
        <w:rPr>
          <w:sz w:val="20"/>
          <w:szCs w:val="20"/>
          <w:lang w:val="es-419"/>
        </w:rPr>
        <w:t>noviembre</w:t>
      </w:r>
      <w:r w:rsidR="008555BF" w:rsidRPr="004F0D1B">
        <w:rPr>
          <w:sz w:val="20"/>
          <w:szCs w:val="20"/>
          <w:lang w:val="es-419"/>
        </w:rPr>
        <w:t xml:space="preserve"> de 2015</w:t>
      </w:r>
      <w:r w:rsidR="001709C4" w:rsidRPr="004F0D1B">
        <w:rPr>
          <w:sz w:val="20"/>
          <w:szCs w:val="20"/>
          <w:lang w:val="es-419"/>
        </w:rPr>
        <w:t>, fecha en que el proceso interno quedó firme</w:t>
      </w:r>
      <w:r w:rsidR="008555BF" w:rsidRPr="004F0D1B">
        <w:rPr>
          <w:sz w:val="20"/>
          <w:szCs w:val="20"/>
          <w:lang w:val="es-419"/>
        </w:rPr>
        <w:t>. En consecuencia, considera que la parte peticionaria presentó su petición antes de que el citado proceso tuviera una decisión firme y definitiva</w:t>
      </w:r>
      <w:r w:rsidR="001709C4" w:rsidRPr="004F0D1B">
        <w:rPr>
          <w:sz w:val="20"/>
          <w:szCs w:val="20"/>
          <w:lang w:val="es-419"/>
        </w:rPr>
        <w:t xml:space="preserve">. </w:t>
      </w:r>
    </w:p>
    <w:p w14:paraId="2D2FCC42" w14:textId="2BA5D63A" w:rsidR="008555BF" w:rsidRPr="004F0D1B" w:rsidRDefault="008555BF" w:rsidP="009434A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419"/>
        </w:rPr>
      </w:pPr>
      <w:r w:rsidRPr="004F0D1B">
        <w:rPr>
          <w:sz w:val="20"/>
          <w:szCs w:val="20"/>
          <w:lang w:val="es-419"/>
        </w:rPr>
        <w:t xml:space="preserve">Asimismo, que a partir de una simple búsqueda en el sitio web del TRF1, es posible identificar la existencia de varias acciones civiles públicas interpuestas por una de las dos organizaciones peticionarias (el Consejo Indigenista Misionario). En la misma línea, añade que la parte peticionaria no ha solicitado </w:t>
      </w:r>
      <w:r w:rsidR="00AE3945" w:rsidRPr="004F0D1B">
        <w:rPr>
          <w:sz w:val="20"/>
          <w:szCs w:val="20"/>
          <w:lang w:val="es-419"/>
        </w:rPr>
        <w:t xml:space="preserve">reparaciones </w:t>
      </w:r>
      <w:r w:rsidR="003D331F" w:rsidRPr="004F0D1B">
        <w:rPr>
          <w:sz w:val="20"/>
          <w:szCs w:val="20"/>
          <w:lang w:val="es-419"/>
        </w:rPr>
        <w:t>por daños materiales, morales y ambientales</w:t>
      </w:r>
      <w:r w:rsidR="00AE3945" w:rsidRPr="004F0D1B">
        <w:rPr>
          <w:sz w:val="20"/>
          <w:szCs w:val="20"/>
          <w:lang w:val="es-419"/>
        </w:rPr>
        <w:t xml:space="preserve"> </w:t>
      </w:r>
      <w:r w:rsidRPr="004F0D1B">
        <w:rPr>
          <w:sz w:val="20"/>
          <w:szCs w:val="20"/>
          <w:lang w:val="es-419"/>
        </w:rPr>
        <w:t>en ninguna de sus demandas</w:t>
      </w:r>
      <w:r w:rsidR="003D331F" w:rsidRPr="004F0D1B">
        <w:rPr>
          <w:sz w:val="20"/>
          <w:szCs w:val="20"/>
          <w:lang w:val="es-419"/>
        </w:rPr>
        <w:t xml:space="preserve"> civiles</w:t>
      </w:r>
      <w:r w:rsidRPr="004F0D1B">
        <w:rPr>
          <w:sz w:val="20"/>
          <w:szCs w:val="20"/>
          <w:lang w:val="es-419"/>
        </w:rPr>
        <w:t xml:space="preserve">. Por lo expuesto, solicita a la Comisión que declare inadmisible esta petición por no cumplir el requisito previsto en el artículo </w:t>
      </w:r>
      <w:r w:rsidRPr="004F0D1B">
        <w:rPr>
          <w:sz w:val="20"/>
          <w:szCs w:val="20"/>
          <w:lang w:val="es-419"/>
        </w:rPr>
        <w:lastRenderedPageBreak/>
        <w:t>46.1.a) de la Convención Americana.</w:t>
      </w:r>
    </w:p>
    <w:p w14:paraId="430AA8D8" w14:textId="16BC419A" w:rsidR="008555BF" w:rsidRPr="004F0D1B" w:rsidRDefault="008555BF" w:rsidP="009434A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419"/>
        </w:rPr>
      </w:pPr>
      <w:r w:rsidRPr="004F0D1B">
        <w:rPr>
          <w:sz w:val="20"/>
          <w:szCs w:val="20"/>
          <w:lang w:val="es-419"/>
        </w:rPr>
        <w:t xml:space="preserve">Sin perjuicio de lo expuesto, sostiene que ha </w:t>
      </w:r>
      <w:r w:rsidR="0079289D" w:rsidRPr="004F0D1B">
        <w:rPr>
          <w:sz w:val="20"/>
          <w:szCs w:val="20"/>
          <w:lang w:val="es-419"/>
        </w:rPr>
        <w:t>adoptado</w:t>
      </w:r>
      <w:r w:rsidRPr="004F0D1B">
        <w:rPr>
          <w:sz w:val="20"/>
          <w:szCs w:val="20"/>
          <w:lang w:val="es-419"/>
        </w:rPr>
        <w:t xml:space="preserve"> medidas para proteger los derechos de las presuntas víctimas. Señala que desde la citada decisión del 6 de agosto de 2012, las autoridades iniciaron los trabajos de caracterización y mapeo de la zona indígena Awá, preparándose para el gran operativo de expulsión que se estaba por llevar a cabo. Además, alega que las acciones estatales, comenzadas en 2013 e intensificadas en 2014, culminaron con la expulsión efectiva de los no indígenas de las tierras de los Awá ese mismo año. Destaca que, como resultado, el 15 de abril de 2014 el pueblo Awá recibió el "auto de expulsión" a manos de funcionarios de la Justicia Federal en el Estado de Maranhão, y que con ello el Estado aseguró la posesión de la tierra indígena al pueblo Awá.</w:t>
      </w:r>
    </w:p>
    <w:p w14:paraId="1D62C30C" w14:textId="7B218D51" w:rsidR="008555BF" w:rsidRPr="004F0D1B" w:rsidRDefault="008555BF" w:rsidP="009434A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419"/>
        </w:rPr>
      </w:pPr>
      <w:r w:rsidRPr="004F0D1B">
        <w:rPr>
          <w:sz w:val="20"/>
          <w:szCs w:val="20"/>
          <w:lang w:val="es-419"/>
        </w:rPr>
        <w:t xml:space="preserve">Adicionalmente, resalta que los territorios indígenas </w:t>
      </w:r>
      <w:r w:rsidR="00A23AE5" w:rsidRPr="004F0D1B">
        <w:rPr>
          <w:sz w:val="20"/>
          <w:szCs w:val="20"/>
          <w:lang w:val="es-419"/>
        </w:rPr>
        <w:t xml:space="preserve">Caru, </w:t>
      </w:r>
      <w:r w:rsidRPr="004F0D1B">
        <w:rPr>
          <w:sz w:val="20"/>
          <w:szCs w:val="20"/>
          <w:lang w:val="es-419"/>
        </w:rPr>
        <w:t>Alto Turiaçu, Araribóia y Awá</w:t>
      </w:r>
      <w:r w:rsidR="00A23AE5" w:rsidRPr="004F0D1B">
        <w:rPr>
          <w:sz w:val="20"/>
          <w:szCs w:val="20"/>
          <w:lang w:val="es-419"/>
        </w:rPr>
        <w:t xml:space="preserve"> fueron demarcados respectivamente, en 1982, 1988, 1990 y 2005.</w:t>
      </w:r>
      <w:r w:rsidRPr="004F0D1B">
        <w:rPr>
          <w:sz w:val="20"/>
          <w:szCs w:val="20"/>
          <w:lang w:val="es-419"/>
        </w:rPr>
        <w:t xml:space="preserve"> Señala que la vía férrea mencionada por la parte peticionaria, finalizada en 1985, no atraviesa territorios indígenas. Según el Estado, la vía en cuestión es la Estrada de Ferro Carajás (EFC), construida en 1982 y actualmente encargada del transporte tanto de pasajeros como de mineral. Para la construcción de la vía los indígenas de la región se beneficiaron de medidas compensatorias y mitigadoras, tales como demarcación, proyectos de conservación ambiental, educación, salud, saneamiento y protección de indígenas en aislamiento. Además, el mapa del lugar donde se construyó la vía férrea muestra que está muy lejos de la tierra de los Awá y que, de hecho, solo colinda con la tierra indígena Caru.</w:t>
      </w:r>
    </w:p>
    <w:p w14:paraId="5A212A64" w14:textId="3A505F2F" w:rsidR="008555BF" w:rsidRPr="004F0D1B" w:rsidRDefault="008555BF" w:rsidP="009434A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419"/>
        </w:rPr>
      </w:pPr>
      <w:r w:rsidRPr="004F0D1B">
        <w:rPr>
          <w:sz w:val="20"/>
          <w:szCs w:val="20"/>
          <w:lang w:val="es-419"/>
        </w:rPr>
        <w:t>Por último,</w:t>
      </w:r>
      <w:r w:rsidR="00143460" w:rsidRPr="004F0D1B">
        <w:rPr>
          <w:sz w:val="20"/>
          <w:szCs w:val="20"/>
          <w:lang w:val="es-419"/>
        </w:rPr>
        <w:t xml:space="preserve"> Brasil</w:t>
      </w:r>
      <w:r w:rsidRPr="004F0D1B">
        <w:rPr>
          <w:sz w:val="20"/>
          <w:szCs w:val="20"/>
          <w:lang w:val="es-419"/>
        </w:rPr>
        <w:t xml:space="preserve"> informa que ha adoptado políticas públicas enfocadas en proteger las tierras indígenas ubicadas en el Estado de Maranhão, incluidas las tierras de los Awá, tales como acciones constantes de inspección, apoyo a las actividades de monitoreo preventivo y la denominada vigilancia indígena, que promueve la participación de la comunidad indígena en actividades de apoyo y fomento a la protección territorial. Para probar esto, presenta el informe de un operativo de inspección de abril de 2019, el cual menciona la presencia de invasores y documenta actividades de monitoreo e inspección por parte de fuerzas militares, policiales y ambientales. Dichas actividades incluyeron la aprehensión de equipos de madereros clandestinos. Con base en ello, solicita a la Comisión que declare inadmisible este reclamo.</w:t>
      </w:r>
    </w:p>
    <w:p w14:paraId="6B466593" w14:textId="58FD50F9" w:rsidR="00B83158" w:rsidRPr="004F0D1B" w:rsidRDefault="00B83158" w:rsidP="009434A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UY"/>
        </w:rPr>
      </w:pPr>
      <w:r w:rsidRPr="004F0D1B">
        <w:rPr>
          <w:rFonts w:asciiTheme="majorHAnsi" w:hAnsiTheme="majorHAnsi"/>
          <w:b/>
          <w:sz w:val="20"/>
          <w:szCs w:val="20"/>
          <w:lang w:val="es-UY"/>
        </w:rPr>
        <w:t xml:space="preserve">VI. </w:t>
      </w:r>
      <w:r w:rsidRPr="004F0D1B">
        <w:rPr>
          <w:rFonts w:asciiTheme="majorHAnsi" w:hAnsiTheme="majorHAnsi"/>
          <w:b/>
          <w:sz w:val="20"/>
          <w:szCs w:val="20"/>
          <w:lang w:val="es-UY"/>
        </w:rPr>
        <w:tab/>
      </w:r>
      <w:r w:rsidRPr="004F0D1B">
        <w:rPr>
          <w:rFonts w:asciiTheme="majorHAnsi" w:hAnsiTheme="majorHAnsi"/>
          <w:b/>
          <w:bCs/>
          <w:sz w:val="20"/>
          <w:szCs w:val="20"/>
          <w:lang w:val="es-ES_tradnl"/>
        </w:rPr>
        <w:t xml:space="preserve">ANÁLISIS DE </w:t>
      </w:r>
      <w:r w:rsidRPr="004F0D1B">
        <w:rPr>
          <w:rFonts w:asciiTheme="majorHAnsi" w:hAnsiTheme="majorHAnsi"/>
          <w:b/>
          <w:sz w:val="20"/>
          <w:szCs w:val="20"/>
          <w:lang w:val="es-ES"/>
        </w:rPr>
        <w:t>AGOTAMIENTO DE LOS RECURSOS INTERNOS Y PLAZO DE PRESENTACIÓN</w:t>
      </w:r>
      <w:r w:rsidRPr="004F0D1B">
        <w:rPr>
          <w:rFonts w:asciiTheme="majorHAnsi" w:hAnsiTheme="majorHAnsi"/>
          <w:b/>
          <w:bCs/>
          <w:sz w:val="20"/>
          <w:szCs w:val="20"/>
          <w:lang w:val="es-ES"/>
        </w:rPr>
        <w:t xml:space="preserve"> </w:t>
      </w:r>
    </w:p>
    <w:p w14:paraId="005CD770" w14:textId="77777777" w:rsidR="00FD639B" w:rsidRPr="004F0D1B" w:rsidRDefault="00FD639B" w:rsidP="009434AB">
      <w:pPr>
        <w:pStyle w:val="ListParagraph"/>
        <w:widowControl w:val="0"/>
        <w:numPr>
          <w:ilvl w:val="0"/>
          <w:numId w:val="59"/>
        </w:numPr>
        <w:spacing w:after="240"/>
        <w:ind w:left="0" w:firstLine="720"/>
        <w:jc w:val="both"/>
        <w:rPr>
          <w:rFonts w:asciiTheme="majorHAnsi" w:hAnsiTheme="majorHAnsi"/>
          <w:sz w:val="20"/>
          <w:szCs w:val="20"/>
          <w:lang w:val="es-ES"/>
        </w:rPr>
      </w:pPr>
      <w:r w:rsidRPr="004F0D1B">
        <w:rPr>
          <w:rFonts w:asciiTheme="majorHAnsi" w:hAnsiTheme="majorHAnsi"/>
          <w:sz w:val="20"/>
          <w:szCs w:val="20"/>
          <w:lang w:val="es-ES"/>
        </w:rPr>
        <w:t>La petición se centra en denunciar la falta de demarcación completa de las tierras indígenas del pueblo Awá y la insuficiente seguridad territorial, lo que ha facilitado la persistente presencia de invasores en sus territorios. Con base en ello, l</w:t>
      </w:r>
      <w:r w:rsidR="0081344C" w:rsidRPr="004F0D1B">
        <w:rPr>
          <w:rFonts w:asciiTheme="majorHAnsi" w:hAnsiTheme="majorHAnsi"/>
          <w:sz w:val="20"/>
          <w:szCs w:val="20"/>
          <w:lang w:val="es-ES"/>
        </w:rPr>
        <w:t>a Comisión Interamericana recuerda que, conforme a sus precedentes, el cumplimiento del requisito del previo agotamiento de los recursos lo analiza con base en la situación de hecho y de derecho vigente al momento de la adopción del informe de admisibilidad, y no a partir de aquella que existía al momento de presentación de la petición</w:t>
      </w:r>
      <w:r w:rsidR="0081344C" w:rsidRPr="004F0D1B">
        <w:rPr>
          <w:rFonts w:asciiTheme="majorHAnsi" w:hAnsiTheme="majorHAnsi"/>
          <w:sz w:val="20"/>
          <w:szCs w:val="20"/>
          <w:bdr w:val="none" w:sz="0" w:space="0" w:color="auto"/>
          <w:vertAlign w:val="superscript"/>
          <w:lang w:val="es-ES"/>
        </w:rPr>
        <w:footnoteReference w:id="5"/>
      </w:r>
      <w:r w:rsidR="0081344C" w:rsidRPr="004F0D1B">
        <w:rPr>
          <w:rFonts w:asciiTheme="majorHAnsi" w:hAnsiTheme="majorHAnsi"/>
          <w:sz w:val="20"/>
          <w:szCs w:val="20"/>
          <w:lang w:val="es-ES"/>
        </w:rPr>
        <w:t>. Asimismo, reitera que el requisito de agotamiento de los recursos internos no significa que las presuntas víctimas tengan la obligación de agotar todos los recursos que tengan disponibles. Tanto la Corte como la Comisión han señalado en reiteradas oportunidades que “[…]</w:t>
      </w:r>
      <w:r w:rsidR="003259EF" w:rsidRPr="004F0D1B">
        <w:rPr>
          <w:rFonts w:asciiTheme="majorHAnsi" w:hAnsiTheme="majorHAnsi"/>
          <w:sz w:val="20"/>
          <w:szCs w:val="20"/>
          <w:lang w:val="es-ES"/>
        </w:rPr>
        <w:t xml:space="preserve"> </w:t>
      </w:r>
      <w:r w:rsidR="0081344C" w:rsidRPr="004F0D1B">
        <w:rPr>
          <w:rFonts w:asciiTheme="majorHAnsi" w:hAnsiTheme="majorHAnsi"/>
          <w:i/>
          <w:iCs/>
          <w:sz w:val="20"/>
          <w:szCs w:val="20"/>
          <w:lang w:val="es-ES"/>
        </w:rPr>
        <w:t>la regla que exige el previo agotamiento de los recursos internos está concebida en interés del Estado, pues busca dispensarlo de responder ante un órgano internacional por actos que se le imputen, antes de haber tenido la ocasión de remediarlos con sus propios medios</w:t>
      </w:r>
      <w:r w:rsidR="0081344C" w:rsidRPr="004F0D1B">
        <w:rPr>
          <w:rFonts w:asciiTheme="majorHAnsi" w:hAnsiTheme="majorHAnsi"/>
          <w:sz w:val="20"/>
          <w:szCs w:val="20"/>
          <w:lang w:val="es-ES"/>
        </w:rPr>
        <w:t>”</w:t>
      </w:r>
      <w:r w:rsidR="0081344C" w:rsidRPr="004F0D1B">
        <w:rPr>
          <w:rStyle w:val="FootnoteReference"/>
          <w:rFonts w:asciiTheme="majorHAnsi" w:hAnsiTheme="majorHAnsi"/>
          <w:sz w:val="20"/>
          <w:szCs w:val="20"/>
          <w:lang w:val="es-ES"/>
        </w:rPr>
        <w:footnoteReference w:id="6"/>
      </w:r>
      <w:r w:rsidR="0081344C" w:rsidRPr="004F0D1B">
        <w:rPr>
          <w:rFonts w:asciiTheme="majorHAnsi" w:hAnsiTheme="majorHAnsi"/>
          <w:sz w:val="20"/>
          <w:szCs w:val="20"/>
          <w:lang w:val="es-ES"/>
        </w:rPr>
        <w:t>.</w:t>
      </w:r>
    </w:p>
    <w:p w14:paraId="2E7B3959" w14:textId="4044275C" w:rsidR="00FD639B" w:rsidRPr="002071B6" w:rsidRDefault="00FD639B" w:rsidP="009434AB">
      <w:pPr>
        <w:pStyle w:val="ListParagraph"/>
        <w:widowControl w:val="0"/>
        <w:numPr>
          <w:ilvl w:val="0"/>
          <w:numId w:val="59"/>
        </w:numPr>
        <w:spacing w:after="240"/>
        <w:ind w:left="0" w:firstLine="720"/>
        <w:jc w:val="both"/>
        <w:rPr>
          <w:rFonts w:asciiTheme="majorHAnsi" w:hAnsiTheme="majorHAnsi"/>
          <w:sz w:val="20"/>
          <w:szCs w:val="20"/>
          <w:lang w:val="es-ES"/>
        </w:rPr>
      </w:pPr>
      <w:r w:rsidRPr="004F0D1B">
        <w:rPr>
          <w:rFonts w:asciiTheme="majorHAnsi" w:hAnsiTheme="majorHAnsi"/>
          <w:sz w:val="20"/>
          <w:szCs w:val="20"/>
          <w:lang w:val="es-ES"/>
        </w:rPr>
        <w:t xml:space="preserve">En el presente caso, para cumplir con el requisito de agotamiento de la jurisdicción interna, la parte peticionaria señala que: i) en 2002, el Ministerio Público Federal (MPF), en representación de los intereses indígenas, inició la acción civil pública 2002.37.00.003918-2 solicitando la demarcación y el saneamiento de las tierras indígenas de los Awá, así como la expulsión de los invasores; ii) en 2012, el Tribunal </w:t>
      </w:r>
      <w:r w:rsidRPr="004F0D1B">
        <w:rPr>
          <w:rFonts w:asciiTheme="majorHAnsi" w:hAnsiTheme="majorHAnsi"/>
          <w:sz w:val="20"/>
          <w:szCs w:val="20"/>
          <w:lang w:val="es-ES"/>
        </w:rPr>
        <w:lastRenderedPageBreak/>
        <w:t xml:space="preserve">Regional Federal (TRF) ordenó la </w:t>
      </w:r>
      <w:r w:rsidRPr="002071B6">
        <w:rPr>
          <w:rFonts w:asciiTheme="majorHAnsi" w:hAnsiTheme="majorHAnsi"/>
          <w:sz w:val="20"/>
          <w:szCs w:val="20"/>
          <w:lang w:val="es-ES"/>
        </w:rPr>
        <w:t>demarcación y la expulsión de los invasores, pero dicha decisión no fue implementada. Según la información proporcionada por el Estado, el 20 de noviembre de 2015 los órganos de justicia adoptaron la última decisión relacionada con este proceso, la cual ya cuenta con calidad de cosa juzgada.</w:t>
      </w:r>
    </w:p>
    <w:p w14:paraId="7C3A873D" w14:textId="411140B3" w:rsidR="004F0D1B" w:rsidRPr="002071B6" w:rsidRDefault="004F0D1B" w:rsidP="009434AB">
      <w:pPr>
        <w:pStyle w:val="ListParagraph"/>
        <w:widowControl w:val="0"/>
        <w:numPr>
          <w:ilvl w:val="0"/>
          <w:numId w:val="59"/>
        </w:numPr>
        <w:spacing w:after="240"/>
        <w:ind w:left="0" w:firstLine="720"/>
        <w:jc w:val="both"/>
        <w:rPr>
          <w:rFonts w:asciiTheme="majorHAnsi" w:hAnsiTheme="majorHAnsi"/>
          <w:sz w:val="20"/>
          <w:szCs w:val="20"/>
          <w:lang w:val="es-ES"/>
        </w:rPr>
      </w:pPr>
      <w:r w:rsidRPr="002071B6">
        <w:rPr>
          <w:rFonts w:asciiTheme="majorHAnsi" w:hAnsiTheme="majorHAnsi"/>
          <w:sz w:val="20"/>
          <w:szCs w:val="20"/>
          <w:lang w:val="es-ES"/>
        </w:rPr>
        <w:t xml:space="preserve">El Estado, por su parte, alega que existen varias acciones interpuestas por una de las organizaciones peticionarias, el </w:t>
      </w:r>
      <w:r w:rsidRPr="002071B6">
        <w:rPr>
          <w:rFonts w:asciiTheme="majorHAnsi" w:hAnsiTheme="majorHAnsi"/>
          <w:i/>
          <w:iCs/>
          <w:sz w:val="20"/>
          <w:szCs w:val="20"/>
          <w:lang w:val="es-ES"/>
        </w:rPr>
        <w:t>Conselho Indigenista Missionário</w:t>
      </w:r>
      <w:r w:rsidRPr="002071B6">
        <w:rPr>
          <w:rFonts w:asciiTheme="majorHAnsi" w:hAnsiTheme="majorHAnsi"/>
          <w:sz w:val="20"/>
          <w:szCs w:val="20"/>
          <w:lang w:val="es-ES"/>
        </w:rPr>
        <w:t>, y que la parte peticionaria no ha solicitado reparaciones por daños materiales, morales y ambientales en ninguna de sus demandas civiles. Sostiene que, al no haberse agotado estos recursos internos disponibles, la petición no cumple con el requisito previsto en el artículo 46.1.a) de la Convención Americana y debe ser declarada inadmisible.</w:t>
      </w:r>
    </w:p>
    <w:p w14:paraId="494AC076" w14:textId="056B94E4" w:rsidR="004F0D1B" w:rsidRPr="002071B6" w:rsidRDefault="004F0D1B" w:rsidP="009434AB">
      <w:pPr>
        <w:pStyle w:val="ListParagraph"/>
        <w:widowControl w:val="0"/>
        <w:numPr>
          <w:ilvl w:val="0"/>
          <w:numId w:val="59"/>
        </w:numPr>
        <w:spacing w:after="240"/>
        <w:ind w:left="0" w:firstLine="720"/>
        <w:jc w:val="both"/>
        <w:rPr>
          <w:sz w:val="20"/>
          <w:szCs w:val="20"/>
          <w:lang w:val="es-ES"/>
        </w:rPr>
      </w:pPr>
      <w:r w:rsidRPr="002071B6">
        <w:rPr>
          <w:sz w:val="20"/>
          <w:szCs w:val="20"/>
          <w:lang w:val="es-ES"/>
        </w:rPr>
        <w:t>La Comisión observa que el requisito de agotamiento de los recursos internos exige que se utilicen aquellos recursos adecuados y efectivos para remediar las violaciones alegadas. En este sentido, la acción civil pública interpuesta en 2002 por el MPF buscaba la demarcación y protección de las tierras indígenas de los Awá, así como la expulsión de los invasores, que son cuestiones centrales en la presente petición. Dicha acción culminó con una decisión definitiva el 20 de noviembre de 2015.</w:t>
      </w:r>
    </w:p>
    <w:p w14:paraId="775C0AE2" w14:textId="740F59F6" w:rsidR="004F0D1B" w:rsidRPr="002071B6" w:rsidRDefault="004F0D1B" w:rsidP="009434AB">
      <w:pPr>
        <w:pStyle w:val="ListParagraph"/>
        <w:widowControl w:val="0"/>
        <w:numPr>
          <w:ilvl w:val="0"/>
          <w:numId w:val="59"/>
        </w:numPr>
        <w:spacing w:after="240"/>
        <w:ind w:left="0" w:firstLine="720"/>
        <w:jc w:val="both"/>
        <w:rPr>
          <w:sz w:val="20"/>
          <w:szCs w:val="20"/>
          <w:lang w:val="es-ES"/>
        </w:rPr>
      </w:pPr>
      <w:r w:rsidRPr="002071B6">
        <w:rPr>
          <w:sz w:val="20"/>
          <w:szCs w:val="20"/>
          <w:lang w:val="es-ES"/>
        </w:rPr>
        <w:t>En relación con las otras acciones mencionadas por el Estado y supuestamente interpuestas por el CIMI, la Comisión nota que el Estado no ha proporcionado detalles específicos sobre su contenido, estado procesal o pertinencia directa con respecto a las violaciones alegadas en esta petición. Además, respecto a la falta de solicitudes de reparaciones por daños materiales, morales y ambientales, la Comisión considera que el objeto principal de la petición es la protección de los derechos territoriales y culturales del pueblo Awá. La ausencia de demandas de indemnización en los procesos internos no impide considerar agotados los recursos internos pertinentes para los fines de esta petición.</w:t>
      </w:r>
    </w:p>
    <w:p w14:paraId="25C3A870" w14:textId="67DF0C52" w:rsidR="00595A97" w:rsidRPr="004F0D1B" w:rsidRDefault="004F0D1B" w:rsidP="009434AB">
      <w:pPr>
        <w:pStyle w:val="ListParagraph"/>
        <w:widowControl w:val="0"/>
        <w:numPr>
          <w:ilvl w:val="0"/>
          <w:numId w:val="59"/>
        </w:numPr>
        <w:spacing w:after="240"/>
        <w:ind w:left="0" w:firstLine="720"/>
        <w:jc w:val="both"/>
        <w:rPr>
          <w:sz w:val="20"/>
          <w:szCs w:val="20"/>
          <w:lang w:val="es-ES"/>
        </w:rPr>
      </w:pPr>
      <w:r w:rsidRPr="002071B6">
        <w:rPr>
          <w:sz w:val="20"/>
          <w:szCs w:val="20"/>
          <w:lang w:val="es-ES"/>
        </w:rPr>
        <w:t xml:space="preserve">Por lo tanto, la Comisión concluye que los recursos internos han sido agotados en relación con las principales reclamaciones de la petición, y que la presente petición cumple con el requisito previsto en el artículo 46.1.a) de la Convención Americana. </w:t>
      </w:r>
      <w:r w:rsidR="001709C4" w:rsidRPr="002071B6">
        <w:rPr>
          <w:rFonts w:asciiTheme="majorHAnsi" w:hAnsiTheme="majorHAnsi"/>
          <w:sz w:val="20"/>
          <w:szCs w:val="20"/>
          <w:lang w:val="es-ES"/>
        </w:rPr>
        <w:t>En relación</w:t>
      </w:r>
      <w:r w:rsidR="001709C4" w:rsidRPr="004F0D1B">
        <w:rPr>
          <w:rFonts w:asciiTheme="majorHAnsi" w:hAnsiTheme="majorHAnsi"/>
          <w:sz w:val="20"/>
          <w:szCs w:val="20"/>
          <w:lang w:val="es-ES"/>
        </w:rPr>
        <w:t xml:space="preserve"> con el plazo de presentación, considerando que </w:t>
      </w:r>
      <w:r w:rsidR="00F61F2F" w:rsidRPr="004F0D1B">
        <w:rPr>
          <w:sz w:val="20"/>
          <w:szCs w:val="20"/>
          <w:lang w:val="es-ES"/>
        </w:rPr>
        <w:t>la citada resolución</w:t>
      </w:r>
      <w:r w:rsidR="001709C4" w:rsidRPr="004F0D1B">
        <w:rPr>
          <w:sz w:val="20"/>
          <w:szCs w:val="20"/>
          <w:lang w:val="es-ES"/>
        </w:rPr>
        <w:t xml:space="preserve"> final</w:t>
      </w:r>
      <w:r w:rsidR="00F61F2F" w:rsidRPr="004F0D1B">
        <w:rPr>
          <w:sz w:val="20"/>
          <w:szCs w:val="20"/>
          <w:lang w:val="es-ES"/>
        </w:rPr>
        <w:t xml:space="preserve"> se adoptó mientras el presente estudio aún estaba bajo estudio de admisibilidad, también se cumple el requerimiento de plazo establecido en el artículo 46.1.b) de la Convención. </w:t>
      </w:r>
      <w:bookmarkStart w:id="2" w:name="_Hlk144994399"/>
    </w:p>
    <w:p w14:paraId="79F44515" w14:textId="3C3B2748" w:rsidR="00FD639B" w:rsidRPr="004F0D1B" w:rsidRDefault="00C9124E" w:rsidP="009434AB">
      <w:pPr>
        <w:pStyle w:val="ListParagraph"/>
        <w:spacing w:after="240"/>
        <w:ind w:left="0" w:firstLine="720"/>
        <w:jc w:val="both"/>
        <w:rPr>
          <w:rFonts w:asciiTheme="majorHAnsi" w:hAnsiTheme="majorHAnsi"/>
          <w:b/>
          <w:bCs/>
          <w:sz w:val="20"/>
          <w:szCs w:val="20"/>
          <w:lang w:val="es-UY"/>
        </w:rPr>
      </w:pPr>
      <w:r w:rsidRPr="004F0D1B">
        <w:rPr>
          <w:rFonts w:asciiTheme="majorHAnsi" w:hAnsiTheme="majorHAnsi"/>
          <w:b/>
          <w:sz w:val="20"/>
          <w:szCs w:val="20"/>
          <w:lang w:val="es-UY"/>
        </w:rPr>
        <w:t xml:space="preserve">VII. </w:t>
      </w:r>
      <w:r w:rsidRPr="004F0D1B">
        <w:rPr>
          <w:rFonts w:asciiTheme="majorHAnsi" w:hAnsiTheme="majorHAnsi"/>
          <w:b/>
          <w:sz w:val="20"/>
          <w:szCs w:val="20"/>
          <w:lang w:val="es-UY"/>
        </w:rPr>
        <w:tab/>
      </w:r>
      <w:r w:rsidRPr="004F0D1B">
        <w:rPr>
          <w:rFonts w:asciiTheme="majorHAnsi" w:hAnsiTheme="majorHAnsi"/>
          <w:b/>
          <w:bCs/>
          <w:sz w:val="20"/>
          <w:szCs w:val="20"/>
          <w:lang w:val="es-ES_tradnl"/>
        </w:rPr>
        <w:t xml:space="preserve">ANÁLISIS DE </w:t>
      </w:r>
      <w:r w:rsidRPr="004F0D1B">
        <w:rPr>
          <w:rFonts w:asciiTheme="majorHAnsi" w:hAnsiTheme="majorHAnsi"/>
          <w:b/>
          <w:bCs/>
          <w:sz w:val="20"/>
          <w:szCs w:val="20"/>
          <w:lang w:val="es-ES"/>
        </w:rPr>
        <w:t xml:space="preserve">CARACTERIZACIÓN </w:t>
      </w:r>
      <w:r w:rsidRPr="004F0D1B">
        <w:rPr>
          <w:rFonts w:asciiTheme="majorHAnsi" w:hAnsiTheme="majorHAnsi"/>
          <w:b/>
          <w:bCs/>
          <w:sz w:val="20"/>
          <w:szCs w:val="20"/>
          <w:lang w:val="es-UY"/>
        </w:rPr>
        <w:t>DE LOS HECHOS ALEGADOS</w:t>
      </w:r>
    </w:p>
    <w:p w14:paraId="10A7CF6E" w14:textId="43E479CE" w:rsidR="00FD639B" w:rsidRPr="004F0D1B" w:rsidRDefault="00FD639B" w:rsidP="009434AB">
      <w:pPr>
        <w:pStyle w:val="ListParagraph"/>
        <w:widowControl w:val="0"/>
        <w:numPr>
          <w:ilvl w:val="0"/>
          <w:numId w:val="59"/>
        </w:numPr>
        <w:spacing w:after="240"/>
        <w:ind w:left="0" w:firstLine="720"/>
        <w:jc w:val="both"/>
        <w:rPr>
          <w:sz w:val="20"/>
          <w:szCs w:val="20"/>
          <w:lang w:val="es-ES"/>
        </w:rPr>
      </w:pPr>
      <w:r w:rsidRPr="004F0D1B">
        <w:rPr>
          <w:sz w:val="20"/>
          <w:szCs w:val="20"/>
          <w:lang w:val="es-ES"/>
        </w:rPr>
        <w:t xml:space="preserve">En primer lugar, la Comisión reitera que el criterio de evaluación de la fase de admisibilidad difiere del que se utiliza para pronunciarse sobre el fondo de una petición; la CIDH debe realizar en esta etapa una evaluación </w:t>
      </w:r>
      <w:r w:rsidRPr="004F0D1B">
        <w:rPr>
          <w:i/>
          <w:iCs/>
          <w:sz w:val="20"/>
          <w:szCs w:val="20"/>
          <w:lang w:val="es-ES"/>
        </w:rPr>
        <w:t>prima facie</w:t>
      </w:r>
      <w:r w:rsidRPr="004F0D1B">
        <w:rPr>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59984D1F" w14:textId="77777777" w:rsidR="00F328DD" w:rsidRPr="004F0D1B" w:rsidRDefault="0009793B" w:rsidP="009434AB">
      <w:pPr>
        <w:pStyle w:val="ListParagraph"/>
        <w:widowControl w:val="0"/>
        <w:numPr>
          <w:ilvl w:val="0"/>
          <w:numId w:val="59"/>
        </w:numPr>
        <w:spacing w:after="240"/>
        <w:ind w:left="0" w:firstLine="720"/>
        <w:jc w:val="both"/>
        <w:rPr>
          <w:sz w:val="20"/>
          <w:szCs w:val="20"/>
          <w:lang w:val="es-ES"/>
        </w:rPr>
      </w:pPr>
      <w:r w:rsidRPr="004F0D1B">
        <w:rPr>
          <w:sz w:val="20"/>
          <w:szCs w:val="20"/>
          <w:lang w:val="es-ES"/>
        </w:rPr>
        <w:t xml:space="preserve">La parte peticionaria denuncia la demarcación parcial e insuficiente de las tierras indígenas del pueblo Awá y la falta de seguridad territorial, lo que ha permitido la continua presencia de invasores en sus territorios. El Estado, de su parte, argumenta que </w:t>
      </w:r>
      <w:r w:rsidR="0062296E" w:rsidRPr="004F0D1B">
        <w:rPr>
          <w:sz w:val="20"/>
          <w:szCs w:val="20"/>
          <w:lang w:val="es-ES"/>
        </w:rPr>
        <w:t>la petición es</w:t>
      </w:r>
      <w:r w:rsidR="00036DBE" w:rsidRPr="004F0D1B">
        <w:rPr>
          <w:sz w:val="20"/>
          <w:szCs w:val="20"/>
          <w:lang w:val="es-ES"/>
        </w:rPr>
        <w:t xml:space="preserve"> manifiestamente infundada, </w:t>
      </w:r>
      <w:r w:rsidR="0062296E" w:rsidRPr="004F0D1B">
        <w:rPr>
          <w:sz w:val="20"/>
          <w:szCs w:val="20"/>
          <w:lang w:val="es-ES"/>
        </w:rPr>
        <w:t>pues:</w:t>
      </w:r>
      <w:r w:rsidR="00036DBE" w:rsidRPr="004F0D1B">
        <w:rPr>
          <w:sz w:val="20"/>
          <w:szCs w:val="20"/>
          <w:lang w:val="es-ES"/>
        </w:rPr>
        <w:t xml:space="preserve"> i) la construcción de la vía férrea Carajás ha beneficiado a los indígenas, ii) los territorios indígenas mencionados por la parte peticionaria ya estarían</w:t>
      </w:r>
      <w:r w:rsidR="003259EF" w:rsidRPr="004F0D1B">
        <w:rPr>
          <w:sz w:val="20"/>
          <w:szCs w:val="20"/>
          <w:lang w:val="es-ES"/>
        </w:rPr>
        <w:t xml:space="preserve"> </w:t>
      </w:r>
      <w:r w:rsidR="001709C4" w:rsidRPr="004F0D1B">
        <w:rPr>
          <w:sz w:val="20"/>
          <w:szCs w:val="20"/>
          <w:lang w:val="es-ES"/>
        </w:rPr>
        <w:t>demarcados</w:t>
      </w:r>
      <w:r w:rsidR="00036DBE" w:rsidRPr="004F0D1B">
        <w:rPr>
          <w:sz w:val="20"/>
          <w:szCs w:val="20"/>
          <w:lang w:val="es-ES"/>
        </w:rPr>
        <w:t xml:space="preserve">, y iii) </w:t>
      </w:r>
      <w:r w:rsidR="0062296E" w:rsidRPr="004F0D1B">
        <w:rPr>
          <w:sz w:val="20"/>
          <w:szCs w:val="20"/>
          <w:lang w:val="es-ES"/>
        </w:rPr>
        <w:t xml:space="preserve">las autoridades han promovido </w:t>
      </w:r>
      <w:r w:rsidR="00036DBE" w:rsidRPr="004F0D1B">
        <w:rPr>
          <w:sz w:val="20"/>
          <w:szCs w:val="20"/>
          <w:lang w:val="es-ES"/>
        </w:rPr>
        <w:t>la ex</w:t>
      </w:r>
      <w:r w:rsidR="001709C4" w:rsidRPr="004F0D1B">
        <w:rPr>
          <w:sz w:val="20"/>
          <w:szCs w:val="20"/>
          <w:lang w:val="es-ES"/>
        </w:rPr>
        <w:t>pul</w:t>
      </w:r>
      <w:r w:rsidR="00036DBE" w:rsidRPr="004F0D1B">
        <w:rPr>
          <w:sz w:val="20"/>
          <w:szCs w:val="20"/>
          <w:lang w:val="es-ES"/>
        </w:rPr>
        <w:t>sión de los invasores de las tierras Awá en 2014.</w:t>
      </w:r>
      <w:r w:rsidR="0062296E" w:rsidRPr="004F0D1B">
        <w:rPr>
          <w:sz w:val="20"/>
          <w:szCs w:val="20"/>
          <w:lang w:val="es-ES"/>
        </w:rPr>
        <w:t xml:space="preserve"> </w:t>
      </w:r>
    </w:p>
    <w:p w14:paraId="317966C4" w14:textId="77777777" w:rsidR="006F242D" w:rsidRPr="004F0D1B" w:rsidRDefault="006F242D" w:rsidP="009434AB">
      <w:pPr>
        <w:pStyle w:val="ListParagraph"/>
        <w:widowControl w:val="0"/>
        <w:numPr>
          <w:ilvl w:val="0"/>
          <w:numId w:val="59"/>
        </w:numPr>
        <w:spacing w:after="240"/>
        <w:ind w:left="0" w:firstLine="720"/>
        <w:jc w:val="both"/>
        <w:rPr>
          <w:sz w:val="20"/>
          <w:szCs w:val="20"/>
          <w:lang w:val="es-ES"/>
        </w:rPr>
      </w:pPr>
      <w:r w:rsidRPr="004F0D1B">
        <w:rPr>
          <w:sz w:val="20"/>
          <w:szCs w:val="20"/>
          <w:lang w:val="es-ES"/>
        </w:rPr>
        <w:t xml:space="preserve">La Comisión nota que, según los hechos narrados, las tierras del pueblo indígena Awá abarcan los territorios conocidos por el Estado como Caru, Alto Turiaçu, Araribóia y Awá. Según el Estado, estos territorios fueron homologados y demarcados, respectivamente, en 1982, 1988, 1990 y 2005. Sin embargo, el MPF, organismo estatal que representa ante los tribunales los intereses y derechos del pueblo indígena Awá, presentó una acción civil pública en 2002 para reivindicar tanto la falta de demarcación del territorio Awá como la falta de seguridad y la presencia de invasores en todas las tierras indígenas. Durante esta acción </w:t>
      </w:r>
      <w:r w:rsidRPr="004F0D1B">
        <w:rPr>
          <w:sz w:val="20"/>
          <w:szCs w:val="20"/>
          <w:lang w:val="es-ES"/>
        </w:rPr>
        <w:lastRenderedPageBreak/>
        <w:t>judicial, fue en 2012 que el TRF1 determinó que se llevaría a cabo la demarcación y expulsión de los invasores. Respecto a este último punto, la controversia entre las partes radica en que, para el Estado, la decisión se cumplió en 2014, año en que los Awá recibieron la “notificación de expulsión” por parte del gobierno, mientras que para el peticionario la decisión no se cumplió.</w:t>
      </w:r>
    </w:p>
    <w:p w14:paraId="5FEDD997" w14:textId="7EC0C707" w:rsidR="00210726" w:rsidRPr="004F0D1B" w:rsidRDefault="00210726" w:rsidP="009434AB">
      <w:pPr>
        <w:pStyle w:val="ListParagraph"/>
        <w:widowControl w:val="0"/>
        <w:numPr>
          <w:ilvl w:val="0"/>
          <w:numId w:val="59"/>
        </w:numPr>
        <w:spacing w:after="240"/>
        <w:ind w:left="0" w:firstLine="720"/>
        <w:jc w:val="both"/>
        <w:rPr>
          <w:sz w:val="20"/>
          <w:szCs w:val="20"/>
          <w:lang w:val="es-ES"/>
        </w:rPr>
      </w:pPr>
      <w:r w:rsidRPr="004F0D1B">
        <w:rPr>
          <w:sz w:val="20"/>
          <w:szCs w:val="20"/>
          <w:lang w:val="es-ES"/>
        </w:rPr>
        <w:t xml:space="preserve">Teniendo en cuenta lo anterior, los hechos denunciados no son manifiestamente infundados y merecen un análisis en la etapa de fondo. Hay evidencia de que la implementación del derecho a la propiedad de </w:t>
      </w:r>
      <w:r w:rsidR="009A40CF" w:rsidRPr="004F0D1B">
        <w:rPr>
          <w:sz w:val="20"/>
          <w:szCs w:val="20"/>
          <w:lang w:val="es-ES"/>
        </w:rPr>
        <w:t>la totalidad de</w:t>
      </w:r>
      <w:r w:rsidRPr="004F0D1B">
        <w:rPr>
          <w:sz w:val="20"/>
          <w:szCs w:val="20"/>
          <w:lang w:val="es-ES"/>
        </w:rPr>
        <w:t xml:space="preserve"> las tierras indígenas Awa se ha visto afectada por una demarcación tardía y la presencia persistente de ocupantes o invasores no indígenas. Respecto de este último aspecto, la </w:t>
      </w:r>
      <w:r w:rsidR="0033664A" w:rsidRPr="004F0D1B">
        <w:rPr>
          <w:sz w:val="20"/>
          <w:szCs w:val="20"/>
          <w:lang w:val="es-ES"/>
        </w:rPr>
        <w:t>CIDH</w:t>
      </w:r>
      <w:r w:rsidRPr="004F0D1B">
        <w:rPr>
          <w:sz w:val="20"/>
          <w:szCs w:val="20"/>
          <w:lang w:val="es-ES"/>
        </w:rPr>
        <w:t xml:space="preserve"> destaca que, si bien el Estado afirma que los invasores fueron expulsados ​​en 2014, el mecanismo de medidas cautelares de la CIDH adoptó una resolución en 2021 mediante la cual se refirió, entre otros asuntos, a la continuidad de la presencia de invasores en </w:t>
      </w:r>
      <w:r w:rsidR="00B85F71" w:rsidRPr="004F0D1B">
        <w:rPr>
          <w:sz w:val="20"/>
          <w:szCs w:val="20"/>
          <w:lang w:val="es-ES"/>
        </w:rPr>
        <w:t xml:space="preserve">una de </w:t>
      </w:r>
      <w:r w:rsidRPr="004F0D1B">
        <w:rPr>
          <w:sz w:val="20"/>
          <w:szCs w:val="20"/>
          <w:lang w:val="es-ES"/>
        </w:rPr>
        <w:t>las tierras indígenas de los Awá</w:t>
      </w:r>
      <w:r w:rsidRPr="004F0D1B">
        <w:rPr>
          <w:rFonts w:asciiTheme="majorHAnsi" w:hAnsiTheme="majorHAnsi"/>
          <w:sz w:val="20"/>
          <w:szCs w:val="20"/>
          <w:bdr w:val="none" w:sz="0" w:space="0" w:color="auto"/>
          <w:vertAlign w:val="superscript"/>
          <w:lang w:val="es-ES"/>
        </w:rPr>
        <w:footnoteReference w:id="7"/>
      </w:r>
      <w:r w:rsidRPr="004F0D1B">
        <w:rPr>
          <w:sz w:val="20"/>
          <w:szCs w:val="20"/>
          <w:lang w:val="es-ES"/>
        </w:rPr>
        <w:t>. Es pertinente examinar por lo tanto, si, y en qué medida y período el proceso de demarcación de las tierras indígenas Awá fue tardío e incompleto, a la luz de los derechos y obligaciones derivados de la Convención Americana.</w:t>
      </w:r>
    </w:p>
    <w:p w14:paraId="4CF07FF4" w14:textId="77777777" w:rsidR="00674795" w:rsidRPr="004F0D1B" w:rsidRDefault="00674795" w:rsidP="009434AB">
      <w:pPr>
        <w:pStyle w:val="ListParagraph"/>
        <w:numPr>
          <w:ilvl w:val="0"/>
          <w:numId w:val="59"/>
        </w:numPr>
        <w:spacing w:after="240"/>
        <w:ind w:left="0" w:firstLine="720"/>
        <w:jc w:val="both"/>
        <w:rPr>
          <w:sz w:val="20"/>
          <w:szCs w:val="20"/>
          <w:lang w:val="pt-BR"/>
        </w:rPr>
      </w:pPr>
      <w:r w:rsidRPr="004F0D1B">
        <w:rPr>
          <w:sz w:val="20"/>
          <w:szCs w:val="20"/>
          <w:lang w:val="pt-BR"/>
        </w:rPr>
        <w:t>Finalmente, a Comissão Interamericana ressalta que, o caso de comunidades culturalmente diferenciadas com uma conexão especial com a terra, como as comunidades indígenas e quilombolas, a vida de seus membros depende fundamentalmente das atividades de subsistência (agricultura, caça, pesca, coleta) realizadas em seus territórios</w:t>
      </w:r>
      <w:r w:rsidRPr="004F0D1B">
        <w:rPr>
          <w:rFonts w:asciiTheme="majorHAnsi" w:hAnsiTheme="majorHAnsi"/>
          <w:sz w:val="20"/>
          <w:szCs w:val="20"/>
          <w:bdr w:val="none" w:sz="0" w:space="0" w:color="auto"/>
          <w:vertAlign w:val="superscript"/>
          <w:lang w:val="pt-BR"/>
        </w:rPr>
        <w:footnoteReference w:id="8"/>
      </w:r>
      <w:r w:rsidRPr="004F0D1B">
        <w:rPr>
          <w:sz w:val="20"/>
          <w:szCs w:val="20"/>
          <w:lang w:val="pt-BR"/>
        </w:rPr>
        <w:t>,incluindo o uso contínuo de sistemas coletivos tradicionais “essenciais para o bem-estar individual e coletivo e [...] para a sobrevivência” desses grupos</w:t>
      </w:r>
      <w:r w:rsidRPr="004F0D1B">
        <w:rPr>
          <w:rFonts w:asciiTheme="majorHAnsi" w:hAnsiTheme="majorHAnsi"/>
          <w:sz w:val="20"/>
          <w:szCs w:val="20"/>
          <w:bdr w:val="none" w:sz="0" w:space="0" w:color="auto"/>
          <w:vertAlign w:val="superscript"/>
          <w:lang w:val="pt-BR"/>
        </w:rPr>
        <w:footnoteReference w:id="9"/>
      </w:r>
      <w:r w:rsidRPr="004F0D1B">
        <w:rPr>
          <w:sz w:val="20"/>
          <w:szCs w:val="20"/>
          <w:lang w:val="pt-BR"/>
        </w:rPr>
        <w:t>. Ao estabelecer os parâmetros ou condições necessárias para que existam condições adequadas de existência, sem as quais o desenvolvimento livre e pleno dos projetos de vida se torna impossível, os direitos previstos no artigo 26 servem como referência para a interpretação das obrigações estatais necessárias para garantir uma vida digna</w:t>
      </w:r>
      <w:r w:rsidRPr="004F0D1B">
        <w:rPr>
          <w:rFonts w:asciiTheme="majorHAnsi" w:hAnsiTheme="majorHAnsi"/>
          <w:sz w:val="20"/>
          <w:szCs w:val="20"/>
          <w:bdr w:val="none" w:sz="0" w:space="0" w:color="auto"/>
          <w:vertAlign w:val="superscript"/>
          <w:lang w:val="pt-BR"/>
        </w:rPr>
        <w:footnoteReference w:id="10"/>
      </w:r>
      <w:r w:rsidRPr="004F0D1B">
        <w:rPr>
          <w:sz w:val="20"/>
          <w:szCs w:val="20"/>
          <w:lang w:val="pt-BR"/>
        </w:rPr>
        <w:t>.</w:t>
      </w:r>
    </w:p>
    <w:p w14:paraId="452D9943" w14:textId="331A5654" w:rsidR="00B23A4E" w:rsidRPr="004F0D1B" w:rsidRDefault="00B23A4E" w:rsidP="009434AB">
      <w:pPr>
        <w:pStyle w:val="ListParagraph"/>
        <w:widowControl w:val="0"/>
        <w:numPr>
          <w:ilvl w:val="0"/>
          <w:numId w:val="59"/>
        </w:numPr>
        <w:spacing w:after="240"/>
        <w:ind w:left="0" w:firstLine="720"/>
        <w:jc w:val="both"/>
        <w:rPr>
          <w:sz w:val="20"/>
          <w:szCs w:val="20"/>
          <w:lang w:val="es-ES"/>
        </w:rPr>
      </w:pPr>
      <w:r w:rsidRPr="004F0D1B">
        <w:rPr>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podrían caracterizar violaciones a los artículos</w:t>
      </w:r>
      <w:r w:rsidR="00674795" w:rsidRPr="004F0D1B">
        <w:rPr>
          <w:sz w:val="20"/>
          <w:szCs w:val="20"/>
          <w:lang w:val="es-ES"/>
        </w:rPr>
        <w:t xml:space="preserve"> 4 (vida),</w:t>
      </w:r>
      <w:r w:rsidRPr="004F0D1B">
        <w:rPr>
          <w:sz w:val="20"/>
          <w:szCs w:val="20"/>
          <w:lang w:val="es-ES"/>
        </w:rPr>
        <w:t xml:space="preserve"> 5 (integridad personal), 8 (garantías judiciales), 21 (propiedad), 24 (igualdad ante la ley), 25 (protección judicial) y 26 (desarrollo progresivo de los derechos económicos, sociales, culturales y ambientales) de la Convención Americana, en relación con su artículo 1.1 (obligación de respetar los derechos), en perjuicio de la comunidad indígena Awá y sus miembros.</w:t>
      </w:r>
    </w:p>
    <w:p w14:paraId="593C32B0" w14:textId="5F71C9EA" w:rsidR="00036DBE" w:rsidRPr="004F0D1B" w:rsidRDefault="00C61B18" w:rsidP="009434AB">
      <w:pPr>
        <w:pStyle w:val="ListParagraph"/>
        <w:widowControl w:val="0"/>
        <w:numPr>
          <w:ilvl w:val="0"/>
          <w:numId w:val="59"/>
        </w:numPr>
        <w:spacing w:after="240"/>
        <w:ind w:left="0" w:firstLine="720"/>
        <w:jc w:val="both"/>
        <w:rPr>
          <w:sz w:val="20"/>
          <w:szCs w:val="20"/>
          <w:lang w:val="es-ES"/>
        </w:rPr>
      </w:pPr>
      <w:r w:rsidRPr="004F0D1B">
        <w:rPr>
          <w:sz w:val="20"/>
          <w:szCs w:val="20"/>
          <w:lang w:val="es-ES"/>
        </w:rPr>
        <w:t>Finalmente</w:t>
      </w:r>
      <w:r w:rsidR="00036DBE" w:rsidRPr="004F0D1B">
        <w:rPr>
          <w:sz w:val="20"/>
          <w:szCs w:val="20"/>
          <w:lang w:val="es-ES"/>
        </w:rPr>
        <w:t xml:space="preserve">, la Comisión toma nota de que el Estado se opuso a la invocación, por la parte peticionaria, del Convenio 169 de la </w:t>
      </w:r>
      <w:r w:rsidR="00564A3B" w:rsidRPr="004F0D1B">
        <w:rPr>
          <w:sz w:val="20"/>
          <w:szCs w:val="20"/>
          <w:lang w:val="es-ES"/>
        </w:rPr>
        <w:t>Organización Internacional del Trabajo sobre Pueblos Indígenas y Tribales</w:t>
      </w:r>
      <w:r w:rsidR="00036DBE" w:rsidRPr="004F0D1B">
        <w:rPr>
          <w:sz w:val="20"/>
          <w:szCs w:val="20"/>
          <w:lang w:val="es-ES"/>
        </w:rPr>
        <w:t xml:space="preserve">. Al respecto, la CIDH reitera que no es competente para pronunciarse sobre la violación directa </w:t>
      </w:r>
      <w:r w:rsidR="00564A3B" w:rsidRPr="004F0D1B">
        <w:rPr>
          <w:sz w:val="20"/>
          <w:szCs w:val="20"/>
          <w:lang w:val="es-ES"/>
        </w:rPr>
        <w:t>de dicho tratado</w:t>
      </w:r>
      <w:r w:rsidR="00036DBE" w:rsidRPr="004F0D1B">
        <w:rPr>
          <w:sz w:val="20"/>
          <w:szCs w:val="20"/>
          <w:lang w:val="es-ES"/>
        </w:rPr>
        <w:t>, pero en los términos del artículo 29 de la Convención Americana</w:t>
      </w:r>
      <w:r w:rsidR="00564A3B" w:rsidRPr="004F0D1B">
        <w:rPr>
          <w:sz w:val="20"/>
          <w:szCs w:val="20"/>
          <w:lang w:val="es-ES"/>
        </w:rPr>
        <w:t xml:space="preserve"> sí puede utilizarlo como al momento de </w:t>
      </w:r>
      <w:r w:rsidR="00036DBE" w:rsidRPr="004F0D1B">
        <w:rPr>
          <w:sz w:val="20"/>
          <w:szCs w:val="20"/>
          <w:lang w:val="es-ES"/>
        </w:rPr>
        <w:t>interpretar el sentido y el alcance de las obligaciones jurídicas interamericanas</w:t>
      </w:r>
      <w:r w:rsidR="00036DBE" w:rsidRPr="004F0D1B">
        <w:rPr>
          <w:sz w:val="20"/>
          <w:szCs w:val="20"/>
          <w:vertAlign w:val="superscript"/>
          <w:lang w:val="pt-BR"/>
        </w:rPr>
        <w:footnoteReference w:id="11"/>
      </w:r>
      <w:r w:rsidR="00036DBE" w:rsidRPr="004F0D1B">
        <w:rPr>
          <w:sz w:val="20"/>
          <w:szCs w:val="20"/>
          <w:lang w:val="es-ES"/>
        </w:rPr>
        <w:t xml:space="preserve">. </w:t>
      </w:r>
    </w:p>
    <w:p w14:paraId="40DABB4D" w14:textId="4EA69279" w:rsidR="006E3BAD" w:rsidRPr="004F0D1B" w:rsidRDefault="006E3BAD" w:rsidP="009434AB">
      <w:pPr>
        <w:pStyle w:val="ListParagraph"/>
        <w:widowControl w:val="0"/>
        <w:spacing w:after="240"/>
        <w:ind w:left="0" w:firstLine="720"/>
        <w:jc w:val="both"/>
        <w:rPr>
          <w:rFonts w:asciiTheme="majorHAnsi" w:hAnsiTheme="majorHAnsi"/>
          <w:b/>
          <w:sz w:val="20"/>
          <w:szCs w:val="20"/>
          <w:lang w:val="es-ES"/>
        </w:rPr>
      </w:pPr>
      <w:r w:rsidRPr="004F0D1B">
        <w:rPr>
          <w:rFonts w:asciiTheme="majorHAnsi" w:hAnsiTheme="majorHAnsi"/>
          <w:b/>
          <w:sz w:val="20"/>
          <w:szCs w:val="20"/>
          <w:lang w:val="es-UY"/>
        </w:rPr>
        <w:t xml:space="preserve">VIII. </w:t>
      </w:r>
      <w:r w:rsidRPr="004F0D1B">
        <w:rPr>
          <w:rFonts w:asciiTheme="majorHAnsi" w:hAnsiTheme="majorHAnsi"/>
          <w:b/>
          <w:sz w:val="20"/>
          <w:szCs w:val="20"/>
          <w:lang w:val="es-UY"/>
        </w:rPr>
        <w:tab/>
      </w:r>
      <w:r w:rsidRPr="004F0D1B">
        <w:rPr>
          <w:rFonts w:asciiTheme="majorHAnsi" w:hAnsiTheme="majorHAnsi"/>
          <w:b/>
          <w:bCs/>
          <w:sz w:val="20"/>
          <w:szCs w:val="20"/>
          <w:lang w:val="es-ES_tradnl"/>
        </w:rPr>
        <w:t>DECISIÓN</w:t>
      </w:r>
    </w:p>
    <w:p w14:paraId="2CD54096" w14:textId="09830916" w:rsidR="000F3E4D" w:rsidRPr="004F0D1B" w:rsidRDefault="000F3E4D" w:rsidP="009434AB">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ES"/>
        </w:rPr>
      </w:pPr>
      <w:r w:rsidRPr="004F0D1B">
        <w:rPr>
          <w:sz w:val="20"/>
          <w:szCs w:val="20"/>
          <w:lang w:val="es-ES"/>
        </w:rPr>
        <w:t>Declarar admisible la presente petición en relación con los artículos</w:t>
      </w:r>
      <w:r w:rsidR="00674795" w:rsidRPr="004F0D1B">
        <w:rPr>
          <w:sz w:val="20"/>
          <w:szCs w:val="20"/>
          <w:lang w:val="es-ES"/>
        </w:rPr>
        <w:t xml:space="preserve"> 4,</w:t>
      </w:r>
      <w:r w:rsidRPr="004F0D1B">
        <w:rPr>
          <w:sz w:val="20"/>
          <w:szCs w:val="20"/>
          <w:lang w:val="es-ES"/>
        </w:rPr>
        <w:t xml:space="preserve"> </w:t>
      </w:r>
      <w:r w:rsidR="00B23A4E" w:rsidRPr="004F0D1B">
        <w:rPr>
          <w:sz w:val="20"/>
          <w:szCs w:val="20"/>
          <w:lang w:val="es-ES"/>
        </w:rPr>
        <w:t>5, 8, 21, 24, 25 y 26 de la Convención Americana, en conexión con su artículo 1.1</w:t>
      </w:r>
      <w:r w:rsidRPr="004F0D1B">
        <w:rPr>
          <w:sz w:val="20"/>
          <w:szCs w:val="20"/>
          <w:lang w:val="es-ES"/>
        </w:rPr>
        <w:t xml:space="preserve">; </w:t>
      </w:r>
      <w:r w:rsidR="00045D32">
        <w:rPr>
          <w:sz w:val="20"/>
          <w:szCs w:val="20"/>
          <w:lang w:val="es-ES"/>
        </w:rPr>
        <w:t>y</w:t>
      </w:r>
    </w:p>
    <w:p w14:paraId="245C05A6" w14:textId="71B7A22B" w:rsidR="006E3BAD" w:rsidRDefault="006E3BAD" w:rsidP="009434AB">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ES"/>
        </w:rPr>
      </w:pPr>
      <w:r w:rsidRPr="004F0D1B">
        <w:rPr>
          <w:sz w:val="20"/>
          <w:szCs w:val="20"/>
          <w:lang w:val="es-ES"/>
        </w:rPr>
        <w:t xml:space="preserve">Notificar a las partes la presente decisión; continuar con el análisis del fondo de la cuestión; y </w:t>
      </w:r>
      <w:r w:rsidRPr="004F0D1B">
        <w:rPr>
          <w:sz w:val="20"/>
          <w:szCs w:val="20"/>
          <w:lang w:val="es-ES"/>
        </w:rPr>
        <w:lastRenderedPageBreak/>
        <w:t>publicar esta decisión e incluirla en su Informe Anual a la Asamblea General de la Organización de los Estados Americanos.</w:t>
      </w:r>
      <w:bookmarkEnd w:id="2"/>
    </w:p>
    <w:p w14:paraId="3D2157D3" w14:textId="455293E9" w:rsidR="00045D32" w:rsidRPr="004F0D1B" w:rsidRDefault="002D0C09" w:rsidP="002D0C09">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ES"/>
        </w:rPr>
      </w:pPr>
      <w:r>
        <w:rPr>
          <w:rStyle w:val="normaltextrun"/>
          <w:rFonts w:cs="Segoe UI"/>
          <w:sz w:val="20"/>
          <w:szCs w:val="20"/>
          <w:lang w:val="es-CL"/>
        </w:rPr>
        <w:t xml:space="preserve">Aprobado por la Comisión Interamericana de Derechos Humanos a los </w:t>
      </w:r>
      <w:r w:rsidR="005F4210">
        <w:rPr>
          <w:rStyle w:val="normaltextrun"/>
          <w:rFonts w:cs="Segoe UI"/>
          <w:sz w:val="20"/>
          <w:szCs w:val="20"/>
          <w:lang w:val="es-CL"/>
        </w:rPr>
        <w:t>18</w:t>
      </w:r>
      <w:r>
        <w:rPr>
          <w:rStyle w:val="normaltextrun"/>
          <w:rFonts w:cs="Segoe UI"/>
          <w:sz w:val="20"/>
          <w:szCs w:val="20"/>
          <w:lang w:val="es-CL"/>
        </w:rPr>
        <w:t xml:space="preserve"> días del mes de </w:t>
      </w:r>
      <w:r w:rsidR="005F4210">
        <w:rPr>
          <w:rStyle w:val="normaltextrun"/>
          <w:rFonts w:cs="Segoe UI"/>
          <w:sz w:val="20"/>
          <w:szCs w:val="20"/>
          <w:lang w:val="es-CL"/>
        </w:rPr>
        <w:t>octubre</w:t>
      </w:r>
      <w:r>
        <w:rPr>
          <w:rStyle w:val="normaltextrun"/>
          <w:rFonts w:cs="Segoe UI"/>
          <w:sz w:val="20"/>
          <w:szCs w:val="20"/>
          <w:lang w:val="es-CL"/>
        </w:rPr>
        <w:t xml:space="preserve"> de 2024.  (Firmado): R</w:t>
      </w:r>
      <w:r w:rsidRPr="00923259">
        <w:rPr>
          <w:rStyle w:val="normaltextrun"/>
          <w:rFonts w:cs="Segoe UI"/>
          <w:sz w:val="20"/>
          <w:szCs w:val="20"/>
          <w:lang w:val="es-CL"/>
        </w:rPr>
        <w:t>oberta Clarke</w:t>
      </w:r>
      <w:r>
        <w:rPr>
          <w:rStyle w:val="normaltextrun"/>
          <w:rFonts w:cs="Segoe UI"/>
          <w:sz w:val="20"/>
          <w:szCs w:val="20"/>
          <w:lang w:val="es-CL"/>
        </w:rPr>
        <w:t xml:space="preserve">, Presidenta; Carlos Bernal Pulido, Primer Vicepresidente; Arif Bulkan y Gloria Monique de Mees, </w:t>
      </w:r>
      <w:r w:rsidR="0080015F">
        <w:rPr>
          <w:rStyle w:val="normaltextrun"/>
          <w:rFonts w:cs="Segoe UI"/>
          <w:sz w:val="20"/>
          <w:szCs w:val="20"/>
          <w:lang w:val="es-CL"/>
        </w:rPr>
        <w:t>m</w:t>
      </w:r>
      <w:r>
        <w:rPr>
          <w:rStyle w:val="normaltextrun"/>
          <w:rFonts w:cs="Segoe UI"/>
          <w:sz w:val="20"/>
          <w:szCs w:val="20"/>
          <w:lang w:val="es-CL"/>
        </w:rPr>
        <w:t xml:space="preserve">iembros de la Comisión. </w:t>
      </w:r>
      <w:r w:rsidRPr="00407104">
        <w:rPr>
          <w:rStyle w:val="eop"/>
          <w:rFonts w:cs="Segoe UI"/>
          <w:sz w:val="20"/>
          <w:szCs w:val="20"/>
          <w:lang w:val="es-ES"/>
        </w:rPr>
        <w:t> </w:t>
      </w:r>
    </w:p>
    <w:sectPr w:rsidR="00045D32" w:rsidRPr="004F0D1B" w:rsidSect="00967D25">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A80BE" w14:textId="77777777" w:rsidR="00A404E7" w:rsidRDefault="00A404E7">
      <w:r>
        <w:separator/>
      </w:r>
    </w:p>
  </w:endnote>
  <w:endnote w:type="continuationSeparator" w:id="0">
    <w:p w14:paraId="59117A67" w14:textId="77777777" w:rsidR="00A404E7" w:rsidRDefault="00A4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7EC7" w14:textId="77777777" w:rsidR="00A404E7" w:rsidRPr="000F35ED" w:rsidRDefault="00A404E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34DBEC2" w14:textId="77777777" w:rsidR="00A404E7" w:rsidRPr="000F35ED" w:rsidRDefault="00A404E7" w:rsidP="000F35ED">
      <w:pPr>
        <w:rPr>
          <w:rFonts w:asciiTheme="majorHAnsi" w:hAnsiTheme="majorHAnsi"/>
          <w:sz w:val="16"/>
          <w:szCs w:val="16"/>
        </w:rPr>
      </w:pPr>
      <w:r w:rsidRPr="000F35ED">
        <w:rPr>
          <w:rFonts w:asciiTheme="majorHAnsi" w:hAnsiTheme="majorHAnsi"/>
          <w:sz w:val="16"/>
          <w:szCs w:val="16"/>
        </w:rPr>
        <w:separator/>
      </w:r>
    </w:p>
    <w:p w14:paraId="489BEEA5" w14:textId="77777777" w:rsidR="00A404E7" w:rsidRPr="000F35ED" w:rsidRDefault="00A404E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E2056D4" w14:textId="77777777" w:rsidR="00A404E7" w:rsidRPr="000F35ED" w:rsidRDefault="00A404E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63239DA" w14:textId="3E3FB698" w:rsidR="00761458" w:rsidRPr="009434AB" w:rsidRDefault="00761458" w:rsidP="00761458">
      <w:pPr>
        <w:pStyle w:val="FootnoteText"/>
        <w:ind w:firstLine="709"/>
        <w:jc w:val="both"/>
        <w:rPr>
          <w:rFonts w:asciiTheme="majorHAnsi" w:hAnsiTheme="majorHAnsi"/>
          <w:sz w:val="16"/>
          <w:szCs w:val="16"/>
          <w:lang w:val="es-ES"/>
        </w:rPr>
      </w:pPr>
      <w:r w:rsidRPr="009434AB">
        <w:rPr>
          <w:rStyle w:val="FootnoteReference"/>
          <w:rFonts w:asciiTheme="majorHAnsi" w:hAnsiTheme="majorHAnsi"/>
          <w:sz w:val="16"/>
          <w:szCs w:val="16"/>
        </w:rPr>
        <w:footnoteRef/>
      </w:r>
      <w:r w:rsidRPr="009434AB">
        <w:rPr>
          <w:rFonts w:asciiTheme="majorHAnsi" w:hAnsiTheme="majorHAnsi"/>
          <w:sz w:val="16"/>
          <w:szCs w:val="16"/>
          <w:lang w:val="es-ES"/>
        </w:rPr>
        <w:t xml:space="preserve"> Además se invoca el </w:t>
      </w:r>
      <w:r w:rsidRPr="009434AB">
        <w:rPr>
          <w:rFonts w:asciiTheme="majorHAnsi" w:hAnsiTheme="majorHAnsi"/>
          <w:bCs/>
          <w:sz w:val="16"/>
          <w:szCs w:val="16"/>
          <w:lang w:val="es-PE"/>
        </w:rPr>
        <w:t>Convenio No. 169 de la Organización Internacional del Trabajo.</w:t>
      </w:r>
    </w:p>
  </w:footnote>
  <w:footnote w:id="3">
    <w:p w14:paraId="237D0D03" w14:textId="7EC39994" w:rsidR="00605AC0" w:rsidRPr="009434AB" w:rsidRDefault="00605AC0" w:rsidP="00761458">
      <w:pPr>
        <w:pStyle w:val="FootnoteText"/>
        <w:ind w:firstLine="709"/>
        <w:jc w:val="both"/>
        <w:rPr>
          <w:rFonts w:asciiTheme="majorHAnsi" w:hAnsiTheme="majorHAnsi"/>
          <w:sz w:val="16"/>
          <w:szCs w:val="16"/>
          <w:lang w:val="es-ES"/>
        </w:rPr>
      </w:pPr>
      <w:r w:rsidRPr="009434AB">
        <w:rPr>
          <w:rStyle w:val="FootnoteReference"/>
          <w:rFonts w:asciiTheme="majorHAnsi" w:hAnsiTheme="majorHAnsi"/>
          <w:sz w:val="16"/>
          <w:szCs w:val="16"/>
        </w:rPr>
        <w:footnoteRef/>
      </w:r>
      <w:r w:rsidRPr="009434AB">
        <w:rPr>
          <w:rFonts w:asciiTheme="majorHAnsi" w:hAnsiTheme="majorHAnsi"/>
          <w:sz w:val="16"/>
          <w:szCs w:val="16"/>
          <w:lang w:val="es-ES"/>
        </w:rPr>
        <w:t xml:space="preserve"> En adelante, </w:t>
      </w:r>
      <w:r w:rsidR="00E425B8" w:rsidRPr="009434AB">
        <w:rPr>
          <w:rFonts w:asciiTheme="majorHAnsi" w:hAnsiTheme="majorHAnsi"/>
          <w:sz w:val="16"/>
          <w:szCs w:val="16"/>
          <w:lang w:val="es-ES"/>
        </w:rPr>
        <w:t>“la C</w:t>
      </w:r>
      <w:r w:rsidRPr="009434AB">
        <w:rPr>
          <w:rFonts w:asciiTheme="majorHAnsi" w:hAnsiTheme="majorHAnsi"/>
          <w:sz w:val="16"/>
          <w:szCs w:val="16"/>
          <w:lang w:val="es-ES"/>
        </w:rPr>
        <w:t>onvención Americana” o “</w:t>
      </w:r>
      <w:r w:rsidR="00E425B8" w:rsidRPr="009434AB">
        <w:rPr>
          <w:rFonts w:asciiTheme="majorHAnsi" w:hAnsiTheme="majorHAnsi"/>
          <w:sz w:val="16"/>
          <w:szCs w:val="16"/>
          <w:lang w:val="es-ES"/>
        </w:rPr>
        <w:t xml:space="preserve">la </w:t>
      </w:r>
      <w:r w:rsidRPr="009434AB">
        <w:rPr>
          <w:rFonts w:asciiTheme="majorHAnsi" w:hAnsiTheme="majorHAnsi"/>
          <w:sz w:val="16"/>
          <w:szCs w:val="16"/>
          <w:lang w:val="es-ES"/>
        </w:rPr>
        <w:t>Convención”.</w:t>
      </w:r>
    </w:p>
  </w:footnote>
  <w:footnote w:id="4">
    <w:p w14:paraId="1AFEF3B0" w14:textId="12661066" w:rsidR="008E3BFE" w:rsidRPr="009434AB" w:rsidRDefault="008E3BFE" w:rsidP="00761458">
      <w:pPr>
        <w:pStyle w:val="FootnoteText"/>
        <w:ind w:firstLine="709"/>
        <w:jc w:val="both"/>
        <w:rPr>
          <w:rFonts w:asciiTheme="majorHAnsi" w:hAnsiTheme="majorHAnsi"/>
          <w:sz w:val="16"/>
          <w:szCs w:val="16"/>
          <w:lang w:val="es-ES"/>
        </w:rPr>
      </w:pPr>
      <w:r w:rsidRPr="009434AB">
        <w:rPr>
          <w:rStyle w:val="FootnoteReference"/>
          <w:rFonts w:asciiTheme="majorHAnsi" w:hAnsiTheme="majorHAnsi"/>
          <w:sz w:val="16"/>
          <w:szCs w:val="16"/>
        </w:rPr>
        <w:footnoteRef/>
      </w:r>
      <w:r w:rsidRPr="009434AB">
        <w:rPr>
          <w:rFonts w:asciiTheme="majorHAnsi" w:hAnsiTheme="majorHAnsi"/>
          <w:sz w:val="16"/>
          <w:szCs w:val="16"/>
          <w:lang w:val="es-ES"/>
        </w:rPr>
        <w:t xml:space="preserve"> </w:t>
      </w:r>
      <w:r w:rsidR="009838C1" w:rsidRPr="009434AB">
        <w:rPr>
          <w:rFonts w:asciiTheme="majorHAnsi" w:hAnsiTheme="majorHAnsi"/>
          <w:sz w:val="16"/>
          <w:szCs w:val="16"/>
          <w:lang w:val="es-ES"/>
        </w:rPr>
        <w:t xml:space="preserve">Las observaciones de cada parte fueron debidamente trasladadas a la </w:t>
      </w:r>
      <w:r w:rsidR="001F1BFE" w:rsidRPr="009434AB">
        <w:rPr>
          <w:rFonts w:asciiTheme="majorHAnsi" w:hAnsiTheme="majorHAnsi"/>
          <w:sz w:val="16"/>
          <w:szCs w:val="16"/>
          <w:lang w:val="es-ES"/>
        </w:rPr>
        <w:t>parte contraria.</w:t>
      </w:r>
      <w:r w:rsidR="00F7289E" w:rsidRPr="009434AB">
        <w:rPr>
          <w:rFonts w:asciiTheme="majorHAnsi" w:hAnsiTheme="majorHAnsi"/>
          <w:sz w:val="16"/>
          <w:szCs w:val="16"/>
          <w:lang w:val="es-ES"/>
        </w:rPr>
        <w:t xml:space="preserve"> </w:t>
      </w:r>
      <w:r w:rsidR="0053344B" w:rsidRPr="009434AB">
        <w:rPr>
          <w:rFonts w:asciiTheme="majorHAnsi" w:hAnsiTheme="majorHAnsi"/>
          <w:sz w:val="16"/>
          <w:szCs w:val="16"/>
          <w:lang w:val="es-ES"/>
        </w:rPr>
        <w:t>El 11 de mayo de 2023 la parte peticionaria reiteró su interés en la continuidad del proceso ante la CIDH.</w:t>
      </w:r>
    </w:p>
  </w:footnote>
  <w:footnote w:id="5">
    <w:p w14:paraId="20CAD899" w14:textId="77777777" w:rsidR="0081344C" w:rsidRPr="009434AB" w:rsidRDefault="0081344C" w:rsidP="00761458">
      <w:pPr>
        <w:tabs>
          <w:tab w:val="left" w:pos="0"/>
          <w:tab w:val="left" w:pos="360"/>
          <w:tab w:val="left" w:pos="567"/>
          <w:tab w:val="left" w:pos="720"/>
        </w:tabs>
        <w:ind w:firstLine="709"/>
        <w:jc w:val="both"/>
        <w:rPr>
          <w:rFonts w:asciiTheme="majorHAnsi" w:hAnsiTheme="majorHAnsi"/>
          <w:iCs/>
          <w:sz w:val="16"/>
          <w:szCs w:val="16"/>
          <w:lang w:val="es-ES"/>
        </w:rPr>
      </w:pPr>
      <w:r w:rsidRPr="009434AB">
        <w:rPr>
          <w:rStyle w:val="FootnoteReference"/>
          <w:rFonts w:asciiTheme="majorHAnsi" w:hAnsiTheme="majorHAnsi"/>
          <w:sz w:val="16"/>
          <w:szCs w:val="16"/>
          <w:lang w:val="es-ES"/>
        </w:rPr>
        <w:footnoteRef/>
      </w:r>
      <w:r w:rsidRPr="009434AB">
        <w:rPr>
          <w:rFonts w:asciiTheme="majorHAnsi" w:hAnsiTheme="majorHAnsi"/>
          <w:sz w:val="16"/>
          <w:szCs w:val="16"/>
          <w:lang w:val="es-ES"/>
        </w:rPr>
        <w:t xml:space="preserve"> Véase, entre otros: CIDH, Informe No. 35/16, Petición 4480-02, Admisibilidad, Carlos Manuel Veraza Urtusuástegui, México, 29 de julio de 2016, párr. 33; Informe No.4/15, Petición 582-01, Admisibilidad, Raúl Rolando Romero Feris, Argentina, 29 de enero de 2015, párr. 40; Informe No. 15/15, Petición 374-05, Admisibilidad, Trabajadores del Sindicato de Trabajadores de la Federación Nacional de Cafeteros de Colombia, Colombia, 24 de marzo de 2015, párr. 39; Informe No. 4/19, Petición 673-11, Admisibilidad, Fernando Alcântara de Figueiredo y Laci Marinho de Araújo, Brasil, 3 de enero de 2019, párr. 21.</w:t>
      </w:r>
    </w:p>
  </w:footnote>
  <w:footnote w:id="6">
    <w:p w14:paraId="5BC5BFA6" w14:textId="0CFE00E6" w:rsidR="0081344C" w:rsidRPr="009434AB" w:rsidRDefault="0081344C" w:rsidP="00761458">
      <w:pPr>
        <w:pStyle w:val="FootnoteText"/>
        <w:ind w:firstLine="720"/>
        <w:jc w:val="both"/>
        <w:rPr>
          <w:rFonts w:asciiTheme="majorHAnsi" w:hAnsiTheme="majorHAnsi"/>
          <w:sz w:val="16"/>
          <w:szCs w:val="16"/>
          <w:lang w:val="es-ES"/>
        </w:rPr>
      </w:pPr>
      <w:r w:rsidRPr="009434AB">
        <w:rPr>
          <w:rStyle w:val="FootnoteReference"/>
          <w:rFonts w:asciiTheme="majorHAnsi" w:hAnsiTheme="majorHAnsi"/>
          <w:sz w:val="16"/>
          <w:szCs w:val="16"/>
        </w:rPr>
        <w:footnoteRef/>
      </w:r>
      <w:r w:rsidRPr="009434AB">
        <w:rPr>
          <w:rFonts w:asciiTheme="majorHAnsi" w:hAnsiTheme="majorHAnsi"/>
          <w:sz w:val="16"/>
          <w:szCs w:val="16"/>
          <w:lang w:val="es-PE"/>
        </w:rPr>
        <w:t xml:space="preserve"> CIDH, Informe No. 70/04</w:t>
      </w:r>
      <w:r w:rsidR="00E9102F" w:rsidRPr="009434AB">
        <w:rPr>
          <w:rFonts w:asciiTheme="majorHAnsi" w:hAnsiTheme="majorHAnsi"/>
          <w:sz w:val="16"/>
          <w:szCs w:val="16"/>
          <w:lang w:val="es-PE"/>
        </w:rPr>
        <w:t>, Petición 667/01,</w:t>
      </w:r>
      <w:r w:rsidRPr="009434AB">
        <w:rPr>
          <w:rFonts w:asciiTheme="majorHAnsi" w:hAnsiTheme="majorHAnsi"/>
          <w:sz w:val="16"/>
          <w:szCs w:val="16"/>
          <w:lang w:val="es-PE"/>
        </w:rPr>
        <w:t xml:space="preserve"> Admisibilidad, Jesús Manuel Naranjo Cárdenas y otros – Jubilados de la Empresa Venezolana de Aviación VIASA</w:t>
      </w:r>
      <w:r w:rsidR="005E2761" w:rsidRPr="009434AB">
        <w:rPr>
          <w:rFonts w:asciiTheme="majorHAnsi" w:hAnsiTheme="majorHAnsi"/>
          <w:sz w:val="16"/>
          <w:szCs w:val="16"/>
          <w:lang w:val="es-PE"/>
        </w:rPr>
        <w:t>,</w:t>
      </w:r>
      <w:r w:rsidRPr="009434AB">
        <w:rPr>
          <w:rFonts w:asciiTheme="majorHAnsi" w:hAnsiTheme="majorHAnsi"/>
          <w:sz w:val="16"/>
          <w:szCs w:val="16"/>
          <w:lang w:val="es-PE"/>
        </w:rPr>
        <w:t xml:space="preserve"> Venezuela</w:t>
      </w:r>
      <w:r w:rsidR="005E2761" w:rsidRPr="009434AB">
        <w:rPr>
          <w:rFonts w:asciiTheme="majorHAnsi" w:hAnsiTheme="majorHAnsi"/>
          <w:sz w:val="16"/>
          <w:szCs w:val="16"/>
          <w:lang w:val="es-PE"/>
        </w:rPr>
        <w:t xml:space="preserve">, </w:t>
      </w:r>
      <w:r w:rsidRPr="009434AB">
        <w:rPr>
          <w:rFonts w:asciiTheme="majorHAnsi" w:hAnsiTheme="majorHAnsi"/>
          <w:sz w:val="16"/>
          <w:szCs w:val="16"/>
          <w:lang w:val="es-PE"/>
        </w:rPr>
        <w:t xml:space="preserve">13 de octubre de 2004, párr. </w:t>
      </w:r>
      <w:r w:rsidRPr="009434AB">
        <w:rPr>
          <w:rFonts w:asciiTheme="majorHAnsi" w:hAnsiTheme="majorHAnsi"/>
          <w:sz w:val="16"/>
          <w:szCs w:val="16"/>
          <w:lang w:val="es-ES"/>
        </w:rPr>
        <w:t>52.</w:t>
      </w:r>
    </w:p>
  </w:footnote>
  <w:footnote w:id="7">
    <w:p w14:paraId="2BFC2DB5" w14:textId="77777777" w:rsidR="00210726" w:rsidRPr="009434AB" w:rsidRDefault="00210726" w:rsidP="00761458">
      <w:pPr>
        <w:tabs>
          <w:tab w:val="left" w:pos="0"/>
          <w:tab w:val="left" w:pos="360"/>
          <w:tab w:val="left" w:pos="567"/>
          <w:tab w:val="left" w:pos="720"/>
        </w:tabs>
        <w:ind w:firstLine="709"/>
        <w:jc w:val="both"/>
        <w:rPr>
          <w:rFonts w:asciiTheme="majorHAnsi" w:hAnsiTheme="majorHAnsi"/>
          <w:iCs/>
          <w:sz w:val="16"/>
          <w:szCs w:val="16"/>
          <w:lang w:val="pt-BR"/>
        </w:rPr>
      </w:pPr>
      <w:r w:rsidRPr="009434AB">
        <w:rPr>
          <w:rStyle w:val="FootnoteReference"/>
          <w:rFonts w:asciiTheme="majorHAnsi" w:hAnsiTheme="majorHAnsi"/>
          <w:sz w:val="16"/>
          <w:szCs w:val="16"/>
          <w:lang w:val="es-ES"/>
        </w:rPr>
        <w:footnoteRef/>
      </w:r>
      <w:r w:rsidRPr="009434AB">
        <w:rPr>
          <w:rFonts w:asciiTheme="majorHAnsi" w:hAnsiTheme="majorHAnsi"/>
          <w:sz w:val="16"/>
          <w:szCs w:val="16"/>
          <w:lang w:val="es-ES"/>
        </w:rPr>
        <w:t xml:space="preserve"> CIDH, </w:t>
      </w:r>
      <w:hyperlink r:id="rId1" w:history="1">
        <w:r w:rsidRPr="009434AB">
          <w:rPr>
            <w:rStyle w:val="Hyperlink"/>
            <w:rFonts w:asciiTheme="majorHAnsi" w:hAnsiTheme="majorHAnsi"/>
            <w:sz w:val="16"/>
            <w:szCs w:val="16"/>
            <w:u w:val="none"/>
            <w:lang w:val="es-ES"/>
          </w:rPr>
          <w:t>Resolución 1/2021, Medida Cautelar No. 754-20</w:t>
        </w:r>
      </w:hyperlink>
      <w:r w:rsidRPr="009434AB">
        <w:rPr>
          <w:rFonts w:asciiTheme="majorHAnsi" w:hAnsiTheme="majorHAnsi"/>
          <w:sz w:val="16"/>
          <w:szCs w:val="16"/>
          <w:lang w:val="es-ES"/>
        </w:rPr>
        <w:t xml:space="preserve">. Miembros de los Pueblos Indígenas Guajajara y Awá de la Tierra Indígena Araribóia respecto de Brasil. </w:t>
      </w:r>
      <w:r w:rsidRPr="009434AB">
        <w:rPr>
          <w:rFonts w:asciiTheme="majorHAnsi" w:hAnsiTheme="majorHAnsi"/>
          <w:sz w:val="16"/>
          <w:szCs w:val="16"/>
          <w:lang w:val="pt-BR"/>
        </w:rPr>
        <w:t>4 de enero de 2021.</w:t>
      </w:r>
    </w:p>
  </w:footnote>
  <w:footnote w:id="8">
    <w:p w14:paraId="416980F8" w14:textId="77777777" w:rsidR="00674795" w:rsidRPr="009434AB" w:rsidRDefault="00674795" w:rsidP="00674795">
      <w:pPr>
        <w:tabs>
          <w:tab w:val="left" w:pos="0"/>
          <w:tab w:val="left" w:pos="360"/>
          <w:tab w:val="left" w:pos="567"/>
          <w:tab w:val="left" w:pos="720"/>
        </w:tabs>
        <w:ind w:firstLine="709"/>
        <w:jc w:val="both"/>
        <w:rPr>
          <w:rFonts w:asciiTheme="majorHAnsi" w:hAnsiTheme="majorHAnsi"/>
          <w:iCs/>
          <w:sz w:val="16"/>
          <w:szCs w:val="16"/>
          <w:lang w:val="pt-BR"/>
        </w:rPr>
      </w:pPr>
      <w:r w:rsidRPr="009434AB">
        <w:rPr>
          <w:rStyle w:val="FootnoteReference"/>
          <w:rFonts w:asciiTheme="majorHAnsi" w:hAnsiTheme="majorHAnsi"/>
          <w:sz w:val="16"/>
          <w:szCs w:val="16"/>
          <w:lang w:val="pt-BR"/>
        </w:rPr>
        <w:footnoteRef/>
      </w:r>
      <w:r w:rsidRPr="009434AB">
        <w:rPr>
          <w:rFonts w:asciiTheme="majorHAnsi" w:hAnsiTheme="majorHAnsi"/>
          <w:sz w:val="16"/>
          <w:szCs w:val="16"/>
          <w:lang w:val="pt-BR"/>
        </w:rPr>
        <w:t xml:space="preserve"> CIDH, Alegações perante a Corte Interamericana de Direitos Humanos no caso de Awas Tingni v. Nicarágua. Referido em: Corte IDH. Caso da Comunidade Mayagna (Sumo) Awas Tingni Vs. Nicarágua. Fundo, Reparações e Custas. Sentença de 31 de agosto de 2001. Série C No. 79, par. 140(f).</w:t>
      </w:r>
    </w:p>
  </w:footnote>
  <w:footnote w:id="9">
    <w:p w14:paraId="07856EF5" w14:textId="77777777" w:rsidR="00674795" w:rsidRPr="009434AB" w:rsidRDefault="00674795" w:rsidP="00674795">
      <w:pPr>
        <w:tabs>
          <w:tab w:val="left" w:pos="0"/>
          <w:tab w:val="left" w:pos="360"/>
          <w:tab w:val="left" w:pos="567"/>
          <w:tab w:val="left" w:pos="720"/>
        </w:tabs>
        <w:ind w:firstLine="709"/>
        <w:jc w:val="both"/>
        <w:rPr>
          <w:rFonts w:asciiTheme="majorHAnsi" w:hAnsiTheme="majorHAnsi"/>
          <w:iCs/>
          <w:sz w:val="16"/>
          <w:szCs w:val="16"/>
          <w:lang w:val="pt-BR"/>
        </w:rPr>
      </w:pPr>
      <w:r w:rsidRPr="009434AB">
        <w:rPr>
          <w:rStyle w:val="FootnoteReference"/>
          <w:rFonts w:asciiTheme="majorHAnsi" w:hAnsiTheme="majorHAnsi"/>
          <w:sz w:val="16"/>
          <w:szCs w:val="16"/>
          <w:lang w:val="pt-BR"/>
        </w:rPr>
        <w:footnoteRef/>
      </w:r>
      <w:r w:rsidRPr="009434AB">
        <w:rPr>
          <w:rFonts w:asciiTheme="majorHAnsi" w:hAnsiTheme="majorHAnsi"/>
          <w:sz w:val="16"/>
          <w:szCs w:val="16"/>
          <w:lang w:val="pt-BR"/>
        </w:rPr>
        <w:t xml:space="preserve"> CIDH, Relatório No. 75/02, Caso 11.140, Mary e Carrie Dann (Estados Unidos), 27 de dezembro de 2002, par. 128.</w:t>
      </w:r>
    </w:p>
  </w:footnote>
  <w:footnote w:id="10">
    <w:p w14:paraId="24FE5DB6" w14:textId="77777777" w:rsidR="00674795" w:rsidRPr="009434AB" w:rsidRDefault="00674795" w:rsidP="00674795">
      <w:pPr>
        <w:tabs>
          <w:tab w:val="left" w:pos="0"/>
          <w:tab w:val="left" w:pos="360"/>
          <w:tab w:val="left" w:pos="567"/>
          <w:tab w:val="left" w:pos="720"/>
        </w:tabs>
        <w:ind w:firstLine="709"/>
        <w:jc w:val="both"/>
        <w:rPr>
          <w:rFonts w:asciiTheme="majorHAnsi" w:hAnsiTheme="majorHAnsi"/>
          <w:iCs/>
          <w:sz w:val="16"/>
          <w:szCs w:val="16"/>
          <w:lang w:val="es-ES"/>
        </w:rPr>
      </w:pPr>
      <w:r w:rsidRPr="009434AB">
        <w:rPr>
          <w:rStyle w:val="FootnoteReference"/>
          <w:rFonts w:asciiTheme="majorHAnsi" w:hAnsiTheme="majorHAnsi"/>
          <w:sz w:val="16"/>
          <w:szCs w:val="16"/>
          <w:lang w:val="pt-BR"/>
        </w:rPr>
        <w:footnoteRef/>
      </w:r>
      <w:r w:rsidRPr="009434AB">
        <w:rPr>
          <w:rFonts w:asciiTheme="majorHAnsi" w:hAnsiTheme="majorHAnsi"/>
          <w:sz w:val="16"/>
          <w:szCs w:val="16"/>
          <w:lang w:val="pt-BR"/>
        </w:rPr>
        <w:t xml:space="preserve"> Corte IDH. Caso Comunidade Indígena Yakye Axa vs. Paraguai. Sentença de 17 de junho de 2005 (Fundo, Reparações e Custas), pars. 157, 158, 164 e seguintes; CIDH, Relatório Nº 189/20, Caso 12.569. Mérito. Comunidades quilombolas de Alcântara. </w:t>
      </w:r>
      <w:r w:rsidRPr="009434AB">
        <w:rPr>
          <w:rFonts w:asciiTheme="majorHAnsi" w:hAnsiTheme="majorHAnsi"/>
          <w:sz w:val="16"/>
          <w:szCs w:val="16"/>
          <w:lang w:val="es-ES"/>
        </w:rPr>
        <w:t>Brasil. 14 de junho de 2020, par. 247.</w:t>
      </w:r>
    </w:p>
  </w:footnote>
  <w:footnote w:id="11">
    <w:p w14:paraId="49FD5B95" w14:textId="77777777" w:rsidR="00036DBE" w:rsidRPr="009434AB" w:rsidRDefault="00036DBE" w:rsidP="00761458">
      <w:pPr>
        <w:pStyle w:val="FootnoteText"/>
        <w:ind w:firstLine="709"/>
        <w:jc w:val="both"/>
        <w:rPr>
          <w:rFonts w:asciiTheme="majorHAnsi" w:hAnsiTheme="majorHAnsi"/>
          <w:sz w:val="16"/>
          <w:szCs w:val="16"/>
          <w:lang w:val="es-ES"/>
        </w:rPr>
      </w:pPr>
      <w:r w:rsidRPr="009434AB">
        <w:rPr>
          <w:rStyle w:val="FootnoteReference"/>
          <w:rFonts w:asciiTheme="majorHAnsi" w:hAnsiTheme="majorHAnsi"/>
          <w:sz w:val="16"/>
          <w:szCs w:val="16"/>
        </w:rPr>
        <w:footnoteRef/>
      </w:r>
      <w:r w:rsidRPr="009434AB">
        <w:rPr>
          <w:rFonts w:asciiTheme="majorHAnsi" w:hAnsiTheme="majorHAnsi"/>
          <w:i/>
          <w:iCs/>
          <w:sz w:val="16"/>
          <w:szCs w:val="16"/>
          <w:lang w:val="es-ES"/>
        </w:rPr>
        <w:t xml:space="preserve"> </w:t>
      </w:r>
      <w:r w:rsidRPr="009434AB">
        <w:rPr>
          <w:rFonts w:asciiTheme="majorHAnsi" w:hAnsiTheme="majorHAnsi"/>
          <w:sz w:val="16"/>
          <w:szCs w:val="16"/>
          <w:lang w:val="es-ES"/>
        </w:rPr>
        <w:t>En el mismo sentido ver: CIDH, Demanda presentada ante la Corte Interamericana de Derechos Humanos en el Caso de la Comunidad Indígena Yakye Axa Vs. Paraguay, 17 de marzo de 2003; CIDH, Informe No. 40/04, Caso 12053, Comunidades Indígenas Mayas del Distrito de Toledo Vs. Belice, 12 de octubre de 2004. párr.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60625"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59BCDF6A"/>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001150"/>
    <w:multiLevelType w:val="hybridMultilevel"/>
    <w:tmpl w:val="6EFACEF8"/>
    <w:lvl w:ilvl="0" w:tplc="BC5ED63A">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6"/>
  </w:num>
  <w:num w:numId="3" w16cid:durableId="1663389590">
    <w:abstractNumId w:val="57"/>
  </w:num>
  <w:num w:numId="4" w16cid:durableId="82342866">
    <w:abstractNumId w:val="21"/>
  </w:num>
  <w:num w:numId="5" w16cid:durableId="1599026591">
    <w:abstractNumId w:val="50"/>
  </w:num>
  <w:num w:numId="6" w16cid:durableId="1795514418">
    <w:abstractNumId w:val="28"/>
  </w:num>
  <w:num w:numId="7" w16cid:durableId="396254">
    <w:abstractNumId w:val="7"/>
  </w:num>
  <w:num w:numId="8" w16cid:durableId="1302268258">
    <w:abstractNumId w:val="17"/>
  </w:num>
  <w:num w:numId="9" w16cid:durableId="669480169">
    <w:abstractNumId w:val="44"/>
  </w:num>
  <w:num w:numId="10" w16cid:durableId="275260533">
    <w:abstractNumId w:val="0"/>
  </w:num>
  <w:num w:numId="11" w16cid:durableId="866258526">
    <w:abstractNumId w:val="39"/>
  </w:num>
  <w:num w:numId="12" w16cid:durableId="171335598">
    <w:abstractNumId w:val="40"/>
  </w:num>
  <w:num w:numId="13" w16cid:durableId="752550714">
    <w:abstractNumId w:val="47"/>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8"/>
  </w:num>
  <w:num w:numId="26" w16cid:durableId="660161155">
    <w:abstractNumId w:val="19"/>
  </w:num>
  <w:num w:numId="27" w16cid:durableId="2016032229">
    <w:abstractNumId w:val="22"/>
  </w:num>
  <w:num w:numId="28" w16cid:durableId="1169757202">
    <w:abstractNumId w:val="23"/>
  </w:num>
  <w:num w:numId="29" w16cid:durableId="1713113596">
    <w:abstractNumId w:val="24"/>
  </w:num>
  <w:num w:numId="30" w16cid:durableId="217321478">
    <w:abstractNumId w:val="26"/>
  </w:num>
  <w:num w:numId="31" w16cid:durableId="2001157105">
    <w:abstractNumId w:val="29"/>
  </w:num>
  <w:num w:numId="32" w16cid:durableId="1680884154">
    <w:abstractNumId w:val="30"/>
  </w:num>
  <w:num w:numId="33" w16cid:durableId="1152284582">
    <w:abstractNumId w:val="31"/>
  </w:num>
  <w:num w:numId="34" w16cid:durableId="676424681">
    <w:abstractNumId w:val="32"/>
  </w:num>
  <w:num w:numId="35" w16cid:durableId="894270057">
    <w:abstractNumId w:val="33"/>
  </w:num>
  <w:num w:numId="36" w16cid:durableId="988172318">
    <w:abstractNumId w:val="35"/>
  </w:num>
  <w:num w:numId="37" w16cid:durableId="550464103">
    <w:abstractNumId w:val="36"/>
  </w:num>
  <w:num w:numId="38" w16cid:durableId="923027620">
    <w:abstractNumId w:val="37"/>
  </w:num>
  <w:num w:numId="39" w16cid:durableId="257376164">
    <w:abstractNumId w:val="41"/>
  </w:num>
  <w:num w:numId="40" w16cid:durableId="1595551088">
    <w:abstractNumId w:val="42"/>
  </w:num>
  <w:num w:numId="41" w16cid:durableId="1901792458">
    <w:abstractNumId w:val="49"/>
  </w:num>
  <w:num w:numId="42" w16cid:durableId="2066679574">
    <w:abstractNumId w:val="51"/>
  </w:num>
  <w:num w:numId="43" w16cid:durableId="1855076713">
    <w:abstractNumId w:val="53"/>
  </w:num>
  <w:num w:numId="44" w16cid:durableId="101000019">
    <w:abstractNumId w:val="55"/>
  </w:num>
  <w:num w:numId="45" w16cid:durableId="1260337889">
    <w:abstractNumId w:val="56"/>
  </w:num>
  <w:num w:numId="46" w16cid:durableId="1866938194">
    <w:abstractNumId w:val="58"/>
  </w:num>
  <w:num w:numId="47" w16cid:durableId="1627587656">
    <w:abstractNumId w:val="59"/>
  </w:num>
  <w:num w:numId="48" w16cid:durableId="43716973">
    <w:abstractNumId w:val="60"/>
  </w:num>
  <w:num w:numId="49" w16cid:durableId="795217068">
    <w:abstractNumId w:val="62"/>
  </w:num>
  <w:num w:numId="50" w16cid:durableId="1981417420">
    <w:abstractNumId w:val="63"/>
  </w:num>
  <w:num w:numId="51" w16cid:durableId="1472405985">
    <w:abstractNumId w:val="20"/>
  </w:num>
  <w:num w:numId="52" w16cid:durableId="1310091464">
    <w:abstractNumId w:val="43"/>
  </w:num>
  <w:num w:numId="53" w16cid:durableId="88084230">
    <w:abstractNumId w:val="54"/>
  </w:num>
  <w:num w:numId="54" w16cid:durableId="1659263601">
    <w:abstractNumId w:val="48"/>
  </w:num>
  <w:num w:numId="55" w16cid:durableId="1823621252">
    <w:abstractNumId w:val="45"/>
  </w:num>
  <w:num w:numId="56" w16cid:durableId="1618171722">
    <w:abstractNumId w:val="27"/>
  </w:num>
  <w:num w:numId="57" w16cid:durableId="979261358">
    <w:abstractNumId w:val="25"/>
  </w:num>
  <w:num w:numId="58" w16cid:durableId="55784951">
    <w:abstractNumId w:val="38"/>
  </w:num>
  <w:num w:numId="59" w16cid:durableId="665792024">
    <w:abstractNumId w:val="61"/>
  </w:num>
  <w:num w:numId="60" w16cid:durableId="712732366">
    <w:abstractNumId w:val="34"/>
  </w:num>
  <w:num w:numId="61" w16cid:durableId="1097671741">
    <w:abstractNumId w:val="46"/>
  </w:num>
  <w:num w:numId="62" w16cid:durableId="1840730130">
    <w:abstractNumId w:val="52"/>
  </w:num>
  <w:num w:numId="63" w16cid:durableId="369187513">
    <w:abstractNumId w:val="3"/>
  </w:num>
  <w:num w:numId="64" w16cid:durableId="984119965">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9E"/>
    <w:rsid w:val="00000CDA"/>
    <w:rsid w:val="00006E1F"/>
    <w:rsid w:val="000070D7"/>
    <w:rsid w:val="000077B5"/>
    <w:rsid w:val="00007E23"/>
    <w:rsid w:val="0001788C"/>
    <w:rsid w:val="000237BB"/>
    <w:rsid w:val="000337EF"/>
    <w:rsid w:val="000342AB"/>
    <w:rsid w:val="00036DBE"/>
    <w:rsid w:val="00040C3A"/>
    <w:rsid w:val="000419AD"/>
    <w:rsid w:val="000433C9"/>
    <w:rsid w:val="000444E7"/>
    <w:rsid w:val="00045D32"/>
    <w:rsid w:val="0005720B"/>
    <w:rsid w:val="000603A1"/>
    <w:rsid w:val="00071174"/>
    <w:rsid w:val="000711C9"/>
    <w:rsid w:val="000716C5"/>
    <w:rsid w:val="000744D1"/>
    <w:rsid w:val="00075E23"/>
    <w:rsid w:val="00084C4B"/>
    <w:rsid w:val="00092E21"/>
    <w:rsid w:val="0009344A"/>
    <w:rsid w:val="000970F4"/>
    <w:rsid w:val="0009793B"/>
    <w:rsid w:val="000A392E"/>
    <w:rsid w:val="000A3AB0"/>
    <w:rsid w:val="000A575F"/>
    <w:rsid w:val="000B66F4"/>
    <w:rsid w:val="000B7730"/>
    <w:rsid w:val="000B7F16"/>
    <w:rsid w:val="000C09E6"/>
    <w:rsid w:val="000D05CB"/>
    <w:rsid w:val="000D10DB"/>
    <w:rsid w:val="000E11A9"/>
    <w:rsid w:val="000E5EB5"/>
    <w:rsid w:val="000F35ED"/>
    <w:rsid w:val="000F3E4D"/>
    <w:rsid w:val="0010550C"/>
    <w:rsid w:val="00107131"/>
    <w:rsid w:val="0010736F"/>
    <w:rsid w:val="00113F73"/>
    <w:rsid w:val="001157A0"/>
    <w:rsid w:val="00121CC2"/>
    <w:rsid w:val="001276F0"/>
    <w:rsid w:val="00130478"/>
    <w:rsid w:val="00131425"/>
    <w:rsid w:val="00133EE5"/>
    <w:rsid w:val="00143460"/>
    <w:rsid w:val="0015087E"/>
    <w:rsid w:val="00154281"/>
    <w:rsid w:val="00165562"/>
    <w:rsid w:val="00167A34"/>
    <w:rsid w:val="001709C4"/>
    <w:rsid w:val="001753EC"/>
    <w:rsid w:val="00184A32"/>
    <w:rsid w:val="00186D7B"/>
    <w:rsid w:val="001913A0"/>
    <w:rsid w:val="001A137B"/>
    <w:rsid w:val="001A520D"/>
    <w:rsid w:val="001A7870"/>
    <w:rsid w:val="001A7D7B"/>
    <w:rsid w:val="001B3A00"/>
    <w:rsid w:val="001B5739"/>
    <w:rsid w:val="001B76BC"/>
    <w:rsid w:val="001C1B41"/>
    <w:rsid w:val="001C7D4C"/>
    <w:rsid w:val="001D21C7"/>
    <w:rsid w:val="001D65EF"/>
    <w:rsid w:val="001E115B"/>
    <w:rsid w:val="001E15E7"/>
    <w:rsid w:val="001E308A"/>
    <w:rsid w:val="001E49E7"/>
    <w:rsid w:val="001F1BFE"/>
    <w:rsid w:val="001F7201"/>
    <w:rsid w:val="001F75A8"/>
    <w:rsid w:val="00201077"/>
    <w:rsid w:val="002071B6"/>
    <w:rsid w:val="00210726"/>
    <w:rsid w:val="00220FFC"/>
    <w:rsid w:val="00223A29"/>
    <w:rsid w:val="002250A3"/>
    <w:rsid w:val="00227BFE"/>
    <w:rsid w:val="00234F71"/>
    <w:rsid w:val="00235217"/>
    <w:rsid w:val="00237C68"/>
    <w:rsid w:val="00246D1F"/>
    <w:rsid w:val="00247403"/>
    <w:rsid w:val="00247542"/>
    <w:rsid w:val="002500B3"/>
    <w:rsid w:val="0025385F"/>
    <w:rsid w:val="00260BFE"/>
    <w:rsid w:val="00266B61"/>
    <w:rsid w:val="0026712A"/>
    <w:rsid w:val="002704DB"/>
    <w:rsid w:val="0027087A"/>
    <w:rsid w:val="00275A32"/>
    <w:rsid w:val="00280B37"/>
    <w:rsid w:val="00281F63"/>
    <w:rsid w:val="0028279E"/>
    <w:rsid w:val="002A0AAE"/>
    <w:rsid w:val="002A20DC"/>
    <w:rsid w:val="002A5820"/>
    <w:rsid w:val="002B13B6"/>
    <w:rsid w:val="002B1533"/>
    <w:rsid w:val="002D05F6"/>
    <w:rsid w:val="002D0C09"/>
    <w:rsid w:val="002D2B26"/>
    <w:rsid w:val="002D3268"/>
    <w:rsid w:val="002D7EA2"/>
    <w:rsid w:val="002E187C"/>
    <w:rsid w:val="002F3F56"/>
    <w:rsid w:val="002F3F8C"/>
    <w:rsid w:val="00302733"/>
    <w:rsid w:val="00305835"/>
    <w:rsid w:val="00306F33"/>
    <w:rsid w:val="00314078"/>
    <w:rsid w:val="0031535D"/>
    <w:rsid w:val="00317128"/>
    <w:rsid w:val="003239B8"/>
    <w:rsid w:val="003259EF"/>
    <w:rsid w:val="0033169F"/>
    <w:rsid w:val="003329E2"/>
    <w:rsid w:val="0033664A"/>
    <w:rsid w:val="00343F7C"/>
    <w:rsid w:val="00344977"/>
    <w:rsid w:val="003459D0"/>
    <w:rsid w:val="00346C95"/>
    <w:rsid w:val="00356185"/>
    <w:rsid w:val="00360380"/>
    <w:rsid w:val="00366584"/>
    <w:rsid w:val="0037519E"/>
    <w:rsid w:val="00380295"/>
    <w:rsid w:val="00386CF0"/>
    <w:rsid w:val="00391AE7"/>
    <w:rsid w:val="003B70FB"/>
    <w:rsid w:val="003C676B"/>
    <w:rsid w:val="003D331F"/>
    <w:rsid w:val="003D3BC2"/>
    <w:rsid w:val="003D67A9"/>
    <w:rsid w:val="003E51E9"/>
    <w:rsid w:val="003E6CA1"/>
    <w:rsid w:val="003F5154"/>
    <w:rsid w:val="003F5AFC"/>
    <w:rsid w:val="00405F9C"/>
    <w:rsid w:val="004065A8"/>
    <w:rsid w:val="004165C2"/>
    <w:rsid w:val="00416CAB"/>
    <w:rsid w:val="004205D0"/>
    <w:rsid w:val="004241A0"/>
    <w:rsid w:val="00426EB8"/>
    <w:rsid w:val="00427B38"/>
    <w:rsid w:val="00441ECB"/>
    <w:rsid w:val="00445193"/>
    <w:rsid w:val="00447769"/>
    <w:rsid w:val="00447E52"/>
    <w:rsid w:val="00462C1B"/>
    <w:rsid w:val="004653A2"/>
    <w:rsid w:val="00467B7E"/>
    <w:rsid w:val="00473BB4"/>
    <w:rsid w:val="00477592"/>
    <w:rsid w:val="00486F1C"/>
    <w:rsid w:val="00490EB7"/>
    <w:rsid w:val="0049419D"/>
    <w:rsid w:val="004A057B"/>
    <w:rsid w:val="004A4CCC"/>
    <w:rsid w:val="004A6332"/>
    <w:rsid w:val="004A6A54"/>
    <w:rsid w:val="004B421C"/>
    <w:rsid w:val="004C20D2"/>
    <w:rsid w:val="004C2312"/>
    <w:rsid w:val="004C24EC"/>
    <w:rsid w:val="004C4B62"/>
    <w:rsid w:val="004C54C9"/>
    <w:rsid w:val="004D2A22"/>
    <w:rsid w:val="004D39E0"/>
    <w:rsid w:val="004D4ABA"/>
    <w:rsid w:val="004D6025"/>
    <w:rsid w:val="004E013A"/>
    <w:rsid w:val="004E2649"/>
    <w:rsid w:val="004F0D1B"/>
    <w:rsid w:val="004F1840"/>
    <w:rsid w:val="004F1B17"/>
    <w:rsid w:val="004F20DC"/>
    <w:rsid w:val="004F626F"/>
    <w:rsid w:val="00501399"/>
    <w:rsid w:val="005047ED"/>
    <w:rsid w:val="0050633D"/>
    <w:rsid w:val="005079DA"/>
    <w:rsid w:val="00507BC4"/>
    <w:rsid w:val="005128E4"/>
    <w:rsid w:val="005133DB"/>
    <w:rsid w:val="00514504"/>
    <w:rsid w:val="00521E1F"/>
    <w:rsid w:val="00525560"/>
    <w:rsid w:val="005258B4"/>
    <w:rsid w:val="0053344B"/>
    <w:rsid w:val="00534309"/>
    <w:rsid w:val="00544C49"/>
    <w:rsid w:val="005516A1"/>
    <w:rsid w:val="00552088"/>
    <w:rsid w:val="005559EF"/>
    <w:rsid w:val="005627DD"/>
    <w:rsid w:val="00563557"/>
    <w:rsid w:val="00564A3B"/>
    <w:rsid w:val="00565C07"/>
    <w:rsid w:val="0056768B"/>
    <w:rsid w:val="0057402A"/>
    <w:rsid w:val="005771D0"/>
    <w:rsid w:val="005828F0"/>
    <w:rsid w:val="0059191A"/>
    <w:rsid w:val="005921FF"/>
    <w:rsid w:val="00595A97"/>
    <w:rsid w:val="00597856"/>
    <w:rsid w:val="005A0136"/>
    <w:rsid w:val="005A24ED"/>
    <w:rsid w:val="005A6D0E"/>
    <w:rsid w:val="005B039F"/>
    <w:rsid w:val="005B0651"/>
    <w:rsid w:val="005B52B0"/>
    <w:rsid w:val="005B6806"/>
    <w:rsid w:val="005C4225"/>
    <w:rsid w:val="005C5678"/>
    <w:rsid w:val="005E2761"/>
    <w:rsid w:val="005F0791"/>
    <w:rsid w:val="005F0DAD"/>
    <w:rsid w:val="005F0F33"/>
    <w:rsid w:val="005F4210"/>
    <w:rsid w:val="005F5811"/>
    <w:rsid w:val="00600DEB"/>
    <w:rsid w:val="00604595"/>
    <w:rsid w:val="00605AC0"/>
    <w:rsid w:val="0062296E"/>
    <w:rsid w:val="00627562"/>
    <w:rsid w:val="00627C9F"/>
    <w:rsid w:val="006311E9"/>
    <w:rsid w:val="00632354"/>
    <w:rsid w:val="00635421"/>
    <w:rsid w:val="00635B94"/>
    <w:rsid w:val="00642810"/>
    <w:rsid w:val="00652333"/>
    <w:rsid w:val="00674795"/>
    <w:rsid w:val="006769F3"/>
    <w:rsid w:val="0068009E"/>
    <w:rsid w:val="006900A2"/>
    <w:rsid w:val="00692219"/>
    <w:rsid w:val="00693EB9"/>
    <w:rsid w:val="00696F62"/>
    <w:rsid w:val="006A17D2"/>
    <w:rsid w:val="006A73E6"/>
    <w:rsid w:val="006B2D5C"/>
    <w:rsid w:val="006B3E22"/>
    <w:rsid w:val="006C0ECF"/>
    <w:rsid w:val="006C3A93"/>
    <w:rsid w:val="006C4EB1"/>
    <w:rsid w:val="006C7901"/>
    <w:rsid w:val="006D4B4F"/>
    <w:rsid w:val="006E0166"/>
    <w:rsid w:val="006E2FFB"/>
    <w:rsid w:val="006E3BAD"/>
    <w:rsid w:val="006E3F40"/>
    <w:rsid w:val="006E7B34"/>
    <w:rsid w:val="006F0092"/>
    <w:rsid w:val="006F242D"/>
    <w:rsid w:val="00700F50"/>
    <w:rsid w:val="0070568D"/>
    <w:rsid w:val="0070697F"/>
    <w:rsid w:val="007103C4"/>
    <w:rsid w:val="0072199C"/>
    <w:rsid w:val="00722C9F"/>
    <w:rsid w:val="00723817"/>
    <w:rsid w:val="007253B8"/>
    <w:rsid w:val="00726E3A"/>
    <w:rsid w:val="00730164"/>
    <w:rsid w:val="0073392A"/>
    <w:rsid w:val="0073741F"/>
    <w:rsid w:val="007461E7"/>
    <w:rsid w:val="00751EB7"/>
    <w:rsid w:val="0075547F"/>
    <w:rsid w:val="00761458"/>
    <w:rsid w:val="0076643F"/>
    <w:rsid w:val="00767FA9"/>
    <w:rsid w:val="00771587"/>
    <w:rsid w:val="007765D8"/>
    <w:rsid w:val="00777F63"/>
    <w:rsid w:val="0078658C"/>
    <w:rsid w:val="0079289D"/>
    <w:rsid w:val="00793F1C"/>
    <w:rsid w:val="007A0DC6"/>
    <w:rsid w:val="007A1A45"/>
    <w:rsid w:val="007A2986"/>
    <w:rsid w:val="007A5817"/>
    <w:rsid w:val="007B05C4"/>
    <w:rsid w:val="007B60E9"/>
    <w:rsid w:val="007B6595"/>
    <w:rsid w:val="007B6CC3"/>
    <w:rsid w:val="007B76D3"/>
    <w:rsid w:val="007C18F9"/>
    <w:rsid w:val="007C3334"/>
    <w:rsid w:val="007C73A3"/>
    <w:rsid w:val="007D2B98"/>
    <w:rsid w:val="007E1EE8"/>
    <w:rsid w:val="007E21BC"/>
    <w:rsid w:val="007E5C82"/>
    <w:rsid w:val="007E62F2"/>
    <w:rsid w:val="007E6888"/>
    <w:rsid w:val="007E7C82"/>
    <w:rsid w:val="007F2AA1"/>
    <w:rsid w:val="007F2D7C"/>
    <w:rsid w:val="007F588D"/>
    <w:rsid w:val="0080015F"/>
    <w:rsid w:val="008019FE"/>
    <w:rsid w:val="00801E92"/>
    <w:rsid w:val="00803F1C"/>
    <w:rsid w:val="0080600E"/>
    <w:rsid w:val="0081055A"/>
    <w:rsid w:val="0081344C"/>
    <w:rsid w:val="00814688"/>
    <w:rsid w:val="00817612"/>
    <w:rsid w:val="008205F3"/>
    <w:rsid w:val="008232A6"/>
    <w:rsid w:val="008257BC"/>
    <w:rsid w:val="008338A4"/>
    <w:rsid w:val="00834D49"/>
    <w:rsid w:val="00835CA1"/>
    <w:rsid w:val="00837C45"/>
    <w:rsid w:val="00841CD0"/>
    <w:rsid w:val="00844730"/>
    <w:rsid w:val="008457C2"/>
    <w:rsid w:val="00846060"/>
    <w:rsid w:val="008555BF"/>
    <w:rsid w:val="00856620"/>
    <w:rsid w:val="00857A82"/>
    <w:rsid w:val="008635F9"/>
    <w:rsid w:val="00872CBE"/>
    <w:rsid w:val="00873836"/>
    <w:rsid w:val="00885737"/>
    <w:rsid w:val="00890650"/>
    <w:rsid w:val="008944DC"/>
    <w:rsid w:val="00895F48"/>
    <w:rsid w:val="00897E12"/>
    <w:rsid w:val="008A7E0F"/>
    <w:rsid w:val="008B12F5"/>
    <w:rsid w:val="008B4D26"/>
    <w:rsid w:val="008B7355"/>
    <w:rsid w:val="008C5E2D"/>
    <w:rsid w:val="008D498B"/>
    <w:rsid w:val="008D768D"/>
    <w:rsid w:val="008E2546"/>
    <w:rsid w:val="008E3759"/>
    <w:rsid w:val="008E3BFE"/>
    <w:rsid w:val="008E646E"/>
    <w:rsid w:val="008E67B2"/>
    <w:rsid w:val="008F1912"/>
    <w:rsid w:val="0090270B"/>
    <w:rsid w:val="009041DC"/>
    <w:rsid w:val="00913478"/>
    <w:rsid w:val="00917B5A"/>
    <w:rsid w:val="00920A58"/>
    <w:rsid w:val="00920A8C"/>
    <w:rsid w:val="00934A2C"/>
    <w:rsid w:val="00937452"/>
    <w:rsid w:val="009434AB"/>
    <w:rsid w:val="009445F4"/>
    <w:rsid w:val="00945782"/>
    <w:rsid w:val="00957C0E"/>
    <w:rsid w:val="0096706E"/>
    <w:rsid w:val="00967D25"/>
    <w:rsid w:val="00970C4D"/>
    <w:rsid w:val="00974312"/>
    <w:rsid w:val="00974491"/>
    <w:rsid w:val="00975C4E"/>
    <w:rsid w:val="00981FBA"/>
    <w:rsid w:val="00982364"/>
    <w:rsid w:val="009838C1"/>
    <w:rsid w:val="00997BC5"/>
    <w:rsid w:val="009A2851"/>
    <w:rsid w:val="009A40CF"/>
    <w:rsid w:val="009A431F"/>
    <w:rsid w:val="009A4F41"/>
    <w:rsid w:val="009B381B"/>
    <w:rsid w:val="009B7673"/>
    <w:rsid w:val="009C10A7"/>
    <w:rsid w:val="009D1753"/>
    <w:rsid w:val="009D2D7C"/>
    <w:rsid w:val="009D7611"/>
    <w:rsid w:val="009E0B61"/>
    <w:rsid w:val="009E32A9"/>
    <w:rsid w:val="009E53DE"/>
    <w:rsid w:val="009E5F38"/>
    <w:rsid w:val="009E759A"/>
    <w:rsid w:val="009E7F46"/>
    <w:rsid w:val="00A004BB"/>
    <w:rsid w:val="00A0757C"/>
    <w:rsid w:val="00A11212"/>
    <w:rsid w:val="00A11E44"/>
    <w:rsid w:val="00A23AE5"/>
    <w:rsid w:val="00A30100"/>
    <w:rsid w:val="00A328B3"/>
    <w:rsid w:val="00A34797"/>
    <w:rsid w:val="00A348E6"/>
    <w:rsid w:val="00A404E7"/>
    <w:rsid w:val="00A50FCF"/>
    <w:rsid w:val="00A528D1"/>
    <w:rsid w:val="00A57502"/>
    <w:rsid w:val="00A610CD"/>
    <w:rsid w:val="00A758AA"/>
    <w:rsid w:val="00A95179"/>
    <w:rsid w:val="00AA09A2"/>
    <w:rsid w:val="00AA1B2C"/>
    <w:rsid w:val="00AA5191"/>
    <w:rsid w:val="00AA7996"/>
    <w:rsid w:val="00AB3141"/>
    <w:rsid w:val="00AB5C3E"/>
    <w:rsid w:val="00AC19CB"/>
    <w:rsid w:val="00AC1ECD"/>
    <w:rsid w:val="00AE263F"/>
    <w:rsid w:val="00AE3945"/>
    <w:rsid w:val="00AE5488"/>
    <w:rsid w:val="00AE6F91"/>
    <w:rsid w:val="00AF1AF9"/>
    <w:rsid w:val="00AF1EA1"/>
    <w:rsid w:val="00AF5571"/>
    <w:rsid w:val="00B0247A"/>
    <w:rsid w:val="00B03860"/>
    <w:rsid w:val="00B07341"/>
    <w:rsid w:val="00B11718"/>
    <w:rsid w:val="00B179F3"/>
    <w:rsid w:val="00B23A4E"/>
    <w:rsid w:val="00B249AB"/>
    <w:rsid w:val="00B30539"/>
    <w:rsid w:val="00B314DB"/>
    <w:rsid w:val="00B361F2"/>
    <w:rsid w:val="00B3718B"/>
    <w:rsid w:val="00B3745F"/>
    <w:rsid w:val="00B4632A"/>
    <w:rsid w:val="00B530F1"/>
    <w:rsid w:val="00B60625"/>
    <w:rsid w:val="00B83158"/>
    <w:rsid w:val="00B85F71"/>
    <w:rsid w:val="00B93D7F"/>
    <w:rsid w:val="00B941D5"/>
    <w:rsid w:val="00B97BC3"/>
    <w:rsid w:val="00BA2401"/>
    <w:rsid w:val="00BA276C"/>
    <w:rsid w:val="00BA27E4"/>
    <w:rsid w:val="00BA6CEF"/>
    <w:rsid w:val="00BB019D"/>
    <w:rsid w:val="00BB306F"/>
    <w:rsid w:val="00BB45D7"/>
    <w:rsid w:val="00BB6B26"/>
    <w:rsid w:val="00BD0744"/>
    <w:rsid w:val="00BD0FF5"/>
    <w:rsid w:val="00BD4443"/>
    <w:rsid w:val="00BD4B89"/>
    <w:rsid w:val="00BD5922"/>
    <w:rsid w:val="00BE1205"/>
    <w:rsid w:val="00BF02CB"/>
    <w:rsid w:val="00BF09FC"/>
    <w:rsid w:val="00BF2534"/>
    <w:rsid w:val="00BF6FD8"/>
    <w:rsid w:val="00C00BC8"/>
    <w:rsid w:val="00C03680"/>
    <w:rsid w:val="00C03C9A"/>
    <w:rsid w:val="00C054DF"/>
    <w:rsid w:val="00C06AFA"/>
    <w:rsid w:val="00C13055"/>
    <w:rsid w:val="00C171C3"/>
    <w:rsid w:val="00C20BC2"/>
    <w:rsid w:val="00C21762"/>
    <w:rsid w:val="00C21FEF"/>
    <w:rsid w:val="00C23BA4"/>
    <w:rsid w:val="00C24543"/>
    <w:rsid w:val="00C256A2"/>
    <w:rsid w:val="00C25ADB"/>
    <w:rsid w:val="00C3331F"/>
    <w:rsid w:val="00C51515"/>
    <w:rsid w:val="00C544BB"/>
    <w:rsid w:val="00C56109"/>
    <w:rsid w:val="00C5660B"/>
    <w:rsid w:val="00C56831"/>
    <w:rsid w:val="00C61B18"/>
    <w:rsid w:val="00C66031"/>
    <w:rsid w:val="00C66B72"/>
    <w:rsid w:val="00C721DB"/>
    <w:rsid w:val="00C75938"/>
    <w:rsid w:val="00C87AC4"/>
    <w:rsid w:val="00C9124E"/>
    <w:rsid w:val="00C9567A"/>
    <w:rsid w:val="00CA1714"/>
    <w:rsid w:val="00CA627A"/>
    <w:rsid w:val="00CB0178"/>
    <w:rsid w:val="00CB212D"/>
    <w:rsid w:val="00CB2660"/>
    <w:rsid w:val="00CB4D65"/>
    <w:rsid w:val="00CB58A6"/>
    <w:rsid w:val="00CC543D"/>
    <w:rsid w:val="00CC5E90"/>
    <w:rsid w:val="00CC6B23"/>
    <w:rsid w:val="00CD046C"/>
    <w:rsid w:val="00CD1060"/>
    <w:rsid w:val="00CD1D3B"/>
    <w:rsid w:val="00CD3109"/>
    <w:rsid w:val="00CE076C"/>
    <w:rsid w:val="00CE3595"/>
    <w:rsid w:val="00CE37C4"/>
    <w:rsid w:val="00CE5199"/>
    <w:rsid w:val="00CE66D5"/>
    <w:rsid w:val="00CF637A"/>
    <w:rsid w:val="00D00D1C"/>
    <w:rsid w:val="00D01312"/>
    <w:rsid w:val="00D059DE"/>
    <w:rsid w:val="00D05ABD"/>
    <w:rsid w:val="00D10167"/>
    <w:rsid w:val="00D13FCE"/>
    <w:rsid w:val="00D306D1"/>
    <w:rsid w:val="00D30800"/>
    <w:rsid w:val="00D34786"/>
    <w:rsid w:val="00D37BFC"/>
    <w:rsid w:val="00D471A2"/>
    <w:rsid w:val="00D47A8E"/>
    <w:rsid w:val="00D52D14"/>
    <w:rsid w:val="00D712D3"/>
    <w:rsid w:val="00D71422"/>
    <w:rsid w:val="00D72DC6"/>
    <w:rsid w:val="00D7558D"/>
    <w:rsid w:val="00D75B49"/>
    <w:rsid w:val="00D80A66"/>
    <w:rsid w:val="00D81D92"/>
    <w:rsid w:val="00D876F9"/>
    <w:rsid w:val="00D92F63"/>
    <w:rsid w:val="00DA7B5F"/>
    <w:rsid w:val="00DC11E7"/>
    <w:rsid w:val="00DC1B4C"/>
    <w:rsid w:val="00DC24E3"/>
    <w:rsid w:val="00DC7023"/>
    <w:rsid w:val="00DC769A"/>
    <w:rsid w:val="00DD3D86"/>
    <w:rsid w:val="00DD4AD2"/>
    <w:rsid w:val="00DD515C"/>
    <w:rsid w:val="00DE0A58"/>
    <w:rsid w:val="00DE2862"/>
    <w:rsid w:val="00DF1EC4"/>
    <w:rsid w:val="00DF6B57"/>
    <w:rsid w:val="00E0340B"/>
    <w:rsid w:val="00E04A90"/>
    <w:rsid w:val="00E0551F"/>
    <w:rsid w:val="00E219C7"/>
    <w:rsid w:val="00E2321A"/>
    <w:rsid w:val="00E265B7"/>
    <w:rsid w:val="00E27FEF"/>
    <w:rsid w:val="00E323B2"/>
    <w:rsid w:val="00E40E47"/>
    <w:rsid w:val="00E4118C"/>
    <w:rsid w:val="00E425B8"/>
    <w:rsid w:val="00E43157"/>
    <w:rsid w:val="00E4476F"/>
    <w:rsid w:val="00E461CE"/>
    <w:rsid w:val="00E573E4"/>
    <w:rsid w:val="00E63553"/>
    <w:rsid w:val="00E64C3D"/>
    <w:rsid w:val="00E6535D"/>
    <w:rsid w:val="00E66AFF"/>
    <w:rsid w:val="00E720CA"/>
    <w:rsid w:val="00E84EB5"/>
    <w:rsid w:val="00E85662"/>
    <w:rsid w:val="00E8789F"/>
    <w:rsid w:val="00E9102F"/>
    <w:rsid w:val="00E95F8D"/>
    <w:rsid w:val="00E977E9"/>
    <w:rsid w:val="00E97B71"/>
    <w:rsid w:val="00EA1625"/>
    <w:rsid w:val="00EA3D34"/>
    <w:rsid w:val="00EB454D"/>
    <w:rsid w:val="00EB47CD"/>
    <w:rsid w:val="00EB77C7"/>
    <w:rsid w:val="00ED2B3F"/>
    <w:rsid w:val="00ED549D"/>
    <w:rsid w:val="00ED5E10"/>
    <w:rsid w:val="00ED76BE"/>
    <w:rsid w:val="00EE00E9"/>
    <w:rsid w:val="00EE00F9"/>
    <w:rsid w:val="00EE36C0"/>
    <w:rsid w:val="00EF1AAA"/>
    <w:rsid w:val="00EF619B"/>
    <w:rsid w:val="00F00B55"/>
    <w:rsid w:val="00F02AD1"/>
    <w:rsid w:val="00F11AF1"/>
    <w:rsid w:val="00F15D52"/>
    <w:rsid w:val="00F17870"/>
    <w:rsid w:val="00F253CC"/>
    <w:rsid w:val="00F328DD"/>
    <w:rsid w:val="00F36BF4"/>
    <w:rsid w:val="00F37106"/>
    <w:rsid w:val="00F44E25"/>
    <w:rsid w:val="00F519CF"/>
    <w:rsid w:val="00F54C7F"/>
    <w:rsid w:val="00F56BA5"/>
    <w:rsid w:val="00F60C89"/>
    <w:rsid w:val="00F60E22"/>
    <w:rsid w:val="00F61F2F"/>
    <w:rsid w:val="00F7289E"/>
    <w:rsid w:val="00F74300"/>
    <w:rsid w:val="00F80D59"/>
    <w:rsid w:val="00F81395"/>
    <w:rsid w:val="00F81BB8"/>
    <w:rsid w:val="00F8227D"/>
    <w:rsid w:val="00F867BF"/>
    <w:rsid w:val="00F90C64"/>
    <w:rsid w:val="00F917D1"/>
    <w:rsid w:val="00F9653B"/>
    <w:rsid w:val="00FA01FC"/>
    <w:rsid w:val="00FA3BDA"/>
    <w:rsid w:val="00FB5290"/>
    <w:rsid w:val="00FB57DB"/>
    <w:rsid w:val="00FB62CF"/>
    <w:rsid w:val="00FB66EE"/>
    <w:rsid w:val="00FB7BE2"/>
    <w:rsid w:val="00FC6219"/>
    <w:rsid w:val="00FD3C3B"/>
    <w:rsid w:val="00FD4E08"/>
    <w:rsid w:val="00FD5701"/>
    <w:rsid w:val="00FD639B"/>
    <w:rsid w:val="00FD667B"/>
    <w:rsid w:val="00FD6C28"/>
    <w:rsid w:val="00FD715C"/>
    <w:rsid w:val="00FE07DD"/>
    <w:rsid w:val="00FE0BBF"/>
    <w:rsid w:val="00FE382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paragraph" w:customStyle="1" w:styleId="1">
    <w:name w:val="1"/>
    <w:basedOn w:val="Normal"/>
    <w:link w:val="FootnoteReference"/>
    <w:uiPriority w:val="99"/>
    <w:rsid w:val="008205F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3329E2"/>
    <w:rPr>
      <w:sz w:val="16"/>
      <w:szCs w:val="16"/>
    </w:rPr>
  </w:style>
  <w:style w:type="paragraph" w:styleId="CommentText">
    <w:name w:val="annotation text"/>
    <w:basedOn w:val="Normal"/>
    <w:link w:val="CommentTextChar"/>
    <w:uiPriority w:val="99"/>
    <w:unhideWhenUsed/>
    <w:rsid w:val="003329E2"/>
    <w:rPr>
      <w:sz w:val="20"/>
      <w:szCs w:val="20"/>
    </w:rPr>
  </w:style>
  <w:style w:type="character" w:customStyle="1" w:styleId="CommentTextChar">
    <w:name w:val="Comment Text Char"/>
    <w:basedOn w:val="DefaultParagraphFont"/>
    <w:link w:val="CommentText"/>
    <w:uiPriority w:val="99"/>
    <w:rsid w:val="003329E2"/>
    <w:rPr>
      <w:lang w:val="en-US" w:eastAsia="en-US"/>
    </w:rPr>
  </w:style>
  <w:style w:type="paragraph" w:styleId="CommentSubject">
    <w:name w:val="annotation subject"/>
    <w:basedOn w:val="CommentText"/>
    <w:next w:val="CommentText"/>
    <w:link w:val="CommentSubjectChar"/>
    <w:uiPriority w:val="99"/>
    <w:semiHidden/>
    <w:unhideWhenUsed/>
    <w:rsid w:val="003329E2"/>
    <w:rPr>
      <w:b/>
      <w:bCs/>
    </w:rPr>
  </w:style>
  <w:style w:type="character" w:customStyle="1" w:styleId="CommentSubjectChar">
    <w:name w:val="Comment Subject Char"/>
    <w:basedOn w:val="CommentTextChar"/>
    <w:link w:val="CommentSubject"/>
    <w:uiPriority w:val="99"/>
    <w:semiHidden/>
    <w:rsid w:val="003329E2"/>
    <w:rPr>
      <w:b/>
      <w:bCs/>
      <w:lang w:val="en-US" w:eastAsia="en-US"/>
    </w:rPr>
  </w:style>
  <w:style w:type="paragraph" w:customStyle="1" w:styleId="Char2">
    <w:name w:val="Char2"/>
    <w:basedOn w:val="Normal"/>
    <w:rsid w:val="0081344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3259E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2D0C09"/>
  </w:style>
  <w:style w:type="character" w:customStyle="1" w:styleId="eop">
    <w:name w:val="eop"/>
    <w:basedOn w:val="DefaultParagraphFont"/>
    <w:rsid w:val="002D0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02521">
      <w:bodyDiv w:val="1"/>
      <w:marLeft w:val="0"/>
      <w:marRight w:val="0"/>
      <w:marTop w:val="0"/>
      <w:marBottom w:val="0"/>
      <w:divBdr>
        <w:top w:val="none" w:sz="0" w:space="0" w:color="auto"/>
        <w:left w:val="none" w:sz="0" w:space="0" w:color="auto"/>
        <w:bottom w:val="none" w:sz="0" w:space="0" w:color="auto"/>
        <w:right w:val="none" w:sz="0" w:space="0" w:color="auto"/>
      </w:divBdr>
    </w:div>
    <w:div w:id="719013844">
      <w:bodyDiv w:val="1"/>
      <w:marLeft w:val="0"/>
      <w:marRight w:val="0"/>
      <w:marTop w:val="0"/>
      <w:marBottom w:val="0"/>
      <w:divBdr>
        <w:top w:val="none" w:sz="0" w:space="0" w:color="auto"/>
        <w:left w:val="none" w:sz="0" w:space="0" w:color="auto"/>
        <w:bottom w:val="none" w:sz="0" w:space="0" w:color="auto"/>
        <w:right w:val="none" w:sz="0" w:space="0" w:color="auto"/>
      </w:divBdr>
    </w:div>
    <w:div w:id="805243057">
      <w:bodyDiv w:val="1"/>
      <w:marLeft w:val="0"/>
      <w:marRight w:val="0"/>
      <w:marTop w:val="0"/>
      <w:marBottom w:val="0"/>
      <w:divBdr>
        <w:top w:val="none" w:sz="0" w:space="0" w:color="auto"/>
        <w:left w:val="none" w:sz="0" w:space="0" w:color="auto"/>
        <w:bottom w:val="none" w:sz="0" w:space="0" w:color="auto"/>
        <w:right w:val="none" w:sz="0" w:space="0" w:color="auto"/>
      </w:divBdr>
      <w:divsChild>
        <w:div w:id="1656228459">
          <w:marLeft w:val="0"/>
          <w:marRight w:val="0"/>
          <w:marTop w:val="0"/>
          <w:marBottom w:val="0"/>
          <w:divBdr>
            <w:top w:val="none" w:sz="0" w:space="0" w:color="auto"/>
            <w:left w:val="none" w:sz="0" w:space="0" w:color="auto"/>
            <w:bottom w:val="none" w:sz="0" w:space="0" w:color="auto"/>
            <w:right w:val="none" w:sz="0" w:space="0" w:color="auto"/>
          </w:divBdr>
          <w:divsChild>
            <w:div w:id="437062959">
              <w:marLeft w:val="0"/>
              <w:marRight w:val="0"/>
              <w:marTop w:val="0"/>
              <w:marBottom w:val="0"/>
              <w:divBdr>
                <w:top w:val="none" w:sz="0" w:space="0" w:color="auto"/>
                <w:left w:val="none" w:sz="0" w:space="0" w:color="auto"/>
                <w:bottom w:val="none" w:sz="0" w:space="0" w:color="auto"/>
                <w:right w:val="none" w:sz="0" w:space="0" w:color="auto"/>
              </w:divBdr>
              <w:divsChild>
                <w:div w:id="1749770888">
                  <w:marLeft w:val="0"/>
                  <w:marRight w:val="0"/>
                  <w:marTop w:val="0"/>
                  <w:marBottom w:val="0"/>
                  <w:divBdr>
                    <w:top w:val="none" w:sz="0" w:space="0" w:color="auto"/>
                    <w:left w:val="none" w:sz="0" w:space="0" w:color="auto"/>
                    <w:bottom w:val="none" w:sz="0" w:space="0" w:color="auto"/>
                    <w:right w:val="none" w:sz="0" w:space="0" w:color="auto"/>
                  </w:divBdr>
                  <w:divsChild>
                    <w:div w:id="21408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53037">
          <w:marLeft w:val="0"/>
          <w:marRight w:val="0"/>
          <w:marTop w:val="0"/>
          <w:marBottom w:val="0"/>
          <w:divBdr>
            <w:top w:val="none" w:sz="0" w:space="0" w:color="auto"/>
            <w:left w:val="none" w:sz="0" w:space="0" w:color="auto"/>
            <w:bottom w:val="none" w:sz="0" w:space="0" w:color="auto"/>
            <w:right w:val="none" w:sz="0" w:space="0" w:color="auto"/>
          </w:divBdr>
          <w:divsChild>
            <w:div w:id="1870533233">
              <w:marLeft w:val="0"/>
              <w:marRight w:val="0"/>
              <w:marTop w:val="0"/>
              <w:marBottom w:val="0"/>
              <w:divBdr>
                <w:top w:val="none" w:sz="0" w:space="0" w:color="auto"/>
                <w:left w:val="none" w:sz="0" w:space="0" w:color="auto"/>
                <w:bottom w:val="none" w:sz="0" w:space="0" w:color="auto"/>
                <w:right w:val="none" w:sz="0" w:space="0" w:color="auto"/>
              </w:divBdr>
              <w:divsChild>
                <w:div w:id="1231161731">
                  <w:marLeft w:val="0"/>
                  <w:marRight w:val="0"/>
                  <w:marTop w:val="0"/>
                  <w:marBottom w:val="0"/>
                  <w:divBdr>
                    <w:top w:val="none" w:sz="0" w:space="0" w:color="auto"/>
                    <w:left w:val="none" w:sz="0" w:space="0" w:color="auto"/>
                    <w:bottom w:val="none" w:sz="0" w:space="0" w:color="auto"/>
                    <w:right w:val="none" w:sz="0" w:space="0" w:color="auto"/>
                  </w:divBdr>
                  <w:divsChild>
                    <w:div w:id="8218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938059">
      <w:bodyDiv w:val="1"/>
      <w:marLeft w:val="0"/>
      <w:marRight w:val="0"/>
      <w:marTop w:val="0"/>
      <w:marBottom w:val="0"/>
      <w:divBdr>
        <w:top w:val="none" w:sz="0" w:space="0" w:color="auto"/>
        <w:left w:val="none" w:sz="0" w:space="0" w:color="auto"/>
        <w:bottom w:val="none" w:sz="0" w:space="0" w:color="auto"/>
        <w:right w:val="none" w:sz="0" w:space="0" w:color="auto"/>
      </w:divBdr>
    </w:div>
    <w:div w:id="1019894118">
      <w:bodyDiv w:val="1"/>
      <w:marLeft w:val="0"/>
      <w:marRight w:val="0"/>
      <w:marTop w:val="0"/>
      <w:marBottom w:val="0"/>
      <w:divBdr>
        <w:top w:val="none" w:sz="0" w:space="0" w:color="auto"/>
        <w:left w:val="none" w:sz="0" w:space="0" w:color="auto"/>
        <w:bottom w:val="none" w:sz="0" w:space="0" w:color="auto"/>
        <w:right w:val="none" w:sz="0" w:space="0" w:color="auto"/>
      </w:divBdr>
    </w:div>
    <w:div w:id="1081680582">
      <w:bodyDiv w:val="1"/>
      <w:marLeft w:val="0"/>
      <w:marRight w:val="0"/>
      <w:marTop w:val="0"/>
      <w:marBottom w:val="0"/>
      <w:divBdr>
        <w:top w:val="none" w:sz="0" w:space="0" w:color="auto"/>
        <w:left w:val="none" w:sz="0" w:space="0" w:color="auto"/>
        <w:bottom w:val="none" w:sz="0" w:space="0" w:color="auto"/>
        <w:right w:val="none" w:sz="0" w:space="0" w:color="auto"/>
      </w:divBdr>
    </w:div>
    <w:div w:id="1089543383">
      <w:bodyDiv w:val="1"/>
      <w:marLeft w:val="0"/>
      <w:marRight w:val="0"/>
      <w:marTop w:val="0"/>
      <w:marBottom w:val="0"/>
      <w:divBdr>
        <w:top w:val="none" w:sz="0" w:space="0" w:color="auto"/>
        <w:left w:val="none" w:sz="0" w:space="0" w:color="auto"/>
        <w:bottom w:val="none" w:sz="0" w:space="0" w:color="auto"/>
        <w:right w:val="none" w:sz="0" w:space="0" w:color="auto"/>
      </w:divBdr>
    </w:div>
    <w:div w:id="1173225642">
      <w:bodyDiv w:val="1"/>
      <w:marLeft w:val="0"/>
      <w:marRight w:val="0"/>
      <w:marTop w:val="0"/>
      <w:marBottom w:val="0"/>
      <w:divBdr>
        <w:top w:val="none" w:sz="0" w:space="0" w:color="auto"/>
        <w:left w:val="none" w:sz="0" w:space="0" w:color="auto"/>
        <w:bottom w:val="none" w:sz="0" w:space="0" w:color="auto"/>
        <w:right w:val="none" w:sz="0" w:space="0" w:color="auto"/>
      </w:divBdr>
    </w:div>
    <w:div w:id="119947159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14303678">
      <w:bodyDiv w:val="1"/>
      <w:marLeft w:val="0"/>
      <w:marRight w:val="0"/>
      <w:marTop w:val="0"/>
      <w:marBottom w:val="0"/>
      <w:divBdr>
        <w:top w:val="none" w:sz="0" w:space="0" w:color="auto"/>
        <w:left w:val="none" w:sz="0" w:space="0" w:color="auto"/>
        <w:bottom w:val="none" w:sz="0" w:space="0" w:color="auto"/>
        <w:right w:val="none" w:sz="0" w:space="0" w:color="auto"/>
      </w:divBdr>
    </w:div>
    <w:div w:id="1707216216">
      <w:bodyDiv w:val="1"/>
      <w:marLeft w:val="0"/>
      <w:marRight w:val="0"/>
      <w:marTop w:val="0"/>
      <w:marBottom w:val="0"/>
      <w:divBdr>
        <w:top w:val="none" w:sz="0" w:space="0" w:color="auto"/>
        <w:left w:val="none" w:sz="0" w:space="0" w:color="auto"/>
        <w:bottom w:val="none" w:sz="0" w:space="0" w:color="auto"/>
        <w:right w:val="none" w:sz="0" w:space="0" w:color="auto"/>
      </w:divBdr>
    </w:div>
    <w:div w:id="172256118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decisiones/pdf/2021/1-21MC754-20B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3598"/>
    <w:rsid w:val="0008633E"/>
    <w:rsid w:val="00094C3C"/>
    <w:rsid w:val="000B17B9"/>
    <w:rsid w:val="000E32E8"/>
    <w:rsid w:val="00115FAF"/>
    <w:rsid w:val="001440D3"/>
    <w:rsid w:val="0015087E"/>
    <w:rsid w:val="001B76BC"/>
    <w:rsid w:val="001F1E7D"/>
    <w:rsid w:val="00200821"/>
    <w:rsid w:val="0025245B"/>
    <w:rsid w:val="00292DCE"/>
    <w:rsid w:val="002A3923"/>
    <w:rsid w:val="00394049"/>
    <w:rsid w:val="003B0C71"/>
    <w:rsid w:val="00416EFA"/>
    <w:rsid w:val="004B5BBB"/>
    <w:rsid w:val="004D0C54"/>
    <w:rsid w:val="004F2DF8"/>
    <w:rsid w:val="00517E2A"/>
    <w:rsid w:val="00532587"/>
    <w:rsid w:val="00565C07"/>
    <w:rsid w:val="005660BD"/>
    <w:rsid w:val="005B549D"/>
    <w:rsid w:val="006255DD"/>
    <w:rsid w:val="006D12AA"/>
    <w:rsid w:val="006F24A1"/>
    <w:rsid w:val="007016BF"/>
    <w:rsid w:val="007765D8"/>
    <w:rsid w:val="00785923"/>
    <w:rsid w:val="007B383A"/>
    <w:rsid w:val="007F5F61"/>
    <w:rsid w:val="00875B8A"/>
    <w:rsid w:val="008D498B"/>
    <w:rsid w:val="008F55D1"/>
    <w:rsid w:val="009A261B"/>
    <w:rsid w:val="009F1FCA"/>
    <w:rsid w:val="00AA2E17"/>
    <w:rsid w:val="00AC15A4"/>
    <w:rsid w:val="00B0336C"/>
    <w:rsid w:val="00C94B94"/>
    <w:rsid w:val="00CB3C71"/>
    <w:rsid w:val="00D21D3F"/>
    <w:rsid w:val="00D241E9"/>
    <w:rsid w:val="00D7750D"/>
    <w:rsid w:val="00E32779"/>
    <w:rsid w:val="00E4428C"/>
    <w:rsid w:val="00EB2B0D"/>
    <w:rsid w:val="00F00D2F"/>
    <w:rsid w:val="00F128DF"/>
    <w:rsid w:val="00F759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2813</Words>
  <Characters>16040</Characters>
  <Application>Microsoft Office Word</Application>
  <DocSecurity>0</DocSecurity>
  <Lines>133</Lines>
  <Paragraphs>37</Paragraphs>
  <ScaleCrop>false</ScaleCrop>
  <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2025-01-09T15:49:00Z</dcterms:created>
  <dcterms:modified xsi:type="dcterms:W3CDTF">2025-01-09T15:49:00Z</dcterms:modified>
</cp:coreProperties>
</file>