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B1E140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7A922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06F90">
                              <w:rPr>
                                <w:rFonts w:asciiTheme="majorHAnsi" w:hAnsiTheme="majorHAnsi" w:cs="Arial"/>
                                <w:b/>
                                <w:bCs/>
                                <w:color w:val="0D0D0D" w:themeColor="text1" w:themeTint="F2"/>
                                <w:sz w:val="36"/>
                                <w:szCs w:val="22"/>
                                <w:lang w:val="es-ES_tradnl"/>
                              </w:rPr>
                              <w:t>214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508066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4399">
                              <w:rPr>
                                <w:rFonts w:asciiTheme="majorHAnsi" w:hAnsiTheme="majorHAnsi" w:cs="Arial"/>
                                <w:b/>
                                <w:color w:val="0D0D0D" w:themeColor="text1" w:themeTint="F2"/>
                                <w:sz w:val="36"/>
                                <w:szCs w:val="22"/>
                                <w:lang w:val="es-ES_tradnl"/>
                              </w:rPr>
                              <w:t>1717-18</w:t>
                            </w:r>
                          </w:p>
                          <w:p w14:paraId="188B4303" w14:textId="588EFD9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4554CFB" w14:textId="3DEA7334" w:rsidR="00944399" w:rsidRPr="00944399" w:rsidRDefault="00944399" w:rsidP="00F56ECB">
                            <w:pPr>
                              <w:spacing w:line="276" w:lineRule="auto"/>
                              <w:rPr>
                                <w:rFonts w:asciiTheme="majorHAnsi" w:hAnsiTheme="majorHAnsi" w:cs="Arial"/>
                                <w:color w:val="0D0D0D" w:themeColor="text1" w:themeTint="F2"/>
                                <w:szCs w:val="22"/>
                                <w:lang w:val="es-CO"/>
                              </w:rPr>
                            </w:pPr>
                            <w:r w:rsidRPr="00944399">
                              <w:rPr>
                                <w:rFonts w:asciiTheme="majorHAnsi" w:hAnsiTheme="majorHAnsi" w:cs="Arial"/>
                                <w:color w:val="0D0D0D" w:themeColor="text1" w:themeTint="F2"/>
                                <w:szCs w:val="22"/>
                                <w:lang w:val="es-CO"/>
                              </w:rPr>
                              <w:t xml:space="preserve">L.J.S.H. </w:t>
                            </w:r>
                            <w:r>
                              <w:rPr>
                                <w:rFonts w:asciiTheme="majorHAnsi" w:hAnsiTheme="majorHAnsi" w:cs="Arial"/>
                                <w:color w:val="0D0D0D" w:themeColor="text1" w:themeTint="F2"/>
                                <w:szCs w:val="22"/>
                                <w:lang w:val="es-CO"/>
                              </w:rPr>
                              <w:t>Y FAMILIA</w:t>
                            </w:r>
                          </w:p>
                          <w:p w14:paraId="0B9F7D22" w14:textId="2CDAEA4C" w:rsidR="005B52B0" w:rsidRPr="00F56ECB" w:rsidRDefault="0094439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7A922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06F90">
                        <w:rPr>
                          <w:rFonts w:asciiTheme="majorHAnsi" w:hAnsiTheme="majorHAnsi" w:cs="Arial"/>
                          <w:b/>
                          <w:bCs/>
                          <w:color w:val="0D0D0D" w:themeColor="text1" w:themeTint="F2"/>
                          <w:sz w:val="36"/>
                          <w:szCs w:val="22"/>
                          <w:lang w:val="es-ES_tradnl"/>
                        </w:rPr>
                        <w:t>214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508066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4399">
                        <w:rPr>
                          <w:rFonts w:asciiTheme="majorHAnsi" w:hAnsiTheme="majorHAnsi" w:cs="Arial"/>
                          <w:b/>
                          <w:color w:val="0D0D0D" w:themeColor="text1" w:themeTint="F2"/>
                          <w:sz w:val="36"/>
                          <w:szCs w:val="22"/>
                          <w:lang w:val="es-ES_tradnl"/>
                        </w:rPr>
                        <w:t>1717-18</w:t>
                      </w:r>
                    </w:p>
                    <w:p w14:paraId="188B4303" w14:textId="588EFD9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4554CFB" w14:textId="3DEA7334" w:rsidR="00944399" w:rsidRPr="00944399" w:rsidRDefault="00944399" w:rsidP="00F56ECB">
                      <w:pPr>
                        <w:spacing w:line="276" w:lineRule="auto"/>
                        <w:rPr>
                          <w:rFonts w:asciiTheme="majorHAnsi" w:hAnsiTheme="majorHAnsi" w:cs="Arial"/>
                          <w:color w:val="0D0D0D" w:themeColor="text1" w:themeTint="F2"/>
                          <w:szCs w:val="22"/>
                          <w:lang w:val="es-CO"/>
                        </w:rPr>
                      </w:pPr>
                      <w:r w:rsidRPr="00944399">
                        <w:rPr>
                          <w:rFonts w:asciiTheme="majorHAnsi" w:hAnsiTheme="majorHAnsi" w:cs="Arial"/>
                          <w:color w:val="0D0D0D" w:themeColor="text1" w:themeTint="F2"/>
                          <w:szCs w:val="22"/>
                          <w:lang w:val="es-CO"/>
                        </w:rPr>
                        <w:t xml:space="preserve">L.J.S.H. </w:t>
                      </w:r>
                      <w:r>
                        <w:rPr>
                          <w:rFonts w:asciiTheme="majorHAnsi" w:hAnsiTheme="majorHAnsi" w:cs="Arial"/>
                          <w:color w:val="0D0D0D" w:themeColor="text1" w:themeTint="F2"/>
                          <w:szCs w:val="22"/>
                          <w:lang w:val="es-CO"/>
                        </w:rPr>
                        <w:t>Y FAMILIA</w:t>
                      </w:r>
                    </w:p>
                    <w:p w14:paraId="0B9F7D22" w14:textId="2CDAEA4C" w:rsidR="005B52B0" w:rsidRPr="00F56ECB" w:rsidRDefault="0094439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F458AA8" w:rsidR="00627C9F" w:rsidRPr="00206F90" w:rsidRDefault="00834D49" w:rsidP="007A5817">
                            <w:pPr>
                              <w:spacing w:line="276" w:lineRule="auto"/>
                              <w:jc w:val="right"/>
                              <w:rPr>
                                <w:rFonts w:asciiTheme="minorHAnsi" w:hAnsiTheme="minorHAnsi"/>
                                <w:color w:val="FFFFFF" w:themeColor="background1"/>
                                <w:sz w:val="22"/>
                                <w:lang w:val="es-ES"/>
                              </w:rPr>
                            </w:pPr>
                            <w:r w:rsidRPr="00206F90">
                              <w:rPr>
                                <w:rFonts w:asciiTheme="minorHAnsi" w:hAnsiTheme="minorHAnsi"/>
                                <w:color w:val="FFFFFF" w:themeColor="background1"/>
                                <w:sz w:val="22"/>
                                <w:lang w:val="es-ES"/>
                              </w:rPr>
                              <w:t>OEA/Ser.L/V/II</w:t>
                            </w:r>
                          </w:p>
                          <w:p w14:paraId="71D2D5D2" w14:textId="5D3C4849" w:rsidR="00627C9F" w:rsidRPr="00206F90" w:rsidRDefault="00627C9F" w:rsidP="007A5817">
                            <w:pPr>
                              <w:spacing w:line="276" w:lineRule="auto"/>
                              <w:jc w:val="right"/>
                              <w:rPr>
                                <w:rFonts w:asciiTheme="minorHAnsi" w:hAnsiTheme="minorHAnsi"/>
                                <w:color w:val="FFFFFF" w:themeColor="background1"/>
                                <w:sz w:val="22"/>
                                <w:lang w:val="es-ES"/>
                              </w:rPr>
                            </w:pPr>
                            <w:r w:rsidRPr="00206F90">
                              <w:rPr>
                                <w:rFonts w:asciiTheme="minorHAnsi" w:hAnsiTheme="minorHAnsi"/>
                                <w:color w:val="FFFFFF" w:themeColor="background1"/>
                                <w:sz w:val="22"/>
                                <w:lang w:val="es-ES"/>
                              </w:rPr>
                              <w:t xml:space="preserve">Doc. </w:t>
                            </w:r>
                            <w:r w:rsidR="00206F90">
                              <w:rPr>
                                <w:rFonts w:asciiTheme="minorHAnsi" w:hAnsiTheme="minorHAnsi"/>
                                <w:color w:val="FFFFFF" w:themeColor="background1"/>
                                <w:sz w:val="22"/>
                                <w:lang w:val="es-ES"/>
                              </w:rPr>
                              <w:t>223</w:t>
                            </w:r>
                          </w:p>
                          <w:p w14:paraId="4061DBBD" w14:textId="4ED80921" w:rsidR="00627C9F" w:rsidRPr="00C25ADB" w:rsidRDefault="00B2348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F458AA8" w:rsidR="00627C9F" w:rsidRPr="00206F90" w:rsidRDefault="00834D49" w:rsidP="007A5817">
                      <w:pPr>
                        <w:spacing w:line="276" w:lineRule="auto"/>
                        <w:jc w:val="right"/>
                        <w:rPr>
                          <w:rFonts w:asciiTheme="minorHAnsi" w:hAnsiTheme="minorHAnsi"/>
                          <w:color w:val="FFFFFF" w:themeColor="background1"/>
                          <w:sz w:val="22"/>
                          <w:lang w:val="es-ES"/>
                        </w:rPr>
                      </w:pPr>
                      <w:r w:rsidRPr="00206F90">
                        <w:rPr>
                          <w:rFonts w:asciiTheme="minorHAnsi" w:hAnsiTheme="minorHAnsi"/>
                          <w:color w:val="FFFFFF" w:themeColor="background1"/>
                          <w:sz w:val="22"/>
                          <w:lang w:val="es-ES"/>
                        </w:rPr>
                        <w:t>OEA/Ser.L/V/II</w:t>
                      </w:r>
                    </w:p>
                    <w:p w14:paraId="71D2D5D2" w14:textId="5D3C4849" w:rsidR="00627C9F" w:rsidRPr="00206F90" w:rsidRDefault="00627C9F" w:rsidP="007A5817">
                      <w:pPr>
                        <w:spacing w:line="276" w:lineRule="auto"/>
                        <w:jc w:val="right"/>
                        <w:rPr>
                          <w:rFonts w:asciiTheme="minorHAnsi" w:hAnsiTheme="minorHAnsi"/>
                          <w:color w:val="FFFFFF" w:themeColor="background1"/>
                          <w:sz w:val="22"/>
                          <w:lang w:val="es-ES"/>
                        </w:rPr>
                      </w:pPr>
                      <w:r w:rsidRPr="00206F90">
                        <w:rPr>
                          <w:rFonts w:asciiTheme="minorHAnsi" w:hAnsiTheme="minorHAnsi"/>
                          <w:color w:val="FFFFFF" w:themeColor="background1"/>
                          <w:sz w:val="22"/>
                          <w:lang w:val="es-ES"/>
                        </w:rPr>
                        <w:t xml:space="preserve">Doc. </w:t>
                      </w:r>
                      <w:r w:rsidR="00206F90">
                        <w:rPr>
                          <w:rFonts w:asciiTheme="minorHAnsi" w:hAnsiTheme="minorHAnsi"/>
                          <w:color w:val="FFFFFF" w:themeColor="background1"/>
                          <w:sz w:val="22"/>
                          <w:lang w:val="es-ES"/>
                        </w:rPr>
                        <w:t>223</w:t>
                      </w:r>
                    </w:p>
                    <w:p w14:paraId="4061DBBD" w14:textId="4ED80921" w:rsidR="00627C9F" w:rsidRPr="00C25ADB" w:rsidRDefault="00B2348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AF4B40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51064">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55106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55106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AF4B40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51064">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55106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55106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F09F9B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CFB" w:rsidRPr="00F3329F">
                              <w:rPr>
                                <w:rFonts w:asciiTheme="majorHAnsi" w:hAnsiTheme="majorHAnsi"/>
                                <w:color w:val="595959" w:themeColor="text1" w:themeTint="A6"/>
                                <w:sz w:val="18"/>
                                <w:szCs w:val="18"/>
                                <w:lang w:val="pt-BR"/>
                              </w:rPr>
                              <w:t>214</w:t>
                            </w:r>
                            <w:r w:rsidR="007B05C4" w:rsidRPr="00F3329F">
                              <w:rPr>
                                <w:rFonts w:asciiTheme="majorHAnsi" w:hAnsiTheme="majorHAnsi"/>
                                <w:color w:val="595959" w:themeColor="text1" w:themeTint="A6"/>
                                <w:sz w:val="18"/>
                                <w:szCs w:val="18"/>
                                <w:lang w:val="pt-BR"/>
                              </w:rPr>
                              <w:t>/</w:t>
                            </w:r>
                            <w:r w:rsidR="00551064" w:rsidRPr="00F3329F">
                              <w:rPr>
                                <w:rFonts w:asciiTheme="majorHAnsi" w:hAnsiTheme="majorHAnsi"/>
                                <w:color w:val="595959" w:themeColor="text1" w:themeTint="A6"/>
                                <w:sz w:val="18"/>
                                <w:szCs w:val="18"/>
                                <w:lang w:val="pt-BR"/>
                              </w:rPr>
                              <w:t>24</w:t>
                            </w:r>
                            <w:r w:rsidRPr="00F3329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A4398">
                              <w:rPr>
                                <w:rFonts w:asciiTheme="majorHAnsi" w:hAnsiTheme="majorHAnsi"/>
                                <w:color w:val="595959" w:themeColor="text1" w:themeTint="A6"/>
                                <w:sz w:val="18"/>
                                <w:szCs w:val="18"/>
                                <w:lang w:val="es-ES"/>
                              </w:rPr>
                              <w:t>1717-18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A4398" w:rsidRPr="002A4398">
                              <w:rPr>
                                <w:rFonts w:asciiTheme="majorHAnsi" w:hAnsiTheme="majorHAnsi"/>
                                <w:color w:val="595959" w:themeColor="text1" w:themeTint="A6"/>
                                <w:sz w:val="18"/>
                                <w:szCs w:val="18"/>
                                <w:lang w:val="es-CO"/>
                              </w:rPr>
                              <w:t>L.J.S.H</w:t>
                            </w:r>
                            <w:r w:rsidR="002A4398">
                              <w:rPr>
                                <w:rFonts w:asciiTheme="majorHAnsi" w:hAnsiTheme="majorHAnsi"/>
                                <w:color w:val="595959" w:themeColor="text1" w:themeTint="A6"/>
                                <w:sz w:val="18"/>
                                <w:szCs w:val="18"/>
                                <w:lang w:val="es-ES_tradnl"/>
                              </w:rPr>
                              <w:t>. y familia. Colombia</w:t>
                            </w:r>
                            <w:r w:rsidRPr="00890650">
                              <w:rPr>
                                <w:rFonts w:asciiTheme="majorHAnsi" w:hAnsiTheme="majorHAnsi"/>
                                <w:color w:val="595959" w:themeColor="text1" w:themeTint="A6"/>
                                <w:sz w:val="18"/>
                                <w:szCs w:val="18"/>
                                <w:lang w:val="es-ES_tradnl"/>
                              </w:rPr>
                              <w:t xml:space="preserve">. </w:t>
                            </w:r>
                            <w:r w:rsidR="00551064">
                              <w:rPr>
                                <w:rFonts w:asciiTheme="majorHAnsi" w:hAnsiTheme="majorHAnsi"/>
                                <w:color w:val="595959" w:themeColor="text1" w:themeTint="A6"/>
                                <w:sz w:val="18"/>
                                <w:szCs w:val="18"/>
                                <w:lang w:val="es-ES"/>
                              </w:rPr>
                              <w:t>27 de noviembre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F09F9B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3CFB" w:rsidRPr="00F3329F">
                        <w:rPr>
                          <w:rFonts w:asciiTheme="majorHAnsi" w:hAnsiTheme="majorHAnsi"/>
                          <w:color w:val="595959" w:themeColor="text1" w:themeTint="A6"/>
                          <w:sz w:val="18"/>
                          <w:szCs w:val="18"/>
                          <w:lang w:val="pt-BR"/>
                        </w:rPr>
                        <w:t>214</w:t>
                      </w:r>
                      <w:r w:rsidR="007B05C4" w:rsidRPr="00F3329F">
                        <w:rPr>
                          <w:rFonts w:asciiTheme="majorHAnsi" w:hAnsiTheme="majorHAnsi"/>
                          <w:color w:val="595959" w:themeColor="text1" w:themeTint="A6"/>
                          <w:sz w:val="18"/>
                          <w:szCs w:val="18"/>
                          <w:lang w:val="pt-BR"/>
                        </w:rPr>
                        <w:t>/</w:t>
                      </w:r>
                      <w:r w:rsidR="00551064" w:rsidRPr="00F3329F">
                        <w:rPr>
                          <w:rFonts w:asciiTheme="majorHAnsi" w:hAnsiTheme="majorHAnsi"/>
                          <w:color w:val="595959" w:themeColor="text1" w:themeTint="A6"/>
                          <w:sz w:val="18"/>
                          <w:szCs w:val="18"/>
                          <w:lang w:val="pt-BR"/>
                        </w:rPr>
                        <w:t>24</w:t>
                      </w:r>
                      <w:r w:rsidRPr="00F3329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A4398">
                        <w:rPr>
                          <w:rFonts w:asciiTheme="majorHAnsi" w:hAnsiTheme="majorHAnsi"/>
                          <w:color w:val="595959" w:themeColor="text1" w:themeTint="A6"/>
                          <w:sz w:val="18"/>
                          <w:szCs w:val="18"/>
                          <w:lang w:val="es-ES"/>
                        </w:rPr>
                        <w:t>1717-18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A4398" w:rsidRPr="002A4398">
                        <w:rPr>
                          <w:rFonts w:asciiTheme="majorHAnsi" w:hAnsiTheme="majorHAnsi"/>
                          <w:color w:val="595959" w:themeColor="text1" w:themeTint="A6"/>
                          <w:sz w:val="18"/>
                          <w:szCs w:val="18"/>
                          <w:lang w:val="es-CO"/>
                        </w:rPr>
                        <w:t>L.J.S.H</w:t>
                      </w:r>
                      <w:r w:rsidR="002A4398">
                        <w:rPr>
                          <w:rFonts w:asciiTheme="majorHAnsi" w:hAnsiTheme="majorHAnsi"/>
                          <w:color w:val="595959" w:themeColor="text1" w:themeTint="A6"/>
                          <w:sz w:val="18"/>
                          <w:szCs w:val="18"/>
                          <w:lang w:val="es-ES_tradnl"/>
                        </w:rPr>
                        <w:t>. y familia. Colombia</w:t>
                      </w:r>
                      <w:r w:rsidRPr="00890650">
                        <w:rPr>
                          <w:rFonts w:asciiTheme="majorHAnsi" w:hAnsiTheme="majorHAnsi"/>
                          <w:color w:val="595959" w:themeColor="text1" w:themeTint="A6"/>
                          <w:sz w:val="18"/>
                          <w:szCs w:val="18"/>
                          <w:lang w:val="es-ES_tradnl"/>
                        </w:rPr>
                        <w:t xml:space="preserve">. </w:t>
                      </w:r>
                      <w:r w:rsidR="00551064">
                        <w:rPr>
                          <w:rFonts w:asciiTheme="majorHAnsi" w:hAnsiTheme="majorHAnsi"/>
                          <w:color w:val="595959" w:themeColor="text1" w:themeTint="A6"/>
                          <w:sz w:val="18"/>
                          <w:szCs w:val="18"/>
                          <w:lang w:val="es-ES"/>
                        </w:rPr>
                        <w:t>27 de noviembre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3C76BA6"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49F388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47982E4" w:rsidR="0070697F" w:rsidRDefault="00551064"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E666100">
                <wp:simplePos x="0" y="0"/>
                <wp:positionH relativeFrom="column">
                  <wp:posOffset>1301115</wp:posOffset>
                </wp:positionH>
                <wp:positionV relativeFrom="paragraph">
                  <wp:posOffset>533563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35fgz+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E8C69B6" w:rsidR="003239B8" w:rsidRPr="000D05CB" w:rsidRDefault="00AE0F80" w:rsidP="008D2290">
            <w:pPr>
              <w:jc w:val="both"/>
              <w:rPr>
                <w:rFonts w:ascii="Cambria" w:hAnsi="Cambria"/>
                <w:bCs/>
                <w:sz w:val="20"/>
                <w:szCs w:val="20"/>
              </w:rPr>
            </w:pPr>
            <w:r>
              <w:rPr>
                <w:rFonts w:ascii="Cambria" w:hAnsi="Cambria"/>
                <w:bCs/>
                <w:sz w:val="20"/>
                <w:szCs w:val="20"/>
              </w:rPr>
              <w:t>Óscar Humberto Gómez Gómez</w:t>
            </w:r>
          </w:p>
        </w:tc>
      </w:tr>
      <w:tr w:rsidR="003239B8" w:rsidRPr="00541E4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7944C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1C0138F7" w:rsidR="003239B8" w:rsidRPr="000D05CB" w:rsidRDefault="00AE0F80" w:rsidP="008D2290">
            <w:pPr>
              <w:jc w:val="both"/>
              <w:rPr>
                <w:rFonts w:ascii="Cambria" w:hAnsi="Cambria"/>
                <w:bCs/>
                <w:sz w:val="20"/>
                <w:szCs w:val="20"/>
                <w:lang w:val="es-ES"/>
              </w:rPr>
            </w:pPr>
            <w:r>
              <w:rPr>
                <w:rFonts w:ascii="Cambria" w:hAnsi="Cambria"/>
                <w:bCs/>
                <w:sz w:val="20"/>
                <w:szCs w:val="20"/>
                <w:lang w:val="es-ES"/>
              </w:rPr>
              <w:t>L.J.S.H</w:t>
            </w:r>
            <w:r w:rsidR="00986F46">
              <w:rPr>
                <w:rStyle w:val="FootnoteReference"/>
                <w:rFonts w:ascii="Cambria" w:hAnsi="Cambria"/>
                <w:bCs/>
                <w:sz w:val="20"/>
                <w:szCs w:val="20"/>
                <w:lang w:val="es-ES"/>
              </w:rPr>
              <w:footnoteReference w:id="2"/>
            </w:r>
            <w:r>
              <w:rPr>
                <w:rFonts w:ascii="Cambria" w:hAnsi="Cambria"/>
                <w:bCs/>
                <w:sz w:val="20"/>
                <w:szCs w:val="20"/>
                <w:lang w:val="es-ES"/>
              </w:rPr>
              <w:t>. y familia</w:t>
            </w:r>
            <w:r>
              <w:rPr>
                <w:rStyle w:val="FootnoteReference"/>
                <w:rFonts w:ascii="Cambria" w:hAnsi="Cambria"/>
                <w:bCs/>
                <w:sz w:val="20"/>
                <w:szCs w:val="20"/>
                <w:lang w:val="es-ES"/>
              </w:rPr>
              <w:footnoteReference w:id="3"/>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003770E" w:rsidR="003239B8" w:rsidRPr="000D05CB" w:rsidRDefault="00A52A58"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4"/>
            </w:r>
          </w:p>
        </w:tc>
      </w:tr>
      <w:tr w:rsidR="00223A29" w:rsidRPr="00541E4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E3496C3" w:rsidR="00223A29" w:rsidRPr="00A52A58" w:rsidRDefault="00A52A58" w:rsidP="008D2290">
            <w:pPr>
              <w:jc w:val="both"/>
              <w:rPr>
                <w:rFonts w:ascii="Cambria" w:hAnsi="Cambria"/>
                <w:bCs/>
                <w:sz w:val="20"/>
                <w:szCs w:val="20"/>
                <w:lang w:val="es-CO"/>
              </w:rPr>
            </w:pPr>
            <w:r w:rsidRPr="00A52A58">
              <w:rPr>
                <w:rFonts w:ascii="Cambria" w:hAnsi="Cambria"/>
                <w:bCs/>
                <w:sz w:val="20"/>
                <w:szCs w:val="20"/>
                <w:lang w:val="es-CO"/>
              </w:rPr>
              <w:t>Artículos 5 (integridad personal), 8 (garantías j</w:t>
            </w:r>
            <w:r>
              <w:rPr>
                <w:rFonts w:ascii="Cambria" w:hAnsi="Cambria"/>
                <w:bCs/>
                <w:sz w:val="20"/>
                <w:szCs w:val="20"/>
                <w:lang w:val="es-CO"/>
              </w:rPr>
              <w:t>udiciales), 11 (protección a la honra y dignidad), 17 (protección a la familia), 24 (igualdad ante la ley)</w:t>
            </w:r>
            <w:r w:rsidR="003F559C">
              <w:rPr>
                <w:rFonts w:ascii="Cambria" w:hAnsi="Cambria"/>
                <w:bCs/>
                <w:sz w:val="20"/>
                <w:szCs w:val="20"/>
                <w:lang w:val="es-CO"/>
              </w:rPr>
              <w:t xml:space="preserve"> y 25 (protección judicial) </w:t>
            </w:r>
            <w:r w:rsidR="005C0CD2" w:rsidRPr="007E054F">
              <w:rPr>
                <w:rFonts w:ascii="Cambria" w:hAnsi="Cambria"/>
                <w:bCs/>
                <w:sz w:val="20"/>
                <w:szCs w:val="20"/>
                <w:lang w:val="es-419" w:bidi="es-ES"/>
              </w:rPr>
              <w:t>de la Convención Americana sobre Derechos Humanos</w:t>
            </w:r>
            <w:r w:rsidR="005C0CD2" w:rsidRPr="007E054F">
              <w:rPr>
                <w:rFonts w:ascii="Cambria" w:hAnsi="Cambria"/>
                <w:bCs/>
                <w:sz w:val="20"/>
                <w:szCs w:val="20"/>
                <w:vertAlign w:val="superscript"/>
                <w:lang w:val="es-419" w:bidi="es-ES"/>
              </w:rPr>
              <w:footnoteReference w:id="5"/>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4C37942" w:rsidR="004C2312" w:rsidRPr="003239B8" w:rsidRDefault="00386014" w:rsidP="002625EA">
            <w:pPr>
              <w:jc w:val="both"/>
              <w:rPr>
                <w:rFonts w:ascii="Cambria" w:hAnsi="Cambria"/>
                <w:bCs/>
                <w:sz w:val="20"/>
                <w:szCs w:val="20"/>
                <w:lang w:val="es-ES"/>
              </w:rPr>
            </w:pPr>
            <w:r>
              <w:rPr>
                <w:rFonts w:ascii="Cambria" w:hAnsi="Cambria"/>
                <w:bCs/>
                <w:sz w:val="20"/>
                <w:szCs w:val="20"/>
                <w:lang w:val="es-ES"/>
              </w:rPr>
              <w:t>24 de agosto de 2018</w:t>
            </w:r>
          </w:p>
        </w:tc>
      </w:tr>
      <w:tr w:rsidR="00131425" w:rsidRPr="00541E4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5E5EB306" w:rsidR="00131425" w:rsidRPr="003239B8" w:rsidRDefault="00297675" w:rsidP="002625EA">
            <w:pPr>
              <w:jc w:val="both"/>
              <w:rPr>
                <w:rFonts w:ascii="Cambria" w:hAnsi="Cambria"/>
                <w:bCs/>
                <w:sz w:val="20"/>
                <w:szCs w:val="20"/>
                <w:lang w:val="es-ES"/>
              </w:rPr>
            </w:pPr>
            <w:r>
              <w:rPr>
                <w:rFonts w:ascii="Cambria" w:hAnsi="Cambria"/>
                <w:bCs/>
                <w:sz w:val="20"/>
                <w:szCs w:val="20"/>
                <w:lang w:val="es-ES"/>
              </w:rPr>
              <w:t>26 de febrero de 2020</w:t>
            </w:r>
            <w:r w:rsidR="00B76BAC">
              <w:rPr>
                <w:rFonts w:ascii="Cambria" w:hAnsi="Cambria"/>
                <w:bCs/>
                <w:sz w:val="20"/>
                <w:szCs w:val="20"/>
                <w:lang w:val="es-ES"/>
              </w:rPr>
              <w:t xml:space="preserve"> y</w:t>
            </w:r>
            <w:r>
              <w:rPr>
                <w:rFonts w:ascii="Cambria" w:hAnsi="Cambria"/>
                <w:bCs/>
                <w:sz w:val="20"/>
                <w:szCs w:val="20"/>
                <w:lang w:val="es-ES"/>
              </w:rPr>
              <w:t xml:space="preserve"> </w:t>
            </w:r>
            <w:r w:rsidR="00433761">
              <w:rPr>
                <w:rFonts w:ascii="Cambria" w:hAnsi="Cambria"/>
                <w:bCs/>
                <w:sz w:val="20"/>
                <w:szCs w:val="20"/>
                <w:lang w:val="es-ES"/>
              </w:rPr>
              <w:t>18 de marzo de 2020</w:t>
            </w:r>
          </w:p>
        </w:tc>
      </w:tr>
      <w:tr w:rsidR="004C2312" w:rsidRPr="001F0D2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C1716E1" w:rsidR="004C2312" w:rsidRPr="003239B8" w:rsidRDefault="0006505E" w:rsidP="008D2290">
            <w:pPr>
              <w:jc w:val="both"/>
              <w:rPr>
                <w:rFonts w:ascii="Cambria" w:hAnsi="Cambria"/>
                <w:bCs/>
                <w:sz w:val="20"/>
                <w:szCs w:val="20"/>
                <w:lang w:val="es-ES"/>
              </w:rPr>
            </w:pPr>
            <w:r>
              <w:rPr>
                <w:rFonts w:ascii="Cambria" w:hAnsi="Cambria"/>
                <w:bCs/>
                <w:sz w:val="20"/>
                <w:szCs w:val="20"/>
                <w:lang w:val="es-ES"/>
              </w:rPr>
              <w:t>27 de diciembre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3D14D5A6" w:rsidR="004C2312" w:rsidRPr="003239B8" w:rsidRDefault="00E01721"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7FD3752F" w:rsidR="004C2312" w:rsidRPr="003239B8" w:rsidRDefault="003C10E5" w:rsidP="008D2290">
            <w:pPr>
              <w:jc w:val="both"/>
              <w:rPr>
                <w:rFonts w:ascii="Cambria" w:hAnsi="Cambria"/>
                <w:bCs/>
                <w:sz w:val="20"/>
                <w:szCs w:val="20"/>
                <w:lang w:val="es-ES"/>
              </w:rPr>
            </w:pPr>
            <w:r>
              <w:rPr>
                <w:rFonts w:ascii="Cambria" w:hAnsi="Cambria"/>
                <w:bCs/>
                <w:sz w:val="20"/>
                <w:szCs w:val="20"/>
                <w:lang w:val="es-ES"/>
              </w:rPr>
              <w:t>18 de mayo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39F17A4B" w:rsidR="001E49E7" w:rsidRPr="003239B8" w:rsidRDefault="007F7265" w:rsidP="002625EA">
            <w:pPr>
              <w:jc w:val="both"/>
              <w:rPr>
                <w:rFonts w:ascii="Cambria" w:hAnsi="Cambria"/>
                <w:bCs/>
                <w:sz w:val="20"/>
                <w:szCs w:val="20"/>
                <w:lang w:val="es-ES"/>
              </w:rPr>
            </w:pPr>
            <w:r>
              <w:rPr>
                <w:rFonts w:ascii="Cambria" w:hAnsi="Cambria"/>
                <w:bCs/>
                <w:sz w:val="20"/>
                <w:szCs w:val="20"/>
                <w:lang w:val="es-ES"/>
              </w:rPr>
              <w:t xml:space="preserve">20 de </w:t>
            </w:r>
            <w:r w:rsidR="006763F4">
              <w:rPr>
                <w:rFonts w:ascii="Cambria" w:hAnsi="Cambria"/>
                <w:bCs/>
                <w:sz w:val="20"/>
                <w:szCs w:val="20"/>
                <w:lang w:val="es-ES"/>
              </w:rPr>
              <w:t>juni</w:t>
            </w:r>
            <w:r>
              <w:rPr>
                <w:rFonts w:ascii="Cambria" w:hAnsi="Cambria"/>
                <w:bCs/>
                <w:sz w:val="20"/>
                <w:szCs w:val="20"/>
                <w:lang w:val="es-ES"/>
              </w:rPr>
              <w:t>o de 2023</w:t>
            </w:r>
          </w:p>
        </w:tc>
      </w:tr>
      <w:tr w:rsidR="001E49E7" w:rsidRPr="001F0D2F"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10E74A19" w:rsidR="001E49E7" w:rsidRPr="003239B8" w:rsidRDefault="007F7265" w:rsidP="002625EA">
            <w:pPr>
              <w:jc w:val="both"/>
              <w:rPr>
                <w:rFonts w:ascii="Cambria" w:hAnsi="Cambria"/>
                <w:bCs/>
                <w:sz w:val="20"/>
                <w:szCs w:val="20"/>
                <w:lang w:val="es-ES"/>
              </w:rPr>
            </w:pPr>
            <w:r>
              <w:rPr>
                <w:rFonts w:ascii="Cambria" w:hAnsi="Cambria"/>
                <w:bCs/>
                <w:sz w:val="20"/>
                <w:szCs w:val="20"/>
                <w:lang w:val="es-ES"/>
              </w:rPr>
              <w:t>19 de julio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4E00848" w:rsidR="003239B8" w:rsidRPr="00B3745F" w:rsidRDefault="00203711"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5271195B" w:rsidR="003239B8" w:rsidRPr="00B3745F" w:rsidRDefault="00203711"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6B0F11C" w:rsidR="003239B8" w:rsidRPr="00B3745F" w:rsidRDefault="00203711" w:rsidP="008D2290">
            <w:pPr>
              <w:rPr>
                <w:rFonts w:ascii="Cambria" w:hAnsi="Cambria"/>
                <w:bCs/>
                <w:sz w:val="20"/>
                <w:szCs w:val="20"/>
              </w:rPr>
            </w:pPr>
            <w:r>
              <w:rPr>
                <w:rFonts w:ascii="Cambria" w:hAnsi="Cambria"/>
                <w:bCs/>
                <w:sz w:val="20"/>
                <w:szCs w:val="20"/>
              </w:rPr>
              <w:t>Sí</w:t>
            </w:r>
          </w:p>
        </w:tc>
      </w:tr>
      <w:tr w:rsidR="003239B8" w:rsidRPr="00541E4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8939A2C" w:rsidR="003239B8" w:rsidRPr="00B3745F" w:rsidRDefault="00203711" w:rsidP="008D2290">
            <w:pPr>
              <w:jc w:val="both"/>
              <w:rPr>
                <w:rFonts w:ascii="Cambria" w:hAnsi="Cambria"/>
                <w:bCs/>
                <w:sz w:val="20"/>
                <w:szCs w:val="20"/>
                <w:lang w:val="es-ES"/>
              </w:rPr>
            </w:pPr>
            <w:r w:rsidRPr="007E054F">
              <w:rPr>
                <w:rFonts w:ascii="Cambria" w:hAnsi="Cambria"/>
                <w:bCs/>
                <w:sz w:val="20"/>
                <w:szCs w:val="20"/>
                <w:lang w:val="es-419" w:bidi="es-ES"/>
              </w:rPr>
              <w:t>Sí, la Convención Americana (depósito de instrumento realizado el 31 de julio de 1973)</w:t>
            </w:r>
          </w:p>
        </w:tc>
      </w:tr>
    </w:tbl>
    <w:p w14:paraId="299A3868" w14:textId="5EED8E1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AE0F80" w:rsidRPr="003239B8">
        <w:rPr>
          <w:rFonts w:asciiTheme="majorHAnsi" w:hAnsiTheme="majorHAnsi"/>
          <w:b/>
          <w:bCs/>
          <w:sz w:val="20"/>
          <w:szCs w:val="20"/>
          <w:lang w:val="es-ES"/>
        </w:rPr>
        <w:t>INTERNACIONAL</w:t>
      </w:r>
      <w:r w:rsidR="00AE0F80">
        <w:rPr>
          <w:rFonts w:asciiTheme="majorHAnsi" w:hAnsiTheme="majorHAnsi"/>
          <w:b/>
          <w:bCs/>
          <w:sz w:val="20"/>
          <w:szCs w:val="20"/>
          <w:lang w:val="es-ES"/>
        </w:rPr>
        <w:t xml:space="preserve">, </w:t>
      </w:r>
      <w:r w:rsidR="00AE0F8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F0D2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464B39B" w:rsidR="00EE00E9" w:rsidRPr="00DC24E3" w:rsidRDefault="00E01721" w:rsidP="008D2290">
            <w:pPr>
              <w:jc w:val="both"/>
              <w:rPr>
                <w:rFonts w:ascii="Cambria" w:hAnsi="Cambria"/>
                <w:bCs/>
                <w:sz w:val="20"/>
                <w:szCs w:val="20"/>
                <w:lang w:val="es-ES"/>
              </w:rPr>
            </w:pPr>
            <w:r>
              <w:rPr>
                <w:rFonts w:ascii="Cambria" w:hAnsi="Cambria"/>
                <w:bCs/>
                <w:sz w:val="20"/>
                <w:szCs w:val="20"/>
                <w:lang w:val="es-ES"/>
              </w:rPr>
              <w:t>No</w:t>
            </w:r>
          </w:p>
        </w:tc>
      </w:tr>
      <w:tr w:rsidR="003239B8" w:rsidRPr="00541E4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2E3C393B" w:rsidR="003239B8" w:rsidRPr="00BF4EF8" w:rsidRDefault="00BF4EF8" w:rsidP="008D2290">
            <w:pPr>
              <w:jc w:val="both"/>
              <w:rPr>
                <w:rFonts w:ascii="Cambria" w:hAnsi="Cambria"/>
                <w:bCs/>
                <w:sz w:val="20"/>
                <w:szCs w:val="20"/>
                <w:lang w:val="es-CO"/>
              </w:rPr>
            </w:pPr>
            <w:r w:rsidRPr="00A52A58">
              <w:rPr>
                <w:rFonts w:ascii="Cambria" w:hAnsi="Cambria"/>
                <w:bCs/>
                <w:sz w:val="20"/>
                <w:szCs w:val="20"/>
                <w:lang w:val="es-CO"/>
              </w:rPr>
              <w:t>Artículos 5 (integridad personal), 8 (garantías j</w:t>
            </w:r>
            <w:r>
              <w:rPr>
                <w:rFonts w:ascii="Cambria" w:hAnsi="Cambria"/>
                <w:bCs/>
                <w:sz w:val="20"/>
                <w:szCs w:val="20"/>
                <w:lang w:val="es-CO"/>
              </w:rPr>
              <w:t xml:space="preserve">udiciales), 11 (protección a la honra y dignidad), </w:t>
            </w:r>
            <w:r w:rsidR="004760DA">
              <w:rPr>
                <w:rFonts w:ascii="Cambria" w:hAnsi="Cambria"/>
                <w:bCs/>
                <w:sz w:val="20"/>
                <w:szCs w:val="20"/>
                <w:lang w:val="es-CO"/>
              </w:rPr>
              <w:t xml:space="preserve">19 (derechos del niño), </w:t>
            </w:r>
            <w:r>
              <w:rPr>
                <w:rFonts w:ascii="Cambria" w:hAnsi="Cambria"/>
                <w:bCs/>
                <w:sz w:val="20"/>
                <w:szCs w:val="20"/>
                <w:lang w:val="es-CO"/>
              </w:rPr>
              <w:t xml:space="preserve">24 (igualdad ante la ley) y 25 (protección judicial) </w:t>
            </w:r>
            <w:r w:rsidRPr="007E054F">
              <w:rPr>
                <w:rFonts w:ascii="Cambria" w:hAnsi="Cambria"/>
                <w:bCs/>
                <w:sz w:val="20"/>
                <w:szCs w:val="20"/>
                <w:lang w:val="es-419" w:bidi="es-ES"/>
              </w:rPr>
              <w:t>de la Convención Americana</w:t>
            </w:r>
          </w:p>
        </w:tc>
      </w:tr>
      <w:tr w:rsidR="003239B8" w:rsidRPr="00541E4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7703F60" w:rsidR="003239B8" w:rsidRPr="00DC24E3" w:rsidRDefault="00112E95" w:rsidP="008D2290">
            <w:pPr>
              <w:rPr>
                <w:rFonts w:ascii="Cambria" w:hAnsi="Cambria"/>
                <w:bCs/>
                <w:sz w:val="20"/>
                <w:szCs w:val="20"/>
                <w:lang w:val="es-ES"/>
              </w:rPr>
            </w:pPr>
            <w:r>
              <w:rPr>
                <w:rFonts w:ascii="Cambria" w:hAnsi="Cambria"/>
                <w:bCs/>
                <w:sz w:val="20"/>
                <w:szCs w:val="20"/>
                <w:lang w:val="es-ES"/>
              </w:rPr>
              <w:t xml:space="preserve">Sí, </w:t>
            </w:r>
            <w:r w:rsidR="00007E49">
              <w:rPr>
                <w:rFonts w:ascii="Cambria" w:hAnsi="Cambria"/>
                <w:bCs/>
                <w:sz w:val="20"/>
                <w:szCs w:val="20"/>
                <w:lang w:val="es-ES"/>
              </w:rPr>
              <w:t>el 27 de febrero de 2018</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AAE78F3" w:rsidR="003239B8" w:rsidRPr="00DC24E3" w:rsidRDefault="00112E95" w:rsidP="008D2290">
            <w:pPr>
              <w:rPr>
                <w:rFonts w:ascii="Cambria" w:hAnsi="Cambria"/>
                <w:bCs/>
                <w:sz w:val="20"/>
                <w:szCs w:val="20"/>
              </w:rPr>
            </w:pPr>
            <w:r>
              <w:rPr>
                <w:rFonts w:ascii="Cambria" w:hAnsi="Cambria"/>
                <w:bCs/>
                <w:sz w:val="20"/>
                <w:szCs w:val="20"/>
              </w:rPr>
              <w:t>Sí</w:t>
            </w:r>
          </w:p>
        </w:tc>
      </w:tr>
    </w:tbl>
    <w:p w14:paraId="76C64CBF" w14:textId="77777777" w:rsidR="00487DE6" w:rsidRDefault="00487DE6" w:rsidP="003239B8">
      <w:pPr>
        <w:spacing w:before="240" w:after="240"/>
        <w:ind w:firstLine="720"/>
        <w:jc w:val="both"/>
        <w:rPr>
          <w:rFonts w:asciiTheme="majorHAnsi" w:hAnsiTheme="majorHAnsi"/>
          <w:b/>
          <w:sz w:val="20"/>
          <w:szCs w:val="20"/>
          <w:lang w:val="es-UY"/>
        </w:rPr>
      </w:pPr>
    </w:p>
    <w:p w14:paraId="0302FDAC" w14:textId="77777777" w:rsidR="00487DE6" w:rsidRDefault="00487DE6">
      <w:pPr>
        <w:rPr>
          <w:rFonts w:asciiTheme="majorHAnsi" w:hAnsiTheme="majorHAnsi"/>
          <w:b/>
          <w:sz w:val="20"/>
          <w:szCs w:val="20"/>
          <w:lang w:val="es-UY"/>
        </w:rPr>
      </w:pPr>
      <w:r>
        <w:rPr>
          <w:rFonts w:asciiTheme="majorHAnsi" w:hAnsiTheme="majorHAnsi"/>
          <w:b/>
          <w:sz w:val="20"/>
          <w:szCs w:val="20"/>
          <w:lang w:val="es-UY"/>
        </w:rPr>
        <w:br w:type="page"/>
      </w:r>
    </w:p>
    <w:p w14:paraId="56FD5D57" w14:textId="5E914751" w:rsidR="003239B8" w:rsidRDefault="009A76BC"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 </w:t>
      </w:r>
      <w:r w:rsidR="00223A29">
        <w:rPr>
          <w:rFonts w:asciiTheme="majorHAnsi" w:hAnsiTheme="majorHAnsi"/>
          <w:b/>
          <w:sz w:val="20"/>
          <w:szCs w:val="20"/>
          <w:lang w:val="es-UY"/>
        </w:rPr>
        <w:t xml:space="preserve">V. </w:t>
      </w:r>
      <w:r w:rsidR="00223A29">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D795457" w:rsidR="0008158C" w:rsidRPr="00DB1358" w:rsidRDefault="00DB1358" w:rsidP="0008158C">
      <w:pPr>
        <w:pStyle w:val="ListParagraph"/>
        <w:spacing w:before="240" w:after="240"/>
        <w:jc w:val="both"/>
        <w:rPr>
          <w:rFonts w:asciiTheme="majorHAnsi" w:hAnsiTheme="majorHAnsi"/>
          <w:b/>
          <w:sz w:val="20"/>
          <w:szCs w:val="20"/>
          <w:lang w:val="es-UY"/>
        </w:rPr>
      </w:pPr>
      <w:r w:rsidRPr="00DB1358">
        <w:rPr>
          <w:rFonts w:asciiTheme="majorHAnsi" w:hAnsiTheme="majorHAnsi"/>
          <w:b/>
          <w:sz w:val="20"/>
          <w:szCs w:val="20"/>
          <w:lang w:val="es-UY"/>
        </w:rPr>
        <w:t xml:space="preserve">La parte peticionaria </w:t>
      </w:r>
    </w:p>
    <w:p w14:paraId="53BD3EF6" w14:textId="10F1198E" w:rsidR="006E621A" w:rsidRPr="006E621A" w:rsidRDefault="00F26AC6"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La parte peticionaria </w:t>
      </w:r>
      <w:r w:rsidR="00437E70">
        <w:rPr>
          <w:sz w:val="20"/>
          <w:szCs w:val="20"/>
          <w:lang w:val="es-AR"/>
        </w:rPr>
        <w:t>denunci</w:t>
      </w:r>
      <w:r w:rsidR="0027275A">
        <w:rPr>
          <w:sz w:val="20"/>
          <w:szCs w:val="20"/>
          <w:lang w:val="es-AR"/>
        </w:rPr>
        <w:t>a</w:t>
      </w:r>
      <w:r w:rsidR="00437E70">
        <w:rPr>
          <w:sz w:val="20"/>
          <w:szCs w:val="20"/>
          <w:lang w:val="es-AR"/>
        </w:rPr>
        <w:t xml:space="preserve"> la v</w:t>
      </w:r>
      <w:r w:rsidR="00FD3699">
        <w:rPr>
          <w:sz w:val="20"/>
          <w:szCs w:val="20"/>
          <w:lang w:val="es-AR"/>
        </w:rPr>
        <w:t>u</w:t>
      </w:r>
      <w:r w:rsidR="00437E70">
        <w:rPr>
          <w:sz w:val="20"/>
          <w:szCs w:val="20"/>
          <w:lang w:val="es-AR"/>
        </w:rPr>
        <w:t>l</w:t>
      </w:r>
      <w:r w:rsidR="00FD3699">
        <w:rPr>
          <w:sz w:val="20"/>
          <w:szCs w:val="20"/>
          <w:lang w:val="es-AR"/>
        </w:rPr>
        <w:t>ner</w:t>
      </w:r>
      <w:r w:rsidR="00437E70">
        <w:rPr>
          <w:sz w:val="20"/>
          <w:szCs w:val="20"/>
          <w:lang w:val="es-AR"/>
        </w:rPr>
        <w:t>ación de los derechos a la integridad personal, de acceso a la justicia, a la igualdad y a la protección de la familia</w:t>
      </w:r>
      <w:r w:rsidR="009A16C9">
        <w:rPr>
          <w:sz w:val="20"/>
          <w:szCs w:val="20"/>
          <w:lang w:val="es-AR"/>
        </w:rPr>
        <w:t>;</w:t>
      </w:r>
      <w:r w:rsidR="00437E70">
        <w:rPr>
          <w:sz w:val="20"/>
          <w:szCs w:val="20"/>
          <w:lang w:val="es-AR"/>
        </w:rPr>
        <w:t xml:space="preserve"> </w:t>
      </w:r>
      <w:r w:rsidR="006B2A0C">
        <w:rPr>
          <w:sz w:val="20"/>
          <w:szCs w:val="20"/>
          <w:lang w:val="es-AR"/>
        </w:rPr>
        <w:t xml:space="preserve">debido a </w:t>
      </w:r>
      <w:r w:rsidR="0027275A">
        <w:rPr>
          <w:sz w:val="20"/>
          <w:szCs w:val="20"/>
          <w:lang w:val="es-AR"/>
        </w:rPr>
        <w:t>la negativa judicial de</w:t>
      </w:r>
      <w:r w:rsidR="005637FF">
        <w:rPr>
          <w:sz w:val="20"/>
          <w:szCs w:val="20"/>
          <w:lang w:val="es-AR"/>
        </w:rPr>
        <w:t xml:space="preserve">l Estado colombiano de </w:t>
      </w:r>
      <w:r w:rsidR="0027275A">
        <w:rPr>
          <w:sz w:val="20"/>
          <w:szCs w:val="20"/>
          <w:lang w:val="es-AR"/>
        </w:rPr>
        <w:t>indemnizar a L.</w:t>
      </w:r>
      <w:r w:rsidR="001F7470">
        <w:rPr>
          <w:sz w:val="20"/>
          <w:szCs w:val="20"/>
          <w:lang w:val="es-AR"/>
        </w:rPr>
        <w:t xml:space="preserve">J.S.H. </w:t>
      </w:r>
      <w:r w:rsidR="004456D0">
        <w:rPr>
          <w:sz w:val="20"/>
          <w:szCs w:val="20"/>
          <w:lang w:val="es-AR"/>
        </w:rPr>
        <w:t>y a su</w:t>
      </w:r>
      <w:r w:rsidR="000414A6">
        <w:rPr>
          <w:sz w:val="20"/>
          <w:szCs w:val="20"/>
          <w:lang w:val="es-AR"/>
        </w:rPr>
        <w:t>s</w:t>
      </w:r>
      <w:r w:rsidR="004456D0">
        <w:rPr>
          <w:sz w:val="20"/>
          <w:szCs w:val="20"/>
          <w:lang w:val="es-AR"/>
        </w:rPr>
        <w:t xml:space="preserve"> familia</w:t>
      </w:r>
      <w:r w:rsidR="000414A6">
        <w:rPr>
          <w:sz w:val="20"/>
          <w:szCs w:val="20"/>
          <w:lang w:val="es-AR"/>
        </w:rPr>
        <w:t>res</w:t>
      </w:r>
      <w:r w:rsidR="004456D0">
        <w:rPr>
          <w:sz w:val="20"/>
          <w:szCs w:val="20"/>
          <w:lang w:val="es-AR"/>
        </w:rPr>
        <w:t xml:space="preserve"> </w:t>
      </w:r>
      <w:r w:rsidR="006B2A0C">
        <w:rPr>
          <w:sz w:val="20"/>
          <w:szCs w:val="20"/>
          <w:lang w:val="es-AR"/>
        </w:rPr>
        <w:t>por</w:t>
      </w:r>
      <w:r w:rsidR="004456D0">
        <w:rPr>
          <w:sz w:val="20"/>
          <w:szCs w:val="20"/>
          <w:lang w:val="es-AR"/>
        </w:rPr>
        <w:t xml:space="preserve"> la violación sexual perpetrada </w:t>
      </w:r>
      <w:r w:rsidR="00537E5D">
        <w:rPr>
          <w:sz w:val="20"/>
          <w:szCs w:val="20"/>
          <w:lang w:val="es-AR"/>
        </w:rPr>
        <w:t xml:space="preserve">en su perjuicio </w:t>
      </w:r>
      <w:r w:rsidR="004456D0">
        <w:rPr>
          <w:sz w:val="20"/>
          <w:szCs w:val="20"/>
          <w:lang w:val="es-AR"/>
        </w:rPr>
        <w:t xml:space="preserve">a manos de un </w:t>
      </w:r>
      <w:r w:rsidR="00DE757D">
        <w:rPr>
          <w:sz w:val="20"/>
          <w:szCs w:val="20"/>
          <w:lang w:val="es-AR"/>
        </w:rPr>
        <w:t>suboficial del ejército.</w:t>
      </w:r>
    </w:p>
    <w:p w14:paraId="7CFB56BF" w14:textId="74485AAA" w:rsidR="006E621A" w:rsidRPr="005F7F91" w:rsidRDefault="009D6032"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El peticionario relata que el 9 de septiembre de 1995 </w:t>
      </w:r>
      <w:r w:rsidR="00513160">
        <w:rPr>
          <w:sz w:val="20"/>
          <w:szCs w:val="20"/>
          <w:lang w:val="es-AR"/>
        </w:rPr>
        <w:t>un</w:t>
      </w:r>
      <w:r>
        <w:rPr>
          <w:sz w:val="20"/>
          <w:szCs w:val="20"/>
          <w:lang w:val="es-AR"/>
        </w:rPr>
        <w:t xml:space="preserve"> sargento del ejército violó </w:t>
      </w:r>
      <w:r w:rsidR="000C6CFD">
        <w:rPr>
          <w:sz w:val="20"/>
          <w:szCs w:val="20"/>
          <w:lang w:val="es-AR"/>
        </w:rPr>
        <w:t>a la niña</w:t>
      </w:r>
      <w:r w:rsidR="00000674" w:rsidRPr="00000674">
        <w:rPr>
          <w:sz w:val="20"/>
          <w:szCs w:val="20"/>
          <w:lang w:val="es-AR"/>
        </w:rPr>
        <w:t xml:space="preserve"> </w:t>
      </w:r>
      <w:r w:rsidR="00000674">
        <w:rPr>
          <w:sz w:val="20"/>
          <w:szCs w:val="20"/>
          <w:lang w:val="es-AR"/>
        </w:rPr>
        <w:t>L.J.S.H.</w:t>
      </w:r>
      <w:r w:rsidR="000C6CFD">
        <w:rPr>
          <w:sz w:val="20"/>
          <w:szCs w:val="20"/>
          <w:lang w:val="es-AR"/>
        </w:rPr>
        <w:t xml:space="preserve">, </w:t>
      </w:r>
      <w:r w:rsidR="00000674">
        <w:rPr>
          <w:sz w:val="20"/>
          <w:szCs w:val="20"/>
          <w:lang w:val="es-AR"/>
        </w:rPr>
        <w:t>qui</w:t>
      </w:r>
      <w:r w:rsidR="000C6CFD">
        <w:rPr>
          <w:sz w:val="20"/>
          <w:szCs w:val="20"/>
          <w:lang w:val="es-AR"/>
        </w:rPr>
        <w:t>e</w:t>
      </w:r>
      <w:r w:rsidR="00000674">
        <w:rPr>
          <w:sz w:val="20"/>
          <w:szCs w:val="20"/>
          <w:lang w:val="es-AR"/>
        </w:rPr>
        <w:t>n</w:t>
      </w:r>
      <w:r w:rsidR="007200BB">
        <w:rPr>
          <w:sz w:val="20"/>
          <w:szCs w:val="20"/>
          <w:lang w:val="es-AR"/>
        </w:rPr>
        <w:t>,</w:t>
      </w:r>
      <w:r w:rsidR="000C6CFD">
        <w:rPr>
          <w:sz w:val="20"/>
          <w:szCs w:val="20"/>
          <w:lang w:val="es-AR"/>
        </w:rPr>
        <w:t xml:space="preserve"> </w:t>
      </w:r>
      <w:r w:rsidR="00000674">
        <w:rPr>
          <w:sz w:val="20"/>
          <w:szCs w:val="20"/>
          <w:lang w:val="es-AR"/>
        </w:rPr>
        <w:t xml:space="preserve">tenía </w:t>
      </w:r>
      <w:r w:rsidR="007200BB">
        <w:rPr>
          <w:sz w:val="20"/>
          <w:szCs w:val="20"/>
          <w:lang w:val="es-AR"/>
        </w:rPr>
        <w:t xml:space="preserve">entonces </w:t>
      </w:r>
      <w:r w:rsidR="000C6CFD">
        <w:rPr>
          <w:sz w:val="20"/>
          <w:szCs w:val="20"/>
          <w:lang w:val="es-AR"/>
        </w:rPr>
        <w:t>siete años de edad</w:t>
      </w:r>
      <w:r w:rsidR="00000674">
        <w:rPr>
          <w:sz w:val="20"/>
          <w:szCs w:val="20"/>
          <w:lang w:val="es-AR"/>
        </w:rPr>
        <w:t>.</w:t>
      </w:r>
      <w:r w:rsidR="000C6CFD">
        <w:rPr>
          <w:sz w:val="20"/>
          <w:szCs w:val="20"/>
          <w:lang w:val="es-AR"/>
        </w:rPr>
        <w:t xml:space="preserve"> </w:t>
      </w:r>
      <w:r w:rsidR="00E86FE9">
        <w:rPr>
          <w:sz w:val="20"/>
          <w:szCs w:val="20"/>
          <w:lang w:val="es-AR"/>
        </w:rPr>
        <w:t xml:space="preserve">Narra que </w:t>
      </w:r>
      <w:r w:rsidR="00343AA8">
        <w:rPr>
          <w:sz w:val="20"/>
          <w:szCs w:val="20"/>
          <w:lang w:val="es-AR"/>
        </w:rPr>
        <w:t>ella y su</w:t>
      </w:r>
      <w:r w:rsidR="00E86FE9">
        <w:rPr>
          <w:sz w:val="20"/>
          <w:szCs w:val="20"/>
          <w:lang w:val="es-AR"/>
        </w:rPr>
        <w:t xml:space="preserve">s padres </w:t>
      </w:r>
      <w:r w:rsidR="00504C0A">
        <w:rPr>
          <w:sz w:val="20"/>
          <w:szCs w:val="20"/>
          <w:lang w:val="es-AR"/>
        </w:rPr>
        <w:t xml:space="preserve">demandaron al Estado ante la jurisdicción contencioso-administrativa a fin de obtener una indemnización por el daño causado. </w:t>
      </w:r>
      <w:r w:rsidR="007A6FBD">
        <w:rPr>
          <w:sz w:val="20"/>
          <w:szCs w:val="20"/>
          <w:lang w:val="es-AR"/>
        </w:rPr>
        <w:t xml:space="preserve">Sin embargo, </w:t>
      </w:r>
      <w:r w:rsidR="008178AC">
        <w:rPr>
          <w:sz w:val="20"/>
          <w:szCs w:val="20"/>
          <w:lang w:val="es-AR"/>
        </w:rPr>
        <w:t>aleg</w:t>
      </w:r>
      <w:r w:rsidR="007A6FBD">
        <w:rPr>
          <w:sz w:val="20"/>
          <w:szCs w:val="20"/>
          <w:lang w:val="es-AR"/>
        </w:rPr>
        <w:t xml:space="preserve">a </w:t>
      </w:r>
      <w:r w:rsidR="007323CC">
        <w:rPr>
          <w:sz w:val="20"/>
          <w:szCs w:val="20"/>
          <w:lang w:val="es-AR"/>
        </w:rPr>
        <w:t>que,</w:t>
      </w:r>
      <w:r w:rsidR="007A6FBD">
        <w:rPr>
          <w:sz w:val="20"/>
          <w:szCs w:val="20"/>
          <w:lang w:val="es-AR"/>
        </w:rPr>
        <w:t xml:space="preserve"> tanto en primera instancia en el Tribunal Administrativo de Santander como en segunda instancia </w:t>
      </w:r>
      <w:r w:rsidR="00BA727C">
        <w:rPr>
          <w:sz w:val="20"/>
          <w:szCs w:val="20"/>
          <w:lang w:val="es-AR"/>
        </w:rPr>
        <w:t xml:space="preserve">ante el Consejo de Estado, los tribunales internos absolvieron a la entidad demandada </w:t>
      </w:r>
      <w:r w:rsidR="000966A6">
        <w:rPr>
          <w:sz w:val="20"/>
          <w:szCs w:val="20"/>
          <w:lang w:val="es-AR"/>
        </w:rPr>
        <w:t>⎼</w:t>
      </w:r>
      <w:r w:rsidR="00BA727C">
        <w:rPr>
          <w:sz w:val="20"/>
          <w:szCs w:val="20"/>
          <w:lang w:val="es-AR"/>
        </w:rPr>
        <w:t>el Ministerio de Defensa Nacional</w:t>
      </w:r>
      <w:r w:rsidR="003132FA">
        <w:rPr>
          <w:sz w:val="20"/>
          <w:szCs w:val="20"/>
          <w:lang w:val="es-AR"/>
        </w:rPr>
        <w:t>,</w:t>
      </w:r>
      <w:r w:rsidR="00BA727C">
        <w:rPr>
          <w:sz w:val="20"/>
          <w:szCs w:val="20"/>
          <w:lang w:val="es-AR"/>
        </w:rPr>
        <w:t xml:space="preserve"> </w:t>
      </w:r>
      <w:r w:rsidR="00334C53">
        <w:rPr>
          <w:sz w:val="20"/>
          <w:szCs w:val="20"/>
          <w:lang w:val="es-AR"/>
        </w:rPr>
        <w:t>porque</w:t>
      </w:r>
      <w:r w:rsidR="003E4547">
        <w:rPr>
          <w:sz w:val="20"/>
          <w:szCs w:val="20"/>
          <w:lang w:val="es-AR"/>
        </w:rPr>
        <w:t xml:space="preserve"> consideraron que</w:t>
      </w:r>
      <w:r w:rsidR="00334C53">
        <w:rPr>
          <w:sz w:val="20"/>
          <w:szCs w:val="20"/>
          <w:lang w:val="es-AR"/>
        </w:rPr>
        <w:t xml:space="preserve"> el perpetrador cometió el hecho </w:t>
      </w:r>
      <w:r w:rsidR="007E6E6F">
        <w:rPr>
          <w:sz w:val="20"/>
          <w:szCs w:val="20"/>
          <w:lang w:val="es-AR"/>
        </w:rPr>
        <w:t xml:space="preserve">por fuera de sus </w:t>
      </w:r>
      <w:r w:rsidR="00935605">
        <w:rPr>
          <w:sz w:val="20"/>
          <w:szCs w:val="20"/>
          <w:lang w:val="es-AR"/>
        </w:rPr>
        <w:t>horas de servicio, y, por lo tanto, era responsable únicamente a título personal.</w:t>
      </w:r>
    </w:p>
    <w:p w14:paraId="55F21503" w14:textId="37A18588" w:rsidR="005F7F91" w:rsidRPr="00A73F71" w:rsidRDefault="00B2163E"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La parte peticionaria </w:t>
      </w:r>
      <w:r w:rsidR="007323CC">
        <w:rPr>
          <w:sz w:val="20"/>
          <w:szCs w:val="20"/>
          <w:lang w:val="es-AR"/>
        </w:rPr>
        <w:t xml:space="preserve">enfatiza que </w:t>
      </w:r>
      <w:r w:rsidR="000E58F3">
        <w:rPr>
          <w:sz w:val="20"/>
          <w:szCs w:val="20"/>
          <w:lang w:val="es-AR"/>
        </w:rPr>
        <w:t xml:space="preserve">la Procuraduría General de </w:t>
      </w:r>
      <w:r w:rsidR="00C9716B">
        <w:rPr>
          <w:sz w:val="20"/>
          <w:szCs w:val="20"/>
          <w:lang w:val="es-AR"/>
        </w:rPr>
        <w:t>la Nación</w:t>
      </w:r>
      <w:r w:rsidR="00511C16">
        <w:rPr>
          <w:sz w:val="20"/>
          <w:szCs w:val="20"/>
          <w:lang w:val="es-AR"/>
        </w:rPr>
        <w:t xml:space="preserve"> presentó su concepto ante el Consejo de Estado solicitando que revocara la absolución de la entidad demandada, </w:t>
      </w:r>
      <w:r w:rsidR="00AA6D25">
        <w:rPr>
          <w:sz w:val="20"/>
          <w:szCs w:val="20"/>
          <w:lang w:val="es-AR"/>
        </w:rPr>
        <w:t>por cuanto el agresor no “</w:t>
      </w:r>
      <w:r w:rsidR="00AA6D25" w:rsidRPr="00A73F71">
        <w:rPr>
          <w:i/>
          <w:iCs/>
          <w:sz w:val="20"/>
          <w:szCs w:val="20"/>
          <w:lang w:val="es-AR"/>
        </w:rPr>
        <w:t>se hallaba en franquicia, licencia o vacaciones, eventos en los que su actuación se deslinda del servicio</w:t>
      </w:r>
      <w:r w:rsidR="00AA6D25">
        <w:rPr>
          <w:sz w:val="20"/>
          <w:szCs w:val="20"/>
          <w:lang w:val="es-AR"/>
        </w:rPr>
        <w:t>”</w:t>
      </w:r>
      <w:r w:rsidR="00C60977">
        <w:rPr>
          <w:sz w:val="20"/>
          <w:szCs w:val="20"/>
          <w:lang w:val="es-AR"/>
        </w:rPr>
        <w:t xml:space="preserve">, además de que, al estudiar su hoja de vida, </w:t>
      </w:r>
      <w:r w:rsidR="00954628">
        <w:rPr>
          <w:sz w:val="20"/>
          <w:szCs w:val="20"/>
          <w:lang w:val="es-AR"/>
        </w:rPr>
        <w:t>observó que el perpetrador había incurrido en faltas contra la moral y el prestigio de las fuerzas militares en varias ocasiones</w:t>
      </w:r>
      <w:r w:rsidR="00885972">
        <w:rPr>
          <w:sz w:val="20"/>
          <w:szCs w:val="20"/>
          <w:lang w:val="es-AR"/>
        </w:rPr>
        <w:t>, sin que hubiese sido desvinculado del servicio</w:t>
      </w:r>
      <w:r w:rsidR="00A73F71">
        <w:rPr>
          <w:sz w:val="20"/>
          <w:szCs w:val="20"/>
          <w:lang w:val="es-AR"/>
        </w:rPr>
        <w:t>, “</w:t>
      </w:r>
      <w:r w:rsidR="00A73F71" w:rsidRPr="00A73F71">
        <w:rPr>
          <w:i/>
          <w:iCs/>
          <w:sz w:val="20"/>
          <w:szCs w:val="20"/>
          <w:lang w:val="es-AR"/>
        </w:rPr>
        <w:t>lo que pone de presente la falta</w:t>
      </w:r>
      <w:r w:rsidR="00A73F71">
        <w:rPr>
          <w:sz w:val="20"/>
          <w:szCs w:val="20"/>
          <w:lang w:val="es-AR"/>
        </w:rPr>
        <w:t xml:space="preserve"> in vigilando </w:t>
      </w:r>
      <w:r w:rsidR="00A73F71" w:rsidRPr="00A73F71">
        <w:rPr>
          <w:i/>
          <w:iCs/>
          <w:sz w:val="20"/>
          <w:szCs w:val="20"/>
          <w:lang w:val="es-AR"/>
        </w:rPr>
        <w:t>del ente público respecto de sus funcionarios</w:t>
      </w:r>
      <w:r w:rsidR="00A73F71">
        <w:rPr>
          <w:sz w:val="20"/>
          <w:szCs w:val="20"/>
          <w:lang w:val="es-AR"/>
        </w:rPr>
        <w:t>”</w:t>
      </w:r>
      <w:r w:rsidR="00885972">
        <w:rPr>
          <w:sz w:val="20"/>
          <w:szCs w:val="20"/>
          <w:lang w:val="es-AR"/>
        </w:rPr>
        <w:t>.</w:t>
      </w:r>
      <w:r w:rsidR="004449FD">
        <w:rPr>
          <w:sz w:val="20"/>
          <w:szCs w:val="20"/>
          <w:lang w:val="es-AR"/>
        </w:rPr>
        <w:t xml:space="preserve"> No obstante, el peticionario </w:t>
      </w:r>
      <w:r w:rsidR="006033A3">
        <w:rPr>
          <w:sz w:val="20"/>
          <w:szCs w:val="20"/>
          <w:lang w:val="es-AR"/>
        </w:rPr>
        <w:t>sostiene que estos argumentos no fueron mencionados en el fallo de segunda instancia, ni considerados como aspectos probatorios relevantes.</w:t>
      </w:r>
    </w:p>
    <w:p w14:paraId="65F82F46" w14:textId="6E1C5ED5" w:rsidR="00A73F71" w:rsidRDefault="00DB1358" w:rsidP="006E621A">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A</w:t>
      </w:r>
      <w:r w:rsidR="00CA7574">
        <w:rPr>
          <w:rFonts w:asciiTheme="majorHAnsi" w:hAnsiTheme="majorHAnsi"/>
          <w:bCs/>
          <w:sz w:val="20"/>
          <w:szCs w:val="20"/>
          <w:lang w:val="es-UY"/>
        </w:rPr>
        <w:t xml:space="preserve">nte el </w:t>
      </w:r>
      <w:r w:rsidR="00D92448">
        <w:rPr>
          <w:rFonts w:asciiTheme="majorHAnsi" w:hAnsiTheme="majorHAnsi"/>
          <w:bCs/>
          <w:sz w:val="20"/>
          <w:szCs w:val="20"/>
          <w:lang w:val="es-UY"/>
        </w:rPr>
        <w:t>rechazo de la demanda</w:t>
      </w:r>
      <w:r w:rsidR="00CA7574">
        <w:rPr>
          <w:rFonts w:asciiTheme="majorHAnsi" w:hAnsiTheme="majorHAnsi"/>
          <w:bCs/>
          <w:sz w:val="20"/>
          <w:szCs w:val="20"/>
          <w:lang w:val="es-UY"/>
        </w:rPr>
        <w:t xml:space="preserve"> en ambas instancias</w:t>
      </w:r>
      <w:r w:rsidR="00D92448">
        <w:rPr>
          <w:rFonts w:asciiTheme="majorHAnsi" w:hAnsiTheme="majorHAnsi"/>
          <w:bCs/>
          <w:sz w:val="20"/>
          <w:szCs w:val="20"/>
          <w:lang w:val="es-UY"/>
        </w:rPr>
        <w:t xml:space="preserve">, la familia </w:t>
      </w:r>
      <w:r w:rsidR="00CA7574">
        <w:rPr>
          <w:rFonts w:asciiTheme="majorHAnsi" w:hAnsiTheme="majorHAnsi"/>
          <w:bCs/>
          <w:sz w:val="20"/>
          <w:szCs w:val="20"/>
          <w:lang w:val="es-UY"/>
        </w:rPr>
        <w:t xml:space="preserve">interpuso un recurso </w:t>
      </w:r>
      <w:r w:rsidR="009F6252">
        <w:rPr>
          <w:rFonts w:asciiTheme="majorHAnsi" w:hAnsiTheme="majorHAnsi"/>
          <w:bCs/>
          <w:sz w:val="20"/>
          <w:szCs w:val="20"/>
          <w:lang w:val="es-UY"/>
        </w:rPr>
        <w:t xml:space="preserve">extraordinario </w:t>
      </w:r>
      <w:r w:rsidR="00CA7574">
        <w:rPr>
          <w:rFonts w:asciiTheme="majorHAnsi" w:hAnsiTheme="majorHAnsi"/>
          <w:bCs/>
          <w:sz w:val="20"/>
          <w:szCs w:val="20"/>
          <w:lang w:val="es-UY"/>
        </w:rPr>
        <w:t>de revisión el 13 de septiembre de 2013 ante la Sala Plena del Consejo de Estado</w:t>
      </w:r>
      <w:r w:rsidR="00B857BB">
        <w:rPr>
          <w:rFonts w:asciiTheme="majorHAnsi" w:hAnsiTheme="majorHAnsi"/>
          <w:bCs/>
          <w:sz w:val="20"/>
          <w:szCs w:val="20"/>
          <w:lang w:val="es-UY"/>
        </w:rPr>
        <w:t>.</w:t>
      </w:r>
      <w:r w:rsidR="00CA7574">
        <w:rPr>
          <w:rFonts w:asciiTheme="majorHAnsi" w:hAnsiTheme="majorHAnsi"/>
          <w:bCs/>
          <w:sz w:val="20"/>
          <w:szCs w:val="20"/>
          <w:lang w:val="es-UY"/>
        </w:rPr>
        <w:t xml:space="preserve"> </w:t>
      </w:r>
      <w:r w:rsidR="00B857BB">
        <w:rPr>
          <w:rFonts w:asciiTheme="majorHAnsi" w:hAnsiTheme="majorHAnsi"/>
          <w:bCs/>
          <w:sz w:val="20"/>
          <w:szCs w:val="20"/>
          <w:lang w:val="es-UY"/>
        </w:rPr>
        <w:t xml:space="preserve">Este </w:t>
      </w:r>
      <w:r w:rsidR="00E57162">
        <w:rPr>
          <w:rFonts w:asciiTheme="majorHAnsi" w:hAnsiTheme="majorHAnsi"/>
          <w:bCs/>
          <w:sz w:val="20"/>
          <w:szCs w:val="20"/>
          <w:lang w:val="es-UY"/>
        </w:rPr>
        <w:t xml:space="preserve">fue admitido, pero denegado de fondo mediante sentencia de 6 de septiembre de 2016, </w:t>
      </w:r>
      <w:r w:rsidR="00B857BB">
        <w:rPr>
          <w:rFonts w:asciiTheme="majorHAnsi" w:hAnsiTheme="majorHAnsi"/>
          <w:bCs/>
          <w:sz w:val="20"/>
          <w:szCs w:val="20"/>
          <w:lang w:val="es-UY"/>
        </w:rPr>
        <w:t xml:space="preserve">pues, </w:t>
      </w:r>
      <w:r w:rsidR="00F274E1">
        <w:rPr>
          <w:rFonts w:asciiTheme="majorHAnsi" w:hAnsiTheme="majorHAnsi"/>
          <w:bCs/>
          <w:sz w:val="20"/>
          <w:szCs w:val="20"/>
          <w:lang w:val="es-UY"/>
        </w:rPr>
        <w:t xml:space="preserve">según el peticionario, </w:t>
      </w:r>
      <w:r w:rsidR="00B857BB">
        <w:rPr>
          <w:rFonts w:asciiTheme="majorHAnsi" w:hAnsiTheme="majorHAnsi"/>
          <w:bCs/>
          <w:sz w:val="20"/>
          <w:szCs w:val="20"/>
          <w:lang w:val="es-UY"/>
        </w:rPr>
        <w:t xml:space="preserve">la Sala Plena consideró que la </w:t>
      </w:r>
      <w:r w:rsidR="00F274E1">
        <w:rPr>
          <w:rFonts w:asciiTheme="majorHAnsi" w:hAnsiTheme="majorHAnsi"/>
          <w:bCs/>
          <w:sz w:val="20"/>
          <w:szCs w:val="20"/>
          <w:lang w:val="es-UY"/>
        </w:rPr>
        <w:t xml:space="preserve">vía </w:t>
      </w:r>
      <w:r w:rsidR="00B857BB">
        <w:rPr>
          <w:rFonts w:asciiTheme="majorHAnsi" w:hAnsiTheme="majorHAnsi"/>
          <w:bCs/>
          <w:sz w:val="20"/>
          <w:szCs w:val="20"/>
          <w:lang w:val="es-UY"/>
        </w:rPr>
        <w:t>para impugnar dicha decisión era la</w:t>
      </w:r>
      <w:r w:rsidR="00F274E1">
        <w:rPr>
          <w:rFonts w:asciiTheme="majorHAnsi" w:hAnsiTheme="majorHAnsi"/>
          <w:bCs/>
          <w:sz w:val="20"/>
          <w:szCs w:val="20"/>
          <w:lang w:val="es-UY"/>
        </w:rPr>
        <w:t xml:space="preserve"> acción de tutela</w:t>
      </w:r>
      <w:r w:rsidR="00B857BB">
        <w:rPr>
          <w:rFonts w:asciiTheme="majorHAnsi" w:hAnsiTheme="majorHAnsi"/>
          <w:bCs/>
          <w:sz w:val="20"/>
          <w:szCs w:val="20"/>
          <w:lang w:val="es-UY"/>
        </w:rPr>
        <w:t>, por medio de la cual</w:t>
      </w:r>
      <w:r w:rsidR="00F274E1">
        <w:rPr>
          <w:rFonts w:asciiTheme="majorHAnsi" w:hAnsiTheme="majorHAnsi"/>
          <w:bCs/>
          <w:sz w:val="20"/>
          <w:szCs w:val="20"/>
          <w:lang w:val="es-UY"/>
        </w:rPr>
        <w:t xml:space="preserve"> la Corporación </w:t>
      </w:r>
      <w:r w:rsidR="00B857BB">
        <w:rPr>
          <w:rFonts w:asciiTheme="majorHAnsi" w:hAnsiTheme="majorHAnsi"/>
          <w:bCs/>
          <w:sz w:val="20"/>
          <w:szCs w:val="20"/>
          <w:lang w:val="es-UY"/>
        </w:rPr>
        <w:t xml:space="preserve">ya había </w:t>
      </w:r>
      <w:r w:rsidR="00F274E1">
        <w:rPr>
          <w:rFonts w:asciiTheme="majorHAnsi" w:hAnsiTheme="majorHAnsi"/>
          <w:bCs/>
          <w:sz w:val="20"/>
          <w:szCs w:val="20"/>
          <w:lang w:val="es-UY"/>
        </w:rPr>
        <w:t>reverti</w:t>
      </w:r>
      <w:r w:rsidR="00B857BB">
        <w:rPr>
          <w:rFonts w:asciiTheme="majorHAnsi" w:hAnsiTheme="majorHAnsi"/>
          <w:bCs/>
          <w:sz w:val="20"/>
          <w:szCs w:val="20"/>
          <w:lang w:val="es-UY"/>
        </w:rPr>
        <w:t>do</w:t>
      </w:r>
      <w:r w:rsidR="00F274E1">
        <w:rPr>
          <w:rFonts w:asciiTheme="majorHAnsi" w:hAnsiTheme="majorHAnsi"/>
          <w:bCs/>
          <w:sz w:val="20"/>
          <w:szCs w:val="20"/>
          <w:lang w:val="es-UY"/>
        </w:rPr>
        <w:t xml:space="preserve"> </w:t>
      </w:r>
      <w:r w:rsidR="00B857BB">
        <w:rPr>
          <w:rFonts w:asciiTheme="majorHAnsi" w:hAnsiTheme="majorHAnsi"/>
          <w:bCs/>
          <w:sz w:val="20"/>
          <w:szCs w:val="20"/>
          <w:lang w:val="es-UY"/>
        </w:rPr>
        <w:t xml:space="preserve">un </w:t>
      </w:r>
      <w:r w:rsidR="00F274E1">
        <w:rPr>
          <w:rFonts w:asciiTheme="majorHAnsi" w:hAnsiTheme="majorHAnsi"/>
          <w:bCs/>
          <w:sz w:val="20"/>
          <w:szCs w:val="20"/>
          <w:lang w:val="es-UY"/>
        </w:rPr>
        <w:t>fallo</w:t>
      </w:r>
      <w:r w:rsidR="00B857BB">
        <w:rPr>
          <w:rFonts w:asciiTheme="majorHAnsi" w:hAnsiTheme="majorHAnsi"/>
          <w:bCs/>
          <w:sz w:val="20"/>
          <w:szCs w:val="20"/>
          <w:lang w:val="es-UY"/>
        </w:rPr>
        <w:t xml:space="preserve"> similar</w:t>
      </w:r>
      <w:r w:rsidR="00F274E1">
        <w:rPr>
          <w:rFonts w:asciiTheme="majorHAnsi" w:hAnsiTheme="majorHAnsi"/>
          <w:bCs/>
          <w:sz w:val="20"/>
          <w:szCs w:val="20"/>
          <w:lang w:val="es-UY"/>
        </w:rPr>
        <w:t>, mas no a través del recurso extraordinario de revisión.</w:t>
      </w:r>
    </w:p>
    <w:p w14:paraId="6E737A92" w14:textId="08CC43BF" w:rsidR="00B857BB" w:rsidRPr="00EE160C" w:rsidRDefault="001C2D31" w:rsidP="006E621A">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afirma que no había interpuesto una acción de tutela con anterioridad porque el Consejo de Estado tenía una tendencia jurisprudencial de rechazar </w:t>
      </w:r>
      <w:r w:rsidR="000D2DAA">
        <w:rPr>
          <w:rFonts w:asciiTheme="majorHAnsi" w:hAnsiTheme="majorHAnsi"/>
          <w:bCs/>
          <w:sz w:val="20"/>
          <w:szCs w:val="20"/>
          <w:lang w:val="es-UY"/>
        </w:rPr>
        <w:t>este tipo de acciones contra providencias judiciales. Sin embargo, debido al rechazo del recurso de revisión, el peticionari</w:t>
      </w:r>
      <w:r w:rsidR="00CA2E1F">
        <w:rPr>
          <w:rFonts w:asciiTheme="majorHAnsi" w:hAnsiTheme="majorHAnsi"/>
          <w:bCs/>
          <w:sz w:val="20"/>
          <w:szCs w:val="20"/>
          <w:lang w:val="es-UY"/>
        </w:rPr>
        <w:t>o</w:t>
      </w:r>
      <w:r w:rsidR="000D2DAA">
        <w:rPr>
          <w:rFonts w:asciiTheme="majorHAnsi" w:hAnsiTheme="majorHAnsi"/>
          <w:bCs/>
          <w:sz w:val="20"/>
          <w:szCs w:val="20"/>
          <w:lang w:val="es-UY"/>
        </w:rPr>
        <w:t xml:space="preserve"> señala que interpuso una acción de tutela en representación de la niña </w:t>
      </w:r>
      <w:r w:rsidR="000D2DAA">
        <w:rPr>
          <w:sz w:val="20"/>
          <w:szCs w:val="20"/>
          <w:lang w:val="es-AR"/>
        </w:rPr>
        <w:t>L.J.S.H. y su familia, que, fue igualmente denegada en ambas instancia</w:t>
      </w:r>
      <w:r w:rsidR="00CA2E1F">
        <w:rPr>
          <w:sz w:val="20"/>
          <w:szCs w:val="20"/>
          <w:lang w:val="es-AR"/>
        </w:rPr>
        <w:t>s</w:t>
      </w:r>
      <w:r w:rsidR="000D2DAA">
        <w:rPr>
          <w:sz w:val="20"/>
          <w:szCs w:val="20"/>
          <w:lang w:val="es-AR"/>
        </w:rPr>
        <w:t>.</w:t>
      </w:r>
    </w:p>
    <w:p w14:paraId="36C36C4E" w14:textId="3C400B98" w:rsidR="00EE160C" w:rsidRPr="008153C4" w:rsidRDefault="00EE160C"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De tal manera, </w:t>
      </w:r>
      <w:r w:rsidR="0073089A">
        <w:rPr>
          <w:sz w:val="20"/>
          <w:szCs w:val="20"/>
          <w:lang w:val="es-AR"/>
        </w:rPr>
        <w:t xml:space="preserve">aduce que solicitaron a la Corte Constitucional la revisión de las sentencias de tutela, ya que éstas se envían automáticamente a dicha Corporación, pero </w:t>
      </w:r>
      <w:r w:rsidR="00C96C05">
        <w:rPr>
          <w:sz w:val="20"/>
          <w:szCs w:val="20"/>
          <w:lang w:val="es-AR"/>
        </w:rPr>
        <w:t>mediante auto de 27 de febrero de 2018, notificado el 13 de marzo de 2018 a la parte peticionaria, informa que la Corte Constitucional decidió no seleccionar la tutela de L.J.S.H. para revisión. Con ello, sostiene que agotó los recursos internos.</w:t>
      </w:r>
    </w:p>
    <w:p w14:paraId="422D0E02" w14:textId="7BC99A79" w:rsidR="008153C4" w:rsidRPr="00890DA0" w:rsidRDefault="00CA2E1F"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En comunicaciones posteriores, </w:t>
      </w:r>
      <w:r w:rsidR="00D3135B">
        <w:rPr>
          <w:sz w:val="20"/>
          <w:szCs w:val="20"/>
          <w:lang w:val="es-AR"/>
        </w:rPr>
        <w:t xml:space="preserve">y en respuesta a las observaciones del Estado, </w:t>
      </w:r>
      <w:r>
        <w:rPr>
          <w:sz w:val="20"/>
          <w:szCs w:val="20"/>
          <w:lang w:val="es-AR"/>
        </w:rPr>
        <w:t>el peticionario manifiesta que la familia de L.J.S.H. n</w:t>
      </w:r>
      <w:r w:rsidR="008153C4">
        <w:rPr>
          <w:sz w:val="20"/>
          <w:szCs w:val="20"/>
          <w:lang w:val="es-AR"/>
        </w:rPr>
        <w:t>o fue informad</w:t>
      </w:r>
      <w:r>
        <w:rPr>
          <w:sz w:val="20"/>
          <w:szCs w:val="20"/>
          <w:lang w:val="es-AR"/>
        </w:rPr>
        <w:t>a</w:t>
      </w:r>
      <w:r w:rsidR="008153C4">
        <w:rPr>
          <w:sz w:val="20"/>
          <w:szCs w:val="20"/>
          <w:lang w:val="es-AR"/>
        </w:rPr>
        <w:t xml:space="preserve"> del proceso penal</w:t>
      </w:r>
      <w:r>
        <w:rPr>
          <w:sz w:val="20"/>
          <w:szCs w:val="20"/>
          <w:lang w:val="es-AR"/>
        </w:rPr>
        <w:t xml:space="preserve"> que se adelantó contra el </w:t>
      </w:r>
      <w:r w:rsidR="00A5341B">
        <w:rPr>
          <w:sz w:val="20"/>
          <w:szCs w:val="20"/>
          <w:lang w:val="es-AR"/>
        </w:rPr>
        <w:t>perpetrador de la violación sexual de la niña</w:t>
      </w:r>
      <w:r w:rsidR="008153C4">
        <w:rPr>
          <w:sz w:val="20"/>
          <w:szCs w:val="20"/>
          <w:lang w:val="es-AR"/>
        </w:rPr>
        <w:t xml:space="preserve">, no </w:t>
      </w:r>
      <w:r w:rsidR="007C6A34">
        <w:rPr>
          <w:sz w:val="20"/>
          <w:szCs w:val="20"/>
          <w:lang w:val="es-AR"/>
        </w:rPr>
        <w:t>se apersonaron en éste</w:t>
      </w:r>
      <w:r w:rsidR="008153C4">
        <w:rPr>
          <w:sz w:val="20"/>
          <w:szCs w:val="20"/>
          <w:lang w:val="es-AR"/>
        </w:rPr>
        <w:t xml:space="preserve">, </w:t>
      </w:r>
      <w:r w:rsidR="007C6A34">
        <w:rPr>
          <w:sz w:val="20"/>
          <w:szCs w:val="20"/>
          <w:lang w:val="es-AR"/>
        </w:rPr>
        <w:t xml:space="preserve">y </w:t>
      </w:r>
      <w:r w:rsidR="008153C4">
        <w:rPr>
          <w:sz w:val="20"/>
          <w:szCs w:val="20"/>
          <w:lang w:val="es-AR"/>
        </w:rPr>
        <w:t>n</w:t>
      </w:r>
      <w:r w:rsidR="007C6A34">
        <w:rPr>
          <w:sz w:val="20"/>
          <w:szCs w:val="20"/>
          <w:lang w:val="es-AR"/>
        </w:rPr>
        <w:t>o</w:t>
      </w:r>
      <w:r w:rsidR="008153C4">
        <w:rPr>
          <w:sz w:val="20"/>
          <w:szCs w:val="20"/>
          <w:lang w:val="es-AR"/>
        </w:rPr>
        <w:t xml:space="preserve"> fueron notificados de la sentencia condenatoria</w:t>
      </w:r>
      <w:r w:rsidR="007C6A34">
        <w:rPr>
          <w:sz w:val="20"/>
          <w:szCs w:val="20"/>
          <w:lang w:val="es-AR"/>
        </w:rPr>
        <w:t xml:space="preserve"> que se profirió en contra</w:t>
      </w:r>
      <w:r w:rsidR="00A5341B">
        <w:rPr>
          <w:sz w:val="20"/>
          <w:szCs w:val="20"/>
          <w:lang w:val="es-AR"/>
        </w:rPr>
        <w:t xml:space="preserve"> del sargento</w:t>
      </w:r>
      <w:r w:rsidR="002A04B2">
        <w:rPr>
          <w:sz w:val="20"/>
          <w:szCs w:val="20"/>
          <w:lang w:val="es-AR"/>
        </w:rPr>
        <w:t xml:space="preserve"> Candia Lozano</w:t>
      </w:r>
      <w:r w:rsidR="008153C4">
        <w:rPr>
          <w:sz w:val="20"/>
          <w:szCs w:val="20"/>
          <w:lang w:val="es-AR"/>
        </w:rPr>
        <w:t>.</w:t>
      </w:r>
    </w:p>
    <w:p w14:paraId="142267EB" w14:textId="4FC1FB71" w:rsidR="00890DA0" w:rsidRPr="00E254F3" w:rsidRDefault="00E254F3" w:rsidP="00890DA0">
      <w:pPr>
        <w:pStyle w:val="ListParagraph"/>
        <w:spacing w:before="240" w:after="240"/>
        <w:jc w:val="both"/>
        <w:rPr>
          <w:rFonts w:asciiTheme="majorHAnsi" w:hAnsiTheme="majorHAnsi"/>
          <w:b/>
          <w:bCs/>
          <w:sz w:val="20"/>
          <w:szCs w:val="20"/>
          <w:lang w:val="es-UY"/>
        </w:rPr>
      </w:pPr>
      <w:r w:rsidRPr="00E254F3">
        <w:rPr>
          <w:b/>
          <w:bCs/>
          <w:sz w:val="20"/>
          <w:szCs w:val="20"/>
          <w:lang w:val="es-AR"/>
        </w:rPr>
        <w:t xml:space="preserve">El </w:t>
      </w:r>
      <w:r w:rsidR="00890DA0" w:rsidRPr="00E254F3">
        <w:rPr>
          <w:b/>
          <w:bCs/>
          <w:sz w:val="20"/>
          <w:szCs w:val="20"/>
          <w:lang w:val="es-AR"/>
        </w:rPr>
        <w:t>Estado</w:t>
      </w:r>
      <w:r w:rsidRPr="00E254F3">
        <w:rPr>
          <w:b/>
          <w:bCs/>
          <w:sz w:val="20"/>
          <w:szCs w:val="20"/>
          <w:lang w:val="es-AR"/>
        </w:rPr>
        <w:t xml:space="preserve"> colombiano</w:t>
      </w:r>
    </w:p>
    <w:p w14:paraId="68A417B2" w14:textId="281D5291" w:rsidR="00B93D7F" w:rsidRPr="00040DCB" w:rsidRDefault="00040DCB"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E</w:t>
      </w:r>
      <w:r w:rsidR="00B93D7F" w:rsidRPr="006E621A">
        <w:rPr>
          <w:sz w:val="20"/>
          <w:szCs w:val="20"/>
          <w:lang w:val="es-AR"/>
        </w:rPr>
        <w:t>l Es</w:t>
      </w:r>
      <w:r w:rsidR="003F5154" w:rsidRPr="006E621A">
        <w:rPr>
          <w:sz w:val="20"/>
          <w:szCs w:val="20"/>
          <w:lang w:val="es-AR"/>
        </w:rPr>
        <w:t xml:space="preserve">tado, </w:t>
      </w:r>
      <w:r>
        <w:rPr>
          <w:sz w:val="20"/>
          <w:szCs w:val="20"/>
          <w:lang w:val="es-AR"/>
        </w:rPr>
        <w:t xml:space="preserve">por su parte, replica que la presente petición es inadmisible, toda vez que </w:t>
      </w:r>
      <w:r w:rsidR="00933A7B">
        <w:rPr>
          <w:sz w:val="20"/>
          <w:szCs w:val="20"/>
          <w:lang w:val="es-AR"/>
        </w:rPr>
        <w:t xml:space="preserve">la parte peticionaria </w:t>
      </w:r>
      <w:r>
        <w:rPr>
          <w:sz w:val="20"/>
          <w:szCs w:val="20"/>
          <w:lang w:val="es-AR"/>
        </w:rPr>
        <w:t xml:space="preserve">pretende </w:t>
      </w:r>
      <w:r w:rsidR="00EF2AE0">
        <w:rPr>
          <w:sz w:val="20"/>
          <w:szCs w:val="20"/>
          <w:lang w:val="es-AR"/>
        </w:rPr>
        <w:t>utilizar a</w:t>
      </w:r>
      <w:r>
        <w:rPr>
          <w:sz w:val="20"/>
          <w:szCs w:val="20"/>
          <w:lang w:val="es-AR"/>
        </w:rPr>
        <w:t xml:space="preserve"> la CIDH como tribunal de alzada internacional para que revise y revoque las decisiones adoptadas por los tribunales internos en el marco de sus competencias, y en pleno respeto de las garantías judiciales.</w:t>
      </w:r>
    </w:p>
    <w:p w14:paraId="61769A30" w14:textId="74B6E26F" w:rsidR="00040DCB" w:rsidRPr="006E3DB8" w:rsidRDefault="00040DCB"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lastRenderedPageBreak/>
        <w:t>En cuanto a los hechos, Colombia</w:t>
      </w:r>
      <w:r w:rsidR="002E1FBF">
        <w:rPr>
          <w:sz w:val="20"/>
          <w:szCs w:val="20"/>
          <w:lang w:val="es-AR"/>
        </w:rPr>
        <w:t xml:space="preserve"> </w:t>
      </w:r>
      <w:r w:rsidR="0081316D">
        <w:rPr>
          <w:sz w:val="20"/>
          <w:szCs w:val="20"/>
          <w:lang w:val="es-AR"/>
        </w:rPr>
        <w:t>señala que con ocasión de la violación sexual de la niña L.J.S.H.</w:t>
      </w:r>
      <w:r w:rsidR="00F91EF0">
        <w:rPr>
          <w:sz w:val="20"/>
          <w:szCs w:val="20"/>
          <w:lang w:val="es-AR"/>
        </w:rPr>
        <w:t xml:space="preserve">, el </w:t>
      </w:r>
      <w:r w:rsidR="00265E7B">
        <w:rPr>
          <w:sz w:val="20"/>
          <w:szCs w:val="20"/>
          <w:lang w:val="es-AR"/>
        </w:rPr>
        <w:t>14</w:t>
      </w:r>
      <w:r w:rsidR="00F91EF0">
        <w:rPr>
          <w:sz w:val="20"/>
          <w:szCs w:val="20"/>
          <w:lang w:val="es-AR"/>
        </w:rPr>
        <w:t xml:space="preserve"> de septiembre de 1995 la fiscalía seccional 33 abrió una investigación penal</w:t>
      </w:r>
      <w:r w:rsidR="00B53F9D">
        <w:rPr>
          <w:sz w:val="20"/>
          <w:szCs w:val="20"/>
          <w:lang w:val="es-AR"/>
        </w:rPr>
        <w:t xml:space="preserve">, y vinculó </w:t>
      </w:r>
      <w:r w:rsidR="00B82D4F">
        <w:rPr>
          <w:sz w:val="20"/>
          <w:szCs w:val="20"/>
          <w:lang w:val="es-AR"/>
        </w:rPr>
        <w:t>a un</w:t>
      </w:r>
      <w:r w:rsidR="00B53F9D">
        <w:rPr>
          <w:sz w:val="20"/>
          <w:szCs w:val="20"/>
          <w:lang w:val="es-AR"/>
        </w:rPr>
        <w:t xml:space="preserve"> sargento</w:t>
      </w:r>
      <w:r w:rsidR="00B82D4F">
        <w:rPr>
          <w:sz w:val="20"/>
          <w:szCs w:val="20"/>
          <w:lang w:val="es-AR"/>
        </w:rPr>
        <w:t xml:space="preserve"> del ejército</w:t>
      </w:r>
      <w:r w:rsidR="00B53F9D">
        <w:rPr>
          <w:sz w:val="20"/>
          <w:szCs w:val="20"/>
          <w:lang w:val="es-AR"/>
        </w:rPr>
        <w:t xml:space="preserve"> mediante indagatoria.</w:t>
      </w:r>
      <w:r w:rsidR="00BC00B0">
        <w:rPr>
          <w:sz w:val="20"/>
          <w:szCs w:val="20"/>
          <w:lang w:val="es-AR"/>
        </w:rPr>
        <w:t xml:space="preserve"> El 19 de septiembre de 1995 la entidad profirió medida de aseguramiento de detención preventiva en su contra y el 30 de enero de 199</w:t>
      </w:r>
      <w:r w:rsidR="004C3853">
        <w:rPr>
          <w:sz w:val="20"/>
          <w:szCs w:val="20"/>
          <w:lang w:val="es-AR"/>
        </w:rPr>
        <w:t>6 expidió resolución de acusación</w:t>
      </w:r>
      <w:r w:rsidR="004072DF">
        <w:rPr>
          <w:sz w:val="20"/>
          <w:szCs w:val="20"/>
          <w:lang w:val="es-AR"/>
        </w:rPr>
        <w:t xml:space="preserve"> como responsable del delito de acto sexual violento en menor de edad</w:t>
      </w:r>
      <w:r w:rsidR="004C3853">
        <w:rPr>
          <w:sz w:val="20"/>
          <w:szCs w:val="20"/>
          <w:lang w:val="es-AR"/>
        </w:rPr>
        <w:t>.</w:t>
      </w:r>
      <w:r w:rsidR="00AE4A9A">
        <w:rPr>
          <w:sz w:val="20"/>
          <w:szCs w:val="20"/>
          <w:lang w:val="es-AR"/>
        </w:rPr>
        <w:t xml:space="preserve"> </w:t>
      </w:r>
      <w:r w:rsidR="00406D71">
        <w:rPr>
          <w:sz w:val="20"/>
          <w:szCs w:val="20"/>
          <w:lang w:val="es-AR"/>
        </w:rPr>
        <w:t>Informa que el Juzgado Promiscuo del Circuito de Chucurí profirió sentencia condenatoria en su contra</w:t>
      </w:r>
      <w:r w:rsidR="007F17A1">
        <w:rPr>
          <w:sz w:val="20"/>
          <w:szCs w:val="20"/>
          <w:lang w:val="es-AR"/>
        </w:rPr>
        <w:t>, condenándolo</w:t>
      </w:r>
      <w:r w:rsidR="000564ED">
        <w:rPr>
          <w:sz w:val="20"/>
          <w:szCs w:val="20"/>
          <w:lang w:val="es-AR"/>
        </w:rPr>
        <w:t xml:space="preserve"> a 22 meses de prisión</w:t>
      </w:r>
      <w:r w:rsidR="007A6C30">
        <w:rPr>
          <w:sz w:val="20"/>
          <w:szCs w:val="20"/>
          <w:lang w:val="es-AR"/>
        </w:rPr>
        <w:t>. Esta decisión</w:t>
      </w:r>
      <w:r w:rsidR="006E3DB8">
        <w:rPr>
          <w:sz w:val="20"/>
          <w:szCs w:val="20"/>
          <w:lang w:val="es-AR"/>
        </w:rPr>
        <w:t xml:space="preserve"> no fue apelada y quedó ejecutoriada el 23 de agosto de 1996.</w:t>
      </w:r>
    </w:p>
    <w:p w14:paraId="330246F6" w14:textId="3B63AF4C" w:rsidR="006E3DB8" w:rsidRPr="00204879" w:rsidRDefault="00886446"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No obstante, el Estado aclara que </w:t>
      </w:r>
      <w:r w:rsidR="00420DD9">
        <w:rPr>
          <w:sz w:val="20"/>
          <w:szCs w:val="20"/>
          <w:lang w:val="es-AR"/>
        </w:rPr>
        <w:t xml:space="preserve">las presuntas víctimas interpusieron una demanda </w:t>
      </w:r>
      <w:r w:rsidR="007C613A">
        <w:rPr>
          <w:sz w:val="20"/>
          <w:szCs w:val="20"/>
          <w:lang w:val="es-AR"/>
        </w:rPr>
        <w:t xml:space="preserve">contra </w:t>
      </w:r>
      <w:r w:rsidR="00F50FD1">
        <w:rPr>
          <w:sz w:val="20"/>
          <w:szCs w:val="20"/>
          <w:lang w:val="es-AR"/>
        </w:rPr>
        <w:t>el Ministerio de Defensa</w:t>
      </w:r>
      <w:r w:rsidR="007C613A">
        <w:rPr>
          <w:sz w:val="20"/>
          <w:szCs w:val="20"/>
          <w:lang w:val="es-AR"/>
        </w:rPr>
        <w:t xml:space="preserve"> Naci</w:t>
      </w:r>
      <w:r w:rsidR="00F50FD1">
        <w:rPr>
          <w:sz w:val="20"/>
          <w:szCs w:val="20"/>
          <w:lang w:val="es-AR"/>
        </w:rPr>
        <w:t>o</w:t>
      </w:r>
      <w:r w:rsidR="007C613A">
        <w:rPr>
          <w:sz w:val="20"/>
          <w:szCs w:val="20"/>
          <w:lang w:val="es-AR"/>
        </w:rPr>
        <w:t>n</w:t>
      </w:r>
      <w:r w:rsidR="00F50FD1">
        <w:rPr>
          <w:sz w:val="20"/>
          <w:szCs w:val="20"/>
          <w:lang w:val="es-AR"/>
        </w:rPr>
        <w:t>al</w:t>
      </w:r>
      <w:r w:rsidR="00420DD9">
        <w:rPr>
          <w:sz w:val="20"/>
          <w:szCs w:val="20"/>
          <w:lang w:val="es-AR"/>
        </w:rPr>
        <w:t xml:space="preserve"> porque alegan que tiene derecho a una indemnización integral </w:t>
      </w:r>
      <w:r w:rsidR="007C613A">
        <w:rPr>
          <w:sz w:val="20"/>
          <w:szCs w:val="20"/>
          <w:lang w:val="es-AR"/>
        </w:rPr>
        <w:t xml:space="preserve">de su </w:t>
      </w:r>
      <w:r w:rsidR="00420DD9">
        <w:rPr>
          <w:sz w:val="20"/>
          <w:szCs w:val="20"/>
          <w:lang w:val="es-AR"/>
        </w:rPr>
        <w:t xml:space="preserve">parte porque los hechos fueron cometidos por un miembro del Ejército Nacional. De esta manera, comprende que el objeto de la petición es el rechazo de la </w:t>
      </w:r>
      <w:r w:rsidR="00204879">
        <w:rPr>
          <w:sz w:val="20"/>
          <w:szCs w:val="20"/>
          <w:lang w:val="es-AR"/>
        </w:rPr>
        <w:t xml:space="preserve">demanda de reparación </w:t>
      </w:r>
      <w:r w:rsidR="00B1448E">
        <w:rPr>
          <w:sz w:val="20"/>
          <w:szCs w:val="20"/>
          <w:lang w:val="es-AR"/>
        </w:rPr>
        <w:t>directa</w:t>
      </w:r>
      <w:r w:rsidR="00204879">
        <w:rPr>
          <w:sz w:val="20"/>
          <w:szCs w:val="20"/>
          <w:lang w:val="es-AR"/>
        </w:rPr>
        <w:t xml:space="preserve"> ante la jurisdicción contencioso-administrativa.</w:t>
      </w:r>
    </w:p>
    <w:p w14:paraId="07B1D19B" w14:textId="5986A436" w:rsidR="00204879" w:rsidRPr="00C4674C" w:rsidRDefault="00204879"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A este respecto, </w:t>
      </w:r>
      <w:r w:rsidR="006D0225">
        <w:rPr>
          <w:sz w:val="20"/>
          <w:szCs w:val="20"/>
          <w:lang w:val="es-AR"/>
        </w:rPr>
        <w:t>el 29 de septiembre del 2000</w:t>
      </w:r>
      <w:r w:rsidR="00EB37B2">
        <w:rPr>
          <w:sz w:val="20"/>
          <w:szCs w:val="20"/>
          <w:lang w:val="es-AR"/>
        </w:rPr>
        <w:t xml:space="preserve"> el Tribunal Administrativo de Santander emitió un fallo mediante el cual negó las pretensiones de indemnización de la familia de L.J.S.H. por considera</w:t>
      </w:r>
      <w:r w:rsidR="00392F12">
        <w:rPr>
          <w:sz w:val="20"/>
          <w:szCs w:val="20"/>
          <w:lang w:val="es-AR"/>
        </w:rPr>
        <w:t>r</w:t>
      </w:r>
      <w:r w:rsidR="00EB37B2">
        <w:rPr>
          <w:sz w:val="20"/>
          <w:szCs w:val="20"/>
          <w:lang w:val="es-AR"/>
        </w:rPr>
        <w:t xml:space="preserve"> que </w:t>
      </w:r>
      <w:r w:rsidR="00722DDF">
        <w:rPr>
          <w:sz w:val="20"/>
          <w:szCs w:val="20"/>
          <w:lang w:val="es-AR"/>
        </w:rPr>
        <w:t>el perpetrador no cometió la violación sexual en ejercicio de sus funciones como suboficial del ejército</w:t>
      </w:r>
      <w:r w:rsidR="001E2D79">
        <w:rPr>
          <w:sz w:val="20"/>
          <w:szCs w:val="20"/>
          <w:lang w:val="es-AR"/>
        </w:rPr>
        <w:t>.</w:t>
      </w:r>
      <w:r w:rsidR="00F821C1">
        <w:rPr>
          <w:sz w:val="20"/>
          <w:szCs w:val="20"/>
          <w:lang w:val="es-AR"/>
        </w:rPr>
        <w:t xml:space="preserve"> La parte peticionaria interpuso recurso de apelación y </w:t>
      </w:r>
      <w:r w:rsidR="00C4674C">
        <w:rPr>
          <w:sz w:val="20"/>
          <w:szCs w:val="20"/>
          <w:lang w:val="es-AR"/>
        </w:rPr>
        <w:t>la Sección Tercera d</w:t>
      </w:r>
      <w:r w:rsidR="00F821C1">
        <w:rPr>
          <w:sz w:val="20"/>
          <w:szCs w:val="20"/>
          <w:lang w:val="es-AR"/>
        </w:rPr>
        <w:t xml:space="preserve">el </w:t>
      </w:r>
      <w:r w:rsidR="006A0897">
        <w:rPr>
          <w:sz w:val="20"/>
          <w:szCs w:val="20"/>
          <w:lang w:val="es-AR"/>
        </w:rPr>
        <w:t>Consejo de Estado confirmó la decisión el 7 de julio de 2011</w:t>
      </w:r>
      <w:r w:rsidR="0054291A">
        <w:rPr>
          <w:sz w:val="20"/>
          <w:szCs w:val="20"/>
          <w:lang w:val="es-AR"/>
        </w:rPr>
        <w:t>, puesto que estimó que el hecho no era imputable al Ministerio de Defensa Nacional.</w:t>
      </w:r>
    </w:p>
    <w:p w14:paraId="6C01B078" w14:textId="548169B3" w:rsidR="00C4674C" w:rsidRPr="00386A0E" w:rsidRDefault="00C4674C"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Indica que posteriormente, el 6 de septiembre de 2016 la misma Corporación </w:t>
      </w:r>
      <w:r w:rsidR="00730DDA">
        <w:rPr>
          <w:sz w:val="20"/>
          <w:szCs w:val="20"/>
          <w:lang w:val="es-AR"/>
        </w:rPr>
        <w:t>denegó el recurso extraordinario de revisión ejercido por la parte peticionaria contra dicha sentencia</w:t>
      </w:r>
      <w:r w:rsidR="008A55CE">
        <w:rPr>
          <w:sz w:val="20"/>
          <w:szCs w:val="20"/>
          <w:lang w:val="es-AR"/>
        </w:rPr>
        <w:t>, ante lo cual,</w:t>
      </w:r>
      <w:r w:rsidR="00CE7193">
        <w:rPr>
          <w:sz w:val="20"/>
          <w:szCs w:val="20"/>
          <w:lang w:val="es-AR"/>
        </w:rPr>
        <w:t xml:space="preserve"> las presuntas víctimas promovieron una acción de tutela</w:t>
      </w:r>
      <w:r w:rsidR="008A55CE">
        <w:rPr>
          <w:sz w:val="20"/>
          <w:szCs w:val="20"/>
          <w:lang w:val="es-AR"/>
        </w:rPr>
        <w:t>. Sin embargo</w:t>
      </w:r>
      <w:r w:rsidR="00772BE6">
        <w:rPr>
          <w:sz w:val="20"/>
          <w:szCs w:val="20"/>
          <w:lang w:val="es-AR"/>
        </w:rPr>
        <w:t xml:space="preserve">, el 27 de septiembre de 2017 la Sección Cuarta del Consejo de Estado la declaró improcedente. Esta decisión fue objeto de recurso de impugnación, y </w:t>
      </w:r>
      <w:r w:rsidR="00F956C4">
        <w:rPr>
          <w:sz w:val="20"/>
          <w:szCs w:val="20"/>
          <w:lang w:val="es-AR"/>
        </w:rPr>
        <w:t xml:space="preserve">fue </w:t>
      </w:r>
      <w:r w:rsidR="00263095">
        <w:rPr>
          <w:sz w:val="20"/>
          <w:szCs w:val="20"/>
          <w:lang w:val="es-AR"/>
        </w:rPr>
        <w:t xml:space="preserve">confirmada </w:t>
      </w:r>
      <w:r w:rsidR="00F956C4">
        <w:rPr>
          <w:sz w:val="20"/>
          <w:szCs w:val="20"/>
          <w:lang w:val="es-AR"/>
        </w:rPr>
        <w:t xml:space="preserve">con posterioridad </w:t>
      </w:r>
      <w:r w:rsidR="00263095">
        <w:rPr>
          <w:sz w:val="20"/>
          <w:szCs w:val="20"/>
          <w:lang w:val="es-AR"/>
        </w:rPr>
        <w:t>el 18 de diciembre de 2017 por la Sección Quinta del Consejo de Estado.</w:t>
      </w:r>
    </w:p>
    <w:p w14:paraId="62A9058D" w14:textId="26EF216F" w:rsidR="00386A0E" w:rsidRPr="00DB11FC" w:rsidRDefault="00554805"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Respecto de la admisibilidad de la petición, el Estado plantea que incurre en la denominada </w:t>
      </w:r>
      <w:r w:rsidR="00AA48D9">
        <w:rPr>
          <w:sz w:val="20"/>
          <w:szCs w:val="20"/>
          <w:lang w:val="es-AR"/>
        </w:rPr>
        <w:t>“</w:t>
      </w:r>
      <w:r>
        <w:rPr>
          <w:sz w:val="20"/>
          <w:szCs w:val="20"/>
          <w:lang w:val="es-AR"/>
        </w:rPr>
        <w:t>fórmula de la cuarta instancia internacional</w:t>
      </w:r>
      <w:r w:rsidR="00AA48D9">
        <w:rPr>
          <w:sz w:val="20"/>
          <w:szCs w:val="20"/>
          <w:lang w:val="es-AR"/>
        </w:rPr>
        <w:t>”</w:t>
      </w:r>
      <w:r>
        <w:rPr>
          <w:sz w:val="20"/>
          <w:szCs w:val="20"/>
          <w:lang w:val="es-AR"/>
        </w:rPr>
        <w:t>, toda vez que las presuntas víctimas acuden a la CIDH con el objeto de que revise las decisiones adoptadas en la jurisdicción contencioso-administrativa, pese a que éstas respetaron las garantías judiciales del debido proceso.</w:t>
      </w:r>
      <w:r w:rsidR="00CC3399">
        <w:rPr>
          <w:sz w:val="20"/>
          <w:szCs w:val="20"/>
          <w:lang w:val="es-AR"/>
        </w:rPr>
        <w:t xml:space="preserve"> </w:t>
      </w:r>
      <w:r w:rsidR="00EE1CDD">
        <w:rPr>
          <w:sz w:val="20"/>
          <w:szCs w:val="20"/>
          <w:lang w:val="es-AR"/>
        </w:rPr>
        <w:t>Colombia recuerda que, en los términos del artículo 47.b</w:t>
      </w:r>
      <w:r w:rsidR="0078201A">
        <w:rPr>
          <w:sz w:val="20"/>
          <w:szCs w:val="20"/>
          <w:lang w:val="es-AR"/>
        </w:rPr>
        <w:t xml:space="preserve"> de la Convención, </w:t>
      </w:r>
      <w:r w:rsidR="00807BBA">
        <w:rPr>
          <w:sz w:val="20"/>
          <w:szCs w:val="20"/>
          <w:lang w:val="es-AR"/>
        </w:rPr>
        <w:t xml:space="preserve">resultan inadmisibles </w:t>
      </w:r>
      <w:r w:rsidR="0078201A">
        <w:rPr>
          <w:sz w:val="20"/>
          <w:szCs w:val="20"/>
          <w:lang w:val="es-AR"/>
        </w:rPr>
        <w:t xml:space="preserve">las peticiones que </w:t>
      </w:r>
      <w:r w:rsidR="004E1C36">
        <w:rPr>
          <w:sz w:val="20"/>
          <w:szCs w:val="20"/>
          <w:lang w:val="es-AR"/>
        </w:rPr>
        <w:t xml:space="preserve">solicitan otra valoración de la prueba, o sólo </w:t>
      </w:r>
      <w:r w:rsidR="00807BBA">
        <w:rPr>
          <w:sz w:val="20"/>
          <w:szCs w:val="20"/>
          <w:lang w:val="es-AR"/>
        </w:rPr>
        <w:t>manifiestan</w:t>
      </w:r>
      <w:r w:rsidR="004E1C36">
        <w:rPr>
          <w:sz w:val="20"/>
          <w:szCs w:val="20"/>
          <w:lang w:val="es-AR"/>
        </w:rPr>
        <w:t xml:space="preserve"> su inconformidad con el resultado de procesos judiciales </w:t>
      </w:r>
      <w:r w:rsidR="00807BBA">
        <w:rPr>
          <w:sz w:val="20"/>
          <w:szCs w:val="20"/>
          <w:lang w:val="es-AR"/>
        </w:rPr>
        <w:t xml:space="preserve">a nivel interno que </w:t>
      </w:r>
      <w:r w:rsidR="000E11AA">
        <w:rPr>
          <w:sz w:val="20"/>
          <w:szCs w:val="20"/>
          <w:lang w:val="es-AR"/>
        </w:rPr>
        <w:t>observ</w:t>
      </w:r>
      <w:r w:rsidR="00807BBA">
        <w:rPr>
          <w:sz w:val="20"/>
          <w:szCs w:val="20"/>
          <w:lang w:val="es-AR"/>
        </w:rPr>
        <w:t>an las garantías convencionales.</w:t>
      </w:r>
    </w:p>
    <w:p w14:paraId="7B66084F" w14:textId="3189ECFD" w:rsidR="00DB11FC" w:rsidRPr="008100C2" w:rsidRDefault="00DB11FC"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En ese sentido, </w:t>
      </w:r>
      <w:r w:rsidR="006461D4">
        <w:rPr>
          <w:sz w:val="20"/>
          <w:szCs w:val="20"/>
          <w:lang w:val="es-AR"/>
        </w:rPr>
        <w:t>sostiene que el asunto objeto de estudio ya se analizó a nivel interno</w:t>
      </w:r>
      <w:r w:rsidR="001B1A4D">
        <w:rPr>
          <w:sz w:val="20"/>
          <w:szCs w:val="20"/>
          <w:lang w:val="es-AR"/>
        </w:rPr>
        <w:t xml:space="preserve"> y </w:t>
      </w:r>
      <w:r w:rsidR="00E20B30">
        <w:rPr>
          <w:sz w:val="20"/>
          <w:szCs w:val="20"/>
          <w:lang w:val="es-AR"/>
        </w:rPr>
        <w:t xml:space="preserve">que </w:t>
      </w:r>
      <w:r w:rsidR="001B1A4D">
        <w:rPr>
          <w:sz w:val="20"/>
          <w:szCs w:val="20"/>
          <w:lang w:val="es-AR"/>
        </w:rPr>
        <w:t>los tribunales de</w:t>
      </w:r>
      <w:r w:rsidR="00282A57">
        <w:rPr>
          <w:sz w:val="20"/>
          <w:szCs w:val="20"/>
          <w:lang w:val="es-AR"/>
        </w:rPr>
        <w:t>cidieron</w:t>
      </w:r>
      <w:r w:rsidR="001B1A4D">
        <w:rPr>
          <w:sz w:val="20"/>
          <w:szCs w:val="20"/>
          <w:lang w:val="es-AR"/>
        </w:rPr>
        <w:t xml:space="preserve"> negar las pretensiones indemnizatorias, ya que estimaron que los hechos no podían ser imputados al Ministerio de Defensa.</w:t>
      </w:r>
      <w:r w:rsidR="00CA65CE">
        <w:rPr>
          <w:sz w:val="20"/>
          <w:szCs w:val="20"/>
          <w:lang w:val="es-AR"/>
        </w:rPr>
        <w:t xml:space="preserve"> </w:t>
      </w:r>
      <w:r w:rsidR="00DD373B">
        <w:rPr>
          <w:sz w:val="20"/>
          <w:szCs w:val="20"/>
          <w:lang w:val="es-AR"/>
        </w:rPr>
        <w:t>De</w:t>
      </w:r>
      <w:r w:rsidR="00CA65CE">
        <w:rPr>
          <w:sz w:val="20"/>
          <w:szCs w:val="20"/>
          <w:lang w:val="es-AR"/>
        </w:rPr>
        <w:t xml:space="preserve"> igual </w:t>
      </w:r>
      <w:r w:rsidR="00DD373B">
        <w:rPr>
          <w:sz w:val="20"/>
          <w:szCs w:val="20"/>
          <w:lang w:val="es-AR"/>
        </w:rPr>
        <w:t>manera</w:t>
      </w:r>
      <w:r w:rsidR="00CA65CE">
        <w:rPr>
          <w:sz w:val="20"/>
          <w:szCs w:val="20"/>
          <w:lang w:val="es-AR"/>
        </w:rPr>
        <w:t xml:space="preserve">, </w:t>
      </w:r>
      <w:r w:rsidR="00BB122E">
        <w:rPr>
          <w:sz w:val="20"/>
          <w:szCs w:val="20"/>
          <w:lang w:val="es-AR"/>
        </w:rPr>
        <w:t>explica que las sentencias de tutela</w:t>
      </w:r>
      <w:r w:rsidR="004F01F9">
        <w:rPr>
          <w:sz w:val="20"/>
          <w:szCs w:val="20"/>
          <w:lang w:val="es-AR"/>
        </w:rPr>
        <w:t xml:space="preserve"> </w:t>
      </w:r>
      <w:r w:rsidR="00FC1D5D">
        <w:rPr>
          <w:sz w:val="20"/>
          <w:szCs w:val="20"/>
          <w:lang w:val="es-AR"/>
        </w:rPr>
        <w:t xml:space="preserve">declararon la acción improcedente </w:t>
      </w:r>
      <w:r w:rsidR="00EC57A4">
        <w:rPr>
          <w:sz w:val="20"/>
          <w:szCs w:val="20"/>
          <w:lang w:val="es-AR"/>
        </w:rPr>
        <w:t xml:space="preserve">porque no cumplió con el requisito de inmediatez, esto es, </w:t>
      </w:r>
      <w:r w:rsidR="00A72AD4">
        <w:rPr>
          <w:sz w:val="20"/>
          <w:szCs w:val="20"/>
          <w:lang w:val="es-AR"/>
        </w:rPr>
        <w:t xml:space="preserve">haber sido presentada dentro de los seis meses </w:t>
      </w:r>
      <w:r w:rsidR="00112565">
        <w:rPr>
          <w:sz w:val="20"/>
          <w:szCs w:val="20"/>
          <w:lang w:val="es-AR"/>
        </w:rPr>
        <w:t xml:space="preserve">siguientes </w:t>
      </w:r>
      <w:r w:rsidR="00727FCF">
        <w:rPr>
          <w:sz w:val="20"/>
          <w:szCs w:val="20"/>
          <w:lang w:val="es-AR"/>
        </w:rPr>
        <w:t xml:space="preserve">desde que concluyó el proceso de reparación directa, </w:t>
      </w:r>
      <w:r w:rsidR="00336113">
        <w:rPr>
          <w:sz w:val="20"/>
          <w:szCs w:val="20"/>
          <w:lang w:val="es-AR"/>
        </w:rPr>
        <w:t>pues rechazaron su argumento de que el término debía contarse desde el rechazo del recurso extraordinario de revisión.</w:t>
      </w:r>
    </w:p>
    <w:p w14:paraId="0EE2EC35" w14:textId="30980CC0" w:rsidR="008100C2" w:rsidRPr="006E621A" w:rsidRDefault="008100C2" w:rsidP="006E621A">
      <w:pPr>
        <w:pStyle w:val="ListParagraph"/>
        <w:numPr>
          <w:ilvl w:val="0"/>
          <w:numId w:val="61"/>
        </w:numPr>
        <w:spacing w:before="240" w:after="240"/>
        <w:ind w:left="0" w:firstLine="720"/>
        <w:jc w:val="both"/>
        <w:rPr>
          <w:rFonts w:asciiTheme="majorHAnsi" w:hAnsiTheme="majorHAnsi"/>
          <w:bCs/>
          <w:sz w:val="20"/>
          <w:szCs w:val="20"/>
          <w:lang w:val="es-UY"/>
        </w:rPr>
      </w:pPr>
      <w:r>
        <w:rPr>
          <w:sz w:val="20"/>
          <w:szCs w:val="20"/>
          <w:lang w:val="es-AR"/>
        </w:rPr>
        <w:t xml:space="preserve">Así, el Estado arguye que no se evidencia una vulneración de las garantías convencionales, sino que sea hace evidente la intención de la parte peticionaria de hacer uso de la CIDH como tribunal de alzada internacional a fin de que modifique el sentido de las decisiones adoptadas por la jurisdicción contencioso-administrativa. Por ello, solicita </w:t>
      </w:r>
      <w:r w:rsidR="0013703C">
        <w:rPr>
          <w:sz w:val="20"/>
          <w:szCs w:val="20"/>
          <w:lang w:val="es-AR"/>
        </w:rPr>
        <w:t xml:space="preserve">a la Comisión </w:t>
      </w:r>
      <w:r>
        <w:rPr>
          <w:sz w:val="20"/>
          <w:szCs w:val="20"/>
          <w:lang w:val="es-AR"/>
        </w:rPr>
        <w:t>que declare que la presente petición es inadmisible, conforme a l</w:t>
      </w:r>
      <w:r w:rsidR="003654F2">
        <w:rPr>
          <w:sz w:val="20"/>
          <w:szCs w:val="20"/>
          <w:lang w:val="es-AR"/>
        </w:rPr>
        <w:t xml:space="preserve">o </w:t>
      </w:r>
      <w:r w:rsidR="00934A58">
        <w:rPr>
          <w:sz w:val="20"/>
          <w:szCs w:val="20"/>
          <w:lang w:val="es-AR"/>
        </w:rPr>
        <w:t>establecido</w:t>
      </w:r>
      <w:r w:rsidR="003654F2">
        <w:rPr>
          <w:sz w:val="20"/>
          <w:szCs w:val="20"/>
          <w:lang w:val="es-AR"/>
        </w:rPr>
        <w:t xml:space="preserve"> en </w:t>
      </w:r>
      <w:r>
        <w:rPr>
          <w:sz w:val="20"/>
          <w:szCs w:val="20"/>
          <w:lang w:val="es-AR"/>
        </w:rPr>
        <w:t>el artículo 47.b de la Convención Americana.</w:t>
      </w:r>
    </w:p>
    <w:p w14:paraId="51F68C9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163E8B13" w14:textId="29064F22" w:rsidR="002A7925" w:rsidRPr="00A218F6" w:rsidRDefault="002A7925" w:rsidP="002A7925">
      <w:pPr>
        <w:pStyle w:val="parrafos"/>
        <w:numPr>
          <w:ilvl w:val="0"/>
          <w:numId w:val="61"/>
        </w:numPr>
        <w:spacing w:before="120" w:after="240"/>
        <w:ind w:left="0" w:firstLine="720"/>
      </w:pPr>
      <w:r w:rsidRPr="00A218F6">
        <w:t>E</w:t>
      </w:r>
      <w:r w:rsidRPr="00A218F6">
        <w:rPr>
          <w:rFonts w:ascii="Cambria" w:hAnsi="Cambria"/>
          <w:lang w:val="es-ES"/>
        </w:rPr>
        <w:t xml:space="preserve">l artículo 46.1.a) de la Convención Americana dispone que para que una petición sea admitida se requiere que se hayan interpuesto y agotado los recursos de jurisdicción interna, conforme a los principios del Derecho Internacional generalmente reconocidos. </w:t>
      </w:r>
      <w:r w:rsidR="00650C83" w:rsidRPr="00650C83">
        <w:rPr>
          <w:rFonts w:ascii="Cambria" w:hAnsi="Cambria"/>
          <w:lang w:val="es-ES"/>
        </w:rPr>
        <w:t xml:space="preserve">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w:t>
      </w:r>
      <w:r w:rsidR="00650C83" w:rsidRPr="00650C83">
        <w:rPr>
          <w:rFonts w:ascii="Cambria" w:hAnsi="Cambria"/>
          <w:lang w:val="es-ES"/>
        </w:rPr>
        <w:lastRenderedPageBreak/>
        <w:t>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Pr="00A218F6">
        <w:rPr>
          <w:rStyle w:val="FootnoteReference"/>
          <w:rFonts w:ascii="Cambria" w:hAnsi="Cambria"/>
          <w:lang w:val="es-ES_tradnl"/>
        </w:rPr>
        <w:footnoteReference w:id="7"/>
      </w:r>
      <w:r w:rsidRPr="00A218F6">
        <w:rPr>
          <w:rFonts w:ascii="Cambria" w:hAnsi="Cambria"/>
          <w:lang w:val="es-ES_tradnl"/>
        </w:rPr>
        <w:t>.</w:t>
      </w:r>
    </w:p>
    <w:p w14:paraId="1F416F23" w14:textId="48ABC73C" w:rsidR="009529FE" w:rsidRPr="00F3244A" w:rsidRDefault="009E54C0" w:rsidP="00B02E6E">
      <w:pPr>
        <w:pStyle w:val="ListParagraph"/>
        <w:numPr>
          <w:ilvl w:val="0"/>
          <w:numId w:val="61"/>
        </w:numPr>
        <w:spacing w:after="240"/>
        <w:ind w:left="0" w:firstLine="720"/>
        <w:jc w:val="both"/>
        <w:rPr>
          <w:b/>
          <w:sz w:val="20"/>
          <w:szCs w:val="20"/>
          <w:lang w:val="es-ES_tradnl"/>
        </w:rPr>
      </w:pPr>
      <w:r w:rsidRPr="00F3244A">
        <w:rPr>
          <w:bCs/>
          <w:sz w:val="20"/>
          <w:szCs w:val="20"/>
          <w:lang w:val="es-ES_tradnl"/>
        </w:rPr>
        <w:t xml:space="preserve">Bajo ese entendido, la </w:t>
      </w:r>
      <w:r w:rsidR="00846402" w:rsidRPr="009529FE">
        <w:rPr>
          <w:bCs/>
          <w:sz w:val="20"/>
          <w:szCs w:val="20"/>
          <w:lang w:val="es-ES_tradnl"/>
        </w:rPr>
        <w:t>Comisión co</w:t>
      </w:r>
      <w:r w:rsidR="00DB1BE1" w:rsidRPr="00F3244A">
        <w:rPr>
          <w:bCs/>
          <w:sz w:val="20"/>
          <w:szCs w:val="20"/>
          <w:lang w:val="es-ES_tradnl"/>
        </w:rPr>
        <w:t>mprende</w:t>
      </w:r>
      <w:r w:rsidR="00846402" w:rsidRPr="009529FE">
        <w:rPr>
          <w:bCs/>
          <w:sz w:val="20"/>
          <w:szCs w:val="20"/>
          <w:lang w:val="es-ES_tradnl"/>
        </w:rPr>
        <w:t xml:space="preserve"> que el objeto principal de la presente petición es el reclamo </w:t>
      </w:r>
      <w:r w:rsidR="00DB1BE1" w:rsidRPr="00F3244A">
        <w:rPr>
          <w:bCs/>
          <w:sz w:val="20"/>
          <w:szCs w:val="20"/>
          <w:lang w:val="es-ES_tradnl"/>
        </w:rPr>
        <w:t xml:space="preserve">por la negativa judicial </w:t>
      </w:r>
      <w:r w:rsidR="00846402" w:rsidRPr="009529FE">
        <w:rPr>
          <w:bCs/>
          <w:sz w:val="20"/>
          <w:szCs w:val="20"/>
          <w:lang w:val="es-ES_tradnl"/>
        </w:rPr>
        <w:t xml:space="preserve">de </w:t>
      </w:r>
      <w:r w:rsidR="00DB1BE1" w:rsidRPr="00F3244A">
        <w:rPr>
          <w:bCs/>
          <w:sz w:val="20"/>
          <w:szCs w:val="20"/>
          <w:lang w:val="es-ES_tradnl"/>
        </w:rPr>
        <w:t>otorgar un</w:t>
      </w:r>
      <w:r w:rsidR="00846402" w:rsidRPr="009529FE">
        <w:rPr>
          <w:bCs/>
          <w:sz w:val="20"/>
          <w:szCs w:val="20"/>
          <w:lang w:val="es-ES_tradnl"/>
        </w:rPr>
        <w:t>a indemnización por</w:t>
      </w:r>
      <w:r w:rsidR="005D4546" w:rsidRPr="00F3244A">
        <w:rPr>
          <w:bCs/>
          <w:sz w:val="20"/>
          <w:szCs w:val="20"/>
          <w:lang w:val="es-ES_tradnl"/>
        </w:rPr>
        <w:t xml:space="preserve"> la violación sexual perpetrada en perjuicio de L.J.S.H., cometida por un suboficial del ejército</w:t>
      </w:r>
      <w:r w:rsidR="00DD1814" w:rsidRPr="00F3244A">
        <w:rPr>
          <w:bCs/>
          <w:sz w:val="20"/>
          <w:szCs w:val="20"/>
          <w:lang w:val="es-ES_tradnl"/>
        </w:rPr>
        <w:t>.</w:t>
      </w:r>
      <w:r w:rsidR="00F3244A" w:rsidRPr="00F3244A">
        <w:rPr>
          <w:bCs/>
          <w:sz w:val="20"/>
          <w:szCs w:val="20"/>
          <w:lang w:val="es-ES_tradnl"/>
        </w:rPr>
        <w:t xml:space="preserve"> </w:t>
      </w:r>
      <w:r w:rsidR="009529FE" w:rsidRPr="00F3244A">
        <w:rPr>
          <w:bCs/>
          <w:sz w:val="20"/>
          <w:szCs w:val="20"/>
          <w:lang w:val="es-ES_tradnl"/>
        </w:rPr>
        <w:t xml:space="preserve">La parte peticionaria aduce que agotó los recursos internos mediante </w:t>
      </w:r>
      <w:r w:rsidR="00F3244A">
        <w:rPr>
          <w:bCs/>
          <w:sz w:val="20"/>
          <w:szCs w:val="20"/>
          <w:lang w:val="es-ES_tradnl"/>
        </w:rPr>
        <w:t xml:space="preserve">el auto de rechazo </w:t>
      </w:r>
      <w:r w:rsidR="008B3C07">
        <w:rPr>
          <w:bCs/>
          <w:sz w:val="20"/>
          <w:szCs w:val="20"/>
          <w:lang w:val="es-ES_tradnl"/>
        </w:rPr>
        <w:t xml:space="preserve">de </w:t>
      </w:r>
      <w:r w:rsidR="008B3C07">
        <w:rPr>
          <w:sz w:val="20"/>
          <w:szCs w:val="20"/>
          <w:lang w:val="es-AR"/>
        </w:rPr>
        <w:t xml:space="preserve">27 de febrero de 2018 </w:t>
      </w:r>
      <w:r w:rsidR="00F3244A">
        <w:rPr>
          <w:bCs/>
          <w:sz w:val="20"/>
          <w:szCs w:val="20"/>
          <w:lang w:val="es-ES_tradnl"/>
        </w:rPr>
        <w:t xml:space="preserve">de la revisión </w:t>
      </w:r>
      <w:r w:rsidR="008B3C07">
        <w:rPr>
          <w:bCs/>
          <w:sz w:val="20"/>
          <w:szCs w:val="20"/>
          <w:lang w:val="es-ES_tradnl"/>
        </w:rPr>
        <w:t>de</w:t>
      </w:r>
      <w:r w:rsidR="00AC6EEC">
        <w:rPr>
          <w:bCs/>
          <w:sz w:val="20"/>
          <w:szCs w:val="20"/>
          <w:lang w:val="es-ES_tradnl"/>
        </w:rPr>
        <w:t xml:space="preserve"> </w:t>
      </w:r>
      <w:r w:rsidR="00F3244A">
        <w:rPr>
          <w:bCs/>
          <w:sz w:val="20"/>
          <w:szCs w:val="20"/>
          <w:lang w:val="es-ES_tradnl"/>
        </w:rPr>
        <w:t>la acción de tutela</w:t>
      </w:r>
      <w:r w:rsidR="008B3C07">
        <w:rPr>
          <w:bCs/>
          <w:sz w:val="20"/>
          <w:szCs w:val="20"/>
          <w:lang w:val="es-ES_tradnl"/>
        </w:rPr>
        <w:t>,</w:t>
      </w:r>
      <w:r w:rsidR="00F3244A">
        <w:rPr>
          <w:bCs/>
          <w:sz w:val="20"/>
          <w:szCs w:val="20"/>
          <w:lang w:val="es-ES_tradnl"/>
        </w:rPr>
        <w:t xml:space="preserve"> </w:t>
      </w:r>
      <w:r w:rsidR="008B3C07">
        <w:rPr>
          <w:bCs/>
          <w:sz w:val="20"/>
          <w:szCs w:val="20"/>
          <w:lang w:val="es-ES_tradnl"/>
        </w:rPr>
        <w:t xml:space="preserve">solicitada a </w:t>
      </w:r>
      <w:r w:rsidR="00F3244A">
        <w:rPr>
          <w:bCs/>
          <w:sz w:val="20"/>
          <w:szCs w:val="20"/>
          <w:lang w:val="es-ES_tradnl"/>
        </w:rPr>
        <w:t>la Corte Constitucional</w:t>
      </w:r>
      <w:r w:rsidR="00F3244A">
        <w:rPr>
          <w:sz w:val="20"/>
          <w:szCs w:val="20"/>
          <w:lang w:val="es-AR"/>
        </w:rPr>
        <w:t>.</w:t>
      </w:r>
      <w:r w:rsidR="009529FE" w:rsidRPr="00F3244A">
        <w:rPr>
          <w:bCs/>
          <w:sz w:val="20"/>
          <w:szCs w:val="20"/>
          <w:lang w:val="es-ES_tradnl"/>
        </w:rPr>
        <w:t xml:space="preserve"> El Estado no controvierte el agotamiento de los recursos internos por la parte peticionaria.</w:t>
      </w:r>
    </w:p>
    <w:p w14:paraId="76BAA8AD" w14:textId="327B4FFA" w:rsidR="00F738F9" w:rsidRPr="00DA28E9" w:rsidRDefault="00F738F9" w:rsidP="00F738F9">
      <w:pPr>
        <w:pStyle w:val="parrafos"/>
        <w:numPr>
          <w:ilvl w:val="0"/>
          <w:numId w:val="61"/>
        </w:numPr>
        <w:spacing w:after="240"/>
        <w:ind w:left="0" w:firstLine="720"/>
      </w:pPr>
      <w:r w:rsidRPr="00A218F6">
        <w:rPr>
          <w:lang w:val="es-ES"/>
        </w:rPr>
        <w:t xml:space="preserve">En el presente caso, la parte peticionaria optó por hacer uso de la acción de tutela, la cual culminó con la decisión proferida por la Corte Constitucional el </w:t>
      </w:r>
      <w:r w:rsidR="00A511C5">
        <w:rPr>
          <w:lang w:val="es-ES"/>
        </w:rPr>
        <w:t>27</w:t>
      </w:r>
      <w:r w:rsidRPr="00A218F6">
        <w:rPr>
          <w:lang w:val="es-ES"/>
        </w:rPr>
        <w:t xml:space="preserve"> de </w:t>
      </w:r>
      <w:r w:rsidR="00A511C5">
        <w:rPr>
          <w:lang w:val="es-ES"/>
        </w:rPr>
        <w:t>febrer</w:t>
      </w:r>
      <w:r w:rsidRPr="00A218F6">
        <w:rPr>
          <w:lang w:val="es-ES"/>
        </w:rPr>
        <w:t>o de 20</w:t>
      </w:r>
      <w:r w:rsidR="00A511C5">
        <w:rPr>
          <w:lang w:val="es-ES"/>
        </w:rPr>
        <w:t>18</w:t>
      </w:r>
      <w:r w:rsidRPr="00A218F6">
        <w:rPr>
          <w:lang w:val="es-ES"/>
        </w:rPr>
        <w:t xml:space="preserve">. La CIDH estima que ésa fue la decisión que agotó los recursos internos, y </w:t>
      </w:r>
      <w:r w:rsidRPr="00A218F6">
        <w:rPr>
          <w:lang w:val="es-CO"/>
        </w:rPr>
        <w:t xml:space="preserve">tomando en consideración que la parte peticionaria señala que </w:t>
      </w:r>
      <w:r w:rsidR="00E15A22">
        <w:rPr>
          <w:lang w:val="es-CO"/>
        </w:rPr>
        <w:t xml:space="preserve">le </w:t>
      </w:r>
      <w:r w:rsidRPr="00A218F6">
        <w:rPr>
          <w:lang w:val="es-CO"/>
        </w:rPr>
        <w:t xml:space="preserve">fue notificada el </w:t>
      </w:r>
      <w:r w:rsidR="00A511C5">
        <w:rPr>
          <w:lang w:val="es-CO"/>
        </w:rPr>
        <w:t>13</w:t>
      </w:r>
      <w:r w:rsidRPr="00A218F6">
        <w:rPr>
          <w:lang w:val="es-CO"/>
        </w:rPr>
        <w:t xml:space="preserve"> de </w:t>
      </w:r>
      <w:r w:rsidR="00A511C5">
        <w:rPr>
          <w:lang w:val="es-CO"/>
        </w:rPr>
        <w:t xml:space="preserve">marzo </w:t>
      </w:r>
      <w:r w:rsidRPr="00A218F6">
        <w:rPr>
          <w:lang w:val="es-CO"/>
        </w:rPr>
        <w:t>de 20</w:t>
      </w:r>
      <w:r w:rsidR="00A511C5">
        <w:rPr>
          <w:lang w:val="es-CO"/>
        </w:rPr>
        <w:t>18</w:t>
      </w:r>
      <w:r w:rsidRPr="00A218F6">
        <w:rPr>
          <w:lang w:val="es-ES"/>
        </w:rPr>
        <w:t xml:space="preserve">, y que la petición fue interpuesta el </w:t>
      </w:r>
      <w:r w:rsidR="00A511C5">
        <w:rPr>
          <w:lang w:val="es-ES"/>
        </w:rPr>
        <w:t>24</w:t>
      </w:r>
      <w:r w:rsidRPr="00A218F6">
        <w:rPr>
          <w:lang w:val="es-ES"/>
        </w:rPr>
        <w:t xml:space="preserve"> de </w:t>
      </w:r>
      <w:r w:rsidR="00A511C5">
        <w:rPr>
          <w:lang w:val="es-ES"/>
        </w:rPr>
        <w:t xml:space="preserve">agosto </w:t>
      </w:r>
      <w:r w:rsidRPr="00A218F6">
        <w:rPr>
          <w:lang w:val="es-ES"/>
        </w:rPr>
        <w:t>de 20</w:t>
      </w:r>
      <w:r w:rsidR="00A511C5">
        <w:rPr>
          <w:lang w:val="es-ES"/>
        </w:rPr>
        <w:t>18</w:t>
      </w:r>
      <w:r w:rsidRPr="00A218F6">
        <w:rPr>
          <w:lang w:val="es-ES"/>
        </w:rPr>
        <w:t>, concluye que cumple con los requisitos previstos en el artículo 46.1 (a) y (b) de la Convención Americana.</w:t>
      </w:r>
    </w:p>
    <w:p w14:paraId="673598AF" w14:textId="77777777" w:rsidR="003239B8" w:rsidRDefault="003239B8" w:rsidP="003239B8">
      <w:pPr>
        <w:pStyle w:val="ListParagraph"/>
        <w:spacing w:before="240" w:after="24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B532F8F" w14:textId="2FB89DF7" w:rsidR="004D04E8" w:rsidRPr="004D04E8" w:rsidRDefault="004D04E8" w:rsidP="004D04E8">
      <w:pPr>
        <w:pStyle w:val="ListParagraph"/>
        <w:numPr>
          <w:ilvl w:val="0"/>
          <w:numId w:val="61"/>
        </w:numPr>
        <w:spacing w:after="240"/>
        <w:ind w:left="0" w:firstLine="720"/>
        <w:jc w:val="both"/>
        <w:rPr>
          <w:sz w:val="20"/>
          <w:szCs w:val="20"/>
          <w:lang w:val="es-ES"/>
        </w:rPr>
      </w:pPr>
      <w:r w:rsidRPr="004D04E8">
        <w:rPr>
          <w:sz w:val="20"/>
          <w:szCs w:val="20"/>
          <w:lang w:val="es-ES"/>
        </w:rPr>
        <w:t>La</w:t>
      </w:r>
      <w:r>
        <w:rPr>
          <w:sz w:val="20"/>
          <w:szCs w:val="20"/>
          <w:lang w:val="es-ES"/>
        </w:rPr>
        <w:t xml:space="preserve"> Comisión observa que la</w:t>
      </w:r>
      <w:r w:rsidRPr="004D04E8">
        <w:rPr>
          <w:sz w:val="20"/>
          <w:szCs w:val="20"/>
          <w:lang w:val="es-ES"/>
        </w:rPr>
        <w:t xml:space="preserve"> presente petición incluye alegaciones con respecto a la falta de reconocimiento de una indemnización en el proceso contencioso-administrativo promovido </w:t>
      </w:r>
      <w:r w:rsidR="00043565">
        <w:rPr>
          <w:sz w:val="20"/>
          <w:szCs w:val="20"/>
          <w:lang w:val="es-ES"/>
        </w:rPr>
        <w:t>por la violación sexual de la niña L.J.S.H.</w:t>
      </w:r>
      <w:r w:rsidR="00541F79">
        <w:rPr>
          <w:sz w:val="20"/>
          <w:szCs w:val="20"/>
          <w:lang w:val="es-ES"/>
        </w:rPr>
        <w:t xml:space="preserve">, </w:t>
      </w:r>
      <w:r w:rsidR="000024F1">
        <w:rPr>
          <w:sz w:val="20"/>
          <w:szCs w:val="20"/>
          <w:lang w:val="es-ES"/>
        </w:rPr>
        <w:t>con sustento en</w:t>
      </w:r>
      <w:r w:rsidR="00541F79">
        <w:rPr>
          <w:sz w:val="20"/>
          <w:szCs w:val="20"/>
          <w:lang w:val="es-ES"/>
        </w:rPr>
        <w:t xml:space="preserve"> que el Estado no cumplió con su obligación de reparar el daño causado por uno de sus agentes, y que el Consejo de Estado no tuvo en cuenta el deber de prevenir violaciones de derechos humanos en cabeza del Ejército Nacional</w:t>
      </w:r>
      <w:r w:rsidRPr="004D04E8">
        <w:rPr>
          <w:sz w:val="20"/>
          <w:szCs w:val="20"/>
          <w:lang w:val="es-ES"/>
        </w:rPr>
        <w:t>. Colombia plantea que el peticionario pretende hacer uso de la CIDH como tribunal de alzada internacional para que revise la decisión adoptada por el Consejo de Estado, pese a que ésta se adoptó en observancia de las garantías judiciales consagradas en la Convención Americana.</w:t>
      </w:r>
    </w:p>
    <w:p w14:paraId="3C65ED56" w14:textId="187B6D19" w:rsidR="00F91378" w:rsidRDefault="00F91378" w:rsidP="00F9137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E621A">
        <w:rPr>
          <w:sz w:val="20"/>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Pr>
          <w:sz w:val="20"/>
          <w:szCs w:val="20"/>
          <w:lang w:val="es-ES"/>
        </w:rPr>
        <w:t xml:space="preserve"> A este respecto</w:t>
      </w:r>
      <w:r w:rsidRPr="006E621A">
        <w:rPr>
          <w:sz w:val="20"/>
          <w:szCs w:val="20"/>
          <w:lang w:val="es-ES"/>
        </w:rPr>
        <w:t xml:space="preserve">, la Comisión reitera que el criterio de evaluación de la fase de admisibilidad difiere del que se utiliza para pronunciarse sobre el fondo de una petición; la CIDH debe realizar en esta etapa una evaluación </w:t>
      </w:r>
      <w:r w:rsidRPr="006E621A">
        <w:rPr>
          <w:i/>
          <w:iCs/>
          <w:sz w:val="20"/>
          <w:szCs w:val="20"/>
          <w:lang w:val="es-ES"/>
        </w:rPr>
        <w:t>prima facie</w:t>
      </w:r>
      <w:r w:rsidRPr="006E621A">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w:t>
      </w:r>
    </w:p>
    <w:p w14:paraId="5FB308DA" w14:textId="77777777" w:rsidR="00C145BE" w:rsidRPr="00C145BE" w:rsidRDefault="00AB32A8" w:rsidP="004D69BD">
      <w:pPr>
        <w:pStyle w:val="ListParagraph"/>
        <w:numPr>
          <w:ilvl w:val="0"/>
          <w:numId w:val="61"/>
        </w:numPr>
        <w:suppressAutoHyphens/>
        <w:spacing w:after="240"/>
        <w:ind w:left="0" w:firstLine="720"/>
        <w:jc w:val="both"/>
        <w:rPr>
          <w:sz w:val="20"/>
          <w:szCs w:val="20"/>
          <w:lang w:val="es-ES_tradnl"/>
        </w:rPr>
      </w:pPr>
      <w:r>
        <w:rPr>
          <w:sz w:val="20"/>
          <w:szCs w:val="20"/>
          <w:lang w:val="es-ES"/>
        </w:rPr>
        <w:t xml:space="preserve">La Comisión recuerda que </w:t>
      </w:r>
      <w:r w:rsidR="00C145BE" w:rsidRPr="00C145BE">
        <w:rPr>
          <w:sz w:val="20"/>
          <w:szCs w:val="20"/>
          <w:lang w:val="es-ES_tradnl"/>
        </w:rPr>
        <w:t>La Corte Interamericana de Derechos Humanos (en adelante “la Corte Interamericana”, “la Corte” o “la Corte IDH”) ha reconocido un amplio contenido del derecho de acceso a la justicia en el marco de la protección de los derechos a las garantías judiciales y a la protección judicial, consagrados en los artículos 8.1 y 25.1 de la Convención</w:t>
      </w:r>
      <w:r w:rsidR="00C145BE" w:rsidRPr="00C145BE">
        <w:rPr>
          <w:sz w:val="20"/>
          <w:szCs w:val="20"/>
          <w:vertAlign w:val="superscript"/>
          <w:lang w:val="es-ES_tradnl"/>
        </w:rPr>
        <w:footnoteReference w:id="8"/>
      </w:r>
      <w:r w:rsidR="00C145BE" w:rsidRPr="00C145BE">
        <w:rPr>
          <w:sz w:val="20"/>
          <w:szCs w:val="20"/>
          <w:lang w:val="es-ES_tradnl"/>
        </w:rPr>
        <w:t>. Dentro de este marco, la Corte ha estudiado la violación de este derecho en relación con los recursos judiciales existentes en los Estados y ha evaluado si los recursos de tipo indemnizatorio o pecuniario permiten acceder a una indemnización en condiciones de igualdad a quienes reclaman haber sido víctimas de violaciones de derechos humanos</w:t>
      </w:r>
      <w:r w:rsidR="00C145BE" w:rsidRPr="00C145BE">
        <w:rPr>
          <w:sz w:val="20"/>
          <w:szCs w:val="20"/>
          <w:vertAlign w:val="superscript"/>
          <w:lang w:val="es-ES_tradnl"/>
        </w:rPr>
        <w:footnoteReference w:id="9"/>
      </w:r>
      <w:r w:rsidR="00C145BE" w:rsidRPr="00C145BE">
        <w:rPr>
          <w:sz w:val="20"/>
          <w:szCs w:val="20"/>
          <w:lang w:val="es-ES_tradnl"/>
        </w:rPr>
        <w:t>.</w:t>
      </w:r>
    </w:p>
    <w:p w14:paraId="66547853" w14:textId="39521AC7" w:rsidR="00E66E39" w:rsidRPr="00497A9B" w:rsidRDefault="00E66E39" w:rsidP="004D69B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Cambria" w:hAnsi="Cambria"/>
          <w:sz w:val="20"/>
          <w:szCs w:val="20"/>
          <w:lang w:val="es-ES_tradnl"/>
        </w:rPr>
      </w:pPr>
      <w:r w:rsidRPr="00497A9B">
        <w:rPr>
          <w:rFonts w:ascii="Cambria" w:hAnsi="Cambria"/>
          <w:sz w:val="20"/>
          <w:szCs w:val="20"/>
          <w:lang w:val="es-ES_tradnl"/>
        </w:rPr>
        <w:t>Por su parte, esta Comisión ha precisado que el derecho de acceso a la justicia derivado de la lectura conjunta de los artículos 8.1 y 25.1 de la Convención Americana “</w:t>
      </w:r>
      <w:r w:rsidRPr="0036417F">
        <w:rPr>
          <w:rFonts w:ascii="Cambria" w:hAnsi="Cambria"/>
          <w:i/>
          <w:iCs/>
          <w:sz w:val="20"/>
          <w:szCs w:val="20"/>
          <w:lang w:val="es-ES_tradnl"/>
        </w:rPr>
        <w:t>confiere a los familiares de las víctimas el derecho a que se reparen los perjuicios sufridos por la muerte de sus seres queridos</w:t>
      </w:r>
      <w:r w:rsidRPr="00497A9B">
        <w:rPr>
          <w:rFonts w:ascii="Cambria" w:hAnsi="Cambria"/>
          <w:sz w:val="20"/>
          <w:szCs w:val="20"/>
          <w:lang w:val="es-ES_tradnl"/>
        </w:rPr>
        <w:t>”</w:t>
      </w:r>
      <w:r w:rsidRPr="00497A9B">
        <w:rPr>
          <w:rStyle w:val="FootnoteReference"/>
          <w:rFonts w:ascii="Cambria" w:hAnsi="Cambria"/>
          <w:sz w:val="20"/>
          <w:szCs w:val="20"/>
          <w:lang w:val="es-ES_tradnl"/>
        </w:rPr>
        <w:footnoteReference w:id="10"/>
      </w:r>
      <w:r w:rsidR="009A4F80">
        <w:rPr>
          <w:rFonts w:ascii="Cambria" w:hAnsi="Cambria"/>
          <w:sz w:val="20"/>
          <w:szCs w:val="20"/>
          <w:lang w:val="es-ES_tradnl"/>
        </w:rPr>
        <w:t xml:space="preserve">, lo que resulta aplicable </w:t>
      </w:r>
      <w:r w:rsidR="009A4F80">
        <w:rPr>
          <w:rFonts w:ascii="Cambria" w:hAnsi="Cambria"/>
          <w:sz w:val="20"/>
          <w:szCs w:val="20"/>
          <w:lang w:val="es-ES_tradnl"/>
        </w:rPr>
        <w:lastRenderedPageBreak/>
        <w:t>también frente a otras graves violaciones de derechos humanos</w:t>
      </w:r>
      <w:r w:rsidRPr="00497A9B">
        <w:rPr>
          <w:rFonts w:ascii="Cambria" w:hAnsi="Cambria"/>
          <w:sz w:val="20"/>
          <w:szCs w:val="20"/>
          <w:lang w:val="es-ES_tradnl"/>
        </w:rPr>
        <w:t>. No obstante, la CIDH ha limitado el análisis del derecho a acceder a un recurso judicial efectivo a que no se circunscriba a determinar un monto específico de indemnización o a reemplazar a los tribunales internos cuando las presuntas víctimas están disconformes con los montos otorgados a nivel interno</w:t>
      </w:r>
      <w:r w:rsidRPr="00497A9B">
        <w:rPr>
          <w:rStyle w:val="FootnoteReference"/>
          <w:rFonts w:ascii="Cambria" w:hAnsi="Cambria"/>
          <w:sz w:val="20"/>
          <w:szCs w:val="20"/>
          <w:lang w:val="es-ES_tradnl"/>
        </w:rPr>
        <w:footnoteReference w:id="11"/>
      </w:r>
      <w:r w:rsidRPr="00497A9B">
        <w:rPr>
          <w:rFonts w:ascii="Cambria" w:hAnsi="Cambria"/>
          <w:sz w:val="20"/>
          <w:szCs w:val="20"/>
          <w:lang w:val="es-ES_tradnl"/>
        </w:rPr>
        <w:t>.</w:t>
      </w:r>
    </w:p>
    <w:p w14:paraId="61216DFB" w14:textId="66B492C5" w:rsidR="00D20354" w:rsidRDefault="00C811EC" w:rsidP="003E7098">
      <w:pPr>
        <w:pStyle w:val="parrafos"/>
        <w:numPr>
          <w:ilvl w:val="0"/>
          <w:numId w:val="61"/>
        </w:numPr>
        <w:spacing w:after="240"/>
        <w:ind w:left="0" w:firstLine="720"/>
      </w:pPr>
      <w:r>
        <w:t>Así, s</w:t>
      </w:r>
      <w:r w:rsidR="003E7098" w:rsidRPr="009218C6">
        <w:t>obre la denominada excepción de la “cuarta instancia internacional”, la Comisión subraya el carácter complementario del Sistema Interamericano y resalta que, según lo ha indicado la Corte Interamericana, para que ésta proceda sería necesario que se “</w:t>
      </w:r>
      <w:r w:rsidR="003E7098" w:rsidRPr="00E60F04">
        <w:rPr>
          <w:i/>
          <w:iCs/>
        </w:rPr>
        <w:t xml:space="preserve">busque que </w:t>
      </w:r>
      <w:r w:rsidR="003E7098" w:rsidRPr="00994536">
        <w:t>[…][se]</w:t>
      </w:r>
      <w:r w:rsidR="003E7098" w:rsidRPr="00E60F04">
        <w:rPr>
          <w:i/>
          <w:iCs/>
        </w:rPr>
        <w:t xml:space="preserve">  revise el fallo de un tribunal interno en virtud de su incorrecta apreciación de la prueba, los hechos o el derecho interno, sin que, a la vez, se alegue que tal fallo incurrió en una violación de tratados internacionales </w:t>
      </w:r>
      <w:r w:rsidR="003E7098" w:rsidRPr="00994536">
        <w:t>[ …]</w:t>
      </w:r>
      <w:r w:rsidR="003E7098" w:rsidRPr="009218C6">
        <w:t>”</w:t>
      </w:r>
      <w:r w:rsidR="003E7098" w:rsidRPr="009218C6">
        <w:rPr>
          <w:rStyle w:val="FootnoteReference"/>
          <w:rFonts w:ascii="Cambria" w:hAnsi="Cambria"/>
          <w:lang w:val="es-ES_tradnl"/>
        </w:rPr>
        <w:footnoteReference w:id="12"/>
      </w:r>
      <w:r w:rsidR="003E7098" w:rsidRPr="009218C6">
        <w:t xml:space="preserve">. </w:t>
      </w:r>
    </w:p>
    <w:p w14:paraId="0C8A7619" w14:textId="3C53B7DC" w:rsidR="003E7098" w:rsidRPr="009218C6" w:rsidRDefault="003E7098" w:rsidP="003E7098">
      <w:pPr>
        <w:pStyle w:val="parrafos"/>
        <w:numPr>
          <w:ilvl w:val="0"/>
          <w:numId w:val="61"/>
        </w:numPr>
        <w:spacing w:after="240"/>
        <w:ind w:left="0" w:firstLine="720"/>
      </w:pPr>
      <w:r w:rsidRPr="009218C6">
        <w:t xml:space="preserve">En el presente caso, </w:t>
      </w:r>
      <w:r w:rsidR="00D20354">
        <w:rPr>
          <w:lang w:val="es-ES"/>
        </w:rPr>
        <w:t xml:space="preserve">la Comisión nota que la parte peticionaria plantea la violación de su derecho de acceso a la justicia y de una reparación adecuada por la violencia sexual sufrida por L.J.S.H., así como la falta de estudio de los alegatos de la Procuraduría en el sentido de examinar los hechos a la luz del deber de prevención de violaciones de derechos humanos a cargo del Estado. </w:t>
      </w:r>
      <w:r w:rsidR="00D20354">
        <w:t>De suerte que</w:t>
      </w:r>
      <w:r w:rsidR="00737BAE">
        <w:t xml:space="preserve"> la CIDH</w:t>
      </w:r>
      <w:r w:rsidR="00D20354">
        <w:t xml:space="preserve"> </w:t>
      </w:r>
      <w:r w:rsidR="00F56F8E">
        <w:t xml:space="preserve">estima que </w:t>
      </w:r>
      <w:r w:rsidR="0061481A">
        <w:t xml:space="preserve">le </w:t>
      </w:r>
      <w:r w:rsidRPr="009218C6">
        <w:t>“</w:t>
      </w:r>
      <w:r w:rsidRPr="00640D44">
        <w:rPr>
          <w:i/>
          <w:iCs/>
        </w:rPr>
        <w:t>compete verificar si en los pasos efectivamente dados a nivel interno se violaron o no obligaciones internacionales del Estado derivadas de los instrumentos interamericanos que le otorgan competencia</w:t>
      </w:r>
      <w:r w:rsidRPr="009218C6">
        <w:t>”</w:t>
      </w:r>
      <w:r w:rsidRPr="009218C6">
        <w:rPr>
          <w:vertAlign w:val="superscript"/>
        </w:rPr>
        <w:t xml:space="preserve"> </w:t>
      </w:r>
      <w:r w:rsidRPr="009218C6">
        <w:rPr>
          <w:vertAlign w:val="superscript"/>
        </w:rPr>
        <w:footnoteReference w:id="13"/>
      </w:r>
      <w:r w:rsidRPr="009218C6">
        <w:t>. Asimismo, le corresponde examinar “</w:t>
      </w:r>
      <w:r w:rsidRPr="00640D44">
        <w:rPr>
          <w:i/>
          <w:iCs/>
        </w:rPr>
        <w:t>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9218C6">
        <w:t>”</w:t>
      </w:r>
      <w:r w:rsidRPr="009218C6">
        <w:rPr>
          <w:vertAlign w:val="superscript"/>
        </w:rPr>
        <w:footnoteReference w:id="14"/>
      </w:r>
      <w:r w:rsidRPr="009218C6">
        <w:t>.</w:t>
      </w:r>
    </w:p>
    <w:p w14:paraId="3ED6D0DE" w14:textId="7E57D7FA" w:rsidR="006B39F7" w:rsidRDefault="008C5E2D" w:rsidP="006B39F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E621A">
        <w:rPr>
          <w:sz w:val="20"/>
          <w:szCs w:val="20"/>
          <w:lang w:val="es-ES"/>
        </w:rPr>
        <w:t>En aten</w:t>
      </w:r>
      <w:r w:rsidR="00C25ADB" w:rsidRPr="006E621A">
        <w:rPr>
          <w:sz w:val="20"/>
          <w:szCs w:val="20"/>
          <w:lang w:val="es-ES"/>
        </w:rPr>
        <w:t xml:space="preserve">ción a estas consideraciones y </w:t>
      </w:r>
      <w:r w:rsidRPr="006E621A">
        <w:rPr>
          <w:sz w:val="20"/>
          <w:szCs w:val="20"/>
          <w:lang w:val="es-ES"/>
        </w:rPr>
        <w:t xml:space="preserve">tras examinar los elementos de hecho y de derecho expuestos por las partes la Comisión estima que </w:t>
      </w:r>
      <w:r w:rsidR="009549E5">
        <w:rPr>
          <w:sz w:val="20"/>
          <w:szCs w:val="20"/>
          <w:lang w:val="es-ES"/>
        </w:rPr>
        <w:t>los alegatos del peticionario</w:t>
      </w:r>
      <w:r w:rsidRPr="006E621A">
        <w:rPr>
          <w:sz w:val="20"/>
          <w:szCs w:val="20"/>
          <w:lang w:val="es-ES"/>
        </w:rPr>
        <w:t xml:space="preserve"> no resultan manifiestamente infundadas y requieren un estudio de fondo</w:t>
      </w:r>
      <w:r w:rsidR="00394073" w:rsidRPr="006E621A">
        <w:rPr>
          <w:sz w:val="20"/>
          <w:szCs w:val="20"/>
          <w:lang w:val="es-ES"/>
        </w:rPr>
        <w:t>;</w:t>
      </w:r>
      <w:r w:rsidRPr="006E621A">
        <w:rPr>
          <w:sz w:val="20"/>
          <w:szCs w:val="20"/>
          <w:lang w:val="es-ES"/>
        </w:rPr>
        <w:t xml:space="preserve"> pues los hechos alegados, de corroborarse como ciertos</w:t>
      </w:r>
      <w:r w:rsidR="00394073" w:rsidRPr="006E621A">
        <w:rPr>
          <w:sz w:val="20"/>
          <w:szCs w:val="20"/>
          <w:lang w:val="es-ES"/>
        </w:rPr>
        <w:t>,</w:t>
      </w:r>
      <w:r w:rsidRPr="006E621A">
        <w:rPr>
          <w:sz w:val="20"/>
          <w:szCs w:val="20"/>
          <w:lang w:val="es-ES"/>
        </w:rPr>
        <w:t xml:space="preserve"> podrían caracteri</w:t>
      </w:r>
      <w:r w:rsidR="004B421C" w:rsidRPr="006E621A">
        <w:rPr>
          <w:sz w:val="20"/>
          <w:szCs w:val="20"/>
          <w:lang w:val="es-ES"/>
        </w:rPr>
        <w:t>zar violaciones a los artículos</w:t>
      </w:r>
      <w:r w:rsidR="00394073" w:rsidRPr="006E621A">
        <w:rPr>
          <w:sz w:val="20"/>
          <w:szCs w:val="20"/>
          <w:lang w:val="es-ES"/>
        </w:rPr>
        <w:t xml:space="preserve"> </w:t>
      </w:r>
      <w:r w:rsidR="007D1A99">
        <w:rPr>
          <w:sz w:val="20"/>
          <w:szCs w:val="20"/>
          <w:lang w:val="es-ES"/>
        </w:rPr>
        <w:t xml:space="preserve">5 (integridad personal), 8 (garantías judiciales), </w:t>
      </w:r>
      <w:r w:rsidR="007D1A99">
        <w:rPr>
          <w:bCs/>
          <w:sz w:val="20"/>
          <w:szCs w:val="20"/>
          <w:lang w:val="es-CO"/>
        </w:rPr>
        <w:t xml:space="preserve">11 (protección a la honra y dignidad), </w:t>
      </w:r>
      <w:r w:rsidR="004760DA">
        <w:rPr>
          <w:bCs/>
          <w:sz w:val="20"/>
          <w:szCs w:val="20"/>
          <w:lang w:val="es-CO"/>
        </w:rPr>
        <w:t xml:space="preserve">19 (derechos del niño), </w:t>
      </w:r>
      <w:r w:rsidR="007D1A99">
        <w:rPr>
          <w:bCs/>
          <w:sz w:val="20"/>
          <w:szCs w:val="20"/>
          <w:lang w:val="es-CO"/>
        </w:rPr>
        <w:t>24 (igualdad ante la ley) y 25 (</w:t>
      </w:r>
      <w:r w:rsidR="007D1A99" w:rsidRPr="007D1A99">
        <w:rPr>
          <w:bCs/>
          <w:sz w:val="20"/>
          <w:szCs w:val="20"/>
          <w:lang w:val="es-CO"/>
        </w:rPr>
        <w:t xml:space="preserve">protección judicial) </w:t>
      </w:r>
      <w:r w:rsidR="007D1A99" w:rsidRPr="007D1A99">
        <w:rPr>
          <w:bCs/>
          <w:sz w:val="20"/>
          <w:szCs w:val="20"/>
          <w:lang w:val="es-419" w:bidi="es-ES"/>
        </w:rPr>
        <w:t xml:space="preserve">de la Convención Americana </w:t>
      </w:r>
      <w:r w:rsidR="00394073" w:rsidRPr="007D1A99">
        <w:rPr>
          <w:sz w:val="20"/>
          <w:szCs w:val="20"/>
          <w:lang w:val="es-ES"/>
        </w:rPr>
        <w:t xml:space="preserve">en perjuicio de </w:t>
      </w:r>
      <w:r w:rsidR="007D1A99" w:rsidRPr="007D1A99">
        <w:rPr>
          <w:sz w:val="20"/>
          <w:szCs w:val="20"/>
          <w:lang w:val="es-ES"/>
        </w:rPr>
        <w:t xml:space="preserve">L.J.S.H., </w:t>
      </w:r>
      <w:r w:rsidR="009549E5">
        <w:rPr>
          <w:sz w:val="20"/>
          <w:szCs w:val="20"/>
          <w:lang w:val="es-CO"/>
        </w:rPr>
        <w:t>y sus padres, todos debidamente identificados en el expediente de la presente petición</w:t>
      </w:r>
      <w:r w:rsidR="00394073" w:rsidRPr="007D1A99">
        <w:rPr>
          <w:sz w:val="20"/>
          <w:szCs w:val="20"/>
          <w:lang w:val="es-ES"/>
        </w:rPr>
        <w:t>.</w:t>
      </w:r>
    </w:p>
    <w:p w14:paraId="091888D2" w14:textId="03561978" w:rsidR="008C5E2D" w:rsidRPr="00242200" w:rsidRDefault="006B39F7" w:rsidP="00BE524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242200">
        <w:rPr>
          <w:sz w:val="20"/>
          <w:szCs w:val="20"/>
          <w:lang w:val="es-ES_tradnl"/>
        </w:rPr>
        <w:t xml:space="preserve">En cuanto al reclamo sobre la presunta violación del artículo 17 (protección a la familia) de la Convención Americana; la Comisión observa que los peticionarios no han ofrecido alegatos o sustento suficiente que permita considerar </w:t>
      </w:r>
      <w:r w:rsidRPr="00242200">
        <w:rPr>
          <w:i/>
          <w:sz w:val="20"/>
          <w:szCs w:val="20"/>
          <w:lang w:val="es-ES_tradnl"/>
        </w:rPr>
        <w:t>prima facie</w:t>
      </w:r>
      <w:r w:rsidRPr="00242200">
        <w:rPr>
          <w:sz w:val="20"/>
          <w:szCs w:val="20"/>
          <w:lang w:val="es-ES_tradnl"/>
        </w:rPr>
        <w:t xml:space="preserve"> su posible violación.</w:t>
      </w:r>
      <w:r w:rsidR="00F44E25" w:rsidRPr="00242200">
        <w:rPr>
          <w:sz w:val="20"/>
          <w:szCs w:val="20"/>
          <w:lang w:val="es-ES"/>
        </w:rPr>
        <w:t xml:space="preserve"> </w:t>
      </w:r>
    </w:p>
    <w:p w14:paraId="445BF42E"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7A3AEB46"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242200">
        <w:rPr>
          <w:rFonts w:asciiTheme="majorHAnsi" w:hAnsiTheme="majorHAnsi"/>
          <w:sz w:val="20"/>
          <w:szCs w:val="20"/>
          <w:lang w:val="es-ES"/>
        </w:rPr>
        <w:t xml:space="preserve"> los artículos 5, 8, 11, </w:t>
      </w:r>
      <w:r w:rsidR="004760DA">
        <w:rPr>
          <w:rFonts w:asciiTheme="majorHAnsi" w:hAnsiTheme="majorHAnsi"/>
          <w:sz w:val="20"/>
          <w:szCs w:val="20"/>
          <w:lang w:val="es-ES"/>
        </w:rPr>
        <w:t xml:space="preserve">19, </w:t>
      </w:r>
      <w:r w:rsidR="00242200">
        <w:rPr>
          <w:rFonts w:asciiTheme="majorHAnsi" w:hAnsiTheme="majorHAnsi"/>
          <w:sz w:val="20"/>
          <w:szCs w:val="20"/>
          <w:lang w:val="es-ES"/>
        </w:rPr>
        <w:t>24 y 25 de la Convención Americana, en conexión con el artículo 1.1 del mismo instrumento</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7CCCB663" w14:textId="69DE7B53" w:rsidR="000419AD" w:rsidRDefault="000419AD" w:rsidP="00711EF9">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242200">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242200">
        <w:rPr>
          <w:rFonts w:eastAsia="Arial Unicode MS" w:cs="Times New Roman"/>
          <w:color w:val="auto"/>
          <w:sz w:val="20"/>
          <w:szCs w:val="20"/>
          <w:lang w:val="es-ES" w:eastAsia="en-US"/>
        </w:rPr>
        <w:t>el artículo 17 de la Convención Americana</w:t>
      </w:r>
      <w:r w:rsidR="000A5E0A">
        <w:rPr>
          <w:rFonts w:eastAsia="Arial Unicode MS" w:cs="Times New Roman"/>
          <w:color w:val="auto"/>
          <w:sz w:val="20"/>
          <w:szCs w:val="20"/>
          <w:lang w:val="es-ES" w:eastAsia="en-US"/>
        </w:rPr>
        <w:t>, y</w:t>
      </w:r>
      <w:r w:rsidR="00152A4B">
        <w:rPr>
          <w:rFonts w:eastAsia="Arial Unicode MS" w:cs="Times New Roman"/>
          <w:color w:val="auto"/>
          <w:sz w:val="20"/>
          <w:szCs w:val="20"/>
          <w:lang w:val="es-ES" w:eastAsia="en-US"/>
        </w:rPr>
        <w:t>;</w:t>
      </w:r>
    </w:p>
    <w:p w14:paraId="547DFF8E" w14:textId="77777777" w:rsidR="000419AD" w:rsidRPr="000419AD" w:rsidRDefault="000419AD" w:rsidP="000419AD">
      <w:pPr>
        <w:pStyle w:val="ListParagraph"/>
        <w:rPr>
          <w:rFonts w:eastAsia="Arial Unicode MS" w:cs="Times New Roman"/>
          <w:color w:val="auto"/>
          <w:sz w:val="20"/>
          <w:szCs w:val="20"/>
          <w:lang w:val="es-ES" w:eastAsia="en-US"/>
        </w:rPr>
      </w:pPr>
    </w:p>
    <w:p w14:paraId="02C904B2" w14:textId="3FACC0A1" w:rsidR="009A56CE" w:rsidRDefault="004A6A54" w:rsidP="003A1A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3A1A9E">
        <w:rPr>
          <w:rFonts w:asciiTheme="majorHAnsi" w:hAnsiTheme="majorHAnsi"/>
          <w:sz w:val="20"/>
          <w:szCs w:val="20"/>
          <w:lang w:val="es-ES"/>
        </w:rPr>
        <w:t xml:space="preserve">continuar con el análisis del fondo de la cuestión; </w:t>
      </w:r>
      <w:r w:rsidRPr="009B7794">
        <w:rPr>
          <w:rFonts w:asciiTheme="majorHAnsi" w:hAnsiTheme="majorHAnsi"/>
          <w:sz w:val="20"/>
          <w:szCs w:val="20"/>
          <w:lang w:val="es-ES"/>
        </w:rPr>
        <w:t>y publicar esta decisión e incluirla en su Informe Anual a la Asamblea General de la Organización de los Estados Americanos.</w:t>
      </w:r>
    </w:p>
    <w:p w14:paraId="2B170D74" w14:textId="77777777" w:rsidR="00A14C1B" w:rsidRDefault="00A14C1B" w:rsidP="00A14C1B">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51A6B5B8" w14:textId="5B566DF1" w:rsidR="000A5E0A" w:rsidRPr="00541E4D" w:rsidRDefault="00A14C1B" w:rsidP="00541E4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27 días del mes de noviembre de 2024.  (Firmado): </w:t>
      </w:r>
      <w:r w:rsidR="00F3329F">
        <w:rPr>
          <w:rStyle w:val="normaltextrun"/>
          <w:rFonts w:ascii="Cambria" w:hAnsi="Cambria" w:cs="Segoe UI"/>
          <w:sz w:val="20"/>
          <w:szCs w:val="20"/>
          <w:lang w:val="es-CL"/>
        </w:rPr>
        <w:t>R</w:t>
      </w:r>
      <w:r w:rsidR="00F3329F" w:rsidRPr="00923259">
        <w:rPr>
          <w:rStyle w:val="normaltextrun"/>
          <w:rFonts w:ascii="Cambria" w:hAnsi="Cambria" w:cs="Segoe UI"/>
          <w:sz w:val="20"/>
          <w:szCs w:val="20"/>
          <w:lang w:val="es-CL"/>
        </w:rPr>
        <w:t>oberta Clarke</w:t>
      </w:r>
      <w:r w:rsidR="00F3329F">
        <w:rPr>
          <w:rStyle w:val="normaltextrun"/>
          <w:rFonts w:ascii="Cambria" w:hAnsi="Cambria" w:cs="Segoe UI"/>
          <w:sz w:val="20"/>
          <w:szCs w:val="20"/>
          <w:lang w:val="es-CL"/>
        </w:rPr>
        <w:t>, Presidenta; José Luis Caballero Ochoa, Segundo Vicepresidente; Arif Bulkan</w:t>
      </w:r>
      <w:r w:rsidR="00B52312">
        <w:rPr>
          <w:rStyle w:val="normaltextrun"/>
          <w:rFonts w:ascii="Cambria" w:hAnsi="Cambria" w:cs="Segoe UI"/>
          <w:sz w:val="20"/>
          <w:szCs w:val="20"/>
          <w:lang w:val="es-CL"/>
        </w:rPr>
        <w:t xml:space="preserve"> </w:t>
      </w:r>
      <w:r w:rsidR="00F3329F">
        <w:rPr>
          <w:rStyle w:val="normaltextrun"/>
          <w:rFonts w:ascii="Cambria" w:hAnsi="Cambria" w:cs="Segoe UI"/>
          <w:sz w:val="20"/>
          <w:szCs w:val="20"/>
          <w:lang w:val="es-CL"/>
        </w:rPr>
        <w:t xml:space="preserve">y Gloria Monique de Mees, </w:t>
      </w:r>
      <w:r w:rsidR="00541E4D">
        <w:rPr>
          <w:rStyle w:val="normaltextrun"/>
          <w:rFonts w:ascii="Cambria" w:hAnsi="Cambria" w:cs="Segoe UI"/>
          <w:sz w:val="20"/>
          <w:szCs w:val="20"/>
          <w:lang w:val="es-CL"/>
        </w:rPr>
        <w:t>m</w:t>
      </w:r>
      <w:r w:rsidR="00F3329F">
        <w:rPr>
          <w:rStyle w:val="normaltextrun"/>
          <w:rFonts w:ascii="Cambria" w:hAnsi="Cambria" w:cs="Segoe UI"/>
          <w:sz w:val="20"/>
          <w:szCs w:val="20"/>
          <w:lang w:val="es-CL"/>
        </w:rPr>
        <w:t>iembros de la Comisión.</w:t>
      </w:r>
    </w:p>
    <w:sectPr w:rsidR="000A5E0A" w:rsidRPr="00541E4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E9B1" w14:textId="77777777" w:rsidR="00927429" w:rsidRDefault="00927429">
      <w:r>
        <w:separator/>
      </w:r>
    </w:p>
  </w:endnote>
  <w:endnote w:type="continuationSeparator" w:id="0">
    <w:p w14:paraId="34FD1745" w14:textId="77777777" w:rsidR="00927429" w:rsidRDefault="0092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337C" w14:textId="77777777" w:rsidR="00927429" w:rsidRPr="000F35ED" w:rsidRDefault="009274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E76920" w14:textId="77777777" w:rsidR="00927429" w:rsidRPr="000F35ED" w:rsidRDefault="00927429" w:rsidP="000F35ED">
      <w:pPr>
        <w:rPr>
          <w:rFonts w:asciiTheme="majorHAnsi" w:hAnsiTheme="majorHAnsi"/>
          <w:sz w:val="16"/>
          <w:szCs w:val="16"/>
        </w:rPr>
      </w:pPr>
      <w:r w:rsidRPr="000F35ED">
        <w:rPr>
          <w:rFonts w:asciiTheme="majorHAnsi" w:hAnsiTheme="majorHAnsi"/>
          <w:sz w:val="16"/>
          <w:szCs w:val="16"/>
        </w:rPr>
        <w:separator/>
      </w:r>
    </w:p>
    <w:p w14:paraId="31B8F46D" w14:textId="77777777" w:rsidR="00927429" w:rsidRPr="000F35ED" w:rsidRDefault="0092742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38E1F3" w14:textId="77777777" w:rsidR="00927429" w:rsidRPr="000F35ED" w:rsidRDefault="0092742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F30A68" w14:textId="331E42C0" w:rsidR="00986F46" w:rsidRPr="00986F46" w:rsidRDefault="00986F46" w:rsidP="00986F46">
      <w:pPr>
        <w:pStyle w:val="FootnoteText"/>
        <w:ind w:firstLine="720"/>
        <w:jc w:val="both"/>
        <w:rPr>
          <w:lang w:val="es-CO"/>
        </w:rPr>
      </w:pPr>
      <w:r w:rsidRPr="00986F46">
        <w:rPr>
          <w:rStyle w:val="FootnoteReference"/>
          <w:rFonts w:asciiTheme="majorHAnsi" w:hAnsiTheme="majorHAnsi"/>
          <w:sz w:val="16"/>
          <w:szCs w:val="16"/>
        </w:rPr>
        <w:footnoteRef/>
      </w:r>
      <w:r w:rsidRPr="00986F46">
        <w:rPr>
          <w:rFonts w:asciiTheme="majorHAnsi" w:hAnsiTheme="majorHAnsi"/>
          <w:sz w:val="16"/>
          <w:szCs w:val="16"/>
          <w:lang w:val="es-CO"/>
        </w:rPr>
        <w:t xml:space="preserve"> </w:t>
      </w:r>
      <w:r>
        <w:rPr>
          <w:rFonts w:asciiTheme="majorHAnsi" w:hAnsiTheme="majorHAnsi"/>
          <w:sz w:val="16"/>
          <w:szCs w:val="16"/>
          <w:lang w:val="es-CO"/>
        </w:rPr>
        <w:t xml:space="preserve">Por tratarse de una denuncia de hechos de violencia sexual en perjuicio de una niña, </w:t>
      </w:r>
      <w:r w:rsidRPr="001F0D2F">
        <w:rPr>
          <w:rFonts w:asciiTheme="majorHAnsi" w:hAnsiTheme="majorHAnsi"/>
          <w:sz w:val="16"/>
          <w:szCs w:val="16"/>
          <w:lang w:val="es-CO"/>
        </w:rPr>
        <w:t xml:space="preserve">la Comisión Interamericana </w:t>
      </w:r>
      <w:r>
        <w:rPr>
          <w:rFonts w:asciiTheme="majorHAnsi" w:hAnsiTheme="majorHAnsi"/>
          <w:sz w:val="16"/>
          <w:szCs w:val="16"/>
          <w:lang w:val="es-CO"/>
        </w:rPr>
        <w:t xml:space="preserve">decidió </w:t>
      </w:r>
      <w:r w:rsidRPr="001F0D2F">
        <w:rPr>
          <w:rFonts w:asciiTheme="majorHAnsi" w:hAnsiTheme="majorHAnsi"/>
          <w:sz w:val="16"/>
          <w:szCs w:val="16"/>
          <w:lang w:val="es-CO"/>
        </w:rPr>
        <w:t>aplicar la restricción de identidad de la presunta víctima para evitar su revictimización y posibles afectaciones a su vida privada.</w:t>
      </w:r>
    </w:p>
  </w:footnote>
  <w:footnote w:id="3">
    <w:p w14:paraId="0F50799F" w14:textId="7A987812" w:rsidR="00AE0F80" w:rsidRPr="00AE0F80" w:rsidRDefault="00AE0F80" w:rsidP="00AE0F80">
      <w:pPr>
        <w:pStyle w:val="FootnoteText"/>
        <w:ind w:firstLine="720"/>
        <w:jc w:val="both"/>
        <w:rPr>
          <w:rFonts w:asciiTheme="majorHAnsi" w:hAnsiTheme="majorHAnsi"/>
          <w:sz w:val="16"/>
          <w:szCs w:val="16"/>
          <w:lang w:val="es-CO"/>
        </w:rPr>
      </w:pPr>
      <w:r w:rsidRPr="00AE0F80">
        <w:rPr>
          <w:rStyle w:val="FootnoteReference"/>
          <w:rFonts w:asciiTheme="majorHAnsi" w:hAnsiTheme="majorHAnsi"/>
          <w:sz w:val="16"/>
          <w:szCs w:val="16"/>
        </w:rPr>
        <w:footnoteRef/>
      </w:r>
      <w:r w:rsidRPr="00AE0F80">
        <w:rPr>
          <w:rFonts w:asciiTheme="majorHAnsi" w:hAnsiTheme="majorHAnsi"/>
          <w:sz w:val="16"/>
          <w:szCs w:val="16"/>
          <w:lang w:val="es-CO"/>
        </w:rPr>
        <w:t xml:space="preserve"> </w:t>
      </w:r>
      <w:r w:rsidR="004078F7">
        <w:rPr>
          <w:rFonts w:asciiTheme="majorHAnsi" w:hAnsiTheme="majorHAnsi"/>
          <w:sz w:val="16"/>
          <w:szCs w:val="16"/>
          <w:lang w:val="es-CO"/>
        </w:rPr>
        <w:t xml:space="preserve">La parte peticionaria identificó como familiares de la niña L.J.S.H. a: </w:t>
      </w:r>
      <w:r w:rsidR="003D23D1">
        <w:rPr>
          <w:rFonts w:asciiTheme="majorHAnsi" w:hAnsiTheme="majorHAnsi"/>
          <w:sz w:val="16"/>
          <w:szCs w:val="16"/>
          <w:lang w:val="es-CO"/>
        </w:rPr>
        <w:t>L</w:t>
      </w:r>
      <w:r w:rsidR="00864D5F">
        <w:rPr>
          <w:rFonts w:asciiTheme="majorHAnsi" w:hAnsiTheme="majorHAnsi"/>
          <w:sz w:val="16"/>
          <w:szCs w:val="16"/>
          <w:lang w:val="es-CO"/>
        </w:rPr>
        <w:t>.</w:t>
      </w:r>
      <w:r w:rsidR="003D23D1">
        <w:rPr>
          <w:rFonts w:asciiTheme="majorHAnsi" w:hAnsiTheme="majorHAnsi"/>
          <w:sz w:val="16"/>
          <w:szCs w:val="16"/>
          <w:lang w:val="es-CO"/>
        </w:rPr>
        <w:t xml:space="preserve"> M</w:t>
      </w:r>
      <w:r w:rsidR="00864D5F">
        <w:rPr>
          <w:rFonts w:asciiTheme="majorHAnsi" w:hAnsiTheme="majorHAnsi"/>
          <w:sz w:val="16"/>
          <w:szCs w:val="16"/>
          <w:lang w:val="es-CO"/>
        </w:rPr>
        <w:t>.</w:t>
      </w:r>
      <w:r w:rsidR="003D23D1">
        <w:rPr>
          <w:rFonts w:asciiTheme="majorHAnsi" w:hAnsiTheme="majorHAnsi"/>
          <w:sz w:val="16"/>
          <w:szCs w:val="16"/>
          <w:lang w:val="es-CO"/>
        </w:rPr>
        <w:t xml:space="preserve"> H</w:t>
      </w:r>
      <w:r w:rsidR="00864D5F">
        <w:rPr>
          <w:rFonts w:asciiTheme="majorHAnsi" w:hAnsiTheme="majorHAnsi"/>
          <w:sz w:val="16"/>
          <w:szCs w:val="16"/>
          <w:lang w:val="es-CO"/>
        </w:rPr>
        <w:t>.</w:t>
      </w:r>
      <w:r w:rsidR="003D23D1">
        <w:rPr>
          <w:rFonts w:asciiTheme="majorHAnsi" w:hAnsiTheme="majorHAnsi"/>
          <w:sz w:val="16"/>
          <w:szCs w:val="16"/>
          <w:lang w:val="es-CO"/>
        </w:rPr>
        <w:t xml:space="preserve"> A</w:t>
      </w:r>
      <w:r w:rsidR="00864D5F">
        <w:rPr>
          <w:rFonts w:asciiTheme="majorHAnsi" w:hAnsiTheme="majorHAnsi"/>
          <w:sz w:val="16"/>
          <w:szCs w:val="16"/>
          <w:lang w:val="es-CO"/>
        </w:rPr>
        <w:t>.</w:t>
      </w:r>
      <w:r w:rsidR="003D23D1">
        <w:rPr>
          <w:rFonts w:asciiTheme="majorHAnsi" w:hAnsiTheme="majorHAnsi"/>
          <w:sz w:val="16"/>
          <w:szCs w:val="16"/>
          <w:lang w:val="es-CO"/>
        </w:rPr>
        <w:t xml:space="preserve"> (madre) y</w:t>
      </w:r>
      <w:r w:rsidR="00864D5F">
        <w:rPr>
          <w:rFonts w:asciiTheme="majorHAnsi" w:hAnsiTheme="majorHAnsi"/>
          <w:sz w:val="16"/>
          <w:szCs w:val="16"/>
          <w:lang w:val="es-CO"/>
        </w:rPr>
        <w:t xml:space="preserve"> a</w:t>
      </w:r>
      <w:r w:rsidR="003D23D1">
        <w:rPr>
          <w:rFonts w:asciiTheme="majorHAnsi" w:hAnsiTheme="majorHAnsi"/>
          <w:sz w:val="16"/>
          <w:szCs w:val="16"/>
          <w:lang w:val="es-CO"/>
        </w:rPr>
        <w:t xml:space="preserve"> J</w:t>
      </w:r>
      <w:r w:rsidR="00864D5F">
        <w:rPr>
          <w:rFonts w:asciiTheme="majorHAnsi" w:hAnsiTheme="majorHAnsi"/>
          <w:sz w:val="16"/>
          <w:szCs w:val="16"/>
          <w:lang w:val="es-CO"/>
        </w:rPr>
        <w:t>.</w:t>
      </w:r>
      <w:r w:rsidR="003D23D1">
        <w:rPr>
          <w:rFonts w:asciiTheme="majorHAnsi" w:hAnsiTheme="majorHAnsi"/>
          <w:sz w:val="16"/>
          <w:szCs w:val="16"/>
          <w:lang w:val="es-CO"/>
        </w:rPr>
        <w:t xml:space="preserve"> V</w:t>
      </w:r>
      <w:r w:rsidR="00864D5F">
        <w:rPr>
          <w:rFonts w:asciiTheme="majorHAnsi" w:hAnsiTheme="majorHAnsi"/>
          <w:sz w:val="16"/>
          <w:szCs w:val="16"/>
          <w:lang w:val="es-CO"/>
        </w:rPr>
        <w:t>.</w:t>
      </w:r>
      <w:r w:rsidR="003D23D1">
        <w:rPr>
          <w:rFonts w:asciiTheme="majorHAnsi" w:hAnsiTheme="majorHAnsi"/>
          <w:sz w:val="16"/>
          <w:szCs w:val="16"/>
          <w:lang w:val="es-CO"/>
        </w:rPr>
        <w:t xml:space="preserve"> S</w:t>
      </w:r>
      <w:r w:rsidR="00864D5F">
        <w:rPr>
          <w:rFonts w:asciiTheme="majorHAnsi" w:hAnsiTheme="majorHAnsi"/>
          <w:sz w:val="16"/>
          <w:szCs w:val="16"/>
          <w:lang w:val="es-CO"/>
        </w:rPr>
        <w:t>.</w:t>
      </w:r>
      <w:r w:rsidR="003D23D1">
        <w:rPr>
          <w:rFonts w:asciiTheme="majorHAnsi" w:hAnsiTheme="majorHAnsi"/>
          <w:sz w:val="16"/>
          <w:szCs w:val="16"/>
          <w:lang w:val="es-CO"/>
        </w:rPr>
        <w:t xml:space="preserve"> D</w:t>
      </w:r>
      <w:r w:rsidR="00864D5F">
        <w:rPr>
          <w:rFonts w:asciiTheme="majorHAnsi" w:hAnsiTheme="majorHAnsi"/>
          <w:sz w:val="16"/>
          <w:szCs w:val="16"/>
          <w:lang w:val="es-CO"/>
        </w:rPr>
        <w:t>.</w:t>
      </w:r>
      <w:r w:rsidR="003D23D1">
        <w:rPr>
          <w:rFonts w:asciiTheme="majorHAnsi" w:hAnsiTheme="majorHAnsi"/>
          <w:sz w:val="16"/>
          <w:szCs w:val="16"/>
          <w:lang w:val="es-CO"/>
        </w:rPr>
        <w:t xml:space="preserve"> (padre).</w:t>
      </w:r>
    </w:p>
  </w:footnote>
  <w:footnote w:id="4">
    <w:p w14:paraId="66E930B8" w14:textId="579EA7A5" w:rsidR="004A6A54" w:rsidRPr="00306F33" w:rsidRDefault="004A6A54" w:rsidP="00332191">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332191">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332191">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5">
    <w:p w14:paraId="32887BA0" w14:textId="77777777" w:rsidR="005C0CD2" w:rsidRPr="00270D23" w:rsidRDefault="005C0CD2" w:rsidP="005C0CD2">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6">
    <w:p w14:paraId="1AFEF3B0" w14:textId="422A1281" w:rsidR="008E3BFE" w:rsidRPr="00306F33" w:rsidRDefault="008E3BFE" w:rsidP="00306F33">
      <w:pPr>
        <w:pStyle w:val="FootnoteText"/>
        <w:ind w:firstLine="720"/>
        <w:jc w:val="both"/>
        <w:rPr>
          <w:rFonts w:asciiTheme="majorHAnsi" w:hAnsiTheme="majorHAnsi"/>
          <w:sz w:val="16"/>
          <w:szCs w:val="16"/>
          <w:lang w:val="es-ES"/>
        </w:rPr>
      </w:pPr>
      <w:r w:rsidRPr="005C0CD2">
        <w:rPr>
          <w:rStyle w:val="FootnoteReference"/>
          <w:rFonts w:asciiTheme="majorHAnsi" w:hAnsiTheme="majorHAnsi"/>
          <w:sz w:val="16"/>
          <w:szCs w:val="16"/>
        </w:rPr>
        <w:footnoteRef/>
      </w:r>
      <w:r w:rsidRPr="005C0CD2">
        <w:rPr>
          <w:rFonts w:asciiTheme="majorHAnsi" w:hAnsiTheme="majorHAnsi"/>
          <w:sz w:val="16"/>
          <w:szCs w:val="16"/>
          <w:lang w:val="es-ES"/>
        </w:rPr>
        <w:t xml:space="preserve"> Las observaciones de cada parte fueron debidamente trasladadas a la parte contraria.</w:t>
      </w:r>
    </w:p>
  </w:footnote>
  <w:footnote w:id="7">
    <w:p w14:paraId="786A06BB" w14:textId="77777777" w:rsidR="002A7925" w:rsidRPr="00650C83" w:rsidRDefault="002A7925" w:rsidP="00650C83">
      <w:pPr>
        <w:pStyle w:val="FootnoteText"/>
        <w:ind w:firstLine="720"/>
        <w:rPr>
          <w:rFonts w:asciiTheme="majorHAnsi" w:hAnsiTheme="majorHAnsi"/>
          <w:sz w:val="16"/>
          <w:szCs w:val="16"/>
          <w:lang w:val="es-CO"/>
        </w:rPr>
      </w:pPr>
      <w:r w:rsidRPr="00650C83">
        <w:rPr>
          <w:rStyle w:val="FootnoteReference"/>
          <w:rFonts w:asciiTheme="majorHAnsi" w:hAnsiTheme="majorHAnsi"/>
          <w:sz w:val="16"/>
          <w:szCs w:val="16"/>
        </w:rPr>
        <w:footnoteRef/>
      </w:r>
      <w:r w:rsidRPr="00650C83">
        <w:rPr>
          <w:rFonts w:asciiTheme="majorHAnsi" w:hAnsiTheme="majorHAnsi"/>
          <w:sz w:val="16"/>
          <w:szCs w:val="16"/>
          <w:lang w:val="es-CO"/>
        </w:rPr>
        <w:t xml:space="preserve"> </w:t>
      </w:r>
      <w:r w:rsidRPr="00650C83">
        <w:rPr>
          <w:rFonts w:asciiTheme="majorHAnsi" w:hAnsiTheme="majorHAnsi"/>
          <w:i/>
          <w:iCs/>
          <w:sz w:val="16"/>
          <w:szCs w:val="16"/>
          <w:lang w:val="es-CO"/>
        </w:rPr>
        <w:t>Cfr.</w:t>
      </w:r>
      <w:r w:rsidRPr="00650C83">
        <w:rPr>
          <w:rFonts w:asciiTheme="majorHAnsi" w:hAnsiTheme="majorHAnsi"/>
          <w:sz w:val="16"/>
          <w:szCs w:val="16"/>
          <w:lang w:val="es-CO"/>
        </w:rPr>
        <w:t xml:space="preserve"> CIDH, Informe No. 279/21, Petición 2106-12, Admisibilidad, Comunidades Huitosachi, Mogótavo y Bacajípare del pueblo indígena Rarámuri, México, 29 de octubre de 2021, párr. 29.</w:t>
      </w:r>
    </w:p>
  </w:footnote>
  <w:footnote w:id="8">
    <w:p w14:paraId="05DA17EB" w14:textId="77777777" w:rsidR="00C145BE" w:rsidRPr="00E66E39" w:rsidRDefault="00C145BE" w:rsidP="00E66E39">
      <w:pPr>
        <w:pStyle w:val="FootnoteText"/>
        <w:ind w:firstLine="720"/>
        <w:jc w:val="both"/>
        <w:rPr>
          <w:rFonts w:ascii="Cambria" w:hAnsi="Cambria"/>
          <w:color w:val="auto"/>
          <w:sz w:val="16"/>
          <w:szCs w:val="16"/>
          <w:lang w:val="es-CO"/>
        </w:rPr>
      </w:pPr>
      <w:r w:rsidRPr="00E66E39">
        <w:rPr>
          <w:rStyle w:val="FootnoteReference"/>
          <w:rFonts w:ascii="Cambria" w:hAnsi="Cambria"/>
          <w:color w:val="auto"/>
          <w:sz w:val="16"/>
          <w:szCs w:val="16"/>
        </w:rPr>
        <w:footnoteRef/>
      </w:r>
      <w:r w:rsidRPr="00E66E39">
        <w:rPr>
          <w:rFonts w:ascii="Cambria" w:hAnsi="Cambria"/>
          <w:color w:val="auto"/>
          <w:sz w:val="16"/>
          <w:szCs w:val="16"/>
          <w:lang w:val="es-CO"/>
        </w:rPr>
        <w:t xml:space="preserve"> Corte IDH. Caso Órdenes Guerra y otros Vs. Chile. Fondo, Reparaciones y Costas. Sentencia de 29 de noviembre de 2018. Serie C No. 372, párr. 76.</w:t>
      </w:r>
    </w:p>
  </w:footnote>
  <w:footnote w:id="9">
    <w:p w14:paraId="1AD445D9" w14:textId="77777777" w:rsidR="00C145BE" w:rsidRPr="00497A9B" w:rsidRDefault="00C145BE" w:rsidP="00E66E39">
      <w:pPr>
        <w:pStyle w:val="FootnoteText"/>
        <w:ind w:firstLine="720"/>
        <w:jc w:val="both"/>
        <w:rPr>
          <w:rFonts w:ascii="Cambria" w:hAnsi="Cambria"/>
          <w:color w:val="auto"/>
          <w:lang w:val="es-CO"/>
        </w:rPr>
      </w:pPr>
      <w:r w:rsidRPr="00E66E39">
        <w:rPr>
          <w:rStyle w:val="FootnoteReference"/>
          <w:rFonts w:ascii="Cambria" w:hAnsi="Cambria"/>
          <w:color w:val="auto"/>
          <w:sz w:val="16"/>
          <w:szCs w:val="16"/>
        </w:rPr>
        <w:footnoteRef/>
      </w:r>
      <w:r w:rsidRPr="00E66E39">
        <w:rPr>
          <w:rFonts w:ascii="Cambria" w:hAnsi="Cambria"/>
          <w:color w:val="auto"/>
          <w:sz w:val="16"/>
          <w:szCs w:val="16"/>
          <w:lang w:val="es-CO"/>
        </w:rPr>
        <w:t xml:space="preserve"> </w:t>
      </w:r>
      <w:r w:rsidRPr="00E66E39">
        <w:rPr>
          <w:rFonts w:ascii="Cambria" w:hAnsi="Cambria"/>
          <w:i/>
          <w:iCs/>
          <w:color w:val="auto"/>
          <w:sz w:val="16"/>
          <w:szCs w:val="16"/>
          <w:lang w:val="es-CO"/>
        </w:rPr>
        <w:t>Ver</w:t>
      </w:r>
      <w:r w:rsidRPr="00E66E39">
        <w:rPr>
          <w:rFonts w:ascii="Cambria" w:hAnsi="Cambria"/>
          <w:color w:val="auto"/>
          <w:sz w:val="16"/>
          <w:szCs w:val="16"/>
          <w:lang w:val="es-CO"/>
        </w:rPr>
        <w:t xml:space="preserve"> Corte IDH. Caso Órdenes Guerra y otros Vs. Chile. Fondo, Reparaciones y Costas. Sentencia de 29 de noviembre de 2018. Serie C No. 372; y, Caso Almeida Vs. Argentina. Fondo, Reparaciones y Costas. Sentencia de 17 de noviembre de 2020. Serie C No. 416.</w:t>
      </w:r>
    </w:p>
  </w:footnote>
  <w:footnote w:id="10">
    <w:p w14:paraId="5198EDD4" w14:textId="77777777" w:rsidR="00E66E39" w:rsidRPr="00E66E39" w:rsidRDefault="00E66E39" w:rsidP="00E66E39">
      <w:pPr>
        <w:pStyle w:val="FootnoteText"/>
        <w:ind w:firstLine="720"/>
        <w:jc w:val="both"/>
        <w:rPr>
          <w:rFonts w:ascii="Cambria" w:hAnsi="Cambria"/>
          <w:color w:val="auto"/>
          <w:sz w:val="16"/>
          <w:szCs w:val="16"/>
          <w:lang w:val="es-CO"/>
        </w:rPr>
      </w:pPr>
      <w:r w:rsidRPr="00E66E39">
        <w:rPr>
          <w:rStyle w:val="FootnoteReference"/>
          <w:rFonts w:ascii="Cambria" w:hAnsi="Cambria"/>
          <w:color w:val="auto"/>
          <w:sz w:val="16"/>
          <w:szCs w:val="16"/>
        </w:rPr>
        <w:footnoteRef/>
      </w:r>
      <w:r w:rsidRPr="00E66E39">
        <w:rPr>
          <w:rFonts w:ascii="Cambria" w:hAnsi="Cambria"/>
          <w:color w:val="auto"/>
          <w:sz w:val="16"/>
          <w:szCs w:val="16"/>
          <w:lang w:val="es-CO"/>
        </w:rPr>
        <w:t xml:space="preserve"> CIDH. Informe No 62/01, caso 11.564, Masacre de Riofrío, Colombia, 6 de abril de 2001, párr. 44; y, CIDH, Informe No. 52/16, Caso 12.521. Fondo. Maria Laura Ordenes Guerra y otros. Chile. 30 de noviembre de 2016, párr. 105.</w:t>
      </w:r>
    </w:p>
  </w:footnote>
  <w:footnote w:id="11">
    <w:p w14:paraId="72E8CA82" w14:textId="77777777" w:rsidR="00E66E39" w:rsidRPr="00E66E39" w:rsidRDefault="00E66E39" w:rsidP="00E66E39">
      <w:pPr>
        <w:pStyle w:val="FootnoteText"/>
        <w:ind w:firstLine="720"/>
        <w:jc w:val="both"/>
        <w:rPr>
          <w:rFonts w:ascii="Cambria" w:hAnsi="Cambria"/>
          <w:color w:val="auto"/>
          <w:sz w:val="16"/>
          <w:szCs w:val="16"/>
          <w:lang w:val="es-CO"/>
        </w:rPr>
      </w:pPr>
      <w:r w:rsidRPr="00E66E39">
        <w:rPr>
          <w:rStyle w:val="FootnoteReference"/>
          <w:rFonts w:ascii="Cambria" w:hAnsi="Cambria"/>
          <w:color w:val="auto"/>
          <w:sz w:val="16"/>
          <w:szCs w:val="16"/>
        </w:rPr>
        <w:footnoteRef/>
      </w:r>
      <w:r w:rsidRPr="00E66E39">
        <w:rPr>
          <w:rFonts w:ascii="Cambria" w:hAnsi="Cambria"/>
          <w:color w:val="auto"/>
          <w:sz w:val="16"/>
          <w:szCs w:val="16"/>
          <w:lang w:val="es-CO"/>
        </w:rPr>
        <w:t xml:space="preserve"> </w:t>
      </w:r>
      <w:r w:rsidRPr="00E66E39">
        <w:rPr>
          <w:rFonts w:ascii="Cambria" w:hAnsi="Cambria"/>
          <w:i/>
          <w:iCs/>
          <w:color w:val="auto"/>
          <w:sz w:val="16"/>
          <w:szCs w:val="16"/>
          <w:lang w:val="es-CO"/>
        </w:rPr>
        <w:t>Ver</w:t>
      </w:r>
      <w:r w:rsidRPr="00E66E39">
        <w:rPr>
          <w:rFonts w:ascii="Cambria" w:hAnsi="Cambria"/>
          <w:color w:val="auto"/>
          <w:sz w:val="16"/>
          <w:szCs w:val="16"/>
          <w:lang w:val="es-CO"/>
        </w:rPr>
        <w:t xml:space="preserve"> CIDH, Informe No. 173/22. Petición 916-10. Inadmisibilidad. Hernando Martínez Novoa y otros. Colombia. 22 de julio de 2022, párrs. 15 y 16; y, CIDH, Informe No. 12/22. Petición 1035-11. Admisibilidad. Blanca Ruth Sánchez de Franco y Familia. Colombia. 9 de febrero de 2022, párr. 12.</w:t>
      </w:r>
    </w:p>
  </w:footnote>
  <w:footnote w:id="12">
    <w:p w14:paraId="36E15DBF" w14:textId="77777777" w:rsidR="003E7098" w:rsidRPr="00983D6C" w:rsidRDefault="003E7098" w:rsidP="00983D6C">
      <w:pPr>
        <w:pStyle w:val="FootnoteText"/>
        <w:ind w:firstLine="720"/>
        <w:jc w:val="both"/>
        <w:rPr>
          <w:rFonts w:ascii="Cambria" w:hAnsi="Cambria"/>
          <w:sz w:val="16"/>
          <w:szCs w:val="16"/>
          <w:lang w:val="es-ES_tradnl"/>
        </w:rPr>
      </w:pPr>
      <w:r w:rsidRPr="00983D6C">
        <w:rPr>
          <w:rStyle w:val="FootnoteReference"/>
          <w:rFonts w:ascii="Cambria" w:hAnsi="Cambria"/>
          <w:sz w:val="16"/>
          <w:szCs w:val="16"/>
        </w:rPr>
        <w:footnoteRef/>
      </w:r>
      <w:r w:rsidRPr="00983D6C">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13">
    <w:p w14:paraId="7ED638DB" w14:textId="77777777" w:rsidR="003E7098" w:rsidRPr="00983D6C" w:rsidRDefault="003E7098" w:rsidP="00983D6C">
      <w:pPr>
        <w:pStyle w:val="FootnoteText"/>
        <w:ind w:firstLine="720"/>
        <w:jc w:val="both"/>
        <w:rPr>
          <w:rFonts w:ascii="Cambria" w:hAnsi="Cambria"/>
          <w:sz w:val="16"/>
          <w:szCs w:val="16"/>
          <w:lang w:val="es-ES_tradnl"/>
        </w:rPr>
      </w:pPr>
      <w:r w:rsidRPr="00983D6C">
        <w:rPr>
          <w:rStyle w:val="FootnoteReference"/>
          <w:rFonts w:ascii="Cambria" w:hAnsi="Cambria"/>
          <w:sz w:val="16"/>
          <w:szCs w:val="16"/>
        </w:rPr>
        <w:footnoteRef/>
      </w:r>
      <w:r w:rsidRPr="00983D6C">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4">
    <w:p w14:paraId="7B502CE8" w14:textId="77777777" w:rsidR="003E7098" w:rsidRPr="00A11B3B" w:rsidRDefault="003E7098" w:rsidP="00983D6C">
      <w:pPr>
        <w:pStyle w:val="FootnoteText"/>
        <w:ind w:firstLine="720"/>
        <w:jc w:val="both"/>
        <w:rPr>
          <w:rFonts w:ascii="Cambria" w:hAnsi="Cambria"/>
          <w:lang w:val="es-ES_tradnl"/>
        </w:rPr>
      </w:pPr>
      <w:r w:rsidRPr="00983D6C">
        <w:rPr>
          <w:rStyle w:val="FootnoteReference"/>
          <w:rFonts w:ascii="Cambria" w:hAnsi="Cambria"/>
          <w:sz w:val="16"/>
          <w:szCs w:val="16"/>
        </w:rPr>
        <w:footnoteRef/>
      </w:r>
      <w:r w:rsidRPr="00983D6C">
        <w:rPr>
          <w:rFonts w:ascii="Cambria" w:hAnsi="Cambria"/>
          <w:sz w:val="16"/>
          <w:szCs w:val="16"/>
          <w:lang w:val="es-ES_tradnl"/>
        </w:rPr>
        <w:t xml:space="preserve"> Corte IDH. Caso Palma Mendoza y otros Vs. Ecuador. Excepción Preliminar y Fondo. Sentencia de 3 de septiembre de 2012. </w:t>
      </w:r>
      <w:r w:rsidRPr="00B23481">
        <w:rPr>
          <w:rFonts w:ascii="Cambria" w:hAnsi="Cambria"/>
          <w:sz w:val="16"/>
          <w:szCs w:val="16"/>
          <w:lang w:val="pt-BR"/>
        </w:rPr>
        <w:t xml:space="preserve">Serie C No. 247, párr. 18; Corte IDH. Caso Rosadio Villavicencio Vs. </w:t>
      </w:r>
      <w:r w:rsidRPr="00983D6C">
        <w:rPr>
          <w:rFonts w:ascii="Cambria" w:hAnsi="Cambria"/>
          <w:sz w:val="16"/>
          <w:szCs w:val="16"/>
          <w:lang w:val="es-ES_tradnl"/>
        </w:rPr>
        <w:t xml:space="preserve">Perú. Excepciones Preliminares, Fondo, Reparaciones y Costas. </w:t>
      </w:r>
      <w:r w:rsidRPr="00983D6C">
        <w:rPr>
          <w:rFonts w:ascii="Cambria" w:hAnsi="Cambria"/>
          <w:sz w:val="16"/>
          <w:szCs w:val="16"/>
          <w:lang w:val="es-US"/>
        </w:rPr>
        <w:t xml:space="preserve">Sentencia de 14 de octubre de 2019. Serie C No. 388., párr. 24; </w:t>
      </w:r>
      <w:r w:rsidRPr="00983D6C">
        <w:rPr>
          <w:rFonts w:ascii="Cambria" w:hAnsi="Cambria"/>
          <w:sz w:val="16"/>
          <w:szCs w:val="16"/>
          <w:lang w:val="es-ES_tradnl"/>
        </w:rPr>
        <w:t xml:space="preserve">Corte IDH. Caso Cabrera García y Montiel Flores Vs. México. Excepción Preliminar, Fondo, Reparaciones y Costas. </w:t>
      </w:r>
      <w:r w:rsidRPr="00983D6C">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944C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37368080"/>
    <w:lvl w:ilvl="0" w:tplc="36CA7246">
      <w:start w:val="1"/>
      <w:numFmt w:val="decimal"/>
      <w:pStyle w:val="parrafos"/>
      <w:lvlText w:val="%1."/>
      <w:lvlJc w:val="left"/>
      <w:pPr>
        <w:ind w:left="360" w:hanging="360"/>
      </w:pPr>
      <w:rPr>
        <w:rFonts w:ascii="Cambria" w:hAnsi="Cambria" w:hint="default"/>
        <w:b w:val="0"/>
        <w:color w:val="auto"/>
        <w:sz w:val="20"/>
        <w:szCs w:val="20"/>
        <w:lang w:val="es-MX"/>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BE3EF096"/>
    <w:lvl w:ilvl="0" w:tplc="3ACE3CB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8"/>
  </w:num>
  <w:num w:numId="4" w16cid:durableId="2018339747">
    <w:abstractNumId w:val="22"/>
  </w:num>
  <w:num w:numId="5" w16cid:durableId="368341374">
    <w:abstractNumId w:val="51"/>
  </w:num>
  <w:num w:numId="6" w16cid:durableId="1074009954">
    <w:abstractNumId w:val="29"/>
  </w:num>
  <w:num w:numId="7" w16cid:durableId="1545016965">
    <w:abstractNumId w:val="8"/>
  </w:num>
  <w:num w:numId="8" w16cid:durableId="1165165820">
    <w:abstractNumId w:val="18"/>
  </w:num>
  <w:num w:numId="9" w16cid:durableId="751703382">
    <w:abstractNumId w:val="44"/>
  </w:num>
  <w:num w:numId="10" w16cid:durableId="1010065578">
    <w:abstractNumId w:val="1"/>
  </w:num>
  <w:num w:numId="11" w16cid:durableId="599265313">
    <w:abstractNumId w:val="39"/>
  </w:num>
  <w:num w:numId="12" w16cid:durableId="1094203649">
    <w:abstractNumId w:val="40"/>
  </w:num>
  <w:num w:numId="13" w16cid:durableId="393090155">
    <w:abstractNumId w:val="47"/>
  </w:num>
  <w:num w:numId="14" w16cid:durableId="1198931784">
    <w:abstractNumId w:val="2"/>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1"/>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5"/>
  </w:num>
  <w:num w:numId="60" w16cid:durableId="364453791">
    <w:abstractNumId w:val="45"/>
  </w:num>
  <w:num w:numId="61" w16cid:durableId="319626255">
    <w:abstractNumId w:val="54"/>
  </w:num>
  <w:num w:numId="62" w16cid:durableId="362898492">
    <w:abstractNumId w:val="7"/>
  </w:num>
  <w:num w:numId="63" w16cid:durableId="1357580670">
    <w:abstractNumId w:val="0"/>
  </w:num>
  <w:num w:numId="64" w16cid:durableId="210963960">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74"/>
    <w:rsid w:val="00000CDA"/>
    <w:rsid w:val="000024F1"/>
    <w:rsid w:val="00006E1F"/>
    <w:rsid w:val="000070D7"/>
    <w:rsid w:val="00007E49"/>
    <w:rsid w:val="0001788C"/>
    <w:rsid w:val="000337EF"/>
    <w:rsid w:val="000351FE"/>
    <w:rsid w:val="00040C3A"/>
    <w:rsid w:val="00040DCB"/>
    <w:rsid w:val="000414A6"/>
    <w:rsid w:val="000419AD"/>
    <w:rsid w:val="000433C9"/>
    <w:rsid w:val="00043565"/>
    <w:rsid w:val="000564ED"/>
    <w:rsid w:val="0006505E"/>
    <w:rsid w:val="00067EED"/>
    <w:rsid w:val="00071174"/>
    <w:rsid w:val="000716C5"/>
    <w:rsid w:val="00075E23"/>
    <w:rsid w:val="0008158C"/>
    <w:rsid w:val="0009344A"/>
    <w:rsid w:val="000966A6"/>
    <w:rsid w:val="000A392E"/>
    <w:rsid w:val="000A575F"/>
    <w:rsid w:val="000A5E0A"/>
    <w:rsid w:val="000C6CFD"/>
    <w:rsid w:val="000D05CB"/>
    <w:rsid w:val="000D10DB"/>
    <w:rsid w:val="000D2DAA"/>
    <w:rsid w:val="000E11AA"/>
    <w:rsid w:val="000E36C9"/>
    <w:rsid w:val="000E58F3"/>
    <w:rsid w:val="000E5EB5"/>
    <w:rsid w:val="000F35ED"/>
    <w:rsid w:val="001004FE"/>
    <w:rsid w:val="00107131"/>
    <w:rsid w:val="0010736F"/>
    <w:rsid w:val="00112565"/>
    <w:rsid w:val="00112E95"/>
    <w:rsid w:val="00113F73"/>
    <w:rsid w:val="00121CC2"/>
    <w:rsid w:val="00131425"/>
    <w:rsid w:val="00131BAF"/>
    <w:rsid w:val="00133EE5"/>
    <w:rsid w:val="0013703C"/>
    <w:rsid w:val="00151892"/>
    <w:rsid w:val="00152A4B"/>
    <w:rsid w:val="00166881"/>
    <w:rsid w:val="00167A34"/>
    <w:rsid w:val="00183B0C"/>
    <w:rsid w:val="001900EE"/>
    <w:rsid w:val="001A4AE5"/>
    <w:rsid w:val="001A520D"/>
    <w:rsid w:val="001A7870"/>
    <w:rsid w:val="001B1A4D"/>
    <w:rsid w:val="001B3A00"/>
    <w:rsid w:val="001B478B"/>
    <w:rsid w:val="001C1B41"/>
    <w:rsid w:val="001C2D31"/>
    <w:rsid w:val="001D0929"/>
    <w:rsid w:val="001D65EF"/>
    <w:rsid w:val="001D7F96"/>
    <w:rsid w:val="001E2D79"/>
    <w:rsid w:val="001E49E7"/>
    <w:rsid w:val="001F0D2F"/>
    <w:rsid w:val="001F7201"/>
    <w:rsid w:val="001F7470"/>
    <w:rsid w:val="00203711"/>
    <w:rsid w:val="00204879"/>
    <w:rsid w:val="00206F90"/>
    <w:rsid w:val="00223A29"/>
    <w:rsid w:val="002250A3"/>
    <w:rsid w:val="00235217"/>
    <w:rsid w:val="00242200"/>
    <w:rsid w:val="00246D1F"/>
    <w:rsid w:val="00247403"/>
    <w:rsid w:val="00247542"/>
    <w:rsid w:val="00263095"/>
    <w:rsid w:val="00265E7B"/>
    <w:rsid w:val="00266B61"/>
    <w:rsid w:val="0026712A"/>
    <w:rsid w:val="002704DB"/>
    <w:rsid w:val="0027275A"/>
    <w:rsid w:val="00282A57"/>
    <w:rsid w:val="00297675"/>
    <w:rsid w:val="002A04B2"/>
    <w:rsid w:val="002A0AAE"/>
    <w:rsid w:val="002A1724"/>
    <w:rsid w:val="002A4398"/>
    <w:rsid w:val="002A5820"/>
    <w:rsid w:val="002A7925"/>
    <w:rsid w:val="002D2B26"/>
    <w:rsid w:val="002D7EA2"/>
    <w:rsid w:val="002E187C"/>
    <w:rsid w:val="002E1FBF"/>
    <w:rsid w:val="00302733"/>
    <w:rsid w:val="00305835"/>
    <w:rsid w:val="00306F33"/>
    <w:rsid w:val="003132FA"/>
    <w:rsid w:val="00314078"/>
    <w:rsid w:val="0031535D"/>
    <w:rsid w:val="003239B8"/>
    <w:rsid w:val="00323DD5"/>
    <w:rsid w:val="0033169F"/>
    <w:rsid w:val="00332191"/>
    <w:rsid w:val="00332FD6"/>
    <w:rsid w:val="00334C53"/>
    <w:rsid w:val="00336113"/>
    <w:rsid w:val="00343AA8"/>
    <w:rsid w:val="00344977"/>
    <w:rsid w:val="00346C95"/>
    <w:rsid w:val="00356185"/>
    <w:rsid w:val="00360380"/>
    <w:rsid w:val="0036417F"/>
    <w:rsid w:val="003654F2"/>
    <w:rsid w:val="0037519E"/>
    <w:rsid w:val="00386014"/>
    <w:rsid w:val="00386A0E"/>
    <w:rsid w:val="00386CF0"/>
    <w:rsid w:val="00392F12"/>
    <w:rsid w:val="00394073"/>
    <w:rsid w:val="003A1A9E"/>
    <w:rsid w:val="003A73EF"/>
    <w:rsid w:val="003B70FB"/>
    <w:rsid w:val="003C10E5"/>
    <w:rsid w:val="003C676B"/>
    <w:rsid w:val="003D23D1"/>
    <w:rsid w:val="003D3566"/>
    <w:rsid w:val="003D3BC2"/>
    <w:rsid w:val="003E4547"/>
    <w:rsid w:val="003E68A5"/>
    <w:rsid w:val="003E6CA1"/>
    <w:rsid w:val="003E7098"/>
    <w:rsid w:val="003F27AE"/>
    <w:rsid w:val="003F5154"/>
    <w:rsid w:val="003F559C"/>
    <w:rsid w:val="00405F9C"/>
    <w:rsid w:val="004065A8"/>
    <w:rsid w:val="00406D71"/>
    <w:rsid w:val="004072DF"/>
    <w:rsid w:val="004078F7"/>
    <w:rsid w:val="00414C6D"/>
    <w:rsid w:val="004165C2"/>
    <w:rsid w:val="00420DD9"/>
    <w:rsid w:val="00423B85"/>
    <w:rsid w:val="004241A0"/>
    <w:rsid w:val="00433761"/>
    <w:rsid w:val="00437E70"/>
    <w:rsid w:val="00441ECB"/>
    <w:rsid w:val="004449FD"/>
    <w:rsid w:val="00445193"/>
    <w:rsid w:val="004456D0"/>
    <w:rsid w:val="00462C1B"/>
    <w:rsid w:val="00467B7E"/>
    <w:rsid w:val="00473BB4"/>
    <w:rsid w:val="004760DA"/>
    <w:rsid w:val="00477592"/>
    <w:rsid w:val="00486F1C"/>
    <w:rsid w:val="00487DE6"/>
    <w:rsid w:val="0049419D"/>
    <w:rsid w:val="004A057B"/>
    <w:rsid w:val="004A526C"/>
    <w:rsid w:val="004A6A54"/>
    <w:rsid w:val="004B421C"/>
    <w:rsid w:val="004C20D2"/>
    <w:rsid w:val="004C2312"/>
    <w:rsid w:val="004C3853"/>
    <w:rsid w:val="004C4B62"/>
    <w:rsid w:val="004C54C9"/>
    <w:rsid w:val="004D04E8"/>
    <w:rsid w:val="004D4ABA"/>
    <w:rsid w:val="004D6025"/>
    <w:rsid w:val="004D69BD"/>
    <w:rsid w:val="004E1C36"/>
    <w:rsid w:val="004E2649"/>
    <w:rsid w:val="004F01F9"/>
    <w:rsid w:val="004F626F"/>
    <w:rsid w:val="00501399"/>
    <w:rsid w:val="005047ED"/>
    <w:rsid w:val="00504C0A"/>
    <w:rsid w:val="0050633D"/>
    <w:rsid w:val="00507BC4"/>
    <w:rsid w:val="00511C16"/>
    <w:rsid w:val="005128E4"/>
    <w:rsid w:val="00513160"/>
    <w:rsid w:val="005133DB"/>
    <w:rsid w:val="00514504"/>
    <w:rsid w:val="00521E1F"/>
    <w:rsid w:val="00525560"/>
    <w:rsid w:val="00537E5D"/>
    <w:rsid w:val="00541E4D"/>
    <w:rsid w:val="00541F79"/>
    <w:rsid w:val="0054291A"/>
    <w:rsid w:val="00544C49"/>
    <w:rsid w:val="00551064"/>
    <w:rsid w:val="005516A1"/>
    <w:rsid w:val="00554805"/>
    <w:rsid w:val="005559EF"/>
    <w:rsid w:val="00563557"/>
    <w:rsid w:val="005637FF"/>
    <w:rsid w:val="0057402A"/>
    <w:rsid w:val="0057534C"/>
    <w:rsid w:val="005771D0"/>
    <w:rsid w:val="005851FF"/>
    <w:rsid w:val="0059191A"/>
    <w:rsid w:val="005921FF"/>
    <w:rsid w:val="005A24ED"/>
    <w:rsid w:val="005A6D0E"/>
    <w:rsid w:val="005B52B0"/>
    <w:rsid w:val="005B6806"/>
    <w:rsid w:val="005C0CD2"/>
    <w:rsid w:val="005C4225"/>
    <w:rsid w:val="005D4546"/>
    <w:rsid w:val="005F0DAD"/>
    <w:rsid w:val="005F0F33"/>
    <w:rsid w:val="005F7F91"/>
    <w:rsid w:val="00600DEB"/>
    <w:rsid w:val="006033A3"/>
    <w:rsid w:val="0061481A"/>
    <w:rsid w:val="00627C9F"/>
    <w:rsid w:val="006311E9"/>
    <w:rsid w:val="00632354"/>
    <w:rsid w:val="00635421"/>
    <w:rsid w:val="00640D44"/>
    <w:rsid w:val="00642810"/>
    <w:rsid w:val="006461D4"/>
    <w:rsid w:val="00650C83"/>
    <w:rsid w:val="00652333"/>
    <w:rsid w:val="00666572"/>
    <w:rsid w:val="006763F4"/>
    <w:rsid w:val="0068009E"/>
    <w:rsid w:val="00692219"/>
    <w:rsid w:val="006A0897"/>
    <w:rsid w:val="006A17D2"/>
    <w:rsid w:val="006A73E6"/>
    <w:rsid w:val="006B2A0C"/>
    <w:rsid w:val="006B2D5C"/>
    <w:rsid w:val="006B39F7"/>
    <w:rsid w:val="006C0ECF"/>
    <w:rsid w:val="006C4EB1"/>
    <w:rsid w:val="006D0225"/>
    <w:rsid w:val="006D2B79"/>
    <w:rsid w:val="006E0166"/>
    <w:rsid w:val="006E2FFB"/>
    <w:rsid w:val="006E3DB8"/>
    <w:rsid w:val="006E621A"/>
    <w:rsid w:val="006E7B34"/>
    <w:rsid w:val="0070697F"/>
    <w:rsid w:val="007103C4"/>
    <w:rsid w:val="00711EF9"/>
    <w:rsid w:val="007200BB"/>
    <w:rsid w:val="0072199C"/>
    <w:rsid w:val="00722C9F"/>
    <w:rsid w:val="00722DDF"/>
    <w:rsid w:val="007253B8"/>
    <w:rsid w:val="00727FCF"/>
    <w:rsid w:val="0073089A"/>
    <w:rsid w:val="00730DDA"/>
    <w:rsid w:val="007323CC"/>
    <w:rsid w:val="0073741F"/>
    <w:rsid w:val="00737BAE"/>
    <w:rsid w:val="007442BB"/>
    <w:rsid w:val="0076133D"/>
    <w:rsid w:val="0076643F"/>
    <w:rsid w:val="00772BE6"/>
    <w:rsid w:val="00777F63"/>
    <w:rsid w:val="0078201A"/>
    <w:rsid w:val="007944C6"/>
    <w:rsid w:val="007A5817"/>
    <w:rsid w:val="007A6C30"/>
    <w:rsid w:val="007A6FBD"/>
    <w:rsid w:val="007B05C4"/>
    <w:rsid w:val="007B60E9"/>
    <w:rsid w:val="007B6CC3"/>
    <w:rsid w:val="007B76D3"/>
    <w:rsid w:val="007C3334"/>
    <w:rsid w:val="007C613A"/>
    <w:rsid w:val="007C6A34"/>
    <w:rsid w:val="007D1A99"/>
    <w:rsid w:val="007D2B98"/>
    <w:rsid w:val="007D4110"/>
    <w:rsid w:val="007E21BC"/>
    <w:rsid w:val="007E6E6F"/>
    <w:rsid w:val="007E7C82"/>
    <w:rsid w:val="007F17A1"/>
    <w:rsid w:val="007F2AA1"/>
    <w:rsid w:val="007F588D"/>
    <w:rsid w:val="007F7265"/>
    <w:rsid w:val="00803F1C"/>
    <w:rsid w:val="0080600E"/>
    <w:rsid w:val="00807BBA"/>
    <w:rsid w:val="008100C2"/>
    <w:rsid w:val="0081316D"/>
    <w:rsid w:val="00814688"/>
    <w:rsid w:val="008153C4"/>
    <w:rsid w:val="00817612"/>
    <w:rsid w:val="008178AC"/>
    <w:rsid w:val="008338A4"/>
    <w:rsid w:val="00834D49"/>
    <w:rsid w:val="00837C45"/>
    <w:rsid w:val="00844730"/>
    <w:rsid w:val="008457C2"/>
    <w:rsid w:val="00846402"/>
    <w:rsid w:val="0085280C"/>
    <w:rsid w:val="00857A82"/>
    <w:rsid w:val="00864D5F"/>
    <w:rsid w:val="00873836"/>
    <w:rsid w:val="00885737"/>
    <w:rsid w:val="00885972"/>
    <w:rsid w:val="00886446"/>
    <w:rsid w:val="00890650"/>
    <w:rsid w:val="00890DA0"/>
    <w:rsid w:val="008944DC"/>
    <w:rsid w:val="00897E12"/>
    <w:rsid w:val="008A55CE"/>
    <w:rsid w:val="008A6BD0"/>
    <w:rsid w:val="008A7E0F"/>
    <w:rsid w:val="008B1151"/>
    <w:rsid w:val="008B12F5"/>
    <w:rsid w:val="008B3C07"/>
    <w:rsid w:val="008C5E2D"/>
    <w:rsid w:val="008D768D"/>
    <w:rsid w:val="008E3759"/>
    <w:rsid w:val="008E3BFE"/>
    <w:rsid w:val="008F1912"/>
    <w:rsid w:val="0090270B"/>
    <w:rsid w:val="00903378"/>
    <w:rsid w:val="009041DC"/>
    <w:rsid w:val="00917B5A"/>
    <w:rsid w:val="00920A58"/>
    <w:rsid w:val="00920A8C"/>
    <w:rsid w:val="00927429"/>
    <w:rsid w:val="00933A7B"/>
    <w:rsid w:val="00934A2C"/>
    <w:rsid w:val="00934A58"/>
    <w:rsid w:val="00935605"/>
    <w:rsid w:val="00944399"/>
    <w:rsid w:val="00945AC5"/>
    <w:rsid w:val="009529FE"/>
    <w:rsid w:val="00954628"/>
    <w:rsid w:val="009549E5"/>
    <w:rsid w:val="0096403E"/>
    <w:rsid w:val="009654AA"/>
    <w:rsid w:val="0096706E"/>
    <w:rsid w:val="00974276"/>
    <w:rsid w:val="00974491"/>
    <w:rsid w:val="00975AE3"/>
    <w:rsid w:val="00975C4E"/>
    <w:rsid w:val="00981FBA"/>
    <w:rsid w:val="00983D6C"/>
    <w:rsid w:val="00986F46"/>
    <w:rsid w:val="00994536"/>
    <w:rsid w:val="00997BC5"/>
    <w:rsid w:val="009A16C9"/>
    <w:rsid w:val="009A4F41"/>
    <w:rsid w:val="009A4F80"/>
    <w:rsid w:val="009A56CE"/>
    <w:rsid w:val="009A76BC"/>
    <w:rsid w:val="009B381B"/>
    <w:rsid w:val="009C7D8C"/>
    <w:rsid w:val="009D1753"/>
    <w:rsid w:val="009D6032"/>
    <w:rsid w:val="009D7611"/>
    <w:rsid w:val="009E0B61"/>
    <w:rsid w:val="009E4EBF"/>
    <w:rsid w:val="009E53DE"/>
    <w:rsid w:val="009E54C0"/>
    <w:rsid w:val="009F6252"/>
    <w:rsid w:val="00A04EC0"/>
    <w:rsid w:val="00A11212"/>
    <w:rsid w:val="00A11E44"/>
    <w:rsid w:val="00A14C1B"/>
    <w:rsid w:val="00A15562"/>
    <w:rsid w:val="00A30100"/>
    <w:rsid w:val="00A328B3"/>
    <w:rsid w:val="00A50FCF"/>
    <w:rsid w:val="00A511C5"/>
    <w:rsid w:val="00A528D1"/>
    <w:rsid w:val="00A52A58"/>
    <w:rsid w:val="00A5341B"/>
    <w:rsid w:val="00A610CD"/>
    <w:rsid w:val="00A72AD4"/>
    <w:rsid w:val="00A73F71"/>
    <w:rsid w:val="00A758AA"/>
    <w:rsid w:val="00AA09A2"/>
    <w:rsid w:val="00AA48D9"/>
    <w:rsid w:val="00AA6D25"/>
    <w:rsid w:val="00AA7996"/>
    <w:rsid w:val="00AB32A8"/>
    <w:rsid w:val="00AC19CB"/>
    <w:rsid w:val="00AC6EEC"/>
    <w:rsid w:val="00AE0F80"/>
    <w:rsid w:val="00AE4A9A"/>
    <w:rsid w:val="00AE5488"/>
    <w:rsid w:val="00AE6F91"/>
    <w:rsid w:val="00AF5571"/>
    <w:rsid w:val="00B04818"/>
    <w:rsid w:val="00B07341"/>
    <w:rsid w:val="00B1448E"/>
    <w:rsid w:val="00B2163E"/>
    <w:rsid w:val="00B23481"/>
    <w:rsid w:val="00B30539"/>
    <w:rsid w:val="00B314DB"/>
    <w:rsid w:val="00B361F2"/>
    <w:rsid w:val="00B3718B"/>
    <w:rsid w:val="00B3745F"/>
    <w:rsid w:val="00B4632A"/>
    <w:rsid w:val="00B479E1"/>
    <w:rsid w:val="00B52312"/>
    <w:rsid w:val="00B530F1"/>
    <w:rsid w:val="00B53248"/>
    <w:rsid w:val="00B53F9D"/>
    <w:rsid w:val="00B76BAC"/>
    <w:rsid w:val="00B77643"/>
    <w:rsid w:val="00B82D4F"/>
    <w:rsid w:val="00B857BB"/>
    <w:rsid w:val="00B93D7F"/>
    <w:rsid w:val="00BA276C"/>
    <w:rsid w:val="00BA727C"/>
    <w:rsid w:val="00BB019D"/>
    <w:rsid w:val="00BB122E"/>
    <w:rsid w:val="00BB306F"/>
    <w:rsid w:val="00BC00B0"/>
    <w:rsid w:val="00BD0FF5"/>
    <w:rsid w:val="00BD4B89"/>
    <w:rsid w:val="00BD5922"/>
    <w:rsid w:val="00BE25F0"/>
    <w:rsid w:val="00BF02CB"/>
    <w:rsid w:val="00BF4EF8"/>
    <w:rsid w:val="00BF6FD8"/>
    <w:rsid w:val="00C03680"/>
    <w:rsid w:val="00C054DF"/>
    <w:rsid w:val="00C145BE"/>
    <w:rsid w:val="00C21762"/>
    <w:rsid w:val="00C21FEF"/>
    <w:rsid w:val="00C23BA4"/>
    <w:rsid w:val="00C24543"/>
    <w:rsid w:val="00C256A2"/>
    <w:rsid w:val="00C25ADB"/>
    <w:rsid w:val="00C3587A"/>
    <w:rsid w:val="00C4674C"/>
    <w:rsid w:val="00C51515"/>
    <w:rsid w:val="00C5660B"/>
    <w:rsid w:val="00C60977"/>
    <w:rsid w:val="00C66B72"/>
    <w:rsid w:val="00C811EC"/>
    <w:rsid w:val="00C87AC4"/>
    <w:rsid w:val="00C9567A"/>
    <w:rsid w:val="00C96C05"/>
    <w:rsid w:val="00C9716B"/>
    <w:rsid w:val="00CA2E1F"/>
    <w:rsid w:val="00CA65CE"/>
    <w:rsid w:val="00CA7574"/>
    <w:rsid w:val="00CB212D"/>
    <w:rsid w:val="00CB2660"/>
    <w:rsid w:val="00CC3399"/>
    <w:rsid w:val="00CC5E90"/>
    <w:rsid w:val="00CD046C"/>
    <w:rsid w:val="00CD5D0D"/>
    <w:rsid w:val="00CE076C"/>
    <w:rsid w:val="00CE5199"/>
    <w:rsid w:val="00CE66D5"/>
    <w:rsid w:val="00CE7193"/>
    <w:rsid w:val="00CF637A"/>
    <w:rsid w:val="00D059DE"/>
    <w:rsid w:val="00D05ABD"/>
    <w:rsid w:val="00D13FCE"/>
    <w:rsid w:val="00D20354"/>
    <w:rsid w:val="00D306D1"/>
    <w:rsid w:val="00D30800"/>
    <w:rsid w:val="00D3135B"/>
    <w:rsid w:val="00D34786"/>
    <w:rsid w:val="00D374FF"/>
    <w:rsid w:val="00D37BFC"/>
    <w:rsid w:val="00D4293B"/>
    <w:rsid w:val="00D47A8E"/>
    <w:rsid w:val="00D52D14"/>
    <w:rsid w:val="00D712D3"/>
    <w:rsid w:val="00D71422"/>
    <w:rsid w:val="00D72DC6"/>
    <w:rsid w:val="00D7558D"/>
    <w:rsid w:val="00D81D92"/>
    <w:rsid w:val="00D82C2C"/>
    <w:rsid w:val="00D876F9"/>
    <w:rsid w:val="00D92448"/>
    <w:rsid w:val="00DA7B5F"/>
    <w:rsid w:val="00DB11FC"/>
    <w:rsid w:val="00DB1358"/>
    <w:rsid w:val="00DB1BE1"/>
    <w:rsid w:val="00DC11E7"/>
    <w:rsid w:val="00DC24E3"/>
    <w:rsid w:val="00DC7023"/>
    <w:rsid w:val="00DC769A"/>
    <w:rsid w:val="00DD1814"/>
    <w:rsid w:val="00DD373B"/>
    <w:rsid w:val="00DD3D86"/>
    <w:rsid w:val="00DD4AD2"/>
    <w:rsid w:val="00DE2862"/>
    <w:rsid w:val="00DE757D"/>
    <w:rsid w:val="00DF1EC4"/>
    <w:rsid w:val="00E01721"/>
    <w:rsid w:val="00E0340B"/>
    <w:rsid w:val="00E03570"/>
    <w:rsid w:val="00E04A90"/>
    <w:rsid w:val="00E0551F"/>
    <w:rsid w:val="00E15A22"/>
    <w:rsid w:val="00E20B30"/>
    <w:rsid w:val="00E219C7"/>
    <w:rsid w:val="00E254F3"/>
    <w:rsid w:val="00E31749"/>
    <w:rsid w:val="00E4118C"/>
    <w:rsid w:val="00E43157"/>
    <w:rsid w:val="00E461CE"/>
    <w:rsid w:val="00E4729B"/>
    <w:rsid w:val="00E57162"/>
    <w:rsid w:val="00E573E4"/>
    <w:rsid w:val="00E57B36"/>
    <w:rsid w:val="00E60F04"/>
    <w:rsid w:val="00E64C3D"/>
    <w:rsid w:val="00E66E39"/>
    <w:rsid w:val="00E720CA"/>
    <w:rsid w:val="00E72831"/>
    <w:rsid w:val="00E84EB5"/>
    <w:rsid w:val="00E85662"/>
    <w:rsid w:val="00E86FE9"/>
    <w:rsid w:val="00E8789F"/>
    <w:rsid w:val="00E97B71"/>
    <w:rsid w:val="00EA3D34"/>
    <w:rsid w:val="00EB37B2"/>
    <w:rsid w:val="00EB454D"/>
    <w:rsid w:val="00EC57A4"/>
    <w:rsid w:val="00ED181F"/>
    <w:rsid w:val="00ED549D"/>
    <w:rsid w:val="00ED5E10"/>
    <w:rsid w:val="00ED76BE"/>
    <w:rsid w:val="00EE00E9"/>
    <w:rsid w:val="00EE0CC5"/>
    <w:rsid w:val="00EE160C"/>
    <w:rsid w:val="00EE1CDD"/>
    <w:rsid w:val="00EF1AAA"/>
    <w:rsid w:val="00EF2AE0"/>
    <w:rsid w:val="00EF619B"/>
    <w:rsid w:val="00F00B55"/>
    <w:rsid w:val="00F02AD1"/>
    <w:rsid w:val="00F253CC"/>
    <w:rsid w:val="00F26AC6"/>
    <w:rsid w:val="00F274E1"/>
    <w:rsid w:val="00F27BD6"/>
    <w:rsid w:val="00F3244A"/>
    <w:rsid w:val="00F3329F"/>
    <w:rsid w:val="00F37106"/>
    <w:rsid w:val="00F415D4"/>
    <w:rsid w:val="00F44E25"/>
    <w:rsid w:val="00F4639C"/>
    <w:rsid w:val="00F50EFE"/>
    <w:rsid w:val="00F50FD1"/>
    <w:rsid w:val="00F519CF"/>
    <w:rsid w:val="00F53FCA"/>
    <w:rsid w:val="00F56BA5"/>
    <w:rsid w:val="00F56ECB"/>
    <w:rsid w:val="00F56F8E"/>
    <w:rsid w:val="00F60E22"/>
    <w:rsid w:val="00F738F9"/>
    <w:rsid w:val="00F81395"/>
    <w:rsid w:val="00F81BB8"/>
    <w:rsid w:val="00F821C1"/>
    <w:rsid w:val="00F90C64"/>
    <w:rsid w:val="00F91378"/>
    <w:rsid w:val="00F917D1"/>
    <w:rsid w:val="00F91EF0"/>
    <w:rsid w:val="00F956C4"/>
    <w:rsid w:val="00F9653B"/>
    <w:rsid w:val="00FA18A5"/>
    <w:rsid w:val="00FB62CF"/>
    <w:rsid w:val="00FC1D5D"/>
    <w:rsid w:val="00FD3699"/>
    <w:rsid w:val="00FD3C3B"/>
    <w:rsid w:val="00FD3CF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C0CD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2A79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2A7925"/>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2A7925"/>
    <w:rPr>
      <w:rFonts w:asciiTheme="majorHAnsi" w:hAnsiTheme="majorHAnsi"/>
      <w:color w:val="000000" w:themeColor="text1"/>
      <w:lang w:val="es-VE" w:eastAsia="en-US"/>
    </w:rPr>
  </w:style>
  <w:style w:type="paragraph" w:customStyle="1" w:styleId="paragraph">
    <w:name w:val="paragraph"/>
    <w:basedOn w:val="Normal"/>
    <w:rsid w:val="00A14C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14C1B"/>
  </w:style>
  <w:style w:type="character" w:customStyle="1" w:styleId="eop">
    <w:name w:val="eop"/>
    <w:basedOn w:val="DefaultParagraphFont"/>
    <w:rsid w:val="00A14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36C9"/>
    <w:rsid w:val="00185573"/>
    <w:rsid w:val="001A4AE5"/>
    <w:rsid w:val="00200821"/>
    <w:rsid w:val="0025245B"/>
    <w:rsid w:val="002A3923"/>
    <w:rsid w:val="00323DD5"/>
    <w:rsid w:val="00394049"/>
    <w:rsid w:val="003B0C71"/>
    <w:rsid w:val="003E2DD8"/>
    <w:rsid w:val="004B5BBB"/>
    <w:rsid w:val="004F2DF8"/>
    <w:rsid w:val="00517E2A"/>
    <w:rsid w:val="006D3128"/>
    <w:rsid w:val="006F24A1"/>
    <w:rsid w:val="00875B8A"/>
    <w:rsid w:val="008953BC"/>
    <w:rsid w:val="009A261B"/>
    <w:rsid w:val="009E4EBF"/>
    <w:rsid w:val="00AA2E17"/>
    <w:rsid w:val="00AC15A4"/>
    <w:rsid w:val="00B0336C"/>
    <w:rsid w:val="00CD56F9"/>
    <w:rsid w:val="00D241E9"/>
    <w:rsid w:val="00D374FF"/>
    <w:rsid w:val="00D7750D"/>
    <w:rsid w:val="00F00D2F"/>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2685</Words>
  <Characters>15310</Characters>
  <Application>Microsoft Office Word</Application>
  <DocSecurity>0</DocSecurity>
  <Lines>127</Lines>
  <Paragraphs>35</Paragraphs>
  <ScaleCrop>false</ScaleCrop>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