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A0EE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7E8F066F">
                <wp:simplePos x="0" y="0"/>
                <wp:positionH relativeFrom="column">
                  <wp:posOffset>1348965</wp:posOffset>
                </wp:positionH>
                <wp:positionV relativeFrom="paragraph">
                  <wp:posOffset>107051</wp:posOffset>
                </wp:positionV>
                <wp:extent cx="455389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5389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5D3A6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63D32">
                              <w:rPr>
                                <w:rFonts w:asciiTheme="majorHAnsi" w:hAnsiTheme="majorHAnsi" w:cs="Arial"/>
                                <w:b/>
                                <w:bCs/>
                                <w:color w:val="0D0D0D" w:themeColor="text1" w:themeTint="F2"/>
                                <w:sz w:val="36"/>
                                <w:szCs w:val="22"/>
                                <w:lang w:val="es-ES_tradnl"/>
                              </w:rPr>
                              <w:t>58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2312BE">
                              <w:rPr>
                                <w:rFonts w:asciiTheme="majorHAnsi" w:hAnsiTheme="majorHAnsi" w:cs="Arial"/>
                                <w:b/>
                                <w:bCs/>
                                <w:color w:val="0D0D0D" w:themeColor="text1" w:themeTint="F2"/>
                                <w:sz w:val="36"/>
                                <w:szCs w:val="22"/>
                                <w:lang w:val="es-ES_tradnl"/>
                              </w:rPr>
                              <w:t>4</w:t>
                            </w:r>
                          </w:p>
                          <w:p w14:paraId="45F30ECA" w14:textId="5C9751D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12BE">
                              <w:rPr>
                                <w:rFonts w:asciiTheme="majorHAnsi" w:hAnsiTheme="majorHAnsi" w:cs="Arial"/>
                                <w:b/>
                                <w:color w:val="0D0D0D" w:themeColor="text1" w:themeTint="F2"/>
                                <w:sz w:val="36"/>
                                <w:szCs w:val="22"/>
                                <w:lang w:val="es-ES_tradnl"/>
                              </w:rPr>
                              <w:t>215</w:t>
                            </w:r>
                            <w:r w:rsidR="001D21C7">
                              <w:rPr>
                                <w:rFonts w:asciiTheme="majorHAnsi" w:hAnsiTheme="majorHAnsi" w:cs="Arial"/>
                                <w:b/>
                                <w:color w:val="0D0D0D" w:themeColor="text1" w:themeTint="F2"/>
                                <w:sz w:val="36"/>
                                <w:szCs w:val="22"/>
                                <w:lang w:val="es-ES_tradnl"/>
                              </w:rPr>
                              <w:t>-1</w:t>
                            </w:r>
                            <w:r w:rsidR="002312BE">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EC6E275" w14:textId="7BF05468" w:rsidR="002312BE" w:rsidRDefault="002312BE" w:rsidP="007A5817">
                            <w:pPr>
                              <w:rPr>
                                <w:rFonts w:asciiTheme="majorHAnsi" w:hAnsiTheme="majorHAnsi" w:cs="Arial"/>
                                <w:color w:val="0D0D0D" w:themeColor="text1" w:themeTint="F2"/>
                                <w:szCs w:val="22"/>
                                <w:lang w:val="es-ES_tradnl"/>
                              </w:rPr>
                            </w:pPr>
                            <w:r w:rsidRPr="002312BE">
                              <w:rPr>
                                <w:rFonts w:asciiTheme="majorHAnsi" w:hAnsiTheme="majorHAnsi" w:cs="Arial"/>
                                <w:color w:val="0D0D0D" w:themeColor="text1" w:themeTint="F2"/>
                                <w:szCs w:val="22"/>
                                <w:lang w:val="es-ES_tradnl"/>
                              </w:rPr>
                              <w:t>EDIMER BUSTOS</w:t>
                            </w:r>
                            <w:r w:rsidR="0039288F">
                              <w:rPr>
                                <w:rFonts w:asciiTheme="majorHAnsi" w:hAnsiTheme="majorHAnsi" w:cs="Arial"/>
                                <w:color w:val="0D0D0D" w:themeColor="text1" w:themeTint="F2"/>
                                <w:szCs w:val="22"/>
                                <w:lang w:val="es-ES_tradnl"/>
                              </w:rPr>
                              <w:t>,</w:t>
                            </w:r>
                            <w:r w:rsidRPr="002312BE">
                              <w:rPr>
                                <w:rFonts w:asciiTheme="majorHAnsi" w:hAnsiTheme="majorHAnsi" w:cs="Arial"/>
                                <w:color w:val="0D0D0D" w:themeColor="text1" w:themeTint="F2"/>
                                <w:szCs w:val="22"/>
                                <w:lang w:val="es-ES_tradnl"/>
                              </w:rPr>
                              <w:t xml:space="preserve"> LUIS ALFONSO JIMÉNEZ BENITO</w:t>
                            </w:r>
                            <w:r w:rsidR="0039288F">
                              <w:rPr>
                                <w:rFonts w:asciiTheme="majorHAnsi" w:hAnsiTheme="majorHAnsi" w:cs="Arial"/>
                                <w:color w:val="0D0D0D" w:themeColor="text1" w:themeTint="F2"/>
                                <w:szCs w:val="22"/>
                                <w:lang w:val="es-ES_tradnl"/>
                              </w:rPr>
                              <w:t xml:space="preserve"> Y FAMILIARES</w:t>
                            </w:r>
                          </w:p>
                          <w:p w14:paraId="0B9F7D22" w14:textId="4A25FF7B"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2pt;margin-top:8.45pt;width:358.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" filled="f" stroked="f" strokeweight=".5pt">
                <v:textbox>
                  <w:txbxContent>
                    <w:p w14:paraId="7D7328D9" w14:textId="025D3A6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63D32">
                        <w:rPr>
                          <w:rFonts w:asciiTheme="majorHAnsi" w:hAnsiTheme="majorHAnsi" w:cs="Arial"/>
                          <w:b/>
                          <w:bCs/>
                          <w:color w:val="0D0D0D" w:themeColor="text1" w:themeTint="F2"/>
                          <w:sz w:val="36"/>
                          <w:szCs w:val="22"/>
                          <w:lang w:val="es-ES_tradnl"/>
                        </w:rPr>
                        <w:t>58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2312BE">
                        <w:rPr>
                          <w:rFonts w:asciiTheme="majorHAnsi" w:hAnsiTheme="majorHAnsi" w:cs="Arial"/>
                          <w:b/>
                          <w:bCs/>
                          <w:color w:val="0D0D0D" w:themeColor="text1" w:themeTint="F2"/>
                          <w:sz w:val="36"/>
                          <w:szCs w:val="22"/>
                          <w:lang w:val="es-ES_tradnl"/>
                        </w:rPr>
                        <w:t>4</w:t>
                      </w:r>
                    </w:p>
                    <w:p w14:paraId="45F30ECA" w14:textId="5C9751D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12BE">
                        <w:rPr>
                          <w:rFonts w:asciiTheme="majorHAnsi" w:hAnsiTheme="majorHAnsi" w:cs="Arial"/>
                          <w:b/>
                          <w:color w:val="0D0D0D" w:themeColor="text1" w:themeTint="F2"/>
                          <w:sz w:val="36"/>
                          <w:szCs w:val="22"/>
                          <w:lang w:val="es-ES_tradnl"/>
                        </w:rPr>
                        <w:t>215</w:t>
                      </w:r>
                      <w:r w:rsidR="001D21C7">
                        <w:rPr>
                          <w:rFonts w:asciiTheme="majorHAnsi" w:hAnsiTheme="majorHAnsi" w:cs="Arial"/>
                          <w:b/>
                          <w:color w:val="0D0D0D" w:themeColor="text1" w:themeTint="F2"/>
                          <w:sz w:val="36"/>
                          <w:szCs w:val="22"/>
                          <w:lang w:val="es-ES_tradnl"/>
                        </w:rPr>
                        <w:t>-1</w:t>
                      </w:r>
                      <w:r w:rsidR="002312BE">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EC6E275" w14:textId="7BF05468" w:rsidR="002312BE" w:rsidRDefault="002312BE" w:rsidP="007A5817">
                      <w:pPr>
                        <w:rPr>
                          <w:rFonts w:asciiTheme="majorHAnsi" w:hAnsiTheme="majorHAnsi" w:cs="Arial"/>
                          <w:color w:val="0D0D0D" w:themeColor="text1" w:themeTint="F2"/>
                          <w:szCs w:val="22"/>
                          <w:lang w:val="es-ES_tradnl"/>
                        </w:rPr>
                      </w:pPr>
                      <w:r w:rsidRPr="002312BE">
                        <w:rPr>
                          <w:rFonts w:asciiTheme="majorHAnsi" w:hAnsiTheme="majorHAnsi" w:cs="Arial"/>
                          <w:color w:val="0D0D0D" w:themeColor="text1" w:themeTint="F2"/>
                          <w:szCs w:val="22"/>
                          <w:lang w:val="es-ES_tradnl"/>
                        </w:rPr>
                        <w:t>EDIMER BUSTOS</w:t>
                      </w:r>
                      <w:r w:rsidR="0039288F">
                        <w:rPr>
                          <w:rFonts w:asciiTheme="majorHAnsi" w:hAnsiTheme="majorHAnsi" w:cs="Arial"/>
                          <w:color w:val="0D0D0D" w:themeColor="text1" w:themeTint="F2"/>
                          <w:szCs w:val="22"/>
                          <w:lang w:val="es-ES_tradnl"/>
                        </w:rPr>
                        <w:t>,</w:t>
                      </w:r>
                      <w:r w:rsidRPr="002312BE">
                        <w:rPr>
                          <w:rFonts w:asciiTheme="majorHAnsi" w:hAnsiTheme="majorHAnsi" w:cs="Arial"/>
                          <w:color w:val="0D0D0D" w:themeColor="text1" w:themeTint="F2"/>
                          <w:szCs w:val="22"/>
                          <w:lang w:val="es-ES_tradnl"/>
                        </w:rPr>
                        <w:t xml:space="preserve"> LUIS ALFONSO JIMÉNEZ BENITO</w:t>
                      </w:r>
                      <w:r w:rsidR="0039288F">
                        <w:rPr>
                          <w:rFonts w:asciiTheme="majorHAnsi" w:hAnsiTheme="majorHAnsi" w:cs="Arial"/>
                          <w:color w:val="0D0D0D" w:themeColor="text1" w:themeTint="F2"/>
                          <w:szCs w:val="22"/>
                          <w:lang w:val="es-ES_tradnl"/>
                        </w:rPr>
                        <w:t xml:space="preserve"> Y FAMILIARES</w:t>
                      </w:r>
                    </w:p>
                    <w:p w14:paraId="0B9F7D22" w14:textId="4A25FF7B"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66CD6CE" w:rsidR="00627C9F" w:rsidRPr="00725F6B" w:rsidRDefault="00834D49" w:rsidP="007A5817">
                            <w:pPr>
                              <w:spacing w:line="276" w:lineRule="auto"/>
                              <w:jc w:val="right"/>
                              <w:rPr>
                                <w:rFonts w:asciiTheme="minorHAnsi" w:hAnsiTheme="minorHAnsi"/>
                                <w:color w:val="FFFFFF" w:themeColor="background1"/>
                                <w:sz w:val="22"/>
                                <w:lang w:val="es-ES"/>
                              </w:rPr>
                            </w:pPr>
                            <w:r w:rsidRPr="00725F6B">
                              <w:rPr>
                                <w:rFonts w:asciiTheme="minorHAnsi" w:hAnsiTheme="minorHAnsi"/>
                                <w:color w:val="FFFFFF" w:themeColor="background1"/>
                                <w:sz w:val="22"/>
                                <w:lang w:val="es-ES"/>
                              </w:rPr>
                              <w:t>OEA/Ser.L/V/II</w:t>
                            </w:r>
                          </w:p>
                          <w:p w14:paraId="71D2D5D2" w14:textId="6E4916FC" w:rsidR="00627C9F" w:rsidRPr="00725F6B" w:rsidRDefault="00627C9F" w:rsidP="007A5817">
                            <w:pPr>
                              <w:spacing w:line="276" w:lineRule="auto"/>
                              <w:jc w:val="right"/>
                              <w:rPr>
                                <w:rFonts w:asciiTheme="minorHAnsi" w:hAnsiTheme="minorHAnsi"/>
                                <w:color w:val="FFFFFF" w:themeColor="background1"/>
                                <w:sz w:val="22"/>
                                <w:lang w:val="es-ES"/>
                              </w:rPr>
                            </w:pPr>
                            <w:r w:rsidRPr="00725F6B">
                              <w:rPr>
                                <w:rFonts w:asciiTheme="minorHAnsi" w:hAnsiTheme="minorHAnsi"/>
                                <w:color w:val="FFFFFF" w:themeColor="background1"/>
                                <w:sz w:val="22"/>
                                <w:lang w:val="es-ES"/>
                              </w:rPr>
                              <w:t xml:space="preserve">Doc. </w:t>
                            </w:r>
                            <w:r w:rsidR="00563D32" w:rsidRPr="00725F6B">
                              <w:rPr>
                                <w:rFonts w:asciiTheme="minorHAnsi" w:hAnsiTheme="minorHAnsi"/>
                                <w:color w:val="FFFFFF" w:themeColor="background1"/>
                                <w:sz w:val="22"/>
                                <w:lang w:val="es-ES"/>
                              </w:rPr>
                              <w:t>61</w:t>
                            </w:r>
                          </w:p>
                          <w:p w14:paraId="4061DBBD" w14:textId="136A0583" w:rsidR="00627C9F" w:rsidRPr="00C25ADB" w:rsidRDefault="00563D3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312BE">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66CD6CE" w:rsidR="00627C9F" w:rsidRPr="00725F6B" w:rsidRDefault="00834D49" w:rsidP="007A5817">
                      <w:pPr>
                        <w:spacing w:line="276" w:lineRule="auto"/>
                        <w:jc w:val="right"/>
                        <w:rPr>
                          <w:rFonts w:asciiTheme="minorHAnsi" w:hAnsiTheme="minorHAnsi"/>
                          <w:color w:val="FFFFFF" w:themeColor="background1"/>
                          <w:sz w:val="22"/>
                          <w:lang w:val="es-ES"/>
                        </w:rPr>
                      </w:pPr>
                      <w:r w:rsidRPr="00725F6B">
                        <w:rPr>
                          <w:rFonts w:asciiTheme="minorHAnsi" w:hAnsiTheme="minorHAnsi"/>
                          <w:color w:val="FFFFFF" w:themeColor="background1"/>
                          <w:sz w:val="22"/>
                          <w:lang w:val="es-ES"/>
                        </w:rPr>
                        <w:t>OEA/Ser.L/V/II</w:t>
                      </w:r>
                    </w:p>
                    <w:p w14:paraId="71D2D5D2" w14:textId="6E4916FC" w:rsidR="00627C9F" w:rsidRPr="00725F6B" w:rsidRDefault="00627C9F" w:rsidP="007A5817">
                      <w:pPr>
                        <w:spacing w:line="276" w:lineRule="auto"/>
                        <w:jc w:val="right"/>
                        <w:rPr>
                          <w:rFonts w:asciiTheme="minorHAnsi" w:hAnsiTheme="minorHAnsi"/>
                          <w:color w:val="FFFFFF" w:themeColor="background1"/>
                          <w:sz w:val="22"/>
                          <w:lang w:val="es-ES"/>
                        </w:rPr>
                      </w:pPr>
                      <w:r w:rsidRPr="00725F6B">
                        <w:rPr>
                          <w:rFonts w:asciiTheme="minorHAnsi" w:hAnsiTheme="minorHAnsi"/>
                          <w:color w:val="FFFFFF" w:themeColor="background1"/>
                          <w:sz w:val="22"/>
                          <w:lang w:val="es-ES"/>
                        </w:rPr>
                        <w:t xml:space="preserve">Doc. </w:t>
                      </w:r>
                      <w:r w:rsidR="00563D32" w:rsidRPr="00725F6B">
                        <w:rPr>
                          <w:rFonts w:asciiTheme="minorHAnsi" w:hAnsiTheme="minorHAnsi"/>
                          <w:color w:val="FFFFFF" w:themeColor="background1"/>
                          <w:sz w:val="22"/>
                          <w:lang w:val="es-ES"/>
                        </w:rPr>
                        <w:t>61</w:t>
                      </w:r>
                    </w:p>
                    <w:p w14:paraId="4061DBBD" w14:textId="136A0583" w:rsidR="00627C9F" w:rsidRPr="00C25ADB" w:rsidRDefault="00563D3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312BE">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2E26F8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63D32">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563D32">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312BE">
                              <w:rPr>
                                <w:rFonts w:asciiTheme="majorHAnsi" w:hAnsiTheme="majorHAnsi"/>
                                <w:color w:val="0D0D0D" w:themeColor="text1" w:themeTint="F2"/>
                                <w:sz w:val="18"/>
                                <w:szCs w:val="22"/>
                                <w:lang w:val="es-ES"/>
                              </w:rPr>
                              <w:t>4</w:t>
                            </w:r>
                            <w:r w:rsidR="00563D3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2E26F8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63D32">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563D32">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312BE">
                        <w:rPr>
                          <w:rFonts w:asciiTheme="majorHAnsi" w:hAnsiTheme="majorHAnsi"/>
                          <w:color w:val="0D0D0D" w:themeColor="text1" w:themeTint="F2"/>
                          <w:sz w:val="18"/>
                          <w:szCs w:val="22"/>
                          <w:lang w:val="es-ES"/>
                        </w:rPr>
                        <w:t>4</w:t>
                      </w:r>
                      <w:r w:rsidR="00563D3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CB8D1A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3D32" w:rsidRPr="00563D32">
                              <w:rPr>
                                <w:rFonts w:asciiTheme="majorHAnsi" w:hAnsiTheme="majorHAnsi"/>
                                <w:color w:val="595959" w:themeColor="text1" w:themeTint="A6"/>
                                <w:sz w:val="18"/>
                                <w:szCs w:val="18"/>
                                <w:lang w:val="pt-BR"/>
                              </w:rPr>
                              <w:t>58</w:t>
                            </w:r>
                            <w:r w:rsidR="007B05C4" w:rsidRPr="00563D32">
                              <w:rPr>
                                <w:rFonts w:asciiTheme="majorHAnsi" w:hAnsiTheme="majorHAnsi"/>
                                <w:color w:val="595959" w:themeColor="text1" w:themeTint="A6"/>
                                <w:sz w:val="18"/>
                                <w:szCs w:val="18"/>
                                <w:lang w:val="pt-BR"/>
                              </w:rPr>
                              <w:t>/</w:t>
                            </w:r>
                            <w:r w:rsidR="00563D32" w:rsidRPr="00563D32">
                              <w:rPr>
                                <w:rFonts w:asciiTheme="majorHAnsi" w:hAnsiTheme="majorHAnsi"/>
                                <w:color w:val="595959" w:themeColor="text1" w:themeTint="A6"/>
                                <w:sz w:val="18"/>
                                <w:szCs w:val="18"/>
                                <w:lang w:val="pt-BR"/>
                              </w:rPr>
                              <w:t>24</w:t>
                            </w:r>
                            <w:r w:rsidRPr="00563D3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312BE">
                              <w:rPr>
                                <w:rFonts w:asciiTheme="majorHAnsi" w:hAnsiTheme="majorHAnsi"/>
                                <w:color w:val="595959" w:themeColor="text1" w:themeTint="A6"/>
                                <w:sz w:val="18"/>
                                <w:szCs w:val="18"/>
                                <w:lang w:val="es-ES"/>
                              </w:rPr>
                              <w:t>215-14</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2312BE">
                              <w:rPr>
                                <w:rFonts w:asciiTheme="majorHAnsi" w:hAnsiTheme="majorHAnsi"/>
                                <w:color w:val="595959" w:themeColor="text1" w:themeTint="A6"/>
                                <w:sz w:val="18"/>
                                <w:szCs w:val="18"/>
                                <w:lang w:val="es-ES_tradnl"/>
                              </w:rPr>
                              <w:t>Edimer Bustos</w:t>
                            </w:r>
                            <w:r w:rsidR="0039288F">
                              <w:rPr>
                                <w:rFonts w:asciiTheme="majorHAnsi" w:hAnsiTheme="majorHAnsi"/>
                                <w:color w:val="595959" w:themeColor="text1" w:themeTint="A6"/>
                                <w:sz w:val="18"/>
                                <w:szCs w:val="18"/>
                                <w:lang w:val="es-ES_tradnl"/>
                              </w:rPr>
                              <w:t xml:space="preserve">, </w:t>
                            </w:r>
                            <w:r w:rsidR="002312BE">
                              <w:rPr>
                                <w:rFonts w:asciiTheme="majorHAnsi" w:hAnsiTheme="majorHAnsi"/>
                                <w:color w:val="595959" w:themeColor="text1" w:themeTint="A6"/>
                                <w:sz w:val="18"/>
                                <w:szCs w:val="18"/>
                                <w:lang w:val="es-ES_tradnl"/>
                              </w:rPr>
                              <w:t>Luis Alfonso Jiménez Benito</w:t>
                            </w:r>
                            <w:r w:rsidR="0039288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63D32">
                              <w:rPr>
                                <w:rFonts w:asciiTheme="majorHAnsi" w:hAnsiTheme="majorHAnsi"/>
                                <w:color w:val="595959" w:themeColor="text1" w:themeTint="A6"/>
                                <w:sz w:val="18"/>
                                <w:szCs w:val="18"/>
                                <w:lang w:val="es-ES"/>
                              </w:rPr>
                              <w:t>21 de mayo de 2024</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CB8D1A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3D32" w:rsidRPr="00563D32">
                        <w:rPr>
                          <w:rFonts w:asciiTheme="majorHAnsi" w:hAnsiTheme="majorHAnsi"/>
                          <w:color w:val="595959" w:themeColor="text1" w:themeTint="A6"/>
                          <w:sz w:val="18"/>
                          <w:szCs w:val="18"/>
                          <w:lang w:val="pt-BR"/>
                        </w:rPr>
                        <w:t>58</w:t>
                      </w:r>
                      <w:r w:rsidR="007B05C4" w:rsidRPr="00563D32">
                        <w:rPr>
                          <w:rFonts w:asciiTheme="majorHAnsi" w:hAnsiTheme="majorHAnsi"/>
                          <w:color w:val="595959" w:themeColor="text1" w:themeTint="A6"/>
                          <w:sz w:val="18"/>
                          <w:szCs w:val="18"/>
                          <w:lang w:val="pt-BR"/>
                        </w:rPr>
                        <w:t>/</w:t>
                      </w:r>
                      <w:r w:rsidR="00563D32" w:rsidRPr="00563D32">
                        <w:rPr>
                          <w:rFonts w:asciiTheme="majorHAnsi" w:hAnsiTheme="majorHAnsi"/>
                          <w:color w:val="595959" w:themeColor="text1" w:themeTint="A6"/>
                          <w:sz w:val="18"/>
                          <w:szCs w:val="18"/>
                          <w:lang w:val="pt-BR"/>
                        </w:rPr>
                        <w:t>24</w:t>
                      </w:r>
                      <w:r w:rsidRPr="00563D3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312BE">
                        <w:rPr>
                          <w:rFonts w:asciiTheme="majorHAnsi" w:hAnsiTheme="majorHAnsi"/>
                          <w:color w:val="595959" w:themeColor="text1" w:themeTint="A6"/>
                          <w:sz w:val="18"/>
                          <w:szCs w:val="18"/>
                          <w:lang w:val="es-ES"/>
                        </w:rPr>
                        <w:t>215-14</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2312BE">
                        <w:rPr>
                          <w:rFonts w:asciiTheme="majorHAnsi" w:hAnsiTheme="majorHAnsi"/>
                          <w:color w:val="595959" w:themeColor="text1" w:themeTint="A6"/>
                          <w:sz w:val="18"/>
                          <w:szCs w:val="18"/>
                          <w:lang w:val="es-ES_tradnl"/>
                        </w:rPr>
                        <w:t>Edimer Bustos</w:t>
                      </w:r>
                      <w:r w:rsidR="0039288F">
                        <w:rPr>
                          <w:rFonts w:asciiTheme="majorHAnsi" w:hAnsiTheme="majorHAnsi"/>
                          <w:color w:val="595959" w:themeColor="text1" w:themeTint="A6"/>
                          <w:sz w:val="18"/>
                          <w:szCs w:val="18"/>
                          <w:lang w:val="es-ES_tradnl"/>
                        </w:rPr>
                        <w:t xml:space="preserve">, </w:t>
                      </w:r>
                      <w:r w:rsidR="002312BE">
                        <w:rPr>
                          <w:rFonts w:asciiTheme="majorHAnsi" w:hAnsiTheme="majorHAnsi"/>
                          <w:color w:val="595959" w:themeColor="text1" w:themeTint="A6"/>
                          <w:sz w:val="18"/>
                          <w:szCs w:val="18"/>
                          <w:lang w:val="es-ES_tradnl"/>
                        </w:rPr>
                        <w:t>Luis Alfonso Jiménez Benito</w:t>
                      </w:r>
                      <w:r w:rsidR="0039288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63D32">
                        <w:rPr>
                          <w:rFonts w:asciiTheme="majorHAnsi" w:hAnsiTheme="majorHAnsi"/>
                          <w:color w:val="595959" w:themeColor="text1" w:themeTint="A6"/>
                          <w:sz w:val="18"/>
                          <w:szCs w:val="18"/>
                          <w:lang w:val="es-ES"/>
                        </w:rPr>
                        <w:t>21 de mayo de 2024</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1C560905"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6CE51CE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BA4D0A5" w:rsidR="0070697F" w:rsidRPr="0011075B" w:rsidRDefault="008E6E52" w:rsidP="005516A1">
      <w:pPr>
        <w:tabs>
          <w:tab w:val="center" w:pos="5400"/>
        </w:tabs>
        <w:suppressAutoHyphens/>
        <w:jc w:val="center"/>
        <w:rPr>
          <w:rFonts w:asciiTheme="majorHAnsi" w:hAnsiTheme="majorHAnsi"/>
          <w:b/>
          <w:sz w:val="20"/>
          <w:lang w:val="es-419"/>
        </w:rPr>
        <w:sectPr w:rsidR="0070697F" w:rsidRPr="0011075B" w:rsidSect="006074A4">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029C0F94">
                <wp:simplePos x="0" y="0"/>
                <wp:positionH relativeFrom="column">
                  <wp:posOffset>1282065</wp:posOffset>
                </wp:positionH>
                <wp:positionV relativeFrom="paragraph">
                  <wp:posOffset>542290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38E27AC" w:rsidR="00D72DC6" w:rsidRPr="00D72DC6" w:rsidRDefault="008E6E52" w:rsidP="00F02AD1">
                            <w:pPr>
                              <w:rPr>
                                <w:color w:val="FFFFFF" w:themeColor="background1"/>
                                <w14:textFill>
                                  <w14:noFill/>
                                </w14:textFill>
                              </w:rPr>
                            </w:pPr>
                            <w:r>
                              <w:rPr>
                                <w:noProof/>
                                <w:color w:val="FFFFFF" w:themeColor="background1"/>
                              </w:rPr>
                              <w:drawing>
                                <wp:inline distT="0" distB="0" distL="0" distR="0" wp14:anchorId="7F949E96" wp14:editId="0394EE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0.95pt;margin-top:42.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2I6PseEA&#10;AAAKAQAADwAAAAAAAAAAAAAAAADUBAAAZHJzL2Rvd25yZXYueG1sUEsFBgAAAAAEAAQA8wAAAOIF&#10;AAAAAA==&#10;" fillcolor="white [3201]" stroked="f" strokeweight=".5pt">
                <v:textbox>
                  <w:txbxContent>
                    <w:p w14:paraId="16E85441" w14:textId="038E27AC" w:rsidR="00D72DC6" w:rsidRPr="00D72DC6" w:rsidRDefault="008E6E52" w:rsidP="00F02AD1">
                      <w:pPr>
                        <w:rPr>
                          <w:color w:val="FFFFFF" w:themeColor="background1"/>
                          <w14:textFill>
                            <w14:noFill/>
                          </w14:textFill>
                        </w:rPr>
                      </w:pPr>
                      <w:r>
                        <w:rPr>
                          <w:noProof/>
                          <w:color w:val="FFFFFF" w:themeColor="background1"/>
                        </w:rPr>
                        <w:drawing>
                          <wp:inline distT="0" distB="0" distL="0" distR="0" wp14:anchorId="7F949E96" wp14:editId="0394EE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026130F3" w:rsidR="003239B8" w:rsidRPr="005403A2" w:rsidRDefault="002312BE" w:rsidP="008D2290">
            <w:pPr>
              <w:jc w:val="both"/>
              <w:rPr>
                <w:rFonts w:ascii="Cambria" w:hAnsi="Cambria"/>
                <w:bCs/>
                <w:sz w:val="20"/>
                <w:szCs w:val="20"/>
                <w:lang w:val="es-419"/>
              </w:rPr>
            </w:pPr>
            <w:r w:rsidRPr="002312BE">
              <w:rPr>
                <w:rFonts w:ascii="Cambria" w:hAnsi="Cambria"/>
                <w:bCs/>
                <w:sz w:val="20"/>
                <w:szCs w:val="20"/>
                <w:lang w:val="es-419"/>
              </w:rPr>
              <w:t>Walter Raúl Mejía Cardona</w:t>
            </w:r>
          </w:p>
        </w:tc>
      </w:tr>
      <w:tr w:rsidR="003239B8" w:rsidRPr="00C555B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1B5F0D"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14A8C6C9" w:rsidR="001D21C7" w:rsidRPr="002312BE" w:rsidRDefault="002312BE" w:rsidP="00FC6219">
            <w:pPr>
              <w:jc w:val="both"/>
              <w:rPr>
                <w:rFonts w:ascii="Cambria" w:hAnsi="Cambria"/>
                <w:bCs/>
                <w:sz w:val="20"/>
                <w:szCs w:val="20"/>
                <w:lang w:val="es-ES"/>
              </w:rPr>
            </w:pPr>
            <w:r w:rsidRPr="002312BE">
              <w:rPr>
                <w:rFonts w:ascii="Cambria" w:hAnsi="Cambria"/>
                <w:bCs/>
                <w:sz w:val="20"/>
                <w:szCs w:val="20"/>
                <w:lang w:val="es-419"/>
              </w:rPr>
              <w:t>Edimer Bustos</w:t>
            </w:r>
            <w:r w:rsidR="0039288F">
              <w:rPr>
                <w:rFonts w:ascii="Cambria" w:hAnsi="Cambria"/>
                <w:bCs/>
                <w:sz w:val="20"/>
                <w:szCs w:val="20"/>
                <w:lang w:val="es-419"/>
              </w:rPr>
              <w:t>,</w:t>
            </w:r>
            <w:r w:rsidRPr="002312BE">
              <w:rPr>
                <w:rFonts w:ascii="Cambria" w:hAnsi="Cambria"/>
                <w:bCs/>
                <w:sz w:val="20"/>
                <w:szCs w:val="20"/>
                <w:lang w:val="es-419"/>
              </w:rPr>
              <w:t xml:space="preserve"> Luis Alfonso Jiménez Benito</w:t>
            </w:r>
            <w:r w:rsidR="0039288F">
              <w:rPr>
                <w:rFonts w:ascii="Cambria" w:hAnsi="Cambria"/>
                <w:bCs/>
                <w:sz w:val="20"/>
                <w:szCs w:val="20"/>
                <w:lang w:val="es-419"/>
              </w:rPr>
              <w:t xml:space="preserve"> y familiares</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2"/>
            </w:r>
          </w:p>
        </w:tc>
      </w:tr>
      <w:tr w:rsidR="00223A29" w:rsidRPr="00C555B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6AF9DFC1" w:rsidR="00223A29" w:rsidRPr="00A3329B" w:rsidRDefault="002312BE" w:rsidP="002312BE">
            <w:pPr>
              <w:jc w:val="both"/>
              <w:rPr>
                <w:rFonts w:ascii="Cambria" w:hAnsi="Cambria"/>
                <w:bCs/>
                <w:sz w:val="20"/>
                <w:szCs w:val="20"/>
                <w:lang w:val="es-419"/>
              </w:rPr>
            </w:pPr>
            <w:r w:rsidRPr="0011075B">
              <w:rPr>
                <w:rFonts w:ascii="Cambria" w:hAnsi="Cambria"/>
                <w:bCs/>
                <w:sz w:val="20"/>
                <w:szCs w:val="20"/>
                <w:lang w:val="es-419" w:bidi="es-ES"/>
              </w:rPr>
              <w:t xml:space="preserve">Artículos </w:t>
            </w:r>
            <w:r w:rsidRPr="002312BE">
              <w:rPr>
                <w:rFonts w:ascii="Cambria" w:hAnsi="Cambria"/>
                <w:bCs/>
                <w:sz w:val="20"/>
                <w:szCs w:val="20"/>
                <w:lang w:val="es-419" w:bidi="es-ES"/>
              </w:rPr>
              <w:t>I (vida, libertad, seguridad e integridad de la persona), V (honra, reputación personal y vida privada y familiar), VI</w:t>
            </w:r>
            <w:r w:rsidR="00BC7B30">
              <w:rPr>
                <w:rFonts w:ascii="Cambria" w:hAnsi="Cambria"/>
                <w:bCs/>
                <w:sz w:val="20"/>
                <w:szCs w:val="20"/>
                <w:lang w:val="es-419" w:bidi="es-ES"/>
              </w:rPr>
              <w:t>I</w:t>
            </w:r>
            <w:r w:rsidRPr="002312BE">
              <w:rPr>
                <w:rFonts w:ascii="Cambria" w:hAnsi="Cambria"/>
                <w:bCs/>
                <w:sz w:val="20"/>
                <w:szCs w:val="20"/>
                <w:lang w:val="es-419" w:bidi="es-ES"/>
              </w:rPr>
              <w:t>I (residencia y tránsito)</w:t>
            </w:r>
            <w:r w:rsidR="00BC7B30">
              <w:rPr>
                <w:rFonts w:ascii="Cambria" w:hAnsi="Cambria"/>
                <w:bCs/>
                <w:sz w:val="20"/>
                <w:szCs w:val="20"/>
                <w:lang w:val="es-419" w:bidi="es-ES"/>
              </w:rPr>
              <w:t>,</w:t>
            </w:r>
            <w:r w:rsidRPr="002312BE">
              <w:rPr>
                <w:rFonts w:ascii="Cambria" w:hAnsi="Cambria"/>
                <w:bCs/>
                <w:sz w:val="20"/>
                <w:szCs w:val="20"/>
                <w:lang w:val="es-419" w:bidi="es-ES"/>
              </w:rPr>
              <w:t xml:space="preserve"> XI (salud y bienestar) y XVIII (justicia) de la Declaración Americana de los Derechos y Deberes del Hombre</w:t>
            </w:r>
            <w:r w:rsidRPr="0011075B">
              <w:rPr>
                <w:rFonts w:ascii="Cambria" w:hAnsi="Cambria"/>
                <w:bCs/>
                <w:sz w:val="20"/>
                <w:szCs w:val="20"/>
                <w:vertAlign w:val="superscript"/>
                <w:lang w:val="es-419" w:bidi="es-ES"/>
              </w:rPr>
              <w:footnoteReference w:id="3"/>
            </w:r>
            <w:r>
              <w:rPr>
                <w:rFonts w:ascii="Cambria" w:hAnsi="Cambria"/>
                <w:bCs/>
                <w:sz w:val="20"/>
                <w:szCs w:val="20"/>
                <w:lang w:val="es-419" w:bidi="es-ES"/>
              </w:rPr>
              <w:t>; a</w:t>
            </w:r>
            <w:r w:rsidR="00A34797" w:rsidRPr="0011075B">
              <w:rPr>
                <w:rFonts w:ascii="Cambria" w:hAnsi="Cambria"/>
                <w:bCs/>
                <w:sz w:val="20"/>
                <w:szCs w:val="20"/>
                <w:lang w:val="es-419" w:bidi="es-ES"/>
              </w:rPr>
              <w:t xml:space="preserve">rtículos </w:t>
            </w:r>
            <w:r w:rsidRPr="002312BE">
              <w:rPr>
                <w:rFonts w:ascii="Cambria" w:hAnsi="Cambria"/>
                <w:bCs/>
                <w:sz w:val="20"/>
                <w:szCs w:val="20"/>
                <w:lang w:val="es-419" w:bidi="es-ES"/>
              </w:rPr>
              <w:t>5 (integridad personal), 7 (libertad personal), 8 (garantías judiciales)</w:t>
            </w:r>
            <w:r>
              <w:rPr>
                <w:rFonts w:ascii="Cambria" w:hAnsi="Cambria"/>
                <w:bCs/>
                <w:sz w:val="20"/>
                <w:szCs w:val="20"/>
                <w:lang w:val="es-419" w:bidi="es-ES"/>
              </w:rPr>
              <w:t xml:space="preserve"> y</w:t>
            </w:r>
            <w:r w:rsidRPr="002312BE">
              <w:rPr>
                <w:rFonts w:ascii="Cambria" w:hAnsi="Cambria"/>
                <w:bCs/>
                <w:sz w:val="20"/>
                <w:szCs w:val="20"/>
                <w:lang w:val="es-419" w:bidi="es-ES"/>
              </w:rPr>
              <w:t xml:space="preserve"> 11 (protección de la honra y la dignidad)</w:t>
            </w:r>
            <w:r w:rsidR="00A34797" w:rsidRPr="005403A2">
              <w:rPr>
                <w:rFonts w:ascii="Cambria" w:hAnsi="Cambria"/>
                <w:bCs/>
                <w:sz w:val="20"/>
                <w:szCs w:val="20"/>
                <w:lang w:val="es-419" w:bidi="es-ES"/>
              </w:rPr>
              <w:t xml:space="preserve"> de la Convención Americana sobre Derechos</w:t>
            </w:r>
            <w:r w:rsidR="00A34797"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4"/>
            </w:r>
            <w:r>
              <w:rPr>
                <w:rFonts w:ascii="Cambria" w:hAnsi="Cambria"/>
                <w:bCs/>
                <w:sz w:val="20"/>
                <w:szCs w:val="20"/>
                <w:lang w:val="es-419" w:bidi="es-ES"/>
              </w:rPr>
              <w:t xml:space="preserve">; </w:t>
            </w:r>
            <w:r w:rsidRPr="002312BE">
              <w:rPr>
                <w:rFonts w:ascii="Cambria" w:hAnsi="Cambria"/>
                <w:bCs/>
                <w:sz w:val="20"/>
                <w:szCs w:val="20"/>
                <w:lang w:val="es-419" w:bidi="es-ES"/>
              </w:rPr>
              <w:t>artículo 14 del Pacto Internacional de Derechos Civiles y Políticos</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312BE"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2312BE" w:rsidRPr="0011075B" w:rsidRDefault="002312BE" w:rsidP="002312BE">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4B7AA64D" w:rsidR="002312BE" w:rsidRPr="0011075B" w:rsidRDefault="002312BE" w:rsidP="002312BE">
            <w:pPr>
              <w:jc w:val="both"/>
              <w:rPr>
                <w:rFonts w:ascii="Cambria" w:hAnsi="Cambria"/>
                <w:bCs/>
                <w:sz w:val="20"/>
                <w:szCs w:val="20"/>
                <w:lang w:val="es-419"/>
              </w:rPr>
            </w:pPr>
            <w:r w:rsidRPr="002312BE">
              <w:rPr>
                <w:rFonts w:ascii="Cambria" w:hAnsi="Cambria"/>
                <w:bCs/>
                <w:sz w:val="20"/>
                <w:szCs w:val="20"/>
                <w:lang w:val="es-419"/>
              </w:rPr>
              <w:t>19 de febrero de 2014</w:t>
            </w:r>
          </w:p>
        </w:tc>
      </w:tr>
      <w:tr w:rsidR="002312BE" w:rsidRPr="0011075B"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2312BE" w:rsidRPr="0011075B" w:rsidRDefault="002312BE" w:rsidP="002312BE">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18F0AEEF" w:rsidR="002312BE" w:rsidRPr="0011075B" w:rsidRDefault="002312BE" w:rsidP="002312BE">
            <w:pPr>
              <w:jc w:val="both"/>
              <w:rPr>
                <w:rFonts w:ascii="Cambria" w:hAnsi="Cambria"/>
                <w:bCs/>
                <w:sz w:val="20"/>
                <w:szCs w:val="20"/>
                <w:lang w:val="es-419"/>
              </w:rPr>
            </w:pPr>
            <w:r w:rsidRPr="002312BE">
              <w:rPr>
                <w:rFonts w:ascii="Cambria" w:hAnsi="Cambria"/>
                <w:bCs/>
                <w:sz w:val="20"/>
                <w:szCs w:val="20"/>
                <w:lang w:val="es-419"/>
              </w:rPr>
              <w:t>31 de enero de 2017</w:t>
            </w:r>
          </w:p>
        </w:tc>
      </w:tr>
      <w:tr w:rsidR="002312BE"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2312BE" w:rsidRPr="0011075B" w:rsidRDefault="002312BE" w:rsidP="002312BE">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107B7FF5" w:rsidR="002312BE" w:rsidRPr="0011075B" w:rsidRDefault="00361ACC" w:rsidP="002312BE">
            <w:pPr>
              <w:jc w:val="both"/>
              <w:rPr>
                <w:rFonts w:ascii="Cambria" w:hAnsi="Cambria"/>
                <w:bCs/>
                <w:sz w:val="20"/>
                <w:szCs w:val="20"/>
                <w:lang w:val="es-419"/>
              </w:rPr>
            </w:pPr>
            <w:r>
              <w:rPr>
                <w:rFonts w:ascii="Cambria" w:hAnsi="Cambria"/>
                <w:bCs/>
                <w:sz w:val="20"/>
                <w:szCs w:val="20"/>
                <w:lang w:val="es-419"/>
              </w:rPr>
              <w:t>30</w:t>
            </w:r>
            <w:r w:rsidR="002312BE" w:rsidRPr="002312BE">
              <w:rPr>
                <w:rFonts w:ascii="Cambria" w:hAnsi="Cambria"/>
                <w:bCs/>
                <w:sz w:val="20"/>
                <w:szCs w:val="20"/>
                <w:lang w:val="es-419"/>
              </w:rPr>
              <w:t xml:space="preserve"> de septiembre de 2019</w:t>
            </w:r>
          </w:p>
        </w:tc>
      </w:tr>
      <w:tr w:rsidR="002312BE"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2312BE" w:rsidRPr="0011075B" w:rsidRDefault="002312BE" w:rsidP="002312BE">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5708EF9C" w:rsidR="002312BE" w:rsidRPr="0011075B" w:rsidRDefault="002312BE" w:rsidP="002312BE">
            <w:pPr>
              <w:jc w:val="both"/>
              <w:rPr>
                <w:rFonts w:ascii="Cambria" w:hAnsi="Cambria"/>
                <w:bCs/>
                <w:sz w:val="20"/>
                <w:szCs w:val="20"/>
                <w:lang w:val="es-419"/>
              </w:rPr>
            </w:pPr>
            <w:r w:rsidRPr="002312BE">
              <w:rPr>
                <w:rFonts w:ascii="Cambria" w:hAnsi="Cambria"/>
                <w:bCs/>
                <w:sz w:val="20"/>
                <w:szCs w:val="20"/>
                <w:lang w:val="es-419"/>
              </w:rPr>
              <w:t>13 de julio de 2020</w:t>
            </w:r>
          </w:p>
        </w:tc>
      </w:tr>
      <w:tr w:rsidR="002312BE" w:rsidRPr="00C555B7"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2312BE" w:rsidRPr="0011075B" w:rsidRDefault="002312BE" w:rsidP="002312BE">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38BDA3C8" w:rsidR="002312BE" w:rsidRPr="002312BE" w:rsidRDefault="002312BE" w:rsidP="002312BE">
            <w:pPr>
              <w:jc w:val="both"/>
              <w:rPr>
                <w:rFonts w:ascii="Cambria" w:hAnsi="Cambria"/>
                <w:bCs/>
                <w:sz w:val="20"/>
                <w:szCs w:val="20"/>
                <w:lang w:val="es-ES"/>
              </w:rPr>
            </w:pPr>
            <w:r w:rsidRPr="002312BE">
              <w:rPr>
                <w:rFonts w:ascii="Cambria" w:hAnsi="Cambria"/>
                <w:bCs/>
                <w:sz w:val="20"/>
                <w:szCs w:val="20"/>
                <w:lang w:val="es-ES"/>
              </w:rPr>
              <w:t xml:space="preserve">23 de junio de 2020, 21 de julio de 2020, </w:t>
            </w:r>
            <w:r w:rsidR="00361ACC">
              <w:rPr>
                <w:rFonts w:ascii="Cambria" w:hAnsi="Cambria"/>
                <w:bCs/>
                <w:sz w:val="20"/>
                <w:szCs w:val="20"/>
                <w:lang w:val="es-ES"/>
              </w:rPr>
              <w:t xml:space="preserve">21 de septiembre de 2020, </w:t>
            </w:r>
            <w:r w:rsidRPr="002312BE">
              <w:rPr>
                <w:rFonts w:ascii="Cambria" w:hAnsi="Cambria"/>
                <w:bCs/>
                <w:sz w:val="20"/>
                <w:szCs w:val="20"/>
                <w:lang w:val="es-ES"/>
              </w:rPr>
              <w:t>15 de diciembre de 2021</w:t>
            </w:r>
          </w:p>
        </w:tc>
      </w:tr>
      <w:tr w:rsidR="002312BE" w:rsidRPr="002312BE" w14:paraId="5A57E2CA" w14:textId="77777777" w:rsidTr="004A6A54">
        <w:tc>
          <w:tcPr>
            <w:tcW w:w="3600" w:type="dxa"/>
            <w:tcBorders>
              <w:top w:val="single" w:sz="6" w:space="0" w:color="auto"/>
              <w:bottom w:val="single" w:sz="6" w:space="0" w:color="auto"/>
            </w:tcBorders>
            <w:shd w:val="clear" w:color="auto" w:fill="386294"/>
            <w:vAlign w:val="center"/>
          </w:tcPr>
          <w:p w14:paraId="3818F9BE" w14:textId="606291EA" w:rsidR="002312BE" w:rsidRPr="0011075B" w:rsidRDefault="002312BE" w:rsidP="002312BE">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del Estado:</w:t>
            </w:r>
          </w:p>
        </w:tc>
        <w:tc>
          <w:tcPr>
            <w:tcW w:w="5760" w:type="dxa"/>
            <w:vAlign w:val="center"/>
          </w:tcPr>
          <w:p w14:paraId="3131B0C9" w14:textId="34B1C582" w:rsidR="002312BE" w:rsidRPr="002312BE" w:rsidRDefault="002312BE" w:rsidP="002312BE">
            <w:pPr>
              <w:jc w:val="both"/>
              <w:rPr>
                <w:rFonts w:ascii="Cambria" w:hAnsi="Cambria"/>
                <w:bCs/>
                <w:sz w:val="20"/>
                <w:szCs w:val="20"/>
                <w:lang w:val="es-ES"/>
              </w:rPr>
            </w:pPr>
            <w:r w:rsidRPr="002312BE">
              <w:rPr>
                <w:rFonts w:ascii="Cambria" w:hAnsi="Cambria"/>
                <w:bCs/>
                <w:sz w:val="20"/>
                <w:szCs w:val="20"/>
                <w:lang w:val="es-ES"/>
              </w:rPr>
              <w:t>19 de mayo de 2021</w:t>
            </w:r>
            <w:r w:rsidR="00361ACC">
              <w:rPr>
                <w:rFonts w:ascii="Cambria" w:hAnsi="Cambria"/>
                <w:bCs/>
                <w:sz w:val="20"/>
                <w:szCs w:val="20"/>
                <w:lang w:val="es-ES"/>
              </w:rPr>
              <w:t>, 16 de agosto de 2023</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C555B7"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4086D200"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C555B7"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1E47FCDE" w:rsidR="0026174C" w:rsidRPr="00A3329B" w:rsidRDefault="00A3329B" w:rsidP="008D2290">
            <w:pPr>
              <w:jc w:val="both"/>
              <w:rPr>
                <w:rFonts w:ascii="Cambria" w:hAnsi="Cambria"/>
                <w:bCs/>
                <w:sz w:val="20"/>
                <w:szCs w:val="20"/>
                <w:lang w:val="es-ES"/>
              </w:rPr>
            </w:pPr>
            <w:r w:rsidRPr="00A3329B">
              <w:rPr>
                <w:rFonts w:ascii="Cambria" w:hAnsi="Cambria"/>
                <w:bCs/>
                <w:sz w:val="20"/>
                <w:szCs w:val="20"/>
                <w:lang w:val="es-ES" w:bidi="es-ES"/>
              </w:rPr>
              <w:t xml:space="preserve">Artículos </w:t>
            </w:r>
            <w:r w:rsidR="0039288F">
              <w:rPr>
                <w:rFonts w:ascii="Cambria" w:hAnsi="Cambria"/>
                <w:bCs/>
                <w:sz w:val="20"/>
                <w:szCs w:val="20"/>
                <w:lang w:val="es-ES" w:bidi="es-ES"/>
              </w:rPr>
              <w:t xml:space="preserve">4 (vida), </w:t>
            </w:r>
            <w:r w:rsidRPr="00F57D84">
              <w:rPr>
                <w:rFonts w:ascii="Cambria" w:hAnsi="Cambria"/>
                <w:bCs/>
                <w:sz w:val="20"/>
                <w:szCs w:val="20"/>
                <w:lang w:val="es-ES" w:bidi="es-ES"/>
              </w:rPr>
              <w:t xml:space="preserve">5 (integridad personal), </w:t>
            </w:r>
            <w:r w:rsidR="000A63CA">
              <w:rPr>
                <w:rFonts w:ascii="Cambria" w:hAnsi="Cambria"/>
                <w:bCs/>
                <w:sz w:val="20"/>
                <w:szCs w:val="20"/>
                <w:lang w:val="es-ES" w:bidi="es-ES"/>
              </w:rPr>
              <w:t xml:space="preserve">7 (libertad personal), </w:t>
            </w:r>
            <w:r w:rsidRPr="00F57D84">
              <w:rPr>
                <w:rFonts w:ascii="Cambria" w:hAnsi="Cambria"/>
                <w:bCs/>
                <w:sz w:val="20"/>
                <w:szCs w:val="20"/>
                <w:lang w:val="es-ES" w:bidi="es-ES"/>
              </w:rPr>
              <w:t>8 (garantías judiciales)</w:t>
            </w:r>
            <w:r w:rsidR="000A63CA">
              <w:rPr>
                <w:rFonts w:ascii="Cambria" w:hAnsi="Cambria"/>
                <w:bCs/>
                <w:sz w:val="20"/>
                <w:szCs w:val="20"/>
                <w:lang w:val="es-ES" w:bidi="es-ES"/>
              </w:rPr>
              <w:t>, 11 (protección de la honra y de la dignidad)</w:t>
            </w:r>
            <w:r w:rsidRPr="00F57D84">
              <w:rPr>
                <w:rFonts w:ascii="Cambria" w:hAnsi="Cambria"/>
                <w:bCs/>
                <w:sz w:val="20"/>
                <w:szCs w:val="20"/>
                <w:lang w:val="es-ES" w:bidi="es-ES"/>
              </w:rPr>
              <w:t xml:space="preserve"> y 25 (protección judicial) de la Convención Americana, en relación con su artículo 1.1</w:t>
            </w:r>
            <w:r w:rsidR="008B29DA">
              <w:rPr>
                <w:rFonts w:ascii="Cambria" w:hAnsi="Cambria"/>
                <w:bCs/>
                <w:sz w:val="20"/>
                <w:szCs w:val="20"/>
                <w:lang w:val="es-ES" w:bidi="es-ES"/>
              </w:rPr>
              <w:t xml:space="preserve"> (obligación de respetar los derechos)</w:t>
            </w:r>
          </w:p>
        </w:tc>
      </w:tr>
      <w:tr w:rsidR="003239B8" w:rsidRPr="00C555B7"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097025F2" w:rsidR="003239B8" w:rsidRPr="00F57D84" w:rsidRDefault="00A004BB" w:rsidP="008D2290">
            <w:pPr>
              <w:rPr>
                <w:rFonts w:ascii="Cambria" w:hAnsi="Cambria"/>
                <w:bCs/>
                <w:sz w:val="20"/>
                <w:szCs w:val="20"/>
                <w:lang w:val="es-419"/>
              </w:rPr>
            </w:pPr>
            <w:r w:rsidRPr="00F57D84">
              <w:rPr>
                <w:rFonts w:ascii="Cambria" w:hAnsi="Cambria"/>
                <w:bCs/>
                <w:sz w:val="20"/>
                <w:szCs w:val="20"/>
                <w:lang w:val="es-419" w:bidi="es-ES"/>
              </w:rPr>
              <w:t xml:space="preserve">Sí, </w:t>
            </w:r>
            <w:r w:rsidR="00F57D84">
              <w:rPr>
                <w:rFonts w:ascii="Cambria" w:hAnsi="Cambria"/>
                <w:bCs/>
                <w:sz w:val="20"/>
                <w:szCs w:val="20"/>
                <w:lang w:val="es-419" w:bidi="es-ES"/>
              </w:rPr>
              <w:t xml:space="preserve">la excepción del artículo </w:t>
            </w:r>
            <w:r w:rsidR="00F57D84" w:rsidRPr="001443F7">
              <w:rPr>
                <w:rFonts w:asciiTheme="majorHAnsi" w:hAnsiTheme="majorHAnsi"/>
                <w:sz w:val="20"/>
                <w:szCs w:val="20"/>
                <w:lang w:val="es-ES_tradnl"/>
              </w:rPr>
              <w:t>46.2.c</w:t>
            </w:r>
            <w:r w:rsidR="008B29DA">
              <w:rPr>
                <w:rFonts w:asciiTheme="majorHAnsi" w:hAnsiTheme="majorHAnsi"/>
                <w:sz w:val="20"/>
                <w:szCs w:val="20"/>
                <w:lang w:val="es-ES_tradnl"/>
              </w:rPr>
              <w:t>)</w:t>
            </w:r>
            <w:r w:rsidR="00F57D84" w:rsidRPr="001443F7">
              <w:rPr>
                <w:rFonts w:asciiTheme="majorHAnsi" w:hAnsiTheme="majorHAnsi"/>
                <w:sz w:val="20"/>
                <w:szCs w:val="20"/>
                <w:lang w:val="es-ES_tradnl"/>
              </w:rPr>
              <w:t xml:space="preserve"> </w:t>
            </w:r>
            <w:r w:rsidR="003D337C" w:rsidRPr="00F57D84">
              <w:rPr>
                <w:rFonts w:ascii="Cambria" w:hAnsi="Cambria"/>
                <w:bCs/>
                <w:sz w:val="20"/>
                <w:szCs w:val="20"/>
                <w:lang w:val="es-419" w:bidi="es-ES"/>
              </w:rPr>
              <w:t>e</w:t>
            </w:r>
            <w:r w:rsidR="00094203" w:rsidRPr="00F57D84">
              <w:rPr>
                <w:rFonts w:ascii="Cambria" w:hAnsi="Cambria"/>
                <w:bCs/>
                <w:sz w:val="20"/>
                <w:szCs w:val="20"/>
                <w:lang w:val="es-419" w:bidi="es-ES"/>
              </w:rPr>
              <w:t>n los términos de la Sección VI</w:t>
            </w:r>
          </w:p>
        </w:tc>
      </w:tr>
      <w:tr w:rsidR="003239B8" w:rsidRPr="00C555B7"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2491ABBA" w:rsidR="003239B8" w:rsidRPr="00F57D84" w:rsidRDefault="00A004BB" w:rsidP="008D2290">
            <w:pPr>
              <w:rPr>
                <w:rFonts w:ascii="Cambria" w:hAnsi="Cambria"/>
                <w:bCs/>
                <w:sz w:val="20"/>
                <w:szCs w:val="20"/>
                <w:lang w:val="es-419"/>
              </w:rPr>
            </w:pPr>
            <w:r w:rsidRPr="00F57D84">
              <w:rPr>
                <w:rFonts w:ascii="Cambria" w:hAnsi="Cambria"/>
                <w:bCs/>
                <w:sz w:val="20"/>
                <w:szCs w:val="20"/>
                <w:lang w:val="es-419" w:bidi="es-ES"/>
              </w:rPr>
              <w:t xml:space="preserve">Sí, </w:t>
            </w:r>
            <w:r w:rsidR="00094203" w:rsidRPr="00F57D84">
              <w:rPr>
                <w:rFonts w:ascii="Cambria" w:hAnsi="Cambria"/>
                <w:bCs/>
                <w:sz w:val="20"/>
                <w:szCs w:val="20"/>
                <w:lang w:val="es-419" w:bidi="es-ES"/>
              </w:rPr>
              <w:t>en los términos de la Sección VI</w:t>
            </w:r>
          </w:p>
        </w:tc>
      </w:tr>
    </w:tbl>
    <w:p w14:paraId="56FD5D57" w14:textId="03F322A5" w:rsidR="003239B8" w:rsidRPr="005728CE" w:rsidRDefault="00223A29" w:rsidP="00641957">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5728CE">
        <w:rPr>
          <w:rFonts w:asciiTheme="majorHAnsi" w:hAnsiTheme="majorHAnsi"/>
          <w:b/>
          <w:sz w:val="20"/>
          <w:szCs w:val="20"/>
          <w:lang w:val="es-ES_tradnl"/>
        </w:rPr>
        <w:t>POSICIÓN DE LAS PARTES</w:t>
      </w:r>
      <w:r w:rsidR="003239B8" w:rsidRPr="005728CE">
        <w:rPr>
          <w:rFonts w:asciiTheme="majorHAnsi" w:hAnsiTheme="majorHAnsi"/>
          <w:b/>
          <w:sz w:val="20"/>
          <w:szCs w:val="20"/>
          <w:lang w:val="es-ES_tradnl"/>
        </w:rPr>
        <w:t xml:space="preserve"> </w:t>
      </w:r>
    </w:p>
    <w:p w14:paraId="4EA306E2" w14:textId="32145351" w:rsidR="00785B6C" w:rsidRPr="005728CE" w:rsidRDefault="00785B6C" w:rsidP="0064195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es-ES_tradnl"/>
        </w:rPr>
      </w:pPr>
      <w:r w:rsidRPr="005728CE">
        <w:rPr>
          <w:rFonts w:asciiTheme="majorHAnsi" w:hAnsiTheme="majorHAnsi"/>
          <w:i/>
          <w:iCs/>
          <w:sz w:val="20"/>
          <w:szCs w:val="20"/>
          <w:lang w:val="es-ES_tradnl"/>
        </w:rPr>
        <w:t>Posición de la parte peticionaria</w:t>
      </w:r>
    </w:p>
    <w:p w14:paraId="141315ED" w14:textId="1FA1A121" w:rsidR="008E2546"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5728CE">
        <w:rPr>
          <w:rFonts w:asciiTheme="majorHAnsi" w:hAnsiTheme="majorHAnsi"/>
          <w:color w:val="auto"/>
          <w:sz w:val="20"/>
          <w:szCs w:val="20"/>
          <w:lang w:val="es-ES_tradnl"/>
        </w:rPr>
        <w:t>El peticionario</w:t>
      </w:r>
      <w:r w:rsidR="008E2546" w:rsidRPr="005728CE">
        <w:rPr>
          <w:rFonts w:asciiTheme="majorHAnsi" w:hAnsiTheme="majorHAnsi"/>
          <w:color w:val="auto"/>
          <w:sz w:val="20"/>
          <w:szCs w:val="20"/>
          <w:lang w:val="es-ES_tradnl"/>
        </w:rPr>
        <w:t xml:space="preserve"> </w:t>
      </w:r>
      <w:r w:rsidR="003B15CE" w:rsidRPr="005728CE">
        <w:rPr>
          <w:rFonts w:asciiTheme="majorHAnsi" w:hAnsiTheme="majorHAnsi"/>
          <w:color w:val="auto"/>
          <w:sz w:val="20"/>
          <w:szCs w:val="20"/>
          <w:lang w:val="es-ES_tradnl"/>
        </w:rPr>
        <w:t xml:space="preserve">denuncia </w:t>
      </w:r>
      <w:r w:rsidR="00702579" w:rsidRPr="005728CE">
        <w:rPr>
          <w:rFonts w:asciiTheme="majorHAnsi" w:hAnsiTheme="majorHAnsi"/>
          <w:color w:val="auto"/>
          <w:sz w:val="20"/>
          <w:szCs w:val="20"/>
          <w:lang w:val="es-ES_tradnl"/>
        </w:rPr>
        <w:t>la</w:t>
      </w:r>
      <w:r w:rsidR="004A1A74" w:rsidRPr="005728CE">
        <w:rPr>
          <w:rFonts w:asciiTheme="majorHAnsi" w:hAnsiTheme="majorHAnsi"/>
          <w:color w:val="auto"/>
          <w:sz w:val="20"/>
          <w:szCs w:val="20"/>
          <w:lang w:val="es-ES_tradnl"/>
        </w:rPr>
        <w:t xml:space="preserve"> ejecución extrajudicial </w:t>
      </w:r>
      <w:r w:rsidR="003B15CE" w:rsidRPr="005728CE">
        <w:rPr>
          <w:rFonts w:asciiTheme="majorHAnsi" w:hAnsiTheme="majorHAnsi"/>
          <w:color w:val="auto"/>
          <w:sz w:val="20"/>
          <w:szCs w:val="20"/>
          <w:lang w:val="es-ES_tradnl"/>
        </w:rPr>
        <w:t xml:space="preserve">de </w:t>
      </w:r>
      <w:r w:rsidR="00702579" w:rsidRPr="005728CE">
        <w:rPr>
          <w:rFonts w:asciiTheme="majorHAnsi" w:hAnsiTheme="majorHAnsi"/>
          <w:color w:val="auto"/>
          <w:sz w:val="20"/>
          <w:szCs w:val="20"/>
          <w:lang w:val="es-ES_tradnl"/>
        </w:rPr>
        <w:t>Edimer Bustos y Luis Alfonso Jiménez Benito</w:t>
      </w:r>
      <w:r w:rsidR="00A004BB" w:rsidRPr="005728CE">
        <w:rPr>
          <w:rFonts w:asciiTheme="majorHAnsi" w:hAnsiTheme="majorHAnsi"/>
          <w:color w:val="auto"/>
          <w:sz w:val="20"/>
          <w:szCs w:val="20"/>
          <w:lang w:val="es-ES_tradnl"/>
        </w:rPr>
        <w:t>,</w:t>
      </w:r>
      <w:r w:rsidR="008E2546" w:rsidRPr="005728CE">
        <w:rPr>
          <w:rFonts w:asciiTheme="majorHAnsi" w:hAnsiTheme="majorHAnsi"/>
          <w:color w:val="auto"/>
          <w:sz w:val="20"/>
          <w:szCs w:val="20"/>
          <w:lang w:val="es-ES_tradnl"/>
        </w:rPr>
        <w:t xml:space="preserve"> </w:t>
      </w:r>
      <w:r w:rsidR="00DE2B30" w:rsidRPr="005728CE">
        <w:rPr>
          <w:rFonts w:asciiTheme="majorHAnsi" w:hAnsiTheme="majorHAnsi"/>
          <w:color w:val="auto"/>
          <w:sz w:val="20"/>
          <w:szCs w:val="20"/>
          <w:lang w:val="es-ES_tradnl"/>
        </w:rPr>
        <w:t xml:space="preserve">así como </w:t>
      </w:r>
      <w:r w:rsidR="008E2546" w:rsidRPr="005728CE">
        <w:rPr>
          <w:rFonts w:asciiTheme="majorHAnsi" w:hAnsiTheme="majorHAnsi"/>
          <w:color w:val="auto"/>
          <w:sz w:val="20"/>
          <w:szCs w:val="20"/>
          <w:lang w:val="es-ES_tradnl"/>
        </w:rPr>
        <w:t xml:space="preserve">la </w:t>
      </w:r>
      <w:r w:rsidR="00B06FF5" w:rsidRPr="005728CE">
        <w:rPr>
          <w:rFonts w:asciiTheme="majorHAnsi" w:hAnsiTheme="majorHAnsi"/>
          <w:color w:val="auto"/>
          <w:sz w:val="20"/>
          <w:szCs w:val="20"/>
          <w:lang w:val="es-ES_tradnl"/>
        </w:rPr>
        <w:t xml:space="preserve">falta de investigación y </w:t>
      </w:r>
      <w:r w:rsidR="0017734D" w:rsidRPr="005728CE">
        <w:rPr>
          <w:rFonts w:asciiTheme="majorHAnsi" w:hAnsiTheme="majorHAnsi"/>
          <w:color w:val="auto"/>
          <w:sz w:val="20"/>
          <w:szCs w:val="20"/>
          <w:lang w:val="es-ES_tradnl"/>
        </w:rPr>
        <w:t>castigo</w:t>
      </w:r>
      <w:r w:rsidR="00B06FF5" w:rsidRPr="005728CE">
        <w:rPr>
          <w:rFonts w:asciiTheme="majorHAnsi" w:hAnsiTheme="majorHAnsi"/>
          <w:color w:val="auto"/>
          <w:sz w:val="20"/>
          <w:szCs w:val="20"/>
          <w:lang w:val="es-ES_tradnl"/>
        </w:rPr>
        <w:t xml:space="preserve"> de los responsables y el consecuente sufrimiento de sus familiares</w:t>
      </w:r>
      <w:r w:rsidR="00F57D84" w:rsidRPr="005728CE">
        <w:rPr>
          <w:rFonts w:asciiTheme="majorHAnsi" w:hAnsiTheme="majorHAnsi"/>
          <w:color w:val="auto"/>
          <w:sz w:val="20"/>
          <w:szCs w:val="20"/>
          <w:lang w:val="es-ES_tradnl"/>
        </w:rPr>
        <w:t xml:space="preserve"> en el contexto de los denominados </w:t>
      </w:r>
      <w:r w:rsidR="002F7D3C" w:rsidRPr="005728CE">
        <w:rPr>
          <w:rFonts w:asciiTheme="majorHAnsi" w:hAnsiTheme="majorHAnsi"/>
          <w:color w:val="auto"/>
          <w:sz w:val="20"/>
          <w:szCs w:val="20"/>
          <w:lang w:val="es-ES_tradnl"/>
        </w:rPr>
        <w:t>“</w:t>
      </w:r>
      <w:r w:rsidR="00F57D84" w:rsidRPr="005728CE">
        <w:rPr>
          <w:rFonts w:asciiTheme="majorHAnsi" w:hAnsiTheme="majorHAnsi"/>
          <w:color w:val="auto"/>
          <w:sz w:val="20"/>
          <w:szCs w:val="20"/>
          <w:lang w:val="es-ES_tradnl"/>
        </w:rPr>
        <w:t>falsos positivos”</w:t>
      </w:r>
      <w:r w:rsidR="00F57D84" w:rsidRPr="005728CE">
        <w:rPr>
          <w:rStyle w:val="FootnoteReference"/>
          <w:rFonts w:asciiTheme="majorHAnsi" w:hAnsiTheme="majorHAnsi"/>
          <w:color w:val="auto"/>
          <w:sz w:val="20"/>
          <w:szCs w:val="20"/>
          <w:lang w:val="es-ES_tradnl"/>
        </w:rPr>
        <w:footnoteReference w:id="6"/>
      </w:r>
      <w:r w:rsidR="00F57D84" w:rsidRPr="005728CE">
        <w:rPr>
          <w:rFonts w:asciiTheme="majorHAnsi" w:hAnsiTheme="majorHAnsi"/>
          <w:color w:val="auto"/>
          <w:sz w:val="20"/>
          <w:szCs w:val="20"/>
          <w:lang w:val="es-ES_tradnl"/>
        </w:rPr>
        <w:t xml:space="preserve">.  </w:t>
      </w:r>
      <w:r w:rsidR="00292B66" w:rsidRPr="005728CE">
        <w:rPr>
          <w:rFonts w:asciiTheme="majorHAnsi" w:hAnsiTheme="majorHAnsi"/>
          <w:color w:val="auto"/>
          <w:sz w:val="20"/>
          <w:szCs w:val="20"/>
          <w:lang w:val="es-ES_tradnl"/>
        </w:rPr>
        <w:t xml:space="preserve"> </w:t>
      </w:r>
    </w:p>
    <w:p w14:paraId="53E22F9A" w14:textId="4CADBE89" w:rsidR="0089421E"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Según el peticionario, el 28 de julio de 2011 las presuntas víctimas fueron objeto de ejecución extrajudicial por miembros del Ejército Nacional mediante ráfagas de fusil, mientras se encontraban a bordo de </w:t>
      </w:r>
      <w:r w:rsidR="008B29DA" w:rsidRPr="005728CE">
        <w:rPr>
          <w:rFonts w:asciiTheme="majorHAnsi" w:hAnsiTheme="majorHAnsi"/>
          <w:sz w:val="20"/>
          <w:szCs w:val="20"/>
          <w:lang w:val="es-ES_tradnl"/>
        </w:rPr>
        <w:t>una</w:t>
      </w:r>
      <w:r w:rsidRPr="005728CE">
        <w:rPr>
          <w:rFonts w:asciiTheme="majorHAnsi" w:hAnsiTheme="majorHAnsi"/>
          <w:sz w:val="20"/>
          <w:szCs w:val="20"/>
          <w:lang w:val="es-ES_tradnl"/>
        </w:rPr>
        <w:t xml:space="preserve"> lancha en el paraje Puerto "El Mamón" junto con otros pasajeros, donde todos fallecieron en el acto. </w:t>
      </w:r>
    </w:p>
    <w:p w14:paraId="274909DA" w14:textId="3C1E04BC" w:rsidR="0089421E"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El peticionario se refiere al portal de noticias "El País Vallenato", que en su edición del 29 de julio de 2011 reprodujo declaraciones del Brigadier General Germán Saavedra Prado, Comandante de la Décima Brigada Blindada del Ejército Nacional de Colombia. Según él, los militares que participaron en la ejecución intentaron capturar a integrantes de la banda criminal "Los Rastrojos", activos en la zona. El reportaje menciona que cinco presuntos integrantes de la banda cayeron, tres de ellos identificados como Luis Alfonso Jiménez Benito, José De la Paz Villarreal Toloza y Emiliano Flórez Gómez. Los militares sospecharon que las víctimas y los demás en la lancha eran miembros de la banda. El Comandante agregó que, como estas personas resistieron la captura disparando a las tropas, los militares reaccionaron de inmediato.</w:t>
      </w:r>
    </w:p>
    <w:p w14:paraId="380BC10B" w14:textId="2E41D645" w:rsidR="0089421E"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No obstante, el peticionario sostiene que Luis Alfonso Jiménez Benito y Edimer Bustos eran comerciantes, no pertenecían a dicha banda y estaban desarmados en ese momento. Jiménez Benito estaba de vacaciones y Bustos lo invitó a visitar la ciénaga El Zapatín. </w:t>
      </w:r>
    </w:p>
    <w:p w14:paraId="35F99C76" w14:textId="0C81A174" w:rsidR="0089421E"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Con respecto a los procesos internos, </w:t>
      </w:r>
      <w:r w:rsidR="00050C04" w:rsidRPr="005728CE">
        <w:rPr>
          <w:rFonts w:asciiTheme="majorHAnsi" w:hAnsiTheme="majorHAnsi"/>
          <w:sz w:val="20"/>
          <w:szCs w:val="20"/>
          <w:lang w:val="es-ES_tradnl"/>
        </w:rPr>
        <w:t>e</w:t>
      </w:r>
      <w:r w:rsidRPr="005728CE">
        <w:rPr>
          <w:rFonts w:asciiTheme="majorHAnsi" w:hAnsiTheme="majorHAnsi"/>
          <w:sz w:val="20"/>
          <w:szCs w:val="20"/>
          <w:lang w:val="es-ES_tradnl"/>
        </w:rPr>
        <w:t>l peticionario indica que la Justicia Penal Militar, perteneciente a la jurisdicción de la Décima Brigada Blindada del Ejército Nacional, inició el proceso penal por la ejecución de las víctimas. Sin embargo, las familias de Jiménez Benito y Bustos no recibieron información sobre los avances de la investigación, la judicialización de los responsables ni sobre los detalles del proceso penal.</w:t>
      </w:r>
    </w:p>
    <w:p w14:paraId="43F43010" w14:textId="2F03AB0F" w:rsidR="0089421E"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Además, el peticionario afirma que Maricel Osorio Carrillo y Luz Dany Pedraza, cónyuges de Jiménez Benito y Bustos respectivamente, solicitaron mediante un escrito del 31 de octubre de 2011 a la Procuraduría General de la Nación que la investigación no se realizara por la justicia penal militar, sino por la justicia ordinaria. Enviaron una copia a la Unidad de Derechos Humanos y Derecho Internacional Humanitario de la Fiscalía General de la Nación</w:t>
      </w:r>
      <w:r w:rsidR="00050C04" w:rsidRPr="005728CE">
        <w:rPr>
          <w:rFonts w:asciiTheme="majorHAnsi" w:hAnsiTheme="majorHAnsi"/>
          <w:sz w:val="20"/>
          <w:szCs w:val="20"/>
          <w:lang w:val="es-ES_tradnl"/>
        </w:rPr>
        <w:t xml:space="preserve">. Sin embargo, </w:t>
      </w:r>
      <w:r w:rsidRPr="005728CE">
        <w:rPr>
          <w:rFonts w:asciiTheme="majorHAnsi" w:hAnsiTheme="majorHAnsi"/>
          <w:sz w:val="20"/>
          <w:szCs w:val="20"/>
          <w:lang w:val="es-ES_tradnl"/>
        </w:rPr>
        <w:t>no ha</w:t>
      </w:r>
      <w:r w:rsidR="00B15643" w:rsidRPr="005728CE">
        <w:rPr>
          <w:rFonts w:asciiTheme="majorHAnsi" w:hAnsiTheme="majorHAnsi"/>
          <w:sz w:val="20"/>
          <w:szCs w:val="20"/>
          <w:lang w:val="es-ES_tradnl"/>
        </w:rPr>
        <w:t>brían</w:t>
      </w:r>
      <w:r w:rsidRPr="005728CE">
        <w:rPr>
          <w:rFonts w:asciiTheme="majorHAnsi" w:hAnsiTheme="majorHAnsi"/>
          <w:sz w:val="20"/>
          <w:szCs w:val="20"/>
          <w:lang w:val="es-ES_tradnl"/>
        </w:rPr>
        <w:t xml:space="preserve"> recibido respuesta.</w:t>
      </w:r>
    </w:p>
    <w:p w14:paraId="4D40478F" w14:textId="0898552F" w:rsidR="00486E6B" w:rsidRPr="005728CE" w:rsidRDefault="00050C04"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Por otro lado</w:t>
      </w:r>
      <w:r w:rsidR="0089421E" w:rsidRPr="005728CE">
        <w:rPr>
          <w:rFonts w:asciiTheme="majorHAnsi" w:hAnsiTheme="majorHAnsi"/>
          <w:sz w:val="20"/>
          <w:szCs w:val="20"/>
          <w:lang w:val="es-ES_tradnl"/>
        </w:rPr>
        <w:t xml:space="preserve">, el peticionario </w:t>
      </w:r>
      <w:r w:rsidRPr="005728CE">
        <w:rPr>
          <w:rFonts w:asciiTheme="majorHAnsi" w:hAnsiTheme="majorHAnsi"/>
          <w:sz w:val="20"/>
          <w:szCs w:val="20"/>
          <w:lang w:val="es-ES_tradnl"/>
        </w:rPr>
        <w:t>se refiere a</w:t>
      </w:r>
      <w:r w:rsidR="0089421E" w:rsidRPr="005728CE">
        <w:rPr>
          <w:rFonts w:asciiTheme="majorHAnsi" w:hAnsiTheme="majorHAnsi"/>
          <w:sz w:val="20"/>
          <w:szCs w:val="20"/>
          <w:lang w:val="es-ES_tradnl"/>
        </w:rPr>
        <w:t xml:space="preserve"> la Providencia No. 11001010200020120014000 del Consejo Superior de la Judicatura, Sala Disciplinaria. Esta providencia trata sobre la investigación del homicidio de Edimer Bustos, Luis Alfonso Jiménez Benito, José de la Paz Villarreal Toloza, Emiliano Flores Gómez y Ciro Antonio Saravia Martínez, imputando a </w:t>
      </w:r>
      <w:r w:rsidRPr="005728CE">
        <w:rPr>
          <w:rFonts w:asciiTheme="majorHAnsi" w:hAnsiTheme="majorHAnsi"/>
          <w:sz w:val="20"/>
          <w:szCs w:val="20"/>
          <w:lang w:val="es-ES_tradnl"/>
        </w:rPr>
        <w:t xml:space="preserve">siete </w:t>
      </w:r>
      <w:r w:rsidR="0089421E" w:rsidRPr="005728CE">
        <w:rPr>
          <w:rFonts w:asciiTheme="majorHAnsi" w:hAnsiTheme="majorHAnsi"/>
          <w:sz w:val="20"/>
          <w:szCs w:val="20"/>
          <w:lang w:val="es-ES_tradnl"/>
        </w:rPr>
        <w:t>miembros de la Fuerza Pública</w:t>
      </w:r>
      <w:r w:rsidRPr="005728CE">
        <w:rPr>
          <w:rFonts w:asciiTheme="majorHAnsi" w:hAnsiTheme="majorHAnsi"/>
          <w:sz w:val="20"/>
          <w:szCs w:val="20"/>
          <w:lang w:val="es-ES_tradnl"/>
        </w:rPr>
        <w:t xml:space="preserve">: </w:t>
      </w:r>
      <w:r w:rsidR="00BA5AF4" w:rsidRPr="005728CE">
        <w:rPr>
          <w:rFonts w:asciiTheme="majorHAnsi" w:hAnsiTheme="majorHAnsi"/>
          <w:sz w:val="20"/>
          <w:szCs w:val="20"/>
          <w:lang w:val="es-ES_tradnl"/>
        </w:rPr>
        <w:t>“</w:t>
      </w:r>
      <w:r w:rsidRPr="005728CE">
        <w:rPr>
          <w:rFonts w:asciiTheme="majorHAnsi" w:hAnsiTheme="majorHAnsi"/>
          <w:sz w:val="20"/>
          <w:szCs w:val="20"/>
          <w:lang w:val="es-ES_tradnl" w:bidi="es-ES"/>
        </w:rPr>
        <w:t>N. E. C. C.</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D. H. G. S.</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w:t>
      </w:r>
      <w:r w:rsidR="00BA5AF4" w:rsidRPr="005728CE">
        <w:rPr>
          <w:rFonts w:asciiTheme="majorHAnsi" w:hAnsiTheme="majorHAnsi"/>
          <w:sz w:val="20"/>
          <w:szCs w:val="20"/>
          <w:lang w:val="es-ES_tradnl" w:bidi="es-ES"/>
        </w:rPr>
        <w:t>“</w:t>
      </w:r>
      <w:r w:rsidR="00796DB9" w:rsidRPr="005728CE">
        <w:rPr>
          <w:rFonts w:asciiTheme="majorHAnsi" w:hAnsiTheme="majorHAnsi"/>
          <w:sz w:val="20"/>
          <w:szCs w:val="20"/>
          <w:lang w:val="es-ES_tradnl" w:bidi="es-ES"/>
        </w:rPr>
        <w:t>B</w:t>
      </w:r>
      <w:r w:rsidRPr="005728CE">
        <w:rPr>
          <w:rFonts w:asciiTheme="majorHAnsi" w:hAnsiTheme="majorHAnsi"/>
          <w:sz w:val="20"/>
          <w:szCs w:val="20"/>
          <w:lang w:val="es-ES_tradnl" w:bidi="es-ES"/>
        </w:rPr>
        <w:t>. T. C.</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L. F. E.</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R. G. P.</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E. </w:t>
      </w:r>
      <w:r w:rsidR="00F74DB2" w:rsidRPr="005728CE">
        <w:rPr>
          <w:rFonts w:asciiTheme="majorHAnsi" w:hAnsiTheme="majorHAnsi"/>
          <w:sz w:val="20"/>
          <w:szCs w:val="20"/>
          <w:lang w:val="es-ES_tradnl" w:bidi="es-ES"/>
        </w:rPr>
        <w:t>Y</w:t>
      </w:r>
      <w:r w:rsidRPr="005728CE">
        <w:rPr>
          <w:rFonts w:asciiTheme="majorHAnsi" w:hAnsiTheme="majorHAnsi"/>
          <w:sz w:val="20"/>
          <w:szCs w:val="20"/>
          <w:lang w:val="es-ES_tradnl" w:bidi="es-ES"/>
        </w:rPr>
        <w:t>. C. N.</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y </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M. J. C. B.</w:t>
      </w:r>
      <w:r w:rsidR="00BA5AF4" w:rsidRPr="005728CE">
        <w:rPr>
          <w:rFonts w:asciiTheme="majorHAnsi" w:hAnsiTheme="majorHAnsi"/>
          <w:sz w:val="20"/>
          <w:szCs w:val="20"/>
          <w:lang w:val="es-ES_tradnl" w:bidi="es-ES"/>
        </w:rPr>
        <w:t>”</w:t>
      </w:r>
      <w:r w:rsidRPr="005728CE">
        <w:rPr>
          <w:rFonts w:asciiTheme="majorHAnsi" w:hAnsiTheme="majorHAnsi"/>
          <w:sz w:val="20"/>
          <w:szCs w:val="20"/>
          <w:lang w:val="es-ES_tradnl" w:bidi="es-ES"/>
        </w:rPr>
        <w:t xml:space="preserve"> </w:t>
      </w:r>
      <w:r w:rsidRPr="005728CE">
        <w:rPr>
          <w:rFonts w:asciiTheme="majorHAnsi" w:hAnsiTheme="majorHAnsi"/>
          <w:sz w:val="20"/>
          <w:szCs w:val="20"/>
          <w:lang w:val="es-ES_tradnl"/>
        </w:rPr>
        <w:t>El 6 de junio de 2012 l</w:t>
      </w:r>
      <w:r w:rsidR="0089421E" w:rsidRPr="005728CE">
        <w:rPr>
          <w:rFonts w:asciiTheme="majorHAnsi" w:hAnsiTheme="majorHAnsi"/>
          <w:sz w:val="20"/>
          <w:szCs w:val="20"/>
          <w:lang w:val="es-ES_tradnl"/>
        </w:rPr>
        <w:t xml:space="preserve">a </w:t>
      </w:r>
      <w:r w:rsidRPr="005728CE">
        <w:rPr>
          <w:rFonts w:asciiTheme="majorHAnsi" w:hAnsiTheme="majorHAnsi"/>
          <w:sz w:val="20"/>
          <w:szCs w:val="20"/>
          <w:lang w:val="es-ES_tradnl"/>
        </w:rPr>
        <w:t>Sala Disciplinaria</w:t>
      </w:r>
      <w:r w:rsidR="0089421E" w:rsidRPr="005728CE">
        <w:rPr>
          <w:rFonts w:asciiTheme="majorHAnsi" w:hAnsiTheme="majorHAnsi"/>
          <w:sz w:val="20"/>
          <w:szCs w:val="20"/>
          <w:lang w:val="es-ES_tradnl"/>
        </w:rPr>
        <w:t xml:space="preserve"> asignó el caso a la Jurisdicción Ordinaria, representada por la Fiscalía Segunda Seccional Especializada de Valledupar.</w:t>
      </w:r>
      <w:r w:rsidRPr="005728CE">
        <w:rPr>
          <w:rFonts w:asciiTheme="majorHAnsi" w:hAnsiTheme="majorHAnsi"/>
          <w:sz w:val="20"/>
          <w:szCs w:val="20"/>
          <w:lang w:val="es-ES_tradnl"/>
        </w:rPr>
        <w:t xml:space="preserve"> Dicha Fiscalía informó a las cónyuges de las presuntas víctimas que e</w:t>
      </w:r>
      <w:r w:rsidR="0089421E" w:rsidRPr="005728CE">
        <w:rPr>
          <w:rFonts w:asciiTheme="majorHAnsi" w:hAnsiTheme="majorHAnsi"/>
          <w:sz w:val="20"/>
          <w:szCs w:val="20"/>
          <w:lang w:val="es-ES_tradnl"/>
        </w:rPr>
        <w:t>l 31 de mayo de 2019</w:t>
      </w:r>
      <w:r w:rsidRPr="005728CE">
        <w:rPr>
          <w:rFonts w:asciiTheme="majorHAnsi" w:hAnsiTheme="majorHAnsi"/>
          <w:sz w:val="20"/>
          <w:szCs w:val="20"/>
          <w:lang w:val="es-ES_tradnl"/>
        </w:rPr>
        <w:t xml:space="preserve"> ocurrió </w:t>
      </w:r>
      <w:r w:rsidR="0089421E" w:rsidRPr="005728CE">
        <w:rPr>
          <w:rFonts w:asciiTheme="majorHAnsi" w:hAnsiTheme="majorHAnsi"/>
          <w:sz w:val="20"/>
          <w:szCs w:val="20"/>
          <w:lang w:val="es-ES_tradnl"/>
        </w:rPr>
        <w:t xml:space="preserve">la audiencia de formulación de cargos a los </w:t>
      </w:r>
      <w:r w:rsidRPr="005728CE">
        <w:rPr>
          <w:rFonts w:asciiTheme="majorHAnsi" w:hAnsiTheme="majorHAnsi"/>
          <w:sz w:val="20"/>
          <w:szCs w:val="20"/>
          <w:lang w:val="es-ES_tradnl"/>
        </w:rPr>
        <w:t>siete imputados</w:t>
      </w:r>
      <w:r w:rsidR="0089421E" w:rsidRPr="005728CE">
        <w:rPr>
          <w:rFonts w:asciiTheme="majorHAnsi" w:hAnsiTheme="majorHAnsi"/>
          <w:sz w:val="20"/>
          <w:szCs w:val="20"/>
          <w:lang w:val="es-ES_tradnl"/>
        </w:rPr>
        <w:t xml:space="preserve"> por el delito de homicidio en persona protegida en concurso sucesivo y homogéneo. </w:t>
      </w:r>
    </w:p>
    <w:p w14:paraId="34A5384A" w14:textId="1E6D680D" w:rsidR="00486E6B" w:rsidRPr="005728CE" w:rsidRDefault="00050C04"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El peticionario indica que, s</w:t>
      </w:r>
      <w:r w:rsidR="0089421E" w:rsidRPr="005728CE">
        <w:rPr>
          <w:rFonts w:asciiTheme="majorHAnsi" w:hAnsiTheme="majorHAnsi"/>
          <w:sz w:val="20"/>
          <w:szCs w:val="20"/>
          <w:lang w:val="es-ES_tradnl"/>
        </w:rPr>
        <w:t xml:space="preserve">egún información de la Fiscalía, se han logrado avances en el proceso penal, incluyendo la imputación de cargos a los autores materiales, quienes están a la espera de juicio. Sin embargo, debido a las normas de justicia transicional, se suspendió la medida de aseguramiento a la espera </w:t>
      </w:r>
      <w:r w:rsidR="0089421E" w:rsidRPr="005728CE">
        <w:rPr>
          <w:rFonts w:asciiTheme="majorHAnsi" w:hAnsiTheme="majorHAnsi"/>
          <w:sz w:val="20"/>
          <w:szCs w:val="20"/>
          <w:lang w:val="es-ES_tradnl"/>
        </w:rPr>
        <w:lastRenderedPageBreak/>
        <w:t xml:space="preserve">de que la Justicia Especial para la Paz (JEP) decida </w:t>
      </w:r>
      <w:r w:rsidR="005728CE">
        <w:rPr>
          <w:rFonts w:asciiTheme="majorHAnsi" w:hAnsiTheme="majorHAnsi"/>
          <w:sz w:val="20"/>
          <w:szCs w:val="20"/>
          <w:lang w:val="es-ES_tradnl"/>
        </w:rPr>
        <w:t>el caso</w:t>
      </w:r>
      <w:r w:rsidR="0089421E" w:rsidRPr="005728CE">
        <w:rPr>
          <w:rFonts w:asciiTheme="majorHAnsi" w:hAnsiTheme="majorHAnsi"/>
          <w:sz w:val="20"/>
          <w:szCs w:val="20"/>
          <w:lang w:val="es-ES_tradnl"/>
        </w:rPr>
        <w:t>.</w:t>
      </w:r>
    </w:p>
    <w:p w14:paraId="15D232D7" w14:textId="77777777" w:rsidR="0039288F" w:rsidRPr="005728CE" w:rsidRDefault="00486E6B"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Con respecto a la jurisdicción administrativa, los familiares de las presuntas víctimas presentaron demanda el 11 de abril de 2013. El 15 de mayo de 2013, el Juzgado 1 Oral de Valledupar admitió la demanda. Tras </w:t>
      </w:r>
      <w:r w:rsidR="0089421E" w:rsidRPr="005728CE">
        <w:rPr>
          <w:rFonts w:asciiTheme="majorHAnsi" w:hAnsiTheme="majorHAnsi"/>
          <w:sz w:val="20"/>
          <w:szCs w:val="20"/>
          <w:lang w:val="es-ES_tradnl"/>
        </w:rPr>
        <w:t xml:space="preserve">una condena en primera instancia contra el Estado, el Estado apeló y el caso se trasladó al Tribunal Administrativo del departamento del Cesar-Valledupar, que lo recibió en abril de 2017. </w:t>
      </w:r>
    </w:p>
    <w:p w14:paraId="03E8264C" w14:textId="5F31D556" w:rsidR="0089421E" w:rsidRPr="005728CE" w:rsidRDefault="0089421E"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El 23 de septiembre de 2021, el Tribunal emitió una sentencia que revocó la de primera instancia, absolviendo al Ministerio de Defensa-Ejército Nacional y condenando en costas a los demandantes, considerando que las </w:t>
      </w:r>
      <w:r w:rsidR="00486E6B" w:rsidRPr="005728CE">
        <w:rPr>
          <w:rFonts w:asciiTheme="majorHAnsi" w:hAnsiTheme="majorHAnsi"/>
          <w:sz w:val="20"/>
          <w:szCs w:val="20"/>
          <w:lang w:val="es-ES_tradnl"/>
        </w:rPr>
        <w:t xml:space="preserve">presuntas </w:t>
      </w:r>
      <w:r w:rsidRPr="005728CE">
        <w:rPr>
          <w:rFonts w:asciiTheme="majorHAnsi" w:hAnsiTheme="majorHAnsi"/>
          <w:sz w:val="20"/>
          <w:szCs w:val="20"/>
          <w:lang w:val="es-ES_tradnl"/>
        </w:rPr>
        <w:t>víctimas eran delincuentes que se enfrentaron a la fuerza pública.</w:t>
      </w:r>
    </w:p>
    <w:p w14:paraId="68153A04" w14:textId="4C70F6D6" w:rsidR="00B42C02" w:rsidRPr="005728CE" w:rsidRDefault="00B42C02" w:rsidP="0064195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i/>
          <w:iCs/>
          <w:sz w:val="20"/>
          <w:szCs w:val="20"/>
          <w:lang w:val="es-ES_tradnl"/>
        </w:rPr>
      </w:pPr>
      <w:r w:rsidRPr="005728CE">
        <w:rPr>
          <w:rFonts w:asciiTheme="majorHAnsi" w:hAnsiTheme="majorHAnsi"/>
          <w:i/>
          <w:iCs/>
          <w:color w:val="auto"/>
          <w:sz w:val="20"/>
          <w:szCs w:val="20"/>
          <w:lang w:val="es-ES_tradnl"/>
        </w:rPr>
        <w:t>Posición del Estado de Colombia</w:t>
      </w:r>
    </w:p>
    <w:p w14:paraId="2C470B00" w14:textId="25CE6428" w:rsidR="00486E6B" w:rsidRPr="005728CE" w:rsidRDefault="00486E6B"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El Estado indica que, según el informe del Comandante Pedro Fortull, Teniente Coronel Álvaro William Zaraza Naranjo, a las 13:20 horas del 28 de julio de 2011, en Puerto Mamón, municipio de Tamalameque, Cesar, la sección DANTA 44 ejecutó la orden operacional “Jabalina 32”. Durante esta operación, se produjo un enfrentamiento armado con hombres de bandas criminales. Los oficiales informan que, al anunciar su llegada, los integrantes de estas bandas iniciaron el fuego, obligando a la tropa a responder de igual manera.</w:t>
      </w:r>
    </w:p>
    <w:p w14:paraId="3C7DCE59" w14:textId="77777777" w:rsidR="00486E6B" w:rsidRPr="005728CE" w:rsidRDefault="00486E6B"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El Estado confirma que, tras los hechos, el Cuerpo Técnico de Investigación de la Fiscalía inició las investigaciones pertinentes, incluyendo el levantamiento de cadáveres y la recolección de pruebas en la escena del crimen. Entre los fallecidos, el Cuerpo Técnico identificó a Emiliano Flórez Gómez, Luis Alfonso Jiménez Benito, José Paz Villarreal Toloza, Edimer Bustos y Ciro Antonio Sanabria Martínez.</w:t>
      </w:r>
    </w:p>
    <w:p w14:paraId="5B0AB2EC" w14:textId="5D5BDD0B" w:rsidR="00D2696A" w:rsidRPr="005728CE" w:rsidRDefault="00D2696A" w:rsidP="00B15643">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i/>
          <w:iCs/>
          <w:sz w:val="20"/>
          <w:szCs w:val="20"/>
          <w:lang w:val="es-ES_tradnl"/>
        </w:rPr>
      </w:pPr>
      <w:r w:rsidRPr="005728CE">
        <w:rPr>
          <w:rFonts w:asciiTheme="majorHAnsi" w:hAnsiTheme="majorHAnsi"/>
          <w:i/>
          <w:iCs/>
          <w:sz w:val="20"/>
          <w:szCs w:val="20"/>
          <w:lang w:val="es-ES_tradnl"/>
        </w:rPr>
        <w:t>Proceso disciplinario</w:t>
      </w:r>
    </w:p>
    <w:p w14:paraId="447EFAC0" w14:textId="44ABE854" w:rsidR="00D2696A" w:rsidRPr="005728CE" w:rsidRDefault="00D2696A"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El Batallón Energético y </w:t>
      </w:r>
      <w:r w:rsidR="00B15643" w:rsidRPr="005728CE">
        <w:rPr>
          <w:rFonts w:asciiTheme="majorHAnsi" w:hAnsiTheme="majorHAnsi"/>
          <w:sz w:val="20"/>
          <w:szCs w:val="20"/>
          <w:lang w:val="es-ES_tradnl"/>
        </w:rPr>
        <w:t>Vial</w:t>
      </w:r>
      <w:r w:rsidRPr="005728CE">
        <w:rPr>
          <w:rFonts w:asciiTheme="majorHAnsi" w:hAnsiTheme="majorHAnsi"/>
          <w:sz w:val="20"/>
          <w:szCs w:val="20"/>
          <w:lang w:val="es-ES_tradnl"/>
        </w:rPr>
        <w:t xml:space="preserve"> No. 3 General “Pedro Fortull”, mediante auto de 29 de julio de 2011, resolvió ordenar la apertura de indagación preliminar No. 04-2011, a los señores </w:t>
      </w:r>
      <w:r w:rsidR="00BA5AF4" w:rsidRPr="005728CE">
        <w:rPr>
          <w:rFonts w:asciiTheme="majorHAnsi" w:hAnsiTheme="majorHAnsi"/>
          <w:sz w:val="20"/>
          <w:szCs w:val="20"/>
          <w:lang w:val="es-ES_tradnl"/>
        </w:rPr>
        <w:t>“</w:t>
      </w:r>
      <w:r w:rsidRPr="005728CE">
        <w:rPr>
          <w:rFonts w:asciiTheme="majorHAnsi" w:hAnsiTheme="majorHAnsi"/>
          <w:color w:val="auto"/>
          <w:sz w:val="20"/>
          <w:szCs w:val="20"/>
          <w:lang w:val="es-ES_tradnl" w:bidi="es-ES"/>
        </w:rPr>
        <w:t>N. E. C. C.</w:t>
      </w:r>
      <w:r w:rsidR="00BA5AF4"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BA5AF4"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D. H. G. S.</w:t>
      </w:r>
      <w:r w:rsidR="00BA5AF4"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BA5AF4"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L. F. E.</w:t>
      </w:r>
      <w:r w:rsidR="00BA5AF4"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w:t>
      </w:r>
      <w:r w:rsidRPr="005728CE">
        <w:rPr>
          <w:rFonts w:asciiTheme="majorHAnsi" w:hAnsiTheme="majorHAnsi"/>
          <w:sz w:val="20"/>
          <w:szCs w:val="20"/>
          <w:lang w:val="es-ES_tradnl" w:bidi="es-ES"/>
        </w:rPr>
        <w:t xml:space="preserve"> </w:t>
      </w:r>
      <w:r w:rsidR="00BA5AF4" w:rsidRPr="005728CE">
        <w:rPr>
          <w:rFonts w:asciiTheme="majorHAnsi" w:hAnsiTheme="majorHAnsi"/>
          <w:sz w:val="20"/>
          <w:szCs w:val="20"/>
          <w:lang w:val="es-ES_tradnl" w:bidi="es-ES"/>
        </w:rPr>
        <w:t>“</w:t>
      </w:r>
      <w:r w:rsidR="00796DB9" w:rsidRPr="005728CE">
        <w:rPr>
          <w:rFonts w:asciiTheme="majorHAnsi" w:hAnsiTheme="majorHAnsi"/>
          <w:color w:val="auto"/>
          <w:sz w:val="20"/>
          <w:szCs w:val="20"/>
          <w:lang w:val="es-ES_tradnl" w:bidi="es-ES"/>
        </w:rPr>
        <w:t>B</w:t>
      </w:r>
      <w:r w:rsidRPr="005728CE">
        <w:rPr>
          <w:rFonts w:asciiTheme="majorHAnsi" w:hAnsiTheme="majorHAnsi"/>
          <w:color w:val="auto"/>
          <w:sz w:val="20"/>
          <w:szCs w:val="20"/>
          <w:lang w:val="es-ES_tradnl" w:bidi="es-ES"/>
        </w:rPr>
        <w:t>. T. C.</w:t>
      </w:r>
      <w:r w:rsidR="00BA5AF4" w:rsidRPr="005728CE">
        <w:rPr>
          <w:rFonts w:asciiTheme="majorHAnsi" w:hAnsiTheme="majorHAnsi"/>
          <w:color w:val="auto"/>
          <w:sz w:val="20"/>
          <w:szCs w:val="20"/>
          <w:lang w:val="es-ES_tradnl" w:bidi="es-ES"/>
        </w:rPr>
        <w:t>”</w:t>
      </w:r>
      <w:r w:rsidRPr="005728CE">
        <w:rPr>
          <w:rFonts w:asciiTheme="majorHAnsi" w:hAnsiTheme="majorHAnsi"/>
          <w:sz w:val="20"/>
          <w:szCs w:val="20"/>
          <w:lang w:val="es-ES_tradnl" w:bidi="es-ES"/>
        </w:rPr>
        <w:t xml:space="preserve"> y </w:t>
      </w:r>
      <w:r w:rsidR="00BA5AF4" w:rsidRPr="005728CE">
        <w:rPr>
          <w:rFonts w:asciiTheme="majorHAnsi" w:hAnsiTheme="majorHAnsi"/>
          <w:sz w:val="20"/>
          <w:szCs w:val="20"/>
          <w:lang w:val="es-ES_tradnl" w:bidi="es-ES"/>
        </w:rPr>
        <w:t>“</w:t>
      </w:r>
      <w:r w:rsidRPr="005728CE">
        <w:rPr>
          <w:rFonts w:asciiTheme="majorHAnsi" w:hAnsiTheme="majorHAnsi"/>
          <w:color w:val="auto"/>
          <w:sz w:val="20"/>
          <w:szCs w:val="20"/>
          <w:lang w:val="es-ES_tradnl" w:bidi="es-ES"/>
        </w:rPr>
        <w:t xml:space="preserve">E. </w:t>
      </w:r>
      <w:r w:rsidR="00F74DB2" w:rsidRPr="005728CE">
        <w:rPr>
          <w:rFonts w:asciiTheme="majorHAnsi" w:hAnsiTheme="majorHAnsi"/>
          <w:color w:val="auto"/>
          <w:sz w:val="20"/>
          <w:szCs w:val="20"/>
          <w:lang w:val="es-ES_tradnl" w:bidi="es-ES"/>
        </w:rPr>
        <w:t>Y</w:t>
      </w:r>
      <w:r w:rsidRPr="005728CE">
        <w:rPr>
          <w:rFonts w:asciiTheme="majorHAnsi" w:hAnsiTheme="majorHAnsi"/>
          <w:color w:val="auto"/>
          <w:sz w:val="20"/>
          <w:szCs w:val="20"/>
          <w:lang w:val="es-ES_tradnl" w:bidi="es-ES"/>
        </w:rPr>
        <w:t>. C. N.</w:t>
      </w:r>
      <w:r w:rsidR="00BA5AF4" w:rsidRPr="005728CE">
        <w:rPr>
          <w:rFonts w:asciiTheme="majorHAnsi" w:hAnsiTheme="majorHAnsi"/>
          <w:color w:val="auto"/>
          <w:sz w:val="20"/>
          <w:szCs w:val="20"/>
          <w:lang w:val="es-ES_tradnl" w:bidi="es-ES"/>
        </w:rPr>
        <w:t>”</w:t>
      </w:r>
      <w:r w:rsidRPr="005728CE">
        <w:rPr>
          <w:rFonts w:asciiTheme="majorHAnsi" w:hAnsiTheme="majorHAnsi"/>
          <w:sz w:val="20"/>
          <w:szCs w:val="20"/>
          <w:lang w:val="es-ES_tradnl" w:bidi="es-ES"/>
        </w:rPr>
        <w:t xml:space="preserve"> </w:t>
      </w:r>
      <w:r w:rsidRPr="005728CE">
        <w:rPr>
          <w:rFonts w:asciiTheme="majorHAnsi" w:hAnsiTheme="majorHAnsi"/>
          <w:sz w:val="20"/>
          <w:szCs w:val="20"/>
          <w:lang w:val="es-ES_tradnl"/>
        </w:rPr>
        <w:t xml:space="preserve">por los hechos </w:t>
      </w:r>
      <w:r w:rsidR="00BA5AF4" w:rsidRPr="005728CE">
        <w:rPr>
          <w:rFonts w:asciiTheme="majorHAnsi" w:hAnsiTheme="majorHAnsi"/>
          <w:sz w:val="20"/>
          <w:szCs w:val="20"/>
          <w:lang w:val="es-ES_tradnl"/>
        </w:rPr>
        <w:t>denunciados</w:t>
      </w:r>
      <w:r w:rsidRPr="005728CE">
        <w:rPr>
          <w:rFonts w:asciiTheme="majorHAnsi" w:hAnsiTheme="majorHAnsi"/>
          <w:sz w:val="20"/>
          <w:szCs w:val="20"/>
          <w:lang w:val="es-ES_tradnl"/>
        </w:rPr>
        <w:t>. Posteriormente, estas diligencias fueron remitidas por competencia al Comandante de la Décima Brigada Blindada del Ejército Nacional por medio del auto del 24 de febrero de 2012, quien avoc</w:t>
      </w:r>
      <w:r w:rsidR="00BA5AF4" w:rsidRPr="005728CE">
        <w:rPr>
          <w:rFonts w:asciiTheme="majorHAnsi" w:hAnsiTheme="majorHAnsi"/>
          <w:sz w:val="20"/>
          <w:szCs w:val="20"/>
          <w:lang w:val="es-ES_tradnl"/>
        </w:rPr>
        <w:t>ó</w:t>
      </w:r>
      <w:r w:rsidRPr="005728CE">
        <w:rPr>
          <w:rFonts w:asciiTheme="majorHAnsi" w:hAnsiTheme="majorHAnsi"/>
          <w:sz w:val="20"/>
          <w:szCs w:val="20"/>
          <w:lang w:val="es-ES_tradnl"/>
        </w:rPr>
        <w:t xml:space="preserve"> conocimiento a través del radicado No. 005/20127. </w:t>
      </w:r>
    </w:p>
    <w:p w14:paraId="58922419" w14:textId="5F324F53" w:rsidR="00D2696A" w:rsidRPr="005728CE" w:rsidRDefault="00D2696A"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La Décima Brigada Blindada del Ejército Nacional, en oficio No. 013484 de 30 de diciembre de 2013, informó a la Procuraduría Regional del César sobre el archivo de esta investigación a partir del 1 de abril de 2013. No obstante, la Procuraduría Regional del Magdalena, mediante auto de 16 de abril de 2012, remitió por competencia a la Procuraduría Regional del César la queja elevada por las señoras Maricel Osorio Carrillo y Luz Dany Pedraza. El 15 de noviembre de 2013, esta Delegada ordenó la apertura de la indagación preliminar No. 2013-405737 y/o 2013-4848865, por las presuntas irregularidades cometidas, en el operativo donde murieron los señores Luis Alfonso y Edimer Bustos, a los mismos militares previamente enunciados. </w:t>
      </w:r>
    </w:p>
    <w:p w14:paraId="615D9BE0" w14:textId="379241D8" w:rsidR="0039288F" w:rsidRPr="005728CE" w:rsidRDefault="00D2696A"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La Procuraduría Regional del Magdalena, mediante auto del 28 de febrero de 2014, remitió por competencia el proceso antes señalado a la Procuraduría Delegada para las Fuerzas Militares. A su vez, esta instancia envío estas diligencias a la Procuraduría Delegada para los Derechos Humanos, por cuanto la denuncia se referenciaban presuntas violaciones a los Derechos Humanos y </w:t>
      </w:r>
      <w:r w:rsidR="007D615A" w:rsidRPr="005728CE">
        <w:rPr>
          <w:rFonts w:asciiTheme="majorHAnsi" w:hAnsiTheme="majorHAnsi"/>
          <w:sz w:val="20"/>
          <w:szCs w:val="20"/>
          <w:lang w:val="es-ES_tradnl"/>
        </w:rPr>
        <w:t>Derecho Internacional Humanitario</w:t>
      </w:r>
      <w:r w:rsidRPr="005728CE">
        <w:rPr>
          <w:rFonts w:asciiTheme="majorHAnsi" w:hAnsiTheme="majorHAnsi"/>
          <w:sz w:val="20"/>
          <w:szCs w:val="20"/>
          <w:lang w:val="es-ES_tradnl"/>
        </w:rPr>
        <w:t xml:space="preserve">. </w:t>
      </w:r>
    </w:p>
    <w:p w14:paraId="39E63BA6" w14:textId="36AF14A2" w:rsidR="00D2696A" w:rsidRPr="005728CE" w:rsidRDefault="00D2696A"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Finalmente, la Procuraduría Delegada para la Defensa de los Derechos Humanos, </w:t>
      </w:r>
      <w:r w:rsidR="009D7A64" w:rsidRPr="005728CE">
        <w:rPr>
          <w:rFonts w:asciiTheme="majorHAnsi" w:hAnsiTheme="majorHAnsi"/>
          <w:sz w:val="20"/>
          <w:szCs w:val="20"/>
          <w:lang w:val="es-ES_tradnl"/>
        </w:rPr>
        <w:t>mediante</w:t>
      </w:r>
      <w:r w:rsidRPr="005728CE">
        <w:rPr>
          <w:rFonts w:asciiTheme="majorHAnsi" w:hAnsiTheme="majorHAnsi"/>
          <w:sz w:val="20"/>
          <w:szCs w:val="20"/>
          <w:lang w:val="es-ES_tradnl"/>
        </w:rPr>
        <w:t xml:space="preserve"> decisión del 24 de junio de 2020, resolvió suspender la presente actuación, teniendo en cuenta la competencia prevalente y atribuciones otorgadas a la JEP, para conocer de este asunto.</w:t>
      </w:r>
    </w:p>
    <w:p w14:paraId="7538C508" w14:textId="233276B1" w:rsidR="00877733" w:rsidRPr="005728CE" w:rsidRDefault="00877733" w:rsidP="00641957">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ind w:left="0" w:firstLine="709"/>
        <w:jc w:val="both"/>
        <w:rPr>
          <w:rFonts w:asciiTheme="majorHAnsi" w:hAnsiTheme="majorHAnsi"/>
          <w:i/>
          <w:iCs/>
          <w:sz w:val="20"/>
          <w:szCs w:val="20"/>
          <w:lang w:val="es-ES_tradnl"/>
        </w:rPr>
      </w:pPr>
      <w:r w:rsidRPr="005728CE">
        <w:rPr>
          <w:rFonts w:asciiTheme="majorHAnsi" w:hAnsiTheme="majorHAnsi"/>
          <w:i/>
          <w:iCs/>
          <w:sz w:val="20"/>
          <w:szCs w:val="20"/>
          <w:lang w:val="es-ES_tradnl"/>
        </w:rPr>
        <w:t xml:space="preserve">Jurisdicción penal militar y </w:t>
      </w:r>
      <w:r w:rsidR="009D7A64" w:rsidRPr="005728CE">
        <w:rPr>
          <w:rFonts w:asciiTheme="majorHAnsi" w:hAnsiTheme="majorHAnsi"/>
          <w:i/>
          <w:iCs/>
          <w:sz w:val="20"/>
          <w:szCs w:val="20"/>
          <w:lang w:val="es-ES_tradnl"/>
        </w:rPr>
        <w:t xml:space="preserve">penal </w:t>
      </w:r>
      <w:r w:rsidRPr="005728CE">
        <w:rPr>
          <w:rFonts w:asciiTheme="majorHAnsi" w:hAnsiTheme="majorHAnsi"/>
          <w:i/>
          <w:iCs/>
          <w:sz w:val="20"/>
          <w:szCs w:val="20"/>
          <w:lang w:val="es-ES_tradnl"/>
        </w:rPr>
        <w:t>ordinaria</w:t>
      </w:r>
    </w:p>
    <w:p w14:paraId="416213E2" w14:textId="2E34A647" w:rsidR="00486E6B" w:rsidRPr="005728CE" w:rsidRDefault="00486E6B"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El Estado menciona que el Juzgado 90 de Instrucción Penal Militar de Valledupar, mediante </w:t>
      </w:r>
      <w:r w:rsidRPr="005728CE">
        <w:rPr>
          <w:rFonts w:asciiTheme="majorHAnsi" w:hAnsiTheme="majorHAnsi"/>
          <w:sz w:val="20"/>
          <w:szCs w:val="20"/>
          <w:lang w:val="es-ES_tradnl"/>
        </w:rPr>
        <w:lastRenderedPageBreak/>
        <w:t xml:space="preserve">auto del 16 de agosto de 2011, incluyó en la investigación al Capitán </w:t>
      </w:r>
      <w:r w:rsidR="00DC1810" w:rsidRPr="005728CE">
        <w:rPr>
          <w:rFonts w:asciiTheme="majorHAnsi" w:hAnsiTheme="majorHAnsi"/>
          <w:sz w:val="20"/>
          <w:szCs w:val="20"/>
          <w:lang w:val="es-ES_tradnl"/>
        </w:rPr>
        <w:t>“</w:t>
      </w:r>
      <w:r w:rsidRPr="005728CE">
        <w:rPr>
          <w:rFonts w:asciiTheme="majorHAnsi" w:hAnsiTheme="majorHAnsi"/>
          <w:sz w:val="20"/>
          <w:szCs w:val="20"/>
          <w:lang w:val="es-ES_tradnl"/>
        </w:rPr>
        <w:t>N. C. C.</w:t>
      </w:r>
      <w:r w:rsidR="00DC1810"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w:t>
      </w:r>
      <w:r w:rsidR="00DC1810" w:rsidRPr="005728CE">
        <w:rPr>
          <w:rFonts w:asciiTheme="majorHAnsi" w:hAnsiTheme="majorHAnsi"/>
          <w:sz w:val="20"/>
          <w:szCs w:val="20"/>
          <w:lang w:val="es-ES_tradnl"/>
        </w:rPr>
        <w:t xml:space="preserve">al </w:t>
      </w:r>
      <w:r w:rsidRPr="005728CE">
        <w:rPr>
          <w:rFonts w:asciiTheme="majorHAnsi" w:hAnsiTheme="majorHAnsi"/>
          <w:sz w:val="20"/>
          <w:szCs w:val="20"/>
          <w:lang w:val="es-ES_tradnl"/>
        </w:rPr>
        <w:t xml:space="preserve">Cabo Segundo </w:t>
      </w:r>
      <w:r w:rsidR="00DC1810"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E. </w:t>
      </w:r>
      <w:r w:rsidR="00F74DB2" w:rsidRPr="005728CE">
        <w:rPr>
          <w:rFonts w:asciiTheme="majorHAnsi" w:hAnsiTheme="majorHAnsi"/>
          <w:sz w:val="20"/>
          <w:szCs w:val="20"/>
          <w:lang w:val="es-ES_tradnl"/>
        </w:rPr>
        <w:t>Y</w:t>
      </w:r>
      <w:r w:rsidRPr="005728CE">
        <w:rPr>
          <w:rFonts w:asciiTheme="majorHAnsi" w:hAnsiTheme="majorHAnsi"/>
          <w:sz w:val="20"/>
          <w:szCs w:val="20"/>
          <w:lang w:val="es-ES_tradnl"/>
        </w:rPr>
        <w:t>. C. N.</w:t>
      </w:r>
      <w:r w:rsidR="00DC1810" w:rsidRPr="005728CE">
        <w:rPr>
          <w:rFonts w:asciiTheme="majorHAnsi" w:hAnsiTheme="majorHAnsi"/>
          <w:sz w:val="20"/>
          <w:szCs w:val="20"/>
          <w:lang w:val="es-ES_tradnl"/>
        </w:rPr>
        <w:t>”</w:t>
      </w:r>
      <w:r w:rsidRPr="005728CE">
        <w:rPr>
          <w:rFonts w:asciiTheme="majorHAnsi" w:hAnsiTheme="majorHAnsi"/>
          <w:sz w:val="20"/>
          <w:szCs w:val="20"/>
          <w:lang w:val="es-ES_tradnl"/>
        </w:rPr>
        <w:t>,</w:t>
      </w:r>
      <w:r w:rsidR="00DC1810" w:rsidRPr="005728CE">
        <w:rPr>
          <w:rFonts w:asciiTheme="majorHAnsi" w:hAnsiTheme="majorHAnsi"/>
          <w:sz w:val="20"/>
          <w:szCs w:val="20"/>
          <w:lang w:val="es-ES_tradnl"/>
        </w:rPr>
        <w:t xml:space="preserve"> al</w:t>
      </w:r>
      <w:r w:rsidRPr="005728CE">
        <w:rPr>
          <w:rFonts w:asciiTheme="majorHAnsi" w:hAnsiTheme="majorHAnsi"/>
          <w:sz w:val="20"/>
          <w:szCs w:val="20"/>
          <w:lang w:val="es-ES_tradnl"/>
        </w:rPr>
        <w:t xml:space="preserve"> Sargento Segundo </w:t>
      </w:r>
      <w:r w:rsidR="005A619E" w:rsidRPr="005728CE">
        <w:rPr>
          <w:rFonts w:asciiTheme="majorHAnsi" w:hAnsiTheme="majorHAnsi"/>
          <w:sz w:val="20"/>
          <w:szCs w:val="20"/>
          <w:lang w:val="es-ES_tradnl"/>
        </w:rPr>
        <w:t>“</w:t>
      </w:r>
      <w:r w:rsidRPr="005728CE">
        <w:rPr>
          <w:rFonts w:asciiTheme="majorHAnsi" w:hAnsiTheme="majorHAnsi"/>
          <w:sz w:val="20"/>
          <w:szCs w:val="20"/>
          <w:lang w:val="es-ES_tradnl"/>
        </w:rPr>
        <w:t>B. T. C.</w:t>
      </w:r>
      <w:r w:rsidR="005A619E"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w:t>
      </w:r>
      <w:r w:rsidR="005A619E" w:rsidRPr="005728CE">
        <w:rPr>
          <w:rFonts w:asciiTheme="majorHAnsi" w:hAnsiTheme="majorHAnsi"/>
          <w:sz w:val="20"/>
          <w:szCs w:val="20"/>
          <w:lang w:val="es-ES_tradnl"/>
        </w:rPr>
        <w:t>a los s</w:t>
      </w:r>
      <w:r w:rsidRPr="005728CE">
        <w:rPr>
          <w:rFonts w:asciiTheme="majorHAnsi" w:hAnsiTheme="majorHAnsi"/>
          <w:sz w:val="20"/>
          <w:szCs w:val="20"/>
          <w:lang w:val="es-ES_tradnl"/>
        </w:rPr>
        <w:t>oldado</w:t>
      </w:r>
      <w:r w:rsidR="005A619E" w:rsidRPr="005728CE">
        <w:rPr>
          <w:rFonts w:asciiTheme="majorHAnsi" w:hAnsiTheme="majorHAnsi"/>
          <w:sz w:val="20"/>
          <w:szCs w:val="20"/>
          <w:lang w:val="es-ES_tradnl"/>
        </w:rPr>
        <w:t>s</w:t>
      </w:r>
      <w:r w:rsidRPr="005728CE">
        <w:rPr>
          <w:rFonts w:asciiTheme="majorHAnsi" w:hAnsiTheme="majorHAnsi"/>
          <w:sz w:val="20"/>
          <w:szCs w:val="20"/>
          <w:lang w:val="es-ES_tradnl"/>
        </w:rPr>
        <w:t xml:space="preserve"> </w:t>
      </w:r>
      <w:r w:rsidR="005A619E" w:rsidRPr="005728CE">
        <w:rPr>
          <w:rFonts w:asciiTheme="majorHAnsi" w:hAnsiTheme="majorHAnsi"/>
          <w:sz w:val="20"/>
          <w:szCs w:val="20"/>
          <w:lang w:val="es-ES_tradnl"/>
        </w:rPr>
        <w:t>p</w:t>
      </w:r>
      <w:r w:rsidRPr="005728CE">
        <w:rPr>
          <w:rFonts w:asciiTheme="majorHAnsi" w:hAnsiTheme="majorHAnsi"/>
          <w:sz w:val="20"/>
          <w:szCs w:val="20"/>
          <w:lang w:val="es-ES_tradnl"/>
        </w:rPr>
        <w:t>rofesional</w:t>
      </w:r>
      <w:r w:rsidR="005A619E" w:rsidRPr="005728CE">
        <w:rPr>
          <w:rFonts w:asciiTheme="majorHAnsi" w:hAnsiTheme="majorHAnsi"/>
          <w:sz w:val="20"/>
          <w:szCs w:val="20"/>
          <w:lang w:val="es-ES_tradnl"/>
        </w:rPr>
        <w:t>es</w:t>
      </w:r>
      <w:r w:rsidRPr="005728CE">
        <w:rPr>
          <w:rFonts w:asciiTheme="majorHAnsi" w:hAnsiTheme="majorHAnsi"/>
          <w:sz w:val="20"/>
          <w:szCs w:val="20"/>
          <w:lang w:val="es-ES_tradnl"/>
        </w:rPr>
        <w:t xml:space="preserve"> </w:t>
      </w:r>
      <w:r w:rsidR="005A619E" w:rsidRPr="005728CE">
        <w:rPr>
          <w:rFonts w:asciiTheme="majorHAnsi" w:hAnsiTheme="majorHAnsi"/>
          <w:sz w:val="20"/>
          <w:szCs w:val="20"/>
          <w:lang w:val="es-ES_tradnl"/>
        </w:rPr>
        <w:t>“</w:t>
      </w:r>
      <w:r w:rsidRPr="005728CE">
        <w:rPr>
          <w:rFonts w:asciiTheme="majorHAnsi" w:hAnsiTheme="majorHAnsi"/>
          <w:sz w:val="20"/>
          <w:szCs w:val="20"/>
          <w:lang w:val="es-ES_tradnl"/>
        </w:rPr>
        <w:t>L. F. E.</w:t>
      </w:r>
      <w:r w:rsidR="005A619E"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w:t>
      </w:r>
      <w:r w:rsidR="005A619E" w:rsidRPr="005728CE">
        <w:rPr>
          <w:rFonts w:asciiTheme="majorHAnsi" w:hAnsiTheme="majorHAnsi"/>
          <w:sz w:val="20"/>
          <w:szCs w:val="20"/>
          <w:lang w:val="es-ES_tradnl"/>
        </w:rPr>
        <w:t>“</w:t>
      </w:r>
      <w:r w:rsidRPr="005728CE">
        <w:rPr>
          <w:rFonts w:asciiTheme="majorHAnsi" w:hAnsiTheme="majorHAnsi"/>
          <w:sz w:val="20"/>
          <w:szCs w:val="20"/>
          <w:lang w:val="es-ES_tradnl"/>
        </w:rPr>
        <w:t>D. H. G. S.</w:t>
      </w:r>
      <w:r w:rsidR="004E5743"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w:t>
      </w:r>
      <w:r w:rsidR="004E5743" w:rsidRPr="005728CE">
        <w:rPr>
          <w:rFonts w:asciiTheme="majorHAnsi" w:hAnsiTheme="majorHAnsi"/>
          <w:sz w:val="20"/>
          <w:szCs w:val="20"/>
          <w:lang w:val="es-ES_tradnl"/>
        </w:rPr>
        <w:t>“</w:t>
      </w:r>
      <w:r w:rsidRPr="005728CE">
        <w:rPr>
          <w:rFonts w:asciiTheme="majorHAnsi" w:hAnsiTheme="majorHAnsi"/>
          <w:sz w:val="20"/>
          <w:szCs w:val="20"/>
          <w:lang w:val="es-ES_tradnl"/>
        </w:rPr>
        <w:t>R. G. P.</w:t>
      </w:r>
      <w:r w:rsidR="004E5743"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y </w:t>
      </w:r>
      <w:r w:rsidR="004E5743" w:rsidRPr="005728CE">
        <w:rPr>
          <w:rFonts w:asciiTheme="majorHAnsi" w:hAnsiTheme="majorHAnsi"/>
          <w:sz w:val="20"/>
          <w:szCs w:val="20"/>
          <w:lang w:val="es-ES_tradnl"/>
        </w:rPr>
        <w:t>“</w:t>
      </w:r>
      <w:r w:rsidRPr="005728CE">
        <w:rPr>
          <w:rFonts w:asciiTheme="majorHAnsi" w:hAnsiTheme="majorHAnsi"/>
          <w:sz w:val="20"/>
          <w:szCs w:val="20"/>
          <w:lang w:val="es-ES_tradnl"/>
        </w:rPr>
        <w:t>M. J. C. B.</w:t>
      </w:r>
      <w:r w:rsidR="004E5743"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Paralelamente, en la justicia ordinaria las autoridades nacionales iniciaron investigaciones bajo la noticia criminal No. 200016001086201100353 para esclarecer los sucesos del 28 de julio de 2011.</w:t>
      </w:r>
    </w:p>
    <w:p w14:paraId="6AA19FFD" w14:textId="4B84ABD9" w:rsidR="00486E6B" w:rsidRPr="005728CE" w:rsidRDefault="00486E6B"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El 17 de enero de 2012 el Juzgado Primero Municipal con Funciones de Control de Garantías de Valledupar realizó una audiencia de conflicto de competencia, con representantes de la Fiscalía Segunda Especializada de Valledupar y del Juzgado Quince de Brigada de la misma ciudad. </w:t>
      </w:r>
      <w:r w:rsidR="00543315" w:rsidRPr="005728CE">
        <w:rPr>
          <w:rFonts w:asciiTheme="majorHAnsi" w:hAnsiTheme="majorHAnsi"/>
          <w:sz w:val="20"/>
          <w:szCs w:val="20"/>
          <w:lang w:val="es-ES_tradnl"/>
        </w:rPr>
        <w:t>Así, e</w:t>
      </w:r>
      <w:r w:rsidRPr="005728CE">
        <w:rPr>
          <w:rFonts w:asciiTheme="majorHAnsi" w:hAnsiTheme="majorHAnsi"/>
          <w:sz w:val="20"/>
          <w:szCs w:val="20"/>
          <w:lang w:val="es-ES_tradnl"/>
        </w:rPr>
        <w:t>l 5 de junio de 2012 la Sala Jurisdiccional Disciplinaria del Consejo Superior de la Judicatura resolvió asignar la competencia de la investigación a la justicia ordinaria.</w:t>
      </w:r>
    </w:p>
    <w:p w14:paraId="55839369" w14:textId="3E25AC47" w:rsidR="00486E6B" w:rsidRPr="005728CE" w:rsidRDefault="00486E6B"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color w:val="auto"/>
          <w:sz w:val="20"/>
          <w:szCs w:val="20"/>
          <w:lang w:val="es-ES_tradnl"/>
        </w:rPr>
      </w:pPr>
      <w:r w:rsidRPr="005728CE">
        <w:rPr>
          <w:rFonts w:asciiTheme="majorHAnsi" w:hAnsiTheme="majorHAnsi"/>
          <w:sz w:val="20"/>
          <w:szCs w:val="20"/>
          <w:lang w:val="es-ES_tradnl"/>
        </w:rPr>
        <w:t xml:space="preserve">El 19 de junio de 2012 el Juzgado 90 de Instrucción Penal Militar transfirió el expediente del sumario No. 1795 a la Fiscalía Segunda Especializada de Valledupar por competencia. El 31 de mayo de 2019, </w:t>
      </w:r>
      <w:r w:rsidR="00877733" w:rsidRPr="005728CE">
        <w:rPr>
          <w:rFonts w:asciiTheme="majorHAnsi" w:hAnsiTheme="majorHAnsi"/>
          <w:sz w:val="20"/>
          <w:szCs w:val="20"/>
          <w:lang w:val="es-ES_tradnl"/>
        </w:rPr>
        <w:t>el Juzgado Segundo Penal Municipal de Control de Garantías de Valledupar</w:t>
      </w:r>
      <w:r w:rsidRPr="005728CE">
        <w:rPr>
          <w:rFonts w:asciiTheme="majorHAnsi" w:hAnsiTheme="majorHAnsi"/>
          <w:sz w:val="20"/>
          <w:szCs w:val="20"/>
          <w:lang w:val="es-ES_tradnl"/>
        </w:rPr>
        <w:t xml:space="preserve"> llevó a cabo una </w:t>
      </w:r>
      <w:r w:rsidRPr="005728CE">
        <w:rPr>
          <w:rFonts w:asciiTheme="majorHAnsi" w:hAnsiTheme="majorHAnsi"/>
          <w:color w:val="auto"/>
          <w:sz w:val="20"/>
          <w:szCs w:val="20"/>
          <w:lang w:val="es-ES_tradnl"/>
        </w:rPr>
        <w:t xml:space="preserve">audiencia de formulación de imputación a los procesados </w:t>
      </w:r>
      <w:r w:rsidR="00D82B5A" w:rsidRPr="005728CE">
        <w:rPr>
          <w:rFonts w:asciiTheme="majorHAnsi" w:hAnsiTheme="majorHAnsi"/>
          <w:color w:val="auto"/>
          <w:sz w:val="20"/>
          <w:szCs w:val="20"/>
          <w:lang w:val="es-ES_tradnl"/>
        </w:rPr>
        <w:t>“</w:t>
      </w:r>
      <w:r w:rsidRPr="005728CE">
        <w:rPr>
          <w:rFonts w:asciiTheme="majorHAnsi" w:hAnsiTheme="majorHAnsi"/>
          <w:color w:val="auto"/>
          <w:sz w:val="20"/>
          <w:szCs w:val="20"/>
          <w:lang w:val="es-ES_tradnl" w:bidi="es-ES"/>
        </w:rPr>
        <w:t>N. E. C. C.</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D. H. G. S.</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D82B5A" w:rsidRPr="005728CE">
        <w:rPr>
          <w:rFonts w:asciiTheme="majorHAnsi" w:hAnsiTheme="majorHAnsi"/>
          <w:color w:val="auto"/>
          <w:sz w:val="20"/>
          <w:szCs w:val="20"/>
          <w:lang w:val="es-ES_tradnl" w:bidi="es-ES"/>
        </w:rPr>
        <w:t>“</w:t>
      </w:r>
      <w:r w:rsidR="00796DB9" w:rsidRPr="005728CE">
        <w:rPr>
          <w:rFonts w:asciiTheme="majorHAnsi" w:hAnsiTheme="majorHAnsi"/>
          <w:color w:val="auto"/>
          <w:sz w:val="20"/>
          <w:szCs w:val="20"/>
          <w:lang w:val="es-ES_tradnl" w:bidi="es-ES"/>
        </w:rPr>
        <w:t>B</w:t>
      </w:r>
      <w:r w:rsidRPr="005728CE">
        <w:rPr>
          <w:rFonts w:asciiTheme="majorHAnsi" w:hAnsiTheme="majorHAnsi"/>
          <w:color w:val="auto"/>
          <w:sz w:val="20"/>
          <w:szCs w:val="20"/>
          <w:lang w:val="es-ES_tradnl" w:bidi="es-ES"/>
        </w:rPr>
        <w:t>. T. C.</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L. F. E.</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R. G. P.</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E. </w:t>
      </w:r>
      <w:r w:rsidR="00F74DB2" w:rsidRPr="005728CE">
        <w:rPr>
          <w:rFonts w:asciiTheme="majorHAnsi" w:hAnsiTheme="majorHAnsi"/>
          <w:color w:val="auto"/>
          <w:sz w:val="20"/>
          <w:szCs w:val="20"/>
          <w:lang w:val="es-ES_tradnl" w:bidi="es-ES"/>
        </w:rPr>
        <w:t>Y</w:t>
      </w:r>
      <w:r w:rsidRPr="005728CE">
        <w:rPr>
          <w:rFonts w:asciiTheme="majorHAnsi" w:hAnsiTheme="majorHAnsi"/>
          <w:color w:val="auto"/>
          <w:sz w:val="20"/>
          <w:szCs w:val="20"/>
          <w:lang w:val="es-ES_tradnl" w:bidi="es-ES"/>
        </w:rPr>
        <w:t>. C. N.</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y </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M. J. C. B.</w:t>
      </w:r>
      <w:r w:rsidR="00D82B5A" w:rsidRPr="005728CE">
        <w:rPr>
          <w:rFonts w:asciiTheme="majorHAnsi" w:hAnsiTheme="majorHAnsi"/>
          <w:color w:val="auto"/>
          <w:sz w:val="20"/>
          <w:szCs w:val="20"/>
          <w:lang w:val="es-ES_tradnl" w:bidi="es-ES"/>
        </w:rPr>
        <w:t>”</w:t>
      </w:r>
      <w:r w:rsidRPr="005728CE">
        <w:rPr>
          <w:rFonts w:asciiTheme="majorHAnsi" w:hAnsiTheme="majorHAnsi"/>
          <w:color w:val="auto"/>
          <w:sz w:val="20"/>
          <w:szCs w:val="20"/>
          <w:lang w:val="es-ES_tradnl" w:bidi="es-ES"/>
        </w:rPr>
        <w:t xml:space="preserve"> </w:t>
      </w:r>
      <w:r w:rsidRPr="005728CE">
        <w:rPr>
          <w:rFonts w:asciiTheme="majorHAnsi" w:hAnsiTheme="majorHAnsi"/>
          <w:color w:val="auto"/>
          <w:sz w:val="20"/>
          <w:szCs w:val="20"/>
          <w:lang w:val="es-ES_tradnl"/>
        </w:rPr>
        <w:t>por el delito de homicidio en persona protegida en concurso sucesivo y homogéneo.</w:t>
      </w:r>
    </w:p>
    <w:p w14:paraId="7B369F91" w14:textId="21194019" w:rsidR="00877733" w:rsidRPr="005728CE" w:rsidRDefault="00877733"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color w:val="auto"/>
          <w:sz w:val="20"/>
          <w:szCs w:val="20"/>
          <w:lang w:val="es-ES_tradnl"/>
        </w:rPr>
        <w:t>A partir del 12 de julio de 2021, las actividades investigativas fueron suspendidas en este caso, debido a que la Sala de Definición de Situaciones Jurídicas de la JEP</w:t>
      </w:r>
      <w:r w:rsidR="004D6498" w:rsidRPr="005728CE">
        <w:rPr>
          <w:rFonts w:asciiTheme="majorHAnsi" w:hAnsiTheme="majorHAnsi"/>
          <w:color w:val="auto"/>
          <w:sz w:val="20"/>
          <w:szCs w:val="20"/>
          <w:lang w:val="es-ES_tradnl"/>
        </w:rPr>
        <w:t xml:space="preserve"> asumió el conocimiento del asunto</w:t>
      </w:r>
      <w:r w:rsidR="004D6498" w:rsidRPr="005728CE">
        <w:rPr>
          <w:rFonts w:asciiTheme="majorHAnsi" w:hAnsiTheme="majorHAnsi"/>
          <w:sz w:val="20"/>
          <w:szCs w:val="20"/>
          <w:lang w:val="es-ES_tradnl"/>
        </w:rPr>
        <w:t xml:space="preserve">. </w:t>
      </w:r>
    </w:p>
    <w:p w14:paraId="506335D9" w14:textId="40492E26" w:rsidR="00877733" w:rsidRPr="005728CE" w:rsidRDefault="009B049A" w:rsidP="00641957">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ind w:left="0" w:firstLine="709"/>
        <w:jc w:val="both"/>
        <w:rPr>
          <w:rFonts w:asciiTheme="majorHAnsi" w:hAnsiTheme="majorHAnsi"/>
          <w:i/>
          <w:iCs/>
          <w:sz w:val="20"/>
          <w:szCs w:val="20"/>
          <w:lang w:val="es-ES_tradnl"/>
        </w:rPr>
      </w:pPr>
      <w:r w:rsidRPr="005728CE">
        <w:rPr>
          <w:rFonts w:asciiTheme="majorHAnsi" w:hAnsiTheme="majorHAnsi"/>
          <w:i/>
          <w:iCs/>
          <w:sz w:val="20"/>
          <w:szCs w:val="20"/>
          <w:lang w:val="es-ES_tradnl"/>
        </w:rPr>
        <w:t>Jurisdicción Especial para la Paz (JEP)</w:t>
      </w:r>
    </w:p>
    <w:p w14:paraId="3B79A580" w14:textId="64721798" w:rsidR="00796DB9" w:rsidRPr="005728CE" w:rsidRDefault="002E4A0C"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El Estado informa que los imputados solicitaron su sometimiento a la JEP. L</w:t>
      </w:r>
      <w:r w:rsidR="00796DB9" w:rsidRPr="005728CE">
        <w:rPr>
          <w:rFonts w:asciiTheme="majorHAnsi" w:hAnsiTheme="majorHAnsi"/>
          <w:sz w:val="20"/>
          <w:szCs w:val="20"/>
          <w:lang w:val="es-ES_tradnl"/>
        </w:rPr>
        <w:t xml:space="preserve">a tabla siguiente, preparada por la CIDH, presenta un resumen de las informaciones procesales presentadas por el Estado con respecto a </w:t>
      </w:r>
      <w:r w:rsidR="004C5390" w:rsidRPr="005728CE">
        <w:rPr>
          <w:rFonts w:asciiTheme="majorHAnsi" w:hAnsiTheme="majorHAnsi"/>
          <w:sz w:val="20"/>
          <w:szCs w:val="20"/>
          <w:lang w:val="es-ES_tradnl"/>
        </w:rPr>
        <w:t>seis</w:t>
      </w:r>
      <w:r w:rsidR="00796DB9" w:rsidRPr="005728CE">
        <w:rPr>
          <w:rFonts w:asciiTheme="majorHAnsi" w:hAnsiTheme="majorHAnsi"/>
          <w:sz w:val="20"/>
          <w:szCs w:val="20"/>
          <w:lang w:val="es-ES_tradnl"/>
        </w:rPr>
        <w:t xml:space="preserve"> de los imputados.</w:t>
      </w:r>
      <w:r w:rsidR="004A76E5" w:rsidRPr="005728CE">
        <w:rPr>
          <w:rFonts w:asciiTheme="majorHAnsi" w:hAnsiTheme="majorHAnsi"/>
          <w:sz w:val="20"/>
          <w:szCs w:val="20"/>
          <w:lang w:val="es-ES_tradnl"/>
        </w:rPr>
        <w:t xml:space="preserve"> –El Estado no presentó información con respecto al imputado </w:t>
      </w:r>
      <w:r w:rsidR="004A76E5" w:rsidRPr="005728CE">
        <w:rPr>
          <w:rFonts w:asciiTheme="majorHAnsi" w:hAnsiTheme="majorHAnsi"/>
          <w:sz w:val="20"/>
          <w:szCs w:val="20"/>
          <w:lang w:val="es-ES_tradnl" w:bidi="es-ES"/>
        </w:rPr>
        <w:t xml:space="preserve">N. E. C. C. </w:t>
      </w:r>
      <w:r w:rsidR="004A76E5" w:rsidRPr="005728CE">
        <w:rPr>
          <w:rFonts w:asciiTheme="majorHAnsi" w:hAnsiTheme="majorHAnsi"/>
          <w:sz w:val="20"/>
          <w:szCs w:val="20"/>
          <w:lang w:val="es-ES_tradnl"/>
        </w:rPr>
        <w:t>–</w:t>
      </w:r>
    </w:p>
    <w:tbl>
      <w:tblPr>
        <w:tblStyle w:val="TableGrid"/>
        <w:tblW w:w="0" w:type="auto"/>
        <w:tblInd w:w="7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2"/>
        <w:gridCol w:w="7530"/>
      </w:tblGrid>
      <w:tr w:rsidR="00796DB9" w:rsidRPr="005728CE" w14:paraId="7120494C" w14:textId="77777777" w:rsidTr="0039288F">
        <w:tc>
          <w:tcPr>
            <w:tcW w:w="1072" w:type="dxa"/>
            <w:tcBorders>
              <w:top w:val="nil"/>
              <w:left w:val="nil"/>
              <w:bottom w:val="single" w:sz="12" w:space="0" w:color="auto"/>
            </w:tcBorders>
          </w:tcPr>
          <w:p w14:paraId="544B2551" w14:textId="14FADA6E" w:rsidR="00796DB9" w:rsidRPr="005728CE" w:rsidRDefault="00796DB9"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center"/>
              <w:rPr>
                <w:rFonts w:asciiTheme="majorHAnsi" w:hAnsiTheme="majorHAnsi"/>
                <w:b/>
                <w:bCs/>
                <w:sz w:val="19"/>
                <w:szCs w:val="19"/>
                <w:lang w:val="es-ES_tradnl"/>
              </w:rPr>
            </w:pPr>
            <w:r w:rsidRPr="005728CE">
              <w:rPr>
                <w:rFonts w:asciiTheme="majorHAnsi" w:hAnsiTheme="majorHAnsi"/>
                <w:b/>
                <w:bCs/>
                <w:sz w:val="19"/>
                <w:szCs w:val="19"/>
                <w:lang w:val="es-ES_tradnl"/>
              </w:rPr>
              <w:t>Imputado</w:t>
            </w:r>
          </w:p>
        </w:tc>
        <w:tc>
          <w:tcPr>
            <w:tcW w:w="7530" w:type="dxa"/>
            <w:tcBorders>
              <w:top w:val="nil"/>
              <w:bottom w:val="single" w:sz="12" w:space="0" w:color="auto"/>
              <w:right w:val="nil"/>
            </w:tcBorders>
          </w:tcPr>
          <w:p w14:paraId="61E38989" w14:textId="19773930" w:rsidR="00796DB9" w:rsidRPr="005728CE" w:rsidRDefault="00796DB9"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center"/>
              <w:rPr>
                <w:rFonts w:asciiTheme="majorHAnsi" w:hAnsiTheme="majorHAnsi"/>
                <w:b/>
                <w:bCs/>
                <w:sz w:val="19"/>
                <w:szCs w:val="19"/>
                <w:lang w:val="es-ES_tradnl"/>
              </w:rPr>
            </w:pPr>
            <w:r w:rsidRPr="005728CE">
              <w:rPr>
                <w:rFonts w:asciiTheme="majorHAnsi" w:hAnsiTheme="majorHAnsi"/>
                <w:b/>
                <w:bCs/>
                <w:sz w:val="19"/>
                <w:szCs w:val="19"/>
                <w:lang w:val="es-ES_tradnl"/>
              </w:rPr>
              <w:t xml:space="preserve">Hechos </w:t>
            </w:r>
            <w:r w:rsidR="004C5390" w:rsidRPr="005728CE">
              <w:rPr>
                <w:rFonts w:asciiTheme="majorHAnsi" w:hAnsiTheme="majorHAnsi"/>
                <w:b/>
                <w:bCs/>
                <w:sz w:val="19"/>
                <w:szCs w:val="19"/>
                <w:lang w:val="es-ES_tradnl"/>
              </w:rPr>
              <w:t>indicados</w:t>
            </w:r>
          </w:p>
        </w:tc>
      </w:tr>
      <w:tr w:rsidR="00796DB9" w:rsidRPr="00C555B7" w14:paraId="5AD63C90" w14:textId="77777777" w:rsidTr="0039288F">
        <w:tc>
          <w:tcPr>
            <w:tcW w:w="1072" w:type="dxa"/>
            <w:tcBorders>
              <w:top w:val="single" w:sz="12" w:space="0" w:color="auto"/>
              <w:bottom w:val="nil"/>
            </w:tcBorders>
            <w:shd w:val="clear" w:color="auto" w:fill="D9D9D9" w:themeFill="background1" w:themeFillShade="D9"/>
          </w:tcPr>
          <w:p w14:paraId="4598BFA4"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729D75FA"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0187B5EF"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17CB65AB" w14:textId="1DC3F481" w:rsidR="00796DB9" w:rsidRPr="005728CE" w:rsidRDefault="00796DB9"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rPr>
            </w:pPr>
            <w:r w:rsidRPr="005728CE">
              <w:rPr>
                <w:rFonts w:asciiTheme="majorHAnsi" w:hAnsiTheme="majorHAnsi"/>
                <w:b/>
                <w:bCs/>
                <w:sz w:val="19"/>
                <w:szCs w:val="19"/>
                <w:lang w:val="es-ES_tradnl" w:bidi="es-ES"/>
              </w:rPr>
              <w:t>D. H. G. S.</w:t>
            </w:r>
          </w:p>
        </w:tc>
        <w:tc>
          <w:tcPr>
            <w:tcW w:w="7530" w:type="dxa"/>
            <w:tcBorders>
              <w:top w:val="single" w:sz="12" w:space="0" w:color="auto"/>
              <w:bottom w:val="nil"/>
            </w:tcBorders>
            <w:shd w:val="clear" w:color="auto" w:fill="D9D9D9" w:themeFill="background1" w:themeFillShade="D9"/>
          </w:tcPr>
          <w:p w14:paraId="7107FF33" w14:textId="1A7728EB" w:rsidR="00796DB9" w:rsidRPr="005728CE" w:rsidRDefault="004C5390"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9"/>
                <w:szCs w:val="19"/>
                <w:lang w:val="es-ES_tradnl"/>
              </w:rPr>
            </w:pPr>
            <w:r w:rsidRPr="005728CE">
              <w:rPr>
                <w:rFonts w:asciiTheme="majorHAnsi" w:hAnsiTheme="majorHAnsi"/>
                <w:sz w:val="19"/>
                <w:szCs w:val="19"/>
                <w:lang w:val="es-ES_tradnl" w:bidi="es-ES"/>
              </w:rPr>
              <w:t>D. H. G. S.</w:t>
            </w:r>
            <w:r w:rsidR="00796DB9" w:rsidRPr="005728CE">
              <w:rPr>
                <w:rFonts w:asciiTheme="majorHAnsi" w:hAnsiTheme="majorHAnsi"/>
                <w:sz w:val="19"/>
                <w:szCs w:val="19"/>
                <w:lang w:val="es-ES_tradnl"/>
              </w:rPr>
              <w:t>, mediante petición del 23 de noviembre de 2018, solicitó su sometimiento a</w:t>
            </w:r>
            <w:r w:rsidRPr="005728CE">
              <w:rPr>
                <w:rFonts w:asciiTheme="majorHAnsi" w:hAnsiTheme="majorHAnsi"/>
                <w:sz w:val="19"/>
                <w:szCs w:val="19"/>
                <w:lang w:val="es-ES_tradnl"/>
              </w:rPr>
              <w:t xml:space="preserve"> la JEP</w:t>
            </w:r>
            <w:r w:rsidR="00796DB9" w:rsidRPr="005728CE">
              <w:rPr>
                <w:rFonts w:asciiTheme="majorHAnsi" w:hAnsiTheme="majorHAnsi"/>
                <w:sz w:val="19"/>
                <w:szCs w:val="19"/>
                <w:lang w:val="es-ES_tradnl"/>
              </w:rPr>
              <w:t>.</w:t>
            </w:r>
            <w:r w:rsidRPr="005728CE">
              <w:rPr>
                <w:rFonts w:asciiTheme="majorHAnsi" w:hAnsiTheme="majorHAnsi"/>
                <w:sz w:val="19"/>
                <w:szCs w:val="19"/>
                <w:lang w:val="es-ES_tradnl"/>
              </w:rPr>
              <w:t xml:space="preserve"> </w:t>
            </w:r>
            <w:r w:rsidR="00796DB9" w:rsidRPr="005728CE">
              <w:rPr>
                <w:rFonts w:asciiTheme="majorHAnsi" w:hAnsiTheme="majorHAnsi"/>
                <w:sz w:val="19"/>
                <w:szCs w:val="19"/>
                <w:lang w:val="es-ES_tradnl"/>
              </w:rPr>
              <w:t>La Sala de Definición de Situaciones Jurídicas, con Resolución 3324, del 12 de julio de 2021, aceptó por competencia prevalente la solicitud</w:t>
            </w:r>
            <w:r w:rsidRPr="005728CE">
              <w:rPr>
                <w:rFonts w:asciiTheme="majorHAnsi" w:hAnsiTheme="majorHAnsi"/>
                <w:sz w:val="19"/>
                <w:szCs w:val="19"/>
                <w:lang w:val="es-ES_tradnl"/>
              </w:rPr>
              <w:t xml:space="preserve">. </w:t>
            </w:r>
            <w:r w:rsidR="00796DB9" w:rsidRPr="005728CE">
              <w:rPr>
                <w:rFonts w:asciiTheme="majorHAnsi" w:hAnsiTheme="majorHAnsi"/>
                <w:sz w:val="19"/>
                <w:szCs w:val="19"/>
                <w:lang w:val="es-ES_tradnl"/>
              </w:rPr>
              <w:t xml:space="preserve">Posteriormente, </w:t>
            </w:r>
            <w:r w:rsidRPr="005728CE">
              <w:rPr>
                <w:rFonts w:asciiTheme="majorHAnsi" w:hAnsiTheme="majorHAnsi"/>
                <w:sz w:val="19"/>
                <w:szCs w:val="19"/>
                <w:lang w:val="es-ES_tradnl"/>
              </w:rPr>
              <w:t>mediante las</w:t>
            </w:r>
            <w:r w:rsidR="00796DB9" w:rsidRPr="005728CE">
              <w:rPr>
                <w:rFonts w:asciiTheme="majorHAnsi" w:hAnsiTheme="majorHAnsi"/>
                <w:sz w:val="19"/>
                <w:szCs w:val="19"/>
                <w:lang w:val="es-ES_tradnl"/>
              </w:rPr>
              <w:t xml:space="preserve"> Resoluci</w:t>
            </w:r>
            <w:r w:rsidRPr="005728CE">
              <w:rPr>
                <w:rFonts w:asciiTheme="majorHAnsi" w:hAnsiTheme="majorHAnsi"/>
                <w:sz w:val="19"/>
                <w:szCs w:val="19"/>
                <w:lang w:val="es-ES_tradnl"/>
              </w:rPr>
              <w:t>o</w:t>
            </w:r>
            <w:r w:rsidR="00796DB9" w:rsidRPr="005728CE">
              <w:rPr>
                <w:rFonts w:asciiTheme="majorHAnsi" w:hAnsiTheme="majorHAnsi"/>
                <w:sz w:val="19"/>
                <w:szCs w:val="19"/>
                <w:lang w:val="es-ES_tradnl"/>
              </w:rPr>
              <w:t>n</w:t>
            </w:r>
            <w:r w:rsidRPr="005728CE">
              <w:rPr>
                <w:rFonts w:asciiTheme="majorHAnsi" w:hAnsiTheme="majorHAnsi"/>
                <w:sz w:val="19"/>
                <w:szCs w:val="19"/>
                <w:lang w:val="es-ES_tradnl"/>
              </w:rPr>
              <w:t>es</w:t>
            </w:r>
            <w:r w:rsidR="00796DB9" w:rsidRPr="005728CE">
              <w:rPr>
                <w:rFonts w:asciiTheme="majorHAnsi" w:hAnsiTheme="majorHAnsi"/>
                <w:sz w:val="19"/>
                <w:szCs w:val="19"/>
                <w:lang w:val="es-ES_tradnl"/>
              </w:rPr>
              <w:t xml:space="preserve"> del 3325 del 12 de julio de 2021</w:t>
            </w:r>
            <w:r w:rsidRPr="005728CE">
              <w:rPr>
                <w:rFonts w:asciiTheme="majorHAnsi" w:hAnsiTheme="majorHAnsi"/>
                <w:sz w:val="19"/>
                <w:szCs w:val="19"/>
                <w:lang w:val="es-ES_tradnl"/>
              </w:rPr>
              <w:t xml:space="preserve"> y del 27 de septiembre de 2022, reconoció como víctimas indirectas a Karol Jiménez Osorio, Karen Nayiber Bustos Pedraza, Lennis Alejandro Bustos Pedraza, </w:t>
            </w:r>
            <w:r w:rsidR="00796DB9" w:rsidRPr="005728CE">
              <w:rPr>
                <w:rFonts w:asciiTheme="majorHAnsi" w:hAnsiTheme="majorHAnsi"/>
                <w:sz w:val="19"/>
                <w:szCs w:val="19"/>
                <w:lang w:val="es-ES_tradnl"/>
              </w:rPr>
              <w:t>Maricel Osorio Carrillo y Luz Danny Pedraza Díaz</w:t>
            </w:r>
            <w:r w:rsidRPr="005728CE">
              <w:rPr>
                <w:rFonts w:asciiTheme="majorHAnsi" w:hAnsiTheme="majorHAnsi"/>
                <w:sz w:val="19"/>
                <w:szCs w:val="19"/>
                <w:lang w:val="es-ES_tradnl"/>
              </w:rPr>
              <w:t xml:space="preserve"> (familiares de las presuntas víctimas). El 18 de mayo de 2023, la Sala </w:t>
            </w:r>
            <w:r w:rsidR="00796DB9" w:rsidRPr="005728CE">
              <w:rPr>
                <w:rFonts w:asciiTheme="majorHAnsi" w:hAnsiTheme="majorHAnsi"/>
                <w:sz w:val="19"/>
                <w:szCs w:val="19"/>
                <w:lang w:val="es-ES_tradnl"/>
              </w:rPr>
              <w:t>solicitó</w:t>
            </w:r>
            <w:r w:rsidRPr="005728CE">
              <w:rPr>
                <w:rFonts w:asciiTheme="majorHAnsi" w:hAnsiTheme="majorHAnsi"/>
                <w:sz w:val="19"/>
                <w:szCs w:val="19"/>
                <w:lang w:val="es-ES_tradnl"/>
              </w:rPr>
              <w:t>,</w:t>
            </w:r>
            <w:r w:rsidR="00796DB9" w:rsidRPr="005728CE">
              <w:rPr>
                <w:rFonts w:asciiTheme="majorHAnsi" w:hAnsiTheme="majorHAnsi"/>
                <w:sz w:val="19"/>
                <w:szCs w:val="19"/>
                <w:lang w:val="es-ES_tradnl"/>
              </w:rPr>
              <w:t xml:space="preserve"> en su Resolución No. 1535, requerir al compareciente </w:t>
            </w:r>
            <w:r w:rsidRPr="005728CE">
              <w:rPr>
                <w:rFonts w:asciiTheme="majorHAnsi" w:hAnsiTheme="majorHAnsi"/>
                <w:sz w:val="19"/>
                <w:szCs w:val="19"/>
                <w:lang w:val="es-ES_tradnl"/>
              </w:rPr>
              <w:t>D. H. G. S.</w:t>
            </w:r>
            <w:r w:rsidR="00796DB9" w:rsidRPr="005728CE">
              <w:rPr>
                <w:rFonts w:asciiTheme="majorHAnsi" w:hAnsiTheme="majorHAnsi"/>
                <w:sz w:val="19"/>
                <w:szCs w:val="19"/>
                <w:lang w:val="es-ES_tradnl"/>
              </w:rPr>
              <w:t xml:space="preserve"> para que de manera inmediata diera cumplimiento a la Resolución No. 56 emitida el 12 enero de este año, en la cual se le ordenaba</w:t>
            </w:r>
            <w:r w:rsidRPr="005728CE">
              <w:rPr>
                <w:rFonts w:asciiTheme="majorHAnsi" w:hAnsiTheme="majorHAnsi"/>
                <w:sz w:val="19"/>
                <w:szCs w:val="19"/>
                <w:lang w:val="es-ES_tradnl"/>
              </w:rPr>
              <w:t xml:space="preserve"> </w:t>
            </w:r>
            <w:r w:rsidR="00796DB9" w:rsidRPr="005728CE">
              <w:rPr>
                <w:rFonts w:asciiTheme="majorHAnsi" w:hAnsiTheme="majorHAnsi"/>
                <w:sz w:val="19"/>
                <w:szCs w:val="19"/>
                <w:lang w:val="es-ES_tradnl"/>
              </w:rPr>
              <w:t>ajustar su compromiso claro y programado, en el componente de verdad en este caso.</w:t>
            </w:r>
          </w:p>
        </w:tc>
      </w:tr>
      <w:tr w:rsidR="00796DB9" w:rsidRPr="00C555B7" w14:paraId="58A9DFD2" w14:textId="77777777" w:rsidTr="0039288F">
        <w:tc>
          <w:tcPr>
            <w:tcW w:w="1072" w:type="dxa"/>
            <w:tcBorders>
              <w:top w:val="nil"/>
              <w:bottom w:val="nil"/>
            </w:tcBorders>
          </w:tcPr>
          <w:p w14:paraId="60289CCF"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5C68F8CB"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7D6240BA"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67DE5606" w14:textId="421D696D" w:rsidR="00796DB9" w:rsidRPr="005728CE" w:rsidRDefault="00796DB9"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rPr>
            </w:pPr>
            <w:r w:rsidRPr="005728CE">
              <w:rPr>
                <w:rFonts w:asciiTheme="majorHAnsi" w:hAnsiTheme="majorHAnsi"/>
                <w:b/>
                <w:bCs/>
                <w:sz w:val="19"/>
                <w:szCs w:val="19"/>
                <w:lang w:val="es-ES_tradnl" w:bidi="es-ES"/>
              </w:rPr>
              <w:t>B. T. C.</w:t>
            </w:r>
          </w:p>
        </w:tc>
        <w:tc>
          <w:tcPr>
            <w:tcW w:w="7530" w:type="dxa"/>
            <w:tcBorders>
              <w:top w:val="nil"/>
              <w:bottom w:val="nil"/>
            </w:tcBorders>
          </w:tcPr>
          <w:p w14:paraId="57970BBB" w14:textId="6A4CEEF3" w:rsidR="00796DB9" w:rsidRPr="005728CE" w:rsidRDefault="004C5390"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9"/>
                <w:szCs w:val="19"/>
                <w:lang w:val="es-ES_tradnl"/>
              </w:rPr>
            </w:pPr>
            <w:r w:rsidRPr="005728CE">
              <w:rPr>
                <w:rFonts w:asciiTheme="majorHAnsi" w:hAnsiTheme="majorHAnsi"/>
                <w:sz w:val="19"/>
                <w:szCs w:val="19"/>
                <w:lang w:val="es-ES_tradnl"/>
              </w:rPr>
              <w:t>B. T. C.</w:t>
            </w:r>
            <w:r w:rsidR="00F74DB2" w:rsidRPr="005728CE">
              <w:rPr>
                <w:rFonts w:asciiTheme="majorHAnsi" w:hAnsiTheme="majorHAnsi"/>
                <w:sz w:val="19"/>
                <w:szCs w:val="19"/>
                <w:lang w:val="es-ES_tradnl"/>
              </w:rPr>
              <w:t xml:space="preserve">, mediante solicitud escrita, manifestó su intención de acogerse a la </w:t>
            </w:r>
            <w:r w:rsidR="00715506" w:rsidRPr="005728CE">
              <w:rPr>
                <w:rFonts w:asciiTheme="majorHAnsi" w:hAnsiTheme="majorHAnsi"/>
                <w:sz w:val="19"/>
                <w:szCs w:val="19"/>
                <w:lang w:val="es-ES_tradnl"/>
              </w:rPr>
              <w:t>JEP</w:t>
            </w:r>
            <w:r w:rsidR="00F74DB2" w:rsidRPr="005728CE">
              <w:rPr>
                <w:rFonts w:asciiTheme="majorHAnsi" w:hAnsiTheme="majorHAnsi"/>
                <w:sz w:val="19"/>
                <w:szCs w:val="19"/>
                <w:lang w:val="es-ES_tradnl"/>
              </w:rPr>
              <w:t>.</w:t>
            </w:r>
            <w:r w:rsidR="00715506" w:rsidRPr="005728CE">
              <w:rPr>
                <w:rFonts w:asciiTheme="majorHAnsi" w:hAnsiTheme="majorHAnsi"/>
                <w:sz w:val="19"/>
                <w:szCs w:val="19"/>
                <w:lang w:val="es-ES_tradnl"/>
              </w:rPr>
              <w:t xml:space="preserve"> </w:t>
            </w:r>
            <w:r w:rsidR="00F74DB2" w:rsidRPr="005728CE">
              <w:rPr>
                <w:rFonts w:asciiTheme="majorHAnsi" w:hAnsiTheme="majorHAnsi"/>
                <w:sz w:val="19"/>
                <w:szCs w:val="19"/>
                <w:lang w:val="es-ES_tradnl"/>
              </w:rPr>
              <w:t xml:space="preserve">El 24 de septiembre de 2019, por medio de acta de reparto No. 0046, le fue asignado el trámite al despacho del Magistrado Juan Ramón Martínez, quien a través de la Resolución No. 6261, del 7 de octubre de 2019, asumió el conocimiento del asunto y dispuso lo siguiente: i) solicitar al Director del Personal del Ejército Nacional que certificara los periodos en los cuales </w:t>
            </w:r>
            <w:r w:rsidR="004A76E5" w:rsidRPr="005728CE">
              <w:rPr>
                <w:rFonts w:asciiTheme="majorHAnsi" w:hAnsiTheme="majorHAnsi"/>
                <w:sz w:val="19"/>
                <w:szCs w:val="19"/>
                <w:lang w:val="es-ES_tradnl"/>
              </w:rPr>
              <w:t>B. T. C.</w:t>
            </w:r>
            <w:r w:rsidR="00F74DB2" w:rsidRPr="005728CE">
              <w:rPr>
                <w:rFonts w:asciiTheme="majorHAnsi" w:hAnsiTheme="majorHAnsi"/>
                <w:sz w:val="19"/>
                <w:szCs w:val="19"/>
                <w:lang w:val="es-ES_tradnl"/>
              </w:rPr>
              <w:t xml:space="preserve"> había estado vinculado a la institución y en qué calidades, </w:t>
            </w:r>
            <w:r w:rsidR="004A76E5" w:rsidRPr="005728CE">
              <w:rPr>
                <w:rFonts w:asciiTheme="majorHAnsi" w:hAnsiTheme="majorHAnsi"/>
                <w:sz w:val="19"/>
                <w:szCs w:val="19"/>
                <w:lang w:val="es-ES_tradnl"/>
              </w:rPr>
              <w:t>ii)</w:t>
            </w:r>
            <w:r w:rsidR="00F74DB2" w:rsidRPr="005728CE">
              <w:rPr>
                <w:rFonts w:asciiTheme="majorHAnsi" w:hAnsiTheme="majorHAnsi"/>
                <w:sz w:val="19"/>
                <w:szCs w:val="19"/>
                <w:lang w:val="es-ES_tradnl"/>
              </w:rPr>
              <w:t xml:space="preserve"> requerir a la Dirección del Centro de Reclusión Militar del Ejército Nacional para que precisara si el solicitante fue objeto de privación de su libertad, entre otras cuestiones.</w:t>
            </w:r>
          </w:p>
        </w:tc>
      </w:tr>
      <w:tr w:rsidR="00796DB9" w:rsidRPr="00C555B7" w14:paraId="5AE7A84E" w14:textId="77777777" w:rsidTr="0039288F">
        <w:tc>
          <w:tcPr>
            <w:tcW w:w="1072" w:type="dxa"/>
            <w:tcBorders>
              <w:top w:val="nil"/>
              <w:bottom w:val="nil"/>
            </w:tcBorders>
            <w:shd w:val="clear" w:color="auto" w:fill="D9D9D9" w:themeFill="background1" w:themeFillShade="D9"/>
          </w:tcPr>
          <w:p w14:paraId="173AE694"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7696564E"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07FC61CB" w14:textId="49AC6B1F" w:rsidR="00796DB9" w:rsidRPr="005728CE" w:rsidRDefault="00796DB9"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rPr>
            </w:pPr>
            <w:r w:rsidRPr="005728CE">
              <w:rPr>
                <w:rFonts w:asciiTheme="majorHAnsi" w:hAnsiTheme="majorHAnsi"/>
                <w:b/>
                <w:bCs/>
                <w:sz w:val="19"/>
                <w:szCs w:val="19"/>
                <w:lang w:val="es-ES_tradnl" w:bidi="es-ES"/>
              </w:rPr>
              <w:t>L. F. E.</w:t>
            </w:r>
          </w:p>
        </w:tc>
        <w:tc>
          <w:tcPr>
            <w:tcW w:w="7530" w:type="dxa"/>
            <w:tcBorders>
              <w:top w:val="nil"/>
              <w:bottom w:val="nil"/>
            </w:tcBorders>
            <w:shd w:val="clear" w:color="auto" w:fill="D9D9D9" w:themeFill="background1" w:themeFillShade="D9"/>
          </w:tcPr>
          <w:p w14:paraId="78406ECD" w14:textId="362E9BA4" w:rsidR="00796DB9" w:rsidRPr="005728CE" w:rsidRDefault="00F74DB2"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9"/>
                <w:szCs w:val="19"/>
                <w:lang w:val="es-ES_tradnl"/>
              </w:rPr>
            </w:pPr>
            <w:r w:rsidRPr="005728CE">
              <w:rPr>
                <w:rFonts w:asciiTheme="majorHAnsi" w:hAnsiTheme="majorHAnsi"/>
                <w:sz w:val="19"/>
                <w:szCs w:val="19"/>
                <w:lang w:val="es-ES_tradnl"/>
              </w:rPr>
              <w:t xml:space="preserve">El 23 de noviembre de 2018, </w:t>
            </w:r>
            <w:r w:rsidR="004A76E5" w:rsidRPr="005728CE">
              <w:rPr>
                <w:rFonts w:asciiTheme="majorHAnsi" w:hAnsiTheme="majorHAnsi"/>
                <w:sz w:val="19"/>
                <w:szCs w:val="19"/>
                <w:lang w:val="es-ES_tradnl"/>
              </w:rPr>
              <w:t xml:space="preserve">L. F. E. solicitó a la Sala de Definición de Situaciones Jurídicas su sometimiento a la JEP. </w:t>
            </w:r>
            <w:r w:rsidRPr="005728CE">
              <w:rPr>
                <w:rFonts w:asciiTheme="majorHAnsi" w:hAnsiTheme="majorHAnsi"/>
                <w:sz w:val="19"/>
                <w:szCs w:val="19"/>
                <w:lang w:val="es-ES_tradnl"/>
              </w:rPr>
              <w:t>La Sala asumió el conocimiento de esta solicitud mediante de la Resolución No. 432 del 28 de enero de 2020, adicionalmente en este auto solicitó la práctica de algunas pruebas con el fin de contar con los insumos necesarios para el pronunciamiento sobre la competencia de esta jurisdicción.</w:t>
            </w:r>
            <w:r w:rsidR="004A76E5" w:rsidRPr="005728CE">
              <w:rPr>
                <w:rFonts w:asciiTheme="majorHAnsi" w:hAnsiTheme="majorHAnsi"/>
                <w:sz w:val="19"/>
                <w:szCs w:val="19"/>
                <w:lang w:val="es-ES_tradnl"/>
              </w:rPr>
              <w:t xml:space="preserve"> C</w:t>
            </w:r>
            <w:r w:rsidRPr="005728CE">
              <w:rPr>
                <w:rFonts w:asciiTheme="majorHAnsi" w:hAnsiTheme="majorHAnsi"/>
                <w:sz w:val="19"/>
                <w:szCs w:val="19"/>
                <w:lang w:val="es-ES_tradnl"/>
              </w:rPr>
              <w:t xml:space="preserve">on Resolución No. 1532 del 18 de mayo de 2023, </w:t>
            </w:r>
            <w:r w:rsidR="004A76E5" w:rsidRPr="005728CE">
              <w:rPr>
                <w:rFonts w:asciiTheme="majorHAnsi" w:hAnsiTheme="majorHAnsi"/>
                <w:sz w:val="19"/>
                <w:szCs w:val="19"/>
                <w:lang w:val="es-ES_tradnl"/>
              </w:rPr>
              <w:t>la Sala</w:t>
            </w:r>
            <w:r w:rsidRPr="005728CE">
              <w:rPr>
                <w:rFonts w:asciiTheme="majorHAnsi" w:hAnsiTheme="majorHAnsi"/>
                <w:sz w:val="19"/>
                <w:szCs w:val="19"/>
                <w:lang w:val="es-ES_tradnl"/>
              </w:rPr>
              <w:t xml:space="preserve"> resolvió aceptar, por competencia prevalente, los hechos que son analizados dentro de este trámite internacional.</w:t>
            </w:r>
          </w:p>
        </w:tc>
      </w:tr>
      <w:tr w:rsidR="00796DB9" w:rsidRPr="00C555B7" w14:paraId="75F7FF86" w14:textId="77777777" w:rsidTr="0039288F">
        <w:tc>
          <w:tcPr>
            <w:tcW w:w="1072" w:type="dxa"/>
            <w:tcBorders>
              <w:top w:val="nil"/>
              <w:bottom w:val="nil"/>
            </w:tcBorders>
          </w:tcPr>
          <w:p w14:paraId="0C22ABCB"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04309FAB" w14:textId="60C8A304" w:rsidR="00796DB9" w:rsidRPr="005728CE" w:rsidRDefault="00796DB9"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rPr>
            </w:pPr>
            <w:r w:rsidRPr="005728CE">
              <w:rPr>
                <w:rFonts w:asciiTheme="majorHAnsi" w:hAnsiTheme="majorHAnsi"/>
                <w:b/>
                <w:bCs/>
                <w:sz w:val="19"/>
                <w:szCs w:val="19"/>
                <w:lang w:val="es-ES_tradnl" w:bidi="es-ES"/>
              </w:rPr>
              <w:t>R. G. P.</w:t>
            </w:r>
          </w:p>
        </w:tc>
        <w:tc>
          <w:tcPr>
            <w:tcW w:w="7530" w:type="dxa"/>
            <w:tcBorders>
              <w:top w:val="nil"/>
              <w:bottom w:val="nil"/>
            </w:tcBorders>
          </w:tcPr>
          <w:p w14:paraId="586A02BD" w14:textId="39369DB8" w:rsidR="00796DB9" w:rsidRPr="005728CE" w:rsidRDefault="00F74DB2"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9"/>
                <w:szCs w:val="19"/>
                <w:lang w:val="es-ES_tradnl"/>
              </w:rPr>
            </w:pPr>
            <w:r w:rsidRPr="005728CE">
              <w:rPr>
                <w:rFonts w:asciiTheme="majorHAnsi" w:hAnsiTheme="majorHAnsi"/>
                <w:sz w:val="19"/>
                <w:szCs w:val="19"/>
                <w:lang w:val="es-ES_tradnl"/>
              </w:rPr>
              <w:t xml:space="preserve">El 23 de noviembre de 2018, </w:t>
            </w:r>
            <w:r w:rsidR="004A76E5" w:rsidRPr="005728CE">
              <w:rPr>
                <w:rFonts w:asciiTheme="majorHAnsi" w:hAnsiTheme="majorHAnsi"/>
                <w:sz w:val="19"/>
                <w:szCs w:val="19"/>
                <w:lang w:val="es-ES_tradnl"/>
              </w:rPr>
              <w:t xml:space="preserve">R. G. P. solicitó a la Sala de Definición de Situaciones Jurídicas su sometimiento a la JEP. </w:t>
            </w:r>
            <w:r w:rsidRPr="005728CE">
              <w:rPr>
                <w:rFonts w:asciiTheme="majorHAnsi" w:hAnsiTheme="majorHAnsi"/>
                <w:sz w:val="19"/>
                <w:szCs w:val="19"/>
                <w:lang w:val="es-ES_tradnl"/>
              </w:rPr>
              <w:t xml:space="preserve">En Resolución No. 0207, del 17 de enero de 2020, la Magistrada Claudia Rocio Saldaña Montoya, asumió la competencia del trámite y ordenó </w:t>
            </w:r>
            <w:r w:rsidR="004A76E5" w:rsidRPr="005728CE">
              <w:rPr>
                <w:rFonts w:asciiTheme="majorHAnsi" w:hAnsiTheme="majorHAnsi"/>
                <w:sz w:val="19"/>
                <w:szCs w:val="19"/>
                <w:lang w:val="es-ES_tradnl"/>
              </w:rPr>
              <w:t>diligencias adicionales antes de que se decidiera la solicitud.</w:t>
            </w:r>
            <w:r w:rsidRPr="005728CE">
              <w:rPr>
                <w:rFonts w:asciiTheme="majorHAnsi" w:hAnsiTheme="majorHAnsi"/>
                <w:sz w:val="19"/>
                <w:szCs w:val="19"/>
                <w:lang w:val="es-ES_tradnl"/>
              </w:rPr>
              <w:t xml:space="preserve"> </w:t>
            </w:r>
          </w:p>
        </w:tc>
      </w:tr>
      <w:tr w:rsidR="00796DB9" w:rsidRPr="00C555B7" w14:paraId="19295FD4" w14:textId="77777777" w:rsidTr="0039288F">
        <w:tc>
          <w:tcPr>
            <w:tcW w:w="1072" w:type="dxa"/>
            <w:tcBorders>
              <w:top w:val="nil"/>
              <w:bottom w:val="nil"/>
            </w:tcBorders>
            <w:shd w:val="clear" w:color="auto" w:fill="D9D9D9" w:themeFill="background1" w:themeFillShade="D9"/>
          </w:tcPr>
          <w:p w14:paraId="30B31AD9"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10C0C6AE"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6F1EBF1B"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4612A2FA" w14:textId="4E92C1B9" w:rsidR="00796DB9" w:rsidRPr="005728CE" w:rsidRDefault="00796DB9"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rPr>
            </w:pPr>
            <w:r w:rsidRPr="005728CE">
              <w:rPr>
                <w:rFonts w:asciiTheme="majorHAnsi" w:hAnsiTheme="majorHAnsi"/>
                <w:b/>
                <w:bCs/>
                <w:sz w:val="19"/>
                <w:szCs w:val="19"/>
                <w:lang w:val="es-ES_tradnl" w:bidi="es-ES"/>
              </w:rPr>
              <w:t xml:space="preserve">E. </w:t>
            </w:r>
            <w:r w:rsidR="00F74DB2" w:rsidRPr="005728CE">
              <w:rPr>
                <w:rFonts w:asciiTheme="majorHAnsi" w:hAnsiTheme="majorHAnsi"/>
                <w:b/>
                <w:bCs/>
                <w:sz w:val="19"/>
                <w:szCs w:val="19"/>
                <w:lang w:val="es-ES_tradnl" w:bidi="es-ES"/>
              </w:rPr>
              <w:t>Y</w:t>
            </w:r>
            <w:r w:rsidRPr="005728CE">
              <w:rPr>
                <w:rFonts w:asciiTheme="majorHAnsi" w:hAnsiTheme="majorHAnsi"/>
                <w:b/>
                <w:bCs/>
                <w:sz w:val="19"/>
                <w:szCs w:val="19"/>
                <w:lang w:val="es-ES_tradnl" w:bidi="es-ES"/>
              </w:rPr>
              <w:t>. C. N.</w:t>
            </w:r>
          </w:p>
        </w:tc>
        <w:tc>
          <w:tcPr>
            <w:tcW w:w="7530" w:type="dxa"/>
            <w:tcBorders>
              <w:top w:val="nil"/>
              <w:bottom w:val="nil"/>
            </w:tcBorders>
            <w:shd w:val="clear" w:color="auto" w:fill="D9D9D9" w:themeFill="background1" w:themeFillShade="D9"/>
          </w:tcPr>
          <w:p w14:paraId="54032EDB" w14:textId="003266F6" w:rsidR="00796DB9" w:rsidRPr="005728CE" w:rsidRDefault="00F74DB2"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9"/>
                <w:szCs w:val="19"/>
                <w:lang w:val="es-ES_tradnl"/>
              </w:rPr>
            </w:pPr>
            <w:r w:rsidRPr="005728CE">
              <w:rPr>
                <w:rFonts w:asciiTheme="majorHAnsi" w:hAnsiTheme="majorHAnsi"/>
                <w:sz w:val="19"/>
                <w:szCs w:val="19"/>
                <w:lang w:val="es-ES_tradnl"/>
              </w:rPr>
              <w:t xml:space="preserve">El 22 de noviembre de 2018, </w:t>
            </w:r>
            <w:r w:rsidR="004A76E5" w:rsidRPr="005728CE">
              <w:rPr>
                <w:rFonts w:asciiTheme="majorHAnsi" w:hAnsiTheme="majorHAnsi"/>
                <w:sz w:val="19"/>
                <w:szCs w:val="19"/>
                <w:lang w:val="es-ES_tradnl" w:bidi="es-ES"/>
              </w:rPr>
              <w:t>E. Y. C. N.</w:t>
            </w:r>
            <w:r w:rsidR="004A76E5" w:rsidRPr="005728CE">
              <w:rPr>
                <w:rFonts w:asciiTheme="majorHAnsi" w:hAnsiTheme="majorHAnsi"/>
                <w:sz w:val="19"/>
                <w:szCs w:val="19"/>
                <w:lang w:val="es-ES_tradnl"/>
              </w:rPr>
              <w:t xml:space="preserve"> solicitó a la Sala de Definición de Situaciones Jurídicas su sometimiento a la JEP. E</w:t>
            </w:r>
            <w:r w:rsidRPr="005728CE">
              <w:rPr>
                <w:rFonts w:asciiTheme="majorHAnsi" w:hAnsiTheme="majorHAnsi"/>
                <w:sz w:val="19"/>
                <w:szCs w:val="19"/>
                <w:lang w:val="es-ES_tradnl"/>
              </w:rPr>
              <w:t xml:space="preserve">n Resolución No. 4956, del 18 de septiembre de 2019, </w:t>
            </w:r>
            <w:r w:rsidR="004A76E5" w:rsidRPr="005728CE">
              <w:rPr>
                <w:rFonts w:asciiTheme="majorHAnsi" w:hAnsiTheme="majorHAnsi"/>
                <w:sz w:val="19"/>
                <w:szCs w:val="19"/>
                <w:lang w:val="es-ES_tradnl"/>
              </w:rPr>
              <w:t>la Sala</w:t>
            </w:r>
            <w:r w:rsidRPr="005728CE">
              <w:rPr>
                <w:rFonts w:asciiTheme="majorHAnsi" w:hAnsiTheme="majorHAnsi"/>
                <w:sz w:val="19"/>
                <w:szCs w:val="19"/>
                <w:lang w:val="es-ES_tradnl"/>
              </w:rPr>
              <w:t xml:space="preserve"> asumió el conocimiento de la actuación, ordenando requerir al compareciente para que presentara su propuesta de compromiso concreto, claro y programado, de conformidad con los fines del Sistema Integral de Verdad, Justicia, Reparación y No Repetición. El 1 de noviembre de </w:t>
            </w:r>
            <w:r w:rsidR="004A76E5" w:rsidRPr="005728CE">
              <w:rPr>
                <w:rFonts w:asciiTheme="majorHAnsi" w:hAnsiTheme="majorHAnsi"/>
                <w:sz w:val="19"/>
                <w:szCs w:val="19"/>
                <w:lang w:val="es-ES_tradnl"/>
              </w:rPr>
              <w:t>2019</w:t>
            </w:r>
            <w:r w:rsidRPr="005728CE">
              <w:rPr>
                <w:rFonts w:asciiTheme="majorHAnsi" w:hAnsiTheme="majorHAnsi"/>
                <w:sz w:val="19"/>
                <w:szCs w:val="19"/>
                <w:lang w:val="es-ES_tradnl"/>
              </w:rPr>
              <w:t xml:space="preserve"> </w:t>
            </w:r>
            <w:r w:rsidR="004A76E5" w:rsidRPr="005728CE">
              <w:rPr>
                <w:rFonts w:asciiTheme="majorHAnsi" w:hAnsiTheme="majorHAnsi"/>
                <w:sz w:val="19"/>
                <w:szCs w:val="19"/>
                <w:lang w:val="es-ES_tradnl" w:bidi="es-ES"/>
              </w:rPr>
              <w:t>E. Y. C. N.</w:t>
            </w:r>
            <w:r w:rsidR="004A76E5" w:rsidRPr="005728CE">
              <w:rPr>
                <w:rFonts w:asciiTheme="majorHAnsi" w:hAnsiTheme="majorHAnsi"/>
                <w:sz w:val="19"/>
                <w:szCs w:val="19"/>
                <w:lang w:val="es-ES_tradnl"/>
              </w:rPr>
              <w:t xml:space="preserve"> </w:t>
            </w:r>
            <w:r w:rsidRPr="005728CE">
              <w:rPr>
                <w:rFonts w:asciiTheme="majorHAnsi" w:hAnsiTheme="majorHAnsi"/>
                <w:sz w:val="19"/>
                <w:szCs w:val="19"/>
                <w:lang w:val="es-ES_tradnl"/>
              </w:rPr>
              <w:t>allegó su propuesta.</w:t>
            </w:r>
            <w:r w:rsidR="004A76E5" w:rsidRPr="005728CE">
              <w:rPr>
                <w:rFonts w:asciiTheme="majorHAnsi" w:hAnsiTheme="majorHAnsi"/>
                <w:sz w:val="19"/>
                <w:szCs w:val="19"/>
                <w:lang w:val="es-ES_tradnl"/>
              </w:rPr>
              <w:t xml:space="preserve"> </w:t>
            </w:r>
            <w:r w:rsidRPr="005728CE">
              <w:rPr>
                <w:rFonts w:asciiTheme="majorHAnsi" w:hAnsiTheme="majorHAnsi"/>
                <w:sz w:val="19"/>
                <w:szCs w:val="19"/>
                <w:lang w:val="es-ES_tradnl"/>
              </w:rPr>
              <w:t xml:space="preserve">El 30 de agosto de 2022, mediante Resolución No. 3186, </w:t>
            </w:r>
            <w:r w:rsidR="004A76E5" w:rsidRPr="005728CE">
              <w:rPr>
                <w:rFonts w:asciiTheme="majorHAnsi" w:hAnsiTheme="majorHAnsi"/>
                <w:sz w:val="19"/>
                <w:szCs w:val="19"/>
                <w:lang w:val="es-ES_tradnl"/>
              </w:rPr>
              <w:t>la Sala</w:t>
            </w:r>
            <w:r w:rsidRPr="005728CE">
              <w:rPr>
                <w:rFonts w:asciiTheme="majorHAnsi" w:hAnsiTheme="majorHAnsi"/>
                <w:sz w:val="19"/>
                <w:szCs w:val="19"/>
                <w:lang w:val="es-ES_tradnl"/>
              </w:rPr>
              <w:t xml:space="preserve"> aceptó el sometimiento </w:t>
            </w:r>
            <w:r w:rsidR="004A76E5" w:rsidRPr="005728CE">
              <w:rPr>
                <w:rFonts w:asciiTheme="majorHAnsi" w:hAnsiTheme="majorHAnsi"/>
                <w:sz w:val="19"/>
                <w:szCs w:val="19"/>
                <w:lang w:val="es-ES_tradnl"/>
              </w:rPr>
              <w:t xml:space="preserve">de </w:t>
            </w:r>
            <w:r w:rsidR="004A76E5" w:rsidRPr="005728CE">
              <w:rPr>
                <w:rFonts w:asciiTheme="majorHAnsi" w:hAnsiTheme="majorHAnsi"/>
                <w:sz w:val="19"/>
                <w:szCs w:val="19"/>
                <w:lang w:val="es-ES_tradnl" w:bidi="es-ES"/>
              </w:rPr>
              <w:t>E. Y. C. N.</w:t>
            </w:r>
            <w:r w:rsidR="004A76E5" w:rsidRPr="005728CE">
              <w:rPr>
                <w:rFonts w:asciiTheme="majorHAnsi" w:hAnsiTheme="majorHAnsi"/>
                <w:sz w:val="19"/>
                <w:szCs w:val="19"/>
                <w:lang w:val="es-ES_tradnl"/>
              </w:rPr>
              <w:t xml:space="preserve"> </w:t>
            </w:r>
            <w:r w:rsidRPr="005728CE">
              <w:rPr>
                <w:rFonts w:asciiTheme="majorHAnsi" w:hAnsiTheme="majorHAnsi"/>
                <w:sz w:val="19"/>
                <w:szCs w:val="19"/>
                <w:lang w:val="es-ES_tradnl"/>
              </w:rPr>
              <w:t xml:space="preserve">por los hechos objeto de análisis ante esta jurisdicción. </w:t>
            </w:r>
          </w:p>
        </w:tc>
      </w:tr>
      <w:tr w:rsidR="00796DB9" w:rsidRPr="00C555B7" w14:paraId="71E33E55" w14:textId="77777777" w:rsidTr="0039288F">
        <w:tc>
          <w:tcPr>
            <w:tcW w:w="1072" w:type="dxa"/>
            <w:tcBorders>
              <w:top w:val="nil"/>
              <w:bottom w:val="single" w:sz="12" w:space="0" w:color="auto"/>
            </w:tcBorders>
          </w:tcPr>
          <w:p w14:paraId="487956D1" w14:textId="77777777" w:rsidR="00BE05E5" w:rsidRPr="005728CE" w:rsidRDefault="00BE05E5"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bidi="es-ES"/>
              </w:rPr>
            </w:pPr>
          </w:p>
          <w:p w14:paraId="634DFA71" w14:textId="348AB61D" w:rsidR="00796DB9" w:rsidRPr="005728CE" w:rsidRDefault="00796DB9" w:rsidP="00796D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b/>
                <w:bCs/>
                <w:sz w:val="19"/>
                <w:szCs w:val="19"/>
                <w:lang w:val="es-ES_tradnl"/>
              </w:rPr>
            </w:pPr>
            <w:r w:rsidRPr="005728CE">
              <w:rPr>
                <w:rFonts w:asciiTheme="majorHAnsi" w:hAnsiTheme="majorHAnsi"/>
                <w:b/>
                <w:bCs/>
                <w:sz w:val="19"/>
                <w:szCs w:val="19"/>
                <w:lang w:val="es-ES_tradnl" w:bidi="es-ES"/>
              </w:rPr>
              <w:t>M. J. C. B.</w:t>
            </w:r>
          </w:p>
        </w:tc>
        <w:tc>
          <w:tcPr>
            <w:tcW w:w="7530" w:type="dxa"/>
            <w:tcBorders>
              <w:top w:val="nil"/>
              <w:bottom w:val="single" w:sz="12" w:space="0" w:color="auto"/>
            </w:tcBorders>
          </w:tcPr>
          <w:p w14:paraId="418DA442" w14:textId="173E2038" w:rsidR="00796DB9" w:rsidRPr="005728CE" w:rsidRDefault="004A76E5" w:rsidP="00BE0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9"/>
                <w:szCs w:val="19"/>
                <w:lang w:val="es-ES_tradnl"/>
              </w:rPr>
            </w:pPr>
            <w:r w:rsidRPr="005728CE">
              <w:rPr>
                <w:rFonts w:asciiTheme="majorHAnsi" w:hAnsiTheme="majorHAnsi"/>
                <w:sz w:val="19"/>
                <w:szCs w:val="19"/>
                <w:lang w:val="es-ES_tradnl"/>
              </w:rPr>
              <w:t xml:space="preserve">La solicitud de </w:t>
            </w:r>
            <w:r w:rsidRPr="005728CE">
              <w:rPr>
                <w:rFonts w:asciiTheme="majorHAnsi" w:hAnsiTheme="majorHAnsi"/>
                <w:sz w:val="19"/>
                <w:szCs w:val="19"/>
                <w:lang w:val="es-ES_tradnl" w:bidi="es-ES"/>
              </w:rPr>
              <w:t xml:space="preserve">M. J. C. B. de que fuera sometido a la JEP fue </w:t>
            </w:r>
            <w:r w:rsidRPr="005728CE">
              <w:rPr>
                <w:rFonts w:asciiTheme="majorHAnsi" w:hAnsiTheme="majorHAnsi"/>
                <w:sz w:val="19"/>
                <w:szCs w:val="19"/>
                <w:lang w:val="es-ES_tradnl"/>
              </w:rPr>
              <w:t>aceptada mediante Resolución No. 2599 de 7 de junio de 2019.</w:t>
            </w:r>
          </w:p>
        </w:tc>
      </w:tr>
    </w:tbl>
    <w:p w14:paraId="1F87B08A" w14:textId="7DA15DC6" w:rsidR="002E4A0C" w:rsidRPr="005728CE" w:rsidRDefault="002E4A0C"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Según el Estado, mediante auto 033 del 12 de febrero de 2021, la Sala de Reconocimiento de Verdad, de Responsabilidad y de Determinación de los Hechos y Conductas (SRVRDHC) hizo pública la estrategia de priorización interna del Caso 03 “Asesinatos y desapariciones forzadas presentadas como bajas dadas en combate”, iniciando con los subcasos Antioquia, Meta, Costa Caribe, Norte de Santander, Huila y Casanare. El Estado argumenta que la priorización de los subcasos mencionados no implica que no se abordarán otras unidades, territorios, periodos o subcasos posteriormente. Mediante auto OPV 305, del 14 de julio de 2023, la SRVRDHC hizo pública la priorización de la fase de instrucción nacional del Caso 03. Explicó que el enfoque adoptado en la primera etapa de la investigación del Caso 03, a través del auto 033, del 12 de febrero de 2021, le permitió identificar los patrones de macrocriminalidad que tuvieron lugar de manera simultánea, concurrente o complementaria en cada departamento. En el mismo auto también reconoció que los distintos autos de determinaciones de hechos y conductas proferidos en cada uno de los subcasos coinciden en señalar que los asesinatos presentados como baja en combate respondieron a patrones de macrocriminalidad comunes que fueron ejecutados por organizaciones criminales enquistadas en las unidades militares territoriales, y que la hipótesis de investigación consiste en que dichos patrones no solo respondieron a una misma lógica territorial en cada departamento, sino que tuvieron alcance nacional. </w:t>
      </w:r>
    </w:p>
    <w:p w14:paraId="7074DCC3" w14:textId="68499261" w:rsidR="002E4A0C" w:rsidRPr="005728CE" w:rsidRDefault="002E4A0C"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Específicamente con respecto a los hechos de la petición, estos fueron del conocimiento de la SRVRDHC de acuerdo con el informe presentado por la Procuraduría General de la Nación sobre investigaciones relacionadas con el conflicto armado, el inventario anexado por la Fiscalía General de la Nación y las solicitudes de acreditación, como víctimas indirectas, de los familiares de las presuntas víctimas. Mediante Auto OPV-139 del 15 de abril de 2021 la SRVRDHC reconoció como víctimas y su calidad de intervinientes en el Caso 03, a Karen Nayiber Bustos y Lennis Alejandro Bustos. Adicionalmente, mediante Auto OPV-185, del 6 de mayo de 2021, admitió en la misma calidad a Karol Michel Jimenez. Finalmente, mediante Auto OPV-386, del 20 de septiembre de 2021, incluyó las señoras Maricel Osorio Carrillo y Luz Danny Pedraza.</w:t>
      </w:r>
    </w:p>
    <w:p w14:paraId="4E46221F" w14:textId="6B52B5B5" w:rsidR="002E4A0C" w:rsidRPr="005728CE" w:rsidRDefault="002E4A0C"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Según el Estado, una vez la SRVRDHC concluya la investigación del Caso 03 debe proferir una resolución de conclusiones. Teniendo en cuenta que la JEP continúa adelantando sus funciones en relación con el macrocaso, es necesario esperar a que la SRVRDHC profiera sus resoluciones de conclusiones y la remita a la sección de primera instancia del Tribunal para la Paz, en casos de reconocimiento de verdad y responsabilidad. </w:t>
      </w:r>
    </w:p>
    <w:p w14:paraId="6F0832E5" w14:textId="4786D9A1" w:rsidR="00877733" w:rsidRPr="005728CE" w:rsidRDefault="00877733" w:rsidP="00D14198">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i/>
          <w:iCs/>
          <w:sz w:val="20"/>
          <w:szCs w:val="20"/>
          <w:lang w:val="es-ES_tradnl"/>
        </w:rPr>
      </w:pPr>
      <w:r w:rsidRPr="005728CE">
        <w:rPr>
          <w:rFonts w:asciiTheme="majorHAnsi" w:hAnsiTheme="majorHAnsi"/>
          <w:i/>
          <w:iCs/>
          <w:sz w:val="20"/>
          <w:szCs w:val="20"/>
          <w:lang w:val="es-ES_tradnl"/>
        </w:rPr>
        <w:t>Jurisdicción administrativa</w:t>
      </w:r>
    </w:p>
    <w:p w14:paraId="0204666C" w14:textId="77777777" w:rsidR="004D6498" w:rsidRPr="005728CE" w:rsidRDefault="00877733"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w:t>
      </w:r>
      <w:r w:rsidR="00486E6B" w:rsidRPr="005728CE">
        <w:rPr>
          <w:rFonts w:asciiTheme="majorHAnsi" w:hAnsiTheme="majorHAnsi"/>
          <w:sz w:val="20"/>
          <w:szCs w:val="20"/>
          <w:lang w:val="es-ES_tradnl"/>
        </w:rPr>
        <w:t xml:space="preserve">l Estado también informa que los familiares de Edimer Bustos presentaron una acción de reparación directa contra la Nación (Ejército Nacional) por la muerte de Edimer Bustos y Luis Alfonso Jiménez Benito, solicitando se declare la responsabilidad administrativa y patrimonial del Estado. El 5 de diciembre de 2016, el Juzgado Primero Administrativo de Valledupar, en el expediente No. 20001333300120120021700, emitió una sentencia condenatoria contra el Estado, declarándolo responsable por los perjuicios causados. </w:t>
      </w:r>
      <w:r w:rsidRPr="005728CE">
        <w:rPr>
          <w:rFonts w:asciiTheme="majorHAnsi" w:hAnsiTheme="majorHAnsi"/>
          <w:sz w:val="20"/>
          <w:szCs w:val="20"/>
          <w:lang w:val="es-ES_tradnl"/>
        </w:rPr>
        <w:t xml:space="preserve">Esta </w:t>
      </w:r>
      <w:r w:rsidRPr="005728CE">
        <w:rPr>
          <w:rFonts w:asciiTheme="majorHAnsi" w:hAnsiTheme="majorHAnsi"/>
          <w:sz w:val="20"/>
          <w:szCs w:val="20"/>
          <w:lang w:val="es-ES_tradnl"/>
        </w:rPr>
        <w:lastRenderedPageBreak/>
        <w:t>decisión fue objeto del recurso de apelación por la parte demandada ante el Tribunal Administrativo del Cesar. El 23 de septiembre de 2021, esta instancia judicial resolvió revocar en su totalidad el fallo.</w:t>
      </w:r>
      <w:r w:rsidR="004D6498" w:rsidRPr="005728CE">
        <w:rPr>
          <w:rFonts w:asciiTheme="majorHAnsi" w:hAnsiTheme="majorHAnsi"/>
          <w:sz w:val="20"/>
          <w:szCs w:val="20"/>
          <w:lang w:val="es-ES_tradnl"/>
        </w:rPr>
        <w:t xml:space="preserve"> Señaló que del análisis conjunto de todos los medios de prueba se podía concluir que el accionar de los militares que participaron el día de los hechos, fue de manera razonada y proporcionada en respuesta a la conducta ilegitima desplegada por las personas que resultaron víctimas en dicho operativo militar.</w:t>
      </w:r>
    </w:p>
    <w:p w14:paraId="5C2C30E6" w14:textId="495FD335" w:rsidR="004D6498" w:rsidRPr="005728CE" w:rsidRDefault="004D6498"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La parte demandante interpuso acción de tutela en contra de la decisión emitida por el Tribunal Administrativo de César al considerar que esta había vulnerado sus derechos al debido proceso, acceso a la administración de justicia entre otros. El 17 de junio de 2022, la Sección Tercera, Subsección C, del Consejo de Estado resolvió declarar improcedente el amparo constitucional solicitado, al precisar que el fallo cuestionado no fue arbitrario o caprichoso; además, reiteró que este mecanismo no era un recurso judicial adicional al proceso ordinario para controvertir lo decidido por el juez natural. El 21 de octubre de 2022, la Sección Tercera, Subsección A, del Consejo de Estado resolvió confirmar el fallo de primera instancia proferido por esta misma Corporación.</w:t>
      </w:r>
    </w:p>
    <w:p w14:paraId="6B466593" w14:textId="57173F11" w:rsidR="00B83158" w:rsidRPr="005728CE" w:rsidRDefault="00B83158" w:rsidP="00641957">
      <w:pPr>
        <w:spacing w:before="240" w:after="240"/>
        <w:ind w:firstLine="720"/>
        <w:jc w:val="both"/>
        <w:rPr>
          <w:rFonts w:asciiTheme="majorHAnsi" w:hAnsiTheme="majorHAnsi"/>
          <w:sz w:val="20"/>
          <w:szCs w:val="20"/>
          <w:lang w:val="es-ES_tradnl"/>
        </w:rPr>
      </w:pPr>
      <w:r w:rsidRPr="005728CE">
        <w:rPr>
          <w:rFonts w:asciiTheme="majorHAnsi" w:hAnsiTheme="majorHAnsi"/>
          <w:b/>
          <w:sz w:val="20"/>
          <w:szCs w:val="20"/>
          <w:lang w:val="es-ES_tradnl"/>
        </w:rPr>
        <w:t xml:space="preserve">VI. </w:t>
      </w:r>
      <w:r w:rsidRPr="005728CE">
        <w:rPr>
          <w:rFonts w:asciiTheme="majorHAnsi" w:hAnsiTheme="majorHAnsi"/>
          <w:b/>
          <w:sz w:val="20"/>
          <w:szCs w:val="20"/>
          <w:lang w:val="es-ES_tradnl"/>
        </w:rPr>
        <w:tab/>
      </w:r>
      <w:r w:rsidRPr="005728CE">
        <w:rPr>
          <w:rFonts w:asciiTheme="majorHAnsi" w:hAnsiTheme="majorHAnsi"/>
          <w:b/>
          <w:bCs/>
          <w:sz w:val="20"/>
          <w:szCs w:val="20"/>
          <w:lang w:val="es-ES_tradnl"/>
        </w:rPr>
        <w:t xml:space="preserve">ANÁLISIS DE </w:t>
      </w:r>
      <w:r w:rsidRPr="005728CE">
        <w:rPr>
          <w:rFonts w:asciiTheme="majorHAnsi" w:hAnsiTheme="majorHAnsi"/>
          <w:b/>
          <w:sz w:val="20"/>
          <w:szCs w:val="20"/>
          <w:lang w:val="es-ES_tradnl"/>
        </w:rPr>
        <w:t>AGOTAMIENTO DE LOS RECURSOS INTERNOS Y PLAZO DE PRESENTACIÓN</w:t>
      </w:r>
      <w:r w:rsidRPr="005728CE">
        <w:rPr>
          <w:rFonts w:asciiTheme="majorHAnsi" w:eastAsia="Cambria" w:hAnsiTheme="majorHAnsi" w:cs="Cambria"/>
          <w:b/>
          <w:bCs/>
          <w:color w:val="000000"/>
          <w:sz w:val="20"/>
          <w:szCs w:val="20"/>
          <w:u w:color="000000"/>
          <w:lang w:val="es-ES_tradnl" w:eastAsia="es-ES"/>
        </w:rPr>
        <w:t xml:space="preserve"> </w:t>
      </w:r>
    </w:p>
    <w:p w14:paraId="7A2FA169" w14:textId="02AC3CAA" w:rsidR="006A3C40" w:rsidRPr="005728CE" w:rsidRDefault="006A3C40"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El Estado argumenta que la petición es inadmisible por no haber agotado la jurisdicción penal. Afirma que la investigación penal se ha llevado a cabo de manera diligente y en un plazo razonable. Destaca la imputación contra los siete miembros del ejército investigados por los hechos. Considera que el retraso procesal se justifica por la complejidad del caso, así como por la aparición de la </w:t>
      </w:r>
      <w:r w:rsidR="00F57D84" w:rsidRPr="005728CE">
        <w:rPr>
          <w:rFonts w:asciiTheme="majorHAnsi" w:hAnsiTheme="majorHAnsi"/>
          <w:sz w:val="20"/>
          <w:szCs w:val="20"/>
          <w:lang w:val="es-ES_tradnl"/>
        </w:rPr>
        <w:t>JEP</w:t>
      </w:r>
      <w:r w:rsidRPr="005728CE">
        <w:rPr>
          <w:rFonts w:asciiTheme="majorHAnsi" w:hAnsiTheme="majorHAnsi"/>
          <w:sz w:val="20"/>
          <w:szCs w:val="20"/>
          <w:lang w:val="es-ES_tradnl"/>
        </w:rPr>
        <w:t xml:space="preserve"> en 2019, como un mecanismo adecuado y efectivo de justicia transicional. </w:t>
      </w:r>
      <w:r w:rsidR="00F57D84" w:rsidRPr="005728CE">
        <w:rPr>
          <w:rFonts w:asciiTheme="majorHAnsi" w:hAnsiTheme="majorHAnsi"/>
          <w:sz w:val="20"/>
          <w:szCs w:val="20"/>
          <w:lang w:val="es-ES_tradnl"/>
        </w:rPr>
        <w:t>Destaca que el asunto sigue en trámite ante la JEP. En paralelo, destaca la importancia de la acción de reparación directa agotada por el peticionario. Finalmente, a</w:t>
      </w:r>
      <w:r w:rsidRPr="005728CE">
        <w:rPr>
          <w:rFonts w:asciiTheme="majorHAnsi" w:hAnsiTheme="majorHAnsi"/>
          <w:sz w:val="20"/>
          <w:szCs w:val="20"/>
          <w:lang w:val="es-ES_tradnl"/>
        </w:rPr>
        <w:t xml:space="preserve">rgumenta que el trámite </w:t>
      </w:r>
      <w:r w:rsidR="00F57D84" w:rsidRPr="005728CE">
        <w:rPr>
          <w:rFonts w:asciiTheme="majorHAnsi" w:hAnsiTheme="majorHAnsi"/>
          <w:sz w:val="20"/>
          <w:szCs w:val="20"/>
          <w:lang w:val="es-ES_tradnl"/>
        </w:rPr>
        <w:t>de los procesos internos</w:t>
      </w:r>
      <w:r w:rsidRPr="005728CE">
        <w:rPr>
          <w:rFonts w:asciiTheme="majorHAnsi" w:hAnsiTheme="majorHAnsi"/>
          <w:sz w:val="20"/>
          <w:szCs w:val="20"/>
          <w:lang w:val="es-ES_tradnl"/>
        </w:rPr>
        <w:t xml:space="preserve"> ha demostrado que existen todas las garantías para el esclarecimiento adecuado de los hechos y, en su caso, la correspondiente indemnización de las víctimas</w:t>
      </w:r>
      <w:r w:rsidR="00F57D84"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w:t>
      </w:r>
      <w:r w:rsidR="00F57D84" w:rsidRPr="005728CE">
        <w:rPr>
          <w:rFonts w:asciiTheme="majorHAnsi" w:hAnsiTheme="majorHAnsi"/>
          <w:sz w:val="20"/>
          <w:szCs w:val="20"/>
          <w:lang w:val="es-ES_tradnl"/>
        </w:rPr>
        <w:t>y</w:t>
      </w:r>
      <w:r w:rsidRPr="005728CE">
        <w:rPr>
          <w:rFonts w:asciiTheme="majorHAnsi" w:hAnsiTheme="majorHAnsi"/>
          <w:sz w:val="20"/>
          <w:szCs w:val="20"/>
          <w:lang w:val="es-ES_tradnl"/>
        </w:rPr>
        <w:t xml:space="preserve"> afirma que el peticionario no ha demostrado ninguna de las excepciones al agotamiento de los recursos internos. </w:t>
      </w:r>
    </w:p>
    <w:p w14:paraId="1050280B" w14:textId="301CC4AF" w:rsidR="006A3C40" w:rsidRPr="005728CE" w:rsidRDefault="006A3C40" w:rsidP="0064195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El peticionario considera que la petición es admisible porque </w:t>
      </w:r>
      <w:r w:rsidR="00634757" w:rsidRPr="005728CE">
        <w:rPr>
          <w:rFonts w:asciiTheme="majorHAnsi" w:hAnsiTheme="majorHAnsi"/>
          <w:sz w:val="20"/>
          <w:szCs w:val="20"/>
          <w:lang w:val="es-ES_tradnl"/>
        </w:rPr>
        <w:t>se configura</w:t>
      </w:r>
      <w:r w:rsidRPr="005728CE">
        <w:rPr>
          <w:rFonts w:asciiTheme="majorHAnsi" w:hAnsiTheme="majorHAnsi"/>
          <w:sz w:val="20"/>
          <w:szCs w:val="20"/>
          <w:lang w:val="es-ES_tradnl"/>
        </w:rPr>
        <w:t xml:space="preserve"> un retraso injustificado en los procesos internos. Sostiene que la demanda por reparación directa ante la jurisdicción contencios</w:t>
      </w:r>
      <w:r w:rsidR="00357DFF">
        <w:rPr>
          <w:rFonts w:asciiTheme="majorHAnsi" w:hAnsiTheme="majorHAnsi"/>
          <w:sz w:val="20"/>
          <w:szCs w:val="20"/>
          <w:lang w:val="es-ES_tradnl"/>
        </w:rPr>
        <w:t>a</w:t>
      </w:r>
      <w:r w:rsidRPr="005728CE">
        <w:rPr>
          <w:rFonts w:asciiTheme="majorHAnsi" w:hAnsiTheme="majorHAnsi"/>
          <w:sz w:val="20"/>
          <w:szCs w:val="20"/>
          <w:lang w:val="es-ES_tradnl"/>
        </w:rPr>
        <w:t xml:space="preserve"> administrativa fue interpuesta en abril de 2013 y no tenía sentencia firme</w:t>
      </w:r>
      <w:r w:rsidR="00F57D84" w:rsidRPr="005728CE">
        <w:rPr>
          <w:rFonts w:asciiTheme="majorHAnsi" w:hAnsiTheme="majorHAnsi"/>
          <w:sz w:val="20"/>
          <w:szCs w:val="20"/>
          <w:lang w:val="es-ES_tradnl"/>
        </w:rPr>
        <w:t xml:space="preserve"> hasta su último escrito a la CIDH, en diciembre de 2021</w:t>
      </w:r>
      <w:r w:rsidRPr="005728CE">
        <w:rPr>
          <w:rFonts w:asciiTheme="majorHAnsi" w:hAnsiTheme="majorHAnsi"/>
          <w:sz w:val="20"/>
          <w:szCs w:val="20"/>
          <w:lang w:val="es-ES_tradnl"/>
        </w:rPr>
        <w:t xml:space="preserve">. Además, indica que </w:t>
      </w:r>
      <w:r w:rsidR="00F57D84" w:rsidRPr="005728CE">
        <w:rPr>
          <w:rFonts w:asciiTheme="majorHAnsi" w:hAnsiTheme="majorHAnsi"/>
          <w:sz w:val="20"/>
          <w:szCs w:val="20"/>
          <w:lang w:val="es-ES_tradnl"/>
        </w:rPr>
        <w:t>hubo</w:t>
      </w:r>
      <w:r w:rsidRPr="005728CE">
        <w:rPr>
          <w:rFonts w:asciiTheme="majorHAnsi" w:hAnsiTheme="majorHAnsi"/>
          <w:sz w:val="20"/>
          <w:szCs w:val="20"/>
          <w:lang w:val="es-ES_tradnl"/>
        </w:rPr>
        <w:t xml:space="preserve"> pocos avances en la investigación penal y disciplinaria para esclarecer lo sucedido, establecer las respectivas sanciones y el adecuado resarcimiento a las víctimas, a pesar de que ya se ha procedido a la imputación penal de algunos militares involucrados en los hechos. </w:t>
      </w:r>
    </w:p>
    <w:p w14:paraId="65E1D335" w14:textId="30BA3BFF" w:rsidR="00673C7E" w:rsidRDefault="006A2CE3"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Para el análisis del agotamiento de los recursos domésticos en el presente asunto la CIDH recuerda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Pr="005728CE">
        <w:rPr>
          <w:rFonts w:asciiTheme="majorHAnsi" w:hAnsiTheme="majorHAnsi"/>
          <w:bCs/>
          <w:sz w:val="20"/>
          <w:szCs w:val="20"/>
          <w:vertAlign w:val="superscript"/>
          <w:lang w:val="es-ES_tradnl"/>
        </w:rPr>
        <w:footnoteReference w:id="7"/>
      </w:r>
      <w:r w:rsidRPr="005728CE">
        <w:rPr>
          <w:rFonts w:asciiTheme="majorHAnsi" w:hAnsiTheme="majorHAnsi"/>
          <w:sz w:val="20"/>
          <w:szCs w:val="20"/>
          <w:lang w:val="es-ES_tradnl"/>
        </w:rPr>
        <w:t>;</w:t>
      </w:r>
      <w:r w:rsidR="00274B08" w:rsidRPr="005728CE">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5728CE">
        <w:rPr>
          <w:rFonts w:asciiTheme="majorHAnsi" w:hAnsiTheme="majorHAnsi"/>
          <w:bCs/>
          <w:sz w:val="20"/>
          <w:szCs w:val="20"/>
          <w:vertAlign w:val="superscript"/>
          <w:lang w:val="es-ES_tradnl"/>
        </w:rPr>
        <w:footnoteReference w:id="8"/>
      </w:r>
      <w:r w:rsidR="00274B08" w:rsidRPr="005728CE">
        <w:rPr>
          <w:rFonts w:asciiTheme="majorHAnsi" w:hAnsiTheme="majorHAnsi"/>
          <w:sz w:val="20"/>
          <w:szCs w:val="20"/>
          <w:lang w:val="es-ES_tradnl"/>
        </w:rPr>
        <w:t xml:space="preserve">. </w:t>
      </w:r>
    </w:p>
    <w:p w14:paraId="48A78DE6" w14:textId="77777777" w:rsidR="00D93C29" w:rsidRDefault="00D93C29" w:rsidP="00D93C2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p>
    <w:p w14:paraId="717DA76E" w14:textId="77777777" w:rsidR="00D93C29" w:rsidRPr="005728CE" w:rsidRDefault="00D93C29" w:rsidP="00D93C2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p>
    <w:p w14:paraId="36DE501D" w14:textId="29F531E2" w:rsidR="00F57D84" w:rsidRPr="005728CE" w:rsidRDefault="00F17870"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En el presente caso, de acuerdo </w:t>
      </w:r>
      <w:r w:rsidR="00CB22B8" w:rsidRPr="005728CE">
        <w:rPr>
          <w:rFonts w:asciiTheme="majorHAnsi" w:hAnsiTheme="majorHAnsi"/>
          <w:sz w:val="20"/>
          <w:szCs w:val="20"/>
          <w:lang w:val="es-ES_tradnl"/>
        </w:rPr>
        <w:t>con</w:t>
      </w:r>
      <w:r w:rsidRPr="005728CE">
        <w:rPr>
          <w:rFonts w:asciiTheme="majorHAnsi" w:hAnsiTheme="majorHAnsi"/>
          <w:sz w:val="20"/>
          <w:szCs w:val="20"/>
          <w:lang w:val="es-ES_tradnl"/>
        </w:rPr>
        <w:t xml:space="preserve"> la información proporcionada por las partes, la Comisión observa que</w:t>
      </w:r>
      <w:r w:rsidR="00A64D2B"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tras la muerte de la</w:t>
      </w:r>
      <w:r w:rsidR="006A3C40" w:rsidRPr="005728CE">
        <w:rPr>
          <w:rFonts w:asciiTheme="majorHAnsi" w:hAnsiTheme="majorHAnsi"/>
          <w:sz w:val="20"/>
          <w:szCs w:val="20"/>
          <w:lang w:val="es-ES_tradnl"/>
        </w:rPr>
        <w:t>s</w:t>
      </w:r>
      <w:r w:rsidRPr="005728CE">
        <w:rPr>
          <w:rFonts w:asciiTheme="majorHAnsi" w:hAnsiTheme="majorHAnsi"/>
          <w:sz w:val="20"/>
          <w:szCs w:val="20"/>
          <w:lang w:val="es-ES_tradnl"/>
        </w:rPr>
        <w:t xml:space="preserve"> presunta</w:t>
      </w:r>
      <w:r w:rsidR="006A3C40" w:rsidRPr="005728CE">
        <w:rPr>
          <w:rFonts w:asciiTheme="majorHAnsi" w:hAnsiTheme="majorHAnsi"/>
          <w:sz w:val="20"/>
          <w:szCs w:val="20"/>
          <w:lang w:val="es-ES_tradnl"/>
        </w:rPr>
        <w:t>s</w:t>
      </w:r>
      <w:r w:rsidRPr="005728CE">
        <w:rPr>
          <w:rFonts w:asciiTheme="majorHAnsi" w:hAnsiTheme="majorHAnsi"/>
          <w:sz w:val="20"/>
          <w:szCs w:val="20"/>
          <w:lang w:val="es-ES_tradnl"/>
        </w:rPr>
        <w:t xml:space="preserve"> víctima</w:t>
      </w:r>
      <w:r w:rsidR="006A3C40" w:rsidRPr="005728CE">
        <w:rPr>
          <w:rFonts w:asciiTheme="majorHAnsi" w:hAnsiTheme="majorHAnsi"/>
          <w:sz w:val="20"/>
          <w:szCs w:val="20"/>
          <w:lang w:val="es-ES_tradnl"/>
        </w:rPr>
        <w:t>s</w:t>
      </w:r>
      <w:r w:rsidRPr="005728CE">
        <w:rPr>
          <w:rFonts w:asciiTheme="majorHAnsi" w:hAnsiTheme="majorHAnsi"/>
          <w:sz w:val="20"/>
          <w:szCs w:val="20"/>
          <w:lang w:val="es-ES_tradnl"/>
        </w:rPr>
        <w:t xml:space="preserve"> en </w:t>
      </w:r>
      <w:r w:rsidR="006A3C40" w:rsidRPr="005728CE">
        <w:rPr>
          <w:rFonts w:asciiTheme="majorHAnsi" w:hAnsiTheme="majorHAnsi"/>
          <w:sz w:val="20"/>
          <w:szCs w:val="20"/>
          <w:lang w:val="es-ES_tradnl"/>
        </w:rPr>
        <w:t>julio de 2011</w:t>
      </w:r>
      <w:r w:rsidR="00410B10"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w:t>
      </w:r>
      <w:r w:rsidR="008314CE" w:rsidRPr="005728CE">
        <w:rPr>
          <w:rFonts w:asciiTheme="majorHAnsi" w:hAnsiTheme="majorHAnsi"/>
          <w:sz w:val="20"/>
          <w:szCs w:val="20"/>
          <w:lang w:val="es-ES_tradnl"/>
        </w:rPr>
        <w:t xml:space="preserve">i) inicialmente, la justicia penal militar asumió la investigación de estos acontecimientos; sin embargo, el </w:t>
      </w:r>
      <w:r w:rsidR="006A3C40" w:rsidRPr="005728CE">
        <w:rPr>
          <w:rFonts w:asciiTheme="majorHAnsi" w:hAnsiTheme="majorHAnsi"/>
          <w:sz w:val="20"/>
          <w:szCs w:val="20"/>
          <w:lang w:val="es-ES_tradnl"/>
        </w:rPr>
        <w:t>5 de junio de 2012</w:t>
      </w:r>
      <w:r w:rsidR="008314CE" w:rsidRPr="005728CE">
        <w:rPr>
          <w:rFonts w:asciiTheme="majorHAnsi" w:hAnsiTheme="majorHAnsi"/>
          <w:sz w:val="20"/>
          <w:szCs w:val="20"/>
          <w:lang w:val="es-ES_tradnl"/>
        </w:rPr>
        <w:t xml:space="preserve">, la investigación fue trasladada a la </w:t>
      </w:r>
      <w:r w:rsidR="006A3C40" w:rsidRPr="005728CE">
        <w:rPr>
          <w:rFonts w:asciiTheme="majorHAnsi" w:hAnsiTheme="majorHAnsi"/>
          <w:sz w:val="20"/>
          <w:szCs w:val="20"/>
          <w:lang w:val="es-ES_tradnl"/>
        </w:rPr>
        <w:t>jurisdicción ordinaria</w:t>
      </w:r>
      <w:r w:rsidR="008314CE" w:rsidRPr="005728CE">
        <w:rPr>
          <w:rFonts w:asciiTheme="majorHAnsi" w:hAnsiTheme="majorHAnsi"/>
          <w:sz w:val="20"/>
          <w:szCs w:val="20"/>
          <w:lang w:val="es-ES_tradnl"/>
        </w:rPr>
        <w:t xml:space="preserve">; ii) </w:t>
      </w:r>
      <w:r w:rsidR="006A3C40" w:rsidRPr="005728CE">
        <w:rPr>
          <w:rFonts w:asciiTheme="majorHAnsi" w:hAnsiTheme="majorHAnsi"/>
          <w:sz w:val="20"/>
          <w:szCs w:val="20"/>
          <w:lang w:val="es-ES_tradnl"/>
        </w:rPr>
        <w:t>la Fiscalía</w:t>
      </w:r>
      <w:r w:rsidR="00F3182C" w:rsidRPr="005728CE">
        <w:rPr>
          <w:rFonts w:asciiTheme="majorHAnsi" w:hAnsiTheme="majorHAnsi"/>
          <w:sz w:val="20"/>
          <w:szCs w:val="20"/>
          <w:lang w:val="es-ES_tradnl"/>
        </w:rPr>
        <w:t xml:space="preserve"> identificó a </w:t>
      </w:r>
      <w:r w:rsidR="006A3C40" w:rsidRPr="005728CE">
        <w:rPr>
          <w:rFonts w:asciiTheme="majorHAnsi" w:hAnsiTheme="majorHAnsi"/>
          <w:sz w:val="20"/>
          <w:szCs w:val="20"/>
          <w:lang w:val="es-ES_tradnl"/>
        </w:rPr>
        <w:t>siete</w:t>
      </w:r>
      <w:r w:rsidR="00F3182C" w:rsidRPr="005728CE">
        <w:rPr>
          <w:rFonts w:asciiTheme="majorHAnsi" w:hAnsiTheme="majorHAnsi"/>
          <w:sz w:val="20"/>
          <w:szCs w:val="20"/>
          <w:lang w:val="es-ES_tradnl"/>
        </w:rPr>
        <w:t xml:space="preserve"> militares como los posibles responsables; iii) </w:t>
      </w:r>
      <w:r w:rsidR="0095142A" w:rsidRPr="005728CE">
        <w:rPr>
          <w:rFonts w:asciiTheme="majorHAnsi" w:hAnsiTheme="majorHAnsi"/>
          <w:sz w:val="20"/>
          <w:szCs w:val="20"/>
          <w:lang w:val="es-ES_tradnl"/>
        </w:rPr>
        <w:t xml:space="preserve">a pesar de algunos avances, como la celebración de una audiencia de formulación de cargos contra los siete imputados, </w:t>
      </w:r>
      <w:r w:rsidR="00F57D84" w:rsidRPr="005728CE">
        <w:rPr>
          <w:rFonts w:asciiTheme="majorHAnsi" w:hAnsiTheme="majorHAnsi"/>
          <w:sz w:val="20"/>
          <w:szCs w:val="20"/>
          <w:lang w:val="es-ES_tradnl"/>
        </w:rPr>
        <w:t xml:space="preserve">a </w:t>
      </w:r>
      <w:r w:rsidR="00F57D84" w:rsidRPr="005728CE">
        <w:rPr>
          <w:rFonts w:asciiTheme="majorHAnsi" w:hAnsiTheme="majorHAnsi"/>
          <w:color w:val="auto"/>
          <w:sz w:val="20"/>
          <w:szCs w:val="20"/>
          <w:lang w:val="es-ES_tradnl"/>
        </w:rPr>
        <w:t>partir del 12 de julio de 2021, las actividades investigativas fueron suspendidas en este caso, debido a que la Sala de Definición de Situaciones Jurídicas de la JEP asumió el conocimiento del asunto</w:t>
      </w:r>
      <w:r w:rsidR="00F57D84" w:rsidRPr="005728CE">
        <w:rPr>
          <w:rFonts w:asciiTheme="majorHAnsi" w:hAnsiTheme="majorHAnsi"/>
          <w:sz w:val="20"/>
          <w:szCs w:val="20"/>
          <w:lang w:val="es-ES_tradnl"/>
        </w:rPr>
        <w:t xml:space="preserve">; iv) el asunto </w:t>
      </w:r>
      <w:r w:rsidR="00A20D62" w:rsidRPr="005728CE">
        <w:rPr>
          <w:rFonts w:asciiTheme="majorHAnsi" w:hAnsiTheme="majorHAnsi"/>
          <w:sz w:val="20"/>
          <w:szCs w:val="20"/>
          <w:lang w:val="es-ES_tradnl"/>
        </w:rPr>
        <w:t>sigue</w:t>
      </w:r>
      <w:r w:rsidR="00F57D84" w:rsidRPr="005728CE">
        <w:rPr>
          <w:rFonts w:asciiTheme="majorHAnsi" w:hAnsiTheme="majorHAnsi"/>
          <w:sz w:val="20"/>
          <w:szCs w:val="20"/>
          <w:lang w:val="es-ES_tradnl"/>
        </w:rPr>
        <w:t xml:space="preserve"> pendiente ante la JEP. </w:t>
      </w:r>
    </w:p>
    <w:p w14:paraId="7AAEDE69" w14:textId="0A58C8C2" w:rsidR="00406F14" w:rsidRPr="005728CE" w:rsidRDefault="00406F14"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En su reciente jurisprudencia sobre admisibilidad, la Comisión Interamericana analizó </w:t>
      </w:r>
      <w:r w:rsidR="00595A79" w:rsidRPr="005728CE">
        <w:rPr>
          <w:rFonts w:asciiTheme="majorHAnsi" w:hAnsiTheme="majorHAnsi"/>
          <w:sz w:val="20"/>
          <w:szCs w:val="20"/>
          <w:lang w:val="es-ES_tradnl"/>
        </w:rPr>
        <w:t>casos similares donde los recursos internos aún están pendientes ante la JEP, o han sido suspendidos debido a la mera existencia de la JEP, muchos años después de los hechos ocurridos.</w:t>
      </w:r>
      <w:r w:rsidRPr="005728CE">
        <w:rPr>
          <w:rFonts w:asciiTheme="majorHAnsi" w:hAnsiTheme="majorHAnsi"/>
          <w:sz w:val="20"/>
          <w:szCs w:val="20"/>
          <w:lang w:val="es-ES_tradnl"/>
        </w:rPr>
        <w:t xml:space="preserve"> En estos análisis, la Comisión concluyó que debe aplicarse la excepción de retardo injustificado, toda vez que el requisito de agotamiento de los recursos internos no puede ser tal que retrase indefinidamente el acceso de las presuntas víctimas al sistema interamericano</w:t>
      </w:r>
      <w:r w:rsidRPr="005728CE">
        <w:rPr>
          <w:rFonts w:asciiTheme="majorHAnsi" w:hAnsiTheme="majorHAnsi"/>
          <w:bCs/>
          <w:sz w:val="20"/>
          <w:szCs w:val="20"/>
          <w:vertAlign w:val="superscript"/>
          <w:lang w:val="es-ES_tradnl"/>
        </w:rPr>
        <w:footnoteReference w:id="9"/>
      </w:r>
      <w:r w:rsidRPr="005728CE">
        <w:rPr>
          <w:rFonts w:asciiTheme="majorHAnsi" w:hAnsiTheme="majorHAnsi"/>
          <w:sz w:val="20"/>
          <w:szCs w:val="20"/>
          <w:lang w:val="es-ES_tradnl"/>
        </w:rPr>
        <w:t>.</w:t>
      </w:r>
    </w:p>
    <w:p w14:paraId="30920294" w14:textId="4E1F93E7" w:rsidR="001E7268" w:rsidRDefault="00603BA0"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Así, tomando en cuenta lo anterior, y el hecho de que el proceso considerado como un todo ha transcurrido por más de </w:t>
      </w:r>
      <w:r w:rsidR="006C1660" w:rsidRPr="005728CE">
        <w:rPr>
          <w:rFonts w:asciiTheme="majorHAnsi" w:hAnsiTheme="majorHAnsi"/>
          <w:sz w:val="20"/>
          <w:szCs w:val="20"/>
          <w:lang w:val="es-ES_tradnl"/>
        </w:rPr>
        <w:t>doce</w:t>
      </w:r>
      <w:r w:rsidR="00C91C88" w:rsidRPr="005728CE">
        <w:rPr>
          <w:rFonts w:asciiTheme="majorHAnsi" w:hAnsiTheme="majorHAnsi"/>
          <w:sz w:val="20"/>
          <w:szCs w:val="20"/>
          <w:lang w:val="es-ES_tradnl"/>
        </w:rPr>
        <w:t xml:space="preserve"> años de ocurrida</w:t>
      </w:r>
      <w:r w:rsidR="006C1660" w:rsidRPr="005728CE">
        <w:rPr>
          <w:rFonts w:asciiTheme="majorHAnsi" w:hAnsiTheme="majorHAnsi"/>
          <w:sz w:val="20"/>
          <w:szCs w:val="20"/>
          <w:lang w:val="es-ES_tradnl"/>
        </w:rPr>
        <w:t>s</w:t>
      </w:r>
      <w:r w:rsidR="00C91C88" w:rsidRPr="005728CE">
        <w:rPr>
          <w:rFonts w:asciiTheme="majorHAnsi" w:hAnsiTheme="majorHAnsi"/>
          <w:sz w:val="20"/>
          <w:szCs w:val="20"/>
          <w:lang w:val="es-ES_tradnl"/>
        </w:rPr>
        <w:t xml:space="preserve"> la</w:t>
      </w:r>
      <w:r w:rsidR="006C1660" w:rsidRPr="005728CE">
        <w:rPr>
          <w:rFonts w:asciiTheme="majorHAnsi" w:hAnsiTheme="majorHAnsi"/>
          <w:sz w:val="20"/>
          <w:szCs w:val="20"/>
          <w:lang w:val="es-ES_tradnl"/>
        </w:rPr>
        <w:t>s</w:t>
      </w:r>
      <w:r w:rsidR="00C91C88" w:rsidRPr="005728CE">
        <w:rPr>
          <w:rFonts w:asciiTheme="majorHAnsi" w:hAnsiTheme="majorHAnsi"/>
          <w:sz w:val="20"/>
          <w:szCs w:val="20"/>
          <w:lang w:val="es-ES_tradnl"/>
        </w:rPr>
        <w:t xml:space="preserve"> muerte</w:t>
      </w:r>
      <w:r w:rsidR="006C1660" w:rsidRPr="005728CE">
        <w:rPr>
          <w:rFonts w:asciiTheme="majorHAnsi" w:hAnsiTheme="majorHAnsi"/>
          <w:sz w:val="20"/>
          <w:szCs w:val="20"/>
          <w:lang w:val="es-ES_tradnl"/>
        </w:rPr>
        <w:t>s</w:t>
      </w:r>
      <w:r w:rsidR="00C91C88" w:rsidRPr="005728CE">
        <w:rPr>
          <w:rFonts w:asciiTheme="majorHAnsi" w:hAnsiTheme="majorHAnsi"/>
          <w:sz w:val="20"/>
          <w:szCs w:val="20"/>
          <w:lang w:val="es-ES_tradnl"/>
        </w:rPr>
        <w:t xml:space="preserve"> </w:t>
      </w:r>
      <w:r w:rsidR="006C1660" w:rsidRPr="005728CE">
        <w:rPr>
          <w:rFonts w:asciiTheme="majorHAnsi" w:hAnsiTheme="majorHAnsi"/>
          <w:sz w:val="20"/>
          <w:szCs w:val="20"/>
          <w:lang w:val="es-ES_tradnl"/>
        </w:rPr>
        <w:t>de las presuntas víctimas</w:t>
      </w:r>
      <w:r w:rsidR="00096E96" w:rsidRPr="005728CE">
        <w:rPr>
          <w:rFonts w:asciiTheme="majorHAnsi" w:hAnsiTheme="majorHAnsi"/>
          <w:sz w:val="20"/>
          <w:szCs w:val="20"/>
          <w:lang w:val="es-ES_tradnl"/>
        </w:rPr>
        <w:t xml:space="preserve"> sin que haya existido una sentencia </w:t>
      </w:r>
      <w:r w:rsidR="00497939" w:rsidRPr="005728CE">
        <w:rPr>
          <w:rFonts w:asciiTheme="majorHAnsi" w:hAnsiTheme="majorHAnsi"/>
          <w:sz w:val="20"/>
          <w:szCs w:val="20"/>
          <w:lang w:val="es-ES_tradnl"/>
        </w:rPr>
        <w:t>judicial</w:t>
      </w:r>
      <w:r w:rsidR="00A2366E" w:rsidRPr="005728CE">
        <w:rPr>
          <w:rFonts w:asciiTheme="majorHAnsi" w:hAnsiTheme="majorHAnsi"/>
          <w:sz w:val="20"/>
          <w:szCs w:val="20"/>
          <w:lang w:val="es-ES_tradnl"/>
        </w:rPr>
        <w:t>,</w:t>
      </w:r>
      <w:r w:rsidR="00A20D62" w:rsidRPr="005728CE">
        <w:rPr>
          <w:rFonts w:asciiTheme="majorHAnsi" w:hAnsiTheme="majorHAnsi"/>
          <w:sz w:val="20"/>
          <w:szCs w:val="20"/>
          <w:lang w:val="es-ES_tradnl"/>
        </w:rPr>
        <w:t xml:space="preserve"> ni sanción de los responsables,</w:t>
      </w:r>
      <w:r w:rsidR="00A2366E" w:rsidRPr="005728CE">
        <w:rPr>
          <w:rFonts w:asciiTheme="majorHAnsi" w:hAnsiTheme="majorHAnsi"/>
          <w:sz w:val="20"/>
          <w:szCs w:val="20"/>
          <w:lang w:val="es-ES_tradnl"/>
        </w:rPr>
        <w:t xml:space="preserve"> l</w:t>
      </w:r>
      <w:r w:rsidR="00062E15" w:rsidRPr="005728CE">
        <w:rPr>
          <w:rFonts w:asciiTheme="majorHAnsi" w:hAnsiTheme="majorHAnsi"/>
          <w:sz w:val="20"/>
          <w:szCs w:val="20"/>
          <w:lang w:val="es-ES_tradnl"/>
        </w:rPr>
        <w:t xml:space="preserve">a CIDH concluye que existe un retardo injustificado en </w:t>
      </w:r>
      <w:r w:rsidR="00334BF5" w:rsidRPr="005728CE">
        <w:rPr>
          <w:rFonts w:asciiTheme="majorHAnsi" w:hAnsiTheme="majorHAnsi"/>
          <w:sz w:val="20"/>
          <w:szCs w:val="20"/>
          <w:lang w:val="es-ES_tradnl"/>
        </w:rPr>
        <w:t>la adopción de una decisión final</w:t>
      </w:r>
      <w:r w:rsidR="00A96DAD" w:rsidRPr="005728CE">
        <w:rPr>
          <w:rFonts w:asciiTheme="majorHAnsi" w:hAnsiTheme="majorHAnsi"/>
          <w:sz w:val="20"/>
          <w:szCs w:val="20"/>
          <w:lang w:val="es-ES_tradnl"/>
        </w:rPr>
        <w:t xml:space="preserve"> a nivel interno, por lo que resulta aplicable la excepción prevista en el artículo 46.2.c) de la Convención Americana.</w:t>
      </w:r>
      <w:r w:rsidR="00BA383F" w:rsidRPr="005728CE">
        <w:rPr>
          <w:rFonts w:asciiTheme="majorHAnsi" w:hAnsiTheme="majorHAnsi"/>
          <w:sz w:val="20"/>
          <w:szCs w:val="20"/>
          <w:lang w:val="es-ES_tradnl"/>
        </w:rPr>
        <w:t xml:space="preserve"> </w:t>
      </w:r>
      <w:bookmarkStart w:id="2" w:name="_Hlk117929164"/>
    </w:p>
    <w:p w14:paraId="4F1B7CE2" w14:textId="77777777" w:rsidR="00D93C29" w:rsidRPr="005728CE" w:rsidRDefault="00D93C29" w:rsidP="00D93C2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p>
    <w:p w14:paraId="6EBBEAD4" w14:textId="19CA2920" w:rsidR="0055373E" w:rsidRPr="005728CE" w:rsidRDefault="001E7268"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lastRenderedPageBreak/>
        <w:t xml:space="preserve">A este respecto, </w:t>
      </w:r>
      <w:bookmarkStart w:id="3" w:name="_Hlk118123845"/>
      <w:r w:rsidRPr="005728CE">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5728CE">
        <w:rPr>
          <w:rFonts w:asciiTheme="majorHAnsi" w:hAnsiTheme="majorHAnsi"/>
          <w:sz w:val="20"/>
          <w:szCs w:val="20"/>
          <w:lang w:val="es-ES_tradnl"/>
        </w:rPr>
        <w:t xml:space="preserve">La CIDH también ha subrayado que no existen disposiciones convencionales o reglamentarias que regulen de modo específico el </w:t>
      </w:r>
      <w:r w:rsidR="007A2194" w:rsidRPr="005728CE">
        <w:rPr>
          <w:rFonts w:asciiTheme="majorHAnsi" w:hAnsiTheme="majorHAnsi"/>
          <w:sz w:val="20"/>
          <w:szCs w:val="20"/>
          <w:lang w:val="es-ES_tradnl"/>
        </w:rPr>
        <w:t>lapso</w:t>
      </w:r>
      <w:r w:rsidRPr="005728CE">
        <w:rPr>
          <w:rFonts w:asciiTheme="majorHAnsi" w:hAnsiTheme="majorHAnsi"/>
          <w:sz w:val="20"/>
          <w:szCs w:val="20"/>
          <w:lang w:val="es-ES_tradnl"/>
        </w:rPr>
        <w:t xml:space="preserve"> que constituye retardo injustificado, por lo cual la Comisión evalúa caso por caso para determinar si se configura dicho retardo</w:t>
      </w:r>
      <w:r w:rsidRPr="005728CE">
        <w:rPr>
          <w:rStyle w:val="FootnoteReference"/>
          <w:rFonts w:asciiTheme="majorHAnsi" w:hAnsiTheme="majorHAnsi"/>
          <w:sz w:val="20"/>
          <w:szCs w:val="20"/>
          <w:lang w:val="es-ES_tradnl"/>
        </w:rPr>
        <w:footnoteReference w:id="10"/>
      </w:r>
      <w:r w:rsidRPr="005728CE">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Pr="005728CE">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5728CE">
        <w:rPr>
          <w:rFonts w:asciiTheme="majorHAnsi" w:hAnsiTheme="majorHAnsi"/>
          <w:sz w:val="20"/>
          <w:szCs w:val="20"/>
          <w:lang w:val="es-ES_tradnl"/>
        </w:rPr>
        <w:t>”</w:t>
      </w:r>
      <w:r w:rsidRPr="005728CE">
        <w:rPr>
          <w:rStyle w:val="FootnoteReference"/>
          <w:rFonts w:asciiTheme="majorHAnsi" w:hAnsiTheme="majorHAnsi"/>
          <w:sz w:val="20"/>
          <w:szCs w:val="20"/>
          <w:lang w:val="es-ES_tradnl"/>
        </w:rPr>
        <w:footnoteReference w:id="11"/>
      </w:r>
      <w:r w:rsidRPr="005728CE">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64A0FD3B" w14:textId="2FACEB7A" w:rsidR="00F71A7B" w:rsidRPr="005728CE" w:rsidRDefault="00F71A7B"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Acerca de la razonabilidad del plazo en el cual fue presentada la presente petición, conforme al artículo 32.2 de su Reglamento Interno, la CIDH concluye que </w:t>
      </w:r>
      <w:r w:rsidR="00DB2530" w:rsidRPr="005728CE">
        <w:rPr>
          <w:rFonts w:asciiTheme="majorHAnsi" w:hAnsiTheme="majorHAnsi"/>
          <w:sz w:val="20"/>
          <w:szCs w:val="20"/>
          <w:lang w:val="es-ES_tradnl"/>
        </w:rPr>
        <w:t xml:space="preserve">ésta </w:t>
      </w:r>
      <w:r w:rsidR="0011794D" w:rsidRPr="005728CE">
        <w:rPr>
          <w:rFonts w:asciiTheme="majorHAnsi" w:hAnsiTheme="majorHAnsi"/>
          <w:sz w:val="20"/>
          <w:szCs w:val="20"/>
          <w:lang w:val="es-ES_tradnl"/>
        </w:rPr>
        <w:t xml:space="preserve">cumple con </w:t>
      </w:r>
      <w:r w:rsidR="00DB2530" w:rsidRPr="005728CE">
        <w:rPr>
          <w:rFonts w:asciiTheme="majorHAnsi" w:hAnsiTheme="majorHAnsi"/>
          <w:sz w:val="20"/>
          <w:szCs w:val="20"/>
          <w:lang w:val="es-ES_tradnl"/>
        </w:rPr>
        <w:t xml:space="preserve">dicho </w:t>
      </w:r>
      <w:r w:rsidR="0011794D" w:rsidRPr="005728CE">
        <w:rPr>
          <w:rFonts w:asciiTheme="majorHAnsi" w:hAnsiTheme="majorHAnsi"/>
          <w:sz w:val="20"/>
          <w:szCs w:val="20"/>
          <w:lang w:val="es-ES_tradnl"/>
        </w:rPr>
        <w:t xml:space="preserve">requisito, ya que </w:t>
      </w:r>
      <w:r w:rsidR="00D87AC2" w:rsidRPr="005728CE">
        <w:rPr>
          <w:rFonts w:asciiTheme="majorHAnsi" w:hAnsiTheme="majorHAnsi"/>
          <w:sz w:val="20"/>
          <w:szCs w:val="20"/>
          <w:lang w:val="es-ES_tradnl"/>
        </w:rPr>
        <w:t>los hechos iniciales ocurrieron en 20</w:t>
      </w:r>
      <w:r w:rsidR="006C1660" w:rsidRPr="005728CE">
        <w:rPr>
          <w:rFonts w:asciiTheme="majorHAnsi" w:hAnsiTheme="majorHAnsi"/>
          <w:sz w:val="20"/>
          <w:szCs w:val="20"/>
          <w:lang w:val="es-ES_tradnl"/>
        </w:rPr>
        <w:t>11</w:t>
      </w:r>
      <w:r w:rsidR="00D87AC2" w:rsidRPr="005728CE">
        <w:rPr>
          <w:rFonts w:asciiTheme="majorHAnsi" w:hAnsiTheme="majorHAnsi"/>
          <w:sz w:val="20"/>
          <w:szCs w:val="20"/>
          <w:lang w:val="es-ES_tradnl"/>
        </w:rPr>
        <w:t>; la petición fue presentada en 201</w:t>
      </w:r>
      <w:r w:rsidR="006C1660" w:rsidRPr="005728CE">
        <w:rPr>
          <w:rFonts w:asciiTheme="majorHAnsi" w:hAnsiTheme="majorHAnsi"/>
          <w:sz w:val="20"/>
          <w:szCs w:val="20"/>
          <w:lang w:val="es-ES_tradnl"/>
        </w:rPr>
        <w:t>4</w:t>
      </w:r>
      <w:r w:rsidR="00D87AC2" w:rsidRPr="005728CE">
        <w:rPr>
          <w:rFonts w:asciiTheme="majorHAnsi" w:hAnsiTheme="majorHAnsi"/>
          <w:sz w:val="20"/>
          <w:szCs w:val="20"/>
          <w:lang w:val="es-ES_tradnl"/>
        </w:rPr>
        <w:t xml:space="preserve">; y los efectos de las alegadas violaciones en términos de la alegada impunidad permanecerían hasta el presente. </w:t>
      </w:r>
    </w:p>
    <w:p w14:paraId="2C613E54" w14:textId="77777777" w:rsidR="00C9124E" w:rsidRPr="005728CE" w:rsidRDefault="00C9124E" w:rsidP="00641957">
      <w:pPr>
        <w:pStyle w:val="ListParagraph"/>
        <w:spacing w:before="240" w:after="240"/>
        <w:ind w:left="0" w:firstLine="720"/>
        <w:jc w:val="both"/>
        <w:rPr>
          <w:rFonts w:asciiTheme="majorHAnsi" w:hAnsiTheme="majorHAnsi"/>
          <w:b/>
          <w:sz w:val="20"/>
          <w:szCs w:val="20"/>
          <w:lang w:val="es-ES_tradnl"/>
        </w:rPr>
      </w:pPr>
      <w:r w:rsidRPr="005728CE">
        <w:rPr>
          <w:rFonts w:asciiTheme="majorHAnsi" w:hAnsiTheme="majorHAnsi"/>
          <w:b/>
          <w:sz w:val="20"/>
          <w:szCs w:val="20"/>
          <w:lang w:val="es-ES_tradnl"/>
        </w:rPr>
        <w:t xml:space="preserve">VII. </w:t>
      </w:r>
      <w:r w:rsidRPr="005728CE">
        <w:rPr>
          <w:rFonts w:asciiTheme="majorHAnsi" w:hAnsiTheme="majorHAnsi"/>
          <w:b/>
          <w:sz w:val="20"/>
          <w:szCs w:val="20"/>
          <w:lang w:val="es-ES_tradnl"/>
        </w:rPr>
        <w:tab/>
      </w:r>
      <w:r w:rsidRPr="005728CE">
        <w:rPr>
          <w:rFonts w:asciiTheme="majorHAnsi" w:hAnsiTheme="majorHAnsi"/>
          <w:b/>
          <w:bCs/>
          <w:sz w:val="20"/>
          <w:szCs w:val="20"/>
          <w:lang w:val="es-ES_tradnl"/>
        </w:rPr>
        <w:t>ANÁLISIS DE CARACTERIZACIÓN DE LOS HECHOS ALEGADOS</w:t>
      </w:r>
    </w:p>
    <w:p w14:paraId="5AF1B590" w14:textId="0BAEC4BC" w:rsidR="002F7D3C" w:rsidRPr="005728CE" w:rsidRDefault="00A654BB"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5728CE">
        <w:rPr>
          <w:rFonts w:asciiTheme="majorHAnsi" w:hAnsiTheme="majorHAnsi"/>
          <w:color w:val="auto"/>
          <w:sz w:val="20"/>
          <w:szCs w:val="20"/>
          <w:lang w:val="es-ES_tradnl"/>
        </w:rPr>
        <w:t xml:space="preserve">El Estado </w:t>
      </w:r>
      <w:r w:rsidR="00BB27F4" w:rsidRPr="005728CE">
        <w:rPr>
          <w:rFonts w:asciiTheme="majorHAnsi" w:hAnsiTheme="majorHAnsi"/>
          <w:color w:val="auto"/>
          <w:sz w:val="20"/>
          <w:szCs w:val="20"/>
          <w:lang w:val="es-ES_tradnl"/>
        </w:rPr>
        <w:t xml:space="preserve">afirma </w:t>
      </w:r>
      <w:r w:rsidRPr="005728CE">
        <w:rPr>
          <w:rFonts w:asciiTheme="majorHAnsi" w:hAnsiTheme="majorHAnsi"/>
          <w:color w:val="auto"/>
          <w:sz w:val="20"/>
          <w:szCs w:val="20"/>
          <w:lang w:val="es-ES_tradnl"/>
        </w:rPr>
        <w:t>que la petición es inadmisible conforme con lo dispuesto en el artículo 47.b de la Convención Americana, por configuración de la fórmula de la cuarta instancia</w:t>
      </w:r>
      <w:r w:rsidR="00664052" w:rsidRPr="005728CE">
        <w:rPr>
          <w:rFonts w:asciiTheme="majorHAnsi" w:hAnsiTheme="majorHAnsi"/>
          <w:color w:val="auto"/>
          <w:sz w:val="20"/>
          <w:szCs w:val="20"/>
          <w:lang w:val="es-ES_tradnl"/>
        </w:rPr>
        <w:t xml:space="preserve">, </w:t>
      </w:r>
      <w:r w:rsidR="002F7D3C" w:rsidRPr="005728CE">
        <w:rPr>
          <w:rFonts w:asciiTheme="majorHAnsi" w:hAnsiTheme="majorHAnsi"/>
          <w:color w:val="auto"/>
          <w:sz w:val="20"/>
          <w:szCs w:val="20"/>
          <w:lang w:val="es-ES_tradnl"/>
        </w:rPr>
        <w:t>en relación con las decisiones adoptadas en el marco de la jurisdicción de lo contencioso administrativo y los fallos proferidos por las autoridades constitucionales las cuales</w:t>
      </w:r>
      <w:r w:rsidR="00A903DF" w:rsidRPr="005728CE">
        <w:rPr>
          <w:rFonts w:asciiTheme="majorHAnsi" w:hAnsiTheme="majorHAnsi"/>
          <w:color w:val="auto"/>
          <w:sz w:val="20"/>
          <w:szCs w:val="20"/>
          <w:lang w:val="es-ES_tradnl"/>
        </w:rPr>
        <w:t>, según el Estado,</w:t>
      </w:r>
      <w:r w:rsidR="002F7D3C" w:rsidRPr="005728CE">
        <w:rPr>
          <w:rFonts w:asciiTheme="majorHAnsi" w:hAnsiTheme="majorHAnsi"/>
          <w:color w:val="auto"/>
          <w:sz w:val="20"/>
          <w:szCs w:val="20"/>
          <w:lang w:val="es-ES_tradnl"/>
        </w:rPr>
        <w:t xml:space="preserve"> garantizaron el debido proceso y se encuentran debidamente motivadas. </w:t>
      </w:r>
    </w:p>
    <w:p w14:paraId="1DA599D5" w14:textId="2C397626" w:rsidR="00EB0BBE" w:rsidRPr="005728CE" w:rsidRDefault="00EB0BBE" w:rsidP="0064195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color w:val="auto"/>
          <w:sz w:val="20"/>
          <w:szCs w:val="20"/>
          <w:lang w:val="es-ES_tradnl"/>
        </w:rPr>
        <w:t xml:space="preserve">A los efectos de la admisibilidad, la Comisión debe decidir si los hechos alegados pueden caracterizar una </w:t>
      </w:r>
      <w:r w:rsidRPr="005728CE">
        <w:rPr>
          <w:rFonts w:asciiTheme="majorHAnsi" w:hAnsiTheme="majorHAnsi"/>
          <w:sz w:val="20"/>
          <w:szCs w:val="20"/>
          <w:lang w:val="es-ES_tradnl"/>
        </w:rPr>
        <w:t>violación de derechos, según lo estipulado en el artículo 47</w:t>
      </w:r>
      <w:r w:rsidR="003D337C"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5728CE">
        <w:rPr>
          <w:rFonts w:asciiTheme="majorHAnsi" w:hAnsiTheme="majorHAnsi"/>
          <w:i/>
          <w:iCs/>
          <w:sz w:val="20"/>
          <w:szCs w:val="20"/>
          <w:lang w:val="es-ES_tradnl"/>
        </w:rPr>
        <w:t>prima facie</w:t>
      </w:r>
      <w:r w:rsidRPr="005728CE">
        <w:rPr>
          <w:rFonts w:asciiTheme="majorHAnsi" w:hAnsiTheme="majorHAnsi"/>
          <w:sz w:val="20"/>
          <w:szCs w:val="20"/>
          <w:lang w:val="es-ES_tradnl"/>
        </w:rPr>
        <w:t xml:space="preserve"> violaciones a la Convención Americana”.</w:t>
      </w:r>
    </w:p>
    <w:p w14:paraId="7ED7E0D2" w14:textId="71E9A462" w:rsidR="00FF4C1E" w:rsidRPr="005728CE" w:rsidRDefault="00EB0BBE"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En el presente asunto, la Comisión observa que el reclamo principal de la parte peticionaria se centra </w:t>
      </w:r>
      <w:r w:rsidR="00664052" w:rsidRPr="005728CE">
        <w:rPr>
          <w:rFonts w:asciiTheme="majorHAnsi" w:hAnsiTheme="majorHAnsi"/>
          <w:sz w:val="20"/>
          <w:szCs w:val="20"/>
          <w:lang w:val="es-ES_tradnl"/>
        </w:rPr>
        <w:t xml:space="preserve">en </w:t>
      </w:r>
      <w:r w:rsidR="00213180" w:rsidRPr="005728CE">
        <w:rPr>
          <w:rFonts w:asciiTheme="majorHAnsi" w:hAnsiTheme="majorHAnsi"/>
          <w:sz w:val="20"/>
          <w:szCs w:val="20"/>
          <w:lang w:val="es-ES_tradnl"/>
        </w:rPr>
        <w:t>las muertes de Edimer Bustos y Luis Alfonso Jiménez Benito</w:t>
      </w:r>
      <w:r w:rsidR="00664052" w:rsidRPr="005728CE">
        <w:rPr>
          <w:rFonts w:asciiTheme="majorHAnsi" w:hAnsiTheme="majorHAnsi"/>
          <w:sz w:val="20"/>
          <w:szCs w:val="20"/>
          <w:lang w:val="es-ES_tradnl"/>
        </w:rPr>
        <w:t xml:space="preserve">, la falta de investigación y </w:t>
      </w:r>
      <w:r w:rsidR="00DD64B2" w:rsidRPr="005728CE">
        <w:rPr>
          <w:rFonts w:asciiTheme="majorHAnsi" w:hAnsiTheme="majorHAnsi"/>
          <w:sz w:val="20"/>
          <w:szCs w:val="20"/>
          <w:lang w:val="es-ES_tradnl"/>
        </w:rPr>
        <w:t>sanción</w:t>
      </w:r>
      <w:r w:rsidR="00664052" w:rsidRPr="005728CE">
        <w:rPr>
          <w:rFonts w:asciiTheme="majorHAnsi" w:hAnsiTheme="majorHAnsi"/>
          <w:sz w:val="20"/>
          <w:szCs w:val="20"/>
          <w:lang w:val="es-ES_tradnl"/>
        </w:rPr>
        <w:t xml:space="preserve"> de los hechos, </w:t>
      </w:r>
      <w:r w:rsidRPr="005728CE">
        <w:rPr>
          <w:rFonts w:asciiTheme="majorHAnsi" w:hAnsiTheme="majorHAnsi"/>
          <w:sz w:val="20"/>
          <w:szCs w:val="20"/>
          <w:lang w:val="es-ES_tradnl"/>
        </w:rPr>
        <w:t xml:space="preserve">así como de reparación </w:t>
      </w:r>
      <w:r w:rsidR="00664052" w:rsidRPr="005728CE">
        <w:rPr>
          <w:rFonts w:asciiTheme="majorHAnsi" w:hAnsiTheme="majorHAnsi"/>
          <w:sz w:val="20"/>
          <w:szCs w:val="20"/>
          <w:lang w:val="es-ES_tradnl"/>
        </w:rPr>
        <w:t xml:space="preserve">integral </w:t>
      </w:r>
      <w:r w:rsidRPr="005728CE">
        <w:rPr>
          <w:rFonts w:asciiTheme="majorHAnsi" w:hAnsiTheme="majorHAnsi"/>
          <w:sz w:val="20"/>
          <w:szCs w:val="20"/>
          <w:lang w:val="es-ES_tradnl"/>
        </w:rPr>
        <w:t>a sus familiares por los daños asociados</w:t>
      </w:r>
      <w:r w:rsidR="00F51366" w:rsidRPr="005728CE">
        <w:rPr>
          <w:rFonts w:asciiTheme="majorHAnsi" w:hAnsiTheme="majorHAnsi"/>
          <w:sz w:val="20"/>
          <w:szCs w:val="20"/>
          <w:lang w:val="es-ES_tradnl"/>
        </w:rPr>
        <w:t>, en el contexto de los llamados “falsos positivos”.</w:t>
      </w:r>
    </w:p>
    <w:p w14:paraId="705FCC0C" w14:textId="319B9807" w:rsidR="00664052" w:rsidRPr="005728CE" w:rsidRDefault="00664052"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La CIDH nota que subsiste una controversia respecto del sometimiento del caso ante la JEP y si dicha jurisdicción puede proporcionar un recurso idóneo y efectivo para investigar y reparar las violaciones de derechos humanos derivadas de la</w:t>
      </w:r>
      <w:r w:rsidR="00213180" w:rsidRPr="005728CE">
        <w:rPr>
          <w:rFonts w:asciiTheme="majorHAnsi" w:hAnsiTheme="majorHAnsi"/>
          <w:sz w:val="20"/>
          <w:szCs w:val="20"/>
          <w:lang w:val="es-ES_tradnl"/>
        </w:rPr>
        <w:t>s</w:t>
      </w:r>
      <w:r w:rsidRPr="005728CE">
        <w:rPr>
          <w:rFonts w:asciiTheme="majorHAnsi" w:hAnsiTheme="majorHAnsi"/>
          <w:sz w:val="20"/>
          <w:szCs w:val="20"/>
          <w:lang w:val="es-ES_tradnl"/>
        </w:rPr>
        <w:t xml:space="preserve"> presunta</w:t>
      </w:r>
      <w:r w:rsidR="00213180" w:rsidRPr="005728CE">
        <w:rPr>
          <w:rFonts w:asciiTheme="majorHAnsi" w:hAnsiTheme="majorHAnsi"/>
          <w:sz w:val="20"/>
          <w:szCs w:val="20"/>
          <w:lang w:val="es-ES_tradnl"/>
        </w:rPr>
        <w:t>s</w:t>
      </w:r>
      <w:r w:rsidRPr="005728CE">
        <w:rPr>
          <w:rFonts w:asciiTheme="majorHAnsi" w:hAnsiTheme="majorHAnsi"/>
          <w:sz w:val="20"/>
          <w:szCs w:val="20"/>
          <w:lang w:val="es-ES_tradnl"/>
        </w:rPr>
        <w:t xml:space="preserve"> ejecuci</w:t>
      </w:r>
      <w:r w:rsidR="00213180" w:rsidRPr="005728CE">
        <w:rPr>
          <w:rFonts w:asciiTheme="majorHAnsi" w:hAnsiTheme="majorHAnsi"/>
          <w:sz w:val="20"/>
          <w:szCs w:val="20"/>
          <w:lang w:val="es-ES_tradnl"/>
        </w:rPr>
        <w:t>o</w:t>
      </w:r>
      <w:r w:rsidRPr="005728CE">
        <w:rPr>
          <w:rFonts w:asciiTheme="majorHAnsi" w:hAnsiTheme="majorHAnsi"/>
          <w:sz w:val="20"/>
          <w:szCs w:val="20"/>
          <w:lang w:val="es-ES_tradnl"/>
        </w:rPr>
        <w:t>n</w:t>
      </w:r>
      <w:r w:rsidR="00213180" w:rsidRPr="005728CE">
        <w:rPr>
          <w:rFonts w:asciiTheme="majorHAnsi" w:hAnsiTheme="majorHAnsi"/>
          <w:sz w:val="20"/>
          <w:szCs w:val="20"/>
          <w:lang w:val="es-ES_tradnl"/>
        </w:rPr>
        <w:t>es</w:t>
      </w:r>
      <w:r w:rsidRPr="005728CE">
        <w:rPr>
          <w:rFonts w:asciiTheme="majorHAnsi" w:hAnsiTheme="majorHAnsi"/>
          <w:sz w:val="20"/>
          <w:szCs w:val="20"/>
          <w:lang w:val="es-ES_tradnl"/>
        </w:rPr>
        <w:t xml:space="preserve"> extrajudicial</w:t>
      </w:r>
      <w:r w:rsidR="00213180" w:rsidRPr="005728CE">
        <w:rPr>
          <w:rFonts w:asciiTheme="majorHAnsi" w:hAnsiTheme="majorHAnsi"/>
          <w:sz w:val="20"/>
          <w:szCs w:val="20"/>
          <w:lang w:val="es-ES_tradnl"/>
        </w:rPr>
        <w:t>es</w:t>
      </w:r>
      <w:r w:rsidRPr="005728CE">
        <w:rPr>
          <w:rFonts w:asciiTheme="majorHAnsi" w:hAnsiTheme="majorHAnsi"/>
          <w:sz w:val="20"/>
          <w:szCs w:val="20"/>
          <w:lang w:val="es-ES_tradnl"/>
        </w:rPr>
        <w:t xml:space="preserve">, de conformidad con los estándares internacionales del derecho de acceso a la justicia y de sanción de crímenes internacionales. Sobre este tema, la Comisión considera que </w:t>
      </w:r>
      <w:r w:rsidR="00F02C2C" w:rsidRPr="005728CE">
        <w:rPr>
          <w:rFonts w:asciiTheme="majorHAnsi" w:hAnsiTheme="majorHAnsi"/>
          <w:sz w:val="20"/>
          <w:szCs w:val="20"/>
          <w:lang w:val="es-ES_tradnl"/>
        </w:rPr>
        <w:t>el análisis de</w:t>
      </w:r>
      <w:r w:rsidRPr="005728CE">
        <w:rPr>
          <w:rFonts w:asciiTheme="majorHAnsi" w:hAnsiTheme="majorHAnsi"/>
          <w:sz w:val="20"/>
          <w:szCs w:val="20"/>
          <w:lang w:val="es-ES_tradnl"/>
        </w:rPr>
        <w:t xml:space="preserve"> los argumentos planteados por la parte peticionaria </w:t>
      </w:r>
      <w:r w:rsidR="00D63CD7" w:rsidRPr="005728CE">
        <w:rPr>
          <w:rFonts w:asciiTheme="majorHAnsi" w:hAnsiTheme="majorHAnsi"/>
          <w:sz w:val="20"/>
          <w:szCs w:val="20"/>
          <w:lang w:val="es-ES_tradnl"/>
        </w:rPr>
        <w:lastRenderedPageBreak/>
        <w:t>corresponde analizarlos en la etapa de fondo del presente informe.</w:t>
      </w:r>
    </w:p>
    <w:p w14:paraId="2381BAD1" w14:textId="1B7CD019" w:rsidR="00A955F6" w:rsidRPr="005728CE" w:rsidRDefault="00FF4C1E"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00973F6A" w:rsidRPr="005728CE">
        <w:rPr>
          <w:rFonts w:asciiTheme="majorHAnsi" w:hAnsiTheme="majorHAnsi"/>
          <w:sz w:val="20"/>
          <w:szCs w:val="20"/>
          <w:lang w:val="es-ES_tradnl"/>
        </w:rPr>
        <w:t>,</w:t>
      </w:r>
      <w:r w:rsidRPr="005728CE">
        <w:rPr>
          <w:rFonts w:asciiTheme="majorHAnsi" w:hAnsiTheme="majorHAnsi"/>
          <w:sz w:val="20"/>
          <w:szCs w:val="20"/>
          <w:lang w:val="es-ES_tradnl"/>
        </w:rPr>
        <w:t xml:space="preserve"> pues los hechos alegados, de corroborarse como ciertos podrían caracterizar violaciones </w:t>
      </w:r>
      <w:r w:rsidR="00973F6A" w:rsidRPr="005728CE">
        <w:rPr>
          <w:rFonts w:asciiTheme="majorHAnsi" w:hAnsiTheme="majorHAnsi"/>
          <w:sz w:val="20"/>
          <w:szCs w:val="20"/>
          <w:lang w:val="es-ES_tradnl"/>
        </w:rPr>
        <w:t xml:space="preserve">fundamentalmente </w:t>
      </w:r>
      <w:r w:rsidRPr="005728CE">
        <w:rPr>
          <w:rFonts w:asciiTheme="majorHAnsi" w:hAnsiTheme="majorHAnsi"/>
          <w:sz w:val="20"/>
          <w:szCs w:val="20"/>
          <w:lang w:val="es-ES_tradnl"/>
        </w:rPr>
        <w:t xml:space="preserve">a los artículos 4 (vida), </w:t>
      </w:r>
      <w:r w:rsidR="0039288F" w:rsidRPr="005728CE">
        <w:rPr>
          <w:rFonts w:asciiTheme="majorHAnsi" w:hAnsiTheme="majorHAnsi"/>
          <w:sz w:val="20"/>
          <w:szCs w:val="20"/>
          <w:lang w:val="es-ES_tradnl"/>
        </w:rPr>
        <w:t>5 (integridad personal),</w:t>
      </w:r>
      <w:r w:rsidR="000D5803" w:rsidRPr="005728CE">
        <w:rPr>
          <w:rFonts w:asciiTheme="majorHAnsi" w:hAnsiTheme="majorHAnsi"/>
          <w:sz w:val="20"/>
          <w:szCs w:val="20"/>
          <w:lang w:val="es-ES_tradnl"/>
        </w:rPr>
        <w:t xml:space="preserve"> 7 (libertad personal),</w:t>
      </w:r>
      <w:r w:rsidR="0039288F" w:rsidRPr="005728CE">
        <w:rPr>
          <w:rFonts w:asciiTheme="majorHAnsi" w:hAnsiTheme="majorHAnsi"/>
          <w:sz w:val="20"/>
          <w:szCs w:val="20"/>
          <w:lang w:val="es-ES_tradnl"/>
        </w:rPr>
        <w:t xml:space="preserve"> </w:t>
      </w:r>
      <w:r w:rsidRPr="005728CE">
        <w:rPr>
          <w:rFonts w:asciiTheme="majorHAnsi" w:hAnsiTheme="majorHAnsi"/>
          <w:sz w:val="20"/>
          <w:szCs w:val="20"/>
          <w:lang w:val="es-ES_tradnl"/>
        </w:rPr>
        <w:t>8 (garantías judiciales),</w:t>
      </w:r>
      <w:r w:rsidR="000D5803" w:rsidRPr="005728CE">
        <w:rPr>
          <w:rFonts w:asciiTheme="majorHAnsi" w:hAnsiTheme="majorHAnsi"/>
          <w:sz w:val="20"/>
          <w:szCs w:val="20"/>
          <w:lang w:val="es-ES_tradnl"/>
        </w:rPr>
        <w:t xml:space="preserve"> 11 (protección de la honra y de la dignidad)</w:t>
      </w:r>
      <w:r w:rsidRPr="005728CE">
        <w:rPr>
          <w:rFonts w:asciiTheme="majorHAnsi" w:hAnsiTheme="majorHAnsi"/>
          <w:sz w:val="20"/>
          <w:szCs w:val="20"/>
          <w:lang w:val="es-ES_tradnl"/>
        </w:rPr>
        <w:t xml:space="preserve"> y 25 (protección judicial) de la Convención Americana</w:t>
      </w:r>
      <w:r w:rsidR="0055521B" w:rsidRPr="005728CE">
        <w:rPr>
          <w:rFonts w:asciiTheme="majorHAnsi" w:hAnsiTheme="majorHAnsi"/>
          <w:sz w:val="20"/>
          <w:szCs w:val="20"/>
          <w:lang w:val="es-ES_tradnl"/>
        </w:rPr>
        <w:t>,</w:t>
      </w:r>
      <w:r w:rsidR="00CE4A5B" w:rsidRPr="005728CE">
        <w:rPr>
          <w:rFonts w:asciiTheme="majorHAnsi" w:hAnsiTheme="majorHAnsi"/>
          <w:sz w:val="20"/>
          <w:szCs w:val="20"/>
          <w:lang w:val="es-ES_tradnl"/>
        </w:rPr>
        <w:t xml:space="preserve"> en relación con su artículo 1.1</w:t>
      </w:r>
      <w:r w:rsidR="002410E9" w:rsidRPr="005728CE">
        <w:rPr>
          <w:rFonts w:asciiTheme="majorHAnsi" w:hAnsiTheme="majorHAnsi"/>
          <w:sz w:val="20"/>
          <w:szCs w:val="20"/>
          <w:lang w:val="es-ES_tradnl"/>
        </w:rPr>
        <w:t>,</w:t>
      </w:r>
      <w:r w:rsidR="0055521B" w:rsidRPr="005728CE">
        <w:rPr>
          <w:rFonts w:asciiTheme="majorHAnsi" w:hAnsiTheme="majorHAnsi"/>
          <w:sz w:val="20"/>
          <w:szCs w:val="20"/>
          <w:lang w:val="es-ES_tradnl"/>
        </w:rPr>
        <w:t xml:space="preserve"> en perjuicio de </w:t>
      </w:r>
      <w:r w:rsidR="00213180" w:rsidRPr="005728CE">
        <w:rPr>
          <w:rFonts w:asciiTheme="majorHAnsi" w:hAnsiTheme="majorHAnsi"/>
          <w:sz w:val="20"/>
          <w:szCs w:val="20"/>
          <w:lang w:val="es-ES_tradnl"/>
        </w:rPr>
        <w:t>Edimer Bustos, Luis Alfonso Jiménez Benito</w:t>
      </w:r>
      <w:r w:rsidR="0055521B" w:rsidRPr="005728CE">
        <w:rPr>
          <w:rFonts w:asciiTheme="majorHAnsi" w:hAnsiTheme="majorHAnsi"/>
          <w:sz w:val="20"/>
          <w:szCs w:val="20"/>
          <w:lang w:val="es-ES_tradnl"/>
        </w:rPr>
        <w:t xml:space="preserve"> y sus familiares, en los términos del presente informe.</w:t>
      </w:r>
    </w:p>
    <w:p w14:paraId="2C4A98EE" w14:textId="77777777" w:rsidR="00DA4E43" w:rsidRPr="005728CE" w:rsidRDefault="0083008F"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En atención al alegato de “cuarta instancia” planteado por el Estado de Colombia, la Comisión reitera que no constituye una cuarta instancia que pueda realizar una valoración de la prueba referente a la posible culpabilidad o no de la presunta víctima en el presente caso. Sin embargo, también reitera que es competente para declarar admisible una petición y fallar sobre su fundamento cuando la sentencia impugnada puede, materialmente, afectar cualquier derecho garantizado por la Convención Americana</w:t>
      </w:r>
      <w:r w:rsidRPr="005728CE">
        <w:rPr>
          <w:rFonts w:asciiTheme="majorHAnsi" w:hAnsiTheme="majorHAnsi"/>
          <w:sz w:val="20"/>
          <w:szCs w:val="20"/>
          <w:vertAlign w:val="superscript"/>
          <w:lang w:val="es-ES_tradnl"/>
        </w:rPr>
        <w:footnoteReference w:id="12"/>
      </w:r>
      <w:r w:rsidRPr="005728CE">
        <w:rPr>
          <w:rFonts w:asciiTheme="majorHAnsi" w:hAnsiTheme="majorHAnsi"/>
          <w:sz w:val="20"/>
          <w:szCs w:val="20"/>
          <w:lang w:val="es-ES_tradnl"/>
        </w:rPr>
        <w:t>.</w:t>
      </w:r>
    </w:p>
    <w:p w14:paraId="6C2B94E8" w14:textId="47AF20B9" w:rsidR="00DA4E43" w:rsidRPr="005728CE" w:rsidRDefault="00DA4E43"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Con respecto a los derechos de la Declaración Americana invocados por el peticionario, </w:t>
      </w:r>
      <w:r w:rsidRPr="005728CE">
        <w:rPr>
          <w:rFonts w:asciiTheme="majorHAnsi" w:eastAsia="Arial Unicode MS" w:hAnsiTheme="majorHAnsi" w:cs="Times New Roman"/>
          <w:color w:val="auto"/>
          <w:sz w:val="20"/>
          <w:szCs w:val="20"/>
          <w:lang w:val="es-ES_tradnl" w:eastAsia="en-US"/>
        </w:rPr>
        <w:t>l</w:t>
      </w:r>
      <w:r w:rsidRPr="005728CE">
        <w:rPr>
          <w:rFonts w:asciiTheme="majorHAnsi" w:hAnsiTheme="majorHAnsi"/>
          <w:sz w:val="20"/>
          <w:szCs w:val="20"/>
          <w:lang w:val="es-ES_tradnl"/>
        </w:rPr>
        <w:t>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Pr="005728CE">
        <w:rPr>
          <w:rFonts w:asciiTheme="majorHAnsi" w:hAnsiTheme="majorHAnsi"/>
          <w:sz w:val="20"/>
          <w:szCs w:val="20"/>
          <w:vertAlign w:val="superscript"/>
          <w:lang w:val="es-ES_tradnl"/>
        </w:rPr>
        <w:footnoteReference w:id="13"/>
      </w:r>
      <w:r w:rsidRPr="005728CE">
        <w:rPr>
          <w:rFonts w:asciiTheme="majorHAnsi" w:hAnsiTheme="majorHAnsi"/>
          <w:sz w:val="20"/>
          <w:szCs w:val="20"/>
          <w:lang w:val="es-ES_tradnl"/>
        </w:rPr>
        <w:t>.</w:t>
      </w:r>
    </w:p>
    <w:p w14:paraId="0A886A17" w14:textId="00EF1C8C" w:rsidR="00DA4E43" w:rsidRPr="005728CE" w:rsidRDefault="00641957" w:rsidP="0064195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Finalmente, e</w:t>
      </w:r>
      <w:r w:rsidR="00DA4E43" w:rsidRPr="005728CE">
        <w:rPr>
          <w:rFonts w:asciiTheme="majorHAnsi" w:hAnsiTheme="majorHAnsi"/>
          <w:sz w:val="20"/>
          <w:szCs w:val="20"/>
          <w:lang w:val="es-ES_tradnl"/>
        </w:rPr>
        <w:t>n relación con el Pacto Internacional de Derechos Civiles y Políticos alegado por el peticionario,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40DABB4D" w14:textId="7F69AE0C" w:rsidR="006E3BAD" w:rsidRPr="005728CE" w:rsidRDefault="006E3BAD" w:rsidP="00641957">
      <w:pPr>
        <w:pStyle w:val="ListParagraph"/>
        <w:spacing w:before="240" w:after="240"/>
        <w:ind w:left="0" w:firstLine="720"/>
        <w:jc w:val="both"/>
        <w:rPr>
          <w:rFonts w:asciiTheme="majorHAnsi" w:hAnsiTheme="majorHAnsi"/>
          <w:b/>
          <w:sz w:val="20"/>
          <w:szCs w:val="20"/>
          <w:lang w:val="es-ES_tradnl"/>
        </w:rPr>
      </w:pPr>
      <w:r w:rsidRPr="005728CE">
        <w:rPr>
          <w:rFonts w:asciiTheme="majorHAnsi" w:hAnsiTheme="majorHAnsi"/>
          <w:b/>
          <w:sz w:val="20"/>
          <w:szCs w:val="20"/>
          <w:lang w:val="es-ES_tradnl"/>
        </w:rPr>
        <w:t xml:space="preserve">VIII. </w:t>
      </w:r>
      <w:r w:rsidRPr="005728CE">
        <w:rPr>
          <w:rFonts w:asciiTheme="majorHAnsi" w:hAnsiTheme="majorHAnsi"/>
          <w:b/>
          <w:sz w:val="20"/>
          <w:szCs w:val="20"/>
          <w:lang w:val="es-ES_tradnl"/>
        </w:rPr>
        <w:tab/>
      </w:r>
      <w:r w:rsidRPr="005728CE">
        <w:rPr>
          <w:rFonts w:asciiTheme="majorHAnsi" w:hAnsiTheme="majorHAnsi"/>
          <w:b/>
          <w:bCs/>
          <w:sz w:val="20"/>
          <w:szCs w:val="20"/>
          <w:lang w:val="es-ES_tradnl"/>
        </w:rPr>
        <w:t>DECISIÓN</w:t>
      </w:r>
    </w:p>
    <w:p w14:paraId="15C58DEE" w14:textId="55120A9E" w:rsidR="00E9667E" w:rsidRPr="005728CE" w:rsidRDefault="00E9667E" w:rsidP="0064195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 xml:space="preserve">Declarar admisible la presente petición en relación con los artículos </w:t>
      </w:r>
      <w:r w:rsidR="00BE05E5" w:rsidRPr="005728CE">
        <w:rPr>
          <w:rFonts w:asciiTheme="majorHAnsi" w:hAnsiTheme="majorHAnsi"/>
          <w:sz w:val="20"/>
          <w:szCs w:val="20"/>
          <w:lang w:val="es-ES_tradnl"/>
        </w:rPr>
        <w:t>4</w:t>
      </w:r>
      <w:r w:rsidRPr="005728CE">
        <w:rPr>
          <w:rFonts w:asciiTheme="majorHAnsi" w:hAnsiTheme="majorHAnsi"/>
          <w:sz w:val="20"/>
          <w:szCs w:val="20"/>
          <w:lang w:val="es-ES_tradnl"/>
        </w:rPr>
        <w:t xml:space="preserve">, </w:t>
      </w:r>
      <w:r w:rsidR="0039288F" w:rsidRPr="005728CE">
        <w:rPr>
          <w:rFonts w:asciiTheme="majorHAnsi" w:hAnsiTheme="majorHAnsi"/>
          <w:sz w:val="20"/>
          <w:szCs w:val="20"/>
          <w:lang w:val="es-ES_tradnl"/>
        </w:rPr>
        <w:t xml:space="preserve">5, </w:t>
      </w:r>
      <w:r w:rsidR="000D5803" w:rsidRPr="005728CE">
        <w:rPr>
          <w:rFonts w:asciiTheme="majorHAnsi" w:hAnsiTheme="majorHAnsi"/>
          <w:sz w:val="20"/>
          <w:szCs w:val="20"/>
          <w:lang w:val="es-ES_tradnl"/>
        </w:rPr>
        <w:t xml:space="preserve">7, </w:t>
      </w:r>
      <w:r w:rsidRPr="005728CE">
        <w:rPr>
          <w:rFonts w:asciiTheme="majorHAnsi" w:hAnsiTheme="majorHAnsi"/>
          <w:sz w:val="20"/>
          <w:szCs w:val="20"/>
          <w:lang w:val="es-ES_tradnl"/>
        </w:rPr>
        <w:t>8</w:t>
      </w:r>
      <w:r w:rsidR="000D5803" w:rsidRPr="005728CE">
        <w:rPr>
          <w:rFonts w:asciiTheme="majorHAnsi" w:hAnsiTheme="majorHAnsi"/>
          <w:sz w:val="20"/>
          <w:szCs w:val="20"/>
          <w:lang w:val="es-ES_tradnl"/>
        </w:rPr>
        <w:t>, 11</w:t>
      </w:r>
      <w:r w:rsidR="00702579" w:rsidRPr="005728CE">
        <w:rPr>
          <w:rFonts w:asciiTheme="majorHAnsi" w:hAnsiTheme="majorHAnsi"/>
          <w:sz w:val="20"/>
          <w:szCs w:val="20"/>
          <w:lang w:val="es-ES_tradnl"/>
        </w:rPr>
        <w:t xml:space="preserve"> </w:t>
      </w:r>
      <w:r w:rsidRPr="005728CE">
        <w:rPr>
          <w:rFonts w:asciiTheme="majorHAnsi" w:hAnsiTheme="majorHAnsi"/>
          <w:sz w:val="20"/>
          <w:szCs w:val="20"/>
          <w:lang w:val="es-ES_tradnl"/>
        </w:rPr>
        <w:t>y 25 de la Convención Americana en conexión con su artículo 1.1;</w:t>
      </w:r>
      <w:r w:rsidR="00D93C29">
        <w:rPr>
          <w:rFonts w:asciiTheme="majorHAnsi" w:hAnsiTheme="majorHAnsi"/>
          <w:sz w:val="20"/>
          <w:szCs w:val="20"/>
          <w:lang w:val="es-ES_tradnl"/>
        </w:rPr>
        <w:t xml:space="preserve"> y</w:t>
      </w:r>
    </w:p>
    <w:p w14:paraId="245C05A6" w14:textId="72BB47FC" w:rsidR="006E3BAD" w:rsidRDefault="00E9667E" w:rsidP="0064195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rFonts w:asciiTheme="majorHAnsi" w:hAnsiTheme="majorHAnsi"/>
          <w:sz w:val="20"/>
          <w:szCs w:val="20"/>
          <w:lang w:val="es-ES_tradnl"/>
        </w:rPr>
      </w:pPr>
      <w:r w:rsidRPr="005728C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AAFD7FC" w14:textId="4AE4AD3E" w:rsidR="004F38EB" w:rsidRPr="00C555B7" w:rsidRDefault="004F38EB" w:rsidP="00C555B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5019F5">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5019F5">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Presidenta; José Luis Caballero Ochoa, Segundo Vicepresidente; Arif Bulkan</w:t>
      </w:r>
      <w:r w:rsidR="00D77FA7">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y Gloria Monique de Mees, </w:t>
      </w:r>
      <w:r w:rsidR="00C555B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4F38EB" w:rsidRPr="00C555B7" w:rsidSect="006074A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0838" w14:textId="77777777" w:rsidR="00681741" w:rsidRDefault="00681741">
      <w:r>
        <w:separator/>
      </w:r>
    </w:p>
  </w:endnote>
  <w:endnote w:type="continuationSeparator" w:id="0">
    <w:p w14:paraId="2DDA8170" w14:textId="77777777" w:rsidR="00681741" w:rsidRDefault="0068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3D14" w14:textId="77777777" w:rsidR="00681741" w:rsidRPr="000F35ED" w:rsidRDefault="006817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2E6096" w14:textId="77777777" w:rsidR="00681741" w:rsidRPr="000F35ED" w:rsidRDefault="00681741" w:rsidP="000F35ED">
      <w:pPr>
        <w:rPr>
          <w:rFonts w:asciiTheme="majorHAnsi" w:hAnsiTheme="majorHAnsi"/>
          <w:sz w:val="16"/>
          <w:szCs w:val="16"/>
        </w:rPr>
      </w:pPr>
      <w:r w:rsidRPr="000F35ED">
        <w:rPr>
          <w:rFonts w:asciiTheme="majorHAnsi" w:hAnsiTheme="majorHAnsi"/>
          <w:sz w:val="16"/>
          <w:szCs w:val="16"/>
        </w:rPr>
        <w:separator/>
      </w:r>
    </w:p>
    <w:p w14:paraId="1C3C59B9" w14:textId="77777777" w:rsidR="00681741" w:rsidRPr="000F35ED" w:rsidRDefault="0068174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67CC0E" w14:textId="77777777" w:rsidR="00681741" w:rsidRPr="000F35ED" w:rsidRDefault="0068174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3">
    <w:p w14:paraId="02C39B33" w14:textId="3DF85545" w:rsidR="002312BE" w:rsidRPr="00343CD2" w:rsidRDefault="002312BE" w:rsidP="002312BE">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w:t>
      </w:r>
      <w:r>
        <w:rPr>
          <w:rFonts w:asciiTheme="majorHAnsi" w:hAnsiTheme="majorHAnsi"/>
          <w:sz w:val="16"/>
          <w:szCs w:val="16"/>
          <w:lang w:val="es-ES"/>
        </w:rPr>
        <w:t>Declaració</w:t>
      </w:r>
      <w:r w:rsidRPr="00343CD2">
        <w:rPr>
          <w:rFonts w:asciiTheme="majorHAnsi" w:hAnsiTheme="majorHAnsi"/>
          <w:sz w:val="16"/>
          <w:szCs w:val="16"/>
          <w:lang w:val="es-ES"/>
        </w:rPr>
        <w:t xml:space="preserve">n Americana” o “la </w:t>
      </w:r>
      <w:r>
        <w:rPr>
          <w:rFonts w:asciiTheme="majorHAnsi" w:hAnsiTheme="majorHAnsi"/>
          <w:sz w:val="16"/>
          <w:szCs w:val="16"/>
          <w:lang w:val="es-ES"/>
        </w:rPr>
        <w:t>Declaració</w:t>
      </w:r>
      <w:r w:rsidRPr="00343CD2">
        <w:rPr>
          <w:rFonts w:asciiTheme="majorHAnsi" w:hAnsiTheme="majorHAnsi"/>
          <w:sz w:val="16"/>
          <w:szCs w:val="16"/>
          <w:lang w:val="es-ES"/>
        </w:rPr>
        <w:t>n”.</w:t>
      </w:r>
    </w:p>
  </w:footnote>
  <w:footnote w:id="4">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5">
    <w:p w14:paraId="1AFEF3B0" w14:textId="59309440" w:rsidR="008E3BFE" w:rsidRPr="00982364"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p>
  </w:footnote>
  <w:footnote w:id="6">
    <w:p w14:paraId="68E10FD0" w14:textId="77777777" w:rsidR="00F57D84" w:rsidRPr="009840C7" w:rsidRDefault="00F57D84" w:rsidP="00F57D84">
      <w:pPr>
        <w:pStyle w:val="FootnoteText"/>
        <w:ind w:firstLine="720"/>
        <w:jc w:val="both"/>
        <w:rPr>
          <w:rFonts w:asciiTheme="majorHAnsi" w:hAnsiTheme="majorHAnsi"/>
          <w:sz w:val="16"/>
          <w:szCs w:val="16"/>
          <w:lang w:val="es-CO"/>
        </w:rPr>
      </w:pPr>
      <w:r w:rsidRPr="00B42C02">
        <w:rPr>
          <w:rStyle w:val="FootnoteReference"/>
          <w:rFonts w:asciiTheme="majorHAnsi" w:hAnsiTheme="majorHAnsi"/>
          <w:sz w:val="16"/>
          <w:szCs w:val="16"/>
        </w:rPr>
        <w:footnoteRef/>
      </w:r>
      <w:r w:rsidRPr="00B42C02">
        <w:rPr>
          <w:rFonts w:asciiTheme="majorHAnsi" w:hAnsiTheme="majorHAnsi"/>
          <w:sz w:val="16"/>
          <w:szCs w:val="16"/>
          <w:lang w:val="es-CO"/>
        </w:rPr>
        <w:t xml:space="preserve"> En Colombia, se conoce como ‘falsos positivos’ a una serie de ejecuciones extrajudiciales de civiles cometidas por las fuerzas de seguridad del Estado para luego ser presentados como bajas en combate. Al respecto ver: CIDH, Verdad, justicia y reparación: Cuarto informe sobre la situación de derechos humanos en Colombia, 31 de diciembre de 2013, párr</w:t>
      </w:r>
      <w:r>
        <w:rPr>
          <w:rFonts w:asciiTheme="majorHAnsi" w:hAnsiTheme="majorHAnsi"/>
          <w:sz w:val="16"/>
          <w:szCs w:val="16"/>
          <w:lang w:val="es-CO"/>
        </w:rPr>
        <w:t>afos</w:t>
      </w:r>
      <w:r w:rsidRPr="00B42C02">
        <w:rPr>
          <w:rFonts w:asciiTheme="majorHAnsi" w:hAnsiTheme="majorHAnsi"/>
          <w:sz w:val="16"/>
          <w:szCs w:val="16"/>
          <w:lang w:val="es-CO"/>
        </w:rPr>
        <w:t xml:space="preserve"> 21, 122 y ss.</w:t>
      </w:r>
    </w:p>
  </w:footnote>
  <w:footnote w:id="7">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2E516C">
        <w:rPr>
          <w:rFonts w:asciiTheme="majorHAnsi" w:hAnsiTheme="majorHAnsi"/>
          <w:sz w:val="16"/>
          <w:szCs w:val="16"/>
          <w:lang w:val="es-ES"/>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8">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 w:id="9">
    <w:p w14:paraId="7FDA4A5C" w14:textId="7F19EE0A" w:rsidR="00406F14" w:rsidRPr="00982364" w:rsidRDefault="00406F14" w:rsidP="009C3C40">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595A79" w:rsidRPr="00595A79">
        <w:rPr>
          <w:rFonts w:asciiTheme="majorHAnsi" w:hAnsiTheme="majorHAnsi"/>
          <w:sz w:val="16"/>
          <w:szCs w:val="16"/>
          <w:lang w:val="es-ES"/>
        </w:rPr>
        <w:t xml:space="preserve">CIDH, Informe No. 239/23. </w:t>
      </w:r>
      <w:r w:rsidR="00595A79" w:rsidRPr="00595A79">
        <w:rPr>
          <w:rFonts w:asciiTheme="majorHAnsi" w:hAnsiTheme="majorHAnsi"/>
          <w:sz w:val="16"/>
          <w:szCs w:val="16"/>
          <w:lang w:val="es-ES_tradnl"/>
        </w:rPr>
        <w:t>Petici</w:t>
      </w:r>
      <w:r w:rsidR="00595A79" w:rsidRPr="00595A79">
        <w:rPr>
          <w:rFonts w:asciiTheme="majorHAnsi" w:hAnsiTheme="majorHAnsi"/>
          <w:sz w:val="16"/>
          <w:szCs w:val="16"/>
          <w:lang w:val="es-ES"/>
        </w:rPr>
        <w:t xml:space="preserve">ón 467-12. </w:t>
      </w:r>
      <w:r w:rsidR="00595A79" w:rsidRPr="00595A79">
        <w:rPr>
          <w:rFonts w:asciiTheme="majorHAnsi" w:hAnsiTheme="majorHAnsi"/>
          <w:sz w:val="16"/>
          <w:szCs w:val="16"/>
          <w:lang w:val="es-ES_tradnl"/>
        </w:rPr>
        <w:t xml:space="preserve">Admisibilidad. Ernesto Cruz Guevara y familiares. Colombia. </w:t>
      </w:r>
      <w:r w:rsidR="00595A79" w:rsidRPr="00595A79">
        <w:rPr>
          <w:rFonts w:asciiTheme="majorHAnsi" w:hAnsiTheme="majorHAnsi"/>
          <w:sz w:val="16"/>
          <w:szCs w:val="16"/>
          <w:lang w:val="es-ES"/>
        </w:rPr>
        <w:t>20 de octubre de 2023</w:t>
      </w:r>
      <w:r w:rsidR="00595A79">
        <w:rPr>
          <w:rFonts w:asciiTheme="majorHAnsi" w:hAnsiTheme="majorHAnsi"/>
          <w:sz w:val="16"/>
          <w:szCs w:val="16"/>
          <w:lang w:val="es-ES"/>
        </w:rPr>
        <w:t>, párr. 25 (“</w:t>
      </w:r>
      <w:r w:rsidR="00595A79" w:rsidRPr="00595A79">
        <w:rPr>
          <w:rFonts w:asciiTheme="majorHAnsi" w:hAnsiTheme="majorHAnsi"/>
          <w:i/>
          <w:iCs/>
          <w:sz w:val="16"/>
          <w:szCs w:val="16"/>
          <w:lang w:val="es-ES_tradnl"/>
        </w:rPr>
        <w:t>la Comisión Interamericana de Derechos Humanos estima que el recurso interno tramitado ante la JEP, esto es, el proceso penal de reconocimiento de verdad y responsabilidad no ha sido agotado, y ha prevenido que las decisiones adoptadas en la justicia ordinaria cobren ejecutoria. Así las cosas, la Comisión entiende que el recurso interno indicado para casos de graves violaciones de derechos humanos es el proceso penal, y éste no ha sido agotado debido al inicio de un nuevo proceso ante la JEP</w:t>
      </w:r>
      <w:r w:rsidR="00595A79" w:rsidRPr="00595A79">
        <w:rPr>
          <w:rFonts w:asciiTheme="majorHAnsi" w:hAnsiTheme="majorHAnsi"/>
          <w:sz w:val="16"/>
          <w:szCs w:val="16"/>
          <w:lang w:val="es-ES_tradnl"/>
        </w:rPr>
        <w:t>.</w:t>
      </w:r>
      <w:r w:rsidR="00595A79">
        <w:rPr>
          <w:rFonts w:asciiTheme="majorHAnsi" w:hAnsiTheme="majorHAnsi"/>
          <w:sz w:val="16"/>
          <w:szCs w:val="16"/>
          <w:lang w:val="es-ES"/>
        </w:rPr>
        <w:t xml:space="preserve">”); </w:t>
      </w:r>
      <w:r w:rsidR="00595A79" w:rsidRPr="00595A79">
        <w:rPr>
          <w:rFonts w:asciiTheme="majorHAnsi" w:hAnsiTheme="majorHAnsi"/>
          <w:sz w:val="16"/>
          <w:szCs w:val="16"/>
          <w:lang w:val="es-ES"/>
        </w:rPr>
        <w:t xml:space="preserve">CIDH, Informe No. 226/23. </w:t>
      </w:r>
      <w:r w:rsidR="00595A79" w:rsidRPr="00595A79">
        <w:rPr>
          <w:rFonts w:asciiTheme="majorHAnsi" w:hAnsiTheme="majorHAnsi"/>
          <w:sz w:val="16"/>
          <w:szCs w:val="16"/>
          <w:lang w:val="es-ES_tradnl"/>
        </w:rPr>
        <w:t>Petici</w:t>
      </w:r>
      <w:r w:rsidR="00595A79" w:rsidRPr="00595A79">
        <w:rPr>
          <w:rFonts w:asciiTheme="majorHAnsi" w:hAnsiTheme="majorHAnsi"/>
          <w:sz w:val="16"/>
          <w:szCs w:val="16"/>
          <w:lang w:val="es-ES"/>
        </w:rPr>
        <w:t xml:space="preserve">ón 468-12. </w:t>
      </w:r>
      <w:r w:rsidR="00595A79" w:rsidRPr="00595A79">
        <w:rPr>
          <w:rFonts w:asciiTheme="majorHAnsi" w:hAnsiTheme="majorHAnsi"/>
          <w:sz w:val="16"/>
          <w:szCs w:val="16"/>
          <w:lang w:val="es-ES_tradnl"/>
        </w:rPr>
        <w:t xml:space="preserve">Admisibilidad. Omar Lizarazo Guaitero y familiares. Colombia. </w:t>
      </w:r>
      <w:r w:rsidR="00595A79" w:rsidRPr="00595A79">
        <w:rPr>
          <w:rFonts w:asciiTheme="majorHAnsi" w:hAnsiTheme="majorHAnsi"/>
          <w:sz w:val="16"/>
          <w:szCs w:val="16"/>
          <w:lang w:val="es-ES"/>
        </w:rPr>
        <w:t>20 de octubre de 2023</w:t>
      </w:r>
      <w:r w:rsidR="00595A79">
        <w:rPr>
          <w:rFonts w:asciiTheme="majorHAnsi" w:hAnsiTheme="majorHAnsi"/>
          <w:sz w:val="16"/>
          <w:szCs w:val="16"/>
          <w:lang w:val="es-ES"/>
        </w:rPr>
        <w:t>, párrs. 37-38 (“</w:t>
      </w:r>
      <w:r w:rsidR="00595A79" w:rsidRPr="00595A79">
        <w:rPr>
          <w:rFonts w:asciiTheme="majorHAnsi" w:hAnsiTheme="majorHAnsi"/>
          <w:i/>
          <w:iCs/>
          <w:sz w:val="16"/>
          <w:szCs w:val="16"/>
          <w:lang w:val="es-ES"/>
        </w:rPr>
        <w:t>En el presente caso, de acuerdo con la información proporcionada por las partes, la Comisión observa que, tras la muerte de la presunta víctima en febrero de 2007: i) inicialmente, la justicia penal militar asumió la investigación de estos acontecimientos; sin embargo, el 30 de noviembre de 2010, la investigación fue trasladada a la Fiscalía 61 Especializada de Derechos Humanos y Derecho Internacional Humanitario; […] iv) el 17 de julio de 2018, la Sala de Reconocimiento de la JEP tomó conocimiento del caso; v) el 22 de noviembre de 2022, la Sala comenzó el proceso restaurativo en preparación para una audiencia pública de reconocimiento de la verdad y de la responsabilidad respectivas. Así, tomando en cuenta lo anterior, y el hecho de que el proceso considerado como un todo ha transcurrido por más de dieciséis años de ocurrida la muerte del Sr. Lizarazo Guaitero, la CIDH concluye que existe un retardo injustificado en la adopción de una decisión final a nivel interno, por lo que resulta aplicable la excepción prevista en el artículo 46.2.c) de la Convención Americana</w:t>
      </w:r>
      <w:r w:rsidR="00595A79" w:rsidRPr="00595A79">
        <w:rPr>
          <w:rFonts w:asciiTheme="majorHAnsi" w:hAnsiTheme="majorHAnsi"/>
          <w:sz w:val="16"/>
          <w:szCs w:val="16"/>
          <w:lang w:val="es-ES"/>
        </w:rPr>
        <w:t>.</w:t>
      </w:r>
      <w:r w:rsidR="00595A79">
        <w:rPr>
          <w:rFonts w:asciiTheme="majorHAnsi" w:hAnsiTheme="majorHAnsi"/>
          <w:sz w:val="16"/>
          <w:szCs w:val="16"/>
          <w:lang w:val="es-ES"/>
        </w:rPr>
        <w:t xml:space="preserve">”); </w:t>
      </w:r>
      <w:r w:rsidR="009C3C40" w:rsidRPr="009C3C40">
        <w:rPr>
          <w:rFonts w:asciiTheme="majorHAnsi" w:hAnsiTheme="majorHAnsi"/>
          <w:sz w:val="16"/>
          <w:szCs w:val="16"/>
          <w:lang w:val="es-ES"/>
        </w:rPr>
        <w:t xml:space="preserve">CIDH, Informe No. 170/23. Petición 619-13. Admisibilidad. </w:t>
      </w:r>
      <w:r w:rsidR="009C3C40" w:rsidRPr="009C3C40">
        <w:rPr>
          <w:rFonts w:asciiTheme="majorHAnsi" w:hAnsiTheme="majorHAnsi"/>
          <w:bCs/>
          <w:sz w:val="16"/>
          <w:szCs w:val="16"/>
          <w:lang w:val="es-ES"/>
        </w:rPr>
        <w:t>Héctor Quinceno López y familiares</w:t>
      </w:r>
      <w:r w:rsidR="009C3C40" w:rsidRPr="009C3C40">
        <w:rPr>
          <w:rFonts w:asciiTheme="majorHAnsi" w:hAnsiTheme="majorHAnsi"/>
          <w:sz w:val="16"/>
          <w:szCs w:val="16"/>
          <w:lang w:val="es-ES"/>
        </w:rPr>
        <w:t>. Colombia. 20 de agosto de 2023</w:t>
      </w:r>
      <w:r w:rsidR="009C3C40">
        <w:rPr>
          <w:rFonts w:asciiTheme="majorHAnsi" w:hAnsiTheme="majorHAnsi"/>
          <w:sz w:val="16"/>
          <w:szCs w:val="16"/>
          <w:lang w:val="es-ES"/>
        </w:rPr>
        <w:t>, párrs. 17-18 (“</w:t>
      </w:r>
      <w:r w:rsidR="009C3C40" w:rsidRPr="009C3C40">
        <w:rPr>
          <w:rFonts w:asciiTheme="majorHAnsi" w:hAnsiTheme="majorHAnsi"/>
          <w:i/>
          <w:iCs/>
          <w:sz w:val="16"/>
          <w:szCs w:val="16"/>
          <w:lang w:val="es-ES"/>
        </w:rPr>
        <w:t>desde el momento de la comisión del crimen en diciembre de 2000 hasta la fecha, han transcurrido más de veintidós años sin que se hayan identificado, juzgado y sancionado a la totalidad de los responsables de la masacre ocurrida en la ciudad de Granada. En este sentido, la Comisión Interamericana recuerda que el requisito del agotamiento de los recursos internos no puede ser tal que retrase indefinidamente el acceso de las presuntas víctimas al sistema interamericano de protección de los derechos humanos. En consecuencia, a este extremo de la petición le es aplicable la excepción al deber de agotamiento de los recursos internos prevista en el Artículo 46.2.c) de la Convención Americana. Ahora bien, desde diciembre de 2021 el Estado informa que la Jurisdicción Especial para la Paz (JEP) ha realizado actividades relevantes en relación con el análisis de los hechos ocurridos en 6 de diciembre de 2000 en la ciudad de Granada; sin embargo, no provee información alguna adicional sobre el status de la investigación ante el sistema de justicia transicional ni se precisa si se asumió la competencia concreta sobre esta investigación penal en específico, qué actuaciones procesales o investigativas ha desarrollado la JEP en relación con este caso; si se ha reconocido a los familiares de las víctimas mortales como víctimas ante la JEP; o en qué marco temporal o procedimental puede preverse la adopción de una decisión en este caso</w:t>
      </w:r>
      <w:r w:rsidR="009C3C40" w:rsidRPr="009C3C40">
        <w:rPr>
          <w:rFonts w:asciiTheme="majorHAnsi" w:hAnsiTheme="majorHAnsi"/>
          <w:sz w:val="16"/>
          <w:szCs w:val="16"/>
          <w:lang w:val="es-ES"/>
        </w:rPr>
        <w:t>.</w:t>
      </w:r>
      <w:r w:rsidR="009C3C40">
        <w:rPr>
          <w:rFonts w:asciiTheme="majorHAnsi" w:hAnsiTheme="majorHAnsi"/>
          <w:sz w:val="16"/>
          <w:szCs w:val="16"/>
          <w:lang w:val="es-ES"/>
        </w:rPr>
        <w:t xml:space="preserve">”); </w:t>
      </w:r>
      <w:r w:rsidRPr="00406F14">
        <w:rPr>
          <w:rFonts w:asciiTheme="majorHAnsi" w:hAnsiTheme="majorHAnsi"/>
          <w:sz w:val="16"/>
          <w:szCs w:val="16"/>
          <w:lang w:val="es-ES"/>
        </w:rPr>
        <w:t>CIDH, Informe No. 33/22. Petición 1394-12. Admisibilidad. Isnardo León Mendoza y familiares. Colombia. 9 de marzo de 2022</w:t>
      </w:r>
      <w:r w:rsidRPr="006A2CE3">
        <w:rPr>
          <w:rFonts w:asciiTheme="majorHAnsi" w:hAnsiTheme="majorHAnsi"/>
          <w:sz w:val="16"/>
          <w:szCs w:val="16"/>
          <w:lang w:val="es-ES"/>
        </w:rPr>
        <w:t xml:space="preserve">, </w:t>
      </w:r>
      <w:r>
        <w:rPr>
          <w:rFonts w:asciiTheme="majorHAnsi" w:hAnsiTheme="majorHAnsi"/>
          <w:sz w:val="16"/>
          <w:szCs w:val="16"/>
          <w:lang w:val="es-ES"/>
        </w:rPr>
        <w:t>párrs. 27-28</w:t>
      </w:r>
      <w:r w:rsidR="00595A79">
        <w:rPr>
          <w:rFonts w:asciiTheme="majorHAnsi" w:hAnsiTheme="majorHAnsi"/>
          <w:sz w:val="16"/>
          <w:szCs w:val="16"/>
          <w:lang w:val="es-ES"/>
        </w:rPr>
        <w:t xml:space="preserve"> (“</w:t>
      </w:r>
      <w:r w:rsidR="00595A79" w:rsidRPr="00595A79">
        <w:rPr>
          <w:rFonts w:asciiTheme="majorHAnsi" w:hAnsiTheme="majorHAnsi"/>
          <w:i/>
          <w:iCs/>
          <w:sz w:val="16"/>
          <w:szCs w:val="16"/>
          <w:lang w:val="es-ES"/>
        </w:rPr>
        <w:t>El Estado ha alegado ante la Comisión falta de agotamiento de los recursos domésticos, puesto que en su criterio las autoridades de la justicia penal, tanto ordinaria como transicional, han actuado en forma diligente y continúan avanzando en sus investigaciones, sin haber incurrido en un retardo injustificado. No obstante, la CIDH observa que tomando en cuenta los procesos internos como un todo han transcurrido en total más de dieciséis años desde la comisión de este grave crimen contra un niño campesino absolutamente inocente e indefenso, periodo tras el cual el proceso penal iniciado por su muerte o desaparición sigue inconcluso, sin que se haya acusado formalmente a persona alguna como posible perpetrador, ni mucho menos juzgado o determinado una justa sanción contra todos los responsables, materiales e intelectuales. En este sentido, la Comisión Interamericana recuerda que el requisito del agotamiento de los recursos internos no puede ser tal que retrase indefinidamente el acceso de las presuntas víctimas al sistema interamericano de protección de los derechos humanos. Por lo tanto, la CIDH considera aplicable, frente al caso bajo examen, la excepción al deber de agotamiento de los recursos domésticos establecida en el artículo 46.2.c) de la Convención Americana</w:t>
      </w:r>
      <w:r w:rsidR="00595A79" w:rsidRPr="00595A79">
        <w:rPr>
          <w:rFonts w:asciiTheme="majorHAnsi" w:hAnsiTheme="majorHAnsi"/>
          <w:sz w:val="16"/>
          <w:szCs w:val="16"/>
          <w:lang w:val="es-ES"/>
        </w:rPr>
        <w:t>.</w:t>
      </w:r>
      <w:r w:rsidR="00595A79">
        <w:rPr>
          <w:rFonts w:asciiTheme="majorHAnsi" w:hAnsiTheme="majorHAnsi"/>
          <w:sz w:val="16"/>
          <w:szCs w:val="16"/>
          <w:lang w:val="es-ES"/>
        </w:rPr>
        <w:t>”).</w:t>
      </w:r>
    </w:p>
  </w:footnote>
  <w:footnote w:id="10">
    <w:p w14:paraId="51A2F474" w14:textId="77777777" w:rsidR="001E7268" w:rsidRPr="00A11B3B" w:rsidRDefault="001E7268" w:rsidP="001E7268">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11">
    <w:p w14:paraId="7388F854" w14:textId="77777777" w:rsidR="001E7268" w:rsidRPr="00A11B3B" w:rsidRDefault="001E7268" w:rsidP="001E726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 w:id="12">
    <w:p w14:paraId="541F4F12" w14:textId="1B239337" w:rsidR="0083008F" w:rsidRPr="002C3E32" w:rsidRDefault="0083008F" w:rsidP="0083008F">
      <w:pPr>
        <w:ind w:firstLine="720"/>
        <w:jc w:val="both"/>
        <w:rPr>
          <w:rFonts w:asciiTheme="majorHAnsi" w:hAnsiTheme="majorHAnsi"/>
          <w:sz w:val="16"/>
          <w:szCs w:val="16"/>
          <w:lang w:val="es-US" w:eastAsia="fr-FR"/>
        </w:rPr>
      </w:pPr>
      <w:r w:rsidRPr="002C3E32">
        <w:rPr>
          <w:rStyle w:val="FootnoteReference"/>
          <w:rFonts w:asciiTheme="majorHAnsi" w:hAnsiTheme="majorHAnsi"/>
          <w:sz w:val="16"/>
          <w:szCs w:val="16"/>
        </w:rPr>
        <w:footnoteRef/>
      </w:r>
      <w:r w:rsidRPr="006A590C">
        <w:rPr>
          <w:rFonts w:asciiTheme="majorHAnsi" w:hAnsiTheme="majorHAnsi"/>
          <w:sz w:val="16"/>
          <w:szCs w:val="16"/>
          <w:lang w:val="es-ES"/>
        </w:rPr>
        <w:t xml:space="preserve"> </w:t>
      </w:r>
      <w:r w:rsidRPr="00A11B3B">
        <w:rPr>
          <w:rFonts w:ascii="Cambria" w:hAnsi="Cambria"/>
          <w:sz w:val="16"/>
          <w:szCs w:val="16"/>
          <w:lang w:val="es-ES"/>
        </w:rPr>
        <w:t>En sentido similar: Corte IDH, Caso de los “Niños de la Calle” (Villagrán Morales y otros) Vs. Guatemala. Fondo. Sentencia de 19 de noviembre de 1999. Serie C No. 63, párr. 222, Corte IDH, Caso Moya Solís Vs. Perú. Excepciones Preliminares, Fondo, Reparaciones y Costas. Sentencia de 3 de junio de 2021. Serie C No. 425, párr. 28; y Corte IDH, Caso Manuela y otros Vs. El Salvador. Excepciones preliminares, Fondo, Reparaciones y Costas. Sentencia de 2 de noviembre de 2021. Serie C No. 441, párr. 147</w:t>
      </w:r>
      <w:r>
        <w:rPr>
          <w:rFonts w:ascii="Cambria" w:hAnsi="Cambria"/>
          <w:sz w:val="16"/>
          <w:szCs w:val="16"/>
          <w:lang w:val="es-ES"/>
        </w:rPr>
        <w:t xml:space="preserve">; </w:t>
      </w:r>
      <w:r w:rsidRPr="0083008F">
        <w:rPr>
          <w:rFonts w:asciiTheme="majorHAnsi" w:hAnsiTheme="majorHAnsi"/>
          <w:sz w:val="16"/>
          <w:szCs w:val="16"/>
          <w:lang w:val="es-ES" w:eastAsia="fr-FR"/>
        </w:rPr>
        <w:t>CIDH, Informe No. 301/23. Petición 2044-13. Inadmisibilidad. Juan Carlos Betancur Tabares. Colombia. 8 de diciembre de 2023</w:t>
      </w:r>
      <w:r>
        <w:rPr>
          <w:rFonts w:asciiTheme="majorHAnsi" w:hAnsiTheme="majorHAnsi"/>
          <w:sz w:val="16"/>
          <w:szCs w:val="16"/>
          <w:lang w:val="es-ES" w:eastAsia="fr-FR"/>
        </w:rPr>
        <w:t>, párr. 26.</w:t>
      </w:r>
    </w:p>
  </w:footnote>
  <w:footnote w:id="13">
    <w:p w14:paraId="24872ABB" w14:textId="59796A6B" w:rsidR="00DA4E43" w:rsidRPr="002C3E32" w:rsidRDefault="00DA4E43" w:rsidP="00DA4E43">
      <w:pPr>
        <w:ind w:firstLine="720"/>
        <w:jc w:val="both"/>
        <w:rPr>
          <w:rFonts w:asciiTheme="majorHAnsi" w:hAnsiTheme="majorHAnsi"/>
          <w:sz w:val="16"/>
          <w:szCs w:val="16"/>
          <w:lang w:val="es-US" w:eastAsia="fr-FR"/>
        </w:rPr>
      </w:pPr>
      <w:r w:rsidRPr="002C3E32">
        <w:rPr>
          <w:rStyle w:val="FootnoteReference"/>
          <w:rFonts w:asciiTheme="majorHAnsi" w:hAnsiTheme="majorHAnsi"/>
          <w:sz w:val="16"/>
          <w:szCs w:val="16"/>
        </w:rPr>
        <w:footnoteRef/>
      </w:r>
      <w:r w:rsidRPr="006A590C">
        <w:rPr>
          <w:rFonts w:asciiTheme="majorHAnsi" w:hAnsiTheme="majorHAnsi"/>
          <w:sz w:val="16"/>
          <w:szCs w:val="16"/>
          <w:lang w:val="es-ES"/>
        </w:rPr>
        <w:t xml:space="preserve"> </w:t>
      </w:r>
      <w:r w:rsidR="00641957" w:rsidRPr="00641957">
        <w:rPr>
          <w:rFonts w:ascii="Cambria" w:hAnsi="Cambria"/>
          <w:sz w:val="16"/>
          <w:szCs w:val="16"/>
          <w:lang w:val="es-ES"/>
        </w:rPr>
        <w:t xml:space="preserve">CIDH, Informe No. 180/18. Petición 1616-07. Admisibilidad. A.G.A. y familiares. </w:t>
      </w:r>
      <w:r w:rsidR="00641957" w:rsidRPr="00641957">
        <w:rPr>
          <w:rFonts w:ascii="Cambria" w:hAnsi="Cambria"/>
          <w:sz w:val="16"/>
          <w:szCs w:val="16"/>
          <w:lang w:val="pt-BR"/>
        </w:rPr>
        <w:t>Colombia. 26 de diciembre de 2018, párr.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B5F0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AE1A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8B022E1"/>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B60CEC"/>
    <w:multiLevelType w:val="multilevel"/>
    <w:tmpl w:val="C560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7280164C"/>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9"/>
  </w:num>
  <w:num w:numId="4" w16cid:durableId="82342866">
    <w:abstractNumId w:val="22"/>
  </w:num>
  <w:num w:numId="5" w16cid:durableId="1599026591">
    <w:abstractNumId w:val="51"/>
  </w:num>
  <w:num w:numId="6" w16cid:durableId="1795514418">
    <w:abstractNumId w:val="29"/>
  </w:num>
  <w:num w:numId="7" w16cid:durableId="396254">
    <w:abstractNumId w:val="7"/>
  </w:num>
  <w:num w:numId="8" w16cid:durableId="1302268258">
    <w:abstractNumId w:val="18"/>
  </w:num>
  <w:num w:numId="9" w16cid:durableId="669480169">
    <w:abstractNumId w:val="45"/>
  </w:num>
  <w:num w:numId="10" w16cid:durableId="275260533">
    <w:abstractNumId w:val="1"/>
  </w:num>
  <w:num w:numId="11" w16cid:durableId="866258526">
    <w:abstractNumId w:val="40"/>
  </w:num>
  <w:num w:numId="12" w16cid:durableId="171335598">
    <w:abstractNumId w:val="41"/>
  </w:num>
  <w:num w:numId="13" w16cid:durableId="752550714">
    <w:abstractNumId w:val="48"/>
  </w:num>
  <w:num w:numId="14" w16cid:durableId="728965123">
    <w:abstractNumId w:val="2"/>
  </w:num>
  <w:num w:numId="15" w16cid:durableId="1621453753">
    <w:abstractNumId w:val="3"/>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5"/>
  </w:num>
  <w:num w:numId="44" w16cid:durableId="101000019">
    <w:abstractNumId w:val="57"/>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4"/>
  </w:num>
  <w:num w:numId="53" w16cid:durableId="88084230">
    <w:abstractNumId w:val="56"/>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3"/>
  </w:num>
  <w:num w:numId="60" w16cid:durableId="712732366">
    <w:abstractNumId w:val="35"/>
  </w:num>
  <w:num w:numId="61" w16cid:durableId="1097671741">
    <w:abstractNumId w:val="47"/>
  </w:num>
  <w:num w:numId="62" w16cid:durableId="1840730130">
    <w:abstractNumId w:val="54"/>
  </w:num>
  <w:num w:numId="63" w16cid:durableId="369187513">
    <w:abstractNumId w:val="4"/>
  </w:num>
  <w:num w:numId="64" w16cid:durableId="1020664314">
    <w:abstractNumId w:val="17"/>
  </w:num>
  <w:num w:numId="65" w16cid:durableId="1422289643">
    <w:abstractNumId w:val="53"/>
  </w:num>
  <w:num w:numId="66" w16cid:durableId="1157724945">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5725"/>
    <w:rsid w:val="00030ED7"/>
    <w:rsid w:val="00032246"/>
    <w:rsid w:val="00032D56"/>
    <w:rsid w:val="000336E7"/>
    <w:rsid w:val="000337EF"/>
    <w:rsid w:val="00040C3A"/>
    <w:rsid w:val="000419AD"/>
    <w:rsid w:val="000433C9"/>
    <w:rsid w:val="000444E7"/>
    <w:rsid w:val="0004514E"/>
    <w:rsid w:val="000472C6"/>
    <w:rsid w:val="00050C04"/>
    <w:rsid w:val="00054D01"/>
    <w:rsid w:val="00057379"/>
    <w:rsid w:val="00062E15"/>
    <w:rsid w:val="000630CE"/>
    <w:rsid w:val="00065AB4"/>
    <w:rsid w:val="00066C33"/>
    <w:rsid w:val="00071174"/>
    <w:rsid w:val="000716C5"/>
    <w:rsid w:val="00075E23"/>
    <w:rsid w:val="000769B9"/>
    <w:rsid w:val="00091A11"/>
    <w:rsid w:val="00092479"/>
    <w:rsid w:val="0009344A"/>
    <w:rsid w:val="000940C5"/>
    <w:rsid w:val="00094203"/>
    <w:rsid w:val="00096E96"/>
    <w:rsid w:val="000970F4"/>
    <w:rsid w:val="000A16D0"/>
    <w:rsid w:val="000A392E"/>
    <w:rsid w:val="000A575F"/>
    <w:rsid w:val="000A63CA"/>
    <w:rsid w:val="000B66F4"/>
    <w:rsid w:val="000B7730"/>
    <w:rsid w:val="000D05CB"/>
    <w:rsid w:val="000D0F3D"/>
    <w:rsid w:val="000D10DB"/>
    <w:rsid w:val="000D5803"/>
    <w:rsid w:val="000D5CBC"/>
    <w:rsid w:val="000E361A"/>
    <w:rsid w:val="000E5EB5"/>
    <w:rsid w:val="000E73F0"/>
    <w:rsid w:val="000F35ED"/>
    <w:rsid w:val="00100CDB"/>
    <w:rsid w:val="0010550C"/>
    <w:rsid w:val="00107131"/>
    <w:rsid w:val="0010736F"/>
    <w:rsid w:val="0011075B"/>
    <w:rsid w:val="0011085F"/>
    <w:rsid w:val="001112E6"/>
    <w:rsid w:val="00113F73"/>
    <w:rsid w:val="0011794D"/>
    <w:rsid w:val="00121CC2"/>
    <w:rsid w:val="00131425"/>
    <w:rsid w:val="001334BA"/>
    <w:rsid w:val="00133EE5"/>
    <w:rsid w:val="001443F7"/>
    <w:rsid w:val="00147696"/>
    <w:rsid w:val="00164460"/>
    <w:rsid w:val="00165562"/>
    <w:rsid w:val="00165CC7"/>
    <w:rsid w:val="00167A34"/>
    <w:rsid w:val="00172C07"/>
    <w:rsid w:val="001741BE"/>
    <w:rsid w:val="001757FF"/>
    <w:rsid w:val="00177297"/>
    <w:rsid w:val="0017734D"/>
    <w:rsid w:val="001912DA"/>
    <w:rsid w:val="00192BE2"/>
    <w:rsid w:val="001A1420"/>
    <w:rsid w:val="001A493B"/>
    <w:rsid w:val="001A520D"/>
    <w:rsid w:val="001A5FEE"/>
    <w:rsid w:val="001A71D6"/>
    <w:rsid w:val="001A7870"/>
    <w:rsid w:val="001A7CC7"/>
    <w:rsid w:val="001A7D7B"/>
    <w:rsid w:val="001B3A00"/>
    <w:rsid w:val="001B3E22"/>
    <w:rsid w:val="001B5F0D"/>
    <w:rsid w:val="001C1B41"/>
    <w:rsid w:val="001C205F"/>
    <w:rsid w:val="001D02A6"/>
    <w:rsid w:val="001D21C7"/>
    <w:rsid w:val="001D2F0F"/>
    <w:rsid w:val="001D65EF"/>
    <w:rsid w:val="001D71A2"/>
    <w:rsid w:val="001E15E7"/>
    <w:rsid w:val="001E49E7"/>
    <w:rsid w:val="001E7268"/>
    <w:rsid w:val="001F44BF"/>
    <w:rsid w:val="001F7201"/>
    <w:rsid w:val="00203769"/>
    <w:rsid w:val="00206C91"/>
    <w:rsid w:val="00210E6D"/>
    <w:rsid w:val="00213180"/>
    <w:rsid w:val="00221AD9"/>
    <w:rsid w:val="00223A29"/>
    <w:rsid w:val="002249E7"/>
    <w:rsid w:val="002250A3"/>
    <w:rsid w:val="0022545A"/>
    <w:rsid w:val="002261E0"/>
    <w:rsid w:val="002264B8"/>
    <w:rsid w:val="002312BE"/>
    <w:rsid w:val="00234F71"/>
    <w:rsid w:val="00235217"/>
    <w:rsid w:val="00237C68"/>
    <w:rsid w:val="002410E9"/>
    <w:rsid w:val="00241B96"/>
    <w:rsid w:val="00246D1F"/>
    <w:rsid w:val="002470A6"/>
    <w:rsid w:val="00247403"/>
    <w:rsid w:val="00247542"/>
    <w:rsid w:val="00253993"/>
    <w:rsid w:val="00253A4F"/>
    <w:rsid w:val="0026174C"/>
    <w:rsid w:val="00266B61"/>
    <w:rsid w:val="0026712A"/>
    <w:rsid w:val="002678E1"/>
    <w:rsid w:val="002704DB"/>
    <w:rsid w:val="00274B08"/>
    <w:rsid w:val="00280B37"/>
    <w:rsid w:val="00284414"/>
    <w:rsid w:val="00284E46"/>
    <w:rsid w:val="002878D8"/>
    <w:rsid w:val="00291B41"/>
    <w:rsid w:val="00292B66"/>
    <w:rsid w:val="002A0AAE"/>
    <w:rsid w:val="002A5820"/>
    <w:rsid w:val="002A6870"/>
    <w:rsid w:val="002B1533"/>
    <w:rsid w:val="002B15B4"/>
    <w:rsid w:val="002C533A"/>
    <w:rsid w:val="002D2B26"/>
    <w:rsid w:val="002D7EA2"/>
    <w:rsid w:val="002E187C"/>
    <w:rsid w:val="002E39F7"/>
    <w:rsid w:val="002E4A0C"/>
    <w:rsid w:val="002E5103"/>
    <w:rsid w:val="002E516C"/>
    <w:rsid w:val="002E733F"/>
    <w:rsid w:val="002F3F8C"/>
    <w:rsid w:val="002F5D52"/>
    <w:rsid w:val="002F7D3C"/>
    <w:rsid w:val="00302733"/>
    <w:rsid w:val="003040AB"/>
    <w:rsid w:val="00304171"/>
    <w:rsid w:val="00305835"/>
    <w:rsid w:val="00306F33"/>
    <w:rsid w:val="00314078"/>
    <w:rsid w:val="0031535D"/>
    <w:rsid w:val="003239B8"/>
    <w:rsid w:val="003248A6"/>
    <w:rsid w:val="0033169F"/>
    <w:rsid w:val="00332232"/>
    <w:rsid w:val="00334BF5"/>
    <w:rsid w:val="00337472"/>
    <w:rsid w:val="00344977"/>
    <w:rsid w:val="003459D0"/>
    <w:rsid w:val="00346C95"/>
    <w:rsid w:val="003523F5"/>
    <w:rsid w:val="00356185"/>
    <w:rsid w:val="003568AD"/>
    <w:rsid w:val="00357269"/>
    <w:rsid w:val="00357DFF"/>
    <w:rsid w:val="00360380"/>
    <w:rsid w:val="00361ACC"/>
    <w:rsid w:val="00363074"/>
    <w:rsid w:val="003744E8"/>
    <w:rsid w:val="0037519E"/>
    <w:rsid w:val="0037725C"/>
    <w:rsid w:val="00380295"/>
    <w:rsid w:val="00386CF0"/>
    <w:rsid w:val="0039052A"/>
    <w:rsid w:val="0039288F"/>
    <w:rsid w:val="0039769B"/>
    <w:rsid w:val="003A4D4D"/>
    <w:rsid w:val="003B15CE"/>
    <w:rsid w:val="003B70FB"/>
    <w:rsid w:val="003B7105"/>
    <w:rsid w:val="003C0D9B"/>
    <w:rsid w:val="003C676B"/>
    <w:rsid w:val="003D31E7"/>
    <w:rsid w:val="003D337C"/>
    <w:rsid w:val="003D3BC2"/>
    <w:rsid w:val="003D67A9"/>
    <w:rsid w:val="003E51E9"/>
    <w:rsid w:val="003E6CA1"/>
    <w:rsid w:val="003F333E"/>
    <w:rsid w:val="003F48E9"/>
    <w:rsid w:val="003F5154"/>
    <w:rsid w:val="00405F9C"/>
    <w:rsid w:val="004065A8"/>
    <w:rsid w:val="00406F14"/>
    <w:rsid w:val="00410B10"/>
    <w:rsid w:val="00412879"/>
    <w:rsid w:val="004165C2"/>
    <w:rsid w:val="00416A6D"/>
    <w:rsid w:val="004205D0"/>
    <w:rsid w:val="0042101C"/>
    <w:rsid w:val="004212B2"/>
    <w:rsid w:val="004241A0"/>
    <w:rsid w:val="00427B38"/>
    <w:rsid w:val="00441ECB"/>
    <w:rsid w:val="00445193"/>
    <w:rsid w:val="004509AF"/>
    <w:rsid w:val="0045796E"/>
    <w:rsid w:val="00461C5E"/>
    <w:rsid w:val="00462C1B"/>
    <w:rsid w:val="004666EB"/>
    <w:rsid w:val="00467B7E"/>
    <w:rsid w:val="00473BB4"/>
    <w:rsid w:val="00477592"/>
    <w:rsid w:val="004803DE"/>
    <w:rsid w:val="00486E6B"/>
    <w:rsid w:val="00486F1C"/>
    <w:rsid w:val="0049419D"/>
    <w:rsid w:val="00497939"/>
    <w:rsid w:val="004A057B"/>
    <w:rsid w:val="004A1A74"/>
    <w:rsid w:val="004A6A54"/>
    <w:rsid w:val="004A76E5"/>
    <w:rsid w:val="004B2C41"/>
    <w:rsid w:val="004B421C"/>
    <w:rsid w:val="004B5553"/>
    <w:rsid w:val="004C20D2"/>
    <w:rsid w:val="004C2312"/>
    <w:rsid w:val="004C4B62"/>
    <w:rsid w:val="004C5390"/>
    <w:rsid w:val="004C54C9"/>
    <w:rsid w:val="004D4ABA"/>
    <w:rsid w:val="004D6025"/>
    <w:rsid w:val="004D6498"/>
    <w:rsid w:val="004E013A"/>
    <w:rsid w:val="004E1AB4"/>
    <w:rsid w:val="004E2649"/>
    <w:rsid w:val="004E5743"/>
    <w:rsid w:val="004F1840"/>
    <w:rsid w:val="004F1B17"/>
    <w:rsid w:val="004F38EB"/>
    <w:rsid w:val="004F626F"/>
    <w:rsid w:val="00501399"/>
    <w:rsid w:val="005019F5"/>
    <w:rsid w:val="005040B1"/>
    <w:rsid w:val="005047ED"/>
    <w:rsid w:val="0050633D"/>
    <w:rsid w:val="00507BC4"/>
    <w:rsid w:val="005128E4"/>
    <w:rsid w:val="005133DB"/>
    <w:rsid w:val="00514504"/>
    <w:rsid w:val="00516EF3"/>
    <w:rsid w:val="00521E1F"/>
    <w:rsid w:val="00525560"/>
    <w:rsid w:val="00535856"/>
    <w:rsid w:val="00535BE0"/>
    <w:rsid w:val="005403A2"/>
    <w:rsid w:val="00543315"/>
    <w:rsid w:val="00544C49"/>
    <w:rsid w:val="005458E4"/>
    <w:rsid w:val="005511FD"/>
    <w:rsid w:val="005516A1"/>
    <w:rsid w:val="0055373E"/>
    <w:rsid w:val="0055521B"/>
    <w:rsid w:val="005559EF"/>
    <w:rsid w:val="005627DD"/>
    <w:rsid w:val="00563557"/>
    <w:rsid w:val="00563D32"/>
    <w:rsid w:val="005728CE"/>
    <w:rsid w:val="0057402A"/>
    <w:rsid w:val="005771D0"/>
    <w:rsid w:val="00584A15"/>
    <w:rsid w:val="00585D5C"/>
    <w:rsid w:val="0059191A"/>
    <w:rsid w:val="005921FF"/>
    <w:rsid w:val="00595A79"/>
    <w:rsid w:val="005A24ED"/>
    <w:rsid w:val="005A619E"/>
    <w:rsid w:val="005A6D0E"/>
    <w:rsid w:val="005B039F"/>
    <w:rsid w:val="005B18C9"/>
    <w:rsid w:val="005B2E0D"/>
    <w:rsid w:val="005B52B0"/>
    <w:rsid w:val="005B6806"/>
    <w:rsid w:val="005C4225"/>
    <w:rsid w:val="005D70AA"/>
    <w:rsid w:val="005F0DAD"/>
    <w:rsid w:val="005F0F33"/>
    <w:rsid w:val="00600DEB"/>
    <w:rsid w:val="00603BA0"/>
    <w:rsid w:val="006051A0"/>
    <w:rsid w:val="006074A4"/>
    <w:rsid w:val="006114A0"/>
    <w:rsid w:val="0061461E"/>
    <w:rsid w:val="00627562"/>
    <w:rsid w:val="00627739"/>
    <w:rsid w:val="00627C9F"/>
    <w:rsid w:val="006311E9"/>
    <w:rsid w:val="00632354"/>
    <w:rsid w:val="00634757"/>
    <w:rsid w:val="00635421"/>
    <w:rsid w:val="00635B94"/>
    <w:rsid w:val="00637038"/>
    <w:rsid w:val="00637275"/>
    <w:rsid w:val="006404C3"/>
    <w:rsid w:val="00641957"/>
    <w:rsid w:val="00642810"/>
    <w:rsid w:val="00652333"/>
    <w:rsid w:val="00652938"/>
    <w:rsid w:val="00660E83"/>
    <w:rsid w:val="00664052"/>
    <w:rsid w:val="00673C7E"/>
    <w:rsid w:val="00676B28"/>
    <w:rsid w:val="0068009E"/>
    <w:rsid w:val="00681741"/>
    <w:rsid w:val="00682474"/>
    <w:rsid w:val="00685450"/>
    <w:rsid w:val="00686178"/>
    <w:rsid w:val="00692219"/>
    <w:rsid w:val="00693EB9"/>
    <w:rsid w:val="006A17D2"/>
    <w:rsid w:val="006A2CE3"/>
    <w:rsid w:val="006A3C40"/>
    <w:rsid w:val="006A73E6"/>
    <w:rsid w:val="006B2D5C"/>
    <w:rsid w:val="006C0ECF"/>
    <w:rsid w:val="006C1660"/>
    <w:rsid w:val="006C1C8C"/>
    <w:rsid w:val="006C4EB1"/>
    <w:rsid w:val="006E0166"/>
    <w:rsid w:val="006E2FFB"/>
    <w:rsid w:val="006E3BAD"/>
    <w:rsid w:val="006E7B34"/>
    <w:rsid w:val="00702579"/>
    <w:rsid w:val="00705CFF"/>
    <w:rsid w:val="00706596"/>
    <w:rsid w:val="0070697F"/>
    <w:rsid w:val="007103C4"/>
    <w:rsid w:val="00712D48"/>
    <w:rsid w:val="00715506"/>
    <w:rsid w:val="00715C19"/>
    <w:rsid w:val="0072199C"/>
    <w:rsid w:val="0072288A"/>
    <w:rsid w:val="00722C9F"/>
    <w:rsid w:val="00723817"/>
    <w:rsid w:val="007253B8"/>
    <w:rsid w:val="00725F6B"/>
    <w:rsid w:val="0073487D"/>
    <w:rsid w:val="00737314"/>
    <w:rsid w:val="0073741F"/>
    <w:rsid w:val="00737ED2"/>
    <w:rsid w:val="00747819"/>
    <w:rsid w:val="00750BAB"/>
    <w:rsid w:val="0075590E"/>
    <w:rsid w:val="0076643F"/>
    <w:rsid w:val="00766BBA"/>
    <w:rsid w:val="007720FF"/>
    <w:rsid w:val="00777F63"/>
    <w:rsid w:val="00785B6C"/>
    <w:rsid w:val="00791DD3"/>
    <w:rsid w:val="00793F1C"/>
    <w:rsid w:val="00796DB9"/>
    <w:rsid w:val="007A2194"/>
    <w:rsid w:val="007A5817"/>
    <w:rsid w:val="007B05C4"/>
    <w:rsid w:val="007B44CC"/>
    <w:rsid w:val="007B53DD"/>
    <w:rsid w:val="007B60E9"/>
    <w:rsid w:val="007B6595"/>
    <w:rsid w:val="007B6CC3"/>
    <w:rsid w:val="007B76D3"/>
    <w:rsid w:val="007B79D5"/>
    <w:rsid w:val="007C3334"/>
    <w:rsid w:val="007C55DF"/>
    <w:rsid w:val="007C6179"/>
    <w:rsid w:val="007C6835"/>
    <w:rsid w:val="007D1789"/>
    <w:rsid w:val="007D2B98"/>
    <w:rsid w:val="007D615A"/>
    <w:rsid w:val="007E16F7"/>
    <w:rsid w:val="007E21BC"/>
    <w:rsid w:val="007E6154"/>
    <w:rsid w:val="007E64CF"/>
    <w:rsid w:val="007E6888"/>
    <w:rsid w:val="007E7592"/>
    <w:rsid w:val="007E778E"/>
    <w:rsid w:val="007E7C82"/>
    <w:rsid w:val="007F01D7"/>
    <w:rsid w:val="007F2AA1"/>
    <w:rsid w:val="007F588D"/>
    <w:rsid w:val="00803F1C"/>
    <w:rsid w:val="0080600E"/>
    <w:rsid w:val="00814688"/>
    <w:rsid w:val="00817612"/>
    <w:rsid w:val="00817A45"/>
    <w:rsid w:val="00827C15"/>
    <w:rsid w:val="0083008F"/>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61563"/>
    <w:rsid w:val="00872CBE"/>
    <w:rsid w:val="00873836"/>
    <w:rsid w:val="00877733"/>
    <w:rsid w:val="008778B7"/>
    <w:rsid w:val="00882A97"/>
    <w:rsid w:val="008849C8"/>
    <w:rsid w:val="00885737"/>
    <w:rsid w:val="00890650"/>
    <w:rsid w:val="00891115"/>
    <w:rsid w:val="0089421E"/>
    <w:rsid w:val="008944DC"/>
    <w:rsid w:val="00895F48"/>
    <w:rsid w:val="00897E12"/>
    <w:rsid w:val="008A7E0F"/>
    <w:rsid w:val="008B089E"/>
    <w:rsid w:val="008B12F5"/>
    <w:rsid w:val="008B29DA"/>
    <w:rsid w:val="008C5E2D"/>
    <w:rsid w:val="008D768D"/>
    <w:rsid w:val="008E2546"/>
    <w:rsid w:val="008E3759"/>
    <w:rsid w:val="008E3BFE"/>
    <w:rsid w:val="008E66C5"/>
    <w:rsid w:val="008E6E52"/>
    <w:rsid w:val="008F1912"/>
    <w:rsid w:val="0090270B"/>
    <w:rsid w:val="009041DC"/>
    <w:rsid w:val="00906AA1"/>
    <w:rsid w:val="00913A84"/>
    <w:rsid w:val="00917B5A"/>
    <w:rsid w:val="00920A58"/>
    <w:rsid w:val="00920A8C"/>
    <w:rsid w:val="00934A2C"/>
    <w:rsid w:val="0095142A"/>
    <w:rsid w:val="00955D72"/>
    <w:rsid w:val="00957C0E"/>
    <w:rsid w:val="0096706E"/>
    <w:rsid w:val="009674E4"/>
    <w:rsid w:val="00973A6E"/>
    <w:rsid w:val="00973F6A"/>
    <w:rsid w:val="00974312"/>
    <w:rsid w:val="00974491"/>
    <w:rsid w:val="00975C4E"/>
    <w:rsid w:val="009773CC"/>
    <w:rsid w:val="009777F6"/>
    <w:rsid w:val="00981FBA"/>
    <w:rsid w:val="00982364"/>
    <w:rsid w:val="00983760"/>
    <w:rsid w:val="009840C7"/>
    <w:rsid w:val="00997BC5"/>
    <w:rsid w:val="009A4F41"/>
    <w:rsid w:val="009B0226"/>
    <w:rsid w:val="009B049A"/>
    <w:rsid w:val="009B381B"/>
    <w:rsid w:val="009B7576"/>
    <w:rsid w:val="009B7B09"/>
    <w:rsid w:val="009C009E"/>
    <w:rsid w:val="009C3C40"/>
    <w:rsid w:val="009D1753"/>
    <w:rsid w:val="009D1756"/>
    <w:rsid w:val="009D2D7C"/>
    <w:rsid w:val="009D30CA"/>
    <w:rsid w:val="009D7611"/>
    <w:rsid w:val="009D7A64"/>
    <w:rsid w:val="009E0B61"/>
    <w:rsid w:val="009E53DE"/>
    <w:rsid w:val="009E7F46"/>
    <w:rsid w:val="009F6AD2"/>
    <w:rsid w:val="009F74EF"/>
    <w:rsid w:val="00A004BB"/>
    <w:rsid w:val="00A04DF9"/>
    <w:rsid w:val="00A11212"/>
    <w:rsid w:val="00A11E44"/>
    <w:rsid w:val="00A1740A"/>
    <w:rsid w:val="00A20D62"/>
    <w:rsid w:val="00A21438"/>
    <w:rsid w:val="00A2366E"/>
    <w:rsid w:val="00A2403D"/>
    <w:rsid w:val="00A2648A"/>
    <w:rsid w:val="00A30100"/>
    <w:rsid w:val="00A328B3"/>
    <w:rsid w:val="00A32E22"/>
    <w:rsid w:val="00A3329B"/>
    <w:rsid w:val="00A34797"/>
    <w:rsid w:val="00A42CE5"/>
    <w:rsid w:val="00A50FCF"/>
    <w:rsid w:val="00A528D1"/>
    <w:rsid w:val="00A53688"/>
    <w:rsid w:val="00A54CEE"/>
    <w:rsid w:val="00A610CD"/>
    <w:rsid w:val="00A63DCF"/>
    <w:rsid w:val="00A6413A"/>
    <w:rsid w:val="00A64D2B"/>
    <w:rsid w:val="00A654BB"/>
    <w:rsid w:val="00A734DC"/>
    <w:rsid w:val="00A758AA"/>
    <w:rsid w:val="00A903DF"/>
    <w:rsid w:val="00A9343F"/>
    <w:rsid w:val="00A955F6"/>
    <w:rsid w:val="00A95FC1"/>
    <w:rsid w:val="00A96DAD"/>
    <w:rsid w:val="00A97D19"/>
    <w:rsid w:val="00AA09A2"/>
    <w:rsid w:val="00AA7996"/>
    <w:rsid w:val="00AA7EAD"/>
    <w:rsid w:val="00AB3141"/>
    <w:rsid w:val="00AC01A2"/>
    <w:rsid w:val="00AC19CB"/>
    <w:rsid w:val="00AC5AE7"/>
    <w:rsid w:val="00AE5488"/>
    <w:rsid w:val="00AE62FC"/>
    <w:rsid w:val="00AE6F91"/>
    <w:rsid w:val="00AF1AF9"/>
    <w:rsid w:val="00AF5571"/>
    <w:rsid w:val="00AF7199"/>
    <w:rsid w:val="00B0247A"/>
    <w:rsid w:val="00B050D2"/>
    <w:rsid w:val="00B06FF5"/>
    <w:rsid w:val="00B07341"/>
    <w:rsid w:val="00B10793"/>
    <w:rsid w:val="00B12D92"/>
    <w:rsid w:val="00B15643"/>
    <w:rsid w:val="00B30539"/>
    <w:rsid w:val="00B314DB"/>
    <w:rsid w:val="00B361F2"/>
    <w:rsid w:val="00B3718B"/>
    <w:rsid w:val="00B3745F"/>
    <w:rsid w:val="00B42C02"/>
    <w:rsid w:val="00B4632A"/>
    <w:rsid w:val="00B530F1"/>
    <w:rsid w:val="00B83158"/>
    <w:rsid w:val="00B8367C"/>
    <w:rsid w:val="00B8394D"/>
    <w:rsid w:val="00B862F9"/>
    <w:rsid w:val="00B87101"/>
    <w:rsid w:val="00B909C7"/>
    <w:rsid w:val="00B93D7F"/>
    <w:rsid w:val="00B9716F"/>
    <w:rsid w:val="00BA2401"/>
    <w:rsid w:val="00BA276C"/>
    <w:rsid w:val="00BA27E4"/>
    <w:rsid w:val="00BA383F"/>
    <w:rsid w:val="00BA5AF4"/>
    <w:rsid w:val="00BB019D"/>
    <w:rsid w:val="00BB27F4"/>
    <w:rsid w:val="00BB306F"/>
    <w:rsid w:val="00BB562C"/>
    <w:rsid w:val="00BB66C8"/>
    <w:rsid w:val="00BB6B26"/>
    <w:rsid w:val="00BC31F2"/>
    <w:rsid w:val="00BC3F49"/>
    <w:rsid w:val="00BC7B30"/>
    <w:rsid w:val="00BD0FF5"/>
    <w:rsid w:val="00BD4655"/>
    <w:rsid w:val="00BD4B89"/>
    <w:rsid w:val="00BD5922"/>
    <w:rsid w:val="00BE05E5"/>
    <w:rsid w:val="00BE2FF6"/>
    <w:rsid w:val="00BF02CB"/>
    <w:rsid w:val="00BF6FD8"/>
    <w:rsid w:val="00C03680"/>
    <w:rsid w:val="00C054DF"/>
    <w:rsid w:val="00C10E34"/>
    <w:rsid w:val="00C21762"/>
    <w:rsid w:val="00C21FEF"/>
    <w:rsid w:val="00C23BA4"/>
    <w:rsid w:val="00C24543"/>
    <w:rsid w:val="00C256A2"/>
    <w:rsid w:val="00C25ADB"/>
    <w:rsid w:val="00C318F3"/>
    <w:rsid w:val="00C3243D"/>
    <w:rsid w:val="00C51515"/>
    <w:rsid w:val="00C51BE0"/>
    <w:rsid w:val="00C555B7"/>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925"/>
    <w:rsid w:val="00C9567A"/>
    <w:rsid w:val="00CB16C7"/>
    <w:rsid w:val="00CB212D"/>
    <w:rsid w:val="00CB22B8"/>
    <w:rsid w:val="00CB2660"/>
    <w:rsid w:val="00CB31A7"/>
    <w:rsid w:val="00CB3F74"/>
    <w:rsid w:val="00CB7424"/>
    <w:rsid w:val="00CC5E90"/>
    <w:rsid w:val="00CD046C"/>
    <w:rsid w:val="00CD443B"/>
    <w:rsid w:val="00CE076C"/>
    <w:rsid w:val="00CE0C66"/>
    <w:rsid w:val="00CE4A5B"/>
    <w:rsid w:val="00CE5199"/>
    <w:rsid w:val="00CE66D5"/>
    <w:rsid w:val="00CF637A"/>
    <w:rsid w:val="00D02C81"/>
    <w:rsid w:val="00D04EC2"/>
    <w:rsid w:val="00D059DE"/>
    <w:rsid w:val="00D05ABD"/>
    <w:rsid w:val="00D13321"/>
    <w:rsid w:val="00D13FCE"/>
    <w:rsid w:val="00D14198"/>
    <w:rsid w:val="00D2696A"/>
    <w:rsid w:val="00D27519"/>
    <w:rsid w:val="00D306D1"/>
    <w:rsid w:val="00D30800"/>
    <w:rsid w:val="00D34786"/>
    <w:rsid w:val="00D37BFC"/>
    <w:rsid w:val="00D40A68"/>
    <w:rsid w:val="00D471A2"/>
    <w:rsid w:val="00D47A8E"/>
    <w:rsid w:val="00D52D14"/>
    <w:rsid w:val="00D57C4B"/>
    <w:rsid w:val="00D63CD7"/>
    <w:rsid w:val="00D6739A"/>
    <w:rsid w:val="00D712D3"/>
    <w:rsid w:val="00D71422"/>
    <w:rsid w:val="00D72DC6"/>
    <w:rsid w:val="00D7558D"/>
    <w:rsid w:val="00D77FA7"/>
    <w:rsid w:val="00D81D92"/>
    <w:rsid w:val="00D82B5A"/>
    <w:rsid w:val="00D844B4"/>
    <w:rsid w:val="00D8769D"/>
    <w:rsid w:val="00D876F9"/>
    <w:rsid w:val="00D87AC2"/>
    <w:rsid w:val="00D92F63"/>
    <w:rsid w:val="00D93C29"/>
    <w:rsid w:val="00D9403D"/>
    <w:rsid w:val="00D958A8"/>
    <w:rsid w:val="00D9735A"/>
    <w:rsid w:val="00DA4E43"/>
    <w:rsid w:val="00DA647E"/>
    <w:rsid w:val="00DA7B5F"/>
    <w:rsid w:val="00DB2530"/>
    <w:rsid w:val="00DB27E3"/>
    <w:rsid w:val="00DC11E7"/>
    <w:rsid w:val="00DC1810"/>
    <w:rsid w:val="00DC24E3"/>
    <w:rsid w:val="00DC466A"/>
    <w:rsid w:val="00DC7023"/>
    <w:rsid w:val="00DC769A"/>
    <w:rsid w:val="00DC7950"/>
    <w:rsid w:val="00DD227E"/>
    <w:rsid w:val="00DD3D86"/>
    <w:rsid w:val="00DD4AD2"/>
    <w:rsid w:val="00DD64B2"/>
    <w:rsid w:val="00DE0A58"/>
    <w:rsid w:val="00DE10D7"/>
    <w:rsid w:val="00DE2862"/>
    <w:rsid w:val="00DE2B30"/>
    <w:rsid w:val="00DF1EC4"/>
    <w:rsid w:val="00DF2FFA"/>
    <w:rsid w:val="00DF4D42"/>
    <w:rsid w:val="00E017C5"/>
    <w:rsid w:val="00E01C97"/>
    <w:rsid w:val="00E0340B"/>
    <w:rsid w:val="00E0371E"/>
    <w:rsid w:val="00E04A29"/>
    <w:rsid w:val="00E04A90"/>
    <w:rsid w:val="00E0551F"/>
    <w:rsid w:val="00E078BA"/>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54FF5"/>
    <w:rsid w:val="00E56336"/>
    <w:rsid w:val="00E573E4"/>
    <w:rsid w:val="00E64C3D"/>
    <w:rsid w:val="00E64E86"/>
    <w:rsid w:val="00E720CA"/>
    <w:rsid w:val="00E811FD"/>
    <w:rsid w:val="00E84EB5"/>
    <w:rsid w:val="00E85662"/>
    <w:rsid w:val="00E8789F"/>
    <w:rsid w:val="00E91BCA"/>
    <w:rsid w:val="00E9549A"/>
    <w:rsid w:val="00E9667E"/>
    <w:rsid w:val="00E97B71"/>
    <w:rsid w:val="00EA26F0"/>
    <w:rsid w:val="00EA3D34"/>
    <w:rsid w:val="00EA5E51"/>
    <w:rsid w:val="00EA641E"/>
    <w:rsid w:val="00EB0BBE"/>
    <w:rsid w:val="00EB0D15"/>
    <w:rsid w:val="00EB454D"/>
    <w:rsid w:val="00EB77C7"/>
    <w:rsid w:val="00EC3C33"/>
    <w:rsid w:val="00ED0D11"/>
    <w:rsid w:val="00ED549D"/>
    <w:rsid w:val="00ED5E10"/>
    <w:rsid w:val="00ED76BE"/>
    <w:rsid w:val="00EE00E9"/>
    <w:rsid w:val="00EE36C0"/>
    <w:rsid w:val="00EE4586"/>
    <w:rsid w:val="00EF0606"/>
    <w:rsid w:val="00EF1AAA"/>
    <w:rsid w:val="00EF4ED0"/>
    <w:rsid w:val="00EF619B"/>
    <w:rsid w:val="00EF7EB3"/>
    <w:rsid w:val="00F00B55"/>
    <w:rsid w:val="00F02AD1"/>
    <w:rsid w:val="00F02C2C"/>
    <w:rsid w:val="00F046D0"/>
    <w:rsid w:val="00F17870"/>
    <w:rsid w:val="00F253CC"/>
    <w:rsid w:val="00F3182C"/>
    <w:rsid w:val="00F33C9E"/>
    <w:rsid w:val="00F37106"/>
    <w:rsid w:val="00F40CA7"/>
    <w:rsid w:val="00F44E25"/>
    <w:rsid w:val="00F51366"/>
    <w:rsid w:val="00F519CF"/>
    <w:rsid w:val="00F54C18"/>
    <w:rsid w:val="00F56BA5"/>
    <w:rsid w:val="00F57D84"/>
    <w:rsid w:val="00F60C89"/>
    <w:rsid w:val="00F60E22"/>
    <w:rsid w:val="00F65504"/>
    <w:rsid w:val="00F711C3"/>
    <w:rsid w:val="00F71A7B"/>
    <w:rsid w:val="00F74DB2"/>
    <w:rsid w:val="00F80D59"/>
    <w:rsid w:val="00F81395"/>
    <w:rsid w:val="00F81BB8"/>
    <w:rsid w:val="00F8227D"/>
    <w:rsid w:val="00F87FC0"/>
    <w:rsid w:val="00F90926"/>
    <w:rsid w:val="00F90C64"/>
    <w:rsid w:val="00F916C1"/>
    <w:rsid w:val="00F917D1"/>
    <w:rsid w:val="00F94136"/>
    <w:rsid w:val="00F95C17"/>
    <w:rsid w:val="00F9653B"/>
    <w:rsid w:val="00FA6AEF"/>
    <w:rsid w:val="00FB507A"/>
    <w:rsid w:val="00FB50BC"/>
    <w:rsid w:val="00FB62CF"/>
    <w:rsid w:val="00FC6219"/>
    <w:rsid w:val="00FC66E2"/>
    <w:rsid w:val="00FD0F47"/>
    <w:rsid w:val="00FD3C3B"/>
    <w:rsid w:val="00FD4A99"/>
    <w:rsid w:val="00FE07DD"/>
    <w:rsid w:val="00FE0AF1"/>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semiHidden/>
    <w:unhideWhenUsed/>
    <w:rsid w:val="00B06FF5"/>
    <w:rPr>
      <w:sz w:val="20"/>
      <w:szCs w:val="20"/>
    </w:rPr>
  </w:style>
  <w:style w:type="character" w:customStyle="1" w:styleId="CommentTextChar">
    <w:name w:val="Comment Text Char"/>
    <w:basedOn w:val="DefaultParagraphFont"/>
    <w:link w:val="CommentText"/>
    <w:uiPriority w:val="99"/>
    <w:semiHidden/>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89421E"/>
  </w:style>
  <w:style w:type="paragraph" w:customStyle="1" w:styleId="paragraph">
    <w:name w:val="paragraph"/>
    <w:basedOn w:val="Normal"/>
    <w:rsid w:val="004F38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F38EB"/>
  </w:style>
  <w:style w:type="character" w:customStyle="1" w:styleId="eop">
    <w:name w:val="eop"/>
    <w:basedOn w:val="DefaultParagraphFont"/>
    <w:rsid w:val="004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77708520">
      <w:bodyDiv w:val="1"/>
      <w:marLeft w:val="0"/>
      <w:marRight w:val="0"/>
      <w:marTop w:val="0"/>
      <w:marBottom w:val="0"/>
      <w:divBdr>
        <w:top w:val="none" w:sz="0" w:space="0" w:color="auto"/>
        <w:left w:val="none" w:sz="0" w:space="0" w:color="auto"/>
        <w:bottom w:val="none" w:sz="0" w:space="0" w:color="auto"/>
        <w:right w:val="none" w:sz="0" w:space="0" w:color="auto"/>
      </w:divBdr>
    </w:div>
    <w:div w:id="404686108">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658119319">
      <w:bodyDiv w:val="1"/>
      <w:marLeft w:val="0"/>
      <w:marRight w:val="0"/>
      <w:marTop w:val="0"/>
      <w:marBottom w:val="0"/>
      <w:divBdr>
        <w:top w:val="none" w:sz="0" w:space="0" w:color="auto"/>
        <w:left w:val="none" w:sz="0" w:space="0" w:color="auto"/>
        <w:bottom w:val="none" w:sz="0" w:space="0" w:color="auto"/>
        <w:right w:val="none" w:sz="0" w:space="0" w:color="auto"/>
      </w:divBdr>
    </w:div>
    <w:div w:id="848526196">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5229376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573160">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062702585">
      <w:bodyDiv w:val="1"/>
      <w:marLeft w:val="0"/>
      <w:marRight w:val="0"/>
      <w:marTop w:val="0"/>
      <w:marBottom w:val="0"/>
      <w:divBdr>
        <w:top w:val="none" w:sz="0" w:space="0" w:color="auto"/>
        <w:left w:val="none" w:sz="0" w:space="0" w:color="auto"/>
        <w:bottom w:val="none" w:sz="0" w:space="0" w:color="auto"/>
        <w:right w:val="none" w:sz="0" w:space="0" w:color="auto"/>
      </w:divBdr>
    </w:div>
    <w:div w:id="2091997213">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7929"/>
    <w:rsid w:val="0005005B"/>
    <w:rsid w:val="0008633E"/>
    <w:rsid w:val="000940C5"/>
    <w:rsid w:val="000E60FB"/>
    <w:rsid w:val="001D2E63"/>
    <w:rsid w:val="00200821"/>
    <w:rsid w:val="0025245B"/>
    <w:rsid w:val="002A3923"/>
    <w:rsid w:val="002B5DED"/>
    <w:rsid w:val="00394049"/>
    <w:rsid w:val="003B0C71"/>
    <w:rsid w:val="004852F7"/>
    <w:rsid w:val="004B5BBB"/>
    <w:rsid w:val="004F2DF8"/>
    <w:rsid w:val="00517E2A"/>
    <w:rsid w:val="00624295"/>
    <w:rsid w:val="006D12AA"/>
    <w:rsid w:val="006F24A1"/>
    <w:rsid w:val="00775C63"/>
    <w:rsid w:val="00875B8A"/>
    <w:rsid w:val="009A261B"/>
    <w:rsid w:val="00A313FB"/>
    <w:rsid w:val="00A856BF"/>
    <w:rsid w:val="00AA2E17"/>
    <w:rsid w:val="00AC15A4"/>
    <w:rsid w:val="00AD0B08"/>
    <w:rsid w:val="00B0336C"/>
    <w:rsid w:val="00BA4193"/>
    <w:rsid w:val="00BD73DB"/>
    <w:rsid w:val="00CB1388"/>
    <w:rsid w:val="00CE6EC1"/>
    <w:rsid w:val="00D241E9"/>
    <w:rsid w:val="00D7750D"/>
    <w:rsid w:val="00DD52F0"/>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4661</Words>
  <Characters>26574</Characters>
  <Application>Microsoft Office Word</Application>
  <DocSecurity>0</DocSecurity>
  <Lines>221</Lines>
  <Paragraphs>62</Paragraphs>
  <ScaleCrop>false</ScaleCrop>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