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33F3FD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34CE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FEA56B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57D30">
                              <w:rPr>
                                <w:rFonts w:asciiTheme="majorHAnsi" w:hAnsiTheme="majorHAnsi" w:cs="Arial"/>
                                <w:b/>
                                <w:bCs/>
                                <w:color w:val="0D0D0D" w:themeColor="text1" w:themeTint="F2"/>
                                <w:sz w:val="36"/>
                                <w:szCs w:val="22"/>
                                <w:lang w:val="es-ES_tradnl"/>
                              </w:rPr>
                              <w:t>150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477D0F3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B5E">
                              <w:rPr>
                                <w:rFonts w:asciiTheme="majorHAnsi" w:hAnsiTheme="majorHAnsi" w:cs="Arial"/>
                                <w:b/>
                                <w:color w:val="0D0D0D" w:themeColor="text1" w:themeTint="F2"/>
                                <w:sz w:val="36"/>
                                <w:szCs w:val="22"/>
                                <w:lang w:val="es-ES_tradnl"/>
                              </w:rPr>
                              <w:t>1602</w:t>
                            </w:r>
                            <w:r w:rsidR="00246D1F" w:rsidRPr="004E2649">
                              <w:rPr>
                                <w:rFonts w:asciiTheme="majorHAnsi" w:hAnsiTheme="majorHAnsi" w:cs="Arial"/>
                                <w:b/>
                                <w:color w:val="0D0D0D" w:themeColor="text1" w:themeTint="F2"/>
                                <w:sz w:val="36"/>
                                <w:szCs w:val="22"/>
                                <w:lang w:val="es-ES_tradnl"/>
                              </w:rPr>
                              <w:t>-</w:t>
                            </w:r>
                            <w:r w:rsidR="00C972A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818DD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0644C">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96BF704" w14:textId="52942B7D" w:rsidR="00720B5E" w:rsidRDefault="00720B5E" w:rsidP="00C972A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AMPARO RAMÍREZ OSPINA Y OTROS</w:t>
                            </w:r>
                          </w:p>
                          <w:p w14:paraId="575DFD52" w14:textId="4EA07562" w:rsidR="005B52B0" w:rsidRPr="00EB197F" w:rsidRDefault="00C972A4"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FEA56B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57D30">
                        <w:rPr>
                          <w:rFonts w:asciiTheme="majorHAnsi" w:hAnsiTheme="majorHAnsi" w:cs="Arial"/>
                          <w:b/>
                          <w:bCs/>
                          <w:color w:val="0D0D0D" w:themeColor="text1" w:themeTint="F2"/>
                          <w:sz w:val="36"/>
                          <w:szCs w:val="22"/>
                          <w:lang w:val="es-ES_tradnl"/>
                        </w:rPr>
                        <w:t>150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477D0F3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B5E">
                        <w:rPr>
                          <w:rFonts w:asciiTheme="majorHAnsi" w:hAnsiTheme="majorHAnsi" w:cs="Arial"/>
                          <w:b/>
                          <w:color w:val="0D0D0D" w:themeColor="text1" w:themeTint="F2"/>
                          <w:sz w:val="36"/>
                          <w:szCs w:val="22"/>
                          <w:lang w:val="es-ES_tradnl"/>
                        </w:rPr>
                        <w:t>1602</w:t>
                      </w:r>
                      <w:r w:rsidR="00246D1F" w:rsidRPr="004E2649">
                        <w:rPr>
                          <w:rFonts w:asciiTheme="majorHAnsi" w:hAnsiTheme="majorHAnsi" w:cs="Arial"/>
                          <w:b/>
                          <w:color w:val="0D0D0D" w:themeColor="text1" w:themeTint="F2"/>
                          <w:sz w:val="36"/>
                          <w:szCs w:val="22"/>
                          <w:lang w:val="es-ES_tradnl"/>
                        </w:rPr>
                        <w:t>-</w:t>
                      </w:r>
                      <w:r w:rsidR="00C972A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818DD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0644C">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96BF704" w14:textId="52942B7D" w:rsidR="00720B5E" w:rsidRDefault="00720B5E" w:rsidP="00C972A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AMPARO RAMÍREZ OSPINA Y OTROS</w:t>
                      </w:r>
                    </w:p>
                    <w:p w14:paraId="575DFD52" w14:textId="4EA07562" w:rsidR="005B52B0" w:rsidRPr="00EB197F" w:rsidRDefault="00C972A4"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4988BA0" w:rsidR="00627C9F" w:rsidRPr="004E122B" w:rsidRDefault="00834D49" w:rsidP="007A5817">
                            <w:pPr>
                              <w:spacing w:line="276" w:lineRule="auto"/>
                              <w:jc w:val="right"/>
                              <w:rPr>
                                <w:rFonts w:asciiTheme="minorHAnsi" w:hAnsiTheme="minorHAnsi"/>
                                <w:color w:val="FFFFFF" w:themeColor="background1"/>
                                <w:sz w:val="22"/>
                                <w:lang w:val="es-ES"/>
                              </w:rPr>
                            </w:pPr>
                            <w:r w:rsidRPr="004E122B">
                              <w:rPr>
                                <w:rFonts w:asciiTheme="minorHAnsi" w:hAnsiTheme="minorHAnsi"/>
                                <w:color w:val="FFFFFF" w:themeColor="background1"/>
                                <w:sz w:val="22"/>
                                <w:lang w:val="es-ES"/>
                              </w:rPr>
                              <w:t>OEA/Ser.L/V/II</w:t>
                            </w:r>
                          </w:p>
                          <w:p w14:paraId="6A41611B" w14:textId="5BBD1FAC" w:rsidR="00627C9F" w:rsidRPr="004E122B" w:rsidRDefault="00627C9F" w:rsidP="007A5817">
                            <w:pPr>
                              <w:spacing w:line="276" w:lineRule="auto"/>
                              <w:jc w:val="right"/>
                              <w:rPr>
                                <w:rFonts w:asciiTheme="minorHAnsi" w:hAnsiTheme="minorHAnsi"/>
                                <w:color w:val="FFFFFF" w:themeColor="background1"/>
                                <w:sz w:val="22"/>
                                <w:lang w:val="es-ES"/>
                              </w:rPr>
                            </w:pPr>
                            <w:r w:rsidRPr="004E122B">
                              <w:rPr>
                                <w:rFonts w:asciiTheme="minorHAnsi" w:hAnsiTheme="minorHAnsi"/>
                                <w:color w:val="FFFFFF" w:themeColor="background1"/>
                                <w:sz w:val="22"/>
                                <w:lang w:val="es-ES"/>
                              </w:rPr>
                              <w:t xml:space="preserve">Doc. </w:t>
                            </w:r>
                            <w:r w:rsidR="007A78B9" w:rsidRPr="004E122B">
                              <w:rPr>
                                <w:rFonts w:asciiTheme="minorHAnsi" w:hAnsiTheme="minorHAnsi"/>
                                <w:color w:val="FFFFFF" w:themeColor="background1"/>
                                <w:sz w:val="22"/>
                                <w:lang w:val="es-ES"/>
                              </w:rPr>
                              <w:t>158</w:t>
                            </w:r>
                          </w:p>
                          <w:p w14:paraId="69373ED2" w14:textId="6B529704" w:rsidR="00627C9F" w:rsidRPr="004E122B" w:rsidRDefault="00616094" w:rsidP="007A5817">
                            <w:pPr>
                              <w:spacing w:line="276" w:lineRule="auto"/>
                              <w:jc w:val="right"/>
                              <w:rPr>
                                <w:rFonts w:asciiTheme="minorHAnsi" w:hAnsiTheme="minorHAnsi"/>
                                <w:color w:val="FFFFFF" w:themeColor="background1"/>
                                <w:sz w:val="22"/>
                                <w:lang w:val="es-ES"/>
                              </w:rPr>
                            </w:pPr>
                            <w:r w:rsidRPr="004E122B">
                              <w:rPr>
                                <w:rFonts w:asciiTheme="minorHAnsi" w:hAnsiTheme="minorHAnsi"/>
                                <w:color w:val="FFFFFF" w:themeColor="background1"/>
                                <w:sz w:val="22"/>
                                <w:lang w:val="es-ES"/>
                              </w:rPr>
                              <w:t>1</w:t>
                            </w:r>
                            <w:r w:rsidR="00595098" w:rsidRPr="004E122B">
                              <w:rPr>
                                <w:rFonts w:asciiTheme="minorHAnsi" w:hAnsiTheme="minorHAnsi"/>
                                <w:color w:val="FFFFFF" w:themeColor="background1"/>
                                <w:sz w:val="22"/>
                                <w:lang w:val="es-ES"/>
                              </w:rPr>
                              <w:t>6</w:t>
                            </w:r>
                            <w:r w:rsidRPr="004E122B">
                              <w:rPr>
                                <w:rFonts w:asciiTheme="minorHAnsi" w:hAnsiTheme="minorHAnsi"/>
                                <w:color w:val="FFFFFF" w:themeColor="background1"/>
                                <w:sz w:val="22"/>
                                <w:lang w:val="es-ES"/>
                              </w:rPr>
                              <w:t xml:space="preserve"> </w:t>
                            </w:r>
                            <w:r w:rsidR="00595098" w:rsidRPr="004E122B">
                              <w:rPr>
                                <w:rFonts w:asciiTheme="minorHAnsi" w:hAnsiTheme="minorHAnsi"/>
                                <w:color w:val="FFFFFF" w:themeColor="background1"/>
                                <w:sz w:val="22"/>
                                <w:lang w:val="es-ES"/>
                              </w:rPr>
                              <w:t>septiembre</w:t>
                            </w:r>
                            <w:r w:rsidR="007B05C4" w:rsidRPr="004E122B">
                              <w:rPr>
                                <w:rFonts w:asciiTheme="minorHAnsi" w:hAnsiTheme="minorHAnsi"/>
                                <w:color w:val="FFFFFF" w:themeColor="background1"/>
                                <w:sz w:val="22"/>
                                <w:lang w:val="es-ES"/>
                              </w:rPr>
                              <w:t xml:space="preserve"> </w:t>
                            </w:r>
                            <w:r w:rsidR="00627C9F" w:rsidRPr="004E122B">
                              <w:rPr>
                                <w:rFonts w:asciiTheme="minorHAnsi" w:hAnsiTheme="minorHAnsi"/>
                                <w:color w:val="FFFFFF" w:themeColor="background1"/>
                                <w:sz w:val="22"/>
                                <w:lang w:val="es-ES"/>
                              </w:rPr>
                              <w:t>20</w:t>
                            </w:r>
                            <w:r w:rsidR="00C23BA4" w:rsidRPr="004E122B">
                              <w:rPr>
                                <w:rFonts w:asciiTheme="minorHAnsi" w:hAnsiTheme="minorHAnsi"/>
                                <w:color w:val="FFFFFF" w:themeColor="background1"/>
                                <w:sz w:val="22"/>
                                <w:lang w:val="es-ES"/>
                              </w:rPr>
                              <w:t>2</w:t>
                            </w:r>
                            <w:r w:rsidR="00E54D28" w:rsidRPr="004E122B">
                              <w:rPr>
                                <w:rFonts w:asciiTheme="minorHAnsi" w:hAnsiTheme="minorHAnsi"/>
                                <w:color w:val="FFFFFF" w:themeColor="background1"/>
                                <w:sz w:val="22"/>
                                <w:lang w:val="es-ES"/>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4988BA0" w:rsidR="00627C9F" w:rsidRPr="004E122B" w:rsidRDefault="00834D49" w:rsidP="007A5817">
                      <w:pPr>
                        <w:spacing w:line="276" w:lineRule="auto"/>
                        <w:jc w:val="right"/>
                        <w:rPr>
                          <w:rFonts w:asciiTheme="minorHAnsi" w:hAnsiTheme="minorHAnsi"/>
                          <w:color w:val="FFFFFF" w:themeColor="background1"/>
                          <w:sz w:val="22"/>
                          <w:lang w:val="es-ES"/>
                        </w:rPr>
                      </w:pPr>
                      <w:r w:rsidRPr="004E122B">
                        <w:rPr>
                          <w:rFonts w:asciiTheme="minorHAnsi" w:hAnsiTheme="minorHAnsi"/>
                          <w:color w:val="FFFFFF" w:themeColor="background1"/>
                          <w:sz w:val="22"/>
                          <w:lang w:val="es-ES"/>
                        </w:rPr>
                        <w:t>OEA/Ser.L/V/II</w:t>
                      </w:r>
                    </w:p>
                    <w:p w14:paraId="6A41611B" w14:textId="5BBD1FAC" w:rsidR="00627C9F" w:rsidRPr="004E122B" w:rsidRDefault="00627C9F" w:rsidP="007A5817">
                      <w:pPr>
                        <w:spacing w:line="276" w:lineRule="auto"/>
                        <w:jc w:val="right"/>
                        <w:rPr>
                          <w:rFonts w:asciiTheme="minorHAnsi" w:hAnsiTheme="minorHAnsi"/>
                          <w:color w:val="FFFFFF" w:themeColor="background1"/>
                          <w:sz w:val="22"/>
                          <w:lang w:val="es-ES"/>
                        </w:rPr>
                      </w:pPr>
                      <w:r w:rsidRPr="004E122B">
                        <w:rPr>
                          <w:rFonts w:asciiTheme="minorHAnsi" w:hAnsiTheme="minorHAnsi"/>
                          <w:color w:val="FFFFFF" w:themeColor="background1"/>
                          <w:sz w:val="22"/>
                          <w:lang w:val="es-ES"/>
                        </w:rPr>
                        <w:t xml:space="preserve">Doc. </w:t>
                      </w:r>
                      <w:r w:rsidR="007A78B9" w:rsidRPr="004E122B">
                        <w:rPr>
                          <w:rFonts w:asciiTheme="minorHAnsi" w:hAnsiTheme="minorHAnsi"/>
                          <w:color w:val="FFFFFF" w:themeColor="background1"/>
                          <w:sz w:val="22"/>
                          <w:lang w:val="es-ES"/>
                        </w:rPr>
                        <w:t>158</w:t>
                      </w:r>
                    </w:p>
                    <w:p w14:paraId="69373ED2" w14:textId="6B529704" w:rsidR="00627C9F" w:rsidRPr="004E122B" w:rsidRDefault="00616094" w:rsidP="007A5817">
                      <w:pPr>
                        <w:spacing w:line="276" w:lineRule="auto"/>
                        <w:jc w:val="right"/>
                        <w:rPr>
                          <w:rFonts w:asciiTheme="minorHAnsi" w:hAnsiTheme="minorHAnsi"/>
                          <w:color w:val="FFFFFF" w:themeColor="background1"/>
                          <w:sz w:val="22"/>
                          <w:lang w:val="es-ES"/>
                        </w:rPr>
                      </w:pPr>
                      <w:r w:rsidRPr="004E122B">
                        <w:rPr>
                          <w:rFonts w:asciiTheme="minorHAnsi" w:hAnsiTheme="minorHAnsi"/>
                          <w:color w:val="FFFFFF" w:themeColor="background1"/>
                          <w:sz w:val="22"/>
                          <w:lang w:val="es-ES"/>
                        </w:rPr>
                        <w:t>1</w:t>
                      </w:r>
                      <w:r w:rsidR="00595098" w:rsidRPr="004E122B">
                        <w:rPr>
                          <w:rFonts w:asciiTheme="minorHAnsi" w:hAnsiTheme="minorHAnsi"/>
                          <w:color w:val="FFFFFF" w:themeColor="background1"/>
                          <w:sz w:val="22"/>
                          <w:lang w:val="es-ES"/>
                        </w:rPr>
                        <w:t>6</w:t>
                      </w:r>
                      <w:r w:rsidRPr="004E122B">
                        <w:rPr>
                          <w:rFonts w:asciiTheme="minorHAnsi" w:hAnsiTheme="minorHAnsi"/>
                          <w:color w:val="FFFFFF" w:themeColor="background1"/>
                          <w:sz w:val="22"/>
                          <w:lang w:val="es-ES"/>
                        </w:rPr>
                        <w:t xml:space="preserve"> </w:t>
                      </w:r>
                      <w:r w:rsidR="00595098" w:rsidRPr="004E122B">
                        <w:rPr>
                          <w:rFonts w:asciiTheme="minorHAnsi" w:hAnsiTheme="minorHAnsi"/>
                          <w:color w:val="FFFFFF" w:themeColor="background1"/>
                          <w:sz w:val="22"/>
                          <w:lang w:val="es-ES"/>
                        </w:rPr>
                        <w:t>septiembre</w:t>
                      </w:r>
                      <w:r w:rsidR="007B05C4" w:rsidRPr="004E122B">
                        <w:rPr>
                          <w:rFonts w:asciiTheme="minorHAnsi" w:hAnsiTheme="minorHAnsi"/>
                          <w:color w:val="FFFFFF" w:themeColor="background1"/>
                          <w:sz w:val="22"/>
                          <w:lang w:val="es-ES"/>
                        </w:rPr>
                        <w:t xml:space="preserve"> </w:t>
                      </w:r>
                      <w:r w:rsidR="00627C9F" w:rsidRPr="004E122B">
                        <w:rPr>
                          <w:rFonts w:asciiTheme="minorHAnsi" w:hAnsiTheme="minorHAnsi"/>
                          <w:color w:val="FFFFFF" w:themeColor="background1"/>
                          <w:sz w:val="22"/>
                          <w:lang w:val="es-ES"/>
                        </w:rPr>
                        <w:t>20</w:t>
                      </w:r>
                      <w:r w:rsidR="00C23BA4" w:rsidRPr="004E122B">
                        <w:rPr>
                          <w:rFonts w:asciiTheme="minorHAnsi" w:hAnsiTheme="minorHAnsi"/>
                          <w:color w:val="FFFFFF" w:themeColor="background1"/>
                          <w:sz w:val="22"/>
                          <w:lang w:val="es-ES"/>
                        </w:rPr>
                        <w:t>2</w:t>
                      </w:r>
                      <w:r w:rsidR="00E54D28" w:rsidRPr="004E122B">
                        <w:rPr>
                          <w:rFonts w:asciiTheme="minorHAnsi" w:hAnsiTheme="minorHAnsi"/>
                          <w:color w:val="FFFFFF" w:themeColor="background1"/>
                          <w:sz w:val="22"/>
                          <w:lang w:val="es-ES"/>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4E744C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16094">
                              <w:rPr>
                                <w:rFonts w:asciiTheme="majorHAnsi" w:hAnsiTheme="majorHAnsi"/>
                                <w:color w:val="0D0D0D" w:themeColor="text1" w:themeTint="F2"/>
                                <w:sz w:val="18"/>
                                <w:szCs w:val="22"/>
                                <w:lang w:val="es-ES"/>
                              </w:rPr>
                              <w:t>1</w:t>
                            </w:r>
                            <w:r w:rsidR="00595098">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59509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61609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4E744C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16094">
                        <w:rPr>
                          <w:rFonts w:asciiTheme="majorHAnsi" w:hAnsiTheme="majorHAnsi"/>
                          <w:color w:val="0D0D0D" w:themeColor="text1" w:themeTint="F2"/>
                          <w:sz w:val="18"/>
                          <w:szCs w:val="22"/>
                          <w:lang w:val="es-ES"/>
                        </w:rPr>
                        <w:t>1</w:t>
                      </w:r>
                      <w:r w:rsidR="00595098">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59509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61609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D67DB5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5098" w:rsidRPr="00595098">
                              <w:rPr>
                                <w:rFonts w:asciiTheme="majorHAnsi" w:hAnsiTheme="majorHAnsi"/>
                                <w:color w:val="595959" w:themeColor="text1" w:themeTint="A6"/>
                                <w:sz w:val="18"/>
                                <w:szCs w:val="18"/>
                                <w:lang w:val="pt-BR"/>
                              </w:rPr>
                              <w:t>150</w:t>
                            </w:r>
                            <w:r w:rsidR="007B05C4" w:rsidRPr="00595098">
                              <w:rPr>
                                <w:rFonts w:asciiTheme="majorHAnsi" w:hAnsiTheme="majorHAnsi"/>
                                <w:color w:val="595959" w:themeColor="text1" w:themeTint="A6"/>
                                <w:sz w:val="18"/>
                                <w:szCs w:val="18"/>
                                <w:lang w:val="pt-BR"/>
                              </w:rPr>
                              <w:t>/</w:t>
                            </w:r>
                            <w:r w:rsidR="00616094" w:rsidRPr="00595098">
                              <w:rPr>
                                <w:rFonts w:asciiTheme="majorHAnsi" w:hAnsiTheme="majorHAnsi"/>
                                <w:color w:val="595959" w:themeColor="text1" w:themeTint="A6"/>
                                <w:sz w:val="18"/>
                                <w:szCs w:val="18"/>
                                <w:lang w:val="pt-BR"/>
                              </w:rPr>
                              <w:t>24</w:t>
                            </w:r>
                            <w:r w:rsidRPr="0059509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20B5E">
                              <w:rPr>
                                <w:rFonts w:asciiTheme="majorHAnsi" w:hAnsiTheme="majorHAnsi"/>
                                <w:color w:val="595959" w:themeColor="text1" w:themeTint="A6"/>
                                <w:sz w:val="18"/>
                                <w:szCs w:val="18"/>
                                <w:lang w:val="es-ES"/>
                              </w:rPr>
                              <w:t>1602</w:t>
                            </w:r>
                            <w:r w:rsidR="00C972A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42E8C" w:rsidRPr="00A0644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720B5E">
                              <w:rPr>
                                <w:rFonts w:asciiTheme="majorHAnsi" w:hAnsiTheme="majorHAnsi"/>
                                <w:color w:val="595959" w:themeColor="text1" w:themeTint="A6"/>
                                <w:sz w:val="18"/>
                                <w:szCs w:val="18"/>
                                <w:lang w:val="es-ES_tradnl"/>
                              </w:rPr>
                              <w:t>Amp</w:t>
                            </w:r>
                            <w:r w:rsidR="00616094">
                              <w:rPr>
                                <w:rFonts w:asciiTheme="majorHAnsi" w:hAnsiTheme="majorHAnsi"/>
                                <w:color w:val="595959" w:themeColor="text1" w:themeTint="A6"/>
                                <w:sz w:val="18"/>
                                <w:szCs w:val="18"/>
                                <w:lang w:val="es-ES_tradnl"/>
                              </w:rPr>
                              <w:t>a</w:t>
                            </w:r>
                            <w:r w:rsidR="00720B5E">
                              <w:rPr>
                                <w:rFonts w:asciiTheme="majorHAnsi" w:hAnsiTheme="majorHAnsi"/>
                                <w:color w:val="595959" w:themeColor="text1" w:themeTint="A6"/>
                                <w:sz w:val="18"/>
                                <w:szCs w:val="18"/>
                                <w:lang w:val="es-ES_tradnl"/>
                              </w:rPr>
                              <w:t>ro Ramírez Ospina y otros</w:t>
                            </w:r>
                            <w:r w:rsidRPr="00890650">
                              <w:rPr>
                                <w:rFonts w:asciiTheme="majorHAnsi" w:hAnsiTheme="majorHAnsi"/>
                                <w:color w:val="595959" w:themeColor="text1" w:themeTint="A6"/>
                                <w:sz w:val="18"/>
                                <w:szCs w:val="18"/>
                                <w:lang w:val="es-ES_tradnl"/>
                              </w:rPr>
                              <w:t xml:space="preserve">. </w:t>
                            </w:r>
                            <w:r w:rsidR="00C972A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16094">
                              <w:rPr>
                                <w:rFonts w:asciiTheme="majorHAnsi" w:hAnsiTheme="majorHAnsi"/>
                                <w:color w:val="595959" w:themeColor="text1" w:themeTint="A6"/>
                                <w:sz w:val="18"/>
                                <w:szCs w:val="18"/>
                                <w:lang w:val="es-ES"/>
                              </w:rPr>
                              <w:t>1</w:t>
                            </w:r>
                            <w:r w:rsidR="00595098">
                              <w:rPr>
                                <w:rFonts w:asciiTheme="majorHAnsi" w:hAnsiTheme="majorHAnsi"/>
                                <w:color w:val="595959" w:themeColor="text1" w:themeTint="A6"/>
                                <w:sz w:val="18"/>
                                <w:szCs w:val="18"/>
                                <w:lang w:val="es-ES"/>
                              </w:rPr>
                              <w:t>6</w:t>
                            </w:r>
                            <w:r w:rsidR="00616094">
                              <w:rPr>
                                <w:rFonts w:asciiTheme="majorHAnsi" w:hAnsiTheme="majorHAnsi"/>
                                <w:color w:val="595959" w:themeColor="text1" w:themeTint="A6"/>
                                <w:sz w:val="18"/>
                                <w:szCs w:val="18"/>
                                <w:lang w:val="es-ES"/>
                              </w:rPr>
                              <w:t xml:space="preserve"> de </w:t>
                            </w:r>
                            <w:r w:rsidR="00595098">
                              <w:rPr>
                                <w:rFonts w:asciiTheme="majorHAnsi" w:hAnsiTheme="majorHAnsi"/>
                                <w:color w:val="595959" w:themeColor="text1" w:themeTint="A6"/>
                                <w:sz w:val="18"/>
                                <w:szCs w:val="18"/>
                                <w:lang w:val="es-ES"/>
                              </w:rPr>
                              <w:t>septiembre</w:t>
                            </w:r>
                            <w:r w:rsidR="00616094">
                              <w:rPr>
                                <w:rFonts w:asciiTheme="majorHAnsi" w:hAnsiTheme="majorHAnsi"/>
                                <w:color w:val="595959" w:themeColor="text1" w:themeTint="A6"/>
                                <w:sz w:val="18"/>
                                <w:szCs w:val="18"/>
                                <w:lang w:val="es-ES"/>
                              </w:rPr>
                              <w:t xml:space="preserv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D67DB5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5098" w:rsidRPr="00595098">
                        <w:rPr>
                          <w:rFonts w:asciiTheme="majorHAnsi" w:hAnsiTheme="majorHAnsi"/>
                          <w:color w:val="595959" w:themeColor="text1" w:themeTint="A6"/>
                          <w:sz w:val="18"/>
                          <w:szCs w:val="18"/>
                          <w:lang w:val="pt-BR"/>
                        </w:rPr>
                        <w:t>150</w:t>
                      </w:r>
                      <w:r w:rsidR="007B05C4" w:rsidRPr="00595098">
                        <w:rPr>
                          <w:rFonts w:asciiTheme="majorHAnsi" w:hAnsiTheme="majorHAnsi"/>
                          <w:color w:val="595959" w:themeColor="text1" w:themeTint="A6"/>
                          <w:sz w:val="18"/>
                          <w:szCs w:val="18"/>
                          <w:lang w:val="pt-BR"/>
                        </w:rPr>
                        <w:t>/</w:t>
                      </w:r>
                      <w:r w:rsidR="00616094" w:rsidRPr="00595098">
                        <w:rPr>
                          <w:rFonts w:asciiTheme="majorHAnsi" w:hAnsiTheme="majorHAnsi"/>
                          <w:color w:val="595959" w:themeColor="text1" w:themeTint="A6"/>
                          <w:sz w:val="18"/>
                          <w:szCs w:val="18"/>
                          <w:lang w:val="pt-BR"/>
                        </w:rPr>
                        <w:t>24</w:t>
                      </w:r>
                      <w:r w:rsidRPr="0059509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20B5E">
                        <w:rPr>
                          <w:rFonts w:asciiTheme="majorHAnsi" w:hAnsiTheme="majorHAnsi"/>
                          <w:color w:val="595959" w:themeColor="text1" w:themeTint="A6"/>
                          <w:sz w:val="18"/>
                          <w:szCs w:val="18"/>
                          <w:lang w:val="es-ES"/>
                        </w:rPr>
                        <w:t>1602</w:t>
                      </w:r>
                      <w:r w:rsidR="00C972A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42E8C" w:rsidRPr="00A0644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720B5E">
                        <w:rPr>
                          <w:rFonts w:asciiTheme="majorHAnsi" w:hAnsiTheme="majorHAnsi"/>
                          <w:color w:val="595959" w:themeColor="text1" w:themeTint="A6"/>
                          <w:sz w:val="18"/>
                          <w:szCs w:val="18"/>
                          <w:lang w:val="es-ES_tradnl"/>
                        </w:rPr>
                        <w:t>Amp</w:t>
                      </w:r>
                      <w:r w:rsidR="00616094">
                        <w:rPr>
                          <w:rFonts w:asciiTheme="majorHAnsi" w:hAnsiTheme="majorHAnsi"/>
                          <w:color w:val="595959" w:themeColor="text1" w:themeTint="A6"/>
                          <w:sz w:val="18"/>
                          <w:szCs w:val="18"/>
                          <w:lang w:val="es-ES_tradnl"/>
                        </w:rPr>
                        <w:t>a</w:t>
                      </w:r>
                      <w:r w:rsidR="00720B5E">
                        <w:rPr>
                          <w:rFonts w:asciiTheme="majorHAnsi" w:hAnsiTheme="majorHAnsi"/>
                          <w:color w:val="595959" w:themeColor="text1" w:themeTint="A6"/>
                          <w:sz w:val="18"/>
                          <w:szCs w:val="18"/>
                          <w:lang w:val="es-ES_tradnl"/>
                        </w:rPr>
                        <w:t>ro Ramírez Ospina y otros</w:t>
                      </w:r>
                      <w:r w:rsidRPr="00890650">
                        <w:rPr>
                          <w:rFonts w:asciiTheme="majorHAnsi" w:hAnsiTheme="majorHAnsi"/>
                          <w:color w:val="595959" w:themeColor="text1" w:themeTint="A6"/>
                          <w:sz w:val="18"/>
                          <w:szCs w:val="18"/>
                          <w:lang w:val="es-ES_tradnl"/>
                        </w:rPr>
                        <w:t xml:space="preserve">. </w:t>
                      </w:r>
                      <w:r w:rsidR="00C972A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16094">
                        <w:rPr>
                          <w:rFonts w:asciiTheme="majorHAnsi" w:hAnsiTheme="majorHAnsi"/>
                          <w:color w:val="595959" w:themeColor="text1" w:themeTint="A6"/>
                          <w:sz w:val="18"/>
                          <w:szCs w:val="18"/>
                          <w:lang w:val="es-ES"/>
                        </w:rPr>
                        <w:t>1</w:t>
                      </w:r>
                      <w:r w:rsidR="00595098">
                        <w:rPr>
                          <w:rFonts w:asciiTheme="majorHAnsi" w:hAnsiTheme="majorHAnsi"/>
                          <w:color w:val="595959" w:themeColor="text1" w:themeTint="A6"/>
                          <w:sz w:val="18"/>
                          <w:szCs w:val="18"/>
                          <w:lang w:val="es-ES"/>
                        </w:rPr>
                        <w:t>6</w:t>
                      </w:r>
                      <w:r w:rsidR="00616094">
                        <w:rPr>
                          <w:rFonts w:asciiTheme="majorHAnsi" w:hAnsiTheme="majorHAnsi"/>
                          <w:color w:val="595959" w:themeColor="text1" w:themeTint="A6"/>
                          <w:sz w:val="18"/>
                          <w:szCs w:val="18"/>
                          <w:lang w:val="es-ES"/>
                        </w:rPr>
                        <w:t xml:space="preserve"> de </w:t>
                      </w:r>
                      <w:r w:rsidR="00595098">
                        <w:rPr>
                          <w:rFonts w:asciiTheme="majorHAnsi" w:hAnsiTheme="majorHAnsi"/>
                          <w:color w:val="595959" w:themeColor="text1" w:themeTint="A6"/>
                          <w:sz w:val="18"/>
                          <w:szCs w:val="18"/>
                          <w:lang w:val="es-ES"/>
                        </w:rPr>
                        <w:t>septiembre</w:t>
                      </w:r>
                      <w:r w:rsidR="00616094">
                        <w:rPr>
                          <w:rFonts w:asciiTheme="majorHAnsi" w:hAnsiTheme="majorHAnsi"/>
                          <w:color w:val="595959" w:themeColor="text1" w:themeTint="A6"/>
                          <w:sz w:val="18"/>
                          <w:szCs w:val="18"/>
                          <w:lang w:val="es-ES"/>
                        </w:rPr>
                        <w:t xml:space="preserve">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581673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461898A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06176D5" w:rsidR="0070697F" w:rsidRDefault="0059509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21C5560B">
                <wp:simplePos x="0" y="0"/>
                <wp:positionH relativeFrom="column">
                  <wp:posOffset>1313484</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4E9C289" w:rsidR="00D72DC6" w:rsidRPr="00D72DC6" w:rsidRDefault="00190BE3" w:rsidP="00F02AD1">
                            <w:pPr>
                              <w:rPr>
                                <w:color w:val="FFFFFF" w:themeColor="background1"/>
                                <w14:textFill>
                                  <w14:noFill/>
                                </w14:textFill>
                              </w:rPr>
                            </w:pPr>
                            <w:r>
                              <w:rPr>
                                <w:noProof/>
                                <w:color w:val="FFFFFF" w:themeColor="background1"/>
                              </w:rPr>
                              <w:drawing>
                                <wp:inline distT="0" distB="0" distL="0" distR="0" wp14:anchorId="06D8CD27" wp14:editId="4642FA4E">
                                  <wp:extent cx="1824355" cy="469265"/>
                                  <wp:effectExtent l="0" t="0" r="4445" b="6985"/>
                                  <wp:docPr id="1025779574" name="Picture 10257795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4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F3RVLuEA&#10;AAAKAQAADwAAAAAAAAAAAAAAAADUBAAAZHJzL2Rvd25yZXYueG1sUEsFBgAAAAAEAAQA8wAAAOIF&#10;AAAAAA==&#10;" fillcolor="white [3201]" stroked="f" strokeweight=".5pt">
                <v:textbox>
                  <w:txbxContent>
                    <w:p w14:paraId="2A1ECD3C" w14:textId="34E9C289" w:rsidR="00D72DC6" w:rsidRPr="00D72DC6" w:rsidRDefault="00190BE3" w:rsidP="00F02AD1">
                      <w:pPr>
                        <w:rPr>
                          <w:color w:val="FFFFFF" w:themeColor="background1"/>
                          <w14:textFill>
                            <w14:noFill/>
                          </w14:textFill>
                        </w:rPr>
                      </w:pPr>
                      <w:r>
                        <w:rPr>
                          <w:noProof/>
                          <w:color w:val="FFFFFF" w:themeColor="background1"/>
                        </w:rPr>
                        <w:drawing>
                          <wp:inline distT="0" distB="0" distL="0" distR="0" wp14:anchorId="06D8CD27" wp14:editId="4642FA4E">
                            <wp:extent cx="1824355" cy="469265"/>
                            <wp:effectExtent l="0" t="0" r="4445" b="6985"/>
                            <wp:docPr id="1025779574" name="Picture 10257795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7A1F962" w:rsidR="003239B8" w:rsidRPr="00FC3960" w:rsidRDefault="00E0044E" w:rsidP="00D13530">
            <w:pPr>
              <w:jc w:val="both"/>
              <w:rPr>
                <w:rFonts w:ascii="Cambria" w:hAnsi="Cambria"/>
                <w:bCs/>
                <w:sz w:val="20"/>
                <w:szCs w:val="20"/>
                <w:highlight w:val="yellow"/>
                <w:lang w:val="es-PE"/>
              </w:rPr>
            </w:pPr>
            <w:r w:rsidRPr="00E0044E">
              <w:rPr>
                <w:rFonts w:ascii="Cambria" w:hAnsi="Cambria"/>
                <w:bCs/>
                <w:sz w:val="20"/>
                <w:szCs w:val="20"/>
                <w:lang w:val="es-PE"/>
              </w:rPr>
              <w:t>Osc</w:t>
            </w:r>
            <w:r>
              <w:rPr>
                <w:rFonts w:ascii="Cambria" w:hAnsi="Cambria"/>
                <w:bCs/>
                <w:sz w:val="20"/>
                <w:szCs w:val="20"/>
                <w:lang w:val="es-PE"/>
              </w:rPr>
              <w:t xml:space="preserve">ar </w:t>
            </w:r>
            <w:r w:rsidR="00F37611">
              <w:rPr>
                <w:rFonts w:ascii="Cambria" w:hAnsi="Cambria"/>
                <w:bCs/>
                <w:sz w:val="20"/>
                <w:szCs w:val="20"/>
                <w:lang w:val="es-PE"/>
              </w:rPr>
              <w:t>Gerardo Torres Trujillo</w:t>
            </w:r>
          </w:p>
        </w:tc>
      </w:tr>
      <w:tr w:rsidR="003239B8" w:rsidRPr="005423C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7183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5B02568" w:rsidR="003239B8" w:rsidRPr="000D05CB" w:rsidRDefault="00D71EAD" w:rsidP="008D2290">
            <w:pPr>
              <w:jc w:val="both"/>
              <w:rPr>
                <w:rFonts w:ascii="Cambria" w:hAnsi="Cambria"/>
                <w:bCs/>
                <w:sz w:val="20"/>
                <w:szCs w:val="20"/>
                <w:lang w:val="es-ES"/>
              </w:rPr>
            </w:pPr>
            <w:r>
              <w:rPr>
                <w:rFonts w:ascii="Cambria" w:hAnsi="Cambria"/>
                <w:bCs/>
                <w:sz w:val="20"/>
                <w:szCs w:val="20"/>
                <w:lang w:val="es-ES"/>
              </w:rPr>
              <w:t>Amparo Ramírez Ospina y otros</w:t>
            </w:r>
            <w:r w:rsidR="00F07A1A">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E91661E" w:rsidR="003239B8" w:rsidRPr="000D05CB" w:rsidRDefault="00132D40"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5423C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31FD6AC" w:rsidR="00223A29" w:rsidRPr="002304B8" w:rsidRDefault="005F1E2F" w:rsidP="008D2290">
            <w:pPr>
              <w:jc w:val="both"/>
              <w:rPr>
                <w:rFonts w:ascii="Cambria" w:hAnsi="Cambria"/>
                <w:bCs/>
                <w:sz w:val="20"/>
                <w:szCs w:val="20"/>
                <w:lang w:val="es-PE"/>
              </w:rPr>
            </w:pPr>
            <w:r>
              <w:rPr>
                <w:rFonts w:ascii="Cambria" w:hAnsi="Cambria"/>
                <w:bCs/>
                <w:sz w:val="20"/>
                <w:szCs w:val="20"/>
                <w:lang w:val="es-MX"/>
              </w:rPr>
              <w:t>Artículos 8 (garantías judiciales), 24 (igualdad ante la ley) y 25 (protección judicial)</w:t>
            </w:r>
            <w:r w:rsidR="00074D1E">
              <w:rPr>
                <w:rFonts w:ascii="Cambria" w:hAnsi="Cambria"/>
                <w:bCs/>
                <w:sz w:val="20"/>
                <w:szCs w:val="20"/>
                <w:lang w:val="es-MX"/>
              </w:rPr>
              <w:t xml:space="preserve"> </w:t>
            </w:r>
            <w:r w:rsidR="002304B8" w:rsidRPr="00946005">
              <w:rPr>
                <w:rFonts w:ascii="Cambria" w:hAnsi="Cambria"/>
                <w:bCs/>
                <w:sz w:val="20"/>
                <w:szCs w:val="20"/>
                <w:lang w:val="es-MX"/>
              </w:rPr>
              <w:t xml:space="preserve">de la </w:t>
            </w:r>
            <w:r w:rsidR="002304B8">
              <w:rPr>
                <w:rFonts w:ascii="Cambria" w:hAnsi="Cambria"/>
                <w:bCs/>
                <w:sz w:val="20"/>
                <w:szCs w:val="20"/>
                <w:lang w:val="es-MX"/>
              </w:rPr>
              <w:t>Convención Americana sobre Derechos Humanos</w:t>
            </w:r>
            <w:r w:rsidR="002304B8">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0903EFD" w:rsidR="004C2312" w:rsidRPr="003239B8" w:rsidRDefault="00CF0B45" w:rsidP="002625EA">
            <w:pPr>
              <w:jc w:val="both"/>
              <w:rPr>
                <w:rFonts w:ascii="Cambria" w:hAnsi="Cambria"/>
                <w:bCs/>
                <w:sz w:val="20"/>
                <w:szCs w:val="20"/>
                <w:lang w:val="es-ES"/>
              </w:rPr>
            </w:pPr>
            <w:r>
              <w:rPr>
                <w:rFonts w:ascii="Cambria" w:hAnsi="Cambria"/>
                <w:bCs/>
                <w:sz w:val="20"/>
                <w:szCs w:val="20"/>
                <w:lang w:val="es-ES"/>
              </w:rPr>
              <w:t>21 de noviembre de 2014</w:t>
            </w:r>
          </w:p>
        </w:tc>
      </w:tr>
      <w:tr w:rsidR="00131425" w:rsidRPr="005423C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2C0768F" w:rsidR="00131425" w:rsidRPr="003239B8" w:rsidRDefault="00DC5596" w:rsidP="002625EA">
            <w:pPr>
              <w:jc w:val="both"/>
              <w:rPr>
                <w:rFonts w:ascii="Cambria" w:hAnsi="Cambria"/>
                <w:bCs/>
                <w:sz w:val="20"/>
                <w:szCs w:val="20"/>
                <w:lang w:val="es-ES"/>
              </w:rPr>
            </w:pPr>
            <w:r>
              <w:rPr>
                <w:rFonts w:ascii="Cambria" w:hAnsi="Cambria"/>
                <w:bCs/>
                <w:sz w:val="20"/>
                <w:szCs w:val="20"/>
                <w:lang w:val="es-ES"/>
              </w:rPr>
              <w:t>9 de junio de 2015</w:t>
            </w:r>
            <w:r w:rsidR="00135468">
              <w:rPr>
                <w:rFonts w:ascii="Cambria" w:hAnsi="Cambria"/>
                <w:bCs/>
                <w:sz w:val="20"/>
                <w:szCs w:val="20"/>
                <w:lang w:val="es-ES"/>
              </w:rPr>
              <w:t>, 24 de mayo de 2017 y 27 de noviembre de 2016</w:t>
            </w:r>
          </w:p>
        </w:tc>
      </w:tr>
      <w:tr w:rsidR="004C2312" w:rsidRPr="002467D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4175EB5" w:rsidR="004C2312" w:rsidRPr="003239B8" w:rsidRDefault="00C11209" w:rsidP="008D2290">
            <w:pPr>
              <w:jc w:val="both"/>
              <w:rPr>
                <w:rFonts w:ascii="Cambria" w:hAnsi="Cambria"/>
                <w:bCs/>
                <w:sz w:val="20"/>
                <w:szCs w:val="20"/>
                <w:lang w:val="es-ES"/>
              </w:rPr>
            </w:pPr>
            <w:r>
              <w:rPr>
                <w:rFonts w:ascii="Cambria" w:hAnsi="Cambria"/>
                <w:bCs/>
                <w:sz w:val="20"/>
                <w:szCs w:val="20"/>
                <w:lang w:val="es-ES"/>
              </w:rPr>
              <w:t>7 de abril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87796F0" w:rsidR="004C2312" w:rsidRPr="003239B8" w:rsidRDefault="00325ECD" w:rsidP="008D2290">
            <w:pPr>
              <w:jc w:val="both"/>
              <w:rPr>
                <w:rFonts w:ascii="Cambria" w:hAnsi="Cambria"/>
                <w:bCs/>
                <w:sz w:val="20"/>
                <w:szCs w:val="20"/>
                <w:lang w:val="es-ES"/>
              </w:rPr>
            </w:pPr>
            <w:r>
              <w:rPr>
                <w:rFonts w:ascii="Cambria" w:hAnsi="Cambria"/>
                <w:bCs/>
                <w:sz w:val="20"/>
                <w:szCs w:val="20"/>
                <w:lang w:val="es-ES"/>
              </w:rPr>
              <w:t>3 de agosto de 2022</w:t>
            </w:r>
          </w:p>
        </w:tc>
      </w:tr>
      <w:tr w:rsidR="004C2312" w:rsidRPr="005423C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5EBBDD5" w:rsidR="004C2312" w:rsidRPr="003239B8" w:rsidRDefault="00644B16" w:rsidP="008D2290">
            <w:pPr>
              <w:jc w:val="both"/>
              <w:rPr>
                <w:rFonts w:ascii="Cambria" w:hAnsi="Cambria"/>
                <w:bCs/>
                <w:sz w:val="20"/>
                <w:szCs w:val="20"/>
                <w:lang w:val="es-ES"/>
              </w:rPr>
            </w:pPr>
            <w:r>
              <w:rPr>
                <w:rFonts w:ascii="Cambria" w:hAnsi="Cambria"/>
                <w:bCs/>
                <w:sz w:val="20"/>
                <w:szCs w:val="20"/>
                <w:lang w:val="es-ES"/>
              </w:rPr>
              <w:t>10 de febrero de 2023 y 28 de febrero de 2023</w:t>
            </w:r>
          </w:p>
        </w:tc>
      </w:tr>
      <w:tr w:rsidR="002F0652" w:rsidRPr="00720B5E" w14:paraId="74F45770" w14:textId="77777777" w:rsidTr="004A6A54">
        <w:tc>
          <w:tcPr>
            <w:tcW w:w="3600" w:type="dxa"/>
            <w:tcBorders>
              <w:top w:val="single" w:sz="6" w:space="0" w:color="auto"/>
              <w:bottom w:val="single" w:sz="6" w:space="0" w:color="auto"/>
            </w:tcBorders>
            <w:shd w:val="clear" w:color="auto" w:fill="386294"/>
            <w:vAlign w:val="center"/>
          </w:tcPr>
          <w:p w14:paraId="0553C227" w14:textId="097EF556" w:rsidR="002F0652" w:rsidRDefault="007D519A"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r>
              <w:rPr>
                <w:rFonts w:ascii="Cambria" w:hAnsi="Cambria"/>
                <w:b/>
                <w:bCs/>
                <w:color w:val="FFFFFF" w:themeColor="background1"/>
                <w:sz w:val="20"/>
                <w:szCs w:val="20"/>
                <w:lang w:val="es-ES"/>
              </w:rPr>
              <w:t>:</w:t>
            </w:r>
          </w:p>
        </w:tc>
        <w:tc>
          <w:tcPr>
            <w:tcW w:w="5760" w:type="dxa"/>
            <w:vAlign w:val="center"/>
          </w:tcPr>
          <w:p w14:paraId="794C08A3" w14:textId="7CA216A0" w:rsidR="002F0652" w:rsidRPr="003239B8" w:rsidRDefault="00EC0E04" w:rsidP="008D2290">
            <w:pPr>
              <w:jc w:val="both"/>
              <w:rPr>
                <w:rFonts w:ascii="Cambria" w:hAnsi="Cambria"/>
                <w:bCs/>
                <w:sz w:val="20"/>
                <w:szCs w:val="20"/>
                <w:lang w:val="es-ES"/>
              </w:rPr>
            </w:pPr>
            <w:r>
              <w:rPr>
                <w:rFonts w:ascii="Cambria" w:hAnsi="Cambria"/>
                <w:bCs/>
                <w:sz w:val="20"/>
                <w:szCs w:val="20"/>
                <w:lang w:val="es-ES"/>
              </w:rPr>
              <w:t>8 de julio de 2020</w:t>
            </w:r>
          </w:p>
        </w:tc>
      </w:tr>
      <w:tr w:rsidR="002F0652" w:rsidRPr="00720B5E" w14:paraId="7F5AB84C" w14:textId="77777777" w:rsidTr="004A6A54">
        <w:tc>
          <w:tcPr>
            <w:tcW w:w="3600" w:type="dxa"/>
            <w:tcBorders>
              <w:top w:val="single" w:sz="6" w:space="0" w:color="auto"/>
              <w:bottom w:val="single" w:sz="6" w:space="0" w:color="auto"/>
            </w:tcBorders>
            <w:shd w:val="clear" w:color="auto" w:fill="386294"/>
            <w:vAlign w:val="center"/>
          </w:tcPr>
          <w:p w14:paraId="227BA7D2" w14:textId="1E9175C7" w:rsidR="002F0652" w:rsidRDefault="00EC0E04"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7CE1D94F" w14:textId="6731207F" w:rsidR="002F0652" w:rsidRPr="003239B8" w:rsidRDefault="000258B1" w:rsidP="008D2290">
            <w:pPr>
              <w:jc w:val="both"/>
              <w:rPr>
                <w:rFonts w:ascii="Cambria" w:hAnsi="Cambria"/>
                <w:bCs/>
                <w:sz w:val="20"/>
                <w:szCs w:val="20"/>
                <w:lang w:val="es-ES"/>
              </w:rPr>
            </w:pPr>
            <w:r>
              <w:rPr>
                <w:rFonts w:ascii="Cambria" w:hAnsi="Cambria"/>
                <w:bCs/>
                <w:sz w:val="20"/>
                <w:szCs w:val="20"/>
                <w:lang w:val="es-ES"/>
              </w:rPr>
              <w:t>5 de agosto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B2634D0" w:rsidR="003239B8" w:rsidRPr="00B3745F" w:rsidRDefault="00074D1E"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6AAAA08" w:rsidR="003239B8" w:rsidRPr="00B3745F" w:rsidRDefault="00074D1E"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EF33E9E" w:rsidR="003239B8" w:rsidRPr="00B3745F" w:rsidRDefault="00074D1E"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63D0E94C" w14:textId="77777777" w:rsidR="003E228D" w:rsidRPr="00463185" w:rsidRDefault="003E228D" w:rsidP="003E228D">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6092E78B" w:rsidR="003239B8" w:rsidRPr="00B3745F" w:rsidRDefault="003E228D" w:rsidP="003E228D">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9799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3E979E9C" w:rsidR="00EE00E9" w:rsidRPr="00DC24E3" w:rsidRDefault="004937CA"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73CDFCE" w:rsidR="003239B8" w:rsidRPr="00DC24E3" w:rsidRDefault="00DC2B4B" w:rsidP="008D2290">
            <w:pPr>
              <w:jc w:val="both"/>
              <w:rPr>
                <w:rFonts w:ascii="Cambria" w:hAnsi="Cambria"/>
                <w:bCs/>
                <w:sz w:val="20"/>
                <w:szCs w:val="20"/>
              </w:rPr>
            </w:pPr>
            <w:r>
              <w:rPr>
                <w:rFonts w:ascii="Cambria" w:hAnsi="Cambria"/>
                <w:bCs/>
                <w:sz w:val="20"/>
                <w:szCs w:val="20"/>
              </w:rPr>
              <w:t>Ninguno</w:t>
            </w:r>
          </w:p>
        </w:tc>
      </w:tr>
      <w:tr w:rsidR="003239B8" w:rsidRPr="005423C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3F7DA953" w:rsidR="003239B8" w:rsidRPr="00DC24E3" w:rsidRDefault="00DC2B4B" w:rsidP="008D2290">
            <w:pPr>
              <w:rPr>
                <w:rFonts w:ascii="Cambria" w:hAnsi="Cambria"/>
                <w:bCs/>
                <w:sz w:val="20"/>
                <w:szCs w:val="20"/>
                <w:lang w:val="es-ES"/>
              </w:rPr>
            </w:pPr>
            <w:r>
              <w:rPr>
                <w:rFonts w:ascii="Cambria" w:hAnsi="Cambria"/>
                <w:bCs/>
                <w:sz w:val="20"/>
                <w:szCs w:val="20"/>
                <w:lang w:val="es-ES"/>
              </w:rPr>
              <w:t>No, en los términos de la sección VI</w:t>
            </w:r>
          </w:p>
        </w:tc>
      </w:tr>
      <w:tr w:rsidR="003239B8" w:rsidRPr="005423C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5950155F" w:rsidR="003239B8" w:rsidRPr="001E3E1A" w:rsidRDefault="00DC2B4B" w:rsidP="008D2290">
            <w:pPr>
              <w:rPr>
                <w:rFonts w:ascii="Cambria" w:hAnsi="Cambria"/>
                <w:bCs/>
                <w:sz w:val="20"/>
                <w:szCs w:val="20"/>
                <w:lang w:val="es-PE"/>
              </w:rPr>
            </w:pPr>
            <w:r>
              <w:rPr>
                <w:rFonts w:ascii="Cambria" w:hAnsi="Cambria"/>
                <w:bCs/>
                <w:sz w:val="20"/>
                <w:szCs w:val="20"/>
                <w:lang w:val="es-PE"/>
              </w:rPr>
              <w:t>No, en los términos de la sección V</w:t>
            </w:r>
            <w:r w:rsidR="00AF1BE3">
              <w:rPr>
                <w:rFonts w:ascii="Cambria" w:hAnsi="Cambria"/>
                <w:bCs/>
                <w:sz w:val="20"/>
                <w:szCs w:val="20"/>
                <w:lang w:val="es-PE"/>
              </w:rPr>
              <w:t>I</w:t>
            </w:r>
          </w:p>
        </w:tc>
      </w:tr>
    </w:tbl>
    <w:p w14:paraId="3008D58B" w14:textId="77777777" w:rsidR="009C00D6" w:rsidRDefault="009C00D6" w:rsidP="003239B8">
      <w:pPr>
        <w:spacing w:before="240" w:after="240"/>
        <w:ind w:firstLine="720"/>
        <w:jc w:val="both"/>
        <w:rPr>
          <w:rFonts w:asciiTheme="majorHAnsi" w:hAnsiTheme="majorHAnsi"/>
          <w:b/>
          <w:sz w:val="20"/>
          <w:szCs w:val="20"/>
          <w:lang w:val="es-UY"/>
        </w:rPr>
      </w:pPr>
    </w:p>
    <w:p w14:paraId="1D82661B" w14:textId="77777777" w:rsidR="009C00D6" w:rsidRDefault="009C00D6" w:rsidP="003239B8">
      <w:pPr>
        <w:spacing w:before="240" w:after="240"/>
        <w:ind w:firstLine="720"/>
        <w:jc w:val="both"/>
        <w:rPr>
          <w:rFonts w:asciiTheme="majorHAnsi" w:hAnsiTheme="majorHAnsi"/>
          <w:b/>
          <w:sz w:val="20"/>
          <w:szCs w:val="20"/>
          <w:lang w:val="es-UY"/>
        </w:rPr>
      </w:pPr>
    </w:p>
    <w:p w14:paraId="18E6423B" w14:textId="5DF51062" w:rsidR="003239B8" w:rsidRPr="00767718" w:rsidRDefault="00223A29" w:rsidP="003239B8">
      <w:pPr>
        <w:spacing w:before="240" w:after="240"/>
        <w:ind w:firstLine="720"/>
        <w:jc w:val="both"/>
        <w:rPr>
          <w:rFonts w:asciiTheme="majorHAnsi" w:hAnsiTheme="majorHAnsi"/>
          <w:b/>
          <w:sz w:val="20"/>
          <w:szCs w:val="20"/>
          <w:lang w:val="es-ES_tradnl" w:bidi="ar-MA"/>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767718">
        <w:rPr>
          <w:rFonts w:asciiTheme="majorHAnsi" w:hAnsiTheme="majorHAnsi"/>
          <w:b/>
          <w:sz w:val="20"/>
          <w:szCs w:val="20"/>
          <w:lang w:val="es-ES_tradnl" w:bidi="ar-MA"/>
        </w:rPr>
        <w:t>POSICIÓN DE LAS PARTES</w:t>
      </w:r>
    </w:p>
    <w:p w14:paraId="5B849E5C" w14:textId="12B1C3CC" w:rsidR="00A65EE1" w:rsidRPr="00767718" w:rsidRDefault="000704F9" w:rsidP="003239B8">
      <w:pPr>
        <w:spacing w:before="240" w:after="240"/>
        <w:ind w:firstLine="720"/>
        <w:jc w:val="both"/>
        <w:rPr>
          <w:rFonts w:asciiTheme="majorHAnsi" w:hAnsiTheme="majorHAnsi"/>
          <w:bCs/>
          <w:i/>
          <w:iCs/>
          <w:sz w:val="20"/>
          <w:szCs w:val="20"/>
          <w:lang w:val="es-ES_tradnl" w:bidi="ar-MA"/>
        </w:rPr>
      </w:pPr>
      <w:r w:rsidRPr="00767718">
        <w:rPr>
          <w:rFonts w:asciiTheme="majorHAnsi" w:hAnsiTheme="majorHAnsi"/>
          <w:bCs/>
          <w:i/>
          <w:iCs/>
          <w:sz w:val="20"/>
          <w:szCs w:val="20"/>
          <w:lang w:val="es-ES_tradnl" w:bidi="ar-MA"/>
        </w:rPr>
        <w:t>E</w:t>
      </w:r>
      <w:r w:rsidR="00A65EE1" w:rsidRPr="00767718">
        <w:rPr>
          <w:rFonts w:asciiTheme="majorHAnsi" w:hAnsiTheme="majorHAnsi"/>
          <w:bCs/>
          <w:i/>
          <w:iCs/>
          <w:sz w:val="20"/>
          <w:szCs w:val="20"/>
          <w:lang w:val="es-ES_tradnl" w:bidi="ar-MA"/>
        </w:rPr>
        <w:t>l peticionario</w:t>
      </w:r>
    </w:p>
    <w:p w14:paraId="681AC050" w14:textId="2B599943" w:rsidR="00F80313" w:rsidRPr="00767718" w:rsidRDefault="00E94136" w:rsidP="0EDB5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bidi="ar-MA"/>
        </w:rPr>
      </w:pPr>
      <w:r w:rsidRPr="0EDB5DEE">
        <w:rPr>
          <w:rFonts w:asciiTheme="majorHAnsi" w:hAnsiTheme="majorHAnsi"/>
          <w:sz w:val="20"/>
          <w:szCs w:val="20"/>
          <w:lang w:val="es-ES" w:bidi="ar-MA"/>
        </w:rPr>
        <w:t>El peticionario denuncia que las autoridades no han cumplido el fallo de tutela que ordenó el pago de una pensión de gracia a las presuntas víctimas por su trabajo en el ámbito educativo</w:t>
      </w:r>
      <w:r w:rsidR="00F96DE0" w:rsidRPr="0EDB5DEE">
        <w:rPr>
          <w:rFonts w:asciiTheme="majorHAnsi" w:hAnsiTheme="majorHAnsi"/>
          <w:sz w:val="20"/>
          <w:szCs w:val="20"/>
          <w:lang w:val="es-ES" w:bidi="ar-MA"/>
        </w:rPr>
        <w:t xml:space="preserve"> </w:t>
      </w:r>
      <w:r w:rsidR="00781658" w:rsidRPr="0EDB5DEE">
        <w:rPr>
          <w:rFonts w:asciiTheme="majorHAnsi" w:hAnsiTheme="majorHAnsi"/>
          <w:sz w:val="20"/>
          <w:szCs w:val="20"/>
          <w:lang w:val="es-ES" w:bidi="ar-MA"/>
        </w:rPr>
        <w:t>y,</w:t>
      </w:r>
      <w:r w:rsidR="00F96DE0" w:rsidRPr="0EDB5DEE">
        <w:rPr>
          <w:rFonts w:asciiTheme="majorHAnsi" w:hAnsiTheme="majorHAnsi"/>
          <w:sz w:val="20"/>
          <w:szCs w:val="20"/>
          <w:lang w:val="es-ES" w:bidi="ar-MA"/>
        </w:rPr>
        <w:t xml:space="preserve"> por ende, afectaron su derecho a la protección judicial y a la igualdad ante la ley. </w:t>
      </w:r>
    </w:p>
    <w:p w14:paraId="2DBBAB74" w14:textId="07507ECD" w:rsidR="00F80313" w:rsidRPr="00767718" w:rsidRDefault="00B67EB0" w:rsidP="0EDB5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bidi="ar-MA"/>
        </w:rPr>
      </w:pPr>
      <w:r w:rsidRPr="0EDB5DEE">
        <w:rPr>
          <w:rFonts w:asciiTheme="majorHAnsi" w:hAnsiTheme="majorHAnsi"/>
          <w:sz w:val="20"/>
          <w:szCs w:val="20"/>
          <w:lang w:val="es-ES" w:bidi="ar-MA"/>
        </w:rPr>
        <w:t>El peticionario narra</w:t>
      </w:r>
      <w:r w:rsidR="00F80313" w:rsidRPr="0EDB5DEE">
        <w:rPr>
          <w:rFonts w:asciiTheme="majorHAnsi" w:hAnsiTheme="majorHAnsi"/>
          <w:sz w:val="20"/>
          <w:szCs w:val="20"/>
          <w:lang w:val="es-ES" w:bidi="ar-MA"/>
        </w:rPr>
        <w:t xml:space="preserve"> que las presuntas víctimas trabajaron como docentes</w:t>
      </w:r>
      <w:r w:rsidR="00A21782" w:rsidRPr="0EDB5DEE">
        <w:rPr>
          <w:rFonts w:asciiTheme="majorHAnsi" w:hAnsiTheme="majorHAnsi"/>
          <w:sz w:val="20"/>
          <w:szCs w:val="20"/>
          <w:lang w:val="es-ES" w:bidi="ar-MA"/>
        </w:rPr>
        <w:t>,</w:t>
      </w:r>
      <w:r w:rsidR="00F80313" w:rsidRPr="0EDB5DEE">
        <w:rPr>
          <w:rFonts w:asciiTheme="majorHAnsi" w:hAnsiTheme="majorHAnsi"/>
          <w:sz w:val="20"/>
          <w:szCs w:val="20"/>
          <w:lang w:val="es-ES" w:bidi="ar-MA"/>
        </w:rPr>
        <w:t xml:space="preserve"> y por ello de acuerdo con la legislación interna son acreedoras de un beneficio especial, denominado </w:t>
      </w:r>
      <w:r w:rsidR="007B1A56" w:rsidRPr="0EDB5DEE">
        <w:rPr>
          <w:rFonts w:asciiTheme="majorHAnsi" w:hAnsiTheme="majorHAnsi"/>
          <w:sz w:val="20"/>
          <w:szCs w:val="20"/>
          <w:lang w:val="es-ES" w:bidi="ar-MA"/>
        </w:rPr>
        <w:t>“</w:t>
      </w:r>
      <w:r w:rsidR="00F80313" w:rsidRPr="0EDB5DEE">
        <w:rPr>
          <w:rFonts w:asciiTheme="majorHAnsi" w:hAnsiTheme="majorHAnsi"/>
          <w:sz w:val="20"/>
          <w:szCs w:val="20"/>
          <w:lang w:val="es-ES" w:bidi="ar-MA"/>
        </w:rPr>
        <w:t>pensión de gracia</w:t>
      </w:r>
      <w:r w:rsidR="007B1A56" w:rsidRPr="0EDB5DEE">
        <w:rPr>
          <w:rFonts w:asciiTheme="majorHAnsi" w:hAnsiTheme="majorHAnsi"/>
          <w:sz w:val="20"/>
          <w:szCs w:val="20"/>
          <w:lang w:val="es-ES" w:bidi="ar-MA"/>
        </w:rPr>
        <w:t>”</w:t>
      </w:r>
      <w:r w:rsidR="00F80313" w:rsidRPr="0EDB5DEE">
        <w:rPr>
          <w:rFonts w:asciiTheme="majorHAnsi" w:hAnsiTheme="majorHAnsi"/>
          <w:sz w:val="20"/>
          <w:szCs w:val="20"/>
          <w:lang w:val="es-ES" w:bidi="ar-MA"/>
        </w:rPr>
        <w:t xml:space="preserve">, que consiste en una mesada pensional adicional pagada por el Estado. </w:t>
      </w:r>
      <w:r w:rsidR="007B1A56" w:rsidRPr="0EDB5DEE">
        <w:rPr>
          <w:rFonts w:asciiTheme="majorHAnsi" w:hAnsiTheme="majorHAnsi"/>
          <w:sz w:val="20"/>
          <w:szCs w:val="20"/>
          <w:lang w:val="es-ES" w:bidi="ar-MA"/>
        </w:rPr>
        <w:t>Reclama</w:t>
      </w:r>
      <w:r w:rsidR="00F80313" w:rsidRPr="0EDB5DEE">
        <w:rPr>
          <w:rFonts w:asciiTheme="majorHAnsi" w:hAnsiTheme="majorHAnsi"/>
          <w:sz w:val="20"/>
          <w:szCs w:val="20"/>
          <w:lang w:val="es-ES" w:bidi="ar-MA"/>
        </w:rPr>
        <w:t xml:space="preserve"> que la Caja Nacional de Previsión Social (CAJANAL) les denegó tal derecho</w:t>
      </w:r>
      <w:r w:rsidR="007B1A56" w:rsidRPr="0EDB5DEE">
        <w:rPr>
          <w:rFonts w:asciiTheme="majorHAnsi" w:hAnsiTheme="majorHAnsi"/>
          <w:sz w:val="20"/>
          <w:szCs w:val="20"/>
          <w:lang w:val="es-ES" w:bidi="ar-MA"/>
        </w:rPr>
        <w:t xml:space="preserve"> a las presuntas víctimas</w:t>
      </w:r>
      <w:r w:rsidR="00F80313" w:rsidRPr="0EDB5DEE">
        <w:rPr>
          <w:rFonts w:asciiTheme="majorHAnsi" w:hAnsiTheme="majorHAnsi"/>
          <w:sz w:val="20"/>
          <w:szCs w:val="20"/>
          <w:lang w:val="es-ES" w:bidi="ar-MA"/>
        </w:rPr>
        <w:t>, y</w:t>
      </w:r>
      <w:r w:rsidR="00490057" w:rsidRPr="0EDB5DEE">
        <w:rPr>
          <w:rFonts w:asciiTheme="majorHAnsi" w:hAnsiTheme="majorHAnsi"/>
          <w:sz w:val="20"/>
          <w:szCs w:val="20"/>
          <w:lang w:val="es-ES" w:bidi="ar-MA"/>
        </w:rPr>
        <w:t xml:space="preserve"> por ello</w:t>
      </w:r>
      <w:r w:rsidR="00F80313" w:rsidRPr="0EDB5DEE">
        <w:rPr>
          <w:rFonts w:asciiTheme="majorHAnsi" w:hAnsiTheme="majorHAnsi"/>
          <w:sz w:val="20"/>
          <w:szCs w:val="20"/>
          <w:lang w:val="es-ES" w:bidi="ar-MA"/>
        </w:rPr>
        <w:t xml:space="preserve"> el 8 de junio de 2006 </w:t>
      </w:r>
      <w:r w:rsidR="007B1A56" w:rsidRPr="0EDB5DEE">
        <w:rPr>
          <w:rFonts w:asciiTheme="majorHAnsi" w:hAnsiTheme="majorHAnsi"/>
          <w:sz w:val="20"/>
          <w:szCs w:val="20"/>
          <w:lang w:val="es-ES" w:bidi="ar-MA"/>
        </w:rPr>
        <w:t>estas</w:t>
      </w:r>
      <w:r w:rsidR="00F80313" w:rsidRPr="0EDB5DEE">
        <w:rPr>
          <w:rFonts w:asciiTheme="majorHAnsi" w:hAnsiTheme="majorHAnsi"/>
          <w:sz w:val="20"/>
          <w:szCs w:val="20"/>
          <w:lang w:val="es-ES" w:bidi="ar-MA"/>
        </w:rPr>
        <w:t xml:space="preserve"> interpusieron una acción de tutela. Como resultado, el 22 de junio de 2006 el Juzgado Noveno Penal del Circuito de Cali concluyó que correspondía proteger transitoriamente a las presuntas víctimas</w:t>
      </w:r>
      <w:r w:rsidR="003F2F53" w:rsidRPr="0EDB5DEE">
        <w:rPr>
          <w:rFonts w:asciiTheme="majorHAnsi" w:hAnsiTheme="majorHAnsi"/>
          <w:sz w:val="20"/>
          <w:szCs w:val="20"/>
          <w:lang w:val="es-ES" w:bidi="ar-MA"/>
        </w:rPr>
        <w:t>,</w:t>
      </w:r>
      <w:r w:rsidR="00F80313" w:rsidRPr="0EDB5DEE">
        <w:rPr>
          <w:rFonts w:asciiTheme="majorHAnsi" w:hAnsiTheme="majorHAnsi"/>
          <w:sz w:val="20"/>
          <w:szCs w:val="20"/>
          <w:lang w:val="es-ES" w:bidi="ar-MA"/>
        </w:rPr>
        <w:t xml:space="preserve"> y ordenó a </w:t>
      </w:r>
      <w:r w:rsidR="00EF5FE9" w:rsidRPr="0EDB5DEE">
        <w:rPr>
          <w:rFonts w:asciiTheme="majorHAnsi" w:hAnsiTheme="majorHAnsi"/>
          <w:sz w:val="20"/>
          <w:szCs w:val="20"/>
          <w:lang w:val="es-ES" w:bidi="ar-MA"/>
        </w:rPr>
        <w:t xml:space="preserve">la </w:t>
      </w:r>
      <w:r w:rsidR="00F80313" w:rsidRPr="0EDB5DEE">
        <w:rPr>
          <w:rFonts w:asciiTheme="majorHAnsi" w:hAnsiTheme="majorHAnsi"/>
          <w:sz w:val="20"/>
          <w:szCs w:val="20"/>
          <w:lang w:val="es-ES" w:bidi="ar-MA"/>
        </w:rPr>
        <w:t xml:space="preserve">CAJANAL que </w:t>
      </w:r>
      <w:r w:rsidR="00490057" w:rsidRPr="0EDB5DEE">
        <w:rPr>
          <w:rFonts w:asciiTheme="majorHAnsi" w:hAnsiTheme="majorHAnsi"/>
          <w:sz w:val="20"/>
          <w:szCs w:val="20"/>
          <w:lang w:val="es-ES" w:bidi="ar-MA"/>
        </w:rPr>
        <w:t xml:space="preserve">pagara </w:t>
      </w:r>
      <w:r w:rsidR="003F2F53" w:rsidRPr="0EDB5DEE">
        <w:rPr>
          <w:rFonts w:asciiTheme="majorHAnsi" w:hAnsiTheme="majorHAnsi"/>
          <w:sz w:val="20"/>
          <w:szCs w:val="20"/>
          <w:lang w:val="es-ES" w:bidi="ar-MA"/>
        </w:rPr>
        <w:t>el</w:t>
      </w:r>
      <w:r w:rsidR="00490057" w:rsidRPr="0EDB5DEE">
        <w:rPr>
          <w:rFonts w:asciiTheme="majorHAnsi" w:hAnsiTheme="majorHAnsi"/>
          <w:sz w:val="20"/>
          <w:szCs w:val="20"/>
          <w:lang w:val="es-ES" w:bidi="ar-MA"/>
        </w:rPr>
        <w:t xml:space="preserve"> beneficio</w:t>
      </w:r>
      <w:r w:rsidR="003F2F53" w:rsidRPr="0EDB5DEE">
        <w:rPr>
          <w:rFonts w:asciiTheme="majorHAnsi" w:hAnsiTheme="majorHAnsi"/>
          <w:sz w:val="20"/>
          <w:szCs w:val="20"/>
          <w:lang w:val="es-ES" w:bidi="ar-MA"/>
        </w:rPr>
        <w:t xml:space="preserve"> reclamado</w:t>
      </w:r>
      <w:r w:rsidR="00490057" w:rsidRPr="0EDB5DEE">
        <w:rPr>
          <w:rFonts w:asciiTheme="majorHAnsi" w:hAnsiTheme="majorHAnsi"/>
          <w:sz w:val="20"/>
          <w:szCs w:val="20"/>
          <w:lang w:val="es-ES" w:bidi="ar-MA"/>
        </w:rPr>
        <w:t xml:space="preserve"> a </w:t>
      </w:r>
      <w:r w:rsidR="00F80313" w:rsidRPr="0EDB5DEE">
        <w:rPr>
          <w:rFonts w:asciiTheme="majorHAnsi" w:hAnsiTheme="majorHAnsi"/>
          <w:sz w:val="20"/>
          <w:szCs w:val="20"/>
          <w:lang w:val="es-ES" w:bidi="ar-MA"/>
        </w:rPr>
        <w:t>l</w:t>
      </w:r>
      <w:r w:rsidR="0057582D" w:rsidRPr="0EDB5DEE">
        <w:rPr>
          <w:rFonts w:asciiTheme="majorHAnsi" w:hAnsiTheme="majorHAnsi"/>
          <w:sz w:val="20"/>
          <w:szCs w:val="20"/>
          <w:lang w:val="es-ES" w:bidi="ar-MA"/>
        </w:rPr>
        <w:t>os</w:t>
      </w:r>
      <w:r w:rsidR="00F80313" w:rsidRPr="0EDB5DEE">
        <w:rPr>
          <w:rFonts w:asciiTheme="majorHAnsi" w:hAnsiTheme="majorHAnsi"/>
          <w:sz w:val="20"/>
          <w:szCs w:val="20"/>
          <w:lang w:val="es-ES" w:bidi="ar-MA"/>
        </w:rPr>
        <w:t xml:space="preserve"> demandantes hasta que su situación fuera </w:t>
      </w:r>
      <w:r w:rsidR="007B1A56" w:rsidRPr="0EDB5DEE">
        <w:rPr>
          <w:rFonts w:asciiTheme="majorHAnsi" w:hAnsiTheme="majorHAnsi"/>
          <w:sz w:val="20"/>
          <w:szCs w:val="20"/>
          <w:lang w:val="es-ES" w:bidi="ar-MA"/>
        </w:rPr>
        <w:t>dilucidada</w:t>
      </w:r>
      <w:r w:rsidR="00F80313" w:rsidRPr="0EDB5DEE">
        <w:rPr>
          <w:rFonts w:asciiTheme="majorHAnsi" w:hAnsiTheme="majorHAnsi"/>
          <w:sz w:val="20"/>
          <w:szCs w:val="20"/>
          <w:lang w:val="es-ES" w:bidi="ar-MA"/>
        </w:rPr>
        <w:t xml:space="preserve"> en la </w:t>
      </w:r>
      <w:r w:rsidR="0094094A" w:rsidRPr="0EDB5DEE">
        <w:rPr>
          <w:rFonts w:asciiTheme="majorHAnsi" w:hAnsiTheme="majorHAnsi"/>
          <w:sz w:val="20"/>
          <w:szCs w:val="20"/>
          <w:lang w:val="es-ES" w:bidi="ar-MA"/>
        </w:rPr>
        <w:t>vía</w:t>
      </w:r>
      <w:r w:rsidR="00F80313" w:rsidRPr="0EDB5DEE">
        <w:rPr>
          <w:rFonts w:asciiTheme="majorHAnsi" w:hAnsiTheme="majorHAnsi"/>
          <w:sz w:val="20"/>
          <w:szCs w:val="20"/>
          <w:lang w:val="es-ES" w:bidi="ar-MA"/>
        </w:rPr>
        <w:t xml:space="preserve"> contenciosa administrativa</w:t>
      </w:r>
      <w:r w:rsidR="0094094A" w:rsidRPr="0EDB5DEE">
        <w:rPr>
          <w:rFonts w:asciiTheme="majorHAnsi" w:hAnsiTheme="majorHAnsi"/>
          <w:sz w:val="20"/>
          <w:szCs w:val="20"/>
          <w:lang w:val="es-ES" w:bidi="ar-MA"/>
        </w:rPr>
        <w:t xml:space="preserve">, </w:t>
      </w:r>
      <w:r w:rsidR="003F2F53" w:rsidRPr="0EDB5DEE">
        <w:rPr>
          <w:rFonts w:asciiTheme="majorHAnsi" w:hAnsiTheme="majorHAnsi"/>
          <w:sz w:val="20"/>
          <w:szCs w:val="20"/>
          <w:lang w:val="es-ES" w:bidi="ar-MA"/>
        </w:rPr>
        <w:t xml:space="preserve">al ser </w:t>
      </w:r>
      <w:r w:rsidR="007B1A56" w:rsidRPr="0EDB5DEE">
        <w:rPr>
          <w:rFonts w:asciiTheme="majorHAnsi" w:hAnsiTheme="majorHAnsi"/>
          <w:sz w:val="20"/>
          <w:szCs w:val="20"/>
          <w:lang w:val="es-ES" w:bidi="ar-MA"/>
        </w:rPr>
        <w:t xml:space="preserve">este </w:t>
      </w:r>
      <w:r w:rsidR="003F2F53" w:rsidRPr="0EDB5DEE">
        <w:rPr>
          <w:rFonts w:asciiTheme="majorHAnsi" w:hAnsiTheme="majorHAnsi"/>
          <w:sz w:val="20"/>
          <w:szCs w:val="20"/>
          <w:lang w:val="es-ES" w:bidi="ar-MA"/>
        </w:rPr>
        <w:t>el mecanismo ordinario</w:t>
      </w:r>
      <w:r w:rsidR="0094094A" w:rsidRPr="0EDB5DEE">
        <w:rPr>
          <w:rFonts w:asciiTheme="majorHAnsi" w:hAnsiTheme="majorHAnsi"/>
          <w:sz w:val="20"/>
          <w:szCs w:val="20"/>
          <w:lang w:val="es-ES" w:bidi="ar-MA"/>
        </w:rPr>
        <w:t xml:space="preserve"> </w:t>
      </w:r>
      <w:r w:rsidR="007B1A56" w:rsidRPr="0EDB5DEE">
        <w:rPr>
          <w:rFonts w:asciiTheme="majorHAnsi" w:hAnsiTheme="majorHAnsi"/>
          <w:sz w:val="20"/>
          <w:szCs w:val="20"/>
          <w:lang w:val="es-ES" w:bidi="ar-MA"/>
        </w:rPr>
        <w:t xml:space="preserve">adecuado </w:t>
      </w:r>
      <w:r w:rsidR="0094094A" w:rsidRPr="0EDB5DEE">
        <w:rPr>
          <w:rFonts w:asciiTheme="majorHAnsi" w:hAnsiTheme="majorHAnsi"/>
          <w:sz w:val="20"/>
          <w:szCs w:val="20"/>
          <w:lang w:val="es-ES" w:bidi="ar-MA"/>
        </w:rPr>
        <w:t xml:space="preserve">para </w:t>
      </w:r>
      <w:r w:rsidR="007B1A56" w:rsidRPr="0EDB5DEE">
        <w:rPr>
          <w:rFonts w:asciiTheme="majorHAnsi" w:hAnsiTheme="majorHAnsi"/>
          <w:sz w:val="20"/>
          <w:szCs w:val="20"/>
          <w:lang w:val="es-ES" w:bidi="ar-MA"/>
        </w:rPr>
        <w:t>decidir</w:t>
      </w:r>
      <w:r w:rsidR="0094094A" w:rsidRPr="0EDB5DEE">
        <w:rPr>
          <w:rFonts w:asciiTheme="majorHAnsi" w:hAnsiTheme="majorHAnsi"/>
          <w:sz w:val="20"/>
          <w:szCs w:val="20"/>
          <w:lang w:val="es-ES" w:bidi="ar-MA"/>
        </w:rPr>
        <w:t xml:space="preserve"> estos asuntos</w:t>
      </w:r>
      <w:r w:rsidR="00F80313" w:rsidRPr="0EDB5DEE">
        <w:rPr>
          <w:rFonts w:asciiTheme="majorHAnsi" w:hAnsiTheme="majorHAnsi"/>
          <w:sz w:val="20"/>
          <w:szCs w:val="20"/>
          <w:lang w:val="es-ES" w:bidi="ar-MA"/>
        </w:rPr>
        <w:t xml:space="preserve">. </w:t>
      </w:r>
      <w:r w:rsidR="007B1A56" w:rsidRPr="0EDB5DEE">
        <w:rPr>
          <w:rFonts w:asciiTheme="majorHAnsi" w:hAnsiTheme="majorHAnsi"/>
          <w:sz w:val="20"/>
          <w:szCs w:val="20"/>
          <w:lang w:val="es-ES" w:bidi="ar-MA"/>
        </w:rPr>
        <w:t>En este sentido</w:t>
      </w:r>
      <w:r w:rsidR="00F80313" w:rsidRPr="0EDB5DEE">
        <w:rPr>
          <w:rFonts w:asciiTheme="majorHAnsi" w:hAnsiTheme="majorHAnsi"/>
          <w:sz w:val="20"/>
          <w:szCs w:val="20"/>
          <w:lang w:val="es-ES" w:bidi="ar-MA"/>
        </w:rPr>
        <w:t>, advirtió que</w:t>
      </w:r>
      <w:r w:rsidR="00F96DE0" w:rsidRPr="0EDB5DEE">
        <w:rPr>
          <w:rFonts w:asciiTheme="majorHAnsi" w:hAnsiTheme="majorHAnsi"/>
          <w:sz w:val="20"/>
          <w:szCs w:val="20"/>
          <w:lang w:val="es-ES" w:bidi="ar-MA"/>
        </w:rPr>
        <w:t xml:space="preserve"> </w:t>
      </w:r>
      <w:r w:rsidR="00F80313" w:rsidRPr="0EDB5DEE">
        <w:rPr>
          <w:rFonts w:asciiTheme="majorHAnsi" w:hAnsiTheme="majorHAnsi"/>
          <w:sz w:val="20"/>
          <w:szCs w:val="20"/>
          <w:lang w:val="es-ES" w:bidi="ar-MA"/>
        </w:rPr>
        <w:t>en caso de no haberlo hecho</w:t>
      </w:r>
      <w:r w:rsidR="00F96DE0" w:rsidRPr="0EDB5DEE">
        <w:rPr>
          <w:rFonts w:asciiTheme="majorHAnsi" w:hAnsiTheme="majorHAnsi"/>
          <w:sz w:val="20"/>
          <w:szCs w:val="20"/>
          <w:lang w:val="es-ES" w:bidi="ar-MA"/>
        </w:rPr>
        <w:t xml:space="preserve">, </w:t>
      </w:r>
      <w:r w:rsidR="00F80313" w:rsidRPr="0EDB5DEE">
        <w:rPr>
          <w:rFonts w:asciiTheme="majorHAnsi" w:hAnsiTheme="majorHAnsi"/>
          <w:sz w:val="20"/>
          <w:szCs w:val="20"/>
          <w:lang w:val="es-ES" w:bidi="ar-MA"/>
        </w:rPr>
        <w:t xml:space="preserve">correspondía a las presuntas víctimas </w:t>
      </w:r>
      <w:r w:rsidR="0094094A" w:rsidRPr="0EDB5DEE">
        <w:rPr>
          <w:rFonts w:asciiTheme="majorHAnsi" w:hAnsiTheme="majorHAnsi"/>
          <w:sz w:val="20"/>
          <w:szCs w:val="20"/>
          <w:lang w:val="es-ES" w:bidi="ar-MA"/>
        </w:rPr>
        <w:t xml:space="preserve">interponer una demanda en </w:t>
      </w:r>
      <w:r w:rsidR="009F1F76" w:rsidRPr="0EDB5DEE">
        <w:rPr>
          <w:rFonts w:asciiTheme="majorHAnsi" w:hAnsiTheme="majorHAnsi"/>
          <w:sz w:val="20"/>
          <w:szCs w:val="20"/>
          <w:lang w:val="es-ES" w:bidi="ar-MA"/>
        </w:rPr>
        <w:t>dicha</w:t>
      </w:r>
      <w:r w:rsidR="0094094A" w:rsidRPr="0EDB5DEE">
        <w:rPr>
          <w:rFonts w:asciiTheme="majorHAnsi" w:hAnsiTheme="majorHAnsi"/>
          <w:sz w:val="20"/>
          <w:szCs w:val="20"/>
          <w:lang w:val="es-ES" w:bidi="ar-MA"/>
        </w:rPr>
        <w:t xml:space="preserve"> jurisdicción.</w:t>
      </w:r>
      <w:r w:rsidR="00F80313" w:rsidRPr="0EDB5DEE">
        <w:rPr>
          <w:rFonts w:asciiTheme="majorHAnsi" w:hAnsiTheme="majorHAnsi"/>
          <w:sz w:val="20"/>
          <w:szCs w:val="20"/>
          <w:lang w:val="es-ES" w:bidi="ar-MA"/>
        </w:rPr>
        <w:t xml:space="preserve"> En palabras del juez:</w:t>
      </w:r>
    </w:p>
    <w:p w14:paraId="43EC1254" w14:textId="0B41CD7D" w:rsidR="00D251DA" w:rsidRPr="00767718" w:rsidRDefault="00565591" w:rsidP="000C16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val="es-ES_tradnl" w:bidi="ar-MA"/>
        </w:rPr>
      </w:pPr>
      <w:r w:rsidRPr="00767718">
        <w:rPr>
          <w:rFonts w:asciiTheme="majorHAnsi" w:hAnsiTheme="majorHAnsi"/>
          <w:color w:val="000000" w:themeColor="text1"/>
          <w:sz w:val="18"/>
          <w:szCs w:val="18"/>
          <w:lang w:val="es-ES_tradnl" w:bidi="ar-MA"/>
        </w:rPr>
        <w:t>[…] tiene el Despacho que revisado el expediente y la documentación allegada por cada un</w:t>
      </w:r>
      <w:r w:rsidR="00394BB3" w:rsidRPr="00767718">
        <w:rPr>
          <w:rFonts w:asciiTheme="majorHAnsi" w:hAnsiTheme="majorHAnsi"/>
          <w:color w:val="000000" w:themeColor="text1"/>
          <w:sz w:val="18"/>
          <w:szCs w:val="18"/>
          <w:lang w:val="es-ES_tradnl" w:bidi="ar-MA"/>
        </w:rPr>
        <w:t>a</w:t>
      </w:r>
      <w:r w:rsidRPr="00767718">
        <w:rPr>
          <w:rFonts w:asciiTheme="majorHAnsi" w:hAnsiTheme="majorHAnsi"/>
          <w:color w:val="000000" w:themeColor="text1"/>
          <w:sz w:val="18"/>
          <w:szCs w:val="18"/>
          <w:lang w:val="es-ES_tradnl" w:bidi="ar-MA"/>
        </w:rPr>
        <w:t xml:space="preserve"> de [l</w:t>
      </w:r>
      <w:r w:rsidR="00394BB3" w:rsidRPr="00767718">
        <w:rPr>
          <w:rFonts w:asciiTheme="majorHAnsi" w:hAnsiTheme="majorHAnsi"/>
          <w:color w:val="000000" w:themeColor="text1"/>
          <w:sz w:val="18"/>
          <w:szCs w:val="18"/>
          <w:lang w:val="es-ES_tradnl" w:bidi="ar-MA"/>
        </w:rPr>
        <w:t>a</w:t>
      </w:r>
      <w:r w:rsidRPr="00767718">
        <w:rPr>
          <w:rFonts w:asciiTheme="majorHAnsi" w:hAnsiTheme="majorHAnsi"/>
          <w:color w:val="000000" w:themeColor="text1"/>
          <w:sz w:val="18"/>
          <w:szCs w:val="18"/>
          <w:lang w:val="es-ES_tradnl" w:bidi="ar-MA"/>
        </w:rPr>
        <w:t>s</w:t>
      </w:r>
      <w:r w:rsidR="00394BB3" w:rsidRPr="00767718">
        <w:rPr>
          <w:rFonts w:asciiTheme="majorHAnsi" w:hAnsiTheme="majorHAnsi"/>
          <w:color w:val="000000" w:themeColor="text1"/>
          <w:sz w:val="18"/>
          <w:szCs w:val="18"/>
          <w:lang w:val="es-ES_tradnl" w:bidi="ar-MA"/>
        </w:rPr>
        <w:t xml:space="preserve"> personas</w:t>
      </w:r>
      <w:r w:rsidRPr="00767718">
        <w:rPr>
          <w:rFonts w:asciiTheme="majorHAnsi" w:hAnsiTheme="majorHAnsi"/>
          <w:color w:val="000000" w:themeColor="text1"/>
          <w:sz w:val="18"/>
          <w:szCs w:val="18"/>
          <w:lang w:val="es-ES_tradnl" w:bidi="ar-MA"/>
        </w:rPr>
        <w:t xml:space="preserve"> demandantes]</w:t>
      </w:r>
      <w:r w:rsidR="00394BB3" w:rsidRPr="00767718">
        <w:rPr>
          <w:rFonts w:asciiTheme="majorHAnsi" w:hAnsiTheme="majorHAnsi"/>
          <w:color w:val="000000" w:themeColor="text1"/>
          <w:sz w:val="18"/>
          <w:szCs w:val="18"/>
          <w:lang w:val="es-ES_tradnl" w:bidi="ar-MA"/>
        </w:rPr>
        <w:t>, efectivamente se deduce que cumplían con los requisitos de Ley para acceder a la pensión de gracia […]</w:t>
      </w:r>
      <w:r w:rsidR="003F2F53" w:rsidRPr="00767718">
        <w:rPr>
          <w:rFonts w:asciiTheme="majorHAnsi" w:hAnsiTheme="majorHAnsi"/>
          <w:color w:val="000000" w:themeColor="text1"/>
          <w:sz w:val="18"/>
          <w:szCs w:val="18"/>
          <w:lang w:val="es-ES_tradnl" w:bidi="ar-MA"/>
        </w:rPr>
        <w:t xml:space="preserve">. </w:t>
      </w:r>
      <w:r w:rsidR="00394BB3" w:rsidRPr="00767718">
        <w:rPr>
          <w:rFonts w:asciiTheme="majorHAnsi" w:hAnsiTheme="majorHAnsi"/>
          <w:color w:val="000000" w:themeColor="text1"/>
          <w:sz w:val="18"/>
          <w:szCs w:val="18"/>
          <w:lang w:val="es-ES_tradnl" w:bidi="ar-MA"/>
        </w:rPr>
        <w:t>Teniendo todo lo anterior puede este Despacho verificar la vía de hecho que se generó dentro de las resoluciones proferidas por la entidad accionada, en la forma cómo decidió negativamente el reconocimiento de</w:t>
      </w:r>
      <w:r w:rsidR="00F6499C" w:rsidRPr="00767718">
        <w:rPr>
          <w:rFonts w:asciiTheme="majorHAnsi" w:hAnsiTheme="majorHAnsi"/>
          <w:color w:val="000000" w:themeColor="text1"/>
          <w:sz w:val="18"/>
          <w:szCs w:val="18"/>
          <w:lang w:val="es-ES_tradnl" w:bidi="ar-MA"/>
        </w:rPr>
        <w:t xml:space="preserve"> la</w:t>
      </w:r>
      <w:r w:rsidR="00394BB3" w:rsidRPr="00767718">
        <w:rPr>
          <w:rFonts w:asciiTheme="majorHAnsi" w:hAnsiTheme="majorHAnsi"/>
          <w:color w:val="000000" w:themeColor="text1"/>
          <w:sz w:val="18"/>
          <w:szCs w:val="18"/>
          <w:lang w:val="es-ES_tradnl" w:bidi="ar-MA"/>
        </w:rPr>
        <w:t xml:space="preserve"> pensión gracia; igualmente se puede observar la diferencia puesta para estos docentes en dicha resolución con la de otros docentes en iguales condiciones, violándose de manera clara el derecho a la igualdad […]</w:t>
      </w:r>
      <w:r w:rsidR="001065A7" w:rsidRPr="00767718">
        <w:rPr>
          <w:rFonts w:asciiTheme="majorHAnsi" w:hAnsiTheme="majorHAnsi"/>
          <w:color w:val="000000" w:themeColor="text1"/>
          <w:sz w:val="18"/>
          <w:szCs w:val="18"/>
          <w:lang w:val="es-ES_tradnl" w:bidi="ar-MA"/>
        </w:rPr>
        <w:t xml:space="preserve"> </w:t>
      </w:r>
      <w:r w:rsidR="00D251DA" w:rsidRPr="00767718">
        <w:rPr>
          <w:rFonts w:asciiTheme="majorHAnsi" w:hAnsiTheme="majorHAnsi"/>
          <w:color w:val="000000" w:themeColor="text1"/>
          <w:sz w:val="18"/>
          <w:szCs w:val="18"/>
          <w:lang w:val="es-ES_tradnl" w:bidi="ar-MA"/>
        </w:rPr>
        <w:t>la Caja Nacional de Previsión Social CAJANAL, en cada uno de los actos administrativos donde negó la pensión</w:t>
      </w:r>
      <w:r w:rsidR="001065A7" w:rsidRPr="00767718">
        <w:rPr>
          <w:rFonts w:asciiTheme="majorHAnsi" w:hAnsiTheme="majorHAnsi"/>
          <w:color w:val="000000" w:themeColor="text1"/>
          <w:sz w:val="18"/>
          <w:szCs w:val="18"/>
          <w:lang w:val="es-ES_tradnl" w:bidi="ar-MA"/>
        </w:rPr>
        <w:t xml:space="preserve"> de</w:t>
      </w:r>
      <w:r w:rsidR="00D251DA" w:rsidRPr="00767718">
        <w:rPr>
          <w:rFonts w:asciiTheme="majorHAnsi" w:hAnsiTheme="majorHAnsi"/>
          <w:color w:val="000000" w:themeColor="text1"/>
          <w:sz w:val="18"/>
          <w:szCs w:val="18"/>
          <w:lang w:val="es-ES_tradnl" w:bidi="ar-MA"/>
        </w:rPr>
        <w:t xml:space="preserve"> gracia a los docentes accionantes, emitió decisiones contrarias a las disposiciones de orden constitucional y legal; actuación que choca flagrantemente con los principios que salvaguardan el proceso legal que le debe a todo ciudadano. </w:t>
      </w:r>
    </w:p>
    <w:p w14:paraId="0A71A1A2" w14:textId="4199CA20" w:rsidR="00B85C78" w:rsidRPr="00767718" w:rsidRDefault="00B85C78" w:rsidP="0EDB5D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val="es-ES" w:bidi="ar-MA"/>
        </w:rPr>
      </w:pPr>
      <w:r w:rsidRPr="0EDB5DEE">
        <w:rPr>
          <w:rFonts w:asciiTheme="majorHAnsi" w:hAnsiTheme="majorHAnsi"/>
          <w:color w:val="000000" w:themeColor="text1"/>
          <w:sz w:val="18"/>
          <w:szCs w:val="18"/>
          <w:lang w:val="es-ES" w:bidi="ar-MA"/>
        </w:rPr>
        <w:t>[…] en principio</w:t>
      </w:r>
      <w:r w:rsidR="00797004" w:rsidRPr="0EDB5DEE">
        <w:rPr>
          <w:rFonts w:asciiTheme="majorHAnsi" w:hAnsiTheme="majorHAnsi"/>
          <w:color w:val="000000" w:themeColor="text1"/>
          <w:sz w:val="18"/>
          <w:szCs w:val="18"/>
          <w:lang w:val="es-ES" w:bidi="ar-MA"/>
        </w:rPr>
        <w:t>,</w:t>
      </w:r>
      <w:r w:rsidR="004E24B2" w:rsidRPr="0EDB5DEE">
        <w:rPr>
          <w:rFonts w:asciiTheme="majorHAnsi" w:hAnsiTheme="majorHAnsi"/>
          <w:color w:val="000000" w:themeColor="text1"/>
          <w:sz w:val="18"/>
          <w:szCs w:val="18"/>
          <w:lang w:val="es-ES" w:bidi="ar-MA"/>
        </w:rPr>
        <w:t xml:space="preserve"> la acción de tutela, de carácter eminentemente residual y subsidiario, no puede ser usada para el reconocimiento de este tipo de prestación. </w:t>
      </w:r>
      <w:r w:rsidR="0016153B" w:rsidRPr="0EDB5DEE">
        <w:rPr>
          <w:rFonts w:asciiTheme="majorHAnsi" w:hAnsiTheme="majorHAnsi"/>
          <w:color w:val="000000" w:themeColor="text1"/>
          <w:sz w:val="18"/>
          <w:szCs w:val="18"/>
          <w:lang w:val="es-ES" w:bidi="ar-MA"/>
        </w:rPr>
        <w:t>Empero, la Corte también ha decantado una jurisprudencia extensible al caso de las pensiones, según la cual en casos excepcionalísimos el reconocimiento pensional puede hacerse efectivo de manera transitoria por la vía de la acción de tutela […]</w:t>
      </w:r>
      <w:r w:rsidR="00B1732E" w:rsidRPr="0EDB5DEE">
        <w:rPr>
          <w:rFonts w:asciiTheme="majorHAnsi" w:hAnsiTheme="majorHAnsi"/>
          <w:color w:val="000000" w:themeColor="text1"/>
          <w:sz w:val="18"/>
          <w:szCs w:val="18"/>
          <w:lang w:val="es-ES" w:bidi="ar-MA"/>
        </w:rPr>
        <w:t>.</w:t>
      </w:r>
      <w:r w:rsidR="00FA1E75" w:rsidRPr="0EDB5DEE">
        <w:rPr>
          <w:rFonts w:asciiTheme="majorHAnsi" w:hAnsiTheme="majorHAnsi"/>
          <w:color w:val="000000" w:themeColor="text1"/>
          <w:sz w:val="18"/>
          <w:szCs w:val="18"/>
          <w:lang w:val="es-ES" w:bidi="ar-MA"/>
        </w:rPr>
        <w:t xml:space="preserve"> Es así que aunque los accionantes cuentan con otro mecanismo de defensa de sus intereses ante la Jurisdicción Contencioso Administrativo, como sería demandar la nulidad de las resoluciones que negaron el reconocimiento y pago de la prestación […] </w:t>
      </w:r>
      <w:r w:rsidR="0010023E" w:rsidRPr="0EDB5DEE">
        <w:rPr>
          <w:rFonts w:asciiTheme="majorHAnsi" w:hAnsiTheme="majorHAnsi"/>
          <w:color w:val="000000" w:themeColor="text1"/>
          <w:sz w:val="18"/>
          <w:szCs w:val="18"/>
          <w:lang w:val="es-ES" w:bidi="ar-MA"/>
        </w:rPr>
        <w:t xml:space="preserve">la acción de tutela procederá </w:t>
      </w:r>
      <w:r w:rsidR="00B1732E" w:rsidRPr="0EDB5DEE">
        <w:rPr>
          <w:rFonts w:asciiTheme="majorHAnsi" w:hAnsiTheme="majorHAnsi"/>
          <w:color w:val="000000" w:themeColor="text1"/>
          <w:sz w:val="18"/>
          <w:szCs w:val="18"/>
          <w:lang w:val="es-ES" w:bidi="ar-MA"/>
        </w:rPr>
        <w:t xml:space="preserve">como mecanismo transitorio para evitar un perjuicio irremediable […]. En consecuencia, […] la protección consistirá en exigir de la CAJA NACIONAL DE PREVISIÓN SOCIAL CAJANAL, que desde la fecha en que se notifique de esta decisión y hasta que la Jurisdicción Contencioso Administrativo lo decida en forma definitiva, adopte la decisión que corresponda respecto de cada uno de los docentes […]. </w:t>
      </w:r>
    </w:p>
    <w:p w14:paraId="227BA9CA" w14:textId="19EC01AF" w:rsidR="00F56259" w:rsidRPr="00767718" w:rsidRDefault="008E2EFE" w:rsidP="0EDB5D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val="es-ES" w:bidi="ar-MA"/>
        </w:rPr>
      </w:pPr>
      <w:r w:rsidRPr="0EDB5DEE">
        <w:rPr>
          <w:rFonts w:asciiTheme="majorHAnsi" w:hAnsiTheme="majorHAnsi"/>
          <w:color w:val="000000" w:themeColor="text1"/>
          <w:sz w:val="18"/>
          <w:szCs w:val="18"/>
          <w:lang w:val="es-ES" w:bidi="ar-MA"/>
        </w:rPr>
        <w:t xml:space="preserve">Prevenir a los accionantes docentes para que, si no lo han hecho, a más tardar en un periodo de cuatro (4) meses contados a partir de la notificación de esta decisión, instauren e impulsen la correspondiente acción ante la jurisdicción contencioso administrativo. Se advierte a las partes igualmente que esta decisión de tutela permanecerá vigente durante el tiempo que la justicia contencioso administrativa utilice para decidir de fondo las pretensiones de los actores. </w:t>
      </w:r>
    </w:p>
    <w:p w14:paraId="135A0AE0" w14:textId="0BD7BE5E" w:rsidR="00F80313" w:rsidRPr="00767718" w:rsidRDefault="00F80313" w:rsidP="00F803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bidi="ar-MA"/>
        </w:rPr>
      </w:pPr>
      <w:r w:rsidRPr="00767718">
        <w:rPr>
          <w:rFonts w:asciiTheme="majorHAnsi" w:hAnsiTheme="majorHAnsi"/>
          <w:sz w:val="20"/>
          <w:szCs w:val="20"/>
          <w:lang w:val="es-ES_tradnl" w:bidi="ar-MA"/>
        </w:rPr>
        <w:t xml:space="preserve">A pesar de lo expuesto, </w:t>
      </w:r>
      <w:r w:rsidR="009F1F76" w:rsidRPr="00767718">
        <w:rPr>
          <w:rFonts w:asciiTheme="majorHAnsi" w:hAnsiTheme="majorHAnsi"/>
          <w:sz w:val="20"/>
          <w:szCs w:val="20"/>
          <w:lang w:val="es-ES_tradnl" w:bidi="ar-MA"/>
        </w:rPr>
        <w:t>el peticionario</w:t>
      </w:r>
      <w:r w:rsidR="00D4467C" w:rsidRPr="00767718">
        <w:rPr>
          <w:rFonts w:asciiTheme="majorHAnsi" w:hAnsiTheme="majorHAnsi"/>
          <w:sz w:val="20"/>
          <w:szCs w:val="20"/>
          <w:lang w:val="es-ES_tradnl" w:bidi="ar-MA"/>
        </w:rPr>
        <w:t xml:space="preserve"> </w:t>
      </w:r>
      <w:r w:rsidRPr="00767718">
        <w:rPr>
          <w:rFonts w:asciiTheme="majorHAnsi" w:hAnsiTheme="majorHAnsi"/>
          <w:sz w:val="20"/>
          <w:szCs w:val="20"/>
          <w:lang w:val="es-ES_tradnl" w:bidi="ar-MA"/>
        </w:rPr>
        <w:t>sostiene que las autoridades no cumplieron</w:t>
      </w:r>
      <w:r w:rsidR="009F1F76" w:rsidRPr="00767718">
        <w:rPr>
          <w:rFonts w:asciiTheme="majorHAnsi" w:hAnsiTheme="majorHAnsi"/>
          <w:sz w:val="20"/>
          <w:szCs w:val="20"/>
          <w:lang w:val="es-ES_tradnl" w:bidi="ar-MA"/>
        </w:rPr>
        <w:t xml:space="preserve"> con</w:t>
      </w:r>
      <w:r w:rsidRPr="00767718">
        <w:rPr>
          <w:rFonts w:asciiTheme="majorHAnsi" w:hAnsiTheme="majorHAnsi"/>
          <w:sz w:val="20"/>
          <w:szCs w:val="20"/>
          <w:lang w:val="es-ES_tradnl" w:bidi="ar-MA"/>
        </w:rPr>
        <w:t xml:space="preserve"> este fallo</w:t>
      </w:r>
      <w:r w:rsidR="006A668A" w:rsidRPr="00767718">
        <w:rPr>
          <w:rFonts w:asciiTheme="majorHAnsi" w:hAnsiTheme="majorHAnsi"/>
          <w:sz w:val="20"/>
          <w:szCs w:val="20"/>
          <w:lang w:val="es-ES_tradnl" w:bidi="ar-MA"/>
        </w:rPr>
        <w:t>,</w:t>
      </w:r>
      <w:r w:rsidRPr="00767718">
        <w:rPr>
          <w:rFonts w:asciiTheme="majorHAnsi" w:hAnsiTheme="majorHAnsi"/>
          <w:sz w:val="20"/>
          <w:szCs w:val="20"/>
          <w:lang w:val="es-ES_tradnl" w:bidi="ar-MA"/>
        </w:rPr>
        <w:t xml:space="preserve"> </w:t>
      </w:r>
      <w:r w:rsidR="006A668A" w:rsidRPr="00767718">
        <w:rPr>
          <w:rFonts w:asciiTheme="majorHAnsi" w:hAnsiTheme="majorHAnsi"/>
          <w:sz w:val="20"/>
          <w:szCs w:val="20"/>
          <w:lang w:val="es-ES_tradnl" w:bidi="ar-MA"/>
        </w:rPr>
        <w:t>por lo cual las presuntas víctimas</w:t>
      </w:r>
      <w:r w:rsidR="00474697" w:rsidRPr="00767718">
        <w:rPr>
          <w:rFonts w:asciiTheme="majorHAnsi" w:hAnsiTheme="majorHAnsi"/>
          <w:sz w:val="20"/>
          <w:szCs w:val="20"/>
          <w:lang w:val="es-ES_tradnl" w:bidi="ar-MA"/>
        </w:rPr>
        <w:t xml:space="preserve"> presentaron un</w:t>
      </w:r>
      <w:r w:rsidRPr="00767718">
        <w:rPr>
          <w:rFonts w:asciiTheme="majorHAnsi" w:hAnsiTheme="majorHAnsi"/>
          <w:sz w:val="20"/>
          <w:szCs w:val="20"/>
          <w:lang w:val="es-ES_tradnl" w:bidi="ar-MA"/>
        </w:rPr>
        <w:t xml:space="preserve"> incidente de desacato contra </w:t>
      </w:r>
      <w:r w:rsidR="00EF5FE9" w:rsidRPr="00767718">
        <w:rPr>
          <w:rFonts w:asciiTheme="majorHAnsi" w:hAnsiTheme="majorHAnsi"/>
          <w:sz w:val="20"/>
          <w:szCs w:val="20"/>
          <w:lang w:val="es-ES_tradnl" w:bidi="ar-MA"/>
        </w:rPr>
        <w:t xml:space="preserve">la </w:t>
      </w:r>
      <w:r w:rsidRPr="00767718">
        <w:rPr>
          <w:rFonts w:asciiTheme="majorHAnsi" w:hAnsiTheme="majorHAnsi"/>
          <w:sz w:val="20"/>
          <w:szCs w:val="20"/>
          <w:lang w:val="es-ES_tradnl" w:bidi="ar-MA"/>
        </w:rPr>
        <w:t xml:space="preserve">CAJANAL. En consecuencia, el 10 de abril de 2007 el Juez Noveno Penal del Circuito de Cali sancionó al gerente de esta institución con arresto de cinco días y una multa de cinco salarios mínimos mensuales. El 29 de octubre de 2007 la Sala Penal del Tribunal Superior del Distrito Judicial de Cali confirmó esta </w:t>
      </w:r>
      <w:r w:rsidR="009F1F76" w:rsidRPr="00767718">
        <w:rPr>
          <w:rFonts w:asciiTheme="majorHAnsi" w:hAnsiTheme="majorHAnsi"/>
          <w:sz w:val="20"/>
          <w:szCs w:val="20"/>
          <w:lang w:val="es-ES_tradnl" w:bidi="ar-MA"/>
        </w:rPr>
        <w:t>decisión</w:t>
      </w:r>
      <w:r w:rsidRPr="00767718">
        <w:rPr>
          <w:rFonts w:asciiTheme="majorHAnsi" w:hAnsiTheme="majorHAnsi"/>
          <w:sz w:val="20"/>
          <w:szCs w:val="20"/>
          <w:lang w:val="es-ES_tradnl" w:bidi="ar-MA"/>
        </w:rPr>
        <w:t>.</w:t>
      </w:r>
    </w:p>
    <w:p w14:paraId="17BAD79D" w14:textId="34573C8C" w:rsidR="00B57B2C" w:rsidRPr="00767718" w:rsidRDefault="00B57B2C" w:rsidP="0EDB5DEE">
      <w:pPr>
        <w:pStyle w:val="ListParagraph"/>
        <w:numPr>
          <w:ilvl w:val="0"/>
          <w:numId w:val="103"/>
        </w:numPr>
        <w:jc w:val="both"/>
        <w:rPr>
          <w:rFonts w:asciiTheme="majorHAnsi" w:eastAsia="Arial Unicode MS" w:hAnsiTheme="majorHAnsi" w:cs="Times New Roman"/>
          <w:color w:val="auto"/>
          <w:sz w:val="20"/>
          <w:szCs w:val="20"/>
          <w:lang w:val="es-ES" w:eastAsia="en-US" w:bidi="ar-MA"/>
        </w:rPr>
      </w:pPr>
      <w:r w:rsidRPr="0EDB5DEE">
        <w:rPr>
          <w:rFonts w:asciiTheme="majorHAnsi" w:eastAsia="Arial Unicode MS" w:hAnsiTheme="majorHAnsi" w:cs="Times New Roman"/>
          <w:color w:val="auto"/>
          <w:sz w:val="20"/>
          <w:szCs w:val="20"/>
          <w:lang w:val="es-ES" w:eastAsia="en-US" w:bidi="ar-MA"/>
        </w:rPr>
        <w:t xml:space="preserve">Sin embargo, el 22 de julio de 2010 la Sala Cuarta de Revisión de la Corte Constitucional suspendió </w:t>
      </w:r>
      <w:r w:rsidR="009F1F76" w:rsidRPr="0EDB5DEE">
        <w:rPr>
          <w:rFonts w:asciiTheme="majorHAnsi" w:eastAsia="Arial Unicode MS" w:hAnsiTheme="majorHAnsi" w:cs="Times New Roman"/>
          <w:color w:val="auto"/>
          <w:sz w:val="20"/>
          <w:szCs w:val="20"/>
          <w:lang w:val="es-ES" w:eastAsia="en-US" w:bidi="ar-MA"/>
        </w:rPr>
        <w:t>aquella</w:t>
      </w:r>
      <w:r w:rsidRPr="0EDB5DEE">
        <w:rPr>
          <w:rFonts w:asciiTheme="majorHAnsi" w:eastAsia="Arial Unicode MS" w:hAnsiTheme="majorHAnsi" w:cs="Times New Roman"/>
          <w:color w:val="auto"/>
          <w:sz w:val="20"/>
          <w:szCs w:val="20"/>
          <w:lang w:val="es-ES" w:eastAsia="en-US" w:bidi="ar-MA"/>
        </w:rPr>
        <w:t xml:space="preserve"> sanción, al considerar que </w:t>
      </w:r>
      <w:r w:rsidR="00EF5FE9" w:rsidRPr="0EDB5DEE">
        <w:rPr>
          <w:rFonts w:asciiTheme="majorHAnsi" w:eastAsia="Arial Unicode MS" w:hAnsiTheme="majorHAnsi" w:cs="Times New Roman"/>
          <w:color w:val="auto"/>
          <w:sz w:val="20"/>
          <w:szCs w:val="20"/>
          <w:lang w:val="es-ES" w:eastAsia="en-US" w:bidi="ar-MA"/>
        </w:rPr>
        <w:t xml:space="preserve">la </w:t>
      </w:r>
      <w:r w:rsidRPr="0EDB5DEE">
        <w:rPr>
          <w:rFonts w:asciiTheme="majorHAnsi" w:eastAsia="Arial Unicode MS" w:hAnsiTheme="majorHAnsi" w:cs="Times New Roman"/>
          <w:color w:val="auto"/>
          <w:sz w:val="20"/>
          <w:szCs w:val="20"/>
          <w:lang w:val="es-ES" w:eastAsia="en-US" w:bidi="ar-MA"/>
        </w:rPr>
        <w:t>CAJANAL estaba en proceso de liquidación, por lo que no era posible atribuir toda la responsabilidad al director de la institución y aplicar</w:t>
      </w:r>
      <w:r w:rsidR="001407E2" w:rsidRPr="0EDB5DEE">
        <w:rPr>
          <w:rFonts w:asciiTheme="majorHAnsi" w:eastAsia="Arial Unicode MS" w:hAnsiTheme="majorHAnsi" w:cs="Times New Roman"/>
          <w:color w:val="auto"/>
          <w:sz w:val="20"/>
          <w:szCs w:val="20"/>
          <w:lang w:val="es-ES" w:eastAsia="en-US" w:bidi="ar-MA"/>
        </w:rPr>
        <w:t>le</w:t>
      </w:r>
      <w:r w:rsidRPr="0EDB5DEE">
        <w:rPr>
          <w:rFonts w:asciiTheme="majorHAnsi" w:eastAsia="Arial Unicode MS" w:hAnsiTheme="majorHAnsi" w:cs="Times New Roman"/>
          <w:color w:val="auto"/>
          <w:sz w:val="20"/>
          <w:szCs w:val="20"/>
          <w:lang w:val="es-ES" w:eastAsia="en-US" w:bidi="ar-MA"/>
        </w:rPr>
        <w:t xml:space="preserve"> </w:t>
      </w:r>
      <w:r w:rsidR="001407E2" w:rsidRPr="0EDB5DEE">
        <w:rPr>
          <w:rFonts w:asciiTheme="majorHAnsi" w:eastAsia="Arial Unicode MS" w:hAnsiTheme="majorHAnsi" w:cs="Times New Roman"/>
          <w:color w:val="auto"/>
          <w:sz w:val="20"/>
          <w:szCs w:val="20"/>
          <w:lang w:val="es-ES" w:eastAsia="en-US" w:bidi="ar-MA"/>
        </w:rPr>
        <w:t xml:space="preserve">una </w:t>
      </w:r>
      <w:r w:rsidRPr="0EDB5DEE">
        <w:rPr>
          <w:rFonts w:asciiTheme="majorHAnsi" w:eastAsia="Arial Unicode MS" w:hAnsiTheme="majorHAnsi" w:cs="Times New Roman"/>
          <w:color w:val="auto"/>
          <w:sz w:val="20"/>
          <w:szCs w:val="20"/>
          <w:lang w:val="es-ES" w:eastAsia="en-US" w:bidi="ar-MA"/>
        </w:rPr>
        <w:t xml:space="preserve">medida de arresto. </w:t>
      </w:r>
      <w:r w:rsidR="001407E2" w:rsidRPr="0EDB5DEE">
        <w:rPr>
          <w:rFonts w:asciiTheme="majorHAnsi" w:eastAsia="Arial Unicode MS" w:hAnsiTheme="majorHAnsi" w:cs="Times New Roman"/>
          <w:color w:val="auto"/>
          <w:sz w:val="20"/>
          <w:szCs w:val="20"/>
          <w:lang w:val="es-ES" w:eastAsia="en-US" w:bidi="ar-MA"/>
        </w:rPr>
        <w:lastRenderedPageBreak/>
        <w:t>Asimismo</w:t>
      </w:r>
      <w:r w:rsidRPr="0EDB5DEE">
        <w:rPr>
          <w:rFonts w:asciiTheme="majorHAnsi" w:eastAsia="Arial Unicode MS" w:hAnsiTheme="majorHAnsi" w:cs="Times New Roman"/>
          <w:color w:val="auto"/>
          <w:sz w:val="20"/>
          <w:szCs w:val="20"/>
          <w:lang w:val="es-ES" w:eastAsia="en-US" w:bidi="ar-MA"/>
        </w:rPr>
        <w:t xml:space="preserve">, dispuso que no se ejecute ninguna sanción de desacato hasta que no se haya aprobado el plan de acción que se estaba elaborando para </w:t>
      </w:r>
      <w:r w:rsidR="00F96DE0" w:rsidRPr="0EDB5DEE">
        <w:rPr>
          <w:rFonts w:asciiTheme="majorHAnsi" w:eastAsia="Arial Unicode MS" w:hAnsiTheme="majorHAnsi" w:cs="Times New Roman"/>
          <w:color w:val="auto"/>
          <w:sz w:val="20"/>
          <w:szCs w:val="20"/>
          <w:lang w:val="es-ES" w:eastAsia="en-US" w:bidi="ar-MA"/>
        </w:rPr>
        <w:t xml:space="preserve">solucionar la situación de </w:t>
      </w:r>
      <w:r w:rsidR="00520D59" w:rsidRPr="0EDB5DEE">
        <w:rPr>
          <w:rFonts w:asciiTheme="majorHAnsi" w:eastAsia="Arial Unicode MS" w:hAnsiTheme="majorHAnsi" w:cs="Times New Roman"/>
          <w:color w:val="auto"/>
          <w:sz w:val="20"/>
          <w:szCs w:val="20"/>
          <w:lang w:val="es-ES" w:eastAsia="en-US" w:bidi="ar-MA"/>
        </w:rPr>
        <w:t>aquellos</w:t>
      </w:r>
      <w:r w:rsidRPr="0EDB5DEE">
        <w:rPr>
          <w:rFonts w:asciiTheme="majorHAnsi" w:eastAsia="Arial Unicode MS" w:hAnsiTheme="majorHAnsi" w:cs="Times New Roman"/>
          <w:color w:val="auto"/>
          <w:sz w:val="20"/>
          <w:szCs w:val="20"/>
          <w:lang w:val="es-ES" w:eastAsia="en-US" w:bidi="ar-MA"/>
        </w:rPr>
        <w:t xml:space="preserve"> que estaban pendientes de una respuesta por parte de dicha institución. A criterio del peticionario, esta decisión evitó que los intereses de las presuntas víctimas se vieran limitados hasta el 11 de junio de 2013, cuando terminó el proceso de liquidación de </w:t>
      </w:r>
      <w:r w:rsidR="00EF5FE9" w:rsidRPr="0EDB5DEE">
        <w:rPr>
          <w:rFonts w:asciiTheme="majorHAnsi" w:eastAsia="Arial Unicode MS" w:hAnsiTheme="majorHAnsi" w:cs="Times New Roman"/>
          <w:color w:val="auto"/>
          <w:sz w:val="20"/>
          <w:szCs w:val="20"/>
          <w:lang w:val="es-ES" w:eastAsia="en-US" w:bidi="ar-MA"/>
        </w:rPr>
        <w:t xml:space="preserve">la </w:t>
      </w:r>
      <w:r w:rsidRPr="0EDB5DEE">
        <w:rPr>
          <w:rFonts w:asciiTheme="majorHAnsi" w:eastAsia="Arial Unicode MS" w:hAnsiTheme="majorHAnsi" w:cs="Times New Roman"/>
          <w:color w:val="auto"/>
          <w:sz w:val="20"/>
          <w:szCs w:val="20"/>
          <w:lang w:val="es-ES" w:eastAsia="en-US" w:bidi="ar-MA"/>
        </w:rPr>
        <w:t>CAJANAL y la Unidad de Gestión Pensional y Parafiscal (UGPP) asumió sus obligaciones</w:t>
      </w:r>
      <w:r w:rsidR="001407E2" w:rsidRPr="0EDB5DEE">
        <w:rPr>
          <w:rFonts w:asciiTheme="majorHAnsi" w:eastAsia="Arial Unicode MS" w:hAnsiTheme="majorHAnsi" w:cs="Times New Roman"/>
          <w:color w:val="auto"/>
          <w:sz w:val="20"/>
          <w:szCs w:val="20"/>
          <w:lang w:val="es-ES" w:eastAsia="en-US" w:bidi="ar-MA"/>
        </w:rPr>
        <w:t>,</w:t>
      </w:r>
      <w:r w:rsidRPr="0EDB5DEE">
        <w:rPr>
          <w:rFonts w:asciiTheme="majorHAnsi" w:eastAsia="Arial Unicode MS" w:hAnsiTheme="majorHAnsi" w:cs="Times New Roman"/>
          <w:color w:val="auto"/>
          <w:sz w:val="20"/>
          <w:szCs w:val="20"/>
          <w:lang w:val="es-ES" w:eastAsia="en-US" w:bidi="ar-MA"/>
        </w:rPr>
        <w:t xml:space="preserve"> y se convirtió en la responsable de ejecutar el fallo de tutela.</w:t>
      </w:r>
    </w:p>
    <w:p w14:paraId="76369A17" w14:textId="77777777" w:rsidR="00B57B2C" w:rsidRPr="00767718" w:rsidRDefault="00B57B2C" w:rsidP="00B57B2C">
      <w:pPr>
        <w:pStyle w:val="ListParagraph"/>
        <w:jc w:val="both"/>
        <w:rPr>
          <w:rFonts w:asciiTheme="majorHAnsi" w:eastAsia="Arial Unicode MS" w:hAnsiTheme="majorHAnsi" w:cs="Times New Roman"/>
          <w:color w:val="auto"/>
          <w:sz w:val="20"/>
          <w:szCs w:val="20"/>
          <w:lang w:val="es-ES_tradnl" w:eastAsia="en-US" w:bidi="ar-MA"/>
        </w:rPr>
      </w:pPr>
    </w:p>
    <w:p w14:paraId="04A804F0" w14:textId="69699496" w:rsidR="004F4742" w:rsidRPr="00767718" w:rsidRDefault="001407E2" w:rsidP="004F47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bidi="ar-MA"/>
        </w:rPr>
      </w:pPr>
      <w:r w:rsidRPr="00767718">
        <w:rPr>
          <w:rFonts w:asciiTheme="majorHAnsi" w:hAnsiTheme="majorHAnsi"/>
          <w:sz w:val="20"/>
          <w:szCs w:val="20"/>
          <w:lang w:val="es-ES_tradnl" w:bidi="ar-MA"/>
        </w:rPr>
        <w:t>Frente</w:t>
      </w:r>
      <w:r w:rsidR="004F4742" w:rsidRPr="00767718">
        <w:rPr>
          <w:rFonts w:asciiTheme="majorHAnsi" w:hAnsiTheme="majorHAnsi"/>
          <w:sz w:val="20"/>
          <w:szCs w:val="20"/>
          <w:lang w:val="es-ES_tradnl" w:bidi="ar-MA"/>
        </w:rPr>
        <w:t xml:space="preserve"> este nuevo escenario, las presuntas víctimas presentaron numerosas peticiones ante la UGPP, solicitando el cumplimiento de la decisión que ordenaba el pago de su pensión de gracia. Sin embargo, </w:t>
      </w:r>
      <w:r w:rsidR="00EC7CAD" w:rsidRPr="00767718">
        <w:rPr>
          <w:rFonts w:asciiTheme="majorHAnsi" w:hAnsiTheme="majorHAnsi"/>
          <w:sz w:val="20"/>
          <w:szCs w:val="20"/>
          <w:lang w:val="es-ES_tradnl" w:bidi="ar-MA"/>
        </w:rPr>
        <w:t xml:space="preserve">el peticionario </w:t>
      </w:r>
      <w:r w:rsidR="004F4742" w:rsidRPr="00767718">
        <w:rPr>
          <w:rFonts w:asciiTheme="majorHAnsi" w:hAnsiTheme="majorHAnsi"/>
          <w:sz w:val="20"/>
          <w:szCs w:val="20"/>
          <w:lang w:val="es-ES_tradnl" w:bidi="ar-MA"/>
        </w:rPr>
        <w:t>aduce que dicha entidad contin</w:t>
      </w:r>
      <w:r w:rsidR="00EC7CAD" w:rsidRPr="00767718">
        <w:rPr>
          <w:rFonts w:asciiTheme="majorHAnsi" w:hAnsiTheme="majorHAnsi"/>
          <w:sz w:val="20"/>
          <w:szCs w:val="20"/>
          <w:lang w:val="es-ES_tradnl" w:bidi="ar-MA"/>
        </w:rPr>
        <w:t>uó</w:t>
      </w:r>
      <w:r w:rsidR="004F4742" w:rsidRPr="00767718">
        <w:rPr>
          <w:rFonts w:asciiTheme="majorHAnsi" w:hAnsiTheme="majorHAnsi"/>
          <w:sz w:val="20"/>
          <w:szCs w:val="20"/>
          <w:lang w:val="es-ES_tradnl" w:bidi="ar-MA"/>
        </w:rPr>
        <w:t xml:space="preserve"> desobedeciendo este mandato judicial, </w:t>
      </w:r>
      <w:r w:rsidR="00EC7CAD" w:rsidRPr="00767718">
        <w:rPr>
          <w:rFonts w:asciiTheme="majorHAnsi" w:hAnsiTheme="majorHAnsi"/>
          <w:sz w:val="20"/>
          <w:szCs w:val="20"/>
          <w:lang w:val="es-ES_tradnl" w:bidi="ar-MA"/>
        </w:rPr>
        <w:t>al considerar</w:t>
      </w:r>
      <w:r w:rsidR="004F4742" w:rsidRPr="00767718">
        <w:rPr>
          <w:rFonts w:asciiTheme="majorHAnsi" w:hAnsiTheme="majorHAnsi"/>
          <w:sz w:val="20"/>
          <w:szCs w:val="20"/>
          <w:lang w:val="es-ES_tradnl" w:bidi="ar-MA"/>
        </w:rPr>
        <w:t xml:space="preserve"> que </w:t>
      </w:r>
      <w:r w:rsidR="00F23BE2" w:rsidRPr="00767718">
        <w:rPr>
          <w:rFonts w:asciiTheme="majorHAnsi" w:hAnsiTheme="majorHAnsi"/>
          <w:sz w:val="20"/>
          <w:szCs w:val="20"/>
          <w:lang w:val="es-ES_tradnl" w:bidi="ar-MA"/>
        </w:rPr>
        <w:t>las pres</w:t>
      </w:r>
      <w:r w:rsidR="00666C7D" w:rsidRPr="00767718">
        <w:rPr>
          <w:rFonts w:asciiTheme="majorHAnsi" w:hAnsiTheme="majorHAnsi"/>
          <w:sz w:val="20"/>
          <w:szCs w:val="20"/>
          <w:lang w:val="es-ES_tradnl" w:bidi="ar-MA"/>
        </w:rPr>
        <w:t>untas víctimas</w:t>
      </w:r>
      <w:r w:rsidR="004F4742" w:rsidRPr="00767718">
        <w:rPr>
          <w:rFonts w:asciiTheme="majorHAnsi" w:hAnsiTheme="majorHAnsi"/>
          <w:sz w:val="20"/>
          <w:szCs w:val="20"/>
          <w:lang w:val="es-ES_tradnl" w:bidi="ar-MA"/>
        </w:rPr>
        <w:t xml:space="preserve"> no cumplieron con el requisito de interponer una demanda en la vía contenciosa administrativa en los cuatro meses siguientes a la notificación del fallo.</w:t>
      </w:r>
    </w:p>
    <w:p w14:paraId="49F1318D" w14:textId="2B46219C" w:rsidR="00445FC2" w:rsidRPr="00767718" w:rsidRDefault="00267694" w:rsidP="0EDB5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bidi="ar-MA"/>
        </w:rPr>
      </w:pPr>
      <w:r w:rsidRPr="0EDB5DEE">
        <w:rPr>
          <w:rFonts w:asciiTheme="majorHAnsi" w:hAnsiTheme="majorHAnsi"/>
          <w:sz w:val="20"/>
          <w:szCs w:val="20"/>
          <w:lang w:val="es-ES" w:bidi="ar-MA"/>
        </w:rPr>
        <w:t>Posteriormente</w:t>
      </w:r>
      <w:r w:rsidR="00445FC2" w:rsidRPr="0EDB5DEE">
        <w:rPr>
          <w:rFonts w:asciiTheme="majorHAnsi" w:hAnsiTheme="majorHAnsi"/>
          <w:sz w:val="20"/>
          <w:szCs w:val="20"/>
          <w:lang w:val="es-ES" w:bidi="ar-MA"/>
        </w:rPr>
        <w:t>, el 9 de mayo de 2014 las presuntas víctimas solicitaron que se iniciara un segundo incidente de desacato por incumplimiento del fallo del 22 de junio de 2006. El 25 de agosto de 2014, el</w:t>
      </w:r>
      <w:r w:rsidR="007B4D16" w:rsidRPr="0EDB5DEE">
        <w:rPr>
          <w:rFonts w:asciiTheme="majorHAnsi" w:hAnsiTheme="majorHAnsi"/>
          <w:sz w:val="20"/>
          <w:szCs w:val="20"/>
          <w:lang w:val="es-ES" w:bidi="ar-MA"/>
        </w:rPr>
        <w:t xml:space="preserve"> Juzgado Noveno Penal del Circuito de Cali</w:t>
      </w:r>
      <w:r w:rsidR="00445FC2" w:rsidRPr="0EDB5DEE">
        <w:rPr>
          <w:rFonts w:asciiTheme="majorHAnsi" w:hAnsiTheme="majorHAnsi"/>
          <w:sz w:val="20"/>
          <w:szCs w:val="20"/>
          <w:lang w:val="es-ES" w:bidi="ar-MA"/>
        </w:rPr>
        <w:t xml:space="preserve"> sancionó con cinco días de arresto a la directora general, directora de pensiones y subdirectora de determinación de derechos pensionales de la </w:t>
      </w:r>
      <w:r w:rsidR="00EF5FE9" w:rsidRPr="0EDB5DEE">
        <w:rPr>
          <w:rFonts w:asciiTheme="majorHAnsi" w:hAnsiTheme="majorHAnsi"/>
          <w:sz w:val="20"/>
          <w:szCs w:val="20"/>
          <w:lang w:val="es-ES" w:bidi="ar-MA"/>
        </w:rPr>
        <w:t>UGPP</w:t>
      </w:r>
      <w:r w:rsidR="00445FC2" w:rsidRPr="0EDB5DEE">
        <w:rPr>
          <w:rFonts w:asciiTheme="majorHAnsi" w:hAnsiTheme="majorHAnsi"/>
          <w:sz w:val="20"/>
          <w:szCs w:val="20"/>
          <w:lang w:val="es-ES" w:bidi="ar-MA"/>
        </w:rPr>
        <w:t>. A pesar de ello, el 19 de marzo de 2015 la Sala Penal del Tribunal Superior del Distrito Judicial de Cali revocó esta sentencia, al considerar que la UGPP sí había cumplido con la orden judicial reclamada</w:t>
      </w:r>
      <w:r w:rsidR="00DE4647" w:rsidRPr="0EDB5DEE">
        <w:rPr>
          <w:rFonts w:asciiTheme="majorHAnsi" w:hAnsiTheme="majorHAnsi"/>
          <w:sz w:val="20"/>
          <w:szCs w:val="20"/>
          <w:lang w:val="es-ES" w:bidi="ar-MA"/>
        </w:rPr>
        <w:t>, pues reconoció la pensión de gracia a 48 docentes por cuatro meses, desde la notificación del fallo de tutela</w:t>
      </w:r>
      <w:r w:rsidR="00E03F31" w:rsidRPr="0EDB5DEE">
        <w:rPr>
          <w:rFonts w:asciiTheme="majorHAnsi" w:hAnsiTheme="majorHAnsi"/>
          <w:sz w:val="20"/>
          <w:szCs w:val="20"/>
          <w:lang w:val="es-ES" w:bidi="ar-MA"/>
        </w:rPr>
        <w:t>;</w:t>
      </w:r>
      <w:r w:rsidR="00445FC2" w:rsidRPr="0EDB5DEE">
        <w:rPr>
          <w:rFonts w:asciiTheme="majorHAnsi" w:hAnsiTheme="majorHAnsi"/>
          <w:sz w:val="20"/>
          <w:szCs w:val="20"/>
          <w:lang w:val="es-ES" w:bidi="ar-MA"/>
        </w:rPr>
        <w:t xml:space="preserve"> y que</w:t>
      </w:r>
      <w:r w:rsidR="00E03F31" w:rsidRPr="0EDB5DEE">
        <w:rPr>
          <w:rFonts w:asciiTheme="majorHAnsi" w:hAnsiTheme="majorHAnsi"/>
          <w:sz w:val="20"/>
          <w:szCs w:val="20"/>
          <w:lang w:val="es-ES" w:bidi="ar-MA"/>
        </w:rPr>
        <w:t xml:space="preserve"> </w:t>
      </w:r>
      <w:r w:rsidR="00445FC2" w:rsidRPr="0EDB5DEE">
        <w:rPr>
          <w:rFonts w:asciiTheme="majorHAnsi" w:hAnsiTheme="majorHAnsi"/>
          <w:sz w:val="20"/>
          <w:szCs w:val="20"/>
          <w:lang w:val="es-ES" w:bidi="ar-MA"/>
        </w:rPr>
        <w:t>los accionantes no habían interpuesto oportunamente el recurso idóneo en la vía contenciosa administrativa</w:t>
      </w:r>
      <w:r w:rsidR="00DE4647" w:rsidRPr="0EDB5DEE">
        <w:rPr>
          <w:rFonts w:asciiTheme="majorHAnsi" w:hAnsiTheme="majorHAnsi"/>
          <w:sz w:val="20"/>
          <w:szCs w:val="20"/>
          <w:lang w:val="es-ES" w:bidi="ar-MA"/>
        </w:rPr>
        <w:t>, razón por la cual no continuaron recibiendo el citado beneficio</w:t>
      </w:r>
    </w:p>
    <w:p w14:paraId="434359EE" w14:textId="0860B26D" w:rsidR="00515236" w:rsidRPr="00767718" w:rsidRDefault="00515236" w:rsidP="005152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bidi="ar-MA"/>
        </w:rPr>
      </w:pPr>
      <w:r w:rsidRPr="00767718">
        <w:rPr>
          <w:rFonts w:asciiTheme="majorHAnsi" w:hAnsiTheme="majorHAnsi"/>
          <w:sz w:val="20"/>
          <w:szCs w:val="20"/>
          <w:lang w:val="es-ES_tradnl" w:bidi="ar-MA"/>
        </w:rPr>
        <w:t xml:space="preserve">Con base en las consideraciones citadas, el peticionario </w:t>
      </w:r>
      <w:r w:rsidR="008F17E8" w:rsidRPr="00767718">
        <w:rPr>
          <w:rFonts w:asciiTheme="majorHAnsi" w:hAnsiTheme="majorHAnsi"/>
          <w:sz w:val="20"/>
          <w:szCs w:val="20"/>
          <w:lang w:val="es-ES_tradnl" w:bidi="ar-MA"/>
        </w:rPr>
        <w:t>insiste en</w:t>
      </w:r>
      <w:r w:rsidRPr="00767718">
        <w:rPr>
          <w:rFonts w:asciiTheme="majorHAnsi" w:hAnsiTheme="majorHAnsi"/>
          <w:sz w:val="20"/>
          <w:szCs w:val="20"/>
          <w:lang w:val="es-ES_tradnl" w:bidi="ar-MA"/>
        </w:rPr>
        <w:t xml:space="preserve"> que la UGPP no ha cumplido hasta la fecha lo ordenado en la sentencia de tutela</w:t>
      </w:r>
      <w:r w:rsidR="008F17E8" w:rsidRPr="00767718">
        <w:rPr>
          <w:rFonts w:asciiTheme="majorHAnsi" w:hAnsiTheme="majorHAnsi"/>
          <w:sz w:val="20"/>
          <w:szCs w:val="20"/>
          <w:lang w:val="es-ES_tradnl" w:bidi="ar-MA"/>
        </w:rPr>
        <w:t>,</w:t>
      </w:r>
      <w:r w:rsidRPr="00767718">
        <w:rPr>
          <w:rFonts w:asciiTheme="majorHAnsi" w:hAnsiTheme="majorHAnsi"/>
          <w:sz w:val="20"/>
          <w:szCs w:val="20"/>
          <w:lang w:val="es-ES_tradnl" w:bidi="ar-MA"/>
        </w:rPr>
        <w:t xml:space="preserve"> </w:t>
      </w:r>
      <w:r w:rsidR="00DE4647" w:rsidRPr="00767718">
        <w:rPr>
          <w:rFonts w:asciiTheme="majorHAnsi" w:hAnsiTheme="majorHAnsi"/>
          <w:sz w:val="20"/>
          <w:szCs w:val="20"/>
          <w:lang w:val="es-ES_tradnl" w:bidi="ar-MA"/>
        </w:rPr>
        <w:t xml:space="preserve">pues </w:t>
      </w:r>
      <w:r w:rsidR="007F08ED" w:rsidRPr="00767718">
        <w:rPr>
          <w:rFonts w:asciiTheme="majorHAnsi" w:hAnsiTheme="majorHAnsi"/>
          <w:sz w:val="20"/>
          <w:szCs w:val="20"/>
          <w:lang w:val="es-ES_tradnl" w:bidi="ar-MA"/>
        </w:rPr>
        <w:t>condicionó</w:t>
      </w:r>
      <w:r w:rsidR="00DE4647" w:rsidRPr="00767718">
        <w:rPr>
          <w:rFonts w:asciiTheme="majorHAnsi" w:hAnsiTheme="majorHAnsi"/>
          <w:sz w:val="20"/>
          <w:szCs w:val="20"/>
          <w:lang w:val="es-ES_tradnl" w:bidi="ar-MA"/>
        </w:rPr>
        <w:t xml:space="preserve"> </w:t>
      </w:r>
      <w:r w:rsidR="007F08ED" w:rsidRPr="00767718">
        <w:rPr>
          <w:rFonts w:asciiTheme="majorHAnsi" w:hAnsiTheme="majorHAnsi"/>
          <w:sz w:val="20"/>
          <w:szCs w:val="20"/>
          <w:lang w:val="es-ES_tradnl" w:bidi="ar-MA"/>
        </w:rPr>
        <w:t xml:space="preserve">erróneamente </w:t>
      </w:r>
      <w:r w:rsidR="00DE4647" w:rsidRPr="00767718">
        <w:rPr>
          <w:rFonts w:asciiTheme="majorHAnsi" w:hAnsiTheme="majorHAnsi"/>
          <w:sz w:val="20"/>
          <w:szCs w:val="20"/>
          <w:lang w:val="es-ES_tradnl" w:bidi="ar-MA"/>
        </w:rPr>
        <w:t>el pago de la pensión de gracia a las presuntas víctimas</w:t>
      </w:r>
      <w:r w:rsidR="007F08ED" w:rsidRPr="00767718">
        <w:rPr>
          <w:rFonts w:asciiTheme="majorHAnsi" w:hAnsiTheme="majorHAnsi"/>
          <w:sz w:val="20"/>
          <w:szCs w:val="20"/>
          <w:lang w:val="es-ES_tradnl" w:bidi="ar-MA"/>
        </w:rPr>
        <w:t xml:space="preserve"> a que hayan presentado una demanda en la vía contenciosa administrativa,</w:t>
      </w:r>
      <w:r w:rsidR="00DE4647" w:rsidRPr="00767718">
        <w:rPr>
          <w:rFonts w:asciiTheme="majorHAnsi" w:hAnsiTheme="majorHAnsi"/>
          <w:sz w:val="20"/>
          <w:szCs w:val="20"/>
          <w:lang w:val="es-ES_tradnl" w:bidi="ar-MA"/>
        </w:rPr>
        <w:t xml:space="preserve"> </w:t>
      </w:r>
      <w:r w:rsidRPr="00767718">
        <w:rPr>
          <w:rFonts w:asciiTheme="majorHAnsi" w:hAnsiTheme="majorHAnsi"/>
          <w:sz w:val="20"/>
          <w:szCs w:val="20"/>
          <w:lang w:val="es-ES_tradnl" w:bidi="ar-MA"/>
        </w:rPr>
        <w:t xml:space="preserve">y </w:t>
      </w:r>
      <w:r w:rsidR="008F17E8" w:rsidRPr="00767718">
        <w:rPr>
          <w:rFonts w:asciiTheme="majorHAnsi" w:hAnsiTheme="majorHAnsi"/>
          <w:sz w:val="20"/>
          <w:szCs w:val="20"/>
          <w:lang w:val="es-ES_tradnl" w:bidi="ar-MA"/>
        </w:rPr>
        <w:t>en</w:t>
      </w:r>
      <w:r w:rsidRPr="00767718">
        <w:rPr>
          <w:rFonts w:asciiTheme="majorHAnsi" w:hAnsiTheme="majorHAnsi"/>
          <w:sz w:val="20"/>
          <w:szCs w:val="20"/>
          <w:lang w:val="es-ES_tradnl" w:bidi="ar-MA"/>
        </w:rPr>
        <w:t xml:space="preserve"> consecuencia se está afectando el derecho de las presuntas víctimas a la igualdad y</w:t>
      </w:r>
      <w:r w:rsidR="00F778B8" w:rsidRPr="00767718">
        <w:rPr>
          <w:rFonts w:asciiTheme="majorHAnsi" w:hAnsiTheme="majorHAnsi"/>
          <w:sz w:val="20"/>
          <w:szCs w:val="20"/>
          <w:lang w:val="es-ES_tradnl" w:bidi="ar-MA"/>
        </w:rPr>
        <w:t xml:space="preserve"> a la</w:t>
      </w:r>
      <w:r w:rsidRPr="00767718">
        <w:rPr>
          <w:rFonts w:asciiTheme="majorHAnsi" w:hAnsiTheme="majorHAnsi"/>
          <w:sz w:val="20"/>
          <w:szCs w:val="20"/>
          <w:lang w:val="es-ES_tradnl" w:bidi="ar-MA"/>
        </w:rPr>
        <w:t xml:space="preserve"> protección judicial</w:t>
      </w:r>
      <w:r w:rsidR="005C3EF2" w:rsidRPr="00767718">
        <w:rPr>
          <w:rFonts w:asciiTheme="majorHAnsi" w:hAnsiTheme="majorHAnsi"/>
          <w:sz w:val="20"/>
          <w:szCs w:val="20"/>
          <w:lang w:val="es-ES_tradnl" w:bidi="ar-MA"/>
        </w:rPr>
        <w:t>;</w:t>
      </w:r>
      <w:r w:rsidRPr="00767718">
        <w:rPr>
          <w:rFonts w:asciiTheme="majorHAnsi" w:hAnsiTheme="majorHAnsi"/>
          <w:sz w:val="20"/>
          <w:szCs w:val="20"/>
          <w:lang w:val="es-ES_tradnl" w:bidi="ar-MA"/>
        </w:rPr>
        <w:t xml:space="preserve"> pues a diferencia de otros docentes, no se les están pagando las mesadas pensionales que</w:t>
      </w:r>
      <w:r w:rsidR="005C3EF2" w:rsidRPr="00767718">
        <w:rPr>
          <w:rFonts w:asciiTheme="majorHAnsi" w:hAnsiTheme="majorHAnsi"/>
          <w:sz w:val="20"/>
          <w:szCs w:val="20"/>
          <w:lang w:val="es-ES_tradnl" w:bidi="ar-MA"/>
        </w:rPr>
        <w:t xml:space="preserve"> a su juicio,</w:t>
      </w:r>
      <w:r w:rsidR="00D3548A" w:rsidRPr="00767718">
        <w:rPr>
          <w:rFonts w:asciiTheme="majorHAnsi" w:hAnsiTheme="majorHAnsi"/>
          <w:sz w:val="20"/>
          <w:szCs w:val="20"/>
          <w:lang w:val="es-ES_tradnl" w:bidi="ar-MA"/>
        </w:rPr>
        <w:t xml:space="preserve"> </w:t>
      </w:r>
      <w:r w:rsidRPr="00767718">
        <w:rPr>
          <w:rFonts w:asciiTheme="majorHAnsi" w:hAnsiTheme="majorHAnsi"/>
          <w:sz w:val="20"/>
          <w:szCs w:val="20"/>
          <w:lang w:val="es-ES_tradnl" w:bidi="ar-MA"/>
        </w:rPr>
        <w:t xml:space="preserve">les corresponden. Finalmente, detalla que las presuntas víctimas son personas adultas mayores </w:t>
      </w:r>
      <w:r w:rsidR="00197E72" w:rsidRPr="00767718">
        <w:rPr>
          <w:rFonts w:asciiTheme="majorHAnsi" w:hAnsiTheme="majorHAnsi"/>
          <w:sz w:val="20"/>
          <w:szCs w:val="20"/>
          <w:lang w:val="es-ES_tradnl" w:bidi="ar-MA"/>
        </w:rPr>
        <w:t>a quienes</w:t>
      </w:r>
      <w:r w:rsidRPr="00767718">
        <w:rPr>
          <w:rFonts w:asciiTheme="majorHAnsi" w:hAnsiTheme="majorHAnsi"/>
          <w:sz w:val="20"/>
          <w:szCs w:val="20"/>
          <w:lang w:val="es-ES_tradnl" w:bidi="ar-MA"/>
        </w:rPr>
        <w:t xml:space="preserve"> la falta de pago </w:t>
      </w:r>
      <w:r w:rsidR="00197E72" w:rsidRPr="00767718">
        <w:rPr>
          <w:rFonts w:asciiTheme="majorHAnsi" w:hAnsiTheme="majorHAnsi"/>
          <w:sz w:val="20"/>
          <w:szCs w:val="20"/>
          <w:lang w:val="es-ES_tradnl" w:bidi="ar-MA"/>
        </w:rPr>
        <w:t>de esta prestación</w:t>
      </w:r>
      <w:r w:rsidRPr="00767718">
        <w:rPr>
          <w:rFonts w:asciiTheme="majorHAnsi" w:hAnsiTheme="majorHAnsi"/>
          <w:sz w:val="20"/>
          <w:szCs w:val="20"/>
          <w:lang w:val="es-ES_tradnl" w:bidi="ar-MA"/>
        </w:rPr>
        <w:t xml:space="preserve"> </w:t>
      </w:r>
      <w:r w:rsidR="00197E72" w:rsidRPr="00767718">
        <w:rPr>
          <w:rFonts w:asciiTheme="majorHAnsi" w:hAnsiTheme="majorHAnsi"/>
          <w:sz w:val="20"/>
          <w:szCs w:val="20"/>
          <w:lang w:val="es-ES_tradnl" w:bidi="ar-MA"/>
        </w:rPr>
        <w:t>les afecta en sus vidas</w:t>
      </w:r>
      <w:r w:rsidRPr="00767718">
        <w:rPr>
          <w:rFonts w:asciiTheme="majorHAnsi" w:hAnsiTheme="majorHAnsi"/>
          <w:sz w:val="20"/>
          <w:szCs w:val="20"/>
          <w:lang w:val="es-ES_tradnl" w:bidi="ar-MA"/>
        </w:rPr>
        <w:t>.</w:t>
      </w:r>
    </w:p>
    <w:p w14:paraId="6BC8BF15" w14:textId="4494DA60" w:rsidR="00B6716C" w:rsidRPr="00767718" w:rsidRDefault="00ED6C06" w:rsidP="00B6716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bidi="ar-MA"/>
        </w:rPr>
      </w:pPr>
      <w:r w:rsidRPr="00767718">
        <w:rPr>
          <w:rFonts w:asciiTheme="majorHAnsi" w:hAnsiTheme="majorHAnsi"/>
          <w:i/>
          <w:iCs/>
          <w:sz w:val="20"/>
          <w:szCs w:val="20"/>
          <w:lang w:val="es-ES_tradnl" w:bidi="ar-MA"/>
        </w:rPr>
        <w:t>E</w:t>
      </w:r>
      <w:r w:rsidR="00B6716C" w:rsidRPr="00767718">
        <w:rPr>
          <w:rFonts w:asciiTheme="majorHAnsi" w:hAnsiTheme="majorHAnsi"/>
          <w:i/>
          <w:iCs/>
          <w:sz w:val="20"/>
          <w:szCs w:val="20"/>
          <w:lang w:val="es-ES_tradnl" w:bidi="ar-MA"/>
        </w:rPr>
        <w:t>l Estado</w:t>
      </w:r>
      <w:r w:rsidRPr="00767718">
        <w:rPr>
          <w:rFonts w:asciiTheme="majorHAnsi" w:hAnsiTheme="majorHAnsi"/>
          <w:i/>
          <w:iCs/>
          <w:sz w:val="20"/>
          <w:szCs w:val="20"/>
          <w:lang w:val="es-ES_tradnl" w:bidi="ar-MA"/>
        </w:rPr>
        <w:t xml:space="preserve"> colombiano</w:t>
      </w:r>
    </w:p>
    <w:p w14:paraId="5BBA68A1" w14:textId="24F09136" w:rsidR="00600F03" w:rsidRPr="00767718" w:rsidRDefault="00600F03" w:rsidP="00600F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bidi="ar-MA"/>
        </w:rPr>
      </w:pPr>
      <w:r w:rsidRPr="00767718">
        <w:rPr>
          <w:rFonts w:asciiTheme="majorHAnsi" w:hAnsiTheme="majorHAnsi"/>
          <w:sz w:val="20"/>
          <w:szCs w:val="20"/>
          <w:lang w:val="es-ES_tradnl" w:bidi="ar-MA"/>
        </w:rPr>
        <w:t xml:space="preserve">Por su parte, Colombia replica que la petición es inadmisible por falta de agotamiento de la jurisdicción interna. </w:t>
      </w:r>
      <w:r w:rsidR="00D3548A" w:rsidRPr="00767718">
        <w:rPr>
          <w:rFonts w:asciiTheme="majorHAnsi" w:hAnsiTheme="majorHAnsi"/>
          <w:sz w:val="20"/>
          <w:szCs w:val="20"/>
          <w:lang w:val="es-ES_tradnl" w:bidi="ar-MA"/>
        </w:rPr>
        <w:t>Aduce</w:t>
      </w:r>
      <w:r w:rsidRPr="00767718">
        <w:rPr>
          <w:rFonts w:asciiTheme="majorHAnsi" w:hAnsiTheme="majorHAnsi"/>
          <w:sz w:val="20"/>
          <w:szCs w:val="20"/>
          <w:lang w:val="es-ES_tradnl" w:bidi="ar-MA"/>
        </w:rPr>
        <w:t xml:space="preserve"> que a pesar de que</w:t>
      </w:r>
      <w:r w:rsidR="00D3548A" w:rsidRPr="00767718">
        <w:rPr>
          <w:rFonts w:asciiTheme="majorHAnsi" w:hAnsiTheme="majorHAnsi"/>
          <w:sz w:val="20"/>
          <w:szCs w:val="20"/>
          <w:lang w:val="es-ES_tradnl" w:bidi="ar-MA"/>
        </w:rPr>
        <w:t xml:space="preserve"> el Juzgado Noveno Penal del Circuito de Cali,</w:t>
      </w:r>
      <w:r w:rsidRPr="00767718">
        <w:rPr>
          <w:rFonts w:asciiTheme="majorHAnsi" w:hAnsiTheme="majorHAnsi"/>
          <w:sz w:val="20"/>
          <w:szCs w:val="20"/>
          <w:lang w:val="es-ES_tradnl" w:bidi="ar-MA"/>
        </w:rPr>
        <w:t xml:space="preserve"> en su sentencia de junio de 2006</w:t>
      </w:r>
      <w:r w:rsidR="00D3548A" w:rsidRPr="00767718">
        <w:rPr>
          <w:rFonts w:asciiTheme="majorHAnsi" w:hAnsiTheme="majorHAnsi"/>
          <w:sz w:val="20"/>
          <w:szCs w:val="20"/>
          <w:lang w:val="es-ES_tradnl" w:bidi="ar-MA"/>
        </w:rPr>
        <w:t>,</w:t>
      </w:r>
      <w:r w:rsidRPr="00767718">
        <w:rPr>
          <w:rFonts w:asciiTheme="majorHAnsi" w:hAnsiTheme="majorHAnsi"/>
          <w:sz w:val="20"/>
          <w:szCs w:val="20"/>
          <w:lang w:val="es-ES_tradnl" w:bidi="ar-MA"/>
        </w:rPr>
        <w:t xml:space="preserve"> les indicó a las presuntas víctimas que debían interponer una acción de nulidad y restablecimiento del derecho, doce de estas aún no habían utilizado este mecanismo al momento de presentar </w:t>
      </w:r>
      <w:r w:rsidR="00D3548A" w:rsidRPr="00767718">
        <w:rPr>
          <w:rFonts w:asciiTheme="majorHAnsi" w:hAnsiTheme="majorHAnsi"/>
          <w:sz w:val="20"/>
          <w:szCs w:val="20"/>
          <w:lang w:val="es-ES_tradnl" w:bidi="ar-MA"/>
        </w:rPr>
        <w:t>la presente petición a la CIDH</w:t>
      </w:r>
      <w:r w:rsidRPr="00767718">
        <w:rPr>
          <w:rFonts w:asciiTheme="majorHAnsi" w:hAnsiTheme="majorHAnsi"/>
          <w:sz w:val="20"/>
          <w:szCs w:val="20"/>
          <w:lang w:val="es-ES_tradnl" w:bidi="ar-MA"/>
        </w:rPr>
        <w:t>. Indica que tal vía podía ser utilizada incluso si aún no se había hecho el reconocimiento o el pago de la pensión de gracia, toda vez que las presuntas víctimas contaban con un acto administrativo que podía ser demandado. A criterio del Estado, esto acredita que en el presente asunto existe una clara ausencia de uso de la jurisdicción doméstica.</w:t>
      </w:r>
    </w:p>
    <w:p w14:paraId="375C8041" w14:textId="5742A740" w:rsidR="00A806DF" w:rsidRPr="00767718" w:rsidRDefault="00F778B8" w:rsidP="00A806DF">
      <w:pPr>
        <w:pStyle w:val="ListParagraph"/>
        <w:numPr>
          <w:ilvl w:val="0"/>
          <w:numId w:val="103"/>
        </w:numPr>
        <w:jc w:val="both"/>
        <w:rPr>
          <w:rFonts w:asciiTheme="majorHAnsi" w:eastAsia="Arial Unicode MS" w:hAnsiTheme="majorHAnsi" w:cs="Times New Roman"/>
          <w:color w:val="auto"/>
          <w:sz w:val="20"/>
          <w:szCs w:val="20"/>
          <w:lang w:val="es-ES_tradnl" w:eastAsia="en-US" w:bidi="ar-MA"/>
        </w:rPr>
      </w:pPr>
      <w:r w:rsidRPr="00767718">
        <w:rPr>
          <w:rFonts w:asciiTheme="majorHAnsi" w:eastAsia="Arial Unicode MS" w:hAnsiTheme="majorHAnsi" w:cs="Times New Roman"/>
          <w:color w:val="auto"/>
          <w:sz w:val="20"/>
          <w:szCs w:val="20"/>
          <w:lang w:val="es-ES_tradnl" w:eastAsia="en-US" w:bidi="ar-MA"/>
        </w:rPr>
        <w:t>Con r</w:t>
      </w:r>
      <w:r w:rsidR="00A806DF" w:rsidRPr="00767718">
        <w:rPr>
          <w:rFonts w:asciiTheme="majorHAnsi" w:eastAsia="Arial Unicode MS" w:hAnsiTheme="majorHAnsi" w:cs="Times New Roman"/>
          <w:color w:val="auto"/>
          <w:sz w:val="20"/>
          <w:szCs w:val="20"/>
          <w:lang w:val="es-ES_tradnl" w:eastAsia="en-US" w:bidi="ar-MA"/>
        </w:rPr>
        <w:t xml:space="preserve">especto a las catorce presuntas víctimas restantes, Colombia </w:t>
      </w:r>
      <w:r w:rsidRPr="00767718">
        <w:rPr>
          <w:rFonts w:asciiTheme="majorHAnsi" w:eastAsia="Arial Unicode MS" w:hAnsiTheme="majorHAnsi" w:cs="Times New Roman"/>
          <w:color w:val="auto"/>
          <w:sz w:val="20"/>
          <w:szCs w:val="20"/>
          <w:lang w:val="es-ES_tradnl" w:eastAsia="en-US" w:bidi="ar-MA"/>
        </w:rPr>
        <w:t>alega</w:t>
      </w:r>
      <w:r w:rsidR="00A806DF" w:rsidRPr="00767718">
        <w:rPr>
          <w:rFonts w:asciiTheme="majorHAnsi" w:eastAsia="Arial Unicode MS" w:hAnsiTheme="majorHAnsi" w:cs="Times New Roman"/>
          <w:color w:val="auto"/>
          <w:sz w:val="20"/>
          <w:szCs w:val="20"/>
          <w:lang w:val="es-ES_tradnl" w:eastAsia="en-US" w:bidi="ar-MA"/>
        </w:rPr>
        <w:t xml:space="preserve"> que ninguna de ellas cumplió con </w:t>
      </w:r>
      <w:r w:rsidR="00F911C7" w:rsidRPr="00767718">
        <w:rPr>
          <w:rFonts w:asciiTheme="majorHAnsi" w:eastAsia="Arial Unicode MS" w:hAnsiTheme="majorHAnsi" w:cs="Times New Roman"/>
          <w:color w:val="auto"/>
          <w:sz w:val="20"/>
          <w:szCs w:val="20"/>
          <w:lang w:val="es-ES_tradnl" w:eastAsia="en-US" w:bidi="ar-MA"/>
        </w:rPr>
        <w:t>ejercer</w:t>
      </w:r>
      <w:r w:rsidR="00A806DF" w:rsidRPr="00767718">
        <w:rPr>
          <w:rFonts w:asciiTheme="majorHAnsi" w:eastAsia="Arial Unicode MS" w:hAnsiTheme="majorHAnsi" w:cs="Times New Roman"/>
          <w:color w:val="auto"/>
          <w:sz w:val="20"/>
          <w:szCs w:val="20"/>
          <w:lang w:val="es-ES_tradnl" w:eastAsia="en-US" w:bidi="ar-MA"/>
        </w:rPr>
        <w:t xml:space="preserve"> la respectiva acción contenciosa dentro de los cuatro meses siguientes a la notificación del fallo de tutela</w:t>
      </w:r>
      <w:r w:rsidR="00723473" w:rsidRPr="00767718">
        <w:rPr>
          <w:rFonts w:asciiTheme="majorHAnsi" w:eastAsia="Arial Unicode MS" w:hAnsiTheme="majorHAnsi" w:cs="Times New Roman"/>
          <w:color w:val="auto"/>
          <w:sz w:val="20"/>
          <w:szCs w:val="20"/>
          <w:lang w:val="es-ES_tradnl" w:eastAsia="en-US" w:bidi="ar-MA"/>
        </w:rPr>
        <w:t>,</w:t>
      </w:r>
      <w:r w:rsidR="00A806DF" w:rsidRPr="00767718">
        <w:rPr>
          <w:rFonts w:asciiTheme="majorHAnsi" w:eastAsia="Arial Unicode MS" w:hAnsiTheme="majorHAnsi" w:cs="Times New Roman"/>
          <w:color w:val="auto"/>
          <w:sz w:val="20"/>
          <w:szCs w:val="20"/>
          <w:lang w:val="es-ES_tradnl" w:eastAsia="en-US" w:bidi="ar-MA"/>
        </w:rPr>
        <w:t xml:space="preserve"> y solo lo hicieron con posterioridad al 28 de octubre de 2006 cuando ya se había superado el plazo establecido en la citada sentencia. En consecuencia, considera que es notorio que ninguna de estas personas agotó los recursos internos de acuerdo con lo exigido en la sentencia constitucional del 22 de junio de 2006</w:t>
      </w:r>
      <w:r w:rsidR="00245033" w:rsidRPr="00767718">
        <w:rPr>
          <w:rFonts w:asciiTheme="majorHAnsi" w:eastAsia="Arial Unicode MS" w:hAnsiTheme="majorHAnsi" w:cs="Times New Roman"/>
          <w:color w:val="auto"/>
          <w:sz w:val="20"/>
          <w:szCs w:val="20"/>
          <w:lang w:val="es-ES_tradnl" w:eastAsia="en-US" w:bidi="ar-MA"/>
        </w:rPr>
        <w:t>;</w:t>
      </w:r>
      <w:r w:rsidR="00A806DF" w:rsidRPr="00767718">
        <w:rPr>
          <w:rFonts w:asciiTheme="majorHAnsi" w:eastAsia="Arial Unicode MS" w:hAnsiTheme="majorHAnsi" w:cs="Times New Roman"/>
          <w:color w:val="auto"/>
          <w:sz w:val="20"/>
          <w:szCs w:val="20"/>
          <w:lang w:val="es-ES_tradnl" w:eastAsia="en-US" w:bidi="ar-MA"/>
        </w:rPr>
        <w:t xml:space="preserve"> </w:t>
      </w:r>
      <w:r w:rsidR="00245033" w:rsidRPr="00767718">
        <w:rPr>
          <w:rFonts w:asciiTheme="majorHAnsi" w:eastAsia="Arial Unicode MS" w:hAnsiTheme="majorHAnsi" w:cs="Times New Roman"/>
          <w:color w:val="auto"/>
          <w:sz w:val="20"/>
          <w:szCs w:val="20"/>
          <w:lang w:val="es-ES_tradnl" w:eastAsia="en-US" w:bidi="ar-MA"/>
        </w:rPr>
        <w:t>por lo que considera que la presente petición</w:t>
      </w:r>
      <w:r w:rsidR="00A806DF" w:rsidRPr="00767718">
        <w:rPr>
          <w:rFonts w:asciiTheme="majorHAnsi" w:eastAsia="Arial Unicode MS" w:hAnsiTheme="majorHAnsi" w:cs="Times New Roman"/>
          <w:color w:val="auto"/>
          <w:sz w:val="20"/>
          <w:szCs w:val="20"/>
          <w:lang w:val="es-ES_tradnl" w:eastAsia="en-US" w:bidi="ar-MA"/>
        </w:rPr>
        <w:t xml:space="preserve"> debe ser declarada inadmisible por agotamiento indebido de la jurisdicción nacional.</w:t>
      </w:r>
    </w:p>
    <w:p w14:paraId="0C98E8F1" w14:textId="77777777" w:rsidR="00A806DF" w:rsidRPr="00767718" w:rsidRDefault="00A806DF" w:rsidP="00A806DF">
      <w:pPr>
        <w:pStyle w:val="ListParagraph"/>
        <w:jc w:val="both"/>
        <w:rPr>
          <w:rFonts w:asciiTheme="majorHAnsi" w:eastAsia="Arial Unicode MS" w:hAnsiTheme="majorHAnsi" w:cs="Times New Roman"/>
          <w:color w:val="auto"/>
          <w:sz w:val="20"/>
          <w:szCs w:val="20"/>
          <w:lang w:val="es-ES_tradnl" w:eastAsia="en-US" w:bidi="ar-MA"/>
        </w:rPr>
      </w:pPr>
    </w:p>
    <w:p w14:paraId="4DCC8DBD" w14:textId="037700A4" w:rsidR="002F42C6" w:rsidRPr="00767718" w:rsidRDefault="00A5680E" w:rsidP="0EDB5DEE">
      <w:pPr>
        <w:pStyle w:val="ListParagraph"/>
        <w:numPr>
          <w:ilvl w:val="0"/>
          <w:numId w:val="103"/>
        </w:numPr>
        <w:jc w:val="both"/>
        <w:rPr>
          <w:rFonts w:asciiTheme="majorHAnsi" w:eastAsia="Arial Unicode MS" w:hAnsiTheme="majorHAnsi" w:cs="Times New Roman"/>
          <w:color w:val="auto"/>
          <w:sz w:val="20"/>
          <w:szCs w:val="20"/>
          <w:lang w:val="es-ES" w:eastAsia="en-US" w:bidi="ar-MA"/>
        </w:rPr>
      </w:pPr>
      <w:r w:rsidRPr="0EDB5DEE">
        <w:rPr>
          <w:rFonts w:asciiTheme="majorHAnsi" w:hAnsiTheme="majorHAnsi"/>
          <w:sz w:val="20"/>
          <w:szCs w:val="20"/>
          <w:lang w:val="es-ES" w:bidi="ar-MA"/>
        </w:rPr>
        <w:t>Colombia</w:t>
      </w:r>
      <w:r w:rsidR="00A806DF" w:rsidRPr="0EDB5DEE">
        <w:rPr>
          <w:rFonts w:asciiTheme="majorHAnsi" w:hAnsiTheme="majorHAnsi"/>
          <w:sz w:val="20"/>
          <w:szCs w:val="20"/>
          <w:lang w:val="es-ES" w:bidi="ar-MA"/>
        </w:rPr>
        <w:t xml:space="preserve"> plantea </w:t>
      </w:r>
      <w:r w:rsidRPr="0EDB5DEE">
        <w:rPr>
          <w:rFonts w:asciiTheme="majorHAnsi" w:hAnsiTheme="majorHAnsi"/>
          <w:sz w:val="20"/>
          <w:szCs w:val="20"/>
          <w:lang w:val="es-ES" w:bidi="ar-MA"/>
        </w:rPr>
        <w:t xml:space="preserve">adicionalmente </w:t>
      </w:r>
      <w:r w:rsidR="00A806DF" w:rsidRPr="0EDB5DEE">
        <w:rPr>
          <w:rFonts w:asciiTheme="majorHAnsi" w:hAnsiTheme="majorHAnsi"/>
          <w:sz w:val="20"/>
          <w:szCs w:val="20"/>
          <w:lang w:val="es-ES" w:bidi="ar-MA"/>
        </w:rPr>
        <w:t xml:space="preserve">que en caso de que la CIDH considere que se cumple el requisito del previo agotamiento de la jurisdicción nacional, los hechos alegados no </w:t>
      </w:r>
      <w:r w:rsidR="005A29DB" w:rsidRPr="0EDB5DEE">
        <w:rPr>
          <w:rFonts w:asciiTheme="majorHAnsi" w:hAnsiTheme="majorHAnsi"/>
          <w:sz w:val="20"/>
          <w:szCs w:val="20"/>
          <w:lang w:val="es-ES" w:bidi="ar-MA"/>
        </w:rPr>
        <w:t>constituyen</w:t>
      </w:r>
      <w:r w:rsidR="00A806DF" w:rsidRPr="0EDB5DEE">
        <w:rPr>
          <w:rFonts w:asciiTheme="majorHAnsi" w:hAnsiTheme="majorHAnsi"/>
          <w:sz w:val="20"/>
          <w:szCs w:val="20"/>
          <w:lang w:val="es-ES" w:bidi="ar-MA"/>
        </w:rPr>
        <w:t xml:space="preserve"> ni siquiera </w:t>
      </w:r>
      <w:r w:rsidR="00A806DF" w:rsidRPr="0EDB5DEE">
        <w:rPr>
          <w:rFonts w:asciiTheme="majorHAnsi" w:hAnsiTheme="majorHAnsi"/>
          <w:i/>
          <w:iCs/>
          <w:sz w:val="20"/>
          <w:szCs w:val="20"/>
          <w:lang w:val="es-ES" w:bidi="ar-MA"/>
        </w:rPr>
        <w:t>prima facie</w:t>
      </w:r>
      <w:r w:rsidR="00A806DF" w:rsidRPr="0EDB5DEE">
        <w:rPr>
          <w:rFonts w:asciiTheme="majorHAnsi" w:hAnsiTheme="majorHAnsi"/>
          <w:sz w:val="20"/>
          <w:szCs w:val="20"/>
          <w:lang w:val="es-ES" w:bidi="ar-MA"/>
        </w:rPr>
        <w:t xml:space="preserve"> </w:t>
      </w:r>
      <w:r w:rsidR="00A101B5" w:rsidRPr="0EDB5DEE">
        <w:rPr>
          <w:rFonts w:asciiTheme="majorHAnsi" w:hAnsiTheme="majorHAnsi"/>
          <w:sz w:val="20"/>
          <w:szCs w:val="20"/>
          <w:lang w:val="es-ES" w:bidi="ar-MA"/>
        </w:rPr>
        <w:t>violaciones</w:t>
      </w:r>
      <w:r w:rsidR="00A806DF" w:rsidRPr="0EDB5DEE">
        <w:rPr>
          <w:rFonts w:asciiTheme="majorHAnsi" w:hAnsiTheme="majorHAnsi"/>
          <w:sz w:val="20"/>
          <w:szCs w:val="20"/>
          <w:lang w:val="es-ES" w:bidi="ar-MA"/>
        </w:rPr>
        <w:t xml:space="preserve"> de derechos humanos que le sea</w:t>
      </w:r>
      <w:r w:rsidR="00A101B5" w:rsidRPr="0EDB5DEE">
        <w:rPr>
          <w:rFonts w:asciiTheme="majorHAnsi" w:hAnsiTheme="majorHAnsi"/>
          <w:sz w:val="20"/>
          <w:szCs w:val="20"/>
          <w:lang w:val="es-ES" w:bidi="ar-MA"/>
        </w:rPr>
        <w:t>n</w:t>
      </w:r>
      <w:r w:rsidR="00A806DF" w:rsidRPr="0EDB5DEE">
        <w:rPr>
          <w:rFonts w:asciiTheme="majorHAnsi" w:hAnsiTheme="majorHAnsi"/>
          <w:sz w:val="20"/>
          <w:szCs w:val="20"/>
          <w:lang w:val="es-ES" w:bidi="ar-MA"/>
        </w:rPr>
        <w:t xml:space="preserve"> atribuible</w:t>
      </w:r>
      <w:r w:rsidR="00A101B5" w:rsidRPr="0EDB5DEE">
        <w:rPr>
          <w:rFonts w:asciiTheme="majorHAnsi" w:hAnsiTheme="majorHAnsi"/>
          <w:sz w:val="20"/>
          <w:szCs w:val="20"/>
          <w:lang w:val="es-ES" w:bidi="ar-MA"/>
        </w:rPr>
        <w:t>s</w:t>
      </w:r>
      <w:r w:rsidR="00A806DF" w:rsidRPr="0EDB5DEE">
        <w:rPr>
          <w:rFonts w:asciiTheme="majorHAnsi" w:hAnsiTheme="majorHAnsi"/>
          <w:sz w:val="20"/>
          <w:szCs w:val="20"/>
          <w:lang w:val="es-ES" w:bidi="ar-MA"/>
        </w:rPr>
        <w:t xml:space="preserve">. </w:t>
      </w:r>
      <w:r w:rsidR="005E4156" w:rsidRPr="0EDB5DEE">
        <w:rPr>
          <w:rFonts w:asciiTheme="majorHAnsi" w:hAnsiTheme="majorHAnsi"/>
          <w:sz w:val="20"/>
          <w:szCs w:val="20"/>
          <w:lang w:val="es-ES" w:bidi="ar-MA"/>
        </w:rPr>
        <w:t>Sostiene que, por el contrario,</w:t>
      </w:r>
      <w:r w:rsidR="00A806DF" w:rsidRPr="0EDB5DEE">
        <w:rPr>
          <w:rFonts w:asciiTheme="majorHAnsi" w:hAnsiTheme="majorHAnsi"/>
          <w:sz w:val="20"/>
          <w:szCs w:val="20"/>
          <w:lang w:val="es-ES" w:bidi="ar-MA"/>
        </w:rPr>
        <w:t xml:space="preserve"> la parte peticionaria pretende que la Comisión actúe como una cuarta instancia judicial </w:t>
      </w:r>
      <w:r w:rsidR="005E4156" w:rsidRPr="0EDB5DEE">
        <w:rPr>
          <w:rFonts w:asciiTheme="majorHAnsi" w:hAnsiTheme="majorHAnsi"/>
          <w:sz w:val="20"/>
          <w:szCs w:val="20"/>
          <w:lang w:val="es-ES" w:bidi="ar-MA"/>
        </w:rPr>
        <w:t>que</w:t>
      </w:r>
      <w:r w:rsidR="00A806DF" w:rsidRPr="0EDB5DEE">
        <w:rPr>
          <w:rFonts w:asciiTheme="majorHAnsi" w:hAnsiTheme="majorHAnsi"/>
          <w:sz w:val="20"/>
          <w:szCs w:val="20"/>
          <w:lang w:val="es-ES" w:bidi="ar-MA"/>
        </w:rPr>
        <w:t xml:space="preserve"> revise las valoraciones de hecho y de derecho efectuadas por los jueces y tribunales internos que actuaron en la esfera de su competencia. </w:t>
      </w:r>
      <w:r w:rsidR="00A806DF" w:rsidRPr="0EDB5DEE">
        <w:rPr>
          <w:rFonts w:asciiTheme="majorHAnsi" w:hAnsiTheme="majorHAnsi"/>
          <w:sz w:val="20"/>
          <w:szCs w:val="20"/>
          <w:lang w:val="es-ES" w:bidi="ar-MA"/>
        </w:rPr>
        <w:lastRenderedPageBreak/>
        <w:t xml:space="preserve">Con base en ello, considera que no corresponde a la Comisión analizar el presente asunto, pues no se ha acreditado la existencia de una resolución o decisión que haya sido dictada al margen del debido proceso o que aparentemente haya violado cualquier otro derecho </w:t>
      </w:r>
      <w:r w:rsidR="006C359E" w:rsidRPr="0EDB5DEE">
        <w:rPr>
          <w:rFonts w:asciiTheme="majorHAnsi" w:hAnsiTheme="majorHAnsi"/>
          <w:sz w:val="20"/>
          <w:szCs w:val="20"/>
          <w:lang w:val="es-ES" w:bidi="ar-MA"/>
        </w:rPr>
        <w:t>establecido</w:t>
      </w:r>
      <w:r w:rsidR="00A806DF" w:rsidRPr="0EDB5DEE">
        <w:rPr>
          <w:rFonts w:asciiTheme="majorHAnsi" w:hAnsiTheme="majorHAnsi"/>
          <w:sz w:val="20"/>
          <w:szCs w:val="20"/>
          <w:lang w:val="es-ES" w:bidi="ar-MA"/>
        </w:rPr>
        <w:t xml:space="preserve"> </w:t>
      </w:r>
      <w:r w:rsidR="006C359E" w:rsidRPr="0EDB5DEE">
        <w:rPr>
          <w:rFonts w:asciiTheme="majorHAnsi" w:hAnsiTheme="majorHAnsi"/>
          <w:sz w:val="20"/>
          <w:szCs w:val="20"/>
          <w:lang w:val="es-ES" w:bidi="ar-MA"/>
        </w:rPr>
        <w:t>en</w:t>
      </w:r>
      <w:r w:rsidR="00A806DF" w:rsidRPr="0EDB5DEE">
        <w:rPr>
          <w:rFonts w:asciiTheme="majorHAnsi" w:hAnsiTheme="majorHAnsi"/>
          <w:sz w:val="20"/>
          <w:szCs w:val="20"/>
          <w:lang w:val="es-ES" w:bidi="ar-MA"/>
        </w:rPr>
        <w:t xml:space="preserve"> la Convención</w:t>
      </w:r>
      <w:r w:rsidR="006C359E" w:rsidRPr="0EDB5DEE">
        <w:rPr>
          <w:rFonts w:asciiTheme="majorHAnsi" w:hAnsiTheme="majorHAnsi"/>
          <w:sz w:val="20"/>
          <w:szCs w:val="20"/>
          <w:lang w:val="es-ES" w:bidi="ar-MA"/>
        </w:rPr>
        <w:t xml:space="preserve"> Americana</w:t>
      </w:r>
      <w:r w:rsidR="00A806DF" w:rsidRPr="0EDB5DEE">
        <w:rPr>
          <w:rFonts w:asciiTheme="majorHAnsi" w:hAnsiTheme="majorHAnsi"/>
          <w:sz w:val="20"/>
          <w:szCs w:val="20"/>
          <w:lang w:val="es-ES" w:bidi="ar-MA"/>
        </w:rPr>
        <w:t>.</w:t>
      </w:r>
    </w:p>
    <w:p w14:paraId="65D74890" w14:textId="77777777" w:rsidR="002F42C6" w:rsidRPr="00767718" w:rsidRDefault="002F42C6" w:rsidP="002F42C6">
      <w:pPr>
        <w:pStyle w:val="ListParagraph"/>
        <w:jc w:val="both"/>
        <w:rPr>
          <w:rFonts w:asciiTheme="majorHAnsi" w:eastAsia="Arial Unicode MS" w:hAnsiTheme="majorHAnsi" w:cs="Times New Roman"/>
          <w:color w:val="auto"/>
          <w:sz w:val="20"/>
          <w:szCs w:val="20"/>
          <w:lang w:val="es-ES_tradnl" w:eastAsia="en-US" w:bidi="ar-MA"/>
        </w:rPr>
      </w:pPr>
    </w:p>
    <w:p w14:paraId="744AE0AE" w14:textId="1B1B7ADA" w:rsidR="002F42C6" w:rsidRPr="00767718" w:rsidRDefault="004E2178" w:rsidP="0EDB5DEE">
      <w:pPr>
        <w:pStyle w:val="ListParagraph"/>
        <w:numPr>
          <w:ilvl w:val="0"/>
          <w:numId w:val="103"/>
        </w:numPr>
        <w:jc w:val="both"/>
        <w:rPr>
          <w:rFonts w:asciiTheme="majorHAnsi" w:eastAsia="Arial Unicode MS" w:hAnsiTheme="majorHAnsi" w:cs="Times New Roman"/>
          <w:color w:val="auto"/>
          <w:sz w:val="20"/>
          <w:szCs w:val="20"/>
          <w:lang w:val="es-ES" w:eastAsia="en-US" w:bidi="ar-MA"/>
        </w:rPr>
      </w:pPr>
      <w:r w:rsidRPr="0EDB5DEE">
        <w:rPr>
          <w:sz w:val="20"/>
          <w:szCs w:val="20"/>
          <w:lang w:val="es-ES" w:bidi="ar-MA"/>
        </w:rPr>
        <w:t xml:space="preserve">El Estado subraya </w:t>
      </w:r>
      <w:r w:rsidR="005F4A6B" w:rsidRPr="0EDB5DEE">
        <w:rPr>
          <w:sz w:val="20"/>
          <w:szCs w:val="20"/>
          <w:lang w:val="es-ES" w:bidi="ar-MA"/>
        </w:rPr>
        <w:t xml:space="preserve">que </w:t>
      </w:r>
      <w:r w:rsidRPr="0EDB5DEE">
        <w:rPr>
          <w:sz w:val="20"/>
          <w:szCs w:val="20"/>
          <w:lang w:val="es-ES" w:bidi="ar-MA"/>
        </w:rPr>
        <w:t>los tribunales internos determinaron</w:t>
      </w:r>
      <w:r w:rsidR="002F42C6" w:rsidRPr="0EDB5DEE">
        <w:rPr>
          <w:sz w:val="20"/>
          <w:szCs w:val="20"/>
          <w:lang w:val="es-ES" w:bidi="ar-MA"/>
        </w:rPr>
        <w:t xml:space="preserve"> que las presuntas víctimas debieron haber cumplido con el requerimiento establecido en la sentencia del 22 de junio de 2006 para afirmar que existe un incumplimiento por parte de la UGPP. </w:t>
      </w:r>
      <w:r w:rsidR="00D91BEF" w:rsidRPr="0EDB5DEE">
        <w:rPr>
          <w:sz w:val="20"/>
          <w:szCs w:val="20"/>
          <w:lang w:val="es-ES" w:bidi="ar-MA"/>
        </w:rPr>
        <w:t>En este sentido</w:t>
      </w:r>
      <w:r w:rsidR="002F42C6" w:rsidRPr="0EDB5DEE">
        <w:rPr>
          <w:sz w:val="20"/>
          <w:szCs w:val="20"/>
          <w:lang w:val="es-ES" w:bidi="ar-MA"/>
        </w:rPr>
        <w:t xml:space="preserve">, indica que </w:t>
      </w:r>
      <w:r w:rsidR="00AC4BF6" w:rsidRPr="0EDB5DEE">
        <w:rPr>
          <w:sz w:val="20"/>
          <w:szCs w:val="20"/>
          <w:lang w:val="es-ES" w:bidi="ar-MA"/>
        </w:rPr>
        <w:t>aquellas</w:t>
      </w:r>
      <w:r w:rsidR="002F42C6" w:rsidRPr="0EDB5DEE">
        <w:rPr>
          <w:sz w:val="20"/>
          <w:szCs w:val="20"/>
          <w:lang w:val="es-ES" w:bidi="ar-MA"/>
        </w:rPr>
        <w:t xml:space="preserve"> debieron interponer el recurso adecuado y efectivo, que era la acción de nulidad y restablecimiento del derecho, en el plazo de cuatro meses después de haber sido notificadas del fallo, a efectos de que la jurisdicción especializada resolviera la situación jurídica respecto de la pensión de gracia de los accionantes, pues la tutela solo era un mecanismo transitorio</w:t>
      </w:r>
      <w:r w:rsidR="00AC4BF6" w:rsidRPr="0EDB5DEE">
        <w:rPr>
          <w:sz w:val="20"/>
          <w:szCs w:val="20"/>
          <w:lang w:val="es-ES" w:bidi="ar-MA"/>
        </w:rPr>
        <w:t>,</w:t>
      </w:r>
      <w:r w:rsidR="002F42C6" w:rsidRPr="0EDB5DEE">
        <w:rPr>
          <w:sz w:val="20"/>
          <w:szCs w:val="20"/>
          <w:lang w:val="es-ES" w:bidi="ar-MA"/>
        </w:rPr>
        <w:t xml:space="preserve"> y por ende, no resultaba idóneo para canalizar por completo el reclamo expuesto.</w:t>
      </w:r>
    </w:p>
    <w:p w14:paraId="329396C5" w14:textId="77777777" w:rsidR="002F42C6" w:rsidRPr="00767718" w:rsidRDefault="002F42C6" w:rsidP="002F42C6">
      <w:pPr>
        <w:pStyle w:val="ListParagraph"/>
        <w:jc w:val="both"/>
        <w:rPr>
          <w:rFonts w:asciiTheme="majorHAnsi" w:eastAsia="Arial Unicode MS" w:hAnsiTheme="majorHAnsi" w:cs="Times New Roman"/>
          <w:color w:val="auto"/>
          <w:sz w:val="20"/>
          <w:szCs w:val="20"/>
          <w:lang w:val="es-ES_tradnl" w:eastAsia="en-US" w:bidi="ar-MA"/>
        </w:rPr>
      </w:pPr>
    </w:p>
    <w:p w14:paraId="1FD59A00" w14:textId="6FCA50E1" w:rsidR="0064684E" w:rsidRPr="00767718" w:rsidRDefault="00DA46B6" w:rsidP="006468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bidi="ar-MA"/>
        </w:rPr>
      </w:pPr>
      <w:r w:rsidRPr="00767718">
        <w:rPr>
          <w:rFonts w:asciiTheme="majorHAnsi" w:hAnsiTheme="majorHAnsi"/>
          <w:b/>
          <w:bCs/>
          <w:sz w:val="20"/>
          <w:szCs w:val="20"/>
          <w:lang w:val="es-ES_tradnl" w:bidi="ar-MA"/>
        </w:rPr>
        <w:t>VI.</w:t>
      </w:r>
      <w:r w:rsidRPr="00767718">
        <w:rPr>
          <w:rFonts w:asciiTheme="majorHAnsi" w:hAnsiTheme="majorHAnsi"/>
          <w:b/>
          <w:bCs/>
          <w:sz w:val="20"/>
          <w:szCs w:val="20"/>
          <w:lang w:val="es-ES_tradnl" w:bidi="ar-MA"/>
        </w:rPr>
        <w:tab/>
        <w:t xml:space="preserve">ANÁLISIS DE </w:t>
      </w:r>
      <w:r w:rsidRPr="00767718">
        <w:rPr>
          <w:rFonts w:asciiTheme="majorHAnsi" w:hAnsiTheme="majorHAnsi"/>
          <w:b/>
          <w:sz w:val="20"/>
          <w:szCs w:val="20"/>
          <w:lang w:val="es-ES_tradnl" w:bidi="ar-MA"/>
        </w:rPr>
        <w:t>AGOTAMIENTO DE LOS RECURSOS INTERNOS Y PLAZO DE PRESENTACIÓN</w:t>
      </w:r>
      <w:r w:rsidR="008D5922" w:rsidRPr="00767718">
        <w:rPr>
          <w:sz w:val="20"/>
          <w:szCs w:val="20"/>
          <w:lang w:val="es-ES_tradnl" w:bidi="ar-MA"/>
        </w:rPr>
        <w:t xml:space="preserve"> </w:t>
      </w:r>
    </w:p>
    <w:p w14:paraId="3113E3CA" w14:textId="206F0AD3" w:rsidR="00E1770B" w:rsidRPr="00767718" w:rsidRDefault="00126F60" w:rsidP="00E1770B">
      <w:pPr>
        <w:pStyle w:val="ListParagraph"/>
        <w:numPr>
          <w:ilvl w:val="0"/>
          <w:numId w:val="103"/>
        </w:numPr>
        <w:jc w:val="both"/>
        <w:rPr>
          <w:rFonts w:asciiTheme="majorHAnsi" w:eastAsia="Arial Unicode MS" w:hAnsiTheme="majorHAnsi" w:cs="Times New Roman"/>
          <w:color w:val="auto"/>
          <w:sz w:val="20"/>
          <w:szCs w:val="20"/>
          <w:lang w:val="es-ES_tradnl" w:eastAsia="en-US" w:bidi="ar-MA"/>
        </w:rPr>
      </w:pPr>
      <w:r w:rsidRPr="00767718">
        <w:rPr>
          <w:rFonts w:asciiTheme="majorHAnsi" w:hAnsiTheme="majorHAnsi"/>
          <w:sz w:val="20"/>
          <w:szCs w:val="20"/>
          <w:lang w:val="es-ES_tradnl" w:bidi="ar-MA"/>
        </w:rPr>
        <w:t xml:space="preserve">La Comisión observa que el objeto central de esta petición se enfoca en la alegada falta de cumplimiento de una sentencia de tutela que ordenaba transitoriamente el pago de una pensión de gracia a favor de las presuntas víctimas. Sin embargo, la Comisión advierte que este fallo también ordenaba a </w:t>
      </w:r>
      <w:r w:rsidR="00451D13" w:rsidRPr="00767718">
        <w:rPr>
          <w:rFonts w:asciiTheme="majorHAnsi" w:hAnsiTheme="majorHAnsi"/>
          <w:sz w:val="20"/>
          <w:szCs w:val="20"/>
          <w:lang w:val="es-ES_tradnl" w:bidi="ar-MA"/>
        </w:rPr>
        <w:t>los</w:t>
      </w:r>
      <w:r w:rsidRPr="00767718">
        <w:rPr>
          <w:rFonts w:asciiTheme="majorHAnsi" w:hAnsiTheme="majorHAnsi"/>
          <w:sz w:val="20"/>
          <w:szCs w:val="20"/>
          <w:lang w:val="es-ES_tradnl" w:bidi="ar-MA"/>
        </w:rPr>
        <w:t xml:space="preserve"> accionantes acudir a la vía contenciosa administrativa </w:t>
      </w:r>
      <w:r w:rsidR="005B1658" w:rsidRPr="00767718">
        <w:rPr>
          <w:rFonts w:asciiTheme="majorHAnsi" w:hAnsiTheme="majorHAnsi"/>
          <w:sz w:val="20"/>
          <w:szCs w:val="20"/>
          <w:lang w:val="es-ES_tradnl" w:bidi="ar-MA"/>
        </w:rPr>
        <w:t xml:space="preserve">por medio de </w:t>
      </w:r>
      <w:r w:rsidR="005B1658" w:rsidRPr="00767718">
        <w:rPr>
          <w:sz w:val="20"/>
          <w:szCs w:val="20"/>
          <w:lang w:val="es-ES_tradnl" w:bidi="ar-MA"/>
        </w:rPr>
        <w:t>la acción de nulidad y restablecimiento del derecho</w:t>
      </w:r>
      <w:r w:rsidR="005B1658" w:rsidRPr="00767718">
        <w:rPr>
          <w:rFonts w:asciiTheme="majorHAnsi" w:hAnsiTheme="majorHAnsi"/>
          <w:sz w:val="20"/>
          <w:szCs w:val="20"/>
          <w:lang w:val="es-ES_tradnl" w:bidi="ar-MA"/>
        </w:rPr>
        <w:t xml:space="preserve"> </w:t>
      </w:r>
      <w:r w:rsidRPr="00767718">
        <w:rPr>
          <w:rFonts w:asciiTheme="majorHAnsi" w:hAnsiTheme="majorHAnsi"/>
          <w:sz w:val="20"/>
          <w:szCs w:val="20"/>
          <w:lang w:val="es-ES_tradnl" w:bidi="ar-MA"/>
        </w:rPr>
        <w:t>en el plazo de cuatro meses, a fin de que su situación sea dilucidada de forma definitiva</w:t>
      </w:r>
      <w:r w:rsidR="00A560F1" w:rsidRPr="00767718">
        <w:rPr>
          <w:rFonts w:asciiTheme="majorHAnsi" w:hAnsiTheme="majorHAnsi"/>
          <w:sz w:val="20"/>
          <w:szCs w:val="20"/>
          <w:lang w:val="es-ES_tradnl" w:bidi="ar-MA"/>
        </w:rPr>
        <w:t xml:space="preserve"> por los tribunales competentes</w:t>
      </w:r>
      <w:r w:rsidRPr="00767718">
        <w:rPr>
          <w:rFonts w:asciiTheme="majorHAnsi" w:hAnsiTheme="majorHAnsi"/>
          <w:sz w:val="20"/>
          <w:szCs w:val="20"/>
          <w:lang w:val="es-ES_tradnl" w:bidi="ar-MA"/>
        </w:rPr>
        <w:t xml:space="preserve">. Por ello, el reconocimiento de su derecho en sede constitucional solo tendría efectos hasta que la jurisdicción ordinaria </w:t>
      </w:r>
      <w:r w:rsidR="00AE17F5" w:rsidRPr="00767718">
        <w:rPr>
          <w:rFonts w:asciiTheme="majorHAnsi" w:hAnsiTheme="majorHAnsi"/>
          <w:sz w:val="20"/>
          <w:szCs w:val="20"/>
          <w:lang w:val="es-ES_tradnl" w:bidi="ar-MA"/>
        </w:rPr>
        <w:t>adoptara</w:t>
      </w:r>
      <w:r w:rsidRPr="00767718">
        <w:rPr>
          <w:rFonts w:asciiTheme="majorHAnsi" w:hAnsiTheme="majorHAnsi"/>
          <w:sz w:val="20"/>
          <w:szCs w:val="20"/>
          <w:lang w:val="es-ES_tradnl" w:bidi="ar-MA"/>
        </w:rPr>
        <w:t xml:space="preserve"> una decisión.</w:t>
      </w:r>
    </w:p>
    <w:p w14:paraId="734908FD" w14:textId="77777777" w:rsidR="00E1770B" w:rsidRPr="00767718" w:rsidRDefault="00E1770B" w:rsidP="00E1770B">
      <w:pPr>
        <w:pStyle w:val="ListParagraph"/>
        <w:jc w:val="both"/>
        <w:rPr>
          <w:rFonts w:asciiTheme="majorHAnsi" w:eastAsia="Arial Unicode MS" w:hAnsiTheme="majorHAnsi" w:cs="Times New Roman"/>
          <w:color w:val="auto"/>
          <w:sz w:val="20"/>
          <w:szCs w:val="20"/>
          <w:lang w:val="es-ES_tradnl" w:eastAsia="en-US" w:bidi="ar-MA"/>
        </w:rPr>
      </w:pPr>
    </w:p>
    <w:p w14:paraId="7E86AD69" w14:textId="77777777" w:rsidR="007F08ED" w:rsidRPr="00767718" w:rsidRDefault="007F08ED" w:rsidP="007F08ED">
      <w:pPr>
        <w:pStyle w:val="ListParagraph"/>
        <w:numPr>
          <w:ilvl w:val="0"/>
          <w:numId w:val="103"/>
        </w:numPr>
        <w:jc w:val="both"/>
        <w:rPr>
          <w:rFonts w:asciiTheme="majorHAnsi" w:eastAsia="Arial Unicode MS" w:hAnsiTheme="majorHAnsi" w:cs="Times New Roman"/>
          <w:color w:val="auto"/>
          <w:sz w:val="20"/>
          <w:szCs w:val="20"/>
          <w:lang w:val="es-ES_tradnl" w:eastAsia="en-US" w:bidi="ar-MA"/>
        </w:rPr>
      </w:pPr>
      <w:r w:rsidRPr="00767718">
        <w:rPr>
          <w:sz w:val="20"/>
          <w:szCs w:val="20"/>
          <w:lang w:val="es-ES_tradnl" w:bidi="ar-MA"/>
        </w:rPr>
        <w:t>Con base en ello, l</w:t>
      </w:r>
      <w:r w:rsidR="00E1770B" w:rsidRPr="00767718">
        <w:rPr>
          <w:sz w:val="20"/>
          <w:szCs w:val="20"/>
          <w:lang w:val="es-ES_tradnl" w:bidi="ar-MA"/>
        </w:rPr>
        <w:t xml:space="preserve">a Comisión nota </w:t>
      </w:r>
      <w:r w:rsidRPr="00767718">
        <w:rPr>
          <w:sz w:val="20"/>
          <w:szCs w:val="20"/>
          <w:lang w:val="es-ES_tradnl" w:bidi="ar-MA"/>
        </w:rPr>
        <w:t>que,</w:t>
      </w:r>
      <w:r w:rsidRPr="00767718">
        <w:rPr>
          <w:rFonts w:asciiTheme="majorHAnsi" w:hAnsiTheme="majorHAnsi"/>
          <w:sz w:val="20"/>
          <w:szCs w:val="20"/>
          <w:lang w:val="es-ES_tradnl" w:bidi="ar-MA"/>
        </w:rPr>
        <w:t xml:space="preserve"> de acuerdo con lo resuelto por la Sala Penal del Tribunal Superior del Distrito Judicial de Cali, la CAJANAL cumplió con pagarles transitoriamente la pensión de gracia a las presuntas víctimas y solo suspendió el pago debido a que estas no cumplieron lo ordenado en el fallo constitucional, pues no iniciaron un proceso en la vía contenciosa administrativa. Al respecto, la parte peticionaria no aporta argumentos o documentos que desacrediten la conclusión de dicha sentencia. </w:t>
      </w:r>
    </w:p>
    <w:p w14:paraId="10EC28E1" w14:textId="77777777" w:rsidR="007F08ED" w:rsidRPr="00767718" w:rsidRDefault="007F08ED" w:rsidP="007F08ED">
      <w:pPr>
        <w:pStyle w:val="ListParagraph"/>
        <w:jc w:val="both"/>
        <w:rPr>
          <w:rFonts w:asciiTheme="majorHAnsi" w:eastAsia="Arial Unicode MS" w:hAnsiTheme="majorHAnsi" w:cs="Times New Roman"/>
          <w:color w:val="auto"/>
          <w:sz w:val="20"/>
          <w:szCs w:val="20"/>
          <w:lang w:val="es-ES_tradnl" w:eastAsia="en-US" w:bidi="ar-MA"/>
        </w:rPr>
      </w:pPr>
    </w:p>
    <w:p w14:paraId="06928DBC" w14:textId="0CE980FC" w:rsidR="00294A54" w:rsidRPr="00294A54" w:rsidRDefault="00E1770B" w:rsidP="0EDB5DEE">
      <w:pPr>
        <w:pStyle w:val="ListParagraph"/>
        <w:numPr>
          <w:ilvl w:val="0"/>
          <w:numId w:val="103"/>
        </w:numPr>
        <w:jc w:val="both"/>
        <w:rPr>
          <w:rFonts w:asciiTheme="majorHAnsi" w:eastAsia="Arial Unicode MS" w:hAnsiTheme="majorHAnsi" w:cs="Times New Roman"/>
          <w:color w:val="auto"/>
          <w:sz w:val="20"/>
          <w:szCs w:val="20"/>
          <w:lang w:val="es-ES" w:eastAsia="en-US" w:bidi="ar-MA"/>
        </w:rPr>
      </w:pPr>
      <w:r w:rsidRPr="0EDB5DEE">
        <w:rPr>
          <w:rFonts w:asciiTheme="majorHAnsi" w:hAnsiTheme="majorHAnsi"/>
          <w:sz w:val="20"/>
          <w:szCs w:val="20"/>
          <w:lang w:val="es-ES" w:bidi="ar-MA"/>
        </w:rPr>
        <w:t xml:space="preserve">A criterio de la Comisión, esto demuestra que las </w:t>
      </w:r>
      <w:r w:rsidR="00767718" w:rsidRPr="0EDB5DEE">
        <w:rPr>
          <w:rFonts w:asciiTheme="majorHAnsi" w:hAnsiTheme="majorHAnsi"/>
          <w:sz w:val="20"/>
          <w:szCs w:val="20"/>
          <w:lang w:val="es-ES" w:bidi="ar-MA"/>
        </w:rPr>
        <w:t>presuntas víctimas</w:t>
      </w:r>
      <w:r w:rsidRPr="0EDB5DEE">
        <w:rPr>
          <w:rFonts w:asciiTheme="majorHAnsi" w:hAnsiTheme="majorHAnsi"/>
          <w:sz w:val="20"/>
          <w:szCs w:val="20"/>
          <w:lang w:val="es-ES" w:bidi="ar-MA"/>
        </w:rPr>
        <w:t xml:space="preserve"> no cumplieron </w:t>
      </w:r>
      <w:r w:rsidR="00767718" w:rsidRPr="0EDB5DEE">
        <w:rPr>
          <w:rFonts w:asciiTheme="majorHAnsi" w:hAnsiTheme="majorHAnsi"/>
          <w:sz w:val="20"/>
          <w:szCs w:val="20"/>
          <w:lang w:val="es-ES" w:bidi="ar-MA"/>
        </w:rPr>
        <w:t xml:space="preserve">con </w:t>
      </w:r>
      <w:r w:rsidRPr="0EDB5DEE">
        <w:rPr>
          <w:rFonts w:asciiTheme="majorHAnsi" w:hAnsiTheme="majorHAnsi"/>
          <w:sz w:val="20"/>
          <w:szCs w:val="20"/>
          <w:lang w:val="es-ES" w:bidi="ar-MA"/>
        </w:rPr>
        <w:t>el requerimiento dispuesto en la decisión judicial que alegan incumplida</w:t>
      </w:r>
      <w:r w:rsidR="00767718" w:rsidRPr="0EDB5DEE">
        <w:rPr>
          <w:rFonts w:asciiTheme="majorHAnsi" w:hAnsiTheme="majorHAnsi"/>
          <w:sz w:val="20"/>
          <w:szCs w:val="20"/>
          <w:lang w:val="es-ES" w:bidi="ar-MA"/>
        </w:rPr>
        <w:t>,</w:t>
      </w:r>
      <w:r w:rsidRPr="0EDB5DEE">
        <w:rPr>
          <w:rFonts w:asciiTheme="majorHAnsi" w:hAnsiTheme="majorHAnsi"/>
          <w:sz w:val="20"/>
          <w:szCs w:val="20"/>
          <w:lang w:val="es-ES" w:bidi="ar-MA"/>
        </w:rPr>
        <w:t xml:space="preserve"> y como consecuencia, no lograron iniciar un proceso que les permitiera obtener sus pensiones. Si bien el peticionario manifiesta que debe separarse la afectación generada por la inefectividad de la sentencia constitucional del eventual incumplimiento de las presuntas víctimas en interponer una demanda en sede contenciosa administrativa, la Comisión considera que ambas cuestiones están estrechamente vinculadas </w:t>
      </w:r>
      <w:r w:rsidR="007F08ED" w:rsidRPr="0EDB5DEE">
        <w:rPr>
          <w:rFonts w:asciiTheme="majorHAnsi" w:hAnsiTheme="majorHAnsi"/>
          <w:sz w:val="20"/>
          <w:szCs w:val="20"/>
          <w:lang w:val="es-ES" w:bidi="ar-MA"/>
        </w:rPr>
        <w:t xml:space="preserve">y solo su análisis conjunto permite </w:t>
      </w:r>
      <w:r w:rsidRPr="0EDB5DEE">
        <w:rPr>
          <w:rFonts w:asciiTheme="majorHAnsi" w:hAnsiTheme="majorHAnsi"/>
          <w:sz w:val="20"/>
          <w:szCs w:val="20"/>
          <w:lang w:val="es-ES" w:bidi="ar-MA"/>
        </w:rPr>
        <w:t xml:space="preserve">valorar si las presuntas víctimas tuvieron o no la posibilidad de reclamar sus pensiones de gracia. </w:t>
      </w:r>
      <w:r w:rsidR="000B5D97" w:rsidRPr="0EDB5DEE">
        <w:rPr>
          <w:rFonts w:asciiTheme="majorHAnsi" w:hAnsiTheme="majorHAnsi"/>
          <w:sz w:val="20"/>
          <w:szCs w:val="20"/>
          <w:lang w:val="es-ES" w:bidi="ar-MA"/>
        </w:rPr>
        <w:t xml:space="preserve">La Comisión </w:t>
      </w:r>
      <w:r w:rsidR="00DE71BD" w:rsidRPr="0EDB5DEE">
        <w:rPr>
          <w:rFonts w:asciiTheme="majorHAnsi" w:hAnsiTheme="majorHAnsi"/>
          <w:sz w:val="20"/>
          <w:szCs w:val="20"/>
          <w:lang w:val="es-ES" w:bidi="ar-MA"/>
        </w:rPr>
        <w:t>observa</w:t>
      </w:r>
      <w:r w:rsidR="000B5D97" w:rsidRPr="0EDB5DEE">
        <w:rPr>
          <w:rFonts w:asciiTheme="majorHAnsi" w:hAnsiTheme="majorHAnsi"/>
          <w:sz w:val="20"/>
          <w:szCs w:val="20"/>
          <w:lang w:val="es-ES" w:bidi="ar-MA"/>
        </w:rPr>
        <w:t xml:space="preserve"> además que</w:t>
      </w:r>
      <w:r w:rsidR="003C6C2E">
        <w:rPr>
          <w:rFonts w:asciiTheme="majorHAnsi" w:hAnsiTheme="majorHAnsi"/>
          <w:sz w:val="20"/>
          <w:szCs w:val="20"/>
          <w:lang w:val="es-ES" w:bidi="ar-MA"/>
        </w:rPr>
        <w:t>,</w:t>
      </w:r>
      <w:r w:rsidR="000B5D97" w:rsidRPr="0EDB5DEE">
        <w:rPr>
          <w:rFonts w:asciiTheme="majorHAnsi" w:hAnsiTheme="majorHAnsi"/>
          <w:sz w:val="20"/>
          <w:szCs w:val="20"/>
          <w:lang w:val="es-ES" w:bidi="ar-MA"/>
        </w:rPr>
        <w:t xml:space="preserve"> de acuerdo con la información aportada por el peticionario, la pensión de gracias sería </w:t>
      </w:r>
      <w:r w:rsidR="00DB02CC" w:rsidRPr="0EDB5DEE">
        <w:rPr>
          <w:rFonts w:asciiTheme="majorHAnsi" w:hAnsiTheme="majorHAnsi"/>
          <w:sz w:val="20"/>
          <w:szCs w:val="20"/>
          <w:lang w:val="es-ES" w:bidi="ar-MA"/>
        </w:rPr>
        <w:t xml:space="preserve">una prestación especial, adicional, que estarían percibiendo las presuntas víctimas, y que en ningún momento afirma que estas no estén recibiendo </w:t>
      </w:r>
      <w:r w:rsidR="00072FC9" w:rsidRPr="0EDB5DEE">
        <w:rPr>
          <w:rFonts w:asciiTheme="majorHAnsi" w:hAnsiTheme="majorHAnsi"/>
          <w:sz w:val="20"/>
          <w:szCs w:val="20"/>
          <w:lang w:val="es-ES" w:bidi="ar-MA"/>
        </w:rPr>
        <w:t>sus pensiones ordinarias o principales.</w:t>
      </w:r>
    </w:p>
    <w:p w14:paraId="3F5416D3" w14:textId="77777777" w:rsidR="00294A54" w:rsidRPr="00294A54" w:rsidRDefault="00294A54" w:rsidP="00294A54">
      <w:pPr>
        <w:pStyle w:val="ListParagraph"/>
        <w:rPr>
          <w:rFonts w:asciiTheme="majorHAnsi" w:hAnsiTheme="majorHAnsi"/>
          <w:sz w:val="20"/>
          <w:szCs w:val="20"/>
          <w:lang w:val="es-ES_tradnl" w:bidi="ar-MA"/>
        </w:rPr>
      </w:pPr>
    </w:p>
    <w:p w14:paraId="08A3AC72" w14:textId="413E1AAF" w:rsidR="00E1770B" w:rsidRPr="00767718" w:rsidRDefault="00E1770B" w:rsidP="007F08ED">
      <w:pPr>
        <w:pStyle w:val="ListParagraph"/>
        <w:numPr>
          <w:ilvl w:val="0"/>
          <w:numId w:val="103"/>
        </w:numPr>
        <w:jc w:val="both"/>
        <w:rPr>
          <w:rFonts w:asciiTheme="majorHAnsi" w:eastAsia="Arial Unicode MS" w:hAnsiTheme="majorHAnsi" w:cs="Times New Roman"/>
          <w:color w:val="auto"/>
          <w:sz w:val="20"/>
          <w:szCs w:val="20"/>
          <w:lang w:val="es-ES_tradnl" w:eastAsia="en-US" w:bidi="ar-MA"/>
        </w:rPr>
      </w:pPr>
      <w:r w:rsidRPr="00767718">
        <w:rPr>
          <w:rFonts w:asciiTheme="majorHAnsi" w:hAnsiTheme="majorHAnsi"/>
          <w:sz w:val="20"/>
          <w:szCs w:val="20"/>
          <w:lang w:val="es-ES_tradnl" w:bidi="ar-MA"/>
        </w:rPr>
        <w:t>Por lo expuesto, la Comisión concluye que el presente asunto no cumple con el requisito previsto en el artículo 46.1.a) de la Convención Americana.</w:t>
      </w:r>
    </w:p>
    <w:p w14:paraId="3DB7D4D0" w14:textId="1954662E" w:rsidR="0064684E" w:rsidRPr="00767718" w:rsidRDefault="0064684E" w:rsidP="00D9438A">
      <w:pPr>
        <w:pStyle w:val="ListParagraph"/>
        <w:jc w:val="both"/>
        <w:rPr>
          <w:rFonts w:asciiTheme="majorHAnsi" w:eastAsia="Arial Unicode MS" w:hAnsiTheme="majorHAnsi" w:cs="Times New Roman"/>
          <w:color w:val="auto"/>
          <w:sz w:val="20"/>
          <w:szCs w:val="20"/>
          <w:lang w:val="es-ES_tradnl" w:eastAsia="en-US" w:bidi="ar-MA"/>
        </w:rPr>
      </w:pPr>
    </w:p>
    <w:p w14:paraId="29BB41F5" w14:textId="42EA7CEF" w:rsidR="003239B8" w:rsidRPr="00767718" w:rsidRDefault="003239B8" w:rsidP="004A64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bidi="ar-MA"/>
        </w:rPr>
      </w:pPr>
      <w:r w:rsidRPr="00767718">
        <w:rPr>
          <w:rFonts w:asciiTheme="majorHAnsi" w:hAnsiTheme="majorHAnsi"/>
          <w:b/>
          <w:bCs/>
          <w:sz w:val="20"/>
          <w:szCs w:val="20"/>
          <w:lang w:val="es-ES_tradnl" w:bidi="ar-MA"/>
        </w:rPr>
        <w:t xml:space="preserve">VII. </w:t>
      </w:r>
      <w:r w:rsidRPr="00767718">
        <w:rPr>
          <w:rFonts w:asciiTheme="majorHAnsi" w:hAnsiTheme="majorHAnsi"/>
          <w:b/>
          <w:bCs/>
          <w:sz w:val="20"/>
          <w:szCs w:val="20"/>
          <w:lang w:val="es-ES_tradnl" w:bidi="ar-MA"/>
        </w:rPr>
        <w:tab/>
        <w:t>DECISIÓN</w:t>
      </w:r>
    </w:p>
    <w:p w14:paraId="570DA61C" w14:textId="20B0BAED" w:rsidR="000419AD" w:rsidRPr="00767718" w:rsidRDefault="000419AD" w:rsidP="000419AD">
      <w:pPr>
        <w:pStyle w:val="ListParagraph"/>
        <w:numPr>
          <w:ilvl w:val="0"/>
          <w:numId w:val="109"/>
        </w:numPr>
        <w:rPr>
          <w:rFonts w:eastAsia="Arial Unicode MS" w:cs="Times New Roman"/>
          <w:color w:val="auto"/>
          <w:sz w:val="20"/>
          <w:szCs w:val="20"/>
          <w:lang w:val="es-ES_tradnl" w:eastAsia="en-US" w:bidi="ar-MA"/>
        </w:rPr>
      </w:pPr>
      <w:r w:rsidRPr="00767718">
        <w:rPr>
          <w:rFonts w:eastAsia="Arial Unicode MS" w:cs="Times New Roman"/>
          <w:color w:val="auto"/>
          <w:sz w:val="20"/>
          <w:szCs w:val="20"/>
          <w:lang w:val="es-ES_tradnl" w:eastAsia="en-US" w:bidi="ar-MA"/>
        </w:rPr>
        <w:t>Decl</w:t>
      </w:r>
      <w:r w:rsidRPr="0031332F">
        <w:rPr>
          <w:rFonts w:eastAsia="Arial Unicode MS" w:cs="Times New Roman"/>
          <w:color w:val="000000" w:themeColor="text1"/>
          <w:sz w:val="20"/>
          <w:szCs w:val="20"/>
          <w:lang w:val="es-ES_tradnl" w:eastAsia="en-US" w:bidi="ar-MA"/>
        </w:rPr>
        <w:t>arar inadmisible la pre</w:t>
      </w:r>
      <w:r w:rsidRPr="00767718">
        <w:rPr>
          <w:rFonts w:eastAsia="Arial Unicode MS" w:cs="Times New Roman"/>
          <w:color w:val="auto"/>
          <w:sz w:val="20"/>
          <w:szCs w:val="20"/>
          <w:lang w:val="es-ES_tradnl" w:eastAsia="en-US" w:bidi="ar-MA"/>
        </w:rPr>
        <w:t>sente petición</w:t>
      </w:r>
      <w:r w:rsidR="00A758AA" w:rsidRPr="00767718">
        <w:rPr>
          <w:rFonts w:eastAsia="Arial Unicode MS" w:cs="Times New Roman"/>
          <w:color w:val="auto"/>
          <w:sz w:val="20"/>
          <w:szCs w:val="20"/>
          <w:lang w:val="es-ES_tradnl" w:eastAsia="en-US" w:bidi="ar-MA"/>
        </w:rPr>
        <w:t>;</w:t>
      </w:r>
      <w:r w:rsidR="004A6A54" w:rsidRPr="00767718">
        <w:rPr>
          <w:rFonts w:eastAsia="Arial Unicode MS" w:cs="Times New Roman"/>
          <w:color w:val="auto"/>
          <w:sz w:val="20"/>
          <w:szCs w:val="20"/>
          <w:lang w:val="es-ES_tradnl" w:eastAsia="en-US" w:bidi="ar-MA"/>
        </w:rPr>
        <w:t xml:space="preserve"> y</w:t>
      </w:r>
    </w:p>
    <w:p w14:paraId="41AA5BF6" w14:textId="77777777" w:rsidR="000419AD" w:rsidRPr="00767718" w:rsidRDefault="000419AD" w:rsidP="000419AD">
      <w:pPr>
        <w:pStyle w:val="ListParagraph"/>
        <w:rPr>
          <w:rFonts w:eastAsia="Arial Unicode MS" w:cs="Times New Roman"/>
          <w:color w:val="auto"/>
          <w:sz w:val="20"/>
          <w:szCs w:val="20"/>
          <w:lang w:val="es-ES_tradnl" w:eastAsia="en-US" w:bidi="ar-MA"/>
        </w:rPr>
      </w:pPr>
    </w:p>
    <w:p w14:paraId="687FF697" w14:textId="07F25AFD" w:rsidR="005423CD" w:rsidRDefault="004A6A54" w:rsidP="005423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bidi="ar-MA"/>
        </w:rPr>
      </w:pPr>
      <w:r w:rsidRPr="00767718">
        <w:rPr>
          <w:rFonts w:asciiTheme="majorHAnsi" w:hAnsiTheme="majorHAnsi"/>
          <w:sz w:val="20"/>
          <w:szCs w:val="20"/>
          <w:lang w:val="es-ES_tradnl" w:bidi="ar-MA"/>
        </w:rPr>
        <w:t>Notificar a las partes la presente decisión; y publicar esta decisión e incluirla en su Informe Anual a la Asamblea General de la Organización de los Estados Americanos.</w:t>
      </w:r>
    </w:p>
    <w:p w14:paraId="4E67E792" w14:textId="77777777" w:rsidR="005423CD" w:rsidRPr="005423CD" w:rsidRDefault="005423CD" w:rsidP="005423C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ormaltextrun"/>
          <w:rFonts w:asciiTheme="majorHAnsi" w:hAnsiTheme="majorHAnsi"/>
          <w:sz w:val="20"/>
          <w:szCs w:val="20"/>
          <w:lang w:val="es-ES_tradnl" w:bidi="ar-MA"/>
        </w:rPr>
      </w:pPr>
    </w:p>
    <w:p w14:paraId="7C1E415E" w14:textId="53C407B6" w:rsidR="004A6446" w:rsidRPr="005423CD" w:rsidRDefault="00B604BF" w:rsidP="005423C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A7FE8">
        <w:rPr>
          <w:rStyle w:val="normaltextrun"/>
          <w:rFonts w:ascii="Cambria" w:hAnsi="Cambria" w:cs="Segoe UI"/>
          <w:sz w:val="20"/>
          <w:szCs w:val="20"/>
          <w:lang w:val="es-CL"/>
        </w:rPr>
        <w:t>16</w:t>
      </w:r>
      <w:r>
        <w:rPr>
          <w:rStyle w:val="normaltextrun"/>
          <w:rFonts w:ascii="Cambria" w:hAnsi="Cambria" w:cs="Segoe UI"/>
          <w:sz w:val="20"/>
          <w:szCs w:val="20"/>
          <w:lang w:val="es-CL"/>
        </w:rPr>
        <w:t xml:space="preserve"> días del mes de </w:t>
      </w:r>
      <w:r w:rsidR="004A7FE8">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5423C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4A6446" w:rsidRPr="005423C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4798" w14:textId="77777777" w:rsidR="00B1076E" w:rsidRDefault="00B1076E">
      <w:r>
        <w:separator/>
      </w:r>
    </w:p>
  </w:endnote>
  <w:endnote w:type="continuationSeparator" w:id="0">
    <w:p w14:paraId="485213FE" w14:textId="77777777" w:rsidR="00B1076E" w:rsidRDefault="00B1076E">
      <w:r>
        <w:continuationSeparator/>
      </w:r>
    </w:p>
  </w:endnote>
  <w:endnote w:type="continuationNotice" w:id="1">
    <w:p w14:paraId="17EF60C8" w14:textId="77777777" w:rsidR="00B1076E" w:rsidRDefault="00B1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CE85" w14:textId="77777777" w:rsidR="00B1076E" w:rsidRPr="000F35ED" w:rsidRDefault="00B1076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D24AF5" w14:textId="77777777" w:rsidR="00B1076E" w:rsidRPr="000F35ED" w:rsidRDefault="00B1076E" w:rsidP="000F35ED">
      <w:pPr>
        <w:rPr>
          <w:rFonts w:asciiTheme="majorHAnsi" w:hAnsiTheme="majorHAnsi"/>
          <w:sz w:val="16"/>
          <w:szCs w:val="16"/>
        </w:rPr>
      </w:pPr>
      <w:r w:rsidRPr="000F35ED">
        <w:rPr>
          <w:rFonts w:asciiTheme="majorHAnsi" w:hAnsiTheme="majorHAnsi"/>
          <w:sz w:val="16"/>
          <w:szCs w:val="16"/>
        </w:rPr>
        <w:separator/>
      </w:r>
    </w:p>
    <w:p w14:paraId="4C923EC4" w14:textId="77777777" w:rsidR="00B1076E" w:rsidRPr="000F35ED" w:rsidRDefault="00B1076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98B676" w14:textId="77777777" w:rsidR="00B1076E" w:rsidRPr="000F35ED" w:rsidRDefault="00B1076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197B144" w14:textId="7C6D9A7E" w:rsidR="00F07A1A" w:rsidRPr="00F07A1A" w:rsidRDefault="00F07A1A" w:rsidP="00F07A1A">
      <w:pPr>
        <w:pStyle w:val="FootnoteText"/>
        <w:ind w:firstLine="720"/>
        <w:jc w:val="both"/>
        <w:rPr>
          <w:rFonts w:asciiTheme="majorHAnsi" w:hAnsiTheme="majorHAnsi"/>
          <w:sz w:val="16"/>
          <w:szCs w:val="16"/>
          <w:lang w:val="es-PE"/>
        </w:rPr>
      </w:pPr>
      <w:r w:rsidRPr="00F07A1A">
        <w:rPr>
          <w:rStyle w:val="FootnoteReference"/>
          <w:rFonts w:asciiTheme="majorHAnsi" w:hAnsiTheme="majorHAnsi"/>
          <w:sz w:val="16"/>
          <w:szCs w:val="16"/>
          <w:lang w:val="es-PE"/>
        </w:rPr>
        <w:footnoteRef/>
      </w:r>
      <w:r w:rsidRPr="00F07A1A">
        <w:rPr>
          <w:rFonts w:asciiTheme="majorHAnsi" w:hAnsiTheme="majorHAnsi"/>
          <w:sz w:val="16"/>
          <w:szCs w:val="16"/>
          <w:lang w:val="es-PE"/>
        </w:rPr>
        <w:t xml:space="preserve"> Amparo Victoria Manzano</w:t>
      </w:r>
      <w:r>
        <w:rPr>
          <w:rFonts w:asciiTheme="majorHAnsi" w:hAnsiTheme="majorHAnsi"/>
          <w:sz w:val="16"/>
          <w:szCs w:val="16"/>
          <w:lang w:val="es-PE"/>
        </w:rPr>
        <w:t>, Ana Mercedes Céspedes Tamayo,</w:t>
      </w:r>
      <w:r w:rsidRPr="00F07A1A">
        <w:rPr>
          <w:rFonts w:asciiTheme="majorHAnsi" w:hAnsiTheme="majorHAnsi"/>
          <w:sz w:val="16"/>
          <w:szCs w:val="16"/>
          <w:lang w:val="es-PE"/>
        </w:rPr>
        <w:t xml:space="preserve"> </w:t>
      </w:r>
      <w:r>
        <w:rPr>
          <w:rFonts w:asciiTheme="majorHAnsi" w:hAnsiTheme="majorHAnsi"/>
          <w:sz w:val="16"/>
          <w:szCs w:val="16"/>
          <w:lang w:val="es-PE"/>
        </w:rPr>
        <w:t>Armando Gordillo López, Bayardo Hely Usuga David, Benito Saucedo Rios, Bertha Blanco de Rodríguez, Blanca Lilia Morales Rios, Fredy Trujillo Otalvaro, Gladyes de la Roche Mendoza, Gladys Velasco Cuellar, Gloria Granada López, José Efraín Macana Forero, José Guillermo Nieto Pava, José Jesús Realpe Ortega, Julio César Guzman Ramírez, Julio Cesar Sandoval Patiño, Ligia Piedad Benavides Moran, Luis Eduardo Ossa, Maria Oidaliz Mendez de Paez, María Olga Arenas De Gaviria, María Orfidia Arboleda Olarte, Norberto Mayorga Sánchez, Olegario Ferro Meléndez, Omaira Capacho De Bueno, Osiris Martínez Valdeblanquez, Roque Rafael Campo Amaris</w:t>
      </w:r>
      <w:r w:rsidR="008B5ECB">
        <w:rPr>
          <w:rFonts w:asciiTheme="majorHAnsi" w:hAnsiTheme="majorHAnsi"/>
          <w:sz w:val="16"/>
          <w:szCs w:val="16"/>
          <w:lang w:val="es-PE"/>
        </w:rPr>
        <w:t xml:space="preserve">, </w:t>
      </w:r>
      <w:r>
        <w:rPr>
          <w:rFonts w:asciiTheme="majorHAnsi" w:hAnsiTheme="majorHAnsi"/>
          <w:sz w:val="16"/>
          <w:szCs w:val="16"/>
          <w:lang w:val="es-PE"/>
        </w:rPr>
        <w:t>Rosabel Diuza Jory</w:t>
      </w:r>
      <w:r w:rsidR="008B5ECB">
        <w:rPr>
          <w:rFonts w:asciiTheme="majorHAnsi" w:hAnsiTheme="majorHAnsi"/>
          <w:sz w:val="16"/>
          <w:szCs w:val="16"/>
          <w:lang w:val="es-PE"/>
        </w:rPr>
        <w:t xml:space="preserve"> y</w:t>
      </w:r>
      <w:r>
        <w:rPr>
          <w:rFonts w:asciiTheme="majorHAnsi" w:hAnsiTheme="majorHAnsi"/>
          <w:sz w:val="16"/>
          <w:szCs w:val="16"/>
          <w:lang w:val="es-PE"/>
        </w:rPr>
        <w:t xml:space="preserve"> Teresa García de Orejuela</w:t>
      </w:r>
      <w:r w:rsidR="00AF1BE3">
        <w:rPr>
          <w:rFonts w:asciiTheme="majorHAnsi" w:hAnsiTheme="majorHAnsi"/>
          <w:sz w:val="16"/>
          <w:szCs w:val="16"/>
          <w:lang w:val="es-PE"/>
        </w:rPr>
        <w:t>.</w:t>
      </w:r>
    </w:p>
  </w:footnote>
  <w:footnote w:id="3">
    <w:p w14:paraId="7B074A90" w14:textId="77777777" w:rsidR="00132D40" w:rsidRPr="00CF02F2" w:rsidRDefault="00132D40" w:rsidP="00132D40">
      <w:pPr>
        <w:pStyle w:val="FootnoteText"/>
        <w:ind w:firstLine="720"/>
        <w:jc w:val="both"/>
        <w:rPr>
          <w:rFonts w:asciiTheme="majorHAnsi" w:hAnsiTheme="majorHAnsi"/>
          <w:sz w:val="16"/>
          <w:szCs w:val="16"/>
          <w:lang w:val="es-ES"/>
        </w:rPr>
      </w:pPr>
      <w:r w:rsidRPr="00F42E8C">
        <w:rPr>
          <w:rStyle w:val="FootnoteReference"/>
          <w:rFonts w:asciiTheme="majorHAnsi" w:hAnsiTheme="majorHAnsi"/>
          <w:sz w:val="16"/>
          <w:szCs w:val="16"/>
        </w:rPr>
        <w:footnoteRef/>
      </w:r>
      <w:r w:rsidRPr="00F42E8C">
        <w:rPr>
          <w:rFonts w:asciiTheme="majorHAnsi" w:hAnsiTheme="majorHAnsi"/>
          <w:sz w:val="16"/>
          <w:szCs w:val="16"/>
          <w:lang w:val="es-ES"/>
        </w:rPr>
        <w:t xml:space="preserve"> Conforme a lo dispuesto en el artículo 17.2.a del Reglamento de la Comisión, el Comisionado Carlos Bernal Pulido, de nacionalid</w:t>
      </w:r>
      <w:r w:rsidRPr="009D4060">
        <w:rPr>
          <w:rFonts w:asciiTheme="majorHAnsi" w:hAnsiTheme="majorHAnsi"/>
          <w:sz w:val="16"/>
          <w:szCs w:val="16"/>
          <w:lang w:val="es-ES"/>
        </w:rPr>
        <w:t xml:space="preserve">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4">
    <w:p w14:paraId="7548E50E" w14:textId="77777777" w:rsidR="002304B8" w:rsidRPr="00CF02F2" w:rsidRDefault="002304B8" w:rsidP="002304B8">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5">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7183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04A46C5C"/>
    <w:lvl w:ilvl="0" w:tplc="848A09F8">
      <w:start w:val="1"/>
      <w:numFmt w:val="decimal"/>
      <w:lvlText w:val="%1."/>
      <w:lvlJc w:val="left"/>
      <w:pPr>
        <w:tabs>
          <w:tab w:val="num" w:pos="720"/>
        </w:tabs>
        <w:ind w:left="0" w:firstLine="720"/>
      </w:pPr>
      <w:rPr>
        <w:rFonts w:asciiTheme="majorHAnsi" w:hAnsiTheme="maj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6"/>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8"/>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9"/>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1"/>
  </w:num>
  <w:num w:numId="54" w16cid:durableId="2134210098">
    <w:abstractNumId w:val="41"/>
  </w:num>
  <w:num w:numId="55" w16cid:durableId="608663301">
    <w:abstractNumId w:val="42"/>
  </w:num>
  <w:num w:numId="56" w16cid:durableId="255601910">
    <w:abstractNumId w:val="48"/>
  </w:num>
  <w:num w:numId="57" w16cid:durableId="1761757703">
    <w:abstractNumId w:val="2"/>
  </w:num>
  <w:num w:numId="58" w16cid:durableId="1186796706">
    <w:abstractNumId w:val="3"/>
  </w:num>
  <w:num w:numId="59" w16cid:durableId="1606693034">
    <w:abstractNumId w:val="10"/>
  </w:num>
  <w:num w:numId="60" w16cid:durableId="1738476247">
    <w:abstractNumId w:val="11"/>
  </w:num>
  <w:num w:numId="61" w16cid:durableId="1484001738">
    <w:abstractNumId w:val="12"/>
  </w:num>
  <w:num w:numId="62" w16cid:durableId="866941465">
    <w:abstractNumId w:val="13"/>
  </w:num>
  <w:num w:numId="63" w16cid:durableId="891114917">
    <w:abstractNumId w:val="14"/>
  </w:num>
  <w:num w:numId="64" w16cid:durableId="1852600886">
    <w:abstractNumId w:val="16"/>
  </w:num>
  <w:num w:numId="65" w16cid:durableId="925655403">
    <w:abstractNumId w:val="17"/>
  </w:num>
  <w:num w:numId="66" w16cid:durableId="1122456303">
    <w:abstractNumId w:val="18"/>
  </w:num>
  <w:num w:numId="67" w16cid:durableId="2034264947">
    <w:abstractNumId w:val="19"/>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4"/>
  </w:num>
  <w:num w:numId="101" w16cid:durableId="1289773468">
    <w:abstractNumId w:val="28"/>
  </w:num>
  <w:num w:numId="102" w16cid:durableId="1186287539">
    <w:abstractNumId w:val="51"/>
  </w:num>
  <w:num w:numId="103" w16cid:durableId="1458334191">
    <w:abstractNumId w:val="7"/>
  </w:num>
  <w:num w:numId="104" w16cid:durableId="913318813">
    <w:abstractNumId w:val="66"/>
  </w:num>
  <w:num w:numId="105" w16cid:durableId="589050340">
    <w:abstractNumId w:val="55"/>
  </w:num>
  <w:num w:numId="106" w16cid:durableId="836576904">
    <w:abstractNumId w:val="5"/>
  </w:num>
  <w:num w:numId="107" w16cid:durableId="1173912010">
    <w:abstractNumId w:val="32"/>
  </w:num>
  <w:num w:numId="108" w16cid:durableId="2116440378">
    <w:abstractNumId w:val="15"/>
  </w:num>
  <w:num w:numId="109" w16cid:durableId="1694842942">
    <w:abstractNumId w:val="47"/>
  </w:num>
  <w:num w:numId="110" w16cid:durableId="14845085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198"/>
    <w:rsid w:val="0000036F"/>
    <w:rsid w:val="00000CDA"/>
    <w:rsid w:val="00006E1F"/>
    <w:rsid w:val="000070D7"/>
    <w:rsid w:val="00011A1F"/>
    <w:rsid w:val="000124B2"/>
    <w:rsid w:val="00015DCA"/>
    <w:rsid w:val="0001788C"/>
    <w:rsid w:val="000225E7"/>
    <w:rsid w:val="000243FF"/>
    <w:rsid w:val="000258B1"/>
    <w:rsid w:val="000271DC"/>
    <w:rsid w:val="0003228B"/>
    <w:rsid w:val="000337EF"/>
    <w:rsid w:val="00040C3A"/>
    <w:rsid w:val="000419AD"/>
    <w:rsid w:val="000433C9"/>
    <w:rsid w:val="00045EDF"/>
    <w:rsid w:val="000704F9"/>
    <w:rsid w:val="000716C5"/>
    <w:rsid w:val="00072FC9"/>
    <w:rsid w:val="00074D1E"/>
    <w:rsid w:val="00075050"/>
    <w:rsid w:val="00075E23"/>
    <w:rsid w:val="00082803"/>
    <w:rsid w:val="0009344A"/>
    <w:rsid w:val="0009709B"/>
    <w:rsid w:val="0009799B"/>
    <w:rsid w:val="000A21EC"/>
    <w:rsid w:val="000A392E"/>
    <w:rsid w:val="000A575F"/>
    <w:rsid w:val="000B062C"/>
    <w:rsid w:val="000B3BE6"/>
    <w:rsid w:val="000B4329"/>
    <w:rsid w:val="000B5D97"/>
    <w:rsid w:val="000C1614"/>
    <w:rsid w:val="000C79F5"/>
    <w:rsid w:val="000D0334"/>
    <w:rsid w:val="000D05CB"/>
    <w:rsid w:val="000D10DB"/>
    <w:rsid w:val="000D49B1"/>
    <w:rsid w:val="000E0562"/>
    <w:rsid w:val="000E5EB5"/>
    <w:rsid w:val="000F35ED"/>
    <w:rsid w:val="0010023E"/>
    <w:rsid w:val="001065A7"/>
    <w:rsid w:val="00107131"/>
    <w:rsid w:val="0010736F"/>
    <w:rsid w:val="00113F73"/>
    <w:rsid w:val="00121CC2"/>
    <w:rsid w:val="00126F60"/>
    <w:rsid w:val="00131425"/>
    <w:rsid w:val="00132D40"/>
    <w:rsid w:val="00133EE5"/>
    <w:rsid w:val="00135468"/>
    <w:rsid w:val="00135AC1"/>
    <w:rsid w:val="001407E2"/>
    <w:rsid w:val="0015626F"/>
    <w:rsid w:val="00157D30"/>
    <w:rsid w:val="0016153B"/>
    <w:rsid w:val="00167A34"/>
    <w:rsid w:val="00171833"/>
    <w:rsid w:val="00171C1E"/>
    <w:rsid w:val="00173B35"/>
    <w:rsid w:val="0017487E"/>
    <w:rsid w:val="00174D2D"/>
    <w:rsid w:val="00181598"/>
    <w:rsid w:val="00190BE3"/>
    <w:rsid w:val="0019566B"/>
    <w:rsid w:val="00197E72"/>
    <w:rsid w:val="001A38E7"/>
    <w:rsid w:val="001A7870"/>
    <w:rsid w:val="001B3A00"/>
    <w:rsid w:val="001B4ABF"/>
    <w:rsid w:val="001C1B41"/>
    <w:rsid w:val="001D02D4"/>
    <w:rsid w:val="001D29D0"/>
    <w:rsid w:val="001D58DD"/>
    <w:rsid w:val="001D65EF"/>
    <w:rsid w:val="001D7945"/>
    <w:rsid w:val="001D7A61"/>
    <w:rsid w:val="001E3E1A"/>
    <w:rsid w:val="001E49E7"/>
    <w:rsid w:val="001F7201"/>
    <w:rsid w:val="00206AB3"/>
    <w:rsid w:val="002155FB"/>
    <w:rsid w:val="00223A29"/>
    <w:rsid w:val="002250A3"/>
    <w:rsid w:val="002304B8"/>
    <w:rsid w:val="00235217"/>
    <w:rsid w:val="00237296"/>
    <w:rsid w:val="00244FD2"/>
    <w:rsid w:val="00245033"/>
    <w:rsid w:val="00245C73"/>
    <w:rsid w:val="002467D1"/>
    <w:rsid w:val="002469D2"/>
    <w:rsid w:val="00246D1F"/>
    <w:rsid w:val="00246E72"/>
    <w:rsid w:val="00247403"/>
    <w:rsid w:val="00247542"/>
    <w:rsid w:val="00255FBD"/>
    <w:rsid w:val="0026020D"/>
    <w:rsid w:val="00266B61"/>
    <w:rsid w:val="0026712A"/>
    <w:rsid w:val="00267694"/>
    <w:rsid w:val="002704DB"/>
    <w:rsid w:val="00271289"/>
    <w:rsid w:val="002728DA"/>
    <w:rsid w:val="002900D8"/>
    <w:rsid w:val="00294A54"/>
    <w:rsid w:val="00295645"/>
    <w:rsid w:val="002A0AAE"/>
    <w:rsid w:val="002A24D0"/>
    <w:rsid w:val="002A5820"/>
    <w:rsid w:val="002B0FBC"/>
    <w:rsid w:val="002C35A8"/>
    <w:rsid w:val="002C6BCB"/>
    <w:rsid w:val="002D2B26"/>
    <w:rsid w:val="002D7EA2"/>
    <w:rsid w:val="002E187C"/>
    <w:rsid w:val="002F0652"/>
    <w:rsid w:val="002F42C6"/>
    <w:rsid w:val="002F43D2"/>
    <w:rsid w:val="003017FE"/>
    <w:rsid w:val="003018F5"/>
    <w:rsid w:val="00302733"/>
    <w:rsid w:val="0031332F"/>
    <w:rsid w:val="00314078"/>
    <w:rsid w:val="0031535D"/>
    <w:rsid w:val="003223E2"/>
    <w:rsid w:val="003239B8"/>
    <w:rsid w:val="00325ECD"/>
    <w:rsid w:val="0033169F"/>
    <w:rsid w:val="00340D76"/>
    <w:rsid w:val="00344977"/>
    <w:rsid w:val="00346C95"/>
    <w:rsid w:val="0035048C"/>
    <w:rsid w:val="00356185"/>
    <w:rsid w:val="00360380"/>
    <w:rsid w:val="0037123C"/>
    <w:rsid w:val="00374CDF"/>
    <w:rsid w:val="0037519E"/>
    <w:rsid w:val="00376AA2"/>
    <w:rsid w:val="00380808"/>
    <w:rsid w:val="00386CF0"/>
    <w:rsid w:val="00394049"/>
    <w:rsid w:val="00394BB3"/>
    <w:rsid w:val="003B1B44"/>
    <w:rsid w:val="003B70FB"/>
    <w:rsid w:val="003C2239"/>
    <w:rsid w:val="003C676B"/>
    <w:rsid w:val="003C6C2E"/>
    <w:rsid w:val="003D3BC2"/>
    <w:rsid w:val="003E228D"/>
    <w:rsid w:val="003E545F"/>
    <w:rsid w:val="003E6CA1"/>
    <w:rsid w:val="003F0106"/>
    <w:rsid w:val="003F2F53"/>
    <w:rsid w:val="00405F9C"/>
    <w:rsid w:val="004065A8"/>
    <w:rsid w:val="00406AA0"/>
    <w:rsid w:val="004165C2"/>
    <w:rsid w:val="004168BE"/>
    <w:rsid w:val="004218EB"/>
    <w:rsid w:val="00426EF1"/>
    <w:rsid w:val="00436B39"/>
    <w:rsid w:val="00441524"/>
    <w:rsid w:val="00441E0D"/>
    <w:rsid w:val="00441E83"/>
    <w:rsid w:val="00441ECB"/>
    <w:rsid w:val="00445193"/>
    <w:rsid w:val="00445FC2"/>
    <w:rsid w:val="00451D13"/>
    <w:rsid w:val="00453676"/>
    <w:rsid w:val="00462C1B"/>
    <w:rsid w:val="00467B7E"/>
    <w:rsid w:val="00471D00"/>
    <w:rsid w:val="00473BB4"/>
    <w:rsid w:val="00474697"/>
    <w:rsid w:val="00474CDA"/>
    <w:rsid w:val="00477592"/>
    <w:rsid w:val="0048262F"/>
    <w:rsid w:val="00486F1C"/>
    <w:rsid w:val="00490057"/>
    <w:rsid w:val="0049014B"/>
    <w:rsid w:val="004937CA"/>
    <w:rsid w:val="0049419D"/>
    <w:rsid w:val="004A6446"/>
    <w:rsid w:val="004A6657"/>
    <w:rsid w:val="004A6A54"/>
    <w:rsid w:val="004A7FE8"/>
    <w:rsid w:val="004B0A30"/>
    <w:rsid w:val="004B4A62"/>
    <w:rsid w:val="004C11DE"/>
    <w:rsid w:val="004C20D2"/>
    <w:rsid w:val="004C2312"/>
    <w:rsid w:val="004C4B62"/>
    <w:rsid w:val="004C54C9"/>
    <w:rsid w:val="004D09E1"/>
    <w:rsid w:val="004D4ABA"/>
    <w:rsid w:val="004D6025"/>
    <w:rsid w:val="004E122B"/>
    <w:rsid w:val="004E2178"/>
    <w:rsid w:val="004E24B2"/>
    <w:rsid w:val="004E2649"/>
    <w:rsid w:val="004E7992"/>
    <w:rsid w:val="004F45DC"/>
    <w:rsid w:val="004F4742"/>
    <w:rsid w:val="004F626F"/>
    <w:rsid w:val="00501399"/>
    <w:rsid w:val="0050633D"/>
    <w:rsid w:val="00507BC4"/>
    <w:rsid w:val="00510B2A"/>
    <w:rsid w:val="00510E88"/>
    <w:rsid w:val="005128E4"/>
    <w:rsid w:val="005133DB"/>
    <w:rsid w:val="00514504"/>
    <w:rsid w:val="00515236"/>
    <w:rsid w:val="00520D59"/>
    <w:rsid w:val="00525560"/>
    <w:rsid w:val="00532B1A"/>
    <w:rsid w:val="005423CD"/>
    <w:rsid w:val="00544C49"/>
    <w:rsid w:val="00545E62"/>
    <w:rsid w:val="005516A1"/>
    <w:rsid w:val="005559EF"/>
    <w:rsid w:val="005564B7"/>
    <w:rsid w:val="00563557"/>
    <w:rsid w:val="00565591"/>
    <w:rsid w:val="005731CB"/>
    <w:rsid w:val="0057402A"/>
    <w:rsid w:val="00575342"/>
    <w:rsid w:val="0057582D"/>
    <w:rsid w:val="005771D0"/>
    <w:rsid w:val="00581641"/>
    <w:rsid w:val="00584520"/>
    <w:rsid w:val="0059191A"/>
    <w:rsid w:val="005921FF"/>
    <w:rsid w:val="00595098"/>
    <w:rsid w:val="005A24ED"/>
    <w:rsid w:val="005A254F"/>
    <w:rsid w:val="005A29DB"/>
    <w:rsid w:val="005A6D0E"/>
    <w:rsid w:val="005B00AA"/>
    <w:rsid w:val="005B1658"/>
    <w:rsid w:val="005B52B0"/>
    <w:rsid w:val="005B6806"/>
    <w:rsid w:val="005C3EF2"/>
    <w:rsid w:val="005C4225"/>
    <w:rsid w:val="005D23D6"/>
    <w:rsid w:val="005D38F9"/>
    <w:rsid w:val="005D7C6C"/>
    <w:rsid w:val="005E4156"/>
    <w:rsid w:val="005F0DAD"/>
    <w:rsid w:val="005F0F33"/>
    <w:rsid w:val="005F1E2F"/>
    <w:rsid w:val="005F4A6B"/>
    <w:rsid w:val="00600DEB"/>
    <w:rsid w:val="00600F03"/>
    <w:rsid w:val="0060576F"/>
    <w:rsid w:val="006069CF"/>
    <w:rsid w:val="006135F1"/>
    <w:rsid w:val="00616094"/>
    <w:rsid w:val="00627C9F"/>
    <w:rsid w:val="006311E9"/>
    <w:rsid w:val="00632354"/>
    <w:rsid w:val="00635421"/>
    <w:rsid w:val="00642810"/>
    <w:rsid w:val="00644B16"/>
    <w:rsid w:val="0064684E"/>
    <w:rsid w:val="00652333"/>
    <w:rsid w:val="00666C7D"/>
    <w:rsid w:val="006755D3"/>
    <w:rsid w:val="006764CD"/>
    <w:rsid w:val="0068009E"/>
    <w:rsid w:val="00684B6B"/>
    <w:rsid w:val="00692219"/>
    <w:rsid w:val="006A05B8"/>
    <w:rsid w:val="006A1529"/>
    <w:rsid w:val="006A17D2"/>
    <w:rsid w:val="006A668A"/>
    <w:rsid w:val="006A73E6"/>
    <w:rsid w:val="006B2D5C"/>
    <w:rsid w:val="006C359E"/>
    <w:rsid w:val="006C4100"/>
    <w:rsid w:val="006C4EB1"/>
    <w:rsid w:val="006D5B19"/>
    <w:rsid w:val="006E0166"/>
    <w:rsid w:val="006E2FFB"/>
    <w:rsid w:val="006E6CEC"/>
    <w:rsid w:val="006E7B34"/>
    <w:rsid w:val="006F00F1"/>
    <w:rsid w:val="0070697F"/>
    <w:rsid w:val="00720B5E"/>
    <w:rsid w:val="0072199C"/>
    <w:rsid w:val="00722C9F"/>
    <w:rsid w:val="00723473"/>
    <w:rsid w:val="007253B8"/>
    <w:rsid w:val="0073741F"/>
    <w:rsid w:val="0075476C"/>
    <w:rsid w:val="00760E0B"/>
    <w:rsid w:val="0076643F"/>
    <w:rsid w:val="00767718"/>
    <w:rsid w:val="00776E50"/>
    <w:rsid w:val="00777F63"/>
    <w:rsid w:val="00781658"/>
    <w:rsid w:val="007866A7"/>
    <w:rsid w:val="00794CD3"/>
    <w:rsid w:val="00797004"/>
    <w:rsid w:val="007A5817"/>
    <w:rsid w:val="007A78B9"/>
    <w:rsid w:val="007B05C4"/>
    <w:rsid w:val="007B06FA"/>
    <w:rsid w:val="007B1A56"/>
    <w:rsid w:val="007B4D16"/>
    <w:rsid w:val="007B60E9"/>
    <w:rsid w:val="007B6CC3"/>
    <w:rsid w:val="007B76D3"/>
    <w:rsid w:val="007B7980"/>
    <w:rsid w:val="007C3334"/>
    <w:rsid w:val="007D06B8"/>
    <w:rsid w:val="007D1391"/>
    <w:rsid w:val="007D2B98"/>
    <w:rsid w:val="007D519A"/>
    <w:rsid w:val="007E21BC"/>
    <w:rsid w:val="007E33DF"/>
    <w:rsid w:val="007E7C82"/>
    <w:rsid w:val="007F08ED"/>
    <w:rsid w:val="007F11BD"/>
    <w:rsid w:val="007F2AA1"/>
    <w:rsid w:val="007F44DE"/>
    <w:rsid w:val="007F588D"/>
    <w:rsid w:val="00803F1C"/>
    <w:rsid w:val="0080600E"/>
    <w:rsid w:val="00814688"/>
    <w:rsid w:val="00816E92"/>
    <w:rsid w:val="00817612"/>
    <w:rsid w:val="008338A4"/>
    <w:rsid w:val="00834D49"/>
    <w:rsid w:val="0083586A"/>
    <w:rsid w:val="00837C45"/>
    <w:rsid w:val="00841798"/>
    <w:rsid w:val="00844730"/>
    <w:rsid w:val="008457C2"/>
    <w:rsid w:val="00857A82"/>
    <w:rsid w:val="00864880"/>
    <w:rsid w:val="00866D71"/>
    <w:rsid w:val="00867314"/>
    <w:rsid w:val="008731D6"/>
    <w:rsid w:val="00873836"/>
    <w:rsid w:val="00885737"/>
    <w:rsid w:val="00890650"/>
    <w:rsid w:val="00897E12"/>
    <w:rsid w:val="008A7E0F"/>
    <w:rsid w:val="008B12F5"/>
    <w:rsid w:val="008B17B5"/>
    <w:rsid w:val="008B5ECB"/>
    <w:rsid w:val="008C5E2D"/>
    <w:rsid w:val="008C7C83"/>
    <w:rsid w:val="008D5922"/>
    <w:rsid w:val="008D768D"/>
    <w:rsid w:val="008E2EFE"/>
    <w:rsid w:val="008E3759"/>
    <w:rsid w:val="008E3BFE"/>
    <w:rsid w:val="008F17E8"/>
    <w:rsid w:val="008F1912"/>
    <w:rsid w:val="008F6EB4"/>
    <w:rsid w:val="0090270B"/>
    <w:rsid w:val="009041DC"/>
    <w:rsid w:val="00917B5A"/>
    <w:rsid w:val="00920A58"/>
    <w:rsid w:val="00920A8C"/>
    <w:rsid w:val="00927FB8"/>
    <w:rsid w:val="00933846"/>
    <w:rsid w:val="00934A2C"/>
    <w:rsid w:val="0094094A"/>
    <w:rsid w:val="00941BDA"/>
    <w:rsid w:val="00942C32"/>
    <w:rsid w:val="00953F9D"/>
    <w:rsid w:val="0096706E"/>
    <w:rsid w:val="009708B8"/>
    <w:rsid w:val="00974491"/>
    <w:rsid w:val="009746B0"/>
    <w:rsid w:val="00975C4E"/>
    <w:rsid w:val="00981FBA"/>
    <w:rsid w:val="009850D3"/>
    <w:rsid w:val="00997BC5"/>
    <w:rsid w:val="009A4F41"/>
    <w:rsid w:val="009B381B"/>
    <w:rsid w:val="009C00D6"/>
    <w:rsid w:val="009C2683"/>
    <w:rsid w:val="009C76BA"/>
    <w:rsid w:val="009D1753"/>
    <w:rsid w:val="009D7611"/>
    <w:rsid w:val="009E0B61"/>
    <w:rsid w:val="009E327C"/>
    <w:rsid w:val="009E53DE"/>
    <w:rsid w:val="009F1F76"/>
    <w:rsid w:val="00A0519B"/>
    <w:rsid w:val="00A052F3"/>
    <w:rsid w:val="00A05AD4"/>
    <w:rsid w:val="00A0644C"/>
    <w:rsid w:val="00A07E51"/>
    <w:rsid w:val="00A101B5"/>
    <w:rsid w:val="00A103B8"/>
    <w:rsid w:val="00A11212"/>
    <w:rsid w:val="00A11E44"/>
    <w:rsid w:val="00A20786"/>
    <w:rsid w:val="00A20C43"/>
    <w:rsid w:val="00A21782"/>
    <w:rsid w:val="00A23907"/>
    <w:rsid w:val="00A2624C"/>
    <w:rsid w:val="00A30100"/>
    <w:rsid w:val="00A31C69"/>
    <w:rsid w:val="00A31FC3"/>
    <w:rsid w:val="00A328B3"/>
    <w:rsid w:val="00A50FCF"/>
    <w:rsid w:val="00A527EE"/>
    <w:rsid w:val="00A528D1"/>
    <w:rsid w:val="00A560F1"/>
    <w:rsid w:val="00A5680E"/>
    <w:rsid w:val="00A610CD"/>
    <w:rsid w:val="00A64614"/>
    <w:rsid w:val="00A65C08"/>
    <w:rsid w:val="00A65EE1"/>
    <w:rsid w:val="00A721FE"/>
    <w:rsid w:val="00A758AA"/>
    <w:rsid w:val="00A75919"/>
    <w:rsid w:val="00A806DF"/>
    <w:rsid w:val="00A80941"/>
    <w:rsid w:val="00A83790"/>
    <w:rsid w:val="00A83D16"/>
    <w:rsid w:val="00AA09A2"/>
    <w:rsid w:val="00AA52AC"/>
    <w:rsid w:val="00AA7996"/>
    <w:rsid w:val="00AB2106"/>
    <w:rsid w:val="00AB5E83"/>
    <w:rsid w:val="00AC19CB"/>
    <w:rsid w:val="00AC4BF6"/>
    <w:rsid w:val="00AD254F"/>
    <w:rsid w:val="00AE17F5"/>
    <w:rsid w:val="00AE5488"/>
    <w:rsid w:val="00AE6F91"/>
    <w:rsid w:val="00AF1BE3"/>
    <w:rsid w:val="00AF5571"/>
    <w:rsid w:val="00B07341"/>
    <w:rsid w:val="00B1076E"/>
    <w:rsid w:val="00B13600"/>
    <w:rsid w:val="00B1732E"/>
    <w:rsid w:val="00B30539"/>
    <w:rsid w:val="00B314DB"/>
    <w:rsid w:val="00B361F2"/>
    <w:rsid w:val="00B3718B"/>
    <w:rsid w:val="00B3745F"/>
    <w:rsid w:val="00B43367"/>
    <w:rsid w:val="00B4632A"/>
    <w:rsid w:val="00B530F1"/>
    <w:rsid w:val="00B57B2C"/>
    <w:rsid w:val="00B604BF"/>
    <w:rsid w:val="00B6716C"/>
    <w:rsid w:val="00B67EB0"/>
    <w:rsid w:val="00B74A57"/>
    <w:rsid w:val="00B85C78"/>
    <w:rsid w:val="00B938CC"/>
    <w:rsid w:val="00BA276C"/>
    <w:rsid w:val="00BA3DCF"/>
    <w:rsid w:val="00BB306F"/>
    <w:rsid w:val="00BD00D4"/>
    <w:rsid w:val="00BD1D82"/>
    <w:rsid w:val="00BD4B89"/>
    <w:rsid w:val="00BD587C"/>
    <w:rsid w:val="00BD5922"/>
    <w:rsid w:val="00BD7B80"/>
    <w:rsid w:val="00BF02CB"/>
    <w:rsid w:val="00BF1627"/>
    <w:rsid w:val="00BF26A6"/>
    <w:rsid w:val="00BF6FD8"/>
    <w:rsid w:val="00C00C7D"/>
    <w:rsid w:val="00C03680"/>
    <w:rsid w:val="00C054DF"/>
    <w:rsid w:val="00C11209"/>
    <w:rsid w:val="00C21762"/>
    <w:rsid w:val="00C21FEF"/>
    <w:rsid w:val="00C23BA4"/>
    <w:rsid w:val="00C24543"/>
    <w:rsid w:val="00C256A2"/>
    <w:rsid w:val="00C25ADB"/>
    <w:rsid w:val="00C41EFE"/>
    <w:rsid w:val="00C46E49"/>
    <w:rsid w:val="00C51515"/>
    <w:rsid w:val="00C5239E"/>
    <w:rsid w:val="00C5660B"/>
    <w:rsid w:val="00C63676"/>
    <w:rsid w:val="00C66B72"/>
    <w:rsid w:val="00C741C1"/>
    <w:rsid w:val="00C75825"/>
    <w:rsid w:val="00C821A0"/>
    <w:rsid w:val="00C83628"/>
    <w:rsid w:val="00C87AC4"/>
    <w:rsid w:val="00C9567A"/>
    <w:rsid w:val="00C972A4"/>
    <w:rsid w:val="00CA7EE2"/>
    <w:rsid w:val="00CB212D"/>
    <w:rsid w:val="00CB2660"/>
    <w:rsid w:val="00CC58A4"/>
    <w:rsid w:val="00CC5E90"/>
    <w:rsid w:val="00CD046C"/>
    <w:rsid w:val="00CD286D"/>
    <w:rsid w:val="00CE076C"/>
    <w:rsid w:val="00CE13B3"/>
    <w:rsid w:val="00CE5199"/>
    <w:rsid w:val="00CE66D5"/>
    <w:rsid w:val="00CF0B45"/>
    <w:rsid w:val="00CF637A"/>
    <w:rsid w:val="00D059DE"/>
    <w:rsid w:val="00D05ABD"/>
    <w:rsid w:val="00D13530"/>
    <w:rsid w:val="00D13FCE"/>
    <w:rsid w:val="00D2004C"/>
    <w:rsid w:val="00D251DA"/>
    <w:rsid w:val="00D277E5"/>
    <w:rsid w:val="00D306D1"/>
    <w:rsid w:val="00D30800"/>
    <w:rsid w:val="00D34786"/>
    <w:rsid w:val="00D3548A"/>
    <w:rsid w:val="00D37BFC"/>
    <w:rsid w:val="00D4467C"/>
    <w:rsid w:val="00D47A8E"/>
    <w:rsid w:val="00D52D14"/>
    <w:rsid w:val="00D712D3"/>
    <w:rsid w:val="00D71422"/>
    <w:rsid w:val="00D71EAD"/>
    <w:rsid w:val="00D72DC6"/>
    <w:rsid w:val="00D7558D"/>
    <w:rsid w:val="00D756D0"/>
    <w:rsid w:val="00D81D92"/>
    <w:rsid w:val="00D84BF3"/>
    <w:rsid w:val="00D85332"/>
    <w:rsid w:val="00D876F9"/>
    <w:rsid w:val="00D91BEF"/>
    <w:rsid w:val="00D9438A"/>
    <w:rsid w:val="00DA1064"/>
    <w:rsid w:val="00DA46B6"/>
    <w:rsid w:val="00DA7B5F"/>
    <w:rsid w:val="00DB02CC"/>
    <w:rsid w:val="00DB2F7D"/>
    <w:rsid w:val="00DB550A"/>
    <w:rsid w:val="00DC11E7"/>
    <w:rsid w:val="00DC24E3"/>
    <w:rsid w:val="00DC2B4B"/>
    <w:rsid w:val="00DC5596"/>
    <w:rsid w:val="00DC7023"/>
    <w:rsid w:val="00DC769A"/>
    <w:rsid w:val="00DD3D86"/>
    <w:rsid w:val="00DD4AD2"/>
    <w:rsid w:val="00DE1ECF"/>
    <w:rsid w:val="00DE4647"/>
    <w:rsid w:val="00DE71BD"/>
    <w:rsid w:val="00DF1EC4"/>
    <w:rsid w:val="00E0044E"/>
    <w:rsid w:val="00E0340B"/>
    <w:rsid w:val="00E03F31"/>
    <w:rsid w:val="00E04A90"/>
    <w:rsid w:val="00E0551F"/>
    <w:rsid w:val="00E1545F"/>
    <w:rsid w:val="00E1770B"/>
    <w:rsid w:val="00E219C7"/>
    <w:rsid w:val="00E4118C"/>
    <w:rsid w:val="00E43157"/>
    <w:rsid w:val="00E45D96"/>
    <w:rsid w:val="00E461CE"/>
    <w:rsid w:val="00E54D28"/>
    <w:rsid w:val="00E573E4"/>
    <w:rsid w:val="00E64C3D"/>
    <w:rsid w:val="00E71A83"/>
    <w:rsid w:val="00E720CA"/>
    <w:rsid w:val="00E82DDC"/>
    <w:rsid w:val="00E84EB5"/>
    <w:rsid w:val="00E85662"/>
    <w:rsid w:val="00E86CC8"/>
    <w:rsid w:val="00E8789F"/>
    <w:rsid w:val="00E94136"/>
    <w:rsid w:val="00E97B71"/>
    <w:rsid w:val="00EA3D34"/>
    <w:rsid w:val="00EB1234"/>
    <w:rsid w:val="00EB197F"/>
    <w:rsid w:val="00EB454D"/>
    <w:rsid w:val="00EC0D16"/>
    <w:rsid w:val="00EC0E04"/>
    <w:rsid w:val="00EC7CAD"/>
    <w:rsid w:val="00ED549D"/>
    <w:rsid w:val="00ED6C06"/>
    <w:rsid w:val="00ED76BE"/>
    <w:rsid w:val="00EE00E9"/>
    <w:rsid w:val="00EF1AAA"/>
    <w:rsid w:val="00EF5FE9"/>
    <w:rsid w:val="00EF619B"/>
    <w:rsid w:val="00F00B55"/>
    <w:rsid w:val="00F02AD1"/>
    <w:rsid w:val="00F07A1A"/>
    <w:rsid w:val="00F23BE2"/>
    <w:rsid w:val="00F253CC"/>
    <w:rsid w:val="00F27018"/>
    <w:rsid w:val="00F358DB"/>
    <w:rsid w:val="00F37106"/>
    <w:rsid w:val="00F37611"/>
    <w:rsid w:val="00F42E8C"/>
    <w:rsid w:val="00F44E25"/>
    <w:rsid w:val="00F519CF"/>
    <w:rsid w:val="00F53219"/>
    <w:rsid w:val="00F56259"/>
    <w:rsid w:val="00F56BA5"/>
    <w:rsid w:val="00F60E22"/>
    <w:rsid w:val="00F6499C"/>
    <w:rsid w:val="00F65B8C"/>
    <w:rsid w:val="00F778B8"/>
    <w:rsid w:val="00F80313"/>
    <w:rsid w:val="00F81395"/>
    <w:rsid w:val="00F81BB8"/>
    <w:rsid w:val="00F82A75"/>
    <w:rsid w:val="00F87E6E"/>
    <w:rsid w:val="00F90C64"/>
    <w:rsid w:val="00F911C7"/>
    <w:rsid w:val="00F917D1"/>
    <w:rsid w:val="00F95137"/>
    <w:rsid w:val="00F9653B"/>
    <w:rsid w:val="00F96DE0"/>
    <w:rsid w:val="00FA1E75"/>
    <w:rsid w:val="00FB62CF"/>
    <w:rsid w:val="00FC3960"/>
    <w:rsid w:val="00FC5712"/>
    <w:rsid w:val="00FD3C3B"/>
    <w:rsid w:val="00FD6D63"/>
    <w:rsid w:val="00FE07DD"/>
    <w:rsid w:val="00FE2CA0"/>
    <w:rsid w:val="00FE6B45"/>
    <w:rsid w:val="00FF55F3"/>
    <w:rsid w:val="00FF5851"/>
    <w:rsid w:val="00FF7B79"/>
    <w:rsid w:val="0EDB5D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32D4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10B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CommentReference">
    <w:name w:val="annotation reference"/>
    <w:basedOn w:val="DefaultParagraphFont"/>
    <w:uiPriority w:val="99"/>
    <w:semiHidden/>
    <w:unhideWhenUsed/>
    <w:rsid w:val="00F82A75"/>
    <w:rPr>
      <w:sz w:val="16"/>
      <w:szCs w:val="16"/>
    </w:rPr>
  </w:style>
  <w:style w:type="paragraph" w:styleId="CommentText">
    <w:name w:val="annotation text"/>
    <w:basedOn w:val="Normal"/>
    <w:link w:val="CommentTextChar"/>
    <w:uiPriority w:val="99"/>
    <w:unhideWhenUsed/>
    <w:rsid w:val="00F82A75"/>
    <w:rPr>
      <w:sz w:val="20"/>
      <w:szCs w:val="20"/>
    </w:rPr>
  </w:style>
  <w:style w:type="character" w:customStyle="1" w:styleId="CommentTextChar">
    <w:name w:val="Comment Text Char"/>
    <w:basedOn w:val="DefaultParagraphFont"/>
    <w:link w:val="CommentText"/>
    <w:uiPriority w:val="99"/>
    <w:rsid w:val="00F82A75"/>
    <w:rPr>
      <w:lang w:val="en-US" w:eastAsia="en-US"/>
    </w:rPr>
  </w:style>
  <w:style w:type="paragraph" w:styleId="CommentSubject">
    <w:name w:val="annotation subject"/>
    <w:basedOn w:val="CommentText"/>
    <w:next w:val="CommentText"/>
    <w:link w:val="CommentSubjectChar"/>
    <w:uiPriority w:val="99"/>
    <w:semiHidden/>
    <w:unhideWhenUsed/>
    <w:rsid w:val="00F82A75"/>
    <w:rPr>
      <w:b/>
      <w:bCs/>
    </w:rPr>
  </w:style>
  <w:style w:type="character" w:customStyle="1" w:styleId="CommentSubjectChar">
    <w:name w:val="Comment Subject Char"/>
    <w:basedOn w:val="CommentTextChar"/>
    <w:link w:val="CommentSubject"/>
    <w:uiPriority w:val="99"/>
    <w:semiHidden/>
    <w:rsid w:val="00F82A75"/>
    <w:rPr>
      <w:b/>
      <w:bCs/>
      <w:lang w:val="en-US" w:eastAsia="en-US"/>
    </w:rPr>
  </w:style>
  <w:style w:type="paragraph" w:customStyle="1" w:styleId="paragraph">
    <w:name w:val="paragraph"/>
    <w:basedOn w:val="Normal"/>
    <w:rsid w:val="00B604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604BF"/>
  </w:style>
  <w:style w:type="character" w:customStyle="1" w:styleId="eop">
    <w:name w:val="eop"/>
    <w:basedOn w:val="DefaultParagraphFont"/>
    <w:rsid w:val="00B6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950">
      <w:bodyDiv w:val="1"/>
      <w:marLeft w:val="0"/>
      <w:marRight w:val="0"/>
      <w:marTop w:val="0"/>
      <w:marBottom w:val="0"/>
      <w:divBdr>
        <w:top w:val="none" w:sz="0" w:space="0" w:color="auto"/>
        <w:left w:val="none" w:sz="0" w:space="0" w:color="auto"/>
        <w:bottom w:val="none" w:sz="0" w:space="0" w:color="auto"/>
        <w:right w:val="none" w:sz="0" w:space="0" w:color="auto"/>
      </w:divBdr>
      <w:divsChild>
        <w:div w:id="1722287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66296">
      <w:bodyDiv w:val="1"/>
      <w:marLeft w:val="0"/>
      <w:marRight w:val="0"/>
      <w:marTop w:val="0"/>
      <w:marBottom w:val="0"/>
      <w:divBdr>
        <w:top w:val="none" w:sz="0" w:space="0" w:color="auto"/>
        <w:left w:val="none" w:sz="0" w:space="0" w:color="auto"/>
        <w:bottom w:val="none" w:sz="0" w:space="0" w:color="auto"/>
        <w:right w:val="none" w:sz="0" w:space="0" w:color="auto"/>
      </w:divBdr>
      <w:divsChild>
        <w:div w:id="109420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3791">
      <w:bodyDiv w:val="1"/>
      <w:marLeft w:val="0"/>
      <w:marRight w:val="0"/>
      <w:marTop w:val="0"/>
      <w:marBottom w:val="0"/>
      <w:divBdr>
        <w:top w:val="none" w:sz="0" w:space="0" w:color="auto"/>
        <w:left w:val="none" w:sz="0" w:space="0" w:color="auto"/>
        <w:bottom w:val="none" w:sz="0" w:space="0" w:color="auto"/>
        <w:right w:val="none" w:sz="0" w:space="0" w:color="auto"/>
      </w:divBdr>
      <w:divsChild>
        <w:div w:id="185434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151300">
      <w:bodyDiv w:val="1"/>
      <w:marLeft w:val="0"/>
      <w:marRight w:val="0"/>
      <w:marTop w:val="0"/>
      <w:marBottom w:val="0"/>
      <w:divBdr>
        <w:top w:val="none" w:sz="0" w:space="0" w:color="auto"/>
        <w:left w:val="none" w:sz="0" w:space="0" w:color="auto"/>
        <w:bottom w:val="none" w:sz="0" w:space="0" w:color="auto"/>
        <w:right w:val="none" w:sz="0" w:space="0" w:color="auto"/>
      </w:divBdr>
      <w:divsChild>
        <w:div w:id="35080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251438">
      <w:bodyDiv w:val="1"/>
      <w:marLeft w:val="0"/>
      <w:marRight w:val="0"/>
      <w:marTop w:val="0"/>
      <w:marBottom w:val="0"/>
      <w:divBdr>
        <w:top w:val="none" w:sz="0" w:space="0" w:color="auto"/>
        <w:left w:val="none" w:sz="0" w:space="0" w:color="auto"/>
        <w:bottom w:val="none" w:sz="0" w:space="0" w:color="auto"/>
        <w:right w:val="none" w:sz="0" w:space="0" w:color="auto"/>
      </w:divBdr>
      <w:divsChild>
        <w:div w:id="18174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569215">
      <w:bodyDiv w:val="1"/>
      <w:marLeft w:val="0"/>
      <w:marRight w:val="0"/>
      <w:marTop w:val="0"/>
      <w:marBottom w:val="0"/>
      <w:divBdr>
        <w:top w:val="none" w:sz="0" w:space="0" w:color="auto"/>
        <w:left w:val="none" w:sz="0" w:space="0" w:color="auto"/>
        <w:bottom w:val="none" w:sz="0" w:space="0" w:color="auto"/>
        <w:right w:val="none" w:sz="0" w:space="0" w:color="auto"/>
      </w:divBdr>
    </w:div>
    <w:div w:id="585119352">
      <w:bodyDiv w:val="1"/>
      <w:marLeft w:val="0"/>
      <w:marRight w:val="0"/>
      <w:marTop w:val="0"/>
      <w:marBottom w:val="0"/>
      <w:divBdr>
        <w:top w:val="none" w:sz="0" w:space="0" w:color="auto"/>
        <w:left w:val="none" w:sz="0" w:space="0" w:color="auto"/>
        <w:bottom w:val="none" w:sz="0" w:space="0" w:color="auto"/>
        <w:right w:val="none" w:sz="0" w:space="0" w:color="auto"/>
      </w:divBdr>
      <w:divsChild>
        <w:div w:id="79089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394380">
      <w:bodyDiv w:val="1"/>
      <w:marLeft w:val="0"/>
      <w:marRight w:val="0"/>
      <w:marTop w:val="0"/>
      <w:marBottom w:val="0"/>
      <w:divBdr>
        <w:top w:val="none" w:sz="0" w:space="0" w:color="auto"/>
        <w:left w:val="none" w:sz="0" w:space="0" w:color="auto"/>
        <w:bottom w:val="none" w:sz="0" w:space="0" w:color="auto"/>
        <w:right w:val="none" w:sz="0" w:space="0" w:color="auto"/>
      </w:divBdr>
      <w:divsChild>
        <w:div w:id="856384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614543">
      <w:bodyDiv w:val="1"/>
      <w:marLeft w:val="0"/>
      <w:marRight w:val="0"/>
      <w:marTop w:val="0"/>
      <w:marBottom w:val="0"/>
      <w:divBdr>
        <w:top w:val="none" w:sz="0" w:space="0" w:color="auto"/>
        <w:left w:val="none" w:sz="0" w:space="0" w:color="auto"/>
        <w:bottom w:val="none" w:sz="0" w:space="0" w:color="auto"/>
        <w:right w:val="none" w:sz="0" w:space="0" w:color="auto"/>
      </w:divBdr>
      <w:divsChild>
        <w:div w:id="43001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312441">
      <w:bodyDiv w:val="1"/>
      <w:marLeft w:val="0"/>
      <w:marRight w:val="0"/>
      <w:marTop w:val="0"/>
      <w:marBottom w:val="0"/>
      <w:divBdr>
        <w:top w:val="none" w:sz="0" w:space="0" w:color="auto"/>
        <w:left w:val="none" w:sz="0" w:space="0" w:color="auto"/>
        <w:bottom w:val="none" w:sz="0" w:space="0" w:color="auto"/>
        <w:right w:val="none" w:sz="0" w:space="0" w:color="auto"/>
      </w:divBdr>
      <w:divsChild>
        <w:div w:id="693111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9122757">
      <w:bodyDiv w:val="1"/>
      <w:marLeft w:val="0"/>
      <w:marRight w:val="0"/>
      <w:marTop w:val="0"/>
      <w:marBottom w:val="0"/>
      <w:divBdr>
        <w:top w:val="none" w:sz="0" w:space="0" w:color="auto"/>
        <w:left w:val="none" w:sz="0" w:space="0" w:color="auto"/>
        <w:bottom w:val="none" w:sz="0" w:space="0" w:color="auto"/>
        <w:right w:val="none" w:sz="0" w:space="0" w:color="auto"/>
      </w:divBdr>
      <w:divsChild>
        <w:div w:id="1520967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3051">
      <w:bodyDiv w:val="1"/>
      <w:marLeft w:val="0"/>
      <w:marRight w:val="0"/>
      <w:marTop w:val="0"/>
      <w:marBottom w:val="0"/>
      <w:divBdr>
        <w:top w:val="none" w:sz="0" w:space="0" w:color="auto"/>
        <w:left w:val="none" w:sz="0" w:space="0" w:color="auto"/>
        <w:bottom w:val="none" w:sz="0" w:space="0" w:color="auto"/>
        <w:right w:val="none" w:sz="0" w:space="0" w:color="auto"/>
      </w:divBdr>
      <w:divsChild>
        <w:div w:id="1901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9690">
      <w:bodyDiv w:val="1"/>
      <w:marLeft w:val="0"/>
      <w:marRight w:val="0"/>
      <w:marTop w:val="0"/>
      <w:marBottom w:val="0"/>
      <w:divBdr>
        <w:top w:val="none" w:sz="0" w:space="0" w:color="auto"/>
        <w:left w:val="none" w:sz="0" w:space="0" w:color="auto"/>
        <w:bottom w:val="none" w:sz="0" w:space="0" w:color="auto"/>
        <w:right w:val="none" w:sz="0" w:space="0" w:color="auto"/>
      </w:divBdr>
      <w:divsChild>
        <w:div w:id="179236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684533">
      <w:bodyDiv w:val="1"/>
      <w:marLeft w:val="0"/>
      <w:marRight w:val="0"/>
      <w:marTop w:val="0"/>
      <w:marBottom w:val="0"/>
      <w:divBdr>
        <w:top w:val="none" w:sz="0" w:space="0" w:color="auto"/>
        <w:left w:val="none" w:sz="0" w:space="0" w:color="auto"/>
        <w:bottom w:val="none" w:sz="0" w:space="0" w:color="auto"/>
        <w:right w:val="none" w:sz="0" w:space="0" w:color="auto"/>
      </w:divBdr>
    </w:div>
    <w:div w:id="1484160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76987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865043">
      <w:bodyDiv w:val="1"/>
      <w:marLeft w:val="0"/>
      <w:marRight w:val="0"/>
      <w:marTop w:val="0"/>
      <w:marBottom w:val="0"/>
      <w:divBdr>
        <w:top w:val="none" w:sz="0" w:space="0" w:color="auto"/>
        <w:left w:val="none" w:sz="0" w:space="0" w:color="auto"/>
        <w:bottom w:val="none" w:sz="0" w:space="0" w:color="auto"/>
        <w:right w:val="none" w:sz="0" w:space="0" w:color="auto"/>
      </w:divBdr>
      <w:divsChild>
        <w:div w:id="103499057">
          <w:marLeft w:val="0"/>
          <w:marRight w:val="0"/>
          <w:marTop w:val="0"/>
          <w:marBottom w:val="0"/>
          <w:divBdr>
            <w:top w:val="none" w:sz="0" w:space="0" w:color="auto"/>
            <w:left w:val="none" w:sz="0" w:space="0" w:color="auto"/>
            <w:bottom w:val="none" w:sz="0" w:space="0" w:color="auto"/>
            <w:right w:val="none" w:sz="0" w:space="0" w:color="auto"/>
          </w:divBdr>
        </w:div>
      </w:divsChild>
    </w:div>
    <w:div w:id="1950745109">
      <w:bodyDiv w:val="1"/>
      <w:marLeft w:val="0"/>
      <w:marRight w:val="0"/>
      <w:marTop w:val="0"/>
      <w:marBottom w:val="0"/>
      <w:divBdr>
        <w:top w:val="none" w:sz="0" w:space="0" w:color="auto"/>
        <w:left w:val="none" w:sz="0" w:space="0" w:color="auto"/>
        <w:bottom w:val="none" w:sz="0" w:space="0" w:color="auto"/>
        <w:right w:val="none" w:sz="0" w:space="0" w:color="auto"/>
      </w:divBdr>
    </w:div>
    <w:div w:id="2069572115">
      <w:bodyDiv w:val="1"/>
      <w:marLeft w:val="0"/>
      <w:marRight w:val="0"/>
      <w:marTop w:val="0"/>
      <w:marBottom w:val="0"/>
      <w:divBdr>
        <w:top w:val="none" w:sz="0" w:space="0" w:color="auto"/>
        <w:left w:val="none" w:sz="0" w:space="0" w:color="auto"/>
        <w:bottom w:val="none" w:sz="0" w:space="0" w:color="auto"/>
        <w:right w:val="none" w:sz="0" w:space="0" w:color="auto"/>
      </w:divBdr>
    </w:div>
    <w:div w:id="2134714246">
      <w:bodyDiv w:val="1"/>
      <w:marLeft w:val="0"/>
      <w:marRight w:val="0"/>
      <w:marTop w:val="0"/>
      <w:marBottom w:val="0"/>
      <w:divBdr>
        <w:top w:val="none" w:sz="0" w:space="0" w:color="auto"/>
        <w:left w:val="none" w:sz="0" w:space="0" w:color="auto"/>
        <w:bottom w:val="none" w:sz="0" w:space="0" w:color="auto"/>
        <w:right w:val="none" w:sz="0" w:space="0" w:color="auto"/>
      </w:divBdr>
      <w:divsChild>
        <w:div w:id="721366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760638">
      <w:bodyDiv w:val="1"/>
      <w:marLeft w:val="0"/>
      <w:marRight w:val="0"/>
      <w:marTop w:val="0"/>
      <w:marBottom w:val="0"/>
      <w:divBdr>
        <w:top w:val="none" w:sz="0" w:space="0" w:color="auto"/>
        <w:left w:val="none" w:sz="0" w:space="0" w:color="auto"/>
        <w:bottom w:val="none" w:sz="0" w:space="0" w:color="auto"/>
        <w:right w:val="none" w:sz="0" w:space="0" w:color="auto"/>
      </w:divBdr>
      <w:divsChild>
        <w:div w:id="147957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1DB0"/>
    <w:rsid w:val="000D6451"/>
    <w:rsid w:val="0012310E"/>
    <w:rsid w:val="00172150"/>
    <w:rsid w:val="001B5C2F"/>
    <w:rsid w:val="001B68CE"/>
    <w:rsid w:val="00200821"/>
    <w:rsid w:val="00201CE6"/>
    <w:rsid w:val="0025245B"/>
    <w:rsid w:val="002A3923"/>
    <w:rsid w:val="00394049"/>
    <w:rsid w:val="004B5BBB"/>
    <w:rsid w:val="004F0C91"/>
    <w:rsid w:val="004F2DF8"/>
    <w:rsid w:val="006F24A1"/>
    <w:rsid w:val="00783075"/>
    <w:rsid w:val="008B17BE"/>
    <w:rsid w:val="009A261B"/>
    <w:rsid w:val="009C3CB6"/>
    <w:rsid w:val="00A4418E"/>
    <w:rsid w:val="00A75919"/>
    <w:rsid w:val="00AA2E17"/>
    <w:rsid w:val="00AC15A4"/>
    <w:rsid w:val="00B0336C"/>
    <w:rsid w:val="00B30277"/>
    <w:rsid w:val="00C743BE"/>
    <w:rsid w:val="00D241E9"/>
    <w:rsid w:val="00D7750D"/>
    <w:rsid w:val="00E266FF"/>
    <w:rsid w:val="00F00D2F"/>
    <w:rsid w:val="00F128DF"/>
    <w:rsid w:val="00FA2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2024-11-27T16:05:00Z</dcterms:created>
  <dcterms:modified xsi:type="dcterms:W3CDTF">2024-11-27T16:05:00Z</dcterms:modified>
</cp:coreProperties>
</file>