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FBDDC87">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C784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228F37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0EBC">
                              <w:rPr>
                                <w:rFonts w:asciiTheme="majorHAnsi" w:hAnsiTheme="majorHAnsi" w:cs="Arial"/>
                                <w:b/>
                                <w:bCs/>
                                <w:color w:val="0D0D0D" w:themeColor="text1" w:themeTint="F2"/>
                                <w:sz w:val="36"/>
                                <w:szCs w:val="22"/>
                                <w:lang w:val="es-ES_tradnl"/>
                              </w:rPr>
                              <w:t>102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71C3793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D4F4A">
                              <w:rPr>
                                <w:rFonts w:asciiTheme="majorHAnsi" w:hAnsiTheme="majorHAnsi" w:cs="Arial"/>
                                <w:b/>
                                <w:color w:val="0D0D0D" w:themeColor="text1" w:themeTint="F2"/>
                                <w:sz w:val="36"/>
                                <w:szCs w:val="22"/>
                                <w:lang w:val="es-ES_tradnl"/>
                              </w:rPr>
                              <w:t>105</w:t>
                            </w:r>
                            <w:r w:rsidR="00246D1F" w:rsidRPr="004E2649">
                              <w:rPr>
                                <w:rFonts w:asciiTheme="majorHAnsi" w:hAnsiTheme="majorHAnsi" w:cs="Arial"/>
                                <w:b/>
                                <w:color w:val="0D0D0D" w:themeColor="text1" w:themeTint="F2"/>
                                <w:sz w:val="36"/>
                                <w:szCs w:val="22"/>
                                <w:lang w:val="es-ES_tradnl"/>
                              </w:rPr>
                              <w:t>-</w:t>
                            </w:r>
                            <w:r w:rsidR="00ED4F4A">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6EF1BCE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D5A94D8" w14:textId="77777777" w:rsidR="00D93FE2" w:rsidRDefault="00ED4F4A" w:rsidP="00997BC5">
                            <w:pPr>
                              <w:spacing w:line="276" w:lineRule="auto"/>
                              <w:rPr>
                                <w:rFonts w:asciiTheme="majorHAnsi" w:hAnsiTheme="majorHAnsi" w:cs="Arial"/>
                                <w:color w:val="0D0D0D" w:themeColor="text1" w:themeTint="F2"/>
                                <w:szCs w:val="22"/>
                                <w:lang w:val="es-PE"/>
                              </w:rPr>
                            </w:pPr>
                            <w:r w:rsidRPr="00ED4F4A">
                              <w:rPr>
                                <w:rFonts w:asciiTheme="majorHAnsi" w:hAnsiTheme="majorHAnsi" w:cs="Arial"/>
                                <w:color w:val="0D0D0D" w:themeColor="text1" w:themeTint="F2"/>
                                <w:szCs w:val="22"/>
                                <w:lang w:val="es-PE"/>
                              </w:rPr>
                              <w:t xml:space="preserve">MARIO ALFREDO GARCÍA BARRAGÁN </w:t>
                            </w:r>
                          </w:p>
                          <w:p w14:paraId="7E53FF07" w14:textId="7152B79A" w:rsidR="00ED4F4A" w:rsidRPr="00ED4F4A" w:rsidRDefault="00ED4F4A" w:rsidP="00997BC5">
                            <w:pPr>
                              <w:spacing w:line="276" w:lineRule="auto"/>
                              <w:rPr>
                                <w:rFonts w:asciiTheme="majorHAnsi" w:hAnsiTheme="majorHAnsi" w:cs="Arial"/>
                                <w:color w:val="0D0D0D" w:themeColor="text1" w:themeTint="F2"/>
                                <w:szCs w:val="22"/>
                                <w:lang w:val="es-PE"/>
                              </w:rPr>
                            </w:pPr>
                            <w:r w:rsidRPr="00ED4F4A">
                              <w:rPr>
                                <w:rFonts w:asciiTheme="majorHAnsi" w:hAnsiTheme="majorHAnsi" w:cs="Arial"/>
                                <w:color w:val="0D0D0D" w:themeColor="text1" w:themeTint="F2"/>
                                <w:szCs w:val="22"/>
                                <w:lang w:val="es-PE"/>
                              </w:rPr>
                              <w:t>Y</w:t>
                            </w:r>
                            <w:r>
                              <w:rPr>
                                <w:rFonts w:asciiTheme="majorHAnsi" w:hAnsiTheme="majorHAnsi" w:cs="Arial"/>
                                <w:color w:val="0D0D0D" w:themeColor="text1" w:themeTint="F2"/>
                                <w:szCs w:val="22"/>
                                <w:lang w:val="es-PE"/>
                              </w:rPr>
                              <w:t xml:space="preserve"> JORGE WASHINGTON CÁRDENAS RAMÍREZ</w:t>
                            </w:r>
                          </w:p>
                          <w:p w14:paraId="575DFD52" w14:textId="6126727F" w:rsidR="005B52B0" w:rsidRPr="00ED4F4A" w:rsidRDefault="00ED4F4A" w:rsidP="007A5817">
                            <w:pPr>
                              <w:rPr>
                                <w:color w:val="0D0D0D" w:themeColor="text1" w:themeTint="F2"/>
                                <w:lang w:val="pt-BR"/>
                              </w:rPr>
                            </w:pPr>
                            <w:r>
                              <w:rPr>
                                <w:rFonts w:asciiTheme="majorHAnsi" w:hAnsiTheme="majorHAnsi" w:cs="Arial"/>
                                <w:color w:val="0D0D0D" w:themeColor="text1" w:themeTint="F2"/>
                                <w:szCs w:val="22"/>
                                <w:lang w:val="pt-BR"/>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228F37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0EBC">
                        <w:rPr>
                          <w:rFonts w:asciiTheme="majorHAnsi" w:hAnsiTheme="majorHAnsi" w:cs="Arial"/>
                          <w:b/>
                          <w:bCs/>
                          <w:color w:val="0D0D0D" w:themeColor="text1" w:themeTint="F2"/>
                          <w:sz w:val="36"/>
                          <w:szCs w:val="22"/>
                          <w:lang w:val="es-ES_tradnl"/>
                        </w:rPr>
                        <w:t>102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71C3793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D4F4A">
                        <w:rPr>
                          <w:rFonts w:asciiTheme="majorHAnsi" w:hAnsiTheme="majorHAnsi" w:cs="Arial"/>
                          <w:b/>
                          <w:color w:val="0D0D0D" w:themeColor="text1" w:themeTint="F2"/>
                          <w:sz w:val="36"/>
                          <w:szCs w:val="22"/>
                          <w:lang w:val="es-ES_tradnl"/>
                        </w:rPr>
                        <w:t>105</w:t>
                      </w:r>
                      <w:r w:rsidR="00246D1F" w:rsidRPr="004E2649">
                        <w:rPr>
                          <w:rFonts w:asciiTheme="majorHAnsi" w:hAnsiTheme="majorHAnsi" w:cs="Arial"/>
                          <w:b/>
                          <w:color w:val="0D0D0D" w:themeColor="text1" w:themeTint="F2"/>
                          <w:sz w:val="36"/>
                          <w:szCs w:val="22"/>
                          <w:lang w:val="es-ES_tradnl"/>
                        </w:rPr>
                        <w:t>-</w:t>
                      </w:r>
                      <w:r w:rsidR="00ED4F4A">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6EF1BCE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D5A94D8" w14:textId="77777777" w:rsidR="00D93FE2" w:rsidRDefault="00ED4F4A" w:rsidP="00997BC5">
                      <w:pPr>
                        <w:spacing w:line="276" w:lineRule="auto"/>
                        <w:rPr>
                          <w:rFonts w:asciiTheme="majorHAnsi" w:hAnsiTheme="majorHAnsi" w:cs="Arial"/>
                          <w:color w:val="0D0D0D" w:themeColor="text1" w:themeTint="F2"/>
                          <w:szCs w:val="22"/>
                          <w:lang w:val="es-PE"/>
                        </w:rPr>
                      </w:pPr>
                      <w:r w:rsidRPr="00ED4F4A">
                        <w:rPr>
                          <w:rFonts w:asciiTheme="majorHAnsi" w:hAnsiTheme="majorHAnsi" w:cs="Arial"/>
                          <w:color w:val="0D0D0D" w:themeColor="text1" w:themeTint="F2"/>
                          <w:szCs w:val="22"/>
                          <w:lang w:val="es-PE"/>
                        </w:rPr>
                        <w:t xml:space="preserve">MARIO ALFREDO GARCÍA BARRAGÁN </w:t>
                      </w:r>
                    </w:p>
                    <w:p w14:paraId="7E53FF07" w14:textId="7152B79A" w:rsidR="00ED4F4A" w:rsidRPr="00ED4F4A" w:rsidRDefault="00ED4F4A" w:rsidP="00997BC5">
                      <w:pPr>
                        <w:spacing w:line="276" w:lineRule="auto"/>
                        <w:rPr>
                          <w:rFonts w:asciiTheme="majorHAnsi" w:hAnsiTheme="majorHAnsi" w:cs="Arial"/>
                          <w:color w:val="0D0D0D" w:themeColor="text1" w:themeTint="F2"/>
                          <w:szCs w:val="22"/>
                          <w:lang w:val="es-PE"/>
                        </w:rPr>
                      </w:pPr>
                      <w:r w:rsidRPr="00ED4F4A">
                        <w:rPr>
                          <w:rFonts w:asciiTheme="majorHAnsi" w:hAnsiTheme="majorHAnsi" w:cs="Arial"/>
                          <w:color w:val="0D0D0D" w:themeColor="text1" w:themeTint="F2"/>
                          <w:szCs w:val="22"/>
                          <w:lang w:val="es-PE"/>
                        </w:rPr>
                        <w:t>Y</w:t>
                      </w:r>
                      <w:r>
                        <w:rPr>
                          <w:rFonts w:asciiTheme="majorHAnsi" w:hAnsiTheme="majorHAnsi" w:cs="Arial"/>
                          <w:color w:val="0D0D0D" w:themeColor="text1" w:themeTint="F2"/>
                          <w:szCs w:val="22"/>
                          <w:lang w:val="es-PE"/>
                        </w:rPr>
                        <w:t xml:space="preserve"> JORGE WASHINGTON CÁRDENAS RAMÍREZ</w:t>
                      </w:r>
                    </w:p>
                    <w:p w14:paraId="575DFD52" w14:textId="6126727F" w:rsidR="005B52B0" w:rsidRPr="00ED4F4A" w:rsidRDefault="00ED4F4A" w:rsidP="007A5817">
                      <w:pPr>
                        <w:rPr>
                          <w:color w:val="0D0D0D" w:themeColor="text1" w:themeTint="F2"/>
                          <w:lang w:val="pt-BR"/>
                        </w:rPr>
                      </w:pPr>
                      <w:r>
                        <w:rPr>
                          <w:rFonts w:asciiTheme="majorHAnsi" w:hAnsiTheme="majorHAnsi" w:cs="Arial"/>
                          <w:color w:val="0D0D0D" w:themeColor="text1" w:themeTint="F2"/>
                          <w:szCs w:val="22"/>
                          <w:lang w:val="pt-BR"/>
                        </w:rPr>
                        <w:t>ECUADOR</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B8E85AE" w:rsidR="00627C9F" w:rsidRPr="00722852" w:rsidRDefault="00834D49" w:rsidP="007A5817">
                            <w:pPr>
                              <w:spacing w:line="276" w:lineRule="auto"/>
                              <w:jc w:val="right"/>
                              <w:rPr>
                                <w:rFonts w:asciiTheme="minorHAnsi" w:hAnsiTheme="minorHAnsi"/>
                                <w:color w:val="FFFFFF" w:themeColor="background1"/>
                                <w:sz w:val="22"/>
                                <w:lang w:val="es-AR"/>
                              </w:rPr>
                            </w:pPr>
                            <w:r w:rsidRPr="00722852">
                              <w:rPr>
                                <w:rFonts w:asciiTheme="minorHAnsi" w:hAnsiTheme="minorHAnsi"/>
                                <w:color w:val="FFFFFF" w:themeColor="background1"/>
                                <w:sz w:val="22"/>
                                <w:lang w:val="es-AR"/>
                              </w:rPr>
                              <w:t>OEA/Ser.L/V/II</w:t>
                            </w:r>
                          </w:p>
                          <w:p w14:paraId="6A41611B" w14:textId="003883B4" w:rsidR="00627C9F" w:rsidRPr="00722852" w:rsidRDefault="00627C9F" w:rsidP="007A5817">
                            <w:pPr>
                              <w:spacing w:line="276" w:lineRule="auto"/>
                              <w:jc w:val="right"/>
                              <w:rPr>
                                <w:rFonts w:asciiTheme="minorHAnsi" w:hAnsiTheme="minorHAnsi"/>
                                <w:color w:val="FFFFFF" w:themeColor="background1"/>
                                <w:sz w:val="22"/>
                                <w:lang w:val="es-AR"/>
                              </w:rPr>
                            </w:pPr>
                            <w:r w:rsidRPr="00722852">
                              <w:rPr>
                                <w:rFonts w:asciiTheme="minorHAnsi" w:hAnsiTheme="minorHAnsi"/>
                                <w:color w:val="FFFFFF" w:themeColor="background1"/>
                                <w:sz w:val="22"/>
                                <w:lang w:val="es-AR"/>
                              </w:rPr>
                              <w:t xml:space="preserve">Doc. </w:t>
                            </w:r>
                            <w:r w:rsidR="003F0EBC" w:rsidRPr="00722852">
                              <w:rPr>
                                <w:rFonts w:asciiTheme="minorHAnsi" w:hAnsiTheme="minorHAnsi"/>
                                <w:color w:val="FFFFFF" w:themeColor="background1"/>
                                <w:sz w:val="22"/>
                                <w:lang w:val="es-AR"/>
                              </w:rPr>
                              <w:t>107</w:t>
                            </w:r>
                          </w:p>
                          <w:p w14:paraId="69373ED2" w14:textId="58804384" w:rsidR="00627C9F" w:rsidRPr="00C25ADB" w:rsidRDefault="003F0EB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B8E85AE" w:rsidR="00627C9F" w:rsidRPr="00722852" w:rsidRDefault="00834D49" w:rsidP="007A5817">
                      <w:pPr>
                        <w:spacing w:line="276" w:lineRule="auto"/>
                        <w:jc w:val="right"/>
                        <w:rPr>
                          <w:rFonts w:asciiTheme="minorHAnsi" w:hAnsiTheme="minorHAnsi"/>
                          <w:color w:val="FFFFFF" w:themeColor="background1"/>
                          <w:sz w:val="22"/>
                          <w:lang w:val="es-AR"/>
                        </w:rPr>
                      </w:pPr>
                      <w:r w:rsidRPr="00722852">
                        <w:rPr>
                          <w:rFonts w:asciiTheme="minorHAnsi" w:hAnsiTheme="minorHAnsi"/>
                          <w:color w:val="FFFFFF" w:themeColor="background1"/>
                          <w:sz w:val="22"/>
                          <w:lang w:val="es-AR"/>
                        </w:rPr>
                        <w:t>OEA/Ser.L/V/II</w:t>
                      </w:r>
                    </w:p>
                    <w:p w14:paraId="6A41611B" w14:textId="003883B4" w:rsidR="00627C9F" w:rsidRPr="00722852" w:rsidRDefault="00627C9F" w:rsidP="007A5817">
                      <w:pPr>
                        <w:spacing w:line="276" w:lineRule="auto"/>
                        <w:jc w:val="right"/>
                        <w:rPr>
                          <w:rFonts w:asciiTheme="minorHAnsi" w:hAnsiTheme="minorHAnsi"/>
                          <w:color w:val="FFFFFF" w:themeColor="background1"/>
                          <w:sz w:val="22"/>
                          <w:lang w:val="es-AR"/>
                        </w:rPr>
                      </w:pPr>
                      <w:r w:rsidRPr="00722852">
                        <w:rPr>
                          <w:rFonts w:asciiTheme="minorHAnsi" w:hAnsiTheme="minorHAnsi"/>
                          <w:color w:val="FFFFFF" w:themeColor="background1"/>
                          <w:sz w:val="22"/>
                          <w:lang w:val="es-AR"/>
                        </w:rPr>
                        <w:t xml:space="preserve">Doc. </w:t>
                      </w:r>
                      <w:r w:rsidR="003F0EBC" w:rsidRPr="00722852">
                        <w:rPr>
                          <w:rFonts w:asciiTheme="minorHAnsi" w:hAnsiTheme="minorHAnsi"/>
                          <w:color w:val="FFFFFF" w:themeColor="background1"/>
                          <w:sz w:val="22"/>
                          <w:lang w:val="es-AR"/>
                        </w:rPr>
                        <w:t>107</w:t>
                      </w:r>
                    </w:p>
                    <w:p w14:paraId="69373ED2" w14:textId="58804384" w:rsidR="00627C9F" w:rsidRPr="00C25ADB" w:rsidRDefault="003F0EB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73C2C7E"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F4077">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BF4077">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BF4077">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73C2C7E"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F4077">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BF4077">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BF4077">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CF4536F" w:rsidR="00113F73" w:rsidRPr="007B05C4" w:rsidRDefault="00113F73" w:rsidP="00113F73">
                            <w:pPr>
                              <w:spacing w:line="276" w:lineRule="auto"/>
                              <w:rPr>
                                <w:rFonts w:asciiTheme="majorHAnsi" w:hAnsiTheme="majorHAnsi"/>
                                <w:color w:val="595959" w:themeColor="text1" w:themeTint="A6"/>
                                <w:sz w:val="18"/>
                                <w:szCs w:val="18"/>
                                <w:lang w:val="es-ES"/>
                              </w:rPr>
                            </w:pPr>
                            <w:r w:rsidRPr="003C515F">
                              <w:rPr>
                                <w:rFonts w:asciiTheme="majorHAnsi" w:hAnsiTheme="majorHAnsi"/>
                                <w:b/>
                                <w:color w:val="595959" w:themeColor="text1" w:themeTint="A6"/>
                                <w:sz w:val="18"/>
                                <w:szCs w:val="18"/>
                                <w:lang w:val="pt-BR"/>
                              </w:rPr>
                              <w:t>Citar como:</w:t>
                            </w:r>
                            <w:r w:rsidRPr="003C515F">
                              <w:rPr>
                                <w:rFonts w:asciiTheme="majorHAnsi" w:hAnsiTheme="majorHAnsi"/>
                                <w:color w:val="595959" w:themeColor="text1" w:themeTint="A6"/>
                                <w:sz w:val="18"/>
                                <w:szCs w:val="18"/>
                                <w:lang w:val="pt-BR"/>
                              </w:rPr>
                              <w:t xml:space="preserve"> CIDH, Informe No. </w:t>
                            </w:r>
                            <w:r w:rsidR="00EF6C14" w:rsidRPr="00EF6C14">
                              <w:rPr>
                                <w:rFonts w:asciiTheme="majorHAnsi" w:hAnsiTheme="majorHAnsi"/>
                                <w:color w:val="595959" w:themeColor="text1" w:themeTint="A6"/>
                                <w:sz w:val="18"/>
                                <w:szCs w:val="18"/>
                                <w:lang w:val="pt-BR"/>
                              </w:rPr>
                              <w:t>102</w:t>
                            </w:r>
                            <w:r w:rsidR="007B05C4" w:rsidRPr="00EF6C14">
                              <w:rPr>
                                <w:rFonts w:asciiTheme="majorHAnsi" w:hAnsiTheme="majorHAnsi"/>
                                <w:color w:val="595959" w:themeColor="text1" w:themeTint="A6"/>
                                <w:sz w:val="18"/>
                                <w:szCs w:val="18"/>
                                <w:lang w:val="pt-BR"/>
                              </w:rPr>
                              <w:t>/</w:t>
                            </w:r>
                            <w:r w:rsidR="00EF6C14" w:rsidRPr="00EF6C14">
                              <w:rPr>
                                <w:rFonts w:asciiTheme="majorHAnsi" w:hAnsiTheme="majorHAnsi"/>
                                <w:color w:val="595959" w:themeColor="text1" w:themeTint="A6"/>
                                <w:sz w:val="18"/>
                                <w:szCs w:val="18"/>
                                <w:lang w:val="pt-BR"/>
                              </w:rPr>
                              <w:t>24</w:t>
                            </w:r>
                            <w:r w:rsidRPr="00EF6C14">
                              <w:rPr>
                                <w:rFonts w:asciiTheme="majorHAnsi" w:hAnsiTheme="majorHAnsi"/>
                                <w:color w:val="595959" w:themeColor="text1" w:themeTint="A6"/>
                                <w:sz w:val="18"/>
                                <w:szCs w:val="18"/>
                                <w:lang w:val="pt-BR"/>
                              </w:rPr>
                              <w:t xml:space="preserve">. </w:t>
                            </w:r>
                            <w:r w:rsidR="000433C9" w:rsidRPr="003C515F">
                              <w:rPr>
                                <w:rFonts w:asciiTheme="majorHAnsi" w:hAnsiTheme="majorHAnsi"/>
                                <w:color w:val="595959" w:themeColor="text1" w:themeTint="A6"/>
                                <w:sz w:val="18"/>
                                <w:szCs w:val="18"/>
                                <w:lang w:val="es-ES_tradnl"/>
                              </w:rPr>
                              <w:t>Petici</w:t>
                            </w:r>
                            <w:r w:rsidR="000433C9" w:rsidRPr="003C515F">
                              <w:rPr>
                                <w:rFonts w:asciiTheme="majorHAnsi" w:hAnsiTheme="majorHAnsi"/>
                                <w:color w:val="595959" w:themeColor="text1" w:themeTint="A6"/>
                                <w:sz w:val="18"/>
                                <w:szCs w:val="18"/>
                                <w:lang w:val="es-ES"/>
                              </w:rPr>
                              <w:t xml:space="preserve">ón </w:t>
                            </w:r>
                            <w:r w:rsidR="00ED4F4A" w:rsidRPr="003C515F">
                              <w:rPr>
                                <w:rFonts w:asciiTheme="majorHAnsi" w:hAnsiTheme="majorHAnsi"/>
                                <w:color w:val="595959" w:themeColor="text1" w:themeTint="A6"/>
                                <w:sz w:val="18"/>
                                <w:szCs w:val="18"/>
                                <w:lang w:val="es-ES"/>
                              </w:rPr>
                              <w:t>105</w:t>
                            </w:r>
                            <w:r w:rsidR="00441E0D" w:rsidRPr="003C515F">
                              <w:rPr>
                                <w:rFonts w:asciiTheme="majorHAnsi" w:hAnsiTheme="majorHAnsi"/>
                                <w:color w:val="595959" w:themeColor="text1" w:themeTint="A6"/>
                                <w:sz w:val="18"/>
                                <w:szCs w:val="18"/>
                                <w:lang w:val="es-ES"/>
                              </w:rPr>
                              <w:t>-</w:t>
                            </w:r>
                            <w:r w:rsidR="00ED4F4A" w:rsidRPr="003C515F">
                              <w:rPr>
                                <w:rFonts w:asciiTheme="majorHAnsi" w:hAnsiTheme="majorHAnsi"/>
                                <w:color w:val="595959" w:themeColor="text1" w:themeTint="A6"/>
                                <w:sz w:val="18"/>
                                <w:szCs w:val="18"/>
                                <w:lang w:val="es-ES"/>
                              </w:rPr>
                              <w:t>14</w:t>
                            </w:r>
                            <w:r w:rsidR="000433C9" w:rsidRPr="003C515F">
                              <w:rPr>
                                <w:rFonts w:asciiTheme="majorHAnsi" w:hAnsiTheme="majorHAnsi"/>
                                <w:color w:val="595959" w:themeColor="text1" w:themeTint="A6"/>
                                <w:sz w:val="18"/>
                                <w:szCs w:val="18"/>
                                <w:lang w:val="es-ES"/>
                              </w:rPr>
                              <w:t xml:space="preserve">. </w:t>
                            </w:r>
                            <w:r w:rsidR="003C515F" w:rsidRPr="003C515F">
                              <w:rPr>
                                <w:rFonts w:asciiTheme="majorHAnsi" w:hAnsiTheme="majorHAnsi"/>
                                <w:color w:val="595959" w:themeColor="text1" w:themeTint="A6"/>
                                <w:sz w:val="18"/>
                                <w:szCs w:val="18"/>
                                <w:lang w:val="es-ES_tradnl"/>
                              </w:rPr>
                              <w:t>Ina</w:t>
                            </w:r>
                            <w:r w:rsidRPr="003C515F">
                              <w:rPr>
                                <w:rFonts w:asciiTheme="majorHAnsi" w:hAnsiTheme="majorHAnsi"/>
                                <w:color w:val="595959" w:themeColor="text1" w:themeTint="A6"/>
                                <w:sz w:val="18"/>
                                <w:szCs w:val="18"/>
                                <w:lang w:val="es-ES_tradnl"/>
                              </w:rPr>
                              <w:t xml:space="preserve">dmisibilidad. </w:t>
                            </w:r>
                            <w:r w:rsidR="00ED4F4A" w:rsidRPr="003C515F">
                              <w:rPr>
                                <w:rFonts w:asciiTheme="majorHAnsi" w:hAnsiTheme="majorHAnsi"/>
                                <w:color w:val="595959" w:themeColor="text1" w:themeTint="A6"/>
                                <w:sz w:val="18"/>
                                <w:szCs w:val="18"/>
                                <w:lang w:val="es-ES_tradnl"/>
                              </w:rPr>
                              <w:t>Mario Alfredo García Barragán y Jorge Washington Cárdenas Ramírez</w:t>
                            </w:r>
                            <w:r w:rsidRPr="003C515F">
                              <w:rPr>
                                <w:rFonts w:asciiTheme="majorHAnsi" w:hAnsiTheme="majorHAnsi"/>
                                <w:color w:val="595959" w:themeColor="text1" w:themeTint="A6"/>
                                <w:sz w:val="18"/>
                                <w:szCs w:val="18"/>
                                <w:lang w:val="es-ES_tradnl"/>
                              </w:rPr>
                              <w:t xml:space="preserve">. </w:t>
                            </w:r>
                            <w:r w:rsidR="00ED4F4A" w:rsidRPr="003C515F">
                              <w:rPr>
                                <w:rFonts w:asciiTheme="majorHAnsi" w:hAnsiTheme="majorHAnsi"/>
                                <w:color w:val="595959" w:themeColor="text1" w:themeTint="A6"/>
                                <w:sz w:val="18"/>
                                <w:szCs w:val="18"/>
                                <w:lang w:val="es-ES_tradnl"/>
                              </w:rPr>
                              <w:t>Ecuador</w:t>
                            </w:r>
                            <w:r w:rsidRPr="003C515F">
                              <w:rPr>
                                <w:rFonts w:asciiTheme="majorHAnsi" w:hAnsiTheme="majorHAnsi"/>
                                <w:color w:val="595959" w:themeColor="text1" w:themeTint="A6"/>
                                <w:sz w:val="18"/>
                                <w:szCs w:val="18"/>
                                <w:lang w:val="es-ES_tradnl"/>
                              </w:rPr>
                              <w:t xml:space="preserve">. </w:t>
                            </w:r>
                            <w:r w:rsidR="003F0EBC">
                              <w:rPr>
                                <w:rFonts w:asciiTheme="majorHAnsi" w:hAnsiTheme="majorHAnsi"/>
                                <w:color w:val="595959" w:themeColor="text1" w:themeTint="A6"/>
                                <w:sz w:val="18"/>
                                <w:szCs w:val="18"/>
                                <w:lang w:val="es-ES"/>
                              </w:rPr>
                              <w:t>1º de julio de 2024</w:t>
                            </w:r>
                            <w:r w:rsidRPr="003C515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CF4536F" w:rsidR="00113F73" w:rsidRPr="007B05C4" w:rsidRDefault="00113F73" w:rsidP="00113F73">
                      <w:pPr>
                        <w:spacing w:line="276" w:lineRule="auto"/>
                        <w:rPr>
                          <w:rFonts w:asciiTheme="majorHAnsi" w:hAnsiTheme="majorHAnsi"/>
                          <w:color w:val="595959" w:themeColor="text1" w:themeTint="A6"/>
                          <w:sz w:val="18"/>
                          <w:szCs w:val="18"/>
                          <w:lang w:val="es-ES"/>
                        </w:rPr>
                      </w:pPr>
                      <w:r w:rsidRPr="003C515F">
                        <w:rPr>
                          <w:rFonts w:asciiTheme="majorHAnsi" w:hAnsiTheme="majorHAnsi"/>
                          <w:b/>
                          <w:color w:val="595959" w:themeColor="text1" w:themeTint="A6"/>
                          <w:sz w:val="18"/>
                          <w:szCs w:val="18"/>
                          <w:lang w:val="pt-BR"/>
                        </w:rPr>
                        <w:t>Citar como:</w:t>
                      </w:r>
                      <w:r w:rsidRPr="003C515F">
                        <w:rPr>
                          <w:rFonts w:asciiTheme="majorHAnsi" w:hAnsiTheme="majorHAnsi"/>
                          <w:color w:val="595959" w:themeColor="text1" w:themeTint="A6"/>
                          <w:sz w:val="18"/>
                          <w:szCs w:val="18"/>
                          <w:lang w:val="pt-BR"/>
                        </w:rPr>
                        <w:t xml:space="preserve"> CIDH, Informe No. </w:t>
                      </w:r>
                      <w:r w:rsidR="00EF6C14" w:rsidRPr="00EF6C14">
                        <w:rPr>
                          <w:rFonts w:asciiTheme="majorHAnsi" w:hAnsiTheme="majorHAnsi"/>
                          <w:color w:val="595959" w:themeColor="text1" w:themeTint="A6"/>
                          <w:sz w:val="18"/>
                          <w:szCs w:val="18"/>
                          <w:lang w:val="pt-BR"/>
                        </w:rPr>
                        <w:t>102</w:t>
                      </w:r>
                      <w:r w:rsidR="007B05C4" w:rsidRPr="00EF6C14">
                        <w:rPr>
                          <w:rFonts w:asciiTheme="majorHAnsi" w:hAnsiTheme="majorHAnsi"/>
                          <w:color w:val="595959" w:themeColor="text1" w:themeTint="A6"/>
                          <w:sz w:val="18"/>
                          <w:szCs w:val="18"/>
                          <w:lang w:val="pt-BR"/>
                        </w:rPr>
                        <w:t>/</w:t>
                      </w:r>
                      <w:r w:rsidR="00EF6C14" w:rsidRPr="00EF6C14">
                        <w:rPr>
                          <w:rFonts w:asciiTheme="majorHAnsi" w:hAnsiTheme="majorHAnsi"/>
                          <w:color w:val="595959" w:themeColor="text1" w:themeTint="A6"/>
                          <w:sz w:val="18"/>
                          <w:szCs w:val="18"/>
                          <w:lang w:val="pt-BR"/>
                        </w:rPr>
                        <w:t>24</w:t>
                      </w:r>
                      <w:r w:rsidRPr="00EF6C14">
                        <w:rPr>
                          <w:rFonts w:asciiTheme="majorHAnsi" w:hAnsiTheme="majorHAnsi"/>
                          <w:color w:val="595959" w:themeColor="text1" w:themeTint="A6"/>
                          <w:sz w:val="18"/>
                          <w:szCs w:val="18"/>
                          <w:lang w:val="pt-BR"/>
                        </w:rPr>
                        <w:t xml:space="preserve">. </w:t>
                      </w:r>
                      <w:r w:rsidR="000433C9" w:rsidRPr="003C515F">
                        <w:rPr>
                          <w:rFonts w:asciiTheme="majorHAnsi" w:hAnsiTheme="majorHAnsi"/>
                          <w:color w:val="595959" w:themeColor="text1" w:themeTint="A6"/>
                          <w:sz w:val="18"/>
                          <w:szCs w:val="18"/>
                          <w:lang w:val="es-ES_tradnl"/>
                        </w:rPr>
                        <w:t>Petici</w:t>
                      </w:r>
                      <w:r w:rsidR="000433C9" w:rsidRPr="003C515F">
                        <w:rPr>
                          <w:rFonts w:asciiTheme="majorHAnsi" w:hAnsiTheme="majorHAnsi"/>
                          <w:color w:val="595959" w:themeColor="text1" w:themeTint="A6"/>
                          <w:sz w:val="18"/>
                          <w:szCs w:val="18"/>
                          <w:lang w:val="es-ES"/>
                        </w:rPr>
                        <w:t xml:space="preserve">ón </w:t>
                      </w:r>
                      <w:r w:rsidR="00ED4F4A" w:rsidRPr="003C515F">
                        <w:rPr>
                          <w:rFonts w:asciiTheme="majorHAnsi" w:hAnsiTheme="majorHAnsi"/>
                          <w:color w:val="595959" w:themeColor="text1" w:themeTint="A6"/>
                          <w:sz w:val="18"/>
                          <w:szCs w:val="18"/>
                          <w:lang w:val="es-ES"/>
                        </w:rPr>
                        <w:t>105</w:t>
                      </w:r>
                      <w:r w:rsidR="00441E0D" w:rsidRPr="003C515F">
                        <w:rPr>
                          <w:rFonts w:asciiTheme="majorHAnsi" w:hAnsiTheme="majorHAnsi"/>
                          <w:color w:val="595959" w:themeColor="text1" w:themeTint="A6"/>
                          <w:sz w:val="18"/>
                          <w:szCs w:val="18"/>
                          <w:lang w:val="es-ES"/>
                        </w:rPr>
                        <w:t>-</w:t>
                      </w:r>
                      <w:r w:rsidR="00ED4F4A" w:rsidRPr="003C515F">
                        <w:rPr>
                          <w:rFonts w:asciiTheme="majorHAnsi" w:hAnsiTheme="majorHAnsi"/>
                          <w:color w:val="595959" w:themeColor="text1" w:themeTint="A6"/>
                          <w:sz w:val="18"/>
                          <w:szCs w:val="18"/>
                          <w:lang w:val="es-ES"/>
                        </w:rPr>
                        <w:t>14</w:t>
                      </w:r>
                      <w:r w:rsidR="000433C9" w:rsidRPr="003C515F">
                        <w:rPr>
                          <w:rFonts w:asciiTheme="majorHAnsi" w:hAnsiTheme="majorHAnsi"/>
                          <w:color w:val="595959" w:themeColor="text1" w:themeTint="A6"/>
                          <w:sz w:val="18"/>
                          <w:szCs w:val="18"/>
                          <w:lang w:val="es-ES"/>
                        </w:rPr>
                        <w:t xml:space="preserve">. </w:t>
                      </w:r>
                      <w:r w:rsidR="003C515F" w:rsidRPr="003C515F">
                        <w:rPr>
                          <w:rFonts w:asciiTheme="majorHAnsi" w:hAnsiTheme="majorHAnsi"/>
                          <w:color w:val="595959" w:themeColor="text1" w:themeTint="A6"/>
                          <w:sz w:val="18"/>
                          <w:szCs w:val="18"/>
                          <w:lang w:val="es-ES_tradnl"/>
                        </w:rPr>
                        <w:t>Ina</w:t>
                      </w:r>
                      <w:r w:rsidRPr="003C515F">
                        <w:rPr>
                          <w:rFonts w:asciiTheme="majorHAnsi" w:hAnsiTheme="majorHAnsi"/>
                          <w:color w:val="595959" w:themeColor="text1" w:themeTint="A6"/>
                          <w:sz w:val="18"/>
                          <w:szCs w:val="18"/>
                          <w:lang w:val="es-ES_tradnl"/>
                        </w:rPr>
                        <w:t xml:space="preserve">dmisibilidad. </w:t>
                      </w:r>
                      <w:r w:rsidR="00ED4F4A" w:rsidRPr="003C515F">
                        <w:rPr>
                          <w:rFonts w:asciiTheme="majorHAnsi" w:hAnsiTheme="majorHAnsi"/>
                          <w:color w:val="595959" w:themeColor="text1" w:themeTint="A6"/>
                          <w:sz w:val="18"/>
                          <w:szCs w:val="18"/>
                          <w:lang w:val="es-ES_tradnl"/>
                        </w:rPr>
                        <w:t>Mario Alfredo García Barragán y Jorge Washington Cárdenas Ramírez</w:t>
                      </w:r>
                      <w:r w:rsidRPr="003C515F">
                        <w:rPr>
                          <w:rFonts w:asciiTheme="majorHAnsi" w:hAnsiTheme="majorHAnsi"/>
                          <w:color w:val="595959" w:themeColor="text1" w:themeTint="A6"/>
                          <w:sz w:val="18"/>
                          <w:szCs w:val="18"/>
                          <w:lang w:val="es-ES_tradnl"/>
                        </w:rPr>
                        <w:t xml:space="preserve">. </w:t>
                      </w:r>
                      <w:r w:rsidR="00ED4F4A" w:rsidRPr="003C515F">
                        <w:rPr>
                          <w:rFonts w:asciiTheme="majorHAnsi" w:hAnsiTheme="majorHAnsi"/>
                          <w:color w:val="595959" w:themeColor="text1" w:themeTint="A6"/>
                          <w:sz w:val="18"/>
                          <w:szCs w:val="18"/>
                          <w:lang w:val="es-ES_tradnl"/>
                        </w:rPr>
                        <w:t>Ecuador</w:t>
                      </w:r>
                      <w:r w:rsidRPr="003C515F">
                        <w:rPr>
                          <w:rFonts w:asciiTheme="majorHAnsi" w:hAnsiTheme="majorHAnsi"/>
                          <w:color w:val="595959" w:themeColor="text1" w:themeTint="A6"/>
                          <w:sz w:val="18"/>
                          <w:szCs w:val="18"/>
                          <w:lang w:val="es-ES_tradnl"/>
                        </w:rPr>
                        <w:t xml:space="preserve">. </w:t>
                      </w:r>
                      <w:r w:rsidR="003F0EBC">
                        <w:rPr>
                          <w:rFonts w:asciiTheme="majorHAnsi" w:hAnsiTheme="majorHAnsi"/>
                          <w:color w:val="595959" w:themeColor="text1" w:themeTint="A6"/>
                          <w:sz w:val="18"/>
                          <w:szCs w:val="18"/>
                          <w:lang w:val="es-ES"/>
                        </w:rPr>
                        <w:t>1º de julio de 2024</w:t>
                      </w:r>
                      <w:r w:rsidRPr="003C515F">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0A19397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F005B8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ABF7BE1" w:rsidR="0070697F" w:rsidRDefault="00BF4077"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36AD1BEF">
                <wp:simplePos x="0" y="0"/>
                <wp:positionH relativeFrom="column">
                  <wp:posOffset>1320165</wp:posOffset>
                </wp:positionH>
                <wp:positionV relativeFrom="paragraph">
                  <wp:posOffset>524673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D77FA44" w:rsidR="00D72DC6" w:rsidRPr="00D72DC6" w:rsidRDefault="00706153" w:rsidP="00F02AD1">
                            <w:pPr>
                              <w:rPr>
                                <w:color w:val="FFFFFF" w:themeColor="background1"/>
                                <w14:textFill>
                                  <w14:noFill/>
                                </w14:textFill>
                              </w:rPr>
                            </w:pPr>
                            <w:r>
                              <w:rPr>
                                <w:noProof/>
                                <w:color w:val="FFFFFF" w:themeColor="background1"/>
                              </w:rPr>
                              <w:drawing>
                                <wp:inline distT="0" distB="0" distL="0" distR="0" wp14:anchorId="2EC8F439" wp14:editId="6E4DE960">
                                  <wp:extent cx="1824355" cy="469265"/>
                                  <wp:effectExtent l="0" t="0" r="4445" b="6985"/>
                                  <wp:docPr id="1656925740" name="Picture 16569257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95pt;margin-top:41.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" fillcolor="white [3201]" stroked="f" strokeweight=".5pt">
                <v:textbox>
                  <w:txbxContent>
                    <w:p w14:paraId="2A1ECD3C" w14:textId="6D77FA44" w:rsidR="00D72DC6" w:rsidRPr="00D72DC6" w:rsidRDefault="00706153" w:rsidP="00F02AD1">
                      <w:pPr>
                        <w:rPr>
                          <w:color w:val="FFFFFF" w:themeColor="background1"/>
                          <w14:textFill>
                            <w14:noFill/>
                          </w14:textFill>
                        </w:rPr>
                      </w:pPr>
                      <w:r>
                        <w:rPr>
                          <w:noProof/>
                          <w:color w:val="FFFFFF" w:themeColor="background1"/>
                        </w:rPr>
                        <w:drawing>
                          <wp:inline distT="0" distB="0" distL="0" distR="0" wp14:anchorId="2EC8F439" wp14:editId="6E4DE960">
                            <wp:extent cx="1824355" cy="469265"/>
                            <wp:effectExtent l="0" t="0" r="4445" b="6985"/>
                            <wp:docPr id="1656925740" name="Picture 16569257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59787E8" w:rsidR="003239B8" w:rsidRPr="00D13530" w:rsidRDefault="00ED4F4A" w:rsidP="00D13530">
            <w:pPr>
              <w:jc w:val="both"/>
              <w:rPr>
                <w:rFonts w:ascii="Cambria" w:hAnsi="Cambria"/>
                <w:bCs/>
                <w:sz w:val="20"/>
                <w:szCs w:val="20"/>
                <w:lang w:val="es-PE"/>
              </w:rPr>
            </w:pPr>
            <w:r w:rsidRPr="00ED4F4A">
              <w:rPr>
                <w:rFonts w:ascii="Cambria" w:hAnsi="Cambria"/>
                <w:bCs/>
                <w:sz w:val="20"/>
                <w:szCs w:val="20"/>
                <w:lang w:val="es-PE"/>
              </w:rPr>
              <w:t>Daniela Fernanda Garc</w:t>
            </w:r>
            <w:r w:rsidR="00CD409F">
              <w:rPr>
                <w:rFonts w:ascii="Cambria" w:hAnsi="Cambria"/>
                <w:bCs/>
                <w:sz w:val="20"/>
                <w:szCs w:val="20"/>
                <w:lang w:val="es-PE"/>
              </w:rPr>
              <w:t>í</w:t>
            </w:r>
            <w:r w:rsidRPr="00ED4F4A">
              <w:rPr>
                <w:rFonts w:ascii="Cambria" w:hAnsi="Cambria"/>
                <w:bCs/>
                <w:sz w:val="20"/>
                <w:szCs w:val="20"/>
                <w:lang w:val="es-PE"/>
              </w:rPr>
              <w:t>a Viteri</w:t>
            </w:r>
          </w:p>
        </w:tc>
      </w:tr>
      <w:tr w:rsidR="003239B8" w:rsidRPr="00ED4F4A"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34228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AE532A7" w:rsidR="003239B8" w:rsidRPr="000D05CB" w:rsidRDefault="00ED4F4A" w:rsidP="008D2290">
            <w:pPr>
              <w:jc w:val="both"/>
              <w:rPr>
                <w:rFonts w:ascii="Cambria" w:hAnsi="Cambria"/>
                <w:bCs/>
                <w:sz w:val="20"/>
                <w:szCs w:val="20"/>
                <w:lang w:val="es-ES"/>
              </w:rPr>
            </w:pPr>
            <w:r w:rsidRPr="00ED4F4A">
              <w:rPr>
                <w:rFonts w:ascii="Cambria" w:hAnsi="Cambria"/>
                <w:bCs/>
                <w:sz w:val="20"/>
                <w:szCs w:val="20"/>
                <w:lang w:val="es-ES"/>
              </w:rPr>
              <w:t>Mario Alfredo García Barragán</w:t>
            </w:r>
            <w:r>
              <w:rPr>
                <w:rFonts w:ascii="Cambria" w:hAnsi="Cambria"/>
                <w:bCs/>
                <w:sz w:val="20"/>
                <w:szCs w:val="20"/>
                <w:lang w:val="es-ES"/>
              </w:rPr>
              <w:t xml:space="preserve"> y</w:t>
            </w:r>
            <w:r w:rsidRPr="00ED4F4A">
              <w:rPr>
                <w:rFonts w:ascii="Cambria" w:hAnsi="Cambria"/>
                <w:bCs/>
                <w:sz w:val="20"/>
                <w:szCs w:val="20"/>
                <w:lang w:val="es-ES"/>
              </w:rPr>
              <w:t xml:space="preserve"> Jorge Washington Cárdenas Ramírez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4C2F47CE" w:rsidR="003239B8" w:rsidRPr="000D05CB" w:rsidRDefault="00ED4F4A" w:rsidP="008D2290">
            <w:pPr>
              <w:jc w:val="both"/>
              <w:rPr>
                <w:rFonts w:ascii="Cambria" w:hAnsi="Cambria"/>
                <w:bCs/>
                <w:sz w:val="20"/>
                <w:szCs w:val="20"/>
              </w:rPr>
            </w:pPr>
            <w:r>
              <w:rPr>
                <w:rFonts w:ascii="Cambria" w:hAnsi="Cambria"/>
                <w:bCs/>
                <w:sz w:val="20"/>
                <w:szCs w:val="20"/>
              </w:rPr>
              <w:t>Ecuador</w:t>
            </w:r>
          </w:p>
        </w:tc>
      </w:tr>
      <w:tr w:rsidR="00223A29" w:rsidRPr="0072285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B75EE66" w:rsidR="00223A29" w:rsidRPr="00ED4F4A" w:rsidRDefault="007B3EDD" w:rsidP="008D2290">
            <w:pPr>
              <w:jc w:val="both"/>
              <w:rPr>
                <w:rFonts w:ascii="Cambria" w:hAnsi="Cambria"/>
                <w:bCs/>
                <w:sz w:val="20"/>
                <w:szCs w:val="20"/>
                <w:lang w:val="es-PE"/>
              </w:rPr>
            </w:pPr>
            <w:r>
              <w:rPr>
                <w:rFonts w:ascii="Cambria" w:hAnsi="Cambria"/>
                <w:bCs/>
                <w:sz w:val="20"/>
                <w:szCs w:val="20"/>
                <w:lang w:val="es-ES"/>
              </w:rPr>
              <w:t>Artículos 5</w:t>
            </w:r>
            <w:r w:rsidR="0002770B">
              <w:rPr>
                <w:rFonts w:ascii="Cambria" w:hAnsi="Cambria"/>
                <w:bCs/>
                <w:sz w:val="20"/>
                <w:szCs w:val="20"/>
                <w:lang w:val="es-ES"/>
              </w:rPr>
              <w:t xml:space="preserve"> (integridad personal)</w:t>
            </w:r>
            <w:r>
              <w:rPr>
                <w:rFonts w:ascii="Cambria" w:hAnsi="Cambria"/>
                <w:bCs/>
                <w:sz w:val="20"/>
                <w:szCs w:val="20"/>
                <w:lang w:val="es-ES"/>
              </w:rPr>
              <w:t>, 8</w:t>
            </w:r>
            <w:r w:rsidR="0002770B">
              <w:rPr>
                <w:rFonts w:ascii="Cambria" w:hAnsi="Cambria"/>
                <w:bCs/>
                <w:sz w:val="20"/>
                <w:szCs w:val="20"/>
                <w:lang w:val="es-ES"/>
              </w:rPr>
              <w:t xml:space="preserve"> (garantías judiciales)</w:t>
            </w:r>
            <w:r>
              <w:rPr>
                <w:rFonts w:ascii="Cambria" w:hAnsi="Cambria"/>
                <w:bCs/>
                <w:sz w:val="20"/>
                <w:szCs w:val="20"/>
                <w:lang w:val="es-ES"/>
              </w:rPr>
              <w:t>, 9</w:t>
            </w:r>
            <w:r w:rsidR="0002770B">
              <w:rPr>
                <w:rFonts w:ascii="Cambria" w:hAnsi="Cambria"/>
                <w:bCs/>
                <w:sz w:val="20"/>
                <w:szCs w:val="20"/>
                <w:lang w:val="es-ES"/>
              </w:rPr>
              <w:t xml:space="preserve"> (principio de legalidad y retroactividad)</w:t>
            </w:r>
            <w:r>
              <w:rPr>
                <w:rFonts w:ascii="Cambria" w:hAnsi="Cambria"/>
                <w:bCs/>
                <w:sz w:val="20"/>
                <w:szCs w:val="20"/>
                <w:lang w:val="es-ES"/>
              </w:rPr>
              <w:t>, 24</w:t>
            </w:r>
            <w:r w:rsidR="0002770B">
              <w:rPr>
                <w:rFonts w:ascii="Cambria" w:hAnsi="Cambria"/>
                <w:bCs/>
                <w:sz w:val="20"/>
                <w:szCs w:val="20"/>
                <w:lang w:val="es-ES"/>
              </w:rPr>
              <w:t xml:space="preserve"> (igualdad ante la ley)</w:t>
            </w:r>
            <w:r>
              <w:rPr>
                <w:rFonts w:ascii="Cambria" w:hAnsi="Cambria"/>
                <w:bCs/>
                <w:sz w:val="20"/>
                <w:szCs w:val="20"/>
                <w:lang w:val="es-ES"/>
              </w:rPr>
              <w:t xml:space="preserve"> y 25</w:t>
            </w:r>
            <w:r w:rsidR="0002770B">
              <w:rPr>
                <w:rFonts w:ascii="Cambria" w:hAnsi="Cambria"/>
                <w:bCs/>
                <w:sz w:val="20"/>
                <w:szCs w:val="20"/>
                <w:lang w:val="es-ES"/>
              </w:rPr>
              <w:t xml:space="preserve"> (protección judicial)</w:t>
            </w:r>
            <w:r w:rsidR="00892F5D">
              <w:rPr>
                <w:rFonts w:ascii="Cambria" w:hAnsi="Cambria"/>
                <w:bCs/>
                <w:sz w:val="20"/>
                <w:szCs w:val="20"/>
                <w:lang w:val="es-ES"/>
              </w:rPr>
              <w:t xml:space="preserve"> </w:t>
            </w:r>
            <w:r w:rsidR="00ED4F4A">
              <w:rPr>
                <w:rFonts w:ascii="Cambria" w:hAnsi="Cambria"/>
                <w:bCs/>
                <w:sz w:val="20"/>
                <w:szCs w:val="20"/>
                <w:lang w:val="es-ES"/>
              </w:rPr>
              <w:t>de la Convención Americana sobre Derechos Humanos</w:t>
            </w:r>
            <w:r w:rsidR="00ED4F4A">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5977850" w:rsidR="004C2312" w:rsidRPr="003239B8" w:rsidRDefault="00892F5D" w:rsidP="002625EA">
            <w:pPr>
              <w:jc w:val="both"/>
              <w:rPr>
                <w:rFonts w:ascii="Cambria" w:hAnsi="Cambria"/>
                <w:bCs/>
                <w:sz w:val="20"/>
                <w:szCs w:val="20"/>
                <w:lang w:val="es-ES"/>
              </w:rPr>
            </w:pPr>
            <w:r>
              <w:rPr>
                <w:rFonts w:ascii="Cambria" w:hAnsi="Cambria"/>
                <w:bCs/>
                <w:sz w:val="20"/>
                <w:szCs w:val="20"/>
                <w:lang w:val="es-ES"/>
              </w:rPr>
              <w:t>31 de enero de 2014</w:t>
            </w:r>
          </w:p>
        </w:tc>
      </w:tr>
      <w:tr w:rsidR="00131425" w:rsidRPr="00722852"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5861A9E8" w:rsidR="00131425" w:rsidRPr="003239B8" w:rsidRDefault="00892F5D" w:rsidP="002625EA">
            <w:pPr>
              <w:jc w:val="both"/>
              <w:rPr>
                <w:rFonts w:ascii="Cambria" w:hAnsi="Cambria"/>
                <w:bCs/>
                <w:sz w:val="20"/>
                <w:szCs w:val="20"/>
                <w:lang w:val="es-ES"/>
              </w:rPr>
            </w:pPr>
            <w:r>
              <w:rPr>
                <w:rFonts w:ascii="Cambria" w:hAnsi="Cambria"/>
                <w:bCs/>
                <w:sz w:val="20"/>
                <w:szCs w:val="20"/>
                <w:lang w:val="es-ES"/>
              </w:rPr>
              <w:t>12 de febrero de 2014, 29 de enero de 2016, 6 de enero de 2018, 10 de enero de 2018 y 4 de abril de 2022</w:t>
            </w:r>
          </w:p>
        </w:tc>
      </w:tr>
      <w:tr w:rsidR="004C2312" w:rsidRPr="00892F5D"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3D9AE85" w:rsidR="004C2312" w:rsidRPr="003239B8" w:rsidRDefault="00892F5D" w:rsidP="008D2290">
            <w:pPr>
              <w:jc w:val="both"/>
              <w:rPr>
                <w:rFonts w:ascii="Cambria" w:hAnsi="Cambria"/>
                <w:bCs/>
                <w:sz w:val="20"/>
                <w:szCs w:val="20"/>
                <w:lang w:val="es-ES"/>
              </w:rPr>
            </w:pPr>
            <w:r>
              <w:rPr>
                <w:rFonts w:ascii="Cambria" w:hAnsi="Cambria"/>
                <w:bCs/>
                <w:sz w:val="20"/>
                <w:szCs w:val="20"/>
                <w:lang w:val="es-ES"/>
              </w:rPr>
              <w:t>1 de abril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B25F694" w:rsidR="004C2312" w:rsidRPr="003239B8" w:rsidRDefault="00892F5D" w:rsidP="008D2290">
            <w:pPr>
              <w:jc w:val="both"/>
              <w:rPr>
                <w:rFonts w:ascii="Cambria" w:hAnsi="Cambria"/>
                <w:bCs/>
                <w:sz w:val="20"/>
                <w:szCs w:val="20"/>
                <w:lang w:val="es-ES"/>
              </w:rPr>
            </w:pPr>
            <w:r>
              <w:rPr>
                <w:rFonts w:ascii="Cambria" w:hAnsi="Cambria"/>
                <w:bCs/>
                <w:sz w:val="20"/>
                <w:szCs w:val="20"/>
                <w:lang w:val="es-ES"/>
              </w:rPr>
              <w:t>29 de julio de 2022</w:t>
            </w:r>
          </w:p>
        </w:tc>
      </w:tr>
      <w:tr w:rsidR="004C2312" w:rsidRPr="00892F5D"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F41D7EE" w:rsidR="004C2312" w:rsidRPr="003239B8" w:rsidRDefault="00892F5D" w:rsidP="008D2290">
            <w:pPr>
              <w:jc w:val="both"/>
              <w:rPr>
                <w:rFonts w:ascii="Cambria" w:hAnsi="Cambria"/>
                <w:bCs/>
                <w:sz w:val="20"/>
                <w:szCs w:val="20"/>
                <w:lang w:val="es-ES"/>
              </w:rPr>
            </w:pPr>
            <w:r>
              <w:rPr>
                <w:rFonts w:ascii="Cambria" w:hAnsi="Cambria"/>
                <w:bCs/>
                <w:sz w:val="20"/>
                <w:szCs w:val="20"/>
                <w:lang w:val="es-ES"/>
              </w:rPr>
              <w:t>31 de agosto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5E2FC6C0" w:rsidR="001E49E7" w:rsidRPr="003239B8" w:rsidRDefault="00892F5D" w:rsidP="002625EA">
            <w:pPr>
              <w:jc w:val="both"/>
              <w:rPr>
                <w:rFonts w:ascii="Cambria" w:hAnsi="Cambria"/>
                <w:bCs/>
                <w:sz w:val="20"/>
                <w:szCs w:val="20"/>
                <w:lang w:val="es-ES"/>
              </w:rPr>
            </w:pPr>
            <w:r>
              <w:rPr>
                <w:rFonts w:ascii="Cambria" w:hAnsi="Cambria"/>
                <w:bCs/>
                <w:sz w:val="20"/>
                <w:szCs w:val="20"/>
                <w:lang w:val="es-ES"/>
              </w:rPr>
              <w:t>1 de julio de 2021</w:t>
            </w:r>
          </w:p>
        </w:tc>
      </w:tr>
      <w:tr w:rsidR="001E49E7" w:rsidRPr="00892F5D"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7C836247" w:rsidR="001E49E7" w:rsidRPr="003239B8" w:rsidRDefault="00892F5D" w:rsidP="002625EA">
            <w:pPr>
              <w:jc w:val="both"/>
              <w:rPr>
                <w:rFonts w:ascii="Cambria" w:hAnsi="Cambria"/>
                <w:bCs/>
                <w:sz w:val="20"/>
                <w:szCs w:val="20"/>
                <w:lang w:val="es-ES"/>
              </w:rPr>
            </w:pPr>
            <w:r>
              <w:rPr>
                <w:rFonts w:ascii="Cambria" w:hAnsi="Cambria"/>
                <w:bCs/>
                <w:sz w:val="20"/>
                <w:szCs w:val="20"/>
                <w:lang w:val="es-ES"/>
              </w:rPr>
              <w:t>6 de julio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D9180C">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16DC1D47" w:rsidR="003239B8" w:rsidRPr="00B3745F" w:rsidRDefault="00ED4F4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D9180C">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02249851" w:rsidR="003239B8" w:rsidRPr="00B3745F" w:rsidRDefault="00ED4F4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D9180C">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3FE94EB4" w:rsidR="003239B8" w:rsidRPr="00B3745F" w:rsidRDefault="00ED4F4A" w:rsidP="008D2290">
            <w:pPr>
              <w:rPr>
                <w:rFonts w:ascii="Cambria" w:hAnsi="Cambria"/>
                <w:bCs/>
                <w:sz w:val="20"/>
                <w:szCs w:val="20"/>
              </w:rPr>
            </w:pPr>
            <w:r>
              <w:rPr>
                <w:rFonts w:ascii="Cambria" w:hAnsi="Cambria"/>
                <w:bCs/>
                <w:sz w:val="20"/>
                <w:szCs w:val="20"/>
              </w:rPr>
              <w:t>Sí</w:t>
            </w:r>
          </w:p>
        </w:tc>
      </w:tr>
      <w:tr w:rsidR="003239B8" w:rsidRPr="00722852" w14:paraId="30ABEC3E" w14:textId="77777777" w:rsidTr="00D9180C">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6CA99AC3" w:rsidR="003239B8" w:rsidRPr="00B3745F" w:rsidRDefault="00ED4F4A" w:rsidP="008D22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28 de diciembre de 1977)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535DA9" w14:paraId="1231C988" w14:textId="77777777" w:rsidTr="00D9180C">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3E123E5A" w:rsidR="00EE00E9" w:rsidRPr="00DC24E3" w:rsidRDefault="0002770B"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D9180C">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02770B" w:rsidRDefault="003239B8" w:rsidP="008D2290">
            <w:pPr>
              <w:jc w:val="center"/>
              <w:rPr>
                <w:rFonts w:ascii="Cambria" w:hAnsi="Cambria"/>
                <w:b/>
                <w:bCs/>
                <w:i/>
                <w:color w:val="FFFFFF" w:themeColor="background1"/>
                <w:sz w:val="20"/>
                <w:szCs w:val="20"/>
                <w:lang w:val="es-PE"/>
              </w:rPr>
            </w:pPr>
            <w:r w:rsidRPr="0002770B">
              <w:rPr>
                <w:rFonts w:ascii="Cambria" w:hAnsi="Cambria"/>
                <w:b/>
                <w:bCs/>
                <w:color w:val="FFFFFF" w:themeColor="background1"/>
                <w:sz w:val="20"/>
                <w:szCs w:val="20"/>
                <w:lang w:val="es-PE"/>
              </w:rPr>
              <w:t>Derechos declarados admisibles</w:t>
            </w:r>
            <w:r w:rsidRPr="0002770B">
              <w:rPr>
                <w:rFonts w:ascii="Cambria" w:hAnsi="Cambria"/>
                <w:b/>
                <w:bCs/>
                <w:i/>
                <w:color w:val="FFFFFF" w:themeColor="background1"/>
                <w:sz w:val="20"/>
                <w:szCs w:val="20"/>
                <w:lang w:val="es-PE"/>
              </w:rPr>
              <w:t>:</w:t>
            </w:r>
          </w:p>
        </w:tc>
        <w:tc>
          <w:tcPr>
            <w:tcW w:w="5771" w:type="dxa"/>
            <w:vAlign w:val="center"/>
          </w:tcPr>
          <w:p w14:paraId="6310C8F7" w14:textId="2781B2D7" w:rsidR="003239B8" w:rsidRPr="0002770B" w:rsidRDefault="0002770B" w:rsidP="008D2290">
            <w:pPr>
              <w:jc w:val="both"/>
              <w:rPr>
                <w:rFonts w:ascii="Cambria" w:hAnsi="Cambria"/>
                <w:bCs/>
                <w:sz w:val="20"/>
                <w:szCs w:val="20"/>
                <w:lang w:val="es-PE"/>
              </w:rPr>
            </w:pPr>
            <w:r w:rsidRPr="0002770B">
              <w:rPr>
                <w:rFonts w:ascii="Cambria" w:hAnsi="Cambria"/>
                <w:bCs/>
                <w:sz w:val="20"/>
                <w:szCs w:val="20"/>
                <w:lang w:val="es-PE"/>
              </w:rPr>
              <w:t>N</w:t>
            </w:r>
            <w:r w:rsidR="00EA2C75">
              <w:rPr>
                <w:rFonts w:ascii="Cambria" w:hAnsi="Cambria"/>
                <w:bCs/>
                <w:sz w:val="20"/>
                <w:szCs w:val="20"/>
                <w:lang w:val="es-PE"/>
              </w:rPr>
              <w:t>inguno</w:t>
            </w:r>
          </w:p>
        </w:tc>
      </w:tr>
      <w:tr w:rsidR="003239B8" w:rsidRPr="00722852" w14:paraId="4EFD141E" w14:textId="77777777" w:rsidTr="00D9180C">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02770B" w:rsidRDefault="003239B8" w:rsidP="008D2290">
            <w:pPr>
              <w:jc w:val="center"/>
              <w:rPr>
                <w:rFonts w:ascii="Cambria" w:hAnsi="Cambria"/>
                <w:b/>
                <w:bCs/>
                <w:color w:val="FFFFFF" w:themeColor="background1"/>
                <w:sz w:val="20"/>
                <w:szCs w:val="20"/>
                <w:lang w:val="es-PE"/>
              </w:rPr>
            </w:pPr>
            <w:r w:rsidRPr="0002770B">
              <w:rPr>
                <w:rFonts w:ascii="Cambria" w:hAnsi="Cambria"/>
                <w:b/>
                <w:bCs/>
                <w:color w:val="FFFFFF" w:themeColor="background1"/>
                <w:sz w:val="20"/>
                <w:szCs w:val="20"/>
                <w:lang w:val="es-PE"/>
              </w:rPr>
              <w:t>Agotamiento de recursos internos</w:t>
            </w:r>
            <w:r w:rsidR="00EE00E9" w:rsidRPr="0002770B">
              <w:rPr>
                <w:rFonts w:ascii="Cambria" w:hAnsi="Cambria"/>
                <w:b/>
                <w:bCs/>
                <w:color w:val="FFFFFF" w:themeColor="background1"/>
                <w:sz w:val="20"/>
                <w:szCs w:val="20"/>
                <w:lang w:val="es-PE"/>
              </w:rPr>
              <w:t xml:space="preserve"> o procedencia de una excepción</w:t>
            </w:r>
            <w:r w:rsidRPr="0002770B">
              <w:rPr>
                <w:rFonts w:ascii="Cambria" w:hAnsi="Cambria"/>
                <w:b/>
                <w:bCs/>
                <w:color w:val="FFFFFF" w:themeColor="background1"/>
                <w:sz w:val="20"/>
                <w:szCs w:val="20"/>
                <w:lang w:val="es-PE"/>
              </w:rPr>
              <w:t>:</w:t>
            </w:r>
          </w:p>
        </w:tc>
        <w:tc>
          <w:tcPr>
            <w:tcW w:w="5771" w:type="dxa"/>
            <w:vAlign w:val="center"/>
          </w:tcPr>
          <w:p w14:paraId="69C53E8A" w14:textId="2A4BA4BD" w:rsidR="003239B8" w:rsidRPr="0002770B" w:rsidRDefault="0002770B" w:rsidP="008D2290">
            <w:pPr>
              <w:rPr>
                <w:rFonts w:ascii="Cambria" w:hAnsi="Cambria"/>
                <w:bCs/>
                <w:sz w:val="20"/>
                <w:szCs w:val="20"/>
                <w:lang w:val="es-PE"/>
              </w:rPr>
            </w:pPr>
            <w:r w:rsidRPr="0002770B">
              <w:rPr>
                <w:rFonts w:ascii="Cambria" w:hAnsi="Cambria"/>
                <w:bCs/>
                <w:sz w:val="20"/>
                <w:szCs w:val="20"/>
                <w:lang w:val="es-PE"/>
              </w:rPr>
              <w:t>No, en los términos de la sección VI</w:t>
            </w:r>
          </w:p>
        </w:tc>
      </w:tr>
      <w:tr w:rsidR="003239B8" w:rsidRPr="00B2155F" w14:paraId="52B5BA17" w14:textId="77777777" w:rsidTr="00D9180C">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02770B" w:rsidRDefault="003239B8" w:rsidP="008D2290">
            <w:pPr>
              <w:jc w:val="center"/>
              <w:rPr>
                <w:rFonts w:ascii="Cambria" w:hAnsi="Cambria"/>
                <w:b/>
                <w:bCs/>
                <w:color w:val="FFFFFF" w:themeColor="background1"/>
                <w:sz w:val="20"/>
                <w:szCs w:val="20"/>
                <w:lang w:val="es-PE"/>
              </w:rPr>
            </w:pPr>
            <w:r w:rsidRPr="0002770B">
              <w:rPr>
                <w:rFonts w:ascii="Cambria" w:hAnsi="Cambria"/>
                <w:b/>
                <w:bCs/>
                <w:color w:val="FFFFFF" w:themeColor="background1"/>
                <w:sz w:val="20"/>
                <w:szCs w:val="20"/>
                <w:lang w:val="es-PE"/>
              </w:rPr>
              <w:t>Presentación dentro de plazo:</w:t>
            </w:r>
          </w:p>
        </w:tc>
        <w:tc>
          <w:tcPr>
            <w:tcW w:w="5771" w:type="dxa"/>
            <w:vAlign w:val="center"/>
          </w:tcPr>
          <w:p w14:paraId="4A2A4569" w14:textId="174F1319" w:rsidR="003239B8" w:rsidRPr="0002770B" w:rsidRDefault="0002770B" w:rsidP="008D2290">
            <w:pPr>
              <w:rPr>
                <w:rFonts w:ascii="Cambria" w:hAnsi="Cambria"/>
                <w:bCs/>
                <w:sz w:val="20"/>
                <w:szCs w:val="20"/>
                <w:lang w:val="es-PE"/>
              </w:rPr>
            </w:pPr>
            <w:r w:rsidRPr="0002770B">
              <w:rPr>
                <w:rFonts w:ascii="Cambria" w:hAnsi="Cambria"/>
                <w:bCs/>
                <w:sz w:val="20"/>
                <w:szCs w:val="20"/>
                <w:lang w:val="es-PE"/>
              </w:rPr>
              <w:t>No aplica</w:t>
            </w:r>
          </w:p>
        </w:tc>
      </w:tr>
    </w:tbl>
    <w:p w14:paraId="667DB4BF" w14:textId="77777777" w:rsidR="00D377D0" w:rsidRDefault="00D377D0" w:rsidP="00D377D0">
      <w:pPr>
        <w:spacing w:after="240"/>
        <w:ind w:firstLine="720"/>
        <w:jc w:val="both"/>
        <w:rPr>
          <w:rFonts w:asciiTheme="majorHAnsi" w:hAnsiTheme="majorHAnsi"/>
          <w:b/>
          <w:sz w:val="20"/>
          <w:szCs w:val="20"/>
          <w:lang w:val="es-UY"/>
        </w:rPr>
      </w:pPr>
    </w:p>
    <w:p w14:paraId="18E6423B" w14:textId="48EA7B01" w:rsidR="003239B8" w:rsidRPr="00D377D0" w:rsidRDefault="00223A29" w:rsidP="00D377D0">
      <w:pPr>
        <w:spacing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D377D0">
        <w:rPr>
          <w:rFonts w:asciiTheme="majorHAnsi" w:hAnsiTheme="majorHAnsi"/>
          <w:b/>
          <w:sz w:val="20"/>
          <w:szCs w:val="20"/>
          <w:lang w:val="es-ES"/>
        </w:rPr>
        <w:t>POSICIÓN DE LAS PARTES</w:t>
      </w:r>
    </w:p>
    <w:p w14:paraId="7EE3FA8C" w14:textId="77777777" w:rsidR="009A0814" w:rsidRPr="00D377D0" w:rsidRDefault="009A0814" w:rsidP="00D377D0">
      <w:pPr>
        <w:pStyle w:val="ListParagraph"/>
        <w:spacing w:after="240"/>
        <w:jc w:val="both"/>
        <w:rPr>
          <w:rFonts w:asciiTheme="majorHAnsi" w:hAnsiTheme="majorHAnsi"/>
          <w:bCs/>
          <w:i/>
          <w:iCs/>
          <w:sz w:val="20"/>
          <w:szCs w:val="20"/>
          <w:lang w:val="es-ES"/>
        </w:rPr>
      </w:pPr>
      <w:r w:rsidRPr="00D377D0">
        <w:rPr>
          <w:rFonts w:asciiTheme="majorHAnsi" w:hAnsiTheme="majorHAnsi"/>
          <w:bCs/>
          <w:i/>
          <w:iCs/>
          <w:sz w:val="20"/>
          <w:szCs w:val="20"/>
          <w:lang w:val="es-ES"/>
        </w:rPr>
        <w:t>La parte peticionaria</w:t>
      </w:r>
    </w:p>
    <w:p w14:paraId="2183734C" w14:textId="3D6FD263" w:rsidR="004B11CB" w:rsidRPr="00D377D0" w:rsidRDefault="004B11CB"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377D0">
        <w:rPr>
          <w:rFonts w:ascii="Cambria" w:hAnsi="Cambria"/>
          <w:sz w:val="20"/>
          <w:szCs w:val="20"/>
          <w:lang w:val="es-ES"/>
        </w:rPr>
        <w:t xml:space="preserve">La parte peticionaria denuncia que el Consejo de la Judicatura destituyó a las presuntas víctimas de sus cargos </w:t>
      </w:r>
      <w:r w:rsidR="004F0981">
        <w:rPr>
          <w:rFonts w:ascii="Cambria" w:hAnsi="Cambria"/>
          <w:sz w:val="20"/>
          <w:szCs w:val="20"/>
          <w:lang w:val="es-ES"/>
        </w:rPr>
        <w:t>en el Poder Judicial</w:t>
      </w:r>
      <w:r w:rsidRPr="00D377D0">
        <w:rPr>
          <w:rFonts w:ascii="Cambria" w:hAnsi="Cambria"/>
          <w:sz w:val="20"/>
          <w:szCs w:val="20"/>
          <w:lang w:val="es-ES"/>
        </w:rPr>
        <w:t>, mediante un procedimiento que no respetó el derecho al debido proceso</w:t>
      </w:r>
      <w:r w:rsidR="002A3EAD" w:rsidRPr="00D377D0">
        <w:rPr>
          <w:rFonts w:ascii="Cambria" w:hAnsi="Cambria"/>
          <w:sz w:val="20"/>
          <w:szCs w:val="20"/>
          <w:lang w:val="es-ES"/>
        </w:rPr>
        <w:t>,</w:t>
      </w:r>
      <w:r w:rsidRPr="00D377D0">
        <w:rPr>
          <w:rFonts w:ascii="Cambria" w:hAnsi="Cambria"/>
          <w:sz w:val="20"/>
          <w:szCs w:val="20"/>
          <w:lang w:val="es-ES"/>
        </w:rPr>
        <w:t xml:space="preserve"> y </w:t>
      </w:r>
      <w:r w:rsidR="002A3EAD" w:rsidRPr="00D377D0">
        <w:rPr>
          <w:rFonts w:ascii="Cambria" w:hAnsi="Cambria"/>
          <w:sz w:val="20"/>
          <w:szCs w:val="20"/>
          <w:lang w:val="es-ES"/>
        </w:rPr>
        <w:t>con motivo de</w:t>
      </w:r>
      <w:r w:rsidRPr="00D377D0">
        <w:rPr>
          <w:rFonts w:ascii="Cambria" w:hAnsi="Cambria"/>
          <w:sz w:val="20"/>
          <w:szCs w:val="20"/>
          <w:lang w:val="es-ES"/>
        </w:rPr>
        <w:t xml:space="preserve"> su decisión en un caso de naturaleza penal.</w:t>
      </w:r>
    </w:p>
    <w:p w14:paraId="3FE91B82" w14:textId="34892604" w:rsidR="002C2112" w:rsidRPr="00D377D0" w:rsidRDefault="002A3EAD"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377D0">
        <w:rPr>
          <w:rFonts w:ascii="Cambria" w:hAnsi="Cambria"/>
          <w:sz w:val="20"/>
          <w:szCs w:val="20"/>
          <w:lang w:val="es-ES"/>
        </w:rPr>
        <w:lastRenderedPageBreak/>
        <w:t>L</w:t>
      </w:r>
      <w:r w:rsidR="002C2112" w:rsidRPr="00D377D0">
        <w:rPr>
          <w:rFonts w:ascii="Cambria" w:hAnsi="Cambria"/>
          <w:sz w:val="20"/>
          <w:szCs w:val="20"/>
          <w:lang w:val="es-ES"/>
        </w:rPr>
        <w:t>as presuntas víctimas eran jueces provinciales de la Sala Especializada de Garantías Penales de la Corte Provincial de Justicia de Bolívar</w:t>
      </w:r>
      <w:r w:rsidR="00734CAC" w:rsidRPr="00D377D0">
        <w:rPr>
          <w:rFonts w:ascii="Cambria" w:hAnsi="Cambria"/>
          <w:sz w:val="20"/>
          <w:szCs w:val="20"/>
          <w:lang w:val="es-ES"/>
        </w:rPr>
        <w:t>,</w:t>
      </w:r>
      <w:r w:rsidR="002C2112" w:rsidRPr="00D377D0">
        <w:rPr>
          <w:rFonts w:ascii="Cambria" w:hAnsi="Cambria"/>
          <w:sz w:val="20"/>
          <w:szCs w:val="20"/>
          <w:lang w:val="es-ES"/>
        </w:rPr>
        <w:t xml:space="preserve"> y en el ejercicio de sus </w:t>
      </w:r>
      <w:r w:rsidR="00734CAC" w:rsidRPr="00D377D0">
        <w:rPr>
          <w:rFonts w:ascii="Cambria" w:hAnsi="Cambria"/>
          <w:sz w:val="20"/>
          <w:szCs w:val="20"/>
          <w:lang w:val="es-ES"/>
        </w:rPr>
        <w:t>funciones</w:t>
      </w:r>
      <w:r w:rsidR="002C2112" w:rsidRPr="00D377D0">
        <w:rPr>
          <w:rFonts w:ascii="Cambria" w:hAnsi="Cambria"/>
          <w:sz w:val="20"/>
          <w:szCs w:val="20"/>
          <w:lang w:val="es-ES"/>
        </w:rPr>
        <w:t xml:space="preserve"> </w:t>
      </w:r>
      <w:r w:rsidR="001255C4" w:rsidRPr="00D377D0">
        <w:rPr>
          <w:rFonts w:ascii="Cambria" w:hAnsi="Cambria"/>
          <w:sz w:val="20"/>
          <w:szCs w:val="20"/>
          <w:lang w:val="es-ES"/>
        </w:rPr>
        <w:t>tuvieron</w:t>
      </w:r>
      <w:r w:rsidR="002C2112" w:rsidRPr="00D377D0">
        <w:rPr>
          <w:rFonts w:ascii="Cambria" w:hAnsi="Cambria"/>
          <w:sz w:val="20"/>
          <w:szCs w:val="20"/>
          <w:lang w:val="es-ES"/>
        </w:rPr>
        <w:t xml:space="preserve"> que resolver un recurso de nulidad</w:t>
      </w:r>
      <w:r w:rsidR="00603CB2" w:rsidRPr="00D377D0">
        <w:rPr>
          <w:rFonts w:ascii="Cambria" w:hAnsi="Cambria"/>
          <w:sz w:val="20"/>
          <w:szCs w:val="20"/>
          <w:lang w:val="es-ES"/>
        </w:rPr>
        <w:t>,</w:t>
      </w:r>
      <w:r w:rsidR="002C2112" w:rsidRPr="00D377D0">
        <w:rPr>
          <w:rFonts w:ascii="Cambria" w:hAnsi="Cambria"/>
          <w:sz w:val="20"/>
          <w:szCs w:val="20"/>
          <w:lang w:val="es-ES"/>
        </w:rPr>
        <w:t xml:space="preserve"> planteado por la </w:t>
      </w:r>
      <w:r w:rsidR="00E1555E" w:rsidRPr="00D377D0">
        <w:rPr>
          <w:rFonts w:ascii="Cambria" w:hAnsi="Cambria"/>
          <w:sz w:val="20"/>
          <w:szCs w:val="20"/>
          <w:lang w:val="es-ES"/>
        </w:rPr>
        <w:t>abogada</w:t>
      </w:r>
      <w:r w:rsidR="002C2112" w:rsidRPr="00D377D0">
        <w:rPr>
          <w:rFonts w:ascii="Cambria" w:hAnsi="Cambria"/>
          <w:sz w:val="20"/>
          <w:szCs w:val="20"/>
          <w:lang w:val="es-ES"/>
        </w:rPr>
        <w:t xml:space="preserve"> de </w:t>
      </w:r>
      <w:r w:rsidR="004D0317" w:rsidRPr="00D377D0">
        <w:rPr>
          <w:rFonts w:ascii="Cambria" w:hAnsi="Cambria"/>
          <w:sz w:val="20"/>
          <w:szCs w:val="20"/>
          <w:lang w:val="es-ES"/>
        </w:rPr>
        <w:t>un acusado</w:t>
      </w:r>
      <w:r w:rsidR="002C2112" w:rsidRPr="00D377D0">
        <w:rPr>
          <w:rFonts w:ascii="Cambria" w:hAnsi="Cambria"/>
          <w:sz w:val="20"/>
          <w:szCs w:val="20"/>
          <w:lang w:val="es-ES"/>
        </w:rPr>
        <w:t xml:space="preserve"> de homicidio contra el auto de llamamiento a juicio dictado por el juez de primera instancia</w:t>
      </w:r>
      <w:r w:rsidR="00E1555E" w:rsidRPr="00D377D0">
        <w:rPr>
          <w:rFonts w:ascii="Cambria" w:hAnsi="Cambria"/>
          <w:sz w:val="20"/>
          <w:szCs w:val="20"/>
          <w:lang w:val="es-ES"/>
        </w:rPr>
        <w:t xml:space="preserve"> en </w:t>
      </w:r>
      <w:r w:rsidR="00646EEC" w:rsidRPr="00D377D0">
        <w:rPr>
          <w:rFonts w:ascii="Cambria" w:hAnsi="Cambria"/>
          <w:sz w:val="20"/>
          <w:szCs w:val="20"/>
          <w:lang w:val="es-ES"/>
        </w:rPr>
        <w:t>contra de este</w:t>
      </w:r>
      <w:r w:rsidR="002C2112" w:rsidRPr="00D377D0">
        <w:rPr>
          <w:rFonts w:ascii="Cambria" w:hAnsi="Cambria"/>
          <w:sz w:val="20"/>
          <w:szCs w:val="20"/>
          <w:lang w:val="es-ES"/>
        </w:rPr>
        <w:t xml:space="preserve">. </w:t>
      </w:r>
      <w:r w:rsidR="00E1555E" w:rsidRPr="00D377D0">
        <w:rPr>
          <w:rFonts w:ascii="Cambria" w:hAnsi="Cambria"/>
          <w:sz w:val="20"/>
          <w:szCs w:val="20"/>
          <w:lang w:val="es-ES"/>
        </w:rPr>
        <w:t>L</w:t>
      </w:r>
      <w:r w:rsidR="002C2112" w:rsidRPr="00D377D0">
        <w:rPr>
          <w:rFonts w:ascii="Cambria" w:hAnsi="Cambria"/>
          <w:sz w:val="20"/>
          <w:szCs w:val="20"/>
          <w:lang w:val="es-ES"/>
        </w:rPr>
        <w:t>uego de una audiencia, el 11 de noviembre de 2010</w:t>
      </w:r>
      <w:r w:rsidR="00DB4A2F">
        <w:rPr>
          <w:rFonts w:ascii="Cambria" w:hAnsi="Cambria"/>
          <w:sz w:val="20"/>
          <w:szCs w:val="20"/>
          <w:lang w:val="es-ES"/>
        </w:rPr>
        <w:t>,</w:t>
      </w:r>
      <w:r w:rsidR="002C2112" w:rsidRPr="00D377D0">
        <w:rPr>
          <w:rFonts w:ascii="Cambria" w:hAnsi="Cambria"/>
          <w:sz w:val="20"/>
          <w:szCs w:val="20"/>
          <w:lang w:val="es-ES"/>
        </w:rPr>
        <w:t xml:space="preserve"> </w:t>
      </w:r>
      <w:r w:rsidR="00627007" w:rsidRPr="00D377D0">
        <w:rPr>
          <w:rFonts w:ascii="Cambria" w:hAnsi="Cambria"/>
          <w:sz w:val="20"/>
          <w:szCs w:val="20"/>
          <w:lang w:val="es-ES"/>
        </w:rPr>
        <w:t>los jueces aceptaron</w:t>
      </w:r>
      <w:r w:rsidR="002C2112" w:rsidRPr="00D377D0">
        <w:rPr>
          <w:rFonts w:ascii="Cambria" w:hAnsi="Cambria"/>
          <w:sz w:val="20"/>
          <w:szCs w:val="20"/>
          <w:lang w:val="es-ES"/>
        </w:rPr>
        <w:t xml:space="preserve"> parcialmente </w:t>
      </w:r>
      <w:r w:rsidR="00EC0310" w:rsidRPr="00D377D0">
        <w:rPr>
          <w:rFonts w:ascii="Cambria" w:hAnsi="Cambria"/>
          <w:sz w:val="20"/>
          <w:szCs w:val="20"/>
          <w:lang w:val="es-ES"/>
        </w:rPr>
        <w:t>el</w:t>
      </w:r>
      <w:r w:rsidR="002C2112" w:rsidRPr="00D377D0">
        <w:rPr>
          <w:rFonts w:ascii="Cambria" w:hAnsi="Cambria"/>
          <w:sz w:val="20"/>
          <w:szCs w:val="20"/>
          <w:lang w:val="es-ES"/>
        </w:rPr>
        <w:t xml:space="preserve"> </w:t>
      </w:r>
      <w:r w:rsidR="00EC0310" w:rsidRPr="00D377D0">
        <w:rPr>
          <w:rFonts w:ascii="Cambria" w:hAnsi="Cambria"/>
          <w:sz w:val="20"/>
          <w:szCs w:val="20"/>
          <w:lang w:val="es-ES"/>
        </w:rPr>
        <w:t>recurso</w:t>
      </w:r>
      <w:r w:rsidR="002C2112" w:rsidRPr="00D377D0">
        <w:rPr>
          <w:rFonts w:ascii="Cambria" w:hAnsi="Cambria"/>
          <w:sz w:val="20"/>
          <w:szCs w:val="20"/>
          <w:lang w:val="es-ES"/>
        </w:rPr>
        <w:t xml:space="preserve"> y declararon la nulidad parcial del proceso penal en controversia.</w:t>
      </w:r>
    </w:p>
    <w:p w14:paraId="341322A5" w14:textId="4B6AAEE6" w:rsidR="009F511F" w:rsidRPr="00D377D0" w:rsidRDefault="009F511F"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377D0">
        <w:rPr>
          <w:rFonts w:ascii="Cambria" w:hAnsi="Cambria"/>
          <w:sz w:val="20"/>
          <w:szCs w:val="20"/>
          <w:lang w:val="es-ES"/>
        </w:rPr>
        <w:t xml:space="preserve">Producto de ello, </w:t>
      </w:r>
      <w:r w:rsidR="003B0588" w:rsidRPr="00D377D0">
        <w:rPr>
          <w:rFonts w:ascii="Cambria" w:hAnsi="Cambria"/>
          <w:sz w:val="20"/>
          <w:szCs w:val="20"/>
          <w:lang w:val="es-ES"/>
        </w:rPr>
        <w:t>e</w:t>
      </w:r>
      <w:r w:rsidRPr="00D377D0">
        <w:rPr>
          <w:rFonts w:ascii="Cambria" w:hAnsi="Cambria"/>
          <w:sz w:val="20"/>
          <w:szCs w:val="20"/>
          <w:lang w:val="es-ES"/>
        </w:rPr>
        <w:t>l 17 de febrero de 2012</w:t>
      </w:r>
      <w:r w:rsidR="00C4451E">
        <w:rPr>
          <w:rFonts w:ascii="Cambria" w:hAnsi="Cambria"/>
          <w:sz w:val="20"/>
          <w:szCs w:val="20"/>
          <w:lang w:val="es-ES"/>
        </w:rPr>
        <w:t>,</w:t>
      </w:r>
      <w:r w:rsidRPr="00D377D0">
        <w:rPr>
          <w:rFonts w:ascii="Cambria" w:hAnsi="Cambria"/>
          <w:sz w:val="20"/>
          <w:szCs w:val="20"/>
          <w:lang w:val="es-ES"/>
        </w:rPr>
        <w:t xml:space="preserve"> la Presidencia del Consejo de la Judicatura de Transición dispuso la suspensión provisional de las presuntas víctimas de sus cargos, así como del resto de magistrados y magistradas que integraban su sala. Dicho órgano consideró que </w:t>
      </w:r>
      <w:r w:rsidR="005626FE" w:rsidRPr="00D377D0">
        <w:rPr>
          <w:rFonts w:ascii="Cambria" w:hAnsi="Cambria"/>
          <w:sz w:val="20"/>
          <w:szCs w:val="20"/>
          <w:lang w:val="es-ES"/>
        </w:rPr>
        <w:t>estos</w:t>
      </w:r>
      <w:r w:rsidRPr="00D377D0">
        <w:rPr>
          <w:rFonts w:ascii="Cambria" w:hAnsi="Cambria"/>
          <w:sz w:val="20"/>
          <w:szCs w:val="20"/>
          <w:lang w:val="es-ES"/>
        </w:rPr>
        <w:t xml:space="preserve"> podían haber incurrido en las faltas tipificadas en los artículos 108, inciso 8</w:t>
      </w:r>
      <w:r w:rsidR="001419BC" w:rsidRPr="00D377D0">
        <w:rPr>
          <w:rStyle w:val="FootnoteReference"/>
          <w:rFonts w:ascii="Cambria" w:hAnsi="Cambria"/>
          <w:sz w:val="20"/>
          <w:szCs w:val="20"/>
          <w:lang w:val="es-ES"/>
        </w:rPr>
        <w:footnoteReference w:id="4"/>
      </w:r>
      <w:r w:rsidRPr="00D377D0">
        <w:rPr>
          <w:rFonts w:ascii="Cambria" w:hAnsi="Cambria"/>
          <w:sz w:val="20"/>
          <w:szCs w:val="20"/>
          <w:lang w:val="es-ES"/>
        </w:rPr>
        <w:t>, y 109, inciso 7</w:t>
      </w:r>
      <w:r w:rsidR="001419BC" w:rsidRPr="00D377D0">
        <w:rPr>
          <w:rStyle w:val="FootnoteReference"/>
          <w:rFonts w:ascii="Cambria" w:hAnsi="Cambria"/>
          <w:sz w:val="20"/>
          <w:szCs w:val="20"/>
          <w:lang w:val="es-ES"/>
        </w:rPr>
        <w:footnoteReference w:id="5"/>
      </w:r>
      <w:r w:rsidRPr="00D377D0">
        <w:rPr>
          <w:rFonts w:ascii="Cambria" w:hAnsi="Cambria"/>
          <w:sz w:val="20"/>
          <w:szCs w:val="20"/>
          <w:lang w:val="es-ES"/>
        </w:rPr>
        <w:t>, del Código Orgánico de la Función Judicial</w:t>
      </w:r>
      <w:r w:rsidR="004F7141" w:rsidRPr="00D377D0">
        <w:rPr>
          <w:rFonts w:ascii="Cambria" w:hAnsi="Cambria"/>
          <w:sz w:val="20"/>
          <w:szCs w:val="20"/>
          <w:lang w:val="es-ES"/>
        </w:rPr>
        <w:t xml:space="preserve">, en razón de su actuación en el citado proceso penal. </w:t>
      </w:r>
    </w:p>
    <w:p w14:paraId="219EAD73" w14:textId="6F7C7CDC" w:rsidR="001419BC" w:rsidRPr="00D377D0" w:rsidRDefault="00094F18"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377D0">
        <w:rPr>
          <w:rFonts w:ascii="Cambria" w:hAnsi="Cambria"/>
          <w:sz w:val="20"/>
          <w:szCs w:val="20"/>
          <w:lang w:val="es-ES"/>
        </w:rPr>
        <w:t>Con base en ello</w:t>
      </w:r>
      <w:r w:rsidR="001419BC" w:rsidRPr="00D377D0">
        <w:rPr>
          <w:rFonts w:ascii="Cambria" w:hAnsi="Cambria"/>
          <w:sz w:val="20"/>
          <w:szCs w:val="20"/>
          <w:lang w:val="es-ES"/>
        </w:rPr>
        <w:t>, el 24 de febrero de 2012</w:t>
      </w:r>
      <w:r w:rsidR="00B2748E">
        <w:rPr>
          <w:rFonts w:ascii="Cambria" w:hAnsi="Cambria"/>
          <w:sz w:val="20"/>
          <w:szCs w:val="20"/>
          <w:lang w:val="es-ES"/>
        </w:rPr>
        <w:t>,</w:t>
      </w:r>
      <w:r w:rsidR="001419BC" w:rsidRPr="00D377D0">
        <w:rPr>
          <w:rFonts w:ascii="Cambria" w:hAnsi="Cambria"/>
          <w:sz w:val="20"/>
          <w:szCs w:val="20"/>
          <w:lang w:val="es-ES"/>
        </w:rPr>
        <w:t xml:space="preserve"> la Dirección Provincial del Consejo de la Judicatura de Bolívar decidió abrir un proceso disciplinario contra las presuntas víctimas y el resto de </w:t>
      </w:r>
      <w:r w:rsidR="008B3442" w:rsidRPr="00D377D0">
        <w:rPr>
          <w:rFonts w:ascii="Cambria" w:hAnsi="Cambria"/>
          <w:sz w:val="20"/>
          <w:szCs w:val="20"/>
          <w:lang w:val="es-ES"/>
        </w:rPr>
        <w:t>los magistrados</w:t>
      </w:r>
      <w:r w:rsidR="001419BC" w:rsidRPr="00D377D0">
        <w:rPr>
          <w:rFonts w:ascii="Cambria" w:hAnsi="Cambria"/>
          <w:sz w:val="20"/>
          <w:szCs w:val="20"/>
          <w:lang w:val="es-ES"/>
        </w:rPr>
        <w:t xml:space="preserve"> de la Sala Especializada de Garantías Penales de la Corte Provincial de Justicia de Bolívar. Luego de la realización del respectivo procedimiento, el 22 de mayo de 2012</w:t>
      </w:r>
      <w:r w:rsidR="00B2748E">
        <w:rPr>
          <w:rFonts w:ascii="Cambria" w:hAnsi="Cambria"/>
          <w:sz w:val="20"/>
          <w:szCs w:val="20"/>
          <w:lang w:val="es-ES"/>
        </w:rPr>
        <w:t>,</w:t>
      </w:r>
      <w:r w:rsidR="001419BC" w:rsidRPr="00D377D0">
        <w:rPr>
          <w:rFonts w:ascii="Cambria" w:hAnsi="Cambria"/>
          <w:sz w:val="20"/>
          <w:szCs w:val="20"/>
          <w:lang w:val="es-ES"/>
        </w:rPr>
        <w:t xml:space="preserve"> el Pleno del Consejo de la Judicatura destituyó a las presuntas víctimas y al resto de </w:t>
      </w:r>
      <w:r w:rsidR="00B96F7A" w:rsidRPr="00D377D0">
        <w:rPr>
          <w:rFonts w:ascii="Cambria" w:hAnsi="Cambria"/>
          <w:sz w:val="20"/>
          <w:szCs w:val="20"/>
          <w:lang w:val="es-ES"/>
        </w:rPr>
        <w:t>jueces</w:t>
      </w:r>
      <w:r w:rsidR="001419BC" w:rsidRPr="00D377D0">
        <w:rPr>
          <w:rFonts w:ascii="Cambria" w:hAnsi="Cambria"/>
          <w:sz w:val="20"/>
          <w:szCs w:val="20"/>
          <w:lang w:val="es-ES"/>
        </w:rPr>
        <w:t xml:space="preserve">, al considerar que habían cometido una falta disciplinaria gravísima, tipificada en el artículo 109, numeral 7, del Código Orgánico de la Función Judicial. Para llegar a esta conclusión, dicho órgano argumentó que la actuación de los procesados resultó </w:t>
      </w:r>
      <w:r w:rsidR="006E3620">
        <w:rPr>
          <w:rFonts w:ascii="Cambria" w:hAnsi="Cambria"/>
          <w:sz w:val="20"/>
          <w:szCs w:val="20"/>
          <w:lang w:val="es-ES"/>
        </w:rPr>
        <w:t>“</w:t>
      </w:r>
      <w:r w:rsidR="001419BC" w:rsidRPr="00D377D0">
        <w:rPr>
          <w:rFonts w:ascii="Cambria" w:hAnsi="Cambria"/>
          <w:i/>
          <w:iCs/>
          <w:sz w:val="20"/>
          <w:szCs w:val="20"/>
          <w:lang w:val="es-ES"/>
        </w:rPr>
        <w:t>arbitraria, inconsulta y absolutamente contraria a lo previsto por el artículo 4 del Código Penal y el artículo 330 del Código de Procedimiento Penal</w:t>
      </w:r>
      <w:r w:rsidR="006E3620">
        <w:rPr>
          <w:rFonts w:ascii="Cambria" w:hAnsi="Cambria"/>
          <w:sz w:val="20"/>
          <w:szCs w:val="20"/>
          <w:lang w:val="es-ES"/>
        </w:rPr>
        <w:t>”</w:t>
      </w:r>
      <w:r w:rsidR="00B96F7A" w:rsidRPr="00D377D0">
        <w:rPr>
          <w:rFonts w:ascii="Cambria" w:hAnsi="Cambria"/>
          <w:sz w:val="20"/>
          <w:szCs w:val="20"/>
          <w:lang w:val="es-ES"/>
        </w:rPr>
        <w:t>;</w:t>
      </w:r>
      <w:r w:rsidR="001419BC" w:rsidRPr="00D377D0">
        <w:rPr>
          <w:rFonts w:ascii="Cambria" w:hAnsi="Cambria"/>
          <w:sz w:val="20"/>
          <w:szCs w:val="20"/>
          <w:lang w:val="es-ES"/>
        </w:rPr>
        <w:t xml:space="preserve"> y que debía ser </w:t>
      </w:r>
      <w:r w:rsidR="006E3620">
        <w:rPr>
          <w:rFonts w:ascii="Cambria" w:hAnsi="Cambria"/>
          <w:sz w:val="20"/>
          <w:szCs w:val="20"/>
          <w:lang w:val="es-ES"/>
        </w:rPr>
        <w:t>“</w:t>
      </w:r>
      <w:r w:rsidR="001419BC" w:rsidRPr="00D377D0">
        <w:rPr>
          <w:rFonts w:ascii="Cambria" w:hAnsi="Cambria"/>
          <w:i/>
          <w:iCs/>
          <w:sz w:val="20"/>
          <w:szCs w:val="20"/>
          <w:lang w:val="es-ES"/>
        </w:rPr>
        <w:t>calificada como un error a todas luces inexcusable</w:t>
      </w:r>
      <w:r w:rsidR="006E3620">
        <w:rPr>
          <w:rFonts w:ascii="Cambria" w:hAnsi="Cambria"/>
          <w:sz w:val="20"/>
          <w:szCs w:val="20"/>
          <w:lang w:val="es-ES"/>
        </w:rPr>
        <w:t>”</w:t>
      </w:r>
      <w:r w:rsidR="001419BC" w:rsidRPr="00D377D0">
        <w:rPr>
          <w:rFonts w:ascii="Cambria" w:hAnsi="Cambria"/>
          <w:sz w:val="20"/>
          <w:szCs w:val="20"/>
          <w:lang w:val="es-ES"/>
        </w:rPr>
        <w:t>.</w:t>
      </w:r>
    </w:p>
    <w:p w14:paraId="2E8F643E" w14:textId="6C992C58" w:rsidR="00FE2E87" w:rsidRPr="00D377D0" w:rsidRDefault="00467CB1" w:rsidP="00D377D0">
      <w:pPr>
        <w:pStyle w:val="ListParagraph"/>
        <w:numPr>
          <w:ilvl w:val="0"/>
          <w:numId w:val="103"/>
        </w:numPr>
        <w:spacing w:after="240"/>
        <w:jc w:val="both"/>
        <w:rPr>
          <w:rFonts w:eastAsia="Arial Unicode MS" w:cs="Times New Roman"/>
          <w:color w:val="auto"/>
          <w:sz w:val="20"/>
          <w:szCs w:val="20"/>
          <w:lang w:val="es-ES" w:eastAsia="en-US"/>
        </w:rPr>
      </w:pPr>
      <w:r w:rsidRPr="00D377D0">
        <w:rPr>
          <w:rFonts w:eastAsia="Arial Unicode MS" w:cs="Times New Roman"/>
          <w:color w:val="auto"/>
          <w:sz w:val="20"/>
          <w:szCs w:val="20"/>
          <w:lang w:val="es-ES" w:eastAsia="en-US"/>
        </w:rPr>
        <w:t>Frente a esta decisión,</w:t>
      </w:r>
      <w:r w:rsidR="00FE2E87" w:rsidRPr="00D377D0">
        <w:rPr>
          <w:rFonts w:eastAsia="Arial Unicode MS" w:cs="Times New Roman"/>
          <w:color w:val="auto"/>
          <w:sz w:val="20"/>
          <w:szCs w:val="20"/>
          <w:lang w:val="es-ES" w:eastAsia="en-US"/>
        </w:rPr>
        <w:t xml:space="preserve"> el 24 de junio de 2012</w:t>
      </w:r>
      <w:r w:rsidR="006E3620">
        <w:rPr>
          <w:rFonts w:eastAsia="Arial Unicode MS" w:cs="Times New Roman"/>
          <w:color w:val="auto"/>
          <w:sz w:val="20"/>
          <w:szCs w:val="20"/>
          <w:lang w:val="es-ES" w:eastAsia="en-US"/>
        </w:rPr>
        <w:t>,</w:t>
      </w:r>
      <w:r w:rsidR="00FE2E87" w:rsidRPr="00D377D0">
        <w:rPr>
          <w:rFonts w:eastAsia="Arial Unicode MS" w:cs="Times New Roman"/>
          <w:color w:val="auto"/>
          <w:sz w:val="20"/>
          <w:szCs w:val="20"/>
          <w:lang w:val="es-ES" w:eastAsia="en-US"/>
        </w:rPr>
        <w:t xml:space="preserve"> las presuntas víctimas interpusieron un recurso de reconsideración, alegando que no concurrieron todos los elementos que configuran la infracción disciplinaria prevista en el artículo 109, numeral 7, del Código Orgánico de la Función Judicial. Sin embargo, el 15 de febrero de 2013</w:t>
      </w:r>
      <w:r w:rsidR="00EE1C3F">
        <w:rPr>
          <w:rFonts w:eastAsia="Arial Unicode MS" w:cs="Times New Roman"/>
          <w:color w:val="auto"/>
          <w:sz w:val="20"/>
          <w:szCs w:val="20"/>
          <w:lang w:val="es-ES" w:eastAsia="en-US"/>
        </w:rPr>
        <w:t>,</w:t>
      </w:r>
      <w:r w:rsidR="00FE2E87" w:rsidRPr="00D377D0">
        <w:rPr>
          <w:rFonts w:eastAsia="Arial Unicode MS" w:cs="Times New Roman"/>
          <w:color w:val="auto"/>
          <w:sz w:val="20"/>
          <w:szCs w:val="20"/>
          <w:lang w:val="es-ES" w:eastAsia="en-US"/>
        </w:rPr>
        <w:t xml:space="preserve"> el Pleno del Consejo de la Judicatura, mediante la Resolución Nº 005-2013,</w:t>
      </w:r>
      <w:r w:rsidR="0086783C" w:rsidRPr="00D377D0">
        <w:rPr>
          <w:rFonts w:eastAsia="Arial Unicode MS" w:cs="Times New Roman"/>
          <w:color w:val="auto"/>
          <w:sz w:val="20"/>
          <w:szCs w:val="20"/>
          <w:lang w:val="es-ES" w:eastAsia="en-US"/>
        </w:rPr>
        <w:t xml:space="preserve"> lo</w:t>
      </w:r>
      <w:r w:rsidR="00FE2E87" w:rsidRPr="00D377D0">
        <w:rPr>
          <w:rFonts w:eastAsia="Arial Unicode MS" w:cs="Times New Roman"/>
          <w:color w:val="auto"/>
          <w:sz w:val="20"/>
          <w:szCs w:val="20"/>
          <w:lang w:val="es-ES" w:eastAsia="en-US"/>
        </w:rPr>
        <w:t xml:space="preserve"> inadmitió, </w:t>
      </w:r>
      <w:r w:rsidR="00E853E8">
        <w:rPr>
          <w:rFonts w:eastAsia="Arial Unicode MS" w:cs="Times New Roman"/>
          <w:color w:val="auto"/>
          <w:sz w:val="20"/>
          <w:szCs w:val="20"/>
          <w:lang w:val="es-ES" w:eastAsia="en-US"/>
        </w:rPr>
        <w:t>aclarando</w:t>
      </w:r>
      <w:r w:rsidR="00E853E8" w:rsidRPr="00D377D0">
        <w:rPr>
          <w:rFonts w:eastAsia="Arial Unicode MS" w:cs="Times New Roman"/>
          <w:color w:val="auto"/>
          <w:sz w:val="20"/>
          <w:szCs w:val="20"/>
          <w:lang w:val="es-ES" w:eastAsia="en-US"/>
        </w:rPr>
        <w:t xml:space="preserve"> </w:t>
      </w:r>
      <w:r w:rsidR="00FE2E87" w:rsidRPr="00D377D0">
        <w:rPr>
          <w:rFonts w:eastAsia="Arial Unicode MS" w:cs="Times New Roman"/>
          <w:color w:val="auto"/>
          <w:sz w:val="20"/>
          <w:szCs w:val="20"/>
          <w:lang w:val="es-ES" w:eastAsia="en-US"/>
        </w:rPr>
        <w:t>que las decisiones cuestionadas no eran susceptibles de recurso alguno en vía administrativa.</w:t>
      </w:r>
    </w:p>
    <w:p w14:paraId="28A8EC47" w14:textId="5AAD7072" w:rsidR="00661088" w:rsidRPr="00D377D0" w:rsidRDefault="00337376" w:rsidP="00D377D0">
      <w:pPr>
        <w:pStyle w:val="ListParagraph"/>
        <w:numPr>
          <w:ilvl w:val="0"/>
          <w:numId w:val="103"/>
        </w:numPr>
        <w:spacing w:after="240"/>
        <w:jc w:val="both"/>
        <w:rPr>
          <w:rFonts w:asciiTheme="majorHAnsi" w:eastAsia="Arial Unicode MS" w:hAnsiTheme="majorHAnsi" w:cs="Times New Roman"/>
          <w:color w:val="auto"/>
          <w:sz w:val="20"/>
          <w:szCs w:val="20"/>
          <w:lang w:val="es-ES" w:eastAsia="en-US"/>
        </w:rPr>
      </w:pPr>
      <w:r w:rsidRPr="00D377D0">
        <w:rPr>
          <w:rFonts w:asciiTheme="majorHAnsi" w:hAnsiTheme="majorHAnsi"/>
          <w:sz w:val="20"/>
          <w:szCs w:val="20"/>
          <w:lang w:val="es-ES"/>
        </w:rPr>
        <w:t>En consecuencia</w:t>
      </w:r>
      <w:r w:rsidR="00661088" w:rsidRPr="00D377D0">
        <w:rPr>
          <w:rFonts w:asciiTheme="majorHAnsi" w:hAnsiTheme="majorHAnsi"/>
          <w:sz w:val="20"/>
          <w:szCs w:val="20"/>
          <w:lang w:val="es-ES"/>
        </w:rPr>
        <w:t xml:space="preserve">, la representación de las presuntas víctimas presentó una acción de protección </w:t>
      </w:r>
      <w:r w:rsidR="00175C2D" w:rsidRPr="00D377D0">
        <w:rPr>
          <w:rFonts w:asciiTheme="majorHAnsi" w:hAnsiTheme="majorHAnsi"/>
          <w:sz w:val="20"/>
          <w:szCs w:val="20"/>
          <w:lang w:val="es-ES"/>
        </w:rPr>
        <w:t>alegando</w:t>
      </w:r>
      <w:r w:rsidR="00661088" w:rsidRPr="00D377D0">
        <w:rPr>
          <w:rFonts w:asciiTheme="majorHAnsi" w:hAnsiTheme="majorHAnsi"/>
          <w:sz w:val="20"/>
          <w:szCs w:val="20"/>
          <w:lang w:val="es-ES"/>
        </w:rPr>
        <w:t xml:space="preserve"> que las decisi</w:t>
      </w:r>
      <w:r w:rsidR="00661088" w:rsidRPr="005464F9">
        <w:rPr>
          <w:rFonts w:asciiTheme="majorHAnsi" w:hAnsiTheme="majorHAnsi"/>
          <w:sz w:val="20"/>
          <w:szCs w:val="20"/>
          <w:lang w:val="es-ES"/>
        </w:rPr>
        <w:t>ones que las destituyeron vulneraron el derecho al doble conforme y al debido proceso. No obstante, el 5 de abril de 2013</w:t>
      </w:r>
      <w:r w:rsidR="00BC0774" w:rsidRPr="005464F9">
        <w:rPr>
          <w:rFonts w:asciiTheme="majorHAnsi" w:hAnsiTheme="majorHAnsi"/>
          <w:sz w:val="20"/>
          <w:szCs w:val="20"/>
          <w:lang w:val="es-ES"/>
        </w:rPr>
        <w:t>,</w:t>
      </w:r>
      <w:r w:rsidR="00661088" w:rsidRPr="005464F9">
        <w:rPr>
          <w:rFonts w:asciiTheme="majorHAnsi" w:hAnsiTheme="majorHAnsi"/>
          <w:sz w:val="20"/>
          <w:szCs w:val="20"/>
          <w:lang w:val="es-ES"/>
        </w:rPr>
        <w:t xml:space="preserve"> el Juzgado Primero de Garantías Penales de Bolívar la declaró inadmisible, </w:t>
      </w:r>
      <w:r w:rsidR="00991624" w:rsidRPr="005464F9">
        <w:rPr>
          <w:rFonts w:asciiTheme="majorHAnsi" w:hAnsiTheme="majorHAnsi"/>
          <w:sz w:val="20"/>
          <w:szCs w:val="20"/>
          <w:lang w:val="es-ES"/>
        </w:rPr>
        <w:t>indicándoles</w:t>
      </w:r>
      <w:r w:rsidR="00661088" w:rsidRPr="005464F9">
        <w:rPr>
          <w:rFonts w:asciiTheme="majorHAnsi" w:hAnsiTheme="majorHAnsi"/>
          <w:sz w:val="20"/>
          <w:szCs w:val="20"/>
          <w:lang w:val="es-ES"/>
        </w:rPr>
        <w:t xml:space="preserve"> que la vía constitucional solo debía activarse cuando no existiera otro mecanismo adecuado y efectivo</w:t>
      </w:r>
      <w:r w:rsidR="00E85D35" w:rsidRPr="005464F9">
        <w:rPr>
          <w:rFonts w:asciiTheme="majorHAnsi" w:hAnsiTheme="majorHAnsi"/>
          <w:sz w:val="20"/>
          <w:szCs w:val="20"/>
          <w:lang w:val="es-ES"/>
        </w:rPr>
        <w:t>;</w:t>
      </w:r>
      <w:r w:rsidR="00661088" w:rsidRPr="005464F9">
        <w:rPr>
          <w:rFonts w:asciiTheme="majorHAnsi" w:hAnsiTheme="majorHAnsi"/>
          <w:sz w:val="20"/>
          <w:szCs w:val="20"/>
          <w:lang w:val="es-ES"/>
        </w:rPr>
        <w:t xml:space="preserve"> y</w:t>
      </w:r>
      <w:r w:rsidR="00E85D35" w:rsidRPr="00D377D0">
        <w:rPr>
          <w:rFonts w:asciiTheme="majorHAnsi" w:hAnsiTheme="majorHAnsi"/>
          <w:sz w:val="20"/>
          <w:szCs w:val="20"/>
          <w:lang w:val="es-ES"/>
        </w:rPr>
        <w:t xml:space="preserve"> que</w:t>
      </w:r>
      <w:r w:rsidR="00661088" w:rsidRPr="00D377D0">
        <w:rPr>
          <w:rFonts w:asciiTheme="majorHAnsi" w:hAnsiTheme="majorHAnsi"/>
          <w:sz w:val="20"/>
          <w:szCs w:val="20"/>
          <w:lang w:val="es-ES"/>
        </w:rPr>
        <w:t xml:space="preserve"> en el asunto bajo análisis, los demandantes tenían a su disposición la jurisdicción contenciosa</w:t>
      </w:r>
      <w:r w:rsidR="00EA576A" w:rsidRPr="00D377D0">
        <w:rPr>
          <w:rFonts w:asciiTheme="majorHAnsi" w:hAnsiTheme="majorHAnsi"/>
          <w:sz w:val="20"/>
          <w:szCs w:val="20"/>
          <w:lang w:val="es-ES"/>
        </w:rPr>
        <w:t>-</w:t>
      </w:r>
      <w:r w:rsidR="00661088" w:rsidRPr="00D377D0">
        <w:rPr>
          <w:rFonts w:asciiTheme="majorHAnsi" w:hAnsiTheme="majorHAnsi"/>
          <w:sz w:val="20"/>
          <w:szCs w:val="20"/>
          <w:lang w:val="es-ES"/>
        </w:rPr>
        <w:t xml:space="preserve">administrativa. </w:t>
      </w:r>
      <w:r w:rsidR="00AF2634" w:rsidRPr="00D377D0">
        <w:rPr>
          <w:rFonts w:asciiTheme="majorHAnsi" w:hAnsiTheme="majorHAnsi"/>
          <w:sz w:val="20"/>
          <w:szCs w:val="20"/>
          <w:lang w:val="es-ES"/>
        </w:rPr>
        <w:t>A</w:t>
      </w:r>
      <w:r w:rsidR="00661088" w:rsidRPr="00D377D0">
        <w:rPr>
          <w:rFonts w:asciiTheme="majorHAnsi" w:hAnsiTheme="majorHAnsi"/>
          <w:sz w:val="20"/>
          <w:szCs w:val="20"/>
          <w:lang w:val="es-ES"/>
        </w:rPr>
        <w:t>unque las presuntas víctimas apelaron est</w:t>
      </w:r>
      <w:r w:rsidR="00AF2634" w:rsidRPr="00D377D0">
        <w:rPr>
          <w:rFonts w:asciiTheme="majorHAnsi" w:hAnsiTheme="majorHAnsi"/>
          <w:sz w:val="20"/>
          <w:szCs w:val="20"/>
          <w:lang w:val="es-ES"/>
        </w:rPr>
        <w:t>e fallo</w:t>
      </w:r>
      <w:r w:rsidR="00661088" w:rsidRPr="00D377D0">
        <w:rPr>
          <w:rFonts w:asciiTheme="majorHAnsi" w:hAnsiTheme="majorHAnsi"/>
          <w:sz w:val="20"/>
          <w:szCs w:val="20"/>
          <w:lang w:val="es-ES"/>
        </w:rPr>
        <w:t>, el 29 de abril de 2013</w:t>
      </w:r>
      <w:r w:rsidR="00832407">
        <w:rPr>
          <w:rFonts w:asciiTheme="majorHAnsi" w:hAnsiTheme="majorHAnsi"/>
          <w:sz w:val="20"/>
          <w:szCs w:val="20"/>
          <w:lang w:val="es-ES"/>
        </w:rPr>
        <w:t>,</w:t>
      </w:r>
      <w:r w:rsidR="00661088" w:rsidRPr="00D377D0">
        <w:rPr>
          <w:rFonts w:asciiTheme="majorHAnsi" w:hAnsiTheme="majorHAnsi"/>
          <w:sz w:val="20"/>
          <w:szCs w:val="20"/>
          <w:lang w:val="es-ES"/>
        </w:rPr>
        <w:t xml:space="preserve"> la Sala Multicompetente de la Corte Provincial de Justicia de Bolívar la rechazó y confirmó la sentencia apelada.</w:t>
      </w:r>
    </w:p>
    <w:p w14:paraId="07978F6A" w14:textId="616DBF35" w:rsidR="00983DE6" w:rsidRPr="005464F9" w:rsidRDefault="005151C9"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377D0">
        <w:rPr>
          <w:rFonts w:ascii="Cambria" w:hAnsi="Cambria"/>
          <w:sz w:val="20"/>
          <w:szCs w:val="20"/>
          <w:lang w:val="es-ES"/>
        </w:rPr>
        <w:t xml:space="preserve"> </w:t>
      </w:r>
      <w:r w:rsidR="00AF2634" w:rsidRPr="00D377D0">
        <w:rPr>
          <w:rFonts w:ascii="Cambria" w:hAnsi="Cambria"/>
          <w:sz w:val="20"/>
          <w:szCs w:val="20"/>
          <w:lang w:val="es-ES"/>
        </w:rPr>
        <w:t>Posteriormente</w:t>
      </w:r>
      <w:r w:rsidRPr="00D377D0">
        <w:rPr>
          <w:rFonts w:ascii="Cambria" w:hAnsi="Cambria"/>
          <w:sz w:val="20"/>
          <w:szCs w:val="20"/>
          <w:lang w:val="es-ES"/>
        </w:rPr>
        <w:t xml:space="preserve">, </w:t>
      </w:r>
      <w:r w:rsidR="008B2F17" w:rsidRPr="00D377D0">
        <w:rPr>
          <w:rFonts w:ascii="Cambria" w:hAnsi="Cambria"/>
          <w:sz w:val="20"/>
          <w:szCs w:val="20"/>
          <w:lang w:val="es-ES"/>
        </w:rPr>
        <w:t>los señore</w:t>
      </w:r>
      <w:r w:rsidR="008B2F17" w:rsidRPr="005464F9">
        <w:rPr>
          <w:rFonts w:ascii="Cambria" w:hAnsi="Cambria"/>
          <w:sz w:val="20"/>
          <w:szCs w:val="20"/>
          <w:lang w:val="es-ES"/>
        </w:rPr>
        <w:t>s García Barragán y Cárdenas Ramírez interpusieron recursos de revocatoria, aclaración y ampliación, reiterando sus argumentos. Sin embargo, el 15 de mayo de 2013</w:t>
      </w:r>
      <w:r w:rsidR="00832407" w:rsidRPr="005464F9">
        <w:rPr>
          <w:rFonts w:ascii="Cambria" w:hAnsi="Cambria"/>
          <w:sz w:val="20"/>
          <w:szCs w:val="20"/>
          <w:lang w:val="es-ES"/>
        </w:rPr>
        <w:t>,</w:t>
      </w:r>
      <w:r w:rsidR="008B2F17" w:rsidRPr="005464F9">
        <w:rPr>
          <w:rFonts w:ascii="Cambria" w:hAnsi="Cambria"/>
          <w:sz w:val="20"/>
          <w:szCs w:val="20"/>
          <w:lang w:val="es-ES"/>
        </w:rPr>
        <w:t xml:space="preserve"> la Sala Multicompetente de la Corte Provincial de Justicia de Bolívar los desestimó, precisando</w:t>
      </w:r>
      <w:r w:rsidR="008A5E52" w:rsidRPr="005464F9">
        <w:rPr>
          <w:rFonts w:ascii="Cambria" w:hAnsi="Cambria"/>
          <w:sz w:val="20"/>
          <w:szCs w:val="20"/>
          <w:lang w:val="es-ES"/>
        </w:rPr>
        <w:t xml:space="preserve">, </w:t>
      </w:r>
      <w:r w:rsidR="008A5E52" w:rsidRPr="005464F9">
        <w:rPr>
          <w:rFonts w:ascii="Cambria" w:hAnsi="Cambria"/>
          <w:i/>
          <w:iCs/>
          <w:sz w:val="20"/>
          <w:szCs w:val="20"/>
          <w:lang w:val="es-ES"/>
        </w:rPr>
        <w:t>inter alia</w:t>
      </w:r>
      <w:r w:rsidR="008A5E52" w:rsidRPr="005464F9">
        <w:rPr>
          <w:rFonts w:ascii="Cambria" w:hAnsi="Cambria"/>
          <w:sz w:val="20"/>
          <w:szCs w:val="20"/>
          <w:lang w:val="es-ES"/>
        </w:rPr>
        <w:t>,</w:t>
      </w:r>
      <w:r w:rsidR="008B2F17" w:rsidRPr="005464F9">
        <w:rPr>
          <w:rFonts w:ascii="Cambria" w:hAnsi="Cambria"/>
          <w:sz w:val="20"/>
          <w:szCs w:val="20"/>
          <w:lang w:val="es-ES"/>
        </w:rPr>
        <w:t xml:space="preserve"> que su resolución era “</w:t>
      </w:r>
      <w:r w:rsidR="008B2F17" w:rsidRPr="005464F9">
        <w:rPr>
          <w:rFonts w:ascii="Cambria" w:hAnsi="Cambria"/>
          <w:i/>
          <w:iCs/>
          <w:sz w:val="20"/>
          <w:szCs w:val="20"/>
          <w:lang w:val="es-ES"/>
        </w:rPr>
        <w:t>totalmente clara y entendible, porque se halla fundamentada en las normas</w:t>
      </w:r>
      <w:r w:rsidR="008B2F17" w:rsidRPr="005464F9">
        <w:rPr>
          <w:rFonts w:ascii="Cambria" w:hAnsi="Cambria"/>
          <w:sz w:val="20"/>
          <w:szCs w:val="20"/>
          <w:lang w:val="es-ES"/>
        </w:rPr>
        <w:t>”</w:t>
      </w:r>
      <w:r w:rsidR="00CD46F7" w:rsidRPr="005464F9">
        <w:rPr>
          <w:rFonts w:ascii="Cambria" w:hAnsi="Cambria"/>
          <w:sz w:val="20"/>
          <w:szCs w:val="20"/>
          <w:lang w:val="es-ES"/>
        </w:rPr>
        <w:t xml:space="preserve">. </w:t>
      </w:r>
      <w:r w:rsidR="00983DE6" w:rsidRPr="005464F9">
        <w:rPr>
          <w:rFonts w:ascii="Cambria" w:hAnsi="Cambria"/>
          <w:sz w:val="20"/>
          <w:szCs w:val="20"/>
          <w:lang w:val="es-ES"/>
        </w:rPr>
        <w:t>Finalmente, el 24 de junio de 2013</w:t>
      </w:r>
      <w:r w:rsidR="00832407" w:rsidRPr="005464F9">
        <w:rPr>
          <w:rFonts w:ascii="Cambria" w:hAnsi="Cambria"/>
          <w:sz w:val="20"/>
          <w:szCs w:val="20"/>
          <w:lang w:val="es-ES"/>
        </w:rPr>
        <w:t>,</w:t>
      </w:r>
      <w:r w:rsidR="00983DE6" w:rsidRPr="005464F9">
        <w:rPr>
          <w:rFonts w:ascii="Cambria" w:hAnsi="Cambria"/>
          <w:sz w:val="20"/>
          <w:szCs w:val="20"/>
          <w:lang w:val="es-ES"/>
        </w:rPr>
        <w:t xml:space="preserve"> las presuntas víctimas presentaron una acción extraordinaria de protección, solicitando que se declarara que esta última decisión violaba su derecho a la tutela judicial efectiva. </w:t>
      </w:r>
      <w:r w:rsidR="00221234" w:rsidRPr="005464F9">
        <w:rPr>
          <w:rFonts w:ascii="Cambria" w:hAnsi="Cambria"/>
          <w:sz w:val="20"/>
          <w:szCs w:val="20"/>
          <w:lang w:val="es-ES"/>
        </w:rPr>
        <w:t>No obstante</w:t>
      </w:r>
      <w:r w:rsidR="00983DE6" w:rsidRPr="005464F9">
        <w:rPr>
          <w:rFonts w:ascii="Cambria" w:hAnsi="Cambria"/>
          <w:sz w:val="20"/>
          <w:szCs w:val="20"/>
          <w:lang w:val="es-ES"/>
        </w:rPr>
        <w:t>, el 26 de septiembre de 2013</w:t>
      </w:r>
      <w:r w:rsidR="00221234" w:rsidRPr="005464F9">
        <w:rPr>
          <w:rFonts w:ascii="Cambria" w:hAnsi="Cambria"/>
          <w:sz w:val="20"/>
          <w:szCs w:val="20"/>
          <w:lang w:val="es-ES"/>
        </w:rPr>
        <w:t>,</w:t>
      </w:r>
      <w:r w:rsidR="00983DE6" w:rsidRPr="005464F9">
        <w:rPr>
          <w:rFonts w:ascii="Cambria" w:hAnsi="Cambria"/>
          <w:sz w:val="20"/>
          <w:szCs w:val="20"/>
          <w:lang w:val="es-ES"/>
        </w:rPr>
        <w:t xml:space="preserve"> la Sala de Admisión de la Corte Constitucional la declaró inadmisible, </w:t>
      </w:r>
      <w:r w:rsidR="00B67A73" w:rsidRPr="005464F9">
        <w:rPr>
          <w:rFonts w:ascii="Cambria" w:hAnsi="Cambria"/>
          <w:sz w:val="20"/>
          <w:szCs w:val="20"/>
          <w:lang w:val="es-ES"/>
        </w:rPr>
        <w:t xml:space="preserve">aduciendo </w:t>
      </w:r>
      <w:r w:rsidR="00983DE6" w:rsidRPr="005464F9">
        <w:rPr>
          <w:rFonts w:ascii="Cambria" w:hAnsi="Cambria"/>
          <w:sz w:val="20"/>
          <w:szCs w:val="20"/>
          <w:lang w:val="es-ES"/>
        </w:rPr>
        <w:t>que los demandantes solo estaban descontentos con las sentencias que cuestionaban.</w:t>
      </w:r>
    </w:p>
    <w:p w14:paraId="003B0A8D" w14:textId="00C17243" w:rsidR="00983DE6" w:rsidRPr="00D377D0" w:rsidRDefault="00983DE6"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464F9">
        <w:rPr>
          <w:rFonts w:ascii="Cambria" w:hAnsi="Cambria"/>
          <w:sz w:val="20"/>
          <w:szCs w:val="20"/>
          <w:lang w:val="es-ES"/>
        </w:rPr>
        <w:t xml:space="preserve">Con base en estas consideraciones, la parte peticionaria </w:t>
      </w:r>
      <w:r w:rsidR="005464F9" w:rsidRPr="005464F9">
        <w:rPr>
          <w:rFonts w:ascii="Cambria" w:hAnsi="Cambria"/>
          <w:sz w:val="20"/>
          <w:szCs w:val="20"/>
          <w:lang w:val="es-ES"/>
        </w:rPr>
        <w:t>aduce</w:t>
      </w:r>
      <w:r w:rsidRPr="00D377D0">
        <w:rPr>
          <w:rFonts w:ascii="Cambria" w:hAnsi="Cambria"/>
          <w:sz w:val="20"/>
          <w:szCs w:val="20"/>
          <w:lang w:val="es-ES"/>
        </w:rPr>
        <w:t xml:space="preserve"> que la destitución de las presuntas víctimas vulneró el derecho al debido proceso y</w:t>
      </w:r>
      <w:r w:rsidR="00094E6D" w:rsidRPr="00D377D0">
        <w:rPr>
          <w:rFonts w:ascii="Cambria" w:hAnsi="Cambria"/>
          <w:sz w:val="20"/>
          <w:szCs w:val="20"/>
          <w:lang w:val="es-ES"/>
        </w:rPr>
        <w:t xml:space="preserve"> a</w:t>
      </w:r>
      <w:r w:rsidRPr="00D377D0">
        <w:rPr>
          <w:rFonts w:ascii="Cambria" w:hAnsi="Cambria"/>
          <w:sz w:val="20"/>
          <w:szCs w:val="20"/>
          <w:lang w:val="es-ES"/>
        </w:rPr>
        <w:t xml:space="preserve"> las garantías de independencia e inamovilidad que tenían en su condición de magistrados, pues se les sancionó </w:t>
      </w:r>
      <w:r w:rsidR="005464F9">
        <w:rPr>
          <w:rFonts w:ascii="Cambria" w:hAnsi="Cambria"/>
          <w:sz w:val="20"/>
          <w:szCs w:val="20"/>
          <w:lang w:val="es-ES"/>
        </w:rPr>
        <w:t>solo por ejercer</w:t>
      </w:r>
      <w:r w:rsidRPr="00D377D0">
        <w:rPr>
          <w:rFonts w:ascii="Cambria" w:hAnsi="Cambria"/>
          <w:sz w:val="20"/>
          <w:szCs w:val="20"/>
          <w:lang w:val="es-ES"/>
        </w:rPr>
        <w:t xml:space="preserve"> sus funciones. Además, sostiene </w:t>
      </w:r>
      <w:r w:rsidRPr="00D377D0">
        <w:rPr>
          <w:rFonts w:ascii="Cambria" w:hAnsi="Cambria"/>
          <w:sz w:val="20"/>
          <w:szCs w:val="20"/>
          <w:lang w:val="es-ES"/>
        </w:rPr>
        <w:lastRenderedPageBreak/>
        <w:t xml:space="preserve">que agotaron </w:t>
      </w:r>
      <w:r w:rsidRPr="005464F9">
        <w:rPr>
          <w:rFonts w:ascii="Cambria" w:hAnsi="Cambria"/>
          <w:sz w:val="20"/>
          <w:szCs w:val="20"/>
          <w:lang w:val="es-ES"/>
        </w:rPr>
        <w:t>correctamente la jurisdicción interna</w:t>
      </w:r>
      <w:r w:rsidR="006B481E" w:rsidRPr="005464F9">
        <w:rPr>
          <w:rFonts w:ascii="Cambria" w:hAnsi="Cambria"/>
          <w:sz w:val="20"/>
          <w:szCs w:val="20"/>
          <w:lang w:val="es-ES"/>
        </w:rPr>
        <w:t>;</w:t>
      </w:r>
      <w:r w:rsidRPr="005464F9">
        <w:rPr>
          <w:rFonts w:ascii="Cambria" w:hAnsi="Cambria"/>
          <w:sz w:val="20"/>
          <w:szCs w:val="20"/>
          <w:lang w:val="es-ES"/>
        </w:rPr>
        <w:t xml:space="preserve"> y que, más bien, las autoridades que conocieron su demanda de amparo </w:t>
      </w:r>
      <w:r w:rsidR="004B3619" w:rsidRPr="005464F9">
        <w:rPr>
          <w:rFonts w:ascii="Cambria" w:hAnsi="Cambria"/>
          <w:sz w:val="20"/>
          <w:szCs w:val="20"/>
          <w:lang w:val="es-ES"/>
        </w:rPr>
        <w:t>obstaculizaron su</w:t>
      </w:r>
      <w:r w:rsidRPr="005464F9">
        <w:rPr>
          <w:rFonts w:ascii="Cambria" w:hAnsi="Cambria"/>
          <w:sz w:val="20"/>
          <w:szCs w:val="20"/>
          <w:lang w:val="es-ES"/>
        </w:rPr>
        <w:t xml:space="preserve"> acceso a la justicia, ya que no analizaron sus reclamos, a pesar de que estos versaban sobre la viola</w:t>
      </w:r>
      <w:r w:rsidRPr="00D377D0">
        <w:rPr>
          <w:rFonts w:ascii="Cambria" w:hAnsi="Cambria"/>
          <w:sz w:val="20"/>
          <w:szCs w:val="20"/>
          <w:lang w:val="es-ES"/>
        </w:rPr>
        <w:t>ción de distintos derechos constitucionales.</w:t>
      </w:r>
      <w:r w:rsidR="00CE08C5" w:rsidRPr="00D377D0">
        <w:rPr>
          <w:rFonts w:ascii="Cambria" w:hAnsi="Cambria"/>
          <w:sz w:val="20"/>
          <w:szCs w:val="20"/>
          <w:lang w:val="es-ES"/>
        </w:rPr>
        <w:t xml:space="preserve"> </w:t>
      </w:r>
      <w:r w:rsidR="006C1A8D">
        <w:rPr>
          <w:rFonts w:ascii="Cambria" w:hAnsi="Cambria"/>
          <w:sz w:val="20"/>
          <w:szCs w:val="20"/>
          <w:lang w:val="es-ES"/>
        </w:rPr>
        <w:t>Por último</w:t>
      </w:r>
      <w:r w:rsidR="00CE08C5" w:rsidRPr="00D377D0">
        <w:rPr>
          <w:rFonts w:ascii="Cambria" w:hAnsi="Cambria"/>
          <w:sz w:val="20"/>
          <w:szCs w:val="20"/>
          <w:lang w:val="es-ES"/>
        </w:rPr>
        <w:t xml:space="preserve">, aduce que la citada decisión tuvo repercusiones en la vida laboral de las presuntas víctimas, pues </w:t>
      </w:r>
      <w:r w:rsidR="000263B4" w:rsidRPr="00D377D0">
        <w:rPr>
          <w:rFonts w:ascii="Cambria" w:hAnsi="Cambria"/>
          <w:sz w:val="20"/>
          <w:szCs w:val="20"/>
          <w:lang w:val="es-ES"/>
        </w:rPr>
        <w:t>debido</w:t>
      </w:r>
      <w:r w:rsidR="00CE08C5" w:rsidRPr="00D377D0">
        <w:rPr>
          <w:rFonts w:ascii="Cambria" w:hAnsi="Cambria"/>
          <w:sz w:val="20"/>
          <w:szCs w:val="20"/>
          <w:lang w:val="es-ES"/>
        </w:rPr>
        <w:t xml:space="preserve"> a su destitución también las separaron de la universidad donde se desempeñaban como docentes. </w:t>
      </w:r>
    </w:p>
    <w:p w14:paraId="024D3707" w14:textId="74690980" w:rsidR="00854174" w:rsidRPr="00D377D0" w:rsidRDefault="00E112CE" w:rsidP="00D377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
        </w:rPr>
      </w:pPr>
      <w:r w:rsidRPr="00D377D0">
        <w:rPr>
          <w:rFonts w:asciiTheme="majorHAnsi" w:hAnsiTheme="majorHAnsi"/>
          <w:i/>
          <w:iCs/>
          <w:sz w:val="20"/>
          <w:szCs w:val="20"/>
          <w:lang w:val="es-ES"/>
        </w:rPr>
        <w:t>El</w:t>
      </w:r>
      <w:r w:rsidR="00854174" w:rsidRPr="00D377D0">
        <w:rPr>
          <w:rFonts w:asciiTheme="majorHAnsi" w:hAnsiTheme="majorHAnsi"/>
          <w:i/>
          <w:iCs/>
          <w:sz w:val="20"/>
          <w:szCs w:val="20"/>
          <w:lang w:val="es-ES"/>
        </w:rPr>
        <w:t xml:space="preserve"> Estado</w:t>
      </w:r>
      <w:r w:rsidR="00CB4885" w:rsidRPr="00D377D0">
        <w:rPr>
          <w:rFonts w:asciiTheme="majorHAnsi" w:hAnsiTheme="majorHAnsi"/>
          <w:i/>
          <w:iCs/>
          <w:sz w:val="20"/>
          <w:szCs w:val="20"/>
          <w:lang w:val="es-ES"/>
        </w:rPr>
        <w:t xml:space="preserve"> ecuatoriano</w:t>
      </w:r>
    </w:p>
    <w:p w14:paraId="71919FDD" w14:textId="37654BAE" w:rsidR="00731765" w:rsidRPr="00706153" w:rsidRDefault="00094EE2" w:rsidP="28943C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06153">
        <w:rPr>
          <w:rFonts w:ascii="Cambria" w:hAnsi="Cambria"/>
          <w:sz w:val="20"/>
          <w:szCs w:val="20"/>
          <w:lang w:val="es-ES"/>
        </w:rPr>
        <w:t>El Estado, por su parte, replica que la petición es inadmisible por falta de agotamiento de la jurisdicción interna. Afirma que las presuntas víctimas</w:t>
      </w:r>
      <w:r w:rsidR="000263B4" w:rsidRPr="00706153">
        <w:rPr>
          <w:rFonts w:ascii="Cambria" w:hAnsi="Cambria"/>
          <w:sz w:val="20"/>
          <w:szCs w:val="20"/>
          <w:lang w:val="es-ES"/>
        </w:rPr>
        <w:t xml:space="preserve"> no</w:t>
      </w:r>
      <w:r w:rsidRPr="00706153">
        <w:rPr>
          <w:rFonts w:ascii="Cambria" w:hAnsi="Cambria"/>
          <w:sz w:val="20"/>
          <w:szCs w:val="20"/>
          <w:lang w:val="es-ES"/>
        </w:rPr>
        <w:t xml:space="preserve"> utilizaron </w:t>
      </w:r>
      <w:r w:rsidR="000263B4" w:rsidRPr="00706153">
        <w:rPr>
          <w:rFonts w:ascii="Cambria" w:hAnsi="Cambria"/>
          <w:sz w:val="20"/>
          <w:szCs w:val="20"/>
          <w:lang w:val="es-ES"/>
        </w:rPr>
        <w:t xml:space="preserve">los </w:t>
      </w:r>
      <w:r w:rsidRPr="00706153">
        <w:rPr>
          <w:rFonts w:ascii="Cambria" w:hAnsi="Cambria"/>
          <w:sz w:val="20"/>
          <w:szCs w:val="20"/>
          <w:lang w:val="es-ES"/>
        </w:rPr>
        <w:t xml:space="preserve">recursos adecuados ni efectivos para </w:t>
      </w:r>
      <w:r w:rsidR="0002378D" w:rsidRPr="00706153">
        <w:rPr>
          <w:rFonts w:ascii="Cambria" w:hAnsi="Cambria"/>
          <w:sz w:val="20"/>
          <w:szCs w:val="20"/>
          <w:lang w:val="es-ES"/>
        </w:rPr>
        <w:t xml:space="preserve">la consecución de sus pretensiones. </w:t>
      </w:r>
      <w:r w:rsidR="00C55B97" w:rsidRPr="00706153">
        <w:rPr>
          <w:rFonts w:ascii="Cambria" w:hAnsi="Cambria"/>
          <w:sz w:val="20"/>
          <w:szCs w:val="20"/>
          <w:lang w:val="es-ES"/>
        </w:rPr>
        <w:t>Resalta que a</w:t>
      </w:r>
      <w:r w:rsidR="0002378D" w:rsidRPr="00706153">
        <w:rPr>
          <w:rFonts w:ascii="Cambria" w:hAnsi="Cambria"/>
          <w:sz w:val="20"/>
          <w:szCs w:val="20"/>
          <w:lang w:val="es-ES"/>
        </w:rPr>
        <w:t xml:space="preserve"> pesar de </w:t>
      </w:r>
      <w:r w:rsidR="00C031F2" w:rsidRPr="00706153">
        <w:rPr>
          <w:rFonts w:ascii="Cambria" w:hAnsi="Cambria"/>
          <w:sz w:val="20"/>
          <w:szCs w:val="20"/>
          <w:lang w:val="es-ES"/>
        </w:rPr>
        <w:t>que las propias autoridades judiciales les precisaron que debían utilizar la vía contenciosa administrativa</w:t>
      </w:r>
      <w:r w:rsidR="0002378D" w:rsidRPr="00706153">
        <w:rPr>
          <w:rFonts w:ascii="Cambria" w:hAnsi="Cambria"/>
          <w:sz w:val="20"/>
          <w:szCs w:val="20"/>
          <w:lang w:val="es-ES"/>
        </w:rPr>
        <w:t>, los señores García Barragán</w:t>
      </w:r>
      <w:r w:rsidR="00C031F2" w:rsidRPr="00706153">
        <w:rPr>
          <w:rFonts w:ascii="Cambria" w:hAnsi="Cambria"/>
          <w:sz w:val="20"/>
          <w:szCs w:val="20"/>
          <w:lang w:val="es-ES"/>
        </w:rPr>
        <w:t xml:space="preserve"> y Cárdenas Ramírez </w:t>
      </w:r>
      <w:r w:rsidR="00C55B97" w:rsidRPr="00706153">
        <w:rPr>
          <w:rFonts w:ascii="Cambria" w:hAnsi="Cambria"/>
          <w:sz w:val="20"/>
          <w:szCs w:val="20"/>
          <w:lang w:val="es-ES"/>
        </w:rPr>
        <w:t xml:space="preserve">omitieron esta instrucción y nunca accionaron </w:t>
      </w:r>
      <w:r w:rsidR="00EE1947" w:rsidRPr="00706153">
        <w:rPr>
          <w:rFonts w:ascii="Cambria" w:hAnsi="Cambria"/>
          <w:sz w:val="20"/>
          <w:szCs w:val="20"/>
          <w:lang w:val="es-ES"/>
        </w:rPr>
        <w:t xml:space="preserve">en el fuero correcto. </w:t>
      </w:r>
      <w:r w:rsidR="00730E26" w:rsidRPr="00706153">
        <w:rPr>
          <w:rFonts w:ascii="Cambria" w:hAnsi="Cambria"/>
          <w:sz w:val="20"/>
          <w:szCs w:val="20"/>
          <w:lang w:val="es-ES"/>
        </w:rPr>
        <w:t xml:space="preserve">Agrega que </w:t>
      </w:r>
      <w:r w:rsidR="00CC4B42" w:rsidRPr="00706153">
        <w:rPr>
          <w:rFonts w:ascii="Cambria" w:hAnsi="Cambria"/>
          <w:sz w:val="20"/>
          <w:szCs w:val="20"/>
          <w:lang w:val="es-ES"/>
        </w:rPr>
        <w:t>la competencia de</w:t>
      </w:r>
      <w:r w:rsidR="00EE1947" w:rsidRPr="00706153">
        <w:rPr>
          <w:rFonts w:ascii="Cambria" w:hAnsi="Cambria"/>
          <w:sz w:val="20"/>
          <w:szCs w:val="20"/>
          <w:lang w:val="es-ES"/>
        </w:rPr>
        <w:t xml:space="preserve"> la jurisdicción contenciosa administrativa para conocer este tipo de asuntos está claramente establecida en la Constitución</w:t>
      </w:r>
      <w:r w:rsidR="00156BCA" w:rsidRPr="28943C88">
        <w:rPr>
          <w:rStyle w:val="FootnoteReference"/>
          <w:rFonts w:ascii="Cambria" w:hAnsi="Cambria"/>
          <w:sz w:val="20"/>
          <w:szCs w:val="20"/>
        </w:rPr>
        <w:footnoteReference w:id="6"/>
      </w:r>
      <w:r w:rsidR="00EE1947" w:rsidRPr="00706153">
        <w:rPr>
          <w:rFonts w:ascii="Cambria" w:hAnsi="Cambria"/>
          <w:sz w:val="20"/>
          <w:szCs w:val="20"/>
          <w:lang w:val="es-ES"/>
        </w:rPr>
        <w:t xml:space="preserve"> </w:t>
      </w:r>
      <w:r w:rsidR="00B941EE" w:rsidRPr="00706153">
        <w:rPr>
          <w:rFonts w:ascii="Cambria" w:hAnsi="Cambria"/>
          <w:sz w:val="20"/>
          <w:szCs w:val="20"/>
          <w:lang w:val="es-ES"/>
        </w:rPr>
        <w:t xml:space="preserve">, </w:t>
      </w:r>
      <w:r w:rsidR="00EE1947" w:rsidRPr="00706153">
        <w:rPr>
          <w:rFonts w:ascii="Cambria" w:hAnsi="Cambria"/>
          <w:sz w:val="20"/>
          <w:szCs w:val="20"/>
          <w:lang w:val="es-ES"/>
        </w:rPr>
        <w:t>en la Ley Orgánica de Garantías Judiciales y Control Constitucional</w:t>
      </w:r>
      <w:r w:rsidR="00B941EE" w:rsidRPr="28943C88">
        <w:rPr>
          <w:rStyle w:val="FootnoteReference"/>
          <w:rFonts w:ascii="Cambria" w:hAnsi="Cambria"/>
          <w:sz w:val="20"/>
          <w:szCs w:val="20"/>
        </w:rPr>
        <w:footnoteReference w:id="7"/>
      </w:r>
      <w:r w:rsidR="00B941EE" w:rsidRPr="00706153">
        <w:rPr>
          <w:rFonts w:ascii="Cambria" w:hAnsi="Cambria"/>
          <w:sz w:val="20"/>
          <w:szCs w:val="20"/>
          <w:lang w:val="es-ES"/>
        </w:rPr>
        <w:t>, y en el Código Orgánico de la Función Judicial</w:t>
      </w:r>
      <w:r w:rsidR="00B941EE" w:rsidRPr="28943C88">
        <w:rPr>
          <w:rStyle w:val="FootnoteReference"/>
          <w:rFonts w:ascii="Cambria" w:hAnsi="Cambria"/>
          <w:sz w:val="20"/>
          <w:szCs w:val="20"/>
        </w:rPr>
        <w:footnoteReference w:id="8"/>
      </w:r>
      <w:r w:rsidR="00EE1947" w:rsidRPr="00706153">
        <w:rPr>
          <w:rFonts w:ascii="Cambria" w:hAnsi="Cambria"/>
          <w:sz w:val="20"/>
          <w:szCs w:val="20"/>
          <w:lang w:val="es-ES"/>
        </w:rPr>
        <w:t>.</w:t>
      </w:r>
    </w:p>
    <w:p w14:paraId="3B3FF03A" w14:textId="479D3C44" w:rsidR="00AF214E" w:rsidRPr="00206EB5" w:rsidRDefault="001D1466"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06EB5">
        <w:rPr>
          <w:rFonts w:ascii="Cambria" w:hAnsi="Cambria"/>
          <w:sz w:val="20"/>
          <w:szCs w:val="20"/>
          <w:lang w:val="es-ES"/>
        </w:rPr>
        <w:t xml:space="preserve"> </w:t>
      </w:r>
      <w:r w:rsidR="001C4733" w:rsidRPr="00206EB5">
        <w:rPr>
          <w:rFonts w:ascii="Cambria" w:hAnsi="Cambria"/>
          <w:sz w:val="20"/>
          <w:szCs w:val="20"/>
          <w:lang w:val="es-ES"/>
        </w:rPr>
        <w:t>Finalmente,</w:t>
      </w:r>
      <w:r w:rsidR="003259FC" w:rsidRPr="00206EB5">
        <w:rPr>
          <w:rFonts w:ascii="Cambria" w:hAnsi="Cambria"/>
          <w:sz w:val="20"/>
          <w:szCs w:val="20"/>
          <w:lang w:val="es-ES"/>
        </w:rPr>
        <w:t xml:space="preserve"> </w:t>
      </w:r>
      <w:r w:rsidR="001C4733" w:rsidRPr="00206EB5">
        <w:rPr>
          <w:rFonts w:ascii="Cambria" w:hAnsi="Cambria"/>
          <w:sz w:val="20"/>
          <w:szCs w:val="20"/>
          <w:lang w:val="es-ES"/>
        </w:rPr>
        <w:t xml:space="preserve">Ecuador detalla que dicho mecanismo hubiese sido adecuado y efectivo para atender la situación de las presuntas víctimas. </w:t>
      </w:r>
      <w:r w:rsidR="003259FC" w:rsidRPr="00206EB5">
        <w:rPr>
          <w:rFonts w:ascii="Cambria" w:hAnsi="Cambria"/>
          <w:sz w:val="20"/>
          <w:szCs w:val="20"/>
          <w:lang w:val="es-ES"/>
        </w:rPr>
        <w:t xml:space="preserve">Para demostrar esta afirmación, aporta dos precedentes judiciales del 2008 y el 2009, en los cuales dos tribunales de lo contencioso administrativo analizaron la separación de dos funcionarios de sus cargos en la Procuraduría General del Estado y revirtieron tales decisiones. </w:t>
      </w:r>
      <w:r w:rsidR="001C4733" w:rsidRPr="00206EB5">
        <w:rPr>
          <w:rFonts w:ascii="Cambria" w:hAnsi="Cambria"/>
          <w:sz w:val="20"/>
          <w:szCs w:val="20"/>
          <w:lang w:val="es-ES"/>
        </w:rPr>
        <w:t>Por las razones expuestas, solicita a la CIDH que declare inadmisible el presente asunto</w:t>
      </w:r>
      <w:r w:rsidR="00AF214E" w:rsidRPr="00206EB5">
        <w:rPr>
          <w:rFonts w:ascii="Cambria" w:hAnsi="Cambria"/>
          <w:sz w:val="20"/>
          <w:szCs w:val="20"/>
          <w:lang w:val="es-ES"/>
        </w:rPr>
        <w:t>.</w:t>
      </w:r>
    </w:p>
    <w:p w14:paraId="6E60C8A0" w14:textId="2511C1FD" w:rsidR="00AF214E" w:rsidRPr="00206EB5" w:rsidRDefault="00AF214E" w:rsidP="00D377D0">
      <w:pPr>
        <w:pStyle w:val="ListParagraph"/>
        <w:spacing w:after="240"/>
        <w:jc w:val="both"/>
        <w:rPr>
          <w:sz w:val="20"/>
          <w:szCs w:val="20"/>
          <w:lang w:val="es-ES"/>
        </w:rPr>
      </w:pPr>
      <w:r w:rsidRPr="00206EB5">
        <w:rPr>
          <w:rFonts w:asciiTheme="majorHAnsi" w:hAnsiTheme="majorHAnsi"/>
          <w:b/>
          <w:bCs/>
          <w:sz w:val="20"/>
          <w:szCs w:val="20"/>
          <w:lang w:val="es-ES"/>
        </w:rPr>
        <w:t>VI.</w:t>
      </w:r>
      <w:r w:rsidRPr="00206EB5">
        <w:rPr>
          <w:rFonts w:asciiTheme="majorHAnsi" w:hAnsiTheme="majorHAnsi"/>
          <w:b/>
          <w:bCs/>
          <w:sz w:val="20"/>
          <w:szCs w:val="20"/>
          <w:lang w:val="es-ES"/>
        </w:rPr>
        <w:tab/>
        <w:t xml:space="preserve">ANÁLISIS DE </w:t>
      </w:r>
      <w:r w:rsidRPr="00206EB5">
        <w:rPr>
          <w:rFonts w:asciiTheme="majorHAnsi" w:hAnsiTheme="majorHAnsi"/>
          <w:b/>
          <w:sz w:val="20"/>
          <w:szCs w:val="20"/>
          <w:lang w:val="es-ES"/>
        </w:rPr>
        <w:t>AGOTAMIENTO DE LOS RECURSOS INTERNOS Y PLAZO DE PRESENTACIÓN</w:t>
      </w:r>
      <w:r w:rsidRPr="00206EB5">
        <w:rPr>
          <w:rFonts w:asciiTheme="majorHAnsi" w:hAnsiTheme="majorHAnsi"/>
          <w:b/>
          <w:bCs/>
          <w:sz w:val="20"/>
          <w:szCs w:val="20"/>
          <w:lang w:val="es-ES"/>
        </w:rPr>
        <w:t xml:space="preserve"> </w:t>
      </w:r>
    </w:p>
    <w:p w14:paraId="25AB574B" w14:textId="06DD2B9B" w:rsidR="00AF214E" w:rsidRPr="00206EB5" w:rsidRDefault="00AF214E"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06EB5">
        <w:rPr>
          <w:rFonts w:ascii="Cambria" w:hAnsi="Cambria"/>
          <w:sz w:val="20"/>
          <w:szCs w:val="20"/>
          <w:lang w:val="es-ES"/>
        </w:rPr>
        <w:t>La CIDH considera que</w:t>
      </w:r>
      <w:r w:rsidR="00CE08C5" w:rsidRPr="00206EB5">
        <w:rPr>
          <w:rFonts w:ascii="Cambria" w:hAnsi="Cambria"/>
          <w:sz w:val="20"/>
          <w:szCs w:val="20"/>
          <w:lang w:val="es-ES"/>
        </w:rPr>
        <w:t xml:space="preserve"> </w:t>
      </w:r>
      <w:r w:rsidRPr="00206EB5">
        <w:rPr>
          <w:rFonts w:ascii="Cambria" w:hAnsi="Cambria"/>
          <w:sz w:val="20"/>
          <w:szCs w:val="20"/>
          <w:lang w:val="es-ES"/>
        </w:rPr>
        <w:t>para efectos de evaluar la idoneidad de los recursos disponibles a un determinado peticionario bajo el ordenamiento nacional, la CIDH usualmente establece con precisión cuál es el reclamo específico que se ha formulado en sede interamericana, para luego identificar los recursos judiciales provistos por el sistema jurídico doméstico que estaban disponibles y eran adecuados para ventilar ese reclamo en particular</w:t>
      </w:r>
      <w:r w:rsidR="00D15E32">
        <w:rPr>
          <w:rFonts w:ascii="Cambria" w:hAnsi="Cambria"/>
          <w:sz w:val="20"/>
          <w:szCs w:val="20"/>
          <w:lang w:val="es-ES"/>
        </w:rPr>
        <w:t>. E</w:t>
      </w:r>
      <w:r w:rsidRPr="00206EB5">
        <w:rPr>
          <w:rFonts w:ascii="Cambria" w:hAnsi="Cambria"/>
          <w:sz w:val="20"/>
          <w:szCs w:val="20"/>
          <w:lang w:val="es-ES"/>
        </w:rPr>
        <w:t>n ello consiste, precisamente, la idoneidad y efectividad de cada recurso considerado en concreto</w:t>
      </w:r>
      <w:r w:rsidR="007C5F02">
        <w:rPr>
          <w:rFonts w:ascii="Cambria" w:hAnsi="Cambria"/>
          <w:sz w:val="20"/>
          <w:szCs w:val="20"/>
          <w:lang w:val="es-ES"/>
        </w:rPr>
        <w:t>:</w:t>
      </w:r>
      <w:r w:rsidRPr="00206EB5">
        <w:rPr>
          <w:rFonts w:ascii="Cambria" w:hAnsi="Cambria"/>
          <w:sz w:val="20"/>
          <w:szCs w:val="20"/>
          <w:lang w:val="es-ES"/>
        </w:rPr>
        <w:t xml:space="preserve"> en que provea una oportunidad real para que la alegada lesión a los derechos humanos sea remediada y resuelta por los jueces nacionales, de manera efectiva y oportuna, antes de que se pueda acudir al Sistema Interamericano de protección</w:t>
      </w:r>
      <w:r w:rsidRPr="00206EB5">
        <w:rPr>
          <w:rStyle w:val="FootnoteReference"/>
          <w:rFonts w:ascii="Cambria" w:hAnsi="Cambria"/>
          <w:sz w:val="20"/>
          <w:szCs w:val="20"/>
          <w:lang w:val="es-ES"/>
        </w:rPr>
        <w:footnoteReference w:id="9"/>
      </w:r>
      <w:r w:rsidRPr="00206EB5">
        <w:rPr>
          <w:rFonts w:ascii="Cambria" w:hAnsi="Cambria"/>
          <w:sz w:val="20"/>
          <w:szCs w:val="20"/>
          <w:lang w:val="es-ES"/>
        </w:rPr>
        <w:t xml:space="preserve">. </w:t>
      </w:r>
    </w:p>
    <w:p w14:paraId="720B4A24" w14:textId="06AE6B29" w:rsidR="00E52D1C" w:rsidRPr="00206EB5" w:rsidRDefault="006522D1"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06EB5">
        <w:rPr>
          <w:rFonts w:ascii="Cambria" w:hAnsi="Cambria"/>
          <w:sz w:val="20"/>
          <w:szCs w:val="20"/>
          <w:lang w:val="es-ES"/>
        </w:rPr>
        <w:t>Asimismo, la Comisión recuerda que, como regla general, la parte peticionaria debe agotar previamente los recursos domésticos de conformidad con la legislación procesal interna, por lo que no se puede considerar debidamente cumplido tal requisito si las demandas interpuestas fueron declaradas improcedentes con fundamentos procesales razonables y no arbitrarios</w:t>
      </w:r>
      <w:r w:rsidRPr="00206EB5">
        <w:rPr>
          <w:rStyle w:val="FootnoteReference"/>
          <w:rFonts w:ascii="Cambria" w:hAnsi="Cambria"/>
          <w:sz w:val="20"/>
          <w:szCs w:val="20"/>
          <w:lang w:val="es-ES"/>
        </w:rPr>
        <w:footnoteReference w:id="10"/>
      </w:r>
      <w:r w:rsidRPr="00206EB5">
        <w:rPr>
          <w:rFonts w:ascii="Cambria" w:hAnsi="Cambria"/>
          <w:sz w:val="20"/>
          <w:szCs w:val="20"/>
          <w:lang w:val="es-ES"/>
        </w:rPr>
        <w:t>. En sentido similar, la Corte Interamericana ha precisado</w:t>
      </w:r>
      <w:r w:rsidR="0056607E">
        <w:rPr>
          <w:rFonts w:ascii="Cambria" w:hAnsi="Cambria"/>
          <w:sz w:val="20"/>
          <w:szCs w:val="20"/>
          <w:lang w:val="es-ES"/>
        </w:rPr>
        <w:t xml:space="preserve"> que</w:t>
      </w:r>
      <w:r w:rsidRPr="00206EB5">
        <w:rPr>
          <w:rFonts w:ascii="Cambria" w:hAnsi="Cambria"/>
          <w:sz w:val="20"/>
          <w:szCs w:val="20"/>
          <w:lang w:val="es-ES"/>
        </w:rPr>
        <w:t xml:space="preserve"> el control de constitucionalidad o convencionalidad a cargo de los tribunales internos no implica que este “</w:t>
      </w:r>
      <w:r w:rsidRPr="00206EB5">
        <w:rPr>
          <w:rFonts w:ascii="Cambria" w:hAnsi="Cambria"/>
          <w:i/>
          <w:iCs/>
          <w:sz w:val="20"/>
          <w:szCs w:val="20"/>
          <w:lang w:val="es-ES"/>
        </w:rPr>
        <w:t>deba ejercerse siempre, sin considerar otros presupuestos formales y materiales de admisibilidad y procedencia de este tipo de acciones</w:t>
      </w:r>
      <w:r w:rsidRPr="00206EB5">
        <w:rPr>
          <w:rFonts w:ascii="Cambria" w:hAnsi="Cambria"/>
          <w:sz w:val="20"/>
          <w:szCs w:val="20"/>
          <w:lang w:val="es-ES"/>
        </w:rPr>
        <w:t>”</w:t>
      </w:r>
      <w:r w:rsidRPr="00206EB5">
        <w:rPr>
          <w:rStyle w:val="FootnoteReference"/>
          <w:rFonts w:ascii="Cambria" w:hAnsi="Cambria"/>
          <w:sz w:val="20"/>
          <w:szCs w:val="20"/>
          <w:lang w:val="es-ES"/>
        </w:rPr>
        <w:footnoteReference w:id="11"/>
      </w:r>
      <w:r w:rsidRPr="00206EB5">
        <w:rPr>
          <w:rFonts w:ascii="Cambria" w:hAnsi="Cambria"/>
          <w:sz w:val="20"/>
          <w:szCs w:val="20"/>
          <w:lang w:val="es-ES"/>
        </w:rPr>
        <w:t xml:space="preserve">. </w:t>
      </w:r>
    </w:p>
    <w:p w14:paraId="7EEF3F22" w14:textId="584D6B7D" w:rsidR="005A234C" w:rsidRPr="00206EB5" w:rsidRDefault="00E52D1C"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06EB5">
        <w:rPr>
          <w:rFonts w:ascii="Cambria" w:hAnsi="Cambria"/>
          <w:sz w:val="20"/>
          <w:szCs w:val="20"/>
          <w:lang w:val="es-ES"/>
        </w:rPr>
        <w:lastRenderedPageBreak/>
        <w:t xml:space="preserve">En el presente asunto, la Comisión observa que el reclamo principal de la parte peticionaria versa esencialmente sobre la </w:t>
      </w:r>
      <w:r w:rsidR="00F43A43">
        <w:rPr>
          <w:rFonts w:ascii="Cambria" w:hAnsi="Cambria"/>
          <w:sz w:val="20"/>
          <w:szCs w:val="20"/>
          <w:lang w:val="es-ES"/>
        </w:rPr>
        <w:t>ale</w:t>
      </w:r>
      <w:r w:rsidR="00F43A43" w:rsidRPr="005464F9">
        <w:rPr>
          <w:rFonts w:ascii="Cambria" w:hAnsi="Cambria"/>
          <w:sz w:val="20"/>
          <w:szCs w:val="20"/>
          <w:lang w:val="es-ES"/>
        </w:rPr>
        <w:t xml:space="preserve">gada </w:t>
      </w:r>
      <w:r w:rsidRPr="005464F9">
        <w:rPr>
          <w:rFonts w:ascii="Cambria" w:hAnsi="Cambria"/>
          <w:sz w:val="20"/>
          <w:szCs w:val="20"/>
          <w:lang w:val="es-ES"/>
        </w:rPr>
        <w:t>destitución indebida de las presuntas víctimas de sus cargos como magistrados</w:t>
      </w:r>
      <w:r w:rsidR="00F43A43" w:rsidRPr="005464F9">
        <w:rPr>
          <w:rFonts w:ascii="Cambria" w:hAnsi="Cambria"/>
          <w:sz w:val="20"/>
          <w:szCs w:val="20"/>
          <w:lang w:val="es-ES"/>
        </w:rPr>
        <w:t>;</w:t>
      </w:r>
      <w:r w:rsidR="006412EB" w:rsidRPr="005464F9">
        <w:rPr>
          <w:rFonts w:ascii="Cambria" w:hAnsi="Cambria"/>
          <w:sz w:val="20"/>
          <w:szCs w:val="20"/>
          <w:lang w:val="es-ES"/>
        </w:rPr>
        <w:t xml:space="preserve"> y que</w:t>
      </w:r>
      <w:r w:rsidR="00134E6D" w:rsidRPr="005464F9">
        <w:rPr>
          <w:rFonts w:ascii="Cambria" w:hAnsi="Cambria"/>
          <w:sz w:val="20"/>
          <w:szCs w:val="20"/>
          <w:lang w:val="es-ES"/>
        </w:rPr>
        <w:t>,</w:t>
      </w:r>
      <w:r w:rsidRPr="005464F9">
        <w:rPr>
          <w:rFonts w:ascii="Cambria" w:hAnsi="Cambria"/>
          <w:sz w:val="20"/>
          <w:szCs w:val="20"/>
          <w:lang w:val="es-ES"/>
        </w:rPr>
        <w:t xml:space="preserve"> a efectos de agotar la jurisdicción interna</w:t>
      </w:r>
      <w:r w:rsidR="00134E6D" w:rsidRPr="005464F9">
        <w:rPr>
          <w:rFonts w:ascii="Cambria" w:hAnsi="Cambria"/>
          <w:sz w:val="20"/>
          <w:szCs w:val="20"/>
          <w:lang w:val="es-ES"/>
        </w:rPr>
        <w:t>,</w:t>
      </w:r>
      <w:r w:rsidRPr="005464F9">
        <w:rPr>
          <w:rFonts w:ascii="Cambria" w:hAnsi="Cambria"/>
          <w:sz w:val="20"/>
          <w:szCs w:val="20"/>
          <w:lang w:val="es-ES"/>
        </w:rPr>
        <w:t xml:space="preserve"> </w:t>
      </w:r>
      <w:r w:rsidR="003A3CD9" w:rsidRPr="005464F9">
        <w:rPr>
          <w:rFonts w:ascii="Cambria" w:hAnsi="Cambria"/>
          <w:sz w:val="20"/>
          <w:szCs w:val="20"/>
          <w:lang w:val="es-ES"/>
        </w:rPr>
        <w:t>su</w:t>
      </w:r>
      <w:r w:rsidR="007E0B85" w:rsidRPr="005464F9">
        <w:rPr>
          <w:rFonts w:ascii="Cambria" w:hAnsi="Cambria"/>
          <w:sz w:val="20"/>
          <w:szCs w:val="20"/>
          <w:lang w:val="es-ES"/>
        </w:rPr>
        <w:t xml:space="preserve"> representación</w:t>
      </w:r>
      <w:r w:rsidR="00870663" w:rsidRPr="005464F9">
        <w:rPr>
          <w:rFonts w:ascii="Cambria" w:hAnsi="Cambria"/>
          <w:sz w:val="20"/>
          <w:szCs w:val="20"/>
          <w:lang w:val="es-ES"/>
        </w:rPr>
        <w:t xml:space="preserve"> </w:t>
      </w:r>
      <w:r w:rsidR="003A3CD9" w:rsidRPr="005464F9">
        <w:rPr>
          <w:rFonts w:ascii="Cambria" w:hAnsi="Cambria"/>
          <w:sz w:val="20"/>
          <w:szCs w:val="20"/>
          <w:lang w:val="es-ES"/>
        </w:rPr>
        <w:t>c</w:t>
      </w:r>
      <w:r w:rsidRPr="005464F9">
        <w:rPr>
          <w:rFonts w:ascii="Cambria" w:hAnsi="Cambria"/>
          <w:sz w:val="20"/>
          <w:szCs w:val="20"/>
          <w:lang w:val="es-ES"/>
        </w:rPr>
        <w:t>analiz</w:t>
      </w:r>
      <w:r w:rsidR="006412EB" w:rsidRPr="005464F9">
        <w:rPr>
          <w:rFonts w:ascii="Cambria" w:hAnsi="Cambria"/>
          <w:sz w:val="20"/>
          <w:szCs w:val="20"/>
          <w:lang w:val="es-ES"/>
        </w:rPr>
        <w:t>ó</w:t>
      </w:r>
      <w:r w:rsidRPr="005464F9">
        <w:rPr>
          <w:rFonts w:ascii="Cambria" w:hAnsi="Cambria"/>
          <w:sz w:val="20"/>
          <w:szCs w:val="20"/>
          <w:lang w:val="es-ES"/>
        </w:rPr>
        <w:t xml:space="preserve"> tal reclamo </w:t>
      </w:r>
      <w:r w:rsidR="00D32FE5" w:rsidRPr="005464F9">
        <w:rPr>
          <w:rFonts w:ascii="Cambria" w:hAnsi="Cambria"/>
          <w:sz w:val="20"/>
          <w:szCs w:val="20"/>
          <w:lang w:val="es-ES"/>
        </w:rPr>
        <w:t xml:space="preserve">judicialmente </w:t>
      </w:r>
      <w:r w:rsidRPr="005464F9">
        <w:rPr>
          <w:rFonts w:ascii="Cambria" w:hAnsi="Cambria"/>
          <w:sz w:val="20"/>
          <w:szCs w:val="20"/>
          <w:lang w:val="es-ES"/>
        </w:rPr>
        <w:t>mediante</w:t>
      </w:r>
      <w:r w:rsidR="002D47A1" w:rsidRPr="005464F9">
        <w:rPr>
          <w:rFonts w:ascii="Cambria" w:hAnsi="Cambria"/>
          <w:sz w:val="20"/>
          <w:szCs w:val="20"/>
          <w:lang w:val="es-ES"/>
        </w:rPr>
        <w:t xml:space="preserve"> una</w:t>
      </w:r>
      <w:r w:rsidRPr="005464F9">
        <w:rPr>
          <w:rFonts w:ascii="Cambria" w:hAnsi="Cambria"/>
          <w:sz w:val="20"/>
          <w:szCs w:val="20"/>
          <w:lang w:val="es-ES"/>
        </w:rPr>
        <w:t xml:space="preserve"> acción de protección</w:t>
      </w:r>
      <w:r w:rsidR="006412EB" w:rsidRPr="005464F9">
        <w:rPr>
          <w:rFonts w:ascii="Cambria" w:hAnsi="Cambria"/>
          <w:sz w:val="20"/>
          <w:szCs w:val="20"/>
          <w:lang w:val="es-ES"/>
        </w:rPr>
        <w:t>. Sin embargo,</w:t>
      </w:r>
      <w:r w:rsidRPr="005464F9">
        <w:rPr>
          <w:rFonts w:ascii="Cambria" w:hAnsi="Cambria"/>
          <w:sz w:val="20"/>
          <w:szCs w:val="20"/>
          <w:lang w:val="es-ES"/>
        </w:rPr>
        <w:t xml:space="preserve"> los órganos de justicia inadmitieron su demanda, indicándoles que</w:t>
      </w:r>
      <w:r w:rsidR="00F43A43" w:rsidRPr="005464F9">
        <w:rPr>
          <w:rFonts w:ascii="Cambria" w:hAnsi="Cambria"/>
          <w:sz w:val="20"/>
          <w:szCs w:val="20"/>
          <w:lang w:val="es-ES"/>
        </w:rPr>
        <w:t>:</w:t>
      </w:r>
      <w:r w:rsidR="0031338A" w:rsidRPr="005464F9">
        <w:rPr>
          <w:rFonts w:ascii="Cambria" w:hAnsi="Cambria"/>
          <w:sz w:val="20"/>
          <w:szCs w:val="20"/>
          <w:lang w:val="es-ES"/>
        </w:rPr>
        <w:t xml:space="preserve"> i) la vía constitucional solo debía activarse cuando no existiera otro mecanismo adecuado y efectivo; ii) que para e</w:t>
      </w:r>
      <w:r w:rsidR="0031338A" w:rsidRPr="00206EB5">
        <w:rPr>
          <w:rFonts w:ascii="Cambria" w:hAnsi="Cambria"/>
          <w:sz w:val="20"/>
          <w:szCs w:val="20"/>
          <w:lang w:val="es-ES"/>
        </w:rPr>
        <w:t>l caso en concreto tenían a su disposición</w:t>
      </w:r>
      <w:r w:rsidRPr="00206EB5">
        <w:rPr>
          <w:rFonts w:ascii="Cambria" w:hAnsi="Cambria"/>
          <w:sz w:val="20"/>
          <w:szCs w:val="20"/>
          <w:lang w:val="es-ES"/>
        </w:rPr>
        <w:t xml:space="preserve"> la vía contenciosa administrativa. </w:t>
      </w:r>
    </w:p>
    <w:p w14:paraId="134DCAE1" w14:textId="45607322" w:rsidR="009B50CE" w:rsidRPr="00206EB5" w:rsidRDefault="00E52D1C"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06EB5">
        <w:rPr>
          <w:rFonts w:ascii="Cambria" w:hAnsi="Cambria"/>
          <w:sz w:val="20"/>
          <w:szCs w:val="20"/>
          <w:lang w:val="es-ES"/>
        </w:rPr>
        <w:t xml:space="preserve">Al respecto, la </w:t>
      </w:r>
      <w:r w:rsidR="00B84F78" w:rsidRPr="00206EB5">
        <w:rPr>
          <w:rFonts w:ascii="Cambria" w:hAnsi="Cambria"/>
          <w:sz w:val="20"/>
          <w:szCs w:val="20"/>
          <w:lang w:val="es-ES"/>
        </w:rPr>
        <w:t xml:space="preserve">Comisión aprecia que </w:t>
      </w:r>
      <w:r w:rsidR="0031338A" w:rsidRPr="00206EB5">
        <w:rPr>
          <w:rFonts w:ascii="Cambria" w:hAnsi="Cambria"/>
          <w:sz w:val="20"/>
          <w:szCs w:val="20"/>
          <w:lang w:val="es-ES"/>
        </w:rPr>
        <w:t xml:space="preserve">las citadas decisiones judiciales son congruentes con lo regulado por </w:t>
      </w:r>
      <w:r w:rsidR="00AE59CB">
        <w:rPr>
          <w:rFonts w:ascii="Cambria" w:hAnsi="Cambria"/>
          <w:sz w:val="20"/>
          <w:szCs w:val="20"/>
          <w:lang w:val="es-ES"/>
        </w:rPr>
        <w:t xml:space="preserve">la </w:t>
      </w:r>
      <w:r w:rsidR="0031338A" w:rsidRPr="00206EB5">
        <w:rPr>
          <w:rFonts w:ascii="Cambria" w:hAnsi="Cambria"/>
          <w:sz w:val="20"/>
          <w:szCs w:val="20"/>
          <w:lang w:val="es-ES"/>
        </w:rPr>
        <w:t xml:space="preserve">normativa procesal ecuatoriana. En efecto, las leyes aportadas por el Estado </w:t>
      </w:r>
      <w:r w:rsidR="00AE59CB">
        <w:rPr>
          <w:rFonts w:ascii="Cambria" w:hAnsi="Cambria"/>
          <w:sz w:val="20"/>
          <w:szCs w:val="20"/>
          <w:lang w:val="es-ES"/>
        </w:rPr>
        <w:t>especifican</w:t>
      </w:r>
      <w:r w:rsidR="0031338A" w:rsidRPr="00206EB5">
        <w:rPr>
          <w:rFonts w:ascii="Cambria" w:hAnsi="Cambria"/>
          <w:sz w:val="20"/>
          <w:szCs w:val="20"/>
          <w:lang w:val="es-ES"/>
        </w:rPr>
        <w:t xml:space="preserve"> que la vía contenciosa administrativa procede </w:t>
      </w:r>
      <w:r w:rsidR="009B50CE" w:rsidRPr="00206EB5">
        <w:rPr>
          <w:rFonts w:ascii="Cambria" w:hAnsi="Cambria"/>
          <w:sz w:val="20"/>
          <w:szCs w:val="20"/>
          <w:lang w:val="es-ES"/>
        </w:rPr>
        <w:t>contra</w:t>
      </w:r>
      <w:r w:rsidR="009B50CE" w:rsidRPr="00206EB5">
        <w:rPr>
          <w:rFonts w:asciiTheme="majorHAnsi" w:hAnsiTheme="majorHAnsi"/>
          <w:sz w:val="20"/>
          <w:szCs w:val="20"/>
          <w:lang w:val="es-ES"/>
        </w:rPr>
        <w:t xml:space="preserve"> los actos administrativos de las resoluciones expedidas por el Consejo de la Judicatura</w:t>
      </w:r>
      <w:r w:rsidR="00D0417C" w:rsidRPr="00206EB5">
        <w:rPr>
          <w:rFonts w:asciiTheme="majorHAnsi" w:hAnsiTheme="majorHAnsi"/>
          <w:sz w:val="20"/>
          <w:szCs w:val="20"/>
          <w:lang w:val="es-ES"/>
        </w:rPr>
        <w:t>,</w:t>
      </w:r>
      <w:r w:rsidR="009B50CE" w:rsidRPr="00206EB5">
        <w:rPr>
          <w:rFonts w:asciiTheme="majorHAnsi" w:hAnsiTheme="majorHAnsi"/>
          <w:sz w:val="20"/>
          <w:szCs w:val="20"/>
          <w:lang w:val="es-ES"/>
        </w:rPr>
        <w:t xml:space="preserve"> y que la acción de protección solo debe utilizarse cuando no exista otra vía adecuada y efectiva. </w:t>
      </w:r>
    </w:p>
    <w:p w14:paraId="796E6EE1" w14:textId="0403C7F3" w:rsidR="00E52D1C" w:rsidRPr="00206EB5" w:rsidRDefault="00B64463"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otra parte</w:t>
      </w:r>
      <w:r w:rsidR="009B50CE" w:rsidRPr="00206EB5">
        <w:rPr>
          <w:rFonts w:ascii="Cambria" w:hAnsi="Cambria"/>
          <w:sz w:val="20"/>
          <w:szCs w:val="20"/>
          <w:lang w:val="es-ES"/>
        </w:rPr>
        <w:t xml:space="preserve">, la </w:t>
      </w:r>
      <w:r w:rsidR="00E52D1C" w:rsidRPr="00206EB5">
        <w:rPr>
          <w:rFonts w:ascii="Cambria" w:hAnsi="Cambria"/>
          <w:sz w:val="20"/>
          <w:szCs w:val="20"/>
          <w:lang w:val="es-ES"/>
        </w:rPr>
        <w:t xml:space="preserve">CIDH advierte que la parte peticionaria no ha aportado argumentos que permitan deducir que tales decisiones hayan sido arbitrarias o irrazonables. </w:t>
      </w:r>
      <w:r w:rsidR="009B50CE" w:rsidRPr="00206EB5">
        <w:rPr>
          <w:rFonts w:ascii="Cambria" w:hAnsi="Cambria"/>
          <w:sz w:val="20"/>
          <w:szCs w:val="20"/>
          <w:lang w:val="es-ES"/>
        </w:rPr>
        <w:t>Asimismo, tampoco</w:t>
      </w:r>
      <w:r w:rsidR="00E52D1C" w:rsidRPr="00206EB5">
        <w:rPr>
          <w:rFonts w:ascii="Cambria" w:hAnsi="Cambria"/>
          <w:sz w:val="20"/>
          <w:szCs w:val="20"/>
          <w:lang w:val="es-ES"/>
        </w:rPr>
        <w:t xml:space="preserve"> ha explicado las razones por las cuales los señores García Barragán y Cárdenas Ramírez no utilizaron la vía contenciosa administrativa para cuestionar sus destituciones</w:t>
      </w:r>
      <w:r w:rsidR="009B50CE" w:rsidRPr="00206EB5">
        <w:rPr>
          <w:rFonts w:ascii="Cambria" w:hAnsi="Cambria"/>
          <w:sz w:val="20"/>
          <w:szCs w:val="20"/>
          <w:lang w:val="es-ES"/>
        </w:rPr>
        <w:t xml:space="preserve">, aun cuando </w:t>
      </w:r>
      <w:r w:rsidR="009B50CE" w:rsidRPr="00206EB5">
        <w:rPr>
          <w:rFonts w:asciiTheme="majorHAnsi" w:hAnsiTheme="majorHAnsi"/>
          <w:sz w:val="20"/>
          <w:szCs w:val="20"/>
          <w:lang w:val="es-ES"/>
        </w:rPr>
        <w:t>el Juzgado Primero de Garantías Penales de Bolívar, en su decisión de primera instancia, les precisó que debían emplear dicho mecanismo</w:t>
      </w:r>
      <w:r w:rsidR="00E52D1C" w:rsidRPr="00206EB5">
        <w:rPr>
          <w:rFonts w:ascii="Cambria" w:hAnsi="Cambria"/>
          <w:sz w:val="20"/>
          <w:szCs w:val="20"/>
          <w:lang w:val="es-ES"/>
        </w:rPr>
        <w:t xml:space="preserve">. Igualmente, </w:t>
      </w:r>
      <w:r w:rsidR="00F6510F">
        <w:rPr>
          <w:rFonts w:ascii="Cambria" w:hAnsi="Cambria"/>
          <w:sz w:val="20"/>
          <w:szCs w:val="20"/>
          <w:lang w:val="es-ES"/>
        </w:rPr>
        <w:t xml:space="preserve">la Comisión </w:t>
      </w:r>
      <w:r w:rsidR="00E52D1C" w:rsidRPr="00206EB5">
        <w:rPr>
          <w:rFonts w:ascii="Cambria" w:hAnsi="Cambria"/>
          <w:sz w:val="20"/>
          <w:szCs w:val="20"/>
          <w:lang w:val="es-ES"/>
        </w:rPr>
        <w:t>considera que la peticionaria tampoco ha brindado suficiente información que permita la aplicación de alguna de las excepciones previstas en el artículo 46.2 de la Convención.</w:t>
      </w:r>
    </w:p>
    <w:p w14:paraId="2CCFDAD0" w14:textId="5A047678" w:rsidR="006522D1" w:rsidRPr="00206EB5" w:rsidRDefault="00E52D1C" w:rsidP="00D37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06EB5">
        <w:rPr>
          <w:rFonts w:ascii="Cambria" w:hAnsi="Cambria"/>
          <w:sz w:val="20"/>
          <w:szCs w:val="20"/>
          <w:lang w:val="es-ES"/>
        </w:rPr>
        <w:t>Debido a ello, la Comisión concluye que hubo un agotamiento indebido de los recursos internos, por lo que no puede dar por cumplido el requisito previsto en el artículo 46.1.a de la Convención Americana. Por ende, corresponde inadmitir el presente reclamo.</w:t>
      </w:r>
      <w:r w:rsidR="006522D1" w:rsidRPr="00206EB5">
        <w:rPr>
          <w:rFonts w:ascii="Cambria" w:hAnsi="Cambria"/>
          <w:sz w:val="20"/>
          <w:szCs w:val="20"/>
          <w:lang w:val="es-ES"/>
        </w:rPr>
        <w:t xml:space="preserve"> </w:t>
      </w:r>
    </w:p>
    <w:p w14:paraId="29BB41F5" w14:textId="189EA61A" w:rsidR="003239B8" w:rsidRPr="00206EB5" w:rsidRDefault="003239B8" w:rsidP="00D377D0">
      <w:pPr>
        <w:pStyle w:val="ListParagraph"/>
        <w:spacing w:after="240"/>
        <w:jc w:val="both"/>
        <w:rPr>
          <w:rFonts w:asciiTheme="majorHAnsi" w:hAnsiTheme="majorHAnsi"/>
          <w:b/>
          <w:bCs/>
          <w:sz w:val="20"/>
          <w:szCs w:val="20"/>
          <w:lang w:val="es-ES"/>
        </w:rPr>
      </w:pPr>
      <w:r w:rsidRPr="00206EB5">
        <w:rPr>
          <w:rFonts w:asciiTheme="majorHAnsi" w:hAnsiTheme="majorHAnsi"/>
          <w:b/>
          <w:bCs/>
          <w:sz w:val="20"/>
          <w:szCs w:val="20"/>
          <w:lang w:val="es-ES"/>
        </w:rPr>
        <w:t xml:space="preserve">VII. </w:t>
      </w:r>
      <w:r w:rsidRPr="00206EB5">
        <w:rPr>
          <w:rFonts w:asciiTheme="majorHAnsi" w:hAnsiTheme="majorHAnsi"/>
          <w:b/>
          <w:bCs/>
          <w:sz w:val="20"/>
          <w:szCs w:val="20"/>
          <w:lang w:val="es-ES"/>
        </w:rPr>
        <w:tab/>
        <w:t>DECISIÓN</w:t>
      </w:r>
    </w:p>
    <w:p w14:paraId="41AA5BF6" w14:textId="2021BA08" w:rsidR="000419AD" w:rsidRPr="00206EB5" w:rsidRDefault="000419AD" w:rsidP="00D377D0">
      <w:pPr>
        <w:pStyle w:val="ListParagraph"/>
        <w:numPr>
          <w:ilvl w:val="0"/>
          <w:numId w:val="109"/>
        </w:numPr>
        <w:spacing w:after="240"/>
        <w:rPr>
          <w:rFonts w:eastAsia="Arial Unicode MS" w:cs="Times New Roman"/>
          <w:color w:val="auto"/>
          <w:sz w:val="20"/>
          <w:szCs w:val="20"/>
          <w:lang w:val="es-ES" w:eastAsia="en-US"/>
        </w:rPr>
      </w:pPr>
      <w:r w:rsidRPr="00206EB5">
        <w:rPr>
          <w:rFonts w:eastAsia="Arial Unicode MS" w:cs="Times New Roman"/>
          <w:color w:val="auto"/>
          <w:sz w:val="20"/>
          <w:szCs w:val="20"/>
          <w:lang w:val="es-ES" w:eastAsia="en-US"/>
        </w:rPr>
        <w:t>Dec</w:t>
      </w:r>
      <w:r w:rsidRPr="00EF6C14">
        <w:rPr>
          <w:rFonts w:eastAsia="Arial Unicode MS" w:cs="Times New Roman"/>
          <w:color w:val="auto"/>
          <w:sz w:val="20"/>
          <w:szCs w:val="20"/>
          <w:lang w:val="es-ES" w:eastAsia="en-US"/>
        </w:rPr>
        <w:t>larar inadmisible la prese</w:t>
      </w:r>
      <w:r w:rsidRPr="00206EB5">
        <w:rPr>
          <w:rFonts w:eastAsia="Arial Unicode MS" w:cs="Times New Roman"/>
          <w:color w:val="auto"/>
          <w:sz w:val="20"/>
          <w:szCs w:val="20"/>
          <w:lang w:val="es-ES" w:eastAsia="en-US"/>
        </w:rPr>
        <w:t>nte petición</w:t>
      </w:r>
      <w:r w:rsidR="00A758AA" w:rsidRPr="00206EB5">
        <w:rPr>
          <w:rFonts w:eastAsia="Arial Unicode MS" w:cs="Times New Roman"/>
          <w:color w:val="auto"/>
          <w:sz w:val="20"/>
          <w:szCs w:val="20"/>
          <w:lang w:val="es-ES" w:eastAsia="en-US"/>
        </w:rPr>
        <w:t>;</w:t>
      </w:r>
      <w:r w:rsidR="004A6A54" w:rsidRPr="00206EB5">
        <w:rPr>
          <w:rFonts w:eastAsia="Arial Unicode MS" w:cs="Times New Roman"/>
          <w:color w:val="auto"/>
          <w:sz w:val="20"/>
          <w:szCs w:val="20"/>
          <w:lang w:val="es-ES" w:eastAsia="en-US"/>
        </w:rPr>
        <w:t xml:space="preserve"> y</w:t>
      </w:r>
    </w:p>
    <w:p w14:paraId="12A7002C" w14:textId="72AB98AD" w:rsidR="004A6A54" w:rsidRPr="00206EB5" w:rsidRDefault="004A6A54" w:rsidP="00D377D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06EB5">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0D98495A" w14:textId="40A882BC" w:rsidR="008D768D" w:rsidRPr="00722852" w:rsidRDefault="00DB43ED" w:rsidP="0072285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al </w:t>
      </w:r>
      <w:r>
        <w:rPr>
          <w:rStyle w:val="normaltextrun"/>
          <w:rFonts w:ascii="Cambria" w:eastAsia="Trebuchet MS" w:hAnsi="Cambria" w:cs="Segoe UI"/>
          <w:sz w:val="20"/>
          <w:szCs w:val="20"/>
          <w:lang w:val="es-CL"/>
        </w:rPr>
        <w:t>primer</w:t>
      </w:r>
      <w:r>
        <w:rPr>
          <w:rStyle w:val="normaltextrun"/>
          <w:rFonts w:ascii="Cambria" w:hAnsi="Cambria" w:cs="Segoe UI"/>
          <w:sz w:val="20"/>
          <w:szCs w:val="20"/>
          <w:lang w:val="es-CL"/>
        </w:rPr>
        <w:t xml:space="preserve"> día del mes de </w:t>
      </w:r>
      <w:r>
        <w:rPr>
          <w:rStyle w:val="normaltextrun"/>
          <w:rFonts w:ascii="Cambria" w:eastAsia="Trebuchet MS" w:hAnsi="Cambria" w:cs="Segoe UI"/>
          <w:sz w:val="20"/>
          <w:szCs w:val="20"/>
          <w:lang w:val="es-CL"/>
        </w:rPr>
        <w:t>julio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Pr>
          <w:rStyle w:val="normaltextrun"/>
          <w:rFonts w:ascii="Cambria" w:eastAsia="Trebuchet MS" w:hAnsi="Cambria" w:cs="Segoe UI"/>
          <w:sz w:val="20"/>
          <w:szCs w:val="20"/>
          <w:lang w:val="es-CL"/>
        </w:rPr>
        <w:t xml:space="preserve"> y</w:t>
      </w:r>
      <w:r>
        <w:rPr>
          <w:rStyle w:val="normaltextrun"/>
          <w:rFonts w:ascii="Cambria" w:hAnsi="Cambria" w:cs="Segoe UI"/>
          <w:sz w:val="20"/>
          <w:szCs w:val="20"/>
          <w:lang w:val="es-CL"/>
        </w:rPr>
        <w:t xml:space="preserve"> Andrea Pochak</w:t>
      </w:r>
      <w:r>
        <w:rPr>
          <w:rStyle w:val="normaltextrun"/>
          <w:rFonts w:ascii="Cambria" w:eastAsia="Trebuchet MS" w:hAnsi="Cambria" w:cs="Segoe UI"/>
          <w:sz w:val="20"/>
          <w:szCs w:val="20"/>
          <w:lang w:val="es-CL"/>
        </w:rPr>
        <w:t>,</w:t>
      </w:r>
      <w:r>
        <w:rPr>
          <w:rStyle w:val="normaltextrun"/>
          <w:rFonts w:ascii="Cambria" w:hAnsi="Cambria" w:cs="Segoe UI"/>
          <w:sz w:val="20"/>
          <w:szCs w:val="20"/>
          <w:lang w:val="es-CL"/>
        </w:rPr>
        <w:t xml:space="preserve"> </w:t>
      </w:r>
      <w:r w:rsidR="00722852">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2642C68E" w14:textId="77777777" w:rsidR="008D768D" w:rsidRPr="00D377D0" w:rsidRDefault="008D768D" w:rsidP="00D377D0">
      <w:pPr>
        <w:tabs>
          <w:tab w:val="center" w:pos="5400"/>
        </w:tabs>
        <w:suppressAutoHyphens/>
        <w:spacing w:after="240" w:line="276" w:lineRule="auto"/>
        <w:rPr>
          <w:rFonts w:asciiTheme="majorHAnsi" w:hAnsiTheme="majorHAnsi"/>
          <w:sz w:val="20"/>
          <w:szCs w:val="20"/>
          <w:lang w:val="es-ES"/>
        </w:rPr>
      </w:pPr>
    </w:p>
    <w:p w14:paraId="6AC80CA6" w14:textId="77777777" w:rsidR="00722C9F" w:rsidRPr="00D377D0" w:rsidRDefault="00722C9F" w:rsidP="00D377D0">
      <w:pPr>
        <w:spacing w:after="240"/>
        <w:rPr>
          <w:rFonts w:ascii="Cambria" w:hAnsi="Cambria" w:cs="Calibri"/>
          <w:sz w:val="20"/>
          <w:szCs w:val="20"/>
          <w:lang w:val="es-ES"/>
        </w:rPr>
      </w:pPr>
    </w:p>
    <w:sectPr w:rsidR="00722C9F" w:rsidRPr="00D377D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A6B9" w14:textId="77777777" w:rsidR="00990993" w:rsidRDefault="00990993">
      <w:r>
        <w:separator/>
      </w:r>
    </w:p>
  </w:endnote>
  <w:endnote w:type="continuationSeparator" w:id="0">
    <w:p w14:paraId="5E8DE507" w14:textId="77777777" w:rsidR="00990993" w:rsidRDefault="0099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BA63" w14:textId="77777777" w:rsidR="00990993" w:rsidRPr="000F35ED" w:rsidRDefault="0099099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0E1EC7" w14:textId="77777777" w:rsidR="00990993" w:rsidRPr="000F35ED" w:rsidRDefault="00990993" w:rsidP="000F35ED">
      <w:pPr>
        <w:rPr>
          <w:rFonts w:asciiTheme="majorHAnsi" w:hAnsiTheme="majorHAnsi"/>
          <w:sz w:val="16"/>
          <w:szCs w:val="16"/>
        </w:rPr>
      </w:pPr>
      <w:r w:rsidRPr="000F35ED">
        <w:rPr>
          <w:rFonts w:asciiTheme="majorHAnsi" w:hAnsiTheme="majorHAnsi"/>
          <w:sz w:val="16"/>
          <w:szCs w:val="16"/>
        </w:rPr>
        <w:separator/>
      </w:r>
    </w:p>
    <w:p w14:paraId="00BFB547" w14:textId="77777777" w:rsidR="00990993" w:rsidRPr="000F35ED" w:rsidRDefault="0099099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37F624B" w14:textId="77777777" w:rsidR="00990993" w:rsidRPr="000F35ED" w:rsidRDefault="0099099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C637AA9" w14:textId="77777777" w:rsidR="00ED4F4A" w:rsidRPr="004C279B" w:rsidRDefault="00ED4F4A" w:rsidP="007C2D36">
      <w:pPr>
        <w:pStyle w:val="FootnoteText"/>
        <w:ind w:firstLine="720"/>
        <w:jc w:val="both"/>
        <w:rPr>
          <w:rFonts w:asciiTheme="majorHAnsi" w:hAnsiTheme="majorHAnsi"/>
          <w:sz w:val="16"/>
          <w:szCs w:val="16"/>
          <w:lang w:val="es-US"/>
        </w:rPr>
      </w:pPr>
      <w:r w:rsidRPr="004C279B">
        <w:rPr>
          <w:rStyle w:val="FootnoteReference"/>
          <w:rFonts w:asciiTheme="majorHAnsi" w:hAnsiTheme="majorHAnsi"/>
          <w:sz w:val="16"/>
          <w:szCs w:val="16"/>
        </w:rPr>
        <w:footnoteRef/>
      </w:r>
      <w:r w:rsidRPr="004C279B">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7C2D36">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6992130F" w14:textId="0A1B9E46" w:rsidR="001419BC" w:rsidRPr="00E550D1" w:rsidRDefault="001419BC" w:rsidP="007C2D36">
      <w:pPr>
        <w:pStyle w:val="FootnoteText"/>
        <w:ind w:firstLine="720"/>
        <w:jc w:val="both"/>
        <w:rPr>
          <w:rFonts w:asciiTheme="majorHAnsi" w:hAnsiTheme="majorHAnsi"/>
          <w:sz w:val="16"/>
          <w:szCs w:val="16"/>
          <w:lang w:val="es-PE"/>
        </w:rPr>
      </w:pPr>
      <w:r w:rsidRPr="00E550D1">
        <w:rPr>
          <w:rStyle w:val="FootnoteReference"/>
          <w:rFonts w:asciiTheme="majorHAnsi" w:hAnsiTheme="majorHAnsi"/>
          <w:sz w:val="16"/>
          <w:szCs w:val="16"/>
        </w:rPr>
        <w:footnoteRef/>
      </w:r>
      <w:r w:rsidRPr="00E550D1">
        <w:rPr>
          <w:rFonts w:asciiTheme="majorHAnsi" w:hAnsiTheme="majorHAnsi"/>
          <w:sz w:val="16"/>
          <w:szCs w:val="16"/>
          <w:lang w:val="es-PE"/>
        </w:rPr>
        <w:t xml:space="preserve"> </w:t>
      </w:r>
      <w:r w:rsidRPr="00E550D1">
        <w:rPr>
          <w:rFonts w:ascii="Cambria" w:hAnsi="Cambria"/>
          <w:sz w:val="16"/>
          <w:szCs w:val="16"/>
          <w:lang w:val="es-AR"/>
        </w:rPr>
        <w:t>Código Orgánico de la Función Judicial</w:t>
      </w:r>
      <w:r w:rsidRPr="00E550D1">
        <w:rPr>
          <w:rFonts w:asciiTheme="majorHAnsi" w:hAnsiTheme="majorHAnsi"/>
          <w:sz w:val="16"/>
          <w:szCs w:val="16"/>
          <w:lang w:val="es-PE"/>
        </w:rPr>
        <w:t xml:space="preserve">. Art. 109.- </w:t>
      </w:r>
      <w:r>
        <w:rPr>
          <w:rFonts w:asciiTheme="majorHAnsi" w:hAnsiTheme="majorHAnsi"/>
          <w:sz w:val="16"/>
          <w:szCs w:val="16"/>
          <w:lang w:val="es-PE"/>
        </w:rPr>
        <w:t>Infracciones gravísimas</w:t>
      </w:r>
      <w:r w:rsidRPr="00E550D1">
        <w:rPr>
          <w:rFonts w:asciiTheme="majorHAnsi" w:hAnsiTheme="majorHAnsi"/>
          <w:sz w:val="16"/>
          <w:szCs w:val="16"/>
          <w:lang w:val="es-PE"/>
        </w:rPr>
        <w:t xml:space="preserve">. - A la servidora o al servidor de la Función Judicial se le impondrá sanción de destitución, por las siguientes infracciones disciplinarias: […] </w:t>
      </w:r>
      <w:r w:rsidR="005464F9" w:rsidRPr="005464F9">
        <w:rPr>
          <w:rFonts w:asciiTheme="majorHAnsi" w:hAnsiTheme="majorHAnsi"/>
          <w:sz w:val="16"/>
          <w:szCs w:val="16"/>
          <w:lang w:val="es-PE"/>
        </w:rPr>
        <w:t>8. No comunicar al órgano competente sobre el conocimiento de maltrato o tortura a</w:t>
      </w:r>
      <w:r w:rsidR="005464F9">
        <w:rPr>
          <w:rFonts w:asciiTheme="majorHAnsi" w:hAnsiTheme="majorHAnsi"/>
          <w:sz w:val="16"/>
          <w:szCs w:val="16"/>
          <w:lang w:val="es-PE"/>
        </w:rPr>
        <w:t xml:space="preserve"> </w:t>
      </w:r>
      <w:r w:rsidR="005464F9" w:rsidRPr="005464F9">
        <w:rPr>
          <w:rFonts w:asciiTheme="majorHAnsi" w:hAnsiTheme="majorHAnsi"/>
          <w:sz w:val="16"/>
          <w:szCs w:val="16"/>
          <w:lang w:val="es-PE"/>
        </w:rPr>
        <w:t>las personas privadas de la libertad en los centros de privación de libertad;</w:t>
      </w:r>
      <w:r w:rsidRPr="00E550D1">
        <w:rPr>
          <w:rFonts w:asciiTheme="majorHAnsi" w:hAnsiTheme="majorHAnsi"/>
          <w:sz w:val="16"/>
          <w:szCs w:val="16"/>
          <w:lang w:val="es-PE"/>
        </w:rPr>
        <w:t xml:space="preserve"> […]</w:t>
      </w:r>
      <w:r>
        <w:rPr>
          <w:rFonts w:asciiTheme="majorHAnsi" w:hAnsiTheme="majorHAnsi"/>
          <w:sz w:val="16"/>
          <w:szCs w:val="16"/>
          <w:lang w:val="es-PE"/>
        </w:rPr>
        <w:t>.</w:t>
      </w:r>
      <w:r w:rsidR="00270750">
        <w:rPr>
          <w:rFonts w:asciiTheme="majorHAnsi" w:hAnsiTheme="majorHAnsi"/>
          <w:sz w:val="16"/>
          <w:szCs w:val="16"/>
          <w:lang w:val="es-PE"/>
        </w:rPr>
        <w:t xml:space="preserve"> </w:t>
      </w:r>
    </w:p>
  </w:footnote>
  <w:footnote w:id="5">
    <w:p w14:paraId="17BF3785" w14:textId="0218FDF9" w:rsidR="001419BC" w:rsidRPr="00E550D1" w:rsidRDefault="001419BC" w:rsidP="007C2D36">
      <w:pPr>
        <w:pStyle w:val="FootnoteText"/>
        <w:ind w:firstLine="720"/>
        <w:jc w:val="both"/>
        <w:rPr>
          <w:rFonts w:asciiTheme="majorHAnsi" w:hAnsiTheme="majorHAnsi"/>
          <w:sz w:val="16"/>
          <w:szCs w:val="16"/>
          <w:lang w:val="es-PE"/>
        </w:rPr>
      </w:pPr>
      <w:r w:rsidRPr="00E550D1">
        <w:rPr>
          <w:rStyle w:val="FootnoteReference"/>
          <w:rFonts w:asciiTheme="majorHAnsi" w:hAnsiTheme="majorHAnsi"/>
          <w:sz w:val="16"/>
          <w:szCs w:val="16"/>
        </w:rPr>
        <w:footnoteRef/>
      </w:r>
      <w:r w:rsidRPr="00E550D1">
        <w:rPr>
          <w:rFonts w:asciiTheme="majorHAnsi" w:hAnsiTheme="majorHAnsi"/>
          <w:sz w:val="16"/>
          <w:szCs w:val="16"/>
          <w:lang w:val="es-PE"/>
        </w:rPr>
        <w:t xml:space="preserve"> </w:t>
      </w:r>
      <w:r w:rsidRPr="00E550D1">
        <w:rPr>
          <w:rFonts w:ascii="Cambria" w:hAnsi="Cambria"/>
          <w:sz w:val="16"/>
          <w:szCs w:val="16"/>
          <w:lang w:val="es-AR"/>
        </w:rPr>
        <w:t>Código Orgánico de la Función Judicial</w:t>
      </w:r>
      <w:r w:rsidRPr="00E550D1">
        <w:rPr>
          <w:rFonts w:asciiTheme="majorHAnsi" w:hAnsiTheme="majorHAnsi"/>
          <w:sz w:val="16"/>
          <w:szCs w:val="16"/>
          <w:lang w:val="es-PE"/>
        </w:rPr>
        <w:t xml:space="preserve">. Art. 109.- </w:t>
      </w:r>
      <w:r>
        <w:rPr>
          <w:rFonts w:asciiTheme="majorHAnsi" w:hAnsiTheme="majorHAnsi"/>
          <w:sz w:val="16"/>
          <w:szCs w:val="16"/>
          <w:lang w:val="es-PE"/>
        </w:rPr>
        <w:t>Infracciones gravísimas</w:t>
      </w:r>
      <w:r w:rsidRPr="00E550D1">
        <w:rPr>
          <w:rFonts w:asciiTheme="majorHAnsi" w:hAnsiTheme="majorHAnsi"/>
          <w:sz w:val="16"/>
          <w:szCs w:val="16"/>
          <w:lang w:val="es-PE"/>
        </w:rPr>
        <w:t>. - A la servidora o al servidor de la Función Judicial se le impondrá sanción de destitución, por las siguientes infracciones disciplinarias: […] 7. Intervenir en las causas que debe actuar, como fiscal o defensor público, con dolo, manifiesta negligencia o error inexcusable […]</w:t>
      </w:r>
      <w:r>
        <w:rPr>
          <w:rFonts w:asciiTheme="majorHAnsi" w:hAnsiTheme="majorHAnsi"/>
          <w:sz w:val="16"/>
          <w:szCs w:val="16"/>
          <w:lang w:val="es-PE"/>
        </w:rPr>
        <w:t>.</w:t>
      </w:r>
    </w:p>
  </w:footnote>
  <w:footnote w:id="6">
    <w:p w14:paraId="48D2CF69" w14:textId="158D8B6B" w:rsidR="00156BCA" w:rsidRPr="005464F9" w:rsidRDefault="00156BCA" w:rsidP="007C2D36">
      <w:pPr>
        <w:pStyle w:val="FootnoteText"/>
        <w:ind w:firstLine="720"/>
        <w:jc w:val="both"/>
        <w:rPr>
          <w:rFonts w:asciiTheme="majorHAnsi" w:hAnsiTheme="majorHAnsi"/>
          <w:sz w:val="16"/>
          <w:szCs w:val="16"/>
          <w:lang w:val="es-PE"/>
        </w:rPr>
      </w:pPr>
      <w:r w:rsidRPr="005464F9">
        <w:rPr>
          <w:rStyle w:val="FootnoteReference"/>
          <w:rFonts w:asciiTheme="majorHAnsi" w:hAnsiTheme="majorHAnsi"/>
          <w:sz w:val="16"/>
          <w:szCs w:val="16"/>
        </w:rPr>
        <w:footnoteRef/>
      </w:r>
      <w:r w:rsidRPr="005464F9">
        <w:rPr>
          <w:rFonts w:asciiTheme="majorHAnsi" w:hAnsiTheme="majorHAnsi"/>
          <w:sz w:val="16"/>
          <w:szCs w:val="16"/>
          <w:lang w:val="es-PE"/>
        </w:rPr>
        <w:t xml:space="preserve"> Constitución de la República del Ecuador. Art. 173.- Los actos administrativos de cualquier autoridad del Estado podrán ser impugnados, tanto en la vía administrativa como ante los correspondientes órganos de la Función Judicial. </w:t>
      </w:r>
      <w:r w:rsidRPr="005464F9">
        <w:rPr>
          <w:rFonts w:asciiTheme="majorHAnsi" w:hAnsiTheme="majorHAnsi"/>
          <w:sz w:val="16"/>
          <w:szCs w:val="16"/>
          <w:lang w:val="es-PE"/>
        </w:rPr>
        <w:tab/>
      </w:r>
    </w:p>
  </w:footnote>
  <w:footnote w:id="7">
    <w:p w14:paraId="2D412641" w14:textId="24195AE9" w:rsidR="00B941EE" w:rsidRPr="005464F9" w:rsidRDefault="00B941EE" w:rsidP="007C2D36">
      <w:pPr>
        <w:pStyle w:val="FootnoteText"/>
        <w:ind w:firstLine="720"/>
        <w:jc w:val="both"/>
        <w:rPr>
          <w:rFonts w:asciiTheme="majorHAnsi" w:hAnsiTheme="majorHAnsi"/>
          <w:sz w:val="16"/>
          <w:szCs w:val="16"/>
          <w:lang w:val="es-PE"/>
        </w:rPr>
      </w:pPr>
      <w:r w:rsidRPr="005464F9">
        <w:rPr>
          <w:rStyle w:val="FootnoteReference"/>
          <w:rFonts w:asciiTheme="majorHAnsi" w:hAnsiTheme="majorHAnsi"/>
          <w:sz w:val="16"/>
          <w:szCs w:val="16"/>
        </w:rPr>
        <w:footnoteRef/>
      </w:r>
      <w:r w:rsidRPr="005464F9">
        <w:rPr>
          <w:rFonts w:asciiTheme="majorHAnsi" w:hAnsiTheme="majorHAnsi"/>
          <w:sz w:val="16"/>
          <w:szCs w:val="16"/>
          <w:lang w:val="es-PE"/>
        </w:rPr>
        <w:t xml:space="preserve"> </w:t>
      </w:r>
      <w:r w:rsidRPr="005464F9">
        <w:rPr>
          <w:rFonts w:asciiTheme="majorHAnsi" w:hAnsiTheme="majorHAnsi"/>
          <w:sz w:val="16"/>
          <w:szCs w:val="16"/>
          <w:lang w:val="es-AR"/>
        </w:rPr>
        <w:t xml:space="preserve">Ley Orgánica de Garantías Judiciales y Control Constitucional. Art. 40.- Requisitos. – La acción de protección se podrá presentar cuando concurran los siguientes </w:t>
      </w:r>
      <w:r w:rsidRPr="005464F9">
        <w:rPr>
          <w:rFonts w:asciiTheme="majorHAnsi" w:hAnsiTheme="majorHAnsi"/>
          <w:sz w:val="16"/>
          <w:szCs w:val="16"/>
          <w:lang w:val="es-PE"/>
        </w:rPr>
        <w:t>requisitos: 3. Inexistencia de otro mecanismo de defensa judicial adecuado y eficaz para proteger el derecho violado. Art. 43.- Improcedencia de la acción. – La acción de protección de derechos no procede: […] 4. Cuando el acto administrativo pueda ser impugnado en la vía judicial, salvo que se demuestre que la vía no fuere adecuada ni eficaz.</w:t>
      </w:r>
    </w:p>
  </w:footnote>
  <w:footnote w:id="8">
    <w:p w14:paraId="4415114D" w14:textId="111635DD" w:rsidR="00B941EE" w:rsidRPr="005464F9" w:rsidRDefault="00B941EE" w:rsidP="007C2D36">
      <w:pPr>
        <w:pStyle w:val="FootnoteText"/>
        <w:ind w:firstLine="720"/>
        <w:jc w:val="both"/>
        <w:rPr>
          <w:rFonts w:asciiTheme="majorHAnsi" w:hAnsiTheme="majorHAnsi"/>
          <w:sz w:val="16"/>
          <w:szCs w:val="16"/>
          <w:lang w:val="es-PE"/>
        </w:rPr>
      </w:pPr>
      <w:r w:rsidRPr="005464F9">
        <w:rPr>
          <w:rStyle w:val="FootnoteReference"/>
          <w:rFonts w:asciiTheme="majorHAnsi" w:hAnsiTheme="majorHAnsi"/>
          <w:sz w:val="16"/>
          <w:szCs w:val="16"/>
          <w:lang w:val="es-PE"/>
        </w:rPr>
        <w:footnoteRef/>
      </w:r>
      <w:r w:rsidRPr="005464F9">
        <w:rPr>
          <w:rFonts w:asciiTheme="majorHAnsi" w:hAnsiTheme="majorHAnsi"/>
          <w:sz w:val="16"/>
          <w:szCs w:val="16"/>
          <w:lang w:val="es-PE"/>
        </w:rPr>
        <w:t xml:space="preserve"> Código Orgánico de la Función Judicial. Art.- 217.- Atribuciones y deberes. - Corresponde a las juezas y jueces que integren las salas de lo contencioso administrativo: […] Conocer las demandas que se propongan contra los actos administrativos de las resoluciones expedidas por el Consejo de la Judicatura, el Pleno del Consejo de la Judicatura, el Director General y los Directores Provinciales. </w:t>
      </w:r>
    </w:p>
  </w:footnote>
  <w:footnote w:id="9">
    <w:p w14:paraId="7ED7EBDF" w14:textId="22613E40" w:rsidR="00AF214E" w:rsidRPr="005464F9" w:rsidRDefault="00AF214E" w:rsidP="007C2D36">
      <w:pPr>
        <w:pStyle w:val="FootnoteText"/>
        <w:ind w:firstLine="720"/>
        <w:jc w:val="both"/>
        <w:rPr>
          <w:rFonts w:asciiTheme="majorHAnsi" w:hAnsiTheme="majorHAnsi"/>
          <w:sz w:val="16"/>
          <w:szCs w:val="16"/>
          <w:lang w:val="es-US"/>
        </w:rPr>
      </w:pPr>
      <w:r w:rsidRPr="005464F9">
        <w:rPr>
          <w:rStyle w:val="FootnoteReference"/>
          <w:rFonts w:asciiTheme="majorHAnsi" w:hAnsiTheme="majorHAnsi"/>
          <w:sz w:val="16"/>
          <w:szCs w:val="16"/>
          <w:lang w:val="es-PE"/>
        </w:rPr>
        <w:footnoteRef/>
      </w:r>
      <w:r w:rsidRPr="005464F9">
        <w:rPr>
          <w:rFonts w:asciiTheme="majorHAnsi" w:hAnsiTheme="majorHAnsi"/>
          <w:sz w:val="16"/>
          <w:szCs w:val="16"/>
          <w:lang w:val="es-PE"/>
        </w:rPr>
        <w:t xml:space="preserve"> CIDH, Informe No. 56/08, Petición 11.602</w:t>
      </w:r>
      <w:r w:rsidR="0056607E" w:rsidRPr="005464F9">
        <w:rPr>
          <w:rFonts w:asciiTheme="majorHAnsi" w:hAnsiTheme="majorHAnsi"/>
          <w:sz w:val="16"/>
          <w:szCs w:val="16"/>
          <w:lang w:val="es-PE"/>
        </w:rPr>
        <w:t>,</w:t>
      </w:r>
      <w:r w:rsidRPr="005464F9">
        <w:rPr>
          <w:rFonts w:asciiTheme="majorHAnsi" w:hAnsiTheme="majorHAnsi"/>
          <w:sz w:val="16"/>
          <w:szCs w:val="16"/>
          <w:lang w:val="es-PE"/>
        </w:rPr>
        <w:t xml:space="preserve"> Admisibilidad</w:t>
      </w:r>
      <w:r w:rsidR="0056607E" w:rsidRPr="005464F9">
        <w:rPr>
          <w:rFonts w:asciiTheme="majorHAnsi" w:hAnsiTheme="majorHAnsi"/>
          <w:sz w:val="16"/>
          <w:szCs w:val="16"/>
          <w:lang w:val="es-PE"/>
        </w:rPr>
        <w:t>,</w:t>
      </w:r>
      <w:r w:rsidRPr="005464F9">
        <w:rPr>
          <w:rFonts w:asciiTheme="majorHAnsi" w:hAnsiTheme="majorHAnsi"/>
          <w:sz w:val="16"/>
          <w:szCs w:val="16"/>
          <w:lang w:val="es-PE"/>
        </w:rPr>
        <w:t xml:space="preserve"> Trabajadores despedidos de Petróleos Del Perú (Petroperú) Zona Noroeste –Talara</w:t>
      </w:r>
      <w:r w:rsidR="0056607E" w:rsidRPr="005464F9">
        <w:rPr>
          <w:rFonts w:asciiTheme="majorHAnsi" w:hAnsiTheme="majorHAnsi"/>
          <w:sz w:val="16"/>
          <w:szCs w:val="16"/>
          <w:lang w:val="es-PE"/>
        </w:rPr>
        <w:t>,</w:t>
      </w:r>
      <w:r w:rsidRPr="005464F9">
        <w:rPr>
          <w:rFonts w:asciiTheme="majorHAnsi" w:hAnsiTheme="majorHAnsi"/>
          <w:sz w:val="16"/>
          <w:szCs w:val="16"/>
          <w:lang w:val="es-PE"/>
        </w:rPr>
        <w:t xml:space="preserve"> Perú</w:t>
      </w:r>
      <w:r w:rsidR="0056607E" w:rsidRPr="005464F9">
        <w:rPr>
          <w:rFonts w:asciiTheme="majorHAnsi" w:hAnsiTheme="majorHAnsi"/>
          <w:sz w:val="16"/>
          <w:szCs w:val="16"/>
          <w:lang w:val="es-PE"/>
        </w:rPr>
        <w:t>,</w:t>
      </w:r>
      <w:r w:rsidRPr="005464F9">
        <w:rPr>
          <w:rFonts w:asciiTheme="majorHAnsi" w:hAnsiTheme="majorHAnsi"/>
          <w:sz w:val="16"/>
          <w:szCs w:val="16"/>
          <w:lang w:val="es-PE"/>
        </w:rPr>
        <w:t xml:space="preserve"> 24 de julio de 2008, párr. 58</w:t>
      </w:r>
      <w:r w:rsidRPr="005464F9">
        <w:rPr>
          <w:rFonts w:asciiTheme="majorHAnsi" w:hAnsiTheme="majorHAnsi"/>
          <w:sz w:val="16"/>
          <w:szCs w:val="16"/>
          <w:lang w:val="es-US"/>
        </w:rPr>
        <w:t>.</w:t>
      </w:r>
    </w:p>
  </w:footnote>
  <w:footnote w:id="10">
    <w:p w14:paraId="4C161AED" w14:textId="7D7A9BBA" w:rsidR="006522D1" w:rsidRPr="006F7039" w:rsidRDefault="006522D1" w:rsidP="007C2D36">
      <w:pPr>
        <w:pStyle w:val="FootnoteText"/>
        <w:ind w:firstLine="720"/>
        <w:jc w:val="both"/>
        <w:rPr>
          <w:rFonts w:asciiTheme="majorHAnsi" w:hAnsiTheme="majorHAnsi"/>
          <w:sz w:val="16"/>
          <w:szCs w:val="16"/>
          <w:lang w:val="es-PE"/>
        </w:rPr>
      </w:pPr>
      <w:r w:rsidRPr="005464F9">
        <w:rPr>
          <w:rStyle w:val="FootnoteReference"/>
          <w:rFonts w:asciiTheme="majorHAnsi" w:hAnsiTheme="majorHAnsi"/>
          <w:sz w:val="16"/>
          <w:szCs w:val="16"/>
        </w:rPr>
        <w:footnoteRef/>
      </w:r>
      <w:r w:rsidRPr="005464F9">
        <w:rPr>
          <w:rFonts w:asciiTheme="majorHAnsi" w:hAnsiTheme="majorHAnsi"/>
          <w:sz w:val="16"/>
          <w:szCs w:val="16"/>
          <w:lang w:val="es-PE"/>
        </w:rPr>
        <w:t xml:space="preserve"> CIDH, Informe No. 90/03, Petició</w:t>
      </w:r>
      <w:r w:rsidRPr="006F7039">
        <w:rPr>
          <w:rFonts w:asciiTheme="majorHAnsi" w:hAnsiTheme="majorHAnsi"/>
          <w:sz w:val="16"/>
          <w:szCs w:val="16"/>
          <w:lang w:val="es-PE"/>
        </w:rPr>
        <w:t>n 0581/1999</w:t>
      </w:r>
      <w:r w:rsidR="0056607E">
        <w:rPr>
          <w:rFonts w:asciiTheme="majorHAnsi" w:hAnsiTheme="majorHAnsi"/>
          <w:sz w:val="16"/>
          <w:szCs w:val="16"/>
          <w:lang w:val="es-PE"/>
        </w:rPr>
        <w:t>,</w:t>
      </w:r>
      <w:r w:rsidRPr="006F7039">
        <w:rPr>
          <w:rFonts w:asciiTheme="majorHAnsi" w:hAnsiTheme="majorHAnsi"/>
          <w:sz w:val="16"/>
          <w:szCs w:val="16"/>
          <w:lang w:val="es-PE"/>
        </w:rPr>
        <w:t xml:space="preserve"> Inadmisibilidad</w:t>
      </w:r>
      <w:r w:rsidR="0056607E">
        <w:rPr>
          <w:rFonts w:asciiTheme="majorHAnsi" w:hAnsiTheme="majorHAnsi"/>
          <w:sz w:val="16"/>
          <w:szCs w:val="16"/>
          <w:lang w:val="es-PE"/>
        </w:rPr>
        <w:t>,</w:t>
      </w:r>
      <w:r w:rsidRPr="006F7039">
        <w:rPr>
          <w:rFonts w:asciiTheme="majorHAnsi" w:hAnsiTheme="majorHAnsi"/>
          <w:sz w:val="16"/>
          <w:szCs w:val="16"/>
          <w:lang w:val="es-PE"/>
        </w:rPr>
        <w:t xml:space="preserve"> Gustavo Trujillo González</w:t>
      </w:r>
      <w:r w:rsidR="0056607E">
        <w:rPr>
          <w:rFonts w:asciiTheme="majorHAnsi" w:hAnsiTheme="majorHAnsi"/>
          <w:sz w:val="16"/>
          <w:szCs w:val="16"/>
          <w:lang w:val="es-PE"/>
        </w:rPr>
        <w:t>,</w:t>
      </w:r>
      <w:r w:rsidRPr="006F7039">
        <w:rPr>
          <w:rFonts w:asciiTheme="majorHAnsi" w:hAnsiTheme="majorHAnsi"/>
          <w:sz w:val="16"/>
          <w:szCs w:val="16"/>
          <w:lang w:val="es-PE"/>
        </w:rPr>
        <w:t xml:space="preserve"> Perú</w:t>
      </w:r>
      <w:r w:rsidR="0056607E">
        <w:rPr>
          <w:rFonts w:asciiTheme="majorHAnsi" w:hAnsiTheme="majorHAnsi"/>
          <w:sz w:val="16"/>
          <w:szCs w:val="16"/>
          <w:lang w:val="es-PE"/>
        </w:rPr>
        <w:t>,</w:t>
      </w:r>
      <w:r w:rsidRPr="006F7039">
        <w:rPr>
          <w:rFonts w:asciiTheme="majorHAnsi" w:hAnsiTheme="majorHAnsi"/>
          <w:sz w:val="16"/>
          <w:szCs w:val="16"/>
          <w:lang w:val="es-PE"/>
        </w:rPr>
        <w:t xml:space="preserve"> 22 de octubre de 2003, párr. 32.</w:t>
      </w:r>
    </w:p>
  </w:footnote>
  <w:footnote w:id="11">
    <w:p w14:paraId="0713D0C4" w14:textId="77777777" w:rsidR="006522D1" w:rsidRPr="00AD0ACE" w:rsidRDefault="006522D1" w:rsidP="007C2D36">
      <w:pPr>
        <w:pStyle w:val="FootnoteText"/>
        <w:ind w:firstLine="720"/>
        <w:jc w:val="both"/>
        <w:rPr>
          <w:rFonts w:asciiTheme="majorHAnsi" w:hAnsiTheme="majorHAnsi"/>
          <w:sz w:val="16"/>
          <w:szCs w:val="16"/>
        </w:rPr>
      </w:pPr>
      <w:r w:rsidRPr="00AD0ACE">
        <w:rPr>
          <w:rStyle w:val="FootnoteReference"/>
          <w:rFonts w:asciiTheme="majorHAnsi" w:hAnsiTheme="majorHAnsi"/>
          <w:sz w:val="16"/>
          <w:szCs w:val="16"/>
        </w:rPr>
        <w:footnoteRef/>
      </w:r>
      <w:r w:rsidRPr="00AD0ACE">
        <w:rPr>
          <w:rFonts w:asciiTheme="majorHAnsi" w:hAnsiTheme="majorHAnsi"/>
          <w:sz w:val="16"/>
          <w:szCs w:val="16"/>
          <w:lang w:val="es-PE"/>
        </w:rPr>
        <w:t xml:space="preserve"> Corte IDH. Caso Trabajadores Cesados del Congreso (Aguado Alfaro y otros) Vs. Perú. Excepciones Preliminares, Fondo, Reparaciones y Costas. Sentencia de 24 de noviembre de 2006. Serie C No. 158</w:t>
      </w:r>
      <w:r>
        <w:rPr>
          <w:rFonts w:asciiTheme="majorHAnsi" w:hAnsiTheme="majorHAnsi"/>
          <w:sz w:val="16"/>
          <w:szCs w:val="16"/>
          <w:lang w:val="es-PE"/>
        </w:rPr>
        <w:t>, párr. 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42283"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5F7"/>
    <w:rsid w:val="00006E1F"/>
    <w:rsid w:val="000070D7"/>
    <w:rsid w:val="0001788C"/>
    <w:rsid w:val="00023627"/>
    <w:rsid w:val="0002378D"/>
    <w:rsid w:val="00025293"/>
    <w:rsid w:val="000263B4"/>
    <w:rsid w:val="0002770B"/>
    <w:rsid w:val="000337EF"/>
    <w:rsid w:val="00040C3A"/>
    <w:rsid w:val="000419AD"/>
    <w:rsid w:val="000433C9"/>
    <w:rsid w:val="000632E9"/>
    <w:rsid w:val="000716C5"/>
    <w:rsid w:val="00075E23"/>
    <w:rsid w:val="00086BD4"/>
    <w:rsid w:val="00091A6C"/>
    <w:rsid w:val="0009344A"/>
    <w:rsid w:val="00094E6D"/>
    <w:rsid w:val="00094EE2"/>
    <w:rsid w:val="00094F18"/>
    <w:rsid w:val="00097C68"/>
    <w:rsid w:val="000A392E"/>
    <w:rsid w:val="000A575F"/>
    <w:rsid w:val="000B062C"/>
    <w:rsid w:val="000D05CB"/>
    <w:rsid w:val="000D10DB"/>
    <w:rsid w:val="000E5EB5"/>
    <w:rsid w:val="000F35ED"/>
    <w:rsid w:val="001033A6"/>
    <w:rsid w:val="00107131"/>
    <w:rsid w:val="0010736F"/>
    <w:rsid w:val="00110F2B"/>
    <w:rsid w:val="00113F73"/>
    <w:rsid w:val="00121CC2"/>
    <w:rsid w:val="001255C4"/>
    <w:rsid w:val="00131425"/>
    <w:rsid w:val="00133EE5"/>
    <w:rsid w:val="00134E6D"/>
    <w:rsid w:val="0013635D"/>
    <w:rsid w:val="001419BC"/>
    <w:rsid w:val="00156BCA"/>
    <w:rsid w:val="00163E58"/>
    <w:rsid w:val="00167A34"/>
    <w:rsid w:val="00175C2D"/>
    <w:rsid w:val="00183CD1"/>
    <w:rsid w:val="0019566B"/>
    <w:rsid w:val="00196CA2"/>
    <w:rsid w:val="001A7870"/>
    <w:rsid w:val="001B3A00"/>
    <w:rsid w:val="001C1B41"/>
    <w:rsid w:val="001C4733"/>
    <w:rsid w:val="001D1466"/>
    <w:rsid w:val="001D65EF"/>
    <w:rsid w:val="001D7945"/>
    <w:rsid w:val="001E49E7"/>
    <w:rsid w:val="001E66BC"/>
    <w:rsid w:val="001F7201"/>
    <w:rsid w:val="001F74FB"/>
    <w:rsid w:val="00206EB5"/>
    <w:rsid w:val="00221234"/>
    <w:rsid w:val="00223A29"/>
    <w:rsid w:val="002250A3"/>
    <w:rsid w:val="00226A46"/>
    <w:rsid w:val="00233F86"/>
    <w:rsid w:val="00235217"/>
    <w:rsid w:val="00240673"/>
    <w:rsid w:val="002469D2"/>
    <w:rsid w:val="00246D1F"/>
    <w:rsid w:val="00247403"/>
    <w:rsid w:val="00247542"/>
    <w:rsid w:val="0026020D"/>
    <w:rsid w:val="00266B61"/>
    <w:rsid w:val="0026712A"/>
    <w:rsid w:val="002704DB"/>
    <w:rsid w:val="00270750"/>
    <w:rsid w:val="002A0AAE"/>
    <w:rsid w:val="002A3EAD"/>
    <w:rsid w:val="002A5820"/>
    <w:rsid w:val="002C2112"/>
    <w:rsid w:val="002D2B26"/>
    <w:rsid w:val="002D47A1"/>
    <w:rsid w:val="002D7EA2"/>
    <w:rsid w:val="002E187C"/>
    <w:rsid w:val="00302733"/>
    <w:rsid w:val="0031338A"/>
    <w:rsid w:val="00314078"/>
    <w:rsid w:val="0031535D"/>
    <w:rsid w:val="00321F78"/>
    <w:rsid w:val="003239B8"/>
    <w:rsid w:val="003259FC"/>
    <w:rsid w:val="0033169F"/>
    <w:rsid w:val="00337376"/>
    <w:rsid w:val="00342283"/>
    <w:rsid w:val="003447D6"/>
    <w:rsid w:val="00344977"/>
    <w:rsid w:val="00346C95"/>
    <w:rsid w:val="00354C70"/>
    <w:rsid w:val="00356185"/>
    <w:rsid w:val="00360380"/>
    <w:rsid w:val="003716EF"/>
    <w:rsid w:val="0037519E"/>
    <w:rsid w:val="00386CF0"/>
    <w:rsid w:val="0039283B"/>
    <w:rsid w:val="00394049"/>
    <w:rsid w:val="003972D6"/>
    <w:rsid w:val="003A3CD9"/>
    <w:rsid w:val="003B0588"/>
    <w:rsid w:val="003B1B44"/>
    <w:rsid w:val="003B70FB"/>
    <w:rsid w:val="003C2239"/>
    <w:rsid w:val="003C515F"/>
    <w:rsid w:val="003C676B"/>
    <w:rsid w:val="003D3BC2"/>
    <w:rsid w:val="003E6CA1"/>
    <w:rsid w:val="003F0EBC"/>
    <w:rsid w:val="00405F9C"/>
    <w:rsid w:val="004065A8"/>
    <w:rsid w:val="004165C2"/>
    <w:rsid w:val="00436B39"/>
    <w:rsid w:val="00436CA9"/>
    <w:rsid w:val="00441524"/>
    <w:rsid w:val="00441E0D"/>
    <w:rsid w:val="00441ECB"/>
    <w:rsid w:val="00445193"/>
    <w:rsid w:val="00453F30"/>
    <w:rsid w:val="004602DC"/>
    <w:rsid w:val="00462C1B"/>
    <w:rsid w:val="00467B7E"/>
    <w:rsid w:val="00467CB1"/>
    <w:rsid w:val="00473BB4"/>
    <w:rsid w:val="0047634F"/>
    <w:rsid w:val="00477592"/>
    <w:rsid w:val="00486F1C"/>
    <w:rsid w:val="0049419D"/>
    <w:rsid w:val="004A6A54"/>
    <w:rsid w:val="004B11CB"/>
    <w:rsid w:val="004B3619"/>
    <w:rsid w:val="004C20D2"/>
    <w:rsid w:val="004C2312"/>
    <w:rsid w:val="004C4B62"/>
    <w:rsid w:val="004C54C9"/>
    <w:rsid w:val="004D0317"/>
    <w:rsid w:val="004D4ABA"/>
    <w:rsid w:val="004D6025"/>
    <w:rsid w:val="004E2649"/>
    <w:rsid w:val="004F0981"/>
    <w:rsid w:val="004F626F"/>
    <w:rsid w:val="004F7141"/>
    <w:rsid w:val="00501399"/>
    <w:rsid w:val="00503109"/>
    <w:rsid w:val="0050633D"/>
    <w:rsid w:val="00507BC4"/>
    <w:rsid w:val="005128E4"/>
    <w:rsid w:val="005133DB"/>
    <w:rsid w:val="00514504"/>
    <w:rsid w:val="005151C9"/>
    <w:rsid w:val="00520287"/>
    <w:rsid w:val="00525560"/>
    <w:rsid w:val="00526D46"/>
    <w:rsid w:val="0052714B"/>
    <w:rsid w:val="0053155A"/>
    <w:rsid w:val="00535DA9"/>
    <w:rsid w:val="00543F02"/>
    <w:rsid w:val="0054476A"/>
    <w:rsid w:val="00544C49"/>
    <w:rsid w:val="005464F9"/>
    <w:rsid w:val="005516A1"/>
    <w:rsid w:val="005559EF"/>
    <w:rsid w:val="005564B7"/>
    <w:rsid w:val="0056160D"/>
    <w:rsid w:val="00562677"/>
    <w:rsid w:val="005626FE"/>
    <w:rsid w:val="00563557"/>
    <w:rsid w:val="0056607E"/>
    <w:rsid w:val="0057113F"/>
    <w:rsid w:val="0057402A"/>
    <w:rsid w:val="005771D0"/>
    <w:rsid w:val="00577866"/>
    <w:rsid w:val="0059191A"/>
    <w:rsid w:val="005921FF"/>
    <w:rsid w:val="005A234C"/>
    <w:rsid w:val="005A24ED"/>
    <w:rsid w:val="005A254F"/>
    <w:rsid w:val="005A4C7D"/>
    <w:rsid w:val="005A6D0E"/>
    <w:rsid w:val="005B0FDF"/>
    <w:rsid w:val="005B4C06"/>
    <w:rsid w:val="005B52B0"/>
    <w:rsid w:val="005B6806"/>
    <w:rsid w:val="005C4225"/>
    <w:rsid w:val="005C5AE1"/>
    <w:rsid w:val="005D38F9"/>
    <w:rsid w:val="005D4BE2"/>
    <w:rsid w:val="005D763D"/>
    <w:rsid w:val="005D770E"/>
    <w:rsid w:val="005F0DAD"/>
    <w:rsid w:val="005F0F33"/>
    <w:rsid w:val="005F60F8"/>
    <w:rsid w:val="00600DEB"/>
    <w:rsid w:val="00603CB2"/>
    <w:rsid w:val="00627007"/>
    <w:rsid w:val="00627C9F"/>
    <w:rsid w:val="006311E9"/>
    <w:rsid w:val="00632354"/>
    <w:rsid w:val="00635421"/>
    <w:rsid w:val="006412EB"/>
    <w:rsid w:val="00642810"/>
    <w:rsid w:val="00646EEC"/>
    <w:rsid w:val="006522D1"/>
    <w:rsid w:val="00652333"/>
    <w:rsid w:val="00660F5E"/>
    <w:rsid w:val="00661088"/>
    <w:rsid w:val="0068009E"/>
    <w:rsid w:val="00692219"/>
    <w:rsid w:val="006A05B8"/>
    <w:rsid w:val="006A17D2"/>
    <w:rsid w:val="006A73E6"/>
    <w:rsid w:val="006B2D5C"/>
    <w:rsid w:val="006B481E"/>
    <w:rsid w:val="006C1A8D"/>
    <w:rsid w:val="006C1C1D"/>
    <w:rsid w:val="006C4EB1"/>
    <w:rsid w:val="006C734D"/>
    <w:rsid w:val="006D5B19"/>
    <w:rsid w:val="006E0166"/>
    <w:rsid w:val="006E2FFB"/>
    <w:rsid w:val="006E3620"/>
    <w:rsid w:val="006E79F8"/>
    <w:rsid w:val="006E7B34"/>
    <w:rsid w:val="006F7039"/>
    <w:rsid w:val="00706153"/>
    <w:rsid w:val="0070697F"/>
    <w:rsid w:val="007134FF"/>
    <w:rsid w:val="0072199C"/>
    <w:rsid w:val="00722852"/>
    <w:rsid w:val="00722C9F"/>
    <w:rsid w:val="007240A1"/>
    <w:rsid w:val="007253B8"/>
    <w:rsid w:val="00730195"/>
    <w:rsid w:val="00730E26"/>
    <w:rsid w:val="00731765"/>
    <w:rsid w:val="00734CAC"/>
    <w:rsid w:val="0073741F"/>
    <w:rsid w:val="00743019"/>
    <w:rsid w:val="0076643F"/>
    <w:rsid w:val="007777F9"/>
    <w:rsid w:val="00777F63"/>
    <w:rsid w:val="00780E05"/>
    <w:rsid w:val="00790E02"/>
    <w:rsid w:val="007A5817"/>
    <w:rsid w:val="007B05C4"/>
    <w:rsid w:val="007B3EDD"/>
    <w:rsid w:val="007B60E9"/>
    <w:rsid w:val="007B6CC3"/>
    <w:rsid w:val="007B76D3"/>
    <w:rsid w:val="007C2D36"/>
    <w:rsid w:val="007C3334"/>
    <w:rsid w:val="007C5F02"/>
    <w:rsid w:val="007D25BF"/>
    <w:rsid w:val="007D2B98"/>
    <w:rsid w:val="007E0B85"/>
    <w:rsid w:val="007E21BC"/>
    <w:rsid w:val="007E7C82"/>
    <w:rsid w:val="007E7FE0"/>
    <w:rsid w:val="007F2AA1"/>
    <w:rsid w:val="007F588D"/>
    <w:rsid w:val="00803F1C"/>
    <w:rsid w:val="0080600E"/>
    <w:rsid w:val="00813112"/>
    <w:rsid w:val="00814688"/>
    <w:rsid w:val="00817612"/>
    <w:rsid w:val="00832407"/>
    <w:rsid w:val="008338A4"/>
    <w:rsid w:val="00834D49"/>
    <w:rsid w:val="00837C45"/>
    <w:rsid w:val="0084457F"/>
    <w:rsid w:val="00844730"/>
    <w:rsid w:val="008457C2"/>
    <w:rsid w:val="00854174"/>
    <w:rsid w:val="00857A82"/>
    <w:rsid w:val="00864D5B"/>
    <w:rsid w:val="00867314"/>
    <w:rsid w:val="0086783C"/>
    <w:rsid w:val="00870663"/>
    <w:rsid w:val="00873836"/>
    <w:rsid w:val="00885737"/>
    <w:rsid w:val="008873F6"/>
    <w:rsid w:val="00890650"/>
    <w:rsid w:val="00892F5D"/>
    <w:rsid w:val="0089371C"/>
    <w:rsid w:val="00897E12"/>
    <w:rsid w:val="008A5E52"/>
    <w:rsid w:val="008A7E0F"/>
    <w:rsid w:val="008B12F5"/>
    <w:rsid w:val="008B2F17"/>
    <w:rsid w:val="008B3442"/>
    <w:rsid w:val="008B56BE"/>
    <w:rsid w:val="008C5E2D"/>
    <w:rsid w:val="008D768D"/>
    <w:rsid w:val="008E3759"/>
    <w:rsid w:val="008E3BFE"/>
    <w:rsid w:val="008E3F28"/>
    <w:rsid w:val="008F1912"/>
    <w:rsid w:val="0090270B"/>
    <w:rsid w:val="009041DC"/>
    <w:rsid w:val="00914CC4"/>
    <w:rsid w:val="00917B5A"/>
    <w:rsid w:val="00920A58"/>
    <w:rsid w:val="00920A8C"/>
    <w:rsid w:val="00934A2C"/>
    <w:rsid w:val="0096706E"/>
    <w:rsid w:val="00971CBD"/>
    <w:rsid w:val="00974491"/>
    <w:rsid w:val="009754DC"/>
    <w:rsid w:val="00975C4E"/>
    <w:rsid w:val="00981FBA"/>
    <w:rsid w:val="00983DE6"/>
    <w:rsid w:val="00990993"/>
    <w:rsid w:val="00991624"/>
    <w:rsid w:val="00997BC5"/>
    <w:rsid w:val="009A0814"/>
    <w:rsid w:val="009A260D"/>
    <w:rsid w:val="009A475C"/>
    <w:rsid w:val="009A4F41"/>
    <w:rsid w:val="009B381B"/>
    <w:rsid w:val="009B50CE"/>
    <w:rsid w:val="009B590E"/>
    <w:rsid w:val="009D1753"/>
    <w:rsid w:val="009D7611"/>
    <w:rsid w:val="009E0B61"/>
    <w:rsid w:val="009E53DE"/>
    <w:rsid w:val="009F511F"/>
    <w:rsid w:val="009F769D"/>
    <w:rsid w:val="00A03C22"/>
    <w:rsid w:val="00A11212"/>
    <w:rsid w:val="00A11E44"/>
    <w:rsid w:val="00A23907"/>
    <w:rsid w:val="00A30100"/>
    <w:rsid w:val="00A328B3"/>
    <w:rsid w:val="00A50FCF"/>
    <w:rsid w:val="00A51E6C"/>
    <w:rsid w:val="00A528D1"/>
    <w:rsid w:val="00A610CD"/>
    <w:rsid w:val="00A63223"/>
    <w:rsid w:val="00A64B5A"/>
    <w:rsid w:val="00A67D37"/>
    <w:rsid w:val="00A758AA"/>
    <w:rsid w:val="00A778F6"/>
    <w:rsid w:val="00A84463"/>
    <w:rsid w:val="00A94738"/>
    <w:rsid w:val="00AA09A2"/>
    <w:rsid w:val="00AA52AC"/>
    <w:rsid w:val="00AA653B"/>
    <w:rsid w:val="00AA7996"/>
    <w:rsid w:val="00AA7E49"/>
    <w:rsid w:val="00AC01D5"/>
    <w:rsid w:val="00AC0B7F"/>
    <w:rsid w:val="00AC19CB"/>
    <w:rsid w:val="00AD0ACE"/>
    <w:rsid w:val="00AE5488"/>
    <w:rsid w:val="00AE59CB"/>
    <w:rsid w:val="00AE6F91"/>
    <w:rsid w:val="00AF214E"/>
    <w:rsid w:val="00AF2634"/>
    <w:rsid w:val="00AF5571"/>
    <w:rsid w:val="00B01784"/>
    <w:rsid w:val="00B07341"/>
    <w:rsid w:val="00B2748E"/>
    <w:rsid w:val="00B27E16"/>
    <w:rsid w:val="00B30539"/>
    <w:rsid w:val="00B314DB"/>
    <w:rsid w:val="00B361F2"/>
    <w:rsid w:val="00B3718B"/>
    <w:rsid w:val="00B3745F"/>
    <w:rsid w:val="00B4632A"/>
    <w:rsid w:val="00B530F1"/>
    <w:rsid w:val="00B64463"/>
    <w:rsid w:val="00B67A73"/>
    <w:rsid w:val="00B84F78"/>
    <w:rsid w:val="00B92AB2"/>
    <w:rsid w:val="00B941EE"/>
    <w:rsid w:val="00B96F7A"/>
    <w:rsid w:val="00BA276C"/>
    <w:rsid w:val="00BB306F"/>
    <w:rsid w:val="00BB6C55"/>
    <w:rsid w:val="00BC0774"/>
    <w:rsid w:val="00BC1228"/>
    <w:rsid w:val="00BD4B89"/>
    <w:rsid w:val="00BD5922"/>
    <w:rsid w:val="00BE6628"/>
    <w:rsid w:val="00BF02CB"/>
    <w:rsid w:val="00BF26A6"/>
    <w:rsid w:val="00BF3FA4"/>
    <w:rsid w:val="00BF4077"/>
    <w:rsid w:val="00BF588B"/>
    <w:rsid w:val="00BF6FD8"/>
    <w:rsid w:val="00C031F2"/>
    <w:rsid w:val="00C03680"/>
    <w:rsid w:val="00C054DF"/>
    <w:rsid w:val="00C21762"/>
    <w:rsid w:val="00C21FEF"/>
    <w:rsid w:val="00C23BA4"/>
    <w:rsid w:val="00C24543"/>
    <w:rsid w:val="00C256A2"/>
    <w:rsid w:val="00C25ADB"/>
    <w:rsid w:val="00C378F1"/>
    <w:rsid w:val="00C4451E"/>
    <w:rsid w:val="00C500E2"/>
    <w:rsid w:val="00C50A18"/>
    <w:rsid w:val="00C51515"/>
    <w:rsid w:val="00C55B97"/>
    <w:rsid w:val="00C5660B"/>
    <w:rsid w:val="00C66B72"/>
    <w:rsid w:val="00C741C1"/>
    <w:rsid w:val="00C8515E"/>
    <w:rsid w:val="00C87AC4"/>
    <w:rsid w:val="00C9567A"/>
    <w:rsid w:val="00CA17E1"/>
    <w:rsid w:val="00CB18D2"/>
    <w:rsid w:val="00CB212D"/>
    <w:rsid w:val="00CB2660"/>
    <w:rsid w:val="00CB4885"/>
    <w:rsid w:val="00CC4B42"/>
    <w:rsid w:val="00CC5E90"/>
    <w:rsid w:val="00CC6200"/>
    <w:rsid w:val="00CD046C"/>
    <w:rsid w:val="00CD409F"/>
    <w:rsid w:val="00CD46F7"/>
    <w:rsid w:val="00CD71C5"/>
    <w:rsid w:val="00CE076C"/>
    <w:rsid w:val="00CE08C5"/>
    <w:rsid w:val="00CE13B3"/>
    <w:rsid w:val="00CE5199"/>
    <w:rsid w:val="00CE66D5"/>
    <w:rsid w:val="00CF637A"/>
    <w:rsid w:val="00D0417C"/>
    <w:rsid w:val="00D059DE"/>
    <w:rsid w:val="00D05ABD"/>
    <w:rsid w:val="00D13530"/>
    <w:rsid w:val="00D13FCE"/>
    <w:rsid w:val="00D15E32"/>
    <w:rsid w:val="00D306D1"/>
    <w:rsid w:val="00D30800"/>
    <w:rsid w:val="00D32FE5"/>
    <w:rsid w:val="00D34786"/>
    <w:rsid w:val="00D377D0"/>
    <w:rsid w:val="00D37BFC"/>
    <w:rsid w:val="00D47A8E"/>
    <w:rsid w:val="00D52D14"/>
    <w:rsid w:val="00D712D3"/>
    <w:rsid w:val="00D71422"/>
    <w:rsid w:val="00D72DC6"/>
    <w:rsid w:val="00D7558D"/>
    <w:rsid w:val="00D81D92"/>
    <w:rsid w:val="00D876F9"/>
    <w:rsid w:val="00D9180C"/>
    <w:rsid w:val="00D92A08"/>
    <w:rsid w:val="00D93FE2"/>
    <w:rsid w:val="00DA7A7B"/>
    <w:rsid w:val="00DA7B5F"/>
    <w:rsid w:val="00DB43ED"/>
    <w:rsid w:val="00DB4A2F"/>
    <w:rsid w:val="00DC11E7"/>
    <w:rsid w:val="00DC18E3"/>
    <w:rsid w:val="00DC24E3"/>
    <w:rsid w:val="00DC38A1"/>
    <w:rsid w:val="00DC7023"/>
    <w:rsid w:val="00DC769A"/>
    <w:rsid w:val="00DD3D86"/>
    <w:rsid w:val="00DD4AD2"/>
    <w:rsid w:val="00DE31A4"/>
    <w:rsid w:val="00DF1EC4"/>
    <w:rsid w:val="00E0340B"/>
    <w:rsid w:val="00E03FBF"/>
    <w:rsid w:val="00E04A90"/>
    <w:rsid w:val="00E0551F"/>
    <w:rsid w:val="00E06165"/>
    <w:rsid w:val="00E112CE"/>
    <w:rsid w:val="00E11BD7"/>
    <w:rsid w:val="00E1555E"/>
    <w:rsid w:val="00E219C7"/>
    <w:rsid w:val="00E4118C"/>
    <w:rsid w:val="00E43157"/>
    <w:rsid w:val="00E44202"/>
    <w:rsid w:val="00E461CE"/>
    <w:rsid w:val="00E52D1C"/>
    <w:rsid w:val="00E54D28"/>
    <w:rsid w:val="00E550D1"/>
    <w:rsid w:val="00E573E4"/>
    <w:rsid w:val="00E64C3D"/>
    <w:rsid w:val="00E720CA"/>
    <w:rsid w:val="00E82DDC"/>
    <w:rsid w:val="00E84EB5"/>
    <w:rsid w:val="00E853E8"/>
    <w:rsid w:val="00E85662"/>
    <w:rsid w:val="00E85D35"/>
    <w:rsid w:val="00E8789F"/>
    <w:rsid w:val="00E97B71"/>
    <w:rsid w:val="00EA2C75"/>
    <w:rsid w:val="00EA3D34"/>
    <w:rsid w:val="00EA576A"/>
    <w:rsid w:val="00EB0DF2"/>
    <w:rsid w:val="00EB197F"/>
    <w:rsid w:val="00EB454D"/>
    <w:rsid w:val="00EC0310"/>
    <w:rsid w:val="00EC0840"/>
    <w:rsid w:val="00EC5CAC"/>
    <w:rsid w:val="00EC72C1"/>
    <w:rsid w:val="00ED4F4A"/>
    <w:rsid w:val="00ED549D"/>
    <w:rsid w:val="00ED76BE"/>
    <w:rsid w:val="00EE00E9"/>
    <w:rsid w:val="00EE1947"/>
    <w:rsid w:val="00EE1C3F"/>
    <w:rsid w:val="00EF1AAA"/>
    <w:rsid w:val="00EF619B"/>
    <w:rsid w:val="00EF6C14"/>
    <w:rsid w:val="00F00B55"/>
    <w:rsid w:val="00F02AD1"/>
    <w:rsid w:val="00F253CC"/>
    <w:rsid w:val="00F37106"/>
    <w:rsid w:val="00F401DB"/>
    <w:rsid w:val="00F43A43"/>
    <w:rsid w:val="00F44E25"/>
    <w:rsid w:val="00F519CF"/>
    <w:rsid w:val="00F56BA5"/>
    <w:rsid w:val="00F60E22"/>
    <w:rsid w:val="00F6510F"/>
    <w:rsid w:val="00F81395"/>
    <w:rsid w:val="00F81BB8"/>
    <w:rsid w:val="00F90C64"/>
    <w:rsid w:val="00F917D1"/>
    <w:rsid w:val="00F9653B"/>
    <w:rsid w:val="00F97BFB"/>
    <w:rsid w:val="00FA2908"/>
    <w:rsid w:val="00FB62CF"/>
    <w:rsid w:val="00FD3C3B"/>
    <w:rsid w:val="00FE07DD"/>
    <w:rsid w:val="00FE2E87"/>
    <w:rsid w:val="00FE6B45"/>
    <w:rsid w:val="00FE7880"/>
    <w:rsid w:val="00FF55F3"/>
    <w:rsid w:val="00FF5851"/>
    <w:rsid w:val="00FF7B79"/>
    <w:rsid w:val="28943C8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D4F4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110F2B"/>
    <w:rPr>
      <w:sz w:val="16"/>
      <w:szCs w:val="16"/>
    </w:rPr>
  </w:style>
  <w:style w:type="paragraph" w:styleId="CommentText">
    <w:name w:val="annotation text"/>
    <w:basedOn w:val="Normal"/>
    <w:link w:val="CommentTextChar"/>
    <w:uiPriority w:val="99"/>
    <w:unhideWhenUsed/>
    <w:rsid w:val="00110F2B"/>
    <w:rPr>
      <w:sz w:val="20"/>
      <w:szCs w:val="20"/>
    </w:rPr>
  </w:style>
  <w:style w:type="character" w:customStyle="1" w:styleId="CommentTextChar">
    <w:name w:val="Comment Text Char"/>
    <w:basedOn w:val="DefaultParagraphFont"/>
    <w:link w:val="CommentText"/>
    <w:uiPriority w:val="99"/>
    <w:rsid w:val="00110F2B"/>
    <w:rPr>
      <w:lang w:val="en-US" w:eastAsia="en-US"/>
    </w:rPr>
  </w:style>
  <w:style w:type="paragraph" w:styleId="CommentSubject">
    <w:name w:val="annotation subject"/>
    <w:basedOn w:val="CommentText"/>
    <w:next w:val="CommentText"/>
    <w:link w:val="CommentSubjectChar"/>
    <w:uiPriority w:val="99"/>
    <w:semiHidden/>
    <w:unhideWhenUsed/>
    <w:rsid w:val="00110F2B"/>
    <w:rPr>
      <w:b/>
      <w:bCs/>
    </w:rPr>
  </w:style>
  <w:style w:type="character" w:customStyle="1" w:styleId="CommentSubjectChar">
    <w:name w:val="Comment Subject Char"/>
    <w:basedOn w:val="CommentTextChar"/>
    <w:link w:val="CommentSubject"/>
    <w:uiPriority w:val="99"/>
    <w:semiHidden/>
    <w:rsid w:val="00110F2B"/>
    <w:rPr>
      <w:b/>
      <w:bCs/>
      <w:lang w:val="en-US" w:eastAsia="en-US"/>
    </w:rPr>
  </w:style>
  <w:style w:type="paragraph" w:styleId="Revision">
    <w:name w:val="Revision"/>
    <w:hidden/>
    <w:uiPriority w:val="99"/>
    <w:semiHidden/>
    <w:rsid w:val="00C378F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DB43ED"/>
  </w:style>
  <w:style w:type="character" w:customStyle="1" w:styleId="eop">
    <w:name w:val="eop"/>
    <w:basedOn w:val="DefaultParagraphFont"/>
    <w:rsid w:val="00DB43ED"/>
  </w:style>
  <w:style w:type="paragraph" w:customStyle="1" w:styleId="paragraph">
    <w:name w:val="paragraph"/>
    <w:basedOn w:val="Normal"/>
    <w:rsid w:val="00DB4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7646">
      <w:bodyDiv w:val="1"/>
      <w:marLeft w:val="0"/>
      <w:marRight w:val="0"/>
      <w:marTop w:val="0"/>
      <w:marBottom w:val="0"/>
      <w:divBdr>
        <w:top w:val="none" w:sz="0" w:space="0" w:color="auto"/>
        <w:left w:val="none" w:sz="0" w:space="0" w:color="auto"/>
        <w:bottom w:val="none" w:sz="0" w:space="0" w:color="auto"/>
        <w:right w:val="none" w:sz="0" w:space="0" w:color="auto"/>
      </w:divBdr>
    </w:div>
    <w:div w:id="798255868">
      <w:bodyDiv w:val="1"/>
      <w:marLeft w:val="0"/>
      <w:marRight w:val="0"/>
      <w:marTop w:val="0"/>
      <w:marBottom w:val="0"/>
      <w:divBdr>
        <w:top w:val="none" w:sz="0" w:space="0" w:color="auto"/>
        <w:left w:val="none" w:sz="0" w:space="0" w:color="auto"/>
        <w:bottom w:val="none" w:sz="0" w:space="0" w:color="auto"/>
        <w:right w:val="none" w:sz="0" w:space="0" w:color="auto"/>
      </w:divBdr>
    </w:div>
    <w:div w:id="91293179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6882868">
      <w:bodyDiv w:val="1"/>
      <w:marLeft w:val="0"/>
      <w:marRight w:val="0"/>
      <w:marTop w:val="0"/>
      <w:marBottom w:val="0"/>
      <w:divBdr>
        <w:top w:val="none" w:sz="0" w:space="0" w:color="auto"/>
        <w:left w:val="none" w:sz="0" w:space="0" w:color="auto"/>
        <w:bottom w:val="none" w:sz="0" w:space="0" w:color="auto"/>
        <w:right w:val="none" w:sz="0" w:space="0" w:color="auto"/>
      </w:divBdr>
    </w:div>
    <w:div w:id="1565095811">
      <w:bodyDiv w:val="1"/>
      <w:marLeft w:val="0"/>
      <w:marRight w:val="0"/>
      <w:marTop w:val="0"/>
      <w:marBottom w:val="0"/>
      <w:divBdr>
        <w:top w:val="none" w:sz="0" w:space="0" w:color="auto"/>
        <w:left w:val="none" w:sz="0" w:space="0" w:color="auto"/>
        <w:bottom w:val="none" w:sz="0" w:space="0" w:color="auto"/>
        <w:right w:val="none" w:sz="0" w:space="0" w:color="auto"/>
      </w:divBdr>
      <w:divsChild>
        <w:div w:id="127935830">
          <w:marLeft w:val="-225"/>
          <w:marRight w:val="-225"/>
          <w:marTop w:val="0"/>
          <w:marBottom w:val="0"/>
          <w:divBdr>
            <w:top w:val="none" w:sz="0" w:space="0" w:color="auto"/>
            <w:left w:val="none" w:sz="0" w:space="0" w:color="auto"/>
            <w:bottom w:val="single" w:sz="6" w:space="0" w:color="DEE2E6"/>
            <w:right w:val="none" w:sz="0" w:space="0" w:color="auto"/>
          </w:divBdr>
          <w:divsChild>
            <w:div w:id="766196270">
              <w:marLeft w:val="0"/>
              <w:marRight w:val="0"/>
              <w:marTop w:val="0"/>
              <w:marBottom w:val="0"/>
              <w:divBdr>
                <w:top w:val="none" w:sz="0" w:space="0" w:color="auto"/>
                <w:left w:val="none" w:sz="0" w:space="0" w:color="auto"/>
                <w:bottom w:val="none" w:sz="0" w:space="0" w:color="auto"/>
                <w:right w:val="none" w:sz="0" w:space="0" w:color="auto"/>
              </w:divBdr>
              <w:divsChild>
                <w:div w:id="14332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832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6405645">
      <w:bodyDiv w:val="1"/>
      <w:marLeft w:val="0"/>
      <w:marRight w:val="0"/>
      <w:marTop w:val="0"/>
      <w:marBottom w:val="0"/>
      <w:divBdr>
        <w:top w:val="none" w:sz="0" w:space="0" w:color="auto"/>
        <w:left w:val="none" w:sz="0" w:space="0" w:color="auto"/>
        <w:bottom w:val="none" w:sz="0" w:space="0" w:color="auto"/>
        <w:right w:val="none" w:sz="0" w:space="0" w:color="auto"/>
      </w:divBdr>
    </w:div>
    <w:div w:id="1972592321">
      <w:bodyDiv w:val="1"/>
      <w:marLeft w:val="0"/>
      <w:marRight w:val="0"/>
      <w:marTop w:val="0"/>
      <w:marBottom w:val="0"/>
      <w:divBdr>
        <w:top w:val="none" w:sz="0" w:space="0" w:color="auto"/>
        <w:left w:val="none" w:sz="0" w:space="0" w:color="auto"/>
        <w:bottom w:val="none" w:sz="0" w:space="0" w:color="auto"/>
        <w:right w:val="none" w:sz="0" w:space="0" w:color="auto"/>
      </w:divBdr>
    </w:div>
    <w:div w:id="2022706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53F3"/>
    <w:rsid w:val="001B68CE"/>
    <w:rsid w:val="00200821"/>
    <w:rsid w:val="00201CE6"/>
    <w:rsid w:val="0025245B"/>
    <w:rsid w:val="0029321E"/>
    <w:rsid w:val="002A3923"/>
    <w:rsid w:val="002A4E4D"/>
    <w:rsid w:val="00394049"/>
    <w:rsid w:val="004B5BBB"/>
    <w:rsid w:val="004F2DF8"/>
    <w:rsid w:val="005D4BE2"/>
    <w:rsid w:val="005D770E"/>
    <w:rsid w:val="005F60F8"/>
    <w:rsid w:val="00665129"/>
    <w:rsid w:val="00665792"/>
    <w:rsid w:val="006F24A1"/>
    <w:rsid w:val="0076428C"/>
    <w:rsid w:val="008A3BF7"/>
    <w:rsid w:val="008E7BEB"/>
    <w:rsid w:val="009A261B"/>
    <w:rsid w:val="009C3CB6"/>
    <w:rsid w:val="00A4418E"/>
    <w:rsid w:val="00A50BDC"/>
    <w:rsid w:val="00AA2E17"/>
    <w:rsid w:val="00AC15A4"/>
    <w:rsid w:val="00B0336C"/>
    <w:rsid w:val="00B30277"/>
    <w:rsid w:val="00D241E9"/>
    <w:rsid w:val="00D31F92"/>
    <w:rsid w:val="00D7750D"/>
    <w:rsid w:val="00F00D2F"/>
    <w:rsid w:val="00F128DF"/>
    <w:rsid w:val="00F666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2024-10-08T14:54:00Z</dcterms:created>
  <dcterms:modified xsi:type="dcterms:W3CDTF">2024-10-08T14:54:00Z</dcterms:modified>
</cp:coreProperties>
</file>