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5356D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432E7C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141A1">
                              <w:rPr>
                                <w:rFonts w:asciiTheme="majorHAnsi" w:hAnsiTheme="majorHAnsi" w:cs="Arial"/>
                                <w:b/>
                                <w:bCs/>
                                <w:color w:val="0D0D0D" w:themeColor="text1" w:themeTint="F2"/>
                                <w:sz w:val="36"/>
                                <w:szCs w:val="22"/>
                                <w:lang w:val="es-ES_tradnl"/>
                              </w:rPr>
                              <w:t>133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3E66D9D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F27DD">
                              <w:rPr>
                                <w:rFonts w:asciiTheme="majorHAnsi" w:hAnsiTheme="majorHAnsi" w:cs="Arial"/>
                                <w:b/>
                                <w:color w:val="0D0D0D" w:themeColor="text1" w:themeTint="F2"/>
                                <w:sz w:val="36"/>
                                <w:szCs w:val="22"/>
                                <w:lang w:val="es-ES_tradnl"/>
                              </w:rPr>
                              <w:t>1366</w:t>
                            </w:r>
                            <w:r w:rsidR="00246D1F" w:rsidRPr="004E2649">
                              <w:rPr>
                                <w:rFonts w:asciiTheme="majorHAnsi" w:hAnsiTheme="majorHAnsi" w:cs="Arial"/>
                                <w:b/>
                                <w:color w:val="0D0D0D" w:themeColor="text1" w:themeTint="F2"/>
                                <w:sz w:val="36"/>
                                <w:szCs w:val="22"/>
                                <w:lang w:val="es-ES_tradnl"/>
                              </w:rPr>
                              <w:t>-</w:t>
                            </w:r>
                            <w:r w:rsidR="001F27DD">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70CF6833" w14:textId="0AC01C3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7EA25061" w14:textId="29426088" w:rsidR="00F56751" w:rsidRPr="0036222C" w:rsidRDefault="00F56751" w:rsidP="00997BC5">
                            <w:pPr>
                              <w:spacing w:line="276" w:lineRule="auto"/>
                              <w:rPr>
                                <w:rFonts w:asciiTheme="majorHAnsi" w:hAnsiTheme="majorHAnsi" w:cs="Arial"/>
                                <w:color w:val="0D0D0D" w:themeColor="text1" w:themeTint="F2"/>
                                <w:szCs w:val="22"/>
                                <w:lang w:val="pt-BR"/>
                              </w:rPr>
                            </w:pPr>
                            <w:r w:rsidRPr="0036222C">
                              <w:rPr>
                                <w:rFonts w:asciiTheme="majorHAnsi" w:hAnsiTheme="majorHAnsi" w:cs="Arial"/>
                                <w:color w:val="0D0D0D" w:themeColor="text1" w:themeTint="F2"/>
                                <w:szCs w:val="22"/>
                                <w:lang w:val="pt-BR"/>
                              </w:rPr>
                              <w:t>COMUNIDADES MAYAS Q</w:t>
                            </w:r>
                            <w:r w:rsidR="00FB5769" w:rsidRPr="0036222C">
                              <w:rPr>
                                <w:rFonts w:asciiTheme="majorHAnsi" w:hAnsiTheme="majorHAnsi" w:cs="Arial"/>
                                <w:color w:val="0D0D0D" w:themeColor="text1" w:themeTint="F2"/>
                                <w:szCs w:val="22"/>
                                <w:lang w:val="pt-BR"/>
                              </w:rPr>
                              <w:t>ʼEQCHÍ DE CHICANCHIU CHIPAP, CHIOCX</w:t>
                            </w:r>
                            <w:r w:rsidR="0036222C" w:rsidRPr="0036222C">
                              <w:rPr>
                                <w:rFonts w:asciiTheme="majorHAnsi" w:hAnsiTheme="majorHAnsi" w:cs="Arial"/>
                                <w:color w:val="0D0D0D" w:themeColor="text1" w:themeTint="F2"/>
                                <w:szCs w:val="22"/>
                                <w:lang w:val="pt-BR"/>
                              </w:rPr>
                              <w:t>, CHISEK, CHITEM, SAMASTUM, SESEP</w:t>
                            </w:r>
                            <w:r w:rsidR="0036222C">
                              <w:rPr>
                                <w:rFonts w:asciiTheme="majorHAnsi" w:hAnsiTheme="majorHAnsi" w:cs="Arial"/>
                                <w:color w:val="0D0D0D" w:themeColor="text1" w:themeTint="F2"/>
                                <w:szCs w:val="22"/>
                                <w:lang w:val="pt-BR"/>
                              </w:rPr>
                              <w:t xml:space="preserve"> Y YUTBAL</w:t>
                            </w:r>
                          </w:p>
                          <w:p w14:paraId="35068D0D" w14:textId="25BF9D32" w:rsidR="005B52B0" w:rsidRPr="00EB197F" w:rsidRDefault="0036222C" w:rsidP="00997BC5">
                            <w:pPr>
                              <w:spacing w:line="276" w:lineRule="auto"/>
                              <w:rPr>
                                <w:rFonts w:asciiTheme="majorHAnsi" w:hAnsiTheme="majorHAnsi" w:cs="Arial"/>
                                <w:color w:val="0D0D0D" w:themeColor="text1" w:themeTint="F2"/>
                                <w:szCs w:val="22"/>
                                <w:lang w:val="es-PE"/>
                              </w:rPr>
                            </w:pPr>
                            <w:r>
                              <w:rPr>
                                <w:rFonts w:asciiTheme="majorHAnsi" w:hAnsiTheme="majorHAnsi" w:cs="Arial"/>
                                <w:color w:val="0D0D0D" w:themeColor="text1" w:themeTint="F2"/>
                                <w:szCs w:val="22"/>
                                <w:lang w:val="es-PE"/>
                              </w:rPr>
                              <w:t>GUATEMALA</w:t>
                            </w:r>
                          </w:p>
                          <w:p w14:paraId="575DFD52" w14:textId="77777777" w:rsidR="005B52B0" w:rsidRPr="00EB197F" w:rsidRDefault="005B52B0" w:rsidP="007A5817">
                            <w:pPr>
                              <w:rPr>
                                <w:color w:val="0D0D0D" w:themeColor="text1" w:themeTint="F2"/>
                                <w:lang w:val="es-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1432E7C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141A1">
                        <w:rPr>
                          <w:rFonts w:asciiTheme="majorHAnsi" w:hAnsiTheme="majorHAnsi" w:cs="Arial"/>
                          <w:b/>
                          <w:bCs/>
                          <w:color w:val="0D0D0D" w:themeColor="text1" w:themeTint="F2"/>
                          <w:sz w:val="36"/>
                          <w:szCs w:val="22"/>
                          <w:lang w:val="es-ES_tradnl"/>
                        </w:rPr>
                        <w:t>133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3E66D9D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F27DD">
                        <w:rPr>
                          <w:rFonts w:asciiTheme="majorHAnsi" w:hAnsiTheme="majorHAnsi" w:cs="Arial"/>
                          <w:b/>
                          <w:color w:val="0D0D0D" w:themeColor="text1" w:themeTint="F2"/>
                          <w:sz w:val="36"/>
                          <w:szCs w:val="22"/>
                          <w:lang w:val="es-ES_tradnl"/>
                        </w:rPr>
                        <w:t>1366</w:t>
                      </w:r>
                      <w:r w:rsidR="00246D1F" w:rsidRPr="004E2649">
                        <w:rPr>
                          <w:rFonts w:asciiTheme="majorHAnsi" w:hAnsiTheme="majorHAnsi" w:cs="Arial"/>
                          <w:b/>
                          <w:color w:val="0D0D0D" w:themeColor="text1" w:themeTint="F2"/>
                          <w:sz w:val="36"/>
                          <w:szCs w:val="22"/>
                          <w:lang w:val="es-ES_tradnl"/>
                        </w:rPr>
                        <w:t>-</w:t>
                      </w:r>
                      <w:r w:rsidR="001F27DD">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70CF6833" w14:textId="0AC01C3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7EA25061" w14:textId="29426088" w:rsidR="00F56751" w:rsidRPr="0036222C" w:rsidRDefault="00F56751" w:rsidP="00997BC5">
                      <w:pPr>
                        <w:spacing w:line="276" w:lineRule="auto"/>
                        <w:rPr>
                          <w:rFonts w:asciiTheme="majorHAnsi" w:hAnsiTheme="majorHAnsi" w:cs="Arial"/>
                          <w:color w:val="0D0D0D" w:themeColor="text1" w:themeTint="F2"/>
                          <w:szCs w:val="22"/>
                          <w:lang w:val="pt-BR"/>
                        </w:rPr>
                      </w:pPr>
                      <w:r w:rsidRPr="0036222C">
                        <w:rPr>
                          <w:rFonts w:asciiTheme="majorHAnsi" w:hAnsiTheme="majorHAnsi" w:cs="Arial"/>
                          <w:color w:val="0D0D0D" w:themeColor="text1" w:themeTint="F2"/>
                          <w:szCs w:val="22"/>
                          <w:lang w:val="pt-BR"/>
                        </w:rPr>
                        <w:t>COMUNIDADES MAYAS Q</w:t>
                      </w:r>
                      <w:r w:rsidR="00FB5769" w:rsidRPr="0036222C">
                        <w:rPr>
                          <w:rFonts w:asciiTheme="majorHAnsi" w:hAnsiTheme="majorHAnsi" w:cs="Arial"/>
                          <w:color w:val="0D0D0D" w:themeColor="text1" w:themeTint="F2"/>
                          <w:szCs w:val="22"/>
                          <w:lang w:val="pt-BR"/>
                        </w:rPr>
                        <w:t>ʼEQCHÍ DE CHICANCHIU CHIPAP, CHIOCX</w:t>
                      </w:r>
                      <w:r w:rsidR="0036222C" w:rsidRPr="0036222C">
                        <w:rPr>
                          <w:rFonts w:asciiTheme="majorHAnsi" w:hAnsiTheme="majorHAnsi" w:cs="Arial"/>
                          <w:color w:val="0D0D0D" w:themeColor="text1" w:themeTint="F2"/>
                          <w:szCs w:val="22"/>
                          <w:lang w:val="pt-BR"/>
                        </w:rPr>
                        <w:t>, CHISEK, CHITEM, SAMASTUM, SESEP</w:t>
                      </w:r>
                      <w:r w:rsidR="0036222C">
                        <w:rPr>
                          <w:rFonts w:asciiTheme="majorHAnsi" w:hAnsiTheme="majorHAnsi" w:cs="Arial"/>
                          <w:color w:val="0D0D0D" w:themeColor="text1" w:themeTint="F2"/>
                          <w:szCs w:val="22"/>
                          <w:lang w:val="pt-BR"/>
                        </w:rPr>
                        <w:t xml:space="preserve"> Y YUTBAL</w:t>
                      </w:r>
                    </w:p>
                    <w:p w14:paraId="35068D0D" w14:textId="25BF9D32" w:rsidR="005B52B0" w:rsidRPr="00EB197F" w:rsidRDefault="0036222C" w:rsidP="00997BC5">
                      <w:pPr>
                        <w:spacing w:line="276" w:lineRule="auto"/>
                        <w:rPr>
                          <w:rFonts w:asciiTheme="majorHAnsi" w:hAnsiTheme="majorHAnsi" w:cs="Arial"/>
                          <w:color w:val="0D0D0D" w:themeColor="text1" w:themeTint="F2"/>
                          <w:szCs w:val="22"/>
                          <w:lang w:val="es-PE"/>
                        </w:rPr>
                      </w:pPr>
                      <w:r>
                        <w:rPr>
                          <w:rFonts w:asciiTheme="majorHAnsi" w:hAnsiTheme="majorHAnsi" w:cs="Arial"/>
                          <w:color w:val="0D0D0D" w:themeColor="text1" w:themeTint="F2"/>
                          <w:szCs w:val="22"/>
                          <w:lang w:val="es-PE"/>
                        </w:rPr>
                        <w:t>GUATEMALA</w:t>
                      </w:r>
                    </w:p>
                    <w:p w14:paraId="575DFD52" w14:textId="77777777" w:rsidR="005B52B0" w:rsidRPr="00EB197F" w:rsidRDefault="005B52B0" w:rsidP="007A5817">
                      <w:pPr>
                        <w:rPr>
                          <w:color w:val="0D0D0D" w:themeColor="text1" w:themeTint="F2"/>
                          <w:lang w:val="es-PE"/>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A2643E2" w:rsidR="00627C9F" w:rsidRPr="009E7022" w:rsidRDefault="00834D49" w:rsidP="007A5817">
                            <w:pPr>
                              <w:spacing w:line="276" w:lineRule="auto"/>
                              <w:jc w:val="right"/>
                              <w:rPr>
                                <w:rFonts w:asciiTheme="minorHAnsi" w:hAnsiTheme="minorHAnsi"/>
                                <w:color w:val="FFFFFF" w:themeColor="background1"/>
                                <w:sz w:val="22"/>
                                <w:lang w:val="es-ES"/>
                              </w:rPr>
                            </w:pPr>
                            <w:r w:rsidRPr="009E7022">
                              <w:rPr>
                                <w:rFonts w:asciiTheme="minorHAnsi" w:hAnsiTheme="minorHAnsi"/>
                                <w:color w:val="FFFFFF" w:themeColor="background1"/>
                                <w:sz w:val="22"/>
                                <w:lang w:val="es-ES"/>
                              </w:rPr>
                              <w:t>OEA/Ser.L/V/II</w:t>
                            </w:r>
                          </w:p>
                          <w:p w14:paraId="6A41611B" w14:textId="049DB022" w:rsidR="00627C9F" w:rsidRPr="009E7022" w:rsidRDefault="00627C9F" w:rsidP="007A5817">
                            <w:pPr>
                              <w:spacing w:line="276" w:lineRule="auto"/>
                              <w:jc w:val="right"/>
                              <w:rPr>
                                <w:rFonts w:asciiTheme="minorHAnsi" w:hAnsiTheme="minorHAnsi"/>
                                <w:color w:val="FFFFFF" w:themeColor="background1"/>
                                <w:sz w:val="22"/>
                                <w:lang w:val="es-ES"/>
                              </w:rPr>
                            </w:pPr>
                            <w:r w:rsidRPr="009E7022">
                              <w:rPr>
                                <w:rFonts w:asciiTheme="minorHAnsi" w:hAnsiTheme="minorHAnsi"/>
                                <w:color w:val="FFFFFF" w:themeColor="background1"/>
                                <w:sz w:val="22"/>
                                <w:lang w:val="es-ES"/>
                              </w:rPr>
                              <w:t xml:space="preserve">Doc. </w:t>
                            </w:r>
                            <w:r w:rsidR="00A7638A" w:rsidRPr="009E7022">
                              <w:rPr>
                                <w:rFonts w:asciiTheme="minorHAnsi" w:hAnsiTheme="minorHAnsi"/>
                                <w:color w:val="FFFFFF" w:themeColor="background1"/>
                                <w:sz w:val="22"/>
                                <w:lang w:val="es-ES"/>
                              </w:rPr>
                              <w:t>141</w:t>
                            </w:r>
                          </w:p>
                          <w:p w14:paraId="69373ED2" w14:textId="22090F02" w:rsidR="00627C9F" w:rsidRPr="00C25ADB" w:rsidRDefault="00A7638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A2643E2" w:rsidR="00627C9F" w:rsidRPr="009E7022" w:rsidRDefault="00834D49" w:rsidP="007A5817">
                      <w:pPr>
                        <w:spacing w:line="276" w:lineRule="auto"/>
                        <w:jc w:val="right"/>
                        <w:rPr>
                          <w:rFonts w:asciiTheme="minorHAnsi" w:hAnsiTheme="minorHAnsi"/>
                          <w:color w:val="FFFFFF" w:themeColor="background1"/>
                          <w:sz w:val="22"/>
                          <w:lang w:val="es-ES"/>
                        </w:rPr>
                      </w:pPr>
                      <w:r w:rsidRPr="009E7022">
                        <w:rPr>
                          <w:rFonts w:asciiTheme="minorHAnsi" w:hAnsiTheme="minorHAnsi"/>
                          <w:color w:val="FFFFFF" w:themeColor="background1"/>
                          <w:sz w:val="22"/>
                          <w:lang w:val="es-ES"/>
                        </w:rPr>
                        <w:t>OEA/Ser.L/V/II</w:t>
                      </w:r>
                    </w:p>
                    <w:p w14:paraId="6A41611B" w14:textId="049DB022" w:rsidR="00627C9F" w:rsidRPr="009E7022" w:rsidRDefault="00627C9F" w:rsidP="007A5817">
                      <w:pPr>
                        <w:spacing w:line="276" w:lineRule="auto"/>
                        <w:jc w:val="right"/>
                        <w:rPr>
                          <w:rFonts w:asciiTheme="minorHAnsi" w:hAnsiTheme="minorHAnsi"/>
                          <w:color w:val="FFFFFF" w:themeColor="background1"/>
                          <w:sz w:val="22"/>
                          <w:lang w:val="es-ES"/>
                        </w:rPr>
                      </w:pPr>
                      <w:r w:rsidRPr="009E7022">
                        <w:rPr>
                          <w:rFonts w:asciiTheme="minorHAnsi" w:hAnsiTheme="minorHAnsi"/>
                          <w:color w:val="FFFFFF" w:themeColor="background1"/>
                          <w:sz w:val="22"/>
                          <w:lang w:val="es-ES"/>
                        </w:rPr>
                        <w:t xml:space="preserve">Doc. </w:t>
                      </w:r>
                      <w:r w:rsidR="00A7638A" w:rsidRPr="009E7022">
                        <w:rPr>
                          <w:rFonts w:asciiTheme="minorHAnsi" w:hAnsiTheme="minorHAnsi"/>
                          <w:color w:val="FFFFFF" w:themeColor="background1"/>
                          <w:sz w:val="22"/>
                          <w:lang w:val="es-ES"/>
                        </w:rPr>
                        <w:t>141</w:t>
                      </w:r>
                    </w:p>
                    <w:p w14:paraId="69373ED2" w14:textId="22090F02" w:rsidR="00627C9F" w:rsidRPr="00C25ADB" w:rsidRDefault="00A7638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701008C1">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6AE8FCF1"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7638A">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A7638A">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A7638A">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6AE8FCF1"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7638A">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A7638A">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A7638A">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071A6CC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0C82A" w14:textId="77777777" w:rsidR="00DE738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7638A" w:rsidRPr="00A7638A">
                              <w:rPr>
                                <w:rFonts w:asciiTheme="majorHAnsi" w:hAnsiTheme="majorHAnsi"/>
                                <w:color w:val="595959" w:themeColor="text1" w:themeTint="A6"/>
                                <w:sz w:val="18"/>
                                <w:szCs w:val="18"/>
                                <w:lang w:val="pt-BR"/>
                              </w:rPr>
                              <w:t>133</w:t>
                            </w:r>
                            <w:r w:rsidR="007B05C4" w:rsidRPr="00A7638A">
                              <w:rPr>
                                <w:rFonts w:asciiTheme="majorHAnsi" w:hAnsiTheme="majorHAnsi"/>
                                <w:color w:val="595959" w:themeColor="text1" w:themeTint="A6"/>
                                <w:sz w:val="18"/>
                                <w:szCs w:val="18"/>
                                <w:lang w:val="pt-BR"/>
                              </w:rPr>
                              <w:t>/</w:t>
                            </w:r>
                            <w:r w:rsidR="00A7638A" w:rsidRPr="00A7638A">
                              <w:rPr>
                                <w:rFonts w:asciiTheme="majorHAnsi" w:hAnsiTheme="majorHAnsi"/>
                                <w:color w:val="595959" w:themeColor="text1" w:themeTint="A6"/>
                                <w:sz w:val="18"/>
                                <w:szCs w:val="18"/>
                                <w:lang w:val="pt-BR"/>
                              </w:rPr>
                              <w:t>24</w:t>
                            </w:r>
                            <w:r w:rsidRPr="00A7638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6222C">
                              <w:rPr>
                                <w:rFonts w:asciiTheme="majorHAnsi" w:hAnsiTheme="majorHAnsi"/>
                                <w:color w:val="595959" w:themeColor="text1" w:themeTint="A6"/>
                                <w:sz w:val="18"/>
                                <w:szCs w:val="18"/>
                                <w:lang w:val="es-ES"/>
                              </w:rPr>
                              <w:t>1366</w:t>
                            </w:r>
                            <w:r w:rsidR="00441E0D">
                              <w:rPr>
                                <w:rFonts w:asciiTheme="majorHAnsi" w:hAnsiTheme="majorHAnsi"/>
                                <w:color w:val="595959" w:themeColor="text1" w:themeTint="A6"/>
                                <w:sz w:val="18"/>
                                <w:szCs w:val="18"/>
                                <w:lang w:val="es-ES"/>
                              </w:rPr>
                              <w:t>-</w:t>
                            </w:r>
                            <w:r w:rsidR="0036222C">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6222C" w:rsidRPr="007B48D1">
                              <w:rPr>
                                <w:rFonts w:asciiTheme="majorHAnsi" w:hAnsiTheme="majorHAnsi"/>
                                <w:color w:val="595959" w:themeColor="text1" w:themeTint="A6"/>
                                <w:sz w:val="18"/>
                                <w:szCs w:val="18"/>
                                <w:lang w:val="es-PE"/>
                              </w:rPr>
                              <w:t>Comunidades Mayas Qʼ</w:t>
                            </w:r>
                            <w:r w:rsidR="006E3E54" w:rsidRPr="007B48D1">
                              <w:rPr>
                                <w:rFonts w:asciiTheme="majorHAnsi" w:hAnsiTheme="majorHAnsi"/>
                                <w:color w:val="595959" w:themeColor="text1" w:themeTint="A6"/>
                                <w:sz w:val="18"/>
                                <w:szCs w:val="18"/>
                                <w:lang w:val="es-PE"/>
                              </w:rPr>
                              <w:t>eqchi de Chicanchiu Chipap, Chiocx, Chisek, Chitem, Samastum, Sesep y Yutbal</w:t>
                            </w:r>
                            <w:r w:rsidRPr="007B48D1">
                              <w:rPr>
                                <w:rFonts w:asciiTheme="majorHAnsi" w:hAnsiTheme="majorHAnsi"/>
                                <w:color w:val="595959" w:themeColor="text1" w:themeTint="A6"/>
                                <w:sz w:val="18"/>
                                <w:szCs w:val="18"/>
                                <w:lang w:val="es-PE"/>
                              </w:rPr>
                              <w:t xml:space="preserve">. </w:t>
                            </w:r>
                            <w:r w:rsidR="0036222C">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p>
                          <w:p w14:paraId="0D1B22CF" w14:textId="6D4CA0C6" w:rsidR="00113F73" w:rsidRPr="007B05C4" w:rsidRDefault="00DE738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3 de septiembre de 2024</w:t>
                            </w:r>
                            <w:r w:rsidR="00113F73" w:rsidRPr="007B05C4">
                              <w:rPr>
                                <w:rFonts w:asciiTheme="majorHAnsi" w:hAnsiTheme="majorHAnsi"/>
                                <w:color w:val="595959" w:themeColor="text1" w:themeTint="A6"/>
                                <w:sz w:val="18"/>
                                <w:szCs w:val="18"/>
                                <w:lang w:val="es-ES"/>
                              </w:rPr>
                              <w:t>.</w:t>
                            </w:r>
                            <w:r w:rsidR="001203DE">
                              <w:rPr>
                                <w:rFonts w:asciiTheme="majorHAnsi" w:hAnsiTheme="majorHAnsi"/>
                                <w:color w:val="595959" w:themeColor="text1" w:themeTint="A6"/>
                                <w:sz w:val="18"/>
                                <w:szCs w:val="18"/>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FC0C82A" w14:textId="77777777" w:rsidR="00DE738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7638A" w:rsidRPr="00A7638A">
                        <w:rPr>
                          <w:rFonts w:asciiTheme="majorHAnsi" w:hAnsiTheme="majorHAnsi"/>
                          <w:color w:val="595959" w:themeColor="text1" w:themeTint="A6"/>
                          <w:sz w:val="18"/>
                          <w:szCs w:val="18"/>
                          <w:lang w:val="pt-BR"/>
                        </w:rPr>
                        <w:t>133</w:t>
                      </w:r>
                      <w:r w:rsidR="007B05C4" w:rsidRPr="00A7638A">
                        <w:rPr>
                          <w:rFonts w:asciiTheme="majorHAnsi" w:hAnsiTheme="majorHAnsi"/>
                          <w:color w:val="595959" w:themeColor="text1" w:themeTint="A6"/>
                          <w:sz w:val="18"/>
                          <w:szCs w:val="18"/>
                          <w:lang w:val="pt-BR"/>
                        </w:rPr>
                        <w:t>/</w:t>
                      </w:r>
                      <w:r w:rsidR="00A7638A" w:rsidRPr="00A7638A">
                        <w:rPr>
                          <w:rFonts w:asciiTheme="majorHAnsi" w:hAnsiTheme="majorHAnsi"/>
                          <w:color w:val="595959" w:themeColor="text1" w:themeTint="A6"/>
                          <w:sz w:val="18"/>
                          <w:szCs w:val="18"/>
                          <w:lang w:val="pt-BR"/>
                        </w:rPr>
                        <w:t>24</w:t>
                      </w:r>
                      <w:r w:rsidRPr="00A7638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6222C">
                        <w:rPr>
                          <w:rFonts w:asciiTheme="majorHAnsi" w:hAnsiTheme="majorHAnsi"/>
                          <w:color w:val="595959" w:themeColor="text1" w:themeTint="A6"/>
                          <w:sz w:val="18"/>
                          <w:szCs w:val="18"/>
                          <w:lang w:val="es-ES"/>
                        </w:rPr>
                        <w:t>1366</w:t>
                      </w:r>
                      <w:r w:rsidR="00441E0D">
                        <w:rPr>
                          <w:rFonts w:asciiTheme="majorHAnsi" w:hAnsiTheme="majorHAnsi"/>
                          <w:color w:val="595959" w:themeColor="text1" w:themeTint="A6"/>
                          <w:sz w:val="18"/>
                          <w:szCs w:val="18"/>
                          <w:lang w:val="es-ES"/>
                        </w:rPr>
                        <w:t>-</w:t>
                      </w:r>
                      <w:r w:rsidR="0036222C">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6222C" w:rsidRPr="007B48D1">
                        <w:rPr>
                          <w:rFonts w:asciiTheme="majorHAnsi" w:hAnsiTheme="majorHAnsi"/>
                          <w:color w:val="595959" w:themeColor="text1" w:themeTint="A6"/>
                          <w:sz w:val="18"/>
                          <w:szCs w:val="18"/>
                          <w:lang w:val="es-PE"/>
                        </w:rPr>
                        <w:t>Comunidades Mayas Qʼ</w:t>
                      </w:r>
                      <w:r w:rsidR="006E3E54" w:rsidRPr="007B48D1">
                        <w:rPr>
                          <w:rFonts w:asciiTheme="majorHAnsi" w:hAnsiTheme="majorHAnsi"/>
                          <w:color w:val="595959" w:themeColor="text1" w:themeTint="A6"/>
                          <w:sz w:val="18"/>
                          <w:szCs w:val="18"/>
                          <w:lang w:val="es-PE"/>
                        </w:rPr>
                        <w:t>eqchi de Chicanchiu Chipap, Chiocx, Chisek, Chitem, Samastum, Sesep y Yutbal</w:t>
                      </w:r>
                      <w:r w:rsidRPr="007B48D1">
                        <w:rPr>
                          <w:rFonts w:asciiTheme="majorHAnsi" w:hAnsiTheme="majorHAnsi"/>
                          <w:color w:val="595959" w:themeColor="text1" w:themeTint="A6"/>
                          <w:sz w:val="18"/>
                          <w:szCs w:val="18"/>
                          <w:lang w:val="es-PE"/>
                        </w:rPr>
                        <w:t xml:space="preserve">. </w:t>
                      </w:r>
                      <w:r w:rsidR="0036222C">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p>
                    <w:p w14:paraId="0D1B22CF" w14:textId="6D4CA0C6" w:rsidR="00113F73" w:rsidRPr="007B05C4" w:rsidRDefault="00DE738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3 de septiembre de 2024</w:t>
                      </w:r>
                      <w:r w:rsidR="00113F73" w:rsidRPr="007B05C4">
                        <w:rPr>
                          <w:rFonts w:asciiTheme="majorHAnsi" w:hAnsiTheme="majorHAnsi"/>
                          <w:color w:val="595959" w:themeColor="text1" w:themeTint="A6"/>
                          <w:sz w:val="18"/>
                          <w:szCs w:val="18"/>
                          <w:lang w:val="es-ES"/>
                        </w:rPr>
                        <w:t>.</w:t>
                      </w:r>
                      <w:r w:rsidR="001203DE">
                        <w:rPr>
                          <w:rFonts w:asciiTheme="majorHAnsi" w:hAnsiTheme="majorHAnsi"/>
                          <w:color w:val="595959" w:themeColor="text1" w:themeTint="A6"/>
                          <w:sz w:val="18"/>
                          <w:szCs w:val="18"/>
                          <w:lang w:val="es-ES"/>
                        </w:rPr>
                        <w:t xml:space="preserve"> </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6D36706" w:rsidR="00D72DC6" w:rsidRPr="00D72DC6" w:rsidRDefault="00594696" w:rsidP="00F02AD1">
                            <w:pPr>
                              <w:rPr>
                                <w:color w:val="FFFFFF" w:themeColor="background1"/>
                                <w14:textFill>
                                  <w14:noFill/>
                                </w14:textFill>
                              </w:rPr>
                            </w:pPr>
                            <w:r>
                              <w:rPr>
                                <w:noProof/>
                                <w:color w:val="FFFFFF" w:themeColor="background1"/>
                              </w:rPr>
                              <w:drawing>
                                <wp:inline distT="0" distB="0" distL="0" distR="0" wp14:anchorId="5724477E" wp14:editId="25D77F59">
                                  <wp:extent cx="1824355" cy="469265"/>
                                  <wp:effectExtent l="0" t="0" r="4445" b="6985"/>
                                  <wp:docPr id="1937279021" name="Picture 19372790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66D36706" w:rsidR="00D72DC6" w:rsidRPr="00D72DC6" w:rsidRDefault="00594696" w:rsidP="00F02AD1">
                      <w:pPr>
                        <w:rPr>
                          <w:color w:val="FFFFFF" w:themeColor="background1"/>
                          <w14:textFill>
                            <w14:noFill/>
                          </w14:textFill>
                        </w:rPr>
                      </w:pPr>
                      <w:r>
                        <w:rPr>
                          <w:noProof/>
                          <w:color w:val="FFFFFF" w:themeColor="background1"/>
                        </w:rPr>
                        <w:drawing>
                          <wp:inline distT="0" distB="0" distL="0" distR="0" wp14:anchorId="5724477E" wp14:editId="25D77F59">
                            <wp:extent cx="1824355" cy="469265"/>
                            <wp:effectExtent l="0" t="0" r="4445" b="6985"/>
                            <wp:docPr id="1937279021" name="Picture 19372790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3D46E1E1" w:rsidR="003239B8" w:rsidRPr="00D13530" w:rsidRDefault="00DC23F5" w:rsidP="00D13530">
            <w:pPr>
              <w:jc w:val="both"/>
              <w:rPr>
                <w:rFonts w:ascii="Cambria" w:hAnsi="Cambria"/>
                <w:bCs/>
                <w:sz w:val="20"/>
                <w:szCs w:val="20"/>
                <w:lang w:val="es-PE"/>
              </w:rPr>
            </w:pPr>
            <w:r w:rsidRPr="00DC23F5">
              <w:rPr>
                <w:rFonts w:ascii="Cambria" w:hAnsi="Cambria"/>
                <w:bCs/>
                <w:sz w:val="20"/>
                <w:szCs w:val="20"/>
                <w:lang w:val="es-PE"/>
              </w:rPr>
              <w:t>Coordinadora Nacional de Viudas de Guatemala</w:t>
            </w:r>
          </w:p>
        </w:tc>
      </w:tr>
      <w:tr w:rsidR="0010186F" w:rsidRPr="001F27DD"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10186F" w:rsidRPr="000D05CB" w:rsidRDefault="00F23B8A" w:rsidP="0010186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DEA462ED34FD4EC7B497A47481F67E24"/>
                </w:placeholder>
                <w:dropDownList>
                  <w:listItem w:value="Choose an item."/>
                  <w:listItem w:displayText="Presunta víctima" w:value="Presunta víctima"/>
                  <w:listItem w:displayText="Presuntas víctimas" w:value="Presuntas víctimas"/>
                </w:dropDownList>
              </w:sdtPr>
              <w:sdtEndPr/>
              <w:sdtContent>
                <w:r w:rsidR="0010186F" w:rsidRPr="000D05CB">
                  <w:rPr>
                    <w:rFonts w:ascii="Cambria" w:hAnsi="Cambria"/>
                    <w:b/>
                    <w:bCs/>
                    <w:color w:val="FFFFFF" w:themeColor="background1"/>
                    <w:sz w:val="20"/>
                    <w:szCs w:val="20"/>
                  </w:rPr>
                  <w:t>Presunta víctima</w:t>
                </w:r>
              </w:sdtContent>
            </w:sdt>
            <w:r w:rsidR="0010186F" w:rsidRPr="000D05CB">
              <w:rPr>
                <w:rFonts w:ascii="Cambria" w:hAnsi="Cambria"/>
                <w:b/>
                <w:bCs/>
                <w:color w:val="FFFFFF" w:themeColor="background1"/>
                <w:sz w:val="20"/>
                <w:szCs w:val="20"/>
              </w:rPr>
              <w:t>:</w:t>
            </w:r>
          </w:p>
        </w:tc>
        <w:tc>
          <w:tcPr>
            <w:tcW w:w="5760" w:type="dxa"/>
            <w:vAlign w:val="center"/>
          </w:tcPr>
          <w:p w14:paraId="4AEBF59E" w14:textId="298F7A92" w:rsidR="0010186F" w:rsidRPr="000D05CB" w:rsidRDefault="0010186F" w:rsidP="0010186F">
            <w:pPr>
              <w:jc w:val="both"/>
              <w:rPr>
                <w:rFonts w:ascii="Cambria" w:hAnsi="Cambria"/>
                <w:bCs/>
                <w:sz w:val="20"/>
                <w:szCs w:val="20"/>
                <w:lang w:val="es-ES"/>
              </w:rPr>
            </w:pPr>
            <w:r w:rsidRPr="0010186F">
              <w:rPr>
                <w:rFonts w:ascii="Cambria" w:hAnsi="Cambria"/>
                <w:bCs/>
                <w:sz w:val="20"/>
                <w:szCs w:val="20"/>
                <w:lang w:val="es-PE"/>
              </w:rPr>
              <w:t>Comunidades Mayas Qʼeqchi de Chicanchiu Chipap, Chiocx, Chisek, Chitem, Samastum, Sesep y Yutbal</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6D37141D" w:rsidR="003239B8" w:rsidRPr="000D05CB" w:rsidRDefault="00DC23F5" w:rsidP="008D2290">
            <w:pPr>
              <w:jc w:val="both"/>
              <w:rPr>
                <w:rFonts w:ascii="Cambria" w:hAnsi="Cambria"/>
                <w:bCs/>
                <w:sz w:val="20"/>
                <w:szCs w:val="20"/>
              </w:rPr>
            </w:pPr>
            <w:r>
              <w:rPr>
                <w:rFonts w:ascii="Cambria" w:hAnsi="Cambria"/>
                <w:bCs/>
                <w:sz w:val="20"/>
                <w:szCs w:val="20"/>
              </w:rPr>
              <w:t>Guatemala</w:t>
            </w:r>
            <w:r w:rsidR="00C65053">
              <w:rPr>
                <w:rStyle w:val="FootnoteReference"/>
                <w:rFonts w:ascii="Cambria" w:hAnsi="Cambria"/>
                <w:bCs/>
                <w:sz w:val="20"/>
                <w:szCs w:val="20"/>
              </w:rPr>
              <w:footnoteReference w:id="2"/>
            </w:r>
          </w:p>
        </w:tc>
      </w:tr>
      <w:tr w:rsidR="00223A29" w:rsidRPr="006F75A2"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20EC60B2" w:rsidR="00223A29" w:rsidRPr="00B40E7E" w:rsidRDefault="007B48D1" w:rsidP="008D2290">
            <w:pPr>
              <w:jc w:val="both"/>
              <w:rPr>
                <w:rFonts w:ascii="Cambria" w:hAnsi="Cambria"/>
                <w:bCs/>
                <w:sz w:val="20"/>
                <w:szCs w:val="20"/>
                <w:lang w:val="es-PE"/>
              </w:rPr>
            </w:pPr>
            <w:r>
              <w:rPr>
                <w:rFonts w:ascii="Cambria" w:hAnsi="Cambria"/>
                <w:bCs/>
                <w:sz w:val="20"/>
                <w:szCs w:val="20"/>
                <w:lang w:val="es-MX"/>
              </w:rPr>
              <w:t>Artículos 8 (garantías judiciales), 21 (derecho a la propiedad privada) y 25 (protección judicial)</w:t>
            </w:r>
            <w:r w:rsidR="00B40E7E">
              <w:rPr>
                <w:rFonts w:ascii="Cambria" w:hAnsi="Cambria"/>
                <w:bCs/>
                <w:sz w:val="20"/>
                <w:szCs w:val="20"/>
                <w:lang w:val="es-MX"/>
              </w:rPr>
              <w:t xml:space="preserve"> </w:t>
            </w:r>
            <w:r w:rsidR="00B40E7E" w:rsidRPr="00946005">
              <w:rPr>
                <w:rFonts w:ascii="Cambria" w:hAnsi="Cambria"/>
                <w:bCs/>
                <w:sz w:val="20"/>
                <w:szCs w:val="20"/>
                <w:lang w:val="es-MX"/>
              </w:rPr>
              <w:t xml:space="preserve">de la </w:t>
            </w:r>
            <w:r w:rsidR="00B40E7E">
              <w:rPr>
                <w:rFonts w:ascii="Cambria" w:hAnsi="Cambria"/>
                <w:bCs/>
                <w:sz w:val="20"/>
                <w:szCs w:val="20"/>
                <w:lang w:val="es-MX"/>
              </w:rPr>
              <w:t>Convención Americana sobre Derechos Humanos</w:t>
            </w:r>
            <w:r w:rsidR="00B40E7E">
              <w:rPr>
                <w:rStyle w:val="FootnoteReference"/>
                <w:rFonts w:ascii="Cambria" w:hAnsi="Cambria"/>
                <w:bCs/>
                <w:sz w:val="20"/>
                <w:szCs w:val="20"/>
                <w:lang w:val="es-MX"/>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0FBEB992" w:rsidR="004C2312" w:rsidRPr="003239B8" w:rsidRDefault="008E2B27" w:rsidP="002625EA">
            <w:pPr>
              <w:jc w:val="both"/>
              <w:rPr>
                <w:rFonts w:ascii="Cambria" w:hAnsi="Cambria"/>
                <w:bCs/>
                <w:sz w:val="20"/>
                <w:szCs w:val="20"/>
                <w:lang w:val="es-ES"/>
              </w:rPr>
            </w:pPr>
            <w:r>
              <w:rPr>
                <w:rFonts w:ascii="Cambria" w:hAnsi="Cambria"/>
                <w:bCs/>
                <w:sz w:val="20"/>
                <w:szCs w:val="20"/>
                <w:lang w:val="es-ES"/>
              </w:rPr>
              <w:t>21 de agosto de 2013</w:t>
            </w:r>
          </w:p>
        </w:tc>
      </w:tr>
      <w:tr w:rsidR="00131425" w:rsidRPr="006F75A2"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39DB480B" w:rsidR="00131425" w:rsidRPr="003239B8" w:rsidRDefault="0054401A" w:rsidP="002625EA">
            <w:pPr>
              <w:jc w:val="both"/>
              <w:rPr>
                <w:rFonts w:ascii="Cambria" w:hAnsi="Cambria"/>
                <w:bCs/>
                <w:sz w:val="20"/>
                <w:szCs w:val="20"/>
                <w:lang w:val="es-ES"/>
              </w:rPr>
            </w:pPr>
            <w:r>
              <w:rPr>
                <w:rFonts w:ascii="Cambria" w:hAnsi="Cambria"/>
                <w:bCs/>
                <w:sz w:val="20"/>
                <w:szCs w:val="20"/>
                <w:lang w:val="es-ES"/>
              </w:rPr>
              <w:t>26 de agosto de 2013</w:t>
            </w:r>
            <w:r w:rsidR="0063537E">
              <w:rPr>
                <w:rFonts w:ascii="Cambria" w:hAnsi="Cambria"/>
                <w:bCs/>
                <w:sz w:val="20"/>
                <w:szCs w:val="20"/>
                <w:lang w:val="es-ES"/>
              </w:rPr>
              <w:t xml:space="preserve"> y 23 de </w:t>
            </w:r>
            <w:r w:rsidR="00366726">
              <w:rPr>
                <w:rFonts w:ascii="Cambria" w:hAnsi="Cambria"/>
                <w:bCs/>
                <w:sz w:val="20"/>
                <w:szCs w:val="20"/>
                <w:lang w:val="es-ES"/>
              </w:rPr>
              <w:t>mayo de 2017</w:t>
            </w:r>
          </w:p>
        </w:tc>
      </w:tr>
      <w:tr w:rsidR="004C2312" w:rsidRPr="001F27DD"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003A1CBA" w:rsidR="004C2312" w:rsidRPr="003239B8" w:rsidRDefault="00366726" w:rsidP="008D2290">
            <w:pPr>
              <w:jc w:val="both"/>
              <w:rPr>
                <w:rFonts w:ascii="Cambria" w:hAnsi="Cambria"/>
                <w:bCs/>
                <w:sz w:val="20"/>
                <w:szCs w:val="20"/>
                <w:lang w:val="es-ES"/>
              </w:rPr>
            </w:pPr>
            <w:r>
              <w:rPr>
                <w:rFonts w:ascii="Cambria" w:hAnsi="Cambria"/>
                <w:bCs/>
                <w:sz w:val="20"/>
                <w:szCs w:val="20"/>
                <w:lang w:val="es-ES"/>
              </w:rPr>
              <w:t>30 de julio de 2018</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1EF9E225" w:rsidR="004C2312" w:rsidRPr="003239B8" w:rsidRDefault="00005D50" w:rsidP="008D2290">
            <w:pPr>
              <w:jc w:val="both"/>
              <w:rPr>
                <w:rFonts w:ascii="Cambria" w:hAnsi="Cambria"/>
                <w:bCs/>
                <w:sz w:val="20"/>
                <w:szCs w:val="20"/>
                <w:lang w:val="es-ES"/>
              </w:rPr>
            </w:pPr>
            <w:r>
              <w:rPr>
                <w:rFonts w:ascii="Cambria" w:hAnsi="Cambria"/>
                <w:bCs/>
                <w:sz w:val="20"/>
                <w:szCs w:val="20"/>
                <w:lang w:val="es-ES"/>
              </w:rPr>
              <w:t>28 de noviembre de 2018</w:t>
            </w:r>
          </w:p>
        </w:tc>
      </w:tr>
      <w:tr w:rsidR="004C2312" w:rsidRPr="001F27DD"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061A4DFD" w:rsidR="004C2312" w:rsidRPr="003239B8" w:rsidRDefault="00CF6C55" w:rsidP="008D2290">
            <w:pPr>
              <w:jc w:val="both"/>
              <w:rPr>
                <w:rFonts w:ascii="Cambria" w:hAnsi="Cambria"/>
                <w:bCs/>
                <w:sz w:val="20"/>
                <w:szCs w:val="20"/>
                <w:lang w:val="es-ES"/>
              </w:rPr>
            </w:pPr>
            <w:r>
              <w:rPr>
                <w:rFonts w:ascii="Cambria" w:hAnsi="Cambria"/>
                <w:bCs/>
                <w:sz w:val="20"/>
                <w:szCs w:val="20"/>
                <w:lang w:val="es-ES"/>
              </w:rPr>
              <w:t>9 de marzo de 2023</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7BC060A1" w:rsidR="001E49E7" w:rsidRPr="003239B8" w:rsidRDefault="00252951" w:rsidP="002625EA">
            <w:pPr>
              <w:jc w:val="both"/>
              <w:rPr>
                <w:rFonts w:ascii="Cambria" w:hAnsi="Cambria"/>
                <w:bCs/>
                <w:sz w:val="20"/>
                <w:szCs w:val="20"/>
                <w:lang w:val="es-ES"/>
              </w:rPr>
            </w:pPr>
            <w:r>
              <w:rPr>
                <w:rFonts w:ascii="Cambria" w:hAnsi="Cambria"/>
                <w:bCs/>
                <w:sz w:val="20"/>
                <w:szCs w:val="20"/>
                <w:lang w:val="es-ES"/>
              </w:rPr>
              <w:t>9 de febrero de 2023</w:t>
            </w:r>
          </w:p>
        </w:tc>
      </w:tr>
      <w:tr w:rsidR="00CF6C55" w:rsidRPr="001F27DD"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CF6C55" w:rsidRPr="003239B8" w:rsidRDefault="00CF6C55" w:rsidP="00CF6C55">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24E176E2" w14:textId="25210EA1" w:rsidR="00CF6C55" w:rsidRPr="003239B8" w:rsidRDefault="00CF6C55" w:rsidP="00CF6C55">
            <w:pPr>
              <w:jc w:val="both"/>
              <w:rPr>
                <w:rFonts w:ascii="Cambria" w:hAnsi="Cambria"/>
                <w:bCs/>
                <w:sz w:val="20"/>
                <w:szCs w:val="20"/>
                <w:lang w:val="es-ES"/>
              </w:rPr>
            </w:pPr>
            <w:r>
              <w:rPr>
                <w:rFonts w:ascii="Cambria" w:hAnsi="Cambria"/>
                <w:bCs/>
                <w:sz w:val="20"/>
                <w:szCs w:val="20"/>
                <w:lang w:val="es-ES"/>
              </w:rPr>
              <w:t>9 de marzo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1B2B6B">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42A60B2D" w:rsidR="003239B8" w:rsidRPr="00B3745F" w:rsidRDefault="00881C19"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1B2B6B">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7AE94AF7" w:rsidR="003239B8" w:rsidRPr="00B3745F" w:rsidRDefault="00881C19"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1B2B6B">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5C24CD5D" w:rsidR="003239B8" w:rsidRPr="00B3745F" w:rsidRDefault="00881C19" w:rsidP="008D2290">
            <w:pPr>
              <w:rPr>
                <w:rFonts w:ascii="Cambria" w:hAnsi="Cambria"/>
                <w:bCs/>
                <w:sz w:val="20"/>
                <w:szCs w:val="20"/>
              </w:rPr>
            </w:pPr>
            <w:r>
              <w:rPr>
                <w:rFonts w:ascii="Cambria" w:hAnsi="Cambria"/>
                <w:bCs/>
                <w:sz w:val="20"/>
                <w:szCs w:val="20"/>
              </w:rPr>
              <w:t>Sí</w:t>
            </w:r>
          </w:p>
        </w:tc>
      </w:tr>
      <w:tr w:rsidR="003239B8" w:rsidRPr="006F75A2" w14:paraId="30ABEC3E" w14:textId="77777777" w:rsidTr="001B2B6B">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3760EF15" w:rsidR="003239B8" w:rsidRPr="00B3745F" w:rsidRDefault="00986A75"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el </w:t>
            </w:r>
            <w:r w:rsidR="00394468">
              <w:rPr>
                <w:rFonts w:ascii="Cambria" w:hAnsi="Cambria"/>
                <w:bCs/>
                <w:sz w:val="20"/>
                <w:szCs w:val="20"/>
                <w:lang w:val="es-ES"/>
              </w:rPr>
              <w:t>25 de mayo de 1978)</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B90A68" w14:paraId="1231C988" w14:textId="77777777" w:rsidTr="001B2B6B">
        <w:trPr>
          <w:cantSplit/>
        </w:trPr>
        <w:tc>
          <w:tcPr>
            <w:tcW w:w="3564"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3" w:type="dxa"/>
            <w:vAlign w:val="center"/>
          </w:tcPr>
          <w:p w14:paraId="240941E6" w14:textId="32958266" w:rsidR="00EE00E9" w:rsidRPr="00DC24E3" w:rsidRDefault="00785F68" w:rsidP="008D2290">
            <w:pPr>
              <w:jc w:val="both"/>
              <w:rPr>
                <w:rFonts w:ascii="Cambria" w:hAnsi="Cambria"/>
                <w:bCs/>
                <w:sz w:val="20"/>
                <w:szCs w:val="20"/>
                <w:lang w:val="es-ES"/>
              </w:rPr>
            </w:pPr>
            <w:r>
              <w:rPr>
                <w:rFonts w:ascii="Cambria" w:hAnsi="Cambria"/>
                <w:bCs/>
                <w:sz w:val="20"/>
                <w:szCs w:val="20"/>
                <w:lang w:val="es-ES"/>
              </w:rPr>
              <w:t>No</w:t>
            </w:r>
          </w:p>
        </w:tc>
      </w:tr>
      <w:tr w:rsidR="003239B8" w:rsidRPr="006F75A2" w14:paraId="15FAA7D1" w14:textId="77777777" w:rsidTr="001B2B6B">
        <w:trPr>
          <w:cantSplit/>
        </w:trPr>
        <w:tc>
          <w:tcPr>
            <w:tcW w:w="3564"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3" w:type="dxa"/>
            <w:vAlign w:val="center"/>
          </w:tcPr>
          <w:p w14:paraId="6310C8F7" w14:textId="61FBD3E2" w:rsidR="003239B8" w:rsidRPr="00973FD9" w:rsidRDefault="00973FD9" w:rsidP="008D2290">
            <w:pPr>
              <w:jc w:val="both"/>
              <w:rPr>
                <w:rFonts w:ascii="Cambria" w:hAnsi="Cambria"/>
                <w:bCs/>
                <w:sz w:val="20"/>
                <w:szCs w:val="20"/>
                <w:lang w:val="es-PE"/>
              </w:rPr>
            </w:pPr>
            <w:r>
              <w:rPr>
                <w:rFonts w:ascii="Cambria" w:hAnsi="Cambria"/>
                <w:bCs/>
                <w:sz w:val="20"/>
                <w:szCs w:val="20"/>
                <w:lang w:val="es-MX"/>
              </w:rPr>
              <w:t>Artículos 8 (garantías judiciales), 13 (</w:t>
            </w:r>
            <w:r w:rsidR="00C208EE">
              <w:rPr>
                <w:rFonts w:ascii="Cambria" w:hAnsi="Cambria"/>
                <w:bCs/>
                <w:sz w:val="20"/>
                <w:szCs w:val="20"/>
                <w:lang w:val="es-MX"/>
              </w:rPr>
              <w:t>l</w:t>
            </w:r>
            <w:r w:rsidR="00C208EE" w:rsidRPr="00C208EE">
              <w:rPr>
                <w:rFonts w:ascii="Cambria" w:hAnsi="Cambria"/>
                <w:bCs/>
                <w:sz w:val="20"/>
                <w:szCs w:val="20"/>
                <w:lang w:val="es-MX"/>
              </w:rPr>
              <w:t xml:space="preserve">ibertad de </w:t>
            </w:r>
            <w:r w:rsidR="00C208EE">
              <w:rPr>
                <w:rFonts w:ascii="Cambria" w:hAnsi="Cambria"/>
                <w:bCs/>
                <w:sz w:val="20"/>
                <w:szCs w:val="20"/>
                <w:lang w:val="es-MX"/>
              </w:rPr>
              <w:t>p</w:t>
            </w:r>
            <w:r w:rsidR="00C208EE" w:rsidRPr="00C208EE">
              <w:rPr>
                <w:rFonts w:ascii="Cambria" w:hAnsi="Cambria"/>
                <w:bCs/>
                <w:sz w:val="20"/>
                <w:szCs w:val="20"/>
                <w:lang w:val="es-MX"/>
              </w:rPr>
              <w:t xml:space="preserve">ensamiento y de </w:t>
            </w:r>
            <w:r w:rsidR="00C208EE">
              <w:rPr>
                <w:rFonts w:ascii="Cambria" w:hAnsi="Cambria"/>
                <w:bCs/>
                <w:sz w:val="20"/>
                <w:szCs w:val="20"/>
                <w:lang w:val="es-MX"/>
              </w:rPr>
              <w:t>e</w:t>
            </w:r>
            <w:r w:rsidR="00C208EE" w:rsidRPr="00C208EE">
              <w:rPr>
                <w:rFonts w:ascii="Cambria" w:hAnsi="Cambria"/>
                <w:bCs/>
                <w:sz w:val="20"/>
                <w:szCs w:val="20"/>
                <w:lang w:val="es-MX"/>
              </w:rPr>
              <w:t>xpresión</w:t>
            </w:r>
            <w:r w:rsidR="00C208EE">
              <w:rPr>
                <w:rFonts w:ascii="Cambria" w:hAnsi="Cambria"/>
                <w:bCs/>
                <w:sz w:val="20"/>
                <w:szCs w:val="20"/>
                <w:lang w:val="es-MX"/>
              </w:rPr>
              <w:t>)</w:t>
            </w:r>
            <w:r>
              <w:rPr>
                <w:rFonts w:ascii="Cambria" w:hAnsi="Cambria"/>
                <w:bCs/>
                <w:sz w:val="20"/>
                <w:szCs w:val="20"/>
                <w:lang w:val="es-MX"/>
              </w:rPr>
              <w:t xml:space="preserve"> 21 (derecho a la propiedad privada)</w:t>
            </w:r>
            <w:r w:rsidR="00C208EE">
              <w:rPr>
                <w:rFonts w:ascii="Cambria" w:hAnsi="Cambria"/>
                <w:bCs/>
                <w:sz w:val="20"/>
                <w:szCs w:val="20"/>
                <w:lang w:val="es-MX"/>
              </w:rPr>
              <w:t>, 23 (derechos políticos)</w:t>
            </w:r>
            <w:r w:rsidR="00A02F13">
              <w:rPr>
                <w:rFonts w:ascii="Cambria" w:hAnsi="Cambria"/>
                <w:bCs/>
                <w:sz w:val="20"/>
                <w:szCs w:val="20"/>
                <w:lang w:val="es-MX"/>
              </w:rPr>
              <w:t xml:space="preserve">, </w:t>
            </w:r>
            <w:r>
              <w:rPr>
                <w:rFonts w:ascii="Cambria" w:hAnsi="Cambria"/>
                <w:bCs/>
                <w:sz w:val="20"/>
                <w:szCs w:val="20"/>
                <w:lang w:val="es-MX"/>
              </w:rPr>
              <w:t>25 (protección judicial)</w:t>
            </w:r>
            <w:r w:rsidR="00A02F13">
              <w:rPr>
                <w:rFonts w:ascii="Cambria" w:hAnsi="Cambria"/>
                <w:bCs/>
                <w:sz w:val="20"/>
                <w:szCs w:val="20"/>
                <w:lang w:val="es-MX"/>
              </w:rPr>
              <w:t xml:space="preserve"> y 26 (derechos económicos, sociales, culturales y medio ambientales)</w:t>
            </w:r>
            <w:r>
              <w:rPr>
                <w:rFonts w:ascii="Cambria" w:hAnsi="Cambria"/>
                <w:bCs/>
                <w:sz w:val="20"/>
                <w:szCs w:val="20"/>
                <w:lang w:val="es-MX"/>
              </w:rPr>
              <w:t xml:space="preserve"> </w:t>
            </w:r>
            <w:r w:rsidRPr="00946005">
              <w:rPr>
                <w:rFonts w:ascii="Cambria" w:hAnsi="Cambria"/>
                <w:bCs/>
                <w:sz w:val="20"/>
                <w:szCs w:val="20"/>
                <w:lang w:val="es-MX"/>
              </w:rPr>
              <w:t xml:space="preserve">de la </w:t>
            </w:r>
            <w:r>
              <w:rPr>
                <w:rFonts w:ascii="Cambria" w:hAnsi="Cambria"/>
                <w:bCs/>
                <w:sz w:val="20"/>
                <w:szCs w:val="20"/>
                <w:lang w:val="es-MX"/>
              </w:rPr>
              <w:t>Convención Americana</w:t>
            </w:r>
          </w:p>
        </w:tc>
      </w:tr>
      <w:tr w:rsidR="003239B8" w:rsidRPr="006F75A2" w14:paraId="4EFD141E" w14:textId="77777777" w:rsidTr="001B2B6B">
        <w:trPr>
          <w:cantSplit/>
        </w:trPr>
        <w:tc>
          <w:tcPr>
            <w:tcW w:w="3564"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3" w:type="dxa"/>
            <w:vAlign w:val="center"/>
          </w:tcPr>
          <w:p w14:paraId="69C53E8A" w14:textId="2A840971" w:rsidR="003239B8" w:rsidRPr="00DC24E3" w:rsidRDefault="006832B9"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6F75A2" w14:paraId="52B5BA17" w14:textId="77777777" w:rsidTr="001B2B6B">
        <w:trPr>
          <w:cantSplit/>
        </w:trPr>
        <w:tc>
          <w:tcPr>
            <w:tcW w:w="3564"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3" w:type="dxa"/>
            <w:vAlign w:val="center"/>
          </w:tcPr>
          <w:p w14:paraId="4A2A4569" w14:textId="64863C01" w:rsidR="003239B8" w:rsidRPr="006832B9" w:rsidRDefault="006832B9" w:rsidP="008D2290">
            <w:pPr>
              <w:rPr>
                <w:rFonts w:ascii="Cambria" w:hAnsi="Cambria"/>
                <w:bCs/>
                <w:sz w:val="20"/>
                <w:szCs w:val="20"/>
                <w:lang w:val="es-PE"/>
              </w:rPr>
            </w:pPr>
            <w:r w:rsidRPr="006832B9">
              <w:rPr>
                <w:rFonts w:ascii="Cambria" w:hAnsi="Cambria"/>
                <w:bCs/>
                <w:sz w:val="20"/>
                <w:szCs w:val="20"/>
                <w:lang w:val="es-PE"/>
              </w:rPr>
              <w:t>Sí, en los términos d</w:t>
            </w:r>
            <w:r>
              <w:rPr>
                <w:rFonts w:ascii="Cambria" w:hAnsi="Cambria"/>
                <w:bCs/>
                <w:sz w:val="20"/>
                <w:szCs w:val="20"/>
                <w:lang w:val="es-PE"/>
              </w:rPr>
              <w:t>e la sección VI</w:t>
            </w:r>
          </w:p>
        </w:tc>
      </w:tr>
    </w:tbl>
    <w:p w14:paraId="67EF5996" w14:textId="77777777" w:rsidR="00CA0A6B" w:rsidRDefault="00CA0A6B" w:rsidP="003239B8">
      <w:pPr>
        <w:spacing w:before="240" w:after="240"/>
        <w:ind w:firstLine="720"/>
        <w:jc w:val="both"/>
        <w:rPr>
          <w:rFonts w:asciiTheme="majorHAnsi" w:hAnsiTheme="majorHAnsi"/>
          <w:b/>
          <w:sz w:val="20"/>
          <w:szCs w:val="20"/>
          <w:lang w:val="es-UY"/>
        </w:rPr>
      </w:pPr>
    </w:p>
    <w:p w14:paraId="6DE8FDF3" w14:textId="77777777" w:rsidR="00CA0A6B" w:rsidRDefault="00CA0A6B" w:rsidP="003239B8">
      <w:pPr>
        <w:spacing w:before="240" w:after="240"/>
        <w:ind w:firstLine="720"/>
        <w:jc w:val="both"/>
        <w:rPr>
          <w:rFonts w:asciiTheme="majorHAnsi" w:hAnsiTheme="majorHAnsi"/>
          <w:b/>
          <w:sz w:val="20"/>
          <w:szCs w:val="20"/>
          <w:lang w:val="es-UY"/>
        </w:rPr>
      </w:pPr>
    </w:p>
    <w:p w14:paraId="18E6423B" w14:textId="644CB5D8" w:rsidR="003239B8" w:rsidRPr="0047216C" w:rsidRDefault="00223A29" w:rsidP="003239B8">
      <w:pPr>
        <w:spacing w:before="240" w:after="240"/>
        <w:ind w:firstLine="720"/>
        <w:jc w:val="both"/>
        <w:rPr>
          <w:rFonts w:asciiTheme="majorHAnsi" w:hAnsiTheme="majorHAnsi"/>
          <w:b/>
          <w:sz w:val="20"/>
          <w:szCs w:val="20"/>
          <w:lang w:val="es-ES"/>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sidRPr="0047216C">
        <w:rPr>
          <w:rFonts w:asciiTheme="majorHAnsi" w:hAnsiTheme="majorHAnsi"/>
          <w:b/>
          <w:sz w:val="20"/>
          <w:szCs w:val="20"/>
          <w:lang w:val="es-ES"/>
        </w:rPr>
        <w:t>POSICIÓN DE LAS PARTES</w:t>
      </w:r>
    </w:p>
    <w:p w14:paraId="0A48138E" w14:textId="5F040931" w:rsidR="00BE70B9" w:rsidRPr="0047216C" w:rsidRDefault="001B2B6B" w:rsidP="003239B8">
      <w:pPr>
        <w:spacing w:before="240" w:after="240"/>
        <w:ind w:firstLine="720"/>
        <w:jc w:val="both"/>
        <w:rPr>
          <w:rFonts w:asciiTheme="majorHAnsi" w:hAnsiTheme="majorHAnsi"/>
          <w:b/>
          <w:sz w:val="20"/>
          <w:szCs w:val="20"/>
          <w:lang w:val="es-ES"/>
        </w:rPr>
      </w:pPr>
      <w:r w:rsidRPr="0047216C">
        <w:rPr>
          <w:rFonts w:asciiTheme="majorHAnsi" w:hAnsiTheme="majorHAnsi"/>
          <w:b/>
          <w:sz w:val="20"/>
          <w:szCs w:val="20"/>
          <w:lang w:val="es-ES"/>
        </w:rPr>
        <w:t>L</w:t>
      </w:r>
      <w:r w:rsidR="00E62B18" w:rsidRPr="0047216C">
        <w:rPr>
          <w:rFonts w:asciiTheme="majorHAnsi" w:hAnsiTheme="majorHAnsi"/>
          <w:b/>
          <w:sz w:val="20"/>
          <w:szCs w:val="20"/>
          <w:lang w:val="es-ES"/>
        </w:rPr>
        <w:t>a</w:t>
      </w:r>
      <w:r w:rsidR="00BE70B9" w:rsidRPr="0047216C">
        <w:rPr>
          <w:rFonts w:asciiTheme="majorHAnsi" w:hAnsiTheme="majorHAnsi"/>
          <w:b/>
          <w:sz w:val="20"/>
          <w:szCs w:val="20"/>
          <w:lang w:val="es-ES"/>
        </w:rPr>
        <w:t xml:space="preserve"> </w:t>
      </w:r>
      <w:r w:rsidRPr="0047216C">
        <w:rPr>
          <w:rFonts w:asciiTheme="majorHAnsi" w:hAnsiTheme="majorHAnsi"/>
          <w:b/>
          <w:sz w:val="20"/>
          <w:szCs w:val="20"/>
          <w:lang w:val="es-ES"/>
        </w:rPr>
        <w:t xml:space="preserve">parte </w:t>
      </w:r>
      <w:r w:rsidR="00BE70B9" w:rsidRPr="0047216C">
        <w:rPr>
          <w:rFonts w:asciiTheme="majorHAnsi" w:hAnsiTheme="majorHAnsi"/>
          <w:b/>
          <w:sz w:val="20"/>
          <w:szCs w:val="20"/>
          <w:lang w:val="es-ES"/>
        </w:rPr>
        <w:t>peticionari</w:t>
      </w:r>
      <w:r w:rsidR="00E62B18" w:rsidRPr="0047216C">
        <w:rPr>
          <w:rFonts w:asciiTheme="majorHAnsi" w:hAnsiTheme="majorHAnsi"/>
          <w:b/>
          <w:sz w:val="20"/>
          <w:szCs w:val="20"/>
          <w:lang w:val="es-ES"/>
        </w:rPr>
        <w:t>a</w:t>
      </w:r>
    </w:p>
    <w:p w14:paraId="4822505C" w14:textId="5C9F7948" w:rsidR="005C14A3" w:rsidRPr="0047216C" w:rsidRDefault="00F15338" w:rsidP="003912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7216C">
        <w:rPr>
          <w:rFonts w:asciiTheme="majorHAnsi" w:eastAsia="Times New Roman" w:hAnsiTheme="majorHAnsi"/>
          <w:sz w:val="20"/>
          <w:szCs w:val="20"/>
          <w:bdr w:val="none" w:sz="0" w:space="0" w:color="auto"/>
          <w:lang w:val="es-ES" w:eastAsia="es-PE"/>
        </w:rPr>
        <w:t xml:space="preserve">La parte peticionaria cuestiona que el Estado autorizó la </w:t>
      </w:r>
      <w:r w:rsidR="006B1DE4" w:rsidRPr="0047216C">
        <w:rPr>
          <w:rFonts w:asciiTheme="majorHAnsi" w:eastAsia="Times New Roman" w:hAnsiTheme="majorHAnsi"/>
          <w:sz w:val="20"/>
          <w:szCs w:val="20"/>
          <w:bdr w:val="none" w:sz="0" w:space="0" w:color="auto"/>
          <w:lang w:val="es-ES" w:eastAsia="es-PE"/>
        </w:rPr>
        <w:t xml:space="preserve">construcción de una </w:t>
      </w:r>
      <w:r w:rsidR="00AB2A5D">
        <w:rPr>
          <w:rFonts w:asciiTheme="majorHAnsi" w:eastAsia="Times New Roman" w:hAnsiTheme="majorHAnsi"/>
          <w:sz w:val="20"/>
          <w:szCs w:val="20"/>
          <w:bdr w:val="none" w:sz="0" w:space="0" w:color="auto"/>
          <w:lang w:val="es-ES" w:eastAsia="es-PE"/>
        </w:rPr>
        <w:t xml:space="preserve">central </w:t>
      </w:r>
      <w:r w:rsidR="006B1DE4" w:rsidRPr="0047216C">
        <w:rPr>
          <w:rFonts w:asciiTheme="majorHAnsi" w:eastAsia="Times New Roman" w:hAnsiTheme="majorHAnsi"/>
          <w:sz w:val="20"/>
          <w:szCs w:val="20"/>
          <w:bdr w:val="none" w:sz="0" w:space="0" w:color="auto"/>
          <w:lang w:val="es-ES" w:eastAsia="es-PE"/>
        </w:rPr>
        <w:t>hidroeléctrica</w:t>
      </w:r>
      <w:r w:rsidRPr="0047216C">
        <w:rPr>
          <w:rFonts w:asciiTheme="majorHAnsi" w:eastAsia="Times New Roman" w:hAnsiTheme="majorHAnsi"/>
          <w:sz w:val="20"/>
          <w:szCs w:val="20"/>
          <w:bdr w:val="none" w:sz="0" w:space="0" w:color="auto"/>
          <w:lang w:val="es-ES" w:eastAsia="es-PE"/>
        </w:rPr>
        <w:t xml:space="preserve"> que afecta el territorio donde residen las presuntas víctimas sin haberles consultado previamente. </w:t>
      </w:r>
      <w:r w:rsidR="00606E25" w:rsidRPr="0047216C">
        <w:rPr>
          <w:rFonts w:asciiTheme="majorHAnsi" w:eastAsia="Times New Roman" w:hAnsiTheme="majorHAnsi"/>
          <w:sz w:val="20"/>
          <w:szCs w:val="20"/>
          <w:bdr w:val="none" w:sz="0" w:space="0" w:color="auto"/>
          <w:lang w:val="es-ES" w:eastAsia="es-PE"/>
        </w:rPr>
        <w:t>Reclama</w:t>
      </w:r>
      <w:r w:rsidRPr="0047216C">
        <w:rPr>
          <w:rFonts w:asciiTheme="majorHAnsi" w:eastAsia="Times New Roman" w:hAnsiTheme="majorHAnsi"/>
          <w:sz w:val="20"/>
          <w:szCs w:val="20"/>
          <w:bdr w:val="none" w:sz="0" w:space="0" w:color="auto"/>
          <w:lang w:val="es-ES" w:eastAsia="es-PE"/>
        </w:rPr>
        <w:t xml:space="preserve"> </w:t>
      </w:r>
      <w:r w:rsidR="00C65053" w:rsidRPr="0047216C">
        <w:rPr>
          <w:rFonts w:asciiTheme="majorHAnsi" w:eastAsia="Times New Roman" w:hAnsiTheme="majorHAnsi"/>
          <w:sz w:val="20"/>
          <w:szCs w:val="20"/>
          <w:bdr w:val="none" w:sz="0" w:space="0" w:color="auto"/>
          <w:lang w:val="es-ES" w:eastAsia="es-PE"/>
        </w:rPr>
        <w:t>que,</w:t>
      </w:r>
      <w:r w:rsidRPr="0047216C">
        <w:rPr>
          <w:rFonts w:asciiTheme="majorHAnsi" w:eastAsia="Times New Roman" w:hAnsiTheme="majorHAnsi"/>
          <w:sz w:val="20"/>
          <w:szCs w:val="20"/>
          <w:bdr w:val="none" w:sz="0" w:space="0" w:color="auto"/>
          <w:lang w:val="es-ES" w:eastAsia="es-PE"/>
        </w:rPr>
        <w:t xml:space="preserve"> aunque la Corte de Constitucionalidad </w:t>
      </w:r>
      <w:r w:rsidR="00070685" w:rsidRPr="0047216C">
        <w:rPr>
          <w:rFonts w:asciiTheme="majorHAnsi" w:eastAsia="Times New Roman" w:hAnsiTheme="majorHAnsi"/>
          <w:sz w:val="20"/>
          <w:szCs w:val="20"/>
          <w:bdr w:val="none" w:sz="0" w:space="0" w:color="auto"/>
          <w:lang w:val="es-ES" w:eastAsia="es-PE"/>
        </w:rPr>
        <w:t xml:space="preserve">dictó una sentencia en su favor esta </w:t>
      </w:r>
      <w:r w:rsidR="00CD7198" w:rsidRPr="0047216C">
        <w:rPr>
          <w:rFonts w:asciiTheme="majorHAnsi" w:eastAsia="Times New Roman" w:hAnsiTheme="majorHAnsi"/>
          <w:sz w:val="20"/>
          <w:szCs w:val="20"/>
          <w:bdr w:val="none" w:sz="0" w:space="0" w:color="auto"/>
          <w:lang w:val="es-ES" w:eastAsia="es-PE"/>
        </w:rPr>
        <w:t>aún</w:t>
      </w:r>
      <w:r w:rsidR="00070685" w:rsidRPr="0047216C">
        <w:rPr>
          <w:rFonts w:asciiTheme="majorHAnsi" w:eastAsia="Times New Roman" w:hAnsiTheme="majorHAnsi"/>
          <w:sz w:val="20"/>
          <w:szCs w:val="20"/>
          <w:bdr w:val="none" w:sz="0" w:space="0" w:color="auto"/>
          <w:lang w:val="es-ES" w:eastAsia="es-PE"/>
        </w:rPr>
        <w:t xml:space="preserve"> no ha sido cumplida</w:t>
      </w:r>
      <w:r w:rsidRPr="0047216C">
        <w:rPr>
          <w:rFonts w:asciiTheme="majorHAnsi" w:eastAsia="Times New Roman" w:hAnsiTheme="majorHAnsi"/>
          <w:sz w:val="20"/>
          <w:szCs w:val="20"/>
          <w:bdr w:val="none" w:sz="0" w:space="0" w:color="auto"/>
          <w:lang w:val="es-ES" w:eastAsia="es-PE"/>
        </w:rPr>
        <w:t>.</w:t>
      </w:r>
    </w:p>
    <w:p w14:paraId="16D3BBE7" w14:textId="3D0F1BAA" w:rsidR="00391285" w:rsidRPr="0047216C" w:rsidRDefault="003F293D" w:rsidP="003912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7216C">
        <w:rPr>
          <w:rFonts w:ascii="Cambria" w:hAnsi="Cambria"/>
          <w:sz w:val="20"/>
          <w:szCs w:val="20"/>
          <w:lang w:val="es-ES"/>
        </w:rPr>
        <w:t>L</w:t>
      </w:r>
      <w:r w:rsidR="00391285" w:rsidRPr="0047216C">
        <w:rPr>
          <w:rFonts w:ascii="Cambria" w:hAnsi="Cambria"/>
          <w:sz w:val="20"/>
          <w:szCs w:val="20"/>
          <w:lang w:val="es-ES"/>
        </w:rPr>
        <w:t xml:space="preserve">as presuntas víctimas son comunidades indígenas pertenecientes al pueblo Maya Q'eqchi', ubicadas en las riberas del río Lanquín, en el municipio de San Agustín Lanquín, </w:t>
      </w:r>
      <w:r w:rsidR="00697647" w:rsidRPr="0047216C">
        <w:rPr>
          <w:rFonts w:ascii="Cambria" w:hAnsi="Cambria"/>
          <w:sz w:val="20"/>
          <w:szCs w:val="20"/>
          <w:lang w:val="es-ES"/>
        </w:rPr>
        <w:t xml:space="preserve">en el </w:t>
      </w:r>
      <w:r w:rsidR="00391285" w:rsidRPr="0047216C">
        <w:rPr>
          <w:rFonts w:ascii="Cambria" w:hAnsi="Cambria"/>
          <w:sz w:val="20"/>
          <w:szCs w:val="20"/>
          <w:lang w:val="es-ES"/>
        </w:rPr>
        <w:t xml:space="preserve">departamento de Alta Verapaz. </w:t>
      </w:r>
      <w:r w:rsidR="00697647" w:rsidRPr="0047216C">
        <w:rPr>
          <w:rFonts w:ascii="Cambria" w:hAnsi="Cambria"/>
          <w:sz w:val="20"/>
          <w:szCs w:val="20"/>
          <w:lang w:val="es-ES"/>
        </w:rPr>
        <w:t xml:space="preserve">Estas </w:t>
      </w:r>
      <w:r w:rsidR="00B80F79" w:rsidRPr="0047216C">
        <w:rPr>
          <w:rFonts w:ascii="Cambria" w:hAnsi="Cambria"/>
          <w:sz w:val="20"/>
          <w:szCs w:val="20"/>
          <w:lang w:val="es-ES"/>
        </w:rPr>
        <w:t>personas</w:t>
      </w:r>
      <w:r w:rsidR="00391285" w:rsidRPr="0047216C">
        <w:rPr>
          <w:rFonts w:ascii="Cambria" w:hAnsi="Cambria"/>
          <w:sz w:val="20"/>
          <w:szCs w:val="20"/>
          <w:lang w:val="es-ES"/>
        </w:rPr>
        <w:t xml:space="preserve"> dependen para su subsistencia de la agricultura a pequeña escala y la pesca</w:t>
      </w:r>
      <w:r w:rsidR="001203DE">
        <w:rPr>
          <w:rFonts w:ascii="Cambria" w:hAnsi="Cambria"/>
          <w:sz w:val="20"/>
          <w:szCs w:val="20"/>
          <w:lang w:val="es-ES"/>
        </w:rPr>
        <w:t>;</w:t>
      </w:r>
      <w:r w:rsidR="00B80F79" w:rsidRPr="0047216C">
        <w:rPr>
          <w:rFonts w:ascii="Cambria" w:hAnsi="Cambria"/>
          <w:sz w:val="20"/>
          <w:szCs w:val="20"/>
          <w:lang w:val="es-ES"/>
        </w:rPr>
        <w:t xml:space="preserve"> por esta razón</w:t>
      </w:r>
      <w:r w:rsidR="00391285" w:rsidRPr="0047216C">
        <w:rPr>
          <w:rFonts w:ascii="Cambria" w:hAnsi="Cambria"/>
          <w:sz w:val="20"/>
          <w:szCs w:val="20"/>
          <w:lang w:val="es-ES"/>
        </w:rPr>
        <w:t xml:space="preserve"> </w:t>
      </w:r>
      <w:r w:rsidR="00B80F79" w:rsidRPr="0047216C">
        <w:rPr>
          <w:rFonts w:ascii="Cambria" w:hAnsi="Cambria"/>
          <w:sz w:val="20"/>
          <w:szCs w:val="20"/>
          <w:lang w:val="es-ES"/>
        </w:rPr>
        <w:t>serían titulares</w:t>
      </w:r>
      <w:r w:rsidR="00391285" w:rsidRPr="0047216C">
        <w:rPr>
          <w:rFonts w:ascii="Cambria" w:hAnsi="Cambria"/>
          <w:sz w:val="20"/>
          <w:szCs w:val="20"/>
          <w:lang w:val="es-ES"/>
        </w:rPr>
        <w:t xml:space="preserve"> de derechos consuetudinarios de aprovechamiento, uso y acceso a las aguas del río.</w:t>
      </w:r>
    </w:p>
    <w:p w14:paraId="6464F2C3" w14:textId="19BDBBF7" w:rsidR="00355DDF" w:rsidRPr="0047216C" w:rsidRDefault="009D4726" w:rsidP="00355DD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7216C">
        <w:rPr>
          <w:rFonts w:ascii="Cambria" w:hAnsi="Cambria"/>
          <w:sz w:val="20"/>
          <w:szCs w:val="20"/>
          <w:lang w:val="es-ES"/>
        </w:rPr>
        <w:t>E</w:t>
      </w:r>
      <w:r w:rsidR="008C4D21" w:rsidRPr="0047216C">
        <w:rPr>
          <w:rFonts w:ascii="Cambria" w:hAnsi="Cambria"/>
          <w:sz w:val="20"/>
          <w:szCs w:val="20"/>
          <w:lang w:val="es-ES"/>
        </w:rPr>
        <w:t xml:space="preserve">n 2008 la empresa </w:t>
      </w:r>
      <w:r w:rsidR="000F6D7B" w:rsidRPr="0047216C">
        <w:rPr>
          <w:rFonts w:ascii="Cambria" w:hAnsi="Cambria"/>
          <w:sz w:val="20"/>
          <w:szCs w:val="20"/>
          <w:lang w:val="es-ES"/>
        </w:rPr>
        <w:t xml:space="preserve">privada </w:t>
      </w:r>
      <w:r w:rsidR="008C4D21" w:rsidRPr="0047216C">
        <w:rPr>
          <w:rFonts w:ascii="Cambria" w:hAnsi="Cambria"/>
          <w:sz w:val="20"/>
          <w:szCs w:val="20"/>
          <w:lang w:val="es-ES"/>
        </w:rPr>
        <w:t>Corrientes del Río S.A. inició las primeras gestiones para implementar el proyecto hidroeléctrico “Entre Ríos”, que prevé la construcción de una central hidroeléctrica de 8.25 MW sobre la confluencia de los ríos Lanquín y Chianay. Para ello, la obra requiere</w:t>
      </w:r>
      <w:r w:rsidR="00864C98" w:rsidRPr="0047216C">
        <w:rPr>
          <w:rFonts w:ascii="Cambria" w:hAnsi="Cambria"/>
          <w:sz w:val="20"/>
          <w:szCs w:val="20"/>
          <w:lang w:val="es-ES"/>
        </w:rPr>
        <w:t xml:space="preserve"> de</w:t>
      </w:r>
      <w:r w:rsidR="008C4D21" w:rsidRPr="0047216C">
        <w:rPr>
          <w:rFonts w:ascii="Cambria" w:hAnsi="Cambria"/>
          <w:sz w:val="20"/>
          <w:szCs w:val="20"/>
          <w:lang w:val="es-ES"/>
        </w:rPr>
        <w:t xml:space="preserve"> la construcción de una presa de derivación de </w:t>
      </w:r>
      <w:r w:rsidR="00F44F6F" w:rsidRPr="0047216C">
        <w:rPr>
          <w:rFonts w:ascii="Cambria" w:hAnsi="Cambria"/>
          <w:sz w:val="20"/>
          <w:szCs w:val="20"/>
          <w:lang w:val="es-ES"/>
        </w:rPr>
        <w:t>siete</w:t>
      </w:r>
      <w:r w:rsidR="008C4D21" w:rsidRPr="0047216C">
        <w:rPr>
          <w:rFonts w:ascii="Cambria" w:hAnsi="Cambria"/>
          <w:sz w:val="20"/>
          <w:szCs w:val="20"/>
          <w:lang w:val="es-ES"/>
        </w:rPr>
        <w:t xml:space="preserve"> metros de altura sobre estos ríos</w:t>
      </w:r>
      <w:r w:rsidR="002258D8">
        <w:rPr>
          <w:rFonts w:ascii="Cambria" w:hAnsi="Cambria"/>
          <w:sz w:val="20"/>
          <w:szCs w:val="20"/>
          <w:lang w:val="es-ES"/>
        </w:rPr>
        <w:t>,</w:t>
      </w:r>
      <w:r w:rsidR="006534EC" w:rsidRPr="0047216C">
        <w:rPr>
          <w:rFonts w:ascii="Cambria" w:hAnsi="Cambria"/>
          <w:sz w:val="20"/>
          <w:szCs w:val="20"/>
          <w:lang w:val="es-ES"/>
        </w:rPr>
        <w:t xml:space="preserve"> para</w:t>
      </w:r>
      <w:r w:rsidR="008C4D21" w:rsidRPr="0047216C">
        <w:rPr>
          <w:rFonts w:ascii="Cambria" w:hAnsi="Cambria"/>
          <w:sz w:val="20"/>
          <w:szCs w:val="20"/>
          <w:lang w:val="es-ES"/>
        </w:rPr>
        <w:t xml:space="preserve"> generar la presión necesaria para la producción de energía eléctrica mediante turbinas.</w:t>
      </w:r>
    </w:p>
    <w:p w14:paraId="43C5A826" w14:textId="220544B4" w:rsidR="00355DDF" w:rsidRPr="0047216C" w:rsidRDefault="00355DDF" w:rsidP="00355DD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7216C">
        <w:rPr>
          <w:rFonts w:asciiTheme="majorHAnsi" w:hAnsiTheme="majorHAnsi"/>
          <w:sz w:val="20"/>
          <w:szCs w:val="20"/>
          <w:lang w:val="es-ES"/>
        </w:rPr>
        <w:t>El 10 de diciembre de 2008</w:t>
      </w:r>
      <w:r w:rsidR="002258D8">
        <w:rPr>
          <w:rFonts w:asciiTheme="majorHAnsi" w:hAnsiTheme="majorHAnsi"/>
          <w:sz w:val="20"/>
          <w:szCs w:val="20"/>
          <w:lang w:val="es-ES"/>
        </w:rPr>
        <w:t>,</w:t>
      </w:r>
      <w:r w:rsidRPr="0047216C">
        <w:rPr>
          <w:rFonts w:asciiTheme="majorHAnsi" w:hAnsiTheme="majorHAnsi"/>
          <w:sz w:val="20"/>
          <w:szCs w:val="20"/>
          <w:lang w:val="es-ES"/>
        </w:rPr>
        <w:t xml:space="preserve"> el representante legal de la empresa Corrientes del Río S.A. solicitó la aprobación del estudio de evaluación de impacto ambiental del proyecto mencionado </w:t>
      </w:r>
      <w:r w:rsidR="0012770A" w:rsidRPr="0047216C">
        <w:rPr>
          <w:rFonts w:asciiTheme="majorHAnsi" w:hAnsiTheme="majorHAnsi"/>
          <w:sz w:val="20"/>
          <w:szCs w:val="20"/>
          <w:lang w:val="es-ES"/>
        </w:rPr>
        <w:t>y</w:t>
      </w:r>
      <w:r w:rsidR="002258D8">
        <w:rPr>
          <w:rFonts w:asciiTheme="majorHAnsi" w:hAnsiTheme="majorHAnsi"/>
          <w:sz w:val="20"/>
          <w:szCs w:val="20"/>
          <w:lang w:val="es-ES"/>
        </w:rPr>
        <w:t>,</w:t>
      </w:r>
      <w:r w:rsidR="0012770A" w:rsidRPr="0047216C">
        <w:rPr>
          <w:rFonts w:asciiTheme="majorHAnsi" w:hAnsiTheme="majorHAnsi"/>
          <w:sz w:val="20"/>
          <w:szCs w:val="20"/>
          <w:lang w:val="es-ES"/>
        </w:rPr>
        <w:t xml:space="preserve"> días después</w:t>
      </w:r>
      <w:r w:rsidRPr="0047216C">
        <w:rPr>
          <w:rFonts w:asciiTheme="majorHAnsi" w:hAnsiTheme="majorHAnsi"/>
          <w:sz w:val="20"/>
          <w:szCs w:val="20"/>
          <w:lang w:val="es-ES"/>
        </w:rPr>
        <w:t xml:space="preserve">, el 28 de enero de 2009, el Ministerio de Ambiente y Recursos Naturales lo autorizó sin realizar ningún procedimiento de consulta a las comunidades afectadas. Asimismo, el 21 de octubre de 2009 la citada compañía </w:t>
      </w:r>
      <w:r w:rsidR="00A40525" w:rsidRPr="0047216C">
        <w:rPr>
          <w:rFonts w:asciiTheme="majorHAnsi" w:hAnsiTheme="majorHAnsi"/>
          <w:sz w:val="20"/>
          <w:szCs w:val="20"/>
          <w:lang w:val="es-ES"/>
        </w:rPr>
        <w:t>requirió</w:t>
      </w:r>
      <w:r w:rsidRPr="0047216C">
        <w:rPr>
          <w:rFonts w:asciiTheme="majorHAnsi" w:hAnsiTheme="majorHAnsi"/>
          <w:sz w:val="20"/>
          <w:szCs w:val="20"/>
          <w:lang w:val="es-ES"/>
        </w:rPr>
        <w:t xml:space="preserve"> utilizar bienes de dominio público en el proceso de instalación de la hidroeléctrica, específicamente el uso de los caudales de los ríos Lanquín y Chianay. El 26 de marzo de 2010 el Departamento de Desarrollo Energético de la Dirección General de Energía determinó que </w:t>
      </w:r>
      <w:r w:rsidR="00E27A16" w:rsidRPr="0047216C">
        <w:rPr>
          <w:rFonts w:asciiTheme="majorHAnsi" w:hAnsiTheme="majorHAnsi"/>
          <w:sz w:val="20"/>
          <w:szCs w:val="20"/>
          <w:lang w:val="es-ES"/>
        </w:rPr>
        <w:t>el pedido</w:t>
      </w:r>
      <w:r w:rsidRPr="0047216C">
        <w:rPr>
          <w:rFonts w:asciiTheme="majorHAnsi" w:hAnsiTheme="majorHAnsi"/>
          <w:sz w:val="20"/>
          <w:szCs w:val="20"/>
          <w:lang w:val="es-ES"/>
        </w:rPr>
        <w:t xml:space="preserve"> cumplía con todos los requisitos previstos por la normativa interna. </w:t>
      </w:r>
      <w:r w:rsidR="00580292" w:rsidRPr="0047216C">
        <w:rPr>
          <w:rFonts w:asciiTheme="majorHAnsi" w:hAnsiTheme="majorHAnsi"/>
          <w:sz w:val="20"/>
          <w:szCs w:val="20"/>
          <w:lang w:val="es-ES"/>
        </w:rPr>
        <w:t>Sobre esta base</w:t>
      </w:r>
      <w:r w:rsidR="002258D8">
        <w:rPr>
          <w:rFonts w:asciiTheme="majorHAnsi" w:hAnsiTheme="majorHAnsi"/>
          <w:sz w:val="20"/>
          <w:szCs w:val="20"/>
          <w:lang w:val="es-ES"/>
        </w:rPr>
        <w:t>,</w:t>
      </w:r>
      <w:r w:rsidRPr="0047216C">
        <w:rPr>
          <w:rFonts w:asciiTheme="majorHAnsi" w:hAnsiTheme="majorHAnsi"/>
          <w:sz w:val="20"/>
          <w:szCs w:val="20"/>
          <w:lang w:val="es-ES"/>
        </w:rPr>
        <w:t xml:space="preserve"> el 4 de agosto de 2010 el Ministerio de Energía y Minas emitió el </w:t>
      </w:r>
      <w:r w:rsidR="00156B49" w:rsidRPr="0047216C">
        <w:rPr>
          <w:rFonts w:asciiTheme="majorHAnsi" w:hAnsiTheme="majorHAnsi"/>
          <w:sz w:val="20"/>
          <w:szCs w:val="20"/>
          <w:lang w:val="es-ES"/>
        </w:rPr>
        <w:t>A</w:t>
      </w:r>
      <w:r w:rsidRPr="0047216C">
        <w:rPr>
          <w:rFonts w:asciiTheme="majorHAnsi" w:hAnsiTheme="majorHAnsi"/>
          <w:sz w:val="20"/>
          <w:szCs w:val="20"/>
          <w:lang w:val="es-ES"/>
        </w:rPr>
        <w:t xml:space="preserve">cuerdo </w:t>
      </w:r>
      <w:r w:rsidR="00156B49" w:rsidRPr="0047216C">
        <w:rPr>
          <w:rFonts w:asciiTheme="majorHAnsi" w:hAnsiTheme="majorHAnsi"/>
          <w:sz w:val="20"/>
          <w:szCs w:val="20"/>
          <w:lang w:val="es-ES"/>
        </w:rPr>
        <w:t>M</w:t>
      </w:r>
      <w:r w:rsidRPr="0047216C">
        <w:rPr>
          <w:rFonts w:asciiTheme="majorHAnsi" w:hAnsiTheme="majorHAnsi"/>
          <w:sz w:val="20"/>
          <w:szCs w:val="20"/>
          <w:lang w:val="es-ES"/>
        </w:rPr>
        <w:t>inisterial No. 146-2010 que</w:t>
      </w:r>
      <w:r w:rsidR="003373FE" w:rsidRPr="0047216C">
        <w:rPr>
          <w:rFonts w:asciiTheme="majorHAnsi" w:hAnsiTheme="majorHAnsi"/>
          <w:sz w:val="20"/>
          <w:szCs w:val="20"/>
          <w:lang w:val="es-ES"/>
        </w:rPr>
        <w:t xml:space="preserve"> le</w:t>
      </w:r>
      <w:r w:rsidRPr="0047216C">
        <w:rPr>
          <w:rFonts w:asciiTheme="majorHAnsi" w:hAnsiTheme="majorHAnsi"/>
          <w:sz w:val="20"/>
          <w:szCs w:val="20"/>
          <w:lang w:val="es-ES"/>
        </w:rPr>
        <w:t xml:space="preserve"> </w:t>
      </w:r>
      <w:r w:rsidR="00E27A16" w:rsidRPr="0047216C">
        <w:rPr>
          <w:rFonts w:asciiTheme="majorHAnsi" w:hAnsiTheme="majorHAnsi"/>
          <w:sz w:val="20"/>
          <w:szCs w:val="20"/>
          <w:lang w:val="es-ES"/>
        </w:rPr>
        <w:t>aprobó</w:t>
      </w:r>
      <w:r w:rsidRPr="0047216C">
        <w:rPr>
          <w:rFonts w:asciiTheme="majorHAnsi" w:hAnsiTheme="majorHAnsi"/>
          <w:sz w:val="20"/>
          <w:szCs w:val="20"/>
          <w:lang w:val="es-ES"/>
        </w:rPr>
        <w:t xml:space="preserve"> a la empresa Corrientes del Río S.A. </w:t>
      </w:r>
      <w:r w:rsidR="003373FE" w:rsidRPr="0047216C">
        <w:rPr>
          <w:rFonts w:asciiTheme="majorHAnsi" w:hAnsiTheme="majorHAnsi"/>
          <w:sz w:val="20"/>
          <w:szCs w:val="20"/>
          <w:lang w:val="es-ES"/>
        </w:rPr>
        <w:t>el uso de</w:t>
      </w:r>
      <w:r w:rsidRPr="0047216C">
        <w:rPr>
          <w:rFonts w:asciiTheme="majorHAnsi" w:hAnsiTheme="majorHAnsi"/>
          <w:sz w:val="20"/>
          <w:szCs w:val="20"/>
          <w:lang w:val="es-ES"/>
        </w:rPr>
        <w:t xml:space="preserve"> bienes de dominio público. </w:t>
      </w:r>
      <w:r w:rsidR="00A40525" w:rsidRPr="0047216C">
        <w:rPr>
          <w:rFonts w:asciiTheme="majorHAnsi" w:hAnsiTheme="majorHAnsi"/>
          <w:sz w:val="20"/>
          <w:szCs w:val="20"/>
          <w:lang w:val="es-ES"/>
        </w:rPr>
        <w:t xml:space="preserve">La parte peticionaria </w:t>
      </w:r>
      <w:r w:rsidR="005C5C34" w:rsidRPr="0047216C">
        <w:rPr>
          <w:rFonts w:asciiTheme="majorHAnsi" w:hAnsiTheme="majorHAnsi"/>
          <w:sz w:val="20"/>
          <w:szCs w:val="20"/>
          <w:lang w:val="es-ES"/>
        </w:rPr>
        <w:t>alega</w:t>
      </w:r>
      <w:r w:rsidRPr="0047216C">
        <w:rPr>
          <w:rFonts w:asciiTheme="majorHAnsi" w:hAnsiTheme="majorHAnsi"/>
          <w:sz w:val="20"/>
          <w:szCs w:val="20"/>
          <w:lang w:val="es-ES"/>
        </w:rPr>
        <w:t xml:space="preserve"> que ninguna de estas decisiones fue consultada con las presuntas víctimas.</w:t>
      </w:r>
    </w:p>
    <w:p w14:paraId="7F00AA29" w14:textId="5D2EABC4" w:rsidR="006725E4" w:rsidRPr="0047216C" w:rsidRDefault="005C5C34" w:rsidP="006725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7216C">
        <w:rPr>
          <w:rFonts w:ascii="Cambria" w:hAnsi="Cambria"/>
          <w:sz w:val="20"/>
          <w:szCs w:val="20"/>
          <w:lang w:val="es-ES"/>
        </w:rPr>
        <w:t>L</w:t>
      </w:r>
      <w:r w:rsidR="008364F8" w:rsidRPr="0047216C">
        <w:rPr>
          <w:rFonts w:ascii="Cambria" w:hAnsi="Cambria"/>
          <w:sz w:val="20"/>
          <w:szCs w:val="20"/>
          <w:lang w:val="es-ES"/>
        </w:rPr>
        <w:t>as presuntas víctimas se enteraron del proyecto en agosto de 2010 de manera indirecta, cuando operarios de la empresa Corrientes del Río S.A. colocaron estacas con banderas rojas en sus tierras. Posteriormente estas personas también construyeron una cerca de aproximadamente 40 m² sin pedir permiso a las comunidades, negándoles el acceso al río Lanquín.</w:t>
      </w:r>
    </w:p>
    <w:p w14:paraId="4B1CE10C" w14:textId="4F5ABDFB" w:rsidR="006725E4" w:rsidRPr="0047216C" w:rsidRDefault="00814DBF" w:rsidP="006725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7216C">
        <w:rPr>
          <w:rFonts w:ascii="Cambria" w:hAnsi="Cambria"/>
          <w:sz w:val="20"/>
          <w:szCs w:val="20"/>
          <w:lang w:val="es-ES"/>
        </w:rPr>
        <w:t>Frente a esta situación</w:t>
      </w:r>
      <w:r w:rsidR="000C5613">
        <w:rPr>
          <w:rFonts w:ascii="Cambria" w:hAnsi="Cambria"/>
          <w:sz w:val="20"/>
          <w:szCs w:val="20"/>
          <w:lang w:val="es-ES"/>
        </w:rPr>
        <w:t>,</w:t>
      </w:r>
      <w:r w:rsidR="006725E4" w:rsidRPr="0047216C">
        <w:rPr>
          <w:rFonts w:ascii="Cambria" w:hAnsi="Cambria"/>
          <w:sz w:val="20"/>
          <w:szCs w:val="20"/>
          <w:lang w:val="es-ES"/>
        </w:rPr>
        <w:t xml:space="preserve"> el 1 de octubre de 2010, los Consejos Comunitarios de Desarrollo de Chicanchiú Chipap, Chiocx, Chisek, Chitem, Samastum Sesep y Yutbal presentaron una acción de amparo contra el Ministerio de Energía y Minas, argumentando que no se respetó el derecho a la consulta previa al emitir el citado acuerdo. </w:t>
      </w:r>
      <w:r w:rsidR="007A237E" w:rsidRPr="0047216C">
        <w:rPr>
          <w:rFonts w:ascii="Cambria" w:hAnsi="Cambria"/>
          <w:sz w:val="20"/>
          <w:szCs w:val="20"/>
          <w:lang w:val="es-ES"/>
        </w:rPr>
        <w:t>Reclamaron</w:t>
      </w:r>
      <w:r w:rsidR="006725E4" w:rsidRPr="0047216C">
        <w:rPr>
          <w:rFonts w:ascii="Cambria" w:hAnsi="Cambria"/>
          <w:sz w:val="20"/>
          <w:szCs w:val="20"/>
          <w:lang w:val="es-ES"/>
        </w:rPr>
        <w:t xml:space="preserve"> que el proyecto hidroeléctrico afectaría a sus comunidades debido a la pérdida del caudal del río, poniendo en peligro especies únicas de flora y fauna del área, y limitando su libertad de circulación por la apropiación de terrenos comunitarios.</w:t>
      </w:r>
    </w:p>
    <w:p w14:paraId="56D4F8D0" w14:textId="192E67A3" w:rsidR="006725E4" w:rsidRPr="0047216C" w:rsidRDefault="000812A9" w:rsidP="000812A9">
      <w:pPr>
        <w:pStyle w:val="ListParagraph"/>
        <w:numPr>
          <w:ilvl w:val="0"/>
          <w:numId w:val="103"/>
        </w:numPr>
        <w:jc w:val="both"/>
        <w:rPr>
          <w:rFonts w:eastAsia="Arial Unicode MS" w:cs="Times New Roman"/>
          <w:color w:val="auto"/>
          <w:sz w:val="20"/>
          <w:szCs w:val="20"/>
          <w:lang w:val="es-ES" w:eastAsia="en-US"/>
        </w:rPr>
      </w:pPr>
      <w:r w:rsidRPr="0047216C">
        <w:rPr>
          <w:rFonts w:eastAsia="Arial Unicode MS" w:cs="Times New Roman"/>
          <w:color w:val="auto"/>
          <w:sz w:val="20"/>
          <w:szCs w:val="20"/>
          <w:lang w:val="es-ES" w:eastAsia="en-US"/>
        </w:rPr>
        <w:t xml:space="preserve">Sin embargo, el 26 de septiembre de 2011 la Corte Suprema de Justicia declaró improcedente la demanda, indicando que las actuaciones del Ministerio de Energía y Minas no vulneraron el derecho a la consulta, ya que actuaron de acuerdo con la normativa interna. Al respecto, el tribunal resaltó que </w:t>
      </w:r>
      <w:r w:rsidR="007642FC">
        <w:rPr>
          <w:rFonts w:eastAsia="Arial Unicode MS" w:cs="Times New Roman"/>
          <w:color w:val="auto"/>
          <w:sz w:val="20"/>
          <w:szCs w:val="20"/>
          <w:lang w:val="es-ES" w:eastAsia="en-US"/>
        </w:rPr>
        <w:t>“</w:t>
      </w:r>
      <w:r w:rsidRPr="0047216C">
        <w:rPr>
          <w:rFonts w:eastAsia="Arial Unicode MS" w:cs="Times New Roman"/>
          <w:i/>
          <w:iCs/>
          <w:color w:val="auto"/>
          <w:sz w:val="20"/>
          <w:szCs w:val="20"/>
          <w:lang w:val="es-ES" w:eastAsia="en-US"/>
        </w:rPr>
        <w:t>el procedimiento para consultar</w:t>
      </w:r>
      <w:r w:rsidRPr="0047216C">
        <w:rPr>
          <w:rFonts w:eastAsia="Arial Unicode MS" w:cs="Times New Roman"/>
          <w:color w:val="auto"/>
          <w:sz w:val="20"/>
          <w:szCs w:val="20"/>
          <w:lang w:val="es-ES" w:eastAsia="en-US"/>
        </w:rPr>
        <w:t xml:space="preserve"> […] </w:t>
      </w:r>
      <w:r w:rsidRPr="0047216C">
        <w:rPr>
          <w:rFonts w:eastAsia="Arial Unicode MS" w:cs="Times New Roman"/>
          <w:i/>
          <w:iCs/>
          <w:color w:val="auto"/>
          <w:sz w:val="20"/>
          <w:szCs w:val="20"/>
          <w:lang w:val="es-ES" w:eastAsia="en-US"/>
        </w:rPr>
        <w:t>se encuentra regulado en el Reglamento de la Ley General de Electricidad, el cual indica que</w:t>
      </w:r>
      <w:r w:rsidRPr="0047216C">
        <w:rPr>
          <w:rFonts w:eastAsia="Arial Unicode MS" w:cs="Times New Roman"/>
          <w:color w:val="auto"/>
          <w:sz w:val="20"/>
          <w:szCs w:val="20"/>
          <w:lang w:val="es-ES" w:eastAsia="en-US"/>
        </w:rPr>
        <w:t xml:space="preserve"> [el citado ministerio] </w:t>
      </w:r>
      <w:r w:rsidRPr="0047216C">
        <w:rPr>
          <w:rFonts w:eastAsia="Arial Unicode MS" w:cs="Times New Roman"/>
          <w:i/>
          <w:iCs/>
          <w:color w:val="auto"/>
          <w:sz w:val="20"/>
          <w:szCs w:val="20"/>
          <w:lang w:val="es-ES" w:eastAsia="en-US"/>
        </w:rPr>
        <w:t>es la autoridad encargada de publicar en el Diario de Centro América y en otro de mayor circulación, la solicitud de autorización de la entidad Corrientes del Río, Sociedad Anónima, para la instalación de la denominada hidroeléctrica Entre Ríos</w:t>
      </w:r>
      <w:r w:rsidR="007642FC">
        <w:rPr>
          <w:rFonts w:eastAsia="Arial Unicode MS" w:cs="Times New Roman"/>
          <w:color w:val="auto"/>
          <w:sz w:val="20"/>
          <w:szCs w:val="20"/>
          <w:lang w:val="es-ES" w:eastAsia="en-US"/>
        </w:rPr>
        <w:t>”</w:t>
      </w:r>
      <w:r w:rsidRPr="0047216C">
        <w:rPr>
          <w:rFonts w:eastAsia="Arial Unicode MS" w:cs="Times New Roman"/>
          <w:color w:val="auto"/>
          <w:sz w:val="20"/>
          <w:szCs w:val="20"/>
          <w:lang w:val="es-ES" w:eastAsia="en-US"/>
        </w:rPr>
        <w:t>.</w:t>
      </w:r>
    </w:p>
    <w:p w14:paraId="1E92E2F6" w14:textId="77777777" w:rsidR="00875A47" w:rsidRPr="0047216C" w:rsidRDefault="00875A47" w:rsidP="00875A47">
      <w:pPr>
        <w:pStyle w:val="ListParagraph"/>
        <w:jc w:val="both"/>
        <w:rPr>
          <w:rFonts w:eastAsia="Arial Unicode MS" w:cs="Times New Roman"/>
          <w:color w:val="auto"/>
          <w:sz w:val="20"/>
          <w:szCs w:val="20"/>
          <w:lang w:val="es-ES" w:eastAsia="en-US"/>
        </w:rPr>
      </w:pPr>
    </w:p>
    <w:p w14:paraId="75E42BC3" w14:textId="2D2CA997" w:rsidR="00BE70B9" w:rsidRPr="0047216C" w:rsidRDefault="00CA7436" w:rsidP="00125D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7216C">
        <w:rPr>
          <w:rFonts w:ascii="Cambria" w:hAnsi="Cambria"/>
          <w:sz w:val="20"/>
          <w:szCs w:val="20"/>
          <w:lang w:val="es-ES"/>
        </w:rPr>
        <w:t xml:space="preserve">Las presuntas víctimas apelaron esta </w:t>
      </w:r>
      <w:r w:rsidR="00E01729" w:rsidRPr="0047216C">
        <w:rPr>
          <w:rFonts w:ascii="Cambria" w:hAnsi="Cambria"/>
          <w:sz w:val="20"/>
          <w:szCs w:val="20"/>
          <w:lang w:val="es-ES"/>
        </w:rPr>
        <w:t>decisión</w:t>
      </w:r>
      <w:r w:rsidR="0056312A" w:rsidRPr="0047216C">
        <w:rPr>
          <w:rFonts w:ascii="Cambria" w:hAnsi="Cambria"/>
          <w:sz w:val="20"/>
          <w:szCs w:val="20"/>
          <w:lang w:val="es-ES"/>
        </w:rPr>
        <w:t>,</w:t>
      </w:r>
      <w:r w:rsidRPr="0047216C">
        <w:rPr>
          <w:rFonts w:ascii="Cambria" w:hAnsi="Cambria"/>
          <w:sz w:val="20"/>
          <w:szCs w:val="20"/>
          <w:lang w:val="es-ES"/>
        </w:rPr>
        <w:t xml:space="preserve"> y el 5 de febrero de 2013 </w:t>
      </w:r>
      <w:r w:rsidR="00540BB4" w:rsidRPr="0047216C">
        <w:rPr>
          <w:rFonts w:ascii="Cambria" w:hAnsi="Cambria"/>
          <w:sz w:val="20"/>
          <w:szCs w:val="20"/>
          <w:lang w:val="es-ES"/>
        </w:rPr>
        <w:t xml:space="preserve">la Corte </w:t>
      </w:r>
      <w:r w:rsidR="00B65477" w:rsidRPr="0047216C">
        <w:rPr>
          <w:rFonts w:ascii="Cambria" w:hAnsi="Cambria"/>
          <w:sz w:val="20"/>
          <w:szCs w:val="20"/>
          <w:lang w:val="es-ES"/>
        </w:rPr>
        <w:t>de Constitucionalidad</w:t>
      </w:r>
      <w:r w:rsidR="006D287F" w:rsidRPr="0047216C">
        <w:rPr>
          <w:rFonts w:ascii="Cambria" w:hAnsi="Cambria"/>
          <w:sz w:val="20"/>
          <w:szCs w:val="20"/>
          <w:lang w:val="es-ES"/>
        </w:rPr>
        <w:t xml:space="preserve"> </w:t>
      </w:r>
      <w:r w:rsidR="00A868D5" w:rsidRPr="0047216C">
        <w:rPr>
          <w:rFonts w:ascii="Cambria" w:hAnsi="Cambria"/>
          <w:sz w:val="20"/>
          <w:szCs w:val="20"/>
          <w:lang w:val="es-ES"/>
        </w:rPr>
        <w:t>declaró fundado parcialmente el recurso</w:t>
      </w:r>
      <w:r w:rsidR="00B90A68" w:rsidRPr="0047216C">
        <w:rPr>
          <w:rFonts w:ascii="Cambria" w:hAnsi="Cambria"/>
          <w:sz w:val="20"/>
          <w:szCs w:val="20"/>
          <w:lang w:val="es-ES"/>
        </w:rPr>
        <w:t xml:space="preserve">. No obstante, </w:t>
      </w:r>
      <w:r w:rsidR="0056312A" w:rsidRPr="0047216C">
        <w:rPr>
          <w:rFonts w:ascii="Cambria" w:hAnsi="Cambria"/>
          <w:sz w:val="20"/>
          <w:szCs w:val="20"/>
          <w:lang w:val="es-ES"/>
        </w:rPr>
        <w:t>esta instancia</w:t>
      </w:r>
      <w:r w:rsidR="00B90A68" w:rsidRPr="0047216C">
        <w:rPr>
          <w:rFonts w:ascii="Cambria" w:hAnsi="Cambria"/>
          <w:sz w:val="20"/>
          <w:szCs w:val="20"/>
          <w:lang w:val="es-ES"/>
        </w:rPr>
        <w:t xml:space="preserve"> no ordenó la suspensión del proyecto, sino que solamente dispuso </w:t>
      </w:r>
      <w:r w:rsidR="00042BB4" w:rsidRPr="0047216C">
        <w:rPr>
          <w:rFonts w:ascii="Cambria" w:hAnsi="Cambria"/>
          <w:sz w:val="20"/>
          <w:szCs w:val="20"/>
          <w:lang w:val="es-ES"/>
        </w:rPr>
        <w:t>que “</w:t>
      </w:r>
      <w:r w:rsidR="00042BB4" w:rsidRPr="0047216C">
        <w:rPr>
          <w:rFonts w:ascii="Cambria" w:hAnsi="Cambria"/>
          <w:i/>
          <w:iCs/>
          <w:sz w:val="20"/>
          <w:szCs w:val="20"/>
          <w:lang w:val="es-ES"/>
        </w:rPr>
        <w:t xml:space="preserve">el Ministerio de Energía y Minas reciba formalmente </w:t>
      </w:r>
      <w:r w:rsidR="00042BB4" w:rsidRPr="0047216C">
        <w:rPr>
          <w:rFonts w:ascii="Cambria" w:hAnsi="Cambria"/>
          <w:i/>
          <w:iCs/>
          <w:sz w:val="20"/>
          <w:szCs w:val="20"/>
          <w:lang w:val="es-ES"/>
        </w:rPr>
        <w:lastRenderedPageBreak/>
        <w:t>el resultado de la consulta hecha a las comunidades postulantes y verificar su contenido</w:t>
      </w:r>
      <w:r w:rsidR="000E3CF1" w:rsidRPr="0047216C">
        <w:rPr>
          <w:rFonts w:ascii="Cambria" w:hAnsi="Cambria"/>
          <w:i/>
          <w:iCs/>
          <w:sz w:val="20"/>
          <w:szCs w:val="20"/>
          <w:lang w:val="es-ES"/>
        </w:rPr>
        <w:t>,</w:t>
      </w:r>
      <w:r w:rsidR="000E3CF1" w:rsidRPr="0047216C">
        <w:rPr>
          <w:rFonts w:ascii="Cambria" w:hAnsi="Cambria"/>
          <w:sz w:val="20"/>
          <w:szCs w:val="20"/>
          <w:lang w:val="es-ES"/>
        </w:rPr>
        <w:t xml:space="preserve"> [a fin </w:t>
      </w:r>
      <w:r w:rsidR="00B71916" w:rsidRPr="0047216C">
        <w:rPr>
          <w:rFonts w:ascii="Cambria" w:hAnsi="Cambria"/>
          <w:sz w:val="20"/>
          <w:szCs w:val="20"/>
          <w:lang w:val="es-ES"/>
        </w:rPr>
        <w:t xml:space="preserve">de </w:t>
      </w:r>
      <w:r w:rsidR="000E3CF1" w:rsidRPr="0047216C">
        <w:rPr>
          <w:rFonts w:ascii="Cambria" w:hAnsi="Cambria"/>
          <w:sz w:val="20"/>
          <w:szCs w:val="20"/>
          <w:lang w:val="es-ES"/>
        </w:rPr>
        <w:t xml:space="preserve">que analice] </w:t>
      </w:r>
      <w:r w:rsidR="000E3CF1" w:rsidRPr="0047216C">
        <w:rPr>
          <w:rFonts w:ascii="Cambria" w:hAnsi="Cambria"/>
          <w:i/>
          <w:iCs/>
          <w:sz w:val="20"/>
          <w:szCs w:val="20"/>
          <w:lang w:val="es-ES"/>
        </w:rPr>
        <w:t>la posibilidad de generar la concreción de acuerdos con las comunidades postulantes, en relación con la protección de la flora y fauna del área donde habrá de desarrollarse el proyecto, debiendo precisar los potenciales riesgos e impactos y los efectos compensatorios a que se obliga la empresa Corrientes del Río, Sociedad An</w:t>
      </w:r>
      <w:r w:rsidR="00BE70B9" w:rsidRPr="0047216C">
        <w:rPr>
          <w:rFonts w:ascii="Cambria" w:hAnsi="Cambria"/>
          <w:i/>
          <w:iCs/>
          <w:sz w:val="20"/>
          <w:szCs w:val="20"/>
          <w:lang w:val="es-ES"/>
        </w:rPr>
        <w:t>ónima, por los posibles daños que pudiera causarse a las comunidades postulantes durante la construcción de la hidroeléctrica Entre Río</w:t>
      </w:r>
      <w:r w:rsidR="006C268A">
        <w:rPr>
          <w:rFonts w:ascii="Cambria" w:hAnsi="Cambria"/>
          <w:i/>
          <w:iCs/>
          <w:sz w:val="20"/>
          <w:szCs w:val="20"/>
          <w:lang w:val="es-ES"/>
        </w:rPr>
        <w:t>s</w:t>
      </w:r>
      <w:r w:rsidR="00BE70B9" w:rsidRPr="0047216C">
        <w:rPr>
          <w:rFonts w:ascii="Cambria" w:hAnsi="Cambria"/>
          <w:sz w:val="20"/>
          <w:szCs w:val="20"/>
          <w:lang w:val="es-ES"/>
        </w:rPr>
        <w:t>”</w:t>
      </w:r>
      <w:r w:rsidR="00B65477" w:rsidRPr="0047216C">
        <w:rPr>
          <w:rFonts w:ascii="Cambria" w:hAnsi="Cambria"/>
          <w:sz w:val="20"/>
          <w:szCs w:val="20"/>
          <w:lang w:val="es-ES"/>
        </w:rPr>
        <w:t>. Esta decisión fue notificada</w:t>
      </w:r>
      <w:r w:rsidR="00B71916" w:rsidRPr="0047216C">
        <w:rPr>
          <w:rFonts w:ascii="Cambria" w:hAnsi="Cambria"/>
          <w:sz w:val="20"/>
          <w:szCs w:val="20"/>
          <w:lang w:val="es-ES"/>
        </w:rPr>
        <w:t xml:space="preserve"> a los accionantes</w:t>
      </w:r>
      <w:r w:rsidR="00B65477" w:rsidRPr="0047216C">
        <w:rPr>
          <w:rFonts w:ascii="Cambria" w:hAnsi="Cambria"/>
          <w:sz w:val="20"/>
          <w:szCs w:val="20"/>
          <w:lang w:val="es-ES"/>
        </w:rPr>
        <w:t xml:space="preserve"> el 21 de febrero de 2013. </w:t>
      </w:r>
    </w:p>
    <w:p w14:paraId="4F5EBCE2" w14:textId="2572D787" w:rsidR="001737AC" w:rsidRPr="0047216C" w:rsidRDefault="00114007" w:rsidP="001737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7216C">
        <w:rPr>
          <w:rFonts w:ascii="Cambria" w:hAnsi="Cambria"/>
          <w:sz w:val="20"/>
          <w:szCs w:val="20"/>
          <w:lang w:val="es-ES"/>
        </w:rPr>
        <w:t xml:space="preserve">La parte peticionaria </w:t>
      </w:r>
      <w:r w:rsidR="00EE6397" w:rsidRPr="0047216C">
        <w:rPr>
          <w:rFonts w:ascii="Cambria" w:hAnsi="Cambria"/>
          <w:sz w:val="20"/>
          <w:szCs w:val="20"/>
          <w:lang w:val="es-ES"/>
        </w:rPr>
        <w:t>señala</w:t>
      </w:r>
      <w:r w:rsidRPr="0047216C">
        <w:rPr>
          <w:rFonts w:ascii="Cambria" w:hAnsi="Cambria"/>
          <w:sz w:val="20"/>
          <w:szCs w:val="20"/>
          <w:lang w:val="es-ES"/>
        </w:rPr>
        <w:t xml:space="preserve"> que</w:t>
      </w:r>
      <w:r w:rsidR="006C268A">
        <w:rPr>
          <w:rFonts w:ascii="Cambria" w:hAnsi="Cambria"/>
          <w:sz w:val="20"/>
          <w:szCs w:val="20"/>
          <w:lang w:val="es-ES"/>
        </w:rPr>
        <w:t>,</w:t>
      </w:r>
      <w:r w:rsidRPr="0047216C">
        <w:rPr>
          <w:rFonts w:ascii="Cambria" w:hAnsi="Cambria"/>
          <w:sz w:val="20"/>
          <w:szCs w:val="20"/>
          <w:lang w:val="es-ES"/>
        </w:rPr>
        <w:t xml:space="preserve"> a</w:t>
      </w:r>
      <w:r w:rsidR="001737AC" w:rsidRPr="0047216C">
        <w:rPr>
          <w:rFonts w:ascii="Cambria" w:hAnsi="Cambria"/>
          <w:sz w:val="20"/>
          <w:szCs w:val="20"/>
          <w:lang w:val="es-ES"/>
        </w:rPr>
        <w:t xml:space="preserve"> pesar de </w:t>
      </w:r>
      <w:r w:rsidRPr="0047216C">
        <w:rPr>
          <w:rFonts w:ascii="Cambria" w:hAnsi="Cambria"/>
          <w:sz w:val="20"/>
          <w:szCs w:val="20"/>
          <w:lang w:val="es-ES"/>
        </w:rPr>
        <w:t xml:space="preserve">la emisión del referido fallo constitucional, a la fecha </w:t>
      </w:r>
      <w:r w:rsidR="00BD6B10" w:rsidRPr="0047216C">
        <w:rPr>
          <w:rFonts w:ascii="Cambria" w:hAnsi="Cambria"/>
          <w:sz w:val="20"/>
          <w:szCs w:val="20"/>
          <w:lang w:val="es-ES"/>
        </w:rPr>
        <w:t xml:space="preserve">las autoridades no han </w:t>
      </w:r>
      <w:r w:rsidR="001737AC" w:rsidRPr="0047216C">
        <w:rPr>
          <w:rFonts w:ascii="Cambria" w:hAnsi="Cambria"/>
          <w:sz w:val="20"/>
          <w:szCs w:val="20"/>
          <w:lang w:val="es-ES"/>
        </w:rPr>
        <w:t>realizado ninguna consulta con las comunidades ni ha</w:t>
      </w:r>
      <w:r w:rsidR="00AB1B33" w:rsidRPr="0047216C">
        <w:rPr>
          <w:rFonts w:ascii="Cambria" w:hAnsi="Cambria"/>
          <w:sz w:val="20"/>
          <w:szCs w:val="20"/>
          <w:lang w:val="es-ES"/>
        </w:rPr>
        <w:t>n</w:t>
      </w:r>
      <w:r w:rsidR="001737AC" w:rsidRPr="0047216C">
        <w:rPr>
          <w:rFonts w:ascii="Cambria" w:hAnsi="Cambria"/>
          <w:sz w:val="20"/>
          <w:szCs w:val="20"/>
          <w:lang w:val="es-ES"/>
        </w:rPr>
        <w:t xml:space="preserve"> procedido a la revisión de la autorización del proyecto hidroeléctrico. </w:t>
      </w:r>
      <w:r w:rsidR="00AB1B33" w:rsidRPr="0047216C">
        <w:rPr>
          <w:rFonts w:ascii="Cambria" w:hAnsi="Cambria"/>
          <w:sz w:val="20"/>
          <w:szCs w:val="20"/>
          <w:lang w:val="es-ES"/>
        </w:rPr>
        <w:t xml:space="preserve">Estas omisiones </w:t>
      </w:r>
      <w:r w:rsidR="00E00CC2" w:rsidRPr="0047216C">
        <w:rPr>
          <w:rFonts w:ascii="Cambria" w:hAnsi="Cambria"/>
          <w:sz w:val="20"/>
          <w:szCs w:val="20"/>
          <w:lang w:val="es-ES"/>
        </w:rPr>
        <w:t xml:space="preserve">mantendrían a </w:t>
      </w:r>
      <w:r w:rsidR="001737AC" w:rsidRPr="0047216C">
        <w:rPr>
          <w:rFonts w:ascii="Cambria" w:hAnsi="Cambria"/>
          <w:sz w:val="20"/>
          <w:szCs w:val="20"/>
          <w:lang w:val="es-ES"/>
        </w:rPr>
        <w:t>las presuntas víctimas en una situación de indefensión</w:t>
      </w:r>
      <w:r w:rsidR="004F6680" w:rsidRPr="0047216C">
        <w:rPr>
          <w:rFonts w:ascii="Cambria" w:hAnsi="Cambria"/>
          <w:sz w:val="20"/>
          <w:szCs w:val="20"/>
          <w:lang w:val="es-ES"/>
        </w:rPr>
        <w:t>.</w:t>
      </w:r>
    </w:p>
    <w:p w14:paraId="6F849401" w14:textId="65AFCE06" w:rsidR="002C23E5" w:rsidRPr="0047216C" w:rsidRDefault="003E62B3" w:rsidP="00DC46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7216C">
        <w:rPr>
          <w:rFonts w:ascii="Cambria" w:hAnsi="Cambria"/>
          <w:sz w:val="20"/>
          <w:szCs w:val="20"/>
          <w:lang w:val="es-ES"/>
        </w:rPr>
        <w:t xml:space="preserve">En suma, la parte peticionaria </w:t>
      </w:r>
      <w:r w:rsidR="00EE6397" w:rsidRPr="0047216C">
        <w:rPr>
          <w:rFonts w:ascii="Cambria" w:hAnsi="Cambria"/>
          <w:sz w:val="20"/>
          <w:szCs w:val="20"/>
          <w:lang w:val="es-ES"/>
        </w:rPr>
        <w:t>denuncia que</w:t>
      </w:r>
      <w:r w:rsidR="00531397">
        <w:rPr>
          <w:rFonts w:ascii="Cambria" w:hAnsi="Cambria"/>
          <w:sz w:val="20"/>
          <w:szCs w:val="20"/>
          <w:lang w:val="es-ES"/>
        </w:rPr>
        <w:t>,</w:t>
      </w:r>
      <w:r w:rsidR="00EE6397" w:rsidRPr="0047216C">
        <w:rPr>
          <w:rFonts w:ascii="Cambria" w:hAnsi="Cambria"/>
          <w:sz w:val="20"/>
          <w:szCs w:val="20"/>
          <w:lang w:val="es-ES"/>
        </w:rPr>
        <w:t xml:space="preserve"> desde </w:t>
      </w:r>
      <w:r w:rsidR="00DC46B5" w:rsidRPr="0047216C">
        <w:rPr>
          <w:rFonts w:ascii="Cambria" w:hAnsi="Cambria"/>
          <w:sz w:val="20"/>
          <w:szCs w:val="20"/>
          <w:lang w:val="es-ES"/>
        </w:rPr>
        <w:t>el origen del proyecto</w:t>
      </w:r>
      <w:r w:rsidR="003049FE" w:rsidRPr="0047216C">
        <w:rPr>
          <w:rFonts w:ascii="Cambria" w:hAnsi="Cambria"/>
          <w:sz w:val="20"/>
          <w:szCs w:val="20"/>
          <w:lang w:val="es-ES"/>
        </w:rPr>
        <w:t xml:space="preserve"> “Entre Río</w:t>
      </w:r>
      <w:r w:rsidR="00D7627F">
        <w:rPr>
          <w:rFonts w:ascii="Cambria" w:hAnsi="Cambria"/>
          <w:sz w:val="20"/>
          <w:szCs w:val="20"/>
          <w:lang w:val="es-ES"/>
        </w:rPr>
        <w:t>s</w:t>
      </w:r>
      <w:r w:rsidR="003049FE" w:rsidRPr="0047216C">
        <w:rPr>
          <w:rFonts w:ascii="Cambria" w:hAnsi="Cambria"/>
          <w:sz w:val="20"/>
          <w:szCs w:val="20"/>
          <w:lang w:val="es-ES"/>
        </w:rPr>
        <w:t>”</w:t>
      </w:r>
      <w:r w:rsidR="00531397">
        <w:rPr>
          <w:rFonts w:ascii="Cambria" w:hAnsi="Cambria"/>
          <w:sz w:val="20"/>
          <w:szCs w:val="20"/>
          <w:lang w:val="es-ES"/>
        </w:rPr>
        <w:t>,</w:t>
      </w:r>
      <w:r w:rsidR="00DC46B5" w:rsidRPr="0047216C">
        <w:rPr>
          <w:rFonts w:ascii="Cambria" w:hAnsi="Cambria"/>
          <w:sz w:val="20"/>
          <w:szCs w:val="20"/>
          <w:lang w:val="es-ES"/>
        </w:rPr>
        <w:t xml:space="preserve"> las </w:t>
      </w:r>
      <w:r w:rsidR="00695AD9" w:rsidRPr="0047216C">
        <w:rPr>
          <w:rFonts w:ascii="Cambria" w:hAnsi="Cambria"/>
          <w:sz w:val="20"/>
          <w:szCs w:val="20"/>
          <w:lang w:val="es-ES"/>
        </w:rPr>
        <w:t xml:space="preserve">autoridades no consultaron a las comunidades </w:t>
      </w:r>
      <w:r w:rsidR="003049FE" w:rsidRPr="0047216C">
        <w:rPr>
          <w:rFonts w:ascii="Cambria" w:hAnsi="Cambria"/>
          <w:sz w:val="20"/>
          <w:szCs w:val="20"/>
          <w:lang w:val="es-ES"/>
        </w:rPr>
        <w:t xml:space="preserve">respecto de </w:t>
      </w:r>
      <w:r w:rsidR="00695AD9" w:rsidRPr="0047216C">
        <w:rPr>
          <w:rFonts w:ascii="Cambria" w:hAnsi="Cambria"/>
          <w:sz w:val="20"/>
          <w:szCs w:val="20"/>
          <w:lang w:val="es-ES"/>
        </w:rPr>
        <w:t xml:space="preserve">ninguna de las decisiones que </w:t>
      </w:r>
      <w:r w:rsidR="003049FE" w:rsidRPr="0047216C">
        <w:rPr>
          <w:rFonts w:ascii="Cambria" w:hAnsi="Cambria"/>
          <w:sz w:val="20"/>
          <w:szCs w:val="20"/>
          <w:lang w:val="es-ES"/>
        </w:rPr>
        <w:t xml:space="preserve">lo </w:t>
      </w:r>
      <w:r w:rsidR="00695AD9" w:rsidRPr="0047216C">
        <w:rPr>
          <w:rFonts w:ascii="Cambria" w:hAnsi="Cambria"/>
          <w:sz w:val="20"/>
          <w:szCs w:val="20"/>
          <w:lang w:val="es-ES"/>
        </w:rPr>
        <w:t>autorizaron</w:t>
      </w:r>
      <w:r w:rsidR="003049FE" w:rsidRPr="0047216C">
        <w:rPr>
          <w:rFonts w:ascii="Cambria" w:hAnsi="Cambria"/>
          <w:sz w:val="20"/>
          <w:szCs w:val="20"/>
          <w:lang w:val="es-ES"/>
        </w:rPr>
        <w:t>;</w:t>
      </w:r>
      <w:r w:rsidR="00695AD9" w:rsidRPr="0047216C">
        <w:rPr>
          <w:rFonts w:ascii="Cambria" w:hAnsi="Cambria"/>
          <w:sz w:val="20"/>
          <w:szCs w:val="20"/>
          <w:lang w:val="es-ES"/>
        </w:rPr>
        <w:t xml:space="preserve"> </w:t>
      </w:r>
      <w:r w:rsidR="00FF3E4D" w:rsidRPr="0047216C">
        <w:rPr>
          <w:rFonts w:ascii="Cambria" w:hAnsi="Cambria"/>
          <w:sz w:val="20"/>
          <w:szCs w:val="20"/>
          <w:lang w:val="es-ES"/>
        </w:rPr>
        <w:t xml:space="preserve">que el diseño </w:t>
      </w:r>
      <w:r w:rsidR="00F950C0" w:rsidRPr="0047216C">
        <w:rPr>
          <w:rFonts w:ascii="Cambria" w:hAnsi="Cambria"/>
          <w:sz w:val="20"/>
          <w:szCs w:val="20"/>
          <w:lang w:val="es-ES"/>
        </w:rPr>
        <w:t>de esta obra</w:t>
      </w:r>
      <w:r w:rsidR="00FF3E4D" w:rsidRPr="0047216C">
        <w:rPr>
          <w:rFonts w:ascii="Cambria" w:hAnsi="Cambria"/>
          <w:sz w:val="20"/>
          <w:szCs w:val="20"/>
          <w:lang w:val="es-ES"/>
        </w:rPr>
        <w:t xml:space="preserve"> no tom</w:t>
      </w:r>
      <w:r w:rsidR="00F950C0" w:rsidRPr="0047216C">
        <w:rPr>
          <w:rFonts w:ascii="Cambria" w:hAnsi="Cambria"/>
          <w:sz w:val="20"/>
          <w:szCs w:val="20"/>
          <w:lang w:val="es-ES"/>
        </w:rPr>
        <w:t>ó</w:t>
      </w:r>
      <w:r w:rsidR="00FF3E4D" w:rsidRPr="0047216C">
        <w:rPr>
          <w:rFonts w:ascii="Cambria" w:hAnsi="Cambria"/>
          <w:sz w:val="20"/>
          <w:szCs w:val="20"/>
          <w:lang w:val="es-ES"/>
        </w:rPr>
        <w:t xml:space="preserve"> en consideración el impacto social, medioambiental y jurídico sobre las presuntas víctimas</w:t>
      </w:r>
      <w:r w:rsidR="007D501E" w:rsidRPr="0047216C">
        <w:rPr>
          <w:rFonts w:ascii="Cambria" w:hAnsi="Cambria"/>
          <w:sz w:val="20"/>
          <w:szCs w:val="20"/>
          <w:lang w:val="es-ES"/>
        </w:rPr>
        <w:t xml:space="preserve">; </w:t>
      </w:r>
      <w:r w:rsidR="00695AD9" w:rsidRPr="0047216C">
        <w:rPr>
          <w:rFonts w:ascii="Cambria" w:hAnsi="Cambria"/>
          <w:sz w:val="20"/>
          <w:szCs w:val="20"/>
          <w:lang w:val="es-ES"/>
        </w:rPr>
        <w:t>que estas omisiones son resultado de la falta de un marco jurídico e institucional para respetar y garantizar el derecho a la consulta previa de los pueblos indígenas</w:t>
      </w:r>
      <w:r w:rsidR="007D501E" w:rsidRPr="0047216C">
        <w:rPr>
          <w:rFonts w:ascii="Cambria" w:hAnsi="Cambria"/>
          <w:sz w:val="20"/>
          <w:szCs w:val="20"/>
          <w:lang w:val="es-ES"/>
        </w:rPr>
        <w:t xml:space="preserve">; </w:t>
      </w:r>
      <w:r w:rsidR="00637473" w:rsidRPr="0047216C">
        <w:rPr>
          <w:rFonts w:ascii="Cambria" w:hAnsi="Cambria"/>
          <w:sz w:val="20"/>
          <w:szCs w:val="20"/>
          <w:lang w:val="es-ES"/>
        </w:rPr>
        <w:t>que el fallo de la Corte de Constitucionalidad no ha sido cumplido por las autoridades</w:t>
      </w:r>
      <w:r w:rsidR="00531397">
        <w:rPr>
          <w:rFonts w:ascii="Cambria" w:hAnsi="Cambria"/>
          <w:sz w:val="20"/>
          <w:szCs w:val="20"/>
          <w:lang w:val="es-ES"/>
        </w:rPr>
        <w:t>;</w:t>
      </w:r>
      <w:r w:rsidR="00637473" w:rsidRPr="0047216C">
        <w:rPr>
          <w:rFonts w:ascii="Cambria" w:hAnsi="Cambria"/>
          <w:sz w:val="20"/>
          <w:szCs w:val="20"/>
          <w:lang w:val="es-ES"/>
        </w:rPr>
        <w:t xml:space="preserve"> y que</w:t>
      </w:r>
      <w:r w:rsidR="00531397">
        <w:rPr>
          <w:rFonts w:ascii="Cambria" w:hAnsi="Cambria"/>
          <w:sz w:val="20"/>
          <w:szCs w:val="20"/>
          <w:lang w:val="es-ES"/>
        </w:rPr>
        <w:t>,</w:t>
      </w:r>
      <w:r w:rsidR="00637473" w:rsidRPr="0047216C">
        <w:rPr>
          <w:rFonts w:ascii="Cambria" w:hAnsi="Cambria"/>
          <w:sz w:val="20"/>
          <w:szCs w:val="20"/>
          <w:lang w:val="es-ES"/>
        </w:rPr>
        <w:t xml:space="preserve"> </w:t>
      </w:r>
      <w:r w:rsidR="007A71DB" w:rsidRPr="0047216C">
        <w:rPr>
          <w:rFonts w:ascii="Cambria" w:hAnsi="Cambria"/>
          <w:sz w:val="20"/>
          <w:szCs w:val="20"/>
          <w:lang w:val="es-ES"/>
        </w:rPr>
        <w:t>en definitiva</w:t>
      </w:r>
      <w:r w:rsidR="00531397">
        <w:rPr>
          <w:rFonts w:ascii="Cambria" w:hAnsi="Cambria"/>
          <w:sz w:val="20"/>
          <w:szCs w:val="20"/>
          <w:lang w:val="es-ES"/>
        </w:rPr>
        <w:t>,</w:t>
      </w:r>
      <w:r w:rsidR="007A71DB" w:rsidRPr="0047216C">
        <w:rPr>
          <w:rFonts w:ascii="Cambria" w:hAnsi="Cambria"/>
          <w:sz w:val="20"/>
          <w:szCs w:val="20"/>
          <w:lang w:val="es-ES"/>
        </w:rPr>
        <w:t xml:space="preserve"> </w:t>
      </w:r>
      <w:r w:rsidR="00E05D3F" w:rsidRPr="0047216C">
        <w:rPr>
          <w:rFonts w:ascii="Cambria" w:hAnsi="Cambria"/>
          <w:sz w:val="20"/>
          <w:szCs w:val="20"/>
          <w:lang w:val="es-ES"/>
        </w:rPr>
        <w:t>esta</w:t>
      </w:r>
      <w:r w:rsidR="007A71DB" w:rsidRPr="0047216C">
        <w:rPr>
          <w:rFonts w:ascii="Cambria" w:hAnsi="Cambria"/>
          <w:sz w:val="20"/>
          <w:szCs w:val="20"/>
          <w:lang w:val="es-ES"/>
        </w:rPr>
        <w:t xml:space="preserve"> sentencia no </w:t>
      </w:r>
      <w:r w:rsidR="00063B96" w:rsidRPr="0047216C">
        <w:rPr>
          <w:rFonts w:ascii="Cambria" w:hAnsi="Cambria"/>
          <w:sz w:val="20"/>
          <w:szCs w:val="20"/>
          <w:lang w:val="es-ES"/>
        </w:rPr>
        <w:t xml:space="preserve">ordena </w:t>
      </w:r>
      <w:r w:rsidR="00E05D3F" w:rsidRPr="0047216C">
        <w:rPr>
          <w:rFonts w:ascii="Cambria" w:hAnsi="Cambria"/>
          <w:sz w:val="20"/>
          <w:szCs w:val="20"/>
          <w:lang w:val="es-ES"/>
        </w:rPr>
        <w:t xml:space="preserve">lo esencial que es </w:t>
      </w:r>
      <w:r w:rsidR="00063B96" w:rsidRPr="0047216C">
        <w:rPr>
          <w:rFonts w:ascii="Cambria" w:hAnsi="Cambria"/>
          <w:sz w:val="20"/>
          <w:szCs w:val="20"/>
          <w:lang w:val="es-ES"/>
        </w:rPr>
        <w:t>obtener el consentimiento de las comunidades afectadas</w:t>
      </w:r>
      <w:r w:rsidR="00695AD9" w:rsidRPr="0047216C">
        <w:rPr>
          <w:rFonts w:ascii="Cambria" w:hAnsi="Cambria"/>
          <w:sz w:val="20"/>
          <w:szCs w:val="20"/>
          <w:lang w:val="es-ES"/>
        </w:rPr>
        <w:t xml:space="preserve">. </w:t>
      </w:r>
    </w:p>
    <w:p w14:paraId="550B0366" w14:textId="2C32384D" w:rsidR="00BE70B9" w:rsidRPr="0047216C" w:rsidRDefault="001B2B6B" w:rsidP="00BE70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ES"/>
        </w:rPr>
      </w:pPr>
      <w:r w:rsidRPr="0047216C">
        <w:rPr>
          <w:rFonts w:ascii="Cambria" w:hAnsi="Cambria"/>
          <w:b/>
          <w:bCs/>
          <w:sz w:val="20"/>
          <w:szCs w:val="20"/>
          <w:lang w:val="es-ES"/>
        </w:rPr>
        <w:t>El</w:t>
      </w:r>
      <w:r w:rsidR="00E62B18" w:rsidRPr="0047216C">
        <w:rPr>
          <w:rFonts w:ascii="Cambria" w:hAnsi="Cambria"/>
          <w:b/>
          <w:bCs/>
          <w:sz w:val="20"/>
          <w:szCs w:val="20"/>
          <w:lang w:val="es-ES"/>
        </w:rPr>
        <w:t xml:space="preserve"> Estado</w:t>
      </w:r>
      <w:r w:rsidRPr="0047216C">
        <w:rPr>
          <w:rFonts w:ascii="Cambria" w:hAnsi="Cambria"/>
          <w:b/>
          <w:bCs/>
          <w:sz w:val="20"/>
          <w:szCs w:val="20"/>
          <w:lang w:val="es-ES"/>
        </w:rPr>
        <w:t xml:space="preserve"> guatemalteco</w:t>
      </w:r>
    </w:p>
    <w:p w14:paraId="27D9C35D" w14:textId="6C419E05" w:rsidR="0055469B" w:rsidRPr="0047216C" w:rsidRDefault="00755B0E" w:rsidP="00BE5F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7216C">
        <w:rPr>
          <w:rFonts w:asciiTheme="majorHAnsi" w:hAnsiTheme="majorHAnsi"/>
          <w:sz w:val="20"/>
          <w:szCs w:val="20"/>
          <w:lang w:val="es-ES"/>
        </w:rPr>
        <w:t xml:space="preserve"> </w:t>
      </w:r>
      <w:r w:rsidR="00054222" w:rsidRPr="0047216C">
        <w:rPr>
          <w:rFonts w:asciiTheme="majorHAnsi" w:hAnsiTheme="majorHAnsi"/>
          <w:sz w:val="20"/>
          <w:szCs w:val="20"/>
          <w:lang w:val="es-ES"/>
        </w:rPr>
        <w:t>Por su parte,</w:t>
      </w:r>
      <w:r w:rsidR="00ED48C9" w:rsidRPr="0047216C">
        <w:rPr>
          <w:rFonts w:asciiTheme="majorHAnsi" w:hAnsiTheme="majorHAnsi"/>
          <w:sz w:val="20"/>
          <w:szCs w:val="20"/>
          <w:lang w:val="es-ES"/>
        </w:rPr>
        <w:t xml:space="preserve"> </w:t>
      </w:r>
      <w:r w:rsidR="00BC509C" w:rsidRPr="0047216C">
        <w:rPr>
          <w:rFonts w:asciiTheme="majorHAnsi" w:hAnsiTheme="majorHAnsi"/>
          <w:sz w:val="20"/>
          <w:szCs w:val="20"/>
          <w:lang w:val="es-ES"/>
        </w:rPr>
        <w:t>Guatemala</w:t>
      </w:r>
      <w:r w:rsidR="00ED48C9" w:rsidRPr="0047216C">
        <w:rPr>
          <w:rFonts w:asciiTheme="majorHAnsi" w:hAnsiTheme="majorHAnsi"/>
          <w:sz w:val="20"/>
          <w:szCs w:val="20"/>
          <w:lang w:val="es-ES"/>
        </w:rPr>
        <w:t xml:space="preserve"> argumenta que la petición es inadmisible por falta de agotamiento de los recursos internos</w:t>
      </w:r>
      <w:r w:rsidR="00287703" w:rsidRPr="0047216C">
        <w:rPr>
          <w:rFonts w:asciiTheme="majorHAnsi" w:hAnsiTheme="majorHAnsi"/>
          <w:sz w:val="20"/>
          <w:szCs w:val="20"/>
          <w:lang w:val="es-ES"/>
        </w:rPr>
        <w:t xml:space="preserve">, porque a su juicio </w:t>
      </w:r>
      <w:r w:rsidR="0033568F" w:rsidRPr="0047216C">
        <w:rPr>
          <w:rFonts w:asciiTheme="majorHAnsi" w:eastAsia="Times New Roman" w:hAnsiTheme="majorHAnsi"/>
          <w:sz w:val="20"/>
          <w:szCs w:val="20"/>
          <w:bdr w:val="none" w:sz="0" w:space="0" w:color="auto"/>
          <w:lang w:val="es-ES" w:eastAsia="es-PE"/>
        </w:rPr>
        <w:t xml:space="preserve">las comunidades presentaron la petición a la CIDH antes de que </w:t>
      </w:r>
      <w:r w:rsidR="00EA4145" w:rsidRPr="0047216C">
        <w:rPr>
          <w:rFonts w:asciiTheme="majorHAnsi" w:eastAsia="Times New Roman" w:hAnsiTheme="majorHAnsi"/>
          <w:sz w:val="20"/>
          <w:szCs w:val="20"/>
          <w:bdr w:val="none" w:sz="0" w:space="0" w:color="auto"/>
          <w:lang w:val="es-ES" w:eastAsia="es-PE"/>
        </w:rPr>
        <w:t>las autoridades contara</w:t>
      </w:r>
      <w:r w:rsidR="00D03B99" w:rsidRPr="0047216C">
        <w:rPr>
          <w:rFonts w:asciiTheme="majorHAnsi" w:eastAsia="Times New Roman" w:hAnsiTheme="majorHAnsi"/>
          <w:sz w:val="20"/>
          <w:szCs w:val="20"/>
          <w:bdr w:val="none" w:sz="0" w:space="0" w:color="auto"/>
          <w:lang w:val="es-ES" w:eastAsia="es-PE"/>
        </w:rPr>
        <w:t>n</w:t>
      </w:r>
      <w:r w:rsidR="00EA4145" w:rsidRPr="0047216C">
        <w:rPr>
          <w:rFonts w:asciiTheme="majorHAnsi" w:eastAsia="Times New Roman" w:hAnsiTheme="majorHAnsi"/>
          <w:sz w:val="20"/>
          <w:szCs w:val="20"/>
          <w:bdr w:val="none" w:sz="0" w:space="0" w:color="auto"/>
          <w:lang w:val="es-ES" w:eastAsia="es-PE"/>
        </w:rPr>
        <w:t xml:space="preserve"> con tiempo suficiente para cumplir con la decisión </w:t>
      </w:r>
      <w:r w:rsidR="00D03B99" w:rsidRPr="0047216C">
        <w:rPr>
          <w:rFonts w:asciiTheme="majorHAnsi" w:eastAsia="Times New Roman" w:hAnsiTheme="majorHAnsi"/>
          <w:sz w:val="20"/>
          <w:szCs w:val="20"/>
          <w:bdr w:val="none" w:sz="0" w:space="0" w:color="auto"/>
          <w:lang w:val="es-ES" w:eastAsia="es-PE"/>
        </w:rPr>
        <w:t xml:space="preserve">dictada por la </w:t>
      </w:r>
      <w:r w:rsidR="0033568F" w:rsidRPr="0047216C">
        <w:rPr>
          <w:rFonts w:asciiTheme="majorHAnsi" w:eastAsia="Times New Roman" w:hAnsiTheme="majorHAnsi"/>
          <w:sz w:val="20"/>
          <w:szCs w:val="20"/>
          <w:bdr w:val="none" w:sz="0" w:space="0" w:color="auto"/>
          <w:lang w:val="es-ES" w:eastAsia="es-PE"/>
        </w:rPr>
        <w:t xml:space="preserve">Corte de Constitucionalidad </w:t>
      </w:r>
      <w:r w:rsidR="00D03B99" w:rsidRPr="0047216C">
        <w:rPr>
          <w:rFonts w:asciiTheme="majorHAnsi" w:eastAsia="Times New Roman" w:hAnsiTheme="majorHAnsi"/>
          <w:sz w:val="20"/>
          <w:szCs w:val="20"/>
          <w:bdr w:val="none" w:sz="0" w:space="0" w:color="auto"/>
          <w:lang w:val="es-ES" w:eastAsia="es-PE"/>
        </w:rPr>
        <w:t>el</w:t>
      </w:r>
      <w:r w:rsidR="0033568F" w:rsidRPr="0047216C">
        <w:rPr>
          <w:rFonts w:asciiTheme="majorHAnsi" w:eastAsia="Times New Roman" w:hAnsiTheme="majorHAnsi"/>
          <w:sz w:val="20"/>
          <w:szCs w:val="20"/>
          <w:bdr w:val="none" w:sz="0" w:space="0" w:color="auto"/>
          <w:lang w:val="es-ES" w:eastAsia="es-PE"/>
        </w:rPr>
        <w:t xml:space="preserve"> 5 de febrero de 2013.</w:t>
      </w:r>
      <w:r w:rsidR="00BE5FEC" w:rsidRPr="0047216C">
        <w:rPr>
          <w:rFonts w:asciiTheme="majorHAnsi" w:hAnsiTheme="majorHAnsi"/>
          <w:sz w:val="20"/>
          <w:szCs w:val="20"/>
          <w:lang w:val="es-ES"/>
        </w:rPr>
        <w:t xml:space="preserve"> Asimismo,</w:t>
      </w:r>
      <w:r w:rsidR="0033568F" w:rsidRPr="0047216C">
        <w:rPr>
          <w:rFonts w:asciiTheme="majorHAnsi" w:hAnsiTheme="majorHAnsi"/>
          <w:sz w:val="20"/>
          <w:szCs w:val="20"/>
          <w:lang w:val="es-ES"/>
        </w:rPr>
        <w:t xml:space="preserve"> que </w:t>
      </w:r>
      <w:r w:rsidR="00ED48C9" w:rsidRPr="0047216C">
        <w:rPr>
          <w:rFonts w:asciiTheme="majorHAnsi" w:hAnsiTheme="majorHAnsi"/>
          <w:sz w:val="20"/>
          <w:szCs w:val="20"/>
          <w:lang w:val="es-ES"/>
        </w:rPr>
        <w:t>las presuntas víctimas no utilizaron la vía contenciosa administrativa, que era el mecanismo ordinario para impugnar la validez del acuerdo ministerial No. 146-2010, que autorizó a la empresa Corrientes del Río S.A. utilizar bienes de dominio público.</w:t>
      </w:r>
      <w:r w:rsidR="0033568F" w:rsidRPr="0047216C">
        <w:rPr>
          <w:rFonts w:asciiTheme="majorHAnsi" w:hAnsiTheme="majorHAnsi"/>
          <w:sz w:val="20"/>
          <w:szCs w:val="20"/>
          <w:lang w:val="es-ES"/>
        </w:rPr>
        <w:t xml:space="preserve"> </w:t>
      </w:r>
      <w:r w:rsidR="00B20851" w:rsidRPr="0047216C">
        <w:rPr>
          <w:rFonts w:asciiTheme="majorHAnsi" w:eastAsia="Times New Roman" w:hAnsiTheme="majorHAnsi"/>
          <w:sz w:val="20"/>
          <w:szCs w:val="20"/>
          <w:bdr w:val="none" w:sz="0" w:space="0" w:color="auto"/>
          <w:lang w:val="es-ES" w:eastAsia="es-PE"/>
        </w:rPr>
        <w:t>Por lo tanto, considera que el caso no cumple con el requisito de agotamiento de recursos internos establecido en la Convención Americana.</w:t>
      </w:r>
    </w:p>
    <w:p w14:paraId="0847F6AC" w14:textId="14ABA591" w:rsidR="00E347A6" w:rsidRPr="0047216C" w:rsidRDefault="00BE5FEC" w:rsidP="005546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7216C">
        <w:rPr>
          <w:rFonts w:ascii="Cambria" w:hAnsi="Cambria"/>
          <w:sz w:val="20"/>
          <w:szCs w:val="20"/>
          <w:lang w:val="es-ES"/>
        </w:rPr>
        <w:t>Alega</w:t>
      </w:r>
      <w:r w:rsidR="0055469B" w:rsidRPr="0047216C">
        <w:rPr>
          <w:rFonts w:ascii="Cambria" w:hAnsi="Cambria"/>
          <w:sz w:val="20"/>
          <w:szCs w:val="20"/>
          <w:lang w:val="es-ES"/>
        </w:rPr>
        <w:t xml:space="preserve"> que en caso</w:t>
      </w:r>
      <w:r w:rsidRPr="0047216C">
        <w:rPr>
          <w:rFonts w:ascii="Cambria" w:hAnsi="Cambria"/>
          <w:sz w:val="20"/>
          <w:szCs w:val="20"/>
          <w:lang w:val="es-ES"/>
        </w:rPr>
        <w:t xml:space="preserve"> de que</w:t>
      </w:r>
      <w:r w:rsidR="0055469B" w:rsidRPr="0047216C">
        <w:rPr>
          <w:rFonts w:ascii="Cambria" w:hAnsi="Cambria"/>
          <w:sz w:val="20"/>
          <w:szCs w:val="20"/>
          <w:lang w:val="es-ES"/>
        </w:rPr>
        <w:t xml:space="preserve"> la </w:t>
      </w:r>
      <w:r w:rsidRPr="0047216C">
        <w:rPr>
          <w:rFonts w:ascii="Cambria" w:hAnsi="Cambria"/>
          <w:sz w:val="20"/>
          <w:szCs w:val="20"/>
          <w:lang w:val="es-ES"/>
        </w:rPr>
        <w:t>CIDH</w:t>
      </w:r>
      <w:r w:rsidR="0055469B" w:rsidRPr="0047216C">
        <w:rPr>
          <w:rFonts w:ascii="Cambria" w:hAnsi="Cambria"/>
          <w:sz w:val="20"/>
          <w:szCs w:val="20"/>
          <w:lang w:val="es-ES"/>
        </w:rPr>
        <w:t xml:space="preserve"> declare que las presuntas víctimas agotaron la jurisdicción nacional, la petición igualmente es inadmisible porque fue presentada de forma extemporánea, ya que la parte peticionaria envió su escrito el 21 de agosto de 2013, 183 días después de la notificación de la sentencia de la Corte de Constitucionalidad. </w:t>
      </w:r>
      <w:r w:rsidR="00B679DE" w:rsidRPr="0047216C">
        <w:rPr>
          <w:rFonts w:ascii="Cambria" w:hAnsi="Cambria"/>
          <w:sz w:val="20"/>
          <w:szCs w:val="20"/>
          <w:lang w:val="es-ES"/>
        </w:rPr>
        <w:t>Aduce</w:t>
      </w:r>
      <w:r w:rsidR="00922C5B" w:rsidRPr="0047216C">
        <w:rPr>
          <w:rFonts w:ascii="Cambria" w:hAnsi="Cambria"/>
          <w:sz w:val="20"/>
          <w:szCs w:val="20"/>
          <w:lang w:val="es-ES"/>
        </w:rPr>
        <w:t xml:space="preserve"> </w:t>
      </w:r>
      <w:r w:rsidR="002C640B" w:rsidRPr="0047216C">
        <w:rPr>
          <w:rFonts w:ascii="Cambria" w:hAnsi="Cambria"/>
          <w:sz w:val="20"/>
          <w:szCs w:val="20"/>
          <w:lang w:val="es-ES"/>
        </w:rPr>
        <w:t>que</w:t>
      </w:r>
      <w:r w:rsidR="001C0F1F">
        <w:rPr>
          <w:rFonts w:ascii="Cambria" w:hAnsi="Cambria"/>
          <w:sz w:val="20"/>
          <w:szCs w:val="20"/>
          <w:lang w:val="es-ES"/>
        </w:rPr>
        <w:t>,</w:t>
      </w:r>
      <w:r w:rsidR="00922C5B" w:rsidRPr="0047216C">
        <w:rPr>
          <w:rFonts w:ascii="Cambria" w:hAnsi="Cambria"/>
          <w:sz w:val="20"/>
          <w:szCs w:val="20"/>
          <w:lang w:val="es-ES"/>
        </w:rPr>
        <w:t xml:space="preserve"> aunque no exista ninguna disposición en el sistema interamericano que defina el número de días que abarca un mes, la regla usual es considerar </w:t>
      </w:r>
      <w:r w:rsidR="0055469B" w:rsidRPr="0047216C">
        <w:rPr>
          <w:rFonts w:ascii="Cambria" w:hAnsi="Cambria"/>
          <w:sz w:val="20"/>
          <w:szCs w:val="20"/>
          <w:lang w:val="es-ES"/>
        </w:rPr>
        <w:t xml:space="preserve">que </w:t>
      </w:r>
      <w:r w:rsidR="00922C5B" w:rsidRPr="0047216C">
        <w:rPr>
          <w:rFonts w:ascii="Cambria" w:hAnsi="Cambria"/>
          <w:sz w:val="20"/>
          <w:szCs w:val="20"/>
          <w:lang w:val="es-ES"/>
        </w:rPr>
        <w:t>esta franj</w:t>
      </w:r>
      <w:r w:rsidR="0055469B" w:rsidRPr="0047216C">
        <w:rPr>
          <w:rFonts w:ascii="Cambria" w:hAnsi="Cambria"/>
          <w:sz w:val="20"/>
          <w:szCs w:val="20"/>
          <w:lang w:val="es-ES"/>
        </w:rPr>
        <w:t>a</w:t>
      </w:r>
      <w:r w:rsidR="00922C5B" w:rsidRPr="0047216C">
        <w:rPr>
          <w:rFonts w:ascii="Cambria" w:hAnsi="Cambria"/>
          <w:sz w:val="20"/>
          <w:szCs w:val="20"/>
          <w:lang w:val="es-ES"/>
        </w:rPr>
        <w:t xml:space="preserve"> de tiempo equivale</w:t>
      </w:r>
      <w:r w:rsidR="0055469B" w:rsidRPr="0047216C">
        <w:rPr>
          <w:rFonts w:ascii="Cambria" w:hAnsi="Cambria"/>
          <w:sz w:val="20"/>
          <w:szCs w:val="20"/>
          <w:lang w:val="es-ES"/>
        </w:rPr>
        <w:t xml:space="preserve"> a</w:t>
      </w:r>
      <w:r w:rsidR="00922C5B" w:rsidRPr="0047216C">
        <w:rPr>
          <w:rFonts w:ascii="Cambria" w:hAnsi="Cambria"/>
          <w:sz w:val="20"/>
          <w:szCs w:val="20"/>
          <w:lang w:val="es-ES"/>
        </w:rPr>
        <w:t xml:space="preserve"> treinta días</w:t>
      </w:r>
      <w:r w:rsidR="00CB0397">
        <w:rPr>
          <w:rFonts w:ascii="Cambria" w:hAnsi="Cambria"/>
          <w:sz w:val="20"/>
          <w:szCs w:val="20"/>
          <w:lang w:val="es-ES"/>
        </w:rPr>
        <w:t>;</w:t>
      </w:r>
      <w:r w:rsidR="00922C5B" w:rsidRPr="0047216C">
        <w:rPr>
          <w:rFonts w:ascii="Cambria" w:hAnsi="Cambria"/>
          <w:sz w:val="20"/>
          <w:szCs w:val="20"/>
          <w:lang w:val="es-ES"/>
        </w:rPr>
        <w:t xml:space="preserve"> y</w:t>
      </w:r>
      <w:r w:rsidR="00CB0397">
        <w:rPr>
          <w:rFonts w:ascii="Cambria" w:hAnsi="Cambria"/>
          <w:sz w:val="20"/>
          <w:szCs w:val="20"/>
          <w:lang w:val="es-ES"/>
        </w:rPr>
        <w:t>,</w:t>
      </w:r>
      <w:r w:rsidR="00922C5B" w:rsidRPr="0047216C">
        <w:rPr>
          <w:rFonts w:ascii="Cambria" w:hAnsi="Cambria"/>
          <w:sz w:val="20"/>
          <w:szCs w:val="20"/>
          <w:lang w:val="es-ES"/>
        </w:rPr>
        <w:t xml:space="preserve"> por ende, el plazo de seis meses previsto en el artículo 46.1.b) de la Convención</w:t>
      </w:r>
      <w:r w:rsidR="004B6863" w:rsidRPr="0047216C">
        <w:rPr>
          <w:rFonts w:ascii="Cambria" w:hAnsi="Cambria"/>
          <w:sz w:val="20"/>
          <w:szCs w:val="20"/>
          <w:lang w:val="es-ES"/>
        </w:rPr>
        <w:t xml:space="preserve"> </w:t>
      </w:r>
      <w:r w:rsidR="0055469B" w:rsidRPr="0047216C">
        <w:rPr>
          <w:rFonts w:ascii="Cambria" w:hAnsi="Cambria"/>
          <w:sz w:val="20"/>
          <w:szCs w:val="20"/>
          <w:lang w:val="es-ES"/>
        </w:rPr>
        <w:t>es de</w:t>
      </w:r>
      <w:r w:rsidR="00B4186C" w:rsidRPr="0047216C">
        <w:rPr>
          <w:rFonts w:ascii="Cambria" w:hAnsi="Cambria"/>
          <w:sz w:val="20"/>
          <w:szCs w:val="20"/>
          <w:lang w:val="es-ES"/>
        </w:rPr>
        <w:t xml:space="preserve"> </w:t>
      </w:r>
      <w:r w:rsidR="002C640B" w:rsidRPr="0047216C">
        <w:rPr>
          <w:rFonts w:ascii="Cambria" w:hAnsi="Cambria"/>
          <w:sz w:val="20"/>
          <w:szCs w:val="20"/>
          <w:lang w:val="es-ES"/>
        </w:rPr>
        <w:t xml:space="preserve">180 días. Con base en ello, Guatemala considera que esta petición se interpuso tres días después del límite previsto en el citado artículo. </w:t>
      </w:r>
    </w:p>
    <w:p w14:paraId="3CE3A7D5" w14:textId="7547AA8F" w:rsidR="006B0249" w:rsidRPr="0047216C" w:rsidRDefault="004B21E8" w:rsidP="006909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47216C">
        <w:rPr>
          <w:rFonts w:ascii="Cambria" w:hAnsi="Cambria"/>
          <w:sz w:val="20"/>
          <w:szCs w:val="20"/>
          <w:lang w:val="es-ES"/>
        </w:rPr>
        <w:t xml:space="preserve">Finalmente, </w:t>
      </w:r>
      <w:r w:rsidR="000C249E" w:rsidRPr="0047216C">
        <w:rPr>
          <w:rFonts w:ascii="Cambria" w:hAnsi="Cambria"/>
          <w:sz w:val="20"/>
          <w:szCs w:val="20"/>
          <w:lang w:val="es-ES"/>
        </w:rPr>
        <w:t>a</w:t>
      </w:r>
      <w:r w:rsidR="006B0249" w:rsidRPr="0047216C">
        <w:rPr>
          <w:rFonts w:ascii="Cambria" w:hAnsi="Cambria"/>
          <w:sz w:val="20"/>
          <w:szCs w:val="20"/>
          <w:lang w:val="es-ES"/>
        </w:rPr>
        <w:t xml:space="preserve">firma </w:t>
      </w:r>
      <w:r w:rsidR="007053BD" w:rsidRPr="0047216C">
        <w:rPr>
          <w:rFonts w:asciiTheme="majorHAnsi" w:hAnsiTheme="majorHAnsi"/>
          <w:bCs/>
          <w:sz w:val="20"/>
          <w:szCs w:val="20"/>
          <w:lang w:val="es-ES"/>
        </w:rPr>
        <w:t xml:space="preserve">que los hechos alegados no caracterizan una violación de derechos humanos que le sea atribuible. </w:t>
      </w:r>
      <w:r w:rsidR="006B0249" w:rsidRPr="0047216C">
        <w:rPr>
          <w:rFonts w:asciiTheme="majorHAnsi" w:hAnsiTheme="majorHAnsi"/>
          <w:bCs/>
          <w:sz w:val="20"/>
          <w:szCs w:val="20"/>
          <w:lang w:val="es-ES"/>
        </w:rPr>
        <w:t>Argumenta que la parte peticionaria busca que la CIDH actúe como una cuarta instancia judicial, revisando las decisiones de los tribunales nacionales que actuaron dentro de su competencia.</w:t>
      </w:r>
      <w:r w:rsidR="00690954" w:rsidRPr="0047216C">
        <w:rPr>
          <w:rFonts w:asciiTheme="majorHAnsi" w:hAnsiTheme="majorHAnsi"/>
          <w:bCs/>
          <w:sz w:val="20"/>
          <w:szCs w:val="20"/>
          <w:lang w:val="es-ES"/>
        </w:rPr>
        <w:t xml:space="preserve"> </w:t>
      </w:r>
      <w:r w:rsidR="006B0249" w:rsidRPr="0047216C">
        <w:rPr>
          <w:rFonts w:asciiTheme="majorHAnsi" w:hAnsiTheme="majorHAnsi"/>
          <w:sz w:val="20"/>
          <w:szCs w:val="20"/>
          <w:lang w:val="es-ES"/>
        </w:rPr>
        <w:t>En est</w:t>
      </w:r>
      <w:r w:rsidR="00690954" w:rsidRPr="0047216C">
        <w:rPr>
          <w:rFonts w:asciiTheme="majorHAnsi" w:hAnsiTheme="majorHAnsi"/>
          <w:sz w:val="20"/>
          <w:szCs w:val="20"/>
          <w:lang w:val="es-ES"/>
        </w:rPr>
        <w:t>e</w:t>
      </w:r>
      <w:r w:rsidR="006B0249" w:rsidRPr="0047216C">
        <w:rPr>
          <w:rFonts w:asciiTheme="majorHAnsi" w:hAnsiTheme="majorHAnsi"/>
          <w:sz w:val="20"/>
          <w:szCs w:val="20"/>
          <w:lang w:val="es-ES"/>
        </w:rPr>
        <w:t xml:space="preserve"> </w:t>
      </w:r>
      <w:r w:rsidR="00690954" w:rsidRPr="0047216C">
        <w:rPr>
          <w:rFonts w:asciiTheme="majorHAnsi" w:hAnsiTheme="majorHAnsi"/>
          <w:sz w:val="20"/>
          <w:szCs w:val="20"/>
          <w:lang w:val="es-ES"/>
        </w:rPr>
        <w:t>sentido</w:t>
      </w:r>
      <w:r w:rsidR="006B0249" w:rsidRPr="0047216C">
        <w:rPr>
          <w:rFonts w:asciiTheme="majorHAnsi" w:hAnsiTheme="majorHAnsi"/>
          <w:sz w:val="20"/>
          <w:szCs w:val="20"/>
          <w:lang w:val="es-ES"/>
        </w:rPr>
        <w:t xml:space="preserve">, </w:t>
      </w:r>
      <w:r w:rsidR="00690954" w:rsidRPr="0047216C">
        <w:rPr>
          <w:rFonts w:asciiTheme="majorHAnsi" w:hAnsiTheme="majorHAnsi"/>
          <w:sz w:val="20"/>
          <w:szCs w:val="20"/>
          <w:lang w:val="es-ES"/>
        </w:rPr>
        <w:t>e</w:t>
      </w:r>
      <w:r w:rsidR="006B0249" w:rsidRPr="0047216C">
        <w:rPr>
          <w:rFonts w:asciiTheme="majorHAnsi" w:hAnsiTheme="majorHAnsi"/>
          <w:sz w:val="20"/>
          <w:szCs w:val="20"/>
          <w:lang w:val="es-ES"/>
        </w:rPr>
        <w:t>xplica que los organismos Legislativo, Judicial y Ejecutivo están trabajando para normar la aplicación del proceso de consulta previsto en el Convenio 169 de la OIT y para cumplir con lo ordenado por la Corte de Constitucionalidad. Además, informa que el proyecto hidroeléctrico “Entre Ríos” está actualmente suspendido y que se desconoce si será continuado o abandonado definitivamente por la empresa promotor</w:t>
      </w:r>
      <w:r w:rsidR="002015C2">
        <w:rPr>
          <w:rFonts w:asciiTheme="majorHAnsi" w:hAnsiTheme="majorHAnsi"/>
          <w:sz w:val="20"/>
          <w:szCs w:val="20"/>
          <w:lang w:val="es-ES"/>
        </w:rPr>
        <w:t>a.</w:t>
      </w:r>
    </w:p>
    <w:p w14:paraId="6F4D4171" w14:textId="61F41104" w:rsidR="003239B8" w:rsidRPr="0047216C" w:rsidRDefault="003239B8" w:rsidP="003239B8">
      <w:pPr>
        <w:spacing w:before="240" w:after="240"/>
        <w:ind w:firstLine="720"/>
        <w:jc w:val="both"/>
        <w:rPr>
          <w:rFonts w:ascii="Cambria" w:hAnsi="Cambria"/>
          <w:sz w:val="20"/>
          <w:szCs w:val="20"/>
          <w:lang w:val="es-ES"/>
        </w:rPr>
      </w:pPr>
      <w:r w:rsidRPr="0047216C">
        <w:rPr>
          <w:rFonts w:asciiTheme="majorHAnsi" w:eastAsia="Cambria" w:hAnsiTheme="majorHAnsi" w:cs="Cambria"/>
          <w:b/>
          <w:bCs/>
          <w:color w:val="000000"/>
          <w:sz w:val="20"/>
          <w:szCs w:val="20"/>
          <w:u w:color="000000"/>
          <w:lang w:val="es-ES" w:eastAsia="es-ES"/>
        </w:rPr>
        <w:t>VI.</w:t>
      </w:r>
      <w:r w:rsidRPr="0047216C">
        <w:rPr>
          <w:rFonts w:asciiTheme="majorHAnsi" w:eastAsia="Cambria" w:hAnsiTheme="majorHAnsi" w:cs="Cambria"/>
          <w:b/>
          <w:bCs/>
          <w:color w:val="000000"/>
          <w:sz w:val="20"/>
          <w:szCs w:val="20"/>
          <w:u w:color="000000"/>
          <w:lang w:val="es-ES" w:eastAsia="es-ES"/>
        </w:rPr>
        <w:tab/>
      </w:r>
      <w:r w:rsidR="004A6A54" w:rsidRPr="0047216C">
        <w:rPr>
          <w:rFonts w:asciiTheme="majorHAnsi" w:hAnsiTheme="majorHAnsi"/>
          <w:b/>
          <w:bCs/>
          <w:sz w:val="20"/>
          <w:szCs w:val="20"/>
          <w:lang w:val="es-ES"/>
        </w:rPr>
        <w:t xml:space="preserve">ANÁLISIS DE </w:t>
      </w:r>
      <w:r w:rsidR="00C21FEF" w:rsidRPr="0047216C">
        <w:rPr>
          <w:rFonts w:asciiTheme="majorHAnsi" w:hAnsiTheme="majorHAnsi"/>
          <w:b/>
          <w:sz w:val="20"/>
          <w:szCs w:val="20"/>
          <w:lang w:val="es-ES"/>
        </w:rPr>
        <w:t>AGOTAMIENTO DE LOS RECURSOS INTERNOS Y PLAZO DE PRESENTACIÓN</w:t>
      </w:r>
      <w:r w:rsidR="00C21FEF" w:rsidRPr="0047216C">
        <w:rPr>
          <w:rFonts w:asciiTheme="majorHAnsi" w:eastAsia="Cambria" w:hAnsiTheme="majorHAnsi" w:cs="Cambria"/>
          <w:b/>
          <w:bCs/>
          <w:color w:val="000000"/>
          <w:sz w:val="20"/>
          <w:szCs w:val="20"/>
          <w:u w:color="000000"/>
          <w:lang w:val="es-ES" w:eastAsia="es-ES"/>
        </w:rPr>
        <w:t xml:space="preserve"> </w:t>
      </w:r>
    </w:p>
    <w:p w14:paraId="6A1561CF" w14:textId="5A30797F" w:rsidR="00CC63C6" w:rsidRPr="0047216C" w:rsidRDefault="00945F14" w:rsidP="00C566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7216C">
        <w:rPr>
          <w:rFonts w:asciiTheme="majorHAnsi" w:hAnsiTheme="majorHAnsi"/>
          <w:sz w:val="20"/>
          <w:szCs w:val="20"/>
          <w:lang w:val="es-ES"/>
        </w:rPr>
        <w:t xml:space="preserve">La Comisión advierte que el objeto </w:t>
      </w:r>
      <w:r w:rsidR="001F6BDE" w:rsidRPr="0047216C">
        <w:rPr>
          <w:rFonts w:asciiTheme="majorHAnsi" w:hAnsiTheme="majorHAnsi"/>
          <w:sz w:val="20"/>
          <w:szCs w:val="20"/>
          <w:lang w:val="es-ES"/>
        </w:rPr>
        <w:t>fundamental</w:t>
      </w:r>
      <w:r w:rsidRPr="0047216C">
        <w:rPr>
          <w:rFonts w:asciiTheme="majorHAnsi" w:hAnsiTheme="majorHAnsi"/>
          <w:sz w:val="20"/>
          <w:szCs w:val="20"/>
          <w:lang w:val="es-ES"/>
        </w:rPr>
        <w:t xml:space="preserve"> de </w:t>
      </w:r>
      <w:r w:rsidR="001F6BDE" w:rsidRPr="0047216C">
        <w:rPr>
          <w:rFonts w:asciiTheme="majorHAnsi" w:hAnsiTheme="majorHAnsi"/>
          <w:sz w:val="20"/>
          <w:szCs w:val="20"/>
          <w:lang w:val="es-ES"/>
        </w:rPr>
        <w:t>la</w:t>
      </w:r>
      <w:r w:rsidRPr="0047216C">
        <w:rPr>
          <w:rFonts w:asciiTheme="majorHAnsi" w:hAnsiTheme="majorHAnsi"/>
          <w:sz w:val="20"/>
          <w:szCs w:val="20"/>
          <w:lang w:val="es-ES"/>
        </w:rPr>
        <w:t xml:space="preserve"> petición es cuestionar </w:t>
      </w:r>
      <w:r w:rsidR="00C56644" w:rsidRPr="0047216C">
        <w:rPr>
          <w:rFonts w:asciiTheme="majorHAnsi" w:hAnsiTheme="majorHAnsi"/>
          <w:sz w:val="20"/>
          <w:szCs w:val="20"/>
          <w:lang w:val="es-ES"/>
        </w:rPr>
        <w:t>tanto la</w:t>
      </w:r>
      <w:r w:rsidRPr="0047216C">
        <w:rPr>
          <w:rFonts w:asciiTheme="majorHAnsi" w:hAnsiTheme="majorHAnsi"/>
          <w:sz w:val="20"/>
          <w:szCs w:val="20"/>
          <w:lang w:val="es-ES"/>
        </w:rPr>
        <w:t xml:space="preserve"> ausencia de una consulta previa </w:t>
      </w:r>
      <w:r w:rsidR="00C56644" w:rsidRPr="0047216C">
        <w:rPr>
          <w:rFonts w:asciiTheme="majorHAnsi" w:hAnsiTheme="majorHAnsi"/>
          <w:sz w:val="20"/>
          <w:szCs w:val="20"/>
          <w:lang w:val="es-ES"/>
        </w:rPr>
        <w:t xml:space="preserve">como las repercusiones que </w:t>
      </w:r>
      <w:r w:rsidR="001F6C60" w:rsidRPr="0047216C">
        <w:rPr>
          <w:rFonts w:asciiTheme="majorHAnsi" w:hAnsiTheme="majorHAnsi"/>
          <w:sz w:val="20"/>
          <w:szCs w:val="20"/>
          <w:lang w:val="es-ES"/>
        </w:rPr>
        <w:t xml:space="preserve">provocaron las primeras etapas de construcción </w:t>
      </w:r>
      <w:r w:rsidR="00C56644" w:rsidRPr="0047216C">
        <w:rPr>
          <w:rFonts w:asciiTheme="majorHAnsi" w:hAnsiTheme="majorHAnsi"/>
          <w:sz w:val="20"/>
          <w:szCs w:val="20"/>
          <w:lang w:val="es-ES"/>
        </w:rPr>
        <w:t xml:space="preserve">del proyecto hidroeléctrico sobre el territorio y recursos de las presuntas víctimas. </w:t>
      </w:r>
      <w:r w:rsidRPr="0047216C">
        <w:rPr>
          <w:rFonts w:asciiTheme="majorHAnsi" w:hAnsiTheme="majorHAnsi"/>
          <w:sz w:val="20"/>
          <w:szCs w:val="20"/>
          <w:lang w:val="es-ES"/>
        </w:rPr>
        <w:t xml:space="preserve">Para tal efecto, la parte peticionaria </w:t>
      </w:r>
      <w:r w:rsidR="00CC63C6" w:rsidRPr="0047216C">
        <w:rPr>
          <w:rFonts w:asciiTheme="majorHAnsi" w:hAnsiTheme="majorHAnsi"/>
          <w:sz w:val="20"/>
          <w:szCs w:val="20"/>
          <w:lang w:val="es-ES"/>
        </w:rPr>
        <w:t>sostiene que agotó los recursos internos con la sentencia de la Corte de Constitucionalidad. Sin embargo, el Estado argumenta que no se ha agotado la jurisdicción interna, ya que</w:t>
      </w:r>
      <w:r w:rsidR="00010B18">
        <w:rPr>
          <w:rFonts w:asciiTheme="majorHAnsi" w:hAnsiTheme="majorHAnsi"/>
          <w:sz w:val="20"/>
          <w:szCs w:val="20"/>
          <w:lang w:val="es-ES"/>
        </w:rPr>
        <w:t>:</w:t>
      </w:r>
      <w:r w:rsidR="00CC63C6" w:rsidRPr="0047216C">
        <w:rPr>
          <w:rFonts w:asciiTheme="majorHAnsi" w:hAnsiTheme="majorHAnsi"/>
          <w:sz w:val="20"/>
          <w:szCs w:val="20"/>
          <w:lang w:val="es-ES"/>
        </w:rPr>
        <w:t xml:space="preserve"> i) la petición se presentó </w:t>
      </w:r>
      <w:r w:rsidR="00CC63C6" w:rsidRPr="0047216C">
        <w:rPr>
          <w:rFonts w:asciiTheme="majorHAnsi" w:hAnsiTheme="majorHAnsi"/>
          <w:sz w:val="20"/>
          <w:szCs w:val="20"/>
          <w:lang w:val="es-ES"/>
        </w:rPr>
        <w:lastRenderedPageBreak/>
        <w:t>antes de que la</w:t>
      </w:r>
      <w:r w:rsidR="00942230">
        <w:rPr>
          <w:rFonts w:asciiTheme="majorHAnsi" w:hAnsiTheme="majorHAnsi"/>
          <w:sz w:val="20"/>
          <w:szCs w:val="20"/>
          <w:lang w:val="es-ES"/>
        </w:rPr>
        <w:t>s autoridades pudieran cumplir con la sentencia de la</w:t>
      </w:r>
      <w:r w:rsidR="00CC63C6" w:rsidRPr="0047216C">
        <w:rPr>
          <w:rFonts w:asciiTheme="majorHAnsi" w:hAnsiTheme="majorHAnsi"/>
          <w:sz w:val="20"/>
          <w:szCs w:val="20"/>
          <w:lang w:val="es-ES"/>
        </w:rPr>
        <w:t xml:space="preserve"> Corte de Constitucionalidad; y ii) no se utilizó la vía contenciosa administrativa para hacer valer el derecho a la consulta previa y cuestionar la validez del acuerdo ministerial No. 146-2010.</w:t>
      </w:r>
    </w:p>
    <w:p w14:paraId="77D64BF7" w14:textId="407796C1" w:rsidR="00BE1AC0" w:rsidRPr="0047216C" w:rsidRDefault="00BE1AC0" w:rsidP="00BE1A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eastAsia="es-PE"/>
        </w:rPr>
      </w:pPr>
      <w:r w:rsidRPr="0047216C">
        <w:rPr>
          <w:rFonts w:asciiTheme="majorHAnsi" w:hAnsiTheme="majorHAnsi"/>
          <w:sz w:val="20"/>
          <w:szCs w:val="20"/>
          <w:lang w:val="es-ES" w:eastAsia="es-PE"/>
        </w:rPr>
        <w:t>Respecto al cuestionamiento del Estado sobre el hecho de que</w:t>
      </w:r>
      <w:r w:rsidR="000D1EA1">
        <w:rPr>
          <w:rFonts w:asciiTheme="majorHAnsi" w:hAnsiTheme="majorHAnsi"/>
          <w:sz w:val="20"/>
          <w:szCs w:val="20"/>
          <w:lang w:val="es-ES" w:eastAsia="es-PE"/>
        </w:rPr>
        <w:t xml:space="preserve"> la presentación de la petición se </w:t>
      </w:r>
      <w:r w:rsidR="00E70B08">
        <w:rPr>
          <w:rFonts w:asciiTheme="majorHAnsi" w:hAnsiTheme="majorHAnsi"/>
          <w:sz w:val="20"/>
          <w:szCs w:val="20"/>
          <w:lang w:val="es-ES" w:eastAsia="es-PE"/>
        </w:rPr>
        <w:t>formalizó antes de que puedan considerarse agotados los recursos internos</w:t>
      </w:r>
      <w:r w:rsidRPr="0047216C">
        <w:rPr>
          <w:rFonts w:asciiTheme="majorHAnsi" w:hAnsiTheme="majorHAnsi"/>
          <w:sz w:val="20"/>
          <w:szCs w:val="20"/>
          <w:lang w:val="es-ES" w:eastAsia="es-PE"/>
        </w:rPr>
        <w:t xml:space="preserve">, la CIDH reitera su posición constante, según la cual la situación que debe considerarse para determinar si se han agotado los recursos de la jurisdicción interna es la que </w:t>
      </w:r>
      <w:r w:rsidR="001C5648">
        <w:rPr>
          <w:rFonts w:asciiTheme="majorHAnsi" w:hAnsiTheme="majorHAnsi"/>
          <w:sz w:val="20"/>
          <w:szCs w:val="20"/>
          <w:lang w:val="es-ES" w:eastAsia="es-PE"/>
        </w:rPr>
        <w:t>existe</w:t>
      </w:r>
      <w:r w:rsidR="001C5648" w:rsidRPr="0047216C">
        <w:rPr>
          <w:rFonts w:asciiTheme="majorHAnsi" w:hAnsiTheme="majorHAnsi"/>
          <w:sz w:val="20"/>
          <w:szCs w:val="20"/>
          <w:lang w:val="es-ES" w:eastAsia="es-PE"/>
        </w:rPr>
        <w:t xml:space="preserve"> </w:t>
      </w:r>
      <w:r w:rsidRPr="0047216C">
        <w:rPr>
          <w:rFonts w:asciiTheme="majorHAnsi" w:hAnsiTheme="majorHAnsi"/>
          <w:sz w:val="20"/>
          <w:szCs w:val="20"/>
          <w:lang w:val="es-ES" w:eastAsia="es-PE"/>
        </w:rPr>
        <w:t>al momento de decidir sobre la admisibilidad</w:t>
      </w:r>
      <w:r w:rsidRPr="0047216C">
        <w:rPr>
          <w:rStyle w:val="FootnoteReference"/>
          <w:rFonts w:asciiTheme="majorHAnsi" w:hAnsiTheme="majorHAnsi"/>
          <w:sz w:val="20"/>
          <w:szCs w:val="20"/>
          <w:lang w:val="es-ES" w:eastAsia="es-PE"/>
        </w:rPr>
        <w:footnoteReference w:id="5"/>
      </w:r>
      <w:r w:rsidRPr="0047216C">
        <w:rPr>
          <w:rFonts w:asciiTheme="majorHAnsi" w:hAnsiTheme="majorHAnsi"/>
          <w:sz w:val="20"/>
          <w:szCs w:val="20"/>
          <w:lang w:val="es-ES" w:eastAsia="es-PE"/>
        </w:rPr>
        <w:t>. Este criterio brinda a las autoridades la oportunidad de resolver la situación denunciada en el ámbito interno.</w:t>
      </w:r>
      <w:r w:rsidR="001C5648">
        <w:rPr>
          <w:rFonts w:asciiTheme="majorHAnsi" w:hAnsiTheme="majorHAnsi"/>
          <w:sz w:val="20"/>
          <w:szCs w:val="20"/>
          <w:lang w:val="es-ES" w:eastAsia="es-PE"/>
        </w:rPr>
        <w:t xml:space="preserve"> En este sentido, </w:t>
      </w:r>
      <w:r w:rsidR="0026173E">
        <w:rPr>
          <w:rFonts w:asciiTheme="majorHAnsi" w:hAnsiTheme="majorHAnsi"/>
          <w:sz w:val="20"/>
          <w:szCs w:val="20"/>
          <w:lang w:val="es-ES" w:eastAsia="es-PE"/>
        </w:rPr>
        <w:t>a más de 11 años de dictada</w:t>
      </w:r>
      <w:r w:rsidR="004822F4">
        <w:rPr>
          <w:rFonts w:asciiTheme="majorHAnsi" w:hAnsiTheme="majorHAnsi"/>
          <w:sz w:val="20"/>
          <w:szCs w:val="20"/>
          <w:lang w:val="es-ES" w:eastAsia="es-PE"/>
        </w:rPr>
        <w:t xml:space="preserve"> la sentencia, </w:t>
      </w:r>
      <w:r w:rsidR="001C5648">
        <w:rPr>
          <w:rFonts w:asciiTheme="majorHAnsi" w:hAnsiTheme="majorHAnsi"/>
          <w:sz w:val="20"/>
          <w:szCs w:val="20"/>
          <w:lang w:val="es-ES" w:eastAsia="es-PE"/>
        </w:rPr>
        <w:t>el Estado no ha presentado información actualizada respecto a que la consulta ordenada por la Corte de Constitucionalidad se haya efectivamente realizado.</w:t>
      </w:r>
    </w:p>
    <w:p w14:paraId="0BF0CCB7" w14:textId="5701EC05" w:rsidR="007F2E1D" w:rsidRPr="0047216C" w:rsidRDefault="00F6192C" w:rsidP="00CC63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eastAsia="es-PE"/>
        </w:rPr>
      </w:pPr>
      <w:r w:rsidRPr="0047216C">
        <w:rPr>
          <w:rFonts w:ascii="Cambria" w:hAnsi="Cambria"/>
          <w:sz w:val="20"/>
          <w:szCs w:val="20"/>
          <w:lang w:val="es-ES"/>
        </w:rPr>
        <w:t xml:space="preserve">En relación con el segundo cuestionamiento presentado por Guatemala, </w:t>
      </w:r>
      <w:r w:rsidR="007105A5" w:rsidRPr="0047216C">
        <w:rPr>
          <w:rFonts w:ascii="Cambria" w:hAnsi="Cambria"/>
          <w:sz w:val="20"/>
          <w:szCs w:val="20"/>
          <w:lang w:val="es-ES"/>
        </w:rPr>
        <w:t>la Comisión re</w:t>
      </w:r>
      <w:r w:rsidRPr="0047216C">
        <w:rPr>
          <w:rFonts w:ascii="Cambria" w:hAnsi="Cambria"/>
          <w:sz w:val="20"/>
          <w:szCs w:val="20"/>
          <w:lang w:val="es-ES"/>
        </w:rPr>
        <w:t>cuerda</w:t>
      </w:r>
      <w:r w:rsidR="007105A5" w:rsidRPr="0047216C">
        <w:rPr>
          <w:rFonts w:ascii="Cambria" w:hAnsi="Cambria"/>
          <w:sz w:val="20"/>
          <w:szCs w:val="20"/>
          <w:lang w:val="es-ES"/>
        </w:rPr>
        <w:t xml:space="preserve"> que el requisito de agotamiento de los recursos internos no implica que las presuntas víctimas tengan la obligación de agotar todos los recursos posibles a su disposición. En este sentido, la CIDH ha mantenido que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281CC5" w:rsidRPr="0047216C">
        <w:rPr>
          <w:rStyle w:val="FootnoteReference"/>
          <w:rFonts w:ascii="Cambria" w:hAnsi="Cambria"/>
          <w:sz w:val="20"/>
          <w:szCs w:val="20"/>
          <w:lang w:val="es-ES"/>
        </w:rPr>
        <w:footnoteReference w:id="6"/>
      </w:r>
      <w:r w:rsidR="00281CC5" w:rsidRPr="0047216C">
        <w:rPr>
          <w:rFonts w:ascii="Cambria" w:hAnsi="Cambria"/>
          <w:sz w:val="20"/>
          <w:szCs w:val="20"/>
          <w:lang w:val="es-ES"/>
        </w:rPr>
        <w:t>.</w:t>
      </w:r>
      <w:r w:rsidR="007105A5" w:rsidRPr="0047216C">
        <w:rPr>
          <w:rFonts w:ascii="Cambria" w:hAnsi="Cambria"/>
          <w:sz w:val="20"/>
          <w:szCs w:val="20"/>
          <w:lang w:val="es-ES"/>
        </w:rPr>
        <w:t xml:space="preserve"> En </w:t>
      </w:r>
      <w:r w:rsidR="00281CC5" w:rsidRPr="0047216C">
        <w:rPr>
          <w:rFonts w:ascii="Cambria" w:hAnsi="Cambria"/>
          <w:sz w:val="20"/>
          <w:szCs w:val="20"/>
          <w:lang w:val="es-ES"/>
        </w:rPr>
        <w:t>el presente asunto</w:t>
      </w:r>
      <w:r w:rsidR="007105A5" w:rsidRPr="0047216C">
        <w:rPr>
          <w:rFonts w:ascii="Cambria" w:hAnsi="Cambria"/>
          <w:sz w:val="20"/>
          <w:szCs w:val="20"/>
          <w:lang w:val="es-ES"/>
        </w:rPr>
        <w:t>,</w:t>
      </w:r>
      <w:r w:rsidR="00281CC5" w:rsidRPr="0047216C">
        <w:rPr>
          <w:rFonts w:ascii="Cambria" w:hAnsi="Cambria"/>
          <w:sz w:val="20"/>
          <w:szCs w:val="20"/>
          <w:lang w:val="es-ES"/>
        </w:rPr>
        <w:t xml:space="preserve"> </w:t>
      </w:r>
      <w:r w:rsidR="004822F4">
        <w:rPr>
          <w:rFonts w:ascii="Cambria" w:hAnsi="Cambria"/>
          <w:sz w:val="20"/>
          <w:szCs w:val="20"/>
          <w:lang w:val="es-ES"/>
        </w:rPr>
        <w:t xml:space="preserve">la Comisión </w:t>
      </w:r>
      <w:r w:rsidR="007105A5" w:rsidRPr="0047216C">
        <w:rPr>
          <w:rFonts w:ascii="Cambria" w:hAnsi="Cambria"/>
          <w:sz w:val="20"/>
          <w:szCs w:val="20"/>
          <w:lang w:val="es-ES"/>
        </w:rPr>
        <w:t>observa que las instancias judiciales que conocieron la demanda</w:t>
      </w:r>
      <w:r w:rsidR="00281CC5" w:rsidRPr="0047216C">
        <w:rPr>
          <w:rFonts w:ascii="Cambria" w:hAnsi="Cambria"/>
          <w:sz w:val="20"/>
          <w:szCs w:val="20"/>
          <w:lang w:val="es-ES"/>
        </w:rPr>
        <w:t xml:space="preserve"> </w:t>
      </w:r>
      <w:r w:rsidR="007F2E1D" w:rsidRPr="0047216C">
        <w:rPr>
          <w:rFonts w:ascii="Cambria" w:hAnsi="Cambria"/>
          <w:sz w:val="20"/>
          <w:szCs w:val="20"/>
          <w:lang w:val="es-ES"/>
        </w:rPr>
        <w:t xml:space="preserve">de amparo </w:t>
      </w:r>
      <w:r w:rsidR="007105A5" w:rsidRPr="0047216C">
        <w:rPr>
          <w:rFonts w:ascii="Cambria" w:hAnsi="Cambria"/>
          <w:sz w:val="20"/>
          <w:szCs w:val="20"/>
          <w:lang w:val="es-ES"/>
        </w:rPr>
        <w:t>afirmaron su competencia para analizar la controversia planteada y declararon</w:t>
      </w:r>
      <w:r w:rsidR="00281CC5" w:rsidRPr="0047216C">
        <w:rPr>
          <w:rFonts w:ascii="Cambria" w:hAnsi="Cambria"/>
          <w:sz w:val="20"/>
          <w:szCs w:val="20"/>
          <w:lang w:val="es-ES"/>
        </w:rPr>
        <w:t xml:space="preserve"> </w:t>
      </w:r>
      <w:r w:rsidR="007105A5" w:rsidRPr="0047216C">
        <w:rPr>
          <w:rFonts w:ascii="Cambria" w:hAnsi="Cambria"/>
          <w:sz w:val="20"/>
          <w:szCs w:val="20"/>
          <w:lang w:val="es-ES"/>
        </w:rPr>
        <w:t>cumplidos los requisitos de procedencia de la acción</w:t>
      </w:r>
      <w:r w:rsidRPr="0047216C">
        <w:rPr>
          <w:rFonts w:ascii="Cambria" w:hAnsi="Cambria"/>
          <w:sz w:val="20"/>
          <w:szCs w:val="20"/>
          <w:lang w:val="es-ES"/>
        </w:rPr>
        <w:t>, brindando una solución jurídica a la cuestión planteada</w:t>
      </w:r>
      <w:r w:rsidR="007105A5" w:rsidRPr="0047216C">
        <w:rPr>
          <w:rFonts w:ascii="Cambria" w:hAnsi="Cambria"/>
          <w:sz w:val="20"/>
          <w:szCs w:val="20"/>
          <w:lang w:val="es-ES"/>
        </w:rPr>
        <w:t>. Sobre esta base</w:t>
      </w:r>
      <w:r w:rsidR="004822F4">
        <w:rPr>
          <w:rFonts w:ascii="Cambria" w:hAnsi="Cambria"/>
          <w:sz w:val="20"/>
          <w:szCs w:val="20"/>
          <w:lang w:val="es-ES"/>
        </w:rPr>
        <w:t>,</w:t>
      </w:r>
      <w:r w:rsidR="007105A5" w:rsidRPr="0047216C">
        <w:rPr>
          <w:rFonts w:ascii="Cambria" w:hAnsi="Cambria"/>
          <w:sz w:val="20"/>
          <w:szCs w:val="20"/>
          <w:lang w:val="es-ES"/>
        </w:rPr>
        <w:t xml:space="preserve"> la Comisión concluye que la</w:t>
      </w:r>
      <w:r w:rsidRPr="0047216C">
        <w:rPr>
          <w:rFonts w:ascii="Cambria" w:hAnsi="Cambria"/>
          <w:sz w:val="20"/>
          <w:szCs w:val="20"/>
          <w:lang w:val="es-ES"/>
        </w:rPr>
        <w:t>s</w:t>
      </w:r>
      <w:r w:rsidR="007105A5" w:rsidRPr="0047216C">
        <w:rPr>
          <w:rFonts w:ascii="Cambria" w:hAnsi="Cambria"/>
          <w:sz w:val="20"/>
          <w:szCs w:val="20"/>
          <w:lang w:val="es-ES"/>
        </w:rPr>
        <w:t xml:space="preserve"> presunta</w:t>
      </w:r>
      <w:r w:rsidRPr="0047216C">
        <w:rPr>
          <w:rFonts w:ascii="Cambria" w:hAnsi="Cambria"/>
          <w:sz w:val="20"/>
          <w:szCs w:val="20"/>
          <w:lang w:val="es-ES"/>
        </w:rPr>
        <w:t>s</w:t>
      </w:r>
      <w:r w:rsidR="00281CC5" w:rsidRPr="0047216C">
        <w:rPr>
          <w:rFonts w:ascii="Cambria" w:hAnsi="Cambria"/>
          <w:sz w:val="20"/>
          <w:szCs w:val="20"/>
          <w:lang w:val="es-ES"/>
        </w:rPr>
        <w:t xml:space="preserve"> </w:t>
      </w:r>
      <w:r w:rsidR="007105A5" w:rsidRPr="0047216C">
        <w:rPr>
          <w:rFonts w:ascii="Cambria" w:hAnsi="Cambria"/>
          <w:sz w:val="20"/>
          <w:szCs w:val="20"/>
          <w:lang w:val="es-ES"/>
        </w:rPr>
        <w:t>víctima</w:t>
      </w:r>
      <w:r w:rsidRPr="0047216C">
        <w:rPr>
          <w:rFonts w:ascii="Cambria" w:hAnsi="Cambria"/>
          <w:sz w:val="20"/>
          <w:szCs w:val="20"/>
          <w:lang w:val="es-ES"/>
        </w:rPr>
        <w:t>s</w:t>
      </w:r>
      <w:r w:rsidR="007105A5" w:rsidRPr="0047216C">
        <w:rPr>
          <w:rFonts w:ascii="Cambria" w:hAnsi="Cambria"/>
          <w:sz w:val="20"/>
          <w:szCs w:val="20"/>
          <w:lang w:val="es-ES"/>
        </w:rPr>
        <w:t xml:space="preserve"> </w:t>
      </w:r>
      <w:r w:rsidRPr="0047216C">
        <w:rPr>
          <w:rFonts w:ascii="Cambria" w:hAnsi="Cambria"/>
          <w:sz w:val="20"/>
          <w:szCs w:val="20"/>
          <w:lang w:val="es-ES"/>
        </w:rPr>
        <w:t>utilizaron</w:t>
      </w:r>
      <w:r w:rsidR="007105A5" w:rsidRPr="0047216C">
        <w:rPr>
          <w:rFonts w:ascii="Cambria" w:hAnsi="Cambria"/>
          <w:sz w:val="20"/>
          <w:szCs w:val="20"/>
          <w:lang w:val="es-ES"/>
        </w:rPr>
        <w:t xml:space="preserve"> los recursos adecuados </w:t>
      </w:r>
      <w:r w:rsidR="007F2E1D" w:rsidRPr="0047216C">
        <w:rPr>
          <w:rFonts w:ascii="Cambria" w:hAnsi="Cambria"/>
          <w:sz w:val="20"/>
          <w:szCs w:val="20"/>
          <w:lang w:val="es-ES"/>
        </w:rPr>
        <w:t>y, por ende, agot</w:t>
      </w:r>
      <w:r w:rsidRPr="0047216C">
        <w:rPr>
          <w:rFonts w:ascii="Cambria" w:hAnsi="Cambria"/>
          <w:sz w:val="20"/>
          <w:szCs w:val="20"/>
          <w:lang w:val="es-ES"/>
        </w:rPr>
        <w:t>aron</w:t>
      </w:r>
      <w:r w:rsidR="007F2E1D" w:rsidRPr="0047216C">
        <w:rPr>
          <w:rFonts w:ascii="Cambria" w:hAnsi="Cambria"/>
          <w:sz w:val="20"/>
          <w:szCs w:val="20"/>
          <w:lang w:val="es-ES"/>
        </w:rPr>
        <w:t xml:space="preserve"> la jurisdicción interna con la sentencia de la Corte de Constitucionalidad del 5 de febrero de 2013. Por lo expuesto, </w:t>
      </w:r>
      <w:r w:rsidR="007105A5" w:rsidRPr="0047216C">
        <w:rPr>
          <w:rFonts w:ascii="Cambria" w:hAnsi="Cambria"/>
          <w:sz w:val="20"/>
          <w:szCs w:val="20"/>
          <w:lang w:val="es-ES"/>
        </w:rPr>
        <w:t>la petición cumple el</w:t>
      </w:r>
      <w:r w:rsidR="007F2E1D" w:rsidRPr="0047216C">
        <w:rPr>
          <w:rFonts w:ascii="Cambria" w:hAnsi="Cambria"/>
          <w:sz w:val="20"/>
          <w:szCs w:val="20"/>
          <w:lang w:val="es-ES"/>
        </w:rPr>
        <w:t xml:space="preserve"> </w:t>
      </w:r>
      <w:r w:rsidR="007105A5" w:rsidRPr="0047216C">
        <w:rPr>
          <w:rFonts w:ascii="Cambria" w:hAnsi="Cambria"/>
          <w:sz w:val="20"/>
          <w:szCs w:val="20"/>
          <w:lang w:val="es-ES"/>
        </w:rPr>
        <w:t>requisito establecido en el artículo 46.1.a</w:t>
      </w:r>
      <w:r w:rsidR="0009172D" w:rsidRPr="0047216C">
        <w:rPr>
          <w:rFonts w:ascii="Cambria" w:hAnsi="Cambria"/>
          <w:sz w:val="20"/>
          <w:szCs w:val="20"/>
          <w:lang w:val="es-ES"/>
        </w:rPr>
        <w:t>)</w:t>
      </w:r>
      <w:r w:rsidR="007105A5" w:rsidRPr="0047216C">
        <w:rPr>
          <w:rFonts w:ascii="Cambria" w:hAnsi="Cambria"/>
          <w:sz w:val="20"/>
          <w:szCs w:val="20"/>
          <w:lang w:val="es-ES"/>
        </w:rPr>
        <w:t xml:space="preserve"> de la Convención</w:t>
      </w:r>
      <w:r w:rsidR="007F2E1D" w:rsidRPr="0047216C">
        <w:rPr>
          <w:rFonts w:ascii="Cambria" w:hAnsi="Cambria"/>
          <w:sz w:val="20"/>
          <w:szCs w:val="20"/>
          <w:lang w:val="es-ES"/>
        </w:rPr>
        <w:t>.</w:t>
      </w:r>
      <w:r w:rsidR="007105A5" w:rsidRPr="0047216C">
        <w:rPr>
          <w:rFonts w:ascii="Cambria" w:hAnsi="Cambria"/>
          <w:sz w:val="20"/>
          <w:szCs w:val="20"/>
          <w:lang w:val="es-ES"/>
        </w:rPr>
        <w:t xml:space="preserve"> </w:t>
      </w:r>
    </w:p>
    <w:p w14:paraId="0592389F" w14:textId="73102B56" w:rsidR="00E37565" w:rsidRPr="0047216C" w:rsidRDefault="00F6192C" w:rsidP="00E375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7216C">
        <w:rPr>
          <w:rFonts w:ascii="Cambria" w:hAnsi="Cambria"/>
          <w:sz w:val="20"/>
          <w:szCs w:val="20"/>
          <w:lang w:val="es-ES"/>
        </w:rPr>
        <w:t xml:space="preserve">Finalmente, </w:t>
      </w:r>
      <w:r w:rsidR="00B96C4F" w:rsidRPr="0047216C">
        <w:rPr>
          <w:rFonts w:ascii="Cambria" w:hAnsi="Cambria"/>
          <w:sz w:val="20"/>
          <w:szCs w:val="20"/>
          <w:lang w:val="es-ES"/>
        </w:rPr>
        <w:t xml:space="preserve">sobre el plazo de presentación de la petición, la Comisión nota que la Corte de Constitucionalidad notificó su decisión el 21 de febrero de 2013 y que la parte peticionaria presentó esta petición el </w:t>
      </w:r>
      <w:r w:rsidR="00B96C4F" w:rsidRPr="0047216C">
        <w:rPr>
          <w:rFonts w:ascii="Cambria" w:hAnsi="Cambria"/>
          <w:bCs/>
          <w:sz w:val="20"/>
          <w:szCs w:val="20"/>
          <w:lang w:val="es-ES"/>
        </w:rPr>
        <w:t>21 de agosto de 2013</w:t>
      </w:r>
      <w:r w:rsidR="00E36189" w:rsidRPr="0047216C">
        <w:rPr>
          <w:rFonts w:ascii="Cambria" w:hAnsi="Cambria"/>
          <w:bCs/>
          <w:sz w:val="20"/>
          <w:szCs w:val="20"/>
          <w:lang w:val="es-ES"/>
        </w:rPr>
        <w:t xml:space="preserve">. Si bien el Estado sostiene que esta </w:t>
      </w:r>
      <w:r w:rsidR="00BC71B6" w:rsidRPr="0047216C">
        <w:rPr>
          <w:rFonts w:ascii="Cambria" w:hAnsi="Cambria"/>
          <w:bCs/>
          <w:sz w:val="20"/>
          <w:szCs w:val="20"/>
          <w:lang w:val="es-ES"/>
        </w:rPr>
        <w:t xml:space="preserve">es </w:t>
      </w:r>
      <w:r w:rsidR="00E36189" w:rsidRPr="0047216C">
        <w:rPr>
          <w:rFonts w:ascii="Cambria" w:hAnsi="Cambria"/>
          <w:bCs/>
          <w:sz w:val="20"/>
          <w:szCs w:val="20"/>
          <w:lang w:val="es-ES"/>
        </w:rPr>
        <w:t>extemporánea</w:t>
      </w:r>
      <w:r w:rsidR="00BC71B6" w:rsidRPr="0047216C">
        <w:rPr>
          <w:rFonts w:ascii="Cambria" w:hAnsi="Cambria"/>
          <w:bCs/>
          <w:sz w:val="20"/>
          <w:szCs w:val="20"/>
          <w:lang w:val="es-ES"/>
        </w:rPr>
        <w:t xml:space="preserve"> porque fue presentada 183 días después de la notificación de la referida sentencia</w:t>
      </w:r>
      <w:r w:rsidR="00E36189" w:rsidRPr="0047216C">
        <w:rPr>
          <w:rFonts w:ascii="Cambria" w:hAnsi="Cambria"/>
          <w:bCs/>
          <w:sz w:val="20"/>
          <w:szCs w:val="20"/>
          <w:lang w:val="es-ES"/>
        </w:rPr>
        <w:t>, la interpretación constante</w:t>
      </w:r>
      <w:r w:rsidR="008B59A1" w:rsidRPr="0047216C">
        <w:rPr>
          <w:rFonts w:ascii="Cambria" w:hAnsi="Cambria"/>
          <w:bCs/>
          <w:sz w:val="20"/>
          <w:szCs w:val="20"/>
          <w:lang w:val="es-ES"/>
        </w:rPr>
        <w:t xml:space="preserve"> e</w:t>
      </w:r>
      <w:r w:rsidR="00E36189" w:rsidRPr="0047216C">
        <w:rPr>
          <w:rFonts w:ascii="Cambria" w:hAnsi="Cambria"/>
          <w:bCs/>
          <w:sz w:val="20"/>
          <w:szCs w:val="20"/>
          <w:lang w:val="es-ES"/>
        </w:rPr>
        <w:t xml:space="preserve"> histórica de la </w:t>
      </w:r>
      <w:r w:rsidR="00C77B9B" w:rsidRPr="0047216C">
        <w:rPr>
          <w:rFonts w:ascii="Cambria" w:hAnsi="Cambria"/>
          <w:bCs/>
          <w:sz w:val="20"/>
          <w:szCs w:val="20"/>
          <w:lang w:val="es-ES"/>
        </w:rPr>
        <w:t>CIDH</w:t>
      </w:r>
      <w:r w:rsidR="00E36189" w:rsidRPr="0047216C">
        <w:rPr>
          <w:rFonts w:ascii="Cambria" w:hAnsi="Cambria"/>
          <w:bCs/>
          <w:sz w:val="20"/>
          <w:szCs w:val="20"/>
          <w:lang w:val="es-ES"/>
        </w:rPr>
        <w:t xml:space="preserve"> sobre el requisito previsto en el artículo 46.1.b) de la Convención ha sido </w:t>
      </w:r>
      <w:r w:rsidR="008B59A1" w:rsidRPr="0047216C">
        <w:rPr>
          <w:rFonts w:ascii="Cambria" w:hAnsi="Cambria"/>
          <w:bCs/>
          <w:sz w:val="20"/>
          <w:szCs w:val="20"/>
          <w:lang w:val="es-ES"/>
        </w:rPr>
        <w:t xml:space="preserve">la de </w:t>
      </w:r>
      <w:r w:rsidR="00E36189" w:rsidRPr="0047216C">
        <w:rPr>
          <w:rFonts w:ascii="Cambria" w:hAnsi="Cambria"/>
          <w:bCs/>
          <w:sz w:val="20"/>
          <w:szCs w:val="20"/>
          <w:lang w:val="es-ES"/>
        </w:rPr>
        <w:t>entende</w:t>
      </w:r>
      <w:r w:rsidR="00BC71B6" w:rsidRPr="0047216C">
        <w:rPr>
          <w:rFonts w:ascii="Cambria" w:hAnsi="Cambria"/>
          <w:bCs/>
          <w:sz w:val="20"/>
          <w:szCs w:val="20"/>
          <w:lang w:val="es-ES"/>
        </w:rPr>
        <w:t>r que est</w:t>
      </w:r>
      <w:r w:rsidR="00ED294C" w:rsidRPr="0047216C">
        <w:rPr>
          <w:rFonts w:ascii="Cambria" w:hAnsi="Cambria"/>
          <w:bCs/>
          <w:sz w:val="20"/>
          <w:szCs w:val="20"/>
          <w:lang w:val="es-ES"/>
        </w:rPr>
        <w:t>e</w:t>
      </w:r>
      <w:r w:rsidR="00BC71B6" w:rsidRPr="0047216C">
        <w:rPr>
          <w:rFonts w:ascii="Cambria" w:hAnsi="Cambria"/>
          <w:bCs/>
          <w:sz w:val="20"/>
          <w:szCs w:val="20"/>
          <w:lang w:val="es-ES"/>
        </w:rPr>
        <w:t xml:space="preserve"> establece un plazo de seis meses, independiente</w:t>
      </w:r>
      <w:r w:rsidR="004822F4">
        <w:rPr>
          <w:rFonts w:ascii="Cambria" w:hAnsi="Cambria"/>
          <w:bCs/>
          <w:sz w:val="20"/>
          <w:szCs w:val="20"/>
          <w:lang w:val="es-ES"/>
        </w:rPr>
        <w:t>mente</w:t>
      </w:r>
      <w:r w:rsidR="00BC71B6" w:rsidRPr="0047216C">
        <w:rPr>
          <w:rFonts w:ascii="Cambria" w:hAnsi="Cambria"/>
          <w:bCs/>
          <w:sz w:val="20"/>
          <w:szCs w:val="20"/>
          <w:lang w:val="es-ES"/>
        </w:rPr>
        <w:t xml:space="preserve"> de la cantidad de días que tenga cada uno. Con base</w:t>
      </w:r>
      <w:r w:rsidR="00D55A5C" w:rsidRPr="0047216C">
        <w:rPr>
          <w:rFonts w:ascii="Cambria" w:hAnsi="Cambria"/>
          <w:bCs/>
          <w:sz w:val="20"/>
          <w:szCs w:val="20"/>
          <w:lang w:val="es-ES"/>
        </w:rPr>
        <w:t xml:space="preserve"> en ello, la Comisión concluye que este reclamo también cumple lo estipulado en dicha disposición.</w:t>
      </w:r>
    </w:p>
    <w:p w14:paraId="015F583F" w14:textId="780938F4" w:rsidR="00E37565" w:rsidRPr="0047216C" w:rsidRDefault="00E37565" w:rsidP="00E37565">
      <w:pPr>
        <w:pStyle w:val="ListParagraph"/>
        <w:spacing w:before="240" w:after="240"/>
        <w:jc w:val="both"/>
        <w:rPr>
          <w:rFonts w:asciiTheme="majorHAnsi" w:hAnsiTheme="majorHAnsi"/>
          <w:b/>
          <w:sz w:val="20"/>
          <w:szCs w:val="20"/>
          <w:lang w:val="es-ES"/>
        </w:rPr>
      </w:pPr>
      <w:r w:rsidRPr="0047216C">
        <w:rPr>
          <w:rFonts w:asciiTheme="majorHAnsi" w:hAnsiTheme="majorHAnsi"/>
          <w:b/>
          <w:bCs/>
          <w:sz w:val="20"/>
          <w:szCs w:val="20"/>
          <w:lang w:val="es-ES"/>
        </w:rPr>
        <w:t>VII.</w:t>
      </w:r>
      <w:r w:rsidRPr="0047216C">
        <w:rPr>
          <w:rFonts w:asciiTheme="majorHAnsi" w:hAnsiTheme="majorHAnsi"/>
          <w:b/>
          <w:bCs/>
          <w:sz w:val="20"/>
          <w:szCs w:val="20"/>
          <w:lang w:val="es-ES"/>
        </w:rPr>
        <w:tab/>
        <w:t>ANÁLISIS DE CARACTERIZACIÓN DE LOS HECHOS ALEGADOS</w:t>
      </w:r>
    </w:p>
    <w:p w14:paraId="043FF361" w14:textId="67D6D17C" w:rsidR="000F4DF4" w:rsidRPr="00C65053" w:rsidRDefault="00E37565" w:rsidP="000F4D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7216C">
        <w:rPr>
          <w:rFonts w:asciiTheme="majorHAnsi" w:hAnsiTheme="majorHAnsi"/>
          <w:sz w:val="20"/>
          <w:szCs w:val="20"/>
          <w:lang w:val="es-ES"/>
        </w:rPr>
        <w:t xml:space="preserve">En primer lugar, la Comisión reitera que el criterio de evaluación de la fase de admisibilidad difiere del que se utiliza para </w:t>
      </w:r>
      <w:r w:rsidRPr="00C65053">
        <w:rPr>
          <w:rFonts w:asciiTheme="majorHAnsi" w:hAnsiTheme="majorHAnsi"/>
          <w:sz w:val="20"/>
          <w:szCs w:val="20"/>
          <w:lang w:val="es-ES"/>
        </w:rPr>
        <w:t xml:space="preserve">pronunciarse sobre el fondo de una petición; la CIDH debe realizar en esta etapa una evaluación </w:t>
      </w:r>
      <w:r w:rsidRPr="00C65053">
        <w:rPr>
          <w:rFonts w:asciiTheme="majorHAnsi" w:hAnsiTheme="majorHAnsi"/>
          <w:i/>
          <w:iCs/>
          <w:sz w:val="20"/>
          <w:szCs w:val="20"/>
          <w:lang w:val="es-ES"/>
        </w:rPr>
        <w:t>prima facie</w:t>
      </w:r>
      <w:r w:rsidRPr="00C65053">
        <w:rPr>
          <w:rFonts w:asciiTheme="majorHAnsi" w:hAnsiTheme="majorHAnsi"/>
          <w:sz w:val="20"/>
          <w:szCs w:val="20"/>
          <w:lang w:val="es-ES"/>
        </w:rPr>
        <w:t xml:space="preserve"> para determinar si la petición establece el fundamento de la violación, posible o potencial, de un derecho garantizado por la Convención, pero no para </w:t>
      </w:r>
      <w:r w:rsidR="00B73CED" w:rsidRPr="00C65053">
        <w:rPr>
          <w:rFonts w:asciiTheme="majorHAnsi" w:hAnsiTheme="majorHAnsi"/>
          <w:sz w:val="20"/>
          <w:szCs w:val="20"/>
          <w:lang w:val="es-ES"/>
        </w:rPr>
        <w:t xml:space="preserve">definir </w:t>
      </w:r>
      <w:r w:rsidRPr="00C65053">
        <w:rPr>
          <w:rFonts w:asciiTheme="majorHAnsi" w:hAnsiTheme="majorHAnsi"/>
          <w:sz w:val="20"/>
          <w:szCs w:val="20"/>
          <w:lang w:val="es-ES"/>
        </w:rPr>
        <w:t>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1904B778" w14:textId="1FF8D77D" w:rsidR="001F4521" w:rsidRPr="0047216C" w:rsidRDefault="00C65053" w:rsidP="001F45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A fin </w:t>
      </w:r>
      <w:r w:rsidR="00F365CB" w:rsidRPr="00C65053">
        <w:rPr>
          <w:rFonts w:ascii="Cambria" w:hAnsi="Cambria"/>
          <w:sz w:val="20"/>
          <w:szCs w:val="20"/>
          <w:lang w:val="es-ES"/>
        </w:rPr>
        <w:t>de analizar la presente controversia</w:t>
      </w:r>
      <w:r w:rsidR="002A1658" w:rsidRPr="00C65053">
        <w:rPr>
          <w:rFonts w:ascii="Cambria" w:hAnsi="Cambria"/>
          <w:sz w:val="20"/>
          <w:szCs w:val="20"/>
          <w:lang w:val="es-ES"/>
        </w:rPr>
        <w:t xml:space="preserve">, </w:t>
      </w:r>
      <w:r w:rsidR="002A1658" w:rsidRPr="00C65053">
        <w:rPr>
          <w:rFonts w:asciiTheme="majorHAnsi" w:hAnsiTheme="majorHAnsi"/>
          <w:color w:val="000000" w:themeColor="text1"/>
          <w:sz w:val="20"/>
          <w:szCs w:val="20"/>
          <w:lang w:val="es-ES"/>
        </w:rPr>
        <w:t xml:space="preserve">la CIDH </w:t>
      </w:r>
      <w:r w:rsidR="00D62916" w:rsidRPr="00C65053">
        <w:rPr>
          <w:rFonts w:asciiTheme="majorHAnsi" w:hAnsiTheme="majorHAnsi"/>
          <w:color w:val="000000" w:themeColor="text1"/>
          <w:sz w:val="20"/>
          <w:szCs w:val="20"/>
          <w:lang w:val="es-ES"/>
        </w:rPr>
        <w:t xml:space="preserve">destaca que </w:t>
      </w:r>
      <w:r w:rsidR="002A1658" w:rsidRPr="00C65053">
        <w:rPr>
          <w:rFonts w:asciiTheme="majorHAnsi" w:hAnsiTheme="majorHAnsi"/>
          <w:color w:val="000000" w:themeColor="text1"/>
          <w:sz w:val="20"/>
          <w:szCs w:val="20"/>
          <w:lang w:val="es-ES"/>
        </w:rPr>
        <w:t xml:space="preserve">la obligación de realizar la consulta previa, libre e informada se desprende de la propia Convención Americana, </w:t>
      </w:r>
      <w:r w:rsidR="00692B82" w:rsidRPr="00C65053">
        <w:rPr>
          <w:rFonts w:asciiTheme="majorHAnsi" w:hAnsiTheme="majorHAnsi"/>
          <w:color w:val="000000" w:themeColor="text1"/>
          <w:sz w:val="20"/>
          <w:szCs w:val="20"/>
          <w:lang w:val="es-ES"/>
        </w:rPr>
        <w:t>de</w:t>
      </w:r>
      <w:r w:rsidR="002A1658" w:rsidRPr="00C65053">
        <w:rPr>
          <w:rFonts w:asciiTheme="majorHAnsi" w:hAnsiTheme="majorHAnsi"/>
          <w:color w:val="000000" w:themeColor="text1"/>
          <w:sz w:val="20"/>
          <w:szCs w:val="20"/>
          <w:lang w:val="es-ES"/>
        </w:rPr>
        <w:t xml:space="preserve"> una lectura conjunta de los derechos establecidos en sus artículos 13, 21 y 23</w:t>
      </w:r>
      <w:r w:rsidR="00D06AD1" w:rsidRPr="00C65053">
        <w:rPr>
          <w:rStyle w:val="FootnoteReference"/>
          <w:rFonts w:asciiTheme="majorHAnsi" w:hAnsiTheme="majorHAnsi"/>
          <w:color w:val="000000" w:themeColor="text1"/>
          <w:sz w:val="20"/>
          <w:szCs w:val="20"/>
          <w:lang w:val="es-ES"/>
        </w:rPr>
        <w:footnoteReference w:id="7"/>
      </w:r>
      <w:r w:rsidR="002A1658" w:rsidRPr="00C65053">
        <w:rPr>
          <w:rFonts w:asciiTheme="majorHAnsi" w:hAnsiTheme="majorHAnsi"/>
          <w:color w:val="000000" w:themeColor="text1"/>
          <w:sz w:val="20"/>
          <w:szCs w:val="20"/>
          <w:lang w:val="es-ES"/>
        </w:rPr>
        <w:t>.</w:t>
      </w:r>
      <w:r w:rsidR="000F4DF4" w:rsidRPr="00C65053">
        <w:rPr>
          <w:rFonts w:ascii="Cambria" w:hAnsi="Cambria"/>
          <w:sz w:val="20"/>
          <w:szCs w:val="20"/>
          <w:lang w:val="es-ES"/>
        </w:rPr>
        <w:t xml:space="preserve"> </w:t>
      </w:r>
      <w:r w:rsidR="002A1658" w:rsidRPr="00C65053">
        <w:rPr>
          <w:rFonts w:asciiTheme="majorHAnsi" w:hAnsiTheme="majorHAnsi"/>
          <w:color w:val="000000" w:themeColor="text1"/>
          <w:sz w:val="20"/>
          <w:szCs w:val="20"/>
          <w:lang w:val="es-ES"/>
        </w:rPr>
        <w:t xml:space="preserve">Asimismo, la Comisión ha indicado que en el caso de actividades </w:t>
      </w:r>
      <w:r w:rsidR="00260CD7" w:rsidRPr="00C65053">
        <w:rPr>
          <w:rFonts w:asciiTheme="majorHAnsi" w:hAnsiTheme="majorHAnsi"/>
          <w:color w:val="000000" w:themeColor="text1"/>
          <w:sz w:val="20"/>
          <w:szCs w:val="20"/>
          <w:lang w:val="es-ES"/>
        </w:rPr>
        <w:t xml:space="preserve">emprendidas </w:t>
      </w:r>
      <w:r w:rsidR="002A1658" w:rsidRPr="00C65053">
        <w:rPr>
          <w:rFonts w:asciiTheme="majorHAnsi" w:hAnsiTheme="majorHAnsi"/>
          <w:color w:val="000000" w:themeColor="text1"/>
          <w:sz w:val="20"/>
          <w:szCs w:val="20"/>
          <w:lang w:val="es-ES"/>
        </w:rPr>
        <w:t>por el Estado, o bajo su autorización</w:t>
      </w:r>
      <w:r w:rsidR="00260CD7" w:rsidRPr="00C65053">
        <w:rPr>
          <w:rFonts w:asciiTheme="majorHAnsi" w:hAnsiTheme="majorHAnsi"/>
          <w:color w:val="000000" w:themeColor="text1"/>
          <w:sz w:val="20"/>
          <w:szCs w:val="20"/>
          <w:lang w:val="es-ES"/>
        </w:rPr>
        <w:t xml:space="preserve"> —</w:t>
      </w:r>
      <w:r w:rsidR="002A1658" w:rsidRPr="00C65053">
        <w:rPr>
          <w:rFonts w:asciiTheme="majorHAnsi" w:hAnsiTheme="majorHAnsi"/>
          <w:color w:val="000000" w:themeColor="text1"/>
          <w:sz w:val="20"/>
          <w:szCs w:val="20"/>
          <w:lang w:val="es-ES"/>
        </w:rPr>
        <w:t>a través de, por ejemplo, licitaciones,</w:t>
      </w:r>
      <w:r w:rsidR="002A1658" w:rsidRPr="0047216C">
        <w:rPr>
          <w:rFonts w:asciiTheme="majorHAnsi" w:hAnsiTheme="majorHAnsi"/>
          <w:color w:val="000000" w:themeColor="text1"/>
          <w:sz w:val="20"/>
          <w:szCs w:val="20"/>
          <w:lang w:val="es-ES"/>
        </w:rPr>
        <w:t xml:space="preserve"> asignaciones o venta</w:t>
      </w:r>
      <w:r w:rsidR="00260CD7">
        <w:rPr>
          <w:rFonts w:asciiTheme="majorHAnsi" w:hAnsiTheme="majorHAnsi"/>
          <w:color w:val="000000" w:themeColor="text1"/>
          <w:sz w:val="20"/>
          <w:szCs w:val="20"/>
          <w:lang w:val="es-ES"/>
        </w:rPr>
        <w:t>s—</w:t>
      </w:r>
      <w:r w:rsidR="002A1658" w:rsidRPr="0047216C">
        <w:rPr>
          <w:rFonts w:asciiTheme="majorHAnsi" w:hAnsiTheme="majorHAnsi"/>
          <w:color w:val="000000" w:themeColor="text1"/>
          <w:sz w:val="20"/>
          <w:szCs w:val="20"/>
          <w:lang w:val="es-ES"/>
        </w:rPr>
        <w:t xml:space="preserve"> que tendrían un impacto significativo en el uso y goce de este derecho, es necesario </w:t>
      </w:r>
      <w:r w:rsidR="002A1658" w:rsidRPr="0047216C">
        <w:rPr>
          <w:rFonts w:asciiTheme="majorHAnsi" w:hAnsiTheme="majorHAnsi"/>
          <w:color w:val="000000" w:themeColor="text1"/>
          <w:sz w:val="20"/>
          <w:szCs w:val="20"/>
          <w:lang w:val="es-ES"/>
        </w:rPr>
        <w:lastRenderedPageBreak/>
        <w:t>que el Estado asegure que los pueblos afectados cuenten con información sobre las actividades que les afectarían, que tengan la posibilidad de participar en los diferentes procesos para la toma de las decisiones respectivas y</w:t>
      </w:r>
      <w:r w:rsidR="00DB04CB">
        <w:rPr>
          <w:rFonts w:asciiTheme="majorHAnsi" w:hAnsiTheme="majorHAnsi"/>
          <w:color w:val="000000" w:themeColor="text1"/>
          <w:sz w:val="20"/>
          <w:szCs w:val="20"/>
          <w:lang w:val="es-ES"/>
        </w:rPr>
        <w:t>,</w:t>
      </w:r>
      <w:r w:rsidR="002A1658" w:rsidRPr="0047216C">
        <w:rPr>
          <w:rFonts w:asciiTheme="majorHAnsi" w:hAnsiTheme="majorHAnsi"/>
          <w:color w:val="000000" w:themeColor="text1"/>
          <w:sz w:val="20"/>
          <w:szCs w:val="20"/>
          <w:lang w:val="es-ES"/>
        </w:rPr>
        <w:t xml:space="preserve"> por otra parte, tengan acceso a la protección y las garantías judiciales en caso de considerar que sus derechos no sean respetados</w:t>
      </w:r>
      <w:r w:rsidR="002A1658" w:rsidRPr="0047216C">
        <w:rPr>
          <w:rStyle w:val="FootnoteReference"/>
          <w:rFonts w:asciiTheme="majorHAnsi" w:hAnsiTheme="majorHAnsi"/>
          <w:color w:val="000000" w:themeColor="text1"/>
          <w:sz w:val="20"/>
          <w:szCs w:val="20"/>
          <w:lang w:val="es-ES"/>
        </w:rPr>
        <w:footnoteReference w:id="8"/>
      </w:r>
      <w:r w:rsidR="002A1658" w:rsidRPr="0047216C">
        <w:rPr>
          <w:rFonts w:asciiTheme="majorHAnsi" w:hAnsiTheme="majorHAnsi"/>
          <w:color w:val="000000" w:themeColor="text1"/>
          <w:sz w:val="20"/>
          <w:szCs w:val="20"/>
          <w:lang w:val="es-ES"/>
        </w:rPr>
        <w:t>.</w:t>
      </w:r>
      <w:r w:rsidR="000F4DF4" w:rsidRPr="0047216C">
        <w:rPr>
          <w:rFonts w:asciiTheme="majorHAnsi" w:hAnsiTheme="majorHAnsi"/>
          <w:color w:val="000000" w:themeColor="text1"/>
          <w:sz w:val="20"/>
          <w:szCs w:val="20"/>
          <w:lang w:val="es-ES"/>
        </w:rPr>
        <w:t xml:space="preserve"> </w:t>
      </w:r>
      <w:r w:rsidR="00F365CB" w:rsidRPr="0047216C">
        <w:rPr>
          <w:rFonts w:asciiTheme="majorHAnsi" w:hAnsiTheme="majorHAnsi"/>
          <w:color w:val="000000" w:themeColor="text1"/>
          <w:sz w:val="20"/>
          <w:szCs w:val="20"/>
          <w:lang w:val="es-ES"/>
        </w:rPr>
        <w:t>Adicionalmente</w:t>
      </w:r>
      <w:r w:rsidR="000F4DF4" w:rsidRPr="0047216C">
        <w:rPr>
          <w:rFonts w:asciiTheme="majorHAnsi" w:hAnsiTheme="majorHAnsi"/>
          <w:color w:val="000000" w:themeColor="text1"/>
          <w:sz w:val="20"/>
          <w:szCs w:val="20"/>
          <w:lang w:val="es-ES"/>
        </w:rPr>
        <w:t xml:space="preserve">, </w:t>
      </w:r>
      <w:r w:rsidR="00D62916" w:rsidRPr="0047216C">
        <w:rPr>
          <w:rFonts w:asciiTheme="majorHAnsi" w:hAnsiTheme="majorHAnsi"/>
          <w:sz w:val="20"/>
          <w:szCs w:val="20"/>
          <w:lang w:val="es-ES"/>
        </w:rPr>
        <w:t xml:space="preserve">la Comisión recuerda que la obligación de </w:t>
      </w:r>
      <w:r w:rsidR="00DB04CB">
        <w:rPr>
          <w:rFonts w:asciiTheme="majorHAnsi" w:hAnsiTheme="majorHAnsi"/>
          <w:sz w:val="20"/>
          <w:szCs w:val="20"/>
          <w:lang w:val="es-ES"/>
        </w:rPr>
        <w:t>llevar a cabo</w:t>
      </w:r>
      <w:r w:rsidR="00DB04CB" w:rsidRPr="0047216C">
        <w:rPr>
          <w:rFonts w:asciiTheme="majorHAnsi" w:hAnsiTheme="majorHAnsi"/>
          <w:sz w:val="20"/>
          <w:szCs w:val="20"/>
          <w:lang w:val="es-ES"/>
        </w:rPr>
        <w:t xml:space="preserve"> </w:t>
      </w:r>
      <w:r w:rsidR="00D62916" w:rsidRPr="0047216C">
        <w:rPr>
          <w:rFonts w:asciiTheme="majorHAnsi" w:hAnsiTheme="majorHAnsi"/>
          <w:sz w:val="20"/>
          <w:szCs w:val="20"/>
          <w:lang w:val="es-ES"/>
        </w:rPr>
        <w:t>una consulta no puede asemejarse al procedimiento estándar de notificación ni entenderse como una acción puntual, sino que debe ser un proceso continu</w:t>
      </w:r>
      <w:r w:rsidR="00506719">
        <w:rPr>
          <w:rFonts w:asciiTheme="majorHAnsi" w:hAnsiTheme="majorHAnsi"/>
          <w:sz w:val="20"/>
          <w:szCs w:val="20"/>
          <w:lang w:val="es-ES"/>
        </w:rPr>
        <w:t>o</w:t>
      </w:r>
      <w:r w:rsidR="00D62916" w:rsidRPr="0047216C">
        <w:rPr>
          <w:rFonts w:asciiTheme="majorHAnsi" w:hAnsiTheme="majorHAnsi"/>
          <w:sz w:val="20"/>
          <w:szCs w:val="20"/>
          <w:lang w:val="es-ES"/>
        </w:rPr>
        <w:t xml:space="preserve"> de información que permita </w:t>
      </w:r>
      <w:r w:rsidR="00D62916" w:rsidRPr="0047216C">
        <w:rPr>
          <w:rFonts w:asciiTheme="majorHAnsi" w:hAnsiTheme="majorHAnsi"/>
          <w:color w:val="000000" w:themeColor="text1"/>
          <w:sz w:val="20"/>
          <w:szCs w:val="20"/>
          <w:lang w:val="es-ES"/>
        </w:rPr>
        <w:t xml:space="preserve">resolver las situaciones de desventaja y desequilibrio de poder (ver </w:t>
      </w:r>
      <w:r w:rsidR="00D62916" w:rsidRPr="0047216C">
        <w:rPr>
          <w:rFonts w:asciiTheme="majorHAnsi" w:hAnsiTheme="majorHAnsi"/>
          <w:i/>
          <w:iCs/>
          <w:color w:val="000000" w:themeColor="text1"/>
          <w:sz w:val="20"/>
          <w:szCs w:val="20"/>
          <w:lang w:val="es-ES"/>
        </w:rPr>
        <w:t>supra</w:t>
      </w:r>
      <w:r w:rsidR="00D62916" w:rsidRPr="0047216C">
        <w:rPr>
          <w:rFonts w:asciiTheme="majorHAnsi" w:hAnsiTheme="majorHAnsi"/>
          <w:color w:val="000000" w:themeColor="text1"/>
          <w:sz w:val="20"/>
          <w:szCs w:val="20"/>
          <w:lang w:val="es-ES"/>
        </w:rPr>
        <w:t xml:space="preserve"> párr. 93)</w:t>
      </w:r>
      <w:r w:rsidR="00D62916" w:rsidRPr="0047216C">
        <w:rPr>
          <w:rStyle w:val="FootnoteReference"/>
          <w:rFonts w:asciiTheme="majorHAnsi" w:hAnsiTheme="majorHAnsi"/>
          <w:color w:val="000000" w:themeColor="text1"/>
          <w:sz w:val="20"/>
          <w:szCs w:val="20"/>
          <w:lang w:val="es-ES"/>
        </w:rPr>
        <w:footnoteReference w:id="9"/>
      </w:r>
      <w:r w:rsidR="00D62916" w:rsidRPr="0047216C">
        <w:rPr>
          <w:rFonts w:asciiTheme="majorHAnsi" w:hAnsiTheme="majorHAnsi"/>
          <w:color w:val="000000" w:themeColor="text1"/>
          <w:sz w:val="20"/>
          <w:szCs w:val="20"/>
          <w:lang w:val="es-ES"/>
        </w:rPr>
        <w:t>.</w:t>
      </w:r>
    </w:p>
    <w:p w14:paraId="78169D8D" w14:textId="2353910B" w:rsidR="006D7A39" w:rsidRPr="0047216C" w:rsidRDefault="00F365CB" w:rsidP="006D7A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7216C">
        <w:rPr>
          <w:rFonts w:asciiTheme="majorHAnsi" w:hAnsiTheme="majorHAnsi"/>
          <w:color w:val="000000" w:themeColor="text1"/>
          <w:sz w:val="20"/>
          <w:szCs w:val="20"/>
          <w:lang w:val="es-ES"/>
        </w:rPr>
        <w:t xml:space="preserve">Con base en la información presente en el expediente, la Comisión considera que </w:t>
      </w:r>
      <w:r w:rsidR="004D333D" w:rsidRPr="0047216C">
        <w:rPr>
          <w:rFonts w:asciiTheme="majorHAnsi" w:hAnsiTheme="majorHAnsi"/>
          <w:color w:val="000000" w:themeColor="text1"/>
          <w:sz w:val="20"/>
          <w:szCs w:val="20"/>
          <w:lang w:val="es-ES"/>
        </w:rPr>
        <w:t xml:space="preserve">se debe analizar con mayor profundidad </w:t>
      </w:r>
      <w:r w:rsidRPr="0047216C">
        <w:rPr>
          <w:rFonts w:asciiTheme="majorHAnsi" w:hAnsiTheme="majorHAnsi"/>
          <w:color w:val="000000" w:themeColor="text1"/>
          <w:sz w:val="20"/>
          <w:szCs w:val="20"/>
          <w:lang w:val="es-ES"/>
        </w:rPr>
        <w:t xml:space="preserve">en etapa de fondo </w:t>
      </w:r>
      <w:r w:rsidR="004D333D" w:rsidRPr="0047216C">
        <w:rPr>
          <w:rFonts w:asciiTheme="majorHAnsi" w:hAnsiTheme="majorHAnsi"/>
          <w:color w:val="000000" w:themeColor="text1"/>
          <w:sz w:val="20"/>
          <w:szCs w:val="20"/>
          <w:lang w:val="es-ES"/>
        </w:rPr>
        <w:t xml:space="preserve">si el Estado cumplió con los referidos parámetros al momento de otorgar los primeros permisos para la implementación del proyecto </w:t>
      </w:r>
      <w:r w:rsidR="004D333D" w:rsidRPr="0047216C">
        <w:rPr>
          <w:rFonts w:ascii="Cambria" w:hAnsi="Cambria"/>
          <w:sz w:val="20"/>
          <w:szCs w:val="20"/>
          <w:lang w:val="es-ES"/>
        </w:rPr>
        <w:t>hidroeléctrico “Entre Ríos”</w:t>
      </w:r>
      <w:r w:rsidRPr="0047216C">
        <w:rPr>
          <w:rFonts w:ascii="Cambria" w:hAnsi="Cambria"/>
          <w:sz w:val="20"/>
          <w:szCs w:val="20"/>
          <w:lang w:val="es-ES"/>
        </w:rPr>
        <w:t xml:space="preserve">. Además, aun cuando la Corte de Constitucionalidad </w:t>
      </w:r>
      <w:r w:rsidR="0085331C" w:rsidRPr="0047216C">
        <w:rPr>
          <w:rFonts w:ascii="Cambria" w:hAnsi="Cambria"/>
          <w:sz w:val="20"/>
          <w:szCs w:val="20"/>
          <w:lang w:val="es-ES"/>
        </w:rPr>
        <w:t>dio</w:t>
      </w:r>
      <w:r w:rsidRPr="0047216C">
        <w:rPr>
          <w:rFonts w:ascii="Cambria" w:hAnsi="Cambria"/>
          <w:sz w:val="20"/>
          <w:szCs w:val="20"/>
          <w:lang w:val="es-ES"/>
        </w:rPr>
        <w:t xml:space="preserve"> parcialmente la razón a las presuntas víctimas y ordenado la realización de un proceso de consulta, está en disputa si tal mandato judicial cumple con los estándares del sistema interamericano y si a la fecha </w:t>
      </w:r>
      <w:r w:rsidR="00011CE4" w:rsidRPr="0047216C">
        <w:rPr>
          <w:rFonts w:ascii="Cambria" w:hAnsi="Cambria"/>
          <w:sz w:val="20"/>
          <w:szCs w:val="20"/>
          <w:lang w:val="es-ES"/>
        </w:rPr>
        <w:t xml:space="preserve">las medidas ordenadas </w:t>
      </w:r>
      <w:r w:rsidRPr="0047216C">
        <w:rPr>
          <w:rFonts w:ascii="Cambria" w:hAnsi="Cambria"/>
          <w:sz w:val="20"/>
          <w:szCs w:val="20"/>
          <w:lang w:val="es-ES"/>
        </w:rPr>
        <w:t>ha</w:t>
      </w:r>
      <w:r w:rsidR="00A56E42" w:rsidRPr="0047216C">
        <w:rPr>
          <w:rFonts w:ascii="Cambria" w:hAnsi="Cambria"/>
          <w:sz w:val="20"/>
          <w:szCs w:val="20"/>
          <w:lang w:val="es-ES"/>
        </w:rPr>
        <w:t>n</w:t>
      </w:r>
      <w:r w:rsidRPr="0047216C">
        <w:rPr>
          <w:rFonts w:ascii="Cambria" w:hAnsi="Cambria"/>
          <w:sz w:val="20"/>
          <w:szCs w:val="20"/>
          <w:lang w:val="es-ES"/>
        </w:rPr>
        <w:t xml:space="preserve"> sido implementad</w:t>
      </w:r>
      <w:r w:rsidR="00A56E42" w:rsidRPr="0047216C">
        <w:rPr>
          <w:rFonts w:ascii="Cambria" w:hAnsi="Cambria"/>
          <w:sz w:val="20"/>
          <w:szCs w:val="20"/>
          <w:lang w:val="es-ES"/>
        </w:rPr>
        <w:t>as</w:t>
      </w:r>
      <w:r w:rsidRPr="0047216C">
        <w:rPr>
          <w:rFonts w:ascii="Cambria" w:hAnsi="Cambria"/>
          <w:sz w:val="20"/>
          <w:szCs w:val="20"/>
          <w:lang w:val="es-ES"/>
        </w:rPr>
        <w:t>.</w:t>
      </w:r>
      <w:r w:rsidR="004D333D" w:rsidRPr="0047216C">
        <w:rPr>
          <w:rFonts w:asciiTheme="majorHAnsi" w:hAnsiTheme="majorHAnsi"/>
          <w:color w:val="000000" w:themeColor="text1"/>
          <w:sz w:val="20"/>
          <w:szCs w:val="20"/>
          <w:lang w:val="es-ES"/>
        </w:rPr>
        <w:t xml:space="preserve"> </w:t>
      </w:r>
    </w:p>
    <w:p w14:paraId="328B9044" w14:textId="0401B48D" w:rsidR="00E64C3D" w:rsidRPr="0047216C" w:rsidRDefault="00F82732" w:rsidP="006D7A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7216C">
        <w:rPr>
          <w:rFonts w:asciiTheme="majorHAnsi" w:hAnsiTheme="majorHAnsi"/>
          <w:sz w:val="20"/>
          <w:szCs w:val="20"/>
          <w:lang w:val="es-ES"/>
        </w:rPr>
        <w:t>En atención a estas consideraciones, y tras examinar los elementos de hecho y de derecho expuestos por las partes, la Comisión estima que l</w:t>
      </w:r>
      <w:r w:rsidR="006D7A39" w:rsidRPr="0047216C">
        <w:rPr>
          <w:rFonts w:asciiTheme="majorHAnsi" w:hAnsiTheme="majorHAnsi"/>
          <w:sz w:val="20"/>
          <w:szCs w:val="20"/>
          <w:lang w:val="es-ES"/>
        </w:rPr>
        <w:t>os alegatos de la parte peticionaria</w:t>
      </w:r>
      <w:r w:rsidR="006D7A39" w:rsidRPr="0047216C">
        <w:rPr>
          <w:rFonts w:ascii="Cambria" w:hAnsi="Cambria"/>
          <w:sz w:val="20"/>
          <w:szCs w:val="20"/>
          <w:lang w:val="es-ES"/>
        </w:rPr>
        <w:t xml:space="preserve"> </w:t>
      </w:r>
      <w:r w:rsidR="006D7A39" w:rsidRPr="0047216C">
        <w:rPr>
          <w:rFonts w:asciiTheme="majorHAnsi" w:hAnsiTheme="majorHAnsi"/>
          <w:sz w:val="20"/>
          <w:szCs w:val="20"/>
          <w:lang w:val="es-ES"/>
        </w:rPr>
        <w:t>no resultan manifiestamente infundad</w:t>
      </w:r>
      <w:r w:rsidR="0036774C">
        <w:rPr>
          <w:rFonts w:asciiTheme="majorHAnsi" w:hAnsiTheme="majorHAnsi"/>
          <w:sz w:val="20"/>
          <w:szCs w:val="20"/>
          <w:lang w:val="es-ES"/>
        </w:rPr>
        <w:t>o</w:t>
      </w:r>
      <w:r w:rsidR="006D7A39" w:rsidRPr="0047216C">
        <w:rPr>
          <w:rFonts w:asciiTheme="majorHAnsi" w:hAnsiTheme="majorHAnsi"/>
          <w:sz w:val="20"/>
          <w:szCs w:val="20"/>
          <w:lang w:val="es-ES"/>
        </w:rPr>
        <w:t xml:space="preserve">s y requieren un estudio de fondo, pues los hechos alegados, de corroborarse, podrían caracterizar violaciones a los artículos </w:t>
      </w:r>
      <w:r w:rsidR="008D729B" w:rsidRPr="0047216C">
        <w:rPr>
          <w:rFonts w:ascii="Cambria" w:hAnsi="Cambria"/>
          <w:bCs/>
          <w:sz w:val="20"/>
          <w:szCs w:val="20"/>
          <w:lang w:val="es-ES"/>
        </w:rPr>
        <w:t>8 (garantías judiciales), 13 (libertad de pensamiento y de expresión)</w:t>
      </w:r>
      <w:r w:rsidR="0036774C">
        <w:rPr>
          <w:rFonts w:ascii="Cambria" w:hAnsi="Cambria"/>
          <w:bCs/>
          <w:sz w:val="20"/>
          <w:szCs w:val="20"/>
          <w:lang w:val="es-ES"/>
        </w:rPr>
        <w:t>,</w:t>
      </w:r>
      <w:r w:rsidR="008D729B" w:rsidRPr="0047216C">
        <w:rPr>
          <w:rFonts w:ascii="Cambria" w:hAnsi="Cambria"/>
          <w:bCs/>
          <w:sz w:val="20"/>
          <w:szCs w:val="20"/>
          <w:lang w:val="es-ES"/>
        </w:rPr>
        <w:t xml:space="preserve"> 21 (derecho a la propiedad privada), 23 (derechos políticos), 25 (protección judicial) y 26 (derechos económicos, sociales, culturales y medio ambientales) de la Convención Americana</w:t>
      </w:r>
      <w:r w:rsidR="006D7A39" w:rsidRPr="0047216C">
        <w:rPr>
          <w:rFonts w:ascii="Cambria" w:hAnsi="Cambria"/>
          <w:bCs/>
          <w:sz w:val="20"/>
          <w:szCs w:val="20"/>
          <w:lang w:val="es-ES"/>
        </w:rPr>
        <w:t>, en perjuicio de l</w:t>
      </w:r>
      <w:r w:rsidR="00A56E42" w:rsidRPr="0047216C">
        <w:rPr>
          <w:rFonts w:ascii="Cambria" w:hAnsi="Cambria"/>
          <w:bCs/>
          <w:sz w:val="20"/>
          <w:szCs w:val="20"/>
          <w:lang w:val="es-ES"/>
        </w:rPr>
        <w:t>as comunidades señaladas como presuntas víctimas en el presente informe</w:t>
      </w:r>
      <w:r w:rsidR="006D7A39" w:rsidRPr="0047216C">
        <w:rPr>
          <w:rFonts w:ascii="Cambria" w:hAnsi="Cambria"/>
          <w:bCs/>
          <w:sz w:val="20"/>
          <w:szCs w:val="20"/>
          <w:lang w:val="es-ES"/>
        </w:rPr>
        <w:t xml:space="preserve">. </w:t>
      </w:r>
    </w:p>
    <w:p w14:paraId="29BB41F5" w14:textId="77777777" w:rsidR="003239B8" w:rsidRPr="0047216C" w:rsidRDefault="003239B8" w:rsidP="003239B8">
      <w:pPr>
        <w:pStyle w:val="ListParagraph"/>
        <w:spacing w:before="240" w:after="240"/>
        <w:jc w:val="both"/>
        <w:rPr>
          <w:rFonts w:asciiTheme="majorHAnsi" w:hAnsiTheme="majorHAnsi"/>
          <w:b/>
          <w:bCs/>
          <w:sz w:val="20"/>
          <w:szCs w:val="20"/>
          <w:lang w:val="es-ES"/>
        </w:rPr>
      </w:pPr>
      <w:r w:rsidRPr="0047216C">
        <w:rPr>
          <w:rFonts w:asciiTheme="majorHAnsi" w:hAnsiTheme="majorHAnsi"/>
          <w:b/>
          <w:bCs/>
          <w:sz w:val="20"/>
          <w:szCs w:val="20"/>
          <w:lang w:val="es-ES"/>
        </w:rPr>
        <w:t xml:space="preserve">VIII. </w:t>
      </w:r>
      <w:r w:rsidRPr="0047216C">
        <w:rPr>
          <w:rFonts w:asciiTheme="majorHAnsi" w:hAnsiTheme="majorHAnsi"/>
          <w:b/>
          <w:bCs/>
          <w:sz w:val="20"/>
          <w:szCs w:val="20"/>
          <w:lang w:val="es-ES"/>
        </w:rPr>
        <w:tab/>
        <w:t>DECISIÓN</w:t>
      </w:r>
    </w:p>
    <w:p w14:paraId="41AA5BF6" w14:textId="0F99D797" w:rsidR="000419AD" w:rsidRPr="0047216C"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7216C">
        <w:rPr>
          <w:rFonts w:asciiTheme="majorHAnsi" w:hAnsiTheme="majorHAnsi"/>
          <w:sz w:val="20"/>
          <w:szCs w:val="20"/>
          <w:lang w:val="es-ES"/>
        </w:rPr>
        <w:t xml:space="preserve">Declarar admisible la presente petición en relación con </w:t>
      </w:r>
      <w:r w:rsidR="008D729B" w:rsidRPr="0047216C">
        <w:rPr>
          <w:rFonts w:asciiTheme="majorHAnsi" w:hAnsiTheme="majorHAnsi"/>
          <w:sz w:val="20"/>
          <w:szCs w:val="20"/>
          <w:lang w:val="es-ES"/>
        </w:rPr>
        <w:t>los artículos 8, 13, 21, 23, 25 y 26 de la Convención Americana</w:t>
      </w:r>
      <w:r w:rsidR="00A758AA" w:rsidRPr="0047216C">
        <w:rPr>
          <w:rFonts w:asciiTheme="majorHAnsi" w:hAnsiTheme="majorHAnsi"/>
          <w:sz w:val="20"/>
          <w:szCs w:val="20"/>
          <w:lang w:val="es-ES"/>
        </w:rPr>
        <w:t>;</w:t>
      </w:r>
      <w:r w:rsidR="007B76D3" w:rsidRPr="0047216C">
        <w:rPr>
          <w:rFonts w:asciiTheme="majorHAnsi" w:hAnsiTheme="majorHAnsi"/>
          <w:sz w:val="20"/>
          <w:szCs w:val="20"/>
          <w:lang w:val="es-ES"/>
        </w:rPr>
        <w:t xml:space="preserve"> y</w:t>
      </w:r>
    </w:p>
    <w:p w14:paraId="12A7002C" w14:textId="77777777"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7216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AC80CA6" w14:textId="5CB378AB" w:rsidR="00722C9F" w:rsidRPr="006F75A2" w:rsidRDefault="002E137A" w:rsidP="006F75A2">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C067F4">
        <w:rPr>
          <w:rStyle w:val="normaltextrun"/>
          <w:rFonts w:ascii="Cambria" w:hAnsi="Cambria" w:cs="Segoe UI"/>
          <w:sz w:val="20"/>
          <w:szCs w:val="20"/>
          <w:lang w:val="es-CL"/>
        </w:rPr>
        <w:t>3</w:t>
      </w:r>
      <w:r>
        <w:rPr>
          <w:rStyle w:val="normaltextrun"/>
          <w:rFonts w:ascii="Cambria" w:hAnsi="Cambria" w:cs="Segoe UI"/>
          <w:sz w:val="20"/>
          <w:szCs w:val="20"/>
          <w:lang w:val="es-CL"/>
        </w:rPr>
        <w:t xml:space="preserve"> días del mes de </w:t>
      </w:r>
      <w:r w:rsidR="00C067F4">
        <w:rPr>
          <w:rStyle w:val="normaltextrun"/>
          <w:rFonts w:ascii="Cambria" w:hAnsi="Cambria" w:cs="Segoe UI"/>
          <w:sz w:val="20"/>
          <w:szCs w:val="20"/>
          <w:lang w:val="es-CL"/>
        </w:rPr>
        <w:t>septiembre</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Arif Bulkan, Andrea Pochak y Gloria Monique de Mees, </w:t>
      </w:r>
      <w:r w:rsidR="006F75A2">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722C9F" w:rsidRPr="006F75A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A162C" w14:textId="77777777" w:rsidR="001C5B90" w:rsidRDefault="001C5B90">
      <w:r>
        <w:separator/>
      </w:r>
    </w:p>
  </w:endnote>
  <w:endnote w:type="continuationSeparator" w:id="0">
    <w:p w14:paraId="12A67BB7" w14:textId="77777777" w:rsidR="001C5B90" w:rsidRDefault="001C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3596" w14:textId="77777777" w:rsidR="001C5B90" w:rsidRPr="000F35ED" w:rsidRDefault="001C5B9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0DEAD8A" w14:textId="77777777" w:rsidR="001C5B90" w:rsidRPr="000F35ED" w:rsidRDefault="001C5B90" w:rsidP="000F35ED">
      <w:pPr>
        <w:rPr>
          <w:rFonts w:asciiTheme="majorHAnsi" w:hAnsiTheme="majorHAnsi"/>
          <w:sz w:val="16"/>
          <w:szCs w:val="16"/>
        </w:rPr>
      </w:pPr>
      <w:r w:rsidRPr="000F35ED">
        <w:rPr>
          <w:rFonts w:asciiTheme="majorHAnsi" w:hAnsiTheme="majorHAnsi"/>
          <w:sz w:val="16"/>
          <w:szCs w:val="16"/>
        </w:rPr>
        <w:separator/>
      </w:r>
    </w:p>
    <w:p w14:paraId="09B456DC" w14:textId="77777777" w:rsidR="001C5B90" w:rsidRPr="000F35ED" w:rsidRDefault="001C5B9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FB1AE24" w14:textId="77777777" w:rsidR="001C5B90" w:rsidRPr="000F35ED" w:rsidRDefault="001C5B9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50B9B29" w14:textId="0FDE6FDC" w:rsidR="00C65053" w:rsidRPr="00C65053" w:rsidRDefault="00C65053" w:rsidP="00C65053">
      <w:pPr>
        <w:pStyle w:val="FootnoteText"/>
        <w:ind w:firstLine="720"/>
        <w:rPr>
          <w:rFonts w:asciiTheme="majorHAnsi" w:hAnsiTheme="majorHAnsi"/>
          <w:sz w:val="16"/>
          <w:szCs w:val="16"/>
          <w:lang w:val="es-PE"/>
        </w:rPr>
      </w:pPr>
      <w:r w:rsidRPr="00C65053">
        <w:rPr>
          <w:rStyle w:val="FootnoteReference"/>
          <w:rFonts w:asciiTheme="majorHAnsi" w:hAnsiTheme="majorHAnsi"/>
          <w:sz w:val="16"/>
          <w:szCs w:val="16"/>
        </w:rPr>
        <w:footnoteRef/>
      </w:r>
      <w:r w:rsidRPr="00C65053">
        <w:rPr>
          <w:rFonts w:asciiTheme="majorHAnsi" w:hAnsiTheme="majorHAnsi"/>
          <w:sz w:val="16"/>
          <w:szCs w:val="16"/>
          <w:lang w:val="es-PE"/>
        </w:rPr>
        <w:t xml:space="preserve"> Conforme a lo dispuesto en el artículo 17.2.a del Reglamento de la Comisión, el Comisionado Edgar Stuardo Ralón Orellana, de</w:t>
      </w:r>
      <w:r>
        <w:rPr>
          <w:rFonts w:asciiTheme="majorHAnsi" w:hAnsiTheme="majorHAnsi"/>
          <w:sz w:val="16"/>
          <w:szCs w:val="16"/>
          <w:lang w:val="es-PE"/>
        </w:rPr>
        <w:t xml:space="preserve"> </w:t>
      </w:r>
      <w:r w:rsidRPr="00C65053">
        <w:rPr>
          <w:rFonts w:asciiTheme="majorHAnsi" w:hAnsiTheme="majorHAnsi"/>
          <w:sz w:val="16"/>
          <w:szCs w:val="16"/>
          <w:lang w:val="es-PE"/>
        </w:rPr>
        <w:t>nacionalidad guatemalteca, no participó en el debate ni en la decisión del presente asunto</w:t>
      </w:r>
    </w:p>
  </w:footnote>
  <w:footnote w:id="3">
    <w:p w14:paraId="5A26B1DD" w14:textId="77777777" w:rsidR="00B40E7E" w:rsidRPr="00CF02F2" w:rsidRDefault="00B40E7E" w:rsidP="00B40E7E">
      <w:pPr>
        <w:pStyle w:val="FootnoteText"/>
        <w:ind w:firstLine="720"/>
        <w:jc w:val="both"/>
        <w:rPr>
          <w:rFonts w:asciiTheme="majorHAnsi" w:hAnsiTheme="majorHAnsi"/>
          <w:sz w:val="16"/>
          <w:szCs w:val="16"/>
          <w:lang w:val="es-MX"/>
        </w:rPr>
      </w:pPr>
      <w:r w:rsidRPr="00CF02F2">
        <w:rPr>
          <w:rStyle w:val="FootnoteReference"/>
          <w:rFonts w:asciiTheme="majorHAnsi" w:hAnsiTheme="majorHAnsi"/>
          <w:sz w:val="16"/>
          <w:szCs w:val="16"/>
        </w:rPr>
        <w:footnoteRef/>
      </w:r>
      <w:r w:rsidRPr="00CF02F2">
        <w:rPr>
          <w:rStyle w:val="FootnoteReference"/>
          <w:rFonts w:asciiTheme="majorHAnsi" w:hAnsiTheme="majorHAnsi"/>
          <w:sz w:val="16"/>
          <w:szCs w:val="16"/>
          <w:lang w:val="es-US"/>
        </w:rPr>
        <w:t xml:space="preserve"> </w:t>
      </w:r>
      <w:r w:rsidRPr="00CF02F2">
        <w:rPr>
          <w:rFonts w:asciiTheme="majorHAnsi" w:hAnsiTheme="majorHAnsi"/>
          <w:sz w:val="16"/>
          <w:szCs w:val="16"/>
          <w:lang w:val="es-ES"/>
        </w:rPr>
        <w:t xml:space="preserve">En adelante, “la Convención Americana” o “la Convención”. </w:t>
      </w:r>
      <w:r w:rsidRPr="00CF02F2">
        <w:rPr>
          <w:rFonts w:asciiTheme="majorHAnsi" w:hAnsiTheme="majorHAnsi"/>
          <w:sz w:val="16"/>
          <w:szCs w:val="16"/>
          <w:lang w:val="es-ES"/>
        </w:rPr>
        <w:tab/>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072D5277" w14:textId="3225BD74" w:rsidR="00BE1AC0" w:rsidRPr="0089163D" w:rsidRDefault="00BE1AC0" w:rsidP="0089163D">
      <w:pPr>
        <w:pStyle w:val="FootnoteText"/>
        <w:ind w:firstLine="720"/>
        <w:jc w:val="both"/>
        <w:rPr>
          <w:rFonts w:asciiTheme="majorHAnsi" w:hAnsiTheme="majorHAnsi"/>
          <w:sz w:val="16"/>
          <w:szCs w:val="16"/>
          <w:lang w:val="es-PE"/>
        </w:rPr>
      </w:pPr>
      <w:r w:rsidRPr="0089163D">
        <w:rPr>
          <w:rStyle w:val="FootnoteReference"/>
          <w:rFonts w:asciiTheme="majorHAnsi" w:hAnsiTheme="majorHAnsi"/>
          <w:sz w:val="16"/>
          <w:szCs w:val="16"/>
        </w:rPr>
        <w:footnoteRef/>
      </w:r>
      <w:r w:rsidRPr="0089163D">
        <w:rPr>
          <w:rFonts w:asciiTheme="majorHAnsi" w:hAnsiTheme="majorHAnsi"/>
          <w:sz w:val="16"/>
          <w:szCs w:val="16"/>
          <w:lang w:val="es-PE"/>
        </w:rPr>
        <w:t xml:space="preserve"> </w:t>
      </w:r>
      <w:r w:rsidR="0089163D" w:rsidRPr="0089163D">
        <w:rPr>
          <w:rFonts w:asciiTheme="majorHAnsi" w:hAnsiTheme="majorHAnsi"/>
          <w:sz w:val="16"/>
          <w:szCs w:val="16"/>
          <w:lang w:val="es-PE"/>
        </w:rPr>
        <w:t>CIDH, Informe No. 4/15, Petición 582-01</w:t>
      </w:r>
      <w:r w:rsidR="00342F94">
        <w:rPr>
          <w:rFonts w:asciiTheme="majorHAnsi" w:hAnsiTheme="majorHAnsi"/>
          <w:sz w:val="16"/>
          <w:szCs w:val="16"/>
          <w:lang w:val="es-PE"/>
        </w:rPr>
        <w:t>,</w:t>
      </w:r>
      <w:r w:rsidR="0089163D" w:rsidRPr="0089163D">
        <w:rPr>
          <w:rFonts w:asciiTheme="majorHAnsi" w:hAnsiTheme="majorHAnsi"/>
          <w:sz w:val="16"/>
          <w:szCs w:val="16"/>
          <w:lang w:val="es-PE"/>
        </w:rPr>
        <w:t xml:space="preserve"> Admisibilidad. </w:t>
      </w:r>
      <w:r w:rsidR="0089163D" w:rsidRPr="00CA0A6B">
        <w:rPr>
          <w:rFonts w:asciiTheme="majorHAnsi" w:hAnsiTheme="majorHAnsi"/>
          <w:sz w:val="16"/>
          <w:szCs w:val="16"/>
          <w:lang w:val="es-PE"/>
        </w:rPr>
        <w:t>Raúl Rolando Romero Feris. Argentina</w:t>
      </w:r>
      <w:r w:rsidR="00342F94" w:rsidRPr="00CA0A6B">
        <w:rPr>
          <w:rFonts w:asciiTheme="majorHAnsi" w:hAnsiTheme="majorHAnsi"/>
          <w:sz w:val="16"/>
          <w:szCs w:val="16"/>
          <w:lang w:val="es-PE"/>
        </w:rPr>
        <w:t>,</w:t>
      </w:r>
      <w:r w:rsidR="0089163D" w:rsidRPr="00CA0A6B">
        <w:rPr>
          <w:rFonts w:asciiTheme="majorHAnsi" w:hAnsiTheme="majorHAnsi"/>
          <w:sz w:val="16"/>
          <w:szCs w:val="16"/>
          <w:lang w:val="es-PE"/>
        </w:rPr>
        <w:t xml:space="preserve"> </w:t>
      </w:r>
      <w:r w:rsidR="0089163D" w:rsidRPr="0089163D">
        <w:rPr>
          <w:rFonts w:asciiTheme="majorHAnsi" w:hAnsiTheme="majorHAnsi"/>
          <w:sz w:val="16"/>
          <w:szCs w:val="16"/>
          <w:lang w:val="es-PE"/>
        </w:rPr>
        <w:t>29 de enero de 2015, párr. 40.</w:t>
      </w:r>
    </w:p>
  </w:footnote>
  <w:footnote w:id="6">
    <w:p w14:paraId="38819DA8" w14:textId="0DDB1086" w:rsidR="00281CC5" w:rsidRPr="00281CC5" w:rsidRDefault="00281CC5" w:rsidP="00281CC5">
      <w:pPr>
        <w:pStyle w:val="FootnoteText"/>
        <w:ind w:firstLine="720"/>
        <w:jc w:val="both"/>
        <w:rPr>
          <w:rFonts w:asciiTheme="majorHAnsi" w:hAnsiTheme="majorHAnsi"/>
          <w:sz w:val="16"/>
          <w:szCs w:val="16"/>
          <w:lang w:val="es-PE"/>
        </w:rPr>
      </w:pPr>
      <w:r w:rsidRPr="00281CC5">
        <w:rPr>
          <w:rStyle w:val="FootnoteReference"/>
          <w:rFonts w:asciiTheme="majorHAnsi" w:hAnsiTheme="majorHAnsi"/>
          <w:sz w:val="16"/>
          <w:szCs w:val="16"/>
        </w:rPr>
        <w:footnoteRef/>
      </w:r>
      <w:r w:rsidRPr="00281CC5">
        <w:rPr>
          <w:rFonts w:asciiTheme="majorHAnsi" w:hAnsiTheme="majorHAnsi"/>
          <w:sz w:val="16"/>
          <w:szCs w:val="16"/>
          <w:lang w:val="es-PE"/>
        </w:rPr>
        <w:t xml:space="preserve"> CIDH, Informe No. 70/04, Petición 667/01, Admisibilidad, Jesús Manuel Naranjo Cárdenas y otros, Jubilados de la empresa venezolana de aviación VIASA</w:t>
      </w:r>
      <w:r w:rsidR="00084B14">
        <w:rPr>
          <w:rFonts w:asciiTheme="majorHAnsi" w:hAnsiTheme="majorHAnsi"/>
          <w:sz w:val="16"/>
          <w:szCs w:val="16"/>
          <w:lang w:val="es-PE"/>
        </w:rPr>
        <w:t>,</w:t>
      </w:r>
      <w:r w:rsidRPr="00281CC5">
        <w:rPr>
          <w:rFonts w:asciiTheme="majorHAnsi" w:hAnsiTheme="majorHAnsi"/>
          <w:sz w:val="16"/>
          <w:szCs w:val="16"/>
          <w:lang w:val="es-PE"/>
        </w:rPr>
        <w:t xml:space="preserve"> Venezuela, 15 de octubre de 2004, párr. 52.</w:t>
      </w:r>
    </w:p>
  </w:footnote>
  <w:footnote w:id="7">
    <w:p w14:paraId="6E05CC14" w14:textId="4215D988" w:rsidR="00D06AD1" w:rsidRPr="001B2B6B" w:rsidRDefault="00D06AD1" w:rsidP="00D06AD1">
      <w:pPr>
        <w:pStyle w:val="FootnoteText"/>
        <w:ind w:firstLine="720"/>
        <w:jc w:val="both"/>
        <w:rPr>
          <w:rFonts w:asciiTheme="majorHAnsi" w:hAnsiTheme="majorHAnsi"/>
          <w:sz w:val="16"/>
          <w:szCs w:val="16"/>
          <w:lang w:val="es-ES"/>
        </w:rPr>
      </w:pPr>
      <w:r w:rsidRPr="00D06AD1">
        <w:rPr>
          <w:rStyle w:val="FootnoteReference"/>
          <w:rFonts w:asciiTheme="majorHAnsi" w:hAnsiTheme="majorHAnsi"/>
          <w:sz w:val="16"/>
          <w:szCs w:val="16"/>
        </w:rPr>
        <w:footnoteRef/>
      </w:r>
      <w:r w:rsidRPr="00D06AD1">
        <w:rPr>
          <w:rFonts w:asciiTheme="majorHAnsi" w:hAnsiTheme="majorHAnsi"/>
          <w:sz w:val="16"/>
          <w:szCs w:val="16"/>
          <w:lang w:val="es-PE"/>
        </w:rPr>
        <w:t xml:space="preserve"> Corte IDH</w:t>
      </w:r>
      <w:r w:rsidR="00084B14">
        <w:rPr>
          <w:rFonts w:asciiTheme="majorHAnsi" w:hAnsiTheme="majorHAnsi"/>
          <w:sz w:val="16"/>
          <w:szCs w:val="16"/>
          <w:lang w:val="es-PE"/>
        </w:rPr>
        <w:t>,</w:t>
      </w:r>
      <w:r w:rsidRPr="00D06AD1">
        <w:rPr>
          <w:rFonts w:asciiTheme="majorHAnsi" w:hAnsiTheme="majorHAnsi"/>
          <w:sz w:val="16"/>
          <w:szCs w:val="16"/>
          <w:lang w:val="es-PE"/>
        </w:rPr>
        <w:t xml:space="preserve"> Caso Comunidad Garífuna de San Juan y sus miembros Vs. Honduras</w:t>
      </w:r>
      <w:r w:rsidR="00EB16F4">
        <w:rPr>
          <w:rFonts w:asciiTheme="majorHAnsi" w:hAnsiTheme="majorHAnsi"/>
          <w:sz w:val="16"/>
          <w:szCs w:val="16"/>
          <w:lang w:val="es-PE"/>
        </w:rPr>
        <w:t>,</w:t>
      </w:r>
      <w:r w:rsidRPr="00D06AD1">
        <w:rPr>
          <w:rFonts w:asciiTheme="majorHAnsi" w:hAnsiTheme="majorHAnsi"/>
          <w:sz w:val="16"/>
          <w:szCs w:val="16"/>
          <w:lang w:val="es-PE"/>
        </w:rPr>
        <w:t xml:space="preserve"> Excepciones Preliminares, Fondo, Reparaciones y Costas</w:t>
      </w:r>
      <w:r w:rsidR="00EB16F4">
        <w:rPr>
          <w:rFonts w:asciiTheme="majorHAnsi" w:hAnsiTheme="majorHAnsi"/>
          <w:sz w:val="16"/>
          <w:szCs w:val="16"/>
          <w:lang w:val="es-PE"/>
        </w:rPr>
        <w:t>,</w:t>
      </w:r>
      <w:r w:rsidRPr="00D06AD1">
        <w:rPr>
          <w:rFonts w:asciiTheme="majorHAnsi" w:hAnsiTheme="majorHAnsi"/>
          <w:sz w:val="16"/>
          <w:szCs w:val="16"/>
          <w:lang w:val="es-PE"/>
        </w:rPr>
        <w:t xml:space="preserve"> Sentencia de 29 de agosto de 2023</w:t>
      </w:r>
      <w:r w:rsidR="00084B14">
        <w:rPr>
          <w:rFonts w:asciiTheme="majorHAnsi" w:hAnsiTheme="majorHAnsi"/>
          <w:sz w:val="16"/>
          <w:szCs w:val="16"/>
          <w:lang w:val="es-PE"/>
        </w:rPr>
        <w:t>,</w:t>
      </w:r>
      <w:r w:rsidRPr="00D06AD1">
        <w:rPr>
          <w:rFonts w:asciiTheme="majorHAnsi" w:hAnsiTheme="majorHAnsi"/>
          <w:sz w:val="16"/>
          <w:szCs w:val="16"/>
          <w:lang w:val="es-PE"/>
        </w:rPr>
        <w:t xml:space="preserve"> Serie C No. 496</w:t>
      </w:r>
      <w:r w:rsidR="00084B14">
        <w:rPr>
          <w:rFonts w:asciiTheme="majorHAnsi" w:hAnsiTheme="majorHAnsi"/>
          <w:sz w:val="16"/>
          <w:szCs w:val="16"/>
          <w:lang w:val="es-PE"/>
        </w:rPr>
        <w:t>,</w:t>
      </w:r>
      <w:r>
        <w:rPr>
          <w:rFonts w:asciiTheme="majorHAnsi" w:hAnsiTheme="majorHAnsi"/>
          <w:sz w:val="16"/>
          <w:szCs w:val="16"/>
          <w:lang w:val="es-PE"/>
        </w:rPr>
        <w:t xml:space="preserve"> párrs. </w:t>
      </w:r>
      <w:r w:rsidR="000F4DF4">
        <w:rPr>
          <w:rFonts w:asciiTheme="majorHAnsi" w:hAnsiTheme="majorHAnsi"/>
          <w:sz w:val="16"/>
          <w:szCs w:val="16"/>
          <w:lang w:val="es-PE"/>
        </w:rPr>
        <w:t>119-126.</w:t>
      </w:r>
    </w:p>
  </w:footnote>
  <w:footnote w:id="8">
    <w:p w14:paraId="358A8206" w14:textId="182082AC" w:rsidR="002A1658" w:rsidRPr="006D7A39" w:rsidRDefault="002A1658" w:rsidP="006D7A39">
      <w:pPr>
        <w:pStyle w:val="FootnoteText"/>
        <w:ind w:firstLine="720"/>
        <w:jc w:val="both"/>
        <w:rPr>
          <w:rFonts w:ascii="Cambria" w:hAnsi="Cambria"/>
          <w:color w:val="000000" w:themeColor="text1"/>
          <w:sz w:val="16"/>
          <w:szCs w:val="16"/>
          <w:lang w:val="es-ES_tradnl"/>
        </w:rPr>
      </w:pPr>
      <w:r w:rsidRPr="006D7A39">
        <w:rPr>
          <w:rStyle w:val="FootnoteReference"/>
          <w:rFonts w:ascii="Cambria" w:hAnsi="Cambria"/>
          <w:color w:val="000000" w:themeColor="text1"/>
          <w:sz w:val="16"/>
          <w:szCs w:val="16"/>
          <w:lang w:val="es-ES_tradnl"/>
        </w:rPr>
        <w:footnoteRef/>
      </w:r>
      <w:r w:rsidRPr="006D7A39">
        <w:rPr>
          <w:rFonts w:ascii="Cambria" w:hAnsi="Cambria"/>
          <w:color w:val="000000" w:themeColor="text1"/>
          <w:sz w:val="16"/>
          <w:szCs w:val="16"/>
          <w:lang w:val="es-ES_tradnl"/>
        </w:rPr>
        <w:t xml:space="preserve"> CIDH</w:t>
      </w:r>
      <w:r w:rsidR="00084B14">
        <w:rPr>
          <w:rFonts w:ascii="Cambria" w:hAnsi="Cambria"/>
          <w:color w:val="000000" w:themeColor="text1"/>
          <w:sz w:val="16"/>
          <w:szCs w:val="16"/>
          <w:lang w:val="es-ES_tradnl"/>
        </w:rPr>
        <w:t>,</w:t>
      </w:r>
      <w:r w:rsidRPr="006D7A39">
        <w:rPr>
          <w:rFonts w:ascii="Cambria" w:hAnsi="Cambria"/>
          <w:color w:val="000000" w:themeColor="text1"/>
          <w:sz w:val="16"/>
          <w:szCs w:val="16"/>
          <w:lang w:val="es-ES_tradnl"/>
        </w:rPr>
        <w:t xml:space="preserve"> Demanda ante la Corte Interamericana de Derechos Humanos en el caso del Pueblo Indígena Kichwa de Sarayaku y sus miembros contra el Estado de Ecuador</w:t>
      </w:r>
      <w:r w:rsidR="00E503D4">
        <w:rPr>
          <w:rFonts w:ascii="Cambria" w:hAnsi="Cambria"/>
          <w:color w:val="000000" w:themeColor="text1"/>
          <w:sz w:val="16"/>
          <w:szCs w:val="16"/>
          <w:lang w:val="es-ES_tradnl"/>
        </w:rPr>
        <w:t>,</w:t>
      </w:r>
      <w:r w:rsidRPr="006D7A39">
        <w:rPr>
          <w:rFonts w:ascii="Cambria" w:hAnsi="Cambria"/>
          <w:color w:val="000000" w:themeColor="text1"/>
          <w:sz w:val="16"/>
          <w:szCs w:val="16"/>
          <w:lang w:val="es-ES_tradnl"/>
        </w:rPr>
        <w:t xml:space="preserve"> Caso 12.465. 26 de abril de 2010, párr. 121.</w:t>
      </w:r>
    </w:p>
  </w:footnote>
  <w:footnote w:id="9">
    <w:p w14:paraId="60650385" w14:textId="4835DA3A" w:rsidR="00D62916" w:rsidRPr="00CC25E8" w:rsidRDefault="00D62916" w:rsidP="006D7A39">
      <w:pPr>
        <w:pStyle w:val="FootnoteText"/>
        <w:ind w:firstLine="720"/>
        <w:jc w:val="both"/>
        <w:rPr>
          <w:rFonts w:ascii="Cambria" w:hAnsi="Cambria"/>
          <w:color w:val="000000" w:themeColor="text1"/>
          <w:lang w:val="es-ES_tradnl"/>
        </w:rPr>
      </w:pPr>
      <w:r w:rsidRPr="006D7A39">
        <w:rPr>
          <w:rStyle w:val="FootnoteReference"/>
          <w:rFonts w:ascii="Cambria" w:hAnsi="Cambria"/>
          <w:color w:val="000000" w:themeColor="text1"/>
          <w:sz w:val="16"/>
          <w:szCs w:val="16"/>
          <w:lang w:val="es-ES_tradnl"/>
        </w:rPr>
        <w:footnoteRef/>
      </w:r>
      <w:r w:rsidRPr="006D7A39">
        <w:rPr>
          <w:rFonts w:ascii="Cambria" w:hAnsi="Cambria"/>
          <w:color w:val="000000" w:themeColor="text1"/>
          <w:sz w:val="16"/>
          <w:szCs w:val="16"/>
          <w:lang w:val="es-ES_tradnl"/>
        </w:rPr>
        <w:t xml:space="preserve"> ONU</w:t>
      </w:r>
      <w:r w:rsidR="00E503D4">
        <w:rPr>
          <w:rFonts w:ascii="Cambria" w:hAnsi="Cambria"/>
          <w:color w:val="000000" w:themeColor="text1"/>
          <w:sz w:val="16"/>
          <w:szCs w:val="16"/>
          <w:lang w:val="es-ES_tradnl"/>
        </w:rPr>
        <w:t xml:space="preserve">, </w:t>
      </w:r>
      <w:r w:rsidRPr="006D7A39">
        <w:rPr>
          <w:rFonts w:ascii="Cambria" w:hAnsi="Cambria"/>
          <w:color w:val="000000" w:themeColor="text1"/>
          <w:sz w:val="16"/>
          <w:szCs w:val="16"/>
          <w:lang w:val="es-ES_tradnl"/>
        </w:rPr>
        <w:t>Consejo de Derechos Humanos. Informe de la Relatora Especial sobre los derechos de los pueblos indígenas</w:t>
      </w:r>
      <w:r w:rsidR="00E503D4">
        <w:rPr>
          <w:rFonts w:ascii="Cambria" w:hAnsi="Cambria"/>
          <w:color w:val="000000" w:themeColor="text1"/>
          <w:sz w:val="16"/>
          <w:szCs w:val="16"/>
          <w:lang w:val="es-ES_tradnl"/>
        </w:rPr>
        <w:t>,</w:t>
      </w:r>
      <w:r w:rsidRPr="006D7A39">
        <w:rPr>
          <w:rFonts w:ascii="Cambria" w:hAnsi="Cambria"/>
          <w:color w:val="000000" w:themeColor="text1"/>
          <w:sz w:val="16"/>
          <w:szCs w:val="16"/>
          <w:lang w:val="es-ES_tradnl"/>
        </w:rPr>
        <w:t xml:space="preserve"> Derechos de los pueblos indígenas</w:t>
      </w:r>
      <w:r w:rsidR="00E503D4">
        <w:rPr>
          <w:rFonts w:ascii="Cambria" w:hAnsi="Cambria"/>
          <w:color w:val="000000" w:themeColor="text1"/>
          <w:sz w:val="16"/>
          <w:szCs w:val="16"/>
          <w:lang w:val="es-ES_tradnl"/>
        </w:rPr>
        <w:t>,</w:t>
      </w:r>
      <w:r w:rsidRPr="006D7A39">
        <w:rPr>
          <w:rFonts w:ascii="Cambria" w:hAnsi="Cambria"/>
          <w:color w:val="000000" w:themeColor="text1"/>
          <w:sz w:val="16"/>
          <w:szCs w:val="16"/>
          <w:lang w:val="es-ES_tradnl"/>
        </w:rPr>
        <w:t xml:space="preserve"> 45</w:t>
      </w:r>
      <w:r w:rsidR="00DB7AAA">
        <w:rPr>
          <w:rFonts w:ascii="Cambria" w:hAnsi="Cambria"/>
          <w:color w:val="000000" w:themeColor="text1"/>
          <w:sz w:val="16"/>
          <w:szCs w:val="16"/>
          <w:lang w:val="es-ES_tradnl"/>
        </w:rPr>
        <w:t>º</w:t>
      </w:r>
      <w:r w:rsidRPr="006D7A39">
        <w:rPr>
          <w:rFonts w:ascii="Cambria" w:hAnsi="Cambria"/>
          <w:color w:val="000000" w:themeColor="text1"/>
          <w:sz w:val="16"/>
          <w:szCs w:val="16"/>
          <w:lang w:val="es-ES_tradnl"/>
        </w:rPr>
        <w:t xml:space="preserve"> periodo de sesiones</w:t>
      </w:r>
      <w:r w:rsidR="00E503D4">
        <w:rPr>
          <w:rFonts w:ascii="Cambria" w:hAnsi="Cambria"/>
          <w:color w:val="000000" w:themeColor="text1"/>
          <w:sz w:val="16"/>
          <w:szCs w:val="16"/>
          <w:lang w:val="es-ES_tradnl"/>
        </w:rPr>
        <w:t xml:space="preserve">, </w:t>
      </w:r>
      <w:r w:rsidRPr="006D7A39">
        <w:rPr>
          <w:rFonts w:ascii="Cambria" w:hAnsi="Cambria"/>
          <w:color w:val="000000" w:themeColor="text1"/>
          <w:sz w:val="16"/>
          <w:szCs w:val="16"/>
          <w:lang w:val="es-ES_tradnl"/>
        </w:rPr>
        <w:t>A/HRC/45/34</w:t>
      </w:r>
      <w:r w:rsidR="002C3C41">
        <w:rPr>
          <w:rFonts w:ascii="Cambria" w:hAnsi="Cambria"/>
          <w:color w:val="000000" w:themeColor="text1"/>
          <w:sz w:val="16"/>
          <w:szCs w:val="16"/>
          <w:lang w:val="es-ES_tradnl"/>
        </w:rPr>
        <w:t xml:space="preserve">, </w:t>
      </w:r>
      <w:r w:rsidRPr="006D7A39">
        <w:rPr>
          <w:rFonts w:ascii="Cambria" w:hAnsi="Cambria"/>
          <w:color w:val="000000" w:themeColor="text1"/>
          <w:sz w:val="16"/>
          <w:szCs w:val="16"/>
          <w:lang w:val="es-ES_tradnl"/>
        </w:rPr>
        <w:t xml:space="preserve">18 de junio de 2020, párr. 50; </w:t>
      </w:r>
      <w:r w:rsidR="002C3C41">
        <w:rPr>
          <w:rFonts w:ascii="Cambria" w:hAnsi="Cambria"/>
          <w:color w:val="000000" w:themeColor="text1"/>
          <w:sz w:val="16"/>
          <w:szCs w:val="16"/>
          <w:lang w:val="es-ES_tradnl"/>
        </w:rPr>
        <w:t xml:space="preserve">y </w:t>
      </w:r>
      <w:r w:rsidRPr="006D7A39">
        <w:rPr>
          <w:rFonts w:ascii="Cambria" w:hAnsi="Cambria"/>
          <w:color w:val="000000" w:themeColor="text1"/>
          <w:sz w:val="16"/>
          <w:szCs w:val="16"/>
          <w:lang w:val="es-ES_tradnl"/>
        </w:rPr>
        <w:t>A/HRC/24/41, párr.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23B8A"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1D50D3A2"/>
    <w:lvl w:ilvl="0" w:tplc="6CB601F4">
      <w:start w:val="1"/>
      <w:numFmt w:val="decimal"/>
      <w:pStyle w:val="parrafos"/>
      <w:lvlText w:val="%1."/>
      <w:lvlJc w:val="left"/>
      <w:pPr>
        <w:ind w:left="360" w:hanging="360"/>
      </w:pPr>
      <w:rPr>
        <w:rFonts w:ascii="Cambria" w:hAnsi="Cambria" w:hint="default"/>
        <w:b w:val="0"/>
        <w:i w:val="0"/>
        <w:iCs w:val="0"/>
        <w:color w:val="auto"/>
        <w:sz w:val="20"/>
        <w:szCs w:val="20"/>
        <w:lang w:val="es-ES_tradnl"/>
      </w:rPr>
    </w:lvl>
    <w:lvl w:ilvl="1" w:tplc="04090019">
      <w:start w:val="1"/>
      <w:numFmt w:val="lowerLetter"/>
      <w:lvlText w:val="%2."/>
      <w:lvlJc w:val="left"/>
      <w:pPr>
        <w:ind w:left="-2181" w:hanging="360"/>
      </w:pPr>
    </w:lvl>
    <w:lvl w:ilvl="2" w:tplc="0409001B" w:tentative="1">
      <w:start w:val="1"/>
      <w:numFmt w:val="lowerRoman"/>
      <w:lvlText w:val="%3."/>
      <w:lvlJc w:val="right"/>
      <w:pPr>
        <w:ind w:left="-1461" w:hanging="180"/>
      </w:pPr>
    </w:lvl>
    <w:lvl w:ilvl="3" w:tplc="0409000F" w:tentative="1">
      <w:start w:val="1"/>
      <w:numFmt w:val="decimal"/>
      <w:lvlText w:val="%4."/>
      <w:lvlJc w:val="left"/>
      <w:pPr>
        <w:ind w:left="-741" w:hanging="360"/>
      </w:pPr>
    </w:lvl>
    <w:lvl w:ilvl="4" w:tplc="04090019" w:tentative="1">
      <w:start w:val="1"/>
      <w:numFmt w:val="lowerLetter"/>
      <w:lvlText w:val="%5."/>
      <w:lvlJc w:val="left"/>
      <w:pPr>
        <w:ind w:left="-21" w:hanging="360"/>
      </w:pPr>
    </w:lvl>
    <w:lvl w:ilvl="5" w:tplc="0409001B" w:tentative="1">
      <w:start w:val="1"/>
      <w:numFmt w:val="lowerRoman"/>
      <w:lvlText w:val="%6."/>
      <w:lvlJc w:val="right"/>
      <w:pPr>
        <w:ind w:left="699" w:hanging="180"/>
      </w:pPr>
    </w:lvl>
    <w:lvl w:ilvl="6" w:tplc="0409000F" w:tentative="1">
      <w:start w:val="1"/>
      <w:numFmt w:val="decimal"/>
      <w:lvlText w:val="%7."/>
      <w:lvlJc w:val="left"/>
      <w:pPr>
        <w:ind w:left="1419" w:hanging="360"/>
      </w:pPr>
    </w:lvl>
    <w:lvl w:ilvl="7" w:tplc="04090019" w:tentative="1">
      <w:start w:val="1"/>
      <w:numFmt w:val="lowerLetter"/>
      <w:lvlText w:val="%8."/>
      <w:lvlJc w:val="left"/>
      <w:pPr>
        <w:ind w:left="2139" w:hanging="360"/>
      </w:pPr>
    </w:lvl>
    <w:lvl w:ilvl="8" w:tplc="0409001B" w:tentative="1">
      <w:start w:val="1"/>
      <w:numFmt w:val="lowerRoman"/>
      <w:lvlText w:val="%9."/>
      <w:lvlJc w:val="right"/>
      <w:pPr>
        <w:ind w:left="2859"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9"/>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4"/>
  </w:num>
  <w:num w:numId="96" w16cid:durableId="935866318">
    <w:abstractNumId w:val="57"/>
  </w:num>
  <w:num w:numId="97" w16cid:durableId="2089502159">
    <w:abstractNumId w:val="54"/>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1"/>
  </w:num>
  <w:num w:numId="103" w16cid:durableId="1458334191">
    <w:abstractNumId w:val="6"/>
  </w:num>
  <w:num w:numId="104" w16cid:durableId="913318813">
    <w:abstractNumId w:val="66"/>
  </w:num>
  <w:num w:numId="105" w16cid:durableId="589050340">
    <w:abstractNumId w:val="55"/>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 w:numId="110" w16cid:durableId="1535652638">
    <w:abstractNumId w:val="4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D50"/>
    <w:rsid w:val="00006E1F"/>
    <w:rsid w:val="000070D7"/>
    <w:rsid w:val="00010B18"/>
    <w:rsid w:val="00011CE4"/>
    <w:rsid w:val="000136F4"/>
    <w:rsid w:val="0001788C"/>
    <w:rsid w:val="000337EF"/>
    <w:rsid w:val="00034994"/>
    <w:rsid w:val="00035A99"/>
    <w:rsid w:val="00040C3A"/>
    <w:rsid w:val="000419AD"/>
    <w:rsid w:val="00042BB4"/>
    <w:rsid w:val="000433C9"/>
    <w:rsid w:val="00044F3A"/>
    <w:rsid w:val="00054222"/>
    <w:rsid w:val="00063B96"/>
    <w:rsid w:val="00070685"/>
    <w:rsid w:val="000716C5"/>
    <w:rsid w:val="00075E23"/>
    <w:rsid w:val="000812A9"/>
    <w:rsid w:val="00084B14"/>
    <w:rsid w:val="0009172D"/>
    <w:rsid w:val="0009344A"/>
    <w:rsid w:val="000951E2"/>
    <w:rsid w:val="000A392E"/>
    <w:rsid w:val="000A575F"/>
    <w:rsid w:val="000A7B6A"/>
    <w:rsid w:val="000B062C"/>
    <w:rsid w:val="000C249E"/>
    <w:rsid w:val="000C40D1"/>
    <w:rsid w:val="000C5613"/>
    <w:rsid w:val="000D05CB"/>
    <w:rsid w:val="000D10DB"/>
    <w:rsid w:val="000D1EA1"/>
    <w:rsid w:val="000D6695"/>
    <w:rsid w:val="000E3CF1"/>
    <w:rsid w:val="000E5EB5"/>
    <w:rsid w:val="000F1DA8"/>
    <w:rsid w:val="000F35ED"/>
    <w:rsid w:val="000F4DF4"/>
    <w:rsid w:val="000F6D7B"/>
    <w:rsid w:val="0010186F"/>
    <w:rsid w:val="00107131"/>
    <w:rsid w:val="0010736F"/>
    <w:rsid w:val="00111F80"/>
    <w:rsid w:val="00113F73"/>
    <w:rsid w:val="00114007"/>
    <w:rsid w:val="00116A5A"/>
    <w:rsid w:val="001203DE"/>
    <w:rsid w:val="00121CC2"/>
    <w:rsid w:val="0012770A"/>
    <w:rsid w:val="00131425"/>
    <w:rsid w:val="00133EE5"/>
    <w:rsid w:val="00140303"/>
    <w:rsid w:val="00141F1A"/>
    <w:rsid w:val="00156B49"/>
    <w:rsid w:val="00167A34"/>
    <w:rsid w:val="001737AC"/>
    <w:rsid w:val="00185D74"/>
    <w:rsid w:val="00193432"/>
    <w:rsid w:val="0019566B"/>
    <w:rsid w:val="001A7870"/>
    <w:rsid w:val="001B2B6B"/>
    <w:rsid w:val="001B3A00"/>
    <w:rsid w:val="001C0F1F"/>
    <w:rsid w:val="001C1B41"/>
    <w:rsid w:val="001C5192"/>
    <w:rsid w:val="001C5648"/>
    <w:rsid w:val="001C5B90"/>
    <w:rsid w:val="001D65EF"/>
    <w:rsid w:val="001D7945"/>
    <w:rsid w:val="001E49E7"/>
    <w:rsid w:val="001F27DD"/>
    <w:rsid w:val="001F4521"/>
    <w:rsid w:val="001F6BDE"/>
    <w:rsid w:val="001F6C60"/>
    <w:rsid w:val="001F7201"/>
    <w:rsid w:val="002015C2"/>
    <w:rsid w:val="00223A29"/>
    <w:rsid w:val="002250A3"/>
    <w:rsid w:val="002258D8"/>
    <w:rsid w:val="00235217"/>
    <w:rsid w:val="00235F77"/>
    <w:rsid w:val="002469D2"/>
    <w:rsid w:val="00246D1F"/>
    <w:rsid w:val="00247403"/>
    <w:rsid w:val="00247542"/>
    <w:rsid w:val="00252951"/>
    <w:rsid w:val="0026020D"/>
    <w:rsid w:val="00260CD7"/>
    <w:rsid w:val="0026173E"/>
    <w:rsid w:val="00266B61"/>
    <w:rsid w:val="0026712A"/>
    <w:rsid w:val="002704DB"/>
    <w:rsid w:val="00281CC5"/>
    <w:rsid w:val="00287703"/>
    <w:rsid w:val="002A0AAE"/>
    <w:rsid w:val="002A1658"/>
    <w:rsid w:val="002A30D2"/>
    <w:rsid w:val="002A5820"/>
    <w:rsid w:val="002C23E5"/>
    <w:rsid w:val="002C3C41"/>
    <w:rsid w:val="002C57A2"/>
    <w:rsid w:val="002C640B"/>
    <w:rsid w:val="002D2B26"/>
    <w:rsid w:val="002D7EA2"/>
    <w:rsid w:val="002E137A"/>
    <w:rsid w:val="002E187C"/>
    <w:rsid w:val="00302733"/>
    <w:rsid w:val="003049FE"/>
    <w:rsid w:val="00314078"/>
    <w:rsid w:val="0031535D"/>
    <w:rsid w:val="00320FFE"/>
    <w:rsid w:val="003239B8"/>
    <w:rsid w:val="003247B1"/>
    <w:rsid w:val="0033169F"/>
    <w:rsid w:val="0033568F"/>
    <w:rsid w:val="003373FE"/>
    <w:rsid w:val="00342F94"/>
    <w:rsid w:val="00344977"/>
    <w:rsid w:val="00346C95"/>
    <w:rsid w:val="00353B10"/>
    <w:rsid w:val="00354F63"/>
    <w:rsid w:val="00355DDF"/>
    <w:rsid w:val="00356185"/>
    <w:rsid w:val="00360380"/>
    <w:rsid w:val="00361163"/>
    <w:rsid w:val="0036222C"/>
    <w:rsid w:val="00366726"/>
    <w:rsid w:val="0036774C"/>
    <w:rsid w:val="0037519E"/>
    <w:rsid w:val="00386CF0"/>
    <w:rsid w:val="003874C6"/>
    <w:rsid w:val="00391285"/>
    <w:rsid w:val="00394468"/>
    <w:rsid w:val="003B1B44"/>
    <w:rsid w:val="003B70FB"/>
    <w:rsid w:val="003C2239"/>
    <w:rsid w:val="003C31DD"/>
    <w:rsid w:val="003C676B"/>
    <w:rsid w:val="003D2B69"/>
    <w:rsid w:val="003D3BC2"/>
    <w:rsid w:val="003E1E2C"/>
    <w:rsid w:val="003E62B3"/>
    <w:rsid w:val="003E6CA1"/>
    <w:rsid w:val="003E7EFB"/>
    <w:rsid w:val="003F293D"/>
    <w:rsid w:val="003F497E"/>
    <w:rsid w:val="00403037"/>
    <w:rsid w:val="004031F8"/>
    <w:rsid w:val="00405F9C"/>
    <w:rsid w:val="004065A8"/>
    <w:rsid w:val="0041609B"/>
    <w:rsid w:val="004165C2"/>
    <w:rsid w:val="00436B39"/>
    <w:rsid w:val="004408D5"/>
    <w:rsid w:val="00441524"/>
    <w:rsid w:val="00441E0D"/>
    <w:rsid w:val="00441ECB"/>
    <w:rsid w:val="00445193"/>
    <w:rsid w:val="00446155"/>
    <w:rsid w:val="00462C1B"/>
    <w:rsid w:val="00462E37"/>
    <w:rsid w:val="00467B7E"/>
    <w:rsid w:val="0047216C"/>
    <w:rsid w:val="00473BB4"/>
    <w:rsid w:val="00477592"/>
    <w:rsid w:val="004822F4"/>
    <w:rsid w:val="00486F1C"/>
    <w:rsid w:val="0049419D"/>
    <w:rsid w:val="004A6A54"/>
    <w:rsid w:val="004B21E8"/>
    <w:rsid w:val="004B6863"/>
    <w:rsid w:val="004B7CA6"/>
    <w:rsid w:val="004C20D2"/>
    <w:rsid w:val="004C2312"/>
    <w:rsid w:val="004C4B62"/>
    <w:rsid w:val="004C54C9"/>
    <w:rsid w:val="004D333D"/>
    <w:rsid w:val="004D4ABA"/>
    <w:rsid w:val="004D6025"/>
    <w:rsid w:val="004E2649"/>
    <w:rsid w:val="004F626F"/>
    <w:rsid w:val="004F6680"/>
    <w:rsid w:val="00501399"/>
    <w:rsid w:val="0050633D"/>
    <w:rsid w:val="00506719"/>
    <w:rsid w:val="005070C0"/>
    <w:rsid w:val="00507BC4"/>
    <w:rsid w:val="005128E4"/>
    <w:rsid w:val="005133DB"/>
    <w:rsid w:val="005141A1"/>
    <w:rsid w:val="00514504"/>
    <w:rsid w:val="00525560"/>
    <w:rsid w:val="00531397"/>
    <w:rsid w:val="00540BB4"/>
    <w:rsid w:val="0054401A"/>
    <w:rsid w:val="00544C49"/>
    <w:rsid w:val="005516A1"/>
    <w:rsid w:val="0055469B"/>
    <w:rsid w:val="005559EF"/>
    <w:rsid w:val="005564B7"/>
    <w:rsid w:val="0056312A"/>
    <w:rsid w:val="00563557"/>
    <w:rsid w:val="005726ED"/>
    <w:rsid w:val="0057402A"/>
    <w:rsid w:val="005771D0"/>
    <w:rsid w:val="00580292"/>
    <w:rsid w:val="0059191A"/>
    <w:rsid w:val="00591E95"/>
    <w:rsid w:val="005921FF"/>
    <w:rsid w:val="00594696"/>
    <w:rsid w:val="005A24ED"/>
    <w:rsid w:val="005A254F"/>
    <w:rsid w:val="005A6D0E"/>
    <w:rsid w:val="005B52B0"/>
    <w:rsid w:val="005B6806"/>
    <w:rsid w:val="005C14A3"/>
    <w:rsid w:val="005C4225"/>
    <w:rsid w:val="005C5C34"/>
    <w:rsid w:val="005D38F9"/>
    <w:rsid w:val="005F0DAD"/>
    <w:rsid w:val="005F0F33"/>
    <w:rsid w:val="005F104A"/>
    <w:rsid w:val="00600DEB"/>
    <w:rsid w:val="00601848"/>
    <w:rsid w:val="00606E25"/>
    <w:rsid w:val="00613948"/>
    <w:rsid w:val="00613B46"/>
    <w:rsid w:val="00627C9F"/>
    <w:rsid w:val="006311E9"/>
    <w:rsid w:val="00632354"/>
    <w:rsid w:val="0063537E"/>
    <w:rsid w:val="00635421"/>
    <w:rsid w:val="00637473"/>
    <w:rsid w:val="00642810"/>
    <w:rsid w:val="00652333"/>
    <w:rsid w:val="006534EC"/>
    <w:rsid w:val="00661FFA"/>
    <w:rsid w:val="00672122"/>
    <w:rsid w:val="006725E4"/>
    <w:rsid w:val="0068009E"/>
    <w:rsid w:val="006832B9"/>
    <w:rsid w:val="00685AD1"/>
    <w:rsid w:val="00690954"/>
    <w:rsid w:val="00692219"/>
    <w:rsid w:val="00692B82"/>
    <w:rsid w:val="00695AD9"/>
    <w:rsid w:val="00697647"/>
    <w:rsid w:val="006A05B8"/>
    <w:rsid w:val="006A17D2"/>
    <w:rsid w:val="006A73E6"/>
    <w:rsid w:val="006B0249"/>
    <w:rsid w:val="006B1DE4"/>
    <w:rsid w:val="006B2D5C"/>
    <w:rsid w:val="006B4B0B"/>
    <w:rsid w:val="006B5545"/>
    <w:rsid w:val="006C268A"/>
    <w:rsid w:val="006C4EB1"/>
    <w:rsid w:val="006D287F"/>
    <w:rsid w:val="006D5B19"/>
    <w:rsid w:val="006D7A39"/>
    <w:rsid w:val="006E0166"/>
    <w:rsid w:val="006E0428"/>
    <w:rsid w:val="006E2FFB"/>
    <w:rsid w:val="006E3E54"/>
    <w:rsid w:val="006E7B34"/>
    <w:rsid w:val="006F198A"/>
    <w:rsid w:val="006F75A2"/>
    <w:rsid w:val="007053BD"/>
    <w:rsid w:val="0070697F"/>
    <w:rsid w:val="007105A5"/>
    <w:rsid w:val="0072199C"/>
    <w:rsid w:val="00722920"/>
    <w:rsid w:val="00722C9F"/>
    <w:rsid w:val="00722CD9"/>
    <w:rsid w:val="007253B8"/>
    <w:rsid w:val="00736F53"/>
    <w:rsid w:val="0073741F"/>
    <w:rsid w:val="00741E4F"/>
    <w:rsid w:val="00745F32"/>
    <w:rsid w:val="00753804"/>
    <w:rsid w:val="00755B0E"/>
    <w:rsid w:val="007642FC"/>
    <w:rsid w:val="0076643F"/>
    <w:rsid w:val="00777F63"/>
    <w:rsid w:val="007845DD"/>
    <w:rsid w:val="00785F68"/>
    <w:rsid w:val="0079669C"/>
    <w:rsid w:val="007A237E"/>
    <w:rsid w:val="007A5817"/>
    <w:rsid w:val="007A71DB"/>
    <w:rsid w:val="007B05C4"/>
    <w:rsid w:val="007B48D1"/>
    <w:rsid w:val="007B60E9"/>
    <w:rsid w:val="007B6CC3"/>
    <w:rsid w:val="007B76D3"/>
    <w:rsid w:val="007C3334"/>
    <w:rsid w:val="007C71B0"/>
    <w:rsid w:val="007D0BDA"/>
    <w:rsid w:val="007D2B98"/>
    <w:rsid w:val="007D501E"/>
    <w:rsid w:val="007E21BC"/>
    <w:rsid w:val="007E55F3"/>
    <w:rsid w:val="007E7C82"/>
    <w:rsid w:val="007F22E9"/>
    <w:rsid w:val="007F2AA1"/>
    <w:rsid w:val="007F2E1D"/>
    <w:rsid w:val="007F588D"/>
    <w:rsid w:val="00802BC1"/>
    <w:rsid w:val="00803F1C"/>
    <w:rsid w:val="0080600E"/>
    <w:rsid w:val="00814688"/>
    <w:rsid w:val="00814DBF"/>
    <w:rsid w:val="00817612"/>
    <w:rsid w:val="008338A4"/>
    <w:rsid w:val="00834D49"/>
    <w:rsid w:val="008364F8"/>
    <w:rsid w:val="00837C45"/>
    <w:rsid w:val="00844730"/>
    <w:rsid w:val="008457C2"/>
    <w:rsid w:val="0085331C"/>
    <w:rsid w:val="00857A82"/>
    <w:rsid w:val="00864C98"/>
    <w:rsid w:val="00867314"/>
    <w:rsid w:val="00873836"/>
    <w:rsid w:val="00874368"/>
    <w:rsid w:val="00875A47"/>
    <w:rsid w:val="00881C19"/>
    <w:rsid w:val="008852C6"/>
    <w:rsid w:val="00885737"/>
    <w:rsid w:val="00890650"/>
    <w:rsid w:val="0089163D"/>
    <w:rsid w:val="00897E12"/>
    <w:rsid w:val="008A7E0F"/>
    <w:rsid w:val="008B12F5"/>
    <w:rsid w:val="008B59A1"/>
    <w:rsid w:val="008C4BFA"/>
    <w:rsid w:val="008C4D21"/>
    <w:rsid w:val="008C5E2D"/>
    <w:rsid w:val="008D729B"/>
    <w:rsid w:val="008D768D"/>
    <w:rsid w:val="008E2B27"/>
    <w:rsid w:val="008E3759"/>
    <w:rsid w:val="008E3BFE"/>
    <w:rsid w:val="008F1912"/>
    <w:rsid w:val="0090270B"/>
    <w:rsid w:val="009041DC"/>
    <w:rsid w:val="00906C53"/>
    <w:rsid w:val="009124FB"/>
    <w:rsid w:val="00917B5A"/>
    <w:rsid w:val="00920A58"/>
    <w:rsid w:val="00920A8C"/>
    <w:rsid w:val="00922C5B"/>
    <w:rsid w:val="00934A2C"/>
    <w:rsid w:val="00942230"/>
    <w:rsid w:val="00945F14"/>
    <w:rsid w:val="0096706E"/>
    <w:rsid w:val="00973FD9"/>
    <w:rsid w:val="00974491"/>
    <w:rsid w:val="00975C4E"/>
    <w:rsid w:val="00981FBA"/>
    <w:rsid w:val="00986A75"/>
    <w:rsid w:val="00997BC5"/>
    <w:rsid w:val="009A4F41"/>
    <w:rsid w:val="009B381B"/>
    <w:rsid w:val="009C3CE0"/>
    <w:rsid w:val="009D1753"/>
    <w:rsid w:val="009D4726"/>
    <w:rsid w:val="009D7611"/>
    <w:rsid w:val="009E0B61"/>
    <w:rsid w:val="009E53DE"/>
    <w:rsid w:val="009E7022"/>
    <w:rsid w:val="009F2DB4"/>
    <w:rsid w:val="00A02F13"/>
    <w:rsid w:val="00A07289"/>
    <w:rsid w:val="00A11212"/>
    <w:rsid w:val="00A11E44"/>
    <w:rsid w:val="00A1264A"/>
    <w:rsid w:val="00A23907"/>
    <w:rsid w:val="00A30100"/>
    <w:rsid w:val="00A328B3"/>
    <w:rsid w:val="00A40525"/>
    <w:rsid w:val="00A50FCF"/>
    <w:rsid w:val="00A528D1"/>
    <w:rsid w:val="00A56E42"/>
    <w:rsid w:val="00A610CD"/>
    <w:rsid w:val="00A746AE"/>
    <w:rsid w:val="00A758AA"/>
    <w:rsid w:val="00A7638A"/>
    <w:rsid w:val="00A836C3"/>
    <w:rsid w:val="00A868D5"/>
    <w:rsid w:val="00A94D0D"/>
    <w:rsid w:val="00AA09A2"/>
    <w:rsid w:val="00AA52AC"/>
    <w:rsid w:val="00AA7996"/>
    <w:rsid w:val="00AB1B33"/>
    <w:rsid w:val="00AB2A5D"/>
    <w:rsid w:val="00AC19CB"/>
    <w:rsid w:val="00AE5488"/>
    <w:rsid w:val="00AE6F91"/>
    <w:rsid w:val="00AF4D31"/>
    <w:rsid w:val="00AF5571"/>
    <w:rsid w:val="00AF5EEA"/>
    <w:rsid w:val="00AF6343"/>
    <w:rsid w:val="00B07341"/>
    <w:rsid w:val="00B141A6"/>
    <w:rsid w:val="00B20851"/>
    <w:rsid w:val="00B30539"/>
    <w:rsid w:val="00B314DB"/>
    <w:rsid w:val="00B361F2"/>
    <w:rsid w:val="00B3718B"/>
    <w:rsid w:val="00B3745F"/>
    <w:rsid w:val="00B40E7E"/>
    <w:rsid w:val="00B4186C"/>
    <w:rsid w:val="00B44AB5"/>
    <w:rsid w:val="00B4632A"/>
    <w:rsid w:val="00B530F1"/>
    <w:rsid w:val="00B61C8E"/>
    <w:rsid w:val="00B65477"/>
    <w:rsid w:val="00B6564C"/>
    <w:rsid w:val="00B679DE"/>
    <w:rsid w:val="00B71916"/>
    <w:rsid w:val="00B73CED"/>
    <w:rsid w:val="00B8048A"/>
    <w:rsid w:val="00B80F79"/>
    <w:rsid w:val="00B85142"/>
    <w:rsid w:val="00B90A68"/>
    <w:rsid w:val="00B96C4F"/>
    <w:rsid w:val="00BA276C"/>
    <w:rsid w:val="00BB306F"/>
    <w:rsid w:val="00BB7508"/>
    <w:rsid w:val="00BB763F"/>
    <w:rsid w:val="00BC509C"/>
    <w:rsid w:val="00BC71B6"/>
    <w:rsid w:val="00BD4B89"/>
    <w:rsid w:val="00BD5922"/>
    <w:rsid w:val="00BD6B10"/>
    <w:rsid w:val="00BE1AC0"/>
    <w:rsid w:val="00BE5FEC"/>
    <w:rsid w:val="00BE70B9"/>
    <w:rsid w:val="00BF02CB"/>
    <w:rsid w:val="00BF26A6"/>
    <w:rsid w:val="00BF6FD8"/>
    <w:rsid w:val="00C03680"/>
    <w:rsid w:val="00C054DF"/>
    <w:rsid w:val="00C067F4"/>
    <w:rsid w:val="00C208EE"/>
    <w:rsid w:val="00C20E95"/>
    <w:rsid w:val="00C21762"/>
    <w:rsid w:val="00C21FEF"/>
    <w:rsid w:val="00C23BA4"/>
    <w:rsid w:val="00C24543"/>
    <w:rsid w:val="00C256A2"/>
    <w:rsid w:val="00C25ADB"/>
    <w:rsid w:val="00C51515"/>
    <w:rsid w:val="00C5660B"/>
    <w:rsid w:val="00C56644"/>
    <w:rsid w:val="00C62B3C"/>
    <w:rsid w:val="00C65053"/>
    <w:rsid w:val="00C66B72"/>
    <w:rsid w:val="00C70FFB"/>
    <w:rsid w:val="00C741C1"/>
    <w:rsid w:val="00C77B9B"/>
    <w:rsid w:val="00C77E99"/>
    <w:rsid w:val="00C87AC4"/>
    <w:rsid w:val="00C9567A"/>
    <w:rsid w:val="00CA0A6B"/>
    <w:rsid w:val="00CA7436"/>
    <w:rsid w:val="00CB0397"/>
    <w:rsid w:val="00CB212D"/>
    <w:rsid w:val="00CB2660"/>
    <w:rsid w:val="00CB46ED"/>
    <w:rsid w:val="00CC5E90"/>
    <w:rsid w:val="00CC63C6"/>
    <w:rsid w:val="00CC6F08"/>
    <w:rsid w:val="00CD046C"/>
    <w:rsid w:val="00CD2FB9"/>
    <w:rsid w:val="00CD7198"/>
    <w:rsid w:val="00CE076C"/>
    <w:rsid w:val="00CE13B3"/>
    <w:rsid w:val="00CE20D5"/>
    <w:rsid w:val="00CE5199"/>
    <w:rsid w:val="00CE66D5"/>
    <w:rsid w:val="00CF637A"/>
    <w:rsid w:val="00CF6C55"/>
    <w:rsid w:val="00D03B99"/>
    <w:rsid w:val="00D059DE"/>
    <w:rsid w:val="00D05ABD"/>
    <w:rsid w:val="00D06AD1"/>
    <w:rsid w:val="00D13530"/>
    <w:rsid w:val="00D13FCE"/>
    <w:rsid w:val="00D212E1"/>
    <w:rsid w:val="00D306D1"/>
    <w:rsid w:val="00D30800"/>
    <w:rsid w:val="00D34786"/>
    <w:rsid w:val="00D37BFC"/>
    <w:rsid w:val="00D47A8E"/>
    <w:rsid w:val="00D52D14"/>
    <w:rsid w:val="00D55A5C"/>
    <w:rsid w:val="00D62916"/>
    <w:rsid w:val="00D67E69"/>
    <w:rsid w:val="00D70FA5"/>
    <w:rsid w:val="00D712D3"/>
    <w:rsid w:val="00D71422"/>
    <w:rsid w:val="00D72DC6"/>
    <w:rsid w:val="00D7558D"/>
    <w:rsid w:val="00D7627F"/>
    <w:rsid w:val="00D81D92"/>
    <w:rsid w:val="00D876F9"/>
    <w:rsid w:val="00D94340"/>
    <w:rsid w:val="00DA5EB3"/>
    <w:rsid w:val="00DA7B5F"/>
    <w:rsid w:val="00DB04CB"/>
    <w:rsid w:val="00DB1BF9"/>
    <w:rsid w:val="00DB7AAA"/>
    <w:rsid w:val="00DC11E7"/>
    <w:rsid w:val="00DC23F5"/>
    <w:rsid w:val="00DC24E3"/>
    <w:rsid w:val="00DC46B5"/>
    <w:rsid w:val="00DC7023"/>
    <w:rsid w:val="00DC769A"/>
    <w:rsid w:val="00DD10CF"/>
    <w:rsid w:val="00DD3D86"/>
    <w:rsid w:val="00DD4AD2"/>
    <w:rsid w:val="00DE738A"/>
    <w:rsid w:val="00DF1EC4"/>
    <w:rsid w:val="00E00816"/>
    <w:rsid w:val="00E00CC2"/>
    <w:rsid w:val="00E01729"/>
    <w:rsid w:val="00E0340B"/>
    <w:rsid w:val="00E04A90"/>
    <w:rsid w:val="00E0551F"/>
    <w:rsid w:val="00E05D3F"/>
    <w:rsid w:val="00E219C7"/>
    <w:rsid w:val="00E27A16"/>
    <w:rsid w:val="00E347A6"/>
    <w:rsid w:val="00E36189"/>
    <w:rsid w:val="00E37565"/>
    <w:rsid w:val="00E4118C"/>
    <w:rsid w:val="00E43157"/>
    <w:rsid w:val="00E461CE"/>
    <w:rsid w:val="00E503D4"/>
    <w:rsid w:val="00E54D28"/>
    <w:rsid w:val="00E573E4"/>
    <w:rsid w:val="00E62B18"/>
    <w:rsid w:val="00E64C3D"/>
    <w:rsid w:val="00E7046A"/>
    <w:rsid w:val="00E70B08"/>
    <w:rsid w:val="00E720CA"/>
    <w:rsid w:val="00E82DDC"/>
    <w:rsid w:val="00E84EB5"/>
    <w:rsid w:val="00E85662"/>
    <w:rsid w:val="00E8789F"/>
    <w:rsid w:val="00E97B71"/>
    <w:rsid w:val="00EA3D34"/>
    <w:rsid w:val="00EA4145"/>
    <w:rsid w:val="00EB16F4"/>
    <w:rsid w:val="00EB197F"/>
    <w:rsid w:val="00EB454D"/>
    <w:rsid w:val="00ED294C"/>
    <w:rsid w:val="00ED48C9"/>
    <w:rsid w:val="00ED549D"/>
    <w:rsid w:val="00ED76BE"/>
    <w:rsid w:val="00EE0019"/>
    <w:rsid w:val="00EE00E9"/>
    <w:rsid w:val="00EE6397"/>
    <w:rsid w:val="00EF1AAA"/>
    <w:rsid w:val="00EF619B"/>
    <w:rsid w:val="00F00B55"/>
    <w:rsid w:val="00F02AD1"/>
    <w:rsid w:val="00F15338"/>
    <w:rsid w:val="00F23B8A"/>
    <w:rsid w:val="00F253CC"/>
    <w:rsid w:val="00F32268"/>
    <w:rsid w:val="00F365CB"/>
    <w:rsid w:val="00F37106"/>
    <w:rsid w:val="00F407DA"/>
    <w:rsid w:val="00F44E25"/>
    <w:rsid w:val="00F44F6F"/>
    <w:rsid w:val="00F519CF"/>
    <w:rsid w:val="00F56751"/>
    <w:rsid w:val="00F56BA5"/>
    <w:rsid w:val="00F60E22"/>
    <w:rsid w:val="00F6192C"/>
    <w:rsid w:val="00F71465"/>
    <w:rsid w:val="00F81395"/>
    <w:rsid w:val="00F81BB8"/>
    <w:rsid w:val="00F82732"/>
    <w:rsid w:val="00F83ED6"/>
    <w:rsid w:val="00F909CE"/>
    <w:rsid w:val="00F90C64"/>
    <w:rsid w:val="00F917D1"/>
    <w:rsid w:val="00F950C0"/>
    <w:rsid w:val="00F9653B"/>
    <w:rsid w:val="00FA51C7"/>
    <w:rsid w:val="00FB5769"/>
    <w:rsid w:val="00FB62CF"/>
    <w:rsid w:val="00FD3C3B"/>
    <w:rsid w:val="00FE07DD"/>
    <w:rsid w:val="00FE6B45"/>
    <w:rsid w:val="00FF3E4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B40E7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F153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styleId="CommentReference">
    <w:name w:val="annotation reference"/>
    <w:basedOn w:val="DefaultParagraphFont"/>
    <w:uiPriority w:val="99"/>
    <w:semiHidden/>
    <w:unhideWhenUsed/>
    <w:rsid w:val="00E37565"/>
    <w:rPr>
      <w:sz w:val="16"/>
      <w:szCs w:val="16"/>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2A165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rafos">
    <w:name w:val="parrafos"/>
    <w:basedOn w:val="Normal"/>
    <w:link w:val="parrafosChar"/>
    <w:qFormat/>
    <w:rsid w:val="002A1658"/>
    <w:pPr>
      <w:numPr>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rsid w:val="002A1658"/>
    <w:rPr>
      <w:rFonts w:asciiTheme="majorHAnsi" w:hAnsiTheme="majorHAnsi"/>
      <w:color w:val="000000" w:themeColor="text1"/>
      <w:lang w:val="es-VE" w:eastAsia="en-US"/>
    </w:rPr>
  </w:style>
  <w:style w:type="paragraph" w:styleId="Revision">
    <w:name w:val="Revision"/>
    <w:hidden/>
    <w:uiPriority w:val="99"/>
    <w:semiHidden/>
    <w:rsid w:val="00C6505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2E13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E137A"/>
  </w:style>
  <w:style w:type="character" w:customStyle="1" w:styleId="eop">
    <w:name w:val="eop"/>
    <w:basedOn w:val="DefaultParagraphFont"/>
    <w:rsid w:val="002E1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7620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09379780">
      <w:bodyDiv w:val="1"/>
      <w:marLeft w:val="0"/>
      <w:marRight w:val="0"/>
      <w:marTop w:val="0"/>
      <w:marBottom w:val="0"/>
      <w:divBdr>
        <w:top w:val="none" w:sz="0" w:space="0" w:color="auto"/>
        <w:left w:val="none" w:sz="0" w:space="0" w:color="auto"/>
        <w:bottom w:val="none" w:sz="0" w:space="0" w:color="auto"/>
        <w:right w:val="none" w:sz="0" w:space="0" w:color="auto"/>
      </w:divBdr>
    </w:div>
    <w:div w:id="1510562099">
      <w:bodyDiv w:val="1"/>
      <w:marLeft w:val="0"/>
      <w:marRight w:val="0"/>
      <w:marTop w:val="0"/>
      <w:marBottom w:val="0"/>
      <w:divBdr>
        <w:top w:val="none" w:sz="0" w:space="0" w:color="auto"/>
        <w:left w:val="none" w:sz="0" w:space="0" w:color="auto"/>
        <w:bottom w:val="none" w:sz="0" w:space="0" w:color="auto"/>
        <w:right w:val="none" w:sz="0" w:space="0" w:color="auto"/>
      </w:divBdr>
    </w:div>
    <w:div w:id="17144999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1418152">
      <w:bodyDiv w:val="1"/>
      <w:marLeft w:val="0"/>
      <w:marRight w:val="0"/>
      <w:marTop w:val="0"/>
      <w:marBottom w:val="0"/>
      <w:divBdr>
        <w:top w:val="none" w:sz="0" w:space="0" w:color="auto"/>
        <w:left w:val="none" w:sz="0" w:space="0" w:color="auto"/>
        <w:bottom w:val="none" w:sz="0" w:space="0" w:color="auto"/>
        <w:right w:val="none" w:sz="0" w:space="0" w:color="auto"/>
      </w:divBdr>
    </w:div>
    <w:div w:id="2103331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A462ED34FD4EC7B497A47481F67E24"/>
        <w:category>
          <w:name w:val="General"/>
          <w:gallery w:val="placeholder"/>
        </w:category>
        <w:types>
          <w:type w:val="bbPlcHdr"/>
        </w:types>
        <w:behaviors>
          <w:behavior w:val="content"/>
        </w:behaviors>
        <w:guid w:val="{6C90C434-CE7A-4005-8A1B-C88539264BA4}"/>
      </w:docPartPr>
      <w:docPartBody>
        <w:p w:rsidR="00550A44" w:rsidRDefault="00EF23EE" w:rsidP="00EF23EE">
          <w:pPr>
            <w:pStyle w:val="DEA462ED34FD4EC7B497A47481F67E24"/>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7BCF"/>
    <w:rsid w:val="00114D48"/>
    <w:rsid w:val="00164E96"/>
    <w:rsid w:val="001B68CE"/>
    <w:rsid w:val="001C119C"/>
    <w:rsid w:val="00200821"/>
    <w:rsid w:val="00201CE6"/>
    <w:rsid w:val="0025245B"/>
    <w:rsid w:val="002A3923"/>
    <w:rsid w:val="00394049"/>
    <w:rsid w:val="004B5BBB"/>
    <w:rsid w:val="004F2DF8"/>
    <w:rsid w:val="00550A44"/>
    <w:rsid w:val="006E2DF9"/>
    <w:rsid w:val="006E43DA"/>
    <w:rsid w:val="006F24A1"/>
    <w:rsid w:val="007D2911"/>
    <w:rsid w:val="00882FFB"/>
    <w:rsid w:val="009A261B"/>
    <w:rsid w:val="009C3CB6"/>
    <w:rsid w:val="00A4418E"/>
    <w:rsid w:val="00AA2E17"/>
    <w:rsid w:val="00AC15A4"/>
    <w:rsid w:val="00B0336C"/>
    <w:rsid w:val="00B30277"/>
    <w:rsid w:val="00B61C8E"/>
    <w:rsid w:val="00B62E70"/>
    <w:rsid w:val="00B75108"/>
    <w:rsid w:val="00D05DB1"/>
    <w:rsid w:val="00D241E9"/>
    <w:rsid w:val="00D67E69"/>
    <w:rsid w:val="00D7750D"/>
    <w:rsid w:val="00EF23EE"/>
    <w:rsid w:val="00F00D2F"/>
    <w:rsid w:val="00F128DF"/>
    <w:rsid w:val="00F272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3EE"/>
    <w:rPr>
      <w:color w:val="808080"/>
    </w:rPr>
  </w:style>
  <w:style w:type="paragraph" w:customStyle="1" w:styleId="DEA462ED34FD4EC7B497A47481F67E24">
    <w:name w:val="DEA462ED34FD4EC7B497A47481F67E24"/>
    <w:rsid w:val="00EF23EE"/>
    <w:pPr>
      <w:spacing w:after="160" w:line="259" w:lineRule="auto"/>
    </w:pPr>
    <w:rPr>
      <w:kern w:val="2"/>
      <w:lang w:val="es-PE" w:eastAsia="es-P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2646</Words>
  <Characters>15088</Characters>
  <Application>Microsoft Office Word</Application>
  <DocSecurity>0</DocSecurity>
  <Lines>125</Lines>
  <Paragraphs>35</Paragraphs>
  <ScaleCrop>false</ScaleCrop>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2025-01-09T15:50:00Z</dcterms:created>
  <dcterms:modified xsi:type="dcterms:W3CDTF">2025-01-09T15:50:00Z</dcterms:modified>
</cp:coreProperties>
</file>