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0EE23E97">
              <v:rect id="Rectangle 1"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a7194" stroked="f" strokeweight="2pt" w14:anchorId="1229C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751BC92D"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1E9EAD2" w14:textId="76070413"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C56D75" wp14:editId="08775829">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01363CA6" w:rsidR="005B52B0" w:rsidRPr="005A0DA4"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CD125E">
                              <w:rPr>
                                <w:rFonts w:asciiTheme="majorHAnsi" w:hAnsiTheme="majorHAnsi" w:cs="Arial"/>
                                <w:b/>
                                <w:bCs/>
                                <w:color w:val="0D0D0D" w:themeColor="text1" w:themeTint="F2"/>
                                <w:sz w:val="36"/>
                                <w:szCs w:val="22"/>
                                <w:lang w:val="es-ES_tradnl"/>
                              </w:rPr>
                              <w:t>98</w:t>
                            </w:r>
                            <w:r w:rsidR="007B05C4" w:rsidRPr="005A0DA4">
                              <w:rPr>
                                <w:rFonts w:asciiTheme="majorHAnsi" w:hAnsiTheme="majorHAnsi" w:cs="Arial"/>
                                <w:b/>
                                <w:bCs/>
                                <w:color w:val="0D0D0D" w:themeColor="text1" w:themeTint="F2"/>
                                <w:sz w:val="36"/>
                                <w:szCs w:val="22"/>
                                <w:lang w:val="es-ES_tradnl"/>
                              </w:rPr>
                              <w:t>/</w:t>
                            </w:r>
                            <w:r w:rsidR="005B5631" w:rsidRPr="005A0DA4">
                              <w:rPr>
                                <w:rFonts w:asciiTheme="majorHAnsi" w:hAnsiTheme="majorHAnsi" w:cs="Arial"/>
                                <w:b/>
                                <w:bCs/>
                                <w:color w:val="0D0D0D" w:themeColor="text1" w:themeTint="F2"/>
                                <w:sz w:val="36"/>
                                <w:szCs w:val="22"/>
                                <w:lang w:val="es-ES_tradnl"/>
                              </w:rPr>
                              <w:t>24</w:t>
                            </w:r>
                          </w:p>
                          <w:p w14:paraId="45F30ECA" w14:textId="50A6DF75" w:rsidR="007B05C4" w:rsidRDefault="005B52B0" w:rsidP="00997BC5">
                            <w:pPr>
                              <w:spacing w:line="276" w:lineRule="auto"/>
                              <w:rPr>
                                <w:rFonts w:asciiTheme="majorHAnsi" w:hAnsiTheme="majorHAnsi" w:cs="Arial"/>
                                <w:b/>
                                <w:color w:val="0D0D0D" w:themeColor="text1" w:themeTint="F2"/>
                                <w:sz w:val="36"/>
                                <w:szCs w:val="22"/>
                                <w:lang w:val="es-ES_tradnl"/>
                              </w:rPr>
                            </w:pPr>
                            <w:r w:rsidRPr="005A0DA4">
                              <w:rPr>
                                <w:rFonts w:asciiTheme="majorHAnsi" w:hAnsiTheme="majorHAnsi" w:cs="Arial"/>
                                <w:b/>
                                <w:color w:val="0D0D0D" w:themeColor="text1" w:themeTint="F2"/>
                                <w:sz w:val="36"/>
                                <w:szCs w:val="22"/>
                                <w:lang w:val="es-ES_tradnl"/>
                              </w:rPr>
                              <w:t xml:space="preserve">PETICIÓN </w:t>
                            </w:r>
                            <w:r w:rsidR="00FE363C" w:rsidRPr="005A0DA4">
                              <w:rPr>
                                <w:rFonts w:asciiTheme="majorHAnsi" w:hAnsiTheme="majorHAnsi" w:cs="Arial"/>
                                <w:b/>
                                <w:color w:val="0D0D0D" w:themeColor="text1" w:themeTint="F2"/>
                                <w:sz w:val="36"/>
                                <w:szCs w:val="22"/>
                                <w:lang w:val="es-ES_tradnl"/>
                              </w:rPr>
                              <w:t>504-14</w:t>
                            </w:r>
                            <w:r w:rsidR="00246D1F" w:rsidRPr="004E2649">
                              <w:rPr>
                                <w:rFonts w:asciiTheme="majorHAnsi" w:hAnsiTheme="majorHAnsi" w:cs="Arial"/>
                                <w:b/>
                                <w:color w:val="0D0D0D" w:themeColor="text1" w:themeTint="F2"/>
                                <w:sz w:val="36"/>
                                <w:szCs w:val="22"/>
                                <w:lang w:val="es-ES_tradnl"/>
                              </w:rPr>
                              <w:t xml:space="preserve"> </w:t>
                            </w:r>
                          </w:p>
                          <w:p w14:paraId="188B4303" w14:textId="1457411A"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68F8782" w14:textId="15CA28E2" w:rsidR="005B52B0" w:rsidRPr="0010736F" w:rsidRDefault="00B12977" w:rsidP="00997BC5">
                            <w:pPr>
                              <w:spacing w:line="276" w:lineRule="auto"/>
                              <w:rPr>
                                <w:rFonts w:asciiTheme="majorHAnsi" w:hAnsiTheme="majorHAnsi" w:cs="Arial"/>
                                <w:color w:val="0D0D0D" w:themeColor="text1" w:themeTint="F2"/>
                                <w:szCs w:val="22"/>
                                <w:lang w:val="es-ES_tradnl"/>
                              </w:rPr>
                            </w:pPr>
                            <w:r w:rsidRPr="0066614D">
                              <w:rPr>
                                <w:rFonts w:asciiTheme="majorHAnsi" w:hAnsiTheme="majorHAnsi" w:cs="Arial"/>
                                <w:bCs/>
                                <w:color w:val="0D0D0D" w:themeColor="text1" w:themeTint="F2"/>
                                <w:szCs w:val="22"/>
                                <w:lang w:val="es-ES"/>
                              </w:rPr>
                              <w:t>CARLOS SÁNCHEZ RÍOS Y OTROS</w:t>
                            </w:r>
                          </w:p>
                          <w:bookmarkEnd w:id="0"/>
                          <w:p w14:paraId="0B9F7D22" w14:textId="4320F00C" w:rsidR="005B52B0" w:rsidRPr="00F56ECB" w:rsidRDefault="00185CCD"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MÉXICO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01363CA6" w:rsidR="005B52B0" w:rsidRPr="005A0DA4"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CD125E">
                        <w:rPr>
                          <w:rFonts w:asciiTheme="majorHAnsi" w:hAnsiTheme="majorHAnsi" w:cs="Arial"/>
                          <w:b/>
                          <w:bCs/>
                          <w:color w:val="0D0D0D" w:themeColor="text1" w:themeTint="F2"/>
                          <w:sz w:val="36"/>
                          <w:szCs w:val="22"/>
                          <w:lang w:val="es-ES_tradnl"/>
                        </w:rPr>
                        <w:t>98</w:t>
                      </w:r>
                      <w:r w:rsidR="007B05C4" w:rsidRPr="005A0DA4">
                        <w:rPr>
                          <w:rFonts w:asciiTheme="majorHAnsi" w:hAnsiTheme="majorHAnsi" w:cs="Arial"/>
                          <w:b/>
                          <w:bCs/>
                          <w:color w:val="0D0D0D" w:themeColor="text1" w:themeTint="F2"/>
                          <w:sz w:val="36"/>
                          <w:szCs w:val="22"/>
                          <w:lang w:val="es-ES_tradnl"/>
                        </w:rPr>
                        <w:t>/</w:t>
                      </w:r>
                      <w:r w:rsidR="005B5631" w:rsidRPr="005A0DA4">
                        <w:rPr>
                          <w:rFonts w:asciiTheme="majorHAnsi" w:hAnsiTheme="majorHAnsi" w:cs="Arial"/>
                          <w:b/>
                          <w:bCs/>
                          <w:color w:val="0D0D0D" w:themeColor="text1" w:themeTint="F2"/>
                          <w:sz w:val="36"/>
                          <w:szCs w:val="22"/>
                          <w:lang w:val="es-ES_tradnl"/>
                        </w:rPr>
                        <w:t>24</w:t>
                      </w:r>
                    </w:p>
                    <w:p w14:paraId="45F30ECA" w14:textId="50A6DF75" w:rsidR="007B05C4" w:rsidRDefault="005B52B0" w:rsidP="00997BC5">
                      <w:pPr>
                        <w:spacing w:line="276" w:lineRule="auto"/>
                        <w:rPr>
                          <w:rFonts w:asciiTheme="majorHAnsi" w:hAnsiTheme="majorHAnsi" w:cs="Arial"/>
                          <w:b/>
                          <w:color w:val="0D0D0D" w:themeColor="text1" w:themeTint="F2"/>
                          <w:sz w:val="36"/>
                          <w:szCs w:val="22"/>
                          <w:lang w:val="es-ES_tradnl"/>
                        </w:rPr>
                      </w:pPr>
                      <w:r w:rsidRPr="005A0DA4">
                        <w:rPr>
                          <w:rFonts w:asciiTheme="majorHAnsi" w:hAnsiTheme="majorHAnsi" w:cs="Arial"/>
                          <w:b/>
                          <w:color w:val="0D0D0D" w:themeColor="text1" w:themeTint="F2"/>
                          <w:sz w:val="36"/>
                          <w:szCs w:val="22"/>
                          <w:lang w:val="es-ES_tradnl"/>
                        </w:rPr>
                        <w:t xml:space="preserve">PETICIÓN </w:t>
                      </w:r>
                      <w:r w:rsidR="00FE363C" w:rsidRPr="005A0DA4">
                        <w:rPr>
                          <w:rFonts w:asciiTheme="majorHAnsi" w:hAnsiTheme="majorHAnsi" w:cs="Arial"/>
                          <w:b/>
                          <w:color w:val="0D0D0D" w:themeColor="text1" w:themeTint="F2"/>
                          <w:sz w:val="36"/>
                          <w:szCs w:val="22"/>
                          <w:lang w:val="es-ES_tradnl"/>
                        </w:rPr>
                        <w:t>504-14</w:t>
                      </w:r>
                      <w:r w:rsidR="00246D1F" w:rsidRPr="004E2649">
                        <w:rPr>
                          <w:rFonts w:asciiTheme="majorHAnsi" w:hAnsiTheme="majorHAnsi" w:cs="Arial"/>
                          <w:b/>
                          <w:color w:val="0D0D0D" w:themeColor="text1" w:themeTint="F2"/>
                          <w:sz w:val="36"/>
                          <w:szCs w:val="22"/>
                          <w:lang w:val="es-ES_tradnl"/>
                        </w:rPr>
                        <w:t xml:space="preserve"> </w:t>
                      </w:r>
                    </w:p>
                    <w:p w14:paraId="188B4303" w14:textId="1457411A"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68F8782" w14:textId="15CA28E2" w:rsidR="005B52B0" w:rsidRPr="0010736F" w:rsidRDefault="00B12977" w:rsidP="00997BC5">
                      <w:pPr>
                        <w:spacing w:line="276" w:lineRule="auto"/>
                        <w:rPr>
                          <w:rFonts w:asciiTheme="majorHAnsi" w:hAnsiTheme="majorHAnsi" w:cs="Arial"/>
                          <w:color w:val="0D0D0D" w:themeColor="text1" w:themeTint="F2"/>
                          <w:szCs w:val="22"/>
                          <w:lang w:val="es-ES_tradnl"/>
                        </w:rPr>
                      </w:pPr>
                      <w:r w:rsidRPr="0066614D">
                        <w:rPr>
                          <w:rFonts w:asciiTheme="majorHAnsi" w:hAnsiTheme="majorHAnsi" w:cs="Arial"/>
                          <w:bCs/>
                          <w:color w:val="0D0D0D" w:themeColor="text1" w:themeTint="F2"/>
                          <w:szCs w:val="22"/>
                          <w:lang w:val="es-ES"/>
                        </w:rPr>
                        <w:t>CARLOS SÁNCHEZ RÍOS Y OTROS</w:t>
                      </w:r>
                    </w:p>
                    <w:bookmarkEnd w:id="1"/>
                    <w:p w14:paraId="0B9F7D22" w14:textId="4320F00C" w:rsidR="005B52B0" w:rsidRPr="00F56ECB" w:rsidRDefault="00185CCD"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MÉXICO</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86A9F8" wp14:editId="1D28F175">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18C159F0" w:rsidR="00627C9F" w:rsidRPr="00732E35" w:rsidRDefault="00834D49" w:rsidP="007A5817">
                            <w:pPr>
                              <w:spacing w:line="276" w:lineRule="auto"/>
                              <w:jc w:val="right"/>
                              <w:rPr>
                                <w:rFonts w:asciiTheme="minorHAnsi" w:hAnsiTheme="minorHAnsi"/>
                                <w:color w:val="FFFFFF" w:themeColor="background1"/>
                                <w:sz w:val="22"/>
                                <w:lang w:val="es-AR"/>
                              </w:rPr>
                            </w:pPr>
                            <w:r w:rsidRPr="00732E35">
                              <w:rPr>
                                <w:rFonts w:asciiTheme="minorHAnsi" w:hAnsiTheme="minorHAnsi"/>
                                <w:color w:val="FFFFFF" w:themeColor="background1"/>
                                <w:sz w:val="22"/>
                                <w:lang w:val="es-AR"/>
                              </w:rPr>
                              <w:t>OEA/Ser.L/V/II</w:t>
                            </w:r>
                          </w:p>
                          <w:p w14:paraId="71D2D5D2" w14:textId="55331AA3" w:rsidR="00627C9F" w:rsidRPr="00732E35" w:rsidRDefault="00627C9F" w:rsidP="007A5817">
                            <w:pPr>
                              <w:spacing w:line="276" w:lineRule="auto"/>
                              <w:jc w:val="right"/>
                              <w:rPr>
                                <w:rFonts w:asciiTheme="minorHAnsi" w:hAnsiTheme="minorHAnsi"/>
                                <w:color w:val="FFFFFF" w:themeColor="background1"/>
                                <w:sz w:val="22"/>
                                <w:lang w:val="es-AR"/>
                              </w:rPr>
                            </w:pPr>
                            <w:r w:rsidRPr="00732E35">
                              <w:rPr>
                                <w:rFonts w:asciiTheme="minorHAnsi" w:hAnsiTheme="minorHAnsi"/>
                                <w:color w:val="FFFFFF" w:themeColor="background1"/>
                                <w:sz w:val="22"/>
                                <w:lang w:val="es-AR"/>
                              </w:rPr>
                              <w:t xml:space="preserve">Doc. </w:t>
                            </w:r>
                            <w:r w:rsidR="00893E53" w:rsidRPr="00732E35">
                              <w:rPr>
                                <w:rFonts w:asciiTheme="minorHAnsi" w:hAnsiTheme="minorHAnsi"/>
                                <w:color w:val="FFFFFF" w:themeColor="background1"/>
                                <w:sz w:val="22"/>
                                <w:lang w:val="es-AR"/>
                              </w:rPr>
                              <w:t>103</w:t>
                            </w:r>
                          </w:p>
                          <w:p w14:paraId="4061DBBD" w14:textId="07FD37BF" w:rsidR="00627C9F" w:rsidRPr="005A0DA4" w:rsidRDefault="00893E53"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29 junio</w:t>
                            </w:r>
                            <w:r w:rsidR="00627C9F" w:rsidRPr="005A0DA4">
                              <w:rPr>
                                <w:rFonts w:asciiTheme="minorHAnsi" w:hAnsiTheme="minorHAnsi"/>
                                <w:color w:val="FFFFFF" w:themeColor="background1"/>
                                <w:sz w:val="22"/>
                                <w:lang w:val="es-PA"/>
                              </w:rPr>
                              <w:t xml:space="preserve"> 20</w:t>
                            </w:r>
                            <w:r w:rsidR="00C23BA4" w:rsidRPr="005A0DA4">
                              <w:rPr>
                                <w:rFonts w:asciiTheme="minorHAnsi" w:hAnsiTheme="minorHAnsi"/>
                                <w:color w:val="FFFFFF" w:themeColor="background1"/>
                                <w:sz w:val="22"/>
                                <w:lang w:val="es-PA"/>
                              </w:rPr>
                              <w:t>2</w:t>
                            </w:r>
                            <w:r w:rsidR="00185CCD" w:rsidRPr="005A0DA4">
                              <w:rPr>
                                <w:rFonts w:asciiTheme="minorHAnsi" w:hAnsiTheme="minorHAnsi"/>
                                <w:color w:val="FFFFFF" w:themeColor="background1"/>
                                <w:sz w:val="22"/>
                                <w:lang w:val="es-PA"/>
                              </w:rPr>
                              <w:t>4</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5A0DA4">
                              <w:rPr>
                                <w:rFonts w:asciiTheme="minorHAnsi" w:hAnsiTheme="minorHAnsi"/>
                                <w:color w:val="FFFFFF" w:themeColor="background1"/>
                                <w:sz w:val="22"/>
                                <w:lang w:val="es-PA"/>
                              </w:rPr>
                              <w:t xml:space="preserve">Original: </w:t>
                            </w:r>
                            <w:r w:rsidR="008B12F5" w:rsidRPr="005A0DA4">
                              <w:rPr>
                                <w:rFonts w:asciiTheme="minorHAnsi" w:hAnsiTheme="minorHAnsi"/>
                                <w:color w:val="FFFFFF" w:themeColor="background1"/>
                                <w:sz w:val="22"/>
                                <w:lang w:val="es-PA"/>
                              </w:rPr>
                              <w:t>e</w:t>
                            </w:r>
                            <w:r w:rsidR="00627C9F" w:rsidRPr="005A0DA4">
                              <w:rPr>
                                <w:rFonts w:asciiTheme="minorHAnsi" w:hAnsiTheme="minorHAnsi"/>
                                <w:color w:val="FFFFFF" w:themeColor="background1"/>
                                <w:sz w:val="22"/>
                                <w:lang w:val="es-PA"/>
                              </w:rPr>
                              <w:t>spaño</w:t>
                            </w:r>
                            <w:r w:rsidR="00627C9F" w:rsidRPr="00C25ADB">
                              <w:rPr>
                                <w:rFonts w:asciiTheme="minorHAnsi" w:hAnsiTheme="minorHAnsi"/>
                                <w:color w:val="FFFFFF" w:themeColor="background1"/>
                                <w:sz w:val="22"/>
                                <w:lang w:val="es-PA"/>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18C159F0" w:rsidR="00627C9F" w:rsidRPr="00732E35" w:rsidRDefault="00834D49" w:rsidP="007A5817">
                      <w:pPr>
                        <w:spacing w:line="276" w:lineRule="auto"/>
                        <w:jc w:val="right"/>
                        <w:rPr>
                          <w:rFonts w:asciiTheme="minorHAnsi" w:hAnsiTheme="minorHAnsi"/>
                          <w:color w:val="FFFFFF" w:themeColor="background1"/>
                          <w:sz w:val="22"/>
                          <w:lang w:val="es-AR"/>
                        </w:rPr>
                      </w:pPr>
                      <w:r w:rsidRPr="00732E35">
                        <w:rPr>
                          <w:rFonts w:asciiTheme="minorHAnsi" w:hAnsiTheme="minorHAnsi"/>
                          <w:color w:val="FFFFFF" w:themeColor="background1"/>
                          <w:sz w:val="22"/>
                          <w:lang w:val="es-AR"/>
                        </w:rPr>
                        <w:t>OEA/Ser.L/V/II</w:t>
                      </w:r>
                    </w:p>
                    <w:p w14:paraId="71D2D5D2" w14:textId="55331AA3" w:rsidR="00627C9F" w:rsidRPr="00732E35" w:rsidRDefault="00627C9F" w:rsidP="007A5817">
                      <w:pPr>
                        <w:spacing w:line="276" w:lineRule="auto"/>
                        <w:jc w:val="right"/>
                        <w:rPr>
                          <w:rFonts w:asciiTheme="minorHAnsi" w:hAnsiTheme="minorHAnsi"/>
                          <w:color w:val="FFFFFF" w:themeColor="background1"/>
                          <w:sz w:val="22"/>
                          <w:lang w:val="es-AR"/>
                        </w:rPr>
                      </w:pPr>
                      <w:r w:rsidRPr="00732E35">
                        <w:rPr>
                          <w:rFonts w:asciiTheme="minorHAnsi" w:hAnsiTheme="minorHAnsi"/>
                          <w:color w:val="FFFFFF" w:themeColor="background1"/>
                          <w:sz w:val="22"/>
                          <w:lang w:val="es-AR"/>
                        </w:rPr>
                        <w:t xml:space="preserve">Doc. </w:t>
                      </w:r>
                      <w:r w:rsidR="00893E53" w:rsidRPr="00732E35">
                        <w:rPr>
                          <w:rFonts w:asciiTheme="minorHAnsi" w:hAnsiTheme="minorHAnsi"/>
                          <w:color w:val="FFFFFF" w:themeColor="background1"/>
                          <w:sz w:val="22"/>
                          <w:lang w:val="es-AR"/>
                        </w:rPr>
                        <w:t>103</w:t>
                      </w:r>
                    </w:p>
                    <w:p w14:paraId="4061DBBD" w14:textId="07FD37BF" w:rsidR="00627C9F" w:rsidRPr="005A0DA4" w:rsidRDefault="00893E53"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29 junio</w:t>
                      </w:r>
                      <w:r w:rsidR="00627C9F" w:rsidRPr="005A0DA4">
                        <w:rPr>
                          <w:rFonts w:asciiTheme="minorHAnsi" w:hAnsiTheme="minorHAnsi"/>
                          <w:color w:val="FFFFFF" w:themeColor="background1"/>
                          <w:sz w:val="22"/>
                          <w:lang w:val="es-PA"/>
                        </w:rPr>
                        <w:t xml:space="preserve"> 20</w:t>
                      </w:r>
                      <w:r w:rsidR="00C23BA4" w:rsidRPr="005A0DA4">
                        <w:rPr>
                          <w:rFonts w:asciiTheme="minorHAnsi" w:hAnsiTheme="minorHAnsi"/>
                          <w:color w:val="FFFFFF" w:themeColor="background1"/>
                          <w:sz w:val="22"/>
                          <w:lang w:val="es-PA"/>
                        </w:rPr>
                        <w:t>2</w:t>
                      </w:r>
                      <w:r w:rsidR="00185CCD" w:rsidRPr="005A0DA4">
                        <w:rPr>
                          <w:rFonts w:asciiTheme="minorHAnsi" w:hAnsiTheme="minorHAnsi"/>
                          <w:color w:val="FFFFFF" w:themeColor="background1"/>
                          <w:sz w:val="22"/>
                          <w:lang w:val="es-PA"/>
                        </w:rPr>
                        <w:t>4</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5A0DA4">
                        <w:rPr>
                          <w:rFonts w:asciiTheme="minorHAnsi" w:hAnsiTheme="minorHAnsi"/>
                          <w:color w:val="FFFFFF" w:themeColor="background1"/>
                          <w:sz w:val="22"/>
                          <w:lang w:val="es-PA"/>
                        </w:rPr>
                        <w:t xml:space="preserve">Original: </w:t>
                      </w:r>
                      <w:r w:rsidR="008B12F5" w:rsidRPr="005A0DA4">
                        <w:rPr>
                          <w:rFonts w:asciiTheme="minorHAnsi" w:hAnsiTheme="minorHAnsi"/>
                          <w:color w:val="FFFFFF" w:themeColor="background1"/>
                          <w:sz w:val="22"/>
                          <w:lang w:val="es-PA"/>
                        </w:rPr>
                        <w:t>e</w:t>
                      </w:r>
                      <w:r w:rsidR="00627C9F" w:rsidRPr="005A0DA4">
                        <w:rPr>
                          <w:rFonts w:asciiTheme="minorHAnsi" w:hAnsiTheme="minorHAnsi"/>
                          <w:color w:val="FFFFFF" w:themeColor="background1"/>
                          <w:sz w:val="22"/>
                          <w:lang w:val="es-PA"/>
                        </w:rPr>
                        <w:t>spaño</w:t>
                      </w:r>
                      <w:r w:rsidR="00627C9F" w:rsidRPr="00C25ADB">
                        <w:rPr>
                          <w:rFonts w:asciiTheme="minorHAnsi" w:hAnsiTheme="minorHAnsi"/>
                          <w:color w:val="FFFFFF" w:themeColor="background1"/>
                          <w:sz w:val="22"/>
                          <w:lang w:val="es-PA"/>
                        </w:rPr>
                        <w:t>l</w:t>
                      </w:r>
                    </w:p>
                  </w:txbxContent>
                </v:textbox>
              </v:shape>
            </w:pict>
          </mc:Fallback>
        </mc:AlternateContent>
      </w:r>
    </w:p>
    <w:p w14:paraId="05E2386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4C90F2" wp14:editId="66CA1A20">
                <wp:simplePos x="0" y="0"/>
                <wp:positionH relativeFrom="column">
                  <wp:posOffset>1341755</wp:posOffset>
                </wp:positionH>
                <wp:positionV relativeFrom="paragraph">
                  <wp:posOffset>22860</wp:posOffset>
                </wp:positionV>
                <wp:extent cx="4933950" cy="664845"/>
                <wp:effectExtent l="0" t="0" r="0" b="0"/>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2A125516" w:rsidR="00DD3D86"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w:t>
                            </w:r>
                            <w:r w:rsidR="00893E53">
                              <w:rPr>
                                <w:rFonts w:asciiTheme="majorHAnsi" w:hAnsiTheme="majorHAnsi"/>
                                <w:color w:val="0D0D0D" w:themeColor="text1" w:themeTint="F2"/>
                                <w:sz w:val="18"/>
                                <w:szCs w:val="22"/>
                                <w:lang w:val="es-ES"/>
                              </w:rPr>
                              <w:t>29 de junio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185CCD">
                              <w:rPr>
                                <w:rFonts w:asciiTheme="majorHAnsi" w:hAnsiTheme="majorHAnsi"/>
                                <w:color w:val="0D0D0D" w:themeColor="text1" w:themeTint="F2"/>
                                <w:sz w:val="18"/>
                                <w:szCs w:val="22"/>
                                <w:lang w:val="es-ES"/>
                              </w:rPr>
                              <w:t>4</w:t>
                            </w:r>
                            <w:r w:rsidR="00893E53">
                              <w:rPr>
                                <w:rFonts w:asciiTheme="majorHAnsi" w:hAnsiTheme="majorHAnsi"/>
                                <w:color w:val="0D0D0D" w:themeColor="text1" w:themeTint="F2"/>
                                <w:sz w:val="18"/>
                                <w:szCs w:val="22"/>
                                <w:lang w:val="es-ES"/>
                              </w:rPr>
                              <w:t>.</w:t>
                            </w:r>
                          </w:p>
                          <w:p w14:paraId="631631A9" w14:textId="77777777" w:rsidR="00075502" w:rsidRPr="00890650" w:rsidRDefault="00075502" w:rsidP="00DD3D86">
                            <w:pPr>
                              <w:tabs>
                                <w:tab w:val="center" w:pos="5400"/>
                              </w:tabs>
                              <w:suppressAutoHyphens/>
                              <w:spacing w:before="60"/>
                              <w:rPr>
                                <w:rFonts w:asciiTheme="majorHAnsi" w:hAnsiTheme="majorHAnsi"/>
                                <w:color w:val="0D0D0D" w:themeColor="text1" w:themeTint="F2"/>
                                <w:sz w:val="18"/>
                                <w:szCs w:val="22"/>
                                <w:lang w:val="es-ES"/>
                              </w:rPr>
                            </w:pP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2A125516" w:rsidR="00DD3D86"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w:t>
                      </w:r>
                      <w:r w:rsidR="00893E53">
                        <w:rPr>
                          <w:rFonts w:asciiTheme="majorHAnsi" w:hAnsiTheme="majorHAnsi"/>
                          <w:color w:val="0D0D0D" w:themeColor="text1" w:themeTint="F2"/>
                          <w:sz w:val="18"/>
                          <w:szCs w:val="22"/>
                          <w:lang w:val="es-ES"/>
                        </w:rPr>
                        <w:t>29 de junio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185CCD">
                        <w:rPr>
                          <w:rFonts w:asciiTheme="majorHAnsi" w:hAnsiTheme="majorHAnsi"/>
                          <w:color w:val="0D0D0D" w:themeColor="text1" w:themeTint="F2"/>
                          <w:sz w:val="18"/>
                          <w:szCs w:val="22"/>
                          <w:lang w:val="es-ES"/>
                        </w:rPr>
                        <w:t>4</w:t>
                      </w:r>
                      <w:r w:rsidR="00893E53">
                        <w:rPr>
                          <w:rFonts w:asciiTheme="majorHAnsi" w:hAnsiTheme="majorHAnsi"/>
                          <w:color w:val="0D0D0D" w:themeColor="text1" w:themeTint="F2"/>
                          <w:sz w:val="18"/>
                          <w:szCs w:val="22"/>
                          <w:lang w:val="es-ES"/>
                        </w:rPr>
                        <w:t>.</w:t>
                      </w:r>
                    </w:p>
                    <w:p w14:paraId="631631A9" w14:textId="77777777" w:rsidR="00075502" w:rsidRPr="00890650" w:rsidRDefault="00075502" w:rsidP="00DD3D86">
                      <w:pPr>
                        <w:tabs>
                          <w:tab w:val="center" w:pos="5400"/>
                        </w:tabs>
                        <w:suppressAutoHyphens/>
                        <w:spacing w:before="60"/>
                        <w:rPr>
                          <w:rFonts w:asciiTheme="majorHAnsi" w:hAnsiTheme="majorHAnsi"/>
                          <w:color w:val="0D0D0D" w:themeColor="text1" w:themeTint="F2"/>
                          <w:sz w:val="18"/>
                          <w:szCs w:val="22"/>
                          <w:lang w:val="es-ES"/>
                        </w:rPr>
                      </w:pP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312D67" w14:textId="77777777" w:rsidR="00893E53"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893E53" w:rsidRPr="00893E53">
                              <w:rPr>
                                <w:rFonts w:asciiTheme="majorHAnsi" w:hAnsiTheme="majorHAnsi"/>
                                <w:color w:val="595959" w:themeColor="text1" w:themeTint="A6"/>
                                <w:sz w:val="18"/>
                                <w:szCs w:val="18"/>
                                <w:lang w:val="pt-BR"/>
                              </w:rPr>
                              <w:t>98</w:t>
                            </w:r>
                            <w:r w:rsidR="007B05C4" w:rsidRPr="00893E53">
                              <w:rPr>
                                <w:rFonts w:asciiTheme="majorHAnsi" w:hAnsiTheme="majorHAnsi"/>
                                <w:color w:val="595959" w:themeColor="text1" w:themeTint="A6"/>
                                <w:sz w:val="18"/>
                                <w:szCs w:val="18"/>
                                <w:lang w:val="pt-BR"/>
                              </w:rPr>
                              <w:t>/</w:t>
                            </w:r>
                            <w:r w:rsidR="00893E53" w:rsidRPr="00893E53">
                              <w:rPr>
                                <w:rFonts w:asciiTheme="majorHAnsi" w:hAnsiTheme="majorHAnsi"/>
                                <w:color w:val="595959" w:themeColor="text1" w:themeTint="A6"/>
                                <w:sz w:val="18"/>
                                <w:szCs w:val="18"/>
                                <w:lang w:val="pt-BR"/>
                              </w:rPr>
                              <w:t>24</w:t>
                            </w:r>
                            <w:r w:rsidRPr="00893E53">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185CCD">
                              <w:rPr>
                                <w:rFonts w:asciiTheme="majorHAnsi" w:hAnsiTheme="majorHAnsi"/>
                                <w:color w:val="595959" w:themeColor="text1" w:themeTint="A6"/>
                                <w:sz w:val="18"/>
                                <w:szCs w:val="18"/>
                                <w:lang w:val="es-ES"/>
                              </w:rPr>
                              <w:t>5</w:t>
                            </w:r>
                            <w:r w:rsidR="00FE363C">
                              <w:rPr>
                                <w:rFonts w:asciiTheme="majorHAnsi" w:hAnsiTheme="majorHAnsi"/>
                                <w:color w:val="595959" w:themeColor="text1" w:themeTint="A6"/>
                                <w:sz w:val="18"/>
                                <w:szCs w:val="18"/>
                                <w:lang w:val="es-ES"/>
                              </w:rPr>
                              <w:t>04-14</w:t>
                            </w:r>
                            <w:r w:rsidR="000433C9">
                              <w:rPr>
                                <w:rFonts w:asciiTheme="majorHAnsi" w:hAnsiTheme="majorHAnsi"/>
                                <w:color w:val="595959" w:themeColor="text1" w:themeTint="A6"/>
                                <w:sz w:val="18"/>
                                <w:szCs w:val="18"/>
                                <w:lang w:val="es-ES"/>
                              </w:rPr>
                              <w:t xml:space="preserve">. </w:t>
                            </w:r>
                            <w:r w:rsidR="007D3244">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 xml:space="preserve">dmisibilidad. </w:t>
                            </w:r>
                          </w:p>
                          <w:p w14:paraId="7FD77785" w14:textId="7202DFE0" w:rsidR="00113F73" w:rsidRPr="007B05C4" w:rsidRDefault="00B12977"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 xml:space="preserve">Carlos Sánchez Ríos </w:t>
                            </w:r>
                            <w:r w:rsidR="0024610A">
                              <w:rPr>
                                <w:rFonts w:asciiTheme="majorHAnsi" w:hAnsiTheme="majorHAnsi"/>
                                <w:color w:val="595959" w:themeColor="text1" w:themeTint="A6"/>
                                <w:sz w:val="18"/>
                                <w:szCs w:val="18"/>
                                <w:lang w:val="es-ES_tradnl"/>
                              </w:rPr>
                              <w:t>y otr</w:t>
                            </w:r>
                            <w:r>
                              <w:rPr>
                                <w:rFonts w:asciiTheme="majorHAnsi" w:hAnsiTheme="majorHAnsi"/>
                                <w:color w:val="595959" w:themeColor="text1" w:themeTint="A6"/>
                                <w:sz w:val="18"/>
                                <w:szCs w:val="18"/>
                                <w:lang w:val="es-ES_tradnl"/>
                              </w:rPr>
                              <w:t>o</w:t>
                            </w:r>
                            <w:r w:rsidR="0024610A">
                              <w:rPr>
                                <w:rFonts w:asciiTheme="majorHAnsi" w:hAnsiTheme="majorHAnsi"/>
                                <w:color w:val="595959" w:themeColor="text1" w:themeTint="A6"/>
                                <w:sz w:val="18"/>
                                <w:szCs w:val="18"/>
                                <w:lang w:val="es-ES_tradnl"/>
                              </w:rPr>
                              <w:t>s</w:t>
                            </w:r>
                            <w:r w:rsidR="00113F73" w:rsidRPr="00890650">
                              <w:rPr>
                                <w:rFonts w:asciiTheme="majorHAnsi" w:hAnsiTheme="majorHAnsi"/>
                                <w:color w:val="595959" w:themeColor="text1" w:themeTint="A6"/>
                                <w:sz w:val="18"/>
                                <w:szCs w:val="18"/>
                                <w:lang w:val="es-ES_tradnl"/>
                              </w:rPr>
                              <w:t xml:space="preserve">. </w:t>
                            </w:r>
                            <w:r w:rsidR="00185CCD">
                              <w:rPr>
                                <w:rFonts w:asciiTheme="majorHAnsi" w:hAnsiTheme="majorHAnsi"/>
                                <w:color w:val="595959" w:themeColor="text1" w:themeTint="A6"/>
                                <w:sz w:val="18"/>
                                <w:szCs w:val="18"/>
                                <w:lang w:val="es-ES_tradnl"/>
                              </w:rPr>
                              <w:t>México</w:t>
                            </w:r>
                            <w:r w:rsidR="00113F73" w:rsidRPr="00890650">
                              <w:rPr>
                                <w:rFonts w:asciiTheme="majorHAnsi" w:hAnsiTheme="majorHAnsi"/>
                                <w:color w:val="595959" w:themeColor="text1" w:themeTint="A6"/>
                                <w:sz w:val="18"/>
                                <w:szCs w:val="18"/>
                                <w:lang w:val="es-ES_tradnl"/>
                              </w:rPr>
                              <w:t xml:space="preserve">. </w:t>
                            </w:r>
                            <w:r w:rsidR="00893E53">
                              <w:rPr>
                                <w:rFonts w:asciiTheme="majorHAnsi" w:hAnsiTheme="majorHAnsi"/>
                                <w:color w:val="595959" w:themeColor="text1" w:themeTint="A6"/>
                                <w:sz w:val="18"/>
                                <w:szCs w:val="18"/>
                                <w:lang w:val="es-ES"/>
                              </w:rPr>
                              <w:t>29 de junio de 2024</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69312D67" w14:textId="77777777" w:rsidR="00893E53"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893E53" w:rsidRPr="00893E53">
                        <w:rPr>
                          <w:rFonts w:asciiTheme="majorHAnsi" w:hAnsiTheme="majorHAnsi"/>
                          <w:color w:val="595959" w:themeColor="text1" w:themeTint="A6"/>
                          <w:sz w:val="18"/>
                          <w:szCs w:val="18"/>
                          <w:lang w:val="pt-BR"/>
                        </w:rPr>
                        <w:t>98</w:t>
                      </w:r>
                      <w:r w:rsidR="007B05C4" w:rsidRPr="00893E53">
                        <w:rPr>
                          <w:rFonts w:asciiTheme="majorHAnsi" w:hAnsiTheme="majorHAnsi"/>
                          <w:color w:val="595959" w:themeColor="text1" w:themeTint="A6"/>
                          <w:sz w:val="18"/>
                          <w:szCs w:val="18"/>
                          <w:lang w:val="pt-BR"/>
                        </w:rPr>
                        <w:t>/</w:t>
                      </w:r>
                      <w:r w:rsidR="00893E53" w:rsidRPr="00893E53">
                        <w:rPr>
                          <w:rFonts w:asciiTheme="majorHAnsi" w:hAnsiTheme="majorHAnsi"/>
                          <w:color w:val="595959" w:themeColor="text1" w:themeTint="A6"/>
                          <w:sz w:val="18"/>
                          <w:szCs w:val="18"/>
                          <w:lang w:val="pt-BR"/>
                        </w:rPr>
                        <w:t>24</w:t>
                      </w:r>
                      <w:r w:rsidRPr="00893E53">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185CCD">
                        <w:rPr>
                          <w:rFonts w:asciiTheme="majorHAnsi" w:hAnsiTheme="majorHAnsi"/>
                          <w:color w:val="595959" w:themeColor="text1" w:themeTint="A6"/>
                          <w:sz w:val="18"/>
                          <w:szCs w:val="18"/>
                          <w:lang w:val="es-ES"/>
                        </w:rPr>
                        <w:t>5</w:t>
                      </w:r>
                      <w:r w:rsidR="00FE363C">
                        <w:rPr>
                          <w:rFonts w:asciiTheme="majorHAnsi" w:hAnsiTheme="majorHAnsi"/>
                          <w:color w:val="595959" w:themeColor="text1" w:themeTint="A6"/>
                          <w:sz w:val="18"/>
                          <w:szCs w:val="18"/>
                          <w:lang w:val="es-ES"/>
                        </w:rPr>
                        <w:t>04-14</w:t>
                      </w:r>
                      <w:r w:rsidR="000433C9">
                        <w:rPr>
                          <w:rFonts w:asciiTheme="majorHAnsi" w:hAnsiTheme="majorHAnsi"/>
                          <w:color w:val="595959" w:themeColor="text1" w:themeTint="A6"/>
                          <w:sz w:val="18"/>
                          <w:szCs w:val="18"/>
                          <w:lang w:val="es-ES"/>
                        </w:rPr>
                        <w:t xml:space="preserve">. </w:t>
                      </w:r>
                      <w:r w:rsidR="007D3244">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 xml:space="preserve">dmisibilidad. </w:t>
                      </w:r>
                    </w:p>
                    <w:p w14:paraId="7FD77785" w14:textId="7202DFE0" w:rsidR="00113F73" w:rsidRPr="007B05C4" w:rsidRDefault="00B12977"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 xml:space="preserve">Carlos Sánchez Ríos </w:t>
                      </w:r>
                      <w:r w:rsidR="0024610A">
                        <w:rPr>
                          <w:rFonts w:asciiTheme="majorHAnsi" w:hAnsiTheme="majorHAnsi"/>
                          <w:color w:val="595959" w:themeColor="text1" w:themeTint="A6"/>
                          <w:sz w:val="18"/>
                          <w:szCs w:val="18"/>
                          <w:lang w:val="es-ES_tradnl"/>
                        </w:rPr>
                        <w:t>y otr</w:t>
                      </w:r>
                      <w:r>
                        <w:rPr>
                          <w:rFonts w:asciiTheme="majorHAnsi" w:hAnsiTheme="majorHAnsi"/>
                          <w:color w:val="595959" w:themeColor="text1" w:themeTint="A6"/>
                          <w:sz w:val="18"/>
                          <w:szCs w:val="18"/>
                          <w:lang w:val="es-ES_tradnl"/>
                        </w:rPr>
                        <w:t>o</w:t>
                      </w:r>
                      <w:r w:rsidR="0024610A">
                        <w:rPr>
                          <w:rFonts w:asciiTheme="majorHAnsi" w:hAnsiTheme="majorHAnsi"/>
                          <w:color w:val="595959" w:themeColor="text1" w:themeTint="A6"/>
                          <w:sz w:val="18"/>
                          <w:szCs w:val="18"/>
                          <w:lang w:val="es-ES_tradnl"/>
                        </w:rPr>
                        <w:t>s</w:t>
                      </w:r>
                      <w:r w:rsidR="00113F73" w:rsidRPr="00890650">
                        <w:rPr>
                          <w:rFonts w:asciiTheme="majorHAnsi" w:hAnsiTheme="majorHAnsi"/>
                          <w:color w:val="595959" w:themeColor="text1" w:themeTint="A6"/>
                          <w:sz w:val="18"/>
                          <w:szCs w:val="18"/>
                          <w:lang w:val="es-ES_tradnl"/>
                        </w:rPr>
                        <w:t xml:space="preserve">. </w:t>
                      </w:r>
                      <w:r w:rsidR="00185CCD">
                        <w:rPr>
                          <w:rFonts w:asciiTheme="majorHAnsi" w:hAnsiTheme="majorHAnsi"/>
                          <w:color w:val="595959" w:themeColor="text1" w:themeTint="A6"/>
                          <w:sz w:val="18"/>
                          <w:szCs w:val="18"/>
                          <w:lang w:val="es-ES_tradnl"/>
                        </w:rPr>
                        <w:t>México</w:t>
                      </w:r>
                      <w:r w:rsidR="00113F73" w:rsidRPr="00890650">
                        <w:rPr>
                          <w:rFonts w:asciiTheme="majorHAnsi" w:hAnsiTheme="majorHAnsi"/>
                          <w:color w:val="595959" w:themeColor="text1" w:themeTint="A6"/>
                          <w:sz w:val="18"/>
                          <w:szCs w:val="18"/>
                          <w:lang w:val="es-ES_tradnl"/>
                        </w:rPr>
                        <w:t xml:space="preserve">. </w:t>
                      </w:r>
                      <w:r w:rsidR="00893E53">
                        <w:rPr>
                          <w:rFonts w:asciiTheme="majorHAnsi" w:hAnsiTheme="majorHAnsi"/>
                          <w:color w:val="595959" w:themeColor="text1" w:themeTint="A6"/>
                          <w:sz w:val="18"/>
                          <w:szCs w:val="18"/>
                          <w:lang w:val="es-ES"/>
                        </w:rPr>
                        <w:t>29 de junio de 2024</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9396CC" w14:textId="1B3478F7"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BBB9917" wp14:editId="027F433C">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47116C94" w:rsidR="0070697F" w:rsidRDefault="002D6322" w:rsidP="005516A1">
      <w:pPr>
        <w:tabs>
          <w:tab w:val="center" w:pos="5400"/>
        </w:tabs>
        <w:suppressAutoHyphens/>
        <w:jc w:val="center"/>
        <w:rPr>
          <w:rFonts w:asciiTheme="majorHAnsi" w:hAnsiTheme="majorHAnsi"/>
          <w:b/>
          <w:sz w:val="20"/>
          <w:lang w:val="es-ES_tradnl"/>
        </w:rPr>
        <w:sectPr w:rsidR="0070697F" w:rsidSect="009D0CC3">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D37EBA2" wp14:editId="7899C3BF">
                <wp:simplePos x="0" y="0"/>
                <wp:positionH relativeFrom="column">
                  <wp:posOffset>1310640</wp:posOffset>
                </wp:positionH>
                <wp:positionV relativeFrom="paragraph">
                  <wp:posOffset>524673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3.2pt;margin-top:41.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2786EE58"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647" w:type="dxa"/>
            <w:vAlign w:val="center"/>
          </w:tcPr>
          <w:p w14:paraId="07DAAE2E" w14:textId="0DD70334" w:rsidR="003239B8" w:rsidRPr="000D05CB" w:rsidRDefault="00F655B7" w:rsidP="008D2290">
            <w:pPr>
              <w:jc w:val="both"/>
              <w:rPr>
                <w:rFonts w:ascii="Cambria" w:hAnsi="Cambria"/>
                <w:bCs/>
                <w:sz w:val="20"/>
                <w:szCs w:val="20"/>
              </w:rPr>
            </w:pPr>
            <w:r w:rsidRPr="00F655B7">
              <w:rPr>
                <w:rFonts w:ascii="Cambria" w:hAnsi="Cambria"/>
                <w:bCs/>
                <w:sz w:val="20"/>
                <w:szCs w:val="20"/>
              </w:rPr>
              <w:t>Carlos Sánchez Ríos</w:t>
            </w:r>
          </w:p>
        </w:tc>
      </w:tr>
      <w:tr w:rsidR="003239B8" w:rsidRPr="00732E35"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77777777" w:rsidR="003239B8" w:rsidRPr="000D05CB" w:rsidRDefault="005B491C"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647" w:type="dxa"/>
            <w:vAlign w:val="center"/>
          </w:tcPr>
          <w:p w14:paraId="143D44A8" w14:textId="7FF18B03" w:rsidR="003239B8" w:rsidRPr="0066614D" w:rsidRDefault="00F655B7" w:rsidP="008D2290">
            <w:pPr>
              <w:jc w:val="both"/>
              <w:rPr>
                <w:rFonts w:ascii="Cambria" w:hAnsi="Cambria"/>
                <w:bCs/>
                <w:sz w:val="20"/>
                <w:szCs w:val="20"/>
                <w:lang w:val="es-ES"/>
              </w:rPr>
            </w:pPr>
            <w:r w:rsidRPr="0066614D">
              <w:rPr>
                <w:rFonts w:ascii="Cambria" w:hAnsi="Cambria"/>
                <w:bCs/>
                <w:sz w:val="20"/>
                <w:szCs w:val="20"/>
                <w:lang w:val="es-ES"/>
              </w:rPr>
              <w:t>Carlos Sánchez Ríos, Felipe Sánchez Román y María Guadalupe Román Delgado</w:t>
            </w:r>
          </w:p>
        </w:tc>
      </w:tr>
      <w:tr w:rsidR="003239B8"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647" w:type="dxa"/>
            <w:vAlign w:val="center"/>
          </w:tcPr>
          <w:p w14:paraId="5D0EC05D" w14:textId="031B9B27" w:rsidR="003239B8" w:rsidRPr="000D05CB" w:rsidRDefault="0024610A" w:rsidP="008D2290">
            <w:pPr>
              <w:jc w:val="both"/>
              <w:rPr>
                <w:rFonts w:ascii="Cambria" w:hAnsi="Cambria"/>
                <w:bCs/>
                <w:sz w:val="20"/>
                <w:szCs w:val="20"/>
              </w:rPr>
            </w:pPr>
            <w:r w:rsidRPr="003A546B">
              <w:rPr>
                <w:rFonts w:asciiTheme="majorHAnsi" w:hAnsiTheme="majorHAnsi"/>
                <w:bCs/>
                <w:sz w:val="20"/>
                <w:szCs w:val="20"/>
              </w:rPr>
              <w:t>México</w:t>
            </w:r>
            <w:r w:rsidRPr="003A546B">
              <w:rPr>
                <w:rStyle w:val="FootnoteReference"/>
                <w:rFonts w:asciiTheme="majorHAnsi" w:hAnsiTheme="majorHAnsi"/>
                <w:bCs/>
                <w:sz w:val="20"/>
                <w:szCs w:val="20"/>
              </w:rPr>
              <w:footnoteReference w:id="2"/>
            </w:r>
          </w:p>
        </w:tc>
      </w:tr>
      <w:tr w:rsidR="00223A29" w:rsidRPr="00732E35"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647" w:type="dxa"/>
            <w:vAlign w:val="center"/>
          </w:tcPr>
          <w:p w14:paraId="52B28392" w14:textId="6219AF34" w:rsidR="00223A29" w:rsidRPr="00876492" w:rsidRDefault="00876492" w:rsidP="008D2290">
            <w:pPr>
              <w:jc w:val="both"/>
              <w:rPr>
                <w:rFonts w:ascii="Cambria" w:hAnsi="Cambria"/>
                <w:bCs/>
                <w:sz w:val="20"/>
                <w:szCs w:val="20"/>
                <w:lang w:val="es-ES"/>
              </w:rPr>
            </w:pPr>
            <w:r w:rsidRPr="000E4DC4">
              <w:rPr>
                <w:rFonts w:asciiTheme="majorHAnsi" w:hAnsiTheme="majorHAnsi"/>
                <w:bCs/>
                <w:sz w:val="20"/>
                <w:szCs w:val="20"/>
                <w:lang w:val="es-ES_tradnl"/>
              </w:rPr>
              <w:t>Artículos</w:t>
            </w:r>
            <w:r w:rsidRPr="00690CAD">
              <w:rPr>
                <w:rFonts w:asciiTheme="majorHAnsi" w:hAnsiTheme="majorHAnsi"/>
                <w:bCs/>
                <w:sz w:val="20"/>
                <w:szCs w:val="20"/>
                <w:lang w:val="es-ES_tradnl"/>
              </w:rPr>
              <w:t xml:space="preserve"> 5 (integridad personal), </w:t>
            </w:r>
            <w:r w:rsidR="00996D06">
              <w:rPr>
                <w:rFonts w:asciiTheme="majorHAnsi" w:hAnsiTheme="majorHAnsi"/>
                <w:bCs/>
                <w:sz w:val="20"/>
                <w:szCs w:val="20"/>
                <w:lang w:val="es-ES_tradnl"/>
              </w:rPr>
              <w:t>7 (</w:t>
            </w:r>
            <w:r w:rsidR="0066614D">
              <w:rPr>
                <w:rFonts w:asciiTheme="majorHAnsi" w:hAnsiTheme="majorHAnsi"/>
                <w:bCs/>
                <w:sz w:val="20"/>
                <w:szCs w:val="20"/>
                <w:lang w:val="es-ES_tradnl"/>
              </w:rPr>
              <w:t>libertad</w:t>
            </w:r>
            <w:r w:rsidR="00996D06">
              <w:rPr>
                <w:rFonts w:asciiTheme="majorHAnsi" w:hAnsiTheme="majorHAnsi"/>
                <w:bCs/>
                <w:sz w:val="20"/>
                <w:szCs w:val="20"/>
                <w:lang w:val="es-ES_tradnl"/>
              </w:rPr>
              <w:t xml:space="preserve"> personal), </w:t>
            </w:r>
            <w:r w:rsidRPr="00690CAD">
              <w:rPr>
                <w:rFonts w:asciiTheme="majorHAnsi" w:hAnsiTheme="majorHAnsi"/>
                <w:bCs/>
                <w:sz w:val="20"/>
                <w:szCs w:val="20"/>
                <w:lang w:val="es-ES_tradnl"/>
              </w:rPr>
              <w:t xml:space="preserve">8 (garantías judiciales), </w:t>
            </w:r>
            <w:r w:rsidR="00097537">
              <w:rPr>
                <w:rFonts w:asciiTheme="majorHAnsi" w:hAnsiTheme="majorHAnsi"/>
                <w:bCs/>
                <w:sz w:val="20"/>
                <w:szCs w:val="20"/>
                <w:lang w:val="es-ES_tradnl"/>
              </w:rPr>
              <w:t xml:space="preserve">10 (derecho a indemnización), </w:t>
            </w:r>
            <w:r w:rsidR="00996D06">
              <w:rPr>
                <w:rFonts w:asciiTheme="majorHAnsi" w:hAnsiTheme="majorHAnsi"/>
                <w:bCs/>
                <w:sz w:val="20"/>
                <w:szCs w:val="20"/>
                <w:lang w:val="es-ES_tradnl"/>
              </w:rPr>
              <w:t xml:space="preserve">17 (protección a la familia), 19 (derechos del niño), </w:t>
            </w:r>
            <w:r w:rsidR="00097537">
              <w:rPr>
                <w:rFonts w:asciiTheme="majorHAnsi" w:hAnsiTheme="majorHAnsi"/>
                <w:bCs/>
                <w:sz w:val="20"/>
                <w:szCs w:val="20"/>
                <w:lang w:val="es-ES_tradnl"/>
              </w:rPr>
              <w:t>2</w:t>
            </w:r>
            <w:r w:rsidR="00550AD8">
              <w:rPr>
                <w:rFonts w:asciiTheme="majorHAnsi" w:hAnsiTheme="majorHAnsi"/>
                <w:bCs/>
                <w:sz w:val="20"/>
                <w:szCs w:val="20"/>
                <w:lang w:val="es-ES_tradnl"/>
              </w:rPr>
              <w:t>1 (</w:t>
            </w:r>
            <w:r w:rsidR="00097537">
              <w:rPr>
                <w:rFonts w:asciiTheme="majorHAnsi" w:hAnsiTheme="majorHAnsi"/>
                <w:bCs/>
                <w:sz w:val="20"/>
                <w:szCs w:val="20"/>
                <w:lang w:val="es-ES_tradnl"/>
              </w:rPr>
              <w:t>derecho a la propiedad privada</w:t>
            </w:r>
            <w:r w:rsidR="006D1AC4">
              <w:rPr>
                <w:rFonts w:asciiTheme="majorHAnsi" w:hAnsiTheme="majorHAnsi"/>
                <w:bCs/>
                <w:sz w:val="20"/>
                <w:szCs w:val="20"/>
                <w:lang w:val="es-ES_tradnl"/>
              </w:rPr>
              <w:t>),</w:t>
            </w:r>
            <w:r w:rsidR="00097537">
              <w:rPr>
                <w:rFonts w:asciiTheme="majorHAnsi" w:hAnsiTheme="majorHAnsi"/>
                <w:bCs/>
                <w:sz w:val="20"/>
                <w:szCs w:val="20"/>
                <w:lang w:val="es-ES_tradnl"/>
              </w:rPr>
              <w:t xml:space="preserve"> </w:t>
            </w:r>
            <w:r w:rsidR="006D1AC4" w:rsidRPr="00996D06">
              <w:rPr>
                <w:rFonts w:asciiTheme="majorHAnsi" w:hAnsiTheme="majorHAnsi"/>
                <w:bCs/>
                <w:sz w:val="20"/>
                <w:szCs w:val="20"/>
                <w:lang w:val="es-ES_tradnl"/>
              </w:rPr>
              <w:t>24 (igualdad ante la ley),</w:t>
            </w:r>
            <w:r w:rsidRPr="00690CAD">
              <w:rPr>
                <w:rFonts w:asciiTheme="majorHAnsi" w:hAnsiTheme="majorHAnsi"/>
                <w:bCs/>
                <w:sz w:val="20"/>
                <w:szCs w:val="20"/>
                <w:lang w:val="es-ES_tradnl"/>
              </w:rPr>
              <w:t xml:space="preserve"> 25 (protección judicial)</w:t>
            </w:r>
            <w:r w:rsidR="00996D06">
              <w:rPr>
                <w:rFonts w:asciiTheme="majorHAnsi" w:hAnsiTheme="majorHAnsi"/>
                <w:bCs/>
                <w:sz w:val="20"/>
                <w:szCs w:val="20"/>
                <w:lang w:val="es-ES_tradnl"/>
              </w:rPr>
              <w:t xml:space="preserve"> y </w:t>
            </w:r>
            <w:r w:rsidR="00996D06" w:rsidRPr="00836B26">
              <w:rPr>
                <w:rFonts w:asciiTheme="majorHAnsi" w:hAnsiTheme="majorHAnsi"/>
                <w:bCs/>
                <w:sz w:val="20"/>
                <w:szCs w:val="20"/>
                <w:lang w:val="es-ES_tradnl"/>
              </w:rPr>
              <w:t>26 (</w:t>
            </w:r>
            <w:r w:rsidR="00206795" w:rsidRPr="00836B26">
              <w:rPr>
                <w:rFonts w:asciiTheme="majorHAnsi" w:hAnsiTheme="majorHAnsi"/>
                <w:bCs/>
                <w:sz w:val="20"/>
                <w:szCs w:val="20"/>
                <w:lang w:val="es-ES"/>
              </w:rPr>
              <w:t>derechos</w:t>
            </w:r>
            <w:r w:rsidR="00996D06" w:rsidRPr="00836B26">
              <w:rPr>
                <w:rFonts w:asciiTheme="majorHAnsi" w:hAnsiTheme="majorHAnsi"/>
                <w:bCs/>
                <w:sz w:val="20"/>
                <w:szCs w:val="20"/>
                <w:lang w:val="es-ES"/>
              </w:rPr>
              <w:t xml:space="preserve"> económicos, sociales y culturales</w:t>
            </w:r>
            <w:r w:rsidR="00B12977">
              <w:rPr>
                <w:rFonts w:asciiTheme="majorHAnsi" w:hAnsiTheme="majorHAnsi"/>
                <w:bCs/>
                <w:sz w:val="20"/>
                <w:szCs w:val="20"/>
                <w:lang w:val="es-ES"/>
              </w:rPr>
              <w:t>)</w:t>
            </w:r>
            <w:r w:rsidRPr="00690CAD">
              <w:rPr>
                <w:rFonts w:asciiTheme="majorHAnsi" w:hAnsiTheme="majorHAnsi"/>
                <w:bCs/>
                <w:sz w:val="20"/>
                <w:szCs w:val="20"/>
                <w:lang w:val="es-ES_tradnl"/>
              </w:rPr>
              <w:t xml:space="preserve"> de la Convención Americana sobre Derechos Humanos</w:t>
            </w:r>
            <w:r w:rsidRPr="00690CAD">
              <w:rPr>
                <w:rFonts w:asciiTheme="majorHAnsi" w:hAnsiTheme="majorHAnsi"/>
                <w:bCs/>
                <w:sz w:val="20"/>
                <w:szCs w:val="20"/>
                <w:vertAlign w:val="superscript"/>
                <w:lang w:val="es-ES_tradnl"/>
              </w:rPr>
              <w:footnoteReference w:id="3"/>
            </w:r>
            <w:r w:rsidRPr="00690CAD">
              <w:rPr>
                <w:rFonts w:asciiTheme="majorHAnsi" w:hAnsiTheme="majorHAnsi"/>
                <w:bCs/>
                <w:sz w:val="20"/>
                <w:szCs w:val="20"/>
                <w:lang w:val="es-ES_tradnl"/>
              </w:rPr>
              <w:t xml:space="preserve">, en relación con su artículo 1.1 (obligación de respetar los derechos) </w:t>
            </w:r>
          </w:p>
        </w:tc>
      </w:tr>
    </w:tbl>
    <w:p w14:paraId="176FB213"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E3484D"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647" w:type="dxa"/>
            <w:vAlign w:val="center"/>
          </w:tcPr>
          <w:p w14:paraId="6883A5F8" w14:textId="102F4D89" w:rsidR="004C2312" w:rsidRPr="003239B8" w:rsidRDefault="00F655B7" w:rsidP="002625EA">
            <w:pPr>
              <w:jc w:val="both"/>
              <w:rPr>
                <w:rFonts w:ascii="Cambria" w:hAnsi="Cambria"/>
                <w:bCs/>
                <w:sz w:val="20"/>
                <w:szCs w:val="20"/>
                <w:lang w:val="es-ES"/>
              </w:rPr>
            </w:pPr>
            <w:r>
              <w:rPr>
                <w:rFonts w:ascii="Cambria" w:hAnsi="Cambria"/>
                <w:bCs/>
                <w:sz w:val="20"/>
                <w:szCs w:val="20"/>
                <w:lang w:val="es-ES"/>
              </w:rPr>
              <w:t xml:space="preserve">8 de abril </w:t>
            </w:r>
            <w:r w:rsidR="00E3484D">
              <w:rPr>
                <w:rFonts w:ascii="Cambria" w:hAnsi="Cambria"/>
                <w:bCs/>
                <w:sz w:val="20"/>
                <w:szCs w:val="20"/>
                <w:lang w:val="es-ES"/>
              </w:rPr>
              <w:t>de 2014</w:t>
            </w:r>
            <w:r w:rsidR="00480EE6">
              <w:rPr>
                <w:rStyle w:val="FootnoteReference"/>
                <w:rFonts w:ascii="Cambria" w:hAnsi="Cambria"/>
                <w:bCs/>
                <w:sz w:val="20"/>
                <w:szCs w:val="20"/>
                <w:lang w:val="es-ES"/>
              </w:rPr>
              <w:footnoteReference w:id="5"/>
            </w:r>
          </w:p>
        </w:tc>
      </w:tr>
      <w:tr w:rsidR="00131425" w:rsidRPr="007F20D4" w14:paraId="54F62341" w14:textId="77777777" w:rsidTr="00394073">
        <w:tc>
          <w:tcPr>
            <w:tcW w:w="3600" w:type="dxa"/>
            <w:tcBorders>
              <w:top w:val="single" w:sz="6" w:space="0" w:color="auto"/>
              <w:bottom w:val="single" w:sz="6" w:space="0" w:color="auto"/>
            </w:tcBorders>
            <w:shd w:val="clear" w:color="auto" w:fill="386294"/>
            <w:vAlign w:val="center"/>
          </w:tcPr>
          <w:p w14:paraId="48CC6F04" w14:textId="77777777"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647" w:type="dxa"/>
            <w:vAlign w:val="center"/>
          </w:tcPr>
          <w:p w14:paraId="65CBC29E" w14:textId="763407C8" w:rsidR="00131425" w:rsidRPr="003239B8" w:rsidRDefault="00936653" w:rsidP="002625EA">
            <w:pPr>
              <w:jc w:val="both"/>
              <w:rPr>
                <w:rFonts w:ascii="Cambria" w:hAnsi="Cambria"/>
                <w:bCs/>
                <w:sz w:val="20"/>
                <w:szCs w:val="20"/>
                <w:lang w:val="es-ES"/>
              </w:rPr>
            </w:pPr>
            <w:r>
              <w:rPr>
                <w:rFonts w:ascii="Cambria" w:hAnsi="Cambria"/>
                <w:bCs/>
                <w:sz w:val="20"/>
                <w:szCs w:val="20"/>
                <w:lang w:val="es-ES"/>
              </w:rPr>
              <w:t>22 de octubre de 2020</w:t>
            </w:r>
            <w:r>
              <w:rPr>
                <w:rStyle w:val="FootnoteReference"/>
                <w:rFonts w:ascii="Cambria" w:hAnsi="Cambria"/>
                <w:bCs/>
                <w:sz w:val="20"/>
                <w:szCs w:val="20"/>
                <w:lang w:val="es-ES"/>
              </w:rPr>
              <w:footnoteReference w:id="6"/>
            </w:r>
            <w:r w:rsidR="0024610A">
              <w:rPr>
                <w:rFonts w:ascii="Cambria" w:hAnsi="Cambria"/>
                <w:bCs/>
                <w:sz w:val="20"/>
                <w:szCs w:val="20"/>
                <w:lang w:val="es-ES"/>
              </w:rPr>
              <w:t xml:space="preserve"> </w:t>
            </w:r>
          </w:p>
        </w:tc>
      </w:tr>
      <w:tr w:rsidR="004C2312" w:rsidRPr="00394073"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647" w:type="dxa"/>
            <w:vAlign w:val="center"/>
          </w:tcPr>
          <w:p w14:paraId="58485921" w14:textId="5E4263A6" w:rsidR="004C2312" w:rsidRPr="003239B8" w:rsidRDefault="00E87575" w:rsidP="008D2290">
            <w:pPr>
              <w:jc w:val="both"/>
              <w:rPr>
                <w:rFonts w:ascii="Cambria" w:hAnsi="Cambria"/>
                <w:bCs/>
                <w:sz w:val="20"/>
                <w:szCs w:val="20"/>
                <w:lang w:val="es-ES"/>
              </w:rPr>
            </w:pPr>
            <w:r>
              <w:rPr>
                <w:rFonts w:ascii="Cambria" w:hAnsi="Cambria"/>
                <w:bCs/>
                <w:sz w:val="20"/>
                <w:szCs w:val="20"/>
                <w:lang w:val="es-ES"/>
              </w:rPr>
              <w:t>30 de octubre de 2020</w:t>
            </w:r>
          </w:p>
        </w:tc>
      </w:tr>
      <w:tr w:rsidR="004C2312" w:rsidRPr="004A6A54"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647" w:type="dxa"/>
            <w:vAlign w:val="center"/>
          </w:tcPr>
          <w:p w14:paraId="6B47064C" w14:textId="7F114075" w:rsidR="004C2312" w:rsidRPr="003239B8" w:rsidRDefault="00E87575" w:rsidP="008D2290">
            <w:pPr>
              <w:jc w:val="both"/>
              <w:rPr>
                <w:rFonts w:ascii="Cambria" w:hAnsi="Cambria"/>
                <w:bCs/>
                <w:sz w:val="20"/>
                <w:szCs w:val="20"/>
                <w:lang w:val="es-ES"/>
              </w:rPr>
            </w:pPr>
            <w:r>
              <w:rPr>
                <w:rFonts w:ascii="Cambria" w:hAnsi="Cambria"/>
                <w:bCs/>
                <w:sz w:val="20"/>
                <w:szCs w:val="20"/>
                <w:lang w:val="es-ES"/>
              </w:rPr>
              <w:t>29 de noviembre de 2021</w:t>
            </w:r>
            <w:r>
              <w:rPr>
                <w:rStyle w:val="FootnoteReference"/>
                <w:rFonts w:ascii="Cambria" w:hAnsi="Cambria"/>
                <w:bCs/>
                <w:sz w:val="20"/>
                <w:szCs w:val="20"/>
                <w:lang w:val="es-ES"/>
              </w:rPr>
              <w:footnoteReference w:id="7"/>
            </w:r>
          </w:p>
        </w:tc>
      </w:tr>
      <w:tr w:rsidR="001E49E7" w:rsidRPr="00732E35" w14:paraId="0F2C6E3B" w14:textId="77777777" w:rsidTr="00394073">
        <w:tc>
          <w:tcPr>
            <w:tcW w:w="3600" w:type="dxa"/>
            <w:tcBorders>
              <w:top w:val="single" w:sz="6" w:space="0" w:color="auto"/>
              <w:bottom w:val="single" w:sz="6" w:space="0" w:color="auto"/>
            </w:tcBorders>
            <w:shd w:val="clear" w:color="auto" w:fill="386294"/>
            <w:vAlign w:val="center"/>
          </w:tcPr>
          <w:p w14:paraId="23F9FF77" w14:textId="77777777" w:rsidR="001E49E7" w:rsidRPr="003239B8" w:rsidRDefault="004A6A54" w:rsidP="00DD4AD2">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A</w:t>
            </w:r>
            <w:r w:rsidR="001E49E7" w:rsidRPr="003239B8">
              <w:rPr>
                <w:rFonts w:ascii="Cambria" w:hAnsi="Cambria"/>
                <w:b/>
                <w:bCs/>
                <w:color w:val="FFFFFF" w:themeColor="background1"/>
                <w:sz w:val="20"/>
                <w:szCs w:val="20"/>
                <w:lang w:val="es-ES"/>
              </w:rPr>
              <w:t>dvertencia sobre posible archivo:</w:t>
            </w:r>
          </w:p>
        </w:tc>
        <w:tc>
          <w:tcPr>
            <w:tcW w:w="5647" w:type="dxa"/>
            <w:vAlign w:val="center"/>
          </w:tcPr>
          <w:p w14:paraId="48CA2CFB" w14:textId="0EF2AE28" w:rsidR="001E49E7" w:rsidRPr="003239B8" w:rsidRDefault="00F655B7" w:rsidP="002625EA">
            <w:pPr>
              <w:jc w:val="both"/>
              <w:rPr>
                <w:rFonts w:ascii="Cambria" w:hAnsi="Cambria"/>
                <w:bCs/>
                <w:sz w:val="20"/>
                <w:szCs w:val="20"/>
                <w:lang w:val="es-ES"/>
              </w:rPr>
            </w:pPr>
            <w:r>
              <w:rPr>
                <w:rFonts w:ascii="Cambria" w:hAnsi="Cambria"/>
                <w:bCs/>
                <w:sz w:val="20"/>
                <w:szCs w:val="20"/>
                <w:lang w:val="es-ES"/>
              </w:rPr>
              <w:t xml:space="preserve">15 de agosto de 2018 y </w:t>
            </w:r>
            <w:r w:rsidR="00936653">
              <w:rPr>
                <w:rFonts w:ascii="Cambria" w:hAnsi="Cambria"/>
                <w:bCs/>
                <w:sz w:val="20"/>
                <w:szCs w:val="20"/>
                <w:lang w:val="es-ES"/>
              </w:rPr>
              <w:t>28 de noviembre de 2023</w:t>
            </w:r>
          </w:p>
        </w:tc>
      </w:tr>
      <w:tr w:rsidR="001E49E7" w:rsidRPr="00732E35" w14:paraId="1EC61DBE" w14:textId="77777777" w:rsidTr="00394073">
        <w:tc>
          <w:tcPr>
            <w:tcW w:w="3600" w:type="dxa"/>
            <w:tcBorders>
              <w:top w:val="single" w:sz="6" w:space="0" w:color="auto"/>
              <w:bottom w:val="single" w:sz="6" w:space="0" w:color="auto"/>
            </w:tcBorders>
            <w:shd w:val="clear" w:color="auto" w:fill="386294"/>
            <w:vAlign w:val="center"/>
          </w:tcPr>
          <w:p w14:paraId="368D8721" w14:textId="77777777" w:rsidR="001E49E7"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R</w:t>
            </w:r>
            <w:r w:rsidR="001E49E7" w:rsidRPr="003239B8">
              <w:rPr>
                <w:rFonts w:ascii="Cambria" w:hAnsi="Cambria"/>
                <w:b/>
                <w:bCs/>
                <w:color w:val="FFFFFF" w:themeColor="background1"/>
                <w:sz w:val="20"/>
                <w:szCs w:val="20"/>
                <w:lang w:val="es-ES"/>
              </w:rPr>
              <w:t xml:space="preserve">espuesta de la parte peticionaria ante advertencia </w:t>
            </w:r>
            <w:r w:rsidR="00DD4AD2">
              <w:rPr>
                <w:rFonts w:ascii="Cambria" w:hAnsi="Cambria"/>
                <w:b/>
                <w:bCs/>
                <w:color w:val="FFFFFF" w:themeColor="background1"/>
                <w:sz w:val="20"/>
                <w:szCs w:val="20"/>
                <w:lang w:val="es-ES"/>
              </w:rPr>
              <w:t xml:space="preserve">de </w:t>
            </w:r>
            <w:r w:rsidR="001E49E7" w:rsidRPr="003239B8">
              <w:rPr>
                <w:rFonts w:ascii="Cambria" w:hAnsi="Cambria"/>
                <w:b/>
                <w:bCs/>
                <w:color w:val="FFFFFF" w:themeColor="background1"/>
                <w:sz w:val="20"/>
                <w:szCs w:val="20"/>
                <w:lang w:val="es-ES"/>
              </w:rPr>
              <w:t>posible archivo:</w:t>
            </w:r>
          </w:p>
        </w:tc>
        <w:tc>
          <w:tcPr>
            <w:tcW w:w="5647" w:type="dxa"/>
            <w:vAlign w:val="center"/>
          </w:tcPr>
          <w:p w14:paraId="6E85D194" w14:textId="59A09ED9" w:rsidR="001E49E7" w:rsidRPr="003239B8" w:rsidRDefault="00933A61" w:rsidP="002625EA">
            <w:pPr>
              <w:jc w:val="both"/>
              <w:rPr>
                <w:rFonts w:ascii="Cambria" w:hAnsi="Cambria"/>
                <w:bCs/>
                <w:sz w:val="20"/>
                <w:szCs w:val="20"/>
                <w:lang w:val="es-ES"/>
              </w:rPr>
            </w:pPr>
            <w:r>
              <w:rPr>
                <w:rFonts w:ascii="Cambria" w:hAnsi="Cambria"/>
                <w:bCs/>
                <w:sz w:val="20"/>
                <w:szCs w:val="20"/>
                <w:lang w:val="es-ES"/>
              </w:rPr>
              <w:t>2 de octubre de 2020</w:t>
            </w:r>
            <w:r>
              <w:rPr>
                <w:rStyle w:val="FootnoteReference"/>
                <w:rFonts w:ascii="Cambria" w:hAnsi="Cambria"/>
                <w:bCs/>
                <w:sz w:val="20"/>
                <w:szCs w:val="20"/>
                <w:lang w:val="es-ES"/>
              </w:rPr>
              <w:footnoteReference w:id="8"/>
            </w:r>
            <w:r>
              <w:rPr>
                <w:rFonts w:ascii="Cambria" w:hAnsi="Cambria"/>
                <w:bCs/>
                <w:sz w:val="20"/>
                <w:szCs w:val="20"/>
                <w:lang w:val="es-ES"/>
              </w:rPr>
              <w:t xml:space="preserve"> y 1</w:t>
            </w:r>
            <w:r w:rsidR="0024610A">
              <w:rPr>
                <w:rFonts w:ascii="Cambria" w:hAnsi="Cambria"/>
                <w:bCs/>
                <w:sz w:val="20"/>
                <w:szCs w:val="20"/>
                <w:lang w:val="es-ES"/>
              </w:rPr>
              <w:t>2</w:t>
            </w:r>
            <w:r>
              <w:rPr>
                <w:rFonts w:ascii="Cambria" w:hAnsi="Cambria"/>
                <w:bCs/>
                <w:sz w:val="20"/>
                <w:szCs w:val="20"/>
                <w:lang w:val="es-ES"/>
              </w:rPr>
              <w:t xml:space="preserve"> de diciembre de 2023</w:t>
            </w:r>
          </w:p>
        </w:tc>
      </w:tr>
    </w:tbl>
    <w:p w14:paraId="0FC6E9E8"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1E494D5D" w14:textId="673AABAA" w:rsidR="003239B8" w:rsidRPr="00B3745F" w:rsidRDefault="00964ABC" w:rsidP="008D2290">
            <w:pPr>
              <w:rPr>
                <w:rFonts w:ascii="Cambria" w:hAnsi="Cambria"/>
                <w:bCs/>
                <w:sz w:val="20"/>
                <w:szCs w:val="20"/>
              </w:rPr>
            </w:pPr>
            <w:r>
              <w:rPr>
                <w:rFonts w:ascii="Cambria" w:hAnsi="Cambria"/>
                <w:bCs/>
                <w:sz w:val="20"/>
                <w:szCs w:val="20"/>
              </w:rPr>
              <w:t>Sí</w:t>
            </w:r>
          </w:p>
        </w:tc>
      </w:tr>
      <w:tr w:rsidR="003239B8" w:rsidRPr="00540F17"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77C8256A" w14:textId="4AD25273" w:rsidR="003239B8" w:rsidRPr="00B3745F" w:rsidRDefault="00964ABC" w:rsidP="008D2290">
            <w:pPr>
              <w:rPr>
                <w:rFonts w:ascii="Cambria" w:hAnsi="Cambria"/>
                <w:bCs/>
                <w:sz w:val="20"/>
                <w:szCs w:val="20"/>
              </w:rPr>
            </w:pPr>
            <w:r>
              <w:rPr>
                <w:rFonts w:ascii="Cambria" w:hAnsi="Cambria"/>
                <w:bCs/>
                <w:sz w:val="20"/>
                <w:szCs w:val="20"/>
              </w:rPr>
              <w:t>Sí</w:t>
            </w:r>
          </w:p>
        </w:tc>
      </w:tr>
      <w:tr w:rsidR="003239B8" w:rsidRPr="00540F17"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523F6BD6" w14:textId="0BC8B01F" w:rsidR="003239B8" w:rsidRPr="00B3745F" w:rsidRDefault="00964ABC" w:rsidP="008D2290">
            <w:pPr>
              <w:rPr>
                <w:rFonts w:ascii="Cambria" w:hAnsi="Cambria"/>
                <w:bCs/>
                <w:sz w:val="20"/>
                <w:szCs w:val="20"/>
              </w:rPr>
            </w:pPr>
            <w:r>
              <w:rPr>
                <w:rFonts w:ascii="Cambria" w:hAnsi="Cambria"/>
                <w:bCs/>
                <w:sz w:val="20"/>
                <w:szCs w:val="20"/>
              </w:rPr>
              <w:t>Sí</w:t>
            </w:r>
          </w:p>
        </w:tc>
      </w:tr>
      <w:tr w:rsidR="003239B8" w:rsidRPr="00732E35"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257C8337" w14:textId="49999A8F" w:rsidR="003239B8" w:rsidRPr="00B3745F" w:rsidRDefault="00876492" w:rsidP="008D2290">
            <w:pPr>
              <w:jc w:val="both"/>
              <w:rPr>
                <w:rFonts w:ascii="Cambria" w:hAnsi="Cambria"/>
                <w:bCs/>
                <w:sz w:val="20"/>
                <w:szCs w:val="20"/>
                <w:lang w:val="es-ES"/>
              </w:rPr>
            </w:pPr>
            <w:r w:rsidRPr="000E4DC4">
              <w:rPr>
                <w:rFonts w:asciiTheme="majorHAnsi" w:hAnsiTheme="majorHAnsi"/>
                <w:bCs/>
                <w:sz w:val="20"/>
                <w:szCs w:val="20"/>
                <w:lang w:val="es-ES_tradnl"/>
              </w:rPr>
              <w:t>Sí,</w:t>
            </w:r>
            <w:r w:rsidR="00235709">
              <w:rPr>
                <w:rFonts w:asciiTheme="majorHAnsi" w:hAnsiTheme="majorHAnsi"/>
                <w:bCs/>
                <w:sz w:val="20"/>
                <w:szCs w:val="20"/>
                <w:lang w:val="es-ES_tradnl"/>
              </w:rPr>
              <w:t xml:space="preserve"> </w:t>
            </w:r>
            <w:r w:rsidR="00235709" w:rsidRPr="00235709">
              <w:rPr>
                <w:rFonts w:asciiTheme="majorHAnsi" w:hAnsiTheme="majorHAnsi"/>
                <w:bCs/>
                <w:sz w:val="20"/>
                <w:szCs w:val="20"/>
                <w:lang w:val="es-ES"/>
              </w:rPr>
              <w:t>Convención Americana (depósito del instrumento de adhesión realizado el 24 de marzo de 1981)</w:t>
            </w:r>
          </w:p>
        </w:tc>
      </w:tr>
    </w:tbl>
    <w:p w14:paraId="299A3868" w14:textId="26C3F85F"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7F20D4"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764D7F60" w14:textId="34193A19" w:rsidR="00EE00E9" w:rsidRPr="00DC24E3" w:rsidRDefault="00964ABC" w:rsidP="008D2290">
            <w:pPr>
              <w:jc w:val="both"/>
              <w:rPr>
                <w:rFonts w:ascii="Cambria" w:hAnsi="Cambria"/>
                <w:bCs/>
                <w:sz w:val="20"/>
                <w:szCs w:val="20"/>
                <w:lang w:val="es-ES"/>
              </w:rPr>
            </w:pPr>
            <w:r>
              <w:rPr>
                <w:rFonts w:ascii="Cambria" w:hAnsi="Cambria"/>
                <w:bCs/>
                <w:sz w:val="20"/>
                <w:szCs w:val="20"/>
                <w:lang w:val="es-ES"/>
              </w:rPr>
              <w:t>No</w:t>
            </w:r>
          </w:p>
        </w:tc>
      </w:tr>
      <w:tr w:rsidR="003239B8" w:rsidRPr="00732E35"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lastRenderedPageBreak/>
              <w:t>Derechos declarados admisibles</w:t>
            </w:r>
            <w:r w:rsidRPr="00DC24E3">
              <w:rPr>
                <w:rFonts w:ascii="Cambria" w:hAnsi="Cambria"/>
                <w:b/>
                <w:bCs/>
                <w:i/>
                <w:color w:val="FFFFFF" w:themeColor="background1"/>
                <w:sz w:val="20"/>
                <w:szCs w:val="20"/>
              </w:rPr>
              <w:t>:</w:t>
            </w:r>
          </w:p>
        </w:tc>
        <w:tc>
          <w:tcPr>
            <w:tcW w:w="5760" w:type="dxa"/>
            <w:vAlign w:val="center"/>
          </w:tcPr>
          <w:p w14:paraId="4DAE9D4D" w14:textId="054C4B14" w:rsidR="003239B8" w:rsidRPr="006D1AC4" w:rsidRDefault="005272FA" w:rsidP="008D2290">
            <w:pPr>
              <w:jc w:val="both"/>
              <w:rPr>
                <w:rFonts w:ascii="Cambria" w:hAnsi="Cambria"/>
                <w:bCs/>
                <w:sz w:val="20"/>
                <w:szCs w:val="20"/>
                <w:lang w:val="es-ES"/>
              </w:rPr>
            </w:pPr>
            <w:r w:rsidRPr="00EC11B3">
              <w:rPr>
                <w:rFonts w:asciiTheme="majorHAnsi" w:hAnsiTheme="majorHAnsi"/>
                <w:bCs/>
                <w:sz w:val="20"/>
                <w:szCs w:val="20"/>
                <w:lang w:val="es-ES_tradnl"/>
              </w:rPr>
              <w:t>Artículo</w:t>
            </w:r>
            <w:r w:rsidR="007D3244" w:rsidRPr="00EC11B3">
              <w:rPr>
                <w:rFonts w:asciiTheme="majorHAnsi" w:hAnsiTheme="majorHAnsi"/>
                <w:bCs/>
                <w:sz w:val="20"/>
                <w:szCs w:val="20"/>
                <w:lang w:val="es-ES_tradnl"/>
              </w:rPr>
              <w:t>s 8 (garantías judiciales),</w:t>
            </w:r>
            <w:r w:rsidRPr="00EC11B3">
              <w:rPr>
                <w:rFonts w:asciiTheme="majorHAnsi" w:hAnsiTheme="majorHAnsi"/>
                <w:bCs/>
                <w:sz w:val="20"/>
                <w:szCs w:val="20"/>
                <w:lang w:val="es-ES_tradnl"/>
              </w:rPr>
              <w:t xml:space="preserve"> </w:t>
            </w:r>
            <w:r w:rsidR="009379AC">
              <w:rPr>
                <w:rFonts w:asciiTheme="majorHAnsi" w:hAnsiTheme="majorHAnsi"/>
                <w:bCs/>
                <w:sz w:val="20"/>
                <w:szCs w:val="20"/>
                <w:lang w:val="es-ES_tradnl"/>
              </w:rPr>
              <w:t>19 (derechos del ni</w:t>
            </w:r>
            <w:r w:rsidR="009379AC">
              <w:rPr>
                <w:rFonts w:asciiTheme="majorHAnsi" w:hAnsiTheme="majorHAnsi"/>
                <w:bCs/>
                <w:sz w:val="20"/>
                <w:szCs w:val="20"/>
                <w:lang w:val="es-ES"/>
              </w:rPr>
              <w:t>ño</w:t>
            </w:r>
            <w:r w:rsidR="009379AC">
              <w:rPr>
                <w:rFonts w:asciiTheme="majorHAnsi" w:hAnsiTheme="majorHAnsi"/>
                <w:bCs/>
                <w:sz w:val="20"/>
                <w:szCs w:val="20"/>
                <w:lang w:val="es-ES_tradnl"/>
              </w:rPr>
              <w:t>), 21 (pro</w:t>
            </w:r>
            <w:r w:rsidR="0031681C">
              <w:rPr>
                <w:rFonts w:asciiTheme="majorHAnsi" w:hAnsiTheme="majorHAnsi"/>
                <w:bCs/>
                <w:sz w:val="20"/>
                <w:szCs w:val="20"/>
                <w:lang w:val="es-ES_tradnl"/>
              </w:rPr>
              <w:t>piedad</w:t>
            </w:r>
            <w:r w:rsidR="009379AC">
              <w:rPr>
                <w:rFonts w:asciiTheme="majorHAnsi" w:hAnsiTheme="majorHAnsi"/>
                <w:bCs/>
                <w:sz w:val="20"/>
                <w:szCs w:val="20"/>
                <w:lang w:val="es-ES_tradnl"/>
              </w:rPr>
              <w:t>)</w:t>
            </w:r>
            <w:r w:rsidR="0031681C">
              <w:rPr>
                <w:rFonts w:asciiTheme="majorHAnsi" w:hAnsiTheme="majorHAnsi"/>
                <w:bCs/>
                <w:sz w:val="20"/>
                <w:szCs w:val="20"/>
                <w:lang w:val="es-ES_tradnl"/>
              </w:rPr>
              <w:t>,</w:t>
            </w:r>
            <w:r w:rsidR="009379AC">
              <w:rPr>
                <w:rFonts w:asciiTheme="majorHAnsi" w:hAnsiTheme="majorHAnsi"/>
                <w:bCs/>
                <w:sz w:val="20"/>
                <w:szCs w:val="20"/>
                <w:lang w:val="es-ES_tradnl"/>
              </w:rPr>
              <w:t xml:space="preserve"> </w:t>
            </w:r>
            <w:r w:rsidR="00717F75" w:rsidRPr="00996D06">
              <w:rPr>
                <w:rFonts w:asciiTheme="majorHAnsi" w:hAnsiTheme="majorHAnsi"/>
                <w:bCs/>
                <w:sz w:val="20"/>
                <w:szCs w:val="20"/>
                <w:lang w:val="es-ES_tradnl"/>
              </w:rPr>
              <w:t>24 (igualdad ante la ley)</w:t>
            </w:r>
            <w:r w:rsidR="00717F75">
              <w:rPr>
                <w:rFonts w:asciiTheme="majorHAnsi" w:hAnsiTheme="majorHAnsi"/>
                <w:bCs/>
                <w:sz w:val="20"/>
                <w:szCs w:val="20"/>
                <w:lang w:val="es-ES_tradnl"/>
              </w:rPr>
              <w:t xml:space="preserve">, </w:t>
            </w:r>
            <w:r w:rsidR="007D3244" w:rsidRPr="00EC11B3">
              <w:rPr>
                <w:rFonts w:asciiTheme="majorHAnsi" w:hAnsiTheme="majorHAnsi"/>
                <w:bCs/>
                <w:sz w:val="20"/>
                <w:szCs w:val="20"/>
                <w:lang w:val="es-ES_tradnl"/>
              </w:rPr>
              <w:t xml:space="preserve">25 (protección judicial), y </w:t>
            </w:r>
            <w:r w:rsidRPr="00EC11B3">
              <w:rPr>
                <w:rFonts w:asciiTheme="majorHAnsi" w:hAnsiTheme="majorHAnsi"/>
                <w:bCs/>
                <w:sz w:val="20"/>
                <w:szCs w:val="20"/>
                <w:lang w:val="es-ES_tradnl"/>
              </w:rPr>
              <w:t>26 (</w:t>
            </w:r>
            <w:r w:rsidRPr="00EC11B3">
              <w:rPr>
                <w:rFonts w:asciiTheme="majorHAnsi" w:hAnsiTheme="majorHAnsi"/>
                <w:bCs/>
                <w:sz w:val="20"/>
                <w:szCs w:val="20"/>
                <w:lang w:val="es-ES"/>
              </w:rPr>
              <w:t>derechos económicos, sociales y culturales)</w:t>
            </w:r>
            <w:r w:rsidRPr="00EC11B3">
              <w:rPr>
                <w:rFonts w:asciiTheme="majorHAnsi" w:hAnsiTheme="majorHAnsi"/>
                <w:bCs/>
                <w:sz w:val="20"/>
                <w:szCs w:val="20"/>
                <w:lang w:val="es-ES_tradnl"/>
              </w:rPr>
              <w:t xml:space="preserve"> de la Convención Americana, en relación con su artículo 1.1 (obligación de respetar los derechos)</w:t>
            </w:r>
          </w:p>
        </w:tc>
      </w:tr>
      <w:tr w:rsidR="003239B8" w:rsidRPr="00732E35"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7F7C1A19" w14:textId="14450AC9" w:rsidR="003239B8" w:rsidRPr="009C5D9B" w:rsidRDefault="00D12A10" w:rsidP="008D2290">
            <w:pPr>
              <w:rPr>
                <w:rFonts w:ascii="Cambria" w:hAnsi="Cambria"/>
                <w:bCs/>
                <w:sz w:val="20"/>
                <w:szCs w:val="20"/>
                <w:lang w:val="es-ES"/>
              </w:rPr>
            </w:pPr>
            <w:r w:rsidRPr="009C5D9B">
              <w:rPr>
                <w:rFonts w:ascii="Cambria" w:hAnsi="Cambria"/>
                <w:bCs/>
                <w:sz w:val="20"/>
                <w:szCs w:val="20"/>
                <w:lang w:val="es-ES"/>
              </w:rPr>
              <w:t>Sí, el 15 de noviembre de 2013</w:t>
            </w:r>
          </w:p>
        </w:tc>
      </w:tr>
      <w:tr w:rsidR="003239B8" w:rsidRPr="0077030B"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60" w:type="dxa"/>
            <w:vAlign w:val="center"/>
          </w:tcPr>
          <w:p w14:paraId="2AF0FC69" w14:textId="0C09EF8A" w:rsidR="003239B8" w:rsidRPr="009C5D9B" w:rsidRDefault="00D12A10" w:rsidP="008D2290">
            <w:pPr>
              <w:rPr>
                <w:rFonts w:ascii="Cambria" w:hAnsi="Cambria"/>
                <w:bCs/>
                <w:sz w:val="20"/>
                <w:szCs w:val="20"/>
                <w:lang w:val="es-ES"/>
              </w:rPr>
            </w:pPr>
            <w:r w:rsidRPr="009C5D9B">
              <w:rPr>
                <w:rFonts w:ascii="Cambria" w:hAnsi="Cambria"/>
                <w:bCs/>
                <w:sz w:val="20"/>
                <w:szCs w:val="20"/>
                <w:lang w:val="es-ES"/>
              </w:rPr>
              <w:t>Sí</w:t>
            </w:r>
          </w:p>
        </w:tc>
      </w:tr>
    </w:tbl>
    <w:p w14:paraId="63A45EB4" w14:textId="77777777" w:rsidR="009C5D9B" w:rsidRDefault="009C5D9B" w:rsidP="009C5D9B">
      <w:pPr>
        <w:spacing w:after="240"/>
        <w:ind w:firstLine="720"/>
        <w:jc w:val="both"/>
        <w:rPr>
          <w:rFonts w:asciiTheme="majorHAnsi" w:hAnsiTheme="majorHAnsi"/>
          <w:b/>
          <w:sz w:val="20"/>
          <w:szCs w:val="20"/>
          <w:lang w:val="es-UY"/>
        </w:rPr>
      </w:pPr>
    </w:p>
    <w:p w14:paraId="56FD5D57" w14:textId="61DC8342" w:rsidR="003239B8" w:rsidRPr="009C5D9B" w:rsidRDefault="00223A29" w:rsidP="009C5D9B">
      <w:pPr>
        <w:spacing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4241A0" w:rsidRPr="009C5D9B">
        <w:rPr>
          <w:rFonts w:asciiTheme="majorHAnsi" w:hAnsiTheme="majorHAnsi"/>
          <w:b/>
          <w:sz w:val="20"/>
          <w:szCs w:val="20"/>
          <w:lang w:val="es-UY"/>
        </w:rPr>
        <w:t>POSICIÓN DE LAS PARTES</w:t>
      </w:r>
      <w:r w:rsidR="003239B8" w:rsidRPr="009C5D9B">
        <w:rPr>
          <w:rFonts w:asciiTheme="majorHAnsi" w:hAnsiTheme="majorHAnsi"/>
          <w:b/>
          <w:sz w:val="20"/>
          <w:szCs w:val="20"/>
          <w:lang w:val="es-UY"/>
        </w:rPr>
        <w:t xml:space="preserve"> </w:t>
      </w:r>
    </w:p>
    <w:p w14:paraId="27317417" w14:textId="285AC09F" w:rsidR="005D6FDD" w:rsidRPr="00653838" w:rsidRDefault="005D6FDD" w:rsidP="009C5D9B">
      <w:pPr>
        <w:spacing w:after="240"/>
        <w:ind w:firstLine="720"/>
        <w:jc w:val="both"/>
        <w:rPr>
          <w:rFonts w:asciiTheme="majorHAnsi" w:hAnsiTheme="majorHAnsi"/>
          <w:b/>
          <w:sz w:val="20"/>
          <w:szCs w:val="20"/>
          <w:lang w:val="es-UY"/>
        </w:rPr>
      </w:pPr>
      <w:r w:rsidRPr="00653838">
        <w:rPr>
          <w:rFonts w:asciiTheme="majorHAnsi" w:hAnsiTheme="majorHAnsi"/>
          <w:b/>
          <w:sz w:val="20"/>
          <w:szCs w:val="20"/>
          <w:lang w:val="es-UY"/>
        </w:rPr>
        <w:t>La parte peticionaria</w:t>
      </w:r>
    </w:p>
    <w:p w14:paraId="59A84126" w14:textId="474BB4F0" w:rsidR="005B5631" w:rsidRPr="009C5D9B" w:rsidRDefault="005B5631" w:rsidP="2DB63416">
      <w:pPr>
        <w:pStyle w:val="ListParagraph"/>
        <w:numPr>
          <w:ilvl w:val="0"/>
          <w:numId w:val="59"/>
        </w:numPr>
        <w:spacing w:after="240"/>
        <w:ind w:left="0" w:firstLine="720"/>
        <w:jc w:val="both"/>
        <w:rPr>
          <w:sz w:val="20"/>
          <w:szCs w:val="20"/>
          <w:lang w:val="es-ES"/>
        </w:rPr>
      </w:pPr>
      <w:r w:rsidRPr="2DB63416">
        <w:rPr>
          <w:sz w:val="20"/>
          <w:szCs w:val="20"/>
          <w:lang w:val="es-ES"/>
        </w:rPr>
        <w:t xml:space="preserve">La parte peticionaria </w:t>
      </w:r>
      <w:r w:rsidR="003643F2" w:rsidRPr="2DB63416">
        <w:rPr>
          <w:sz w:val="20"/>
          <w:szCs w:val="20"/>
          <w:lang w:val="es-ES"/>
        </w:rPr>
        <w:t xml:space="preserve">denuncia violaciones a los derechos de las tres presuntas víctimas a raíz de inundaciones ocurridas en 2009, tras </w:t>
      </w:r>
      <w:r w:rsidR="00053BB6" w:rsidRPr="2DB63416">
        <w:rPr>
          <w:sz w:val="20"/>
          <w:szCs w:val="20"/>
          <w:lang w:val="es-ES"/>
        </w:rPr>
        <w:t>extensas lluvias</w:t>
      </w:r>
      <w:r w:rsidR="003643F2" w:rsidRPr="2DB63416">
        <w:rPr>
          <w:sz w:val="20"/>
          <w:szCs w:val="20"/>
          <w:lang w:val="es-ES"/>
        </w:rPr>
        <w:t xml:space="preserve"> y el </w:t>
      </w:r>
      <w:r w:rsidR="00053BB6" w:rsidRPr="2DB63416">
        <w:rPr>
          <w:sz w:val="20"/>
          <w:szCs w:val="20"/>
          <w:lang w:val="es-ES"/>
        </w:rPr>
        <w:t>posterior c</w:t>
      </w:r>
      <w:r w:rsidR="003643F2" w:rsidRPr="2DB63416">
        <w:rPr>
          <w:sz w:val="20"/>
          <w:szCs w:val="20"/>
          <w:lang w:val="es-ES"/>
        </w:rPr>
        <w:t>olapso de un túnel de aguas residuales</w:t>
      </w:r>
      <w:r w:rsidR="00053BB6" w:rsidRPr="2DB63416">
        <w:rPr>
          <w:sz w:val="20"/>
          <w:szCs w:val="20"/>
          <w:lang w:val="es-ES"/>
        </w:rPr>
        <w:t xml:space="preserve"> cerca de sus casas</w:t>
      </w:r>
      <w:r w:rsidR="00900C17" w:rsidRPr="2DB63416">
        <w:rPr>
          <w:sz w:val="20"/>
          <w:szCs w:val="20"/>
          <w:lang w:val="es-ES"/>
        </w:rPr>
        <w:t>,</w:t>
      </w:r>
      <w:r w:rsidR="00053BB6" w:rsidRPr="2DB63416">
        <w:rPr>
          <w:sz w:val="20"/>
          <w:szCs w:val="20"/>
          <w:lang w:val="es-ES"/>
        </w:rPr>
        <w:t xml:space="preserve"> lo</w:t>
      </w:r>
      <w:r w:rsidR="006B3DF8" w:rsidRPr="2DB63416">
        <w:rPr>
          <w:sz w:val="20"/>
          <w:szCs w:val="20"/>
          <w:lang w:val="es-ES"/>
        </w:rPr>
        <w:t xml:space="preserve"> que ocasionó daños en su patrimonio</w:t>
      </w:r>
      <w:r w:rsidR="003643F2" w:rsidRPr="2DB63416">
        <w:rPr>
          <w:sz w:val="20"/>
          <w:szCs w:val="20"/>
          <w:lang w:val="es-ES"/>
        </w:rPr>
        <w:t xml:space="preserve">. Considera que las autoridades encargadas </w:t>
      </w:r>
      <w:r w:rsidR="006B3DF8" w:rsidRPr="2DB63416">
        <w:rPr>
          <w:sz w:val="20"/>
          <w:szCs w:val="20"/>
          <w:lang w:val="es-ES"/>
        </w:rPr>
        <w:t xml:space="preserve">de la regulación de </w:t>
      </w:r>
      <w:r w:rsidR="009E48A5" w:rsidRPr="2DB63416">
        <w:rPr>
          <w:sz w:val="20"/>
          <w:szCs w:val="20"/>
          <w:lang w:val="es-ES"/>
        </w:rPr>
        <w:t>túneles pluviales</w:t>
      </w:r>
      <w:r w:rsidR="006B3DF8" w:rsidRPr="2DB63416">
        <w:rPr>
          <w:sz w:val="20"/>
          <w:szCs w:val="20"/>
          <w:lang w:val="es-ES"/>
        </w:rPr>
        <w:t xml:space="preserve"> </w:t>
      </w:r>
      <w:r w:rsidR="003643F2" w:rsidRPr="2DB63416">
        <w:rPr>
          <w:sz w:val="20"/>
          <w:szCs w:val="20"/>
          <w:lang w:val="es-ES"/>
        </w:rPr>
        <w:t xml:space="preserve">no cumplieron con sus obligaciones de </w:t>
      </w:r>
      <w:r w:rsidR="00FA6434" w:rsidRPr="2DB63416">
        <w:rPr>
          <w:sz w:val="20"/>
          <w:szCs w:val="20"/>
          <w:lang w:val="es-ES"/>
        </w:rPr>
        <w:t>supervisión</w:t>
      </w:r>
      <w:r w:rsidR="003643F2" w:rsidRPr="2DB63416">
        <w:rPr>
          <w:sz w:val="20"/>
          <w:szCs w:val="20"/>
          <w:lang w:val="es-ES"/>
        </w:rPr>
        <w:t xml:space="preserve"> al permitir que el túnel llevara aguas </w:t>
      </w:r>
      <w:r w:rsidR="009E48A5" w:rsidRPr="2DB63416">
        <w:rPr>
          <w:sz w:val="20"/>
          <w:szCs w:val="20"/>
          <w:lang w:val="es-ES"/>
        </w:rPr>
        <w:t>negras</w:t>
      </w:r>
      <w:r w:rsidR="006B3DF8" w:rsidRPr="2DB63416">
        <w:rPr>
          <w:sz w:val="20"/>
          <w:szCs w:val="20"/>
          <w:lang w:val="es-ES"/>
        </w:rPr>
        <w:t xml:space="preserve"> cuando fue construido para agua potable</w:t>
      </w:r>
      <w:r w:rsidR="0053252F" w:rsidRPr="2DB63416">
        <w:rPr>
          <w:sz w:val="20"/>
          <w:szCs w:val="20"/>
          <w:lang w:val="es-ES"/>
        </w:rPr>
        <w:t xml:space="preserve">. </w:t>
      </w:r>
      <w:r w:rsidR="001851C5" w:rsidRPr="2DB63416">
        <w:rPr>
          <w:sz w:val="20"/>
          <w:szCs w:val="20"/>
          <w:lang w:val="es-ES"/>
        </w:rPr>
        <w:t>Además,</w:t>
      </w:r>
      <w:r w:rsidR="006B3DF8" w:rsidRPr="2DB63416">
        <w:rPr>
          <w:sz w:val="20"/>
          <w:szCs w:val="20"/>
          <w:lang w:val="es-ES"/>
        </w:rPr>
        <w:t xml:space="preserve"> </w:t>
      </w:r>
      <w:r w:rsidR="009E48A5" w:rsidRPr="2DB63416">
        <w:rPr>
          <w:sz w:val="20"/>
          <w:szCs w:val="20"/>
          <w:lang w:val="es-ES"/>
        </w:rPr>
        <w:t>sostiene q</w:t>
      </w:r>
      <w:r w:rsidR="006B3DF8" w:rsidRPr="2DB63416">
        <w:rPr>
          <w:sz w:val="20"/>
          <w:szCs w:val="20"/>
          <w:lang w:val="es-ES"/>
        </w:rPr>
        <w:t xml:space="preserve">ue no le dieron el mantenimiento necesario para evitar su rompimiento. Asimismo, </w:t>
      </w:r>
      <w:r w:rsidR="00C717D1" w:rsidRPr="2DB63416">
        <w:rPr>
          <w:sz w:val="20"/>
          <w:szCs w:val="20"/>
          <w:lang w:val="es-ES"/>
        </w:rPr>
        <w:t xml:space="preserve">alega la parte peticionaria </w:t>
      </w:r>
      <w:r w:rsidR="006B3DF8" w:rsidRPr="2DB63416">
        <w:rPr>
          <w:sz w:val="20"/>
          <w:szCs w:val="20"/>
          <w:lang w:val="es-ES"/>
        </w:rPr>
        <w:t>que los tribunales nacionales le negaron su derecho a una indemnización por lo ocurrido</w:t>
      </w:r>
      <w:r w:rsidR="009E48A5" w:rsidRPr="2DB63416">
        <w:rPr>
          <w:sz w:val="20"/>
          <w:szCs w:val="20"/>
          <w:lang w:val="es-ES"/>
        </w:rPr>
        <w:t>, mientras</w:t>
      </w:r>
      <w:r w:rsidR="006B3DF8" w:rsidRPr="2DB63416">
        <w:rPr>
          <w:sz w:val="20"/>
          <w:szCs w:val="20"/>
          <w:lang w:val="es-ES"/>
        </w:rPr>
        <w:t xml:space="preserve"> que a terceros en las mismas circunstancias sí les brindaron compensación por responsabilidad patrimonial del Estado. </w:t>
      </w:r>
    </w:p>
    <w:p w14:paraId="3C424A52" w14:textId="532B9EF9" w:rsidR="009A39F6" w:rsidRPr="009C5D9B" w:rsidRDefault="00D126E6" w:rsidP="009C5D9B">
      <w:pPr>
        <w:pStyle w:val="NormalWeb"/>
        <w:spacing w:after="240"/>
        <w:ind w:firstLine="720"/>
        <w:jc w:val="both"/>
        <w:rPr>
          <w:bCs/>
          <w:sz w:val="20"/>
          <w:szCs w:val="20"/>
          <w:lang w:val="es-ES_tradnl"/>
        </w:rPr>
      </w:pPr>
      <w:r w:rsidRPr="009C5D9B">
        <w:rPr>
          <w:rFonts w:ascii="Cambria" w:hAnsi="Cambria"/>
          <w:i/>
          <w:iCs/>
          <w:sz w:val="20"/>
          <w:szCs w:val="20"/>
          <w:lang w:val="es-ES_tradnl"/>
        </w:rPr>
        <w:t>Planteamientos generales</w:t>
      </w:r>
    </w:p>
    <w:p w14:paraId="05E66269" w14:textId="47D03B0B" w:rsidR="001A7EEB" w:rsidRPr="009C5D9B" w:rsidRDefault="00D126E6" w:rsidP="009C5D9B">
      <w:pPr>
        <w:pStyle w:val="ListParagraph"/>
        <w:numPr>
          <w:ilvl w:val="0"/>
          <w:numId w:val="59"/>
        </w:numPr>
        <w:spacing w:after="240"/>
        <w:ind w:left="0" w:firstLine="720"/>
        <w:jc w:val="both"/>
        <w:rPr>
          <w:sz w:val="20"/>
          <w:szCs w:val="20"/>
          <w:lang w:val="es-ES_tradnl"/>
        </w:rPr>
      </w:pPr>
      <w:r w:rsidRPr="009C5D9B">
        <w:rPr>
          <w:sz w:val="20"/>
          <w:szCs w:val="20"/>
          <w:lang w:val="es-ES"/>
        </w:rPr>
        <w:t xml:space="preserve">De la narración y anexos proporcionados por ambas partes se desprende que la controversia denunciada en la </w:t>
      </w:r>
      <w:r w:rsidR="00E51C02" w:rsidRPr="009C5D9B">
        <w:rPr>
          <w:sz w:val="20"/>
          <w:szCs w:val="20"/>
          <w:lang w:val="es-ES"/>
        </w:rPr>
        <w:t>petición</w:t>
      </w:r>
      <w:r w:rsidRPr="009C5D9B">
        <w:rPr>
          <w:sz w:val="20"/>
          <w:szCs w:val="20"/>
          <w:lang w:val="es-ES"/>
        </w:rPr>
        <w:t xml:space="preserve"> tiene origen el</w:t>
      </w:r>
      <w:r w:rsidRPr="009C5D9B">
        <w:rPr>
          <w:sz w:val="20"/>
          <w:szCs w:val="20"/>
          <w:lang w:val="es-ES_tradnl"/>
        </w:rPr>
        <w:t xml:space="preserve"> </w:t>
      </w:r>
      <w:r w:rsidR="000A35D2" w:rsidRPr="009C5D9B">
        <w:rPr>
          <w:sz w:val="20"/>
          <w:szCs w:val="20"/>
          <w:lang w:val="es-ES_tradnl"/>
        </w:rPr>
        <w:t>6 de septiembre de 2009</w:t>
      </w:r>
      <w:r w:rsidR="00AF0552" w:rsidRPr="009C5D9B">
        <w:rPr>
          <w:sz w:val="20"/>
          <w:szCs w:val="20"/>
          <w:lang w:val="es-ES_tradnl"/>
        </w:rPr>
        <w:t>,</w:t>
      </w:r>
      <w:r w:rsidRPr="009C5D9B">
        <w:rPr>
          <w:sz w:val="20"/>
          <w:szCs w:val="20"/>
          <w:lang w:val="es-ES_tradnl"/>
        </w:rPr>
        <w:t xml:space="preserve"> cuando ocurrió una intensa precipitación pluvial que provocó el colapso de un tramo del canal de aguas</w:t>
      </w:r>
      <w:r w:rsidR="00B72967" w:rsidRPr="009C5D9B">
        <w:rPr>
          <w:sz w:val="20"/>
          <w:szCs w:val="20"/>
          <w:lang w:val="es-ES_tradnl"/>
        </w:rPr>
        <w:t xml:space="preserve"> residuales</w:t>
      </w:r>
      <w:r w:rsidRPr="009C5D9B">
        <w:rPr>
          <w:sz w:val="20"/>
          <w:szCs w:val="20"/>
          <w:lang w:val="es-ES_tradnl"/>
        </w:rPr>
        <w:t xml:space="preserve"> </w:t>
      </w:r>
      <w:r w:rsidR="00836B26" w:rsidRPr="009C5D9B">
        <w:rPr>
          <w:sz w:val="20"/>
          <w:szCs w:val="20"/>
          <w:lang w:val="es-ES_tradnl"/>
        </w:rPr>
        <w:t>llamado</w:t>
      </w:r>
      <w:r w:rsidRPr="009C5D9B">
        <w:rPr>
          <w:sz w:val="20"/>
          <w:szCs w:val="20"/>
          <w:lang w:val="es-ES_tradnl"/>
        </w:rPr>
        <w:t xml:space="preserve"> </w:t>
      </w:r>
      <w:r w:rsidR="00CF3C49" w:rsidRPr="009C5D9B">
        <w:rPr>
          <w:sz w:val="20"/>
          <w:szCs w:val="20"/>
          <w:lang w:val="es-ES_tradnl"/>
        </w:rPr>
        <w:t>“</w:t>
      </w:r>
      <w:r w:rsidRPr="009C5D9B">
        <w:rPr>
          <w:sz w:val="20"/>
          <w:szCs w:val="20"/>
          <w:lang w:val="es-ES_tradnl"/>
        </w:rPr>
        <w:t>Túnel Emisor Poniente</w:t>
      </w:r>
      <w:r w:rsidR="00CF3C49" w:rsidRPr="009C5D9B">
        <w:rPr>
          <w:sz w:val="20"/>
          <w:szCs w:val="20"/>
          <w:lang w:val="es-ES_tradnl"/>
        </w:rPr>
        <w:t>”</w:t>
      </w:r>
      <w:r w:rsidRPr="009C5D9B">
        <w:rPr>
          <w:sz w:val="20"/>
          <w:szCs w:val="20"/>
          <w:lang w:val="es-ES_tradnl"/>
        </w:rPr>
        <w:t xml:space="preserve">, resultando en inundaciones en el fraccionamiento Valle Dorado, Tlalnepantla de Baz, </w:t>
      </w:r>
      <w:r w:rsidR="0017725E" w:rsidRPr="009C5D9B">
        <w:rPr>
          <w:sz w:val="20"/>
          <w:szCs w:val="20"/>
          <w:lang w:val="es-ES_tradnl"/>
        </w:rPr>
        <w:t>e</w:t>
      </w:r>
      <w:r w:rsidRPr="009C5D9B">
        <w:rPr>
          <w:sz w:val="20"/>
          <w:szCs w:val="20"/>
          <w:lang w:val="es-ES_tradnl"/>
        </w:rPr>
        <w:t xml:space="preserve">stado de México. Las presuntas víctimas </w:t>
      </w:r>
      <w:r w:rsidR="002C3401" w:rsidRPr="009C5D9B">
        <w:rPr>
          <w:sz w:val="20"/>
          <w:szCs w:val="20"/>
          <w:lang w:val="es-ES_tradnl"/>
        </w:rPr>
        <w:t>(</w:t>
      </w:r>
      <w:r w:rsidRPr="009C5D9B">
        <w:rPr>
          <w:sz w:val="20"/>
          <w:szCs w:val="20"/>
          <w:lang w:val="es-ES_tradnl"/>
        </w:rPr>
        <w:t>Carlos Sánchez Ríos, Felipe Sánchez Román y María Guadalupe Román Delgado</w:t>
      </w:r>
      <w:r w:rsidR="002C3401" w:rsidRPr="009C5D9B">
        <w:rPr>
          <w:sz w:val="20"/>
          <w:szCs w:val="20"/>
          <w:lang w:val="es-ES_tradnl"/>
        </w:rPr>
        <w:t>)</w:t>
      </w:r>
      <w:r w:rsidRPr="009C5D9B">
        <w:rPr>
          <w:sz w:val="20"/>
          <w:szCs w:val="20"/>
          <w:lang w:val="es-ES_tradnl"/>
        </w:rPr>
        <w:t xml:space="preserve"> residían en dicho fraccionamiento y reportaron daños materiales cuando la corriente de aguas negras </w:t>
      </w:r>
      <w:r w:rsidR="00CF3C49" w:rsidRPr="009C5D9B">
        <w:rPr>
          <w:sz w:val="20"/>
          <w:szCs w:val="20"/>
          <w:lang w:val="es-ES_tradnl"/>
        </w:rPr>
        <w:t>inundó</w:t>
      </w:r>
      <w:r w:rsidRPr="009C5D9B">
        <w:rPr>
          <w:sz w:val="20"/>
          <w:szCs w:val="20"/>
          <w:lang w:val="es-ES_tradnl"/>
        </w:rPr>
        <w:t xml:space="preserve"> sus hogares, alcanzando una altura de 1</w:t>
      </w:r>
      <w:r w:rsidR="0009131E">
        <w:rPr>
          <w:sz w:val="20"/>
          <w:szCs w:val="20"/>
          <w:lang w:val="es-ES_tradnl"/>
        </w:rPr>
        <w:t>,</w:t>
      </w:r>
      <w:r w:rsidRPr="009C5D9B">
        <w:rPr>
          <w:sz w:val="20"/>
          <w:szCs w:val="20"/>
          <w:lang w:val="es-ES_tradnl"/>
        </w:rPr>
        <w:t xml:space="preserve">80 metros, lo que resultó en afectaciones </w:t>
      </w:r>
      <w:r w:rsidR="00F7511F" w:rsidRPr="009C5D9B">
        <w:rPr>
          <w:sz w:val="20"/>
          <w:szCs w:val="20"/>
          <w:lang w:val="es-ES_tradnl"/>
        </w:rPr>
        <w:t>significativas</w:t>
      </w:r>
      <w:r w:rsidRPr="009C5D9B">
        <w:rPr>
          <w:sz w:val="20"/>
          <w:szCs w:val="20"/>
          <w:lang w:val="es-ES_tradnl"/>
        </w:rPr>
        <w:t xml:space="preserve"> a sus viviendas</w:t>
      </w:r>
      <w:r w:rsidR="00C6133E" w:rsidRPr="009C5D9B">
        <w:rPr>
          <w:sz w:val="20"/>
          <w:szCs w:val="20"/>
          <w:lang w:val="es-ES_tradnl"/>
        </w:rPr>
        <w:t xml:space="preserve">. </w:t>
      </w:r>
      <w:r w:rsidR="00CF3C49" w:rsidRPr="009C5D9B">
        <w:rPr>
          <w:sz w:val="20"/>
          <w:szCs w:val="20"/>
          <w:lang w:val="es-ES_tradnl"/>
        </w:rPr>
        <w:t>La parte peticionaria narra que los arroyos vehiculares también estaban inundados,</w:t>
      </w:r>
      <w:r w:rsidR="00A2323B" w:rsidRPr="009C5D9B">
        <w:rPr>
          <w:sz w:val="20"/>
          <w:szCs w:val="20"/>
          <w:lang w:val="es-ES_tradnl"/>
        </w:rPr>
        <w:t xml:space="preserve"> por</w:t>
      </w:r>
      <w:r w:rsidR="00CF3C49" w:rsidRPr="009C5D9B">
        <w:rPr>
          <w:sz w:val="20"/>
          <w:szCs w:val="20"/>
          <w:lang w:val="es-ES_tradnl"/>
        </w:rPr>
        <w:t xml:space="preserve"> lo que quedar</w:t>
      </w:r>
      <w:r w:rsidR="00A2323B" w:rsidRPr="009C5D9B">
        <w:rPr>
          <w:sz w:val="20"/>
          <w:szCs w:val="20"/>
          <w:lang w:val="es-ES_tradnl"/>
        </w:rPr>
        <w:t>o</w:t>
      </w:r>
      <w:r w:rsidR="00CF3C49" w:rsidRPr="009C5D9B">
        <w:rPr>
          <w:sz w:val="20"/>
          <w:szCs w:val="20"/>
          <w:lang w:val="es-ES_tradnl"/>
        </w:rPr>
        <w:t xml:space="preserve">n incomunicados y los </w:t>
      </w:r>
      <w:r w:rsidR="005F1D04" w:rsidRPr="009C5D9B">
        <w:rPr>
          <w:sz w:val="20"/>
          <w:szCs w:val="20"/>
          <w:lang w:val="es-ES_tradnl"/>
        </w:rPr>
        <w:t>automóviles</w:t>
      </w:r>
      <w:r w:rsidR="00CF3C49" w:rsidRPr="009C5D9B">
        <w:rPr>
          <w:sz w:val="20"/>
          <w:szCs w:val="20"/>
          <w:lang w:val="es-ES_tradnl"/>
        </w:rPr>
        <w:t xml:space="preserve"> se dañar</w:t>
      </w:r>
      <w:r w:rsidR="00A2323B" w:rsidRPr="009C5D9B">
        <w:rPr>
          <w:sz w:val="20"/>
          <w:szCs w:val="20"/>
          <w:lang w:val="es-ES_tradnl"/>
        </w:rPr>
        <w:t>o</w:t>
      </w:r>
      <w:r w:rsidR="00CF3C49" w:rsidRPr="009C5D9B">
        <w:rPr>
          <w:sz w:val="20"/>
          <w:szCs w:val="20"/>
          <w:lang w:val="es-ES_tradnl"/>
        </w:rPr>
        <w:t>n</w:t>
      </w:r>
      <w:r w:rsidR="00ED2744" w:rsidRPr="009C5D9B">
        <w:rPr>
          <w:sz w:val="20"/>
          <w:szCs w:val="20"/>
          <w:lang w:val="es-ES_tradnl"/>
        </w:rPr>
        <w:t>. Además</w:t>
      </w:r>
      <w:r w:rsidR="00C6133E" w:rsidRPr="009C5D9B">
        <w:rPr>
          <w:sz w:val="20"/>
          <w:szCs w:val="20"/>
          <w:lang w:val="es-ES_tradnl"/>
        </w:rPr>
        <w:t xml:space="preserve"> había un fuerte olor fétido de las aguas negras.  </w:t>
      </w:r>
    </w:p>
    <w:p w14:paraId="20909831" w14:textId="1A760278" w:rsidR="00D809C0" w:rsidRPr="009C5D9B" w:rsidRDefault="00A2323B" w:rsidP="009C5D9B">
      <w:pPr>
        <w:pStyle w:val="ListParagraph"/>
        <w:numPr>
          <w:ilvl w:val="0"/>
          <w:numId w:val="59"/>
        </w:numPr>
        <w:spacing w:after="240"/>
        <w:ind w:left="0" w:firstLine="720"/>
        <w:jc w:val="both"/>
        <w:rPr>
          <w:sz w:val="20"/>
          <w:szCs w:val="20"/>
          <w:lang w:val="es-ES"/>
        </w:rPr>
      </w:pPr>
      <w:r w:rsidRPr="009C5D9B">
        <w:rPr>
          <w:sz w:val="20"/>
          <w:szCs w:val="20"/>
          <w:lang w:val="es-ES_tradnl"/>
        </w:rPr>
        <w:t>E</w:t>
      </w:r>
      <w:r w:rsidR="00E51C02" w:rsidRPr="009C5D9B">
        <w:rPr>
          <w:sz w:val="20"/>
          <w:szCs w:val="20"/>
          <w:lang w:val="es-ES_tradnl"/>
        </w:rPr>
        <w:t>l</w:t>
      </w:r>
      <w:r w:rsidR="00D126E6" w:rsidRPr="009C5D9B">
        <w:rPr>
          <w:sz w:val="20"/>
          <w:szCs w:val="20"/>
          <w:lang w:val="es-ES_tradnl"/>
        </w:rPr>
        <w:t xml:space="preserve"> 12 de marzo de 2010, las presuntas víctimas presentaron una reclamación administrativa</w:t>
      </w:r>
      <w:r w:rsidR="000E3F4C" w:rsidRPr="009C5D9B">
        <w:rPr>
          <w:rStyle w:val="FootnoteReference"/>
          <w:sz w:val="20"/>
          <w:szCs w:val="20"/>
          <w:lang w:val="es-ES_tradnl"/>
        </w:rPr>
        <w:footnoteReference w:id="9"/>
      </w:r>
      <w:r w:rsidR="00E51C02" w:rsidRPr="009C5D9B">
        <w:rPr>
          <w:sz w:val="20"/>
          <w:szCs w:val="20"/>
          <w:lang w:val="es-ES_tradnl"/>
        </w:rPr>
        <w:t xml:space="preserve"> </w:t>
      </w:r>
      <w:r w:rsidR="00D126E6" w:rsidRPr="009C5D9B">
        <w:rPr>
          <w:sz w:val="20"/>
          <w:szCs w:val="20"/>
          <w:lang w:val="es-ES_tradnl"/>
        </w:rPr>
        <w:t>por responsabilidad patrimonial del Estado por las afectaciones sufridas en sus bienes y persona ante la</w:t>
      </w:r>
      <w:r w:rsidR="00E51C02" w:rsidRPr="009C5D9B">
        <w:rPr>
          <w:sz w:val="20"/>
          <w:szCs w:val="20"/>
          <w:lang w:val="es-ES_tradnl"/>
        </w:rPr>
        <w:t xml:space="preserve"> Comisión Nacional del Agua</w:t>
      </w:r>
      <w:r w:rsidR="00E51C02" w:rsidRPr="009C5D9B">
        <w:rPr>
          <w:rStyle w:val="FootnoteReference"/>
          <w:sz w:val="20"/>
          <w:szCs w:val="20"/>
          <w:lang w:val="es-ES_tradnl"/>
        </w:rPr>
        <w:footnoteReference w:id="10"/>
      </w:r>
      <w:r w:rsidR="00E51C02" w:rsidRPr="009C5D9B">
        <w:rPr>
          <w:sz w:val="20"/>
          <w:szCs w:val="20"/>
          <w:lang w:val="es-ES_tradnl"/>
        </w:rPr>
        <w:t xml:space="preserve"> (en adelante “CONAGUA”)</w:t>
      </w:r>
      <w:r w:rsidR="00D126E6" w:rsidRPr="009C5D9B">
        <w:rPr>
          <w:sz w:val="20"/>
          <w:szCs w:val="20"/>
          <w:lang w:val="es-ES_tradnl"/>
        </w:rPr>
        <w:t xml:space="preserve">, que </w:t>
      </w:r>
      <w:r w:rsidR="000E3F4C" w:rsidRPr="009C5D9B">
        <w:rPr>
          <w:sz w:val="20"/>
          <w:szCs w:val="20"/>
          <w:lang w:val="es-ES_tradnl"/>
        </w:rPr>
        <w:t xml:space="preserve">admitió a trámite </w:t>
      </w:r>
      <w:r w:rsidR="00222FDF">
        <w:rPr>
          <w:sz w:val="20"/>
          <w:szCs w:val="20"/>
          <w:lang w:val="es-ES_tradnl"/>
        </w:rPr>
        <w:t>el reclamo</w:t>
      </w:r>
      <w:r w:rsidR="000E3F4C" w:rsidRPr="009C5D9B">
        <w:rPr>
          <w:sz w:val="20"/>
          <w:szCs w:val="20"/>
          <w:lang w:val="es-ES_tradnl"/>
        </w:rPr>
        <w:t xml:space="preserve"> bajo</w:t>
      </w:r>
      <w:r w:rsidR="00D126E6" w:rsidRPr="009C5D9B">
        <w:rPr>
          <w:sz w:val="20"/>
          <w:szCs w:val="20"/>
          <w:lang w:val="es-ES_tradnl"/>
        </w:rPr>
        <w:t xml:space="preserve"> el expediente </w:t>
      </w:r>
      <w:r w:rsidR="003F5566" w:rsidRPr="009C5D9B">
        <w:rPr>
          <w:sz w:val="20"/>
          <w:szCs w:val="20"/>
          <w:lang w:val="es-ES_tradnl"/>
        </w:rPr>
        <w:t>No.</w:t>
      </w:r>
      <w:r w:rsidR="00D126E6" w:rsidRPr="009C5D9B">
        <w:rPr>
          <w:sz w:val="20"/>
          <w:szCs w:val="20"/>
          <w:lang w:val="es-ES_tradnl"/>
        </w:rPr>
        <w:t xml:space="preserve"> 10</w:t>
      </w:r>
      <w:r w:rsidR="000E3F4C" w:rsidRPr="009C5D9B">
        <w:rPr>
          <w:sz w:val="20"/>
          <w:szCs w:val="20"/>
          <w:lang w:val="es-ES_tradnl"/>
        </w:rPr>
        <w:t>-</w:t>
      </w:r>
      <w:r w:rsidR="00D126E6" w:rsidRPr="009C5D9B">
        <w:rPr>
          <w:sz w:val="20"/>
          <w:szCs w:val="20"/>
          <w:lang w:val="es-ES_tradnl"/>
        </w:rPr>
        <w:t xml:space="preserve">1088. </w:t>
      </w:r>
      <w:r w:rsidR="00E51C02" w:rsidRPr="009C5D9B">
        <w:rPr>
          <w:sz w:val="20"/>
          <w:szCs w:val="20"/>
          <w:lang w:val="es-ES_tradnl"/>
        </w:rPr>
        <w:t>Durante</w:t>
      </w:r>
      <w:r w:rsidR="00D809C0" w:rsidRPr="009C5D9B">
        <w:rPr>
          <w:sz w:val="20"/>
          <w:szCs w:val="20"/>
          <w:lang w:val="es-ES"/>
        </w:rPr>
        <w:t xml:space="preserve"> el procedimiento</w:t>
      </w:r>
      <w:r w:rsidR="00E51C02" w:rsidRPr="009C5D9B">
        <w:rPr>
          <w:sz w:val="20"/>
          <w:szCs w:val="20"/>
          <w:lang w:val="es-ES"/>
        </w:rPr>
        <w:t>, las presuntas víctimas</w:t>
      </w:r>
      <w:r w:rsidR="00D809C0" w:rsidRPr="009C5D9B">
        <w:rPr>
          <w:sz w:val="20"/>
          <w:szCs w:val="20"/>
          <w:lang w:val="es-ES"/>
        </w:rPr>
        <w:t xml:space="preserve"> exhibieron pruebas documentales consistentes en </w:t>
      </w:r>
      <w:r w:rsidR="00647A49" w:rsidRPr="009C5D9B">
        <w:rPr>
          <w:sz w:val="20"/>
          <w:szCs w:val="20"/>
          <w:lang w:val="es-ES"/>
        </w:rPr>
        <w:t>dictámenes</w:t>
      </w:r>
      <w:r w:rsidR="00D809C0" w:rsidRPr="009C5D9B">
        <w:rPr>
          <w:sz w:val="20"/>
          <w:szCs w:val="20"/>
          <w:lang w:val="es-ES"/>
        </w:rPr>
        <w:t xml:space="preserve"> periciales emitidos por profesionales en </w:t>
      </w:r>
      <w:r w:rsidR="00647A49" w:rsidRPr="009C5D9B">
        <w:rPr>
          <w:sz w:val="20"/>
          <w:szCs w:val="20"/>
          <w:lang w:val="es-ES"/>
        </w:rPr>
        <w:t>psicología</w:t>
      </w:r>
      <w:r w:rsidR="00D809C0" w:rsidRPr="009C5D9B">
        <w:rPr>
          <w:sz w:val="20"/>
          <w:szCs w:val="20"/>
          <w:lang w:val="es-ES"/>
        </w:rPr>
        <w:t xml:space="preserve"> e </w:t>
      </w:r>
      <w:r w:rsidR="00647A49" w:rsidRPr="009C5D9B">
        <w:rPr>
          <w:sz w:val="20"/>
          <w:szCs w:val="20"/>
          <w:lang w:val="es-ES"/>
        </w:rPr>
        <w:t>ingeniería</w:t>
      </w:r>
      <w:r w:rsidR="00D809C0" w:rsidRPr="009C5D9B">
        <w:rPr>
          <w:sz w:val="20"/>
          <w:szCs w:val="20"/>
          <w:lang w:val="es-ES"/>
        </w:rPr>
        <w:t xml:space="preserve">, con las que buscaban </w:t>
      </w:r>
      <w:r w:rsidR="00647A49" w:rsidRPr="009C5D9B">
        <w:rPr>
          <w:sz w:val="20"/>
          <w:szCs w:val="20"/>
          <w:lang w:val="es-ES"/>
        </w:rPr>
        <w:t>acreditar</w:t>
      </w:r>
      <w:r w:rsidR="00D809C0" w:rsidRPr="009C5D9B">
        <w:rPr>
          <w:sz w:val="20"/>
          <w:szCs w:val="20"/>
          <w:lang w:val="es-ES"/>
        </w:rPr>
        <w:t xml:space="preserve"> el </w:t>
      </w:r>
      <w:r w:rsidR="00647A49" w:rsidRPr="009C5D9B">
        <w:rPr>
          <w:sz w:val="20"/>
          <w:szCs w:val="20"/>
          <w:lang w:val="es-ES"/>
        </w:rPr>
        <w:t>daño</w:t>
      </w:r>
      <w:r w:rsidR="00D809C0" w:rsidRPr="009C5D9B">
        <w:rPr>
          <w:sz w:val="20"/>
          <w:szCs w:val="20"/>
          <w:lang w:val="es-ES"/>
        </w:rPr>
        <w:t xml:space="preserve"> moral </w:t>
      </w:r>
      <w:r w:rsidR="009C0C29" w:rsidRPr="009C5D9B">
        <w:rPr>
          <w:sz w:val="20"/>
          <w:szCs w:val="20"/>
          <w:lang w:val="es-ES"/>
        </w:rPr>
        <w:t>y</w:t>
      </w:r>
      <w:r w:rsidR="00D809C0" w:rsidRPr="009C5D9B">
        <w:rPr>
          <w:sz w:val="20"/>
          <w:szCs w:val="20"/>
          <w:lang w:val="es-ES"/>
        </w:rPr>
        <w:t xml:space="preserve"> material. </w:t>
      </w:r>
      <w:r w:rsidR="00E51C02" w:rsidRPr="009C5D9B">
        <w:rPr>
          <w:sz w:val="20"/>
          <w:szCs w:val="20"/>
          <w:lang w:val="es-ES"/>
        </w:rPr>
        <w:t>Asimismo,</w:t>
      </w:r>
      <w:r w:rsidR="00D809C0" w:rsidRPr="009C5D9B">
        <w:rPr>
          <w:sz w:val="20"/>
          <w:szCs w:val="20"/>
          <w:lang w:val="es-ES"/>
        </w:rPr>
        <w:t xml:space="preserve"> se </w:t>
      </w:r>
      <w:r w:rsidR="00647A49" w:rsidRPr="009C5D9B">
        <w:rPr>
          <w:sz w:val="20"/>
          <w:szCs w:val="20"/>
          <w:lang w:val="es-ES"/>
        </w:rPr>
        <w:t>ofreció</w:t>
      </w:r>
      <w:r w:rsidR="00D809C0" w:rsidRPr="009C5D9B">
        <w:rPr>
          <w:sz w:val="20"/>
          <w:szCs w:val="20"/>
          <w:lang w:val="es-ES"/>
        </w:rPr>
        <w:t xml:space="preserve"> como prueba un dictamen pericial emitido por el Instituto de </w:t>
      </w:r>
      <w:r w:rsidR="00647A49" w:rsidRPr="009C5D9B">
        <w:rPr>
          <w:sz w:val="20"/>
          <w:szCs w:val="20"/>
          <w:lang w:val="es-ES"/>
        </w:rPr>
        <w:lastRenderedPageBreak/>
        <w:t>Ingeniería</w:t>
      </w:r>
      <w:r w:rsidR="00D809C0" w:rsidRPr="009C5D9B">
        <w:rPr>
          <w:sz w:val="20"/>
          <w:szCs w:val="20"/>
          <w:lang w:val="es-ES"/>
        </w:rPr>
        <w:t xml:space="preserve"> de la Universidad Nacional </w:t>
      </w:r>
      <w:r w:rsidR="00647A49" w:rsidRPr="009C5D9B">
        <w:rPr>
          <w:sz w:val="20"/>
          <w:szCs w:val="20"/>
          <w:lang w:val="es-ES"/>
        </w:rPr>
        <w:t>Autónoma</w:t>
      </w:r>
      <w:r w:rsidR="00D809C0" w:rsidRPr="009C5D9B">
        <w:rPr>
          <w:sz w:val="20"/>
          <w:szCs w:val="20"/>
          <w:lang w:val="es-ES"/>
        </w:rPr>
        <w:t xml:space="preserve"> de </w:t>
      </w:r>
      <w:r w:rsidR="00647A49" w:rsidRPr="009C5D9B">
        <w:rPr>
          <w:sz w:val="20"/>
          <w:szCs w:val="20"/>
          <w:lang w:val="es-ES"/>
        </w:rPr>
        <w:t>México</w:t>
      </w:r>
      <w:r w:rsidR="00A07894" w:rsidRPr="009C5D9B">
        <w:rPr>
          <w:sz w:val="20"/>
          <w:szCs w:val="20"/>
          <w:lang w:val="es-ES"/>
        </w:rPr>
        <w:t xml:space="preserve"> (en adelante “UNAM”)</w:t>
      </w:r>
      <w:r w:rsidR="00D809C0" w:rsidRPr="009C5D9B">
        <w:rPr>
          <w:sz w:val="20"/>
          <w:szCs w:val="20"/>
          <w:lang w:val="es-ES"/>
        </w:rPr>
        <w:t xml:space="preserve">, </w:t>
      </w:r>
      <w:r w:rsidR="00E51C02" w:rsidRPr="009C5D9B">
        <w:rPr>
          <w:sz w:val="20"/>
          <w:szCs w:val="20"/>
          <w:lang w:val="es-ES"/>
        </w:rPr>
        <w:t>con el que</w:t>
      </w:r>
      <w:r w:rsidR="00D809C0" w:rsidRPr="009C5D9B">
        <w:rPr>
          <w:sz w:val="20"/>
          <w:szCs w:val="20"/>
          <w:lang w:val="es-ES"/>
        </w:rPr>
        <w:t xml:space="preserve"> buscaron </w:t>
      </w:r>
      <w:r w:rsidR="006D2287" w:rsidRPr="009C5D9B">
        <w:rPr>
          <w:sz w:val="20"/>
          <w:szCs w:val="20"/>
          <w:lang w:val="es-ES"/>
        </w:rPr>
        <w:t>sustentar</w:t>
      </w:r>
      <w:r w:rsidR="00E51C02" w:rsidRPr="009C5D9B">
        <w:rPr>
          <w:sz w:val="20"/>
          <w:szCs w:val="20"/>
          <w:lang w:val="es-ES"/>
        </w:rPr>
        <w:t xml:space="preserve"> la</w:t>
      </w:r>
      <w:r w:rsidR="006D2287" w:rsidRPr="009C5D9B">
        <w:rPr>
          <w:sz w:val="20"/>
          <w:szCs w:val="20"/>
          <w:lang w:val="es-ES"/>
        </w:rPr>
        <w:t xml:space="preserve"> </w:t>
      </w:r>
      <w:r w:rsidR="00D809C0" w:rsidRPr="009C5D9B">
        <w:rPr>
          <w:sz w:val="20"/>
          <w:szCs w:val="20"/>
          <w:lang w:val="es-ES"/>
        </w:rPr>
        <w:t xml:space="preserve">negligencia en la que </w:t>
      </w:r>
      <w:r w:rsidR="00647A49" w:rsidRPr="009C5D9B">
        <w:rPr>
          <w:sz w:val="20"/>
          <w:szCs w:val="20"/>
          <w:lang w:val="es-ES"/>
        </w:rPr>
        <w:t>había</w:t>
      </w:r>
      <w:r w:rsidR="00D809C0" w:rsidRPr="009C5D9B">
        <w:rPr>
          <w:sz w:val="20"/>
          <w:szCs w:val="20"/>
          <w:lang w:val="es-ES"/>
        </w:rPr>
        <w:t xml:space="preserve"> incurrido la CONAGUA</w:t>
      </w:r>
      <w:r w:rsidR="006D2287" w:rsidRPr="009C5D9B">
        <w:rPr>
          <w:sz w:val="20"/>
          <w:szCs w:val="20"/>
          <w:lang w:val="es-ES"/>
        </w:rPr>
        <w:t xml:space="preserve"> al no</w:t>
      </w:r>
      <w:r w:rsidR="00E51C02" w:rsidRPr="009C5D9B">
        <w:rPr>
          <w:sz w:val="20"/>
          <w:szCs w:val="20"/>
          <w:lang w:val="es-ES"/>
        </w:rPr>
        <w:t xml:space="preserve"> monitorear y dar mantenimiento al túnel que colapsó</w:t>
      </w:r>
      <w:r w:rsidR="00D809C0" w:rsidRPr="009C5D9B">
        <w:rPr>
          <w:sz w:val="20"/>
          <w:szCs w:val="20"/>
          <w:lang w:val="es-ES"/>
        </w:rPr>
        <w:t>.</w:t>
      </w:r>
      <w:r w:rsidR="00647A49" w:rsidRPr="009C5D9B">
        <w:rPr>
          <w:sz w:val="20"/>
          <w:szCs w:val="20"/>
          <w:lang w:val="es-ES"/>
        </w:rPr>
        <w:t xml:space="preserve"> </w:t>
      </w:r>
    </w:p>
    <w:p w14:paraId="6987EBE6" w14:textId="4C10D016" w:rsidR="00D126E6" w:rsidRPr="009C5D9B" w:rsidRDefault="00D126E6" w:rsidP="009C5D9B">
      <w:pPr>
        <w:pStyle w:val="ListParagraph"/>
        <w:numPr>
          <w:ilvl w:val="0"/>
          <w:numId w:val="59"/>
        </w:numPr>
        <w:spacing w:after="240"/>
        <w:ind w:left="0" w:firstLine="720"/>
        <w:jc w:val="both"/>
        <w:rPr>
          <w:sz w:val="20"/>
          <w:szCs w:val="20"/>
          <w:lang w:val="es-ES_tradnl"/>
        </w:rPr>
      </w:pPr>
      <w:r w:rsidRPr="009C5D9B">
        <w:rPr>
          <w:sz w:val="20"/>
          <w:szCs w:val="20"/>
          <w:lang w:val="es-ES_tradnl"/>
        </w:rPr>
        <w:t xml:space="preserve">Sin embargo, el </w:t>
      </w:r>
      <w:r w:rsidR="003C610C" w:rsidRPr="009C5D9B">
        <w:rPr>
          <w:sz w:val="20"/>
          <w:szCs w:val="20"/>
          <w:lang w:val="es-ES_tradnl"/>
        </w:rPr>
        <w:t>21 de julio de 2011</w:t>
      </w:r>
      <w:r w:rsidR="00797BCB">
        <w:rPr>
          <w:sz w:val="20"/>
          <w:szCs w:val="20"/>
          <w:lang w:val="es-ES_tradnl"/>
        </w:rPr>
        <w:t>,</w:t>
      </w:r>
      <w:r w:rsidR="00DF47BB" w:rsidRPr="009C5D9B">
        <w:rPr>
          <w:sz w:val="20"/>
          <w:szCs w:val="20"/>
          <w:lang w:val="es-ES_tradnl"/>
        </w:rPr>
        <w:t xml:space="preserve"> la Subdirección General Jurídica de la CONAGUA</w:t>
      </w:r>
      <w:r w:rsidR="00C851DF" w:rsidRPr="009C5D9B">
        <w:rPr>
          <w:sz w:val="20"/>
          <w:szCs w:val="20"/>
          <w:lang w:val="es-ES_tradnl"/>
        </w:rPr>
        <w:t xml:space="preserve">, </w:t>
      </w:r>
      <w:r w:rsidR="00A2323B" w:rsidRPr="009C5D9B">
        <w:rPr>
          <w:sz w:val="20"/>
          <w:szCs w:val="20"/>
          <w:lang w:val="es-ES_tradnl"/>
        </w:rPr>
        <w:t xml:space="preserve">mediante el </w:t>
      </w:r>
      <w:r w:rsidR="00C851DF" w:rsidRPr="009C5D9B">
        <w:rPr>
          <w:sz w:val="20"/>
          <w:szCs w:val="20"/>
          <w:lang w:val="es-ES_tradnl"/>
        </w:rPr>
        <w:t>oficio BOO.00.02.03.1.1.04521</w:t>
      </w:r>
      <w:r w:rsidR="00797BCB">
        <w:rPr>
          <w:sz w:val="20"/>
          <w:szCs w:val="20"/>
          <w:lang w:val="es-ES_tradnl"/>
        </w:rPr>
        <w:t>,</w:t>
      </w:r>
      <w:r w:rsidRPr="009C5D9B">
        <w:rPr>
          <w:sz w:val="20"/>
          <w:szCs w:val="20"/>
          <w:lang w:val="es-ES_tradnl"/>
        </w:rPr>
        <w:t xml:space="preserve"> decidió no pagar la indemnización </w:t>
      </w:r>
      <w:r w:rsidR="00C851DF" w:rsidRPr="009C5D9B">
        <w:rPr>
          <w:sz w:val="20"/>
          <w:szCs w:val="20"/>
          <w:lang w:val="es-ES_tradnl"/>
        </w:rPr>
        <w:t>por daño patrimonial y moral de las presuntas víctimas,</w:t>
      </w:r>
      <w:r w:rsidR="00BA5835" w:rsidRPr="009C5D9B">
        <w:rPr>
          <w:sz w:val="20"/>
          <w:szCs w:val="20"/>
          <w:lang w:val="es-ES_tradnl"/>
        </w:rPr>
        <w:t xml:space="preserve"> argumentando </w:t>
      </w:r>
      <w:r w:rsidRPr="009C5D9B">
        <w:rPr>
          <w:sz w:val="20"/>
          <w:szCs w:val="20"/>
          <w:lang w:val="es-ES_tradnl"/>
        </w:rPr>
        <w:t>que el hecho se debió a una situación de caso fortuito o fuerza mayor.</w:t>
      </w:r>
      <w:r w:rsidR="004F67B7" w:rsidRPr="009C5D9B">
        <w:rPr>
          <w:sz w:val="20"/>
          <w:szCs w:val="20"/>
          <w:lang w:val="es-ES_tradnl"/>
        </w:rPr>
        <w:t xml:space="preserve"> Dicha subdirección afirmó que el mismo informe de la UNAM indicaba que los eventos pluviales que dieron origen a las inundaciones fueron extraordinarios conforme a información histórica de ocurrencia de entre 90 a 100 años</w:t>
      </w:r>
      <w:r w:rsidR="00FA4103">
        <w:rPr>
          <w:sz w:val="20"/>
          <w:szCs w:val="20"/>
          <w:lang w:val="es-ES_tradnl"/>
        </w:rPr>
        <w:t>. A</w:t>
      </w:r>
      <w:r w:rsidR="004F67B7" w:rsidRPr="009C5D9B">
        <w:rPr>
          <w:sz w:val="20"/>
          <w:szCs w:val="20"/>
          <w:lang w:val="es-ES_tradnl"/>
        </w:rPr>
        <w:t xml:space="preserve">simismo, indicó que otro elemento que ocasionó la ruptura del túnel fue la </w:t>
      </w:r>
      <w:r w:rsidR="000F3F51" w:rsidRPr="009C5D9B">
        <w:rPr>
          <w:sz w:val="20"/>
          <w:szCs w:val="20"/>
          <w:lang w:val="es-ES_tradnl"/>
        </w:rPr>
        <w:t xml:space="preserve">densa </w:t>
      </w:r>
      <w:r w:rsidR="004F67B7" w:rsidRPr="009C5D9B">
        <w:rPr>
          <w:sz w:val="20"/>
          <w:szCs w:val="20"/>
          <w:lang w:val="es-ES_tradnl"/>
        </w:rPr>
        <w:t xml:space="preserve">urbanización en la </w:t>
      </w:r>
      <w:r w:rsidR="000F3F51" w:rsidRPr="009C5D9B">
        <w:rPr>
          <w:sz w:val="20"/>
          <w:szCs w:val="20"/>
          <w:lang w:val="es-ES_tradnl"/>
        </w:rPr>
        <w:t>zona</w:t>
      </w:r>
      <w:r w:rsidR="004F67B7" w:rsidRPr="009C5D9B">
        <w:rPr>
          <w:sz w:val="20"/>
          <w:szCs w:val="20"/>
          <w:lang w:val="es-ES_tradnl"/>
        </w:rPr>
        <w:t xml:space="preserve">, pero que esto no </w:t>
      </w:r>
      <w:r w:rsidR="00A92D48">
        <w:rPr>
          <w:sz w:val="20"/>
          <w:szCs w:val="20"/>
          <w:lang w:val="es-ES_tradnl"/>
        </w:rPr>
        <w:t>era</w:t>
      </w:r>
      <w:r w:rsidR="00A92D48" w:rsidRPr="009C5D9B">
        <w:rPr>
          <w:sz w:val="20"/>
          <w:szCs w:val="20"/>
          <w:lang w:val="es-ES_tradnl"/>
        </w:rPr>
        <w:t xml:space="preserve"> </w:t>
      </w:r>
      <w:r w:rsidR="004F67B7" w:rsidRPr="009C5D9B">
        <w:rPr>
          <w:sz w:val="20"/>
          <w:szCs w:val="20"/>
          <w:lang w:val="es-ES_tradnl"/>
        </w:rPr>
        <w:t>una situación que le correspond</w:t>
      </w:r>
      <w:r w:rsidR="00A92D48">
        <w:rPr>
          <w:sz w:val="20"/>
          <w:szCs w:val="20"/>
          <w:lang w:val="es-ES_tradnl"/>
        </w:rPr>
        <w:t>ía prevenir o supervisar</w:t>
      </w:r>
      <w:r w:rsidR="004F67B7" w:rsidRPr="009C5D9B">
        <w:rPr>
          <w:sz w:val="20"/>
          <w:szCs w:val="20"/>
          <w:lang w:val="es-ES_tradnl"/>
        </w:rPr>
        <w:t xml:space="preserve"> a la CONAGUA. </w:t>
      </w:r>
    </w:p>
    <w:p w14:paraId="2D01C84F" w14:textId="3C0BB29C" w:rsidR="00D126E6" w:rsidRPr="009C5D9B" w:rsidRDefault="00D126E6" w:rsidP="009C5D9B">
      <w:pPr>
        <w:pStyle w:val="ListParagraph"/>
        <w:numPr>
          <w:ilvl w:val="0"/>
          <w:numId w:val="59"/>
        </w:numPr>
        <w:spacing w:after="240"/>
        <w:ind w:left="0" w:firstLine="720"/>
        <w:jc w:val="both"/>
        <w:rPr>
          <w:sz w:val="20"/>
          <w:szCs w:val="20"/>
          <w:lang w:val="es-ES_tradnl"/>
        </w:rPr>
      </w:pPr>
      <w:r w:rsidRPr="009C5D9B">
        <w:rPr>
          <w:sz w:val="20"/>
          <w:szCs w:val="20"/>
          <w:lang w:val="es-ES_tradnl"/>
        </w:rPr>
        <w:t xml:space="preserve">Entonces, el 19 de septiembre de 2011, las presuntas víctimas interpusieron </w:t>
      </w:r>
      <w:r w:rsidR="00721C9E" w:rsidRPr="009C5D9B">
        <w:rPr>
          <w:sz w:val="20"/>
          <w:szCs w:val="20"/>
          <w:lang w:val="es-ES_tradnl"/>
        </w:rPr>
        <w:t xml:space="preserve">un </w:t>
      </w:r>
      <w:r w:rsidRPr="009C5D9B">
        <w:rPr>
          <w:sz w:val="20"/>
          <w:szCs w:val="20"/>
          <w:lang w:val="es-ES_tradnl"/>
        </w:rPr>
        <w:t xml:space="preserve">juicio </w:t>
      </w:r>
      <w:r w:rsidR="00B80A8E" w:rsidRPr="00B80A8E">
        <w:rPr>
          <w:sz w:val="20"/>
          <w:szCs w:val="20"/>
          <w:lang w:val="es-ES_tradnl"/>
        </w:rPr>
        <w:t>por responsabilidad patrimonial</w:t>
      </w:r>
      <w:r w:rsidR="003C610C" w:rsidRPr="009C5D9B">
        <w:rPr>
          <w:rStyle w:val="FootnoteReference"/>
          <w:sz w:val="20"/>
          <w:szCs w:val="20"/>
          <w:lang w:val="es-ES_tradnl"/>
        </w:rPr>
        <w:footnoteReference w:id="11"/>
      </w:r>
      <w:r w:rsidR="00655E0A" w:rsidRPr="009C5D9B">
        <w:rPr>
          <w:sz w:val="20"/>
          <w:szCs w:val="20"/>
          <w:lang w:val="es-ES_tradnl"/>
        </w:rPr>
        <w:t xml:space="preserve">, </w:t>
      </w:r>
      <w:r w:rsidRPr="009C5D9B">
        <w:rPr>
          <w:sz w:val="20"/>
          <w:szCs w:val="20"/>
          <w:lang w:val="es-ES_tradnl"/>
        </w:rPr>
        <w:t>ante la Décima Primera Sala Regional Metropolitana del Tribunal Federal de Justicia Fiscal y Administrativa bajo el expediente 22456/1</w:t>
      </w:r>
      <w:r w:rsidR="004F67B7" w:rsidRPr="009C5D9B">
        <w:rPr>
          <w:sz w:val="20"/>
          <w:szCs w:val="20"/>
          <w:lang w:val="es-ES_tradnl"/>
        </w:rPr>
        <w:t>2</w:t>
      </w:r>
      <w:r w:rsidRPr="009C5D9B">
        <w:rPr>
          <w:sz w:val="20"/>
          <w:szCs w:val="20"/>
          <w:lang w:val="es-ES_tradnl"/>
        </w:rPr>
        <w:t>-17-11-7</w:t>
      </w:r>
      <w:r w:rsidR="00A92D48">
        <w:rPr>
          <w:sz w:val="20"/>
          <w:szCs w:val="20"/>
          <w:lang w:val="es-ES_tradnl"/>
        </w:rPr>
        <w:t>. D</w:t>
      </w:r>
      <w:r w:rsidRPr="009C5D9B">
        <w:rPr>
          <w:sz w:val="20"/>
          <w:szCs w:val="20"/>
          <w:lang w:val="es-ES_tradnl"/>
        </w:rPr>
        <w:t>icha sala, mediante sentencia de 1 de octubre de 2012</w:t>
      </w:r>
      <w:r w:rsidR="00A2323B" w:rsidRPr="009C5D9B">
        <w:rPr>
          <w:sz w:val="20"/>
          <w:szCs w:val="20"/>
          <w:lang w:val="es-ES_tradnl"/>
        </w:rPr>
        <w:t>,</w:t>
      </w:r>
      <w:r w:rsidRPr="009C5D9B">
        <w:rPr>
          <w:sz w:val="20"/>
          <w:szCs w:val="20"/>
          <w:lang w:val="es-ES_tradnl"/>
        </w:rPr>
        <w:t xml:space="preserve"> reconoció la validez de la resolución emitida por </w:t>
      </w:r>
      <w:r w:rsidR="00074375" w:rsidRPr="009C5D9B">
        <w:rPr>
          <w:sz w:val="20"/>
          <w:szCs w:val="20"/>
          <w:lang w:val="es-ES_tradnl"/>
        </w:rPr>
        <w:t xml:space="preserve">la </w:t>
      </w:r>
      <w:r w:rsidRPr="009C5D9B">
        <w:rPr>
          <w:sz w:val="20"/>
          <w:szCs w:val="20"/>
          <w:lang w:val="es-ES_tradnl"/>
        </w:rPr>
        <w:t>CONAGUA</w:t>
      </w:r>
      <w:r w:rsidR="00A2323B" w:rsidRPr="009C5D9B">
        <w:rPr>
          <w:sz w:val="20"/>
          <w:szCs w:val="20"/>
          <w:lang w:val="es-ES_tradnl"/>
        </w:rPr>
        <w:t xml:space="preserve"> </w:t>
      </w:r>
      <w:r w:rsidR="00424FE3" w:rsidRPr="009C5D9B">
        <w:rPr>
          <w:sz w:val="20"/>
          <w:szCs w:val="20"/>
          <w:lang w:val="es-ES_tradnl"/>
        </w:rPr>
        <w:t>de</w:t>
      </w:r>
      <w:r w:rsidR="00A2323B" w:rsidRPr="009C5D9B">
        <w:rPr>
          <w:sz w:val="20"/>
          <w:szCs w:val="20"/>
          <w:lang w:val="es-ES_tradnl"/>
        </w:rPr>
        <w:t xml:space="preserve"> </w:t>
      </w:r>
      <w:r w:rsidRPr="009C5D9B">
        <w:rPr>
          <w:sz w:val="20"/>
          <w:szCs w:val="20"/>
          <w:lang w:val="es-ES_tradnl"/>
        </w:rPr>
        <w:t xml:space="preserve">negar la indemnización reclamada. </w:t>
      </w:r>
      <w:r w:rsidR="00655E0A" w:rsidRPr="009C5D9B">
        <w:rPr>
          <w:sz w:val="20"/>
          <w:szCs w:val="20"/>
          <w:lang w:val="es-ES_tradnl"/>
        </w:rPr>
        <w:t xml:space="preserve">La sala </w:t>
      </w:r>
      <w:r w:rsidR="00E265AC" w:rsidRPr="009C5D9B">
        <w:rPr>
          <w:sz w:val="20"/>
          <w:szCs w:val="20"/>
          <w:lang w:val="es-ES_tradnl"/>
        </w:rPr>
        <w:t xml:space="preserve">advirtió que las inundaciones fueron ocasionadas por un fenómeno natural hidrometeorológico </w:t>
      </w:r>
      <w:r w:rsidR="00A846C0" w:rsidRPr="009C5D9B">
        <w:rPr>
          <w:sz w:val="20"/>
          <w:szCs w:val="20"/>
          <w:lang w:val="es-ES_tradnl"/>
        </w:rPr>
        <w:t>reconocido en una</w:t>
      </w:r>
      <w:r w:rsidR="00E265AC" w:rsidRPr="009C5D9B">
        <w:rPr>
          <w:sz w:val="20"/>
          <w:szCs w:val="20"/>
          <w:lang w:val="es-ES_tradnl"/>
        </w:rPr>
        <w:t xml:space="preserve"> declaración de zona de desastre</w:t>
      </w:r>
      <w:r w:rsidR="008041AF">
        <w:rPr>
          <w:sz w:val="20"/>
          <w:szCs w:val="20"/>
          <w:lang w:val="es-ES_tradnl"/>
        </w:rPr>
        <w:t>,</w:t>
      </w:r>
      <w:r w:rsidR="00E265AC" w:rsidRPr="009C5D9B">
        <w:rPr>
          <w:sz w:val="20"/>
          <w:szCs w:val="20"/>
          <w:lang w:val="es-ES_tradnl"/>
        </w:rPr>
        <w:t xml:space="preserve"> publicada por el Diario Oficial de la Federación el 14 de septiembre de 2009. </w:t>
      </w:r>
      <w:r w:rsidR="00A2323B" w:rsidRPr="009C5D9B">
        <w:rPr>
          <w:sz w:val="20"/>
          <w:szCs w:val="20"/>
          <w:lang w:val="es-ES_tradnl"/>
        </w:rPr>
        <w:t>Además, c</w:t>
      </w:r>
      <w:r w:rsidR="00E265AC" w:rsidRPr="009C5D9B">
        <w:rPr>
          <w:sz w:val="20"/>
          <w:szCs w:val="20"/>
          <w:lang w:val="es-ES_tradnl"/>
        </w:rPr>
        <w:t>onsideró que las presuntas víctimas no acreditaron que la CONAGUA hubiera actuado de manera negligente el 6 de septiembre de 2009</w:t>
      </w:r>
      <w:r w:rsidR="003F379E" w:rsidRPr="009C5D9B">
        <w:rPr>
          <w:sz w:val="20"/>
          <w:szCs w:val="20"/>
          <w:lang w:val="es-ES_tradnl"/>
        </w:rPr>
        <w:t>,</w:t>
      </w:r>
      <w:r w:rsidR="00E265AC" w:rsidRPr="009C5D9B">
        <w:rPr>
          <w:sz w:val="20"/>
          <w:szCs w:val="20"/>
          <w:lang w:val="es-ES_tradnl"/>
        </w:rPr>
        <w:t xml:space="preserve"> y menos que esa alegada negligencia hubiera ocasionado la ruptura del túnel.</w:t>
      </w:r>
    </w:p>
    <w:p w14:paraId="78077A2F" w14:textId="05A7D51A" w:rsidR="00D126E6" w:rsidRPr="009C5D9B" w:rsidRDefault="00D126E6" w:rsidP="009C5D9B">
      <w:pPr>
        <w:pStyle w:val="ListParagraph"/>
        <w:numPr>
          <w:ilvl w:val="0"/>
          <w:numId w:val="59"/>
        </w:numPr>
        <w:spacing w:after="240"/>
        <w:ind w:left="0" w:firstLine="720"/>
        <w:jc w:val="both"/>
        <w:rPr>
          <w:sz w:val="20"/>
          <w:szCs w:val="20"/>
          <w:lang w:val="es-ES_tradnl"/>
        </w:rPr>
      </w:pPr>
      <w:r w:rsidRPr="009C5D9B">
        <w:rPr>
          <w:sz w:val="20"/>
          <w:szCs w:val="20"/>
          <w:lang w:val="es-ES_tradnl"/>
        </w:rPr>
        <w:t>En contra de la referida sentencia, el 23 de mayo de 2013</w:t>
      </w:r>
      <w:r w:rsidR="0089607A">
        <w:rPr>
          <w:sz w:val="20"/>
          <w:szCs w:val="20"/>
          <w:lang w:val="es-ES_tradnl"/>
        </w:rPr>
        <w:t>,</w:t>
      </w:r>
      <w:r w:rsidRPr="009C5D9B">
        <w:rPr>
          <w:sz w:val="20"/>
          <w:szCs w:val="20"/>
          <w:lang w:val="es-ES_tradnl"/>
        </w:rPr>
        <w:t xml:space="preserve"> las presuntas víctimas promovieron un juicio de amparo directo ante el Décimo Tercer Tribunal Colegiado en Materia Administrativa</w:t>
      </w:r>
      <w:r w:rsidR="00DB7DB0" w:rsidRPr="009C5D9B">
        <w:rPr>
          <w:sz w:val="20"/>
          <w:szCs w:val="20"/>
          <w:lang w:val="es-ES_tradnl"/>
        </w:rPr>
        <w:t xml:space="preserve"> del Primer Circuito</w:t>
      </w:r>
      <w:r w:rsidRPr="009C5D9B">
        <w:rPr>
          <w:sz w:val="20"/>
          <w:szCs w:val="20"/>
          <w:lang w:val="es-ES_tradnl"/>
        </w:rPr>
        <w:t>, bajo el expediente número</w:t>
      </w:r>
      <w:r w:rsidR="00B646C9" w:rsidRPr="009C5D9B">
        <w:rPr>
          <w:sz w:val="20"/>
          <w:szCs w:val="20"/>
          <w:lang w:val="es-ES_tradnl"/>
        </w:rPr>
        <w:t xml:space="preserve"> </w:t>
      </w:r>
      <w:r w:rsidRPr="009C5D9B">
        <w:rPr>
          <w:sz w:val="20"/>
          <w:szCs w:val="20"/>
          <w:lang w:val="es-ES_tradnl"/>
        </w:rPr>
        <w:t>598/2013</w:t>
      </w:r>
      <w:r w:rsidR="00DB7DB0" w:rsidRPr="009C5D9B">
        <w:rPr>
          <w:sz w:val="20"/>
          <w:szCs w:val="20"/>
          <w:lang w:val="es-ES_tradnl"/>
        </w:rPr>
        <w:t>. E</w:t>
      </w:r>
      <w:r w:rsidR="00DC6922" w:rsidRPr="009C5D9B">
        <w:rPr>
          <w:sz w:val="20"/>
          <w:szCs w:val="20"/>
          <w:lang w:val="es-ES_tradnl"/>
        </w:rPr>
        <w:t>ste</w:t>
      </w:r>
      <w:r w:rsidR="00DB7DB0" w:rsidRPr="009C5D9B">
        <w:rPr>
          <w:sz w:val="20"/>
          <w:szCs w:val="20"/>
          <w:lang w:val="es-ES_tradnl"/>
        </w:rPr>
        <w:t xml:space="preserve"> amparo, no obstante, fue negado </w:t>
      </w:r>
      <w:r w:rsidRPr="009C5D9B">
        <w:rPr>
          <w:sz w:val="20"/>
          <w:szCs w:val="20"/>
          <w:lang w:val="es-ES_tradnl"/>
        </w:rPr>
        <w:t>el 15 de noviembre de 2013,</w:t>
      </w:r>
      <w:r w:rsidR="00A846C0" w:rsidRPr="009C5D9B">
        <w:rPr>
          <w:sz w:val="20"/>
          <w:szCs w:val="20"/>
          <w:lang w:val="es-ES_tradnl"/>
        </w:rPr>
        <w:t xml:space="preserve"> y la </w:t>
      </w:r>
      <w:r w:rsidR="00DB7DB0" w:rsidRPr="009C5D9B">
        <w:rPr>
          <w:sz w:val="20"/>
          <w:szCs w:val="20"/>
          <w:lang w:val="es-ES_tradnl"/>
        </w:rPr>
        <w:t xml:space="preserve">decisión se </w:t>
      </w:r>
      <w:r w:rsidRPr="009C5D9B">
        <w:rPr>
          <w:sz w:val="20"/>
          <w:szCs w:val="20"/>
          <w:lang w:val="es-ES_tradnl"/>
        </w:rPr>
        <w:t xml:space="preserve">notificó </w:t>
      </w:r>
      <w:r w:rsidR="00A846C0" w:rsidRPr="009C5D9B">
        <w:rPr>
          <w:sz w:val="20"/>
          <w:szCs w:val="20"/>
          <w:lang w:val="es-ES_tradnl"/>
        </w:rPr>
        <w:t xml:space="preserve">a las presuntas víctimas </w:t>
      </w:r>
      <w:r w:rsidRPr="009C5D9B">
        <w:rPr>
          <w:sz w:val="20"/>
          <w:szCs w:val="20"/>
          <w:lang w:val="es-ES_tradnl"/>
        </w:rPr>
        <w:t>el 27 de noviembre de 2013</w:t>
      </w:r>
      <w:r w:rsidR="00DB7DB0" w:rsidRPr="009C5D9B">
        <w:rPr>
          <w:sz w:val="20"/>
          <w:szCs w:val="20"/>
          <w:lang w:val="es-ES_tradnl"/>
        </w:rPr>
        <w:t xml:space="preserve">. Finalmente, </w:t>
      </w:r>
      <w:r w:rsidRPr="009C5D9B">
        <w:rPr>
          <w:sz w:val="20"/>
          <w:szCs w:val="20"/>
          <w:lang w:val="es-ES_tradnl"/>
        </w:rPr>
        <w:t>mediante acuerdo de</w:t>
      </w:r>
      <w:r w:rsidR="00A846C0" w:rsidRPr="009C5D9B">
        <w:rPr>
          <w:sz w:val="20"/>
          <w:szCs w:val="20"/>
          <w:lang w:val="es-ES_tradnl"/>
        </w:rPr>
        <w:t>l</w:t>
      </w:r>
      <w:r w:rsidRPr="009C5D9B">
        <w:rPr>
          <w:sz w:val="20"/>
          <w:szCs w:val="20"/>
          <w:lang w:val="es-ES_tradnl"/>
        </w:rPr>
        <w:t xml:space="preserve"> 15 de enero de 2014 se ordenó el archivo del expediente. </w:t>
      </w:r>
    </w:p>
    <w:p w14:paraId="5341D68B" w14:textId="022ADD2C" w:rsidR="00994E33" w:rsidRPr="009C5D9B" w:rsidRDefault="00DB7DB0" w:rsidP="009C5D9B">
      <w:pPr>
        <w:pStyle w:val="ListParagraph"/>
        <w:numPr>
          <w:ilvl w:val="0"/>
          <w:numId w:val="59"/>
        </w:numPr>
        <w:spacing w:after="240"/>
        <w:ind w:left="0" w:firstLine="720"/>
        <w:jc w:val="both"/>
        <w:rPr>
          <w:sz w:val="20"/>
          <w:szCs w:val="20"/>
          <w:lang w:val="es-ES_tradnl"/>
        </w:rPr>
      </w:pPr>
      <w:r w:rsidRPr="009C5D9B">
        <w:rPr>
          <w:sz w:val="20"/>
          <w:szCs w:val="20"/>
          <w:lang w:val="es-ES_tradnl"/>
        </w:rPr>
        <w:t>En la sentencia</w:t>
      </w:r>
      <w:r w:rsidR="00BA5835" w:rsidRPr="009C5D9B">
        <w:rPr>
          <w:sz w:val="20"/>
          <w:szCs w:val="20"/>
          <w:lang w:val="es-ES_tradnl"/>
        </w:rPr>
        <w:t xml:space="preserve"> de amparo</w:t>
      </w:r>
      <w:r w:rsidRPr="009C5D9B">
        <w:rPr>
          <w:sz w:val="20"/>
          <w:szCs w:val="20"/>
          <w:lang w:val="es-ES_tradnl"/>
        </w:rPr>
        <w:t xml:space="preserve">, el </w:t>
      </w:r>
      <w:r w:rsidR="00D126E6" w:rsidRPr="009C5D9B">
        <w:rPr>
          <w:sz w:val="20"/>
          <w:szCs w:val="20"/>
          <w:lang w:val="es-ES_tradnl"/>
        </w:rPr>
        <w:t xml:space="preserve">tribunal </w:t>
      </w:r>
      <w:r w:rsidR="00994E33" w:rsidRPr="009C5D9B">
        <w:rPr>
          <w:sz w:val="20"/>
          <w:szCs w:val="20"/>
          <w:lang w:val="es-ES_tradnl"/>
        </w:rPr>
        <w:t xml:space="preserve">recordó </w:t>
      </w:r>
      <w:r w:rsidR="00431A26" w:rsidRPr="009C5D9B">
        <w:rPr>
          <w:sz w:val="20"/>
          <w:szCs w:val="20"/>
          <w:lang w:val="es-ES_tradnl"/>
        </w:rPr>
        <w:t>que</w:t>
      </w:r>
      <w:r w:rsidR="0089607A">
        <w:rPr>
          <w:sz w:val="20"/>
          <w:szCs w:val="20"/>
          <w:lang w:val="es-ES_tradnl"/>
        </w:rPr>
        <w:t>,</w:t>
      </w:r>
      <w:r w:rsidR="00431A26" w:rsidRPr="009C5D9B">
        <w:rPr>
          <w:sz w:val="20"/>
          <w:szCs w:val="20"/>
          <w:lang w:val="es-ES_tradnl"/>
        </w:rPr>
        <w:t xml:space="preserve"> </w:t>
      </w:r>
      <w:r w:rsidR="00994E33" w:rsidRPr="009C5D9B">
        <w:rPr>
          <w:sz w:val="20"/>
          <w:szCs w:val="20"/>
          <w:lang w:val="es-ES_tradnl"/>
        </w:rPr>
        <w:t>conforme a la legislación nacional</w:t>
      </w:r>
      <w:r w:rsidR="0089607A">
        <w:rPr>
          <w:sz w:val="20"/>
          <w:szCs w:val="20"/>
          <w:lang w:val="es-ES_tradnl"/>
        </w:rPr>
        <w:t>,</w:t>
      </w:r>
      <w:r w:rsidR="00124661" w:rsidRPr="009C5D9B">
        <w:rPr>
          <w:sz w:val="20"/>
          <w:szCs w:val="20"/>
          <w:lang w:val="es-ES_tradnl"/>
        </w:rPr>
        <w:t xml:space="preserve"> </w:t>
      </w:r>
      <w:r w:rsidR="00994E33" w:rsidRPr="009C5D9B">
        <w:rPr>
          <w:sz w:val="20"/>
          <w:szCs w:val="20"/>
          <w:lang w:val="es-ES_tradnl"/>
        </w:rPr>
        <w:t xml:space="preserve">para que proceda </w:t>
      </w:r>
      <w:r w:rsidR="00124661" w:rsidRPr="009C5D9B">
        <w:rPr>
          <w:sz w:val="20"/>
          <w:szCs w:val="20"/>
          <w:lang w:val="es-ES_tradnl"/>
        </w:rPr>
        <w:t xml:space="preserve">un </w:t>
      </w:r>
      <w:r w:rsidR="00994E33" w:rsidRPr="009C5D9B">
        <w:rPr>
          <w:sz w:val="20"/>
          <w:szCs w:val="20"/>
          <w:lang w:val="es-ES_tradnl"/>
        </w:rPr>
        <w:t>pago indemnizatorio por actividad administrativa irregular</w:t>
      </w:r>
      <w:r w:rsidR="00431A26" w:rsidRPr="009C5D9B">
        <w:rPr>
          <w:sz w:val="20"/>
          <w:szCs w:val="20"/>
          <w:lang w:val="es-ES_tradnl"/>
        </w:rPr>
        <w:t xml:space="preserve"> </w:t>
      </w:r>
      <w:r w:rsidR="00994E33" w:rsidRPr="009C5D9B">
        <w:rPr>
          <w:sz w:val="20"/>
          <w:szCs w:val="20"/>
          <w:lang w:val="es-ES_tradnl"/>
        </w:rPr>
        <w:t>es necesario que exista</w:t>
      </w:r>
      <w:r w:rsidR="00151992" w:rsidRPr="009C5D9B">
        <w:rPr>
          <w:sz w:val="20"/>
          <w:szCs w:val="20"/>
          <w:lang w:val="es-ES_tradnl"/>
        </w:rPr>
        <w:t>:</w:t>
      </w:r>
      <w:r w:rsidR="00994E33" w:rsidRPr="009C5D9B">
        <w:rPr>
          <w:sz w:val="20"/>
          <w:szCs w:val="20"/>
          <w:lang w:val="es-ES_tradnl"/>
        </w:rPr>
        <w:t xml:space="preserve"> una imputabilidad material del hecho al Estado en el ejercicio de sus funciones</w:t>
      </w:r>
      <w:r w:rsidR="00431A26" w:rsidRPr="009C5D9B">
        <w:rPr>
          <w:sz w:val="20"/>
          <w:szCs w:val="20"/>
          <w:lang w:val="es-ES_tradnl"/>
        </w:rPr>
        <w:t>;</w:t>
      </w:r>
      <w:r w:rsidR="00994E33" w:rsidRPr="009C5D9B">
        <w:rPr>
          <w:sz w:val="20"/>
          <w:szCs w:val="20"/>
          <w:lang w:val="es-ES_tradnl"/>
        </w:rPr>
        <w:t xml:space="preserve"> un daño cierto</w:t>
      </w:r>
      <w:r w:rsidR="00431A26" w:rsidRPr="009C5D9B">
        <w:rPr>
          <w:sz w:val="20"/>
          <w:szCs w:val="20"/>
          <w:lang w:val="es-ES_tradnl"/>
        </w:rPr>
        <w:t>;</w:t>
      </w:r>
      <w:r w:rsidR="00994E33" w:rsidRPr="009C5D9B">
        <w:rPr>
          <w:sz w:val="20"/>
          <w:szCs w:val="20"/>
          <w:lang w:val="es-ES_tradnl"/>
        </w:rPr>
        <w:t xml:space="preserve"> y</w:t>
      </w:r>
      <w:r w:rsidR="00431A26" w:rsidRPr="009C5D9B">
        <w:rPr>
          <w:sz w:val="20"/>
          <w:szCs w:val="20"/>
          <w:lang w:val="es-ES_tradnl"/>
        </w:rPr>
        <w:t xml:space="preserve"> </w:t>
      </w:r>
      <w:r w:rsidR="00994E33" w:rsidRPr="009C5D9B">
        <w:rPr>
          <w:sz w:val="20"/>
          <w:szCs w:val="20"/>
          <w:lang w:val="es-ES_tradnl"/>
        </w:rPr>
        <w:t xml:space="preserve">un nexo causal entre éstos. </w:t>
      </w:r>
      <w:r w:rsidR="00442AA5" w:rsidRPr="009C5D9B">
        <w:rPr>
          <w:sz w:val="20"/>
          <w:szCs w:val="20"/>
          <w:lang w:val="es-ES_tradnl"/>
        </w:rPr>
        <w:t xml:space="preserve">También </w:t>
      </w:r>
      <w:r w:rsidR="003D7145" w:rsidRPr="009C5D9B">
        <w:rPr>
          <w:sz w:val="20"/>
          <w:szCs w:val="20"/>
          <w:lang w:val="es-ES_tradnl"/>
        </w:rPr>
        <w:t xml:space="preserve">indicó </w:t>
      </w:r>
      <w:r w:rsidR="00442AA5" w:rsidRPr="009C5D9B">
        <w:rPr>
          <w:sz w:val="20"/>
          <w:szCs w:val="20"/>
          <w:lang w:val="es-ES_tradnl"/>
        </w:rPr>
        <w:t>que</w:t>
      </w:r>
      <w:r w:rsidR="009C0C29" w:rsidRPr="009C5D9B">
        <w:rPr>
          <w:sz w:val="20"/>
          <w:szCs w:val="20"/>
          <w:lang w:val="es-ES_tradnl"/>
        </w:rPr>
        <w:t xml:space="preserve">, </w:t>
      </w:r>
      <w:r w:rsidR="00683078">
        <w:rPr>
          <w:sz w:val="20"/>
          <w:szCs w:val="20"/>
          <w:lang w:val="es-ES_tradnl"/>
        </w:rPr>
        <w:t>de acuerdo con</w:t>
      </w:r>
      <w:r w:rsidR="00683078" w:rsidRPr="009C5D9B">
        <w:rPr>
          <w:sz w:val="20"/>
          <w:szCs w:val="20"/>
          <w:lang w:val="es-ES_tradnl"/>
        </w:rPr>
        <w:t xml:space="preserve"> </w:t>
      </w:r>
      <w:r w:rsidR="00683078">
        <w:rPr>
          <w:sz w:val="20"/>
          <w:szCs w:val="20"/>
          <w:lang w:val="es-ES_tradnl"/>
        </w:rPr>
        <w:t>e</w:t>
      </w:r>
      <w:r w:rsidR="00024FC6" w:rsidRPr="009C5D9B">
        <w:rPr>
          <w:sz w:val="20"/>
          <w:szCs w:val="20"/>
          <w:lang w:val="es-ES_tradnl"/>
        </w:rPr>
        <w:t>l artículo 22 de la Ley Federal de Responsabilidad Patrimonial del Estado</w:t>
      </w:r>
      <w:r w:rsidR="00024FC6" w:rsidRPr="009C5D9B">
        <w:rPr>
          <w:rStyle w:val="FootnoteReference"/>
          <w:color w:val="auto"/>
          <w:sz w:val="20"/>
          <w:szCs w:val="20"/>
          <w:lang w:val="es-ES_tradnl"/>
        </w:rPr>
        <w:footnoteReference w:id="12"/>
      </w:r>
      <w:r w:rsidR="00024FC6" w:rsidRPr="009C5D9B">
        <w:rPr>
          <w:color w:val="auto"/>
          <w:sz w:val="20"/>
          <w:szCs w:val="20"/>
          <w:lang w:val="es-ES_tradnl"/>
        </w:rPr>
        <w:t xml:space="preserve">, </w:t>
      </w:r>
      <w:r w:rsidR="009C0C29" w:rsidRPr="009C5D9B">
        <w:rPr>
          <w:color w:val="auto"/>
          <w:sz w:val="20"/>
          <w:szCs w:val="20"/>
          <w:lang w:val="es-ES_tradnl"/>
        </w:rPr>
        <w:t xml:space="preserve">para </w:t>
      </w:r>
      <w:r w:rsidR="00124661" w:rsidRPr="009C5D9B">
        <w:rPr>
          <w:color w:val="auto"/>
          <w:sz w:val="20"/>
          <w:szCs w:val="20"/>
          <w:lang w:val="es-ES_tradnl"/>
        </w:rPr>
        <w:t>denunciar una</w:t>
      </w:r>
      <w:r w:rsidR="009C0C29" w:rsidRPr="009C5D9B">
        <w:rPr>
          <w:color w:val="auto"/>
          <w:sz w:val="20"/>
          <w:szCs w:val="20"/>
          <w:lang w:val="es-ES_tradnl"/>
        </w:rPr>
        <w:t xml:space="preserve"> reclamación administrativa, </w:t>
      </w:r>
      <w:r w:rsidR="005B3F5B" w:rsidRPr="009C5D9B">
        <w:rPr>
          <w:color w:val="auto"/>
          <w:sz w:val="20"/>
          <w:szCs w:val="20"/>
          <w:lang w:val="es-ES_tradnl"/>
        </w:rPr>
        <w:t>corresponde al reclamante que considere lesionado su patrimoni</w:t>
      </w:r>
      <w:r w:rsidR="00124661" w:rsidRPr="009C5D9B">
        <w:rPr>
          <w:color w:val="auto"/>
          <w:sz w:val="20"/>
          <w:szCs w:val="20"/>
          <w:lang w:val="es-ES_tradnl"/>
        </w:rPr>
        <w:t>o</w:t>
      </w:r>
      <w:r w:rsidR="009C0C29" w:rsidRPr="009C5D9B">
        <w:rPr>
          <w:color w:val="auto"/>
          <w:sz w:val="20"/>
          <w:szCs w:val="20"/>
          <w:lang w:val="es-ES_tradnl"/>
        </w:rPr>
        <w:t xml:space="preserve"> probar la alegada responsabilidad del Estado</w:t>
      </w:r>
      <w:r w:rsidR="00800F03" w:rsidRPr="009C5D9B">
        <w:rPr>
          <w:color w:val="auto"/>
          <w:sz w:val="20"/>
          <w:szCs w:val="20"/>
          <w:lang w:val="es-ES_tradnl"/>
        </w:rPr>
        <w:t>;</w:t>
      </w:r>
      <w:r w:rsidR="00647A49" w:rsidRPr="009C5D9B">
        <w:rPr>
          <w:color w:val="auto"/>
          <w:sz w:val="20"/>
          <w:szCs w:val="20"/>
          <w:lang w:val="es-ES_tradnl"/>
        </w:rPr>
        <w:t xml:space="preserve"> y </w:t>
      </w:r>
      <w:r w:rsidR="00800F03" w:rsidRPr="009C5D9B">
        <w:rPr>
          <w:color w:val="auto"/>
          <w:sz w:val="20"/>
          <w:szCs w:val="20"/>
          <w:lang w:val="es-ES_tradnl"/>
        </w:rPr>
        <w:t xml:space="preserve">que </w:t>
      </w:r>
      <w:r w:rsidR="00647A49" w:rsidRPr="009C5D9B">
        <w:rPr>
          <w:color w:val="auto"/>
          <w:sz w:val="20"/>
          <w:szCs w:val="20"/>
          <w:lang w:val="es-ES_tradnl"/>
        </w:rPr>
        <w:t xml:space="preserve">al Estado le </w:t>
      </w:r>
      <w:r w:rsidR="00B9657B">
        <w:rPr>
          <w:color w:val="auto"/>
          <w:sz w:val="20"/>
          <w:szCs w:val="20"/>
          <w:lang w:val="es-ES_tradnl"/>
        </w:rPr>
        <w:t>compete</w:t>
      </w:r>
      <w:r w:rsidR="00B9657B" w:rsidRPr="009C5D9B">
        <w:rPr>
          <w:color w:val="auto"/>
          <w:sz w:val="20"/>
          <w:szCs w:val="20"/>
          <w:lang w:val="es-ES_tradnl"/>
        </w:rPr>
        <w:t xml:space="preserve"> </w:t>
      </w:r>
      <w:r w:rsidR="009C0C29" w:rsidRPr="009C5D9B">
        <w:rPr>
          <w:color w:val="auto"/>
          <w:sz w:val="20"/>
          <w:szCs w:val="20"/>
          <w:lang w:val="es-ES_tradnl"/>
        </w:rPr>
        <w:t>probar</w:t>
      </w:r>
      <w:r w:rsidR="00647A49" w:rsidRPr="009C5D9B">
        <w:rPr>
          <w:color w:val="auto"/>
          <w:sz w:val="20"/>
          <w:szCs w:val="20"/>
          <w:lang w:val="es-ES_tradnl"/>
        </w:rPr>
        <w:t xml:space="preserve"> que los daños no son consecuencia de actividad administrativa </w:t>
      </w:r>
      <w:r w:rsidR="00442AA5" w:rsidRPr="009C5D9B">
        <w:rPr>
          <w:color w:val="auto"/>
          <w:sz w:val="20"/>
          <w:szCs w:val="20"/>
          <w:lang w:val="es-ES_tradnl"/>
        </w:rPr>
        <w:t xml:space="preserve">o </w:t>
      </w:r>
      <w:r w:rsidR="00647A49" w:rsidRPr="009C5D9B">
        <w:rPr>
          <w:color w:val="auto"/>
          <w:sz w:val="20"/>
          <w:szCs w:val="20"/>
          <w:lang w:val="es-ES_tradnl"/>
        </w:rPr>
        <w:t xml:space="preserve">que derivan </w:t>
      </w:r>
      <w:r w:rsidR="00647A49" w:rsidRPr="009C5D9B">
        <w:rPr>
          <w:color w:val="auto"/>
          <w:sz w:val="20"/>
          <w:szCs w:val="20"/>
          <w:lang w:val="es-ES"/>
        </w:rPr>
        <w:t>de fuerza mayor</w:t>
      </w:r>
      <w:r w:rsidR="00442AA5" w:rsidRPr="009C5D9B">
        <w:rPr>
          <w:color w:val="auto"/>
          <w:sz w:val="20"/>
          <w:szCs w:val="20"/>
          <w:lang w:val="es-ES"/>
        </w:rPr>
        <w:t xml:space="preserve">. </w:t>
      </w:r>
      <w:r w:rsidR="00B53495" w:rsidRPr="009C5D9B">
        <w:rPr>
          <w:color w:val="auto"/>
          <w:sz w:val="20"/>
          <w:szCs w:val="20"/>
          <w:lang w:val="es-ES"/>
        </w:rPr>
        <w:t>Así, e</w:t>
      </w:r>
      <w:r w:rsidR="00124661" w:rsidRPr="009C5D9B">
        <w:rPr>
          <w:color w:val="auto"/>
          <w:sz w:val="20"/>
          <w:szCs w:val="20"/>
          <w:lang w:val="es-ES"/>
        </w:rPr>
        <w:t>n la sentencia, se encontró qu</w:t>
      </w:r>
      <w:r w:rsidR="00442AA5" w:rsidRPr="009C5D9B">
        <w:rPr>
          <w:color w:val="auto"/>
          <w:sz w:val="20"/>
          <w:szCs w:val="20"/>
          <w:lang w:val="es-ES"/>
        </w:rPr>
        <w:t xml:space="preserve">e se configuraba un </w:t>
      </w:r>
      <w:r w:rsidR="00124661" w:rsidRPr="009C5D9B">
        <w:rPr>
          <w:color w:val="auto"/>
          <w:sz w:val="20"/>
          <w:szCs w:val="20"/>
          <w:lang w:val="es-ES"/>
        </w:rPr>
        <w:t>caso de fuerza mayor</w:t>
      </w:r>
      <w:r w:rsidR="00442AA5" w:rsidRPr="009C5D9B">
        <w:rPr>
          <w:color w:val="auto"/>
          <w:sz w:val="20"/>
          <w:szCs w:val="20"/>
          <w:lang w:val="es-ES"/>
        </w:rPr>
        <w:t xml:space="preserve"> y</w:t>
      </w:r>
      <w:r w:rsidR="00B9657B">
        <w:rPr>
          <w:color w:val="auto"/>
          <w:sz w:val="20"/>
          <w:szCs w:val="20"/>
          <w:lang w:val="es-ES"/>
        </w:rPr>
        <w:t>,</w:t>
      </w:r>
      <w:r w:rsidR="00442AA5" w:rsidRPr="009C5D9B">
        <w:rPr>
          <w:color w:val="auto"/>
          <w:sz w:val="20"/>
          <w:szCs w:val="20"/>
          <w:lang w:val="es-ES"/>
        </w:rPr>
        <w:t xml:space="preserve"> por lo tanto, una </w:t>
      </w:r>
      <w:r w:rsidR="00124661" w:rsidRPr="009C5D9B">
        <w:rPr>
          <w:sz w:val="20"/>
          <w:szCs w:val="20"/>
          <w:lang w:val="es-ES_tradnl"/>
        </w:rPr>
        <w:t>excepción a la responsabilidad de</w:t>
      </w:r>
      <w:r w:rsidR="00442AA5" w:rsidRPr="009C5D9B">
        <w:rPr>
          <w:sz w:val="20"/>
          <w:szCs w:val="20"/>
          <w:lang w:val="es-ES_tradnl"/>
        </w:rPr>
        <w:t xml:space="preserve"> la</w:t>
      </w:r>
      <w:r w:rsidR="00124661" w:rsidRPr="009C5D9B">
        <w:rPr>
          <w:sz w:val="20"/>
          <w:szCs w:val="20"/>
          <w:lang w:val="es-ES_tradnl"/>
        </w:rPr>
        <w:t xml:space="preserve"> CONAGUA. </w:t>
      </w:r>
    </w:p>
    <w:p w14:paraId="14D1BD17" w14:textId="073365A7" w:rsidR="00124661" w:rsidRPr="009C5D9B" w:rsidRDefault="00124661" w:rsidP="009C5D9B">
      <w:pPr>
        <w:pStyle w:val="ListParagraph"/>
        <w:numPr>
          <w:ilvl w:val="0"/>
          <w:numId w:val="59"/>
        </w:numPr>
        <w:spacing w:after="240"/>
        <w:ind w:left="0" w:firstLine="720"/>
        <w:jc w:val="both"/>
        <w:rPr>
          <w:sz w:val="20"/>
          <w:szCs w:val="20"/>
          <w:lang w:val="es-ES_tradnl"/>
        </w:rPr>
      </w:pPr>
      <w:r w:rsidRPr="009C5D9B">
        <w:rPr>
          <w:sz w:val="20"/>
          <w:szCs w:val="20"/>
          <w:lang w:val="es-ES_tradnl"/>
        </w:rPr>
        <w:t xml:space="preserve">El tribunal </w:t>
      </w:r>
      <w:r w:rsidR="00E43333" w:rsidRPr="009C5D9B">
        <w:rPr>
          <w:sz w:val="20"/>
          <w:szCs w:val="20"/>
          <w:lang w:val="es-ES_tradnl"/>
        </w:rPr>
        <w:t>estimó</w:t>
      </w:r>
      <w:r w:rsidRPr="009C5D9B">
        <w:rPr>
          <w:sz w:val="20"/>
          <w:szCs w:val="20"/>
          <w:lang w:val="es-ES_tradnl"/>
        </w:rPr>
        <w:t xml:space="preserve"> que</w:t>
      </w:r>
      <w:r w:rsidR="00E0171A" w:rsidRPr="009C5D9B">
        <w:rPr>
          <w:sz w:val="20"/>
          <w:szCs w:val="20"/>
          <w:lang w:val="es-ES_tradnl"/>
        </w:rPr>
        <w:t xml:space="preserve"> el rompimiento del túnel no se había debido a una omisión de la CONAGUA en sus funciones de vigilancia, y que el dictamen técnico de la UNAM </w:t>
      </w:r>
      <w:r w:rsidRPr="009C5D9B">
        <w:rPr>
          <w:sz w:val="20"/>
          <w:szCs w:val="20"/>
          <w:lang w:val="es-ES_tradnl"/>
        </w:rPr>
        <w:t xml:space="preserve">advertía que el colapso del túnel </w:t>
      </w:r>
      <w:r w:rsidR="0007279B">
        <w:rPr>
          <w:sz w:val="20"/>
          <w:szCs w:val="20"/>
          <w:lang w:val="es-ES_tradnl"/>
        </w:rPr>
        <w:t>había sido</w:t>
      </w:r>
      <w:r w:rsidR="0007279B" w:rsidRPr="009C5D9B">
        <w:rPr>
          <w:sz w:val="20"/>
          <w:szCs w:val="20"/>
          <w:lang w:val="es-ES_tradnl"/>
        </w:rPr>
        <w:t xml:space="preserve"> </w:t>
      </w:r>
      <w:r w:rsidRPr="009C5D9B">
        <w:rPr>
          <w:sz w:val="20"/>
          <w:szCs w:val="20"/>
          <w:lang w:val="es-ES_tradnl"/>
        </w:rPr>
        <w:t xml:space="preserve">provocado por otros factores, tales como: i) la lluvia extraordinaria en la zona del fraccionamiento de Valle Dorado; ii) </w:t>
      </w:r>
      <w:r w:rsidRPr="009C5D9B">
        <w:rPr>
          <w:rFonts w:cs="Times"/>
          <w:sz w:val="20"/>
          <w:szCs w:val="20"/>
          <w:lang w:val="es-ES"/>
        </w:rPr>
        <w:t>la urbanización densa de la zona que superó la capacidad del diseño original del túnel, al recibir mayores descargas de drenaje</w:t>
      </w:r>
      <w:r w:rsidRPr="009C5D9B">
        <w:rPr>
          <w:sz w:val="20"/>
          <w:szCs w:val="20"/>
          <w:lang w:val="es-ES_tradnl"/>
        </w:rPr>
        <w:t xml:space="preserve">; iii) la pérdida de capacidad de conducción de los </w:t>
      </w:r>
      <w:r w:rsidR="004E6C7B">
        <w:rPr>
          <w:sz w:val="20"/>
          <w:szCs w:val="20"/>
          <w:lang w:val="es-ES_tradnl"/>
        </w:rPr>
        <w:t>r</w:t>
      </w:r>
      <w:r w:rsidRPr="009C5D9B">
        <w:rPr>
          <w:sz w:val="20"/>
          <w:szCs w:val="20"/>
          <w:lang w:val="es-ES_tradnl"/>
        </w:rPr>
        <w:t>íos de los Remedios, Tlalnepantla y San Javier</w:t>
      </w:r>
      <w:r w:rsidRPr="009C5D9B">
        <w:rPr>
          <w:rFonts w:cs="Times"/>
          <w:sz w:val="20"/>
          <w:szCs w:val="20"/>
          <w:lang w:val="es-ES"/>
        </w:rPr>
        <w:t>, que no fue considerada así cuando se diseñó la construcción del túnel, lo que limitó posibles desfogues hacia otros cauces y evitar inundar zonas urbanas</w:t>
      </w:r>
      <w:r w:rsidRPr="009C5D9B">
        <w:rPr>
          <w:sz w:val="20"/>
          <w:szCs w:val="20"/>
          <w:lang w:val="es-ES_tradnl"/>
        </w:rPr>
        <w:t xml:space="preserve">; iv) el drenaje no registrado de los municipios Tlalnepantla de Baz y Atizapán de Zaragoza; y v) el retraso de la construcción de </w:t>
      </w:r>
      <w:r w:rsidRPr="009C5D9B">
        <w:rPr>
          <w:sz w:val="20"/>
          <w:szCs w:val="20"/>
          <w:lang w:val="es-ES_tradnl"/>
        </w:rPr>
        <w:lastRenderedPageBreak/>
        <w:t xml:space="preserve">un túnel paralelo para </w:t>
      </w:r>
      <w:r w:rsidRPr="009C5D9B">
        <w:rPr>
          <w:rFonts w:cs="Times"/>
          <w:sz w:val="20"/>
          <w:szCs w:val="20"/>
          <w:lang w:val="es-ES"/>
        </w:rPr>
        <w:t>ampliar la capacidad del canal abierto</w:t>
      </w:r>
      <w:r w:rsidRPr="009C5D9B">
        <w:rPr>
          <w:sz w:val="20"/>
          <w:szCs w:val="20"/>
          <w:lang w:val="es-ES_tradnl"/>
        </w:rPr>
        <w:t xml:space="preserve">, propuesta en el </w:t>
      </w:r>
      <w:r w:rsidRPr="009C5D9B">
        <w:rPr>
          <w:sz w:val="20"/>
          <w:szCs w:val="20"/>
          <w:lang w:val="es-ES"/>
        </w:rPr>
        <w:t>“Plan Maestro de Drenaje de la Zona Metropolitana de la Ciudad de México 1994-2010”</w:t>
      </w:r>
      <w:r w:rsidRPr="009C5D9B">
        <w:rPr>
          <w:rStyle w:val="FootnoteReference"/>
          <w:sz w:val="20"/>
          <w:szCs w:val="20"/>
          <w:lang w:val="es-ES"/>
        </w:rPr>
        <w:footnoteReference w:id="13"/>
      </w:r>
      <w:r w:rsidRPr="009C5D9B">
        <w:rPr>
          <w:sz w:val="20"/>
          <w:szCs w:val="20"/>
          <w:lang w:val="es-ES"/>
        </w:rPr>
        <w:t xml:space="preserve">. </w:t>
      </w:r>
    </w:p>
    <w:p w14:paraId="794299A9" w14:textId="67DCDB60" w:rsidR="00D126E6" w:rsidRPr="00732E35" w:rsidRDefault="003D7145" w:rsidP="2F0203D6">
      <w:pPr>
        <w:pStyle w:val="ListParagraph"/>
        <w:numPr>
          <w:ilvl w:val="0"/>
          <w:numId w:val="59"/>
        </w:numPr>
        <w:spacing w:after="240"/>
        <w:ind w:left="0" w:firstLine="720"/>
        <w:jc w:val="both"/>
        <w:rPr>
          <w:sz w:val="20"/>
          <w:szCs w:val="20"/>
          <w:lang w:val="es-AR"/>
        </w:rPr>
      </w:pPr>
      <w:r w:rsidRPr="00732E35">
        <w:rPr>
          <w:sz w:val="20"/>
          <w:szCs w:val="20"/>
          <w:lang w:val="es-AR"/>
        </w:rPr>
        <w:t>E</w:t>
      </w:r>
      <w:r w:rsidR="00E0171A" w:rsidRPr="00732E35">
        <w:rPr>
          <w:sz w:val="20"/>
          <w:szCs w:val="20"/>
          <w:lang w:val="es-AR"/>
        </w:rPr>
        <w:t>l tribunal tampoco consideró que la parte peticionaria ofreciera medios probatorios que demostraran que la CONAGUA debió realizar trabajos técnicos previos para evitar el mal funcionamiento del túnel o que acreditara que éstos hubieran evitado la ruptura del túnel. Y, en este sentido</w:t>
      </w:r>
      <w:r w:rsidR="00124661" w:rsidRPr="00732E35">
        <w:rPr>
          <w:sz w:val="20"/>
          <w:szCs w:val="20"/>
          <w:lang w:val="es-AR"/>
        </w:rPr>
        <w:t>,</w:t>
      </w:r>
      <w:r w:rsidR="00994E33" w:rsidRPr="00732E35">
        <w:rPr>
          <w:sz w:val="20"/>
          <w:szCs w:val="20"/>
          <w:lang w:val="es-AR"/>
        </w:rPr>
        <w:t xml:space="preserve"> </w:t>
      </w:r>
      <w:r w:rsidR="00302E41" w:rsidRPr="00732E35">
        <w:rPr>
          <w:sz w:val="20"/>
          <w:szCs w:val="20"/>
          <w:lang w:val="es-AR"/>
        </w:rPr>
        <w:t>destacó</w:t>
      </w:r>
      <w:r w:rsidR="005B3F5B" w:rsidRPr="00732E35">
        <w:rPr>
          <w:sz w:val="20"/>
          <w:szCs w:val="20"/>
          <w:lang w:val="es-AR"/>
        </w:rPr>
        <w:t xml:space="preserve"> la importancia de que las presuntas víctimas ofreciera</w:t>
      </w:r>
      <w:r w:rsidR="00431A26" w:rsidRPr="00732E35">
        <w:rPr>
          <w:sz w:val="20"/>
          <w:szCs w:val="20"/>
          <w:lang w:val="es-AR"/>
        </w:rPr>
        <w:t>n</w:t>
      </w:r>
      <w:r w:rsidR="005B3F5B" w:rsidRPr="00732E35">
        <w:rPr>
          <w:sz w:val="20"/>
          <w:szCs w:val="20"/>
          <w:lang w:val="es-AR"/>
        </w:rPr>
        <w:t xml:space="preserve"> pruebas que “</w:t>
      </w:r>
      <w:r w:rsidR="005B3F5B" w:rsidRPr="00732E35">
        <w:rPr>
          <w:i/>
          <w:iCs/>
          <w:sz w:val="20"/>
          <w:szCs w:val="20"/>
          <w:lang w:val="es-AR"/>
        </w:rPr>
        <w:t xml:space="preserve">demostraran fehacientemente que la actividad administrativa irregular por omisión de la Comisión Nacional del Agua fuera la causa directa del desastre ocurrido </w:t>
      </w:r>
      <w:r w:rsidR="005B3F5B" w:rsidRPr="00732E35">
        <w:rPr>
          <w:sz w:val="20"/>
          <w:szCs w:val="20"/>
          <w:lang w:val="es-AR"/>
        </w:rPr>
        <w:t>[…]</w:t>
      </w:r>
      <w:r w:rsidR="005B3F5B" w:rsidRPr="00732E35">
        <w:rPr>
          <w:i/>
          <w:iCs/>
          <w:sz w:val="20"/>
          <w:szCs w:val="20"/>
          <w:lang w:val="es-AR"/>
        </w:rPr>
        <w:t xml:space="preserve"> condición necesaria para obtener la responsabilidad patrimonial del Estado</w:t>
      </w:r>
      <w:r w:rsidR="005B3F5B" w:rsidRPr="00732E35">
        <w:rPr>
          <w:sz w:val="20"/>
          <w:szCs w:val="20"/>
          <w:lang w:val="es-AR"/>
        </w:rPr>
        <w:t>”.</w:t>
      </w:r>
    </w:p>
    <w:p w14:paraId="7C93F8FD" w14:textId="56A04BF3" w:rsidR="0000643A" w:rsidRPr="009C5D9B" w:rsidRDefault="0000643A" w:rsidP="009C5D9B">
      <w:pPr>
        <w:pStyle w:val="ListParagraph"/>
        <w:spacing w:after="240"/>
        <w:ind w:left="0" w:firstLine="720"/>
        <w:jc w:val="both"/>
        <w:rPr>
          <w:sz w:val="20"/>
          <w:szCs w:val="20"/>
          <w:lang w:val="es-ES_tradnl"/>
        </w:rPr>
      </w:pPr>
      <w:r w:rsidRPr="009C5D9B">
        <w:rPr>
          <w:i/>
          <w:iCs/>
          <w:sz w:val="20"/>
          <w:szCs w:val="20"/>
          <w:lang w:val="es-ES_tradnl"/>
        </w:rPr>
        <w:t>Argumentos de</w:t>
      </w:r>
      <w:r w:rsidR="00D126E6" w:rsidRPr="009C5D9B">
        <w:rPr>
          <w:i/>
          <w:iCs/>
          <w:sz w:val="20"/>
          <w:szCs w:val="20"/>
          <w:lang w:val="es-ES_tradnl"/>
        </w:rPr>
        <w:t xml:space="preserve"> la parte peticionaria</w:t>
      </w:r>
    </w:p>
    <w:p w14:paraId="5CF8EFED" w14:textId="42D85473" w:rsidR="001676B1" w:rsidRPr="009C5D9B" w:rsidRDefault="00051EF8" w:rsidP="009C5D9B">
      <w:pPr>
        <w:pStyle w:val="ListParagraph"/>
        <w:numPr>
          <w:ilvl w:val="0"/>
          <w:numId w:val="59"/>
        </w:numPr>
        <w:spacing w:after="240"/>
        <w:ind w:left="0" w:firstLine="720"/>
        <w:jc w:val="both"/>
        <w:rPr>
          <w:sz w:val="20"/>
          <w:szCs w:val="20"/>
          <w:lang w:val="es-ES_tradnl"/>
        </w:rPr>
      </w:pPr>
      <w:r w:rsidRPr="009C5D9B">
        <w:rPr>
          <w:sz w:val="20"/>
          <w:szCs w:val="20"/>
          <w:lang w:val="es-ES_tradnl"/>
        </w:rPr>
        <w:t>La parte peticionaria alega</w:t>
      </w:r>
      <w:r w:rsidR="00731E99" w:rsidRPr="009C5D9B">
        <w:rPr>
          <w:sz w:val="20"/>
          <w:szCs w:val="20"/>
          <w:lang w:val="es-ES_tradnl"/>
        </w:rPr>
        <w:t xml:space="preserve"> que el colapso del túnel emisor y las posteriores inundaciones les </w:t>
      </w:r>
      <w:r w:rsidR="00910563" w:rsidRPr="009C5D9B">
        <w:rPr>
          <w:sz w:val="20"/>
          <w:szCs w:val="20"/>
          <w:lang w:val="es-ES_tradnl"/>
        </w:rPr>
        <w:t xml:space="preserve">causaron </w:t>
      </w:r>
      <w:r w:rsidR="00731E99" w:rsidRPr="009C5D9B">
        <w:rPr>
          <w:sz w:val="20"/>
          <w:szCs w:val="20"/>
          <w:lang w:val="es-ES_tradnl"/>
        </w:rPr>
        <w:t>daños materiales en sus hogares</w:t>
      </w:r>
      <w:r w:rsidR="0045366B" w:rsidRPr="009C5D9B">
        <w:rPr>
          <w:sz w:val="20"/>
          <w:szCs w:val="20"/>
          <w:lang w:val="es-ES_tradnl"/>
        </w:rPr>
        <w:t xml:space="preserve">, así como </w:t>
      </w:r>
      <w:r w:rsidR="00731E99" w:rsidRPr="009C5D9B">
        <w:rPr>
          <w:sz w:val="20"/>
          <w:szCs w:val="20"/>
          <w:lang w:val="es-ES"/>
        </w:rPr>
        <w:t xml:space="preserve">daños psicológicos para ellos y sus familias, </w:t>
      </w:r>
      <w:r w:rsidR="0045366B" w:rsidRPr="009C5D9B">
        <w:rPr>
          <w:sz w:val="20"/>
          <w:szCs w:val="20"/>
          <w:lang w:val="es-ES"/>
        </w:rPr>
        <w:t xml:space="preserve">debido al impacto negativo que les </w:t>
      </w:r>
      <w:r w:rsidR="00012FF3">
        <w:rPr>
          <w:sz w:val="20"/>
          <w:szCs w:val="20"/>
          <w:lang w:val="es-ES"/>
        </w:rPr>
        <w:t>provocó</w:t>
      </w:r>
      <w:r w:rsidR="00012FF3" w:rsidRPr="009C5D9B">
        <w:rPr>
          <w:sz w:val="20"/>
          <w:szCs w:val="20"/>
          <w:lang w:val="es-ES"/>
        </w:rPr>
        <w:t xml:space="preserve"> </w:t>
      </w:r>
      <w:r w:rsidR="00731E99" w:rsidRPr="009C5D9B">
        <w:rPr>
          <w:sz w:val="20"/>
          <w:szCs w:val="20"/>
          <w:lang w:val="es-ES"/>
        </w:rPr>
        <w:t>la pérdida de todo su patrimonio</w:t>
      </w:r>
      <w:r w:rsidR="00D359CA" w:rsidRPr="009C5D9B">
        <w:rPr>
          <w:sz w:val="20"/>
          <w:szCs w:val="20"/>
          <w:lang w:val="es-ES"/>
        </w:rPr>
        <w:t>.</w:t>
      </w:r>
      <w:r w:rsidR="00731E99" w:rsidRPr="009C5D9B">
        <w:rPr>
          <w:sz w:val="20"/>
          <w:szCs w:val="20"/>
          <w:lang w:val="es-ES"/>
        </w:rPr>
        <w:t xml:space="preserve"> </w:t>
      </w:r>
      <w:r w:rsidR="00D359CA" w:rsidRPr="009C5D9B">
        <w:rPr>
          <w:sz w:val="20"/>
          <w:szCs w:val="20"/>
          <w:lang w:val="es-ES"/>
        </w:rPr>
        <w:t>A</w:t>
      </w:r>
      <w:r w:rsidR="0045366B" w:rsidRPr="009C5D9B">
        <w:rPr>
          <w:sz w:val="20"/>
          <w:szCs w:val="20"/>
          <w:lang w:val="es-ES"/>
        </w:rPr>
        <w:t>demás</w:t>
      </w:r>
      <w:r w:rsidR="00731E99" w:rsidRPr="009C5D9B">
        <w:rPr>
          <w:sz w:val="20"/>
          <w:szCs w:val="20"/>
          <w:lang w:val="es-ES"/>
        </w:rPr>
        <w:t xml:space="preserve">, indica que estuvieron expuestos a condiciones insalubres, </w:t>
      </w:r>
      <w:r w:rsidR="0045366B" w:rsidRPr="009C5D9B">
        <w:rPr>
          <w:sz w:val="20"/>
          <w:szCs w:val="20"/>
          <w:lang w:val="es-ES"/>
        </w:rPr>
        <w:t>al</w:t>
      </w:r>
      <w:r w:rsidR="00731E99" w:rsidRPr="009C5D9B">
        <w:rPr>
          <w:sz w:val="20"/>
          <w:szCs w:val="20"/>
          <w:lang w:val="es-ES"/>
        </w:rPr>
        <w:t xml:space="preserve"> tratarse de una inundación de aguas negras.</w:t>
      </w:r>
      <w:r w:rsidR="00A07894" w:rsidRPr="009C5D9B">
        <w:rPr>
          <w:rFonts w:cs="Times"/>
          <w:sz w:val="20"/>
          <w:szCs w:val="20"/>
          <w:lang w:val="es-ES"/>
        </w:rPr>
        <w:t xml:space="preserve"> C</w:t>
      </w:r>
      <w:r w:rsidR="000E3F4C" w:rsidRPr="009C5D9B">
        <w:rPr>
          <w:rFonts w:cs="Times"/>
          <w:sz w:val="20"/>
          <w:szCs w:val="20"/>
          <w:lang w:val="es-ES"/>
        </w:rPr>
        <w:t xml:space="preserve">onsidera que </w:t>
      </w:r>
      <w:r w:rsidR="00A07894" w:rsidRPr="009C5D9B">
        <w:rPr>
          <w:rFonts w:cs="Times"/>
          <w:sz w:val="20"/>
          <w:szCs w:val="20"/>
          <w:lang w:val="es-ES"/>
        </w:rPr>
        <w:t xml:space="preserve">estas </w:t>
      </w:r>
      <w:r w:rsidR="000E3F4C" w:rsidRPr="009C5D9B">
        <w:rPr>
          <w:rFonts w:cs="Times"/>
          <w:sz w:val="20"/>
          <w:szCs w:val="20"/>
          <w:lang w:val="es-ES"/>
        </w:rPr>
        <w:t>inundaciones fueron resultado de irregularidades cometidas por el Estado</w:t>
      </w:r>
      <w:r w:rsidR="003F6B07" w:rsidRPr="009C5D9B">
        <w:rPr>
          <w:rFonts w:cs="Times"/>
          <w:sz w:val="20"/>
          <w:szCs w:val="20"/>
          <w:lang w:val="es-ES"/>
        </w:rPr>
        <w:t>,</w:t>
      </w:r>
      <w:r w:rsidR="000E3F4C" w:rsidRPr="009C5D9B">
        <w:rPr>
          <w:rFonts w:cs="Times"/>
          <w:sz w:val="20"/>
          <w:szCs w:val="20"/>
          <w:lang w:val="es-ES"/>
        </w:rPr>
        <w:t xml:space="preserve"> </w:t>
      </w:r>
      <w:r w:rsidR="003F6B07" w:rsidRPr="009C5D9B">
        <w:rPr>
          <w:rFonts w:cs="Times"/>
          <w:sz w:val="20"/>
          <w:szCs w:val="20"/>
          <w:lang w:val="es-ES"/>
        </w:rPr>
        <w:t xml:space="preserve">ya </w:t>
      </w:r>
      <w:r w:rsidR="000E3F4C" w:rsidRPr="009C5D9B">
        <w:rPr>
          <w:rFonts w:cs="Times"/>
          <w:sz w:val="20"/>
          <w:szCs w:val="20"/>
          <w:lang w:val="es-ES"/>
        </w:rPr>
        <w:t xml:space="preserve">que el </w:t>
      </w:r>
      <w:r w:rsidR="00097537" w:rsidRPr="009C5D9B">
        <w:rPr>
          <w:rFonts w:cs="Times"/>
          <w:sz w:val="20"/>
          <w:szCs w:val="20"/>
          <w:lang w:val="es-ES"/>
        </w:rPr>
        <w:t>diseño</w:t>
      </w:r>
      <w:r w:rsidR="000E3F4C" w:rsidRPr="009C5D9B">
        <w:rPr>
          <w:rFonts w:cs="Times"/>
          <w:sz w:val="20"/>
          <w:szCs w:val="20"/>
          <w:lang w:val="es-ES"/>
        </w:rPr>
        <w:t xml:space="preserve"> original del </w:t>
      </w:r>
      <w:r w:rsidR="00097537" w:rsidRPr="009C5D9B">
        <w:rPr>
          <w:rFonts w:cs="Times"/>
          <w:sz w:val="20"/>
          <w:szCs w:val="20"/>
          <w:lang w:val="es-ES"/>
        </w:rPr>
        <w:t>túnel</w:t>
      </w:r>
      <w:r w:rsidR="000E3F4C" w:rsidRPr="009C5D9B">
        <w:rPr>
          <w:rFonts w:cs="Times"/>
          <w:sz w:val="20"/>
          <w:szCs w:val="20"/>
          <w:lang w:val="es-ES"/>
        </w:rPr>
        <w:t xml:space="preserve"> que colapsó era para </w:t>
      </w:r>
      <w:r w:rsidR="00097537" w:rsidRPr="009C5D9B">
        <w:rPr>
          <w:rFonts w:cs="Times"/>
          <w:sz w:val="20"/>
          <w:szCs w:val="20"/>
          <w:lang w:val="es-ES"/>
        </w:rPr>
        <w:t>el</w:t>
      </w:r>
      <w:r w:rsidR="000E3F4C" w:rsidRPr="009C5D9B">
        <w:rPr>
          <w:rFonts w:cs="Times"/>
          <w:sz w:val="20"/>
          <w:szCs w:val="20"/>
          <w:lang w:val="es-ES"/>
        </w:rPr>
        <w:t xml:space="preserve"> </w:t>
      </w:r>
      <w:r w:rsidR="00910563" w:rsidRPr="009C5D9B">
        <w:rPr>
          <w:rFonts w:cs="Times"/>
          <w:sz w:val="20"/>
          <w:szCs w:val="20"/>
          <w:lang w:val="es-ES"/>
        </w:rPr>
        <w:t>manejo</w:t>
      </w:r>
      <w:r w:rsidR="000E3F4C" w:rsidRPr="009C5D9B">
        <w:rPr>
          <w:rFonts w:cs="Times"/>
          <w:sz w:val="20"/>
          <w:szCs w:val="20"/>
          <w:lang w:val="es-ES"/>
        </w:rPr>
        <w:t xml:space="preserve"> de aguas pluviales y no residuales. Afirma que, de manera negligente e irregular, la CONAGUA </w:t>
      </w:r>
      <w:r w:rsidR="00097537" w:rsidRPr="009C5D9B">
        <w:rPr>
          <w:rFonts w:cs="Times"/>
          <w:sz w:val="20"/>
          <w:szCs w:val="20"/>
          <w:lang w:val="es-ES"/>
        </w:rPr>
        <w:t>permitió</w:t>
      </w:r>
      <w:r w:rsidR="000E3F4C" w:rsidRPr="009C5D9B">
        <w:rPr>
          <w:rFonts w:cs="Times"/>
          <w:sz w:val="20"/>
          <w:szCs w:val="20"/>
          <w:lang w:val="es-ES"/>
        </w:rPr>
        <w:t xml:space="preserve"> que dicho </w:t>
      </w:r>
      <w:r w:rsidR="003F6B07" w:rsidRPr="009C5D9B">
        <w:rPr>
          <w:rFonts w:cs="Times"/>
          <w:sz w:val="20"/>
          <w:szCs w:val="20"/>
          <w:lang w:val="es-ES"/>
        </w:rPr>
        <w:t xml:space="preserve">túnel </w:t>
      </w:r>
      <w:r w:rsidR="000E3F4C" w:rsidRPr="009C5D9B">
        <w:rPr>
          <w:rFonts w:cs="Times"/>
          <w:sz w:val="20"/>
          <w:szCs w:val="20"/>
          <w:lang w:val="es-ES"/>
        </w:rPr>
        <w:t xml:space="preserve">se utilizara para la </w:t>
      </w:r>
      <w:r w:rsidR="00097537" w:rsidRPr="009C5D9B">
        <w:rPr>
          <w:rFonts w:cs="Times"/>
          <w:sz w:val="20"/>
          <w:szCs w:val="20"/>
          <w:lang w:val="es-ES"/>
        </w:rPr>
        <w:t>conducción</w:t>
      </w:r>
      <w:r w:rsidR="000E3F4C" w:rsidRPr="009C5D9B">
        <w:rPr>
          <w:rFonts w:cs="Times"/>
          <w:sz w:val="20"/>
          <w:szCs w:val="20"/>
          <w:lang w:val="es-ES"/>
        </w:rPr>
        <w:t xml:space="preserve"> de aguas negras sin </w:t>
      </w:r>
      <w:r w:rsidR="00910563" w:rsidRPr="009C5D9B">
        <w:rPr>
          <w:rFonts w:cs="Times"/>
          <w:sz w:val="20"/>
          <w:szCs w:val="20"/>
          <w:lang w:val="es-ES"/>
        </w:rPr>
        <w:t>realizar las</w:t>
      </w:r>
      <w:r w:rsidR="000E3F4C" w:rsidRPr="009C5D9B">
        <w:rPr>
          <w:rFonts w:cs="Times"/>
          <w:sz w:val="20"/>
          <w:szCs w:val="20"/>
          <w:lang w:val="es-ES"/>
        </w:rPr>
        <w:t xml:space="preserve"> adecuaciones técnicas </w:t>
      </w:r>
      <w:r w:rsidR="00910563" w:rsidRPr="009C5D9B">
        <w:rPr>
          <w:rFonts w:cs="Times"/>
          <w:sz w:val="20"/>
          <w:szCs w:val="20"/>
          <w:lang w:val="es-ES"/>
        </w:rPr>
        <w:t xml:space="preserve">necesarias </w:t>
      </w:r>
      <w:r w:rsidR="000E3F4C" w:rsidRPr="009C5D9B">
        <w:rPr>
          <w:rFonts w:cs="Times"/>
          <w:sz w:val="20"/>
          <w:szCs w:val="20"/>
          <w:lang w:val="es-ES"/>
        </w:rPr>
        <w:t xml:space="preserve">para tal efecto, </w:t>
      </w:r>
      <w:r w:rsidR="0045366B" w:rsidRPr="009C5D9B">
        <w:rPr>
          <w:rFonts w:cs="Times"/>
          <w:sz w:val="20"/>
          <w:szCs w:val="20"/>
          <w:lang w:val="es-ES"/>
        </w:rPr>
        <w:t>a pesar de</w:t>
      </w:r>
      <w:r w:rsidR="000E3F4C" w:rsidRPr="009C5D9B">
        <w:rPr>
          <w:rFonts w:cs="Times"/>
          <w:sz w:val="20"/>
          <w:szCs w:val="20"/>
          <w:lang w:val="es-ES"/>
        </w:rPr>
        <w:t xml:space="preserve"> que la CONAGUA tiene la </w:t>
      </w:r>
      <w:r w:rsidR="00910563" w:rsidRPr="009C5D9B">
        <w:rPr>
          <w:rFonts w:cs="Times"/>
          <w:sz w:val="20"/>
          <w:szCs w:val="20"/>
          <w:lang w:val="es-ES"/>
        </w:rPr>
        <w:t>responsabilidad de</w:t>
      </w:r>
      <w:r w:rsidR="000E3F4C" w:rsidRPr="009C5D9B">
        <w:rPr>
          <w:rFonts w:cs="Times"/>
          <w:sz w:val="20"/>
          <w:szCs w:val="20"/>
          <w:lang w:val="es-ES"/>
        </w:rPr>
        <w:t xml:space="preserve"> vigilar, supervisar y realizar el mantenimiento de los túneles pluviales.</w:t>
      </w:r>
    </w:p>
    <w:p w14:paraId="096ECFCE" w14:textId="410155D0" w:rsidR="00A07894" w:rsidRPr="009C5D9B" w:rsidRDefault="00276309" w:rsidP="009C5D9B">
      <w:pPr>
        <w:pStyle w:val="ListParagraph"/>
        <w:numPr>
          <w:ilvl w:val="0"/>
          <w:numId w:val="59"/>
        </w:numPr>
        <w:spacing w:after="240"/>
        <w:ind w:left="0" w:firstLine="720"/>
        <w:jc w:val="both"/>
        <w:rPr>
          <w:sz w:val="20"/>
          <w:szCs w:val="20"/>
          <w:lang w:val="es-ES_tradnl"/>
        </w:rPr>
      </w:pPr>
      <w:r w:rsidRPr="009C5D9B">
        <w:rPr>
          <w:rFonts w:cs="Times"/>
          <w:sz w:val="20"/>
          <w:szCs w:val="20"/>
          <w:lang w:val="es-ES"/>
        </w:rPr>
        <w:t>Sostienen</w:t>
      </w:r>
      <w:r w:rsidR="00A07894" w:rsidRPr="009C5D9B">
        <w:rPr>
          <w:rFonts w:cs="Times"/>
          <w:sz w:val="20"/>
          <w:szCs w:val="20"/>
          <w:lang w:val="es-ES"/>
        </w:rPr>
        <w:t xml:space="preserve"> </w:t>
      </w:r>
      <w:r w:rsidR="00991C3B">
        <w:rPr>
          <w:rFonts w:cs="Times"/>
          <w:sz w:val="20"/>
          <w:szCs w:val="20"/>
          <w:lang w:val="es-ES"/>
        </w:rPr>
        <w:t xml:space="preserve">los peticionarios </w:t>
      </w:r>
      <w:r w:rsidR="00A07894" w:rsidRPr="009C5D9B">
        <w:rPr>
          <w:rFonts w:cs="Times"/>
          <w:sz w:val="20"/>
          <w:szCs w:val="20"/>
          <w:lang w:val="es-ES"/>
        </w:rPr>
        <w:t xml:space="preserve">que el informe de la UNAM, </w:t>
      </w:r>
      <w:r w:rsidR="0045366B" w:rsidRPr="009C5D9B">
        <w:rPr>
          <w:rFonts w:cs="Times"/>
          <w:sz w:val="20"/>
          <w:szCs w:val="20"/>
          <w:lang w:val="es-ES"/>
        </w:rPr>
        <w:t xml:space="preserve">presentado como prueba documental en su reclamación </w:t>
      </w:r>
      <w:r w:rsidR="00D1200D" w:rsidRPr="009C5D9B">
        <w:rPr>
          <w:rFonts w:cs="Times"/>
          <w:sz w:val="20"/>
          <w:szCs w:val="20"/>
          <w:lang w:val="es-ES"/>
        </w:rPr>
        <w:t xml:space="preserve">de indemnización, fue </w:t>
      </w:r>
      <w:r w:rsidR="0045366B" w:rsidRPr="009C5D9B">
        <w:rPr>
          <w:rFonts w:cs="Times"/>
          <w:sz w:val="20"/>
          <w:szCs w:val="20"/>
          <w:lang w:val="es-ES"/>
        </w:rPr>
        <w:t>solicitado</w:t>
      </w:r>
      <w:r w:rsidR="00D1200D" w:rsidRPr="009C5D9B">
        <w:rPr>
          <w:rFonts w:cs="Times"/>
          <w:sz w:val="20"/>
          <w:szCs w:val="20"/>
          <w:lang w:val="es-ES"/>
        </w:rPr>
        <w:t xml:space="preserve"> por la misma CONAGUA</w:t>
      </w:r>
      <w:r w:rsidR="00991C3B">
        <w:rPr>
          <w:rFonts w:cs="Times"/>
          <w:sz w:val="20"/>
          <w:szCs w:val="20"/>
          <w:lang w:val="es-ES"/>
        </w:rPr>
        <w:t xml:space="preserve"> —</w:t>
      </w:r>
      <w:r w:rsidR="00D1200D" w:rsidRPr="009C5D9B">
        <w:rPr>
          <w:rFonts w:cs="Times"/>
          <w:sz w:val="20"/>
          <w:szCs w:val="20"/>
          <w:lang w:val="es-ES"/>
        </w:rPr>
        <w:t xml:space="preserve">sin que se especifique </w:t>
      </w:r>
      <w:r w:rsidR="008D3816" w:rsidRPr="009C5D9B">
        <w:rPr>
          <w:rFonts w:cs="Times"/>
          <w:sz w:val="20"/>
          <w:szCs w:val="20"/>
          <w:lang w:val="es-ES"/>
        </w:rPr>
        <w:t>cuánd</w:t>
      </w:r>
      <w:r w:rsidR="00991C3B">
        <w:rPr>
          <w:rFonts w:cs="Times"/>
          <w:sz w:val="20"/>
          <w:szCs w:val="20"/>
          <w:lang w:val="es-ES"/>
        </w:rPr>
        <w:t>o—</w:t>
      </w:r>
      <w:r w:rsidR="008D3816" w:rsidRPr="009C5D9B">
        <w:rPr>
          <w:rFonts w:cs="Times"/>
          <w:sz w:val="20"/>
          <w:szCs w:val="20"/>
          <w:lang w:val="es-ES"/>
        </w:rPr>
        <w:t xml:space="preserve">. </w:t>
      </w:r>
      <w:r w:rsidR="004A4DF0" w:rsidRPr="009C5D9B">
        <w:rPr>
          <w:rFonts w:cs="Times"/>
          <w:sz w:val="20"/>
          <w:szCs w:val="20"/>
          <w:lang w:val="es-ES"/>
        </w:rPr>
        <w:t>De hecho</w:t>
      </w:r>
      <w:r w:rsidR="00EE4B8C" w:rsidRPr="009C5D9B">
        <w:rPr>
          <w:rFonts w:cs="Times"/>
          <w:sz w:val="20"/>
          <w:szCs w:val="20"/>
          <w:lang w:val="es-ES"/>
        </w:rPr>
        <w:t>, p</w:t>
      </w:r>
      <w:r w:rsidR="008D3816" w:rsidRPr="009C5D9B">
        <w:rPr>
          <w:rFonts w:cs="Times"/>
          <w:sz w:val="20"/>
          <w:szCs w:val="20"/>
          <w:lang w:val="es-ES"/>
        </w:rPr>
        <w:t>ide</w:t>
      </w:r>
      <w:r w:rsidR="0045366B" w:rsidRPr="009C5D9B">
        <w:rPr>
          <w:rFonts w:cs="Times"/>
          <w:sz w:val="20"/>
          <w:szCs w:val="20"/>
          <w:lang w:val="es-ES"/>
        </w:rPr>
        <w:t>n</w:t>
      </w:r>
      <w:r w:rsidR="008D3816" w:rsidRPr="009C5D9B">
        <w:rPr>
          <w:rFonts w:cs="Times"/>
          <w:sz w:val="20"/>
          <w:szCs w:val="20"/>
          <w:lang w:val="es-ES"/>
        </w:rPr>
        <w:t xml:space="preserve"> </w:t>
      </w:r>
      <w:r w:rsidR="001676B1" w:rsidRPr="009C5D9B">
        <w:rPr>
          <w:rFonts w:cs="Times"/>
          <w:sz w:val="20"/>
          <w:szCs w:val="20"/>
          <w:lang w:val="es-ES"/>
        </w:rPr>
        <w:t xml:space="preserve">que la </w:t>
      </w:r>
      <w:r w:rsidR="00882286" w:rsidRPr="009C5D9B">
        <w:rPr>
          <w:rFonts w:cs="Times"/>
          <w:sz w:val="20"/>
          <w:szCs w:val="20"/>
          <w:lang w:val="es-ES"/>
        </w:rPr>
        <w:t>CIDH</w:t>
      </w:r>
      <w:r w:rsidR="008D3816" w:rsidRPr="009C5D9B">
        <w:rPr>
          <w:rFonts w:cs="Times"/>
          <w:sz w:val="20"/>
          <w:szCs w:val="20"/>
          <w:lang w:val="es-ES"/>
        </w:rPr>
        <w:t xml:space="preserve"> </w:t>
      </w:r>
      <w:r w:rsidR="00991C3B">
        <w:rPr>
          <w:rFonts w:cs="Times"/>
          <w:sz w:val="20"/>
          <w:szCs w:val="20"/>
          <w:lang w:val="es-ES"/>
        </w:rPr>
        <w:t>pondere</w:t>
      </w:r>
      <w:r w:rsidR="00991C3B" w:rsidRPr="009C5D9B">
        <w:rPr>
          <w:rFonts w:cs="Times"/>
          <w:sz w:val="20"/>
          <w:szCs w:val="20"/>
          <w:lang w:val="es-ES"/>
        </w:rPr>
        <w:t xml:space="preserve"> </w:t>
      </w:r>
      <w:r w:rsidR="008D3816" w:rsidRPr="009C5D9B">
        <w:rPr>
          <w:rFonts w:cs="Times"/>
          <w:sz w:val="20"/>
          <w:szCs w:val="20"/>
          <w:lang w:val="es-ES"/>
        </w:rPr>
        <w:t>la existencia de</w:t>
      </w:r>
      <w:r w:rsidR="008E4FF9" w:rsidRPr="009C5D9B">
        <w:rPr>
          <w:rFonts w:cs="Times"/>
          <w:sz w:val="20"/>
          <w:szCs w:val="20"/>
          <w:lang w:val="es-ES"/>
        </w:rPr>
        <w:t xml:space="preserve"> un informe emitido por una institución externa y reconocida,</w:t>
      </w:r>
      <w:r w:rsidR="0045366B" w:rsidRPr="009C5D9B">
        <w:rPr>
          <w:rFonts w:cs="Times"/>
          <w:sz w:val="20"/>
          <w:szCs w:val="20"/>
          <w:lang w:val="es-ES"/>
        </w:rPr>
        <w:t xml:space="preserve"> el </w:t>
      </w:r>
      <w:r w:rsidR="00286E1E" w:rsidRPr="009C5D9B">
        <w:rPr>
          <w:rFonts w:cs="Times"/>
          <w:sz w:val="20"/>
          <w:szCs w:val="20"/>
          <w:lang w:val="es-ES"/>
        </w:rPr>
        <w:t>cual advierte</w:t>
      </w:r>
      <w:r w:rsidR="0045366B" w:rsidRPr="009C5D9B">
        <w:rPr>
          <w:rFonts w:cs="Times"/>
          <w:sz w:val="20"/>
          <w:szCs w:val="20"/>
          <w:lang w:val="es-ES"/>
        </w:rPr>
        <w:t xml:space="preserve"> una clara omisión de la autoridad</w:t>
      </w:r>
      <w:r w:rsidR="001676B1" w:rsidRPr="009C5D9B">
        <w:rPr>
          <w:rFonts w:cs="Times"/>
          <w:sz w:val="20"/>
          <w:szCs w:val="20"/>
          <w:lang w:val="es-ES"/>
        </w:rPr>
        <w:t xml:space="preserve"> administrativa en cu</w:t>
      </w:r>
      <w:r w:rsidR="008D3816" w:rsidRPr="009C5D9B">
        <w:rPr>
          <w:rFonts w:cs="Times"/>
          <w:sz w:val="20"/>
          <w:szCs w:val="20"/>
          <w:lang w:val="es-ES"/>
        </w:rPr>
        <w:t>a</w:t>
      </w:r>
      <w:r w:rsidR="001676B1" w:rsidRPr="009C5D9B">
        <w:rPr>
          <w:rFonts w:cs="Times"/>
          <w:sz w:val="20"/>
          <w:szCs w:val="20"/>
          <w:lang w:val="es-ES"/>
        </w:rPr>
        <w:t xml:space="preserve">nto a sus funciones de </w:t>
      </w:r>
      <w:r w:rsidR="00FA6434" w:rsidRPr="009C5D9B">
        <w:rPr>
          <w:rFonts w:cs="Times"/>
          <w:sz w:val="20"/>
          <w:szCs w:val="20"/>
          <w:lang w:val="es-ES"/>
        </w:rPr>
        <w:t>supervisión</w:t>
      </w:r>
      <w:r w:rsidR="001676B1" w:rsidRPr="009C5D9B">
        <w:rPr>
          <w:rFonts w:cs="Times"/>
          <w:sz w:val="20"/>
          <w:szCs w:val="20"/>
          <w:lang w:val="es-ES"/>
        </w:rPr>
        <w:t xml:space="preserve"> y control. </w:t>
      </w:r>
    </w:p>
    <w:p w14:paraId="7FBE0AD9" w14:textId="56721984" w:rsidR="00B72967" w:rsidRPr="009C5D9B" w:rsidRDefault="007B47B1" w:rsidP="009C5D9B">
      <w:pPr>
        <w:pStyle w:val="ListParagraph"/>
        <w:numPr>
          <w:ilvl w:val="0"/>
          <w:numId w:val="59"/>
        </w:numPr>
        <w:spacing w:after="240"/>
        <w:ind w:left="0" w:firstLine="720"/>
        <w:jc w:val="both"/>
        <w:rPr>
          <w:sz w:val="20"/>
          <w:szCs w:val="20"/>
          <w:lang w:val="es-ES_tradnl"/>
        </w:rPr>
      </w:pPr>
      <w:r w:rsidRPr="009C5D9B">
        <w:rPr>
          <w:sz w:val="20"/>
          <w:szCs w:val="20"/>
          <w:lang w:val="es-ES"/>
        </w:rPr>
        <w:t>Por otro lado, la</w:t>
      </w:r>
      <w:r w:rsidR="007E6685" w:rsidRPr="009C5D9B">
        <w:rPr>
          <w:sz w:val="20"/>
          <w:szCs w:val="20"/>
          <w:lang w:val="es-ES"/>
        </w:rPr>
        <w:t xml:space="preserve"> parte peticionaria </w:t>
      </w:r>
      <w:r w:rsidR="00286E1E" w:rsidRPr="009C5D9B">
        <w:rPr>
          <w:sz w:val="20"/>
          <w:szCs w:val="20"/>
          <w:lang w:val="es-ES"/>
        </w:rPr>
        <w:t>plantea que</w:t>
      </w:r>
      <w:r w:rsidR="007E6685" w:rsidRPr="009C5D9B">
        <w:rPr>
          <w:sz w:val="20"/>
          <w:szCs w:val="20"/>
          <w:lang w:val="es-ES"/>
        </w:rPr>
        <w:t xml:space="preserve"> otras familias afectadas por la misma conducta administrativa irregular obtuvieron una </w:t>
      </w:r>
      <w:r w:rsidR="008D578F" w:rsidRPr="009C5D9B">
        <w:rPr>
          <w:sz w:val="20"/>
          <w:szCs w:val="20"/>
          <w:lang w:val="es-ES"/>
        </w:rPr>
        <w:t>resolución</w:t>
      </w:r>
      <w:r w:rsidR="007E6685" w:rsidRPr="009C5D9B">
        <w:rPr>
          <w:sz w:val="20"/>
          <w:szCs w:val="20"/>
          <w:lang w:val="es-ES"/>
        </w:rPr>
        <w:t xml:space="preserve"> favorable por parte de </w:t>
      </w:r>
      <w:r w:rsidR="008D578F" w:rsidRPr="009C5D9B">
        <w:rPr>
          <w:sz w:val="20"/>
          <w:szCs w:val="20"/>
          <w:lang w:val="es-ES"/>
        </w:rPr>
        <w:t>órganos</w:t>
      </w:r>
      <w:r w:rsidR="007E6685" w:rsidRPr="009C5D9B">
        <w:rPr>
          <w:sz w:val="20"/>
          <w:szCs w:val="20"/>
          <w:lang w:val="es-ES"/>
        </w:rPr>
        <w:t xml:space="preserve"> jurisdiccionales federales</w:t>
      </w:r>
      <w:r w:rsidR="00B444A6" w:rsidRPr="009C5D9B">
        <w:rPr>
          <w:sz w:val="20"/>
          <w:szCs w:val="20"/>
          <w:lang w:val="es-ES"/>
        </w:rPr>
        <w:t>.</w:t>
      </w:r>
      <w:r w:rsidR="003F6B07" w:rsidRPr="009C5D9B">
        <w:rPr>
          <w:sz w:val="20"/>
          <w:szCs w:val="20"/>
          <w:lang w:val="es-ES"/>
        </w:rPr>
        <w:t xml:space="preserve"> </w:t>
      </w:r>
      <w:r w:rsidR="00B444A6" w:rsidRPr="009C5D9B">
        <w:rPr>
          <w:sz w:val="20"/>
          <w:szCs w:val="20"/>
          <w:lang w:val="es-ES"/>
        </w:rPr>
        <w:t>A este respecto, destacan</w:t>
      </w:r>
      <w:r w:rsidR="003F6B07" w:rsidRPr="009C5D9B">
        <w:rPr>
          <w:sz w:val="20"/>
          <w:szCs w:val="20"/>
          <w:lang w:val="es-ES"/>
        </w:rPr>
        <w:t xml:space="preserve"> </w:t>
      </w:r>
      <w:r w:rsidR="0045366B" w:rsidRPr="009C5D9B">
        <w:rPr>
          <w:sz w:val="20"/>
          <w:szCs w:val="20"/>
          <w:lang w:val="es-ES"/>
        </w:rPr>
        <w:t>la sentencia d</w:t>
      </w:r>
      <w:r w:rsidR="007E6685" w:rsidRPr="009C5D9B">
        <w:rPr>
          <w:sz w:val="20"/>
          <w:szCs w:val="20"/>
          <w:lang w:val="es-ES"/>
        </w:rPr>
        <w:t>el amparo directo 518/2012</w:t>
      </w:r>
      <w:r w:rsidR="00B72967" w:rsidRPr="009C5D9B">
        <w:rPr>
          <w:sz w:val="20"/>
          <w:szCs w:val="20"/>
          <w:lang w:val="es-ES"/>
        </w:rPr>
        <w:t>,</w:t>
      </w:r>
      <w:r w:rsidR="00097537" w:rsidRPr="009C5D9B">
        <w:rPr>
          <w:sz w:val="20"/>
          <w:szCs w:val="20"/>
          <w:lang w:val="es-ES"/>
        </w:rPr>
        <w:t xml:space="preserve"> en </w:t>
      </w:r>
      <w:r w:rsidR="00B444A6" w:rsidRPr="009C5D9B">
        <w:rPr>
          <w:sz w:val="20"/>
          <w:szCs w:val="20"/>
          <w:lang w:val="es-ES"/>
        </w:rPr>
        <w:t>la que</w:t>
      </w:r>
      <w:r w:rsidR="00097537" w:rsidRPr="009C5D9B">
        <w:rPr>
          <w:sz w:val="20"/>
          <w:szCs w:val="20"/>
          <w:lang w:val="es-ES"/>
        </w:rPr>
        <w:t xml:space="preserve"> se de</w:t>
      </w:r>
      <w:r w:rsidR="0045366B" w:rsidRPr="009C5D9B">
        <w:rPr>
          <w:sz w:val="20"/>
          <w:szCs w:val="20"/>
          <w:lang w:val="es-ES"/>
        </w:rPr>
        <w:t>terminó</w:t>
      </w:r>
      <w:r w:rsidR="00097537" w:rsidRPr="009C5D9B">
        <w:rPr>
          <w:sz w:val="20"/>
          <w:szCs w:val="20"/>
          <w:lang w:val="es-ES"/>
        </w:rPr>
        <w:t xml:space="preserve"> que la CONAGUA sí había incurrido en una actividad administrativa irregular y debía indemnizar a los terceros quejosos. Así, </w:t>
      </w:r>
      <w:r w:rsidR="006E2BFB" w:rsidRPr="009C5D9B">
        <w:rPr>
          <w:sz w:val="20"/>
          <w:szCs w:val="20"/>
          <w:lang w:val="es-ES"/>
        </w:rPr>
        <w:t>aduce</w:t>
      </w:r>
      <w:r w:rsidR="00097537" w:rsidRPr="009C5D9B">
        <w:rPr>
          <w:sz w:val="20"/>
          <w:szCs w:val="20"/>
          <w:lang w:val="es-ES"/>
        </w:rPr>
        <w:t xml:space="preserve"> que se debió decidir lo mismo </w:t>
      </w:r>
      <w:r w:rsidR="0045366B" w:rsidRPr="009C5D9B">
        <w:rPr>
          <w:sz w:val="20"/>
          <w:szCs w:val="20"/>
          <w:lang w:val="es-ES"/>
        </w:rPr>
        <w:t>en</w:t>
      </w:r>
      <w:r w:rsidR="00097537" w:rsidRPr="009C5D9B">
        <w:rPr>
          <w:sz w:val="20"/>
          <w:szCs w:val="20"/>
          <w:lang w:val="es-ES"/>
        </w:rPr>
        <w:t xml:space="preserve"> su caso, ya que los asuntos presentaban “</w:t>
      </w:r>
      <w:r w:rsidR="00097537" w:rsidRPr="009C5D9B">
        <w:rPr>
          <w:i/>
          <w:iCs/>
          <w:sz w:val="20"/>
          <w:szCs w:val="20"/>
          <w:lang w:val="es-ES"/>
        </w:rPr>
        <w:t xml:space="preserve">las mismas circunstancias de hecho y de derecho, </w:t>
      </w:r>
      <w:r w:rsidR="00097537" w:rsidRPr="009C5D9B">
        <w:rPr>
          <w:sz w:val="20"/>
          <w:szCs w:val="20"/>
          <w:lang w:val="es-ES"/>
        </w:rPr>
        <w:t>[que se]</w:t>
      </w:r>
      <w:r w:rsidR="00097537" w:rsidRPr="009C5D9B">
        <w:rPr>
          <w:i/>
          <w:iCs/>
          <w:sz w:val="20"/>
          <w:szCs w:val="20"/>
          <w:lang w:val="es-ES"/>
        </w:rPr>
        <w:t xml:space="preserve"> pusieron a consideración de las autoridades administrativas y jurisdiccionales del Estado</w:t>
      </w:r>
      <w:r w:rsidR="00097537" w:rsidRPr="009C5D9B">
        <w:rPr>
          <w:sz w:val="20"/>
          <w:szCs w:val="20"/>
          <w:lang w:val="es-ES"/>
        </w:rPr>
        <w:t>”. Subraya que en la resolución de</w:t>
      </w:r>
      <w:r w:rsidR="0045366B" w:rsidRPr="009C5D9B">
        <w:rPr>
          <w:sz w:val="20"/>
          <w:szCs w:val="20"/>
          <w:lang w:val="es-ES"/>
        </w:rPr>
        <w:t>l</w:t>
      </w:r>
      <w:r w:rsidR="00097537" w:rsidRPr="009C5D9B">
        <w:rPr>
          <w:sz w:val="20"/>
          <w:szCs w:val="20"/>
          <w:lang w:val="es-ES"/>
        </w:rPr>
        <w:t xml:space="preserve"> amparo 518/2012 se estableció que la ruptura del túnel emisor</w:t>
      </w:r>
      <w:r w:rsidR="00A16C14" w:rsidRPr="009C5D9B">
        <w:rPr>
          <w:sz w:val="20"/>
          <w:szCs w:val="20"/>
          <w:lang w:val="es-ES"/>
        </w:rPr>
        <w:t xml:space="preserve"> no </w:t>
      </w:r>
      <w:r w:rsidR="00097537" w:rsidRPr="009C5D9B">
        <w:rPr>
          <w:sz w:val="20"/>
          <w:szCs w:val="20"/>
          <w:lang w:val="es-ES"/>
        </w:rPr>
        <w:t>fue causada solamente por la lluvia</w:t>
      </w:r>
      <w:r w:rsidR="0045366B" w:rsidRPr="009C5D9B">
        <w:rPr>
          <w:sz w:val="20"/>
          <w:szCs w:val="20"/>
          <w:lang w:val="es-ES"/>
        </w:rPr>
        <w:t>, sino</w:t>
      </w:r>
      <w:r w:rsidR="00097537" w:rsidRPr="009C5D9B">
        <w:rPr>
          <w:sz w:val="20"/>
          <w:szCs w:val="20"/>
          <w:lang w:val="es-ES"/>
        </w:rPr>
        <w:t xml:space="preserve"> también por la </w:t>
      </w:r>
      <w:r w:rsidR="003F6B07" w:rsidRPr="009C5D9B">
        <w:rPr>
          <w:sz w:val="20"/>
          <w:szCs w:val="20"/>
          <w:lang w:val="es-ES"/>
        </w:rPr>
        <w:t>omisión</w:t>
      </w:r>
      <w:r w:rsidR="00097537" w:rsidRPr="009C5D9B">
        <w:rPr>
          <w:sz w:val="20"/>
          <w:szCs w:val="20"/>
          <w:lang w:val="es-ES"/>
        </w:rPr>
        <w:t xml:space="preserve"> en la que incurrió </w:t>
      </w:r>
      <w:r w:rsidR="003F6B07" w:rsidRPr="009C5D9B">
        <w:rPr>
          <w:sz w:val="20"/>
          <w:szCs w:val="20"/>
          <w:lang w:val="es-ES"/>
        </w:rPr>
        <w:t xml:space="preserve">la CONAGUA </w:t>
      </w:r>
      <w:r w:rsidR="00097537" w:rsidRPr="009C5D9B">
        <w:rPr>
          <w:sz w:val="20"/>
          <w:szCs w:val="20"/>
          <w:lang w:val="es-ES"/>
        </w:rPr>
        <w:t xml:space="preserve">al no </w:t>
      </w:r>
      <w:r w:rsidR="00910563" w:rsidRPr="009C5D9B">
        <w:rPr>
          <w:sz w:val="20"/>
          <w:szCs w:val="20"/>
          <w:lang w:val="es-ES"/>
        </w:rPr>
        <w:t xml:space="preserve">realizar los </w:t>
      </w:r>
      <w:r w:rsidR="00097537" w:rsidRPr="009C5D9B">
        <w:rPr>
          <w:sz w:val="20"/>
          <w:szCs w:val="20"/>
          <w:lang w:val="es-ES"/>
        </w:rPr>
        <w:t xml:space="preserve">trabajos previamente </w:t>
      </w:r>
      <w:r w:rsidR="00910563" w:rsidRPr="009C5D9B">
        <w:rPr>
          <w:sz w:val="20"/>
          <w:szCs w:val="20"/>
          <w:lang w:val="es-ES"/>
        </w:rPr>
        <w:t>establecidos</w:t>
      </w:r>
      <w:r w:rsidR="00097537" w:rsidRPr="009C5D9B">
        <w:rPr>
          <w:sz w:val="20"/>
          <w:szCs w:val="20"/>
          <w:lang w:val="es-ES"/>
        </w:rPr>
        <w:t xml:space="preserve"> en el Plan Maestro de 1994</w:t>
      </w:r>
      <w:r w:rsidR="008D3816" w:rsidRPr="009C5D9B">
        <w:rPr>
          <w:sz w:val="20"/>
          <w:szCs w:val="20"/>
          <w:lang w:val="es-ES"/>
        </w:rPr>
        <w:t>-2010</w:t>
      </w:r>
      <w:r w:rsidR="00097537" w:rsidRPr="009C5D9B">
        <w:rPr>
          <w:sz w:val="20"/>
          <w:szCs w:val="20"/>
          <w:lang w:val="es-ES"/>
        </w:rPr>
        <w:t xml:space="preserve"> para mejoras del túnel. </w:t>
      </w:r>
      <w:r w:rsidR="006E2BFB" w:rsidRPr="009C5D9B">
        <w:rPr>
          <w:sz w:val="20"/>
          <w:szCs w:val="20"/>
          <w:lang w:val="es-ES"/>
        </w:rPr>
        <w:t xml:space="preserve">Por lo tanto, y considerando que existe una resolución sobre los mismos </w:t>
      </w:r>
      <w:r w:rsidR="001851C5" w:rsidRPr="009C5D9B">
        <w:rPr>
          <w:sz w:val="20"/>
          <w:szCs w:val="20"/>
          <w:lang w:val="es-ES"/>
        </w:rPr>
        <w:t>hechos,</w:t>
      </w:r>
      <w:r w:rsidR="006E2BFB" w:rsidRPr="009C5D9B">
        <w:rPr>
          <w:sz w:val="20"/>
          <w:szCs w:val="20"/>
          <w:lang w:val="es-ES"/>
        </w:rPr>
        <w:t xml:space="preserve"> pero en sentido positivo para terceros, la parte peticionaria m</w:t>
      </w:r>
      <w:r w:rsidR="00F84928" w:rsidRPr="009C5D9B">
        <w:rPr>
          <w:sz w:val="20"/>
          <w:szCs w:val="20"/>
          <w:lang w:val="es-ES"/>
        </w:rPr>
        <w:t xml:space="preserve">anifiesta </w:t>
      </w:r>
      <w:r w:rsidR="006E2BFB" w:rsidRPr="009C5D9B">
        <w:rPr>
          <w:sz w:val="20"/>
          <w:szCs w:val="20"/>
          <w:lang w:val="es-ES"/>
        </w:rPr>
        <w:t xml:space="preserve">su desacuerdo, ya que, a su juicio, se trata de la misma responsabilidad por la misma autoridad administrativa. </w:t>
      </w:r>
    </w:p>
    <w:p w14:paraId="0A680071" w14:textId="03A5284C" w:rsidR="000E32CE" w:rsidRPr="009C5D9B" w:rsidRDefault="007D3244" w:rsidP="009C5D9B">
      <w:pPr>
        <w:pStyle w:val="ListParagraph"/>
        <w:numPr>
          <w:ilvl w:val="0"/>
          <w:numId w:val="59"/>
        </w:numPr>
        <w:spacing w:after="240"/>
        <w:ind w:left="0" w:firstLine="720"/>
        <w:jc w:val="both"/>
        <w:rPr>
          <w:sz w:val="20"/>
          <w:szCs w:val="20"/>
          <w:lang w:val="es-ES_tradnl"/>
        </w:rPr>
      </w:pPr>
      <w:r w:rsidRPr="009C5D9B">
        <w:rPr>
          <w:sz w:val="20"/>
          <w:szCs w:val="20"/>
          <w:lang w:val="es-ES"/>
        </w:rPr>
        <w:t>Así</w:t>
      </w:r>
      <w:r w:rsidR="00097537" w:rsidRPr="009C5D9B">
        <w:rPr>
          <w:sz w:val="20"/>
          <w:szCs w:val="20"/>
          <w:lang w:val="es-ES"/>
        </w:rPr>
        <w:t xml:space="preserve">, </w:t>
      </w:r>
      <w:r w:rsidR="00F84928" w:rsidRPr="009C5D9B">
        <w:rPr>
          <w:sz w:val="20"/>
          <w:szCs w:val="20"/>
          <w:lang w:val="es-ES"/>
        </w:rPr>
        <w:t xml:space="preserve">las presuntas víctimas </w:t>
      </w:r>
      <w:r w:rsidR="00911B5C">
        <w:rPr>
          <w:sz w:val="20"/>
          <w:szCs w:val="20"/>
          <w:lang w:val="es-ES"/>
        </w:rPr>
        <w:t>alegan</w:t>
      </w:r>
      <w:r w:rsidR="00911B5C" w:rsidRPr="009C5D9B">
        <w:rPr>
          <w:sz w:val="20"/>
          <w:szCs w:val="20"/>
          <w:lang w:val="es-ES"/>
        </w:rPr>
        <w:t xml:space="preserve"> </w:t>
      </w:r>
      <w:r w:rsidR="00357403" w:rsidRPr="009C5D9B">
        <w:rPr>
          <w:sz w:val="20"/>
          <w:szCs w:val="20"/>
          <w:lang w:val="es-ES"/>
        </w:rPr>
        <w:t>que</w:t>
      </w:r>
      <w:r w:rsidR="003D7145" w:rsidRPr="009C5D9B">
        <w:rPr>
          <w:sz w:val="20"/>
          <w:szCs w:val="20"/>
          <w:lang w:val="es-ES"/>
        </w:rPr>
        <w:t xml:space="preserve"> la omisión de control </w:t>
      </w:r>
      <w:r w:rsidRPr="009C5D9B">
        <w:rPr>
          <w:sz w:val="20"/>
          <w:szCs w:val="20"/>
          <w:lang w:val="es-ES"/>
        </w:rPr>
        <w:t xml:space="preserve">y mantenimiento del túnel por parte </w:t>
      </w:r>
      <w:r w:rsidR="003D7145" w:rsidRPr="009C5D9B">
        <w:rPr>
          <w:sz w:val="20"/>
          <w:szCs w:val="20"/>
          <w:lang w:val="es-ES"/>
        </w:rPr>
        <w:t>de la CONAGUA afectó su derecho a una vivienda digna, a la salud y a un medio ambiente sano</w:t>
      </w:r>
      <w:r w:rsidR="00B25F60" w:rsidRPr="009C5D9B">
        <w:rPr>
          <w:sz w:val="20"/>
          <w:szCs w:val="20"/>
          <w:lang w:val="es-ES"/>
        </w:rPr>
        <w:t>,</w:t>
      </w:r>
      <w:r w:rsidR="00357403" w:rsidRPr="009C5D9B">
        <w:rPr>
          <w:sz w:val="20"/>
          <w:szCs w:val="20"/>
          <w:lang w:val="es-ES"/>
        </w:rPr>
        <w:t xml:space="preserve"> </w:t>
      </w:r>
      <w:r w:rsidR="003D7145" w:rsidRPr="009C5D9B">
        <w:rPr>
          <w:sz w:val="20"/>
          <w:szCs w:val="20"/>
          <w:lang w:val="es-ES"/>
        </w:rPr>
        <w:t xml:space="preserve">y consideran que </w:t>
      </w:r>
      <w:r w:rsidR="00357403" w:rsidRPr="009C5D9B">
        <w:rPr>
          <w:sz w:val="20"/>
          <w:szCs w:val="20"/>
          <w:lang w:val="es-ES"/>
        </w:rPr>
        <w:t xml:space="preserve">el Estado </w:t>
      </w:r>
      <w:r w:rsidR="003D7145" w:rsidRPr="009C5D9B">
        <w:rPr>
          <w:sz w:val="20"/>
          <w:szCs w:val="20"/>
          <w:lang w:val="es-ES"/>
        </w:rPr>
        <w:t xml:space="preserve">no cumplió con su </w:t>
      </w:r>
      <w:r w:rsidR="00357403" w:rsidRPr="009C5D9B">
        <w:rPr>
          <w:sz w:val="20"/>
          <w:szCs w:val="20"/>
          <w:lang w:val="es-ES"/>
        </w:rPr>
        <w:t>“</w:t>
      </w:r>
      <w:r w:rsidR="00357403" w:rsidRPr="009C5D9B">
        <w:rPr>
          <w:i/>
          <w:iCs/>
          <w:sz w:val="20"/>
          <w:szCs w:val="20"/>
          <w:lang w:val="es-ES"/>
        </w:rPr>
        <w:t>obligación original y primaria de prestar servicios públicos adecuados a sus gobernados</w:t>
      </w:r>
      <w:r w:rsidR="00357403" w:rsidRPr="009C5D9B">
        <w:rPr>
          <w:sz w:val="20"/>
          <w:szCs w:val="20"/>
          <w:lang w:val="es-ES"/>
        </w:rPr>
        <w:t>”.</w:t>
      </w:r>
      <w:r w:rsidR="003D7145" w:rsidRPr="009C5D9B">
        <w:rPr>
          <w:sz w:val="20"/>
          <w:szCs w:val="20"/>
          <w:lang w:val="es-ES"/>
        </w:rPr>
        <w:t xml:space="preserve"> Por lo cual</w:t>
      </w:r>
      <w:r w:rsidR="00731E99" w:rsidRPr="009C5D9B">
        <w:rPr>
          <w:sz w:val="20"/>
          <w:szCs w:val="20"/>
          <w:lang w:val="es-ES"/>
        </w:rPr>
        <w:t xml:space="preserve">, las presuntas víctimas aducen que tienen el derecho de obtener una </w:t>
      </w:r>
      <w:r w:rsidR="00E934C2" w:rsidRPr="009C5D9B">
        <w:rPr>
          <w:sz w:val="20"/>
          <w:szCs w:val="20"/>
          <w:lang w:val="es-ES"/>
        </w:rPr>
        <w:t>indemnización</w:t>
      </w:r>
      <w:r w:rsidR="00731E99" w:rsidRPr="009C5D9B">
        <w:rPr>
          <w:sz w:val="20"/>
          <w:szCs w:val="20"/>
          <w:lang w:val="es-ES"/>
        </w:rPr>
        <w:t xml:space="preserve"> por parte del Estado, puesto que éste incurrió en una actividad administrativa irregular</w:t>
      </w:r>
      <w:r w:rsidR="003D7145" w:rsidRPr="009C5D9B">
        <w:rPr>
          <w:sz w:val="20"/>
          <w:szCs w:val="20"/>
          <w:lang w:val="es-ES"/>
        </w:rPr>
        <w:t>.</w:t>
      </w:r>
    </w:p>
    <w:p w14:paraId="2FCF40AA" w14:textId="77777777" w:rsidR="00BB4F5B" w:rsidRDefault="00BB4F5B" w:rsidP="009C5D9B">
      <w:pPr>
        <w:pStyle w:val="ListParagraph"/>
        <w:spacing w:after="240"/>
        <w:ind w:left="0" w:firstLine="720"/>
        <w:jc w:val="both"/>
        <w:rPr>
          <w:b/>
          <w:bCs/>
          <w:sz w:val="20"/>
          <w:szCs w:val="20"/>
          <w:lang w:val="es-ES_tradnl"/>
        </w:rPr>
      </w:pPr>
    </w:p>
    <w:p w14:paraId="1D4B588E" w14:textId="35EBBD70" w:rsidR="005B5631" w:rsidRPr="005F3BD0" w:rsidRDefault="00201A4D" w:rsidP="009C5D9B">
      <w:pPr>
        <w:pStyle w:val="ListParagraph"/>
        <w:spacing w:after="240"/>
        <w:ind w:left="0" w:firstLine="720"/>
        <w:jc w:val="both"/>
        <w:rPr>
          <w:b/>
          <w:bCs/>
          <w:sz w:val="20"/>
          <w:szCs w:val="20"/>
          <w:lang w:val="es-ES_tradnl"/>
        </w:rPr>
      </w:pPr>
      <w:r w:rsidRPr="005F3BD0">
        <w:rPr>
          <w:b/>
          <w:bCs/>
          <w:sz w:val="20"/>
          <w:szCs w:val="20"/>
          <w:lang w:val="es-ES_tradnl"/>
        </w:rPr>
        <w:lastRenderedPageBreak/>
        <w:t>E</w:t>
      </w:r>
      <w:r w:rsidR="005B5631" w:rsidRPr="005F3BD0">
        <w:rPr>
          <w:b/>
          <w:bCs/>
          <w:sz w:val="20"/>
          <w:szCs w:val="20"/>
          <w:lang w:val="es-ES_tradnl"/>
        </w:rPr>
        <w:t>l Estado</w:t>
      </w:r>
      <w:r w:rsidRPr="005F3BD0">
        <w:rPr>
          <w:b/>
          <w:bCs/>
          <w:sz w:val="20"/>
          <w:szCs w:val="20"/>
          <w:lang w:val="es-ES_tradnl"/>
        </w:rPr>
        <w:t xml:space="preserve"> mexicano</w:t>
      </w:r>
    </w:p>
    <w:p w14:paraId="28E3EEB3" w14:textId="7207B0B1" w:rsidR="00354FD2" w:rsidRPr="009C5D9B" w:rsidRDefault="003806AF" w:rsidP="009C5D9B">
      <w:pPr>
        <w:pStyle w:val="ListParagraph"/>
        <w:numPr>
          <w:ilvl w:val="0"/>
          <w:numId w:val="59"/>
        </w:numPr>
        <w:spacing w:after="240"/>
        <w:ind w:left="0" w:firstLine="720"/>
        <w:jc w:val="both"/>
        <w:rPr>
          <w:sz w:val="20"/>
          <w:szCs w:val="20"/>
          <w:lang w:val="es-ES_tradnl"/>
        </w:rPr>
      </w:pPr>
      <w:r w:rsidRPr="009C5D9B">
        <w:rPr>
          <w:sz w:val="20"/>
          <w:szCs w:val="20"/>
          <w:lang w:val="es-ES_tradnl"/>
        </w:rPr>
        <w:t>El Estado present</w:t>
      </w:r>
      <w:r w:rsidR="00354FD2" w:rsidRPr="009C5D9B">
        <w:rPr>
          <w:sz w:val="20"/>
          <w:szCs w:val="20"/>
          <w:lang w:val="es-ES_tradnl"/>
        </w:rPr>
        <w:t>a</w:t>
      </w:r>
      <w:r w:rsidRPr="009C5D9B">
        <w:rPr>
          <w:sz w:val="20"/>
          <w:szCs w:val="20"/>
          <w:lang w:val="es-ES_tradnl"/>
        </w:rPr>
        <w:t xml:space="preserve"> una recapitulación del procedimiento que las presuntas víctimas </w:t>
      </w:r>
      <w:r w:rsidR="003F6B07" w:rsidRPr="009C5D9B">
        <w:rPr>
          <w:sz w:val="20"/>
          <w:szCs w:val="20"/>
          <w:lang w:val="es-ES_tradnl"/>
        </w:rPr>
        <w:t>sostuvieron</w:t>
      </w:r>
      <w:r w:rsidRPr="009C5D9B">
        <w:rPr>
          <w:sz w:val="20"/>
          <w:szCs w:val="20"/>
          <w:lang w:val="es-ES_tradnl"/>
        </w:rPr>
        <w:t xml:space="preserve"> ante la jurisdicción mexicana</w:t>
      </w:r>
      <w:r w:rsidR="00D74D69" w:rsidRPr="009C5D9B">
        <w:rPr>
          <w:sz w:val="20"/>
          <w:szCs w:val="20"/>
          <w:lang w:val="es-ES_tradnl"/>
        </w:rPr>
        <w:t>;</w:t>
      </w:r>
      <w:r w:rsidRPr="009C5D9B">
        <w:rPr>
          <w:sz w:val="20"/>
          <w:szCs w:val="20"/>
          <w:lang w:val="es-ES_tradnl"/>
        </w:rPr>
        <w:t xml:space="preserve"> </w:t>
      </w:r>
      <w:r w:rsidR="00354FD2" w:rsidRPr="009C5D9B">
        <w:rPr>
          <w:sz w:val="20"/>
          <w:szCs w:val="20"/>
          <w:lang w:val="es-ES_tradnl"/>
        </w:rPr>
        <w:t xml:space="preserve">y sostiene que la CIDH debe declarar inadmisible la petición debido a que </w:t>
      </w:r>
      <w:r w:rsidR="008908F2">
        <w:rPr>
          <w:sz w:val="20"/>
          <w:szCs w:val="20"/>
          <w:lang w:val="es-ES_tradnl"/>
        </w:rPr>
        <w:t>é</w:t>
      </w:r>
      <w:r w:rsidR="00354FD2" w:rsidRPr="009C5D9B">
        <w:rPr>
          <w:sz w:val="20"/>
          <w:szCs w:val="20"/>
          <w:lang w:val="es-ES_tradnl"/>
        </w:rPr>
        <w:t xml:space="preserve">sta no expone hechos que caractericen violaciones a </w:t>
      </w:r>
      <w:r w:rsidR="00FA27D8" w:rsidRPr="009C5D9B">
        <w:rPr>
          <w:sz w:val="20"/>
          <w:szCs w:val="20"/>
          <w:lang w:val="es-ES_tradnl"/>
        </w:rPr>
        <w:t>d</w:t>
      </w:r>
      <w:r w:rsidR="00354FD2" w:rsidRPr="009C5D9B">
        <w:rPr>
          <w:sz w:val="20"/>
          <w:szCs w:val="20"/>
          <w:lang w:val="es-ES_tradnl"/>
        </w:rPr>
        <w:t xml:space="preserve">erechos </w:t>
      </w:r>
      <w:r w:rsidR="00FA27D8" w:rsidRPr="009C5D9B">
        <w:rPr>
          <w:sz w:val="20"/>
          <w:szCs w:val="20"/>
          <w:lang w:val="es-ES_tradnl"/>
        </w:rPr>
        <w:t>h</w:t>
      </w:r>
      <w:r w:rsidR="00354FD2" w:rsidRPr="009C5D9B">
        <w:rPr>
          <w:sz w:val="20"/>
          <w:szCs w:val="20"/>
          <w:lang w:val="es-ES_tradnl"/>
        </w:rPr>
        <w:t>umanos. Por otro lado, se refirió a los alegatos de presunta violación al derecho de igualdad por el caso con información fáctica similar dentro de la jurisdicción interna que se resolvió de forma positiva para terceros promoventes, explicando los detalles del procedimiento interno.  A continuación, se</w:t>
      </w:r>
      <w:r w:rsidR="003F6B07" w:rsidRPr="009C5D9B">
        <w:rPr>
          <w:sz w:val="20"/>
          <w:szCs w:val="20"/>
          <w:lang w:val="es-ES_tradnl"/>
        </w:rPr>
        <w:t xml:space="preserve"> detalla lo manifestado por el Estado</w:t>
      </w:r>
      <w:r w:rsidR="00354FD2" w:rsidRPr="009C5D9B">
        <w:rPr>
          <w:sz w:val="20"/>
          <w:szCs w:val="20"/>
          <w:lang w:val="es-ES_tradnl"/>
        </w:rPr>
        <w:t>:</w:t>
      </w:r>
    </w:p>
    <w:p w14:paraId="16357C6E" w14:textId="32CF068D" w:rsidR="00C65071" w:rsidRPr="009C5D9B" w:rsidRDefault="00BE328F" w:rsidP="2DB63416">
      <w:pPr>
        <w:pStyle w:val="ListParagraph"/>
        <w:numPr>
          <w:ilvl w:val="0"/>
          <w:numId w:val="59"/>
        </w:numPr>
        <w:spacing w:after="240"/>
        <w:ind w:left="0" w:firstLine="720"/>
        <w:jc w:val="both"/>
        <w:rPr>
          <w:sz w:val="20"/>
          <w:szCs w:val="20"/>
          <w:lang w:val="es-ES"/>
        </w:rPr>
      </w:pPr>
      <w:r w:rsidRPr="2DB63416">
        <w:rPr>
          <w:sz w:val="20"/>
          <w:szCs w:val="20"/>
          <w:lang w:val="es-ES"/>
        </w:rPr>
        <w:t xml:space="preserve">En primer lugar </w:t>
      </w:r>
      <w:r w:rsidR="00314F3A" w:rsidRPr="2DB63416">
        <w:rPr>
          <w:sz w:val="20"/>
          <w:szCs w:val="20"/>
          <w:lang w:val="es-ES"/>
        </w:rPr>
        <w:t>c</w:t>
      </w:r>
      <w:r w:rsidR="003806AF" w:rsidRPr="2DB63416">
        <w:rPr>
          <w:sz w:val="20"/>
          <w:szCs w:val="20"/>
          <w:lang w:val="es-ES"/>
        </w:rPr>
        <w:t>on</w:t>
      </w:r>
      <w:r w:rsidR="00354FD2" w:rsidRPr="2DB63416">
        <w:rPr>
          <w:sz w:val="20"/>
          <w:szCs w:val="20"/>
          <w:lang w:val="es-ES"/>
        </w:rPr>
        <w:t>sidera</w:t>
      </w:r>
      <w:r w:rsidR="003806AF" w:rsidRPr="2DB63416">
        <w:rPr>
          <w:sz w:val="20"/>
          <w:szCs w:val="20"/>
          <w:lang w:val="es-ES"/>
        </w:rPr>
        <w:t xml:space="preserve"> que, en virtud del artículo 47 de la Convención y del artículo 34 del Reglamento de la Comisión, la petición debe ser declarada como inadmisible porque</w:t>
      </w:r>
      <w:r w:rsidRPr="2DB63416">
        <w:rPr>
          <w:sz w:val="20"/>
          <w:szCs w:val="20"/>
          <w:lang w:val="es-ES"/>
        </w:rPr>
        <w:t>,</w:t>
      </w:r>
      <w:r w:rsidR="003806AF" w:rsidRPr="2DB63416">
        <w:rPr>
          <w:sz w:val="20"/>
          <w:szCs w:val="20"/>
          <w:lang w:val="es-ES"/>
        </w:rPr>
        <w:t xml:space="preserve"> de los hechos planteados</w:t>
      </w:r>
      <w:r w:rsidR="00E068F0" w:rsidRPr="2DB63416">
        <w:rPr>
          <w:sz w:val="20"/>
          <w:szCs w:val="20"/>
          <w:lang w:val="es-ES"/>
        </w:rPr>
        <w:t>,</w:t>
      </w:r>
      <w:r w:rsidR="003806AF" w:rsidRPr="2DB63416">
        <w:rPr>
          <w:sz w:val="20"/>
          <w:szCs w:val="20"/>
          <w:lang w:val="es-ES"/>
        </w:rPr>
        <w:t xml:space="preserve"> no se advierte caracterización de alguna violación de derechos humanos. También rec</w:t>
      </w:r>
      <w:r w:rsidR="00354FD2" w:rsidRPr="2DB63416">
        <w:rPr>
          <w:sz w:val="20"/>
          <w:szCs w:val="20"/>
          <w:lang w:val="es-ES"/>
        </w:rPr>
        <w:t xml:space="preserve">uerda </w:t>
      </w:r>
      <w:r w:rsidR="003806AF" w:rsidRPr="2DB63416">
        <w:rPr>
          <w:sz w:val="20"/>
          <w:szCs w:val="20"/>
          <w:lang w:val="es-ES"/>
        </w:rPr>
        <w:t xml:space="preserve">que la CIDH no es competente para declarar admisible una petición cuando ésta se refiere a sentencias dictadas por los tribunales nacionales que actúen en la esfera de su competencia y que apliquen las debidas garantías judiciales, a menos que </w:t>
      </w:r>
      <w:r w:rsidR="00AD0AA5" w:rsidRPr="2DB63416">
        <w:rPr>
          <w:sz w:val="20"/>
          <w:szCs w:val="20"/>
          <w:lang w:val="es-ES"/>
        </w:rPr>
        <w:t>encuentre</w:t>
      </w:r>
      <w:r w:rsidR="00E068F0" w:rsidRPr="2DB63416">
        <w:rPr>
          <w:sz w:val="20"/>
          <w:szCs w:val="20"/>
          <w:lang w:val="es-ES"/>
        </w:rPr>
        <w:t xml:space="preserve"> </w:t>
      </w:r>
      <w:r w:rsidR="003806AF" w:rsidRPr="2DB63416">
        <w:rPr>
          <w:sz w:val="20"/>
          <w:szCs w:val="20"/>
          <w:lang w:val="es-ES"/>
        </w:rPr>
        <w:t>la posibilidad de que se haya cometido una violación a la Convención Americana.</w:t>
      </w:r>
      <w:r w:rsidR="004878D6" w:rsidRPr="2DB63416">
        <w:rPr>
          <w:sz w:val="20"/>
          <w:szCs w:val="20"/>
          <w:lang w:val="es-ES"/>
        </w:rPr>
        <w:t xml:space="preserve"> Aduce</w:t>
      </w:r>
      <w:r w:rsidR="003806AF" w:rsidRPr="2DB63416">
        <w:rPr>
          <w:sz w:val="20"/>
          <w:szCs w:val="20"/>
          <w:lang w:val="es-ES"/>
        </w:rPr>
        <w:t xml:space="preserve"> que las presuntas víctimas no acreditaron </w:t>
      </w:r>
      <w:r w:rsidR="00AE1890" w:rsidRPr="2DB63416">
        <w:rPr>
          <w:sz w:val="20"/>
          <w:szCs w:val="20"/>
          <w:lang w:val="es-ES"/>
        </w:rPr>
        <w:t xml:space="preserve">en las instancias internas </w:t>
      </w:r>
      <w:r w:rsidR="003806AF" w:rsidRPr="2DB63416">
        <w:rPr>
          <w:sz w:val="20"/>
          <w:szCs w:val="20"/>
          <w:lang w:val="es-ES"/>
        </w:rPr>
        <w:t>irregularidades por parte de la CONAGUA, ni motivaron los daños que ocasionaron el reclamo de la supuesta responsabilidad patrimonial, por lo que no se encontró responsabilidad por parte del Estado.</w:t>
      </w:r>
    </w:p>
    <w:p w14:paraId="0452B4F7" w14:textId="375E1F97" w:rsidR="00C65071" w:rsidRPr="009C5D9B" w:rsidRDefault="00D27EFE" w:rsidP="009C5D9B">
      <w:pPr>
        <w:pStyle w:val="ListParagraph"/>
        <w:numPr>
          <w:ilvl w:val="0"/>
          <w:numId w:val="59"/>
        </w:numPr>
        <w:spacing w:after="240"/>
        <w:ind w:left="0" w:firstLine="720"/>
        <w:jc w:val="both"/>
        <w:rPr>
          <w:sz w:val="20"/>
          <w:szCs w:val="20"/>
          <w:lang w:val="es-ES_tradnl"/>
        </w:rPr>
      </w:pPr>
      <w:r w:rsidRPr="009C5D9B">
        <w:rPr>
          <w:sz w:val="20"/>
          <w:szCs w:val="20"/>
          <w:lang w:val="es-ES_tradnl"/>
        </w:rPr>
        <w:t>México</w:t>
      </w:r>
      <w:r w:rsidR="00C65071" w:rsidRPr="009C5D9B">
        <w:rPr>
          <w:sz w:val="20"/>
          <w:szCs w:val="20"/>
          <w:lang w:val="es-ES_tradnl"/>
        </w:rPr>
        <w:t xml:space="preserve"> también menciona que si bien</w:t>
      </w:r>
      <w:r w:rsidR="000E1D48">
        <w:rPr>
          <w:sz w:val="20"/>
          <w:szCs w:val="20"/>
          <w:lang w:val="es-ES_tradnl"/>
        </w:rPr>
        <w:t>,</w:t>
      </w:r>
      <w:r w:rsidR="00C65071" w:rsidRPr="009C5D9B">
        <w:rPr>
          <w:sz w:val="20"/>
          <w:szCs w:val="20"/>
          <w:lang w:val="es-ES_tradnl"/>
        </w:rPr>
        <w:t xml:space="preserve"> de </w:t>
      </w:r>
      <w:r w:rsidR="00D13BBD" w:rsidRPr="009C5D9B">
        <w:rPr>
          <w:sz w:val="20"/>
          <w:szCs w:val="20"/>
          <w:lang w:val="es-ES_tradnl"/>
        </w:rPr>
        <w:t>acuerdo</w:t>
      </w:r>
      <w:r w:rsidR="00C65071" w:rsidRPr="009C5D9B">
        <w:rPr>
          <w:sz w:val="20"/>
          <w:szCs w:val="20"/>
          <w:lang w:val="es-ES_tradnl"/>
        </w:rPr>
        <w:t xml:space="preserve"> con la Constitución, en contra de la sentencia de amparo directo se prevé el recurso de revisión, éste únicamente procede en cuanto a la decisión de las cuestiones propiamente constitucionales, sin poder comprender otras. Ante esto, informa que las sentencias emitidas en los juicios de amparo directo constituyen la última instancia ordinaria para la revisión de las determinaciones judiciales emitidas por las autoridades de menor jerarquía</w:t>
      </w:r>
      <w:r w:rsidR="00AD0AA5">
        <w:rPr>
          <w:sz w:val="20"/>
          <w:szCs w:val="20"/>
          <w:lang w:val="es-ES_tradnl"/>
        </w:rPr>
        <w:t xml:space="preserve"> —</w:t>
      </w:r>
      <w:r w:rsidR="00C65071" w:rsidRPr="009C5D9B">
        <w:rPr>
          <w:sz w:val="20"/>
          <w:szCs w:val="20"/>
          <w:lang w:val="es-ES_tradnl"/>
        </w:rPr>
        <w:t>como es en el presente cas</w:t>
      </w:r>
      <w:r w:rsidR="00AD0AA5">
        <w:rPr>
          <w:sz w:val="20"/>
          <w:szCs w:val="20"/>
          <w:lang w:val="es-ES_tradnl"/>
        </w:rPr>
        <w:t>o—</w:t>
      </w:r>
      <w:r w:rsidR="0000643A" w:rsidRPr="009C5D9B">
        <w:rPr>
          <w:sz w:val="20"/>
          <w:szCs w:val="20"/>
          <w:lang w:val="es-ES_tradnl"/>
        </w:rPr>
        <w:t>, por</w:t>
      </w:r>
      <w:r w:rsidR="00C65071" w:rsidRPr="009C5D9B">
        <w:rPr>
          <w:sz w:val="20"/>
          <w:szCs w:val="20"/>
          <w:lang w:val="es-ES_tradnl"/>
        </w:rPr>
        <w:t xml:space="preserve"> lo que el Estado advierte que la parte peticionaria agotó los recursos internos disponibles en contra del fallo que reconoció́ la validez de la resolución en la que se le negó el derecho a la indemnización.</w:t>
      </w:r>
    </w:p>
    <w:p w14:paraId="6F18C1D6" w14:textId="009D36C6" w:rsidR="003806AF" w:rsidRPr="009C5D9B" w:rsidRDefault="003806AF" w:rsidP="009C5D9B">
      <w:pPr>
        <w:pStyle w:val="NormalWeb"/>
        <w:spacing w:after="240"/>
        <w:ind w:firstLine="720"/>
        <w:jc w:val="both"/>
        <w:rPr>
          <w:rFonts w:ascii="Cambria" w:hAnsi="Cambria"/>
          <w:i/>
          <w:iCs/>
          <w:sz w:val="20"/>
          <w:szCs w:val="20"/>
          <w:lang w:val="es-ES_tradnl"/>
        </w:rPr>
      </w:pPr>
      <w:r w:rsidRPr="009C5D9B">
        <w:rPr>
          <w:rFonts w:ascii="Cambria" w:hAnsi="Cambria"/>
          <w:i/>
          <w:iCs/>
          <w:sz w:val="20"/>
          <w:szCs w:val="20"/>
          <w:lang w:val="es-ES_tradnl"/>
        </w:rPr>
        <w:t xml:space="preserve">Sobre el proceso llevado por terceros </w:t>
      </w:r>
      <w:r w:rsidR="00BA0F56" w:rsidRPr="009C5D9B">
        <w:rPr>
          <w:rFonts w:ascii="Cambria" w:hAnsi="Cambria"/>
          <w:i/>
          <w:iCs/>
          <w:sz w:val="20"/>
          <w:szCs w:val="20"/>
          <w:lang w:val="es-ES_tradnl"/>
        </w:rPr>
        <w:t>sobre la misma base fáctica</w:t>
      </w:r>
      <w:r w:rsidR="003074C3" w:rsidRPr="009C5D9B">
        <w:rPr>
          <w:rFonts w:ascii="Cambria" w:hAnsi="Cambria"/>
          <w:i/>
          <w:iCs/>
          <w:sz w:val="20"/>
          <w:szCs w:val="20"/>
          <w:lang w:val="es-ES_tradnl"/>
        </w:rPr>
        <w:t xml:space="preserve"> que aquel </w:t>
      </w:r>
      <w:r w:rsidR="007E53EF" w:rsidRPr="009C5D9B">
        <w:rPr>
          <w:rFonts w:ascii="Cambria" w:hAnsi="Cambria"/>
          <w:i/>
          <w:iCs/>
          <w:sz w:val="20"/>
          <w:szCs w:val="20"/>
          <w:lang w:val="es-ES_tradnl"/>
        </w:rPr>
        <w:t>incoado por</w:t>
      </w:r>
      <w:r w:rsidRPr="009C5D9B">
        <w:rPr>
          <w:rFonts w:ascii="Cambria" w:hAnsi="Cambria"/>
          <w:i/>
          <w:iCs/>
          <w:sz w:val="20"/>
          <w:szCs w:val="20"/>
          <w:lang w:val="es-ES_tradnl"/>
        </w:rPr>
        <w:t xml:space="preserve"> las presuntas víctimas</w:t>
      </w:r>
    </w:p>
    <w:p w14:paraId="57161A3C" w14:textId="71308AB9" w:rsidR="003806AF" w:rsidRPr="009C5D9B" w:rsidRDefault="003806AF" w:rsidP="2DB63416">
      <w:pPr>
        <w:pStyle w:val="ListParagraph"/>
        <w:numPr>
          <w:ilvl w:val="0"/>
          <w:numId w:val="59"/>
        </w:numPr>
        <w:spacing w:after="240"/>
        <w:ind w:left="0" w:firstLine="720"/>
        <w:jc w:val="both"/>
        <w:rPr>
          <w:sz w:val="20"/>
          <w:szCs w:val="20"/>
          <w:lang w:val="es-ES"/>
        </w:rPr>
      </w:pPr>
      <w:r w:rsidRPr="2DB63416">
        <w:rPr>
          <w:sz w:val="20"/>
          <w:szCs w:val="20"/>
          <w:lang w:val="es-ES"/>
        </w:rPr>
        <w:t xml:space="preserve">Respecto </w:t>
      </w:r>
      <w:r w:rsidR="00B64481" w:rsidRPr="2DB63416">
        <w:rPr>
          <w:sz w:val="20"/>
          <w:szCs w:val="20"/>
          <w:lang w:val="es-ES"/>
        </w:rPr>
        <w:t>a</w:t>
      </w:r>
      <w:r w:rsidRPr="2DB63416">
        <w:rPr>
          <w:sz w:val="20"/>
          <w:szCs w:val="20"/>
          <w:lang w:val="es-ES"/>
        </w:rPr>
        <w:t xml:space="preserve">l caso </w:t>
      </w:r>
      <w:r w:rsidR="004542E4" w:rsidRPr="2DB63416">
        <w:rPr>
          <w:sz w:val="20"/>
          <w:szCs w:val="20"/>
          <w:lang w:val="es-ES"/>
        </w:rPr>
        <w:t xml:space="preserve">que se alega como </w:t>
      </w:r>
      <w:r w:rsidRPr="2DB63416">
        <w:rPr>
          <w:sz w:val="20"/>
          <w:szCs w:val="20"/>
          <w:lang w:val="es-ES"/>
        </w:rPr>
        <w:t xml:space="preserve">similar, </w:t>
      </w:r>
      <w:r w:rsidR="004542E4" w:rsidRPr="2DB63416">
        <w:rPr>
          <w:sz w:val="20"/>
          <w:szCs w:val="20"/>
          <w:lang w:val="es-ES"/>
        </w:rPr>
        <w:t xml:space="preserve">promovido </w:t>
      </w:r>
      <w:r w:rsidR="00F7511F" w:rsidRPr="2DB63416">
        <w:rPr>
          <w:sz w:val="20"/>
          <w:szCs w:val="20"/>
          <w:lang w:val="es-ES"/>
        </w:rPr>
        <w:t xml:space="preserve">por terceros, </w:t>
      </w:r>
      <w:r w:rsidRPr="2DB63416">
        <w:rPr>
          <w:sz w:val="20"/>
          <w:szCs w:val="20"/>
          <w:lang w:val="es-ES"/>
        </w:rPr>
        <w:t xml:space="preserve">el Estado </w:t>
      </w:r>
      <w:r w:rsidR="008073D1" w:rsidRPr="2DB63416">
        <w:rPr>
          <w:sz w:val="20"/>
          <w:szCs w:val="20"/>
          <w:lang w:val="es-ES"/>
        </w:rPr>
        <w:t>aporta</w:t>
      </w:r>
      <w:r w:rsidR="00354FD2" w:rsidRPr="2DB63416">
        <w:rPr>
          <w:sz w:val="20"/>
          <w:szCs w:val="20"/>
          <w:lang w:val="es-ES"/>
        </w:rPr>
        <w:t xml:space="preserve"> </w:t>
      </w:r>
      <w:r w:rsidRPr="2DB63416">
        <w:rPr>
          <w:sz w:val="20"/>
          <w:szCs w:val="20"/>
          <w:lang w:val="es-ES"/>
        </w:rPr>
        <w:t xml:space="preserve">un resumen </w:t>
      </w:r>
      <w:r w:rsidR="00CC39ED" w:rsidRPr="2DB63416">
        <w:rPr>
          <w:sz w:val="20"/>
          <w:szCs w:val="20"/>
          <w:lang w:val="es-ES"/>
        </w:rPr>
        <w:t xml:space="preserve">de </w:t>
      </w:r>
      <w:r w:rsidR="00B23B94" w:rsidRPr="2DB63416">
        <w:rPr>
          <w:sz w:val="20"/>
          <w:szCs w:val="20"/>
          <w:lang w:val="es-ES"/>
        </w:rPr>
        <w:t>sus actuaciones</w:t>
      </w:r>
      <w:r w:rsidR="00CC39ED" w:rsidRPr="2DB63416">
        <w:rPr>
          <w:sz w:val="20"/>
          <w:szCs w:val="20"/>
          <w:lang w:val="es-ES"/>
        </w:rPr>
        <w:t xml:space="preserve">, </w:t>
      </w:r>
      <w:r w:rsidR="00354FD2" w:rsidRPr="2DB63416">
        <w:rPr>
          <w:sz w:val="20"/>
          <w:szCs w:val="20"/>
          <w:lang w:val="es-ES"/>
        </w:rPr>
        <w:t xml:space="preserve">y </w:t>
      </w:r>
      <w:r w:rsidR="00CC39ED" w:rsidRPr="2DB63416">
        <w:rPr>
          <w:sz w:val="20"/>
          <w:szCs w:val="20"/>
          <w:lang w:val="es-ES"/>
        </w:rPr>
        <w:t>sostiene</w:t>
      </w:r>
      <w:r w:rsidRPr="2DB63416">
        <w:rPr>
          <w:sz w:val="20"/>
          <w:szCs w:val="20"/>
          <w:lang w:val="es-ES"/>
        </w:rPr>
        <w:t xml:space="preserve"> que para cada caso el tribunal correspondiente h</w:t>
      </w:r>
      <w:r w:rsidR="00CC39ED" w:rsidRPr="2DB63416">
        <w:rPr>
          <w:sz w:val="20"/>
          <w:szCs w:val="20"/>
          <w:lang w:val="es-ES"/>
        </w:rPr>
        <w:t>izo</w:t>
      </w:r>
      <w:r w:rsidRPr="2DB63416">
        <w:rPr>
          <w:sz w:val="20"/>
          <w:szCs w:val="20"/>
          <w:lang w:val="es-ES"/>
        </w:rPr>
        <w:t xml:space="preserve"> una valoración propia de las pruebas presentadas.</w:t>
      </w:r>
      <w:r w:rsidR="001F0B40" w:rsidRPr="2DB63416">
        <w:rPr>
          <w:sz w:val="20"/>
          <w:szCs w:val="20"/>
          <w:lang w:val="es-ES"/>
        </w:rPr>
        <w:t xml:space="preserve"> </w:t>
      </w:r>
      <w:r w:rsidRPr="2DB63416">
        <w:rPr>
          <w:sz w:val="20"/>
          <w:szCs w:val="20"/>
          <w:lang w:val="es-ES"/>
        </w:rPr>
        <w:t xml:space="preserve">Así, dos terceros, tras daños en su hogar por la inundación del 6 de septiembre de </w:t>
      </w:r>
      <w:r w:rsidR="00BB4F5B" w:rsidRPr="2DB63416">
        <w:rPr>
          <w:sz w:val="20"/>
          <w:szCs w:val="20"/>
          <w:lang w:val="es-ES"/>
        </w:rPr>
        <w:t>2009, promovieron</w:t>
      </w:r>
      <w:r w:rsidRPr="2DB63416">
        <w:rPr>
          <w:sz w:val="20"/>
          <w:szCs w:val="20"/>
          <w:lang w:val="es-ES"/>
        </w:rPr>
        <w:t xml:space="preserve"> el juicio </w:t>
      </w:r>
      <w:r w:rsidR="00B80A8E" w:rsidRPr="2DB63416">
        <w:rPr>
          <w:sz w:val="20"/>
          <w:szCs w:val="20"/>
          <w:lang w:val="es-ES"/>
        </w:rPr>
        <w:t xml:space="preserve">por responsabilidad patrimonial </w:t>
      </w:r>
      <w:r w:rsidRPr="2DB63416">
        <w:rPr>
          <w:sz w:val="20"/>
          <w:szCs w:val="20"/>
          <w:lang w:val="es-ES"/>
        </w:rPr>
        <w:t>22505/11-17-05-1 ante la Quinta Sala Regional Metropolitana del entonces Tribunal Federal de Justicia Fiscal y Administrativa, que les negó sus pretensiones de indemnización el 9 de abril de 2012. Entonces, interpusieron el 31 de mayo de 2012 el amparo directo 518/2012 en el que señalaron como autoridades responsables a los magistrados integrantes de la Quinta Sala Regional.</w:t>
      </w:r>
    </w:p>
    <w:p w14:paraId="2AD277EC" w14:textId="3E3A0E81" w:rsidR="003806AF" w:rsidRPr="009C5D9B" w:rsidRDefault="003806AF" w:rsidP="2DB63416">
      <w:pPr>
        <w:pStyle w:val="ListParagraph"/>
        <w:numPr>
          <w:ilvl w:val="0"/>
          <w:numId w:val="59"/>
        </w:numPr>
        <w:spacing w:after="240"/>
        <w:ind w:left="0" w:firstLine="720"/>
        <w:jc w:val="both"/>
        <w:rPr>
          <w:sz w:val="20"/>
          <w:szCs w:val="20"/>
          <w:lang w:val="es-ES"/>
        </w:rPr>
      </w:pPr>
      <w:r w:rsidRPr="2DB63416">
        <w:rPr>
          <w:sz w:val="20"/>
          <w:szCs w:val="20"/>
          <w:lang w:val="es-ES"/>
        </w:rPr>
        <w:t xml:space="preserve">A diferencia del caso de las presuntas víctimas, este amparo se otorgó el 13 de diciembre de 2012, pidiendo que se dejara insubsistente la decisión del 9 de abril de 2012 y se emitiera otra sentencia en la que </w:t>
      </w:r>
      <w:r w:rsidR="009B277C" w:rsidRPr="2DB63416">
        <w:rPr>
          <w:sz w:val="20"/>
          <w:szCs w:val="20"/>
          <w:lang w:val="es-ES"/>
        </w:rPr>
        <w:t xml:space="preserve">se </w:t>
      </w:r>
      <w:r w:rsidRPr="2DB63416">
        <w:rPr>
          <w:sz w:val="20"/>
          <w:szCs w:val="20"/>
          <w:lang w:val="es-ES"/>
        </w:rPr>
        <w:t>anali</w:t>
      </w:r>
      <w:r w:rsidR="00DB326D" w:rsidRPr="2DB63416">
        <w:rPr>
          <w:sz w:val="20"/>
          <w:szCs w:val="20"/>
          <w:lang w:val="es-ES"/>
        </w:rPr>
        <w:t>ce</w:t>
      </w:r>
      <w:r w:rsidRPr="2DB63416">
        <w:rPr>
          <w:sz w:val="20"/>
          <w:szCs w:val="20"/>
          <w:lang w:val="es-ES"/>
        </w:rPr>
        <w:t xml:space="preserve"> el acervo probatorio que obraba en el juicio; en </w:t>
      </w:r>
      <w:r w:rsidR="0071725E" w:rsidRPr="2DB63416">
        <w:rPr>
          <w:sz w:val="20"/>
          <w:szCs w:val="20"/>
          <w:lang w:val="es-ES"/>
        </w:rPr>
        <w:t>concreto</w:t>
      </w:r>
      <w:r w:rsidRPr="2DB63416">
        <w:rPr>
          <w:sz w:val="20"/>
          <w:szCs w:val="20"/>
          <w:lang w:val="es-ES"/>
        </w:rPr>
        <w:t xml:space="preserve"> el </w:t>
      </w:r>
      <w:r w:rsidR="00357403" w:rsidRPr="2DB63416">
        <w:rPr>
          <w:sz w:val="20"/>
          <w:szCs w:val="20"/>
          <w:lang w:val="es-ES"/>
        </w:rPr>
        <w:t xml:space="preserve">dictamen emitido </w:t>
      </w:r>
      <w:r w:rsidRPr="2DB63416">
        <w:rPr>
          <w:sz w:val="20"/>
          <w:szCs w:val="20"/>
          <w:lang w:val="es-ES"/>
        </w:rPr>
        <w:t xml:space="preserve">por el Instituto de Ingeniería de la UNAM. En ese sentido, la Quinta Sala Regional Metropolitana debía analizar la relación causa-efecto entre la lesión patrimonial y la presunta actividad irregular del Estado por omisión, y estudiar el material probatorio del informe de la UNAM. </w:t>
      </w:r>
      <w:r w:rsidR="005357FC" w:rsidRPr="2DB63416">
        <w:rPr>
          <w:sz w:val="20"/>
          <w:szCs w:val="20"/>
          <w:lang w:val="es-ES"/>
        </w:rPr>
        <w:t>Así, e</w:t>
      </w:r>
      <w:r w:rsidRPr="2DB63416">
        <w:rPr>
          <w:sz w:val="20"/>
          <w:szCs w:val="20"/>
          <w:lang w:val="es-ES"/>
        </w:rPr>
        <w:t>l 7 de octubre de 2013</w:t>
      </w:r>
      <w:r w:rsidR="00A97243" w:rsidRPr="2DB63416">
        <w:rPr>
          <w:sz w:val="20"/>
          <w:szCs w:val="20"/>
          <w:lang w:val="es-ES"/>
        </w:rPr>
        <w:t>,</w:t>
      </w:r>
      <w:r w:rsidRPr="2DB63416">
        <w:rPr>
          <w:sz w:val="20"/>
          <w:szCs w:val="20"/>
          <w:lang w:val="es-ES"/>
        </w:rPr>
        <w:t xml:space="preserve"> la mencionada sala concluyó que</w:t>
      </w:r>
      <w:r w:rsidR="000E250B" w:rsidRPr="2DB63416">
        <w:rPr>
          <w:sz w:val="20"/>
          <w:szCs w:val="20"/>
          <w:lang w:val="es-ES"/>
        </w:rPr>
        <w:t>, en efecto,</w:t>
      </w:r>
      <w:r w:rsidRPr="2DB63416">
        <w:rPr>
          <w:sz w:val="20"/>
          <w:szCs w:val="20"/>
          <w:lang w:val="es-ES"/>
        </w:rPr>
        <w:t xml:space="preserve"> sí hubo actividad irregular del Estado, porque la CONAGUA “</w:t>
      </w:r>
      <w:r w:rsidRPr="2DB63416">
        <w:rPr>
          <w:i/>
          <w:iCs/>
          <w:sz w:val="20"/>
          <w:szCs w:val="20"/>
          <w:lang w:val="es-ES"/>
        </w:rPr>
        <w:t>no observó las normas que regulan su funcionamiento ni realizó actos de debida diligencia, en aras de que el servicio público otorgado cumpliera con los parámetros establecidos para su correcto funcionamiento</w:t>
      </w:r>
      <w:r w:rsidRPr="2DB63416">
        <w:rPr>
          <w:sz w:val="20"/>
          <w:szCs w:val="20"/>
          <w:lang w:val="es-ES"/>
        </w:rPr>
        <w:t xml:space="preserve">”. </w:t>
      </w:r>
    </w:p>
    <w:p w14:paraId="3D6D9BFF" w14:textId="4F72040C" w:rsidR="003806AF" w:rsidRPr="005A0DA4" w:rsidRDefault="003806AF" w:rsidP="2DB63416">
      <w:pPr>
        <w:pStyle w:val="ListParagraph"/>
        <w:numPr>
          <w:ilvl w:val="0"/>
          <w:numId w:val="59"/>
        </w:numPr>
        <w:spacing w:after="240"/>
        <w:ind w:left="0" w:firstLine="720"/>
        <w:jc w:val="both"/>
        <w:rPr>
          <w:sz w:val="20"/>
          <w:szCs w:val="20"/>
          <w:lang w:val="es-ES"/>
        </w:rPr>
      </w:pPr>
      <w:r w:rsidRPr="005A0DA4">
        <w:rPr>
          <w:sz w:val="20"/>
          <w:szCs w:val="20"/>
          <w:lang w:val="es-ES"/>
        </w:rPr>
        <w:t xml:space="preserve">Asimismo, </w:t>
      </w:r>
      <w:r w:rsidR="006E31A9" w:rsidRPr="005A0DA4">
        <w:rPr>
          <w:sz w:val="20"/>
          <w:szCs w:val="20"/>
          <w:lang w:val="es-ES"/>
        </w:rPr>
        <w:t xml:space="preserve">en este otro caso, según el Estado, </w:t>
      </w:r>
      <w:r w:rsidRPr="005A0DA4">
        <w:rPr>
          <w:sz w:val="20"/>
          <w:szCs w:val="20"/>
          <w:lang w:val="es-ES"/>
        </w:rPr>
        <w:t>la sala consideró que se produjeron daños de índole patrimonial y moral a la parte solicitante del amparo por las inundaciones sobrevenidas por la intensa lluvia que se produjo en esa fecha, “</w:t>
      </w:r>
      <w:r w:rsidRPr="005A0DA4">
        <w:rPr>
          <w:i/>
          <w:iCs/>
          <w:sz w:val="20"/>
          <w:szCs w:val="20"/>
          <w:lang w:val="es-ES"/>
        </w:rPr>
        <w:t>las cuales tuvieron su causa en la ineficiencia, por su inadecuación y por su falta de conservación y mantenimiento, de la obra hidráulica Túnel Emisor Poniente</w:t>
      </w:r>
      <w:r w:rsidRPr="005A0DA4">
        <w:rPr>
          <w:sz w:val="20"/>
          <w:szCs w:val="20"/>
          <w:lang w:val="es-ES"/>
        </w:rPr>
        <w:t xml:space="preserve">”. </w:t>
      </w:r>
      <w:r w:rsidR="00A824C2" w:rsidRPr="005A0DA4">
        <w:rPr>
          <w:sz w:val="20"/>
          <w:szCs w:val="20"/>
          <w:lang w:val="es-ES"/>
        </w:rPr>
        <w:t>Además,</w:t>
      </w:r>
      <w:r w:rsidR="00D70740" w:rsidRPr="005A0DA4">
        <w:rPr>
          <w:sz w:val="20"/>
          <w:szCs w:val="20"/>
          <w:lang w:val="es-ES"/>
        </w:rPr>
        <w:t xml:space="preserve"> se ponderó en ese amparo </w:t>
      </w:r>
      <w:r w:rsidRPr="005A0DA4">
        <w:rPr>
          <w:sz w:val="20"/>
          <w:szCs w:val="20"/>
          <w:lang w:val="es-ES"/>
        </w:rPr>
        <w:t xml:space="preserve">que el funcionamiento anormal de un servicio de la administración pública fue determinante en los daños causados a los solicitantes; que éstos fueron cuantificables económicamente; y que existió </w:t>
      </w:r>
      <w:r w:rsidRPr="005A0DA4">
        <w:rPr>
          <w:i/>
          <w:iCs/>
          <w:sz w:val="20"/>
          <w:szCs w:val="20"/>
          <w:lang w:val="es-ES"/>
        </w:rPr>
        <w:t xml:space="preserve">“una relación </w:t>
      </w:r>
      <w:r w:rsidRPr="005A0DA4">
        <w:rPr>
          <w:i/>
          <w:iCs/>
          <w:sz w:val="20"/>
          <w:szCs w:val="20"/>
          <w:lang w:val="es-ES"/>
        </w:rPr>
        <w:lastRenderedPageBreak/>
        <w:t>directa, inmediata y exclusiva de causa efecto entre el defectuoso funcionamiento y los perjuicios causados</w:t>
      </w:r>
      <w:r w:rsidRPr="005A0DA4">
        <w:rPr>
          <w:sz w:val="20"/>
          <w:szCs w:val="20"/>
          <w:lang w:val="es-ES"/>
        </w:rPr>
        <w:t xml:space="preserve">”, por lo que no podía hablarse de fuerza mayor, ya que no surtió el elemento de inevitabilidad del hecho, pues la CONAGUA conocía de las deficiencias de la obra hidráulica y no demostró que tomó las medidas pertinentes para evitar los daños generados. Como el tribunal colegiado </w:t>
      </w:r>
      <w:r w:rsidR="006168B1" w:rsidRPr="005A0DA4">
        <w:rPr>
          <w:sz w:val="20"/>
          <w:szCs w:val="20"/>
          <w:lang w:val="es-ES"/>
        </w:rPr>
        <w:t xml:space="preserve">entendió </w:t>
      </w:r>
      <w:r w:rsidRPr="005A0DA4">
        <w:rPr>
          <w:sz w:val="20"/>
          <w:szCs w:val="20"/>
          <w:lang w:val="es-ES"/>
        </w:rPr>
        <w:t xml:space="preserve">cumplida la ejecutoria de amparo, el 28 de septiembre del 2014 se ordenó el archivo del asunto. </w:t>
      </w:r>
    </w:p>
    <w:p w14:paraId="275A9D45" w14:textId="55FE4590" w:rsidR="003806AF" w:rsidRPr="005A0DA4" w:rsidRDefault="005B7008" w:rsidP="2DB63416">
      <w:pPr>
        <w:pStyle w:val="ListParagraph"/>
        <w:numPr>
          <w:ilvl w:val="0"/>
          <w:numId w:val="59"/>
        </w:numPr>
        <w:spacing w:after="240"/>
        <w:ind w:left="0" w:firstLine="720"/>
        <w:jc w:val="both"/>
        <w:rPr>
          <w:sz w:val="20"/>
          <w:szCs w:val="20"/>
          <w:lang w:val="es-ES"/>
        </w:rPr>
      </w:pPr>
      <w:r w:rsidRPr="005A0DA4">
        <w:rPr>
          <w:sz w:val="20"/>
          <w:szCs w:val="20"/>
          <w:lang w:val="es-ES"/>
        </w:rPr>
        <w:t>E</w:t>
      </w:r>
      <w:r w:rsidR="003806AF" w:rsidRPr="005A0DA4">
        <w:rPr>
          <w:sz w:val="20"/>
          <w:szCs w:val="20"/>
          <w:lang w:val="es-ES"/>
        </w:rPr>
        <w:t>l Estado afirma que</w:t>
      </w:r>
      <w:r w:rsidR="00977A85" w:rsidRPr="005A0DA4">
        <w:rPr>
          <w:sz w:val="20"/>
          <w:szCs w:val="20"/>
          <w:lang w:val="es-ES"/>
        </w:rPr>
        <w:t>, a diferencia de este otro caso,</w:t>
      </w:r>
      <w:r w:rsidR="003806AF" w:rsidRPr="005A0DA4">
        <w:rPr>
          <w:sz w:val="20"/>
          <w:szCs w:val="20"/>
          <w:lang w:val="es-ES"/>
        </w:rPr>
        <w:t xml:space="preserve"> los alegatos de la parte peticionaria referentes a cuestionar el valor otorgado a las pruebas para acreditar la responsabilidad patrimonial pretendida</w:t>
      </w:r>
      <w:r w:rsidRPr="005A0DA4">
        <w:rPr>
          <w:sz w:val="20"/>
          <w:szCs w:val="20"/>
          <w:lang w:val="es-ES"/>
        </w:rPr>
        <w:t xml:space="preserve"> sí habían sido </w:t>
      </w:r>
      <w:r w:rsidR="003806AF" w:rsidRPr="005A0DA4">
        <w:rPr>
          <w:sz w:val="20"/>
          <w:szCs w:val="20"/>
          <w:lang w:val="es-ES"/>
        </w:rPr>
        <w:t>atendidos a nivel interno en el juicio de amparo directo 598/2013</w:t>
      </w:r>
      <w:r w:rsidR="006E4D84" w:rsidRPr="005A0DA4">
        <w:rPr>
          <w:sz w:val="20"/>
          <w:szCs w:val="20"/>
          <w:lang w:val="es-ES"/>
        </w:rPr>
        <w:t>;</w:t>
      </w:r>
      <w:r w:rsidR="003806AF" w:rsidRPr="005A0DA4">
        <w:rPr>
          <w:sz w:val="20"/>
          <w:szCs w:val="20"/>
          <w:lang w:val="es-ES"/>
        </w:rPr>
        <w:t xml:space="preserve"> y asevera que el hecho de que la sentencia les fuera desfavorable a las presuntas víctimas no implica que existan violaciones a derechos humanos, sino un ejercicio de valoración de las pruebas aportadas, tanto al recurso instruido en sede administrativa, como en el juicio </w:t>
      </w:r>
      <w:r w:rsidR="00B80A8E" w:rsidRPr="005A0DA4">
        <w:rPr>
          <w:sz w:val="20"/>
          <w:szCs w:val="20"/>
          <w:lang w:val="es-ES"/>
        </w:rPr>
        <w:t>por responsabilidad patrimonial</w:t>
      </w:r>
      <w:r w:rsidR="006E4D84" w:rsidRPr="005A0DA4">
        <w:rPr>
          <w:sz w:val="20"/>
          <w:szCs w:val="20"/>
          <w:lang w:val="es-ES"/>
        </w:rPr>
        <w:t xml:space="preserve">. Para el Estado, entonces, </w:t>
      </w:r>
      <w:r w:rsidR="00B45EA8" w:rsidRPr="005A0DA4">
        <w:rPr>
          <w:sz w:val="20"/>
          <w:szCs w:val="20"/>
          <w:lang w:val="es-ES"/>
        </w:rPr>
        <w:t xml:space="preserve">las pruebas aportadas por la parte peticionaria </w:t>
      </w:r>
      <w:r w:rsidR="003806AF" w:rsidRPr="005A0DA4">
        <w:rPr>
          <w:sz w:val="20"/>
          <w:szCs w:val="20"/>
          <w:lang w:val="es-ES"/>
        </w:rPr>
        <w:t>fueron consideradas insuficientes para tener por demostrado el daño patrimonial por parte de la CONAGUA</w:t>
      </w:r>
      <w:r w:rsidR="00A55B52" w:rsidRPr="005A0DA4">
        <w:rPr>
          <w:sz w:val="20"/>
          <w:szCs w:val="20"/>
          <w:lang w:val="es-ES"/>
        </w:rPr>
        <w:t>.</w:t>
      </w:r>
      <w:r w:rsidR="003806AF" w:rsidRPr="005A0DA4">
        <w:rPr>
          <w:sz w:val="20"/>
          <w:szCs w:val="20"/>
          <w:lang w:val="es-ES"/>
        </w:rPr>
        <w:t xml:space="preserve"> </w:t>
      </w:r>
      <w:r w:rsidR="00A55B52" w:rsidRPr="005A0DA4">
        <w:rPr>
          <w:sz w:val="20"/>
          <w:szCs w:val="20"/>
          <w:lang w:val="es-ES"/>
        </w:rPr>
        <w:t>D</w:t>
      </w:r>
      <w:r w:rsidR="003806AF" w:rsidRPr="005A0DA4">
        <w:rPr>
          <w:sz w:val="20"/>
          <w:szCs w:val="20"/>
          <w:lang w:val="es-ES"/>
        </w:rPr>
        <w:t>icha decisión</w:t>
      </w:r>
      <w:r w:rsidR="00401274" w:rsidRPr="005A0DA4">
        <w:rPr>
          <w:sz w:val="20"/>
          <w:szCs w:val="20"/>
          <w:lang w:val="es-ES"/>
        </w:rPr>
        <w:t>, subraya México,</w:t>
      </w:r>
      <w:r w:rsidR="003806AF" w:rsidRPr="005A0DA4">
        <w:rPr>
          <w:sz w:val="20"/>
          <w:szCs w:val="20"/>
          <w:lang w:val="es-ES"/>
        </w:rPr>
        <w:t xml:space="preserve"> </w:t>
      </w:r>
      <w:r w:rsidR="003806AF" w:rsidRPr="005A0DA4">
        <w:rPr>
          <w:i/>
          <w:iCs/>
          <w:sz w:val="20"/>
          <w:szCs w:val="20"/>
          <w:lang w:val="es-ES"/>
        </w:rPr>
        <w:t>“no constituyó una determinación arbitraria, sino que fue debidamente fundada y motivada</w:t>
      </w:r>
      <w:r w:rsidR="003806AF" w:rsidRPr="005A0DA4">
        <w:rPr>
          <w:sz w:val="20"/>
          <w:szCs w:val="20"/>
          <w:lang w:val="es-ES"/>
        </w:rPr>
        <w:t xml:space="preserve">”. </w:t>
      </w:r>
    </w:p>
    <w:p w14:paraId="60A47F99" w14:textId="28E1E035" w:rsidR="003806AF" w:rsidRPr="009C5D9B" w:rsidRDefault="003806AF" w:rsidP="2DB63416">
      <w:pPr>
        <w:pStyle w:val="ListParagraph"/>
        <w:numPr>
          <w:ilvl w:val="0"/>
          <w:numId w:val="59"/>
        </w:numPr>
        <w:spacing w:after="240"/>
        <w:ind w:left="0" w:firstLine="720"/>
        <w:jc w:val="both"/>
        <w:rPr>
          <w:sz w:val="20"/>
          <w:szCs w:val="20"/>
          <w:lang w:val="es-ES"/>
        </w:rPr>
      </w:pPr>
      <w:r w:rsidRPr="2DB63416">
        <w:rPr>
          <w:sz w:val="20"/>
          <w:szCs w:val="20"/>
          <w:lang w:val="es-ES"/>
        </w:rPr>
        <w:t>En cuanto al alegado trato desigual contra las presuntas víctimas por el resultado del amparo 518/2012 promovido por terceros, en donde sí se encontró responsabilidad patrimonial por parte de la CONAGUA por hechos similares, el Estado subraya que las decisiones a nivel interno implican criterios de interpretación y ponderación que los órganos jurisdiccionales efectuaron respecto de las pruebas aportadas por las partes en sus respectivos procedimientos judiciales en las diversas instancias; y que esto no se traduce en un trato desigual.</w:t>
      </w:r>
    </w:p>
    <w:p w14:paraId="76D01DA6" w14:textId="4D77B614" w:rsidR="003806AF" w:rsidRPr="009C5D9B" w:rsidRDefault="003806AF" w:rsidP="009C5D9B">
      <w:pPr>
        <w:pStyle w:val="ListParagraph"/>
        <w:numPr>
          <w:ilvl w:val="0"/>
          <w:numId w:val="59"/>
        </w:numPr>
        <w:spacing w:after="240"/>
        <w:ind w:left="0" w:firstLine="720"/>
        <w:jc w:val="both"/>
        <w:rPr>
          <w:sz w:val="20"/>
          <w:szCs w:val="20"/>
          <w:lang w:val="es-ES_tradnl"/>
        </w:rPr>
      </w:pPr>
      <w:r w:rsidRPr="009C5D9B">
        <w:rPr>
          <w:sz w:val="20"/>
          <w:szCs w:val="20"/>
          <w:lang w:val="es-ES_tradnl"/>
        </w:rPr>
        <w:t xml:space="preserve">En conclusión, el Estado pide que la petición sea </w:t>
      </w:r>
      <w:r w:rsidR="007E3277" w:rsidRPr="009C5D9B">
        <w:rPr>
          <w:sz w:val="20"/>
          <w:szCs w:val="20"/>
          <w:lang w:val="es-ES_tradnl"/>
        </w:rPr>
        <w:t xml:space="preserve">declarada </w:t>
      </w:r>
      <w:r w:rsidRPr="009C5D9B">
        <w:rPr>
          <w:sz w:val="20"/>
          <w:szCs w:val="20"/>
          <w:lang w:val="es-ES_tradnl"/>
        </w:rPr>
        <w:t xml:space="preserve">inadmisible </w:t>
      </w:r>
      <w:r w:rsidR="007E3277" w:rsidRPr="009C5D9B">
        <w:rPr>
          <w:sz w:val="20"/>
          <w:szCs w:val="20"/>
          <w:lang w:val="es-ES_tradnl"/>
        </w:rPr>
        <w:t>porque</w:t>
      </w:r>
      <w:r w:rsidRPr="009C5D9B">
        <w:rPr>
          <w:sz w:val="20"/>
          <w:szCs w:val="20"/>
          <w:lang w:val="es-ES_tradnl"/>
        </w:rPr>
        <w:t xml:space="preserve"> los hechos expuestos por la parte peticionaria no caracterizan violaciones a los derechos de las presuntas víctimas. En particular</w:t>
      </w:r>
      <w:r w:rsidR="00736EDD" w:rsidRPr="009C5D9B">
        <w:rPr>
          <w:sz w:val="20"/>
          <w:szCs w:val="20"/>
          <w:lang w:val="es-ES_tradnl"/>
        </w:rPr>
        <w:t>,</w:t>
      </w:r>
      <w:r w:rsidRPr="009C5D9B">
        <w:rPr>
          <w:sz w:val="20"/>
          <w:szCs w:val="20"/>
          <w:lang w:val="es-ES_tradnl"/>
        </w:rPr>
        <w:t xml:space="preserve"> porque se valoraron las pruebas correspondientes tanto en la instancia administrativa como en el amparo directo</w:t>
      </w:r>
      <w:r w:rsidR="00910563" w:rsidRPr="009C5D9B">
        <w:rPr>
          <w:sz w:val="20"/>
          <w:szCs w:val="20"/>
          <w:lang w:val="es-ES_tradnl"/>
        </w:rPr>
        <w:t>;</w:t>
      </w:r>
      <w:r w:rsidRPr="009C5D9B">
        <w:rPr>
          <w:sz w:val="20"/>
          <w:szCs w:val="20"/>
          <w:lang w:val="es-ES_tradnl"/>
        </w:rPr>
        <w:t xml:space="preserve"> </w:t>
      </w:r>
      <w:r w:rsidR="00910563" w:rsidRPr="009C5D9B">
        <w:rPr>
          <w:sz w:val="20"/>
          <w:szCs w:val="20"/>
          <w:lang w:val="es-ES_tradnl"/>
        </w:rPr>
        <w:t>y, por tanto,</w:t>
      </w:r>
      <w:r w:rsidR="00235709" w:rsidRPr="009C5D9B">
        <w:rPr>
          <w:sz w:val="20"/>
          <w:szCs w:val="20"/>
          <w:lang w:val="es-ES_tradnl"/>
        </w:rPr>
        <w:t xml:space="preserve"> sostiene que la parte peticionaria pretende que la CIDH actúe como una </w:t>
      </w:r>
      <w:r w:rsidR="00011FD4" w:rsidRPr="009C5D9B">
        <w:rPr>
          <w:sz w:val="20"/>
          <w:szCs w:val="20"/>
          <w:lang w:val="es-ES_tradnl"/>
        </w:rPr>
        <w:t>cuarta</w:t>
      </w:r>
      <w:r w:rsidR="00235709" w:rsidRPr="009C5D9B">
        <w:rPr>
          <w:sz w:val="20"/>
          <w:szCs w:val="20"/>
          <w:lang w:val="es-ES_tradnl"/>
        </w:rPr>
        <w:t xml:space="preserve"> instancia. </w:t>
      </w:r>
      <w:r w:rsidR="00235709" w:rsidRPr="009C5D9B">
        <w:rPr>
          <w:color w:val="auto"/>
          <w:sz w:val="20"/>
          <w:szCs w:val="20"/>
          <w:lang w:val="es-ES_tradnl"/>
        </w:rPr>
        <w:t>En este sentido, subraya que</w:t>
      </w:r>
      <w:r w:rsidRPr="009C5D9B">
        <w:rPr>
          <w:color w:val="auto"/>
          <w:sz w:val="20"/>
          <w:szCs w:val="20"/>
          <w:lang w:val="es-ES_tradnl"/>
        </w:rPr>
        <w:t xml:space="preserve"> los tribunales nacionales consideraron que las presuntas víctimas no motivaron daños materiales o morales ocasionados por la CONAGUA. </w:t>
      </w:r>
      <w:r w:rsidR="00DD160F" w:rsidRPr="009C5D9B">
        <w:rPr>
          <w:color w:val="auto"/>
          <w:sz w:val="20"/>
          <w:szCs w:val="20"/>
          <w:lang w:val="es-ES_tradnl"/>
        </w:rPr>
        <w:t>Y</w:t>
      </w:r>
      <w:r w:rsidRPr="009C5D9B">
        <w:rPr>
          <w:color w:val="auto"/>
          <w:sz w:val="20"/>
          <w:szCs w:val="20"/>
          <w:lang w:val="es-ES_tradnl"/>
        </w:rPr>
        <w:t xml:space="preserve"> </w:t>
      </w:r>
      <w:r w:rsidRPr="009C5D9B">
        <w:rPr>
          <w:sz w:val="20"/>
          <w:szCs w:val="20"/>
          <w:lang w:val="es-ES_tradnl"/>
        </w:rPr>
        <w:t xml:space="preserve">que </w:t>
      </w:r>
      <w:r w:rsidR="00910563" w:rsidRPr="009C5D9B">
        <w:rPr>
          <w:sz w:val="20"/>
          <w:szCs w:val="20"/>
          <w:lang w:val="es-ES_tradnl"/>
        </w:rPr>
        <w:t xml:space="preserve">no </w:t>
      </w:r>
      <w:r w:rsidRPr="009C5D9B">
        <w:rPr>
          <w:sz w:val="20"/>
          <w:szCs w:val="20"/>
          <w:lang w:val="es-ES_tradnl"/>
        </w:rPr>
        <w:t>exist</w:t>
      </w:r>
      <w:r w:rsidR="00910563" w:rsidRPr="009C5D9B">
        <w:rPr>
          <w:sz w:val="20"/>
          <w:szCs w:val="20"/>
          <w:lang w:val="es-ES_tradnl"/>
        </w:rPr>
        <w:t>e</w:t>
      </w:r>
      <w:r w:rsidRPr="009C5D9B">
        <w:rPr>
          <w:sz w:val="20"/>
          <w:szCs w:val="20"/>
          <w:lang w:val="es-ES_tradnl"/>
        </w:rPr>
        <w:t xml:space="preserve"> violación al derecho </w:t>
      </w:r>
      <w:r w:rsidR="00CA62CB" w:rsidRPr="009C5D9B">
        <w:rPr>
          <w:sz w:val="20"/>
          <w:szCs w:val="20"/>
          <w:lang w:val="es-ES_tradnl"/>
        </w:rPr>
        <w:t>a la</w:t>
      </w:r>
      <w:r w:rsidRPr="009C5D9B">
        <w:rPr>
          <w:sz w:val="20"/>
          <w:szCs w:val="20"/>
          <w:lang w:val="es-ES_tradnl"/>
        </w:rPr>
        <w:t xml:space="preserve"> igualdad ya que cada procedimiento</w:t>
      </w:r>
      <w:r w:rsidR="003341D7">
        <w:rPr>
          <w:sz w:val="20"/>
          <w:szCs w:val="20"/>
          <w:lang w:val="es-ES_tradnl"/>
        </w:rPr>
        <w:t xml:space="preserve"> —</w:t>
      </w:r>
      <w:r w:rsidRPr="009C5D9B">
        <w:rPr>
          <w:sz w:val="20"/>
          <w:szCs w:val="20"/>
          <w:lang w:val="es-ES_tradnl"/>
        </w:rPr>
        <w:t>el de las presuntas víctimas y el de los tercero</w:t>
      </w:r>
      <w:r w:rsidR="003341D7">
        <w:rPr>
          <w:sz w:val="20"/>
          <w:szCs w:val="20"/>
          <w:lang w:val="es-ES_tradnl"/>
        </w:rPr>
        <w:t>s—</w:t>
      </w:r>
      <w:r w:rsidRPr="009C5D9B">
        <w:rPr>
          <w:sz w:val="20"/>
          <w:szCs w:val="20"/>
          <w:lang w:val="es-ES_tradnl"/>
        </w:rPr>
        <w:t xml:space="preserve"> fue analizado individualmente, conforme a su información propia, y</w:t>
      </w:r>
      <w:r w:rsidR="00910563" w:rsidRPr="009C5D9B">
        <w:rPr>
          <w:sz w:val="20"/>
          <w:szCs w:val="20"/>
          <w:lang w:val="es-ES_tradnl"/>
        </w:rPr>
        <w:t xml:space="preserve"> aunque</w:t>
      </w:r>
      <w:r w:rsidRPr="009C5D9B">
        <w:rPr>
          <w:sz w:val="20"/>
          <w:szCs w:val="20"/>
          <w:lang w:val="es-ES_tradnl"/>
        </w:rPr>
        <w:t xml:space="preserve"> concluy</w:t>
      </w:r>
      <w:r w:rsidR="00910563" w:rsidRPr="009C5D9B">
        <w:rPr>
          <w:sz w:val="20"/>
          <w:szCs w:val="20"/>
          <w:lang w:val="es-ES_tradnl"/>
        </w:rPr>
        <w:t>eron</w:t>
      </w:r>
      <w:r w:rsidRPr="009C5D9B">
        <w:rPr>
          <w:sz w:val="20"/>
          <w:szCs w:val="20"/>
          <w:lang w:val="es-ES_tradnl"/>
        </w:rPr>
        <w:t xml:space="preserve"> en resultado</w:t>
      </w:r>
      <w:r w:rsidR="00910563" w:rsidRPr="009C5D9B">
        <w:rPr>
          <w:sz w:val="20"/>
          <w:szCs w:val="20"/>
          <w:lang w:val="es-ES_tradnl"/>
        </w:rPr>
        <w:t>s</w:t>
      </w:r>
      <w:r w:rsidRPr="009C5D9B">
        <w:rPr>
          <w:sz w:val="20"/>
          <w:szCs w:val="20"/>
          <w:lang w:val="es-ES_tradnl"/>
        </w:rPr>
        <w:t xml:space="preserve"> diferente</w:t>
      </w:r>
      <w:r w:rsidR="00910563" w:rsidRPr="009C5D9B">
        <w:rPr>
          <w:sz w:val="20"/>
          <w:szCs w:val="20"/>
          <w:lang w:val="es-ES_tradnl"/>
        </w:rPr>
        <w:t>s,</w:t>
      </w:r>
      <w:r w:rsidRPr="009C5D9B">
        <w:rPr>
          <w:sz w:val="20"/>
          <w:szCs w:val="20"/>
          <w:lang w:val="es-ES_tradnl"/>
        </w:rPr>
        <w:t xml:space="preserve"> </w:t>
      </w:r>
      <w:r w:rsidR="00910563" w:rsidRPr="009C5D9B">
        <w:rPr>
          <w:sz w:val="20"/>
          <w:szCs w:val="20"/>
          <w:lang w:val="es-ES_tradnl"/>
        </w:rPr>
        <w:t>esto</w:t>
      </w:r>
      <w:r w:rsidRPr="009C5D9B">
        <w:rPr>
          <w:sz w:val="20"/>
          <w:szCs w:val="20"/>
          <w:lang w:val="es-ES_tradnl"/>
        </w:rPr>
        <w:t xml:space="preserve"> no implica que existió un trato desigual.  </w:t>
      </w:r>
    </w:p>
    <w:p w14:paraId="6E128DA4" w14:textId="61B1FDB7" w:rsidR="005B5631" w:rsidRPr="009C5D9B" w:rsidRDefault="005B5631" w:rsidP="009C5D9B">
      <w:pPr>
        <w:spacing w:after="240"/>
        <w:ind w:firstLine="720"/>
        <w:jc w:val="both"/>
        <w:rPr>
          <w:rFonts w:ascii="Cambria" w:hAnsi="Cambria"/>
          <w:sz w:val="20"/>
          <w:szCs w:val="20"/>
          <w:lang w:val="es-UY"/>
        </w:rPr>
      </w:pPr>
      <w:r w:rsidRPr="009C5D9B">
        <w:rPr>
          <w:rFonts w:asciiTheme="majorHAnsi" w:eastAsia="Cambria" w:hAnsiTheme="majorHAnsi" w:cs="Cambria"/>
          <w:b/>
          <w:bCs/>
          <w:color w:val="000000"/>
          <w:sz w:val="20"/>
          <w:szCs w:val="20"/>
          <w:u w:color="000000"/>
          <w:lang w:val="es-ES" w:eastAsia="es-ES"/>
        </w:rPr>
        <w:t>VI.</w:t>
      </w:r>
      <w:r w:rsidRPr="009C5D9B">
        <w:rPr>
          <w:rFonts w:asciiTheme="majorHAnsi" w:eastAsia="Cambria" w:hAnsiTheme="majorHAnsi" w:cs="Cambria"/>
          <w:b/>
          <w:bCs/>
          <w:color w:val="000000"/>
          <w:sz w:val="20"/>
          <w:szCs w:val="20"/>
          <w:u w:color="000000"/>
          <w:lang w:val="es-ES" w:eastAsia="es-ES"/>
        </w:rPr>
        <w:tab/>
      </w:r>
      <w:r w:rsidRPr="009C5D9B">
        <w:rPr>
          <w:rFonts w:asciiTheme="majorHAnsi" w:hAnsiTheme="majorHAnsi"/>
          <w:b/>
          <w:bCs/>
          <w:sz w:val="20"/>
          <w:szCs w:val="20"/>
          <w:lang w:val="es-ES_tradnl"/>
        </w:rPr>
        <w:t xml:space="preserve">ANÁLISIS DE </w:t>
      </w:r>
      <w:r w:rsidRPr="009C5D9B">
        <w:rPr>
          <w:rFonts w:asciiTheme="majorHAnsi" w:hAnsiTheme="majorHAnsi"/>
          <w:b/>
          <w:sz w:val="20"/>
          <w:szCs w:val="20"/>
          <w:lang w:val="es-ES"/>
        </w:rPr>
        <w:t>AGOTAMIENTO DE LOS RECURSOS INTERNOS Y PLAZO DE PRESENTACIÓN</w:t>
      </w:r>
      <w:r w:rsidRPr="009C5D9B">
        <w:rPr>
          <w:rFonts w:asciiTheme="majorHAnsi" w:eastAsia="Cambria" w:hAnsiTheme="majorHAnsi" w:cs="Cambria"/>
          <w:b/>
          <w:bCs/>
          <w:color w:val="000000"/>
          <w:sz w:val="20"/>
          <w:szCs w:val="20"/>
          <w:u w:color="000000"/>
          <w:lang w:val="es-ES" w:eastAsia="es-ES"/>
        </w:rPr>
        <w:t xml:space="preserve"> </w:t>
      </w:r>
    </w:p>
    <w:p w14:paraId="63D985D7" w14:textId="52DF4F98" w:rsidR="00C424FD" w:rsidRPr="009C5D9B" w:rsidRDefault="00273132" w:rsidP="009C5D9B">
      <w:pPr>
        <w:pStyle w:val="ListParagraph"/>
        <w:numPr>
          <w:ilvl w:val="0"/>
          <w:numId w:val="59"/>
        </w:numPr>
        <w:spacing w:after="240"/>
        <w:ind w:left="0" w:firstLine="720"/>
        <w:jc w:val="both"/>
        <w:rPr>
          <w:sz w:val="20"/>
          <w:szCs w:val="20"/>
          <w:lang w:val="es-ES_tradnl"/>
        </w:rPr>
      </w:pPr>
      <w:r w:rsidRPr="009C5D9B">
        <w:rPr>
          <w:rFonts w:asciiTheme="majorHAnsi" w:hAnsiTheme="majorHAnsi"/>
          <w:sz w:val="20"/>
          <w:szCs w:val="20"/>
          <w:lang w:val="es-UY"/>
        </w:rPr>
        <w:t>L</w:t>
      </w:r>
      <w:r w:rsidR="00382676" w:rsidRPr="009C5D9B">
        <w:rPr>
          <w:rFonts w:asciiTheme="majorHAnsi" w:hAnsiTheme="majorHAnsi"/>
          <w:sz w:val="20"/>
          <w:szCs w:val="20"/>
          <w:lang w:val="es-ES_tradnl"/>
        </w:rPr>
        <w:t>a CIDH recuerda que, según su práctica consolidada y reiterada, a efectos de identificar los recursos idóneos que debieron haber sido agotados por un peticionario antes de recurrir al Sistema Interamericano, el primer paso metodológico del análisis consiste en deslindar los distintos reclamos formulados en la correspondiente petición para proceder a su examen individualizado</w:t>
      </w:r>
      <w:r w:rsidR="00382676" w:rsidRPr="009C5D9B">
        <w:rPr>
          <w:rStyle w:val="FootnoteReference"/>
          <w:rFonts w:asciiTheme="majorHAnsi" w:hAnsiTheme="majorHAnsi"/>
          <w:sz w:val="20"/>
          <w:szCs w:val="20"/>
          <w:lang w:val="es-ES_tradnl"/>
        </w:rPr>
        <w:footnoteReference w:id="14"/>
      </w:r>
      <w:r w:rsidR="00382676" w:rsidRPr="009C5D9B">
        <w:rPr>
          <w:rFonts w:asciiTheme="majorHAnsi" w:hAnsiTheme="majorHAnsi"/>
          <w:sz w:val="20"/>
          <w:szCs w:val="20"/>
          <w:lang w:val="es-ES_tradnl"/>
        </w:rPr>
        <w:t xml:space="preserve">. En el presente caso, la parte peticionaria ha presentado a la Comisión </w:t>
      </w:r>
      <w:r w:rsidR="00B36E39" w:rsidRPr="009C5D9B">
        <w:rPr>
          <w:rFonts w:asciiTheme="majorHAnsi" w:hAnsiTheme="majorHAnsi"/>
          <w:sz w:val="20"/>
          <w:szCs w:val="20"/>
          <w:lang w:val="es-ES_tradnl"/>
        </w:rPr>
        <w:t>dos</w:t>
      </w:r>
      <w:r w:rsidR="00382676" w:rsidRPr="009C5D9B">
        <w:rPr>
          <w:rFonts w:asciiTheme="majorHAnsi" w:hAnsiTheme="majorHAnsi"/>
          <w:sz w:val="20"/>
          <w:szCs w:val="20"/>
          <w:lang w:val="es-ES_tradnl"/>
        </w:rPr>
        <w:t xml:space="preserve"> reclamos principales: (i) </w:t>
      </w:r>
      <w:r w:rsidR="006A7733" w:rsidRPr="009C5D9B">
        <w:rPr>
          <w:rFonts w:asciiTheme="majorHAnsi" w:hAnsiTheme="majorHAnsi"/>
          <w:sz w:val="20"/>
          <w:szCs w:val="20"/>
          <w:lang w:val="es-ES_tradnl"/>
        </w:rPr>
        <w:t xml:space="preserve">la </w:t>
      </w:r>
      <w:r w:rsidR="00382676" w:rsidRPr="009C5D9B">
        <w:rPr>
          <w:rFonts w:asciiTheme="majorHAnsi" w:hAnsiTheme="majorHAnsi"/>
          <w:sz w:val="20"/>
          <w:szCs w:val="20"/>
          <w:lang w:val="es-ES_tradnl"/>
        </w:rPr>
        <w:t>violación de su</w:t>
      </w:r>
      <w:r w:rsidR="0040421E" w:rsidRPr="009C5D9B">
        <w:rPr>
          <w:rFonts w:asciiTheme="majorHAnsi" w:hAnsiTheme="majorHAnsi"/>
          <w:sz w:val="20"/>
          <w:szCs w:val="20"/>
          <w:lang w:val="es-ES_tradnl"/>
        </w:rPr>
        <w:t xml:space="preserve"> derecho a una indemnización</w:t>
      </w:r>
      <w:r w:rsidR="00011FD4" w:rsidRPr="009C5D9B">
        <w:rPr>
          <w:rFonts w:asciiTheme="majorHAnsi" w:hAnsiTheme="majorHAnsi"/>
          <w:sz w:val="20"/>
          <w:szCs w:val="20"/>
          <w:lang w:val="es-ES_tradnl"/>
        </w:rPr>
        <w:t xml:space="preserve"> por responsabilidad estatal</w:t>
      </w:r>
      <w:r w:rsidR="0040421E" w:rsidRPr="009C5D9B">
        <w:rPr>
          <w:rFonts w:asciiTheme="majorHAnsi" w:hAnsiTheme="majorHAnsi"/>
          <w:sz w:val="20"/>
          <w:szCs w:val="20"/>
          <w:lang w:val="es-ES_tradnl"/>
        </w:rPr>
        <w:t xml:space="preserve"> </w:t>
      </w:r>
      <w:r w:rsidR="00D95393" w:rsidRPr="009C5D9B">
        <w:rPr>
          <w:rFonts w:asciiTheme="majorHAnsi" w:hAnsiTheme="majorHAnsi"/>
          <w:sz w:val="20"/>
          <w:szCs w:val="20"/>
          <w:lang w:val="es-ES_tradnl"/>
        </w:rPr>
        <w:t xml:space="preserve">por los daños causados tras las inundaciones de septiembre de 2009, ocurridas </w:t>
      </w:r>
      <w:r w:rsidR="00011FD4" w:rsidRPr="009C5D9B">
        <w:rPr>
          <w:rFonts w:asciiTheme="majorHAnsi" w:hAnsiTheme="majorHAnsi"/>
          <w:sz w:val="20"/>
          <w:szCs w:val="20"/>
          <w:lang w:val="es-ES_tradnl"/>
        </w:rPr>
        <w:t xml:space="preserve">tras </w:t>
      </w:r>
      <w:r w:rsidR="0080795F" w:rsidRPr="009C5D9B">
        <w:rPr>
          <w:rFonts w:asciiTheme="majorHAnsi" w:hAnsiTheme="majorHAnsi"/>
          <w:sz w:val="20"/>
          <w:szCs w:val="20"/>
          <w:lang w:val="es-ES_tradnl"/>
        </w:rPr>
        <w:t xml:space="preserve">feroces </w:t>
      </w:r>
      <w:r w:rsidR="00011FD4" w:rsidRPr="009C5D9B">
        <w:rPr>
          <w:rFonts w:asciiTheme="majorHAnsi" w:hAnsiTheme="majorHAnsi"/>
          <w:sz w:val="20"/>
          <w:szCs w:val="20"/>
          <w:lang w:val="es-ES_tradnl"/>
        </w:rPr>
        <w:t xml:space="preserve">lluvias y por el </w:t>
      </w:r>
      <w:r w:rsidR="00D95393" w:rsidRPr="009C5D9B">
        <w:rPr>
          <w:rFonts w:asciiTheme="majorHAnsi" w:hAnsiTheme="majorHAnsi"/>
          <w:sz w:val="20"/>
          <w:szCs w:val="20"/>
          <w:lang w:val="es-ES_tradnl"/>
        </w:rPr>
        <w:t>rompimiento de un túnel</w:t>
      </w:r>
      <w:r w:rsidR="00011FD4" w:rsidRPr="009C5D9B">
        <w:rPr>
          <w:rFonts w:asciiTheme="majorHAnsi" w:hAnsiTheme="majorHAnsi"/>
          <w:sz w:val="20"/>
          <w:szCs w:val="20"/>
          <w:lang w:val="es-ES_tradnl"/>
        </w:rPr>
        <w:t xml:space="preserve"> de aguas negras</w:t>
      </w:r>
      <w:r w:rsidR="00D95393" w:rsidRPr="009C5D9B">
        <w:rPr>
          <w:rFonts w:asciiTheme="majorHAnsi" w:hAnsiTheme="majorHAnsi"/>
          <w:sz w:val="20"/>
          <w:szCs w:val="20"/>
          <w:lang w:val="es-ES_tradnl"/>
        </w:rPr>
        <w:t>, lo que les ocasionó daños patrimoniales;</w:t>
      </w:r>
      <w:r w:rsidR="00B36E39" w:rsidRPr="009C5D9B">
        <w:rPr>
          <w:rFonts w:asciiTheme="majorHAnsi" w:hAnsiTheme="majorHAnsi"/>
          <w:sz w:val="20"/>
          <w:szCs w:val="20"/>
          <w:lang w:val="es-ES_tradnl"/>
        </w:rPr>
        <w:t xml:space="preserve"> y</w:t>
      </w:r>
      <w:r w:rsidR="00D95393" w:rsidRPr="009C5D9B">
        <w:rPr>
          <w:rFonts w:asciiTheme="majorHAnsi" w:hAnsiTheme="majorHAnsi"/>
          <w:sz w:val="20"/>
          <w:szCs w:val="20"/>
          <w:lang w:val="es-ES_tradnl"/>
        </w:rPr>
        <w:t xml:space="preserve"> (ii) </w:t>
      </w:r>
      <w:r w:rsidR="00B36E39" w:rsidRPr="009C5D9B">
        <w:rPr>
          <w:rFonts w:asciiTheme="majorHAnsi" w:hAnsiTheme="majorHAnsi"/>
          <w:sz w:val="20"/>
          <w:szCs w:val="20"/>
          <w:lang w:val="es-ES_tradnl"/>
        </w:rPr>
        <w:t xml:space="preserve">un </w:t>
      </w:r>
      <w:r w:rsidR="00C77164" w:rsidRPr="009C5D9B">
        <w:rPr>
          <w:rFonts w:asciiTheme="majorHAnsi" w:hAnsiTheme="majorHAnsi"/>
          <w:sz w:val="20"/>
          <w:szCs w:val="20"/>
          <w:lang w:val="es-ES_tradnl"/>
        </w:rPr>
        <w:t xml:space="preserve">trato </w:t>
      </w:r>
      <w:r w:rsidR="00B36E39" w:rsidRPr="009C5D9B">
        <w:rPr>
          <w:rFonts w:asciiTheme="majorHAnsi" w:hAnsiTheme="majorHAnsi"/>
          <w:sz w:val="20"/>
          <w:szCs w:val="20"/>
          <w:lang w:val="es-ES_tradnl"/>
        </w:rPr>
        <w:t>desigual</w:t>
      </w:r>
      <w:r w:rsidR="00D95393" w:rsidRPr="009C5D9B">
        <w:rPr>
          <w:rFonts w:asciiTheme="majorHAnsi" w:hAnsiTheme="majorHAnsi"/>
          <w:sz w:val="20"/>
          <w:szCs w:val="20"/>
          <w:lang w:val="es-ES_tradnl"/>
        </w:rPr>
        <w:t xml:space="preserve"> en las decisiones de los tribunales</w:t>
      </w:r>
      <w:r w:rsidR="00541F52">
        <w:rPr>
          <w:rFonts w:asciiTheme="majorHAnsi" w:hAnsiTheme="majorHAnsi"/>
          <w:sz w:val="20"/>
          <w:szCs w:val="20"/>
          <w:lang w:val="es-ES_tradnl"/>
        </w:rPr>
        <w:t>,</w:t>
      </w:r>
      <w:r w:rsidR="00D95393" w:rsidRPr="009C5D9B">
        <w:rPr>
          <w:rFonts w:asciiTheme="majorHAnsi" w:hAnsiTheme="majorHAnsi"/>
          <w:sz w:val="20"/>
          <w:szCs w:val="20"/>
          <w:lang w:val="es-ES_tradnl"/>
        </w:rPr>
        <w:t xml:space="preserve"> ya que personas que fueron víctimas de los mismos hechos</w:t>
      </w:r>
      <w:r w:rsidR="00DD2EBB" w:rsidRPr="009C5D9B">
        <w:rPr>
          <w:rFonts w:asciiTheme="majorHAnsi" w:hAnsiTheme="majorHAnsi"/>
          <w:sz w:val="20"/>
          <w:szCs w:val="20"/>
          <w:lang w:val="es-ES_tradnl"/>
        </w:rPr>
        <w:t>,</w:t>
      </w:r>
      <w:r w:rsidR="00D95393" w:rsidRPr="009C5D9B">
        <w:rPr>
          <w:rFonts w:asciiTheme="majorHAnsi" w:hAnsiTheme="majorHAnsi"/>
          <w:sz w:val="20"/>
          <w:szCs w:val="20"/>
          <w:lang w:val="es-ES_tradnl"/>
        </w:rPr>
        <w:t xml:space="preserve"> y </w:t>
      </w:r>
      <w:r w:rsidR="00DD2EBB" w:rsidRPr="009C5D9B">
        <w:rPr>
          <w:rFonts w:asciiTheme="majorHAnsi" w:hAnsiTheme="majorHAnsi"/>
          <w:sz w:val="20"/>
          <w:szCs w:val="20"/>
          <w:lang w:val="es-ES_tradnl"/>
        </w:rPr>
        <w:t>que plantearon</w:t>
      </w:r>
      <w:r w:rsidR="00D95393" w:rsidRPr="009C5D9B">
        <w:rPr>
          <w:rFonts w:asciiTheme="majorHAnsi" w:hAnsiTheme="majorHAnsi"/>
          <w:sz w:val="20"/>
          <w:szCs w:val="20"/>
          <w:lang w:val="es-ES_tradnl"/>
        </w:rPr>
        <w:t xml:space="preserve"> un caso fácticamente similar ante los tribunales nacionales, sí recibieron una indemnización al encontrarse responsabilidad de la CONAGUA por el rompimiento del túnel y la posterior inundación</w:t>
      </w:r>
      <w:r w:rsidR="00B36E39" w:rsidRPr="009C5D9B">
        <w:rPr>
          <w:rFonts w:asciiTheme="majorHAnsi" w:hAnsiTheme="majorHAnsi"/>
          <w:sz w:val="20"/>
          <w:szCs w:val="20"/>
          <w:lang w:val="es-ES_tradnl"/>
        </w:rPr>
        <w:t>.</w:t>
      </w:r>
    </w:p>
    <w:p w14:paraId="41FCEA40" w14:textId="33431ABC" w:rsidR="00C424FD" w:rsidRPr="009C5D9B" w:rsidRDefault="00382676" w:rsidP="009C5D9B">
      <w:pPr>
        <w:pStyle w:val="ListParagraph"/>
        <w:numPr>
          <w:ilvl w:val="0"/>
          <w:numId w:val="59"/>
        </w:numPr>
        <w:spacing w:after="240"/>
        <w:ind w:left="0" w:firstLine="720"/>
        <w:jc w:val="both"/>
        <w:rPr>
          <w:sz w:val="20"/>
          <w:szCs w:val="20"/>
          <w:lang w:val="es-ES_tradnl"/>
        </w:rPr>
      </w:pPr>
      <w:r w:rsidRPr="009C5D9B">
        <w:rPr>
          <w:rFonts w:asciiTheme="majorHAnsi" w:hAnsiTheme="majorHAnsi"/>
          <w:sz w:val="20"/>
          <w:szCs w:val="20"/>
          <w:lang w:val="es-ES_tradnl"/>
        </w:rPr>
        <w:lastRenderedPageBreak/>
        <w:t>Con relación a</w:t>
      </w:r>
      <w:r w:rsidR="00B8298D" w:rsidRPr="009C5D9B">
        <w:rPr>
          <w:rFonts w:asciiTheme="majorHAnsi" w:hAnsiTheme="majorHAnsi"/>
          <w:sz w:val="20"/>
          <w:szCs w:val="20"/>
          <w:lang w:val="es-ES_tradnl"/>
        </w:rPr>
        <w:t xml:space="preserve"> </w:t>
      </w:r>
      <w:r w:rsidR="00D12A10" w:rsidRPr="009C5D9B">
        <w:rPr>
          <w:rFonts w:asciiTheme="majorHAnsi" w:hAnsiTheme="majorHAnsi"/>
          <w:sz w:val="20"/>
          <w:szCs w:val="20"/>
          <w:lang w:val="es-ES_tradnl"/>
        </w:rPr>
        <w:t>estos</w:t>
      </w:r>
      <w:r w:rsidRPr="009C5D9B">
        <w:rPr>
          <w:rFonts w:asciiTheme="majorHAnsi" w:hAnsiTheme="majorHAnsi"/>
          <w:sz w:val="20"/>
          <w:szCs w:val="20"/>
          <w:lang w:val="es-ES_tradnl"/>
        </w:rPr>
        <w:t xml:space="preserve"> reclamo</w:t>
      </w:r>
      <w:r w:rsidR="00B8298D" w:rsidRPr="009C5D9B">
        <w:rPr>
          <w:rFonts w:asciiTheme="majorHAnsi" w:hAnsiTheme="majorHAnsi"/>
          <w:sz w:val="20"/>
          <w:szCs w:val="20"/>
          <w:lang w:val="es-ES_tradnl"/>
        </w:rPr>
        <w:t>s</w:t>
      </w:r>
      <w:r w:rsidRPr="009C5D9B">
        <w:rPr>
          <w:rFonts w:asciiTheme="majorHAnsi" w:hAnsiTheme="majorHAnsi"/>
          <w:sz w:val="20"/>
          <w:szCs w:val="20"/>
          <w:lang w:val="es-ES_tradnl"/>
        </w:rPr>
        <w:t xml:space="preserve">, </w:t>
      </w:r>
      <w:r w:rsidR="00B8298D" w:rsidRPr="009C5D9B">
        <w:rPr>
          <w:sz w:val="20"/>
          <w:szCs w:val="20"/>
          <w:lang w:val="es-ES_tradnl"/>
        </w:rPr>
        <w:t>ambas partes coinciden en que la</w:t>
      </w:r>
      <w:r w:rsidR="00B36E39" w:rsidRPr="009C5D9B">
        <w:rPr>
          <w:sz w:val="20"/>
          <w:szCs w:val="20"/>
          <w:lang w:val="es-ES_tradnl"/>
        </w:rPr>
        <w:t xml:space="preserve">s presuntas víctimas </w:t>
      </w:r>
      <w:r w:rsidR="00B8298D" w:rsidRPr="009C5D9B">
        <w:rPr>
          <w:sz w:val="20"/>
          <w:szCs w:val="20"/>
          <w:lang w:val="es-ES_tradnl"/>
        </w:rPr>
        <w:t>present</w:t>
      </w:r>
      <w:r w:rsidR="00B36E39" w:rsidRPr="009C5D9B">
        <w:rPr>
          <w:sz w:val="20"/>
          <w:szCs w:val="20"/>
          <w:lang w:val="es-ES_tradnl"/>
        </w:rPr>
        <w:t>aron</w:t>
      </w:r>
      <w:r w:rsidR="00B8298D" w:rsidRPr="009C5D9B">
        <w:rPr>
          <w:rFonts w:asciiTheme="majorHAnsi" w:hAnsiTheme="majorHAnsi"/>
          <w:sz w:val="20"/>
          <w:szCs w:val="20"/>
          <w:lang w:val="es-ES"/>
        </w:rPr>
        <w:t xml:space="preserve"> y agot</w:t>
      </w:r>
      <w:r w:rsidR="00B36E39" w:rsidRPr="009C5D9B">
        <w:rPr>
          <w:rFonts w:asciiTheme="majorHAnsi" w:hAnsiTheme="majorHAnsi"/>
          <w:sz w:val="20"/>
          <w:szCs w:val="20"/>
          <w:lang w:val="es-ES"/>
        </w:rPr>
        <w:t>aron</w:t>
      </w:r>
      <w:r w:rsidR="00B8298D" w:rsidRPr="009C5D9B">
        <w:rPr>
          <w:rFonts w:asciiTheme="majorHAnsi" w:hAnsiTheme="majorHAnsi"/>
          <w:sz w:val="20"/>
          <w:szCs w:val="20"/>
          <w:lang w:val="es-ES"/>
        </w:rPr>
        <w:t xml:space="preserve"> los recursos internos a su alcance. Así, se observa que </w:t>
      </w:r>
      <w:r w:rsidR="00C424FD" w:rsidRPr="009C5D9B">
        <w:rPr>
          <w:rFonts w:asciiTheme="majorHAnsi" w:hAnsiTheme="majorHAnsi"/>
          <w:sz w:val="20"/>
          <w:szCs w:val="20"/>
          <w:lang w:val="es-ES"/>
        </w:rPr>
        <w:t>e</w:t>
      </w:r>
      <w:r w:rsidR="00C424FD" w:rsidRPr="009C5D9B">
        <w:rPr>
          <w:sz w:val="20"/>
          <w:szCs w:val="20"/>
          <w:lang w:val="es-ES_tradnl"/>
        </w:rPr>
        <w:t xml:space="preserve">l 12 de marzo de 2010, </w:t>
      </w:r>
      <w:r w:rsidR="00B8298D" w:rsidRPr="009C5D9B">
        <w:rPr>
          <w:sz w:val="20"/>
          <w:szCs w:val="20"/>
          <w:lang w:val="es-ES_tradnl"/>
        </w:rPr>
        <w:t>interpusieron</w:t>
      </w:r>
      <w:r w:rsidR="00C424FD" w:rsidRPr="009C5D9B">
        <w:rPr>
          <w:sz w:val="20"/>
          <w:szCs w:val="20"/>
          <w:lang w:val="es-ES_tradnl"/>
        </w:rPr>
        <w:t xml:space="preserve"> una reclamación administrativa ante la Subdirección General Jurídica de la CONAGUA, aduciendo responsabilidad patrimonial del Estado por las afectaciones sufridas tras las inundaciones; el 21 de julio de 2011 dicha subdirección decidió no pagar la indemnización por daño patrimonial, considerando que el hecho se debió a una situación de fuerza mayor. </w:t>
      </w:r>
      <w:r w:rsidR="0016647D" w:rsidRPr="009C5D9B">
        <w:rPr>
          <w:sz w:val="20"/>
          <w:szCs w:val="20"/>
          <w:lang w:val="es-ES_tradnl"/>
        </w:rPr>
        <w:t>Posteriormente</w:t>
      </w:r>
      <w:r w:rsidR="00C424FD" w:rsidRPr="009C5D9B">
        <w:rPr>
          <w:sz w:val="20"/>
          <w:szCs w:val="20"/>
          <w:lang w:val="es-ES_tradnl"/>
        </w:rPr>
        <w:t>, el 19 de septiembre de 2011</w:t>
      </w:r>
      <w:r w:rsidR="0016647D" w:rsidRPr="009C5D9B">
        <w:rPr>
          <w:sz w:val="20"/>
          <w:szCs w:val="20"/>
          <w:lang w:val="es-ES_tradnl"/>
        </w:rPr>
        <w:t>,</w:t>
      </w:r>
      <w:r w:rsidR="00C424FD" w:rsidRPr="009C5D9B">
        <w:rPr>
          <w:sz w:val="20"/>
          <w:szCs w:val="20"/>
          <w:lang w:val="es-ES_tradnl"/>
        </w:rPr>
        <w:t xml:space="preserve"> interpusieron un juicio </w:t>
      </w:r>
      <w:r w:rsidR="00B80A8E" w:rsidRPr="00B80A8E">
        <w:rPr>
          <w:sz w:val="20"/>
          <w:szCs w:val="20"/>
          <w:lang w:val="es-ES_tradnl"/>
        </w:rPr>
        <w:t>por responsabilidad patrimonial</w:t>
      </w:r>
      <w:r w:rsidR="00C424FD" w:rsidRPr="009C5D9B">
        <w:rPr>
          <w:sz w:val="20"/>
          <w:szCs w:val="20"/>
          <w:lang w:val="es-ES_tradnl"/>
        </w:rPr>
        <w:t xml:space="preserve"> ante la Décima Primera Sala Regional Metropolitana del Tribunal Federal de Justicia Fiscal y Administrativa, que el 1 de octubre de 2012 confirmó la resolución emitida por la CONAGUA. Finalmente, el 23 de mayo de 2013, las presuntas víctimas promovieron el juicio de amparo directo 598/2013 ante el Décimo Tercer Tribunal Colegiado en Materia Administrativa del Primer Circuito, que les fue negado el 15 de noviembre de 2013 y notificado el 27 de noviembre de 2013. </w:t>
      </w:r>
      <w:r w:rsidR="00D22C4E">
        <w:rPr>
          <w:sz w:val="20"/>
          <w:szCs w:val="20"/>
          <w:lang w:val="es-ES_tradnl"/>
        </w:rPr>
        <w:t>E</w:t>
      </w:r>
      <w:r w:rsidR="00C424FD" w:rsidRPr="009C5D9B">
        <w:rPr>
          <w:sz w:val="20"/>
          <w:szCs w:val="20"/>
          <w:lang w:val="es-ES_tradnl"/>
        </w:rPr>
        <w:t xml:space="preserve">l 15 de enero de 2014 se ordenó el archivo del expediente. </w:t>
      </w:r>
    </w:p>
    <w:p w14:paraId="7B500C4B" w14:textId="7205377A" w:rsidR="004652FA" w:rsidRPr="009C5D9B" w:rsidRDefault="00B8298D" w:rsidP="009C5D9B">
      <w:pPr>
        <w:pStyle w:val="ListParagraph"/>
        <w:numPr>
          <w:ilvl w:val="0"/>
          <w:numId w:val="59"/>
        </w:numPr>
        <w:spacing w:after="240"/>
        <w:ind w:left="0" w:firstLine="720"/>
        <w:jc w:val="both"/>
        <w:rPr>
          <w:sz w:val="20"/>
          <w:szCs w:val="20"/>
          <w:lang w:val="es-ES_tradnl"/>
        </w:rPr>
      </w:pPr>
      <w:r w:rsidRPr="009C5D9B">
        <w:rPr>
          <w:sz w:val="20"/>
          <w:szCs w:val="20"/>
          <w:lang w:val="es-ES_tradnl"/>
        </w:rPr>
        <w:t xml:space="preserve">En tal sentido, </w:t>
      </w:r>
      <w:r w:rsidR="00BD06BE" w:rsidRPr="009C5D9B">
        <w:rPr>
          <w:sz w:val="20"/>
          <w:szCs w:val="20"/>
          <w:lang w:val="es-ES_tradnl"/>
        </w:rPr>
        <w:t xml:space="preserve">y </w:t>
      </w:r>
      <w:r w:rsidRPr="009C5D9B">
        <w:rPr>
          <w:sz w:val="20"/>
          <w:szCs w:val="20"/>
          <w:lang w:val="es-ES_tradnl"/>
        </w:rPr>
        <w:t xml:space="preserve">toda vez que el Estado no plantea cuestionamientos al agotamiento de la jurisdicción interna o al plazo de presentación de la petición, la Comisión considera que el presente asunto cumple con el requisito previsto en el artículo 46.1.a) de la Convención Americana. Asimismo, dado que la petición fue recibida ante la CIDH por correo ordinario el </w:t>
      </w:r>
      <w:r w:rsidRPr="009C5D9B">
        <w:rPr>
          <w:bCs/>
          <w:sz w:val="20"/>
          <w:szCs w:val="20"/>
          <w:lang w:val="es-ES"/>
        </w:rPr>
        <w:t>8 de abril de 2014</w:t>
      </w:r>
      <w:r w:rsidRPr="009C5D9B">
        <w:rPr>
          <w:sz w:val="20"/>
          <w:szCs w:val="20"/>
          <w:lang w:val="es-ES_tradnl"/>
        </w:rPr>
        <w:t>, la CIDH también concluye que se cumple con el requisito del plazo previsto en el artículo 46.1b) de la Convención.</w:t>
      </w:r>
    </w:p>
    <w:p w14:paraId="436A47E8" w14:textId="4973DCE2" w:rsidR="005B5631" w:rsidRPr="009C5D9B" w:rsidRDefault="005B5631" w:rsidP="009C5D9B">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b/>
          <w:sz w:val="20"/>
          <w:szCs w:val="20"/>
          <w:lang w:val="es-ES"/>
        </w:rPr>
      </w:pPr>
      <w:r w:rsidRPr="009C5D9B">
        <w:rPr>
          <w:rFonts w:asciiTheme="majorHAnsi" w:hAnsiTheme="majorHAnsi"/>
          <w:b/>
          <w:bCs/>
          <w:sz w:val="20"/>
          <w:szCs w:val="20"/>
          <w:lang w:val="es-ES"/>
        </w:rPr>
        <w:t>VII.</w:t>
      </w:r>
      <w:r w:rsidRPr="009C5D9B">
        <w:rPr>
          <w:rFonts w:asciiTheme="majorHAnsi" w:hAnsiTheme="majorHAnsi"/>
          <w:b/>
          <w:bCs/>
          <w:sz w:val="20"/>
          <w:szCs w:val="20"/>
          <w:lang w:val="es-ES"/>
        </w:rPr>
        <w:tab/>
      </w:r>
      <w:r w:rsidRPr="009C5D9B">
        <w:rPr>
          <w:rFonts w:asciiTheme="majorHAnsi" w:hAnsiTheme="majorHAnsi"/>
          <w:b/>
          <w:bCs/>
          <w:sz w:val="20"/>
          <w:szCs w:val="20"/>
          <w:lang w:val="es-ES_tradnl"/>
        </w:rPr>
        <w:t xml:space="preserve">ANÁLISIS DE </w:t>
      </w:r>
      <w:r w:rsidRPr="009C5D9B">
        <w:rPr>
          <w:rFonts w:asciiTheme="majorHAnsi" w:hAnsiTheme="majorHAnsi"/>
          <w:b/>
          <w:bCs/>
          <w:sz w:val="20"/>
          <w:szCs w:val="20"/>
          <w:lang w:val="es-ES"/>
        </w:rPr>
        <w:t xml:space="preserve">CARACTERIZACIÓN </w:t>
      </w:r>
      <w:r w:rsidRPr="009C5D9B">
        <w:rPr>
          <w:rFonts w:asciiTheme="majorHAnsi" w:hAnsiTheme="majorHAnsi"/>
          <w:b/>
          <w:bCs/>
          <w:sz w:val="20"/>
          <w:szCs w:val="20"/>
          <w:lang w:val="es-UY"/>
        </w:rPr>
        <w:t>DE LOS HECHOS ALEGADOS</w:t>
      </w:r>
    </w:p>
    <w:p w14:paraId="2FF7ED8C" w14:textId="71C8B0C9" w:rsidR="00D571E1" w:rsidRPr="009C5D9B" w:rsidRDefault="00D571E1" w:rsidP="009C5D9B">
      <w:pPr>
        <w:pStyle w:val="ListParagraph"/>
        <w:numPr>
          <w:ilvl w:val="0"/>
          <w:numId w:val="59"/>
        </w:numPr>
        <w:spacing w:after="240"/>
        <w:ind w:left="0" w:firstLine="720"/>
        <w:jc w:val="both"/>
        <w:rPr>
          <w:sz w:val="20"/>
          <w:szCs w:val="20"/>
          <w:lang w:val="es-ES"/>
        </w:rPr>
      </w:pPr>
      <w:r w:rsidRPr="009C5D9B">
        <w:rPr>
          <w:sz w:val="20"/>
          <w:szCs w:val="20"/>
          <w:lang w:val="es-ES"/>
        </w:rPr>
        <w:t>A</w:t>
      </w:r>
      <w:r w:rsidRPr="009C5D9B">
        <w:rPr>
          <w:sz w:val="20"/>
          <w:szCs w:val="20"/>
          <w:lang w:val="es-ES_tradnl"/>
        </w:rPr>
        <w:t xml:space="preserve"> efectos de la admisibilidad</w:t>
      </w:r>
      <w:r w:rsidR="00A50942">
        <w:rPr>
          <w:sz w:val="20"/>
          <w:szCs w:val="20"/>
          <w:lang w:val="es-ES_tradnl"/>
        </w:rPr>
        <w:t>, además, la CIDH</w:t>
      </w:r>
      <w:r w:rsidRPr="009C5D9B">
        <w:rPr>
          <w:sz w:val="20"/>
          <w:szCs w:val="20"/>
          <w:lang w:val="es-ES_tradnl"/>
        </w:rPr>
        <w:t xml:space="preserve"> debe decidir si los hechos alegados pueden caracterizar una violación de derechos, según lo estipulado en el artículo 47(b) de la Convención Americana; o si la petición es manifiestamente infundada o es evidente su total improcedencia conforme al inciso (c) de dicho artículo. El criterio de evaluación de tales requisitos difiere del que se utiliza para pronunciarse sobre el fondo de una petición. Asimismo, dentro del marco de su mandato la Comisión Interamericana es competente para declarar admisible una petición cuando se refiere a procesos internos que podrían ser violatorios de derechos garantizados por la Convención Americana. Es decir que, de acuerdo con las normas convencionales citadas, en concordancia con el artículo 34 de su Reglamento</w:t>
      </w:r>
      <w:r w:rsidRPr="009C5D9B">
        <w:rPr>
          <w:rStyle w:val="FootnoteReference"/>
          <w:sz w:val="20"/>
          <w:szCs w:val="20"/>
          <w:lang w:val="es-ES_tradnl"/>
        </w:rPr>
        <w:footnoteReference w:id="15"/>
      </w:r>
      <w:r w:rsidRPr="009C5D9B">
        <w:rPr>
          <w:sz w:val="20"/>
          <w:szCs w:val="20"/>
          <w:lang w:val="es-ES_tradnl"/>
        </w:rPr>
        <w:t xml:space="preserve">, el análisis de admisibilidad se centra en la verificación de tales requisitos, los cuales se refieren a elementos que, de ser ciertos, podrían constituir </w:t>
      </w:r>
      <w:r w:rsidRPr="009C5D9B">
        <w:rPr>
          <w:i/>
          <w:iCs/>
          <w:sz w:val="20"/>
          <w:szCs w:val="20"/>
          <w:lang w:val="es-ES_tradnl"/>
        </w:rPr>
        <w:t>prima facie</w:t>
      </w:r>
      <w:r w:rsidRPr="009C5D9B">
        <w:rPr>
          <w:sz w:val="20"/>
          <w:szCs w:val="20"/>
          <w:lang w:val="es-ES_tradnl"/>
        </w:rPr>
        <w:t xml:space="preserve"> violaciones a la Convención Americana.</w:t>
      </w:r>
    </w:p>
    <w:p w14:paraId="0F71B226" w14:textId="77777777" w:rsidR="00A13778" w:rsidRPr="009C5D9B" w:rsidRDefault="00F12A1B" w:rsidP="009C5D9B">
      <w:pPr>
        <w:pStyle w:val="ListParagraph"/>
        <w:numPr>
          <w:ilvl w:val="0"/>
          <w:numId w:val="59"/>
        </w:numPr>
        <w:spacing w:after="240"/>
        <w:ind w:left="0" w:firstLine="720"/>
        <w:jc w:val="both"/>
        <w:rPr>
          <w:sz w:val="20"/>
          <w:szCs w:val="20"/>
          <w:lang w:val="es-ES"/>
        </w:rPr>
      </w:pPr>
      <w:r w:rsidRPr="009C5D9B">
        <w:rPr>
          <w:sz w:val="20"/>
          <w:szCs w:val="20"/>
          <w:lang w:val="es-ES"/>
        </w:rPr>
        <w:t xml:space="preserve">Las presuntas víctimas </w:t>
      </w:r>
      <w:r w:rsidR="004C0F23" w:rsidRPr="009C5D9B">
        <w:rPr>
          <w:sz w:val="20"/>
          <w:szCs w:val="20"/>
          <w:lang w:val="es-ES"/>
        </w:rPr>
        <w:t>indican que un túnel aledaño a sus hogares se rompió tras lluvias fuertes en septiembre de 2009, inundando sus casas con aguas negras</w:t>
      </w:r>
      <w:r w:rsidR="0016647D" w:rsidRPr="009C5D9B">
        <w:rPr>
          <w:sz w:val="20"/>
          <w:szCs w:val="20"/>
          <w:lang w:val="es-ES"/>
        </w:rPr>
        <w:t>. A</w:t>
      </w:r>
      <w:r w:rsidR="004C0F23" w:rsidRPr="009C5D9B">
        <w:rPr>
          <w:sz w:val="20"/>
          <w:szCs w:val="20"/>
          <w:lang w:val="es-ES"/>
        </w:rPr>
        <w:t>legan que</w:t>
      </w:r>
      <w:r w:rsidR="0016647D" w:rsidRPr="009C5D9B">
        <w:rPr>
          <w:sz w:val="20"/>
          <w:szCs w:val="20"/>
          <w:lang w:val="es-ES"/>
        </w:rPr>
        <w:t xml:space="preserve"> esto ocurrió</w:t>
      </w:r>
      <w:r w:rsidR="004C0F23" w:rsidRPr="009C5D9B">
        <w:rPr>
          <w:sz w:val="20"/>
          <w:szCs w:val="20"/>
          <w:lang w:val="es-ES"/>
        </w:rPr>
        <w:t xml:space="preserve"> por omisión de la CONAGUA en su obligación de control y supervisión de túneles, </w:t>
      </w:r>
      <w:r w:rsidR="00CF2E7E" w:rsidRPr="009C5D9B">
        <w:rPr>
          <w:sz w:val="20"/>
          <w:szCs w:val="20"/>
          <w:lang w:val="es-ES"/>
        </w:rPr>
        <w:t>por lo que deben ser indemnizados</w:t>
      </w:r>
      <w:r w:rsidR="004C0F23" w:rsidRPr="009C5D9B">
        <w:rPr>
          <w:sz w:val="20"/>
          <w:szCs w:val="20"/>
          <w:lang w:val="es-ES"/>
        </w:rPr>
        <w:t xml:space="preserve">. Asimismo, aducen </w:t>
      </w:r>
      <w:r w:rsidRPr="009C5D9B">
        <w:rPr>
          <w:sz w:val="20"/>
          <w:szCs w:val="20"/>
          <w:lang w:val="es-ES"/>
        </w:rPr>
        <w:t>que fueron objeto de un trato desigual</w:t>
      </w:r>
      <w:r w:rsidR="004C0F23" w:rsidRPr="009C5D9B">
        <w:rPr>
          <w:sz w:val="20"/>
          <w:szCs w:val="20"/>
          <w:lang w:val="es-ES"/>
        </w:rPr>
        <w:t xml:space="preserve"> por parte de los tribunales nacionales</w:t>
      </w:r>
      <w:r w:rsidRPr="009C5D9B">
        <w:rPr>
          <w:sz w:val="20"/>
          <w:szCs w:val="20"/>
          <w:lang w:val="es-ES"/>
        </w:rPr>
        <w:t xml:space="preserve">, </w:t>
      </w:r>
      <w:r w:rsidR="004C0F23" w:rsidRPr="009C5D9B">
        <w:rPr>
          <w:sz w:val="20"/>
          <w:szCs w:val="20"/>
          <w:lang w:val="es-ES"/>
        </w:rPr>
        <w:t>ya que,</w:t>
      </w:r>
      <w:r w:rsidRPr="009C5D9B">
        <w:rPr>
          <w:sz w:val="20"/>
          <w:szCs w:val="20"/>
          <w:lang w:val="es-ES"/>
        </w:rPr>
        <w:t xml:space="preserve"> en un juicio de amparo con características factuales similares</w:t>
      </w:r>
      <w:r w:rsidR="004C0F23" w:rsidRPr="009C5D9B">
        <w:rPr>
          <w:sz w:val="20"/>
          <w:szCs w:val="20"/>
          <w:lang w:val="es-ES"/>
        </w:rPr>
        <w:t xml:space="preserve"> a las suyas</w:t>
      </w:r>
      <w:r w:rsidRPr="009C5D9B">
        <w:rPr>
          <w:sz w:val="20"/>
          <w:szCs w:val="20"/>
          <w:lang w:val="es-ES"/>
        </w:rPr>
        <w:t xml:space="preserve">, se resolvió de forma </w:t>
      </w:r>
      <w:r w:rsidR="004C0F23" w:rsidRPr="009C5D9B">
        <w:rPr>
          <w:sz w:val="20"/>
          <w:szCs w:val="20"/>
          <w:lang w:val="es-ES"/>
        </w:rPr>
        <w:t>positiva para terceros</w:t>
      </w:r>
      <w:r w:rsidRPr="009C5D9B">
        <w:rPr>
          <w:sz w:val="20"/>
          <w:szCs w:val="20"/>
          <w:lang w:val="es-ES"/>
        </w:rPr>
        <w:t>, declarándose la responsabilidad patrimonial de la CONAGUA</w:t>
      </w:r>
      <w:r w:rsidR="0016647D" w:rsidRPr="009C5D9B">
        <w:rPr>
          <w:sz w:val="20"/>
          <w:szCs w:val="20"/>
          <w:lang w:val="es-ES"/>
        </w:rPr>
        <w:t>. A</w:t>
      </w:r>
      <w:r w:rsidR="004C0F23" w:rsidRPr="009C5D9B">
        <w:rPr>
          <w:sz w:val="20"/>
          <w:szCs w:val="20"/>
          <w:lang w:val="es-ES"/>
        </w:rPr>
        <w:t>firman que esta alegada desigualdad impactó su der</w:t>
      </w:r>
      <w:r w:rsidR="00A13778" w:rsidRPr="009C5D9B">
        <w:rPr>
          <w:sz w:val="20"/>
          <w:szCs w:val="20"/>
          <w:lang w:val="es-ES"/>
        </w:rPr>
        <w:t>ec</w:t>
      </w:r>
      <w:r w:rsidR="004C0F23" w:rsidRPr="009C5D9B">
        <w:rPr>
          <w:sz w:val="20"/>
          <w:szCs w:val="20"/>
          <w:lang w:val="es-ES"/>
        </w:rPr>
        <w:t xml:space="preserve">ho a una debida indemnización, debido proceso, certeza y seguridad jurídica. </w:t>
      </w:r>
    </w:p>
    <w:p w14:paraId="02F075C0" w14:textId="6DC7DF7A" w:rsidR="00A13778" w:rsidRPr="001851C5" w:rsidRDefault="00170EE8" w:rsidP="009C5D9B">
      <w:pPr>
        <w:pStyle w:val="ListParagraph"/>
        <w:numPr>
          <w:ilvl w:val="0"/>
          <w:numId w:val="59"/>
        </w:numPr>
        <w:spacing w:after="240"/>
        <w:ind w:left="0" w:firstLine="720"/>
        <w:jc w:val="both"/>
        <w:rPr>
          <w:sz w:val="20"/>
          <w:szCs w:val="20"/>
          <w:lang w:val="es-ES"/>
        </w:rPr>
      </w:pPr>
      <w:r w:rsidRPr="009C5D9B">
        <w:rPr>
          <w:sz w:val="20"/>
          <w:szCs w:val="20"/>
          <w:lang w:val="es-ES"/>
        </w:rPr>
        <w:t xml:space="preserve">El Estado, por su parte, pide la inadmisibilidad de la petición por falta de caracterización, </w:t>
      </w:r>
      <w:r w:rsidR="00C82D86" w:rsidRPr="009C5D9B">
        <w:rPr>
          <w:rFonts w:asciiTheme="majorHAnsi" w:hAnsiTheme="majorHAnsi"/>
          <w:bCs/>
          <w:sz w:val="20"/>
          <w:szCs w:val="20"/>
          <w:lang w:val="es-ES_tradnl"/>
        </w:rPr>
        <w:t>asegurando que</w:t>
      </w:r>
      <w:r w:rsidR="005E5CCA" w:rsidRPr="009C5D9B">
        <w:rPr>
          <w:rFonts w:asciiTheme="majorHAnsi" w:hAnsiTheme="majorHAnsi"/>
          <w:bCs/>
          <w:sz w:val="20"/>
          <w:szCs w:val="20"/>
          <w:lang w:val="es-ES_tradnl"/>
        </w:rPr>
        <w:t xml:space="preserve"> en</w:t>
      </w:r>
      <w:r w:rsidR="00C82D86" w:rsidRPr="009C5D9B">
        <w:rPr>
          <w:rFonts w:asciiTheme="majorHAnsi" w:hAnsiTheme="majorHAnsi"/>
          <w:bCs/>
          <w:sz w:val="20"/>
          <w:szCs w:val="20"/>
          <w:lang w:val="es-ES_tradnl"/>
        </w:rPr>
        <w:t xml:space="preserve"> las decisiones internas </w:t>
      </w:r>
      <w:r w:rsidR="00C82D86" w:rsidRPr="009C5D9B">
        <w:rPr>
          <w:sz w:val="20"/>
          <w:szCs w:val="20"/>
          <w:lang w:val="es-ES_tradnl"/>
        </w:rPr>
        <w:t>se valoraron las pruebas correspondientes al proceso de la instancia administrativa y del amparo directo</w:t>
      </w:r>
      <w:r w:rsidR="00B51062">
        <w:rPr>
          <w:sz w:val="20"/>
          <w:szCs w:val="20"/>
          <w:lang w:val="es-ES_tradnl"/>
        </w:rPr>
        <w:t>. P</w:t>
      </w:r>
      <w:r w:rsidR="00C82D86" w:rsidRPr="009C5D9B">
        <w:rPr>
          <w:sz w:val="20"/>
          <w:szCs w:val="20"/>
          <w:lang w:val="es-ES_tradnl"/>
        </w:rPr>
        <w:t xml:space="preserve">or ello </w:t>
      </w:r>
      <w:r w:rsidR="0027486F" w:rsidRPr="001851C5">
        <w:rPr>
          <w:sz w:val="20"/>
          <w:szCs w:val="20"/>
          <w:lang w:val="es-ES_tradnl"/>
        </w:rPr>
        <w:t>discurre</w:t>
      </w:r>
      <w:r w:rsidR="00C82D86" w:rsidRPr="001851C5">
        <w:rPr>
          <w:sz w:val="20"/>
          <w:szCs w:val="20"/>
          <w:lang w:val="es-ES_tradnl"/>
        </w:rPr>
        <w:t xml:space="preserve"> que la parte peticionaria pretende que la CIDH actúe como una cuarta instancia. </w:t>
      </w:r>
      <w:r w:rsidR="00D12A10" w:rsidRPr="001851C5">
        <w:rPr>
          <w:sz w:val="20"/>
          <w:szCs w:val="20"/>
          <w:lang w:val="es-ES_tradnl"/>
        </w:rPr>
        <w:t>Además, destaca que</w:t>
      </w:r>
      <w:r w:rsidR="00C82D86" w:rsidRPr="001851C5">
        <w:rPr>
          <w:sz w:val="20"/>
          <w:szCs w:val="20"/>
          <w:lang w:val="es-ES_tradnl"/>
        </w:rPr>
        <w:t xml:space="preserve"> los tribunales mexicanos que conocieron del caso advirtieron que las presuntas víctimas no motivaron la existencia de daños materiales o morales ni acreditaron irregularidades por parte de la CONAGUA</w:t>
      </w:r>
      <w:r w:rsidR="00D12A10" w:rsidRPr="001851C5">
        <w:rPr>
          <w:sz w:val="20"/>
          <w:szCs w:val="20"/>
          <w:lang w:val="es-ES_tradnl"/>
        </w:rPr>
        <w:t xml:space="preserve">. </w:t>
      </w:r>
      <w:r w:rsidR="00350416" w:rsidRPr="001851C5">
        <w:rPr>
          <w:sz w:val="20"/>
          <w:szCs w:val="20"/>
          <w:lang w:val="es-ES_tradnl"/>
        </w:rPr>
        <w:t>Y</w:t>
      </w:r>
      <w:r w:rsidR="00C82D86" w:rsidRPr="001851C5">
        <w:rPr>
          <w:sz w:val="20"/>
          <w:szCs w:val="20"/>
          <w:lang w:val="es-ES_tradnl"/>
        </w:rPr>
        <w:t xml:space="preserve"> que las sentencias a nivel interno se basaron en criterios de interpretación y valoración de las pruebas aportadas por las partes en sus respectivos procedimientos judiciales en las diversas instancias</w:t>
      </w:r>
      <w:r w:rsidR="00893095" w:rsidRPr="001851C5">
        <w:rPr>
          <w:sz w:val="20"/>
          <w:szCs w:val="20"/>
          <w:lang w:val="es-ES_tradnl"/>
        </w:rPr>
        <w:t>,</w:t>
      </w:r>
      <w:r w:rsidR="00C82D86" w:rsidRPr="001851C5">
        <w:rPr>
          <w:sz w:val="20"/>
          <w:szCs w:val="20"/>
          <w:lang w:val="es-ES_tradnl"/>
        </w:rPr>
        <w:t xml:space="preserve"> </w:t>
      </w:r>
      <w:r w:rsidR="00893095" w:rsidRPr="001851C5">
        <w:rPr>
          <w:sz w:val="20"/>
          <w:szCs w:val="20"/>
          <w:lang w:val="es-ES_tradnl"/>
        </w:rPr>
        <w:t>lo que</w:t>
      </w:r>
      <w:r w:rsidR="00C82D86" w:rsidRPr="001851C5">
        <w:rPr>
          <w:sz w:val="20"/>
          <w:szCs w:val="20"/>
          <w:lang w:val="es-ES_tradnl"/>
        </w:rPr>
        <w:t xml:space="preserve"> no se traduce en un trato desigual. </w:t>
      </w:r>
    </w:p>
    <w:p w14:paraId="435974CD" w14:textId="64507ED9" w:rsidR="00D06208" w:rsidRPr="00717F75" w:rsidRDefault="00CB67BA" w:rsidP="009C5D9B">
      <w:pPr>
        <w:pStyle w:val="ListParagraph"/>
        <w:numPr>
          <w:ilvl w:val="0"/>
          <w:numId w:val="59"/>
        </w:numPr>
        <w:spacing w:after="240"/>
        <w:ind w:left="0" w:firstLine="720"/>
        <w:jc w:val="both"/>
        <w:rPr>
          <w:sz w:val="20"/>
          <w:szCs w:val="20"/>
          <w:lang w:val="es-ES"/>
        </w:rPr>
      </w:pPr>
      <w:r w:rsidRPr="001851C5">
        <w:rPr>
          <w:sz w:val="20"/>
          <w:szCs w:val="20"/>
          <w:lang w:val="es-ES_tradnl"/>
        </w:rPr>
        <w:t>C</w:t>
      </w:r>
      <w:r w:rsidR="00AC2102" w:rsidRPr="001851C5">
        <w:rPr>
          <w:sz w:val="20"/>
          <w:szCs w:val="20"/>
          <w:lang w:val="es-ES_tradnl"/>
        </w:rPr>
        <w:t xml:space="preserve">on respecto al argumento del Estado </w:t>
      </w:r>
      <w:r w:rsidRPr="001851C5">
        <w:rPr>
          <w:sz w:val="20"/>
          <w:szCs w:val="20"/>
          <w:lang w:val="es-ES_tradnl"/>
        </w:rPr>
        <w:t xml:space="preserve">de la “fórmula de la cuarta instancia”, la Comisión subraya el carácter complementario del sistema interamericano y resalta que, según lo ha </w:t>
      </w:r>
      <w:r w:rsidR="0027486F" w:rsidRPr="001851C5">
        <w:rPr>
          <w:sz w:val="20"/>
          <w:szCs w:val="20"/>
          <w:lang w:val="es-ES_tradnl"/>
        </w:rPr>
        <w:t>precisado</w:t>
      </w:r>
      <w:r w:rsidRPr="001851C5">
        <w:rPr>
          <w:sz w:val="20"/>
          <w:szCs w:val="20"/>
          <w:lang w:val="es-ES_tradnl"/>
        </w:rPr>
        <w:t xml:space="preserve"> la Corte </w:t>
      </w:r>
      <w:r w:rsidRPr="001851C5">
        <w:rPr>
          <w:sz w:val="20"/>
          <w:szCs w:val="20"/>
          <w:lang w:val="es-ES_tradnl"/>
        </w:rPr>
        <w:lastRenderedPageBreak/>
        <w:t>Interamericana, para que proceda una excepción de “cuarta instancia”</w:t>
      </w:r>
      <w:r w:rsidR="004F286B" w:rsidRPr="001851C5">
        <w:rPr>
          <w:sz w:val="20"/>
          <w:szCs w:val="20"/>
          <w:lang w:val="es-ES_tradnl"/>
        </w:rPr>
        <w:t>,</w:t>
      </w:r>
      <w:r w:rsidRPr="001851C5">
        <w:rPr>
          <w:sz w:val="20"/>
          <w:szCs w:val="20"/>
          <w:lang w:val="es-ES_tradnl"/>
        </w:rPr>
        <w:t xml:space="preserve"> sería necesario que se “busque que</w:t>
      </w:r>
      <w:r w:rsidRPr="009C5D9B">
        <w:rPr>
          <w:sz w:val="20"/>
          <w:szCs w:val="20"/>
          <w:lang w:val="es-ES_tradnl"/>
        </w:rPr>
        <w:t xml:space="preserve"> […][se]  revise el fallo de un tribunal interno en virtud de su incorrecta apreciación de la prueba, los hechos o el derecho interno, sin que, a la vez, se alegue que tal fallo incurrió en una violación de tratados internacionales [ …]”</w:t>
      </w:r>
      <w:r w:rsidRPr="009C5D9B">
        <w:rPr>
          <w:vertAlign w:val="superscript"/>
          <w:lang w:val="es-ES_tradnl"/>
        </w:rPr>
        <w:footnoteReference w:id="16"/>
      </w:r>
      <w:r w:rsidRPr="009C5D9B">
        <w:rPr>
          <w:sz w:val="20"/>
          <w:szCs w:val="20"/>
          <w:lang w:val="es-ES_tradnl"/>
        </w:rPr>
        <w:t xml:space="preserve">.  En el presente caso, la Comisión </w:t>
      </w:r>
      <w:r w:rsidR="00125066">
        <w:rPr>
          <w:sz w:val="20"/>
          <w:szCs w:val="20"/>
          <w:lang w:val="es-ES_tradnl"/>
        </w:rPr>
        <w:t>observa</w:t>
      </w:r>
      <w:r w:rsidR="00125066" w:rsidRPr="009C5D9B">
        <w:rPr>
          <w:sz w:val="20"/>
          <w:szCs w:val="20"/>
          <w:lang w:val="es-ES_tradnl"/>
        </w:rPr>
        <w:t xml:space="preserve"> </w:t>
      </w:r>
      <w:r w:rsidRPr="009C5D9B">
        <w:rPr>
          <w:sz w:val="20"/>
          <w:szCs w:val="20"/>
          <w:lang w:val="es-ES_tradnl"/>
        </w:rPr>
        <w:t xml:space="preserve">que, tal como lo ha </w:t>
      </w:r>
      <w:r w:rsidR="0027486F">
        <w:rPr>
          <w:sz w:val="20"/>
          <w:szCs w:val="20"/>
          <w:lang w:val="es-ES_tradnl"/>
        </w:rPr>
        <w:t>indicado</w:t>
      </w:r>
      <w:r w:rsidR="00125066" w:rsidRPr="009C5D9B">
        <w:rPr>
          <w:sz w:val="20"/>
          <w:szCs w:val="20"/>
          <w:lang w:val="es-ES_tradnl"/>
        </w:rPr>
        <w:t xml:space="preserve"> </w:t>
      </w:r>
      <w:r w:rsidRPr="009C5D9B">
        <w:rPr>
          <w:sz w:val="20"/>
          <w:szCs w:val="20"/>
          <w:lang w:val="es-ES_tradnl"/>
        </w:rPr>
        <w:t>la Corte Interamericana, “[le] compete verificar si en los pasos efectivamente dados a nivel interno se violaron o no obligaciones internacionales del Estado derivadas de los instrumentos interamericanos que le otorgan competencia”</w:t>
      </w:r>
      <w:r w:rsidRPr="009C5D9B">
        <w:rPr>
          <w:sz w:val="20"/>
          <w:szCs w:val="20"/>
          <w:vertAlign w:val="superscript"/>
          <w:lang w:val="es-ES_tradnl"/>
        </w:rPr>
        <w:t xml:space="preserve"> </w:t>
      </w:r>
      <w:r w:rsidRPr="009C5D9B">
        <w:rPr>
          <w:vertAlign w:val="superscript"/>
        </w:rPr>
        <w:footnoteReference w:id="17"/>
      </w:r>
      <w:r w:rsidRPr="009C5D9B">
        <w:rPr>
          <w:sz w:val="20"/>
          <w:szCs w:val="20"/>
          <w:lang w:val="es-ES_tradnl"/>
        </w:rPr>
        <w:t>.  Asimismo, le corresponde examinar “si las actuaciones de órganos judiciales constituyen o no una violación de las obligaciones internacionales del Estado, [lo cual]puede conducir a que […] deba ocuparse de examinar los respectivos procesos internos para establecer su compatibilidad con la Convención Americana”</w:t>
      </w:r>
      <w:r w:rsidRPr="009C5D9B">
        <w:rPr>
          <w:vertAlign w:val="superscript"/>
        </w:rPr>
        <w:footnoteReference w:id="18"/>
      </w:r>
      <w:r w:rsidRPr="009C5D9B">
        <w:rPr>
          <w:sz w:val="20"/>
          <w:szCs w:val="20"/>
          <w:lang w:val="es-ES_tradnl"/>
        </w:rPr>
        <w:t xml:space="preserve">. En este sentido, el análisis sobre si el Estado incurrió en violaciones a la Convención Americana es una cuestión que </w:t>
      </w:r>
      <w:r w:rsidR="00960E2E">
        <w:rPr>
          <w:sz w:val="20"/>
          <w:szCs w:val="20"/>
          <w:lang w:val="es-ES_tradnl"/>
        </w:rPr>
        <w:t>debe</w:t>
      </w:r>
      <w:r w:rsidR="00960E2E" w:rsidRPr="009C5D9B">
        <w:rPr>
          <w:sz w:val="20"/>
          <w:szCs w:val="20"/>
          <w:lang w:val="es-ES_tradnl"/>
        </w:rPr>
        <w:t xml:space="preserve"> </w:t>
      </w:r>
      <w:r w:rsidRPr="009C5D9B">
        <w:rPr>
          <w:sz w:val="20"/>
          <w:szCs w:val="20"/>
          <w:lang w:val="es-ES_tradnl"/>
        </w:rPr>
        <w:t xml:space="preserve">ser decidida en el fondo del presente asunto. </w:t>
      </w:r>
      <w:r w:rsidRPr="009C5D9B">
        <w:rPr>
          <w:sz w:val="20"/>
          <w:szCs w:val="20"/>
          <w:lang w:val="es-ES"/>
        </w:rPr>
        <w:t>Por lo cual la CIDH</w:t>
      </w:r>
      <w:r w:rsidR="00960E2E">
        <w:rPr>
          <w:sz w:val="20"/>
          <w:szCs w:val="20"/>
          <w:lang w:val="es-ES"/>
        </w:rPr>
        <w:t>,</w:t>
      </w:r>
      <w:r w:rsidRPr="009C5D9B">
        <w:rPr>
          <w:sz w:val="20"/>
          <w:szCs w:val="20"/>
          <w:lang w:val="es-ES"/>
        </w:rPr>
        <w:t xml:space="preserve"> al admitir una petición</w:t>
      </w:r>
      <w:r w:rsidR="00960E2E">
        <w:rPr>
          <w:sz w:val="20"/>
          <w:szCs w:val="20"/>
          <w:lang w:val="es-ES"/>
        </w:rPr>
        <w:t>,</w:t>
      </w:r>
      <w:r w:rsidRPr="009C5D9B">
        <w:rPr>
          <w:sz w:val="20"/>
          <w:szCs w:val="20"/>
          <w:lang w:val="es-ES"/>
        </w:rPr>
        <w:t xml:space="preserve"> no pretende suplantar la competencia de las autoridades judiciales domésticas</w:t>
      </w:r>
      <w:r w:rsidR="006A7069">
        <w:rPr>
          <w:sz w:val="20"/>
          <w:szCs w:val="20"/>
          <w:lang w:val="es-ES"/>
        </w:rPr>
        <w:t>;</w:t>
      </w:r>
      <w:r w:rsidRPr="009C5D9B">
        <w:rPr>
          <w:sz w:val="20"/>
          <w:szCs w:val="20"/>
          <w:lang w:val="es-ES"/>
        </w:rPr>
        <w:t xml:space="preserve"> </w:t>
      </w:r>
      <w:r w:rsidR="006A7069">
        <w:rPr>
          <w:sz w:val="20"/>
          <w:szCs w:val="20"/>
          <w:lang w:val="es-ES"/>
        </w:rPr>
        <w:t>s</w:t>
      </w:r>
      <w:r w:rsidRPr="009C5D9B">
        <w:rPr>
          <w:sz w:val="20"/>
          <w:szCs w:val="20"/>
          <w:lang w:val="es-ES"/>
        </w:rPr>
        <w:t>ino que</w:t>
      </w:r>
      <w:r w:rsidR="006A7069">
        <w:rPr>
          <w:sz w:val="20"/>
          <w:szCs w:val="20"/>
          <w:lang w:val="es-ES"/>
        </w:rPr>
        <w:t>,</w:t>
      </w:r>
      <w:r w:rsidRPr="009C5D9B">
        <w:rPr>
          <w:sz w:val="20"/>
          <w:szCs w:val="20"/>
          <w:lang w:val="es-ES"/>
        </w:rPr>
        <w:t xml:space="preserve"> </w:t>
      </w:r>
      <w:r w:rsidRPr="009C5D9B">
        <w:rPr>
          <w:sz w:val="20"/>
          <w:szCs w:val="20"/>
          <w:lang w:val="es-ES_tradnl"/>
        </w:rPr>
        <w:t>dentro del marco de su mandato</w:t>
      </w:r>
      <w:r w:rsidR="006A7069">
        <w:rPr>
          <w:sz w:val="20"/>
          <w:szCs w:val="20"/>
          <w:lang w:val="es-ES_tradnl"/>
        </w:rPr>
        <w:t>,</w:t>
      </w:r>
      <w:r w:rsidRPr="009C5D9B">
        <w:rPr>
          <w:sz w:val="20"/>
          <w:szCs w:val="20"/>
          <w:lang w:val="es-ES_tradnl"/>
        </w:rPr>
        <w:t xml:space="preserve"> sí es competente para declarar admisible una petición y fallar sobre el fondo cuando ésta se refiere a procesos internos que podrían ser violatorios de derechos garantizados por la Convención Americana. </w:t>
      </w:r>
    </w:p>
    <w:p w14:paraId="402437F4" w14:textId="7F1F2F15" w:rsidR="00EC6B3D" w:rsidRPr="00660645" w:rsidRDefault="00717F75" w:rsidP="009C5D9B">
      <w:pPr>
        <w:pStyle w:val="ListParagraph"/>
        <w:numPr>
          <w:ilvl w:val="0"/>
          <w:numId w:val="59"/>
        </w:numPr>
        <w:spacing w:after="240"/>
        <w:ind w:left="0" w:firstLine="720"/>
        <w:jc w:val="both"/>
        <w:rPr>
          <w:sz w:val="20"/>
          <w:szCs w:val="20"/>
          <w:lang w:val="es-ES"/>
        </w:rPr>
      </w:pPr>
      <w:r w:rsidRPr="00D22C4E">
        <w:rPr>
          <w:sz w:val="20"/>
          <w:szCs w:val="20"/>
          <w:lang w:val="es-ES_tradnl"/>
        </w:rPr>
        <w:t>En cuanto</w:t>
      </w:r>
      <w:r w:rsidR="007D0F88" w:rsidRPr="00D22C4E">
        <w:rPr>
          <w:sz w:val="20"/>
          <w:szCs w:val="20"/>
          <w:lang w:val="es-ES_tradnl"/>
        </w:rPr>
        <w:t xml:space="preserve"> a</w:t>
      </w:r>
      <w:r w:rsidR="00EC6B3D" w:rsidRPr="00D22C4E">
        <w:rPr>
          <w:sz w:val="20"/>
          <w:szCs w:val="20"/>
          <w:lang w:val="es-ES_tradnl"/>
        </w:rPr>
        <w:t>l ya mencionado alegato de l</w:t>
      </w:r>
      <w:r w:rsidR="007D0F88" w:rsidRPr="00D22C4E">
        <w:rPr>
          <w:sz w:val="20"/>
          <w:szCs w:val="20"/>
          <w:lang w:val="es-ES_tradnl"/>
        </w:rPr>
        <w:t xml:space="preserve">a parte peticionaria de </w:t>
      </w:r>
      <w:r w:rsidR="00EC6B3D" w:rsidRPr="00D22C4E">
        <w:rPr>
          <w:sz w:val="20"/>
          <w:szCs w:val="20"/>
          <w:lang w:val="es-ES_tradnl"/>
        </w:rPr>
        <w:t>violación del artículo 24 de la Convención Americana (derecho de igualdad ante la ley)</w:t>
      </w:r>
      <w:r w:rsidR="006A7069">
        <w:rPr>
          <w:sz w:val="20"/>
          <w:szCs w:val="20"/>
          <w:lang w:val="es-ES_tradnl"/>
        </w:rPr>
        <w:t>,</w:t>
      </w:r>
      <w:r w:rsidR="00EC6B3D" w:rsidRPr="00D22C4E">
        <w:rPr>
          <w:sz w:val="20"/>
          <w:szCs w:val="20"/>
          <w:lang w:val="es-ES_tradnl"/>
        </w:rPr>
        <w:t xml:space="preserve"> sobre la base de que los tribunales rechazaron sus pretensiones indemnizatorias cuando en un proceso similar impulsado por terceros</w:t>
      </w:r>
      <w:r w:rsidRPr="00D22C4E">
        <w:rPr>
          <w:sz w:val="20"/>
          <w:szCs w:val="20"/>
          <w:lang w:val="es-ES_tradnl"/>
        </w:rPr>
        <w:t>, é</w:t>
      </w:r>
      <w:r w:rsidR="00EC6B3D" w:rsidRPr="00D22C4E">
        <w:rPr>
          <w:sz w:val="20"/>
          <w:szCs w:val="20"/>
          <w:lang w:val="es-ES_tradnl"/>
        </w:rPr>
        <w:t>stos s</w:t>
      </w:r>
      <w:r w:rsidR="00B31375">
        <w:rPr>
          <w:sz w:val="20"/>
          <w:szCs w:val="20"/>
          <w:lang w:val="es-ES_tradnl"/>
        </w:rPr>
        <w:t>í</w:t>
      </w:r>
      <w:r w:rsidR="00EC6B3D" w:rsidRPr="00D22C4E">
        <w:rPr>
          <w:sz w:val="20"/>
          <w:szCs w:val="20"/>
          <w:lang w:val="es-ES_tradnl"/>
        </w:rPr>
        <w:t xml:space="preserve"> re</w:t>
      </w:r>
      <w:r w:rsidR="00B80A8E" w:rsidRPr="00D22C4E">
        <w:rPr>
          <w:sz w:val="20"/>
          <w:szCs w:val="20"/>
          <w:lang w:val="es-ES_tradnl"/>
        </w:rPr>
        <w:t>cibieron</w:t>
      </w:r>
      <w:r w:rsidR="00EC6B3D" w:rsidRPr="00D22C4E">
        <w:rPr>
          <w:sz w:val="20"/>
          <w:szCs w:val="20"/>
          <w:lang w:val="es-ES_tradnl"/>
        </w:rPr>
        <w:t xml:space="preserve"> tales indemnizaciones, la Comisión observa</w:t>
      </w:r>
      <w:r>
        <w:rPr>
          <w:sz w:val="20"/>
          <w:szCs w:val="20"/>
          <w:lang w:val="es-ES_tradnl"/>
        </w:rPr>
        <w:t xml:space="preserve"> lo siguiente de ambos procesos</w:t>
      </w:r>
      <w:r w:rsidR="00EC6B3D">
        <w:rPr>
          <w:sz w:val="20"/>
          <w:szCs w:val="20"/>
          <w:lang w:val="es-ES_tradnl"/>
        </w:rPr>
        <w:t xml:space="preserve">: </w:t>
      </w:r>
    </w:p>
    <w:tbl>
      <w:tblPr>
        <w:tblStyle w:val="TableGrid"/>
        <w:tblW w:w="9350" w:type="dxa"/>
        <w:tblInd w:w="137" w:type="dxa"/>
        <w:tblLook w:val="04A0" w:firstRow="1" w:lastRow="0" w:firstColumn="1" w:lastColumn="0" w:noHBand="0" w:noVBand="1"/>
      </w:tblPr>
      <w:tblGrid>
        <w:gridCol w:w="4675"/>
        <w:gridCol w:w="4675"/>
      </w:tblGrid>
      <w:tr w:rsidR="00660645" w:rsidRPr="00660645" w14:paraId="01AB5A93" w14:textId="77777777" w:rsidTr="00B80A8E">
        <w:trPr>
          <w:trHeight w:val="389"/>
        </w:trPr>
        <w:tc>
          <w:tcPr>
            <w:tcW w:w="4675" w:type="dxa"/>
          </w:tcPr>
          <w:p w14:paraId="12BB3C9B" w14:textId="2FDDB28D" w:rsidR="00660645" w:rsidRPr="00660645" w:rsidRDefault="00660645" w:rsidP="00660645">
            <w:pPr>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Theme="majorHAnsi" w:hAnsiTheme="majorHAnsi"/>
                <w:b/>
                <w:bCs/>
                <w:sz w:val="20"/>
                <w:szCs w:val="20"/>
                <w:lang w:val="es-ES"/>
              </w:rPr>
            </w:pPr>
            <w:r w:rsidRPr="00660645">
              <w:rPr>
                <w:rFonts w:asciiTheme="majorHAnsi" w:hAnsiTheme="majorHAnsi"/>
                <w:b/>
                <w:bCs/>
                <w:sz w:val="20"/>
                <w:szCs w:val="20"/>
                <w:lang w:val="es-ES"/>
              </w:rPr>
              <w:t xml:space="preserve">Proceso </w:t>
            </w:r>
            <w:r w:rsidR="00FD7886">
              <w:rPr>
                <w:rFonts w:asciiTheme="majorHAnsi" w:hAnsiTheme="majorHAnsi"/>
                <w:b/>
                <w:bCs/>
                <w:sz w:val="20"/>
                <w:szCs w:val="20"/>
                <w:lang w:val="es-ES"/>
              </w:rPr>
              <w:t>de</w:t>
            </w:r>
            <w:r w:rsidRPr="00660645">
              <w:rPr>
                <w:rFonts w:asciiTheme="majorHAnsi" w:hAnsiTheme="majorHAnsi"/>
                <w:b/>
                <w:bCs/>
                <w:sz w:val="20"/>
                <w:szCs w:val="20"/>
                <w:lang w:val="es-ES"/>
              </w:rPr>
              <w:t xml:space="preserve"> las presuntas víctimas</w:t>
            </w:r>
          </w:p>
        </w:tc>
        <w:tc>
          <w:tcPr>
            <w:tcW w:w="4675" w:type="dxa"/>
          </w:tcPr>
          <w:p w14:paraId="3410C03B" w14:textId="1A147B4B" w:rsidR="00660645" w:rsidRPr="00660645" w:rsidRDefault="00660645" w:rsidP="00660645">
            <w:pPr>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Theme="majorHAnsi" w:hAnsiTheme="majorHAnsi"/>
                <w:b/>
                <w:bCs/>
                <w:sz w:val="20"/>
                <w:szCs w:val="20"/>
                <w:lang w:val="es-ES"/>
              </w:rPr>
            </w:pPr>
            <w:r w:rsidRPr="00660645">
              <w:rPr>
                <w:rFonts w:asciiTheme="majorHAnsi" w:hAnsiTheme="majorHAnsi"/>
                <w:b/>
                <w:bCs/>
                <w:sz w:val="20"/>
                <w:szCs w:val="20"/>
                <w:lang w:val="es-ES"/>
              </w:rPr>
              <w:t>Proceso de los terceros</w:t>
            </w:r>
          </w:p>
        </w:tc>
      </w:tr>
      <w:tr w:rsidR="00660645" w:rsidRPr="00732E35" w14:paraId="0C644B89" w14:textId="77777777" w:rsidTr="00FD7886">
        <w:tc>
          <w:tcPr>
            <w:tcW w:w="4675" w:type="dxa"/>
          </w:tcPr>
          <w:p w14:paraId="5BB3B366" w14:textId="0CB17648" w:rsidR="00660645" w:rsidRPr="00660645" w:rsidRDefault="00660645" w:rsidP="00660645">
            <w:pPr>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Theme="majorHAnsi" w:hAnsiTheme="majorHAnsi"/>
                <w:i/>
                <w:iCs/>
                <w:sz w:val="20"/>
                <w:szCs w:val="20"/>
                <w:lang w:val="es-ES"/>
              </w:rPr>
            </w:pPr>
            <w:r w:rsidRPr="00660645">
              <w:rPr>
                <w:rFonts w:asciiTheme="majorHAnsi" w:hAnsiTheme="majorHAnsi"/>
                <w:i/>
                <w:iCs/>
                <w:sz w:val="20"/>
                <w:szCs w:val="20"/>
                <w:lang w:val="es-ES"/>
              </w:rPr>
              <w:t>Reclamación Administrativa</w:t>
            </w:r>
          </w:p>
          <w:p w14:paraId="50E7F282" w14:textId="3BEAD2CC" w:rsidR="00F36B9B" w:rsidRDefault="00F36B9B" w:rsidP="00F36B9B">
            <w:pPr>
              <w:pBdr>
                <w:top w:val="none" w:sz="0" w:space="0" w:color="auto"/>
                <w:left w:val="none" w:sz="0" w:space="0" w:color="auto"/>
                <w:bottom w:val="none" w:sz="0" w:space="0" w:color="auto"/>
                <w:right w:val="none" w:sz="0" w:space="0" w:color="auto"/>
                <w:between w:val="none" w:sz="0" w:space="0" w:color="auto"/>
                <w:bar w:val="none" w:sz="0" w:color="auto"/>
              </w:pBdr>
              <w:snapToGrid w:val="0"/>
              <w:spacing w:after="40"/>
              <w:contextualSpacing/>
              <w:jc w:val="both"/>
              <w:rPr>
                <w:rFonts w:ascii="Cambria" w:hAnsi="Cambria"/>
                <w:sz w:val="20"/>
                <w:szCs w:val="20"/>
                <w:lang w:val="es-ES"/>
              </w:rPr>
            </w:pPr>
            <w:r w:rsidRPr="00F36B9B">
              <w:rPr>
                <w:rFonts w:ascii="Cambria" w:hAnsi="Cambria"/>
                <w:sz w:val="20"/>
                <w:szCs w:val="20"/>
                <w:lang w:val="es-ES"/>
              </w:rPr>
              <w:t>Ante</w:t>
            </w:r>
            <w:r w:rsidR="0027486F">
              <w:rPr>
                <w:rFonts w:ascii="Cambria" w:hAnsi="Cambria"/>
                <w:sz w:val="20"/>
                <w:szCs w:val="20"/>
                <w:lang w:val="es-ES"/>
              </w:rPr>
              <w:t xml:space="preserve"> </w:t>
            </w:r>
            <w:r w:rsidRPr="00F36B9B">
              <w:rPr>
                <w:rFonts w:ascii="Cambria" w:hAnsi="Cambria"/>
                <w:sz w:val="20"/>
                <w:szCs w:val="20"/>
                <w:lang w:val="es-ES_tradnl"/>
              </w:rPr>
              <w:t>la Subdirección General Jurídica de la CONAGUA</w:t>
            </w:r>
            <w:r w:rsidR="00B31375">
              <w:rPr>
                <w:rFonts w:ascii="Cambria" w:hAnsi="Cambria"/>
                <w:sz w:val="20"/>
                <w:szCs w:val="20"/>
                <w:lang w:val="es-ES_tradnl"/>
              </w:rPr>
              <w:t>.</w:t>
            </w:r>
            <w:r w:rsidRPr="00F36B9B">
              <w:rPr>
                <w:rFonts w:ascii="Cambria" w:hAnsi="Cambria"/>
                <w:sz w:val="20"/>
                <w:szCs w:val="20"/>
                <w:lang w:val="es-ES"/>
              </w:rPr>
              <w:t xml:space="preserve"> </w:t>
            </w:r>
          </w:p>
          <w:p w14:paraId="35E79931" w14:textId="77777777" w:rsidR="00F36B9B" w:rsidRPr="00F36B9B" w:rsidRDefault="00F36B9B" w:rsidP="00F36B9B">
            <w:pPr>
              <w:pBdr>
                <w:top w:val="none" w:sz="0" w:space="0" w:color="auto"/>
                <w:left w:val="none" w:sz="0" w:space="0" w:color="auto"/>
                <w:bottom w:val="none" w:sz="0" w:space="0" w:color="auto"/>
                <w:right w:val="none" w:sz="0" w:space="0" w:color="auto"/>
                <w:between w:val="none" w:sz="0" w:space="0" w:color="auto"/>
                <w:bar w:val="none" w:sz="0" w:color="auto"/>
              </w:pBdr>
              <w:snapToGrid w:val="0"/>
              <w:spacing w:after="40"/>
              <w:contextualSpacing/>
              <w:jc w:val="both"/>
              <w:rPr>
                <w:rFonts w:ascii="Cambria" w:hAnsi="Cambria"/>
                <w:sz w:val="10"/>
                <w:szCs w:val="10"/>
                <w:lang w:val="es-ES"/>
              </w:rPr>
            </w:pPr>
          </w:p>
          <w:p w14:paraId="25BE634A" w14:textId="65A7EB4A" w:rsidR="00CC0DB6" w:rsidRPr="00CC0DB6" w:rsidRDefault="00F36B9B" w:rsidP="00F36B9B">
            <w:pPr>
              <w:suppressAutoHyphens/>
              <w:snapToGrid w:val="0"/>
              <w:spacing w:after="40"/>
              <w:contextualSpacing/>
              <w:jc w:val="both"/>
              <w:rPr>
                <w:rFonts w:ascii="Cambria" w:hAnsi="Cambria"/>
                <w:sz w:val="20"/>
                <w:szCs w:val="20"/>
                <w:lang w:val="es-ES_tradnl"/>
              </w:rPr>
            </w:pPr>
            <w:r w:rsidRPr="00F36B9B">
              <w:rPr>
                <w:rFonts w:ascii="Cambria" w:hAnsi="Cambria"/>
                <w:sz w:val="20"/>
                <w:szCs w:val="20"/>
                <w:lang w:val="es-ES"/>
              </w:rPr>
              <w:t xml:space="preserve">El 21 de julio de 2011 decidió </w:t>
            </w:r>
            <w:r w:rsidRPr="00F36B9B">
              <w:rPr>
                <w:rFonts w:ascii="Cambria" w:hAnsi="Cambria"/>
                <w:sz w:val="20"/>
                <w:szCs w:val="20"/>
                <w:lang w:val="es-ES_tradnl"/>
              </w:rPr>
              <w:t>no pagar la indemnización por daño patrimonial</w:t>
            </w:r>
            <w:r w:rsidR="00CC0DB6">
              <w:rPr>
                <w:rFonts w:ascii="Cambria" w:hAnsi="Cambria"/>
                <w:sz w:val="20"/>
                <w:szCs w:val="20"/>
                <w:lang w:val="es-ES_tradnl"/>
              </w:rPr>
              <w:t xml:space="preserve"> </w:t>
            </w:r>
            <w:r w:rsidR="00CC0DB6" w:rsidRPr="00CC0DB6">
              <w:rPr>
                <w:rFonts w:ascii="Cambria" w:hAnsi="Cambria"/>
                <w:sz w:val="20"/>
                <w:szCs w:val="20"/>
                <w:lang w:val="es-ES_tradnl"/>
              </w:rPr>
              <w:t>a través del oficio número</w:t>
            </w:r>
            <w:r w:rsidR="00CC0DB6">
              <w:rPr>
                <w:rFonts w:ascii="Cambria" w:hAnsi="Cambria"/>
                <w:sz w:val="20"/>
                <w:szCs w:val="20"/>
                <w:lang w:val="es-ES_tradnl"/>
              </w:rPr>
              <w:t xml:space="preserve"> </w:t>
            </w:r>
            <w:r w:rsidR="00CC0DB6" w:rsidRPr="00CC0DB6">
              <w:rPr>
                <w:rFonts w:ascii="Cambria" w:hAnsi="Cambria"/>
                <w:sz w:val="20"/>
                <w:szCs w:val="20"/>
                <w:lang w:val="es-ES_tradnl"/>
              </w:rPr>
              <w:t>BOO.00.02.03.1.1.04521</w:t>
            </w:r>
            <w:r w:rsidR="00B31375">
              <w:rPr>
                <w:rFonts w:ascii="Cambria" w:hAnsi="Cambria"/>
                <w:sz w:val="20"/>
                <w:szCs w:val="20"/>
                <w:lang w:val="es-ES_tradnl"/>
              </w:rPr>
              <w:t>.</w:t>
            </w:r>
          </w:p>
        </w:tc>
        <w:tc>
          <w:tcPr>
            <w:tcW w:w="4675" w:type="dxa"/>
          </w:tcPr>
          <w:p w14:paraId="70CFDE7C" w14:textId="34449988" w:rsidR="00F36B9B" w:rsidRPr="00660645" w:rsidRDefault="00F36B9B" w:rsidP="00F36B9B">
            <w:pPr>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Theme="majorHAnsi" w:hAnsiTheme="majorHAnsi"/>
                <w:i/>
                <w:iCs/>
                <w:sz w:val="20"/>
                <w:szCs w:val="20"/>
                <w:lang w:val="es-ES_tradnl"/>
              </w:rPr>
            </w:pPr>
            <w:r>
              <w:rPr>
                <w:rFonts w:asciiTheme="majorHAnsi" w:hAnsiTheme="majorHAnsi"/>
                <w:i/>
                <w:iCs/>
                <w:sz w:val="20"/>
                <w:szCs w:val="20"/>
                <w:lang w:val="es-ES_tradnl"/>
              </w:rPr>
              <w:t>Reclamación Administrativa</w:t>
            </w:r>
          </w:p>
          <w:p w14:paraId="71972345" w14:textId="039DCD4E" w:rsidR="00F36B9B" w:rsidRPr="00F36B9B" w:rsidRDefault="00CC0DB6" w:rsidP="00F36B9B">
            <w:pPr>
              <w:pBdr>
                <w:top w:val="none" w:sz="0" w:space="0" w:color="auto"/>
                <w:left w:val="none" w:sz="0" w:space="0" w:color="auto"/>
                <w:bottom w:val="none" w:sz="0" w:space="0" w:color="auto"/>
                <w:right w:val="none" w:sz="0" w:space="0" w:color="auto"/>
                <w:between w:val="none" w:sz="0" w:space="0" w:color="auto"/>
                <w:bar w:val="none" w:sz="0" w:color="auto"/>
              </w:pBdr>
              <w:snapToGrid w:val="0"/>
              <w:spacing w:after="40"/>
              <w:contextualSpacing/>
              <w:jc w:val="both"/>
              <w:rPr>
                <w:rFonts w:ascii="Cambria" w:hAnsi="Cambria"/>
                <w:color w:val="D99594" w:themeColor="accent2" w:themeTint="99"/>
                <w:sz w:val="20"/>
                <w:szCs w:val="20"/>
                <w:lang w:val="es-ES_tradnl"/>
              </w:rPr>
            </w:pPr>
            <w:r>
              <w:rPr>
                <w:rFonts w:ascii="Cambria" w:hAnsi="Cambria"/>
                <w:sz w:val="20"/>
                <w:szCs w:val="20"/>
                <w:lang w:val="es-ES_tradnl"/>
              </w:rPr>
              <w:t>Ante</w:t>
            </w:r>
            <w:r w:rsidR="0027486F">
              <w:rPr>
                <w:rFonts w:ascii="Cambria" w:hAnsi="Cambria"/>
                <w:sz w:val="20"/>
                <w:szCs w:val="20"/>
                <w:lang w:val="es-ES"/>
              </w:rPr>
              <w:t xml:space="preserve"> </w:t>
            </w:r>
            <w:r w:rsidRPr="00CC0DB6">
              <w:rPr>
                <w:rFonts w:ascii="Cambria" w:hAnsi="Cambria"/>
                <w:sz w:val="20"/>
                <w:szCs w:val="20"/>
                <w:lang w:val="es-ES_tradnl"/>
              </w:rPr>
              <w:t>la Subdirección General Jurídica de la CONAGUA</w:t>
            </w:r>
            <w:r w:rsidR="00B31375">
              <w:rPr>
                <w:rFonts w:ascii="Cambria" w:hAnsi="Cambria"/>
                <w:sz w:val="20"/>
                <w:szCs w:val="20"/>
                <w:lang w:val="es-ES_tradnl"/>
              </w:rPr>
              <w:t>.</w:t>
            </w:r>
          </w:p>
          <w:p w14:paraId="4E310161" w14:textId="77777777" w:rsidR="00F36B9B" w:rsidRPr="00CC0DB6" w:rsidRDefault="00F36B9B" w:rsidP="00F36B9B">
            <w:pPr>
              <w:pBdr>
                <w:top w:val="none" w:sz="0" w:space="0" w:color="auto"/>
                <w:left w:val="none" w:sz="0" w:space="0" w:color="auto"/>
                <w:bottom w:val="none" w:sz="0" w:space="0" w:color="auto"/>
                <w:right w:val="none" w:sz="0" w:space="0" w:color="auto"/>
                <w:between w:val="none" w:sz="0" w:space="0" w:color="auto"/>
                <w:bar w:val="none" w:sz="0" w:color="auto"/>
              </w:pBdr>
              <w:snapToGrid w:val="0"/>
              <w:spacing w:after="40"/>
              <w:contextualSpacing/>
              <w:jc w:val="both"/>
              <w:rPr>
                <w:rFonts w:ascii="Cambria" w:hAnsi="Cambria"/>
                <w:color w:val="D99594" w:themeColor="accent2" w:themeTint="99"/>
                <w:sz w:val="6"/>
                <w:szCs w:val="6"/>
                <w:lang w:val="es-ES_tradnl"/>
              </w:rPr>
            </w:pPr>
          </w:p>
          <w:p w14:paraId="13F3D5F8" w14:textId="75FA5DE1" w:rsidR="00660645" w:rsidRPr="00F36B9B" w:rsidRDefault="00F36B9B" w:rsidP="00F36B9B">
            <w:pPr>
              <w:pStyle w:val="BodyText"/>
              <w:snapToGrid w:val="0"/>
              <w:spacing w:after="40"/>
              <w:contextualSpacing/>
              <w:jc w:val="both"/>
              <w:rPr>
                <w:rFonts w:ascii="Cambria" w:hAnsi="Cambria"/>
                <w:sz w:val="20"/>
                <w:szCs w:val="20"/>
                <w:lang w:val="es-ES_tradnl"/>
              </w:rPr>
            </w:pPr>
            <w:r w:rsidRPr="00CC0DB6">
              <w:rPr>
                <w:rFonts w:ascii="Cambria" w:hAnsi="Cambria"/>
                <w:sz w:val="20"/>
                <w:szCs w:val="20"/>
                <w:lang w:val="es-ES_tradnl"/>
              </w:rPr>
              <w:t xml:space="preserve">El </w:t>
            </w:r>
            <w:r w:rsidR="00CC0DB6" w:rsidRPr="00CC0DB6">
              <w:rPr>
                <w:rFonts w:ascii="Cambria" w:hAnsi="Cambria"/>
                <w:sz w:val="20"/>
                <w:szCs w:val="20"/>
                <w:lang w:val="es-ES_tradnl"/>
              </w:rPr>
              <w:t xml:space="preserve">8 de julio de 2011 </w:t>
            </w:r>
            <w:r w:rsidR="00FD7886" w:rsidRPr="00F36B9B">
              <w:rPr>
                <w:rFonts w:ascii="Cambria" w:hAnsi="Cambria"/>
                <w:sz w:val="20"/>
                <w:szCs w:val="20"/>
                <w:lang w:val="es-ES"/>
              </w:rPr>
              <w:t xml:space="preserve">decidió </w:t>
            </w:r>
            <w:r w:rsidR="00FD7886" w:rsidRPr="00F36B9B">
              <w:rPr>
                <w:rFonts w:ascii="Cambria" w:hAnsi="Cambria"/>
                <w:sz w:val="20"/>
                <w:szCs w:val="20"/>
                <w:lang w:val="es-ES_tradnl"/>
              </w:rPr>
              <w:t>no pagar la indemnización por daño patrimonial</w:t>
            </w:r>
            <w:r w:rsidR="00FD7886">
              <w:rPr>
                <w:rFonts w:ascii="Cambria" w:hAnsi="Cambria"/>
                <w:sz w:val="20"/>
                <w:szCs w:val="20"/>
                <w:lang w:val="es-ES_tradnl"/>
              </w:rPr>
              <w:t xml:space="preserve"> </w:t>
            </w:r>
            <w:r w:rsidR="00CC0DB6">
              <w:rPr>
                <w:rFonts w:ascii="Cambria" w:hAnsi="Cambria"/>
                <w:sz w:val="20"/>
                <w:szCs w:val="20"/>
                <w:lang w:val="es-ES_tradnl"/>
              </w:rPr>
              <w:t>a través del oficio</w:t>
            </w:r>
            <w:r w:rsidR="00CC0DB6" w:rsidRPr="00CC0DB6">
              <w:rPr>
                <w:rFonts w:ascii="Cambria" w:hAnsi="Cambria"/>
                <w:sz w:val="20"/>
                <w:szCs w:val="20"/>
                <w:lang w:val="es-ES_tradnl"/>
              </w:rPr>
              <w:t xml:space="preserve"> número BOO.00.02.03.1.1.-04235</w:t>
            </w:r>
            <w:r w:rsidR="00B31375">
              <w:rPr>
                <w:rFonts w:ascii="Cambria" w:hAnsi="Cambria"/>
                <w:sz w:val="20"/>
                <w:szCs w:val="20"/>
                <w:lang w:val="es-ES_tradnl"/>
              </w:rPr>
              <w:t>.</w:t>
            </w:r>
          </w:p>
        </w:tc>
      </w:tr>
      <w:tr w:rsidR="00660645" w:rsidRPr="00732E35" w14:paraId="09ECB7AF" w14:textId="77777777" w:rsidTr="00FD7886">
        <w:tc>
          <w:tcPr>
            <w:tcW w:w="4675" w:type="dxa"/>
          </w:tcPr>
          <w:p w14:paraId="24091CCD" w14:textId="77777777" w:rsidR="00FD7886" w:rsidRDefault="00FD7886" w:rsidP="00FD7886">
            <w:pPr>
              <w:spacing w:after="40"/>
              <w:jc w:val="center"/>
              <w:rPr>
                <w:rFonts w:asciiTheme="majorHAnsi" w:hAnsiTheme="majorHAnsi"/>
                <w:i/>
                <w:iCs/>
                <w:sz w:val="20"/>
                <w:szCs w:val="20"/>
                <w:lang w:val="es-ES"/>
              </w:rPr>
            </w:pPr>
            <w:r w:rsidRPr="00660645">
              <w:rPr>
                <w:rFonts w:asciiTheme="majorHAnsi" w:hAnsiTheme="majorHAnsi"/>
                <w:i/>
                <w:iCs/>
                <w:sz w:val="20"/>
                <w:szCs w:val="20"/>
                <w:lang w:val="es-ES"/>
              </w:rPr>
              <w:t xml:space="preserve">Juicio de </w:t>
            </w:r>
            <w:r>
              <w:rPr>
                <w:rFonts w:asciiTheme="majorHAnsi" w:hAnsiTheme="majorHAnsi"/>
                <w:i/>
                <w:iCs/>
                <w:sz w:val="20"/>
                <w:szCs w:val="20"/>
                <w:lang w:val="es-ES"/>
              </w:rPr>
              <w:t xml:space="preserve">responsabilidad patrimonial </w:t>
            </w:r>
          </w:p>
          <w:p w14:paraId="0CA2B8EC" w14:textId="77777777" w:rsidR="00FD7886" w:rsidRPr="00660645" w:rsidRDefault="00FD7886" w:rsidP="00FD7886">
            <w:pPr>
              <w:pBdr>
                <w:top w:val="none" w:sz="0" w:space="0" w:color="auto"/>
                <w:left w:val="none" w:sz="0" w:space="0" w:color="auto"/>
                <w:bottom w:val="none" w:sz="0" w:space="0" w:color="auto"/>
                <w:right w:val="none" w:sz="0" w:space="0" w:color="auto"/>
                <w:between w:val="none" w:sz="0" w:space="0" w:color="auto"/>
                <w:bar w:val="none" w:sz="0" w:color="auto"/>
              </w:pBdr>
              <w:spacing w:after="40"/>
              <w:jc w:val="center"/>
              <w:rPr>
                <w:rFonts w:asciiTheme="majorHAnsi" w:hAnsiTheme="majorHAnsi"/>
                <w:i/>
                <w:iCs/>
                <w:sz w:val="20"/>
                <w:szCs w:val="20"/>
                <w:lang w:val="es-ES"/>
              </w:rPr>
            </w:pPr>
            <w:r w:rsidRPr="008D2DEC">
              <w:rPr>
                <w:rFonts w:asciiTheme="majorHAnsi" w:hAnsiTheme="majorHAnsi"/>
                <w:i/>
                <w:iCs/>
                <w:sz w:val="20"/>
                <w:szCs w:val="20"/>
                <w:lang w:val="es-ES_tradnl"/>
              </w:rPr>
              <w:t>22456/12-17-11-7</w:t>
            </w:r>
          </w:p>
          <w:p w14:paraId="33D13F0A" w14:textId="77777777" w:rsidR="00FD7886" w:rsidRPr="00FD7886" w:rsidRDefault="00FD7886" w:rsidP="00F36B9B">
            <w:pPr>
              <w:pBdr>
                <w:top w:val="none" w:sz="0" w:space="0" w:color="auto"/>
                <w:left w:val="none" w:sz="0" w:space="0" w:color="auto"/>
                <w:bottom w:val="none" w:sz="0" w:space="0" w:color="auto"/>
                <w:right w:val="none" w:sz="0" w:space="0" w:color="auto"/>
                <w:between w:val="none" w:sz="0" w:space="0" w:color="auto"/>
                <w:bar w:val="none" w:sz="0" w:color="auto"/>
              </w:pBdr>
              <w:snapToGrid w:val="0"/>
              <w:spacing w:after="40"/>
              <w:contextualSpacing/>
              <w:jc w:val="both"/>
              <w:rPr>
                <w:rFonts w:ascii="Cambria" w:hAnsi="Cambria"/>
                <w:sz w:val="12"/>
                <w:szCs w:val="12"/>
                <w:lang w:val="es-ES"/>
              </w:rPr>
            </w:pPr>
          </w:p>
          <w:p w14:paraId="6F203A06" w14:textId="73BBEE64" w:rsidR="00F36B9B" w:rsidRDefault="00F36B9B" w:rsidP="00F36B9B">
            <w:pPr>
              <w:pBdr>
                <w:top w:val="none" w:sz="0" w:space="0" w:color="auto"/>
                <w:left w:val="none" w:sz="0" w:space="0" w:color="auto"/>
                <w:bottom w:val="none" w:sz="0" w:space="0" w:color="auto"/>
                <w:right w:val="none" w:sz="0" w:space="0" w:color="auto"/>
                <w:between w:val="none" w:sz="0" w:space="0" w:color="auto"/>
                <w:bar w:val="none" w:sz="0" w:color="auto"/>
              </w:pBdr>
              <w:snapToGrid w:val="0"/>
              <w:spacing w:after="40"/>
              <w:contextualSpacing/>
              <w:jc w:val="both"/>
              <w:rPr>
                <w:rFonts w:ascii="Cambria" w:hAnsi="Cambria"/>
                <w:sz w:val="20"/>
                <w:szCs w:val="20"/>
                <w:lang w:val="es-ES_tradnl"/>
              </w:rPr>
            </w:pPr>
            <w:r w:rsidRPr="00F36B9B">
              <w:rPr>
                <w:rFonts w:ascii="Cambria" w:hAnsi="Cambria"/>
                <w:sz w:val="20"/>
                <w:szCs w:val="20"/>
                <w:lang w:val="es-ES"/>
              </w:rPr>
              <w:t xml:space="preserve">Ante </w:t>
            </w:r>
            <w:r w:rsidRPr="00F36B9B">
              <w:rPr>
                <w:rFonts w:ascii="Cambria" w:hAnsi="Cambria"/>
                <w:sz w:val="20"/>
                <w:szCs w:val="20"/>
                <w:lang w:val="es-ES_tradnl"/>
              </w:rPr>
              <w:t>la Décima Primera Sala Regional Metropolitana del Tribunal Federal de Justicia Fiscal y Administrativa</w:t>
            </w:r>
            <w:r w:rsidR="00531AC3">
              <w:rPr>
                <w:rFonts w:ascii="Cambria" w:hAnsi="Cambria"/>
                <w:sz w:val="20"/>
                <w:szCs w:val="20"/>
                <w:lang w:val="es-ES_tradnl"/>
              </w:rPr>
              <w:t>.</w:t>
            </w:r>
          </w:p>
          <w:p w14:paraId="399A9B72" w14:textId="77777777" w:rsidR="00F36B9B" w:rsidRPr="00F36B9B" w:rsidRDefault="00F36B9B" w:rsidP="00F36B9B">
            <w:pPr>
              <w:pBdr>
                <w:top w:val="none" w:sz="0" w:space="0" w:color="auto"/>
                <w:left w:val="none" w:sz="0" w:space="0" w:color="auto"/>
                <w:bottom w:val="none" w:sz="0" w:space="0" w:color="auto"/>
                <w:right w:val="none" w:sz="0" w:space="0" w:color="auto"/>
                <w:between w:val="none" w:sz="0" w:space="0" w:color="auto"/>
                <w:bar w:val="none" w:sz="0" w:color="auto"/>
              </w:pBdr>
              <w:snapToGrid w:val="0"/>
              <w:spacing w:after="40"/>
              <w:contextualSpacing/>
              <w:jc w:val="both"/>
              <w:rPr>
                <w:rFonts w:ascii="Cambria" w:hAnsi="Cambria"/>
                <w:sz w:val="10"/>
                <w:szCs w:val="10"/>
                <w:lang w:val="es-ES_tradnl"/>
              </w:rPr>
            </w:pPr>
          </w:p>
          <w:p w14:paraId="7EB28256" w14:textId="4B173BA8" w:rsidR="00660645" w:rsidRPr="00F36B9B" w:rsidRDefault="00F36B9B" w:rsidP="00F36B9B">
            <w:pPr>
              <w:suppressAutoHyphens/>
              <w:snapToGrid w:val="0"/>
              <w:spacing w:after="40"/>
              <w:contextualSpacing/>
              <w:jc w:val="both"/>
              <w:rPr>
                <w:rFonts w:ascii="Cambria" w:hAnsi="Cambria"/>
                <w:sz w:val="20"/>
                <w:szCs w:val="20"/>
                <w:lang w:val="es-CO"/>
              </w:rPr>
            </w:pPr>
            <w:r w:rsidRPr="00F36B9B">
              <w:rPr>
                <w:rFonts w:ascii="Cambria" w:hAnsi="Cambria"/>
                <w:sz w:val="20"/>
                <w:szCs w:val="20"/>
                <w:lang w:val="es-ES_tradnl"/>
              </w:rPr>
              <w:t xml:space="preserve">El 1 de octubre de 2012 </w:t>
            </w:r>
            <w:r w:rsidR="00FD7886">
              <w:rPr>
                <w:rFonts w:ascii="Cambria" w:hAnsi="Cambria"/>
                <w:sz w:val="20"/>
                <w:szCs w:val="20"/>
                <w:lang w:val="es-ES_tradnl"/>
              </w:rPr>
              <w:t>les fue negado</w:t>
            </w:r>
            <w:r w:rsidR="00531AC3">
              <w:rPr>
                <w:rFonts w:ascii="Cambria" w:hAnsi="Cambria"/>
                <w:sz w:val="20"/>
                <w:szCs w:val="20"/>
                <w:lang w:val="es-ES_tradnl"/>
              </w:rPr>
              <w:t>.</w:t>
            </w:r>
          </w:p>
        </w:tc>
        <w:tc>
          <w:tcPr>
            <w:tcW w:w="4675" w:type="dxa"/>
          </w:tcPr>
          <w:p w14:paraId="26E7CEAF" w14:textId="77777777" w:rsidR="00FD7886" w:rsidRDefault="00FD7886" w:rsidP="00FD7886">
            <w:pPr>
              <w:spacing w:after="40"/>
              <w:jc w:val="center"/>
              <w:rPr>
                <w:rFonts w:asciiTheme="majorHAnsi" w:hAnsiTheme="majorHAnsi"/>
                <w:i/>
                <w:iCs/>
                <w:sz w:val="20"/>
                <w:szCs w:val="20"/>
                <w:lang w:val="es-ES"/>
              </w:rPr>
            </w:pPr>
            <w:r w:rsidRPr="00660645">
              <w:rPr>
                <w:rFonts w:asciiTheme="majorHAnsi" w:hAnsiTheme="majorHAnsi"/>
                <w:i/>
                <w:iCs/>
                <w:sz w:val="20"/>
                <w:szCs w:val="20"/>
                <w:lang w:val="es-ES_tradnl"/>
              </w:rPr>
              <w:t xml:space="preserve">Juicio </w:t>
            </w:r>
            <w:r>
              <w:rPr>
                <w:rFonts w:asciiTheme="majorHAnsi" w:hAnsiTheme="majorHAnsi"/>
                <w:i/>
                <w:iCs/>
                <w:sz w:val="20"/>
                <w:szCs w:val="20"/>
                <w:lang w:val="es-ES_tradnl"/>
              </w:rPr>
              <w:t xml:space="preserve">de </w:t>
            </w:r>
            <w:r>
              <w:rPr>
                <w:rFonts w:asciiTheme="majorHAnsi" w:hAnsiTheme="majorHAnsi"/>
                <w:i/>
                <w:iCs/>
                <w:sz w:val="20"/>
                <w:szCs w:val="20"/>
                <w:lang w:val="es-ES"/>
              </w:rPr>
              <w:t xml:space="preserve">responsabilidad patrimonial </w:t>
            </w:r>
          </w:p>
          <w:p w14:paraId="25F0E00D" w14:textId="77777777" w:rsidR="00FD7886" w:rsidRPr="00FD7886" w:rsidRDefault="00FD7886" w:rsidP="00FD7886">
            <w:pPr>
              <w:pBdr>
                <w:top w:val="none" w:sz="0" w:space="0" w:color="auto"/>
                <w:left w:val="none" w:sz="0" w:space="0" w:color="auto"/>
                <w:bottom w:val="none" w:sz="0" w:space="0" w:color="auto"/>
                <w:right w:val="none" w:sz="0" w:space="0" w:color="auto"/>
                <w:between w:val="none" w:sz="0" w:space="0" w:color="auto"/>
                <w:bar w:val="none" w:sz="0" w:color="auto"/>
              </w:pBdr>
              <w:spacing w:after="40"/>
              <w:jc w:val="center"/>
              <w:rPr>
                <w:rFonts w:asciiTheme="majorHAnsi" w:hAnsiTheme="majorHAnsi"/>
                <w:i/>
                <w:iCs/>
                <w:sz w:val="20"/>
                <w:szCs w:val="20"/>
                <w:lang w:val="es-ES"/>
              </w:rPr>
            </w:pPr>
            <w:r w:rsidRPr="00B9693C">
              <w:rPr>
                <w:rFonts w:asciiTheme="majorHAnsi" w:hAnsiTheme="majorHAnsi"/>
                <w:i/>
                <w:iCs/>
                <w:sz w:val="20"/>
                <w:szCs w:val="20"/>
                <w:lang w:val="es-ES_tradnl"/>
              </w:rPr>
              <w:t>22505/11-17-05-1</w:t>
            </w:r>
          </w:p>
          <w:p w14:paraId="18461D70" w14:textId="77777777" w:rsidR="00FD7886" w:rsidRPr="00FD7886" w:rsidRDefault="00FD7886" w:rsidP="00F36B9B">
            <w:pPr>
              <w:pBdr>
                <w:top w:val="none" w:sz="0" w:space="0" w:color="auto"/>
                <w:left w:val="none" w:sz="0" w:space="0" w:color="auto"/>
                <w:bottom w:val="none" w:sz="0" w:space="0" w:color="auto"/>
                <w:right w:val="none" w:sz="0" w:space="0" w:color="auto"/>
                <w:between w:val="none" w:sz="0" w:space="0" w:color="auto"/>
                <w:bar w:val="none" w:sz="0" w:color="auto"/>
              </w:pBdr>
              <w:snapToGrid w:val="0"/>
              <w:spacing w:after="40"/>
              <w:contextualSpacing/>
              <w:jc w:val="both"/>
              <w:rPr>
                <w:rFonts w:ascii="Cambria" w:hAnsi="Cambria"/>
                <w:sz w:val="10"/>
                <w:szCs w:val="10"/>
                <w:lang w:val="es-ES"/>
              </w:rPr>
            </w:pPr>
          </w:p>
          <w:p w14:paraId="6112BA58" w14:textId="0BB5735C" w:rsidR="00F36B9B" w:rsidRDefault="00F36B9B" w:rsidP="00F36B9B">
            <w:pPr>
              <w:pBdr>
                <w:top w:val="none" w:sz="0" w:space="0" w:color="auto"/>
                <w:left w:val="none" w:sz="0" w:space="0" w:color="auto"/>
                <w:bottom w:val="none" w:sz="0" w:space="0" w:color="auto"/>
                <w:right w:val="none" w:sz="0" w:space="0" w:color="auto"/>
                <w:between w:val="none" w:sz="0" w:space="0" w:color="auto"/>
                <w:bar w:val="none" w:sz="0" w:color="auto"/>
              </w:pBdr>
              <w:snapToGrid w:val="0"/>
              <w:spacing w:after="40"/>
              <w:contextualSpacing/>
              <w:jc w:val="both"/>
              <w:rPr>
                <w:rFonts w:ascii="Cambria" w:hAnsi="Cambria"/>
                <w:sz w:val="20"/>
                <w:szCs w:val="20"/>
                <w:lang w:val="es-ES_tradnl"/>
              </w:rPr>
            </w:pPr>
            <w:r>
              <w:rPr>
                <w:rFonts w:ascii="Cambria" w:hAnsi="Cambria"/>
                <w:sz w:val="20"/>
                <w:szCs w:val="20"/>
                <w:lang w:val="es-ES_tradnl"/>
              </w:rPr>
              <w:t>A</w:t>
            </w:r>
            <w:r w:rsidRPr="003467BE">
              <w:rPr>
                <w:rFonts w:ascii="Cambria" w:hAnsi="Cambria"/>
                <w:sz w:val="20"/>
                <w:szCs w:val="20"/>
                <w:lang w:val="es-ES_tradnl"/>
              </w:rPr>
              <w:t>nte</w:t>
            </w:r>
            <w:r w:rsidR="00B9693C">
              <w:rPr>
                <w:rFonts w:ascii="Cambria" w:hAnsi="Cambria"/>
                <w:sz w:val="20"/>
                <w:szCs w:val="20"/>
                <w:lang w:val="es-ES_tradnl"/>
              </w:rPr>
              <w:t xml:space="preserve"> </w:t>
            </w:r>
            <w:r w:rsidR="00B9693C" w:rsidRPr="00B9693C">
              <w:rPr>
                <w:rFonts w:ascii="Cambria" w:hAnsi="Cambria"/>
                <w:sz w:val="20"/>
                <w:szCs w:val="20"/>
                <w:lang w:val="es-ES_tradnl"/>
              </w:rPr>
              <w:t>la Quinta Sala Regional Metropolitana del Tribunal Federal de Justicia Fiscal y Administrativa</w:t>
            </w:r>
            <w:r w:rsidR="00531AC3">
              <w:rPr>
                <w:rFonts w:ascii="Cambria" w:hAnsi="Cambria"/>
                <w:sz w:val="20"/>
                <w:szCs w:val="20"/>
                <w:lang w:val="es-ES_tradnl"/>
              </w:rPr>
              <w:t>.</w:t>
            </w:r>
          </w:p>
          <w:p w14:paraId="2683A553" w14:textId="77777777" w:rsidR="00F36B9B" w:rsidRPr="00F36B9B" w:rsidRDefault="00F36B9B" w:rsidP="00F36B9B">
            <w:pPr>
              <w:pBdr>
                <w:top w:val="none" w:sz="0" w:space="0" w:color="auto"/>
                <w:left w:val="none" w:sz="0" w:space="0" w:color="auto"/>
                <w:bottom w:val="none" w:sz="0" w:space="0" w:color="auto"/>
                <w:right w:val="none" w:sz="0" w:space="0" w:color="auto"/>
                <w:between w:val="none" w:sz="0" w:space="0" w:color="auto"/>
                <w:bar w:val="none" w:sz="0" w:color="auto"/>
              </w:pBdr>
              <w:snapToGrid w:val="0"/>
              <w:spacing w:after="40"/>
              <w:contextualSpacing/>
              <w:jc w:val="both"/>
              <w:rPr>
                <w:rFonts w:ascii="Cambria" w:hAnsi="Cambria"/>
                <w:sz w:val="10"/>
                <w:szCs w:val="10"/>
                <w:lang w:val="es-ES_tradnl"/>
              </w:rPr>
            </w:pPr>
          </w:p>
          <w:p w14:paraId="53433193" w14:textId="77777777" w:rsidR="00FD7886" w:rsidRDefault="00FD7886" w:rsidP="00F36B9B">
            <w:pPr>
              <w:pStyle w:val="BodyText"/>
              <w:snapToGrid w:val="0"/>
              <w:spacing w:after="40"/>
              <w:contextualSpacing/>
              <w:jc w:val="both"/>
              <w:rPr>
                <w:rFonts w:ascii="Cambria" w:hAnsi="Cambria"/>
                <w:sz w:val="20"/>
                <w:szCs w:val="20"/>
                <w:lang w:val="es-ES_tradnl"/>
              </w:rPr>
            </w:pPr>
          </w:p>
          <w:p w14:paraId="213F0698" w14:textId="55586E74" w:rsidR="00660645" w:rsidRPr="00F36B9B" w:rsidRDefault="00F36B9B" w:rsidP="00F36B9B">
            <w:pPr>
              <w:pStyle w:val="BodyText"/>
              <w:snapToGrid w:val="0"/>
              <w:spacing w:after="40"/>
              <w:contextualSpacing/>
              <w:jc w:val="both"/>
              <w:rPr>
                <w:rFonts w:ascii="Cambria" w:hAnsi="Cambria"/>
                <w:sz w:val="20"/>
                <w:szCs w:val="20"/>
                <w:lang w:val="es-ES_tradnl"/>
              </w:rPr>
            </w:pPr>
            <w:r w:rsidRPr="003467BE">
              <w:rPr>
                <w:rFonts w:ascii="Cambria" w:hAnsi="Cambria"/>
                <w:sz w:val="20"/>
                <w:szCs w:val="20"/>
                <w:lang w:val="es-ES_tradnl"/>
              </w:rPr>
              <w:t xml:space="preserve">El </w:t>
            </w:r>
            <w:r w:rsidR="00B9693C">
              <w:rPr>
                <w:rFonts w:ascii="Cambria" w:hAnsi="Cambria"/>
                <w:sz w:val="20"/>
                <w:szCs w:val="20"/>
                <w:lang w:val="es-ES_tradnl"/>
              </w:rPr>
              <w:t>9 de abril de 2012</w:t>
            </w:r>
            <w:r w:rsidR="008D2DEC">
              <w:rPr>
                <w:rFonts w:ascii="Cambria" w:hAnsi="Cambria"/>
                <w:sz w:val="20"/>
                <w:szCs w:val="20"/>
                <w:lang w:val="es-ES_tradnl"/>
              </w:rPr>
              <w:t xml:space="preserve"> </w:t>
            </w:r>
            <w:r w:rsidRPr="003467BE">
              <w:rPr>
                <w:rFonts w:ascii="Cambria" w:hAnsi="Cambria"/>
                <w:sz w:val="20"/>
                <w:szCs w:val="20"/>
                <w:lang w:val="es-ES_tradnl"/>
              </w:rPr>
              <w:t xml:space="preserve">les fue </w:t>
            </w:r>
            <w:r>
              <w:rPr>
                <w:rFonts w:ascii="Cambria" w:hAnsi="Cambria"/>
                <w:sz w:val="20"/>
                <w:szCs w:val="20"/>
                <w:lang w:val="es-ES_tradnl"/>
              </w:rPr>
              <w:t>n</w:t>
            </w:r>
            <w:r w:rsidRPr="003467BE">
              <w:rPr>
                <w:rFonts w:ascii="Cambria" w:hAnsi="Cambria"/>
                <w:sz w:val="20"/>
                <w:szCs w:val="20"/>
                <w:lang w:val="es-ES_tradnl"/>
              </w:rPr>
              <w:t>egado</w:t>
            </w:r>
            <w:r w:rsidR="00531AC3">
              <w:rPr>
                <w:rFonts w:ascii="Cambria" w:hAnsi="Cambria"/>
                <w:sz w:val="20"/>
                <w:szCs w:val="20"/>
                <w:lang w:val="es-ES_tradnl"/>
              </w:rPr>
              <w:t>.</w:t>
            </w:r>
          </w:p>
        </w:tc>
      </w:tr>
      <w:tr w:rsidR="00660645" w:rsidRPr="00732E35" w14:paraId="61EC3FA1" w14:textId="77777777" w:rsidTr="00FD7886">
        <w:tc>
          <w:tcPr>
            <w:tcW w:w="4675" w:type="dxa"/>
          </w:tcPr>
          <w:p w14:paraId="71FCDCD9" w14:textId="439CA539" w:rsidR="00660645" w:rsidRPr="00660645" w:rsidRDefault="00660645" w:rsidP="00660645">
            <w:pPr>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Theme="majorHAnsi" w:hAnsiTheme="majorHAnsi"/>
                <w:i/>
                <w:iCs/>
                <w:sz w:val="20"/>
                <w:szCs w:val="20"/>
                <w:lang w:val="es-ES_tradnl"/>
              </w:rPr>
            </w:pPr>
            <w:r w:rsidRPr="00660645">
              <w:rPr>
                <w:rFonts w:asciiTheme="majorHAnsi" w:hAnsiTheme="majorHAnsi"/>
                <w:i/>
                <w:iCs/>
                <w:sz w:val="20"/>
                <w:szCs w:val="20"/>
                <w:lang w:val="es-ES_tradnl"/>
              </w:rPr>
              <w:t>Juicio de amparo directo 598/2013</w:t>
            </w:r>
          </w:p>
          <w:p w14:paraId="68FD510A" w14:textId="3C922A7D" w:rsidR="00F36B9B" w:rsidRDefault="00F36B9B" w:rsidP="00F36B9B">
            <w:pPr>
              <w:pBdr>
                <w:top w:val="none" w:sz="0" w:space="0" w:color="auto"/>
                <w:left w:val="none" w:sz="0" w:space="0" w:color="auto"/>
                <w:bottom w:val="none" w:sz="0" w:space="0" w:color="auto"/>
                <w:right w:val="none" w:sz="0" w:space="0" w:color="auto"/>
                <w:between w:val="none" w:sz="0" w:space="0" w:color="auto"/>
                <w:bar w:val="none" w:sz="0" w:color="auto"/>
              </w:pBdr>
              <w:snapToGrid w:val="0"/>
              <w:spacing w:after="40"/>
              <w:contextualSpacing/>
              <w:jc w:val="both"/>
              <w:rPr>
                <w:rFonts w:ascii="Cambria" w:hAnsi="Cambria"/>
                <w:sz w:val="20"/>
                <w:szCs w:val="20"/>
                <w:lang w:val="es-ES_tradnl"/>
              </w:rPr>
            </w:pPr>
            <w:r>
              <w:rPr>
                <w:rFonts w:ascii="Cambria" w:hAnsi="Cambria"/>
                <w:sz w:val="20"/>
                <w:szCs w:val="20"/>
                <w:lang w:val="es-ES_tradnl"/>
              </w:rPr>
              <w:t>A</w:t>
            </w:r>
            <w:r w:rsidRPr="003467BE">
              <w:rPr>
                <w:rFonts w:ascii="Cambria" w:hAnsi="Cambria"/>
                <w:sz w:val="20"/>
                <w:szCs w:val="20"/>
                <w:lang w:val="es-ES_tradnl"/>
              </w:rPr>
              <w:t>nte el Décimo Tercer Tribunal Colegiado en Materia Administrativa del Primer Circuito</w:t>
            </w:r>
            <w:r w:rsidR="00531AC3">
              <w:rPr>
                <w:rFonts w:ascii="Cambria" w:hAnsi="Cambria"/>
                <w:sz w:val="20"/>
                <w:szCs w:val="20"/>
                <w:lang w:val="es-ES_tradnl"/>
              </w:rPr>
              <w:t>.</w:t>
            </w:r>
          </w:p>
          <w:p w14:paraId="66FE9AEB" w14:textId="77777777" w:rsidR="00F36B9B" w:rsidRPr="00F36B9B" w:rsidRDefault="00F36B9B" w:rsidP="00F36B9B">
            <w:pPr>
              <w:pBdr>
                <w:top w:val="none" w:sz="0" w:space="0" w:color="auto"/>
                <w:left w:val="none" w:sz="0" w:space="0" w:color="auto"/>
                <w:bottom w:val="none" w:sz="0" w:space="0" w:color="auto"/>
                <w:right w:val="none" w:sz="0" w:space="0" w:color="auto"/>
                <w:between w:val="none" w:sz="0" w:space="0" w:color="auto"/>
                <w:bar w:val="none" w:sz="0" w:color="auto"/>
              </w:pBdr>
              <w:snapToGrid w:val="0"/>
              <w:spacing w:after="40"/>
              <w:contextualSpacing/>
              <w:jc w:val="both"/>
              <w:rPr>
                <w:rFonts w:ascii="Cambria" w:hAnsi="Cambria"/>
                <w:sz w:val="10"/>
                <w:szCs w:val="10"/>
                <w:lang w:val="es-ES_tradnl"/>
              </w:rPr>
            </w:pPr>
          </w:p>
          <w:p w14:paraId="5B19EFBC" w14:textId="7147BCE1" w:rsidR="00660645" w:rsidRDefault="00F36B9B" w:rsidP="00F36B9B">
            <w:pPr>
              <w:pStyle w:val="BodyText"/>
              <w:snapToGrid w:val="0"/>
              <w:spacing w:after="40"/>
              <w:contextualSpacing/>
              <w:jc w:val="both"/>
              <w:rPr>
                <w:rFonts w:ascii="Cambria" w:hAnsi="Cambria"/>
                <w:sz w:val="20"/>
                <w:szCs w:val="20"/>
                <w:lang w:val="es-ES_tradnl"/>
              </w:rPr>
            </w:pPr>
            <w:r w:rsidRPr="003467BE">
              <w:rPr>
                <w:rFonts w:ascii="Cambria" w:hAnsi="Cambria"/>
                <w:sz w:val="20"/>
                <w:szCs w:val="20"/>
                <w:lang w:val="es-ES_tradnl"/>
              </w:rPr>
              <w:t xml:space="preserve">El 15 de noviembre de 2013 les fue </w:t>
            </w:r>
            <w:r>
              <w:rPr>
                <w:rFonts w:ascii="Cambria" w:hAnsi="Cambria"/>
                <w:sz w:val="20"/>
                <w:szCs w:val="20"/>
                <w:lang w:val="es-ES_tradnl"/>
              </w:rPr>
              <w:t>n</w:t>
            </w:r>
            <w:r w:rsidRPr="003467BE">
              <w:rPr>
                <w:rFonts w:ascii="Cambria" w:hAnsi="Cambria"/>
                <w:sz w:val="20"/>
                <w:szCs w:val="20"/>
                <w:lang w:val="es-ES_tradnl"/>
              </w:rPr>
              <w:t>egado</w:t>
            </w:r>
            <w:r w:rsidR="00531AC3">
              <w:rPr>
                <w:rFonts w:ascii="Cambria" w:hAnsi="Cambria"/>
                <w:sz w:val="20"/>
                <w:szCs w:val="20"/>
                <w:lang w:val="es-ES_tradnl"/>
              </w:rPr>
              <w:t>.</w:t>
            </w:r>
          </w:p>
          <w:p w14:paraId="594F6C78" w14:textId="6825F939" w:rsidR="00F36B9B" w:rsidRPr="00F36B9B" w:rsidRDefault="00F36B9B" w:rsidP="00F36B9B">
            <w:pPr>
              <w:pStyle w:val="BodyText"/>
              <w:snapToGrid w:val="0"/>
              <w:spacing w:after="40"/>
              <w:contextualSpacing/>
              <w:jc w:val="both"/>
              <w:rPr>
                <w:rFonts w:ascii="Cambria" w:hAnsi="Cambria"/>
                <w:sz w:val="20"/>
                <w:szCs w:val="20"/>
                <w:lang w:val="es-CO"/>
              </w:rPr>
            </w:pPr>
            <w:r>
              <w:rPr>
                <w:rFonts w:ascii="Cambria" w:hAnsi="Cambria"/>
                <w:sz w:val="20"/>
                <w:szCs w:val="20"/>
                <w:lang w:val="es-CO"/>
              </w:rPr>
              <w:t>El 15 de enero de 2014 se archivó el expediente</w:t>
            </w:r>
            <w:r w:rsidR="00531AC3">
              <w:rPr>
                <w:rFonts w:ascii="Cambria" w:hAnsi="Cambria"/>
                <w:sz w:val="20"/>
                <w:szCs w:val="20"/>
                <w:lang w:val="es-CO"/>
              </w:rPr>
              <w:t>.</w:t>
            </w:r>
          </w:p>
        </w:tc>
        <w:tc>
          <w:tcPr>
            <w:tcW w:w="4675" w:type="dxa"/>
          </w:tcPr>
          <w:p w14:paraId="18A1A38F" w14:textId="47112D9D" w:rsidR="00F36B9B" w:rsidRPr="00660645" w:rsidRDefault="00F36B9B" w:rsidP="00F36B9B">
            <w:pPr>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Theme="majorHAnsi" w:hAnsiTheme="majorHAnsi"/>
                <w:i/>
                <w:iCs/>
                <w:sz w:val="20"/>
                <w:szCs w:val="20"/>
                <w:lang w:val="es-ES_tradnl"/>
              </w:rPr>
            </w:pPr>
            <w:r w:rsidRPr="00660645">
              <w:rPr>
                <w:rFonts w:asciiTheme="majorHAnsi" w:hAnsiTheme="majorHAnsi"/>
                <w:i/>
                <w:iCs/>
                <w:sz w:val="20"/>
                <w:szCs w:val="20"/>
                <w:lang w:val="es-ES_tradnl"/>
              </w:rPr>
              <w:t xml:space="preserve">Juicio de amparo directo </w:t>
            </w:r>
            <w:r w:rsidR="00B9693C">
              <w:rPr>
                <w:rFonts w:asciiTheme="majorHAnsi" w:hAnsiTheme="majorHAnsi"/>
                <w:i/>
                <w:iCs/>
                <w:sz w:val="20"/>
                <w:szCs w:val="20"/>
                <w:lang w:val="es-ES_tradnl"/>
              </w:rPr>
              <w:t>518/2012</w:t>
            </w:r>
          </w:p>
          <w:p w14:paraId="0C0C68C3" w14:textId="4E74C8CA" w:rsidR="00F36B9B" w:rsidRPr="001851C5" w:rsidRDefault="00F36B9B" w:rsidP="00F36B9B">
            <w:pPr>
              <w:pBdr>
                <w:top w:val="none" w:sz="0" w:space="0" w:color="auto"/>
                <w:left w:val="none" w:sz="0" w:space="0" w:color="auto"/>
                <w:bottom w:val="none" w:sz="0" w:space="0" w:color="auto"/>
                <w:right w:val="none" w:sz="0" w:space="0" w:color="auto"/>
                <w:between w:val="none" w:sz="0" w:space="0" w:color="auto"/>
                <w:bar w:val="none" w:sz="0" w:color="auto"/>
              </w:pBdr>
              <w:snapToGrid w:val="0"/>
              <w:spacing w:after="40"/>
              <w:contextualSpacing/>
              <w:jc w:val="both"/>
              <w:rPr>
                <w:rFonts w:ascii="Cambria" w:hAnsi="Cambria"/>
                <w:color w:val="D99594" w:themeColor="accent2" w:themeTint="99"/>
                <w:sz w:val="20"/>
                <w:szCs w:val="20"/>
                <w:lang w:val="es-ES"/>
              </w:rPr>
            </w:pPr>
            <w:r>
              <w:rPr>
                <w:rFonts w:ascii="Cambria" w:hAnsi="Cambria"/>
                <w:sz w:val="20"/>
                <w:szCs w:val="20"/>
                <w:lang w:val="es-ES_tradnl"/>
              </w:rPr>
              <w:t>A</w:t>
            </w:r>
            <w:r w:rsidRPr="003467BE">
              <w:rPr>
                <w:rFonts w:ascii="Cambria" w:hAnsi="Cambria"/>
                <w:sz w:val="20"/>
                <w:szCs w:val="20"/>
                <w:lang w:val="es-ES_tradnl"/>
              </w:rPr>
              <w:t xml:space="preserve">nte </w:t>
            </w:r>
            <w:r w:rsidRPr="00CC0DB6">
              <w:rPr>
                <w:rFonts w:ascii="Cambria" w:hAnsi="Cambria"/>
                <w:sz w:val="20"/>
                <w:szCs w:val="20"/>
                <w:lang w:val="es-ES_tradnl"/>
              </w:rPr>
              <w:t xml:space="preserve">el </w:t>
            </w:r>
            <w:r w:rsidR="00CC0DB6" w:rsidRPr="001851C5">
              <w:rPr>
                <w:rFonts w:ascii="Cambria" w:hAnsi="Cambria"/>
                <w:sz w:val="20"/>
                <w:szCs w:val="20"/>
                <w:lang w:val="es-ES"/>
              </w:rPr>
              <w:t>Cuatro Tribunal Colegiado en Materia Administrativa del Primer Circuito</w:t>
            </w:r>
            <w:r w:rsidR="00531AC3" w:rsidRPr="001851C5">
              <w:rPr>
                <w:rFonts w:ascii="Cambria" w:hAnsi="Cambria"/>
                <w:sz w:val="20"/>
                <w:szCs w:val="20"/>
                <w:lang w:val="es-ES"/>
              </w:rPr>
              <w:t>.</w:t>
            </w:r>
            <w:r w:rsidR="00CC0DB6" w:rsidRPr="001851C5">
              <w:rPr>
                <w:rFonts w:ascii="Cambria" w:hAnsi="Cambria"/>
                <w:b/>
                <w:bCs/>
                <w:sz w:val="20"/>
                <w:szCs w:val="20"/>
                <w:lang w:val="es-ES"/>
              </w:rPr>
              <w:t xml:space="preserve"> </w:t>
            </w:r>
          </w:p>
          <w:p w14:paraId="531BC313" w14:textId="77777777" w:rsidR="00F36B9B" w:rsidRPr="00F36B9B" w:rsidRDefault="00F36B9B" w:rsidP="00F36B9B">
            <w:pPr>
              <w:pBdr>
                <w:top w:val="none" w:sz="0" w:space="0" w:color="auto"/>
                <w:left w:val="none" w:sz="0" w:space="0" w:color="auto"/>
                <w:bottom w:val="none" w:sz="0" w:space="0" w:color="auto"/>
                <w:right w:val="none" w:sz="0" w:space="0" w:color="auto"/>
                <w:between w:val="none" w:sz="0" w:space="0" w:color="auto"/>
                <w:bar w:val="none" w:sz="0" w:color="auto"/>
              </w:pBdr>
              <w:snapToGrid w:val="0"/>
              <w:spacing w:after="40"/>
              <w:contextualSpacing/>
              <w:jc w:val="both"/>
              <w:rPr>
                <w:rFonts w:ascii="Cambria" w:hAnsi="Cambria"/>
                <w:sz w:val="10"/>
                <w:szCs w:val="10"/>
                <w:lang w:val="es-ES_tradnl"/>
              </w:rPr>
            </w:pPr>
          </w:p>
          <w:p w14:paraId="570124C3" w14:textId="64689686" w:rsidR="00660645" w:rsidRPr="00F36B9B" w:rsidRDefault="00F36B9B" w:rsidP="00F36B9B">
            <w:pPr>
              <w:pStyle w:val="BodyText"/>
              <w:snapToGrid w:val="0"/>
              <w:spacing w:after="40"/>
              <w:contextualSpacing/>
              <w:jc w:val="both"/>
              <w:rPr>
                <w:rFonts w:ascii="Cambria" w:hAnsi="Cambria"/>
                <w:sz w:val="20"/>
                <w:szCs w:val="20"/>
                <w:lang w:val="es-ES_tradnl"/>
              </w:rPr>
            </w:pPr>
            <w:r w:rsidRPr="003467BE">
              <w:rPr>
                <w:rFonts w:ascii="Cambria" w:hAnsi="Cambria"/>
                <w:sz w:val="20"/>
                <w:szCs w:val="20"/>
                <w:lang w:val="es-ES_tradnl"/>
              </w:rPr>
              <w:t xml:space="preserve">El </w:t>
            </w:r>
            <w:r w:rsidR="00B9693C" w:rsidRPr="00B9693C">
              <w:rPr>
                <w:rFonts w:ascii="Cambria" w:hAnsi="Cambria"/>
                <w:sz w:val="20"/>
                <w:szCs w:val="20"/>
                <w:lang w:val="es-ES_tradnl"/>
              </w:rPr>
              <w:t>13 de diciembre de 2012</w:t>
            </w:r>
            <w:r w:rsidR="00B9693C">
              <w:rPr>
                <w:rFonts w:ascii="Cambria" w:hAnsi="Cambria"/>
                <w:sz w:val="20"/>
                <w:szCs w:val="20"/>
                <w:lang w:val="es-ES_tradnl"/>
              </w:rPr>
              <w:t xml:space="preserve"> se concedió, pidiendo a la Quinta Sala que </w:t>
            </w:r>
            <w:r w:rsidR="00B9693C" w:rsidRPr="00B9693C">
              <w:rPr>
                <w:rFonts w:ascii="Cambria" w:hAnsi="Cambria"/>
                <w:sz w:val="20"/>
                <w:szCs w:val="20"/>
                <w:lang w:val="es-ES_tradnl"/>
              </w:rPr>
              <w:t xml:space="preserve">se emitiera otra sentencia en la que analizara </w:t>
            </w:r>
            <w:r w:rsidR="00B9693C">
              <w:rPr>
                <w:rFonts w:ascii="Cambria" w:hAnsi="Cambria"/>
                <w:sz w:val="20"/>
                <w:szCs w:val="20"/>
                <w:lang w:val="es-ES_tradnl"/>
              </w:rPr>
              <w:t>todo el</w:t>
            </w:r>
            <w:r w:rsidR="00B9693C" w:rsidRPr="00B9693C">
              <w:rPr>
                <w:rFonts w:ascii="Cambria" w:hAnsi="Cambria"/>
                <w:sz w:val="20"/>
                <w:szCs w:val="20"/>
                <w:lang w:val="es-ES_tradnl"/>
              </w:rPr>
              <w:t xml:space="preserve"> acervo probatorio</w:t>
            </w:r>
            <w:r w:rsidR="00B9693C">
              <w:rPr>
                <w:rFonts w:ascii="Cambria" w:hAnsi="Cambria"/>
                <w:sz w:val="20"/>
                <w:szCs w:val="20"/>
                <w:lang w:val="es-ES_tradnl"/>
              </w:rPr>
              <w:t xml:space="preserve">, particularmente el </w:t>
            </w:r>
            <w:r w:rsidR="00B9693C" w:rsidRPr="00B9693C">
              <w:rPr>
                <w:rFonts w:ascii="Cambria" w:hAnsi="Cambria"/>
                <w:sz w:val="20"/>
                <w:szCs w:val="20"/>
                <w:lang w:val="es-ES_tradnl"/>
              </w:rPr>
              <w:t>dictamen emitido por la UNAM</w:t>
            </w:r>
            <w:r w:rsidR="009A25F5">
              <w:rPr>
                <w:rFonts w:ascii="Cambria" w:hAnsi="Cambria"/>
                <w:sz w:val="20"/>
                <w:szCs w:val="20"/>
                <w:lang w:val="es-ES_tradnl"/>
              </w:rPr>
              <w:t>.</w:t>
            </w:r>
          </w:p>
        </w:tc>
      </w:tr>
      <w:tr w:rsidR="00660645" w:rsidRPr="00732E35" w14:paraId="11B04086" w14:textId="77777777" w:rsidTr="00FD7886">
        <w:tc>
          <w:tcPr>
            <w:tcW w:w="4675" w:type="dxa"/>
          </w:tcPr>
          <w:p w14:paraId="3F51E7D1" w14:textId="77777777" w:rsidR="00660645" w:rsidRPr="00660645" w:rsidRDefault="00660645" w:rsidP="00660645">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lang w:val="es-ES"/>
              </w:rPr>
            </w:pPr>
          </w:p>
        </w:tc>
        <w:tc>
          <w:tcPr>
            <w:tcW w:w="4675" w:type="dxa"/>
          </w:tcPr>
          <w:p w14:paraId="03EA9744" w14:textId="41EAA738" w:rsidR="00F36B9B" w:rsidRPr="00660645" w:rsidRDefault="00B9693C" w:rsidP="00F36B9B">
            <w:pPr>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Theme="majorHAnsi" w:hAnsiTheme="majorHAnsi"/>
                <w:i/>
                <w:iCs/>
                <w:sz w:val="20"/>
                <w:szCs w:val="20"/>
                <w:lang w:val="es-ES_tradnl"/>
              </w:rPr>
            </w:pPr>
            <w:r>
              <w:rPr>
                <w:rFonts w:asciiTheme="majorHAnsi" w:hAnsiTheme="majorHAnsi"/>
                <w:i/>
                <w:iCs/>
                <w:sz w:val="20"/>
                <w:szCs w:val="20"/>
                <w:lang w:val="es-ES_tradnl"/>
              </w:rPr>
              <w:t xml:space="preserve">Decisión de la </w:t>
            </w:r>
            <w:r w:rsidRPr="00B9693C">
              <w:rPr>
                <w:rFonts w:asciiTheme="majorHAnsi" w:hAnsiTheme="majorHAnsi"/>
                <w:i/>
                <w:iCs/>
                <w:sz w:val="20"/>
                <w:szCs w:val="20"/>
                <w:lang w:val="es-ES_tradnl"/>
              </w:rPr>
              <w:t>Quinta Sala Regional Metropolitana</w:t>
            </w:r>
          </w:p>
          <w:p w14:paraId="44371F15" w14:textId="57D9DC70" w:rsidR="00660645" w:rsidRPr="00F36B9B" w:rsidRDefault="00B9693C" w:rsidP="00FD7886">
            <w:pPr>
              <w:pBdr>
                <w:top w:val="none" w:sz="0" w:space="0" w:color="auto"/>
                <w:left w:val="none" w:sz="0" w:space="0" w:color="auto"/>
                <w:bottom w:val="none" w:sz="0" w:space="0" w:color="auto"/>
                <w:right w:val="none" w:sz="0" w:space="0" w:color="auto"/>
                <w:between w:val="none" w:sz="0" w:space="0" w:color="auto"/>
                <w:bar w:val="none" w:sz="0" w:color="auto"/>
              </w:pBdr>
              <w:snapToGrid w:val="0"/>
              <w:spacing w:after="40"/>
              <w:contextualSpacing/>
              <w:jc w:val="both"/>
              <w:rPr>
                <w:rFonts w:ascii="Cambria" w:hAnsi="Cambria"/>
                <w:sz w:val="20"/>
                <w:szCs w:val="20"/>
                <w:lang w:val="es-ES_tradnl"/>
              </w:rPr>
            </w:pPr>
            <w:r>
              <w:rPr>
                <w:rFonts w:ascii="Cambria" w:hAnsi="Cambria"/>
                <w:sz w:val="20"/>
                <w:szCs w:val="20"/>
                <w:lang w:val="es-ES_tradnl"/>
              </w:rPr>
              <w:t>El 7 de octubre de 2013 se otorgó la indemnización a los terceros</w:t>
            </w:r>
            <w:r w:rsidR="00FD7886">
              <w:rPr>
                <w:rFonts w:ascii="Cambria" w:hAnsi="Cambria"/>
                <w:sz w:val="20"/>
                <w:szCs w:val="20"/>
                <w:lang w:val="es-ES_tradnl"/>
              </w:rPr>
              <w:t xml:space="preserve">, concluyendo que sí existió actividad </w:t>
            </w:r>
            <w:r w:rsidRPr="00B9693C">
              <w:rPr>
                <w:rFonts w:ascii="Cambria" w:hAnsi="Cambria"/>
                <w:sz w:val="20"/>
                <w:szCs w:val="20"/>
                <w:lang w:val="es-ES_tradnl"/>
              </w:rPr>
              <w:t xml:space="preserve">irregular </w:t>
            </w:r>
            <w:r w:rsidR="00FD7886">
              <w:rPr>
                <w:rFonts w:ascii="Cambria" w:hAnsi="Cambria"/>
                <w:sz w:val="20"/>
                <w:szCs w:val="20"/>
                <w:lang w:val="es-ES_tradnl"/>
              </w:rPr>
              <w:t xml:space="preserve">de </w:t>
            </w:r>
            <w:r w:rsidRPr="00B9693C">
              <w:rPr>
                <w:rFonts w:ascii="Cambria" w:hAnsi="Cambria"/>
                <w:sz w:val="20"/>
                <w:szCs w:val="20"/>
                <w:lang w:val="es-ES_tradnl"/>
              </w:rPr>
              <w:t>la CONAGUA</w:t>
            </w:r>
            <w:r w:rsidR="006820AA">
              <w:rPr>
                <w:rFonts w:ascii="Cambria" w:hAnsi="Cambria"/>
                <w:sz w:val="20"/>
                <w:szCs w:val="20"/>
                <w:lang w:val="es-ES_tradnl"/>
              </w:rPr>
              <w:t>.</w:t>
            </w:r>
          </w:p>
        </w:tc>
      </w:tr>
    </w:tbl>
    <w:p w14:paraId="442A210D" w14:textId="77777777" w:rsidR="00660645" w:rsidRPr="00660645" w:rsidRDefault="00660645" w:rsidP="00660645">
      <w:pPr>
        <w:spacing w:after="240"/>
        <w:jc w:val="both"/>
        <w:rPr>
          <w:sz w:val="20"/>
          <w:szCs w:val="20"/>
          <w:lang w:val="es-ES"/>
        </w:rPr>
      </w:pPr>
    </w:p>
    <w:p w14:paraId="34D8D4A7" w14:textId="4FB86ABB" w:rsidR="00717F75" w:rsidRPr="001851C5" w:rsidRDefault="0008207C" w:rsidP="00717F75">
      <w:pPr>
        <w:pStyle w:val="ListParagraph"/>
        <w:numPr>
          <w:ilvl w:val="0"/>
          <w:numId w:val="59"/>
        </w:numPr>
        <w:spacing w:after="240"/>
        <w:ind w:left="0" w:firstLine="720"/>
        <w:jc w:val="both"/>
        <w:rPr>
          <w:sz w:val="20"/>
          <w:szCs w:val="20"/>
          <w:lang w:val="es-CO"/>
        </w:rPr>
      </w:pPr>
      <w:r w:rsidRPr="00D22C4E">
        <w:rPr>
          <w:sz w:val="20"/>
          <w:szCs w:val="20"/>
          <w:lang w:val="es-ES_tradnl"/>
        </w:rPr>
        <w:t>Respecto a esto</w:t>
      </w:r>
      <w:r w:rsidR="00EE5C20" w:rsidRPr="00D22C4E">
        <w:rPr>
          <w:sz w:val="20"/>
          <w:szCs w:val="20"/>
          <w:lang w:val="es-ES_tradnl"/>
        </w:rPr>
        <w:t xml:space="preserve">, la Comisión </w:t>
      </w:r>
      <w:r w:rsidRPr="00D22C4E">
        <w:rPr>
          <w:sz w:val="20"/>
          <w:szCs w:val="20"/>
          <w:lang w:val="es-ES_tradnl"/>
        </w:rPr>
        <w:t xml:space="preserve">Interamericana </w:t>
      </w:r>
      <w:r w:rsidR="00EE5C20" w:rsidRPr="00D22C4E">
        <w:rPr>
          <w:sz w:val="20"/>
          <w:szCs w:val="20"/>
          <w:lang w:val="es-ES_tradnl"/>
        </w:rPr>
        <w:t xml:space="preserve">recuerda </w:t>
      </w:r>
      <w:r w:rsidR="00717F75" w:rsidRPr="00D22C4E">
        <w:rPr>
          <w:sz w:val="20"/>
          <w:szCs w:val="20"/>
          <w:lang w:val="es-ES_tradnl"/>
        </w:rPr>
        <w:t>que,</w:t>
      </w:r>
      <w:r w:rsidR="00EE5C20" w:rsidRPr="00D22C4E">
        <w:rPr>
          <w:sz w:val="20"/>
          <w:szCs w:val="20"/>
          <w:lang w:val="es-ES_tradnl"/>
        </w:rPr>
        <w:t xml:space="preserve"> frente a alegatos </w:t>
      </w:r>
      <w:r w:rsidR="006820AA">
        <w:rPr>
          <w:sz w:val="20"/>
          <w:szCs w:val="20"/>
          <w:lang w:val="es-ES_tradnl"/>
        </w:rPr>
        <w:t>de</w:t>
      </w:r>
      <w:r w:rsidR="006820AA" w:rsidRPr="00D22C4E">
        <w:rPr>
          <w:sz w:val="20"/>
          <w:szCs w:val="20"/>
          <w:lang w:val="es-ES_tradnl"/>
        </w:rPr>
        <w:t xml:space="preserve"> </w:t>
      </w:r>
      <w:r w:rsidR="00EE5C20" w:rsidRPr="00D22C4E">
        <w:rPr>
          <w:sz w:val="20"/>
          <w:szCs w:val="20"/>
          <w:lang w:val="es-ES_tradnl"/>
        </w:rPr>
        <w:t>este tipo,</w:t>
      </w:r>
      <w:r w:rsidR="003C6F05">
        <w:rPr>
          <w:sz w:val="20"/>
          <w:szCs w:val="20"/>
          <w:lang w:val="es-ES_tradnl"/>
        </w:rPr>
        <w:t xml:space="preserve"> ya</w:t>
      </w:r>
      <w:r w:rsidR="00EE5C20" w:rsidRPr="00D22C4E">
        <w:rPr>
          <w:sz w:val="20"/>
          <w:szCs w:val="20"/>
          <w:lang w:val="es-ES_tradnl"/>
        </w:rPr>
        <w:t xml:space="preserve"> </w:t>
      </w:r>
      <w:bookmarkStart w:id="2" w:name="_Hlk3667545"/>
      <w:r w:rsidR="00717F75" w:rsidRPr="00D22C4E">
        <w:rPr>
          <w:sz w:val="20"/>
          <w:szCs w:val="20"/>
          <w:lang w:val="es-AR"/>
        </w:rPr>
        <w:t xml:space="preserve">ha señalado que </w:t>
      </w:r>
      <w:r w:rsidR="00717F75" w:rsidRPr="00D22C4E">
        <w:rPr>
          <w:sz w:val="20"/>
          <w:szCs w:val="20"/>
          <w:lang w:val="es-ES_tradnl"/>
        </w:rPr>
        <w:t xml:space="preserve">el derecho a </w:t>
      </w:r>
      <w:r w:rsidR="00717F75" w:rsidRPr="00D22C4E">
        <w:rPr>
          <w:sz w:val="20"/>
          <w:szCs w:val="20"/>
          <w:lang w:val="es-VE"/>
        </w:rPr>
        <w:t>la</w:t>
      </w:r>
      <w:r w:rsidR="00717F75" w:rsidRPr="00D22C4E">
        <w:rPr>
          <w:sz w:val="20"/>
          <w:szCs w:val="20"/>
          <w:lang w:val="es-ES_tradnl"/>
        </w:rPr>
        <w:t xml:space="preserve"> igualdad ante la ley no puede asimilarse al derecho a un igual resultado de los procedimientos judiciales referentes a la misma materia</w:t>
      </w:r>
      <w:r w:rsidR="00717F75" w:rsidRPr="00D22C4E">
        <w:rPr>
          <w:sz w:val="20"/>
          <w:szCs w:val="20"/>
          <w:vertAlign w:val="superscript"/>
          <w:lang w:val="es-ES_tradnl"/>
        </w:rPr>
        <w:footnoteReference w:id="19"/>
      </w:r>
      <w:r w:rsidR="00717F75" w:rsidRPr="00D22C4E">
        <w:rPr>
          <w:sz w:val="20"/>
          <w:szCs w:val="20"/>
          <w:lang w:val="es-ES_tradnl"/>
        </w:rPr>
        <w:t xml:space="preserve">. La </w:t>
      </w:r>
      <w:r w:rsidR="00717F75" w:rsidRPr="001851C5">
        <w:rPr>
          <w:sz w:val="20"/>
          <w:szCs w:val="20"/>
          <w:lang w:val="es-ES_tradnl"/>
        </w:rPr>
        <w:t xml:space="preserve">Comisión </w:t>
      </w:r>
      <w:r w:rsidR="0027486F" w:rsidRPr="001851C5">
        <w:rPr>
          <w:sz w:val="20"/>
          <w:szCs w:val="20"/>
          <w:lang w:val="es-ES_tradnl"/>
        </w:rPr>
        <w:t>discurre</w:t>
      </w:r>
      <w:r w:rsidR="00717F75" w:rsidRPr="001851C5">
        <w:rPr>
          <w:sz w:val="20"/>
          <w:szCs w:val="20"/>
          <w:lang w:val="es-ES_tradnl"/>
        </w:rPr>
        <w:t xml:space="preserve"> que la mera invocación de otros fallos sobre la misma materia con resultados </w:t>
      </w:r>
      <w:r w:rsidRPr="001851C5">
        <w:rPr>
          <w:sz w:val="20"/>
          <w:szCs w:val="20"/>
          <w:lang w:val="es-ES_tradnl"/>
        </w:rPr>
        <w:t>diferentes</w:t>
      </w:r>
      <w:r w:rsidR="00717F75" w:rsidRPr="001851C5">
        <w:rPr>
          <w:sz w:val="20"/>
          <w:szCs w:val="20"/>
          <w:lang w:val="es-ES_tradnl"/>
        </w:rPr>
        <w:t xml:space="preserve"> no es suficiente para caracterizar </w:t>
      </w:r>
      <w:r w:rsidR="00717F75" w:rsidRPr="001851C5">
        <w:rPr>
          <w:i/>
          <w:sz w:val="20"/>
          <w:szCs w:val="20"/>
          <w:lang w:val="es-ES_tradnl"/>
        </w:rPr>
        <w:t>prima facie</w:t>
      </w:r>
      <w:r w:rsidR="00717F75" w:rsidRPr="001851C5">
        <w:rPr>
          <w:sz w:val="20"/>
          <w:szCs w:val="20"/>
          <w:lang w:val="es-ES_tradnl"/>
        </w:rPr>
        <w:t xml:space="preserve"> una</w:t>
      </w:r>
      <w:r w:rsidR="00717F75" w:rsidRPr="001851C5">
        <w:rPr>
          <w:sz w:val="20"/>
          <w:szCs w:val="20"/>
          <w:lang w:val="es-AR"/>
        </w:rPr>
        <w:t xml:space="preserve"> posible violación del artículo 24 de la Convención</w:t>
      </w:r>
      <w:r w:rsidRPr="001851C5">
        <w:rPr>
          <w:rStyle w:val="FootnoteReference"/>
          <w:sz w:val="20"/>
          <w:szCs w:val="20"/>
          <w:lang w:val="es-AR"/>
        </w:rPr>
        <w:footnoteReference w:id="20"/>
      </w:r>
      <w:r w:rsidR="00717F75" w:rsidRPr="001851C5">
        <w:rPr>
          <w:sz w:val="20"/>
          <w:szCs w:val="20"/>
          <w:lang w:val="es-AR"/>
        </w:rPr>
        <w:t>.</w:t>
      </w:r>
      <w:bookmarkEnd w:id="2"/>
      <w:r w:rsidR="00717F75" w:rsidRPr="001851C5">
        <w:rPr>
          <w:sz w:val="20"/>
          <w:szCs w:val="20"/>
          <w:lang w:val="es-AR"/>
        </w:rPr>
        <w:t xml:space="preserve"> Es preciso que el peticionario aporte otros elementos adicionales que permitan evidenciar que el Estado</w:t>
      </w:r>
      <w:r w:rsidR="003C6F05" w:rsidRPr="001851C5">
        <w:rPr>
          <w:sz w:val="20"/>
          <w:szCs w:val="20"/>
          <w:lang w:val="es-AR"/>
        </w:rPr>
        <w:t>,</w:t>
      </w:r>
      <w:r w:rsidR="00717F75" w:rsidRPr="001851C5">
        <w:rPr>
          <w:sz w:val="20"/>
          <w:szCs w:val="20"/>
          <w:lang w:val="es-AR"/>
        </w:rPr>
        <w:t xml:space="preserve"> por acción u omisión de sus instituciones judiciales</w:t>
      </w:r>
      <w:r w:rsidR="003C6F05" w:rsidRPr="001851C5">
        <w:rPr>
          <w:sz w:val="20"/>
          <w:szCs w:val="20"/>
          <w:lang w:val="es-AR"/>
        </w:rPr>
        <w:t>,</w:t>
      </w:r>
      <w:r w:rsidR="00717F75" w:rsidRPr="001851C5">
        <w:rPr>
          <w:sz w:val="20"/>
          <w:szCs w:val="20"/>
          <w:lang w:val="es-AR"/>
        </w:rPr>
        <w:t xml:space="preserve"> incurrió en responsabilidad internacional por el incumplimiento de sus deberes de respetar o garantizar el derecho a la igualdad ante la ley. Atendiendo a estos criterios</w:t>
      </w:r>
      <w:r w:rsidR="00F96E6E" w:rsidRPr="001851C5">
        <w:rPr>
          <w:sz w:val="20"/>
          <w:szCs w:val="20"/>
          <w:lang w:val="es-AR"/>
        </w:rPr>
        <w:t>,</w:t>
      </w:r>
      <w:r w:rsidR="00717F75" w:rsidRPr="001851C5">
        <w:rPr>
          <w:sz w:val="20"/>
          <w:szCs w:val="20"/>
          <w:lang w:val="es-AR"/>
        </w:rPr>
        <w:t xml:space="preserve"> la Comisión Interamericana observa que en el presente asunto las presuntas víctimas acudieron a los mismos recursos administrativos y judiciales que los terceros a los que sí se les dio reparación; los hechos que motivaran ambos procesos eran los mismos (daños a sus viviendas por los eventos naturales ocurridos en 2009 y la negligencia de CONAGUA); </w:t>
      </w:r>
      <w:r w:rsidR="00F96E6E" w:rsidRPr="001851C5">
        <w:rPr>
          <w:sz w:val="20"/>
          <w:szCs w:val="20"/>
          <w:lang w:val="es-AR"/>
        </w:rPr>
        <w:t xml:space="preserve">y </w:t>
      </w:r>
      <w:r w:rsidR="00717F75" w:rsidRPr="001851C5">
        <w:rPr>
          <w:sz w:val="20"/>
          <w:szCs w:val="20"/>
          <w:lang w:val="es-AR"/>
        </w:rPr>
        <w:t xml:space="preserve">en ambos casos se planteó como elemento probatorio decisivo el citado informe de la UNAM que dio cuenta de la responsabilidad </w:t>
      </w:r>
      <w:r w:rsidR="00660645" w:rsidRPr="001851C5">
        <w:rPr>
          <w:sz w:val="20"/>
          <w:szCs w:val="20"/>
          <w:lang w:val="es-AR"/>
        </w:rPr>
        <w:t>por</w:t>
      </w:r>
      <w:r w:rsidR="00717F75" w:rsidRPr="001851C5">
        <w:rPr>
          <w:sz w:val="20"/>
          <w:szCs w:val="20"/>
          <w:lang w:val="es-AR"/>
        </w:rPr>
        <w:t xml:space="preserve"> la fa</w:t>
      </w:r>
      <w:r w:rsidR="00660645" w:rsidRPr="001851C5">
        <w:rPr>
          <w:sz w:val="20"/>
          <w:szCs w:val="20"/>
          <w:lang w:val="es-AR"/>
        </w:rPr>
        <w:t>l</w:t>
      </w:r>
      <w:r w:rsidR="00717F75" w:rsidRPr="001851C5">
        <w:rPr>
          <w:sz w:val="20"/>
          <w:szCs w:val="20"/>
          <w:lang w:val="es-AR"/>
        </w:rPr>
        <w:t xml:space="preserve">ta de deber de prevención de las autoridades competentes. Por lo tanto, </w:t>
      </w:r>
      <w:r w:rsidR="00014C3A" w:rsidRPr="001851C5">
        <w:rPr>
          <w:sz w:val="20"/>
          <w:szCs w:val="20"/>
          <w:lang w:val="es-AR"/>
        </w:rPr>
        <w:t xml:space="preserve">teniendo en cuenta las similitudes identificadas, </w:t>
      </w:r>
      <w:r w:rsidR="00717F75" w:rsidRPr="001851C5">
        <w:rPr>
          <w:sz w:val="20"/>
          <w:szCs w:val="20"/>
          <w:lang w:val="es-AR"/>
        </w:rPr>
        <w:t>el reclamo planteado por la parte peticionaria no se limita a la mera invocación de sentencias divergentes ni resulta manifiestamente infundado</w:t>
      </w:r>
      <w:r w:rsidR="00660645" w:rsidRPr="001851C5">
        <w:rPr>
          <w:sz w:val="20"/>
          <w:szCs w:val="20"/>
          <w:lang w:val="es-AR"/>
        </w:rPr>
        <w:t>.</w:t>
      </w:r>
      <w:r w:rsidR="00717F75" w:rsidRPr="001851C5">
        <w:rPr>
          <w:sz w:val="20"/>
          <w:szCs w:val="20"/>
          <w:lang w:val="es-AR"/>
        </w:rPr>
        <w:t xml:space="preserve"> </w:t>
      </w:r>
      <w:r w:rsidR="00660645" w:rsidRPr="001851C5">
        <w:rPr>
          <w:sz w:val="20"/>
          <w:szCs w:val="20"/>
          <w:lang w:val="es-AR"/>
        </w:rPr>
        <w:t>A</w:t>
      </w:r>
      <w:r w:rsidR="00717F75" w:rsidRPr="001851C5">
        <w:rPr>
          <w:sz w:val="20"/>
          <w:szCs w:val="20"/>
          <w:lang w:val="es-AR"/>
        </w:rPr>
        <w:t xml:space="preserve">sí, la Comisión Interamericana concluye que la consideración de si realmente existió un trato diferenciado hacia las presuntas víctimas, en los términos alegados por éstas, corresponde al análisis de fondo del presente caso. </w:t>
      </w:r>
    </w:p>
    <w:p w14:paraId="135503A1" w14:textId="4C373189" w:rsidR="00660645" w:rsidRPr="00660645" w:rsidRDefault="00660645" w:rsidP="00660645">
      <w:pPr>
        <w:pStyle w:val="ListParagraph"/>
        <w:numPr>
          <w:ilvl w:val="0"/>
          <w:numId w:val="59"/>
        </w:numPr>
        <w:spacing w:after="240"/>
        <w:ind w:left="0" w:firstLine="720"/>
        <w:jc w:val="both"/>
        <w:rPr>
          <w:sz w:val="20"/>
          <w:szCs w:val="20"/>
          <w:lang w:val="es-ES"/>
        </w:rPr>
      </w:pPr>
      <w:r w:rsidRPr="001851C5">
        <w:rPr>
          <w:rFonts w:cs="Calibri"/>
          <w:sz w:val="20"/>
          <w:szCs w:val="20"/>
          <w:lang w:val="es-ES_tradnl"/>
        </w:rPr>
        <w:t>Así, e</w:t>
      </w:r>
      <w:r w:rsidRPr="001851C5">
        <w:rPr>
          <w:sz w:val="20"/>
          <w:szCs w:val="20"/>
          <w:lang w:val="es-ES"/>
        </w:rPr>
        <w:t xml:space="preserve">n vista de los elementos de hecho y de derecho presentados por las partes y la naturaleza del asunto puesto bajo su conocimiento, la CIDH </w:t>
      </w:r>
      <w:r w:rsidR="0027486F" w:rsidRPr="001851C5">
        <w:rPr>
          <w:sz w:val="20"/>
          <w:szCs w:val="20"/>
          <w:lang w:val="es-ES"/>
        </w:rPr>
        <w:t xml:space="preserve">razona </w:t>
      </w:r>
      <w:r w:rsidRPr="001851C5">
        <w:rPr>
          <w:sz w:val="20"/>
          <w:szCs w:val="20"/>
          <w:lang w:val="es-ES"/>
        </w:rPr>
        <w:t>que, de ser probada la alegada responsabilidad del Estado en las causas que llevaron al</w:t>
      </w:r>
      <w:r w:rsidRPr="001851C5">
        <w:rPr>
          <w:sz w:val="20"/>
          <w:szCs w:val="20"/>
          <w:lang w:val="es-ES_tradnl"/>
        </w:rPr>
        <w:t xml:space="preserve"> colapso del Túnel Emisor Poniente, </w:t>
      </w:r>
      <w:r w:rsidRPr="001851C5">
        <w:rPr>
          <w:sz w:val="20"/>
          <w:szCs w:val="20"/>
          <w:lang w:val="es-ES"/>
        </w:rPr>
        <w:t xml:space="preserve">debido a presuntas omisiones de la CONAGUA en la función de supervisión y mantenimiento del canal de aguas, lo que habría provocado </w:t>
      </w:r>
      <w:r w:rsidRPr="001851C5">
        <w:rPr>
          <w:sz w:val="20"/>
          <w:szCs w:val="20"/>
          <w:lang w:val="es-ES_tradnl"/>
        </w:rPr>
        <w:t>inundaciones en el fraccionamiento Valle Dorado y afectación en las viviendas de las presuntas víctimas</w:t>
      </w:r>
      <w:r w:rsidRPr="001851C5">
        <w:rPr>
          <w:sz w:val="20"/>
          <w:szCs w:val="20"/>
          <w:lang w:val="es-ES"/>
        </w:rPr>
        <w:t xml:space="preserve">, sin una adecuada protección judicial de sus derechos, esto podría caracterizar violaciones a los derechos protegidos en los artículos 8 (garantías judiciales), </w:t>
      </w:r>
      <w:r w:rsidRPr="001851C5">
        <w:rPr>
          <w:rFonts w:asciiTheme="majorHAnsi" w:hAnsiTheme="majorHAnsi"/>
          <w:bCs/>
          <w:sz w:val="20"/>
          <w:szCs w:val="20"/>
          <w:lang w:val="es-ES_tradnl"/>
        </w:rPr>
        <w:t>19 (derechos del niño), 21 (derecho</w:t>
      </w:r>
      <w:r w:rsidRPr="006D6D55">
        <w:rPr>
          <w:rFonts w:asciiTheme="majorHAnsi" w:hAnsiTheme="majorHAnsi"/>
          <w:bCs/>
          <w:sz w:val="20"/>
          <w:szCs w:val="20"/>
          <w:lang w:val="es-ES_tradnl"/>
        </w:rPr>
        <w:t xml:space="preserve"> a la propiedad privada), 24 (igualdad ante la ley), </w:t>
      </w:r>
      <w:r w:rsidRPr="006D6D55">
        <w:rPr>
          <w:sz w:val="20"/>
          <w:szCs w:val="20"/>
          <w:lang w:val="es-ES"/>
        </w:rPr>
        <w:t xml:space="preserve">25 (protección judicial) y 26 (derechos económicos, sociales y culturales) de la Convención Americana, en concordancia con su artículo 1.1 (obligación de respetar los derechos), </w:t>
      </w:r>
      <w:r w:rsidRPr="006D6D55">
        <w:rPr>
          <w:color w:val="auto"/>
          <w:sz w:val="20"/>
          <w:szCs w:val="20"/>
          <w:lang w:val="es-ES"/>
        </w:rPr>
        <w:t xml:space="preserve">en perjuicio de </w:t>
      </w:r>
      <w:r w:rsidRPr="006D6D55">
        <w:rPr>
          <w:bCs/>
          <w:sz w:val="20"/>
          <w:szCs w:val="20"/>
          <w:lang w:val="es-ES"/>
        </w:rPr>
        <w:t>Carlos Sánchez Ríos, Felipe Sánchez Román y María Guadalupe Román Delgado.</w:t>
      </w:r>
      <w:r>
        <w:rPr>
          <w:bCs/>
          <w:sz w:val="20"/>
          <w:szCs w:val="20"/>
          <w:lang w:val="es-ES"/>
        </w:rPr>
        <w:t xml:space="preserve"> </w:t>
      </w:r>
    </w:p>
    <w:p w14:paraId="065CE001" w14:textId="38FE572E" w:rsidR="00AC2102" w:rsidRPr="009C5D9B" w:rsidRDefault="006942A3" w:rsidP="009C5D9B">
      <w:pPr>
        <w:pStyle w:val="ListParagraph"/>
        <w:numPr>
          <w:ilvl w:val="0"/>
          <w:numId w:val="59"/>
        </w:numPr>
        <w:spacing w:after="240"/>
        <w:ind w:left="0" w:firstLine="720"/>
        <w:jc w:val="both"/>
        <w:rPr>
          <w:sz w:val="20"/>
          <w:szCs w:val="20"/>
          <w:lang w:val="es-ES"/>
        </w:rPr>
      </w:pPr>
      <w:r w:rsidRPr="009C5D9B">
        <w:rPr>
          <w:rFonts w:asciiTheme="majorHAnsi" w:hAnsiTheme="majorHAnsi"/>
          <w:bCs/>
          <w:sz w:val="20"/>
          <w:szCs w:val="20"/>
          <w:lang w:val="es-ES_tradnl"/>
        </w:rPr>
        <w:t>Finalmente, en relación con la presunta violación de</w:t>
      </w:r>
      <w:r w:rsidR="00442AA5" w:rsidRPr="009C5D9B">
        <w:rPr>
          <w:rFonts w:asciiTheme="majorHAnsi" w:hAnsiTheme="majorHAnsi"/>
          <w:bCs/>
          <w:sz w:val="20"/>
          <w:szCs w:val="20"/>
          <w:lang w:val="es-ES_tradnl"/>
        </w:rPr>
        <w:t xml:space="preserve"> los</w:t>
      </w:r>
      <w:r w:rsidRPr="009C5D9B">
        <w:rPr>
          <w:rFonts w:asciiTheme="majorHAnsi" w:hAnsiTheme="majorHAnsi"/>
          <w:bCs/>
          <w:sz w:val="20"/>
          <w:szCs w:val="20"/>
          <w:lang w:val="es-ES_tradnl"/>
        </w:rPr>
        <w:t xml:space="preserve"> artículo</w:t>
      </w:r>
      <w:r w:rsidR="00442AA5" w:rsidRPr="009C5D9B">
        <w:rPr>
          <w:rFonts w:asciiTheme="majorHAnsi" w:hAnsiTheme="majorHAnsi"/>
          <w:bCs/>
          <w:sz w:val="20"/>
          <w:szCs w:val="20"/>
          <w:lang w:val="es-ES_tradnl"/>
        </w:rPr>
        <w:t>s</w:t>
      </w:r>
      <w:r w:rsidRPr="009C5D9B">
        <w:rPr>
          <w:rFonts w:asciiTheme="majorHAnsi" w:hAnsiTheme="majorHAnsi"/>
          <w:bCs/>
          <w:sz w:val="20"/>
          <w:szCs w:val="20"/>
          <w:lang w:val="es-ES_tradnl"/>
        </w:rPr>
        <w:t xml:space="preserve"> </w:t>
      </w:r>
      <w:r w:rsidR="00E6278B" w:rsidRPr="009C5D9B">
        <w:rPr>
          <w:rFonts w:asciiTheme="majorHAnsi" w:hAnsiTheme="majorHAnsi"/>
          <w:bCs/>
          <w:sz w:val="20"/>
          <w:szCs w:val="20"/>
          <w:lang w:val="es-ES_tradnl"/>
        </w:rPr>
        <w:t>5 (integridad personal), 7 (libertad personal), 10 (derecho a indemnización)</w:t>
      </w:r>
      <w:r w:rsidR="00822027">
        <w:rPr>
          <w:rFonts w:asciiTheme="majorHAnsi" w:hAnsiTheme="majorHAnsi"/>
          <w:bCs/>
          <w:sz w:val="20"/>
          <w:szCs w:val="20"/>
          <w:lang w:val="es-ES_tradnl"/>
        </w:rPr>
        <w:t xml:space="preserve"> y</w:t>
      </w:r>
      <w:r w:rsidR="00E6278B" w:rsidRPr="009C5D9B">
        <w:rPr>
          <w:rFonts w:asciiTheme="majorHAnsi" w:hAnsiTheme="majorHAnsi"/>
          <w:bCs/>
          <w:sz w:val="20"/>
          <w:szCs w:val="20"/>
          <w:lang w:val="es-ES_tradnl"/>
        </w:rPr>
        <w:t xml:space="preserve"> 17 (protección a la familia), </w:t>
      </w:r>
      <w:r w:rsidRPr="009C5D9B">
        <w:rPr>
          <w:rFonts w:asciiTheme="majorHAnsi" w:hAnsiTheme="majorHAnsi"/>
          <w:bCs/>
          <w:sz w:val="20"/>
          <w:szCs w:val="20"/>
          <w:lang w:val="es-ES_tradnl"/>
        </w:rPr>
        <w:t xml:space="preserve">la Comisión </w:t>
      </w:r>
      <w:r w:rsidR="00822027">
        <w:rPr>
          <w:rFonts w:asciiTheme="majorHAnsi" w:hAnsiTheme="majorHAnsi"/>
          <w:bCs/>
          <w:sz w:val="20"/>
          <w:szCs w:val="20"/>
          <w:lang w:val="es-ES_tradnl"/>
        </w:rPr>
        <w:t>advierte</w:t>
      </w:r>
      <w:r w:rsidR="00822027" w:rsidRPr="009C5D9B">
        <w:rPr>
          <w:rFonts w:asciiTheme="majorHAnsi" w:hAnsiTheme="majorHAnsi"/>
          <w:bCs/>
          <w:sz w:val="20"/>
          <w:szCs w:val="20"/>
          <w:lang w:val="es-ES_tradnl"/>
        </w:rPr>
        <w:t xml:space="preserve"> </w:t>
      </w:r>
      <w:r w:rsidRPr="009C5D9B">
        <w:rPr>
          <w:rFonts w:asciiTheme="majorHAnsi" w:hAnsiTheme="majorHAnsi"/>
          <w:bCs/>
          <w:sz w:val="20"/>
          <w:szCs w:val="20"/>
          <w:lang w:val="es-ES_tradnl"/>
        </w:rPr>
        <w:t xml:space="preserve">que no se han aportado elementos que permita determinar, </w:t>
      </w:r>
      <w:r w:rsidRPr="009C5D9B">
        <w:rPr>
          <w:rFonts w:asciiTheme="majorHAnsi" w:hAnsiTheme="majorHAnsi"/>
          <w:bCs/>
          <w:i/>
          <w:iCs/>
          <w:sz w:val="20"/>
          <w:szCs w:val="20"/>
          <w:lang w:val="es-ES_tradnl"/>
        </w:rPr>
        <w:t>prima facie</w:t>
      </w:r>
      <w:r w:rsidRPr="009C5D9B">
        <w:rPr>
          <w:rFonts w:asciiTheme="majorHAnsi" w:hAnsiTheme="majorHAnsi"/>
          <w:bCs/>
          <w:sz w:val="20"/>
          <w:szCs w:val="20"/>
          <w:lang w:val="es-ES_tradnl"/>
        </w:rPr>
        <w:t>, su posible violación</w:t>
      </w:r>
      <w:r w:rsidR="00E6278B" w:rsidRPr="009C5D9B">
        <w:rPr>
          <w:rFonts w:asciiTheme="majorHAnsi" w:hAnsiTheme="majorHAnsi"/>
          <w:bCs/>
          <w:sz w:val="20"/>
          <w:szCs w:val="20"/>
          <w:lang w:val="es-ES_tradnl"/>
        </w:rPr>
        <w:t>.</w:t>
      </w:r>
    </w:p>
    <w:p w14:paraId="445BF42E" w14:textId="77777777" w:rsidR="003239B8" w:rsidRPr="009C5D9B" w:rsidRDefault="003239B8" w:rsidP="009C5D9B">
      <w:pPr>
        <w:pStyle w:val="ListParagraph"/>
        <w:spacing w:after="240"/>
        <w:ind w:left="0" w:firstLine="720"/>
        <w:jc w:val="both"/>
        <w:rPr>
          <w:rFonts w:asciiTheme="majorHAnsi" w:hAnsiTheme="majorHAnsi"/>
          <w:b/>
          <w:bCs/>
          <w:sz w:val="20"/>
          <w:szCs w:val="20"/>
          <w:lang w:val="es-ES"/>
        </w:rPr>
      </w:pPr>
      <w:r w:rsidRPr="009C5D9B">
        <w:rPr>
          <w:rFonts w:asciiTheme="majorHAnsi" w:hAnsiTheme="majorHAnsi"/>
          <w:b/>
          <w:bCs/>
          <w:sz w:val="20"/>
          <w:szCs w:val="20"/>
          <w:lang w:val="es-ES"/>
        </w:rPr>
        <w:t xml:space="preserve">VIII. </w:t>
      </w:r>
      <w:r w:rsidRPr="009C5D9B">
        <w:rPr>
          <w:rFonts w:asciiTheme="majorHAnsi" w:hAnsiTheme="majorHAnsi"/>
          <w:b/>
          <w:bCs/>
          <w:sz w:val="20"/>
          <w:szCs w:val="20"/>
          <w:lang w:val="es-ES"/>
        </w:rPr>
        <w:tab/>
        <w:t>DECISIÓN</w:t>
      </w:r>
    </w:p>
    <w:p w14:paraId="4E608221" w14:textId="713D6EDF" w:rsidR="009D4F91" w:rsidRPr="009C5D9B" w:rsidRDefault="009D4F91" w:rsidP="009C5D9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9C5D9B">
        <w:rPr>
          <w:rFonts w:ascii="Cambria" w:hAnsi="Cambria"/>
          <w:sz w:val="20"/>
          <w:szCs w:val="20"/>
          <w:lang w:val="es-ES_tradnl"/>
        </w:rPr>
        <w:t xml:space="preserve">Declarar admisible la presente petición en relación con los artículos 8, </w:t>
      </w:r>
      <w:r w:rsidR="000C5D4C">
        <w:rPr>
          <w:rFonts w:ascii="Cambria" w:hAnsi="Cambria"/>
          <w:sz w:val="20"/>
          <w:szCs w:val="20"/>
          <w:lang w:val="es-ES_tradnl"/>
        </w:rPr>
        <w:t>19, 21,</w:t>
      </w:r>
      <w:r w:rsidR="00717F75">
        <w:rPr>
          <w:rFonts w:ascii="Cambria" w:hAnsi="Cambria"/>
          <w:sz w:val="20"/>
          <w:szCs w:val="20"/>
          <w:lang w:val="es-ES_tradnl"/>
        </w:rPr>
        <w:t xml:space="preserve"> 24,</w:t>
      </w:r>
      <w:r w:rsidR="000C5D4C">
        <w:rPr>
          <w:rFonts w:ascii="Cambria" w:hAnsi="Cambria"/>
          <w:sz w:val="20"/>
          <w:szCs w:val="20"/>
          <w:lang w:val="es-ES_tradnl"/>
        </w:rPr>
        <w:t xml:space="preserve"> </w:t>
      </w:r>
      <w:r w:rsidRPr="009C5D9B">
        <w:rPr>
          <w:rFonts w:ascii="Cambria" w:hAnsi="Cambria"/>
          <w:sz w:val="20"/>
          <w:szCs w:val="20"/>
          <w:lang w:val="es-ES_tradnl"/>
        </w:rPr>
        <w:t>25 y 26 de la Convención Americana, en concordancia con su artículo 1.1;</w:t>
      </w:r>
    </w:p>
    <w:p w14:paraId="34469049" w14:textId="1DD39281" w:rsidR="006942A3" w:rsidRPr="009C5D9B" w:rsidRDefault="006942A3" w:rsidP="009C5D9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9C5D9B">
        <w:rPr>
          <w:rFonts w:ascii="Cambria" w:hAnsi="Cambria"/>
          <w:sz w:val="20"/>
          <w:szCs w:val="20"/>
          <w:lang w:val="es-ES_tradnl"/>
        </w:rPr>
        <w:t xml:space="preserve">Declarar inadmisible la presente petición en relación con </w:t>
      </w:r>
      <w:r w:rsidR="00442AA5" w:rsidRPr="009C5D9B">
        <w:rPr>
          <w:rFonts w:ascii="Cambria" w:hAnsi="Cambria"/>
          <w:sz w:val="20"/>
          <w:szCs w:val="20"/>
          <w:lang w:val="es-ES_tradnl"/>
        </w:rPr>
        <w:t>los</w:t>
      </w:r>
      <w:r w:rsidRPr="009C5D9B">
        <w:rPr>
          <w:rFonts w:ascii="Cambria" w:hAnsi="Cambria"/>
          <w:sz w:val="20"/>
          <w:szCs w:val="20"/>
          <w:lang w:val="es-ES_tradnl"/>
        </w:rPr>
        <w:t xml:space="preserve"> artículo</w:t>
      </w:r>
      <w:r w:rsidR="00442AA5" w:rsidRPr="009C5D9B">
        <w:rPr>
          <w:rFonts w:ascii="Cambria" w:hAnsi="Cambria"/>
          <w:sz w:val="20"/>
          <w:szCs w:val="20"/>
          <w:lang w:val="es-ES_tradnl"/>
        </w:rPr>
        <w:t>s</w:t>
      </w:r>
      <w:r w:rsidRPr="009C5D9B">
        <w:rPr>
          <w:rFonts w:ascii="Cambria" w:hAnsi="Cambria"/>
          <w:sz w:val="20"/>
          <w:szCs w:val="20"/>
          <w:lang w:val="es-ES_tradnl"/>
        </w:rPr>
        <w:t xml:space="preserve"> </w:t>
      </w:r>
      <w:r w:rsidR="00442AA5" w:rsidRPr="009C5D9B">
        <w:rPr>
          <w:rFonts w:ascii="Cambria" w:hAnsi="Cambria"/>
          <w:sz w:val="20"/>
          <w:szCs w:val="20"/>
          <w:lang w:val="es-ES_tradnl"/>
        </w:rPr>
        <w:t>5, 7, 10</w:t>
      </w:r>
      <w:r w:rsidR="000C5D4C">
        <w:rPr>
          <w:rFonts w:ascii="Cambria" w:hAnsi="Cambria"/>
          <w:sz w:val="20"/>
          <w:szCs w:val="20"/>
          <w:lang w:val="es-ES_tradnl"/>
        </w:rPr>
        <w:t xml:space="preserve"> y</w:t>
      </w:r>
      <w:r w:rsidR="00442AA5" w:rsidRPr="009C5D9B">
        <w:rPr>
          <w:rFonts w:ascii="Cambria" w:hAnsi="Cambria"/>
          <w:sz w:val="20"/>
          <w:szCs w:val="20"/>
          <w:lang w:val="es-ES_tradnl"/>
        </w:rPr>
        <w:t xml:space="preserve"> 17</w:t>
      </w:r>
      <w:r w:rsidR="000C5D4C">
        <w:rPr>
          <w:rFonts w:ascii="Cambria" w:hAnsi="Cambria"/>
          <w:sz w:val="20"/>
          <w:szCs w:val="20"/>
          <w:lang w:val="es-ES_tradnl"/>
        </w:rPr>
        <w:t xml:space="preserve"> </w:t>
      </w:r>
      <w:r w:rsidRPr="009C5D9B">
        <w:rPr>
          <w:rFonts w:ascii="Cambria" w:hAnsi="Cambria"/>
          <w:sz w:val="20"/>
          <w:szCs w:val="20"/>
          <w:lang w:val="es-ES_tradnl"/>
        </w:rPr>
        <w:t>de la Convención Americana, y;</w:t>
      </w:r>
    </w:p>
    <w:p w14:paraId="02C904B2" w14:textId="2E57B4EF" w:rsidR="009A56CE" w:rsidRDefault="004A6A54" w:rsidP="009C5D9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C5D9B">
        <w:rPr>
          <w:rFonts w:asciiTheme="majorHAnsi" w:hAnsiTheme="majorHAnsi"/>
          <w:sz w:val="20"/>
          <w:szCs w:val="20"/>
          <w:lang w:val="es-ES"/>
        </w:rPr>
        <w:lastRenderedPageBreak/>
        <w:t xml:space="preserve">Notificar a las partes la presente decisión; continuar con el análisis del fondo de la </w:t>
      </w:r>
      <w:r w:rsidR="001B4EAD" w:rsidRPr="009C5D9B">
        <w:rPr>
          <w:rFonts w:asciiTheme="majorHAnsi" w:hAnsiTheme="majorHAnsi"/>
          <w:sz w:val="20"/>
          <w:szCs w:val="20"/>
          <w:lang w:val="es-ES"/>
        </w:rPr>
        <w:t>cuestión; y</w:t>
      </w:r>
      <w:r w:rsidRPr="009C5D9B">
        <w:rPr>
          <w:rFonts w:asciiTheme="majorHAnsi" w:hAnsiTheme="majorHAnsi"/>
          <w:sz w:val="20"/>
          <w:szCs w:val="20"/>
          <w:lang w:val="es-ES"/>
        </w:rPr>
        <w:t xml:space="preserve"> publicar esta decisión e incluirla en su Informe Anual a la Asamblea General de la Organización de los Estados Americanos.</w:t>
      </w:r>
    </w:p>
    <w:p w14:paraId="2B3A4C7C" w14:textId="1F1FE07A" w:rsidR="00BB4F5B" w:rsidRPr="00732E35" w:rsidRDefault="001B4EAD" w:rsidP="00732E35">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Aprobado por la Comisión Interamericana de Derechos Humanos a los 29 días del mes de junio de 2024.  (Firmado): R</w:t>
      </w:r>
      <w:r w:rsidRPr="00923259">
        <w:rPr>
          <w:rStyle w:val="normaltextrun"/>
          <w:rFonts w:ascii="Cambria" w:hAnsi="Cambria" w:cs="Segoe UI"/>
          <w:sz w:val="20"/>
          <w:szCs w:val="20"/>
          <w:lang w:val="es-CL"/>
        </w:rPr>
        <w:t>oberta Clarke</w:t>
      </w:r>
      <w:r>
        <w:rPr>
          <w:rStyle w:val="normaltextrun"/>
          <w:rFonts w:ascii="Cambria" w:hAnsi="Cambria" w:cs="Segoe UI"/>
          <w:sz w:val="20"/>
          <w:szCs w:val="20"/>
          <w:lang w:val="es-CL"/>
        </w:rPr>
        <w:t xml:space="preserve">, Presidenta; Arif Bulkan, Andrea Pochak y Gloria Monique de Mees, </w:t>
      </w:r>
      <w:r w:rsidR="00732E35">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p>
    <w:sectPr w:rsidR="00BB4F5B" w:rsidRPr="00732E35" w:rsidSect="009D0CC3">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EF7AD" w14:textId="77777777" w:rsidR="000C7D10" w:rsidRDefault="000C7D10">
      <w:r>
        <w:separator/>
      </w:r>
    </w:p>
  </w:endnote>
  <w:endnote w:type="continuationSeparator" w:id="0">
    <w:p w14:paraId="235B0B73" w14:textId="77777777" w:rsidR="000C7D10" w:rsidRDefault="000C7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Times">
    <w:altName w:val="Sylfae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CA701" w14:textId="77777777" w:rsidR="000C7D10" w:rsidRPr="000F35ED" w:rsidRDefault="000C7D10">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0C6C2CF" w14:textId="77777777" w:rsidR="000C7D10" w:rsidRPr="000F35ED" w:rsidRDefault="000C7D10" w:rsidP="000F35ED">
      <w:pPr>
        <w:rPr>
          <w:rFonts w:asciiTheme="majorHAnsi" w:hAnsiTheme="majorHAnsi"/>
          <w:sz w:val="16"/>
          <w:szCs w:val="16"/>
        </w:rPr>
      </w:pPr>
      <w:r w:rsidRPr="000F35ED">
        <w:rPr>
          <w:rFonts w:asciiTheme="majorHAnsi" w:hAnsiTheme="majorHAnsi"/>
          <w:sz w:val="16"/>
          <w:szCs w:val="16"/>
        </w:rPr>
        <w:separator/>
      </w:r>
    </w:p>
    <w:p w14:paraId="042C32D4" w14:textId="77777777" w:rsidR="000C7D10" w:rsidRPr="000F35ED" w:rsidRDefault="000C7D10"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4A91E37D" w14:textId="77777777" w:rsidR="000C7D10" w:rsidRPr="000F35ED" w:rsidRDefault="000C7D10"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51BDE3D" w14:textId="4768A868" w:rsidR="0024610A" w:rsidRPr="00306F33" w:rsidRDefault="0024610A" w:rsidP="0024610A">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w:t>
      </w:r>
      <w:r w:rsidRPr="007F7343">
        <w:rPr>
          <w:rFonts w:asciiTheme="majorHAnsi" w:hAnsiTheme="majorHAnsi"/>
          <w:sz w:val="16"/>
          <w:szCs w:val="16"/>
          <w:lang w:val="es-ES"/>
        </w:rPr>
        <w:t xml:space="preserve">Conforme a lo dispuesto en el artículo 17.2.a del Reglamento de la Comisión, el Comisionado </w:t>
      </w:r>
      <w:r w:rsidRPr="0024610A">
        <w:rPr>
          <w:rFonts w:asciiTheme="majorHAnsi" w:hAnsiTheme="majorHAnsi"/>
          <w:sz w:val="16"/>
          <w:szCs w:val="16"/>
          <w:lang w:val="es-ES"/>
        </w:rPr>
        <w:t>José Luis Caballero Ochoa</w:t>
      </w:r>
      <w:r w:rsidRPr="007F7343">
        <w:rPr>
          <w:rFonts w:asciiTheme="majorHAnsi" w:hAnsiTheme="majorHAnsi"/>
          <w:sz w:val="16"/>
          <w:szCs w:val="16"/>
          <w:lang w:val="es-ES"/>
        </w:rPr>
        <w:t>, de nacionalidad mexicana, no participó en el debate ni en la decisión del presente asunto.</w:t>
      </w:r>
    </w:p>
  </w:footnote>
  <w:footnote w:id="3">
    <w:p w14:paraId="7EB11EE4" w14:textId="77777777" w:rsidR="00876492" w:rsidRPr="00E96261" w:rsidRDefault="00876492" w:rsidP="00876492">
      <w:pPr>
        <w:pStyle w:val="FootnoteText"/>
        <w:ind w:firstLine="720"/>
        <w:jc w:val="both"/>
        <w:rPr>
          <w:rFonts w:asciiTheme="majorHAnsi" w:hAnsiTheme="majorHAnsi"/>
          <w:sz w:val="16"/>
          <w:szCs w:val="16"/>
          <w:lang w:val="es-CO"/>
        </w:rPr>
      </w:pPr>
      <w:r w:rsidRPr="00E96261">
        <w:rPr>
          <w:rStyle w:val="FootnoteReference"/>
          <w:rFonts w:asciiTheme="majorHAnsi" w:hAnsiTheme="majorHAnsi"/>
          <w:sz w:val="16"/>
          <w:szCs w:val="16"/>
        </w:rPr>
        <w:footnoteRef/>
      </w:r>
      <w:r w:rsidRPr="00E96261">
        <w:rPr>
          <w:rFonts w:asciiTheme="majorHAnsi" w:hAnsiTheme="majorHAnsi"/>
          <w:sz w:val="16"/>
          <w:szCs w:val="16"/>
          <w:lang w:val="es-CO"/>
        </w:rPr>
        <w:t xml:space="preserve"> En adelante, “la Convención Americana” o “la Convención”.</w:t>
      </w:r>
    </w:p>
  </w:footnote>
  <w:footnote w:id="4">
    <w:p w14:paraId="1AFEF3B0" w14:textId="2BEF772A" w:rsidR="008E3BFE" w:rsidRPr="00306F33" w:rsidRDefault="008E3BFE" w:rsidP="00306F33">
      <w:pPr>
        <w:pStyle w:val="FootnoteText"/>
        <w:ind w:firstLine="720"/>
        <w:jc w:val="both"/>
        <w:rPr>
          <w:rFonts w:asciiTheme="majorHAnsi" w:hAnsiTheme="majorHAnsi"/>
          <w:sz w:val="16"/>
          <w:szCs w:val="16"/>
          <w:lang w:val="es-ES"/>
        </w:rPr>
      </w:pPr>
      <w:r w:rsidRPr="008B3FB9">
        <w:rPr>
          <w:rStyle w:val="FootnoteReference"/>
          <w:rFonts w:asciiTheme="majorHAnsi" w:hAnsiTheme="majorHAnsi"/>
          <w:sz w:val="16"/>
          <w:szCs w:val="16"/>
        </w:rPr>
        <w:footnoteRef/>
      </w:r>
      <w:r w:rsidRPr="008B3FB9">
        <w:rPr>
          <w:rFonts w:asciiTheme="majorHAnsi" w:hAnsiTheme="majorHAnsi"/>
          <w:sz w:val="16"/>
          <w:szCs w:val="16"/>
          <w:lang w:val="es-ES"/>
        </w:rPr>
        <w:t xml:space="preserve"> Las observaciones de cada parte fueron debidamente trasladadas a la parte contraria</w:t>
      </w:r>
      <w:r w:rsidR="009A56CE" w:rsidRPr="008B3FB9">
        <w:rPr>
          <w:rFonts w:asciiTheme="majorHAnsi" w:hAnsiTheme="majorHAnsi"/>
          <w:sz w:val="16"/>
          <w:szCs w:val="16"/>
          <w:lang w:val="es-ES"/>
        </w:rPr>
        <w:t>.</w:t>
      </w:r>
      <w:r w:rsidR="009A56CE">
        <w:rPr>
          <w:rFonts w:asciiTheme="majorHAnsi" w:hAnsiTheme="majorHAnsi"/>
          <w:sz w:val="16"/>
          <w:szCs w:val="16"/>
          <w:lang w:val="es-ES"/>
        </w:rPr>
        <w:t xml:space="preserve"> </w:t>
      </w:r>
    </w:p>
  </w:footnote>
  <w:footnote w:id="5">
    <w:p w14:paraId="78976A86" w14:textId="271934A5" w:rsidR="00480EE6" w:rsidRPr="00480EE6" w:rsidRDefault="00480EE6" w:rsidP="00480EE6">
      <w:pPr>
        <w:pStyle w:val="FootnoteText"/>
        <w:ind w:firstLine="709"/>
        <w:jc w:val="both"/>
        <w:rPr>
          <w:rFonts w:ascii="Cambria" w:hAnsi="Cambria"/>
          <w:sz w:val="16"/>
          <w:szCs w:val="16"/>
          <w:lang w:val="es-ES"/>
        </w:rPr>
      </w:pPr>
      <w:r w:rsidRPr="00480EE6">
        <w:rPr>
          <w:rStyle w:val="FootnoteReference"/>
          <w:rFonts w:ascii="Cambria" w:hAnsi="Cambria"/>
          <w:sz w:val="16"/>
          <w:szCs w:val="16"/>
        </w:rPr>
        <w:footnoteRef/>
      </w:r>
      <w:r w:rsidRPr="00480EE6">
        <w:rPr>
          <w:rFonts w:ascii="Cambria" w:hAnsi="Cambria"/>
          <w:sz w:val="16"/>
          <w:szCs w:val="16"/>
          <w:lang w:val="es-ES"/>
        </w:rPr>
        <w:t xml:space="preserve"> La petición fue recibida por la CIDH por correo ordinario el </w:t>
      </w:r>
      <w:r w:rsidRPr="00480EE6">
        <w:rPr>
          <w:rFonts w:ascii="Cambria" w:hAnsi="Cambria"/>
          <w:bCs/>
          <w:sz w:val="16"/>
          <w:szCs w:val="16"/>
          <w:lang w:val="es-ES"/>
        </w:rPr>
        <w:t>8</w:t>
      </w:r>
      <w:r w:rsidR="00F655B7">
        <w:rPr>
          <w:rFonts w:ascii="Cambria" w:hAnsi="Cambria"/>
          <w:bCs/>
          <w:sz w:val="16"/>
          <w:szCs w:val="16"/>
          <w:lang w:val="es-ES"/>
        </w:rPr>
        <w:t xml:space="preserve"> </w:t>
      </w:r>
      <w:r w:rsidRPr="00480EE6">
        <w:rPr>
          <w:rFonts w:ascii="Cambria" w:hAnsi="Cambria"/>
          <w:bCs/>
          <w:sz w:val="16"/>
          <w:szCs w:val="16"/>
          <w:lang w:val="es-ES"/>
        </w:rPr>
        <w:t>de abril de 2014.</w:t>
      </w:r>
    </w:p>
  </w:footnote>
  <w:footnote w:id="6">
    <w:p w14:paraId="451B7B04" w14:textId="253E398A" w:rsidR="00936653" w:rsidRPr="00E87575" w:rsidRDefault="00936653" w:rsidP="00715018">
      <w:pPr>
        <w:pStyle w:val="FootnoteText"/>
        <w:ind w:firstLine="709"/>
        <w:jc w:val="both"/>
        <w:rPr>
          <w:rFonts w:ascii="Cambria" w:hAnsi="Cambria"/>
          <w:sz w:val="16"/>
          <w:szCs w:val="16"/>
          <w:lang w:val="es-ES"/>
        </w:rPr>
      </w:pPr>
      <w:r w:rsidRPr="00E87575">
        <w:rPr>
          <w:rStyle w:val="FootnoteReference"/>
          <w:rFonts w:ascii="Cambria" w:hAnsi="Cambria"/>
          <w:sz w:val="16"/>
          <w:szCs w:val="16"/>
        </w:rPr>
        <w:footnoteRef/>
      </w:r>
      <w:r w:rsidRPr="00E87575">
        <w:rPr>
          <w:rFonts w:ascii="Cambria" w:hAnsi="Cambria"/>
          <w:sz w:val="16"/>
          <w:szCs w:val="16"/>
          <w:lang w:val="es-ES"/>
        </w:rPr>
        <w:t xml:space="preserve"> </w:t>
      </w:r>
      <w:r>
        <w:rPr>
          <w:rFonts w:ascii="Cambria" w:hAnsi="Cambria"/>
          <w:sz w:val="16"/>
          <w:szCs w:val="16"/>
          <w:lang w:val="es-ES"/>
        </w:rPr>
        <w:t xml:space="preserve">La CIDH envió un correo electrónico </w:t>
      </w:r>
      <w:r w:rsidRPr="00715018">
        <w:rPr>
          <w:rFonts w:ascii="Cambria" w:hAnsi="Cambria"/>
          <w:sz w:val="16"/>
          <w:szCs w:val="16"/>
          <w:lang w:val="es-ES"/>
        </w:rPr>
        <w:t>a la parte peticionaria</w:t>
      </w:r>
      <w:r w:rsidR="00715018" w:rsidRPr="00715018">
        <w:rPr>
          <w:rFonts w:ascii="Cambria" w:hAnsi="Cambria"/>
          <w:sz w:val="16"/>
          <w:szCs w:val="16"/>
          <w:lang w:val="es-ES"/>
        </w:rPr>
        <w:t xml:space="preserve"> el 16 de octubre de 2020, y lo reenvió el 19 de octubre de 2020,</w:t>
      </w:r>
      <w:r w:rsidRPr="00715018">
        <w:rPr>
          <w:rFonts w:ascii="Cambria" w:hAnsi="Cambria"/>
          <w:sz w:val="16"/>
          <w:szCs w:val="16"/>
          <w:lang w:val="es-ES"/>
        </w:rPr>
        <w:t xml:space="preserve"> indicándole que, por motivo de la pandemia de COVID-19</w:t>
      </w:r>
      <w:r w:rsidR="009C3BE3">
        <w:rPr>
          <w:rFonts w:ascii="Cambria" w:hAnsi="Cambria"/>
          <w:sz w:val="16"/>
          <w:szCs w:val="16"/>
          <w:lang w:val="es-ES"/>
        </w:rPr>
        <w:t>,</w:t>
      </w:r>
      <w:r w:rsidR="00715018" w:rsidRPr="00715018">
        <w:rPr>
          <w:rFonts w:ascii="Cambria" w:hAnsi="Cambria"/>
          <w:sz w:val="16"/>
          <w:szCs w:val="16"/>
          <w:lang w:val="es-ES"/>
        </w:rPr>
        <w:t xml:space="preserve"> el equipo de la Secretaría Ejecutiva de la Comisión estaba laborando de forma remota, por lo que le pidió que digitalizara los anexos de la petición para continuar con la notificación y traslado al Estado. </w:t>
      </w:r>
      <w:r w:rsidRPr="00715018">
        <w:rPr>
          <w:rFonts w:ascii="Cambria" w:hAnsi="Cambria"/>
          <w:sz w:val="16"/>
          <w:szCs w:val="16"/>
          <w:lang w:val="es-ES"/>
        </w:rPr>
        <w:t xml:space="preserve">El 22 de octubre de 2020 la parte peticionaria digitalizó </w:t>
      </w:r>
      <w:r w:rsidR="00715018" w:rsidRPr="00715018">
        <w:rPr>
          <w:rFonts w:ascii="Cambria" w:hAnsi="Cambria"/>
          <w:sz w:val="16"/>
          <w:szCs w:val="16"/>
          <w:lang w:val="es-ES"/>
        </w:rPr>
        <w:t>dichos documentos</w:t>
      </w:r>
      <w:r w:rsidRPr="00715018">
        <w:rPr>
          <w:rFonts w:ascii="Cambria" w:hAnsi="Cambria"/>
          <w:sz w:val="16"/>
          <w:szCs w:val="16"/>
          <w:lang w:val="es-ES"/>
        </w:rPr>
        <w:t xml:space="preserve"> y los remitió a la CIDH.</w:t>
      </w:r>
      <w:r>
        <w:rPr>
          <w:rFonts w:ascii="Cambria" w:hAnsi="Cambria"/>
          <w:sz w:val="16"/>
          <w:szCs w:val="16"/>
          <w:lang w:val="es-ES"/>
        </w:rPr>
        <w:t xml:space="preserve"> </w:t>
      </w:r>
    </w:p>
  </w:footnote>
  <w:footnote w:id="7">
    <w:p w14:paraId="53E2B6A6" w14:textId="499B9761" w:rsidR="00E87575" w:rsidRPr="00E87575" w:rsidRDefault="00E87575" w:rsidP="00E87575">
      <w:pPr>
        <w:pStyle w:val="FootnoteText"/>
        <w:ind w:firstLine="709"/>
        <w:jc w:val="both"/>
        <w:rPr>
          <w:rFonts w:ascii="Cambria" w:hAnsi="Cambria"/>
          <w:sz w:val="16"/>
          <w:szCs w:val="16"/>
          <w:lang w:val="es-ES"/>
        </w:rPr>
      </w:pPr>
      <w:r w:rsidRPr="00E87575">
        <w:rPr>
          <w:rStyle w:val="FootnoteReference"/>
          <w:rFonts w:ascii="Cambria" w:hAnsi="Cambria"/>
          <w:sz w:val="16"/>
          <w:szCs w:val="16"/>
        </w:rPr>
        <w:footnoteRef/>
      </w:r>
      <w:r w:rsidRPr="00E87575">
        <w:rPr>
          <w:rFonts w:ascii="Cambria" w:hAnsi="Cambria"/>
          <w:sz w:val="16"/>
          <w:szCs w:val="16"/>
          <w:lang w:val="es-ES"/>
        </w:rPr>
        <w:t xml:space="preserve"> En una carta </w:t>
      </w:r>
      <w:r w:rsidR="00C30909">
        <w:rPr>
          <w:rFonts w:ascii="Cambria" w:hAnsi="Cambria"/>
          <w:sz w:val="16"/>
          <w:szCs w:val="16"/>
          <w:lang w:val="es-ES"/>
        </w:rPr>
        <w:t xml:space="preserve">fechada </w:t>
      </w:r>
      <w:r w:rsidRPr="00E87575">
        <w:rPr>
          <w:rFonts w:ascii="Cambria" w:hAnsi="Cambria"/>
          <w:sz w:val="16"/>
          <w:szCs w:val="16"/>
          <w:lang w:val="es-ES"/>
        </w:rPr>
        <w:t>del 6 de mayo de 2021, remitida por la CIDH al Estado, se reiteró la solicitud de las observaciones del Estado.</w:t>
      </w:r>
    </w:p>
  </w:footnote>
  <w:footnote w:id="8">
    <w:p w14:paraId="01FAD60F" w14:textId="748DC7AB" w:rsidR="00933A61" w:rsidRPr="00715018" w:rsidRDefault="00933A61" w:rsidP="00933A61">
      <w:pPr>
        <w:pStyle w:val="FootnoteText"/>
        <w:ind w:firstLine="709"/>
        <w:jc w:val="both"/>
        <w:rPr>
          <w:rFonts w:ascii="Cambria" w:hAnsi="Cambria"/>
          <w:sz w:val="16"/>
          <w:szCs w:val="16"/>
          <w:lang w:val="es-ES"/>
        </w:rPr>
      </w:pPr>
      <w:r w:rsidRPr="00715018">
        <w:rPr>
          <w:rStyle w:val="FootnoteReference"/>
          <w:rFonts w:ascii="Cambria" w:hAnsi="Cambria"/>
          <w:sz w:val="16"/>
          <w:szCs w:val="16"/>
        </w:rPr>
        <w:footnoteRef/>
      </w:r>
      <w:r w:rsidRPr="00715018">
        <w:rPr>
          <w:rFonts w:ascii="Cambria" w:hAnsi="Cambria"/>
          <w:sz w:val="16"/>
          <w:szCs w:val="16"/>
          <w:lang w:val="es-ES"/>
        </w:rPr>
        <w:t xml:space="preserve"> El peticionario </w:t>
      </w:r>
      <w:r w:rsidR="007072A9">
        <w:rPr>
          <w:rFonts w:ascii="Cambria" w:hAnsi="Cambria"/>
          <w:sz w:val="16"/>
          <w:szCs w:val="16"/>
          <w:lang w:val="es-ES"/>
        </w:rPr>
        <w:t>envió</w:t>
      </w:r>
      <w:r w:rsidRPr="00715018">
        <w:rPr>
          <w:rFonts w:ascii="Cambria" w:hAnsi="Cambria"/>
          <w:sz w:val="16"/>
          <w:szCs w:val="16"/>
          <w:lang w:val="es-ES"/>
        </w:rPr>
        <w:t xml:space="preserve"> un correo electrónico a la Comisión pidiendo actualizaciones sobre el trámite de la petición ante la CIDH, lo que se consideró como una respuesta a la advertencia de archivo.</w:t>
      </w:r>
    </w:p>
  </w:footnote>
  <w:footnote w:id="9">
    <w:p w14:paraId="63406CC1" w14:textId="67620506" w:rsidR="000E3F4C" w:rsidRPr="000E3F4C" w:rsidRDefault="000E3F4C" w:rsidP="000E3F4C">
      <w:pPr>
        <w:pStyle w:val="NormalWeb"/>
        <w:ind w:firstLine="709"/>
        <w:jc w:val="both"/>
        <w:rPr>
          <w:rFonts w:asciiTheme="majorHAnsi" w:hAnsiTheme="majorHAnsi"/>
          <w:sz w:val="16"/>
          <w:szCs w:val="16"/>
          <w:lang w:val="es-ES"/>
        </w:rPr>
      </w:pPr>
      <w:r w:rsidRPr="000E3F4C">
        <w:rPr>
          <w:rStyle w:val="FootnoteReference"/>
          <w:rFonts w:asciiTheme="majorHAnsi" w:hAnsiTheme="majorHAnsi"/>
          <w:sz w:val="16"/>
          <w:szCs w:val="16"/>
        </w:rPr>
        <w:footnoteRef/>
      </w:r>
      <w:r w:rsidRPr="000E3F4C">
        <w:rPr>
          <w:rFonts w:asciiTheme="majorHAnsi" w:hAnsiTheme="majorHAnsi"/>
          <w:sz w:val="16"/>
          <w:szCs w:val="16"/>
          <w:lang w:val="es-ES"/>
        </w:rPr>
        <w:t xml:space="preserve"> </w:t>
      </w:r>
      <w:r w:rsidRPr="006B3DF8">
        <w:rPr>
          <w:rFonts w:asciiTheme="majorHAnsi" w:hAnsiTheme="majorHAnsi"/>
          <w:sz w:val="16"/>
          <w:szCs w:val="16"/>
          <w:lang w:val="es-ES"/>
        </w:rPr>
        <w:t>Motivados en lo dispuesto por los artículos 17 y 18 de la Ley Federal de Responsabilidad Patrimonial del Estado de México:</w:t>
      </w:r>
      <w:r>
        <w:rPr>
          <w:rFonts w:asciiTheme="majorHAnsi" w:hAnsiTheme="majorHAnsi"/>
          <w:sz w:val="16"/>
          <w:szCs w:val="16"/>
          <w:lang w:val="es-ES"/>
        </w:rPr>
        <w:t xml:space="preserve"> </w:t>
      </w:r>
    </w:p>
    <w:p w14:paraId="39990134" w14:textId="5C3735FE" w:rsidR="000E3F4C" w:rsidRPr="002C3401" w:rsidRDefault="000E3F4C" w:rsidP="000E3F4C">
      <w:pPr>
        <w:pStyle w:val="NormalWeb"/>
        <w:ind w:firstLine="709"/>
        <w:jc w:val="both"/>
        <w:rPr>
          <w:rFonts w:asciiTheme="majorHAnsi" w:hAnsiTheme="majorHAnsi"/>
          <w:i/>
          <w:iCs/>
          <w:sz w:val="16"/>
          <w:szCs w:val="16"/>
          <w:lang w:val="es-ES"/>
        </w:rPr>
      </w:pPr>
      <w:r w:rsidRPr="002C3401">
        <w:rPr>
          <w:rFonts w:asciiTheme="majorHAnsi" w:hAnsiTheme="majorHAnsi"/>
          <w:i/>
          <w:iCs/>
          <w:sz w:val="16"/>
          <w:szCs w:val="16"/>
          <w:lang w:val="es-ES"/>
        </w:rPr>
        <w:t>Artículo 17 - Los procedimientos de responsabilidad patrimonial de los entes públicos federales se iniciarán por reclamación de la parte interesada.</w:t>
      </w:r>
    </w:p>
    <w:p w14:paraId="1F34A268" w14:textId="1A9A2F5A" w:rsidR="000E3F4C" w:rsidRPr="002C3401" w:rsidRDefault="000E3F4C" w:rsidP="000E3F4C">
      <w:pPr>
        <w:pStyle w:val="NormalWeb"/>
        <w:ind w:firstLine="709"/>
        <w:jc w:val="both"/>
        <w:rPr>
          <w:rFonts w:asciiTheme="majorHAnsi" w:hAnsiTheme="majorHAnsi"/>
          <w:i/>
          <w:iCs/>
          <w:sz w:val="16"/>
          <w:szCs w:val="16"/>
          <w:lang w:val="es-ES"/>
        </w:rPr>
      </w:pPr>
      <w:r w:rsidRPr="002C3401">
        <w:rPr>
          <w:rFonts w:asciiTheme="majorHAnsi" w:hAnsiTheme="majorHAnsi"/>
          <w:i/>
          <w:iCs/>
          <w:sz w:val="16"/>
          <w:szCs w:val="16"/>
          <w:lang w:val="es-ES"/>
        </w:rPr>
        <w:t xml:space="preserve">Artículo 18 - La parte interesada deberá presentar su reclamación ante </w:t>
      </w:r>
      <w:r w:rsidR="00D809C0" w:rsidRPr="002C3401">
        <w:rPr>
          <w:rFonts w:asciiTheme="majorHAnsi" w:hAnsiTheme="majorHAnsi"/>
          <w:i/>
          <w:iCs/>
          <w:sz w:val="16"/>
          <w:szCs w:val="16"/>
          <w:lang w:val="es-ES"/>
        </w:rPr>
        <w:t>l</w:t>
      </w:r>
      <w:r w:rsidRPr="002C3401">
        <w:rPr>
          <w:rFonts w:asciiTheme="majorHAnsi" w:hAnsiTheme="majorHAnsi"/>
          <w:i/>
          <w:iCs/>
          <w:sz w:val="16"/>
          <w:szCs w:val="16"/>
          <w:lang w:val="es-ES"/>
        </w:rPr>
        <w:t>a dependencia o entidad presuntamente responsable u organismo constitucional autónomo, conforme a lo establecido en la Ley Federal de Procedimiento Administrativo.</w:t>
      </w:r>
    </w:p>
    <w:p w14:paraId="41472DAC" w14:textId="77777777" w:rsidR="000E3F4C" w:rsidRPr="002C3401" w:rsidRDefault="000E3F4C" w:rsidP="000E3F4C">
      <w:pPr>
        <w:pStyle w:val="NormalWeb"/>
        <w:ind w:firstLine="709"/>
        <w:jc w:val="both"/>
        <w:rPr>
          <w:rFonts w:asciiTheme="majorHAnsi" w:hAnsiTheme="majorHAnsi"/>
          <w:i/>
          <w:iCs/>
          <w:sz w:val="16"/>
          <w:szCs w:val="16"/>
          <w:lang w:val="es-ES"/>
        </w:rPr>
      </w:pPr>
      <w:r w:rsidRPr="002C3401">
        <w:rPr>
          <w:rFonts w:asciiTheme="majorHAnsi" w:hAnsiTheme="majorHAnsi"/>
          <w:i/>
          <w:iCs/>
          <w:sz w:val="16"/>
          <w:szCs w:val="16"/>
          <w:lang w:val="es-ES"/>
        </w:rPr>
        <w:t>Los particulares en su demanda, deberán señalar, en su caso, el o los servidores públicos involucrados en la actividad administrativa que se considere irregular.</w:t>
      </w:r>
    </w:p>
    <w:p w14:paraId="4F83A317" w14:textId="4C6E6C23" w:rsidR="000E3F4C" w:rsidRPr="00BC0324" w:rsidRDefault="000E3F4C" w:rsidP="00BC0324">
      <w:pPr>
        <w:pStyle w:val="NormalWeb"/>
        <w:ind w:firstLine="709"/>
        <w:jc w:val="both"/>
        <w:rPr>
          <w:rFonts w:asciiTheme="majorHAnsi" w:hAnsiTheme="majorHAnsi"/>
          <w:sz w:val="16"/>
          <w:szCs w:val="16"/>
          <w:lang w:val="es-ES"/>
        </w:rPr>
      </w:pPr>
      <w:r w:rsidRPr="002C3401">
        <w:rPr>
          <w:rFonts w:asciiTheme="majorHAnsi" w:hAnsiTheme="majorHAnsi"/>
          <w:i/>
          <w:iCs/>
          <w:sz w:val="16"/>
          <w:szCs w:val="16"/>
          <w:lang w:val="es-ES"/>
        </w:rPr>
        <w:t>Si iniciado el procedimiento de responsabilidad patrimonial del Estado, se encontrare pendiente alguno de los procedimientos por los que el particular haya impugnado el acto de autoridad que se reputa como dañoso, el procedimiento de responsabilidad patrimonial del Estado se suspenderá hasta en tanto en los otros procedimientos, la autoridad competente no haya dictado una resolución que cause estado.</w:t>
      </w:r>
    </w:p>
  </w:footnote>
  <w:footnote w:id="10">
    <w:p w14:paraId="09C8D372" w14:textId="7B50AB6C" w:rsidR="00E51C02" w:rsidRPr="00DF47BB" w:rsidRDefault="00E51C02" w:rsidP="00E51C02">
      <w:pPr>
        <w:ind w:firstLine="709"/>
        <w:jc w:val="both"/>
        <w:rPr>
          <w:rFonts w:ascii="Cambria" w:hAnsi="Cambria"/>
          <w:sz w:val="16"/>
          <w:szCs w:val="16"/>
          <w:lang w:val="es-ES"/>
        </w:rPr>
      </w:pPr>
      <w:r w:rsidRPr="00BC0324">
        <w:rPr>
          <w:rStyle w:val="FootnoteReference"/>
          <w:rFonts w:ascii="Cambria" w:hAnsi="Cambria"/>
          <w:sz w:val="16"/>
          <w:szCs w:val="16"/>
        </w:rPr>
        <w:footnoteRef/>
      </w:r>
      <w:r w:rsidRPr="00BC0324">
        <w:rPr>
          <w:rFonts w:ascii="Cambria" w:hAnsi="Cambria"/>
          <w:sz w:val="16"/>
          <w:szCs w:val="16"/>
          <w:lang w:val="es-ES"/>
        </w:rPr>
        <w:t xml:space="preserve"> </w:t>
      </w:r>
      <w:r>
        <w:rPr>
          <w:rFonts w:ascii="Cambria" w:hAnsi="Cambria"/>
          <w:sz w:val="16"/>
          <w:szCs w:val="16"/>
          <w:lang w:val="es-ES"/>
        </w:rPr>
        <w:t>La CONAGUA es</w:t>
      </w:r>
      <w:r w:rsidRPr="00BC0324">
        <w:rPr>
          <w:rFonts w:ascii="Cambria" w:hAnsi="Cambria"/>
          <w:sz w:val="16"/>
          <w:szCs w:val="16"/>
          <w:lang w:val="es-ES"/>
        </w:rPr>
        <w:t xml:space="preserve"> un organismo desconcentrado de la Secretaría de Medio Ambiente y Recursos Naturales (SEMARNAT), creado en 1989</w:t>
      </w:r>
      <w:r>
        <w:rPr>
          <w:rFonts w:ascii="Cambria" w:hAnsi="Cambria"/>
          <w:sz w:val="16"/>
          <w:szCs w:val="16"/>
          <w:lang w:val="es-ES"/>
        </w:rPr>
        <w:t xml:space="preserve"> </w:t>
      </w:r>
      <w:r w:rsidRPr="00BC0324">
        <w:rPr>
          <w:rFonts w:ascii="Cambria" w:hAnsi="Cambria"/>
          <w:sz w:val="16"/>
          <w:szCs w:val="16"/>
          <w:lang w:val="es-ES"/>
        </w:rPr>
        <w:t>con la responsabilidad de administrar, regular, controlar y proteger las aguas nacionales a través de tres grandes áreas operativas: gestión, organismos de cuenca y asistencia técnica; esto con el objetivo de garantizar el uso sostenible de este recurso natural y sus bienes públicos inherentes.  Información encontrada en la página web del gobierno de México, revisad</w:t>
      </w:r>
      <w:r w:rsidR="00A1340D">
        <w:rPr>
          <w:rFonts w:ascii="Cambria" w:hAnsi="Cambria"/>
          <w:sz w:val="16"/>
          <w:szCs w:val="16"/>
          <w:lang w:val="es-ES"/>
        </w:rPr>
        <w:t>a</w:t>
      </w:r>
      <w:r w:rsidRPr="00BC0324">
        <w:rPr>
          <w:rFonts w:ascii="Cambria" w:hAnsi="Cambria"/>
          <w:sz w:val="16"/>
          <w:szCs w:val="16"/>
          <w:lang w:val="es-ES"/>
        </w:rPr>
        <w:t xml:space="preserve"> el 11 de mayo de 2024 en </w:t>
      </w:r>
      <w:hyperlink r:id="rId1" w:history="1">
        <w:r w:rsidR="00A1340D" w:rsidRPr="00502F03">
          <w:rPr>
            <w:rStyle w:val="Hyperlink"/>
            <w:rFonts w:ascii="Cambria" w:hAnsi="Cambria"/>
            <w:sz w:val="16"/>
            <w:szCs w:val="16"/>
            <w:lang w:val="es-ES"/>
          </w:rPr>
          <w:t>https://www.gob.mx/conagua</w:t>
        </w:r>
      </w:hyperlink>
      <w:r w:rsidR="00A1340D">
        <w:rPr>
          <w:rFonts w:ascii="Cambria" w:hAnsi="Cambria"/>
          <w:sz w:val="16"/>
          <w:szCs w:val="16"/>
          <w:lang w:val="es-ES"/>
        </w:rPr>
        <w:t xml:space="preserve"> </w:t>
      </w:r>
      <w:r w:rsidRPr="00BC0324">
        <w:rPr>
          <w:rFonts w:ascii="Cambria" w:hAnsi="Cambria"/>
          <w:sz w:val="16"/>
          <w:szCs w:val="16"/>
          <w:lang w:val="es-ES"/>
        </w:rPr>
        <w:t xml:space="preserve">y en </w:t>
      </w:r>
      <w:hyperlink r:id="rId2" w:anchor=":~:text=La%20Comisión%20Nacional%20del%20Agua,y%20sus%20bienes%20públicos%20inherentes" w:history="1">
        <w:r w:rsidR="00BA4D40" w:rsidRPr="00502F03">
          <w:rPr>
            <w:rStyle w:val="Hyperlink"/>
            <w:rFonts w:ascii="Cambria" w:hAnsi="Cambria"/>
            <w:sz w:val="16"/>
            <w:szCs w:val="16"/>
            <w:lang w:val="es-ES"/>
          </w:rPr>
          <w:t>https://www.gob.mx/semarnat/articulos/conagua-hacia-una-gestion-integrada-y-sustentable-del-agua#:~:text=La%20Comisión%20Nacional%20del%20Agua,y%20sus%20bienes%20públicos%20inherentes</w:t>
        </w:r>
      </w:hyperlink>
      <w:r w:rsidR="00BA4D40">
        <w:rPr>
          <w:rFonts w:ascii="Cambria" w:hAnsi="Cambria"/>
          <w:sz w:val="16"/>
          <w:szCs w:val="16"/>
          <w:lang w:val="es-ES"/>
        </w:rPr>
        <w:t xml:space="preserve"> </w:t>
      </w:r>
      <w:r w:rsidRPr="00BC0324">
        <w:rPr>
          <w:rFonts w:ascii="Cambria" w:hAnsi="Cambria"/>
          <w:sz w:val="16"/>
          <w:szCs w:val="16"/>
          <w:lang w:val="es-ES"/>
        </w:rPr>
        <w:t>.</w:t>
      </w:r>
    </w:p>
  </w:footnote>
  <w:footnote w:id="11">
    <w:p w14:paraId="468544F3" w14:textId="7B1F9914" w:rsidR="003C610C" w:rsidRPr="0066614D" w:rsidRDefault="003C610C" w:rsidP="00074375">
      <w:pPr>
        <w:pStyle w:val="FootnoteText"/>
        <w:ind w:firstLine="709"/>
        <w:jc w:val="both"/>
        <w:rPr>
          <w:rFonts w:asciiTheme="majorHAnsi" w:hAnsiTheme="majorHAnsi"/>
          <w:sz w:val="16"/>
          <w:szCs w:val="16"/>
          <w:lang w:val="es-ES"/>
        </w:rPr>
      </w:pPr>
      <w:r w:rsidRPr="003C610C">
        <w:rPr>
          <w:rStyle w:val="FootnoteReference"/>
          <w:rFonts w:asciiTheme="majorHAnsi" w:hAnsiTheme="majorHAnsi"/>
          <w:sz w:val="16"/>
          <w:szCs w:val="16"/>
        </w:rPr>
        <w:footnoteRef/>
      </w:r>
      <w:r w:rsidRPr="003C610C">
        <w:rPr>
          <w:rFonts w:asciiTheme="majorHAnsi" w:hAnsiTheme="majorHAnsi"/>
          <w:sz w:val="16"/>
          <w:szCs w:val="16"/>
          <w:lang w:val="es-ES"/>
        </w:rPr>
        <w:t xml:space="preserve"> </w:t>
      </w:r>
      <w:r w:rsidRPr="003C610C">
        <w:rPr>
          <w:rFonts w:asciiTheme="majorHAnsi" w:hAnsiTheme="majorHAnsi"/>
          <w:sz w:val="16"/>
          <w:szCs w:val="16"/>
          <w:lang w:val="es-ES_tradnl"/>
        </w:rPr>
        <w:t xml:space="preserve">Conforme al </w:t>
      </w:r>
      <w:r w:rsidR="00647A49" w:rsidRPr="0066614D">
        <w:rPr>
          <w:rFonts w:asciiTheme="majorHAnsi" w:hAnsiTheme="majorHAnsi"/>
          <w:sz w:val="16"/>
          <w:szCs w:val="16"/>
          <w:lang w:val="es-ES"/>
        </w:rPr>
        <w:t>artículo</w:t>
      </w:r>
      <w:r w:rsidRPr="0066614D">
        <w:rPr>
          <w:rFonts w:asciiTheme="majorHAnsi" w:hAnsiTheme="majorHAnsi"/>
          <w:sz w:val="16"/>
          <w:szCs w:val="16"/>
          <w:lang w:val="es-ES"/>
        </w:rPr>
        <w:t xml:space="preserve"> 24 de la Ley Federal de Responsabilidad Patrimonial del Estado: </w:t>
      </w:r>
      <w:r w:rsidRPr="002C3401">
        <w:rPr>
          <w:rFonts w:asciiTheme="majorHAnsi" w:hAnsiTheme="majorHAnsi"/>
          <w:i/>
          <w:iCs/>
          <w:sz w:val="16"/>
          <w:szCs w:val="16"/>
          <w:lang w:val="es-ES"/>
        </w:rPr>
        <w:t xml:space="preserve">“Las resoluciones de la autoridad administrativa que nieguen la </w:t>
      </w:r>
      <w:r w:rsidR="00647A49" w:rsidRPr="002C3401">
        <w:rPr>
          <w:rFonts w:asciiTheme="majorHAnsi" w:hAnsiTheme="majorHAnsi"/>
          <w:i/>
          <w:iCs/>
          <w:sz w:val="16"/>
          <w:szCs w:val="16"/>
          <w:lang w:val="es-ES"/>
        </w:rPr>
        <w:t>indemnización</w:t>
      </w:r>
      <w:r w:rsidRPr="002C3401">
        <w:rPr>
          <w:rFonts w:asciiTheme="majorHAnsi" w:hAnsiTheme="majorHAnsi"/>
          <w:i/>
          <w:iCs/>
          <w:sz w:val="16"/>
          <w:szCs w:val="16"/>
          <w:lang w:val="es-ES"/>
        </w:rPr>
        <w:t xml:space="preserve">, o que, por su monto, no satisfagan al interesado </w:t>
      </w:r>
      <w:r w:rsidR="00647A49" w:rsidRPr="002C3401">
        <w:rPr>
          <w:rFonts w:asciiTheme="majorHAnsi" w:hAnsiTheme="majorHAnsi"/>
          <w:i/>
          <w:iCs/>
          <w:sz w:val="16"/>
          <w:szCs w:val="16"/>
          <w:lang w:val="es-ES"/>
        </w:rPr>
        <w:t>podrán</w:t>
      </w:r>
      <w:r w:rsidRPr="002C3401">
        <w:rPr>
          <w:rFonts w:asciiTheme="majorHAnsi" w:hAnsiTheme="majorHAnsi"/>
          <w:i/>
          <w:iCs/>
          <w:sz w:val="16"/>
          <w:szCs w:val="16"/>
          <w:lang w:val="es-ES"/>
        </w:rPr>
        <w:t xml:space="preserve"> impugnarse mediante recurso de </w:t>
      </w:r>
      <w:r w:rsidR="00647A49" w:rsidRPr="002C3401">
        <w:rPr>
          <w:rFonts w:asciiTheme="majorHAnsi" w:hAnsiTheme="majorHAnsi"/>
          <w:i/>
          <w:iCs/>
          <w:sz w:val="16"/>
          <w:szCs w:val="16"/>
          <w:lang w:val="es-ES"/>
        </w:rPr>
        <w:t>revisión</w:t>
      </w:r>
      <w:r w:rsidRPr="002C3401">
        <w:rPr>
          <w:rFonts w:asciiTheme="majorHAnsi" w:hAnsiTheme="majorHAnsi"/>
          <w:i/>
          <w:iCs/>
          <w:sz w:val="16"/>
          <w:szCs w:val="16"/>
          <w:lang w:val="es-ES"/>
        </w:rPr>
        <w:t xml:space="preserve"> en </w:t>
      </w:r>
      <w:r w:rsidR="00647A49" w:rsidRPr="002C3401">
        <w:rPr>
          <w:rFonts w:asciiTheme="majorHAnsi" w:hAnsiTheme="majorHAnsi"/>
          <w:i/>
          <w:iCs/>
          <w:sz w:val="16"/>
          <w:szCs w:val="16"/>
          <w:lang w:val="es-ES"/>
        </w:rPr>
        <w:t>vía</w:t>
      </w:r>
      <w:r w:rsidRPr="002C3401">
        <w:rPr>
          <w:rFonts w:asciiTheme="majorHAnsi" w:hAnsiTheme="majorHAnsi"/>
          <w:i/>
          <w:iCs/>
          <w:sz w:val="16"/>
          <w:szCs w:val="16"/>
          <w:lang w:val="es-ES"/>
        </w:rPr>
        <w:t xml:space="preserve"> administrativa o bien, directamente por </w:t>
      </w:r>
      <w:r w:rsidR="00647A49" w:rsidRPr="002C3401">
        <w:rPr>
          <w:rFonts w:asciiTheme="majorHAnsi" w:hAnsiTheme="majorHAnsi"/>
          <w:i/>
          <w:iCs/>
          <w:sz w:val="16"/>
          <w:szCs w:val="16"/>
          <w:lang w:val="es-ES"/>
        </w:rPr>
        <w:t>vía</w:t>
      </w:r>
      <w:r w:rsidRPr="002C3401">
        <w:rPr>
          <w:rFonts w:asciiTheme="majorHAnsi" w:hAnsiTheme="majorHAnsi"/>
          <w:i/>
          <w:iCs/>
          <w:sz w:val="16"/>
          <w:szCs w:val="16"/>
          <w:lang w:val="es-ES"/>
        </w:rPr>
        <w:t xml:space="preserve"> jurisdiccional ante el Tribunal Federal de Justicia Fiscal y Administrativa</w:t>
      </w:r>
      <w:r w:rsidRPr="0066614D">
        <w:rPr>
          <w:rFonts w:asciiTheme="majorHAnsi" w:hAnsiTheme="majorHAnsi"/>
          <w:sz w:val="16"/>
          <w:szCs w:val="16"/>
          <w:lang w:val="es-ES"/>
        </w:rPr>
        <w:t xml:space="preserve">”. </w:t>
      </w:r>
    </w:p>
  </w:footnote>
  <w:footnote w:id="12">
    <w:p w14:paraId="3D2E96CF" w14:textId="77777777" w:rsidR="00024FC6" w:rsidRPr="00EB63CB" w:rsidRDefault="00024FC6" w:rsidP="00024FC6">
      <w:pPr>
        <w:pStyle w:val="FootnoteText"/>
        <w:ind w:firstLine="709"/>
        <w:jc w:val="both"/>
        <w:rPr>
          <w:rFonts w:ascii="Cambria" w:hAnsi="Cambria"/>
          <w:sz w:val="16"/>
          <w:szCs w:val="16"/>
          <w:lang w:val="es-ES"/>
        </w:rPr>
      </w:pPr>
      <w:r w:rsidRPr="002F24D2">
        <w:rPr>
          <w:rStyle w:val="FootnoteReference"/>
          <w:rFonts w:ascii="Cambria" w:hAnsi="Cambria"/>
          <w:sz w:val="16"/>
          <w:szCs w:val="16"/>
        </w:rPr>
        <w:footnoteRef/>
      </w:r>
      <w:r w:rsidRPr="002F24D2">
        <w:rPr>
          <w:rFonts w:ascii="Cambria" w:hAnsi="Cambria"/>
          <w:sz w:val="16"/>
          <w:szCs w:val="16"/>
          <w:lang w:val="es-ES"/>
        </w:rPr>
        <w:t xml:space="preserve"> El artículo 22 de la </w:t>
      </w:r>
      <w:r>
        <w:rPr>
          <w:rFonts w:ascii="Cambria" w:hAnsi="Cambria"/>
          <w:sz w:val="16"/>
          <w:szCs w:val="16"/>
          <w:lang w:val="es-ES"/>
        </w:rPr>
        <w:t xml:space="preserve">Ley </w:t>
      </w:r>
      <w:r w:rsidRPr="002F24D2">
        <w:rPr>
          <w:rFonts w:ascii="Cambria" w:hAnsi="Cambria"/>
          <w:sz w:val="16"/>
          <w:szCs w:val="16"/>
          <w:lang w:val="es-ES"/>
        </w:rPr>
        <w:t xml:space="preserve">Federal de Responsabilidad Patrimonial del Estado indica: </w:t>
      </w:r>
      <w:r w:rsidRPr="00442AA5">
        <w:rPr>
          <w:rFonts w:ascii="Cambria" w:hAnsi="Cambria"/>
          <w:i/>
          <w:iCs/>
          <w:sz w:val="16"/>
          <w:szCs w:val="16"/>
          <w:lang w:val="es-ES"/>
        </w:rPr>
        <w:t>“La responsabilidad del Estado deberá probarla el reclamante que considere lesionado su patrimonio, por no tener la obligación jurídica de soportarlo. Por su parte, al Estado corresponderá probar, en su caso, la participación de terceros o del propio reclamante en la producción de los daños y perjuicios irrogados al mismo; que los daños no son consecuencia de la actividad administrativa irregular del Estado; que los daños derivan de hechos o circunstancias imprevisibles o inevitables según los conocimientos de la ciencia o de la técnica existentes en el momento de su acaecimiento, o bien, la existencia de la fuerza mayor que lo exonera de responsabilidad patrimonial</w:t>
      </w:r>
      <w:r>
        <w:rPr>
          <w:rFonts w:ascii="Cambria" w:hAnsi="Cambria"/>
          <w:sz w:val="16"/>
          <w:szCs w:val="16"/>
          <w:lang w:val="es-ES"/>
        </w:rPr>
        <w:t>”</w:t>
      </w:r>
      <w:r w:rsidRPr="002F24D2">
        <w:rPr>
          <w:rFonts w:ascii="Cambria" w:hAnsi="Cambria"/>
          <w:sz w:val="16"/>
          <w:szCs w:val="16"/>
          <w:lang w:val="es-ES"/>
        </w:rPr>
        <w:t>.</w:t>
      </w:r>
    </w:p>
  </w:footnote>
  <w:footnote w:id="13">
    <w:p w14:paraId="08ECBC7F" w14:textId="707221DF" w:rsidR="00124661" w:rsidRPr="000F3F51" w:rsidRDefault="00124661" w:rsidP="00124661">
      <w:pPr>
        <w:pStyle w:val="FootnoteText"/>
        <w:ind w:firstLine="709"/>
        <w:jc w:val="both"/>
        <w:rPr>
          <w:rFonts w:ascii="Cambria" w:hAnsi="Cambria"/>
          <w:sz w:val="16"/>
          <w:szCs w:val="16"/>
          <w:lang w:val="es-ES"/>
        </w:rPr>
      </w:pPr>
      <w:r w:rsidRPr="000F3F51">
        <w:rPr>
          <w:rStyle w:val="FootnoteReference"/>
          <w:rFonts w:ascii="Cambria" w:hAnsi="Cambria"/>
          <w:sz w:val="16"/>
          <w:szCs w:val="16"/>
        </w:rPr>
        <w:footnoteRef/>
      </w:r>
      <w:r w:rsidRPr="000F3F51">
        <w:rPr>
          <w:rFonts w:ascii="Cambria" w:hAnsi="Cambria"/>
          <w:sz w:val="16"/>
          <w:szCs w:val="16"/>
          <w:lang w:val="es-ES"/>
        </w:rPr>
        <w:t xml:space="preserve"> Conforme a la sentencia del amparo</w:t>
      </w:r>
      <w:r>
        <w:rPr>
          <w:rFonts w:ascii="Cambria" w:hAnsi="Cambria"/>
          <w:sz w:val="16"/>
          <w:szCs w:val="16"/>
          <w:lang w:val="es-ES"/>
        </w:rPr>
        <w:t xml:space="preserve"> </w:t>
      </w:r>
      <w:r w:rsidRPr="008D3816">
        <w:rPr>
          <w:rFonts w:ascii="Cambria" w:hAnsi="Cambria"/>
          <w:sz w:val="16"/>
          <w:szCs w:val="16"/>
          <w:lang w:val="es-ES"/>
        </w:rPr>
        <w:t>518/2012</w:t>
      </w:r>
      <w:r w:rsidRPr="000F3F51">
        <w:rPr>
          <w:rFonts w:ascii="Cambria" w:hAnsi="Cambria"/>
          <w:sz w:val="16"/>
          <w:szCs w:val="16"/>
          <w:lang w:val="es-ES"/>
        </w:rPr>
        <w:t xml:space="preserve">, presentado </w:t>
      </w:r>
      <w:r>
        <w:rPr>
          <w:rFonts w:ascii="Cambria" w:hAnsi="Cambria"/>
          <w:sz w:val="16"/>
          <w:szCs w:val="16"/>
          <w:lang w:val="es-ES"/>
        </w:rPr>
        <w:t xml:space="preserve">en los anexos a la petición </w:t>
      </w:r>
      <w:r w:rsidRPr="000F3F51">
        <w:rPr>
          <w:rFonts w:ascii="Cambria" w:hAnsi="Cambria"/>
          <w:sz w:val="16"/>
          <w:szCs w:val="16"/>
          <w:lang w:val="es-ES"/>
        </w:rPr>
        <w:t>por la parte peticionaria, en el párrafo 68 se indica que: “</w:t>
      </w:r>
      <w:r w:rsidRPr="00652A9E">
        <w:rPr>
          <w:rFonts w:ascii="Cambria" w:hAnsi="Cambria"/>
          <w:i/>
          <w:iCs/>
          <w:sz w:val="16"/>
          <w:szCs w:val="16"/>
          <w:lang w:val="es-ES"/>
        </w:rPr>
        <w:t>El Plan Maestro de Drenaje de la Zona Metropolitana de la Ciudad de México 1994-2010, es un documento de referencia en la planeación y desarrollo de la infraestructura de drenaje, que unifica en un diagnóstico global las condiciones de su funcionamiento y prospección, el cual se integra por un marco físico-urbano actualizado relativo al crecimiento de la población y al de la mancha urbana, así como de una reseña de obras de drenaje y control de avenidas</w:t>
      </w:r>
      <w:r w:rsidRPr="000F3F51">
        <w:rPr>
          <w:rFonts w:ascii="Cambria" w:hAnsi="Cambria"/>
          <w:sz w:val="16"/>
          <w:szCs w:val="16"/>
          <w:lang w:val="es-ES"/>
        </w:rPr>
        <w:t>”</w:t>
      </w:r>
      <w:r w:rsidR="00652A9E">
        <w:rPr>
          <w:rFonts w:ascii="Cambria" w:hAnsi="Cambria"/>
          <w:sz w:val="16"/>
          <w:szCs w:val="16"/>
          <w:lang w:val="es-ES"/>
        </w:rPr>
        <w:t>.</w:t>
      </w:r>
    </w:p>
  </w:footnote>
  <w:footnote w:id="14">
    <w:p w14:paraId="0AC84C8D" w14:textId="5A0893FC" w:rsidR="00382676" w:rsidRPr="001842C0" w:rsidRDefault="00382676" w:rsidP="00382676">
      <w:pPr>
        <w:pStyle w:val="FootnoteText"/>
        <w:ind w:firstLine="720"/>
        <w:jc w:val="both"/>
        <w:rPr>
          <w:rFonts w:ascii="Cambria" w:hAnsi="Cambria"/>
          <w:color w:val="auto"/>
          <w:sz w:val="16"/>
          <w:szCs w:val="16"/>
          <w:lang w:val="es-CO"/>
        </w:rPr>
      </w:pPr>
      <w:r w:rsidRPr="001842C0">
        <w:rPr>
          <w:rStyle w:val="FootnoteReference"/>
          <w:rFonts w:ascii="Cambria" w:hAnsi="Cambria"/>
          <w:color w:val="auto"/>
          <w:sz w:val="16"/>
          <w:szCs w:val="16"/>
        </w:rPr>
        <w:footnoteRef/>
      </w:r>
      <w:r w:rsidRPr="001842C0">
        <w:rPr>
          <w:rFonts w:ascii="Cambria" w:hAnsi="Cambria"/>
          <w:color w:val="auto"/>
          <w:sz w:val="16"/>
          <w:szCs w:val="16"/>
          <w:lang w:val="es-CO"/>
        </w:rPr>
        <w:t xml:space="preserve"> A título ilustrativo, se pueden consultar los siguientes informes de la CIDH: Informe No. 117/19</w:t>
      </w:r>
      <w:r w:rsidR="00FF72CE">
        <w:rPr>
          <w:rFonts w:ascii="Cambria" w:hAnsi="Cambria"/>
          <w:color w:val="auto"/>
          <w:sz w:val="16"/>
          <w:szCs w:val="16"/>
          <w:lang w:val="es-CO"/>
        </w:rPr>
        <w:t>,</w:t>
      </w:r>
      <w:r w:rsidRPr="001842C0">
        <w:rPr>
          <w:rFonts w:ascii="Cambria" w:hAnsi="Cambria"/>
          <w:color w:val="auto"/>
          <w:sz w:val="16"/>
          <w:szCs w:val="16"/>
          <w:lang w:val="es-CO"/>
        </w:rPr>
        <w:t xml:space="preserve"> Petición 833-11</w:t>
      </w:r>
      <w:r w:rsidR="00FF72CE">
        <w:rPr>
          <w:rFonts w:ascii="Cambria" w:hAnsi="Cambria"/>
          <w:color w:val="auto"/>
          <w:sz w:val="16"/>
          <w:szCs w:val="16"/>
          <w:lang w:val="es-CO"/>
        </w:rPr>
        <w:t>,</w:t>
      </w:r>
      <w:r w:rsidRPr="001842C0">
        <w:rPr>
          <w:rFonts w:ascii="Cambria" w:hAnsi="Cambria"/>
          <w:color w:val="auto"/>
          <w:sz w:val="16"/>
          <w:szCs w:val="16"/>
          <w:lang w:val="es-CO"/>
        </w:rPr>
        <w:t xml:space="preserve"> Admisibilidad</w:t>
      </w:r>
      <w:r w:rsidR="00FF72CE">
        <w:rPr>
          <w:rFonts w:ascii="Cambria" w:hAnsi="Cambria"/>
          <w:color w:val="auto"/>
          <w:sz w:val="16"/>
          <w:szCs w:val="16"/>
          <w:lang w:val="es-CO"/>
        </w:rPr>
        <w:t>,</w:t>
      </w:r>
      <w:r w:rsidRPr="001842C0">
        <w:rPr>
          <w:rFonts w:ascii="Cambria" w:hAnsi="Cambria"/>
          <w:color w:val="auto"/>
          <w:sz w:val="16"/>
          <w:szCs w:val="16"/>
          <w:lang w:val="es-CO"/>
        </w:rPr>
        <w:t xml:space="preserve"> Trabajadores liberados de la Hacienda Boa-Fé Caru</w:t>
      </w:r>
      <w:r w:rsidR="00FF72CE">
        <w:rPr>
          <w:rFonts w:ascii="Cambria" w:hAnsi="Cambria"/>
          <w:color w:val="auto"/>
          <w:sz w:val="16"/>
          <w:szCs w:val="16"/>
          <w:lang w:val="es-CO"/>
        </w:rPr>
        <w:t>,</w:t>
      </w:r>
      <w:r w:rsidRPr="001842C0">
        <w:rPr>
          <w:rFonts w:ascii="Cambria" w:hAnsi="Cambria"/>
          <w:color w:val="auto"/>
          <w:sz w:val="16"/>
          <w:szCs w:val="16"/>
          <w:lang w:val="es-CO"/>
        </w:rPr>
        <w:t xml:space="preserve"> Brasil</w:t>
      </w:r>
      <w:r w:rsidR="00FF72CE">
        <w:rPr>
          <w:rFonts w:ascii="Cambria" w:hAnsi="Cambria"/>
          <w:color w:val="auto"/>
          <w:sz w:val="16"/>
          <w:szCs w:val="16"/>
          <w:lang w:val="es-CO"/>
        </w:rPr>
        <w:t>,</w:t>
      </w:r>
      <w:r w:rsidRPr="001842C0">
        <w:rPr>
          <w:rFonts w:ascii="Cambria" w:hAnsi="Cambria"/>
          <w:color w:val="auto"/>
          <w:sz w:val="16"/>
          <w:szCs w:val="16"/>
          <w:lang w:val="es-CO"/>
        </w:rPr>
        <w:t xml:space="preserve"> 7 de junio de 2019, párrs. 11</w:t>
      </w:r>
      <w:r w:rsidR="00FF72CE">
        <w:rPr>
          <w:rFonts w:ascii="Cambria" w:hAnsi="Cambria"/>
          <w:color w:val="auto"/>
          <w:sz w:val="16"/>
          <w:szCs w:val="16"/>
          <w:lang w:val="es-CO"/>
        </w:rPr>
        <w:t xml:space="preserve"> y</w:t>
      </w:r>
      <w:r w:rsidRPr="001842C0">
        <w:rPr>
          <w:rFonts w:ascii="Cambria" w:hAnsi="Cambria"/>
          <w:color w:val="auto"/>
          <w:sz w:val="16"/>
          <w:szCs w:val="16"/>
          <w:lang w:val="es-CO"/>
        </w:rPr>
        <w:t xml:space="preserve"> 12; Informe No. 4/19</w:t>
      </w:r>
      <w:r w:rsidR="00FF72CE">
        <w:rPr>
          <w:rFonts w:ascii="Cambria" w:hAnsi="Cambria"/>
          <w:color w:val="auto"/>
          <w:sz w:val="16"/>
          <w:szCs w:val="16"/>
          <w:lang w:val="es-CO"/>
        </w:rPr>
        <w:t>,</w:t>
      </w:r>
      <w:r w:rsidRPr="001842C0">
        <w:rPr>
          <w:rFonts w:ascii="Cambria" w:hAnsi="Cambria"/>
          <w:color w:val="auto"/>
          <w:sz w:val="16"/>
          <w:szCs w:val="16"/>
          <w:lang w:val="es-CO"/>
        </w:rPr>
        <w:t xml:space="preserve"> Petición 673-11</w:t>
      </w:r>
      <w:r w:rsidR="00FF72CE">
        <w:rPr>
          <w:rFonts w:ascii="Cambria" w:hAnsi="Cambria"/>
          <w:color w:val="auto"/>
          <w:sz w:val="16"/>
          <w:szCs w:val="16"/>
          <w:lang w:val="es-CO"/>
        </w:rPr>
        <w:t>,</w:t>
      </w:r>
      <w:r w:rsidRPr="001842C0">
        <w:rPr>
          <w:rFonts w:ascii="Cambria" w:hAnsi="Cambria"/>
          <w:color w:val="auto"/>
          <w:sz w:val="16"/>
          <w:szCs w:val="16"/>
          <w:lang w:val="es-CO"/>
        </w:rPr>
        <w:t xml:space="preserve"> Admisibilidad</w:t>
      </w:r>
      <w:r w:rsidR="00FF72CE">
        <w:rPr>
          <w:rFonts w:ascii="Cambria" w:hAnsi="Cambria"/>
          <w:color w:val="auto"/>
          <w:sz w:val="16"/>
          <w:szCs w:val="16"/>
          <w:lang w:val="es-CO"/>
        </w:rPr>
        <w:t>,</w:t>
      </w:r>
      <w:r w:rsidRPr="001842C0">
        <w:rPr>
          <w:rFonts w:ascii="Cambria" w:hAnsi="Cambria"/>
          <w:color w:val="auto"/>
          <w:sz w:val="16"/>
          <w:szCs w:val="16"/>
          <w:lang w:val="es-CO"/>
        </w:rPr>
        <w:t xml:space="preserve"> Fernando Alcântara de Figueiredo y Laci Marinho de Araújo</w:t>
      </w:r>
      <w:r w:rsidR="00FF72CE">
        <w:rPr>
          <w:rFonts w:ascii="Cambria" w:hAnsi="Cambria"/>
          <w:color w:val="auto"/>
          <w:sz w:val="16"/>
          <w:szCs w:val="16"/>
          <w:lang w:val="es-CO"/>
        </w:rPr>
        <w:t>,</w:t>
      </w:r>
      <w:r w:rsidRPr="001842C0">
        <w:rPr>
          <w:rFonts w:ascii="Cambria" w:hAnsi="Cambria"/>
          <w:color w:val="auto"/>
          <w:sz w:val="16"/>
          <w:szCs w:val="16"/>
          <w:lang w:val="es-CO"/>
        </w:rPr>
        <w:t xml:space="preserve"> Brasil</w:t>
      </w:r>
      <w:r w:rsidR="00FF72CE">
        <w:rPr>
          <w:rFonts w:ascii="Cambria" w:hAnsi="Cambria"/>
          <w:color w:val="auto"/>
          <w:sz w:val="16"/>
          <w:szCs w:val="16"/>
          <w:lang w:val="es-CO"/>
        </w:rPr>
        <w:t>,</w:t>
      </w:r>
      <w:r w:rsidRPr="001842C0">
        <w:rPr>
          <w:rFonts w:ascii="Cambria" w:hAnsi="Cambria"/>
          <w:color w:val="auto"/>
          <w:sz w:val="16"/>
          <w:szCs w:val="16"/>
          <w:lang w:val="es-CO"/>
        </w:rPr>
        <w:t xml:space="preserve"> 3 de enero de 2019, párrs. 19 y ss; Informe No. 164/17</w:t>
      </w:r>
      <w:r w:rsidR="00FF72CE">
        <w:rPr>
          <w:rFonts w:ascii="Cambria" w:hAnsi="Cambria"/>
          <w:color w:val="auto"/>
          <w:sz w:val="16"/>
          <w:szCs w:val="16"/>
          <w:lang w:val="es-CO"/>
        </w:rPr>
        <w:t>,</w:t>
      </w:r>
      <w:r w:rsidRPr="001842C0">
        <w:rPr>
          <w:rFonts w:ascii="Cambria" w:hAnsi="Cambria"/>
          <w:color w:val="auto"/>
          <w:sz w:val="16"/>
          <w:szCs w:val="16"/>
          <w:lang w:val="es-CO"/>
        </w:rPr>
        <w:t xml:space="preserve"> Admisibilidad</w:t>
      </w:r>
      <w:r w:rsidR="00FF72CE">
        <w:rPr>
          <w:rFonts w:ascii="Cambria" w:hAnsi="Cambria"/>
          <w:color w:val="auto"/>
          <w:sz w:val="16"/>
          <w:szCs w:val="16"/>
          <w:lang w:val="es-CO"/>
        </w:rPr>
        <w:t>,</w:t>
      </w:r>
      <w:r w:rsidRPr="001842C0">
        <w:rPr>
          <w:rFonts w:ascii="Cambria" w:hAnsi="Cambria"/>
          <w:color w:val="auto"/>
          <w:sz w:val="16"/>
          <w:szCs w:val="16"/>
          <w:lang w:val="es-CO"/>
        </w:rPr>
        <w:t xml:space="preserve"> Santiago Adolfo Villegas Delgado</w:t>
      </w:r>
      <w:r w:rsidR="00FF72CE">
        <w:rPr>
          <w:rFonts w:ascii="Cambria" w:hAnsi="Cambria"/>
          <w:color w:val="auto"/>
          <w:sz w:val="16"/>
          <w:szCs w:val="16"/>
          <w:lang w:val="es-CO"/>
        </w:rPr>
        <w:t>,</w:t>
      </w:r>
      <w:r w:rsidRPr="001842C0">
        <w:rPr>
          <w:rFonts w:ascii="Cambria" w:hAnsi="Cambria"/>
          <w:color w:val="auto"/>
          <w:sz w:val="16"/>
          <w:szCs w:val="16"/>
          <w:lang w:val="es-CO"/>
        </w:rPr>
        <w:t xml:space="preserve"> Venezuela</w:t>
      </w:r>
      <w:r w:rsidR="00FF72CE">
        <w:rPr>
          <w:rFonts w:ascii="Cambria" w:hAnsi="Cambria"/>
          <w:color w:val="auto"/>
          <w:sz w:val="16"/>
          <w:szCs w:val="16"/>
          <w:lang w:val="es-CO"/>
        </w:rPr>
        <w:t>,</w:t>
      </w:r>
      <w:r w:rsidRPr="001842C0">
        <w:rPr>
          <w:rFonts w:ascii="Cambria" w:hAnsi="Cambria"/>
          <w:color w:val="auto"/>
          <w:sz w:val="16"/>
          <w:szCs w:val="16"/>
          <w:lang w:val="es-CO"/>
        </w:rPr>
        <w:t xml:space="preserve"> 30 de noviembre de 2017, párr. 12; Informe No. 57/17</w:t>
      </w:r>
      <w:r w:rsidR="00F15815">
        <w:rPr>
          <w:rFonts w:ascii="Cambria" w:hAnsi="Cambria"/>
          <w:color w:val="auto"/>
          <w:sz w:val="16"/>
          <w:szCs w:val="16"/>
          <w:lang w:val="es-CO"/>
        </w:rPr>
        <w:t>,</w:t>
      </w:r>
      <w:r w:rsidRPr="001842C0">
        <w:rPr>
          <w:rFonts w:ascii="Cambria" w:hAnsi="Cambria"/>
          <w:color w:val="auto"/>
          <w:sz w:val="16"/>
          <w:szCs w:val="16"/>
          <w:lang w:val="es-CO"/>
        </w:rPr>
        <w:t xml:space="preserve"> Petición 406-04</w:t>
      </w:r>
      <w:r w:rsidR="00F15815">
        <w:rPr>
          <w:rFonts w:ascii="Cambria" w:hAnsi="Cambria"/>
          <w:color w:val="auto"/>
          <w:sz w:val="16"/>
          <w:szCs w:val="16"/>
          <w:lang w:val="es-CO"/>
        </w:rPr>
        <w:t>,</w:t>
      </w:r>
      <w:r w:rsidRPr="001842C0">
        <w:rPr>
          <w:rFonts w:ascii="Cambria" w:hAnsi="Cambria"/>
          <w:color w:val="auto"/>
          <w:sz w:val="16"/>
          <w:szCs w:val="16"/>
          <w:lang w:val="es-CO"/>
        </w:rPr>
        <w:t xml:space="preserve"> Admisibilidad</w:t>
      </w:r>
      <w:r w:rsidR="00F15815">
        <w:rPr>
          <w:rFonts w:ascii="Cambria" w:hAnsi="Cambria"/>
          <w:color w:val="auto"/>
          <w:sz w:val="16"/>
          <w:szCs w:val="16"/>
          <w:lang w:val="es-CO"/>
        </w:rPr>
        <w:t>,</w:t>
      </w:r>
      <w:r w:rsidRPr="001842C0">
        <w:rPr>
          <w:rFonts w:ascii="Cambria" w:hAnsi="Cambria"/>
          <w:color w:val="auto"/>
          <w:sz w:val="16"/>
          <w:szCs w:val="16"/>
          <w:lang w:val="es-CO"/>
        </w:rPr>
        <w:t xml:space="preserve"> Washington David Espino Muñoz</w:t>
      </w:r>
      <w:r w:rsidR="00F15815">
        <w:rPr>
          <w:rFonts w:ascii="Cambria" w:hAnsi="Cambria"/>
          <w:color w:val="auto"/>
          <w:sz w:val="16"/>
          <w:szCs w:val="16"/>
          <w:lang w:val="es-CO"/>
        </w:rPr>
        <w:t>,</w:t>
      </w:r>
      <w:r w:rsidRPr="001842C0">
        <w:rPr>
          <w:rFonts w:ascii="Cambria" w:hAnsi="Cambria"/>
          <w:color w:val="auto"/>
          <w:sz w:val="16"/>
          <w:szCs w:val="16"/>
          <w:lang w:val="es-CO"/>
        </w:rPr>
        <w:t xml:space="preserve"> República Dominicana</w:t>
      </w:r>
      <w:r w:rsidR="00F15815">
        <w:rPr>
          <w:rFonts w:ascii="Cambria" w:hAnsi="Cambria"/>
          <w:color w:val="auto"/>
          <w:sz w:val="16"/>
          <w:szCs w:val="16"/>
          <w:lang w:val="es-CO"/>
        </w:rPr>
        <w:t>,</w:t>
      </w:r>
      <w:r w:rsidRPr="001842C0">
        <w:rPr>
          <w:rFonts w:ascii="Cambria" w:hAnsi="Cambria"/>
          <w:color w:val="auto"/>
          <w:sz w:val="16"/>
          <w:szCs w:val="16"/>
          <w:lang w:val="es-CO"/>
        </w:rPr>
        <w:t xml:space="preserve"> 5 de junio de 2017, párrs. 26, 27; Informe No. 168/17. Admisibilidad</w:t>
      </w:r>
      <w:r w:rsidR="00F15815">
        <w:rPr>
          <w:rFonts w:ascii="Cambria" w:hAnsi="Cambria"/>
          <w:color w:val="auto"/>
          <w:sz w:val="16"/>
          <w:szCs w:val="16"/>
          <w:lang w:val="es-CO"/>
        </w:rPr>
        <w:t>,</w:t>
      </w:r>
      <w:r w:rsidRPr="001842C0">
        <w:rPr>
          <w:rFonts w:ascii="Cambria" w:hAnsi="Cambria"/>
          <w:color w:val="auto"/>
          <w:sz w:val="16"/>
          <w:szCs w:val="16"/>
          <w:lang w:val="es-CO"/>
        </w:rPr>
        <w:t xml:space="preserve"> Miguel Ángel Morales Morales</w:t>
      </w:r>
      <w:r w:rsidR="00F15815">
        <w:rPr>
          <w:rFonts w:ascii="Cambria" w:hAnsi="Cambria"/>
          <w:color w:val="auto"/>
          <w:sz w:val="16"/>
          <w:szCs w:val="16"/>
          <w:lang w:val="es-CO"/>
        </w:rPr>
        <w:t>,</w:t>
      </w:r>
      <w:r w:rsidRPr="001842C0">
        <w:rPr>
          <w:rFonts w:ascii="Cambria" w:hAnsi="Cambria"/>
          <w:color w:val="auto"/>
          <w:sz w:val="16"/>
          <w:szCs w:val="16"/>
          <w:lang w:val="es-CO"/>
        </w:rPr>
        <w:t xml:space="preserve"> Perú</w:t>
      </w:r>
      <w:r w:rsidR="00F15815">
        <w:rPr>
          <w:rFonts w:ascii="Cambria" w:hAnsi="Cambria"/>
          <w:color w:val="auto"/>
          <w:sz w:val="16"/>
          <w:szCs w:val="16"/>
          <w:lang w:val="es-CO"/>
        </w:rPr>
        <w:t>,</w:t>
      </w:r>
      <w:r w:rsidRPr="001842C0">
        <w:rPr>
          <w:rFonts w:ascii="Cambria" w:hAnsi="Cambria"/>
          <w:color w:val="auto"/>
          <w:sz w:val="16"/>
          <w:szCs w:val="16"/>
          <w:lang w:val="es-CO"/>
        </w:rPr>
        <w:t xml:space="preserve"> 1 de diciembre de 2017, párrs. 15-16; Informe No. 122/17</w:t>
      </w:r>
      <w:r w:rsidR="00A86EC8">
        <w:rPr>
          <w:rFonts w:ascii="Cambria" w:hAnsi="Cambria"/>
          <w:color w:val="auto"/>
          <w:sz w:val="16"/>
          <w:szCs w:val="16"/>
          <w:lang w:val="es-CO"/>
        </w:rPr>
        <w:t>,</w:t>
      </w:r>
      <w:r w:rsidRPr="001842C0">
        <w:rPr>
          <w:rFonts w:ascii="Cambria" w:hAnsi="Cambria"/>
          <w:color w:val="auto"/>
          <w:sz w:val="16"/>
          <w:szCs w:val="16"/>
          <w:lang w:val="es-CO"/>
        </w:rPr>
        <w:t xml:space="preserve"> Petición 156-08</w:t>
      </w:r>
      <w:r w:rsidR="00A86EC8">
        <w:rPr>
          <w:rFonts w:ascii="Cambria" w:hAnsi="Cambria"/>
          <w:color w:val="auto"/>
          <w:sz w:val="16"/>
          <w:szCs w:val="16"/>
          <w:lang w:val="es-CO"/>
        </w:rPr>
        <w:t>,</w:t>
      </w:r>
      <w:r w:rsidRPr="001842C0">
        <w:rPr>
          <w:rFonts w:ascii="Cambria" w:hAnsi="Cambria"/>
          <w:color w:val="auto"/>
          <w:sz w:val="16"/>
          <w:szCs w:val="16"/>
          <w:lang w:val="es-CO"/>
        </w:rPr>
        <w:t xml:space="preserve"> Admisibilidad</w:t>
      </w:r>
      <w:r w:rsidR="00F15815">
        <w:rPr>
          <w:rFonts w:ascii="Cambria" w:hAnsi="Cambria"/>
          <w:color w:val="auto"/>
          <w:sz w:val="16"/>
          <w:szCs w:val="16"/>
          <w:lang w:val="es-CO"/>
        </w:rPr>
        <w:t>,</w:t>
      </w:r>
      <w:r w:rsidRPr="001842C0">
        <w:rPr>
          <w:rFonts w:ascii="Cambria" w:hAnsi="Cambria"/>
          <w:color w:val="auto"/>
          <w:sz w:val="16"/>
          <w:szCs w:val="16"/>
          <w:lang w:val="es-CO"/>
        </w:rPr>
        <w:t xml:space="preserve"> Williams Mariano Paría Tapia</w:t>
      </w:r>
      <w:r w:rsidR="00F15815">
        <w:rPr>
          <w:rFonts w:ascii="Cambria" w:hAnsi="Cambria"/>
          <w:color w:val="auto"/>
          <w:sz w:val="16"/>
          <w:szCs w:val="16"/>
          <w:lang w:val="es-CO"/>
        </w:rPr>
        <w:t>,</w:t>
      </w:r>
      <w:r w:rsidRPr="001842C0">
        <w:rPr>
          <w:rFonts w:ascii="Cambria" w:hAnsi="Cambria"/>
          <w:color w:val="auto"/>
          <w:sz w:val="16"/>
          <w:szCs w:val="16"/>
          <w:lang w:val="es-CO"/>
        </w:rPr>
        <w:t xml:space="preserve"> Perú</w:t>
      </w:r>
      <w:r w:rsidR="00F15815">
        <w:rPr>
          <w:rFonts w:ascii="Cambria" w:hAnsi="Cambria"/>
          <w:color w:val="auto"/>
          <w:sz w:val="16"/>
          <w:szCs w:val="16"/>
          <w:lang w:val="es-CO"/>
        </w:rPr>
        <w:t>,</w:t>
      </w:r>
      <w:r w:rsidRPr="001842C0">
        <w:rPr>
          <w:rFonts w:ascii="Cambria" w:hAnsi="Cambria"/>
          <w:color w:val="auto"/>
          <w:sz w:val="16"/>
          <w:szCs w:val="16"/>
          <w:lang w:val="es-CO"/>
        </w:rPr>
        <w:t xml:space="preserve"> 7 de septiembre de 2017, párrs. 12 y ss; Informe No. 167/17</w:t>
      </w:r>
      <w:r w:rsidR="00A86EC8">
        <w:rPr>
          <w:rFonts w:ascii="Cambria" w:hAnsi="Cambria"/>
          <w:color w:val="auto"/>
          <w:sz w:val="16"/>
          <w:szCs w:val="16"/>
          <w:lang w:val="es-CO"/>
        </w:rPr>
        <w:t>,</w:t>
      </w:r>
      <w:r w:rsidRPr="001842C0">
        <w:rPr>
          <w:rFonts w:ascii="Cambria" w:hAnsi="Cambria"/>
          <w:color w:val="auto"/>
          <w:sz w:val="16"/>
          <w:szCs w:val="16"/>
          <w:lang w:val="es-CO"/>
        </w:rPr>
        <w:t xml:space="preserve"> Admisibilidad</w:t>
      </w:r>
      <w:r w:rsidR="00A86EC8">
        <w:rPr>
          <w:rFonts w:ascii="Cambria" w:hAnsi="Cambria"/>
          <w:color w:val="auto"/>
          <w:sz w:val="16"/>
          <w:szCs w:val="16"/>
          <w:lang w:val="es-CO"/>
        </w:rPr>
        <w:t>,</w:t>
      </w:r>
      <w:r w:rsidRPr="001842C0">
        <w:rPr>
          <w:rFonts w:ascii="Cambria" w:hAnsi="Cambria"/>
          <w:color w:val="auto"/>
          <w:sz w:val="16"/>
          <w:szCs w:val="16"/>
          <w:lang w:val="es-CO"/>
        </w:rPr>
        <w:t xml:space="preserve"> Alberto Patishtán Gómez</w:t>
      </w:r>
      <w:r w:rsidR="00A86EC8">
        <w:rPr>
          <w:rFonts w:ascii="Cambria" w:hAnsi="Cambria"/>
          <w:color w:val="auto"/>
          <w:sz w:val="16"/>
          <w:szCs w:val="16"/>
          <w:lang w:val="es-CO"/>
        </w:rPr>
        <w:t>,</w:t>
      </w:r>
      <w:r w:rsidRPr="001842C0">
        <w:rPr>
          <w:rFonts w:ascii="Cambria" w:hAnsi="Cambria"/>
          <w:color w:val="auto"/>
          <w:sz w:val="16"/>
          <w:szCs w:val="16"/>
          <w:lang w:val="es-CO"/>
        </w:rPr>
        <w:t xml:space="preserve"> México</w:t>
      </w:r>
      <w:r w:rsidR="00A86EC8">
        <w:rPr>
          <w:rFonts w:ascii="Cambria" w:hAnsi="Cambria"/>
          <w:color w:val="auto"/>
          <w:sz w:val="16"/>
          <w:szCs w:val="16"/>
          <w:lang w:val="es-CO"/>
        </w:rPr>
        <w:t>,</w:t>
      </w:r>
      <w:r w:rsidRPr="001842C0">
        <w:rPr>
          <w:rFonts w:ascii="Cambria" w:hAnsi="Cambria"/>
          <w:color w:val="auto"/>
          <w:sz w:val="16"/>
          <w:szCs w:val="16"/>
          <w:lang w:val="es-CO"/>
        </w:rPr>
        <w:t xml:space="preserve"> 1º de diciembre de 2017, párrs. 13 y ss; o Informe No. 114/19</w:t>
      </w:r>
      <w:r w:rsidR="0092485B">
        <w:rPr>
          <w:rFonts w:ascii="Cambria" w:hAnsi="Cambria"/>
          <w:color w:val="auto"/>
          <w:sz w:val="16"/>
          <w:szCs w:val="16"/>
          <w:lang w:val="es-CO"/>
        </w:rPr>
        <w:t>,</w:t>
      </w:r>
      <w:r w:rsidRPr="001842C0">
        <w:rPr>
          <w:rFonts w:ascii="Cambria" w:hAnsi="Cambria"/>
          <w:color w:val="auto"/>
          <w:sz w:val="16"/>
          <w:szCs w:val="16"/>
          <w:lang w:val="es-CO"/>
        </w:rPr>
        <w:t xml:space="preserve"> Petición 1403-09</w:t>
      </w:r>
      <w:r w:rsidR="0092485B">
        <w:rPr>
          <w:rFonts w:ascii="Cambria" w:hAnsi="Cambria"/>
          <w:color w:val="auto"/>
          <w:sz w:val="16"/>
          <w:szCs w:val="16"/>
          <w:lang w:val="es-CO"/>
        </w:rPr>
        <w:t>,</w:t>
      </w:r>
      <w:r w:rsidRPr="001842C0">
        <w:rPr>
          <w:rFonts w:ascii="Cambria" w:hAnsi="Cambria"/>
          <w:color w:val="auto"/>
          <w:sz w:val="16"/>
          <w:szCs w:val="16"/>
          <w:lang w:val="es-CO"/>
        </w:rPr>
        <w:t xml:space="preserve"> Admisibilidad</w:t>
      </w:r>
      <w:r w:rsidR="0092485B">
        <w:rPr>
          <w:rFonts w:ascii="Cambria" w:hAnsi="Cambria"/>
          <w:color w:val="auto"/>
          <w:sz w:val="16"/>
          <w:szCs w:val="16"/>
          <w:lang w:val="es-CO"/>
        </w:rPr>
        <w:t>,</w:t>
      </w:r>
      <w:r w:rsidRPr="001842C0">
        <w:rPr>
          <w:rFonts w:ascii="Cambria" w:hAnsi="Cambria"/>
          <w:color w:val="auto"/>
          <w:sz w:val="16"/>
          <w:szCs w:val="16"/>
          <w:lang w:val="es-CO"/>
        </w:rPr>
        <w:t xml:space="preserve"> Carlos Pizarro Leongómez, María José Pizarro Rodríguez y sus familiares</w:t>
      </w:r>
      <w:r w:rsidR="00A86EC8">
        <w:rPr>
          <w:rFonts w:ascii="Cambria" w:hAnsi="Cambria"/>
          <w:color w:val="auto"/>
          <w:sz w:val="16"/>
          <w:szCs w:val="16"/>
          <w:lang w:val="es-CO"/>
        </w:rPr>
        <w:t>,</w:t>
      </w:r>
      <w:r w:rsidRPr="001842C0">
        <w:rPr>
          <w:rFonts w:ascii="Cambria" w:hAnsi="Cambria"/>
          <w:color w:val="auto"/>
          <w:sz w:val="16"/>
          <w:szCs w:val="16"/>
          <w:lang w:val="es-CO"/>
        </w:rPr>
        <w:t xml:space="preserve"> Colombia</w:t>
      </w:r>
      <w:r w:rsidR="00A86EC8">
        <w:rPr>
          <w:rFonts w:ascii="Cambria" w:hAnsi="Cambria"/>
          <w:color w:val="auto"/>
          <w:sz w:val="16"/>
          <w:szCs w:val="16"/>
          <w:lang w:val="es-CO"/>
        </w:rPr>
        <w:t>,</w:t>
      </w:r>
      <w:r w:rsidRPr="001842C0">
        <w:rPr>
          <w:rFonts w:ascii="Cambria" w:hAnsi="Cambria"/>
          <w:color w:val="auto"/>
          <w:sz w:val="16"/>
          <w:szCs w:val="16"/>
          <w:lang w:val="es-CO"/>
        </w:rPr>
        <w:t xml:space="preserve"> 7 de junio de 2019, párrs. 20 y ss. </w:t>
      </w:r>
    </w:p>
  </w:footnote>
  <w:footnote w:id="15">
    <w:p w14:paraId="11481093" w14:textId="77777777" w:rsidR="00D571E1" w:rsidRPr="00A11B3B" w:rsidRDefault="00D571E1" w:rsidP="00D571E1">
      <w:pPr>
        <w:pStyle w:val="FootnoteText"/>
        <w:ind w:firstLine="720"/>
        <w:jc w:val="both"/>
        <w:rPr>
          <w:rFonts w:ascii="Cambria" w:hAnsi="Cambria"/>
          <w:sz w:val="16"/>
          <w:szCs w:val="16"/>
          <w:lang w:val="es-ES"/>
        </w:rPr>
      </w:pPr>
      <w:r w:rsidRPr="00A11B3B">
        <w:rPr>
          <w:rStyle w:val="FootnoteReference"/>
          <w:rFonts w:ascii="Cambria" w:hAnsi="Cambria"/>
          <w:sz w:val="16"/>
          <w:szCs w:val="16"/>
        </w:rPr>
        <w:footnoteRef/>
      </w:r>
      <w:r w:rsidRPr="00A11B3B">
        <w:rPr>
          <w:rFonts w:ascii="Cambria" w:hAnsi="Cambria"/>
          <w:sz w:val="16"/>
          <w:szCs w:val="16"/>
          <w:lang w:val="es-ES"/>
        </w:rPr>
        <w:t xml:space="preserve"> El artículo 34 del Reglamento de la CIDH dispone: La Comisión declarará inadmisible cualquier petición o caso cuando: a. no exponga hechos que caractericen una violación de los derechos a que se refiere el artículo 27 del presente Reglamento; b. sea manifiestamente infundada o improcedente, según resulte de la exposición del propio peticionario o del Estado; o c. la inadmisibilidad o improcedencia resulten de una información o prueba sobreviniente presentada a la Comisión.</w:t>
      </w:r>
    </w:p>
  </w:footnote>
  <w:footnote w:id="16">
    <w:p w14:paraId="5C9EED93" w14:textId="16915955" w:rsidR="00CB67BA" w:rsidRPr="00A11B3B" w:rsidRDefault="00CB67BA" w:rsidP="00CB67BA">
      <w:pPr>
        <w:pStyle w:val="FootnoteText"/>
        <w:ind w:firstLine="720"/>
        <w:jc w:val="both"/>
        <w:rPr>
          <w:rFonts w:ascii="Cambria" w:hAnsi="Cambria"/>
          <w:sz w:val="16"/>
          <w:szCs w:val="16"/>
          <w:lang w:val="es-ES_tradnl"/>
        </w:rPr>
      </w:pPr>
      <w:r w:rsidRPr="00A11B3B">
        <w:rPr>
          <w:rStyle w:val="FootnoteReference"/>
          <w:rFonts w:ascii="Cambria" w:hAnsi="Cambria"/>
          <w:sz w:val="16"/>
          <w:szCs w:val="16"/>
        </w:rPr>
        <w:footnoteRef/>
      </w:r>
      <w:r w:rsidRPr="00A11B3B">
        <w:rPr>
          <w:rFonts w:ascii="Cambria" w:hAnsi="Cambria"/>
          <w:sz w:val="16"/>
          <w:szCs w:val="16"/>
          <w:lang w:val="es-ES_tradnl"/>
        </w:rPr>
        <w:t xml:space="preserve"> Corte IDH</w:t>
      </w:r>
      <w:r w:rsidR="009A25F5">
        <w:rPr>
          <w:rFonts w:ascii="Cambria" w:hAnsi="Cambria"/>
          <w:sz w:val="16"/>
          <w:szCs w:val="16"/>
          <w:lang w:val="es-ES_tradnl"/>
        </w:rPr>
        <w:t>,</w:t>
      </w:r>
      <w:r w:rsidRPr="00A11B3B">
        <w:rPr>
          <w:rFonts w:ascii="Cambria" w:hAnsi="Cambria"/>
          <w:sz w:val="16"/>
          <w:szCs w:val="16"/>
          <w:lang w:val="es-ES_tradnl"/>
        </w:rPr>
        <w:t xml:space="preserve"> Caso Cabrera García y Montiel Flores Vs. México</w:t>
      </w:r>
      <w:r w:rsidR="009A25F5">
        <w:rPr>
          <w:rFonts w:ascii="Cambria" w:hAnsi="Cambria"/>
          <w:sz w:val="16"/>
          <w:szCs w:val="16"/>
          <w:lang w:val="es-ES_tradnl"/>
        </w:rPr>
        <w:t>,</w:t>
      </w:r>
      <w:r w:rsidRPr="00A11B3B">
        <w:rPr>
          <w:rFonts w:ascii="Cambria" w:hAnsi="Cambria"/>
          <w:sz w:val="16"/>
          <w:szCs w:val="16"/>
          <w:lang w:val="es-ES_tradnl"/>
        </w:rPr>
        <w:t xml:space="preserve"> Excepción Preliminar, Fondo, Reparaciones y Costas</w:t>
      </w:r>
      <w:r w:rsidR="009A25F5">
        <w:rPr>
          <w:rFonts w:ascii="Cambria" w:hAnsi="Cambria"/>
          <w:sz w:val="16"/>
          <w:szCs w:val="16"/>
          <w:lang w:val="es-ES_tradnl"/>
        </w:rPr>
        <w:t>,</w:t>
      </w:r>
      <w:r w:rsidRPr="00A11B3B">
        <w:rPr>
          <w:rFonts w:ascii="Cambria" w:hAnsi="Cambria"/>
          <w:sz w:val="16"/>
          <w:szCs w:val="16"/>
          <w:lang w:val="es-ES_tradnl"/>
        </w:rPr>
        <w:t xml:space="preserve"> Sentencia de 26 de noviembre de 2010</w:t>
      </w:r>
      <w:r w:rsidR="009A25F5">
        <w:rPr>
          <w:rFonts w:ascii="Cambria" w:hAnsi="Cambria"/>
          <w:sz w:val="16"/>
          <w:szCs w:val="16"/>
          <w:lang w:val="es-ES_tradnl"/>
        </w:rPr>
        <w:t>,</w:t>
      </w:r>
      <w:r w:rsidRPr="00A11B3B">
        <w:rPr>
          <w:rFonts w:ascii="Cambria" w:hAnsi="Cambria"/>
          <w:sz w:val="16"/>
          <w:szCs w:val="16"/>
          <w:lang w:val="es-ES_tradnl"/>
        </w:rPr>
        <w:t xml:space="preserve"> Serie C No. 220, párr. 18.</w:t>
      </w:r>
    </w:p>
  </w:footnote>
  <w:footnote w:id="17">
    <w:p w14:paraId="580CFC1D" w14:textId="6B85699A" w:rsidR="00CB67BA" w:rsidRPr="00A11B3B" w:rsidRDefault="00CB67BA" w:rsidP="00CB67BA">
      <w:pPr>
        <w:pStyle w:val="FootnoteText"/>
        <w:ind w:firstLine="720"/>
        <w:jc w:val="both"/>
        <w:rPr>
          <w:rFonts w:ascii="Cambria" w:hAnsi="Cambria"/>
          <w:sz w:val="16"/>
          <w:szCs w:val="16"/>
          <w:lang w:val="es-ES_tradnl"/>
        </w:rPr>
      </w:pPr>
      <w:r w:rsidRPr="00A11B3B">
        <w:rPr>
          <w:rStyle w:val="FootnoteReference"/>
          <w:rFonts w:ascii="Cambria" w:hAnsi="Cambria"/>
          <w:sz w:val="16"/>
          <w:szCs w:val="16"/>
        </w:rPr>
        <w:footnoteRef/>
      </w:r>
      <w:r w:rsidRPr="00A11B3B">
        <w:rPr>
          <w:rFonts w:ascii="Cambria" w:hAnsi="Cambria"/>
          <w:sz w:val="16"/>
          <w:szCs w:val="16"/>
          <w:lang w:val="es-ES_tradnl"/>
        </w:rPr>
        <w:t xml:space="preserve"> Corte IDH</w:t>
      </w:r>
      <w:r w:rsidR="009A25F5">
        <w:rPr>
          <w:rFonts w:ascii="Cambria" w:hAnsi="Cambria"/>
          <w:sz w:val="16"/>
          <w:szCs w:val="16"/>
          <w:lang w:val="es-ES_tradnl"/>
        </w:rPr>
        <w:t>,</w:t>
      </w:r>
      <w:r w:rsidRPr="00A11B3B">
        <w:rPr>
          <w:rFonts w:ascii="Cambria" w:hAnsi="Cambria"/>
          <w:sz w:val="16"/>
          <w:szCs w:val="16"/>
          <w:lang w:val="es-ES_tradnl"/>
        </w:rPr>
        <w:t xml:space="preserve"> Caso Cabrera García y Montiel Flores Vs. México</w:t>
      </w:r>
      <w:r w:rsidR="009A25F5">
        <w:rPr>
          <w:rFonts w:ascii="Cambria" w:hAnsi="Cambria"/>
          <w:sz w:val="16"/>
          <w:szCs w:val="16"/>
          <w:lang w:val="es-ES_tradnl"/>
        </w:rPr>
        <w:t>,</w:t>
      </w:r>
      <w:r w:rsidRPr="00A11B3B">
        <w:rPr>
          <w:rFonts w:ascii="Cambria" w:hAnsi="Cambria"/>
          <w:sz w:val="16"/>
          <w:szCs w:val="16"/>
          <w:lang w:val="es-ES_tradnl"/>
        </w:rPr>
        <w:t xml:space="preserve"> Excepción Preliminar, Fondo, Reparaciones y Costas</w:t>
      </w:r>
      <w:r w:rsidR="009A25F5">
        <w:rPr>
          <w:rFonts w:ascii="Cambria" w:hAnsi="Cambria"/>
          <w:sz w:val="16"/>
          <w:szCs w:val="16"/>
          <w:lang w:val="es-ES_tradnl"/>
        </w:rPr>
        <w:t>,</w:t>
      </w:r>
      <w:r w:rsidRPr="00A11B3B">
        <w:rPr>
          <w:rFonts w:ascii="Cambria" w:hAnsi="Cambria"/>
          <w:sz w:val="16"/>
          <w:szCs w:val="16"/>
          <w:lang w:val="es-ES_tradnl"/>
        </w:rPr>
        <w:t xml:space="preserve"> Sentencia de 26 de noviembre de 2010</w:t>
      </w:r>
      <w:r w:rsidR="009A25F5">
        <w:rPr>
          <w:rFonts w:ascii="Cambria" w:hAnsi="Cambria"/>
          <w:sz w:val="16"/>
          <w:szCs w:val="16"/>
          <w:lang w:val="es-ES_tradnl"/>
        </w:rPr>
        <w:t>,</w:t>
      </w:r>
      <w:r w:rsidRPr="00A11B3B">
        <w:rPr>
          <w:rFonts w:ascii="Cambria" w:hAnsi="Cambria"/>
          <w:sz w:val="16"/>
          <w:szCs w:val="16"/>
          <w:lang w:val="es-ES_tradnl"/>
        </w:rPr>
        <w:t xml:space="preserve"> Serie C No. 220, párr. 19.</w:t>
      </w:r>
    </w:p>
  </w:footnote>
  <w:footnote w:id="18">
    <w:p w14:paraId="0530CAF7" w14:textId="2D2E59FA" w:rsidR="00CB67BA" w:rsidRPr="00A11B3B" w:rsidRDefault="00CB67BA" w:rsidP="00CB67BA">
      <w:pPr>
        <w:pStyle w:val="FootnoteText"/>
        <w:ind w:firstLine="720"/>
        <w:jc w:val="both"/>
        <w:rPr>
          <w:rFonts w:ascii="Cambria" w:hAnsi="Cambria"/>
          <w:sz w:val="16"/>
          <w:szCs w:val="16"/>
          <w:lang w:val="es-ES_tradnl"/>
        </w:rPr>
      </w:pPr>
      <w:r w:rsidRPr="00A11B3B">
        <w:rPr>
          <w:rStyle w:val="FootnoteReference"/>
          <w:rFonts w:ascii="Cambria" w:hAnsi="Cambria"/>
          <w:sz w:val="16"/>
          <w:szCs w:val="16"/>
        </w:rPr>
        <w:footnoteRef/>
      </w:r>
      <w:r w:rsidRPr="00A11B3B">
        <w:rPr>
          <w:rFonts w:ascii="Cambria" w:hAnsi="Cambria"/>
          <w:sz w:val="16"/>
          <w:szCs w:val="16"/>
          <w:lang w:val="es-ES_tradnl"/>
        </w:rPr>
        <w:t xml:space="preserve"> Corte IDH</w:t>
      </w:r>
      <w:r w:rsidR="009A25F5">
        <w:rPr>
          <w:rFonts w:ascii="Cambria" w:hAnsi="Cambria"/>
          <w:sz w:val="16"/>
          <w:szCs w:val="16"/>
          <w:lang w:val="es-ES_tradnl"/>
        </w:rPr>
        <w:t>,</w:t>
      </w:r>
      <w:r w:rsidRPr="00A11B3B">
        <w:rPr>
          <w:rFonts w:ascii="Cambria" w:hAnsi="Cambria"/>
          <w:sz w:val="16"/>
          <w:szCs w:val="16"/>
          <w:lang w:val="es-ES_tradnl"/>
        </w:rPr>
        <w:t xml:space="preserve"> Caso Palma Mendoza y otros Vs. Ecuador</w:t>
      </w:r>
      <w:r w:rsidR="009A25F5">
        <w:rPr>
          <w:rFonts w:ascii="Cambria" w:hAnsi="Cambria"/>
          <w:sz w:val="16"/>
          <w:szCs w:val="16"/>
          <w:lang w:val="es-ES_tradnl"/>
        </w:rPr>
        <w:t>,</w:t>
      </w:r>
      <w:r w:rsidRPr="00A11B3B">
        <w:rPr>
          <w:rFonts w:ascii="Cambria" w:hAnsi="Cambria"/>
          <w:sz w:val="16"/>
          <w:szCs w:val="16"/>
          <w:lang w:val="es-ES_tradnl"/>
        </w:rPr>
        <w:t xml:space="preserve"> Excepción Preliminar y Fondo</w:t>
      </w:r>
      <w:r w:rsidR="00B308DA">
        <w:rPr>
          <w:rFonts w:ascii="Cambria" w:hAnsi="Cambria"/>
          <w:sz w:val="16"/>
          <w:szCs w:val="16"/>
          <w:lang w:val="es-ES_tradnl"/>
        </w:rPr>
        <w:t>,</w:t>
      </w:r>
      <w:r w:rsidRPr="00A11B3B">
        <w:rPr>
          <w:rFonts w:ascii="Cambria" w:hAnsi="Cambria"/>
          <w:sz w:val="16"/>
          <w:szCs w:val="16"/>
          <w:lang w:val="es-ES_tradnl"/>
        </w:rPr>
        <w:t xml:space="preserve"> Sentencia de 3 de septiembre de 2012</w:t>
      </w:r>
      <w:r w:rsidR="00B308DA">
        <w:rPr>
          <w:rFonts w:ascii="Cambria" w:hAnsi="Cambria"/>
          <w:sz w:val="16"/>
          <w:szCs w:val="16"/>
          <w:lang w:val="es-ES_tradnl"/>
        </w:rPr>
        <w:t>,</w:t>
      </w:r>
      <w:r w:rsidRPr="00A11B3B">
        <w:rPr>
          <w:rFonts w:ascii="Cambria" w:hAnsi="Cambria"/>
          <w:sz w:val="16"/>
          <w:szCs w:val="16"/>
          <w:lang w:val="es-ES_tradnl"/>
        </w:rPr>
        <w:t xml:space="preserve"> </w:t>
      </w:r>
      <w:r w:rsidRPr="00653838">
        <w:rPr>
          <w:rFonts w:ascii="Cambria" w:hAnsi="Cambria"/>
          <w:sz w:val="16"/>
          <w:szCs w:val="16"/>
          <w:lang w:val="es-ES"/>
        </w:rPr>
        <w:t xml:space="preserve">Serie C No. 247, párr. 18; Caso Rosadio Villavicencio Vs. </w:t>
      </w:r>
      <w:r w:rsidRPr="00A11B3B">
        <w:rPr>
          <w:rFonts w:ascii="Cambria" w:hAnsi="Cambria"/>
          <w:sz w:val="16"/>
          <w:szCs w:val="16"/>
          <w:lang w:val="es-ES_tradnl"/>
        </w:rPr>
        <w:t>Perú</w:t>
      </w:r>
      <w:r w:rsidR="00B308DA">
        <w:rPr>
          <w:rFonts w:ascii="Cambria" w:hAnsi="Cambria"/>
          <w:sz w:val="16"/>
          <w:szCs w:val="16"/>
          <w:lang w:val="es-ES_tradnl"/>
        </w:rPr>
        <w:t>,</w:t>
      </w:r>
      <w:r w:rsidRPr="00A11B3B">
        <w:rPr>
          <w:rFonts w:ascii="Cambria" w:hAnsi="Cambria"/>
          <w:sz w:val="16"/>
          <w:szCs w:val="16"/>
          <w:lang w:val="es-ES_tradnl"/>
        </w:rPr>
        <w:t xml:space="preserve"> Excepciones Preliminares, Fondo, Reparaciones y Costas</w:t>
      </w:r>
      <w:r w:rsidR="00B308DA">
        <w:rPr>
          <w:rFonts w:ascii="Cambria" w:hAnsi="Cambria"/>
          <w:sz w:val="16"/>
          <w:szCs w:val="16"/>
          <w:lang w:val="es-ES_tradnl"/>
        </w:rPr>
        <w:t>,</w:t>
      </w:r>
      <w:r w:rsidRPr="00A11B3B">
        <w:rPr>
          <w:rFonts w:ascii="Cambria" w:hAnsi="Cambria"/>
          <w:sz w:val="16"/>
          <w:szCs w:val="16"/>
          <w:lang w:val="es-ES_tradnl"/>
        </w:rPr>
        <w:t xml:space="preserve"> </w:t>
      </w:r>
      <w:r w:rsidRPr="00A11B3B">
        <w:rPr>
          <w:rFonts w:ascii="Cambria" w:hAnsi="Cambria"/>
          <w:sz w:val="16"/>
          <w:szCs w:val="16"/>
          <w:lang w:val="es-US"/>
        </w:rPr>
        <w:t>Sentencia de 14 de octubre de 2019</w:t>
      </w:r>
      <w:r w:rsidR="00B308DA">
        <w:rPr>
          <w:rFonts w:ascii="Cambria" w:hAnsi="Cambria"/>
          <w:sz w:val="16"/>
          <w:szCs w:val="16"/>
          <w:lang w:val="es-US"/>
        </w:rPr>
        <w:t>,</w:t>
      </w:r>
      <w:r w:rsidRPr="00A11B3B">
        <w:rPr>
          <w:rFonts w:ascii="Cambria" w:hAnsi="Cambria"/>
          <w:sz w:val="16"/>
          <w:szCs w:val="16"/>
          <w:lang w:val="es-US"/>
        </w:rPr>
        <w:t xml:space="preserve"> Serie C No. 388., párr. 24; </w:t>
      </w:r>
      <w:r w:rsidRPr="00A11B3B">
        <w:rPr>
          <w:rFonts w:ascii="Cambria" w:hAnsi="Cambria"/>
          <w:sz w:val="16"/>
          <w:szCs w:val="16"/>
          <w:lang w:val="es-ES_tradnl"/>
        </w:rPr>
        <w:t>Caso Cabrera García y Montiel Flores Vs. México</w:t>
      </w:r>
      <w:r w:rsidR="00B308DA">
        <w:rPr>
          <w:rFonts w:ascii="Cambria" w:hAnsi="Cambria"/>
          <w:sz w:val="16"/>
          <w:szCs w:val="16"/>
          <w:lang w:val="es-ES_tradnl"/>
        </w:rPr>
        <w:t>,</w:t>
      </w:r>
      <w:r w:rsidRPr="00A11B3B">
        <w:rPr>
          <w:rFonts w:ascii="Cambria" w:hAnsi="Cambria"/>
          <w:sz w:val="16"/>
          <w:szCs w:val="16"/>
          <w:lang w:val="es-ES_tradnl"/>
        </w:rPr>
        <w:t xml:space="preserve"> Excepción Preliminar, Fondo, Reparaciones y Costas</w:t>
      </w:r>
      <w:r w:rsidR="00B308DA">
        <w:rPr>
          <w:rFonts w:ascii="Cambria" w:hAnsi="Cambria"/>
          <w:sz w:val="16"/>
          <w:szCs w:val="16"/>
          <w:lang w:val="es-ES_tradnl"/>
        </w:rPr>
        <w:t>,</w:t>
      </w:r>
      <w:r w:rsidRPr="00A11B3B">
        <w:rPr>
          <w:rFonts w:ascii="Cambria" w:hAnsi="Cambria"/>
          <w:sz w:val="16"/>
          <w:szCs w:val="16"/>
          <w:lang w:val="es-ES_tradnl"/>
        </w:rPr>
        <w:t xml:space="preserve"> </w:t>
      </w:r>
      <w:r w:rsidRPr="00A11B3B">
        <w:rPr>
          <w:rFonts w:ascii="Cambria" w:hAnsi="Cambria"/>
          <w:sz w:val="16"/>
          <w:szCs w:val="16"/>
          <w:lang w:val="es-US"/>
        </w:rPr>
        <w:t>Sentencia de 26 de noviembre de 2010</w:t>
      </w:r>
      <w:r w:rsidR="00B308DA">
        <w:rPr>
          <w:rFonts w:ascii="Cambria" w:hAnsi="Cambria"/>
          <w:sz w:val="16"/>
          <w:szCs w:val="16"/>
          <w:lang w:val="es-US"/>
        </w:rPr>
        <w:t>,</w:t>
      </w:r>
      <w:r w:rsidRPr="00A11B3B">
        <w:rPr>
          <w:rFonts w:ascii="Cambria" w:hAnsi="Cambria"/>
          <w:sz w:val="16"/>
          <w:szCs w:val="16"/>
          <w:lang w:val="es-US"/>
        </w:rPr>
        <w:t xml:space="preserve"> Serie C No. 220, párr. 19.</w:t>
      </w:r>
    </w:p>
  </w:footnote>
  <w:footnote w:id="19">
    <w:p w14:paraId="530B01BF" w14:textId="4EE7ABAC" w:rsidR="00717F75" w:rsidRPr="00134496" w:rsidRDefault="00717F75" w:rsidP="00717F75">
      <w:pPr>
        <w:pStyle w:val="FootnoteText"/>
        <w:ind w:firstLine="720"/>
        <w:jc w:val="both"/>
        <w:rPr>
          <w:rFonts w:ascii="Cambria" w:hAnsi="Cambria"/>
          <w:sz w:val="16"/>
          <w:szCs w:val="16"/>
          <w:highlight w:val="yellow"/>
          <w:lang w:val="es-VE"/>
        </w:rPr>
      </w:pPr>
      <w:r w:rsidRPr="00134496">
        <w:rPr>
          <w:rStyle w:val="FootnoteReference"/>
          <w:rFonts w:ascii="Cambria" w:hAnsi="Cambria"/>
          <w:sz w:val="16"/>
          <w:szCs w:val="16"/>
          <w:lang w:val="es-VE"/>
        </w:rPr>
        <w:footnoteRef/>
      </w:r>
      <w:r w:rsidRPr="00134496">
        <w:rPr>
          <w:rFonts w:ascii="Cambria" w:hAnsi="Cambria"/>
          <w:sz w:val="16"/>
          <w:szCs w:val="16"/>
          <w:lang w:val="es-VE"/>
        </w:rPr>
        <w:t xml:space="preserve"> CIDH, Informe No. 39/96, Caso 11.673, Admisibilidad, Santiago Marzioni, Argentina, 15 de octubre de 1996, </w:t>
      </w:r>
      <w:r w:rsidR="005B065C">
        <w:rPr>
          <w:rFonts w:ascii="Cambria" w:hAnsi="Cambria"/>
          <w:sz w:val="16"/>
          <w:szCs w:val="16"/>
          <w:lang w:val="es-VE"/>
        </w:rPr>
        <w:t xml:space="preserve">publicado en </w:t>
      </w:r>
      <w:r w:rsidR="0027486F">
        <w:rPr>
          <w:rFonts w:ascii="Cambria" w:hAnsi="Cambria"/>
          <w:sz w:val="16"/>
          <w:szCs w:val="16"/>
          <w:lang w:val="es-VE"/>
        </w:rPr>
        <w:t xml:space="preserve">el </w:t>
      </w:r>
      <w:r w:rsidRPr="00134496">
        <w:rPr>
          <w:rFonts w:ascii="Cambria" w:hAnsi="Cambria"/>
          <w:sz w:val="16"/>
          <w:szCs w:val="16"/>
          <w:lang w:val="es-VE"/>
        </w:rPr>
        <w:t>Informe Anual CIDH 199</w:t>
      </w:r>
      <w:r>
        <w:rPr>
          <w:rFonts w:ascii="Cambria" w:hAnsi="Cambria"/>
          <w:sz w:val="16"/>
          <w:szCs w:val="16"/>
          <w:lang w:val="es-VE"/>
        </w:rPr>
        <w:t xml:space="preserve">6, párr. </w:t>
      </w:r>
      <w:r w:rsidR="005B065C">
        <w:rPr>
          <w:rFonts w:ascii="Cambria" w:hAnsi="Cambria"/>
          <w:sz w:val="16"/>
          <w:szCs w:val="16"/>
          <w:lang w:val="es-VE"/>
        </w:rPr>
        <w:t>43;</w:t>
      </w:r>
      <w:r w:rsidR="0008207C">
        <w:rPr>
          <w:rFonts w:ascii="Cambria" w:hAnsi="Cambria"/>
          <w:sz w:val="16"/>
          <w:szCs w:val="16"/>
          <w:lang w:val="es-VE"/>
        </w:rPr>
        <w:t xml:space="preserve"> y </w:t>
      </w:r>
      <w:r w:rsidR="0008207C" w:rsidRPr="00653838">
        <w:rPr>
          <w:rFonts w:ascii="Cambria" w:hAnsi="Cambria"/>
          <w:sz w:val="16"/>
          <w:szCs w:val="16"/>
          <w:lang w:val="es-US"/>
        </w:rPr>
        <w:t>CIDH, Informe No. 221/19</w:t>
      </w:r>
      <w:r w:rsidR="000E5A68">
        <w:rPr>
          <w:rFonts w:ascii="Cambria" w:hAnsi="Cambria"/>
          <w:sz w:val="16"/>
          <w:szCs w:val="16"/>
          <w:lang w:val="es-US"/>
        </w:rPr>
        <w:t>,</w:t>
      </w:r>
      <w:r w:rsidR="0008207C" w:rsidRPr="00653838">
        <w:rPr>
          <w:rFonts w:ascii="Cambria" w:hAnsi="Cambria"/>
          <w:sz w:val="16"/>
          <w:szCs w:val="16"/>
          <w:lang w:val="es-US"/>
        </w:rPr>
        <w:t xml:space="preserve"> </w:t>
      </w:r>
      <w:r w:rsidR="0008207C" w:rsidRPr="0008207C">
        <w:rPr>
          <w:rFonts w:ascii="Cambria" w:hAnsi="Cambria"/>
          <w:sz w:val="16"/>
          <w:szCs w:val="16"/>
          <w:lang w:val="es-ES_tradnl"/>
        </w:rPr>
        <w:t>Admisibilidad</w:t>
      </w:r>
      <w:r w:rsidR="000E5A68">
        <w:rPr>
          <w:rFonts w:ascii="Cambria" w:hAnsi="Cambria"/>
          <w:sz w:val="16"/>
          <w:szCs w:val="16"/>
          <w:lang w:val="es-ES_tradnl"/>
        </w:rPr>
        <w:t>,</w:t>
      </w:r>
      <w:r w:rsidR="0008207C" w:rsidRPr="0008207C">
        <w:rPr>
          <w:rFonts w:ascii="Cambria" w:hAnsi="Cambria"/>
          <w:sz w:val="16"/>
          <w:szCs w:val="16"/>
          <w:lang w:val="es-ES_tradnl"/>
        </w:rPr>
        <w:t xml:space="preserve"> Francisco Pompeyo Ramos Marrau</w:t>
      </w:r>
      <w:r w:rsidR="000E5A68">
        <w:rPr>
          <w:rFonts w:ascii="Cambria" w:hAnsi="Cambria"/>
          <w:sz w:val="16"/>
          <w:szCs w:val="16"/>
          <w:lang w:val="es-ES_tradnl"/>
        </w:rPr>
        <w:t>,</w:t>
      </w:r>
      <w:r w:rsidR="0008207C" w:rsidRPr="0008207C">
        <w:rPr>
          <w:rFonts w:ascii="Cambria" w:hAnsi="Cambria"/>
          <w:sz w:val="16"/>
          <w:szCs w:val="16"/>
          <w:lang w:val="es-ES_tradnl"/>
        </w:rPr>
        <w:t xml:space="preserve"> Argentina</w:t>
      </w:r>
      <w:r w:rsidR="000E5A68">
        <w:rPr>
          <w:rFonts w:ascii="Cambria" w:hAnsi="Cambria"/>
          <w:sz w:val="16"/>
          <w:szCs w:val="16"/>
          <w:lang w:val="es-ES_tradnl"/>
        </w:rPr>
        <w:t>,</w:t>
      </w:r>
      <w:r w:rsidR="0008207C" w:rsidRPr="0008207C">
        <w:rPr>
          <w:rFonts w:ascii="Cambria" w:hAnsi="Cambria"/>
          <w:sz w:val="16"/>
          <w:szCs w:val="16"/>
          <w:lang w:val="es-ES_tradnl"/>
        </w:rPr>
        <w:t xml:space="preserve"> </w:t>
      </w:r>
      <w:r w:rsidR="0008207C" w:rsidRPr="0008207C">
        <w:rPr>
          <w:rFonts w:ascii="Cambria" w:hAnsi="Cambria"/>
          <w:sz w:val="16"/>
          <w:szCs w:val="16"/>
          <w:lang w:val="es-ES"/>
        </w:rPr>
        <w:t>24 de octubre de 2019</w:t>
      </w:r>
      <w:r w:rsidR="0008207C">
        <w:rPr>
          <w:rFonts w:ascii="Cambria" w:hAnsi="Cambria"/>
          <w:sz w:val="16"/>
          <w:szCs w:val="16"/>
          <w:lang w:val="es-ES"/>
        </w:rPr>
        <w:t>, párr. 17.</w:t>
      </w:r>
    </w:p>
  </w:footnote>
  <w:footnote w:id="20">
    <w:p w14:paraId="4257CFB0" w14:textId="7D719ECC" w:rsidR="0008207C" w:rsidRPr="0008207C" w:rsidRDefault="0008207C" w:rsidP="0008207C">
      <w:pPr>
        <w:pStyle w:val="FootnoteText"/>
        <w:ind w:firstLine="709"/>
        <w:rPr>
          <w:rFonts w:ascii="Cambria" w:hAnsi="Cambria"/>
          <w:sz w:val="16"/>
          <w:szCs w:val="16"/>
          <w:lang w:val="es-ES"/>
        </w:rPr>
      </w:pPr>
      <w:r w:rsidRPr="0008207C">
        <w:rPr>
          <w:rStyle w:val="FootnoteReference"/>
          <w:rFonts w:ascii="Cambria" w:hAnsi="Cambria"/>
          <w:sz w:val="16"/>
          <w:szCs w:val="16"/>
        </w:rPr>
        <w:footnoteRef/>
      </w:r>
      <w:r w:rsidRPr="0008207C">
        <w:rPr>
          <w:rFonts w:ascii="Cambria" w:hAnsi="Cambria"/>
          <w:sz w:val="16"/>
          <w:szCs w:val="16"/>
          <w:lang w:val="es-ES"/>
        </w:rPr>
        <w:t xml:space="preserve"> </w:t>
      </w:r>
      <w:r w:rsidRPr="00653838">
        <w:rPr>
          <w:rFonts w:ascii="Cambria" w:hAnsi="Cambria"/>
          <w:sz w:val="16"/>
          <w:szCs w:val="16"/>
          <w:lang w:val="es-US"/>
        </w:rPr>
        <w:t>CIDH, Informe No. 221/19</w:t>
      </w:r>
      <w:r w:rsidR="000E5A68">
        <w:rPr>
          <w:rFonts w:ascii="Cambria" w:hAnsi="Cambria"/>
          <w:sz w:val="16"/>
          <w:szCs w:val="16"/>
          <w:lang w:val="es-US"/>
        </w:rPr>
        <w:t>,</w:t>
      </w:r>
      <w:r w:rsidRPr="00653838">
        <w:rPr>
          <w:rFonts w:ascii="Cambria" w:hAnsi="Cambria"/>
          <w:sz w:val="16"/>
          <w:szCs w:val="16"/>
          <w:lang w:val="es-US"/>
        </w:rPr>
        <w:t xml:space="preserve"> </w:t>
      </w:r>
      <w:r w:rsidRPr="0008207C">
        <w:rPr>
          <w:rFonts w:ascii="Cambria" w:hAnsi="Cambria"/>
          <w:sz w:val="16"/>
          <w:szCs w:val="16"/>
          <w:lang w:val="es-ES_tradnl"/>
        </w:rPr>
        <w:t>Admisibilidad</w:t>
      </w:r>
      <w:r w:rsidR="000E5A68">
        <w:rPr>
          <w:rFonts w:ascii="Cambria" w:hAnsi="Cambria"/>
          <w:sz w:val="16"/>
          <w:szCs w:val="16"/>
          <w:lang w:val="es-ES_tradnl"/>
        </w:rPr>
        <w:t>,</w:t>
      </w:r>
      <w:r w:rsidRPr="0008207C">
        <w:rPr>
          <w:rFonts w:ascii="Cambria" w:hAnsi="Cambria"/>
          <w:sz w:val="16"/>
          <w:szCs w:val="16"/>
          <w:lang w:val="es-ES_tradnl"/>
        </w:rPr>
        <w:t xml:space="preserve"> Francisco Pompeyo Ramos Marrau</w:t>
      </w:r>
      <w:r w:rsidR="000E5A68">
        <w:rPr>
          <w:rFonts w:ascii="Cambria" w:hAnsi="Cambria"/>
          <w:sz w:val="16"/>
          <w:szCs w:val="16"/>
          <w:lang w:val="es-ES_tradnl"/>
        </w:rPr>
        <w:t>,</w:t>
      </w:r>
      <w:r w:rsidRPr="0008207C">
        <w:rPr>
          <w:rFonts w:ascii="Cambria" w:hAnsi="Cambria"/>
          <w:sz w:val="16"/>
          <w:szCs w:val="16"/>
          <w:lang w:val="es-ES_tradnl"/>
        </w:rPr>
        <w:t xml:space="preserve"> Argentina</w:t>
      </w:r>
      <w:r w:rsidR="000E5A68">
        <w:rPr>
          <w:rFonts w:ascii="Cambria" w:hAnsi="Cambria"/>
          <w:sz w:val="16"/>
          <w:szCs w:val="16"/>
          <w:lang w:val="es-ES_tradnl"/>
        </w:rPr>
        <w:t>,</w:t>
      </w:r>
      <w:r w:rsidRPr="0008207C">
        <w:rPr>
          <w:rFonts w:ascii="Cambria" w:hAnsi="Cambria"/>
          <w:sz w:val="16"/>
          <w:szCs w:val="16"/>
          <w:lang w:val="es-ES_tradnl"/>
        </w:rPr>
        <w:t xml:space="preserve"> </w:t>
      </w:r>
      <w:r w:rsidRPr="0008207C">
        <w:rPr>
          <w:rFonts w:ascii="Cambria" w:hAnsi="Cambria"/>
          <w:sz w:val="16"/>
          <w:szCs w:val="16"/>
          <w:lang w:val="es-ES"/>
        </w:rPr>
        <w:t>24 de octubre de 2019, párr. 17</w:t>
      </w:r>
      <w:r>
        <w:rPr>
          <w:rFonts w:ascii="Cambria" w:hAnsi="Cambria"/>
          <w:sz w:val="16"/>
          <w:szCs w:val="16"/>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5B491C" w:rsidP="00A50FCF">
    <w:pPr>
      <w:pStyle w:val="Header"/>
      <w:tabs>
        <w:tab w:val="clear" w:pos="4320"/>
        <w:tab w:val="clear" w:pos="8640"/>
      </w:tabs>
      <w:jc w:val="center"/>
      <w:rPr>
        <w:sz w:val="22"/>
        <w:szCs w:val="22"/>
      </w:rPr>
    </w:pPr>
    <w:r>
      <w:rPr>
        <w:noProof/>
        <w:sz w:val="22"/>
        <w:szCs w:val="22"/>
        <w:bdr w:val="nil"/>
      </w:rPr>
      <w:pict w14:anchorId="7D34F667">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3BE330E0"/>
    <w:multiLevelType w:val="hybridMultilevel"/>
    <w:tmpl w:val="2712367C"/>
    <w:lvl w:ilvl="0" w:tplc="7E1ECD9E">
      <w:start w:val="1"/>
      <w:numFmt w:val="decimal"/>
      <w:lvlText w:val="%1."/>
      <w:lvlJc w:val="left"/>
      <w:pPr>
        <w:tabs>
          <w:tab w:val="num" w:pos="720"/>
        </w:tabs>
        <w:ind w:left="0" w:firstLine="720"/>
      </w:pPr>
      <w:rPr>
        <w:rFonts w:hint="default"/>
        <w:b w:val="0"/>
        <w:bCs/>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BED2318"/>
    <w:multiLevelType w:val="hybridMultilevel"/>
    <w:tmpl w:val="B770D7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0C05A03"/>
    <w:multiLevelType w:val="hybridMultilevel"/>
    <w:tmpl w:val="A53EC6A6"/>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D0467A5"/>
    <w:multiLevelType w:val="hybridMultilevel"/>
    <w:tmpl w:val="A53EC6A6"/>
    <w:lvl w:ilvl="0" w:tplc="6A00DA44">
      <w:start w:val="1"/>
      <w:numFmt w:val="decimal"/>
      <w:lvlText w:val="%1."/>
      <w:lvlJc w:val="left"/>
      <w:pPr>
        <w:ind w:left="3555" w:hanging="360"/>
      </w:pPr>
      <w:rPr>
        <w:color w:val="auto"/>
      </w:rPr>
    </w:lvl>
    <w:lvl w:ilvl="1" w:tplc="04090019" w:tentative="1">
      <w:start w:val="1"/>
      <w:numFmt w:val="lowerLetter"/>
      <w:lvlText w:val="%2."/>
      <w:lvlJc w:val="left"/>
      <w:pPr>
        <w:ind w:left="4275" w:hanging="360"/>
      </w:pPr>
    </w:lvl>
    <w:lvl w:ilvl="2" w:tplc="0409001B" w:tentative="1">
      <w:start w:val="1"/>
      <w:numFmt w:val="lowerRoman"/>
      <w:lvlText w:val="%3."/>
      <w:lvlJc w:val="right"/>
      <w:pPr>
        <w:ind w:left="4995" w:hanging="180"/>
      </w:pPr>
    </w:lvl>
    <w:lvl w:ilvl="3" w:tplc="0409000F" w:tentative="1">
      <w:start w:val="1"/>
      <w:numFmt w:val="decimal"/>
      <w:lvlText w:val="%4."/>
      <w:lvlJc w:val="left"/>
      <w:pPr>
        <w:ind w:left="5715" w:hanging="360"/>
      </w:pPr>
    </w:lvl>
    <w:lvl w:ilvl="4" w:tplc="04090019" w:tentative="1">
      <w:start w:val="1"/>
      <w:numFmt w:val="lowerLetter"/>
      <w:lvlText w:val="%5."/>
      <w:lvlJc w:val="left"/>
      <w:pPr>
        <w:ind w:left="6435" w:hanging="360"/>
      </w:pPr>
    </w:lvl>
    <w:lvl w:ilvl="5" w:tplc="0409001B" w:tentative="1">
      <w:start w:val="1"/>
      <w:numFmt w:val="lowerRoman"/>
      <w:lvlText w:val="%6."/>
      <w:lvlJc w:val="right"/>
      <w:pPr>
        <w:ind w:left="7155" w:hanging="180"/>
      </w:pPr>
    </w:lvl>
    <w:lvl w:ilvl="6" w:tplc="0409000F" w:tentative="1">
      <w:start w:val="1"/>
      <w:numFmt w:val="decimal"/>
      <w:lvlText w:val="%7."/>
      <w:lvlJc w:val="left"/>
      <w:pPr>
        <w:ind w:left="7875" w:hanging="360"/>
      </w:pPr>
    </w:lvl>
    <w:lvl w:ilvl="7" w:tplc="04090019" w:tentative="1">
      <w:start w:val="1"/>
      <w:numFmt w:val="lowerLetter"/>
      <w:lvlText w:val="%8."/>
      <w:lvlJc w:val="left"/>
      <w:pPr>
        <w:ind w:left="8595" w:hanging="360"/>
      </w:pPr>
    </w:lvl>
    <w:lvl w:ilvl="8" w:tplc="0409001B" w:tentative="1">
      <w:start w:val="1"/>
      <w:numFmt w:val="lowerRoman"/>
      <w:lvlText w:val="%9."/>
      <w:lvlJc w:val="right"/>
      <w:pPr>
        <w:ind w:left="9315" w:hanging="180"/>
      </w:p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1903036">
    <w:abstractNumId w:val="3"/>
  </w:num>
  <w:num w:numId="2" w16cid:durableId="2119787510">
    <w:abstractNumId w:val="5"/>
  </w:num>
  <w:num w:numId="3" w16cid:durableId="1836843260">
    <w:abstractNumId w:val="56"/>
  </w:num>
  <w:num w:numId="4" w16cid:durableId="2018339747">
    <w:abstractNumId w:val="20"/>
  </w:num>
  <w:num w:numId="5" w16cid:durableId="368341374">
    <w:abstractNumId w:val="50"/>
  </w:num>
  <w:num w:numId="6" w16cid:durableId="1074009954">
    <w:abstractNumId w:val="27"/>
  </w:num>
  <w:num w:numId="7" w16cid:durableId="1545016965">
    <w:abstractNumId w:val="6"/>
  </w:num>
  <w:num w:numId="8" w16cid:durableId="1165165820">
    <w:abstractNumId w:val="16"/>
  </w:num>
  <w:num w:numId="9" w16cid:durableId="751703382">
    <w:abstractNumId w:val="45"/>
  </w:num>
  <w:num w:numId="10" w16cid:durableId="1010065578">
    <w:abstractNumId w:val="0"/>
  </w:num>
  <w:num w:numId="11" w16cid:durableId="599265313">
    <w:abstractNumId w:val="40"/>
  </w:num>
  <w:num w:numId="12" w16cid:durableId="1094203649">
    <w:abstractNumId w:val="41"/>
  </w:num>
  <w:num w:numId="13" w16cid:durableId="393090155">
    <w:abstractNumId w:val="47"/>
  </w:num>
  <w:num w:numId="14" w16cid:durableId="1198931784">
    <w:abstractNumId w:val="1"/>
  </w:num>
  <w:num w:numId="15" w16cid:durableId="2056192837">
    <w:abstractNumId w:val="2"/>
  </w:num>
  <w:num w:numId="16" w16cid:durableId="1680153077">
    <w:abstractNumId w:val="7"/>
  </w:num>
  <w:num w:numId="17" w16cid:durableId="1790273299">
    <w:abstractNumId w:val="8"/>
  </w:num>
  <w:num w:numId="18" w16cid:durableId="2128112662">
    <w:abstractNumId w:val="9"/>
  </w:num>
  <w:num w:numId="19" w16cid:durableId="7217114">
    <w:abstractNumId w:val="10"/>
  </w:num>
  <w:num w:numId="20" w16cid:durableId="1858302314">
    <w:abstractNumId w:val="11"/>
  </w:num>
  <w:num w:numId="21" w16cid:durableId="1702172520">
    <w:abstractNumId w:val="12"/>
  </w:num>
  <w:num w:numId="22" w16cid:durableId="1700861223">
    <w:abstractNumId w:val="13"/>
  </w:num>
  <w:num w:numId="23" w16cid:durableId="1025131478">
    <w:abstractNumId w:val="14"/>
  </w:num>
  <w:num w:numId="24" w16cid:durableId="477890311">
    <w:abstractNumId w:val="15"/>
  </w:num>
  <w:num w:numId="25" w16cid:durableId="1967855925">
    <w:abstractNumId w:val="17"/>
  </w:num>
  <w:num w:numId="26" w16cid:durableId="998537020">
    <w:abstractNumId w:val="18"/>
  </w:num>
  <w:num w:numId="27" w16cid:durableId="642350406">
    <w:abstractNumId w:val="21"/>
  </w:num>
  <w:num w:numId="28" w16cid:durableId="1616718871">
    <w:abstractNumId w:val="22"/>
  </w:num>
  <w:num w:numId="29" w16cid:durableId="1530486082">
    <w:abstractNumId w:val="23"/>
  </w:num>
  <w:num w:numId="30" w16cid:durableId="802582976">
    <w:abstractNumId w:val="25"/>
  </w:num>
  <w:num w:numId="31" w16cid:durableId="287396833">
    <w:abstractNumId w:val="28"/>
  </w:num>
  <w:num w:numId="32" w16cid:durableId="535119711">
    <w:abstractNumId w:val="31"/>
  </w:num>
  <w:num w:numId="33" w16cid:durableId="2078547275">
    <w:abstractNumId w:val="33"/>
  </w:num>
  <w:num w:numId="34" w16cid:durableId="1703632659">
    <w:abstractNumId w:val="34"/>
  </w:num>
  <w:num w:numId="35" w16cid:durableId="1264075887">
    <w:abstractNumId w:val="35"/>
  </w:num>
  <w:num w:numId="36" w16cid:durableId="1752315512">
    <w:abstractNumId w:val="36"/>
  </w:num>
  <w:num w:numId="37" w16cid:durableId="1536426887">
    <w:abstractNumId w:val="37"/>
  </w:num>
  <w:num w:numId="38" w16cid:durableId="949702590">
    <w:abstractNumId w:val="38"/>
  </w:num>
  <w:num w:numId="39" w16cid:durableId="115605940">
    <w:abstractNumId w:val="42"/>
  </w:num>
  <w:num w:numId="40" w16cid:durableId="2008750670">
    <w:abstractNumId w:val="43"/>
  </w:num>
  <w:num w:numId="41" w16cid:durableId="579801488">
    <w:abstractNumId w:val="49"/>
  </w:num>
  <w:num w:numId="42" w16cid:durableId="910309630">
    <w:abstractNumId w:val="51"/>
  </w:num>
  <w:num w:numId="43" w16cid:durableId="221603102">
    <w:abstractNumId w:val="52"/>
  </w:num>
  <w:num w:numId="44" w16cid:durableId="779104680">
    <w:abstractNumId w:val="54"/>
  </w:num>
  <w:num w:numId="45" w16cid:durableId="1713115894">
    <w:abstractNumId w:val="55"/>
  </w:num>
  <w:num w:numId="46" w16cid:durableId="1387951419">
    <w:abstractNumId w:val="57"/>
  </w:num>
  <w:num w:numId="47" w16cid:durableId="648510715">
    <w:abstractNumId w:val="58"/>
  </w:num>
  <w:num w:numId="48" w16cid:durableId="1806315575">
    <w:abstractNumId w:val="59"/>
  </w:num>
  <w:num w:numId="49" w16cid:durableId="1682586011">
    <w:abstractNumId w:val="61"/>
  </w:num>
  <w:num w:numId="50" w16cid:durableId="2025083079">
    <w:abstractNumId w:val="62"/>
  </w:num>
  <w:num w:numId="51" w16cid:durableId="530342504">
    <w:abstractNumId w:val="19"/>
  </w:num>
  <w:num w:numId="52" w16cid:durableId="955454438">
    <w:abstractNumId w:val="44"/>
  </w:num>
  <w:num w:numId="53" w16cid:durableId="586957926">
    <w:abstractNumId w:val="53"/>
  </w:num>
  <w:num w:numId="54" w16cid:durableId="1498381482">
    <w:abstractNumId w:val="48"/>
  </w:num>
  <w:num w:numId="55" w16cid:durableId="1930308158">
    <w:abstractNumId w:val="46"/>
  </w:num>
  <w:num w:numId="56" w16cid:durableId="71783945">
    <w:abstractNumId w:val="26"/>
  </w:num>
  <w:num w:numId="57" w16cid:durableId="327246300">
    <w:abstractNumId w:val="24"/>
  </w:num>
  <w:num w:numId="58" w16cid:durableId="823088829">
    <w:abstractNumId w:val="39"/>
  </w:num>
  <w:num w:numId="59" w16cid:durableId="1590966623">
    <w:abstractNumId w:val="60"/>
  </w:num>
  <w:num w:numId="60" w16cid:durableId="977681524">
    <w:abstractNumId w:val="30"/>
  </w:num>
  <w:num w:numId="61" w16cid:durableId="1489246488">
    <w:abstractNumId w:val="29"/>
  </w:num>
  <w:num w:numId="62" w16cid:durableId="1458334191">
    <w:abstractNumId w:val="4"/>
  </w:num>
  <w:num w:numId="63" w16cid:durableId="1816948079">
    <w:abstractNumId w:val="3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43A"/>
    <w:rsid w:val="00006E1F"/>
    <w:rsid w:val="000070D7"/>
    <w:rsid w:val="00011FD4"/>
    <w:rsid w:val="000120BB"/>
    <w:rsid w:val="00012B5D"/>
    <w:rsid w:val="00012FF3"/>
    <w:rsid w:val="000130A9"/>
    <w:rsid w:val="00014C3A"/>
    <w:rsid w:val="0001788C"/>
    <w:rsid w:val="00024FC6"/>
    <w:rsid w:val="000274E1"/>
    <w:rsid w:val="000337EF"/>
    <w:rsid w:val="00040C3A"/>
    <w:rsid w:val="000419AD"/>
    <w:rsid w:val="000433C9"/>
    <w:rsid w:val="00051EF8"/>
    <w:rsid w:val="00052F58"/>
    <w:rsid w:val="00053BB6"/>
    <w:rsid w:val="000621A0"/>
    <w:rsid w:val="00066B89"/>
    <w:rsid w:val="00071174"/>
    <w:rsid w:val="000716C5"/>
    <w:rsid w:val="0007279B"/>
    <w:rsid w:val="00074375"/>
    <w:rsid w:val="00075502"/>
    <w:rsid w:val="00075E23"/>
    <w:rsid w:val="0008207C"/>
    <w:rsid w:val="00084DB3"/>
    <w:rsid w:val="000865A6"/>
    <w:rsid w:val="0009131E"/>
    <w:rsid w:val="0009344A"/>
    <w:rsid w:val="00097537"/>
    <w:rsid w:val="000A35D2"/>
    <w:rsid w:val="000A392E"/>
    <w:rsid w:val="000A575F"/>
    <w:rsid w:val="000B62BD"/>
    <w:rsid w:val="000B6D27"/>
    <w:rsid w:val="000C2F01"/>
    <w:rsid w:val="000C5D4C"/>
    <w:rsid w:val="000C7D10"/>
    <w:rsid w:val="000D05CB"/>
    <w:rsid w:val="000D0697"/>
    <w:rsid w:val="000D10DB"/>
    <w:rsid w:val="000E1D48"/>
    <w:rsid w:val="000E250B"/>
    <w:rsid w:val="000E32CE"/>
    <w:rsid w:val="000E3F4C"/>
    <w:rsid w:val="000E5A68"/>
    <w:rsid w:val="000E5EB5"/>
    <w:rsid w:val="000F1066"/>
    <w:rsid w:val="000F35ED"/>
    <w:rsid w:val="000F3F51"/>
    <w:rsid w:val="000F7A82"/>
    <w:rsid w:val="001004FE"/>
    <w:rsid w:val="00103275"/>
    <w:rsid w:val="00107131"/>
    <w:rsid w:val="0010736F"/>
    <w:rsid w:val="00107D19"/>
    <w:rsid w:val="00110E55"/>
    <w:rsid w:val="00113F73"/>
    <w:rsid w:val="00121CC2"/>
    <w:rsid w:val="00124661"/>
    <w:rsid w:val="00125066"/>
    <w:rsid w:val="00131425"/>
    <w:rsid w:val="00133EE5"/>
    <w:rsid w:val="0013412D"/>
    <w:rsid w:val="001349B5"/>
    <w:rsid w:val="00140C22"/>
    <w:rsid w:val="00151992"/>
    <w:rsid w:val="00151B01"/>
    <w:rsid w:val="00153777"/>
    <w:rsid w:val="00154E2F"/>
    <w:rsid w:val="0015610C"/>
    <w:rsid w:val="0016647D"/>
    <w:rsid w:val="001676B1"/>
    <w:rsid w:val="00167A34"/>
    <w:rsid w:val="00170EE8"/>
    <w:rsid w:val="00175679"/>
    <w:rsid w:val="0017725E"/>
    <w:rsid w:val="001851C5"/>
    <w:rsid w:val="00185CCD"/>
    <w:rsid w:val="001A1C8A"/>
    <w:rsid w:val="001A520D"/>
    <w:rsid w:val="001A7870"/>
    <w:rsid w:val="001A7EEB"/>
    <w:rsid w:val="001B0406"/>
    <w:rsid w:val="001B3A00"/>
    <w:rsid w:val="001B3C4E"/>
    <w:rsid w:val="001B478B"/>
    <w:rsid w:val="001B4EAD"/>
    <w:rsid w:val="001B7F0C"/>
    <w:rsid w:val="001C1B41"/>
    <w:rsid w:val="001C254B"/>
    <w:rsid w:val="001D5A0A"/>
    <w:rsid w:val="001D65EF"/>
    <w:rsid w:val="001D7F96"/>
    <w:rsid w:val="001E32A0"/>
    <w:rsid w:val="001E49E7"/>
    <w:rsid w:val="001F0B40"/>
    <w:rsid w:val="001F6576"/>
    <w:rsid w:val="001F7201"/>
    <w:rsid w:val="00201A4D"/>
    <w:rsid w:val="00206795"/>
    <w:rsid w:val="0022171A"/>
    <w:rsid w:val="00222FDF"/>
    <w:rsid w:val="00223A29"/>
    <w:rsid w:val="002250A3"/>
    <w:rsid w:val="00233AF7"/>
    <w:rsid w:val="00235217"/>
    <w:rsid w:val="00235709"/>
    <w:rsid w:val="00236745"/>
    <w:rsid w:val="0024610A"/>
    <w:rsid w:val="00246D1F"/>
    <w:rsid w:val="00247403"/>
    <w:rsid w:val="00247542"/>
    <w:rsid w:val="002620C5"/>
    <w:rsid w:val="00266B61"/>
    <w:rsid w:val="0026712A"/>
    <w:rsid w:val="00267283"/>
    <w:rsid w:val="002704DB"/>
    <w:rsid w:val="0027114F"/>
    <w:rsid w:val="00273132"/>
    <w:rsid w:val="00274409"/>
    <w:rsid w:val="0027486F"/>
    <w:rsid w:val="00276309"/>
    <w:rsid w:val="00286E1E"/>
    <w:rsid w:val="002A0AAE"/>
    <w:rsid w:val="002A5820"/>
    <w:rsid w:val="002A684A"/>
    <w:rsid w:val="002B0EAA"/>
    <w:rsid w:val="002B6EFC"/>
    <w:rsid w:val="002C3401"/>
    <w:rsid w:val="002D2888"/>
    <w:rsid w:val="002D2B26"/>
    <w:rsid w:val="002D6322"/>
    <w:rsid w:val="002D74BD"/>
    <w:rsid w:val="002D7EA2"/>
    <w:rsid w:val="002E187C"/>
    <w:rsid w:val="002E3E8E"/>
    <w:rsid w:val="002F24D2"/>
    <w:rsid w:val="00302733"/>
    <w:rsid w:val="00302E41"/>
    <w:rsid w:val="00305835"/>
    <w:rsid w:val="00306F33"/>
    <w:rsid w:val="003074C3"/>
    <w:rsid w:val="00311BB2"/>
    <w:rsid w:val="00314078"/>
    <w:rsid w:val="00314F3A"/>
    <w:rsid w:val="0031535D"/>
    <w:rsid w:val="00315681"/>
    <w:rsid w:val="003156BD"/>
    <w:rsid w:val="0031681C"/>
    <w:rsid w:val="003239B8"/>
    <w:rsid w:val="0033169F"/>
    <w:rsid w:val="003341D7"/>
    <w:rsid w:val="00334554"/>
    <w:rsid w:val="00335512"/>
    <w:rsid w:val="00344977"/>
    <w:rsid w:val="00346C95"/>
    <w:rsid w:val="00350416"/>
    <w:rsid w:val="00354FD2"/>
    <w:rsid w:val="00356185"/>
    <w:rsid w:val="00357403"/>
    <w:rsid w:val="00360380"/>
    <w:rsid w:val="003614AF"/>
    <w:rsid w:val="003643F2"/>
    <w:rsid w:val="003706D8"/>
    <w:rsid w:val="0037519E"/>
    <w:rsid w:val="003806AF"/>
    <w:rsid w:val="00382676"/>
    <w:rsid w:val="00386CF0"/>
    <w:rsid w:val="00392621"/>
    <w:rsid w:val="00392D34"/>
    <w:rsid w:val="00394049"/>
    <w:rsid w:val="00394073"/>
    <w:rsid w:val="003958FF"/>
    <w:rsid w:val="00397666"/>
    <w:rsid w:val="003A2ED3"/>
    <w:rsid w:val="003A51EF"/>
    <w:rsid w:val="003B0E46"/>
    <w:rsid w:val="003B70FB"/>
    <w:rsid w:val="003C610C"/>
    <w:rsid w:val="003C661B"/>
    <w:rsid w:val="003C676B"/>
    <w:rsid w:val="003C6F05"/>
    <w:rsid w:val="003D1569"/>
    <w:rsid w:val="003D3A72"/>
    <w:rsid w:val="003D3BC2"/>
    <w:rsid w:val="003D7145"/>
    <w:rsid w:val="003E11C5"/>
    <w:rsid w:val="003E4479"/>
    <w:rsid w:val="003E6CA1"/>
    <w:rsid w:val="003F379E"/>
    <w:rsid w:val="003F5154"/>
    <w:rsid w:val="003F52B4"/>
    <w:rsid w:val="003F5566"/>
    <w:rsid w:val="003F6B07"/>
    <w:rsid w:val="00401274"/>
    <w:rsid w:val="0040421E"/>
    <w:rsid w:val="00405F9C"/>
    <w:rsid w:val="004065A8"/>
    <w:rsid w:val="004165C2"/>
    <w:rsid w:val="004241A0"/>
    <w:rsid w:val="00424FE3"/>
    <w:rsid w:val="00431A26"/>
    <w:rsid w:val="00433C71"/>
    <w:rsid w:val="0044034A"/>
    <w:rsid w:val="0044066F"/>
    <w:rsid w:val="00441ECB"/>
    <w:rsid w:val="00442AA5"/>
    <w:rsid w:val="00445193"/>
    <w:rsid w:val="004475EA"/>
    <w:rsid w:val="00450488"/>
    <w:rsid w:val="0045366B"/>
    <w:rsid w:val="004542E4"/>
    <w:rsid w:val="00462C1B"/>
    <w:rsid w:val="004652FA"/>
    <w:rsid w:val="00467B7E"/>
    <w:rsid w:val="00473182"/>
    <w:rsid w:val="00473BB4"/>
    <w:rsid w:val="00477592"/>
    <w:rsid w:val="00480EE6"/>
    <w:rsid w:val="00481994"/>
    <w:rsid w:val="00486F1C"/>
    <w:rsid w:val="004878D6"/>
    <w:rsid w:val="00493B3C"/>
    <w:rsid w:val="0049419D"/>
    <w:rsid w:val="004963CC"/>
    <w:rsid w:val="004A057B"/>
    <w:rsid w:val="004A4DF0"/>
    <w:rsid w:val="004A6A54"/>
    <w:rsid w:val="004A7B62"/>
    <w:rsid w:val="004B395E"/>
    <w:rsid w:val="004B421C"/>
    <w:rsid w:val="004C0F23"/>
    <w:rsid w:val="004C20D2"/>
    <w:rsid w:val="004C2312"/>
    <w:rsid w:val="004C4B62"/>
    <w:rsid w:val="004C54C9"/>
    <w:rsid w:val="004D4ABA"/>
    <w:rsid w:val="004D6025"/>
    <w:rsid w:val="004E2649"/>
    <w:rsid w:val="004E6C7B"/>
    <w:rsid w:val="004F286B"/>
    <w:rsid w:val="004F626F"/>
    <w:rsid w:val="004F67B7"/>
    <w:rsid w:val="00501399"/>
    <w:rsid w:val="005047ED"/>
    <w:rsid w:val="0050633D"/>
    <w:rsid w:val="00507BC4"/>
    <w:rsid w:val="00511473"/>
    <w:rsid w:val="005128E4"/>
    <w:rsid w:val="005133DB"/>
    <w:rsid w:val="00514504"/>
    <w:rsid w:val="0051493F"/>
    <w:rsid w:val="005210EA"/>
    <w:rsid w:val="00521E1F"/>
    <w:rsid w:val="0052531A"/>
    <w:rsid w:val="00525560"/>
    <w:rsid w:val="005272FA"/>
    <w:rsid w:val="00527B5A"/>
    <w:rsid w:val="00531AA2"/>
    <w:rsid w:val="00531AC3"/>
    <w:rsid w:val="0053252F"/>
    <w:rsid w:val="005357FC"/>
    <w:rsid w:val="00541F52"/>
    <w:rsid w:val="00544C49"/>
    <w:rsid w:val="00545AF5"/>
    <w:rsid w:val="00550AD8"/>
    <w:rsid w:val="005516A1"/>
    <w:rsid w:val="005559EF"/>
    <w:rsid w:val="00557106"/>
    <w:rsid w:val="00563557"/>
    <w:rsid w:val="00567FA0"/>
    <w:rsid w:val="005733B4"/>
    <w:rsid w:val="0057402A"/>
    <w:rsid w:val="00575CC7"/>
    <w:rsid w:val="005771D0"/>
    <w:rsid w:val="0059191A"/>
    <w:rsid w:val="005921FF"/>
    <w:rsid w:val="005964C2"/>
    <w:rsid w:val="005A0DA4"/>
    <w:rsid w:val="005A0F4D"/>
    <w:rsid w:val="005A24ED"/>
    <w:rsid w:val="005A5FEC"/>
    <w:rsid w:val="005A6D0E"/>
    <w:rsid w:val="005B065C"/>
    <w:rsid w:val="005B3F5B"/>
    <w:rsid w:val="005B491C"/>
    <w:rsid w:val="005B52B0"/>
    <w:rsid w:val="005B5631"/>
    <w:rsid w:val="005B6806"/>
    <w:rsid w:val="005B7008"/>
    <w:rsid w:val="005C00C2"/>
    <w:rsid w:val="005C0648"/>
    <w:rsid w:val="005C4225"/>
    <w:rsid w:val="005D6FDD"/>
    <w:rsid w:val="005E30E7"/>
    <w:rsid w:val="005E3DD8"/>
    <w:rsid w:val="005E5CCA"/>
    <w:rsid w:val="005F0DAD"/>
    <w:rsid w:val="005F0F33"/>
    <w:rsid w:val="005F1D04"/>
    <w:rsid w:val="005F3BD0"/>
    <w:rsid w:val="005F51BE"/>
    <w:rsid w:val="00600DEB"/>
    <w:rsid w:val="00606BFD"/>
    <w:rsid w:val="00610E56"/>
    <w:rsid w:val="00613B8E"/>
    <w:rsid w:val="0061475F"/>
    <w:rsid w:val="006168B1"/>
    <w:rsid w:val="00627C9F"/>
    <w:rsid w:val="006311E9"/>
    <w:rsid w:val="00632354"/>
    <w:rsid w:val="006349E1"/>
    <w:rsid w:val="00635421"/>
    <w:rsid w:val="0063664C"/>
    <w:rsid w:val="00642810"/>
    <w:rsid w:val="00642D99"/>
    <w:rsid w:val="0064526A"/>
    <w:rsid w:val="00647A49"/>
    <w:rsid w:val="00652333"/>
    <w:rsid w:val="006524F6"/>
    <w:rsid w:val="00652A9E"/>
    <w:rsid w:val="00653838"/>
    <w:rsid w:val="00655E0A"/>
    <w:rsid w:val="00657AD1"/>
    <w:rsid w:val="00660645"/>
    <w:rsid w:val="0066614D"/>
    <w:rsid w:val="006670BD"/>
    <w:rsid w:val="00673D44"/>
    <w:rsid w:val="0067703B"/>
    <w:rsid w:val="0068009E"/>
    <w:rsid w:val="006820AA"/>
    <w:rsid w:val="00683078"/>
    <w:rsid w:val="00692219"/>
    <w:rsid w:val="006942A3"/>
    <w:rsid w:val="00695BB0"/>
    <w:rsid w:val="006A0138"/>
    <w:rsid w:val="006A17D2"/>
    <w:rsid w:val="006A64A3"/>
    <w:rsid w:val="006A7069"/>
    <w:rsid w:val="006A73E6"/>
    <w:rsid w:val="006A7733"/>
    <w:rsid w:val="006B2D5C"/>
    <w:rsid w:val="006B3DF8"/>
    <w:rsid w:val="006C0ECF"/>
    <w:rsid w:val="006C4EB1"/>
    <w:rsid w:val="006C5E76"/>
    <w:rsid w:val="006D055E"/>
    <w:rsid w:val="006D1AC4"/>
    <w:rsid w:val="006D2287"/>
    <w:rsid w:val="006D6D55"/>
    <w:rsid w:val="006E0166"/>
    <w:rsid w:val="006E2832"/>
    <w:rsid w:val="006E2BFB"/>
    <w:rsid w:val="006E2FFB"/>
    <w:rsid w:val="006E31A9"/>
    <w:rsid w:val="006E4D84"/>
    <w:rsid w:val="006E7B34"/>
    <w:rsid w:val="0070697F"/>
    <w:rsid w:val="007072A9"/>
    <w:rsid w:val="007103C4"/>
    <w:rsid w:val="00715018"/>
    <w:rsid w:val="0071504E"/>
    <w:rsid w:val="0071725E"/>
    <w:rsid w:val="00717F75"/>
    <w:rsid w:val="0072199C"/>
    <w:rsid w:val="00721C9E"/>
    <w:rsid w:val="00722C9F"/>
    <w:rsid w:val="007253B8"/>
    <w:rsid w:val="00731E99"/>
    <w:rsid w:val="00732E35"/>
    <w:rsid w:val="00736EDD"/>
    <w:rsid w:val="0073741F"/>
    <w:rsid w:val="007453D3"/>
    <w:rsid w:val="00757F1A"/>
    <w:rsid w:val="00764229"/>
    <w:rsid w:val="00766275"/>
    <w:rsid w:val="0076643F"/>
    <w:rsid w:val="0077030B"/>
    <w:rsid w:val="00774126"/>
    <w:rsid w:val="00777F63"/>
    <w:rsid w:val="00790746"/>
    <w:rsid w:val="007925D4"/>
    <w:rsid w:val="00797BCB"/>
    <w:rsid w:val="007A08EC"/>
    <w:rsid w:val="007A2507"/>
    <w:rsid w:val="007A5608"/>
    <w:rsid w:val="007A5817"/>
    <w:rsid w:val="007B05C4"/>
    <w:rsid w:val="007B47B1"/>
    <w:rsid w:val="007B60E9"/>
    <w:rsid w:val="007B6CC3"/>
    <w:rsid w:val="007B76D3"/>
    <w:rsid w:val="007C3334"/>
    <w:rsid w:val="007D0BCE"/>
    <w:rsid w:val="007D0F88"/>
    <w:rsid w:val="007D2B98"/>
    <w:rsid w:val="007D3244"/>
    <w:rsid w:val="007D3A9C"/>
    <w:rsid w:val="007E21BC"/>
    <w:rsid w:val="007E3277"/>
    <w:rsid w:val="007E53EF"/>
    <w:rsid w:val="007E6685"/>
    <w:rsid w:val="007E7C82"/>
    <w:rsid w:val="007F20D4"/>
    <w:rsid w:val="007F2AA1"/>
    <w:rsid w:val="007F2B92"/>
    <w:rsid w:val="007F588D"/>
    <w:rsid w:val="00800F03"/>
    <w:rsid w:val="00803F1C"/>
    <w:rsid w:val="008041AF"/>
    <w:rsid w:val="0080600E"/>
    <w:rsid w:val="008073D1"/>
    <w:rsid w:val="0080795F"/>
    <w:rsid w:val="00810DD4"/>
    <w:rsid w:val="00811648"/>
    <w:rsid w:val="00814688"/>
    <w:rsid w:val="008146FD"/>
    <w:rsid w:val="00817612"/>
    <w:rsid w:val="00822027"/>
    <w:rsid w:val="008338A4"/>
    <w:rsid w:val="00834D49"/>
    <w:rsid w:val="00836B26"/>
    <w:rsid w:val="00837C45"/>
    <w:rsid w:val="008434BA"/>
    <w:rsid w:val="00844730"/>
    <w:rsid w:val="00845044"/>
    <w:rsid w:val="008457C2"/>
    <w:rsid w:val="00855CF0"/>
    <w:rsid w:val="00857A82"/>
    <w:rsid w:val="00870F6D"/>
    <w:rsid w:val="00873836"/>
    <w:rsid w:val="00876492"/>
    <w:rsid w:val="00882286"/>
    <w:rsid w:val="00885737"/>
    <w:rsid w:val="00890650"/>
    <w:rsid w:val="008908F2"/>
    <w:rsid w:val="00893095"/>
    <w:rsid w:val="00893E53"/>
    <w:rsid w:val="008944DC"/>
    <w:rsid w:val="0089607A"/>
    <w:rsid w:val="00897E12"/>
    <w:rsid w:val="008A6296"/>
    <w:rsid w:val="008A7E0F"/>
    <w:rsid w:val="008B12F5"/>
    <w:rsid w:val="008B3FB9"/>
    <w:rsid w:val="008C5E2D"/>
    <w:rsid w:val="008D2DEC"/>
    <w:rsid w:val="008D3816"/>
    <w:rsid w:val="008D578F"/>
    <w:rsid w:val="008D768D"/>
    <w:rsid w:val="008E3759"/>
    <w:rsid w:val="008E3BFE"/>
    <w:rsid w:val="008E4FF9"/>
    <w:rsid w:val="008F1912"/>
    <w:rsid w:val="00900C17"/>
    <w:rsid w:val="0090270B"/>
    <w:rsid w:val="009041DC"/>
    <w:rsid w:val="00910563"/>
    <w:rsid w:val="00911B5C"/>
    <w:rsid w:val="00912899"/>
    <w:rsid w:val="00917B5A"/>
    <w:rsid w:val="00920A58"/>
    <w:rsid w:val="00920A8C"/>
    <w:rsid w:val="0092485B"/>
    <w:rsid w:val="0093169A"/>
    <w:rsid w:val="00933A61"/>
    <w:rsid w:val="00934A2C"/>
    <w:rsid w:val="00936653"/>
    <w:rsid w:val="009379AC"/>
    <w:rsid w:val="0096076E"/>
    <w:rsid w:val="00960E2E"/>
    <w:rsid w:val="00963051"/>
    <w:rsid w:val="00964ABC"/>
    <w:rsid w:val="0096706E"/>
    <w:rsid w:val="00974491"/>
    <w:rsid w:val="00974785"/>
    <w:rsid w:val="00974A6D"/>
    <w:rsid w:val="00975C4E"/>
    <w:rsid w:val="00977531"/>
    <w:rsid w:val="0097763C"/>
    <w:rsid w:val="00977A85"/>
    <w:rsid w:val="00981FBA"/>
    <w:rsid w:val="00991C3B"/>
    <w:rsid w:val="00994E33"/>
    <w:rsid w:val="00996D06"/>
    <w:rsid w:val="00997BC5"/>
    <w:rsid w:val="009A25F5"/>
    <w:rsid w:val="009A39F6"/>
    <w:rsid w:val="009A4F41"/>
    <w:rsid w:val="009A56CE"/>
    <w:rsid w:val="009B10DF"/>
    <w:rsid w:val="009B15F4"/>
    <w:rsid w:val="009B277C"/>
    <w:rsid w:val="009B2FED"/>
    <w:rsid w:val="009B381B"/>
    <w:rsid w:val="009B5BD1"/>
    <w:rsid w:val="009C0C29"/>
    <w:rsid w:val="009C3BE3"/>
    <w:rsid w:val="009C5D9B"/>
    <w:rsid w:val="009C7DB2"/>
    <w:rsid w:val="009D0CC3"/>
    <w:rsid w:val="009D1753"/>
    <w:rsid w:val="009D4F91"/>
    <w:rsid w:val="009D7611"/>
    <w:rsid w:val="009E0B61"/>
    <w:rsid w:val="009E400A"/>
    <w:rsid w:val="009E48A5"/>
    <w:rsid w:val="009E53DE"/>
    <w:rsid w:val="009E66B8"/>
    <w:rsid w:val="009F79B1"/>
    <w:rsid w:val="00A07185"/>
    <w:rsid w:val="00A07894"/>
    <w:rsid w:val="00A11212"/>
    <w:rsid w:val="00A11E44"/>
    <w:rsid w:val="00A123DD"/>
    <w:rsid w:val="00A1340D"/>
    <w:rsid w:val="00A13778"/>
    <w:rsid w:val="00A15562"/>
    <w:rsid w:val="00A157D9"/>
    <w:rsid w:val="00A16C14"/>
    <w:rsid w:val="00A21913"/>
    <w:rsid w:val="00A2323B"/>
    <w:rsid w:val="00A30100"/>
    <w:rsid w:val="00A328B3"/>
    <w:rsid w:val="00A33D08"/>
    <w:rsid w:val="00A36A1E"/>
    <w:rsid w:val="00A46A5C"/>
    <w:rsid w:val="00A50942"/>
    <w:rsid w:val="00A50B5A"/>
    <w:rsid w:val="00A50FCF"/>
    <w:rsid w:val="00A528D1"/>
    <w:rsid w:val="00A54B5C"/>
    <w:rsid w:val="00A55B52"/>
    <w:rsid w:val="00A57DE7"/>
    <w:rsid w:val="00A610CD"/>
    <w:rsid w:val="00A758AA"/>
    <w:rsid w:val="00A824C2"/>
    <w:rsid w:val="00A846C0"/>
    <w:rsid w:val="00A86EC8"/>
    <w:rsid w:val="00A92D48"/>
    <w:rsid w:val="00A97243"/>
    <w:rsid w:val="00AA09A2"/>
    <w:rsid w:val="00AA7996"/>
    <w:rsid w:val="00AB5391"/>
    <w:rsid w:val="00AC19CB"/>
    <w:rsid w:val="00AC2102"/>
    <w:rsid w:val="00AD0AA5"/>
    <w:rsid w:val="00AE1890"/>
    <w:rsid w:val="00AE4B66"/>
    <w:rsid w:val="00AE5488"/>
    <w:rsid w:val="00AE6F91"/>
    <w:rsid w:val="00AF0552"/>
    <w:rsid w:val="00AF5571"/>
    <w:rsid w:val="00B04818"/>
    <w:rsid w:val="00B07341"/>
    <w:rsid w:val="00B12977"/>
    <w:rsid w:val="00B2247B"/>
    <w:rsid w:val="00B23B94"/>
    <w:rsid w:val="00B25F60"/>
    <w:rsid w:val="00B30539"/>
    <w:rsid w:val="00B308DA"/>
    <w:rsid w:val="00B31375"/>
    <w:rsid w:val="00B314DB"/>
    <w:rsid w:val="00B361F2"/>
    <w:rsid w:val="00B36E39"/>
    <w:rsid w:val="00B3718B"/>
    <w:rsid w:val="00B3745F"/>
    <w:rsid w:val="00B444A6"/>
    <w:rsid w:val="00B4594A"/>
    <w:rsid w:val="00B45EA8"/>
    <w:rsid w:val="00B4632A"/>
    <w:rsid w:val="00B51062"/>
    <w:rsid w:val="00B530F1"/>
    <w:rsid w:val="00B53495"/>
    <w:rsid w:val="00B61EBB"/>
    <w:rsid w:val="00B64481"/>
    <w:rsid w:val="00B646C9"/>
    <w:rsid w:val="00B72967"/>
    <w:rsid w:val="00B80A8E"/>
    <w:rsid w:val="00B8298D"/>
    <w:rsid w:val="00B93D7F"/>
    <w:rsid w:val="00B95DDD"/>
    <w:rsid w:val="00B9657B"/>
    <w:rsid w:val="00B9693C"/>
    <w:rsid w:val="00BA0F56"/>
    <w:rsid w:val="00BA276C"/>
    <w:rsid w:val="00BA4D40"/>
    <w:rsid w:val="00BA5835"/>
    <w:rsid w:val="00BA5CA9"/>
    <w:rsid w:val="00BB019D"/>
    <w:rsid w:val="00BB306F"/>
    <w:rsid w:val="00BB4F5B"/>
    <w:rsid w:val="00BC0324"/>
    <w:rsid w:val="00BC343E"/>
    <w:rsid w:val="00BD06BE"/>
    <w:rsid w:val="00BD0FF5"/>
    <w:rsid w:val="00BD4B89"/>
    <w:rsid w:val="00BD51BE"/>
    <w:rsid w:val="00BD5922"/>
    <w:rsid w:val="00BE1831"/>
    <w:rsid w:val="00BE328F"/>
    <w:rsid w:val="00BF02CB"/>
    <w:rsid w:val="00BF6FD8"/>
    <w:rsid w:val="00C00E5D"/>
    <w:rsid w:val="00C03001"/>
    <w:rsid w:val="00C03245"/>
    <w:rsid w:val="00C03680"/>
    <w:rsid w:val="00C054DF"/>
    <w:rsid w:val="00C21762"/>
    <w:rsid w:val="00C21FEF"/>
    <w:rsid w:val="00C23BA4"/>
    <w:rsid w:val="00C24543"/>
    <w:rsid w:val="00C256A2"/>
    <w:rsid w:val="00C25ADB"/>
    <w:rsid w:val="00C30909"/>
    <w:rsid w:val="00C32EF5"/>
    <w:rsid w:val="00C4205B"/>
    <w:rsid w:val="00C424FD"/>
    <w:rsid w:val="00C51515"/>
    <w:rsid w:val="00C5660B"/>
    <w:rsid w:val="00C6133E"/>
    <w:rsid w:val="00C65071"/>
    <w:rsid w:val="00C66B72"/>
    <w:rsid w:val="00C717D1"/>
    <w:rsid w:val="00C77164"/>
    <w:rsid w:val="00C82D86"/>
    <w:rsid w:val="00C851DF"/>
    <w:rsid w:val="00C86323"/>
    <w:rsid w:val="00C87AC4"/>
    <w:rsid w:val="00C87C08"/>
    <w:rsid w:val="00C90291"/>
    <w:rsid w:val="00C9567A"/>
    <w:rsid w:val="00C96236"/>
    <w:rsid w:val="00C96C6C"/>
    <w:rsid w:val="00C97586"/>
    <w:rsid w:val="00CA40C0"/>
    <w:rsid w:val="00CA4A8B"/>
    <w:rsid w:val="00CA62CB"/>
    <w:rsid w:val="00CB212D"/>
    <w:rsid w:val="00CB2660"/>
    <w:rsid w:val="00CB67BA"/>
    <w:rsid w:val="00CC0DB6"/>
    <w:rsid w:val="00CC39ED"/>
    <w:rsid w:val="00CC5E90"/>
    <w:rsid w:val="00CD046C"/>
    <w:rsid w:val="00CD125E"/>
    <w:rsid w:val="00CE076C"/>
    <w:rsid w:val="00CE5199"/>
    <w:rsid w:val="00CE66D5"/>
    <w:rsid w:val="00CF149C"/>
    <w:rsid w:val="00CF2E7E"/>
    <w:rsid w:val="00CF3C49"/>
    <w:rsid w:val="00CF637A"/>
    <w:rsid w:val="00D02EE0"/>
    <w:rsid w:val="00D059DE"/>
    <w:rsid w:val="00D05ABD"/>
    <w:rsid w:val="00D06208"/>
    <w:rsid w:val="00D118DE"/>
    <w:rsid w:val="00D1200D"/>
    <w:rsid w:val="00D126E6"/>
    <w:rsid w:val="00D12A10"/>
    <w:rsid w:val="00D13BBD"/>
    <w:rsid w:val="00D13FCE"/>
    <w:rsid w:val="00D1768D"/>
    <w:rsid w:val="00D22C4E"/>
    <w:rsid w:val="00D27EFE"/>
    <w:rsid w:val="00D306D1"/>
    <w:rsid w:val="00D30800"/>
    <w:rsid w:val="00D34786"/>
    <w:rsid w:val="00D359CA"/>
    <w:rsid w:val="00D37BFC"/>
    <w:rsid w:val="00D47A8E"/>
    <w:rsid w:val="00D52D14"/>
    <w:rsid w:val="00D53BAE"/>
    <w:rsid w:val="00D571E1"/>
    <w:rsid w:val="00D64009"/>
    <w:rsid w:val="00D67A68"/>
    <w:rsid w:val="00D70740"/>
    <w:rsid w:val="00D712D3"/>
    <w:rsid w:val="00D71422"/>
    <w:rsid w:val="00D72DC6"/>
    <w:rsid w:val="00D736F1"/>
    <w:rsid w:val="00D73C40"/>
    <w:rsid w:val="00D74D69"/>
    <w:rsid w:val="00D7558D"/>
    <w:rsid w:val="00D809C0"/>
    <w:rsid w:val="00D81D92"/>
    <w:rsid w:val="00D85D9A"/>
    <w:rsid w:val="00D876F9"/>
    <w:rsid w:val="00D90C74"/>
    <w:rsid w:val="00D92D5A"/>
    <w:rsid w:val="00D94F55"/>
    <w:rsid w:val="00D95393"/>
    <w:rsid w:val="00DA26AB"/>
    <w:rsid w:val="00DA7B5F"/>
    <w:rsid w:val="00DB326D"/>
    <w:rsid w:val="00DB7DB0"/>
    <w:rsid w:val="00DC11E7"/>
    <w:rsid w:val="00DC24E3"/>
    <w:rsid w:val="00DC3729"/>
    <w:rsid w:val="00DC4138"/>
    <w:rsid w:val="00DC6922"/>
    <w:rsid w:val="00DC7023"/>
    <w:rsid w:val="00DC769A"/>
    <w:rsid w:val="00DD160F"/>
    <w:rsid w:val="00DD2EBB"/>
    <w:rsid w:val="00DD3D86"/>
    <w:rsid w:val="00DD4AD2"/>
    <w:rsid w:val="00DD4EB7"/>
    <w:rsid w:val="00DE2862"/>
    <w:rsid w:val="00DE7CBD"/>
    <w:rsid w:val="00DF1EC4"/>
    <w:rsid w:val="00DF2EFA"/>
    <w:rsid w:val="00DF47BB"/>
    <w:rsid w:val="00DF56D9"/>
    <w:rsid w:val="00E0171A"/>
    <w:rsid w:val="00E025B6"/>
    <w:rsid w:val="00E0340B"/>
    <w:rsid w:val="00E04A90"/>
    <w:rsid w:val="00E0551F"/>
    <w:rsid w:val="00E068F0"/>
    <w:rsid w:val="00E154A8"/>
    <w:rsid w:val="00E15CAB"/>
    <w:rsid w:val="00E1661D"/>
    <w:rsid w:val="00E219C7"/>
    <w:rsid w:val="00E265AC"/>
    <w:rsid w:val="00E30CE3"/>
    <w:rsid w:val="00E3484D"/>
    <w:rsid w:val="00E358E5"/>
    <w:rsid w:val="00E4118C"/>
    <w:rsid w:val="00E43157"/>
    <w:rsid w:val="00E43333"/>
    <w:rsid w:val="00E461CE"/>
    <w:rsid w:val="00E51C02"/>
    <w:rsid w:val="00E52C30"/>
    <w:rsid w:val="00E573E4"/>
    <w:rsid w:val="00E60F98"/>
    <w:rsid w:val="00E6278B"/>
    <w:rsid w:val="00E64C3D"/>
    <w:rsid w:val="00E720CA"/>
    <w:rsid w:val="00E741D2"/>
    <w:rsid w:val="00E81B09"/>
    <w:rsid w:val="00E84EB5"/>
    <w:rsid w:val="00E85662"/>
    <w:rsid w:val="00E87575"/>
    <w:rsid w:val="00E8789F"/>
    <w:rsid w:val="00E934C2"/>
    <w:rsid w:val="00E95386"/>
    <w:rsid w:val="00E96A2C"/>
    <w:rsid w:val="00E97B71"/>
    <w:rsid w:val="00EA3D34"/>
    <w:rsid w:val="00EB454D"/>
    <w:rsid w:val="00EB63CB"/>
    <w:rsid w:val="00EB6940"/>
    <w:rsid w:val="00EC11B3"/>
    <w:rsid w:val="00EC6B3D"/>
    <w:rsid w:val="00ED2744"/>
    <w:rsid w:val="00ED549D"/>
    <w:rsid w:val="00ED5E10"/>
    <w:rsid w:val="00ED76BE"/>
    <w:rsid w:val="00EE00E9"/>
    <w:rsid w:val="00EE4B8C"/>
    <w:rsid w:val="00EE5C20"/>
    <w:rsid w:val="00EF1AAA"/>
    <w:rsid w:val="00EF619B"/>
    <w:rsid w:val="00F00B55"/>
    <w:rsid w:val="00F02AD1"/>
    <w:rsid w:val="00F04609"/>
    <w:rsid w:val="00F048F8"/>
    <w:rsid w:val="00F12A1B"/>
    <w:rsid w:val="00F15815"/>
    <w:rsid w:val="00F23EC3"/>
    <w:rsid w:val="00F253CC"/>
    <w:rsid w:val="00F36B9B"/>
    <w:rsid w:val="00F37106"/>
    <w:rsid w:val="00F44E25"/>
    <w:rsid w:val="00F519CF"/>
    <w:rsid w:val="00F5235C"/>
    <w:rsid w:val="00F56BA5"/>
    <w:rsid w:val="00F56ECB"/>
    <w:rsid w:val="00F60E22"/>
    <w:rsid w:val="00F6215D"/>
    <w:rsid w:val="00F6360E"/>
    <w:rsid w:val="00F655B7"/>
    <w:rsid w:val="00F65EDF"/>
    <w:rsid w:val="00F7511F"/>
    <w:rsid w:val="00F81395"/>
    <w:rsid w:val="00F81BB8"/>
    <w:rsid w:val="00F84928"/>
    <w:rsid w:val="00F90C64"/>
    <w:rsid w:val="00F90FDF"/>
    <w:rsid w:val="00F917D1"/>
    <w:rsid w:val="00F9308A"/>
    <w:rsid w:val="00F933C4"/>
    <w:rsid w:val="00F9653B"/>
    <w:rsid w:val="00F96E6E"/>
    <w:rsid w:val="00FA27D8"/>
    <w:rsid w:val="00FA4103"/>
    <w:rsid w:val="00FA6434"/>
    <w:rsid w:val="00FB1255"/>
    <w:rsid w:val="00FB62CF"/>
    <w:rsid w:val="00FD3C3B"/>
    <w:rsid w:val="00FD4851"/>
    <w:rsid w:val="00FD7886"/>
    <w:rsid w:val="00FE07DD"/>
    <w:rsid w:val="00FE21BB"/>
    <w:rsid w:val="00FE363C"/>
    <w:rsid w:val="00FE6B45"/>
    <w:rsid w:val="00FF55F3"/>
    <w:rsid w:val="00FF5851"/>
    <w:rsid w:val="00FF72CE"/>
    <w:rsid w:val="00FF7B79"/>
    <w:rsid w:val="2DB63416"/>
    <w:rsid w:val="2F0203D6"/>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0">
    <w:name w:val="List 210"/>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0"/>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0"/>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0">
    <w:name w:val="List 510"/>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6BFD"/>
  </w:style>
  <w:style w:type="paragraph" w:customStyle="1" w:styleId="Char2">
    <w:name w:val="Char2"/>
    <w:basedOn w:val="Normal"/>
    <w:link w:val="FootnoteReference"/>
    <w:uiPriority w:val="99"/>
    <w:rsid w:val="005B5631"/>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styleId="CommentReference">
    <w:name w:val="annotation reference"/>
    <w:basedOn w:val="DefaultParagraphFont"/>
    <w:uiPriority w:val="99"/>
    <w:semiHidden/>
    <w:unhideWhenUsed/>
    <w:rsid w:val="000B62BD"/>
    <w:rPr>
      <w:sz w:val="16"/>
      <w:szCs w:val="16"/>
    </w:rPr>
  </w:style>
  <w:style w:type="paragraph" w:styleId="CommentText">
    <w:name w:val="annotation text"/>
    <w:basedOn w:val="Normal"/>
    <w:link w:val="CommentTextChar"/>
    <w:uiPriority w:val="99"/>
    <w:unhideWhenUsed/>
    <w:rsid w:val="000B62BD"/>
    <w:rPr>
      <w:sz w:val="20"/>
      <w:szCs w:val="20"/>
    </w:rPr>
  </w:style>
  <w:style w:type="character" w:customStyle="1" w:styleId="CommentTextChar">
    <w:name w:val="Comment Text Char"/>
    <w:basedOn w:val="DefaultParagraphFont"/>
    <w:link w:val="CommentText"/>
    <w:uiPriority w:val="99"/>
    <w:rsid w:val="000B62BD"/>
    <w:rPr>
      <w:lang w:val="en-US" w:eastAsia="en-US"/>
    </w:rPr>
  </w:style>
  <w:style w:type="paragraph" w:styleId="CommentSubject">
    <w:name w:val="annotation subject"/>
    <w:basedOn w:val="CommentText"/>
    <w:next w:val="CommentText"/>
    <w:link w:val="CommentSubjectChar"/>
    <w:uiPriority w:val="99"/>
    <w:semiHidden/>
    <w:unhideWhenUsed/>
    <w:rsid w:val="000B62BD"/>
    <w:rPr>
      <w:b/>
      <w:bCs/>
    </w:rPr>
  </w:style>
  <w:style w:type="character" w:customStyle="1" w:styleId="CommentSubjectChar">
    <w:name w:val="Comment Subject Char"/>
    <w:basedOn w:val="CommentTextChar"/>
    <w:link w:val="CommentSubject"/>
    <w:uiPriority w:val="99"/>
    <w:semiHidden/>
    <w:rsid w:val="000B62BD"/>
    <w:rPr>
      <w:b/>
      <w:bCs/>
      <w:lang w:val="en-US"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qFormat/>
    <w:rsid w:val="00AC2102"/>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Theme="minorHAnsi" w:eastAsiaTheme="minorHAnsi" w:hAnsiTheme="minorHAnsi" w:cstheme="minorBidi"/>
      <w:kern w:val="2"/>
      <w:bdr w:val="none" w:sz="0" w:space="0" w:color="auto"/>
      <w:vertAlign w:val="superscript"/>
      <w14:ligatures w14:val="standardContextual"/>
    </w:rPr>
  </w:style>
  <w:style w:type="character" w:styleId="UnresolvedMention">
    <w:name w:val="Unresolved Mention"/>
    <w:basedOn w:val="DefaultParagraphFont"/>
    <w:uiPriority w:val="99"/>
    <w:semiHidden/>
    <w:unhideWhenUsed/>
    <w:rsid w:val="00BA4D40"/>
    <w:rPr>
      <w:color w:val="605E5C"/>
      <w:shd w:val="clear" w:color="auto" w:fill="E1DFDD"/>
    </w:rPr>
  </w:style>
  <w:style w:type="paragraph" w:styleId="Revision">
    <w:name w:val="Revision"/>
    <w:hidden/>
    <w:uiPriority w:val="99"/>
    <w:semiHidden/>
    <w:rsid w:val="00CA4A8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paragraph">
    <w:name w:val="paragraph"/>
    <w:basedOn w:val="Normal"/>
    <w:rsid w:val="001B4EA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1B4EAD"/>
  </w:style>
  <w:style w:type="character" w:customStyle="1" w:styleId="eop">
    <w:name w:val="eop"/>
    <w:basedOn w:val="DefaultParagraphFont"/>
    <w:rsid w:val="001B4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92987">
      <w:bodyDiv w:val="1"/>
      <w:marLeft w:val="0"/>
      <w:marRight w:val="0"/>
      <w:marTop w:val="0"/>
      <w:marBottom w:val="0"/>
      <w:divBdr>
        <w:top w:val="none" w:sz="0" w:space="0" w:color="auto"/>
        <w:left w:val="none" w:sz="0" w:space="0" w:color="auto"/>
        <w:bottom w:val="none" w:sz="0" w:space="0" w:color="auto"/>
        <w:right w:val="none" w:sz="0" w:space="0" w:color="auto"/>
      </w:divBdr>
      <w:divsChild>
        <w:div w:id="1376780321">
          <w:marLeft w:val="0"/>
          <w:marRight w:val="0"/>
          <w:marTop w:val="0"/>
          <w:marBottom w:val="0"/>
          <w:divBdr>
            <w:top w:val="none" w:sz="0" w:space="0" w:color="auto"/>
            <w:left w:val="none" w:sz="0" w:space="0" w:color="auto"/>
            <w:bottom w:val="none" w:sz="0" w:space="0" w:color="auto"/>
            <w:right w:val="none" w:sz="0" w:space="0" w:color="auto"/>
          </w:divBdr>
          <w:divsChild>
            <w:div w:id="260138957">
              <w:marLeft w:val="0"/>
              <w:marRight w:val="0"/>
              <w:marTop w:val="0"/>
              <w:marBottom w:val="0"/>
              <w:divBdr>
                <w:top w:val="none" w:sz="0" w:space="0" w:color="auto"/>
                <w:left w:val="none" w:sz="0" w:space="0" w:color="auto"/>
                <w:bottom w:val="none" w:sz="0" w:space="0" w:color="auto"/>
                <w:right w:val="none" w:sz="0" w:space="0" w:color="auto"/>
              </w:divBdr>
              <w:divsChild>
                <w:div w:id="1134178695">
                  <w:marLeft w:val="0"/>
                  <w:marRight w:val="0"/>
                  <w:marTop w:val="0"/>
                  <w:marBottom w:val="0"/>
                  <w:divBdr>
                    <w:top w:val="none" w:sz="0" w:space="0" w:color="auto"/>
                    <w:left w:val="none" w:sz="0" w:space="0" w:color="auto"/>
                    <w:bottom w:val="none" w:sz="0" w:space="0" w:color="auto"/>
                    <w:right w:val="none" w:sz="0" w:space="0" w:color="auto"/>
                  </w:divBdr>
                  <w:divsChild>
                    <w:div w:id="180114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69562">
      <w:bodyDiv w:val="1"/>
      <w:marLeft w:val="0"/>
      <w:marRight w:val="0"/>
      <w:marTop w:val="0"/>
      <w:marBottom w:val="0"/>
      <w:divBdr>
        <w:top w:val="none" w:sz="0" w:space="0" w:color="auto"/>
        <w:left w:val="none" w:sz="0" w:space="0" w:color="auto"/>
        <w:bottom w:val="none" w:sz="0" w:space="0" w:color="auto"/>
        <w:right w:val="none" w:sz="0" w:space="0" w:color="auto"/>
      </w:divBdr>
      <w:divsChild>
        <w:div w:id="1424647002">
          <w:marLeft w:val="0"/>
          <w:marRight w:val="0"/>
          <w:marTop w:val="0"/>
          <w:marBottom w:val="0"/>
          <w:divBdr>
            <w:top w:val="none" w:sz="0" w:space="0" w:color="auto"/>
            <w:left w:val="none" w:sz="0" w:space="0" w:color="auto"/>
            <w:bottom w:val="none" w:sz="0" w:space="0" w:color="auto"/>
            <w:right w:val="none" w:sz="0" w:space="0" w:color="auto"/>
          </w:divBdr>
          <w:divsChild>
            <w:div w:id="910654625">
              <w:marLeft w:val="0"/>
              <w:marRight w:val="0"/>
              <w:marTop w:val="0"/>
              <w:marBottom w:val="0"/>
              <w:divBdr>
                <w:top w:val="none" w:sz="0" w:space="0" w:color="auto"/>
                <w:left w:val="none" w:sz="0" w:space="0" w:color="auto"/>
                <w:bottom w:val="none" w:sz="0" w:space="0" w:color="auto"/>
                <w:right w:val="none" w:sz="0" w:space="0" w:color="auto"/>
              </w:divBdr>
              <w:divsChild>
                <w:div w:id="16086783">
                  <w:marLeft w:val="0"/>
                  <w:marRight w:val="0"/>
                  <w:marTop w:val="0"/>
                  <w:marBottom w:val="0"/>
                  <w:divBdr>
                    <w:top w:val="none" w:sz="0" w:space="0" w:color="auto"/>
                    <w:left w:val="none" w:sz="0" w:space="0" w:color="auto"/>
                    <w:bottom w:val="none" w:sz="0" w:space="0" w:color="auto"/>
                    <w:right w:val="none" w:sz="0" w:space="0" w:color="auto"/>
                  </w:divBdr>
                  <w:divsChild>
                    <w:div w:id="161979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08938">
      <w:bodyDiv w:val="1"/>
      <w:marLeft w:val="0"/>
      <w:marRight w:val="0"/>
      <w:marTop w:val="0"/>
      <w:marBottom w:val="0"/>
      <w:divBdr>
        <w:top w:val="none" w:sz="0" w:space="0" w:color="auto"/>
        <w:left w:val="none" w:sz="0" w:space="0" w:color="auto"/>
        <w:bottom w:val="none" w:sz="0" w:space="0" w:color="auto"/>
        <w:right w:val="none" w:sz="0" w:space="0" w:color="auto"/>
      </w:divBdr>
      <w:divsChild>
        <w:div w:id="949123931">
          <w:marLeft w:val="0"/>
          <w:marRight w:val="0"/>
          <w:marTop w:val="0"/>
          <w:marBottom w:val="0"/>
          <w:divBdr>
            <w:top w:val="none" w:sz="0" w:space="0" w:color="auto"/>
            <w:left w:val="none" w:sz="0" w:space="0" w:color="auto"/>
            <w:bottom w:val="none" w:sz="0" w:space="0" w:color="auto"/>
            <w:right w:val="none" w:sz="0" w:space="0" w:color="auto"/>
          </w:divBdr>
          <w:divsChild>
            <w:div w:id="68616947">
              <w:marLeft w:val="0"/>
              <w:marRight w:val="0"/>
              <w:marTop w:val="0"/>
              <w:marBottom w:val="0"/>
              <w:divBdr>
                <w:top w:val="none" w:sz="0" w:space="0" w:color="auto"/>
                <w:left w:val="none" w:sz="0" w:space="0" w:color="auto"/>
                <w:bottom w:val="none" w:sz="0" w:space="0" w:color="auto"/>
                <w:right w:val="none" w:sz="0" w:space="0" w:color="auto"/>
              </w:divBdr>
              <w:divsChild>
                <w:div w:id="895049962">
                  <w:marLeft w:val="0"/>
                  <w:marRight w:val="0"/>
                  <w:marTop w:val="0"/>
                  <w:marBottom w:val="0"/>
                  <w:divBdr>
                    <w:top w:val="none" w:sz="0" w:space="0" w:color="auto"/>
                    <w:left w:val="none" w:sz="0" w:space="0" w:color="auto"/>
                    <w:bottom w:val="none" w:sz="0" w:space="0" w:color="auto"/>
                    <w:right w:val="none" w:sz="0" w:space="0" w:color="auto"/>
                  </w:divBdr>
                  <w:divsChild>
                    <w:div w:id="57809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127191">
      <w:bodyDiv w:val="1"/>
      <w:marLeft w:val="0"/>
      <w:marRight w:val="0"/>
      <w:marTop w:val="0"/>
      <w:marBottom w:val="0"/>
      <w:divBdr>
        <w:top w:val="none" w:sz="0" w:space="0" w:color="auto"/>
        <w:left w:val="none" w:sz="0" w:space="0" w:color="auto"/>
        <w:bottom w:val="none" w:sz="0" w:space="0" w:color="auto"/>
        <w:right w:val="none" w:sz="0" w:space="0" w:color="auto"/>
      </w:divBdr>
      <w:divsChild>
        <w:div w:id="2133743569">
          <w:marLeft w:val="0"/>
          <w:marRight w:val="0"/>
          <w:marTop w:val="0"/>
          <w:marBottom w:val="0"/>
          <w:divBdr>
            <w:top w:val="none" w:sz="0" w:space="0" w:color="auto"/>
            <w:left w:val="none" w:sz="0" w:space="0" w:color="auto"/>
            <w:bottom w:val="none" w:sz="0" w:space="0" w:color="auto"/>
            <w:right w:val="none" w:sz="0" w:space="0" w:color="auto"/>
          </w:divBdr>
          <w:divsChild>
            <w:div w:id="239826258">
              <w:marLeft w:val="0"/>
              <w:marRight w:val="0"/>
              <w:marTop w:val="0"/>
              <w:marBottom w:val="0"/>
              <w:divBdr>
                <w:top w:val="none" w:sz="0" w:space="0" w:color="auto"/>
                <w:left w:val="none" w:sz="0" w:space="0" w:color="auto"/>
                <w:bottom w:val="none" w:sz="0" w:space="0" w:color="auto"/>
                <w:right w:val="none" w:sz="0" w:space="0" w:color="auto"/>
              </w:divBdr>
              <w:divsChild>
                <w:div w:id="387802630">
                  <w:marLeft w:val="0"/>
                  <w:marRight w:val="0"/>
                  <w:marTop w:val="0"/>
                  <w:marBottom w:val="0"/>
                  <w:divBdr>
                    <w:top w:val="none" w:sz="0" w:space="0" w:color="auto"/>
                    <w:left w:val="none" w:sz="0" w:space="0" w:color="auto"/>
                    <w:bottom w:val="none" w:sz="0" w:space="0" w:color="auto"/>
                    <w:right w:val="none" w:sz="0" w:space="0" w:color="auto"/>
                  </w:divBdr>
                  <w:divsChild>
                    <w:div w:id="90872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546438">
      <w:bodyDiv w:val="1"/>
      <w:marLeft w:val="0"/>
      <w:marRight w:val="0"/>
      <w:marTop w:val="0"/>
      <w:marBottom w:val="0"/>
      <w:divBdr>
        <w:top w:val="none" w:sz="0" w:space="0" w:color="auto"/>
        <w:left w:val="none" w:sz="0" w:space="0" w:color="auto"/>
        <w:bottom w:val="none" w:sz="0" w:space="0" w:color="auto"/>
        <w:right w:val="none" w:sz="0" w:space="0" w:color="auto"/>
      </w:divBdr>
      <w:divsChild>
        <w:div w:id="1983465464">
          <w:marLeft w:val="0"/>
          <w:marRight w:val="0"/>
          <w:marTop w:val="0"/>
          <w:marBottom w:val="0"/>
          <w:divBdr>
            <w:top w:val="none" w:sz="0" w:space="0" w:color="auto"/>
            <w:left w:val="none" w:sz="0" w:space="0" w:color="auto"/>
            <w:bottom w:val="none" w:sz="0" w:space="0" w:color="auto"/>
            <w:right w:val="none" w:sz="0" w:space="0" w:color="auto"/>
          </w:divBdr>
          <w:divsChild>
            <w:div w:id="1753425092">
              <w:marLeft w:val="0"/>
              <w:marRight w:val="0"/>
              <w:marTop w:val="0"/>
              <w:marBottom w:val="0"/>
              <w:divBdr>
                <w:top w:val="none" w:sz="0" w:space="0" w:color="auto"/>
                <w:left w:val="none" w:sz="0" w:space="0" w:color="auto"/>
                <w:bottom w:val="none" w:sz="0" w:space="0" w:color="auto"/>
                <w:right w:val="none" w:sz="0" w:space="0" w:color="auto"/>
              </w:divBdr>
              <w:divsChild>
                <w:div w:id="189530415">
                  <w:marLeft w:val="0"/>
                  <w:marRight w:val="0"/>
                  <w:marTop w:val="0"/>
                  <w:marBottom w:val="0"/>
                  <w:divBdr>
                    <w:top w:val="none" w:sz="0" w:space="0" w:color="auto"/>
                    <w:left w:val="none" w:sz="0" w:space="0" w:color="auto"/>
                    <w:bottom w:val="none" w:sz="0" w:space="0" w:color="auto"/>
                    <w:right w:val="none" w:sz="0" w:space="0" w:color="auto"/>
                  </w:divBdr>
                  <w:divsChild>
                    <w:div w:id="204945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561739">
      <w:bodyDiv w:val="1"/>
      <w:marLeft w:val="0"/>
      <w:marRight w:val="0"/>
      <w:marTop w:val="0"/>
      <w:marBottom w:val="0"/>
      <w:divBdr>
        <w:top w:val="none" w:sz="0" w:space="0" w:color="auto"/>
        <w:left w:val="none" w:sz="0" w:space="0" w:color="auto"/>
        <w:bottom w:val="none" w:sz="0" w:space="0" w:color="auto"/>
        <w:right w:val="none" w:sz="0" w:space="0" w:color="auto"/>
      </w:divBdr>
      <w:divsChild>
        <w:div w:id="1279144395">
          <w:marLeft w:val="0"/>
          <w:marRight w:val="0"/>
          <w:marTop w:val="0"/>
          <w:marBottom w:val="0"/>
          <w:divBdr>
            <w:top w:val="none" w:sz="0" w:space="0" w:color="auto"/>
            <w:left w:val="none" w:sz="0" w:space="0" w:color="auto"/>
            <w:bottom w:val="none" w:sz="0" w:space="0" w:color="auto"/>
            <w:right w:val="none" w:sz="0" w:space="0" w:color="auto"/>
          </w:divBdr>
          <w:divsChild>
            <w:div w:id="1132944099">
              <w:marLeft w:val="0"/>
              <w:marRight w:val="0"/>
              <w:marTop w:val="0"/>
              <w:marBottom w:val="0"/>
              <w:divBdr>
                <w:top w:val="none" w:sz="0" w:space="0" w:color="auto"/>
                <w:left w:val="none" w:sz="0" w:space="0" w:color="auto"/>
                <w:bottom w:val="none" w:sz="0" w:space="0" w:color="auto"/>
                <w:right w:val="none" w:sz="0" w:space="0" w:color="auto"/>
              </w:divBdr>
              <w:divsChild>
                <w:div w:id="1527984583">
                  <w:marLeft w:val="0"/>
                  <w:marRight w:val="0"/>
                  <w:marTop w:val="0"/>
                  <w:marBottom w:val="0"/>
                  <w:divBdr>
                    <w:top w:val="none" w:sz="0" w:space="0" w:color="auto"/>
                    <w:left w:val="none" w:sz="0" w:space="0" w:color="auto"/>
                    <w:bottom w:val="none" w:sz="0" w:space="0" w:color="auto"/>
                    <w:right w:val="none" w:sz="0" w:space="0" w:color="auto"/>
                  </w:divBdr>
                  <w:divsChild>
                    <w:div w:id="55446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813321">
      <w:bodyDiv w:val="1"/>
      <w:marLeft w:val="0"/>
      <w:marRight w:val="0"/>
      <w:marTop w:val="0"/>
      <w:marBottom w:val="0"/>
      <w:divBdr>
        <w:top w:val="none" w:sz="0" w:space="0" w:color="auto"/>
        <w:left w:val="none" w:sz="0" w:space="0" w:color="auto"/>
        <w:bottom w:val="none" w:sz="0" w:space="0" w:color="auto"/>
        <w:right w:val="none" w:sz="0" w:space="0" w:color="auto"/>
      </w:divBdr>
      <w:divsChild>
        <w:div w:id="353700536">
          <w:marLeft w:val="0"/>
          <w:marRight w:val="0"/>
          <w:marTop w:val="0"/>
          <w:marBottom w:val="0"/>
          <w:divBdr>
            <w:top w:val="none" w:sz="0" w:space="0" w:color="auto"/>
            <w:left w:val="none" w:sz="0" w:space="0" w:color="auto"/>
            <w:bottom w:val="none" w:sz="0" w:space="0" w:color="auto"/>
            <w:right w:val="none" w:sz="0" w:space="0" w:color="auto"/>
          </w:divBdr>
          <w:divsChild>
            <w:div w:id="138038862">
              <w:marLeft w:val="0"/>
              <w:marRight w:val="0"/>
              <w:marTop w:val="0"/>
              <w:marBottom w:val="0"/>
              <w:divBdr>
                <w:top w:val="none" w:sz="0" w:space="0" w:color="auto"/>
                <w:left w:val="none" w:sz="0" w:space="0" w:color="auto"/>
                <w:bottom w:val="none" w:sz="0" w:space="0" w:color="auto"/>
                <w:right w:val="none" w:sz="0" w:space="0" w:color="auto"/>
              </w:divBdr>
              <w:divsChild>
                <w:div w:id="1610821075">
                  <w:marLeft w:val="0"/>
                  <w:marRight w:val="0"/>
                  <w:marTop w:val="0"/>
                  <w:marBottom w:val="0"/>
                  <w:divBdr>
                    <w:top w:val="none" w:sz="0" w:space="0" w:color="auto"/>
                    <w:left w:val="none" w:sz="0" w:space="0" w:color="auto"/>
                    <w:bottom w:val="none" w:sz="0" w:space="0" w:color="auto"/>
                    <w:right w:val="none" w:sz="0" w:space="0" w:color="auto"/>
                  </w:divBdr>
                  <w:divsChild>
                    <w:div w:id="17564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541416">
      <w:bodyDiv w:val="1"/>
      <w:marLeft w:val="0"/>
      <w:marRight w:val="0"/>
      <w:marTop w:val="0"/>
      <w:marBottom w:val="0"/>
      <w:divBdr>
        <w:top w:val="none" w:sz="0" w:space="0" w:color="auto"/>
        <w:left w:val="none" w:sz="0" w:space="0" w:color="auto"/>
        <w:bottom w:val="none" w:sz="0" w:space="0" w:color="auto"/>
        <w:right w:val="none" w:sz="0" w:space="0" w:color="auto"/>
      </w:divBdr>
      <w:divsChild>
        <w:div w:id="993681690">
          <w:marLeft w:val="0"/>
          <w:marRight w:val="0"/>
          <w:marTop w:val="0"/>
          <w:marBottom w:val="0"/>
          <w:divBdr>
            <w:top w:val="none" w:sz="0" w:space="0" w:color="auto"/>
            <w:left w:val="none" w:sz="0" w:space="0" w:color="auto"/>
            <w:bottom w:val="none" w:sz="0" w:space="0" w:color="auto"/>
            <w:right w:val="none" w:sz="0" w:space="0" w:color="auto"/>
          </w:divBdr>
          <w:divsChild>
            <w:div w:id="631177775">
              <w:marLeft w:val="0"/>
              <w:marRight w:val="0"/>
              <w:marTop w:val="0"/>
              <w:marBottom w:val="0"/>
              <w:divBdr>
                <w:top w:val="none" w:sz="0" w:space="0" w:color="auto"/>
                <w:left w:val="none" w:sz="0" w:space="0" w:color="auto"/>
                <w:bottom w:val="none" w:sz="0" w:space="0" w:color="auto"/>
                <w:right w:val="none" w:sz="0" w:space="0" w:color="auto"/>
              </w:divBdr>
              <w:divsChild>
                <w:div w:id="1315602325">
                  <w:marLeft w:val="0"/>
                  <w:marRight w:val="0"/>
                  <w:marTop w:val="0"/>
                  <w:marBottom w:val="0"/>
                  <w:divBdr>
                    <w:top w:val="none" w:sz="0" w:space="0" w:color="auto"/>
                    <w:left w:val="none" w:sz="0" w:space="0" w:color="auto"/>
                    <w:bottom w:val="none" w:sz="0" w:space="0" w:color="auto"/>
                    <w:right w:val="none" w:sz="0" w:space="0" w:color="auto"/>
                  </w:divBdr>
                  <w:divsChild>
                    <w:div w:id="214696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703973">
      <w:bodyDiv w:val="1"/>
      <w:marLeft w:val="0"/>
      <w:marRight w:val="0"/>
      <w:marTop w:val="0"/>
      <w:marBottom w:val="0"/>
      <w:divBdr>
        <w:top w:val="none" w:sz="0" w:space="0" w:color="auto"/>
        <w:left w:val="none" w:sz="0" w:space="0" w:color="auto"/>
        <w:bottom w:val="none" w:sz="0" w:space="0" w:color="auto"/>
        <w:right w:val="none" w:sz="0" w:space="0" w:color="auto"/>
      </w:divBdr>
      <w:divsChild>
        <w:div w:id="1247108441">
          <w:marLeft w:val="0"/>
          <w:marRight w:val="0"/>
          <w:marTop w:val="0"/>
          <w:marBottom w:val="0"/>
          <w:divBdr>
            <w:top w:val="none" w:sz="0" w:space="0" w:color="auto"/>
            <w:left w:val="none" w:sz="0" w:space="0" w:color="auto"/>
            <w:bottom w:val="none" w:sz="0" w:space="0" w:color="auto"/>
            <w:right w:val="none" w:sz="0" w:space="0" w:color="auto"/>
          </w:divBdr>
          <w:divsChild>
            <w:div w:id="292445923">
              <w:marLeft w:val="0"/>
              <w:marRight w:val="0"/>
              <w:marTop w:val="0"/>
              <w:marBottom w:val="0"/>
              <w:divBdr>
                <w:top w:val="none" w:sz="0" w:space="0" w:color="auto"/>
                <w:left w:val="none" w:sz="0" w:space="0" w:color="auto"/>
                <w:bottom w:val="none" w:sz="0" w:space="0" w:color="auto"/>
                <w:right w:val="none" w:sz="0" w:space="0" w:color="auto"/>
              </w:divBdr>
              <w:divsChild>
                <w:div w:id="1064330044">
                  <w:marLeft w:val="0"/>
                  <w:marRight w:val="0"/>
                  <w:marTop w:val="0"/>
                  <w:marBottom w:val="0"/>
                  <w:divBdr>
                    <w:top w:val="none" w:sz="0" w:space="0" w:color="auto"/>
                    <w:left w:val="none" w:sz="0" w:space="0" w:color="auto"/>
                    <w:bottom w:val="none" w:sz="0" w:space="0" w:color="auto"/>
                    <w:right w:val="none" w:sz="0" w:space="0" w:color="auto"/>
                  </w:divBdr>
                  <w:divsChild>
                    <w:div w:id="153138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718223">
      <w:bodyDiv w:val="1"/>
      <w:marLeft w:val="0"/>
      <w:marRight w:val="0"/>
      <w:marTop w:val="0"/>
      <w:marBottom w:val="0"/>
      <w:divBdr>
        <w:top w:val="none" w:sz="0" w:space="0" w:color="auto"/>
        <w:left w:val="none" w:sz="0" w:space="0" w:color="auto"/>
        <w:bottom w:val="none" w:sz="0" w:space="0" w:color="auto"/>
        <w:right w:val="none" w:sz="0" w:space="0" w:color="auto"/>
      </w:divBdr>
      <w:divsChild>
        <w:div w:id="619730735">
          <w:marLeft w:val="0"/>
          <w:marRight w:val="0"/>
          <w:marTop w:val="0"/>
          <w:marBottom w:val="0"/>
          <w:divBdr>
            <w:top w:val="none" w:sz="0" w:space="0" w:color="auto"/>
            <w:left w:val="none" w:sz="0" w:space="0" w:color="auto"/>
            <w:bottom w:val="none" w:sz="0" w:space="0" w:color="auto"/>
            <w:right w:val="none" w:sz="0" w:space="0" w:color="auto"/>
          </w:divBdr>
          <w:divsChild>
            <w:div w:id="973677541">
              <w:marLeft w:val="0"/>
              <w:marRight w:val="0"/>
              <w:marTop w:val="0"/>
              <w:marBottom w:val="0"/>
              <w:divBdr>
                <w:top w:val="none" w:sz="0" w:space="0" w:color="auto"/>
                <w:left w:val="none" w:sz="0" w:space="0" w:color="auto"/>
                <w:bottom w:val="none" w:sz="0" w:space="0" w:color="auto"/>
                <w:right w:val="none" w:sz="0" w:space="0" w:color="auto"/>
              </w:divBdr>
              <w:divsChild>
                <w:div w:id="1599674284">
                  <w:marLeft w:val="0"/>
                  <w:marRight w:val="0"/>
                  <w:marTop w:val="0"/>
                  <w:marBottom w:val="0"/>
                  <w:divBdr>
                    <w:top w:val="none" w:sz="0" w:space="0" w:color="auto"/>
                    <w:left w:val="none" w:sz="0" w:space="0" w:color="auto"/>
                    <w:bottom w:val="none" w:sz="0" w:space="0" w:color="auto"/>
                    <w:right w:val="none" w:sz="0" w:space="0" w:color="auto"/>
                  </w:divBdr>
                  <w:divsChild>
                    <w:div w:id="2209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30332323">
      <w:bodyDiv w:val="1"/>
      <w:marLeft w:val="0"/>
      <w:marRight w:val="0"/>
      <w:marTop w:val="0"/>
      <w:marBottom w:val="0"/>
      <w:divBdr>
        <w:top w:val="none" w:sz="0" w:space="0" w:color="auto"/>
        <w:left w:val="none" w:sz="0" w:space="0" w:color="auto"/>
        <w:bottom w:val="none" w:sz="0" w:space="0" w:color="auto"/>
        <w:right w:val="none" w:sz="0" w:space="0" w:color="auto"/>
      </w:divBdr>
      <w:divsChild>
        <w:div w:id="565379182">
          <w:marLeft w:val="0"/>
          <w:marRight w:val="0"/>
          <w:marTop w:val="0"/>
          <w:marBottom w:val="0"/>
          <w:divBdr>
            <w:top w:val="none" w:sz="0" w:space="0" w:color="auto"/>
            <w:left w:val="none" w:sz="0" w:space="0" w:color="auto"/>
            <w:bottom w:val="none" w:sz="0" w:space="0" w:color="auto"/>
            <w:right w:val="none" w:sz="0" w:space="0" w:color="auto"/>
          </w:divBdr>
          <w:divsChild>
            <w:div w:id="1262644683">
              <w:marLeft w:val="0"/>
              <w:marRight w:val="0"/>
              <w:marTop w:val="0"/>
              <w:marBottom w:val="0"/>
              <w:divBdr>
                <w:top w:val="none" w:sz="0" w:space="0" w:color="auto"/>
                <w:left w:val="none" w:sz="0" w:space="0" w:color="auto"/>
                <w:bottom w:val="none" w:sz="0" w:space="0" w:color="auto"/>
                <w:right w:val="none" w:sz="0" w:space="0" w:color="auto"/>
              </w:divBdr>
              <w:divsChild>
                <w:div w:id="812674328">
                  <w:marLeft w:val="0"/>
                  <w:marRight w:val="0"/>
                  <w:marTop w:val="0"/>
                  <w:marBottom w:val="0"/>
                  <w:divBdr>
                    <w:top w:val="none" w:sz="0" w:space="0" w:color="auto"/>
                    <w:left w:val="none" w:sz="0" w:space="0" w:color="auto"/>
                    <w:bottom w:val="none" w:sz="0" w:space="0" w:color="auto"/>
                    <w:right w:val="none" w:sz="0" w:space="0" w:color="auto"/>
                  </w:divBdr>
                  <w:divsChild>
                    <w:div w:id="13495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7927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gob.mx/semarnat/articulos/conagua-hacia-una-gestion-integrada-y-sustentable-del-agua" TargetMode="External"/><Relationship Id="rId1" Type="http://schemas.openxmlformats.org/officeDocument/2006/relationships/hyperlink" Target="https://www.gob.mx/conagu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Times">
    <w:altName w:val="Sylfae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E38CE"/>
    <w:rsid w:val="00200821"/>
    <w:rsid w:val="0025245B"/>
    <w:rsid w:val="00274409"/>
    <w:rsid w:val="002A3923"/>
    <w:rsid w:val="002F63BD"/>
    <w:rsid w:val="00302086"/>
    <w:rsid w:val="00363DB6"/>
    <w:rsid w:val="00394049"/>
    <w:rsid w:val="003A7EC6"/>
    <w:rsid w:val="003B0C71"/>
    <w:rsid w:val="004009E8"/>
    <w:rsid w:val="00480E9F"/>
    <w:rsid w:val="004B5BBB"/>
    <w:rsid w:val="004F2DF8"/>
    <w:rsid w:val="00517E2A"/>
    <w:rsid w:val="00554C75"/>
    <w:rsid w:val="0063664C"/>
    <w:rsid w:val="006716A7"/>
    <w:rsid w:val="006D1A6C"/>
    <w:rsid w:val="006D3128"/>
    <w:rsid w:val="006F24A1"/>
    <w:rsid w:val="007D69B0"/>
    <w:rsid w:val="007E330B"/>
    <w:rsid w:val="008450A1"/>
    <w:rsid w:val="00870F6D"/>
    <w:rsid w:val="00875B8A"/>
    <w:rsid w:val="00881358"/>
    <w:rsid w:val="008953BC"/>
    <w:rsid w:val="008A6296"/>
    <w:rsid w:val="008F70D4"/>
    <w:rsid w:val="0090483B"/>
    <w:rsid w:val="0094364D"/>
    <w:rsid w:val="009A261B"/>
    <w:rsid w:val="009C7DB2"/>
    <w:rsid w:val="00AA2E17"/>
    <w:rsid w:val="00AC15A4"/>
    <w:rsid w:val="00AD1629"/>
    <w:rsid w:val="00B0336C"/>
    <w:rsid w:val="00BE1831"/>
    <w:rsid w:val="00C03245"/>
    <w:rsid w:val="00C16896"/>
    <w:rsid w:val="00C90291"/>
    <w:rsid w:val="00D16531"/>
    <w:rsid w:val="00D241E9"/>
    <w:rsid w:val="00D7750D"/>
    <w:rsid w:val="00DF0147"/>
    <w:rsid w:val="00F00D2F"/>
    <w:rsid w:val="00F128DF"/>
    <w:rsid w:val="00FF70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4903</Words>
  <Characters>27948</Characters>
  <Application>Microsoft Office Word</Application>
  <DocSecurity>0</DocSecurity>
  <Lines>232</Lines>
  <Paragraphs>65</Paragraphs>
  <ScaleCrop>false</ScaleCrop>
  <Company/>
  <LinksUpToDate>false</LinksUpToDate>
  <CharactersWithSpaces>32786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2024-10-30T13:44:00Z</dcterms:created>
  <dcterms:modified xsi:type="dcterms:W3CDTF">2024-10-30T13:44:00Z</dcterms:modified>
</cp:coreProperties>
</file>