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0189" w14:textId="77592285" w:rsidR="00166878" w:rsidRPr="00EF5857" w:rsidRDefault="00350BF9">
      <w:pPr>
        <w:jc w:val="both"/>
        <w:rPr>
          <w:rFonts w:ascii="Cambria" w:eastAsia="Cambria" w:hAnsi="Cambria" w:cs="Cambria"/>
          <w:b/>
          <w:sz w:val="22"/>
          <w:szCs w:val="22"/>
          <w:lang w:val="es-ES"/>
        </w:rPr>
      </w:pPr>
      <w:r w:rsidRPr="00EF5857">
        <w:rPr>
          <w:noProof/>
          <w:lang w:val="es-ES"/>
        </w:rPr>
        <w:drawing>
          <wp:anchor distT="0" distB="0" distL="114300" distR="114300" simplePos="0" relativeHeight="251658240" behindDoc="0" locked="0" layoutInCell="1" hidden="0" allowOverlap="1" wp14:anchorId="4F2A2990" wp14:editId="1F8967FC">
            <wp:simplePos x="0" y="0"/>
            <wp:positionH relativeFrom="column">
              <wp:posOffset>1270000</wp:posOffset>
            </wp:positionH>
            <wp:positionV relativeFrom="paragraph">
              <wp:posOffset>-419099</wp:posOffset>
            </wp:positionV>
            <wp:extent cx="2798472" cy="66675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98472" cy="666750"/>
                    </a:xfrm>
                    <a:prstGeom prst="rect">
                      <a:avLst/>
                    </a:prstGeom>
                    <a:ln/>
                  </pic:spPr>
                </pic:pic>
              </a:graphicData>
            </a:graphic>
          </wp:anchor>
        </w:drawing>
      </w:r>
      <w:r w:rsidRPr="00EF5857">
        <w:rPr>
          <w:noProof/>
          <w:lang w:val="es-ES"/>
        </w:rPr>
        <mc:AlternateContent>
          <mc:Choice Requires="wps">
            <w:drawing>
              <wp:anchor distT="0" distB="0" distL="114300" distR="114300" simplePos="0" relativeHeight="251658241" behindDoc="0" locked="0" layoutInCell="1" hidden="0" allowOverlap="1" wp14:anchorId="7566ECE2" wp14:editId="089A9F1A">
                <wp:simplePos x="0" y="0"/>
                <wp:positionH relativeFrom="column">
                  <wp:posOffset>-419099</wp:posOffset>
                </wp:positionH>
                <wp:positionV relativeFrom="paragraph">
                  <wp:posOffset>-431799</wp:posOffset>
                </wp:positionV>
                <wp:extent cx="1552575" cy="9105900"/>
                <wp:effectExtent l="0" t="0" r="0" b="0"/>
                <wp:wrapNone/>
                <wp:docPr id="21" name="Rectangle 21"/>
                <wp:cNvGraphicFramePr/>
                <a:graphic xmlns:a="http://schemas.openxmlformats.org/drawingml/2006/main">
                  <a:graphicData uri="http://schemas.microsoft.com/office/word/2010/wordprocessingShape">
                    <wps:wsp>
                      <wps:cNvSpPr/>
                      <wps:spPr>
                        <a:xfrm>
                          <a:off x="4574475" y="0"/>
                          <a:ext cx="1543050" cy="7560000"/>
                        </a:xfrm>
                        <a:prstGeom prst="rect">
                          <a:avLst/>
                        </a:prstGeom>
                        <a:solidFill>
                          <a:srgbClr val="4A7194"/>
                        </a:solidFill>
                        <a:ln>
                          <a:noFill/>
                        </a:ln>
                      </wps:spPr>
                      <wps:txbx>
                        <w:txbxContent>
                          <w:p w14:paraId="2D911686" w14:textId="77777777" w:rsidR="00166878" w:rsidRDefault="00166878">
                            <w:pPr>
                              <w:textDirection w:val="btLr"/>
                            </w:pPr>
                          </w:p>
                        </w:txbxContent>
                      </wps:txbx>
                      <wps:bodyPr spcFirstLastPara="1" wrap="square" lIns="91425" tIns="91425" rIns="91425" bIns="91425" anchor="ctr" anchorCtr="0">
                        <a:noAutofit/>
                      </wps:bodyPr>
                    </wps:wsp>
                  </a:graphicData>
                </a:graphic>
              </wp:anchor>
            </w:drawing>
          </mc:Choice>
          <mc:Fallback>
            <w:pict>
              <v:rect w14:anchorId="7566ECE2" id="Rectangle 21" o:spid="_x0000_s1026" style="position:absolute;left:0;text-align:left;margin-left:-33pt;margin-top:-34pt;width:122.25pt;height:71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" fillcolor="#4a7194" stroked="f">
                <v:textbox inset="2.53958mm,2.53958mm,2.53958mm,2.53958mm">
                  <w:txbxContent>
                    <w:p w14:paraId="2D911686" w14:textId="77777777" w:rsidR="00166878" w:rsidRDefault="00166878">
                      <w:pPr>
                        <w:textDirection w:val="btLr"/>
                      </w:pPr>
                    </w:p>
                  </w:txbxContent>
                </v:textbox>
              </v:rect>
            </w:pict>
          </mc:Fallback>
        </mc:AlternateContent>
      </w:r>
      <w:r w:rsidR="00E75056" w:rsidRPr="00EF5857">
        <w:rPr>
          <w:rFonts w:ascii="Cambria" w:eastAsia="Cambria" w:hAnsi="Cambria" w:cs="Cambria"/>
          <w:b/>
          <w:sz w:val="22"/>
          <w:szCs w:val="22"/>
          <w:lang w:val="es-ES"/>
        </w:rPr>
        <w:t xml:space="preserve">X k, </w:t>
      </w:r>
    </w:p>
    <w:p w14:paraId="436AB41E" w14:textId="77777777" w:rsidR="00166878" w:rsidRPr="00EF5857" w:rsidRDefault="00166878">
      <w:pPr>
        <w:tabs>
          <w:tab w:val="center" w:pos="5400"/>
        </w:tabs>
        <w:jc w:val="both"/>
        <w:rPr>
          <w:rFonts w:ascii="Cambria" w:eastAsia="Cambria" w:hAnsi="Cambria" w:cs="Cambria"/>
          <w:sz w:val="22"/>
          <w:szCs w:val="22"/>
          <w:lang w:val="es-ES"/>
        </w:rPr>
      </w:pPr>
    </w:p>
    <w:p w14:paraId="6F8CCA72" w14:textId="77777777" w:rsidR="00166878" w:rsidRPr="00EF5857" w:rsidRDefault="00166878">
      <w:pPr>
        <w:tabs>
          <w:tab w:val="center" w:pos="5400"/>
        </w:tabs>
        <w:jc w:val="both"/>
        <w:rPr>
          <w:rFonts w:ascii="Cambria" w:eastAsia="Cambria" w:hAnsi="Cambria" w:cs="Cambria"/>
          <w:sz w:val="22"/>
          <w:szCs w:val="22"/>
          <w:lang w:val="es-ES"/>
        </w:rPr>
      </w:pPr>
    </w:p>
    <w:p w14:paraId="073F78AB" w14:textId="77777777" w:rsidR="00166878" w:rsidRPr="00EF5857" w:rsidRDefault="00166878">
      <w:pPr>
        <w:tabs>
          <w:tab w:val="center" w:pos="5400"/>
        </w:tabs>
        <w:rPr>
          <w:rFonts w:ascii="Cambria" w:eastAsia="Cambria" w:hAnsi="Cambria" w:cs="Cambria"/>
          <w:sz w:val="22"/>
          <w:szCs w:val="22"/>
          <w:lang w:val="es-ES"/>
        </w:rPr>
      </w:pPr>
    </w:p>
    <w:p w14:paraId="2904F856" w14:textId="77777777" w:rsidR="00166878" w:rsidRPr="00EF5857" w:rsidRDefault="00166878">
      <w:pPr>
        <w:tabs>
          <w:tab w:val="center" w:pos="5400"/>
        </w:tabs>
        <w:rPr>
          <w:rFonts w:ascii="Cambria" w:eastAsia="Cambria" w:hAnsi="Cambria" w:cs="Cambria"/>
          <w:sz w:val="22"/>
          <w:szCs w:val="22"/>
          <w:lang w:val="es-ES"/>
        </w:rPr>
      </w:pPr>
    </w:p>
    <w:p w14:paraId="3EB7C845" w14:textId="77777777" w:rsidR="00166878" w:rsidRPr="00EF5857" w:rsidRDefault="00166878">
      <w:pPr>
        <w:tabs>
          <w:tab w:val="center" w:pos="5400"/>
        </w:tabs>
        <w:rPr>
          <w:rFonts w:ascii="Cambria" w:eastAsia="Cambria" w:hAnsi="Cambria" w:cs="Cambria"/>
          <w:sz w:val="22"/>
          <w:szCs w:val="22"/>
          <w:lang w:val="es-ES"/>
        </w:rPr>
      </w:pPr>
    </w:p>
    <w:p w14:paraId="2B8ACE6B" w14:textId="77777777" w:rsidR="00166878" w:rsidRPr="00EF5857" w:rsidRDefault="00166878">
      <w:pPr>
        <w:tabs>
          <w:tab w:val="center" w:pos="5400"/>
        </w:tabs>
        <w:jc w:val="center"/>
        <w:rPr>
          <w:rFonts w:ascii="Cambria" w:eastAsia="Cambria" w:hAnsi="Cambria" w:cs="Cambria"/>
          <w:sz w:val="22"/>
          <w:szCs w:val="22"/>
          <w:lang w:val="es-ES"/>
        </w:rPr>
      </w:pPr>
    </w:p>
    <w:p w14:paraId="071DA010" w14:textId="77777777" w:rsidR="00166878" w:rsidRPr="00EF5857" w:rsidRDefault="00166878">
      <w:pPr>
        <w:tabs>
          <w:tab w:val="center" w:pos="5400"/>
        </w:tabs>
        <w:jc w:val="center"/>
        <w:rPr>
          <w:rFonts w:ascii="Cambria" w:eastAsia="Cambria" w:hAnsi="Cambria" w:cs="Cambria"/>
          <w:sz w:val="22"/>
          <w:szCs w:val="22"/>
          <w:lang w:val="es-ES"/>
        </w:rPr>
      </w:pPr>
    </w:p>
    <w:p w14:paraId="16923A57" w14:textId="77777777" w:rsidR="00166878" w:rsidRPr="00EF5857" w:rsidRDefault="00166878">
      <w:pPr>
        <w:tabs>
          <w:tab w:val="center" w:pos="5400"/>
        </w:tabs>
        <w:jc w:val="center"/>
        <w:rPr>
          <w:rFonts w:ascii="Cambria" w:eastAsia="Cambria" w:hAnsi="Cambria" w:cs="Cambria"/>
          <w:sz w:val="22"/>
          <w:szCs w:val="22"/>
          <w:lang w:val="es-ES"/>
        </w:rPr>
      </w:pPr>
    </w:p>
    <w:p w14:paraId="02D4DBC0" w14:textId="77777777" w:rsidR="00166878" w:rsidRPr="00EF5857" w:rsidRDefault="00166878">
      <w:pPr>
        <w:tabs>
          <w:tab w:val="center" w:pos="5400"/>
        </w:tabs>
        <w:jc w:val="center"/>
        <w:rPr>
          <w:rFonts w:ascii="Cambria" w:eastAsia="Cambria" w:hAnsi="Cambria" w:cs="Cambria"/>
          <w:sz w:val="22"/>
          <w:szCs w:val="22"/>
          <w:lang w:val="es-ES"/>
        </w:rPr>
      </w:pPr>
    </w:p>
    <w:p w14:paraId="3AFEF472" w14:textId="77777777" w:rsidR="00166878" w:rsidRPr="00EF5857" w:rsidRDefault="00166878">
      <w:pPr>
        <w:tabs>
          <w:tab w:val="center" w:pos="5400"/>
        </w:tabs>
        <w:jc w:val="center"/>
        <w:rPr>
          <w:rFonts w:ascii="Cambria" w:eastAsia="Cambria" w:hAnsi="Cambria" w:cs="Cambria"/>
          <w:sz w:val="22"/>
          <w:szCs w:val="22"/>
          <w:lang w:val="es-ES"/>
        </w:rPr>
      </w:pPr>
    </w:p>
    <w:p w14:paraId="61F48CE3" w14:textId="77777777" w:rsidR="00166878" w:rsidRPr="00EF5857" w:rsidRDefault="00166878">
      <w:pPr>
        <w:tabs>
          <w:tab w:val="center" w:pos="5400"/>
        </w:tabs>
        <w:jc w:val="center"/>
        <w:rPr>
          <w:rFonts w:ascii="Cambria" w:eastAsia="Cambria" w:hAnsi="Cambria" w:cs="Cambria"/>
          <w:sz w:val="22"/>
          <w:szCs w:val="22"/>
          <w:lang w:val="es-ES"/>
        </w:rPr>
      </w:pPr>
    </w:p>
    <w:p w14:paraId="7DCDB847" w14:textId="77777777" w:rsidR="00166878" w:rsidRPr="00EF5857" w:rsidRDefault="00166878">
      <w:pPr>
        <w:tabs>
          <w:tab w:val="center" w:pos="5400"/>
        </w:tabs>
        <w:jc w:val="center"/>
        <w:rPr>
          <w:rFonts w:ascii="Cambria" w:eastAsia="Cambria" w:hAnsi="Cambria" w:cs="Cambria"/>
          <w:sz w:val="22"/>
          <w:szCs w:val="22"/>
          <w:lang w:val="es-ES"/>
        </w:rPr>
      </w:pPr>
    </w:p>
    <w:p w14:paraId="58237780" w14:textId="77777777" w:rsidR="00166878" w:rsidRPr="00EF5857" w:rsidRDefault="00350BF9">
      <w:pPr>
        <w:tabs>
          <w:tab w:val="center" w:pos="5400"/>
        </w:tabs>
        <w:jc w:val="center"/>
        <w:rPr>
          <w:rFonts w:ascii="Cambria" w:eastAsia="Cambria" w:hAnsi="Cambria" w:cs="Cambria"/>
          <w:sz w:val="22"/>
          <w:szCs w:val="22"/>
          <w:lang w:val="es-ES"/>
        </w:rPr>
      </w:pPr>
      <w:r w:rsidRPr="00EF5857">
        <w:rPr>
          <w:noProof/>
          <w:lang w:val="es-ES"/>
        </w:rPr>
        <mc:AlternateContent>
          <mc:Choice Requires="wps">
            <w:drawing>
              <wp:anchor distT="0" distB="0" distL="114300" distR="114300" simplePos="0" relativeHeight="251658242" behindDoc="0" locked="0" layoutInCell="1" hidden="0" allowOverlap="1" wp14:anchorId="2ED66BCF" wp14:editId="72F2A2FD">
                <wp:simplePos x="0" y="0"/>
                <wp:positionH relativeFrom="column">
                  <wp:posOffset>1346200</wp:posOffset>
                </wp:positionH>
                <wp:positionV relativeFrom="paragraph">
                  <wp:posOffset>101600</wp:posOffset>
                </wp:positionV>
                <wp:extent cx="4450715" cy="2190750"/>
                <wp:effectExtent l="0" t="0" r="0" b="0"/>
                <wp:wrapNone/>
                <wp:docPr id="18" name="Rectangle 18"/>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284893D8" w14:textId="5E812E7D" w:rsidR="00166878" w:rsidRPr="00E75056" w:rsidRDefault="00350BF9">
                            <w:pPr>
                              <w:spacing w:line="275" w:lineRule="auto"/>
                              <w:textDirection w:val="btLr"/>
                              <w:rPr>
                                <w:lang w:val="es-ES"/>
                              </w:rPr>
                            </w:pPr>
                            <w:r w:rsidRPr="00E75056">
                              <w:rPr>
                                <w:rFonts w:ascii="Cambria" w:eastAsia="Cambria" w:hAnsi="Cambria" w:cs="Cambria"/>
                                <w:b/>
                                <w:color w:val="0D0D0D"/>
                                <w:sz w:val="36"/>
                                <w:lang w:val="es-ES"/>
                              </w:rPr>
                              <w:t xml:space="preserve">INFORME No. </w:t>
                            </w:r>
                            <w:r w:rsidR="0030777A">
                              <w:rPr>
                                <w:rFonts w:ascii="Cambria" w:eastAsia="Cambria" w:hAnsi="Cambria" w:cs="Cambria"/>
                                <w:b/>
                                <w:color w:val="0D0D0D"/>
                                <w:sz w:val="36"/>
                                <w:lang w:val="es-ES"/>
                              </w:rPr>
                              <w:t>225</w:t>
                            </w:r>
                            <w:r w:rsidRPr="00E75056">
                              <w:rPr>
                                <w:rFonts w:ascii="Cambria" w:eastAsia="Cambria" w:hAnsi="Cambria" w:cs="Cambria"/>
                                <w:b/>
                                <w:color w:val="0D0D0D"/>
                                <w:sz w:val="36"/>
                                <w:lang w:val="es-ES"/>
                              </w:rPr>
                              <w:t>/24</w:t>
                            </w:r>
                          </w:p>
                          <w:p w14:paraId="035C816A" w14:textId="77777777" w:rsidR="00166878" w:rsidRPr="00D2194B" w:rsidRDefault="00350BF9">
                            <w:pPr>
                              <w:spacing w:line="275" w:lineRule="auto"/>
                              <w:textDirection w:val="btLr"/>
                              <w:rPr>
                                <w:lang w:val="es-PE"/>
                              </w:rPr>
                            </w:pPr>
                            <w:r w:rsidRPr="00D2194B">
                              <w:rPr>
                                <w:rFonts w:ascii="Cambria" w:eastAsia="Cambria" w:hAnsi="Cambria" w:cs="Cambria"/>
                                <w:b/>
                                <w:color w:val="0D0D0D"/>
                                <w:sz w:val="36"/>
                                <w:lang w:val="es-PE"/>
                              </w:rPr>
                              <w:t>PETICIÓN 1087-13</w:t>
                            </w:r>
                          </w:p>
                          <w:p w14:paraId="0EDD7EFA" w14:textId="77777777" w:rsidR="00166878" w:rsidRPr="00D2194B" w:rsidRDefault="00350BF9">
                            <w:pPr>
                              <w:spacing w:line="275" w:lineRule="auto"/>
                              <w:textDirection w:val="btLr"/>
                              <w:rPr>
                                <w:lang w:val="es-PE"/>
                              </w:rPr>
                            </w:pPr>
                            <w:r w:rsidRPr="00D2194B">
                              <w:rPr>
                                <w:rFonts w:ascii="Cambria" w:eastAsia="Cambria" w:hAnsi="Cambria" w:cs="Cambria"/>
                                <w:color w:val="0D0D0D"/>
                                <w:lang w:val="es-PE"/>
                              </w:rPr>
                              <w:t xml:space="preserve">INFORME DE ADMISIBILIDAD </w:t>
                            </w:r>
                          </w:p>
                          <w:p w14:paraId="625CEA86" w14:textId="77777777" w:rsidR="00166878" w:rsidRPr="00D2194B" w:rsidRDefault="00166878">
                            <w:pPr>
                              <w:spacing w:line="275" w:lineRule="auto"/>
                              <w:textDirection w:val="btLr"/>
                              <w:rPr>
                                <w:lang w:val="es-PE"/>
                              </w:rPr>
                            </w:pPr>
                          </w:p>
                          <w:p w14:paraId="219E0F3E" w14:textId="77777777" w:rsidR="00166878" w:rsidRPr="00D2194B" w:rsidRDefault="00350BF9">
                            <w:pPr>
                              <w:spacing w:line="275" w:lineRule="auto"/>
                              <w:textDirection w:val="btLr"/>
                              <w:rPr>
                                <w:lang w:val="es-PE"/>
                              </w:rPr>
                            </w:pPr>
                            <w:r w:rsidRPr="00D2194B">
                              <w:rPr>
                                <w:rFonts w:ascii="Cambria" w:eastAsia="Cambria" w:hAnsi="Cambria" w:cs="Cambria"/>
                                <w:color w:val="0D0D0D"/>
                                <w:lang w:val="es-PE"/>
                              </w:rPr>
                              <w:t>FILEMÓN MEDINA RAMOS</w:t>
                            </w:r>
                          </w:p>
                          <w:p w14:paraId="47BB7AF7" w14:textId="77777777" w:rsidR="00166878" w:rsidRDefault="00350BF9">
                            <w:pPr>
                              <w:textDirection w:val="btLr"/>
                            </w:pPr>
                            <w:r>
                              <w:rPr>
                                <w:rFonts w:ascii="Cambria" w:eastAsia="Cambria" w:hAnsi="Cambria" w:cs="Cambria"/>
                                <w:color w:val="0D0D0D"/>
                              </w:rPr>
                              <w:t>PANAMÁ</w:t>
                            </w:r>
                          </w:p>
                        </w:txbxContent>
                      </wps:txbx>
                      <wps:bodyPr spcFirstLastPara="1" wrap="square" lIns="91425" tIns="45700" rIns="91425" bIns="45700" anchor="t" anchorCtr="0">
                        <a:noAutofit/>
                      </wps:bodyPr>
                    </wps:wsp>
                  </a:graphicData>
                </a:graphic>
              </wp:anchor>
            </w:drawing>
          </mc:Choice>
          <mc:Fallback>
            <w:pict>
              <v:rect w14:anchorId="2ED66BCF" id="Rectangle 18" o:spid="_x0000_s1027" style="position:absolute;left:0;text-align:left;margin-left:106pt;margin-top:8pt;width:350.45pt;height:17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8U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" filled="f" stroked="f">
                <v:textbox inset="2.53958mm,1.2694mm,2.53958mm,1.2694mm">
                  <w:txbxContent>
                    <w:p w14:paraId="284893D8" w14:textId="5E812E7D" w:rsidR="00166878" w:rsidRPr="00E75056" w:rsidRDefault="00350BF9">
                      <w:pPr>
                        <w:spacing w:line="275" w:lineRule="auto"/>
                        <w:textDirection w:val="btLr"/>
                        <w:rPr>
                          <w:lang w:val="es-ES"/>
                        </w:rPr>
                      </w:pPr>
                      <w:r w:rsidRPr="00E75056">
                        <w:rPr>
                          <w:rFonts w:ascii="Cambria" w:eastAsia="Cambria" w:hAnsi="Cambria" w:cs="Cambria"/>
                          <w:b/>
                          <w:color w:val="0D0D0D"/>
                          <w:sz w:val="36"/>
                          <w:lang w:val="es-ES"/>
                        </w:rPr>
                        <w:t xml:space="preserve">INFORME No. </w:t>
                      </w:r>
                      <w:r w:rsidR="0030777A">
                        <w:rPr>
                          <w:rFonts w:ascii="Cambria" w:eastAsia="Cambria" w:hAnsi="Cambria" w:cs="Cambria"/>
                          <w:b/>
                          <w:color w:val="0D0D0D"/>
                          <w:sz w:val="36"/>
                          <w:lang w:val="es-ES"/>
                        </w:rPr>
                        <w:t>225</w:t>
                      </w:r>
                      <w:r w:rsidRPr="00E75056">
                        <w:rPr>
                          <w:rFonts w:ascii="Cambria" w:eastAsia="Cambria" w:hAnsi="Cambria" w:cs="Cambria"/>
                          <w:b/>
                          <w:color w:val="0D0D0D"/>
                          <w:sz w:val="36"/>
                          <w:lang w:val="es-ES"/>
                        </w:rPr>
                        <w:t>/24</w:t>
                      </w:r>
                    </w:p>
                    <w:p w14:paraId="035C816A" w14:textId="77777777" w:rsidR="00166878" w:rsidRPr="00D2194B" w:rsidRDefault="00350BF9">
                      <w:pPr>
                        <w:spacing w:line="275" w:lineRule="auto"/>
                        <w:textDirection w:val="btLr"/>
                        <w:rPr>
                          <w:lang w:val="es-PE"/>
                        </w:rPr>
                      </w:pPr>
                      <w:r w:rsidRPr="00D2194B">
                        <w:rPr>
                          <w:rFonts w:ascii="Cambria" w:eastAsia="Cambria" w:hAnsi="Cambria" w:cs="Cambria"/>
                          <w:b/>
                          <w:color w:val="0D0D0D"/>
                          <w:sz w:val="36"/>
                          <w:lang w:val="es-PE"/>
                        </w:rPr>
                        <w:t>PETICIÓN 1087-13</w:t>
                      </w:r>
                    </w:p>
                    <w:p w14:paraId="0EDD7EFA" w14:textId="77777777" w:rsidR="00166878" w:rsidRPr="00D2194B" w:rsidRDefault="00350BF9">
                      <w:pPr>
                        <w:spacing w:line="275" w:lineRule="auto"/>
                        <w:textDirection w:val="btLr"/>
                        <w:rPr>
                          <w:lang w:val="es-PE"/>
                        </w:rPr>
                      </w:pPr>
                      <w:r w:rsidRPr="00D2194B">
                        <w:rPr>
                          <w:rFonts w:ascii="Cambria" w:eastAsia="Cambria" w:hAnsi="Cambria" w:cs="Cambria"/>
                          <w:color w:val="0D0D0D"/>
                          <w:lang w:val="es-PE"/>
                        </w:rPr>
                        <w:t xml:space="preserve">INFORME DE ADMISIBILIDAD </w:t>
                      </w:r>
                    </w:p>
                    <w:p w14:paraId="625CEA86" w14:textId="77777777" w:rsidR="00166878" w:rsidRPr="00D2194B" w:rsidRDefault="00166878">
                      <w:pPr>
                        <w:spacing w:line="275" w:lineRule="auto"/>
                        <w:textDirection w:val="btLr"/>
                        <w:rPr>
                          <w:lang w:val="es-PE"/>
                        </w:rPr>
                      </w:pPr>
                    </w:p>
                    <w:p w14:paraId="219E0F3E" w14:textId="77777777" w:rsidR="00166878" w:rsidRPr="00D2194B" w:rsidRDefault="00350BF9">
                      <w:pPr>
                        <w:spacing w:line="275" w:lineRule="auto"/>
                        <w:textDirection w:val="btLr"/>
                        <w:rPr>
                          <w:lang w:val="es-PE"/>
                        </w:rPr>
                      </w:pPr>
                      <w:r w:rsidRPr="00D2194B">
                        <w:rPr>
                          <w:rFonts w:ascii="Cambria" w:eastAsia="Cambria" w:hAnsi="Cambria" w:cs="Cambria"/>
                          <w:color w:val="0D0D0D"/>
                          <w:lang w:val="es-PE"/>
                        </w:rPr>
                        <w:t>FILEMÓN MEDINA RAMOS</w:t>
                      </w:r>
                    </w:p>
                    <w:p w14:paraId="47BB7AF7" w14:textId="77777777" w:rsidR="00166878" w:rsidRDefault="00350BF9">
                      <w:pPr>
                        <w:textDirection w:val="btLr"/>
                      </w:pPr>
                      <w:r>
                        <w:rPr>
                          <w:rFonts w:ascii="Cambria" w:eastAsia="Cambria" w:hAnsi="Cambria" w:cs="Cambria"/>
                          <w:color w:val="0D0D0D"/>
                        </w:rPr>
                        <w:t>PANAMÁ</w:t>
                      </w:r>
                    </w:p>
                  </w:txbxContent>
                </v:textbox>
              </v:rect>
            </w:pict>
          </mc:Fallback>
        </mc:AlternateContent>
      </w:r>
      <w:r w:rsidRPr="00EF5857">
        <w:rPr>
          <w:noProof/>
          <w:lang w:val="es-ES"/>
        </w:rPr>
        <mc:AlternateContent>
          <mc:Choice Requires="wps">
            <w:drawing>
              <wp:anchor distT="0" distB="0" distL="114300" distR="114300" simplePos="0" relativeHeight="251658243" behindDoc="0" locked="0" layoutInCell="1" hidden="0" allowOverlap="1" wp14:anchorId="6163A5FD" wp14:editId="46E3D245">
                <wp:simplePos x="0" y="0"/>
                <wp:positionH relativeFrom="column">
                  <wp:posOffset>-342899</wp:posOffset>
                </wp:positionH>
                <wp:positionV relativeFrom="paragraph">
                  <wp:posOffset>152400</wp:posOffset>
                </wp:positionV>
                <wp:extent cx="1400175" cy="1386840"/>
                <wp:effectExtent l="0" t="0" r="0" b="0"/>
                <wp:wrapNone/>
                <wp:docPr id="22" name="Rectangle 22"/>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24024956" w14:textId="0AF97D73" w:rsidR="00166878" w:rsidRPr="00993522" w:rsidRDefault="00350BF9">
                            <w:pPr>
                              <w:spacing w:line="275" w:lineRule="auto"/>
                              <w:jc w:val="right"/>
                              <w:textDirection w:val="btLr"/>
                              <w:rPr>
                                <w:lang w:val="es-ES"/>
                              </w:rPr>
                            </w:pPr>
                            <w:r w:rsidRPr="00993522">
                              <w:rPr>
                                <w:rFonts w:ascii="Calibri" w:eastAsia="Calibri" w:hAnsi="Calibri" w:cs="Calibri"/>
                                <w:color w:val="FFFFFF"/>
                                <w:sz w:val="22"/>
                                <w:lang w:val="es-ES"/>
                              </w:rPr>
                              <w:t>OEA/Ser.L/V/II</w:t>
                            </w:r>
                          </w:p>
                          <w:p w14:paraId="06C41BB9" w14:textId="14C82E16" w:rsidR="00166878" w:rsidRPr="00993522" w:rsidRDefault="00350BF9">
                            <w:pPr>
                              <w:spacing w:line="275" w:lineRule="auto"/>
                              <w:jc w:val="right"/>
                              <w:textDirection w:val="btLr"/>
                              <w:rPr>
                                <w:lang w:val="es-ES"/>
                              </w:rPr>
                            </w:pPr>
                            <w:r w:rsidRPr="00993522">
                              <w:rPr>
                                <w:rFonts w:ascii="Calibri" w:eastAsia="Calibri" w:hAnsi="Calibri" w:cs="Calibri"/>
                                <w:color w:val="FFFFFF"/>
                                <w:sz w:val="22"/>
                                <w:lang w:val="es-ES"/>
                              </w:rPr>
                              <w:t xml:space="preserve">Doc. </w:t>
                            </w:r>
                            <w:r w:rsidR="0030777A" w:rsidRPr="00993522">
                              <w:rPr>
                                <w:rFonts w:ascii="Calibri" w:eastAsia="Calibri" w:hAnsi="Calibri" w:cs="Calibri"/>
                                <w:color w:val="FFFFFF"/>
                                <w:sz w:val="22"/>
                                <w:lang w:val="es-ES"/>
                              </w:rPr>
                              <w:t>234</w:t>
                            </w:r>
                          </w:p>
                          <w:p w14:paraId="2C683384" w14:textId="49C77FAD" w:rsidR="00166878" w:rsidRPr="00993522" w:rsidRDefault="00993522">
                            <w:pPr>
                              <w:spacing w:line="275" w:lineRule="auto"/>
                              <w:jc w:val="right"/>
                              <w:textDirection w:val="btLr"/>
                              <w:rPr>
                                <w:lang w:val="es-ES"/>
                              </w:rPr>
                            </w:pPr>
                            <w:r>
                              <w:rPr>
                                <w:rFonts w:ascii="Calibri" w:eastAsia="Calibri" w:hAnsi="Calibri" w:cs="Calibri"/>
                                <w:color w:val="FFFFFF"/>
                                <w:sz w:val="22"/>
                                <w:lang w:val="es-ES"/>
                              </w:rPr>
                              <w:t>26</w:t>
                            </w:r>
                            <w:r w:rsidR="0030777A" w:rsidRPr="00993522">
                              <w:rPr>
                                <w:rFonts w:ascii="Calibri" w:eastAsia="Calibri" w:hAnsi="Calibri" w:cs="Calibri"/>
                                <w:color w:val="FFFFFF"/>
                                <w:sz w:val="22"/>
                                <w:lang w:val="es-ES"/>
                              </w:rPr>
                              <w:t xml:space="preserve"> noviembre</w:t>
                            </w:r>
                            <w:r w:rsidR="00350BF9" w:rsidRPr="00993522">
                              <w:rPr>
                                <w:rFonts w:ascii="Calibri" w:eastAsia="Calibri" w:hAnsi="Calibri" w:cs="Calibri"/>
                                <w:color w:val="FFFFFF"/>
                                <w:sz w:val="22"/>
                                <w:lang w:val="es-ES"/>
                              </w:rPr>
                              <w:t xml:space="preserve"> 2024</w:t>
                            </w:r>
                          </w:p>
                          <w:p w14:paraId="348D2858" w14:textId="77777777" w:rsidR="00166878" w:rsidRPr="00EF5857" w:rsidRDefault="00350BF9">
                            <w:pPr>
                              <w:spacing w:line="275" w:lineRule="auto"/>
                              <w:jc w:val="right"/>
                              <w:textDirection w:val="btLr"/>
                              <w:rPr>
                                <w:lang w:val="pt-BR"/>
                              </w:rPr>
                            </w:pPr>
                            <w:r w:rsidRPr="00EF5857">
                              <w:rPr>
                                <w:rFonts w:ascii="Calibri" w:eastAsia="Calibri" w:hAnsi="Calibri" w:cs="Calibri"/>
                                <w:color w:val="FFFFFF"/>
                                <w:sz w:val="22"/>
                                <w:lang w:val="pt-BR"/>
                              </w:rPr>
                              <w:t>Original: español</w:t>
                            </w:r>
                          </w:p>
                        </w:txbxContent>
                      </wps:txbx>
                      <wps:bodyPr spcFirstLastPara="1" wrap="square" lIns="91425" tIns="45700" rIns="91425" bIns="45700" anchor="t" anchorCtr="0">
                        <a:noAutofit/>
                      </wps:bodyPr>
                    </wps:wsp>
                  </a:graphicData>
                </a:graphic>
              </wp:anchor>
            </w:drawing>
          </mc:Choice>
          <mc:Fallback>
            <w:pict>
              <v:rect w14:anchorId="6163A5FD" id="Rectangle 22" o:spid="_x0000_s1028" style="position:absolute;left:0;text-align:left;margin-left:-27pt;margin-top:12pt;width:110.25pt;height:109.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" filled="f" stroked="f">
                <v:textbox inset="2.53958mm,1.2694mm,2.53958mm,1.2694mm">
                  <w:txbxContent>
                    <w:p w14:paraId="24024956" w14:textId="0AF97D73" w:rsidR="00166878" w:rsidRPr="00993522" w:rsidRDefault="00350BF9">
                      <w:pPr>
                        <w:spacing w:line="275" w:lineRule="auto"/>
                        <w:jc w:val="right"/>
                        <w:textDirection w:val="btLr"/>
                        <w:rPr>
                          <w:lang w:val="es-ES"/>
                        </w:rPr>
                      </w:pPr>
                      <w:r w:rsidRPr="00993522">
                        <w:rPr>
                          <w:rFonts w:ascii="Calibri" w:eastAsia="Calibri" w:hAnsi="Calibri" w:cs="Calibri"/>
                          <w:color w:val="FFFFFF"/>
                          <w:sz w:val="22"/>
                          <w:lang w:val="es-ES"/>
                        </w:rPr>
                        <w:t>OEA/Ser.L/V/II</w:t>
                      </w:r>
                    </w:p>
                    <w:p w14:paraId="06C41BB9" w14:textId="14C82E16" w:rsidR="00166878" w:rsidRPr="00993522" w:rsidRDefault="00350BF9">
                      <w:pPr>
                        <w:spacing w:line="275" w:lineRule="auto"/>
                        <w:jc w:val="right"/>
                        <w:textDirection w:val="btLr"/>
                        <w:rPr>
                          <w:lang w:val="es-ES"/>
                        </w:rPr>
                      </w:pPr>
                      <w:r w:rsidRPr="00993522">
                        <w:rPr>
                          <w:rFonts w:ascii="Calibri" w:eastAsia="Calibri" w:hAnsi="Calibri" w:cs="Calibri"/>
                          <w:color w:val="FFFFFF"/>
                          <w:sz w:val="22"/>
                          <w:lang w:val="es-ES"/>
                        </w:rPr>
                        <w:t xml:space="preserve">Doc. </w:t>
                      </w:r>
                      <w:r w:rsidR="0030777A" w:rsidRPr="00993522">
                        <w:rPr>
                          <w:rFonts w:ascii="Calibri" w:eastAsia="Calibri" w:hAnsi="Calibri" w:cs="Calibri"/>
                          <w:color w:val="FFFFFF"/>
                          <w:sz w:val="22"/>
                          <w:lang w:val="es-ES"/>
                        </w:rPr>
                        <w:t>234</w:t>
                      </w:r>
                    </w:p>
                    <w:p w14:paraId="2C683384" w14:textId="49C77FAD" w:rsidR="00166878" w:rsidRPr="00993522" w:rsidRDefault="00993522">
                      <w:pPr>
                        <w:spacing w:line="275" w:lineRule="auto"/>
                        <w:jc w:val="right"/>
                        <w:textDirection w:val="btLr"/>
                        <w:rPr>
                          <w:lang w:val="es-ES"/>
                        </w:rPr>
                      </w:pPr>
                      <w:r>
                        <w:rPr>
                          <w:rFonts w:ascii="Calibri" w:eastAsia="Calibri" w:hAnsi="Calibri" w:cs="Calibri"/>
                          <w:color w:val="FFFFFF"/>
                          <w:sz w:val="22"/>
                          <w:lang w:val="es-ES"/>
                        </w:rPr>
                        <w:t>26</w:t>
                      </w:r>
                      <w:r w:rsidR="0030777A" w:rsidRPr="00993522">
                        <w:rPr>
                          <w:rFonts w:ascii="Calibri" w:eastAsia="Calibri" w:hAnsi="Calibri" w:cs="Calibri"/>
                          <w:color w:val="FFFFFF"/>
                          <w:sz w:val="22"/>
                          <w:lang w:val="es-ES"/>
                        </w:rPr>
                        <w:t xml:space="preserve"> noviembre</w:t>
                      </w:r>
                      <w:r w:rsidR="00350BF9" w:rsidRPr="00993522">
                        <w:rPr>
                          <w:rFonts w:ascii="Calibri" w:eastAsia="Calibri" w:hAnsi="Calibri" w:cs="Calibri"/>
                          <w:color w:val="FFFFFF"/>
                          <w:sz w:val="22"/>
                          <w:lang w:val="es-ES"/>
                        </w:rPr>
                        <w:t xml:space="preserve"> 2024</w:t>
                      </w:r>
                    </w:p>
                    <w:p w14:paraId="348D2858" w14:textId="77777777" w:rsidR="00166878" w:rsidRPr="00EF5857" w:rsidRDefault="00350BF9">
                      <w:pPr>
                        <w:spacing w:line="275" w:lineRule="auto"/>
                        <w:jc w:val="right"/>
                        <w:textDirection w:val="btLr"/>
                        <w:rPr>
                          <w:lang w:val="pt-BR"/>
                        </w:rPr>
                      </w:pPr>
                      <w:r w:rsidRPr="00EF5857">
                        <w:rPr>
                          <w:rFonts w:ascii="Calibri" w:eastAsia="Calibri" w:hAnsi="Calibri" w:cs="Calibri"/>
                          <w:color w:val="FFFFFF"/>
                          <w:sz w:val="22"/>
                          <w:lang w:val="pt-BR"/>
                        </w:rPr>
                        <w:t>Original: español</w:t>
                      </w:r>
                    </w:p>
                  </w:txbxContent>
                </v:textbox>
              </v:rect>
            </w:pict>
          </mc:Fallback>
        </mc:AlternateContent>
      </w:r>
    </w:p>
    <w:p w14:paraId="63AC3F24" w14:textId="77777777" w:rsidR="00166878" w:rsidRPr="00EF5857" w:rsidRDefault="00166878">
      <w:pPr>
        <w:tabs>
          <w:tab w:val="center" w:pos="5400"/>
        </w:tabs>
        <w:jc w:val="center"/>
        <w:rPr>
          <w:rFonts w:ascii="Cambria" w:eastAsia="Cambria" w:hAnsi="Cambria" w:cs="Cambria"/>
          <w:sz w:val="22"/>
          <w:szCs w:val="22"/>
          <w:lang w:val="es-ES"/>
        </w:rPr>
      </w:pPr>
    </w:p>
    <w:p w14:paraId="61FF3985" w14:textId="77777777" w:rsidR="00166878" w:rsidRPr="00EF5857" w:rsidRDefault="00166878">
      <w:pPr>
        <w:tabs>
          <w:tab w:val="center" w:pos="5400"/>
        </w:tabs>
        <w:jc w:val="center"/>
        <w:rPr>
          <w:rFonts w:ascii="Cambria" w:eastAsia="Cambria" w:hAnsi="Cambria" w:cs="Cambria"/>
          <w:sz w:val="22"/>
          <w:szCs w:val="22"/>
          <w:lang w:val="es-ES"/>
        </w:rPr>
      </w:pPr>
    </w:p>
    <w:p w14:paraId="174E7D4F" w14:textId="77777777" w:rsidR="00166878" w:rsidRPr="00EF5857" w:rsidRDefault="00166878">
      <w:pPr>
        <w:tabs>
          <w:tab w:val="center" w:pos="5400"/>
        </w:tabs>
        <w:jc w:val="center"/>
        <w:rPr>
          <w:rFonts w:ascii="Cambria" w:eastAsia="Cambria" w:hAnsi="Cambria" w:cs="Cambria"/>
          <w:sz w:val="22"/>
          <w:szCs w:val="22"/>
          <w:lang w:val="es-ES"/>
        </w:rPr>
      </w:pPr>
    </w:p>
    <w:p w14:paraId="3929F8F2" w14:textId="77777777" w:rsidR="00166878" w:rsidRPr="00EF5857" w:rsidRDefault="00166878">
      <w:pPr>
        <w:tabs>
          <w:tab w:val="center" w:pos="5400"/>
        </w:tabs>
        <w:jc w:val="center"/>
        <w:rPr>
          <w:rFonts w:ascii="Cambria" w:eastAsia="Cambria" w:hAnsi="Cambria" w:cs="Cambria"/>
          <w:sz w:val="22"/>
          <w:szCs w:val="22"/>
          <w:lang w:val="es-ES"/>
        </w:rPr>
      </w:pPr>
    </w:p>
    <w:p w14:paraId="1A402D10" w14:textId="77777777" w:rsidR="00166878" w:rsidRPr="00EF5857" w:rsidRDefault="00166878">
      <w:pPr>
        <w:tabs>
          <w:tab w:val="center" w:pos="5400"/>
        </w:tabs>
        <w:jc w:val="center"/>
        <w:rPr>
          <w:rFonts w:ascii="Cambria" w:eastAsia="Cambria" w:hAnsi="Cambria" w:cs="Cambria"/>
          <w:sz w:val="22"/>
          <w:szCs w:val="22"/>
          <w:lang w:val="es-ES"/>
        </w:rPr>
      </w:pPr>
    </w:p>
    <w:p w14:paraId="2B0D8DCA" w14:textId="77777777" w:rsidR="00166878" w:rsidRPr="00EF5857" w:rsidRDefault="00166878">
      <w:pPr>
        <w:tabs>
          <w:tab w:val="center" w:pos="5400"/>
        </w:tabs>
        <w:jc w:val="center"/>
        <w:rPr>
          <w:rFonts w:ascii="Cambria" w:eastAsia="Cambria" w:hAnsi="Cambria" w:cs="Cambria"/>
          <w:sz w:val="22"/>
          <w:szCs w:val="22"/>
          <w:lang w:val="es-ES"/>
        </w:rPr>
      </w:pPr>
    </w:p>
    <w:p w14:paraId="42054318" w14:textId="77777777" w:rsidR="00166878" w:rsidRPr="00EF5857" w:rsidRDefault="00166878">
      <w:pPr>
        <w:tabs>
          <w:tab w:val="center" w:pos="5400"/>
        </w:tabs>
        <w:jc w:val="center"/>
        <w:rPr>
          <w:rFonts w:ascii="Cambria" w:eastAsia="Cambria" w:hAnsi="Cambria" w:cs="Cambria"/>
          <w:sz w:val="22"/>
          <w:szCs w:val="22"/>
          <w:lang w:val="es-ES"/>
        </w:rPr>
      </w:pPr>
    </w:p>
    <w:p w14:paraId="5EEBB8D9" w14:textId="77777777" w:rsidR="00166878" w:rsidRPr="00EF5857" w:rsidRDefault="00166878">
      <w:pPr>
        <w:tabs>
          <w:tab w:val="center" w:pos="5400"/>
        </w:tabs>
        <w:jc w:val="center"/>
        <w:rPr>
          <w:rFonts w:ascii="Cambria" w:eastAsia="Cambria" w:hAnsi="Cambria" w:cs="Cambria"/>
          <w:sz w:val="22"/>
          <w:szCs w:val="22"/>
          <w:lang w:val="es-ES"/>
        </w:rPr>
      </w:pPr>
    </w:p>
    <w:p w14:paraId="141F4177" w14:textId="77777777" w:rsidR="00166878" w:rsidRPr="00EF5857" w:rsidRDefault="00166878">
      <w:pPr>
        <w:tabs>
          <w:tab w:val="center" w:pos="5400"/>
        </w:tabs>
        <w:jc w:val="center"/>
        <w:rPr>
          <w:rFonts w:ascii="Cambria" w:eastAsia="Cambria" w:hAnsi="Cambria" w:cs="Cambria"/>
          <w:sz w:val="22"/>
          <w:szCs w:val="22"/>
          <w:lang w:val="es-ES"/>
        </w:rPr>
      </w:pPr>
    </w:p>
    <w:p w14:paraId="0E1F2389" w14:textId="77777777" w:rsidR="00166878" w:rsidRPr="00EF5857" w:rsidRDefault="00166878">
      <w:pPr>
        <w:tabs>
          <w:tab w:val="center" w:pos="5400"/>
        </w:tabs>
        <w:jc w:val="center"/>
        <w:rPr>
          <w:rFonts w:ascii="Cambria" w:eastAsia="Cambria" w:hAnsi="Cambria" w:cs="Cambria"/>
          <w:sz w:val="22"/>
          <w:szCs w:val="22"/>
          <w:lang w:val="es-ES"/>
        </w:rPr>
      </w:pPr>
    </w:p>
    <w:p w14:paraId="5BA3062D" w14:textId="77777777" w:rsidR="00166878" w:rsidRPr="00EF5857" w:rsidRDefault="00166878">
      <w:pPr>
        <w:tabs>
          <w:tab w:val="center" w:pos="5400"/>
        </w:tabs>
        <w:jc w:val="center"/>
        <w:rPr>
          <w:rFonts w:ascii="Cambria" w:eastAsia="Cambria" w:hAnsi="Cambria" w:cs="Cambria"/>
          <w:sz w:val="22"/>
          <w:szCs w:val="22"/>
          <w:lang w:val="es-ES"/>
        </w:rPr>
      </w:pPr>
    </w:p>
    <w:p w14:paraId="1830CA29" w14:textId="77777777" w:rsidR="00166878" w:rsidRPr="00EF5857" w:rsidRDefault="00166878">
      <w:pPr>
        <w:tabs>
          <w:tab w:val="center" w:pos="5400"/>
        </w:tabs>
        <w:jc w:val="center"/>
        <w:rPr>
          <w:rFonts w:ascii="Cambria" w:eastAsia="Cambria" w:hAnsi="Cambria" w:cs="Cambria"/>
          <w:sz w:val="22"/>
          <w:szCs w:val="22"/>
          <w:lang w:val="es-ES"/>
        </w:rPr>
      </w:pPr>
    </w:p>
    <w:p w14:paraId="22C84A42" w14:textId="77777777" w:rsidR="00166878" w:rsidRPr="00EF5857" w:rsidRDefault="00166878">
      <w:pPr>
        <w:tabs>
          <w:tab w:val="center" w:pos="5400"/>
        </w:tabs>
        <w:jc w:val="center"/>
        <w:rPr>
          <w:rFonts w:ascii="Cambria" w:eastAsia="Cambria" w:hAnsi="Cambria" w:cs="Cambria"/>
          <w:sz w:val="22"/>
          <w:szCs w:val="22"/>
          <w:lang w:val="es-ES"/>
        </w:rPr>
      </w:pPr>
    </w:p>
    <w:p w14:paraId="78D584C3" w14:textId="77777777" w:rsidR="00166878" w:rsidRPr="00EF5857" w:rsidRDefault="00166878">
      <w:pPr>
        <w:tabs>
          <w:tab w:val="center" w:pos="5400"/>
        </w:tabs>
        <w:jc w:val="center"/>
        <w:rPr>
          <w:rFonts w:ascii="Cambria" w:eastAsia="Cambria" w:hAnsi="Cambria" w:cs="Cambria"/>
          <w:sz w:val="22"/>
          <w:szCs w:val="22"/>
          <w:lang w:val="es-ES"/>
        </w:rPr>
      </w:pPr>
    </w:p>
    <w:p w14:paraId="32533549" w14:textId="77777777" w:rsidR="00166878" w:rsidRPr="00EF5857" w:rsidRDefault="00166878">
      <w:pPr>
        <w:tabs>
          <w:tab w:val="center" w:pos="5400"/>
        </w:tabs>
        <w:jc w:val="center"/>
        <w:rPr>
          <w:rFonts w:ascii="Cambria" w:eastAsia="Cambria" w:hAnsi="Cambria" w:cs="Cambria"/>
          <w:sz w:val="18"/>
          <w:szCs w:val="18"/>
          <w:lang w:val="es-ES"/>
        </w:rPr>
      </w:pPr>
    </w:p>
    <w:p w14:paraId="3D300284" w14:textId="77777777" w:rsidR="00166878" w:rsidRPr="00EF5857" w:rsidRDefault="00166878">
      <w:pPr>
        <w:tabs>
          <w:tab w:val="center" w:pos="5400"/>
        </w:tabs>
        <w:jc w:val="center"/>
        <w:rPr>
          <w:rFonts w:ascii="Cambria" w:eastAsia="Cambria" w:hAnsi="Cambria" w:cs="Cambria"/>
          <w:sz w:val="18"/>
          <w:szCs w:val="18"/>
          <w:lang w:val="es-ES"/>
        </w:rPr>
      </w:pPr>
    </w:p>
    <w:p w14:paraId="75DD695A" w14:textId="77777777" w:rsidR="00166878" w:rsidRPr="00EF5857" w:rsidRDefault="00166878">
      <w:pPr>
        <w:tabs>
          <w:tab w:val="center" w:pos="5400"/>
        </w:tabs>
        <w:jc w:val="center"/>
        <w:rPr>
          <w:rFonts w:ascii="Cambria" w:eastAsia="Cambria" w:hAnsi="Cambria" w:cs="Cambria"/>
          <w:sz w:val="18"/>
          <w:szCs w:val="18"/>
          <w:lang w:val="es-ES"/>
        </w:rPr>
      </w:pPr>
    </w:p>
    <w:p w14:paraId="4A1F9502" w14:textId="77777777" w:rsidR="00166878" w:rsidRPr="00EF5857" w:rsidRDefault="00166878">
      <w:pPr>
        <w:tabs>
          <w:tab w:val="center" w:pos="5400"/>
        </w:tabs>
        <w:jc w:val="center"/>
        <w:rPr>
          <w:rFonts w:ascii="Cambria" w:eastAsia="Cambria" w:hAnsi="Cambria" w:cs="Cambria"/>
          <w:sz w:val="18"/>
          <w:szCs w:val="18"/>
          <w:lang w:val="es-ES"/>
        </w:rPr>
      </w:pPr>
    </w:p>
    <w:p w14:paraId="38A45C8C" w14:textId="77777777" w:rsidR="00166878" w:rsidRPr="00EF5857" w:rsidRDefault="00166878">
      <w:pPr>
        <w:tabs>
          <w:tab w:val="center" w:pos="5400"/>
        </w:tabs>
        <w:jc w:val="center"/>
        <w:rPr>
          <w:rFonts w:ascii="Cambria" w:eastAsia="Cambria" w:hAnsi="Cambria" w:cs="Cambria"/>
          <w:sz w:val="18"/>
          <w:szCs w:val="18"/>
          <w:lang w:val="es-ES"/>
        </w:rPr>
      </w:pPr>
    </w:p>
    <w:p w14:paraId="147F3324" w14:textId="77777777" w:rsidR="00166878" w:rsidRPr="00EF5857" w:rsidRDefault="00166878">
      <w:pPr>
        <w:tabs>
          <w:tab w:val="center" w:pos="5400"/>
        </w:tabs>
        <w:jc w:val="center"/>
        <w:rPr>
          <w:rFonts w:ascii="Cambria" w:eastAsia="Cambria" w:hAnsi="Cambria" w:cs="Cambria"/>
          <w:sz w:val="18"/>
          <w:szCs w:val="18"/>
          <w:lang w:val="es-ES"/>
        </w:rPr>
      </w:pPr>
    </w:p>
    <w:p w14:paraId="6ED99C1B" w14:textId="77777777" w:rsidR="00166878" w:rsidRPr="00EF5857" w:rsidRDefault="00166878">
      <w:pPr>
        <w:tabs>
          <w:tab w:val="center" w:pos="5400"/>
        </w:tabs>
        <w:jc w:val="center"/>
        <w:rPr>
          <w:rFonts w:ascii="Cambria" w:eastAsia="Cambria" w:hAnsi="Cambria" w:cs="Cambria"/>
          <w:sz w:val="18"/>
          <w:szCs w:val="18"/>
          <w:lang w:val="es-ES"/>
        </w:rPr>
      </w:pPr>
    </w:p>
    <w:p w14:paraId="2D46A235" w14:textId="77777777" w:rsidR="00166878" w:rsidRPr="00EF5857" w:rsidRDefault="00166878">
      <w:pPr>
        <w:tabs>
          <w:tab w:val="center" w:pos="5400"/>
        </w:tabs>
        <w:jc w:val="center"/>
        <w:rPr>
          <w:rFonts w:ascii="Cambria" w:eastAsia="Cambria" w:hAnsi="Cambria" w:cs="Cambria"/>
          <w:sz w:val="18"/>
          <w:szCs w:val="18"/>
          <w:lang w:val="es-ES"/>
        </w:rPr>
      </w:pPr>
    </w:p>
    <w:p w14:paraId="09C9A266" w14:textId="77777777" w:rsidR="00166878" w:rsidRPr="00EF5857" w:rsidRDefault="00166878">
      <w:pPr>
        <w:tabs>
          <w:tab w:val="center" w:pos="5400"/>
        </w:tabs>
        <w:jc w:val="center"/>
        <w:rPr>
          <w:rFonts w:ascii="Cambria" w:eastAsia="Cambria" w:hAnsi="Cambria" w:cs="Cambria"/>
          <w:sz w:val="18"/>
          <w:szCs w:val="18"/>
          <w:lang w:val="es-ES"/>
        </w:rPr>
      </w:pPr>
    </w:p>
    <w:p w14:paraId="1767E00D" w14:textId="77777777" w:rsidR="00166878" w:rsidRPr="00EF5857" w:rsidRDefault="00166878">
      <w:pPr>
        <w:tabs>
          <w:tab w:val="center" w:pos="5400"/>
        </w:tabs>
        <w:jc w:val="center"/>
        <w:rPr>
          <w:rFonts w:ascii="Cambria" w:eastAsia="Cambria" w:hAnsi="Cambria" w:cs="Cambria"/>
          <w:sz w:val="18"/>
          <w:szCs w:val="18"/>
          <w:lang w:val="es-ES"/>
        </w:rPr>
      </w:pPr>
    </w:p>
    <w:p w14:paraId="070B00A8" w14:textId="77777777" w:rsidR="00166878" w:rsidRPr="00EF5857" w:rsidRDefault="00166878">
      <w:pPr>
        <w:tabs>
          <w:tab w:val="center" w:pos="5400"/>
        </w:tabs>
        <w:jc w:val="center"/>
        <w:rPr>
          <w:rFonts w:ascii="Cambria" w:eastAsia="Cambria" w:hAnsi="Cambria" w:cs="Cambria"/>
          <w:sz w:val="18"/>
          <w:szCs w:val="18"/>
          <w:lang w:val="es-ES"/>
        </w:rPr>
      </w:pPr>
    </w:p>
    <w:p w14:paraId="4C24EDC5" w14:textId="77777777" w:rsidR="00166878" w:rsidRPr="00EF5857" w:rsidRDefault="00166878">
      <w:pPr>
        <w:tabs>
          <w:tab w:val="center" w:pos="5400"/>
        </w:tabs>
        <w:jc w:val="center"/>
        <w:rPr>
          <w:rFonts w:ascii="Cambria" w:eastAsia="Cambria" w:hAnsi="Cambria" w:cs="Cambria"/>
          <w:sz w:val="18"/>
          <w:szCs w:val="18"/>
          <w:lang w:val="es-ES"/>
        </w:rPr>
      </w:pPr>
    </w:p>
    <w:p w14:paraId="3FC27602" w14:textId="77777777" w:rsidR="00166878" w:rsidRPr="00EF5857" w:rsidRDefault="00166878">
      <w:pPr>
        <w:tabs>
          <w:tab w:val="center" w:pos="5400"/>
        </w:tabs>
        <w:jc w:val="center"/>
        <w:rPr>
          <w:rFonts w:ascii="Cambria" w:eastAsia="Cambria" w:hAnsi="Cambria" w:cs="Cambria"/>
          <w:sz w:val="18"/>
          <w:szCs w:val="18"/>
          <w:lang w:val="es-ES"/>
        </w:rPr>
      </w:pPr>
    </w:p>
    <w:p w14:paraId="22360398" w14:textId="77777777" w:rsidR="00166878" w:rsidRPr="00EF5857" w:rsidRDefault="00166878">
      <w:pPr>
        <w:tabs>
          <w:tab w:val="center" w:pos="5400"/>
        </w:tabs>
        <w:jc w:val="center"/>
        <w:rPr>
          <w:rFonts w:ascii="Cambria" w:eastAsia="Cambria" w:hAnsi="Cambria" w:cs="Cambria"/>
          <w:sz w:val="18"/>
          <w:szCs w:val="18"/>
          <w:lang w:val="es-ES"/>
        </w:rPr>
      </w:pPr>
    </w:p>
    <w:p w14:paraId="0D34A208" w14:textId="77777777" w:rsidR="00166878" w:rsidRPr="00EF5857" w:rsidRDefault="00350BF9">
      <w:pPr>
        <w:tabs>
          <w:tab w:val="center" w:pos="5400"/>
        </w:tabs>
        <w:jc w:val="center"/>
        <w:rPr>
          <w:rFonts w:ascii="Cambria" w:eastAsia="Cambria" w:hAnsi="Cambria" w:cs="Cambria"/>
          <w:sz w:val="18"/>
          <w:szCs w:val="18"/>
          <w:lang w:val="es-ES"/>
        </w:rPr>
      </w:pPr>
      <w:r w:rsidRPr="00EF5857">
        <w:rPr>
          <w:noProof/>
          <w:lang w:val="es-ES"/>
        </w:rPr>
        <mc:AlternateContent>
          <mc:Choice Requires="wps">
            <w:drawing>
              <wp:anchor distT="0" distB="0" distL="114300" distR="114300" simplePos="0" relativeHeight="251658244" behindDoc="0" locked="0" layoutInCell="1" hidden="0" allowOverlap="1" wp14:anchorId="2D068878" wp14:editId="6EAE308B">
                <wp:simplePos x="0" y="0"/>
                <wp:positionH relativeFrom="column">
                  <wp:posOffset>1333500</wp:posOffset>
                </wp:positionH>
                <wp:positionV relativeFrom="paragraph">
                  <wp:posOffset>12700</wp:posOffset>
                </wp:positionV>
                <wp:extent cx="4943475" cy="674370"/>
                <wp:effectExtent l="0" t="0" r="0" b="0"/>
                <wp:wrapNone/>
                <wp:docPr id="19" name="Rectangle 19"/>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3454BE59" w14:textId="2822D2B2" w:rsidR="00166878" w:rsidRPr="00D2194B" w:rsidRDefault="00350BF9">
                            <w:pPr>
                              <w:spacing w:before="60"/>
                              <w:textDirection w:val="btLr"/>
                              <w:rPr>
                                <w:lang w:val="es-PE"/>
                              </w:rPr>
                            </w:pPr>
                            <w:r w:rsidRPr="00D2194B">
                              <w:rPr>
                                <w:rFonts w:ascii="Cambria" w:eastAsia="Cambria" w:hAnsi="Cambria" w:cs="Cambria"/>
                                <w:color w:val="0D0D0D"/>
                                <w:sz w:val="18"/>
                                <w:lang w:val="es-PE"/>
                              </w:rPr>
                              <w:t xml:space="preserve">Aprobado electrónicamente por la Comisión el </w:t>
                            </w:r>
                            <w:r w:rsidR="00993522">
                              <w:rPr>
                                <w:rFonts w:ascii="Cambria" w:eastAsia="Cambria" w:hAnsi="Cambria" w:cs="Cambria"/>
                                <w:color w:val="0D0D0D"/>
                                <w:sz w:val="18"/>
                                <w:lang w:val="es-PE"/>
                              </w:rPr>
                              <w:t>26</w:t>
                            </w:r>
                            <w:r w:rsidRPr="00D2194B">
                              <w:rPr>
                                <w:rFonts w:ascii="Cambria" w:eastAsia="Cambria" w:hAnsi="Cambria" w:cs="Cambria"/>
                                <w:color w:val="0D0D0D"/>
                                <w:sz w:val="18"/>
                                <w:lang w:val="es-PE"/>
                              </w:rPr>
                              <w:t xml:space="preserve"> de </w:t>
                            </w:r>
                            <w:r w:rsidR="0030777A">
                              <w:rPr>
                                <w:rFonts w:ascii="Cambria" w:eastAsia="Cambria" w:hAnsi="Cambria" w:cs="Cambria"/>
                                <w:color w:val="0D0D0D"/>
                                <w:sz w:val="18"/>
                                <w:lang w:val="es-PE"/>
                              </w:rPr>
                              <w:t>noviembre</w:t>
                            </w:r>
                            <w:r w:rsidRPr="00D2194B">
                              <w:rPr>
                                <w:rFonts w:ascii="Cambria" w:eastAsia="Cambria" w:hAnsi="Cambria" w:cs="Cambria"/>
                                <w:color w:val="0D0D0D"/>
                                <w:sz w:val="18"/>
                                <w:lang w:val="es-PE"/>
                              </w:rPr>
                              <w:t xml:space="preserve"> de 2024</w:t>
                            </w:r>
                            <w:r w:rsidR="0030777A">
                              <w:rPr>
                                <w:rFonts w:ascii="Cambria" w:eastAsia="Cambria" w:hAnsi="Cambria" w:cs="Cambria"/>
                                <w:color w:val="0D0D0D"/>
                                <w:sz w:val="18"/>
                                <w:lang w:val="es-PE"/>
                              </w:rPr>
                              <w:t>.</w:t>
                            </w:r>
                          </w:p>
                          <w:p w14:paraId="32173D37" w14:textId="77777777" w:rsidR="00166878" w:rsidRPr="00D2194B" w:rsidRDefault="00166878">
                            <w:pPr>
                              <w:spacing w:before="60"/>
                              <w:textDirection w:val="btLr"/>
                              <w:rPr>
                                <w:lang w:val="es-PE"/>
                              </w:rPr>
                            </w:pPr>
                          </w:p>
                          <w:p w14:paraId="40943B80" w14:textId="77777777" w:rsidR="00166878" w:rsidRPr="00D2194B" w:rsidRDefault="00166878">
                            <w:pPr>
                              <w:spacing w:before="60"/>
                              <w:textDirection w:val="btLr"/>
                              <w:rPr>
                                <w:lang w:val="es-PE"/>
                              </w:rPr>
                            </w:pPr>
                          </w:p>
                        </w:txbxContent>
                      </wps:txbx>
                      <wps:bodyPr spcFirstLastPara="1" wrap="square" lIns="91425" tIns="45700" rIns="91425" bIns="45700" anchor="t" anchorCtr="0">
                        <a:noAutofit/>
                      </wps:bodyPr>
                    </wps:wsp>
                  </a:graphicData>
                </a:graphic>
              </wp:anchor>
            </w:drawing>
          </mc:Choice>
          <mc:Fallback>
            <w:pict>
              <v:rect w14:anchorId="2D068878" id="Rectangle 19" o:spid="_x0000_s1029" style="position:absolute;left:0;text-align:left;margin-left:105pt;margin-top:1pt;width:389.25pt;height:53.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" filled="f" stroked="f">
                <v:textbox inset="2.53958mm,1.2694mm,2.53958mm,1.2694mm">
                  <w:txbxContent>
                    <w:p w14:paraId="3454BE59" w14:textId="2822D2B2" w:rsidR="00166878" w:rsidRPr="00D2194B" w:rsidRDefault="00350BF9">
                      <w:pPr>
                        <w:spacing w:before="60"/>
                        <w:textDirection w:val="btLr"/>
                        <w:rPr>
                          <w:lang w:val="es-PE"/>
                        </w:rPr>
                      </w:pPr>
                      <w:r w:rsidRPr="00D2194B">
                        <w:rPr>
                          <w:rFonts w:ascii="Cambria" w:eastAsia="Cambria" w:hAnsi="Cambria" w:cs="Cambria"/>
                          <w:color w:val="0D0D0D"/>
                          <w:sz w:val="18"/>
                          <w:lang w:val="es-PE"/>
                        </w:rPr>
                        <w:t xml:space="preserve">Aprobado electrónicamente por la Comisión el </w:t>
                      </w:r>
                      <w:r w:rsidR="00993522">
                        <w:rPr>
                          <w:rFonts w:ascii="Cambria" w:eastAsia="Cambria" w:hAnsi="Cambria" w:cs="Cambria"/>
                          <w:color w:val="0D0D0D"/>
                          <w:sz w:val="18"/>
                          <w:lang w:val="es-PE"/>
                        </w:rPr>
                        <w:t>26</w:t>
                      </w:r>
                      <w:r w:rsidRPr="00D2194B">
                        <w:rPr>
                          <w:rFonts w:ascii="Cambria" w:eastAsia="Cambria" w:hAnsi="Cambria" w:cs="Cambria"/>
                          <w:color w:val="0D0D0D"/>
                          <w:sz w:val="18"/>
                          <w:lang w:val="es-PE"/>
                        </w:rPr>
                        <w:t xml:space="preserve"> de </w:t>
                      </w:r>
                      <w:r w:rsidR="0030777A">
                        <w:rPr>
                          <w:rFonts w:ascii="Cambria" w:eastAsia="Cambria" w:hAnsi="Cambria" w:cs="Cambria"/>
                          <w:color w:val="0D0D0D"/>
                          <w:sz w:val="18"/>
                          <w:lang w:val="es-PE"/>
                        </w:rPr>
                        <w:t>noviembre</w:t>
                      </w:r>
                      <w:r w:rsidRPr="00D2194B">
                        <w:rPr>
                          <w:rFonts w:ascii="Cambria" w:eastAsia="Cambria" w:hAnsi="Cambria" w:cs="Cambria"/>
                          <w:color w:val="0D0D0D"/>
                          <w:sz w:val="18"/>
                          <w:lang w:val="es-PE"/>
                        </w:rPr>
                        <w:t xml:space="preserve"> de 2024</w:t>
                      </w:r>
                      <w:r w:rsidR="0030777A">
                        <w:rPr>
                          <w:rFonts w:ascii="Cambria" w:eastAsia="Cambria" w:hAnsi="Cambria" w:cs="Cambria"/>
                          <w:color w:val="0D0D0D"/>
                          <w:sz w:val="18"/>
                          <w:lang w:val="es-PE"/>
                        </w:rPr>
                        <w:t>.</w:t>
                      </w:r>
                    </w:p>
                    <w:p w14:paraId="32173D37" w14:textId="77777777" w:rsidR="00166878" w:rsidRPr="00D2194B" w:rsidRDefault="00166878">
                      <w:pPr>
                        <w:spacing w:before="60"/>
                        <w:textDirection w:val="btLr"/>
                        <w:rPr>
                          <w:lang w:val="es-PE"/>
                        </w:rPr>
                      </w:pPr>
                    </w:p>
                    <w:p w14:paraId="40943B80" w14:textId="77777777" w:rsidR="00166878" w:rsidRPr="00D2194B" w:rsidRDefault="00166878">
                      <w:pPr>
                        <w:spacing w:before="60"/>
                        <w:textDirection w:val="btLr"/>
                        <w:rPr>
                          <w:lang w:val="es-PE"/>
                        </w:rPr>
                      </w:pPr>
                    </w:p>
                  </w:txbxContent>
                </v:textbox>
              </v:rect>
            </w:pict>
          </mc:Fallback>
        </mc:AlternateContent>
      </w:r>
    </w:p>
    <w:p w14:paraId="3738CF25" w14:textId="77777777" w:rsidR="00166878" w:rsidRPr="00EF5857" w:rsidRDefault="00166878">
      <w:pPr>
        <w:tabs>
          <w:tab w:val="center" w:pos="5400"/>
        </w:tabs>
        <w:jc w:val="center"/>
        <w:rPr>
          <w:rFonts w:ascii="Cambria" w:eastAsia="Cambria" w:hAnsi="Cambria" w:cs="Cambria"/>
          <w:sz w:val="18"/>
          <w:szCs w:val="18"/>
          <w:lang w:val="es-ES"/>
        </w:rPr>
      </w:pPr>
    </w:p>
    <w:p w14:paraId="196F87CD" w14:textId="77777777" w:rsidR="00166878" w:rsidRPr="00EF5857" w:rsidRDefault="00166878">
      <w:pPr>
        <w:tabs>
          <w:tab w:val="center" w:pos="5400"/>
        </w:tabs>
        <w:jc w:val="center"/>
        <w:rPr>
          <w:rFonts w:ascii="Cambria" w:eastAsia="Cambria" w:hAnsi="Cambria" w:cs="Cambria"/>
          <w:sz w:val="18"/>
          <w:szCs w:val="18"/>
          <w:lang w:val="es-ES"/>
        </w:rPr>
      </w:pPr>
    </w:p>
    <w:p w14:paraId="66B97047" w14:textId="77777777" w:rsidR="00166878" w:rsidRPr="00EF5857" w:rsidRDefault="00166878">
      <w:pPr>
        <w:tabs>
          <w:tab w:val="center" w:pos="5400"/>
        </w:tabs>
        <w:jc w:val="center"/>
        <w:rPr>
          <w:rFonts w:ascii="Cambria" w:eastAsia="Cambria" w:hAnsi="Cambria" w:cs="Cambria"/>
          <w:sz w:val="18"/>
          <w:szCs w:val="18"/>
          <w:lang w:val="es-ES"/>
        </w:rPr>
      </w:pPr>
    </w:p>
    <w:p w14:paraId="73154575" w14:textId="77777777" w:rsidR="00166878" w:rsidRPr="00EF5857" w:rsidRDefault="00166878">
      <w:pPr>
        <w:tabs>
          <w:tab w:val="center" w:pos="5400"/>
        </w:tabs>
        <w:jc w:val="center"/>
        <w:rPr>
          <w:rFonts w:ascii="Cambria" w:eastAsia="Cambria" w:hAnsi="Cambria" w:cs="Cambria"/>
          <w:sz w:val="18"/>
          <w:szCs w:val="18"/>
          <w:lang w:val="es-ES"/>
        </w:rPr>
      </w:pPr>
    </w:p>
    <w:p w14:paraId="12168867" w14:textId="77777777" w:rsidR="00166878" w:rsidRPr="00EF5857" w:rsidRDefault="00350BF9">
      <w:pPr>
        <w:tabs>
          <w:tab w:val="center" w:pos="5400"/>
        </w:tabs>
        <w:jc w:val="center"/>
        <w:rPr>
          <w:rFonts w:ascii="Cambria" w:eastAsia="Cambria" w:hAnsi="Cambria" w:cs="Cambria"/>
          <w:sz w:val="18"/>
          <w:szCs w:val="18"/>
          <w:lang w:val="es-ES"/>
        </w:rPr>
      </w:pPr>
      <w:r w:rsidRPr="00EF5857">
        <w:rPr>
          <w:noProof/>
          <w:lang w:val="es-ES"/>
        </w:rPr>
        <mc:AlternateContent>
          <mc:Choice Requires="wps">
            <w:drawing>
              <wp:anchor distT="0" distB="0" distL="114300" distR="114300" simplePos="0" relativeHeight="251658245" behindDoc="0" locked="0" layoutInCell="1" hidden="0" allowOverlap="1" wp14:anchorId="2B89333E" wp14:editId="497F96FB">
                <wp:simplePos x="0" y="0"/>
                <wp:positionH relativeFrom="column">
                  <wp:posOffset>1320800</wp:posOffset>
                </wp:positionH>
                <wp:positionV relativeFrom="paragraph">
                  <wp:posOffset>0</wp:posOffset>
                </wp:positionV>
                <wp:extent cx="4953000" cy="666750"/>
                <wp:effectExtent l="0" t="0" r="0" b="0"/>
                <wp:wrapNone/>
                <wp:docPr id="23" name="Rectangle 23"/>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29D16F2C" w14:textId="77777777" w:rsidR="0030777A" w:rsidRDefault="00350BF9">
                            <w:pPr>
                              <w:spacing w:line="275" w:lineRule="auto"/>
                              <w:textDirection w:val="btLr"/>
                              <w:rPr>
                                <w:rFonts w:ascii="Cambria" w:eastAsia="Cambria" w:hAnsi="Cambria" w:cs="Cambria"/>
                                <w:color w:val="595959"/>
                                <w:sz w:val="18"/>
                                <w:lang w:val="es-PE"/>
                              </w:rPr>
                            </w:pPr>
                            <w:r w:rsidRPr="00D2194B">
                              <w:rPr>
                                <w:rFonts w:ascii="Cambria" w:eastAsia="Cambria" w:hAnsi="Cambria" w:cs="Cambria"/>
                                <w:b/>
                                <w:color w:val="595959"/>
                                <w:sz w:val="18"/>
                                <w:lang w:val="pt-BR"/>
                              </w:rPr>
                              <w:t>Citar como:</w:t>
                            </w:r>
                            <w:r w:rsidRPr="00D2194B">
                              <w:rPr>
                                <w:rFonts w:ascii="Cambria" w:eastAsia="Cambria" w:hAnsi="Cambria" w:cs="Cambria"/>
                                <w:color w:val="595959"/>
                                <w:sz w:val="18"/>
                                <w:lang w:val="pt-BR"/>
                              </w:rPr>
                              <w:t xml:space="preserve"> CIDH, Informe No. </w:t>
                            </w:r>
                            <w:r w:rsidR="0030777A" w:rsidRPr="0030777A">
                              <w:rPr>
                                <w:rFonts w:ascii="Cambria" w:eastAsia="Cambria" w:hAnsi="Cambria" w:cs="Cambria"/>
                                <w:color w:val="595959"/>
                                <w:sz w:val="18"/>
                                <w:lang w:val="pt-BR"/>
                              </w:rPr>
                              <w:t>225</w:t>
                            </w:r>
                            <w:r w:rsidRPr="0030777A">
                              <w:rPr>
                                <w:rFonts w:ascii="Cambria" w:eastAsia="Cambria" w:hAnsi="Cambria" w:cs="Cambria"/>
                                <w:color w:val="595959"/>
                                <w:sz w:val="18"/>
                                <w:lang w:val="pt-BR"/>
                              </w:rPr>
                              <w:t>/</w:t>
                            </w:r>
                            <w:r w:rsidR="0030777A" w:rsidRPr="0030777A">
                              <w:rPr>
                                <w:rFonts w:ascii="Cambria" w:eastAsia="Cambria" w:hAnsi="Cambria" w:cs="Cambria"/>
                                <w:color w:val="595959"/>
                                <w:sz w:val="18"/>
                                <w:lang w:val="pt-BR"/>
                              </w:rPr>
                              <w:t>24</w:t>
                            </w:r>
                            <w:r w:rsidRPr="0030777A">
                              <w:rPr>
                                <w:rFonts w:ascii="Cambria" w:eastAsia="Cambria" w:hAnsi="Cambria" w:cs="Cambria"/>
                                <w:color w:val="595959"/>
                                <w:sz w:val="18"/>
                                <w:lang w:val="pt-BR"/>
                              </w:rPr>
                              <w:t xml:space="preserve">. </w:t>
                            </w:r>
                            <w:r w:rsidRPr="00D2194B">
                              <w:rPr>
                                <w:rFonts w:ascii="Cambria" w:eastAsia="Cambria" w:hAnsi="Cambria" w:cs="Cambria"/>
                                <w:color w:val="595959"/>
                                <w:sz w:val="18"/>
                                <w:lang w:val="es-PE"/>
                              </w:rPr>
                              <w:t xml:space="preserve">Petición </w:t>
                            </w:r>
                            <w:r w:rsidR="00F62CB2">
                              <w:rPr>
                                <w:rFonts w:ascii="Cambria" w:eastAsia="Cambria" w:hAnsi="Cambria" w:cs="Cambria"/>
                                <w:color w:val="595959"/>
                                <w:sz w:val="18"/>
                                <w:lang w:val="es-PE"/>
                              </w:rPr>
                              <w:t>1087</w:t>
                            </w:r>
                            <w:r w:rsidRPr="00D2194B">
                              <w:rPr>
                                <w:rFonts w:ascii="Cambria" w:eastAsia="Cambria" w:hAnsi="Cambria" w:cs="Cambria"/>
                                <w:color w:val="595959"/>
                                <w:sz w:val="18"/>
                                <w:lang w:val="es-PE"/>
                              </w:rPr>
                              <w:t>-</w:t>
                            </w:r>
                            <w:r w:rsidR="00F62CB2">
                              <w:rPr>
                                <w:rFonts w:ascii="Cambria" w:eastAsia="Cambria" w:hAnsi="Cambria" w:cs="Cambria"/>
                                <w:color w:val="595959"/>
                                <w:sz w:val="18"/>
                                <w:lang w:val="es-PE"/>
                              </w:rPr>
                              <w:t>13</w:t>
                            </w:r>
                            <w:r w:rsidRPr="00D2194B">
                              <w:rPr>
                                <w:rFonts w:ascii="Cambria" w:eastAsia="Cambria" w:hAnsi="Cambria" w:cs="Cambria"/>
                                <w:color w:val="595959"/>
                                <w:sz w:val="18"/>
                                <w:lang w:val="es-PE"/>
                              </w:rPr>
                              <w:t xml:space="preserve">. Admisibilidad. </w:t>
                            </w:r>
                          </w:p>
                          <w:p w14:paraId="5F3D1D85" w14:textId="3F89A6CE" w:rsidR="00166878" w:rsidRPr="0030777A" w:rsidRDefault="00F62CB2">
                            <w:pPr>
                              <w:spacing w:line="275" w:lineRule="auto"/>
                              <w:textDirection w:val="btLr"/>
                              <w:rPr>
                                <w:lang w:val="es-ES"/>
                              </w:rPr>
                            </w:pPr>
                            <w:r>
                              <w:rPr>
                                <w:rFonts w:ascii="Cambria" w:eastAsia="Cambria" w:hAnsi="Cambria" w:cs="Cambria"/>
                                <w:color w:val="595959"/>
                                <w:sz w:val="18"/>
                                <w:lang w:val="es-PE"/>
                              </w:rPr>
                              <w:t>Filemón Medina Ramos</w:t>
                            </w:r>
                            <w:r w:rsidR="00350BF9" w:rsidRPr="00D2194B">
                              <w:rPr>
                                <w:rFonts w:ascii="Cambria" w:eastAsia="Cambria" w:hAnsi="Cambria" w:cs="Cambria"/>
                                <w:color w:val="595959"/>
                                <w:sz w:val="18"/>
                                <w:lang w:val="es-PE"/>
                              </w:rPr>
                              <w:t xml:space="preserve">. </w:t>
                            </w:r>
                            <w:r w:rsidRPr="0030777A">
                              <w:rPr>
                                <w:rFonts w:ascii="Cambria" w:eastAsia="Cambria" w:hAnsi="Cambria" w:cs="Cambria"/>
                                <w:color w:val="595959"/>
                                <w:sz w:val="18"/>
                                <w:lang w:val="es-ES"/>
                              </w:rPr>
                              <w:t>Panama</w:t>
                            </w:r>
                            <w:r w:rsidR="00350BF9" w:rsidRPr="0030777A">
                              <w:rPr>
                                <w:rFonts w:ascii="Cambria" w:eastAsia="Cambria" w:hAnsi="Cambria" w:cs="Cambria"/>
                                <w:color w:val="595959"/>
                                <w:sz w:val="18"/>
                                <w:lang w:val="es-ES"/>
                              </w:rPr>
                              <w:t xml:space="preserve">. </w:t>
                            </w:r>
                            <w:r w:rsidR="00993522">
                              <w:rPr>
                                <w:rFonts w:ascii="Cambria" w:eastAsia="Cambria" w:hAnsi="Cambria" w:cs="Cambria"/>
                                <w:color w:val="595959"/>
                                <w:sz w:val="18"/>
                                <w:lang w:val="es-ES"/>
                              </w:rPr>
                              <w:t>26</w:t>
                            </w:r>
                            <w:r w:rsidR="0030777A">
                              <w:rPr>
                                <w:rFonts w:ascii="Cambria" w:eastAsia="Cambria" w:hAnsi="Cambria" w:cs="Cambria"/>
                                <w:color w:val="595959"/>
                                <w:sz w:val="18"/>
                                <w:lang w:val="es-ES"/>
                              </w:rPr>
                              <w:t xml:space="preserve"> de noviembre de 2024</w:t>
                            </w:r>
                            <w:r w:rsidR="00350BF9" w:rsidRPr="0030777A">
                              <w:rPr>
                                <w:rFonts w:ascii="Cambria" w:eastAsia="Cambria" w:hAnsi="Cambria" w:cs="Cambria"/>
                                <w:color w:val="595959"/>
                                <w:sz w:val="18"/>
                                <w:lang w:val="es-ES"/>
                              </w:rPr>
                              <w:t>.</w:t>
                            </w:r>
                          </w:p>
                        </w:txbxContent>
                      </wps:txbx>
                      <wps:bodyPr spcFirstLastPara="1" wrap="square" lIns="91425" tIns="45700" rIns="91425" bIns="45700" anchor="t" anchorCtr="0">
                        <a:noAutofit/>
                      </wps:bodyPr>
                    </wps:wsp>
                  </a:graphicData>
                </a:graphic>
              </wp:anchor>
            </w:drawing>
          </mc:Choice>
          <mc:Fallback>
            <w:pict>
              <v:rect w14:anchorId="2B89333E" id="Rectangle 23" o:spid="_x0000_s1030" style="position:absolute;left:0;text-align:left;margin-left:104pt;margin-top:0;width:390pt;height:5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" filled="f" stroked="f">
                <v:textbox inset="2.53958mm,1.2694mm,2.53958mm,1.2694mm">
                  <w:txbxContent>
                    <w:p w14:paraId="29D16F2C" w14:textId="77777777" w:rsidR="0030777A" w:rsidRDefault="00350BF9">
                      <w:pPr>
                        <w:spacing w:line="275" w:lineRule="auto"/>
                        <w:textDirection w:val="btLr"/>
                        <w:rPr>
                          <w:rFonts w:ascii="Cambria" w:eastAsia="Cambria" w:hAnsi="Cambria" w:cs="Cambria"/>
                          <w:color w:val="595959"/>
                          <w:sz w:val="18"/>
                          <w:lang w:val="es-PE"/>
                        </w:rPr>
                      </w:pPr>
                      <w:r w:rsidRPr="00D2194B">
                        <w:rPr>
                          <w:rFonts w:ascii="Cambria" w:eastAsia="Cambria" w:hAnsi="Cambria" w:cs="Cambria"/>
                          <w:b/>
                          <w:color w:val="595959"/>
                          <w:sz w:val="18"/>
                          <w:lang w:val="pt-BR"/>
                        </w:rPr>
                        <w:t>Citar como:</w:t>
                      </w:r>
                      <w:r w:rsidRPr="00D2194B">
                        <w:rPr>
                          <w:rFonts w:ascii="Cambria" w:eastAsia="Cambria" w:hAnsi="Cambria" w:cs="Cambria"/>
                          <w:color w:val="595959"/>
                          <w:sz w:val="18"/>
                          <w:lang w:val="pt-BR"/>
                        </w:rPr>
                        <w:t xml:space="preserve"> CIDH, Informe No. </w:t>
                      </w:r>
                      <w:r w:rsidR="0030777A" w:rsidRPr="0030777A">
                        <w:rPr>
                          <w:rFonts w:ascii="Cambria" w:eastAsia="Cambria" w:hAnsi="Cambria" w:cs="Cambria"/>
                          <w:color w:val="595959"/>
                          <w:sz w:val="18"/>
                          <w:lang w:val="pt-BR"/>
                        </w:rPr>
                        <w:t>225</w:t>
                      </w:r>
                      <w:r w:rsidRPr="0030777A">
                        <w:rPr>
                          <w:rFonts w:ascii="Cambria" w:eastAsia="Cambria" w:hAnsi="Cambria" w:cs="Cambria"/>
                          <w:color w:val="595959"/>
                          <w:sz w:val="18"/>
                          <w:lang w:val="pt-BR"/>
                        </w:rPr>
                        <w:t>/</w:t>
                      </w:r>
                      <w:r w:rsidR="0030777A" w:rsidRPr="0030777A">
                        <w:rPr>
                          <w:rFonts w:ascii="Cambria" w:eastAsia="Cambria" w:hAnsi="Cambria" w:cs="Cambria"/>
                          <w:color w:val="595959"/>
                          <w:sz w:val="18"/>
                          <w:lang w:val="pt-BR"/>
                        </w:rPr>
                        <w:t>24</w:t>
                      </w:r>
                      <w:r w:rsidRPr="0030777A">
                        <w:rPr>
                          <w:rFonts w:ascii="Cambria" w:eastAsia="Cambria" w:hAnsi="Cambria" w:cs="Cambria"/>
                          <w:color w:val="595959"/>
                          <w:sz w:val="18"/>
                          <w:lang w:val="pt-BR"/>
                        </w:rPr>
                        <w:t xml:space="preserve">. </w:t>
                      </w:r>
                      <w:r w:rsidRPr="00D2194B">
                        <w:rPr>
                          <w:rFonts w:ascii="Cambria" w:eastAsia="Cambria" w:hAnsi="Cambria" w:cs="Cambria"/>
                          <w:color w:val="595959"/>
                          <w:sz w:val="18"/>
                          <w:lang w:val="es-PE"/>
                        </w:rPr>
                        <w:t xml:space="preserve">Petición </w:t>
                      </w:r>
                      <w:r w:rsidR="00F62CB2">
                        <w:rPr>
                          <w:rFonts w:ascii="Cambria" w:eastAsia="Cambria" w:hAnsi="Cambria" w:cs="Cambria"/>
                          <w:color w:val="595959"/>
                          <w:sz w:val="18"/>
                          <w:lang w:val="es-PE"/>
                        </w:rPr>
                        <w:t>1087</w:t>
                      </w:r>
                      <w:r w:rsidRPr="00D2194B">
                        <w:rPr>
                          <w:rFonts w:ascii="Cambria" w:eastAsia="Cambria" w:hAnsi="Cambria" w:cs="Cambria"/>
                          <w:color w:val="595959"/>
                          <w:sz w:val="18"/>
                          <w:lang w:val="es-PE"/>
                        </w:rPr>
                        <w:t>-</w:t>
                      </w:r>
                      <w:r w:rsidR="00F62CB2">
                        <w:rPr>
                          <w:rFonts w:ascii="Cambria" w:eastAsia="Cambria" w:hAnsi="Cambria" w:cs="Cambria"/>
                          <w:color w:val="595959"/>
                          <w:sz w:val="18"/>
                          <w:lang w:val="es-PE"/>
                        </w:rPr>
                        <w:t>13</w:t>
                      </w:r>
                      <w:r w:rsidRPr="00D2194B">
                        <w:rPr>
                          <w:rFonts w:ascii="Cambria" w:eastAsia="Cambria" w:hAnsi="Cambria" w:cs="Cambria"/>
                          <w:color w:val="595959"/>
                          <w:sz w:val="18"/>
                          <w:lang w:val="es-PE"/>
                        </w:rPr>
                        <w:t xml:space="preserve">. Admisibilidad. </w:t>
                      </w:r>
                    </w:p>
                    <w:p w14:paraId="5F3D1D85" w14:textId="3F89A6CE" w:rsidR="00166878" w:rsidRPr="0030777A" w:rsidRDefault="00F62CB2">
                      <w:pPr>
                        <w:spacing w:line="275" w:lineRule="auto"/>
                        <w:textDirection w:val="btLr"/>
                        <w:rPr>
                          <w:lang w:val="es-ES"/>
                        </w:rPr>
                      </w:pPr>
                      <w:r>
                        <w:rPr>
                          <w:rFonts w:ascii="Cambria" w:eastAsia="Cambria" w:hAnsi="Cambria" w:cs="Cambria"/>
                          <w:color w:val="595959"/>
                          <w:sz w:val="18"/>
                          <w:lang w:val="es-PE"/>
                        </w:rPr>
                        <w:t>Filemón Medina Ramos</w:t>
                      </w:r>
                      <w:r w:rsidR="00350BF9" w:rsidRPr="00D2194B">
                        <w:rPr>
                          <w:rFonts w:ascii="Cambria" w:eastAsia="Cambria" w:hAnsi="Cambria" w:cs="Cambria"/>
                          <w:color w:val="595959"/>
                          <w:sz w:val="18"/>
                          <w:lang w:val="es-PE"/>
                        </w:rPr>
                        <w:t xml:space="preserve">. </w:t>
                      </w:r>
                      <w:r w:rsidRPr="0030777A">
                        <w:rPr>
                          <w:rFonts w:ascii="Cambria" w:eastAsia="Cambria" w:hAnsi="Cambria" w:cs="Cambria"/>
                          <w:color w:val="595959"/>
                          <w:sz w:val="18"/>
                          <w:lang w:val="es-ES"/>
                        </w:rPr>
                        <w:t>Panama</w:t>
                      </w:r>
                      <w:r w:rsidR="00350BF9" w:rsidRPr="0030777A">
                        <w:rPr>
                          <w:rFonts w:ascii="Cambria" w:eastAsia="Cambria" w:hAnsi="Cambria" w:cs="Cambria"/>
                          <w:color w:val="595959"/>
                          <w:sz w:val="18"/>
                          <w:lang w:val="es-ES"/>
                        </w:rPr>
                        <w:t xml:space="preserve">. </w:t>
                      </w:r>
                      <w:r w:rsidR="00993522">
                        <w:rPr>
                          <w:rFonts w:ascii="Cambria" w:eastAsia="Cambria" w:hAnsi="Cambria" w:cs="Cambria"/>
                          <w:color w:val="595959"/>
                          <w:sz w:val="18"/>
                          <w:lang w:val="es-ES"/>
                        </w:rPr>
                        <w:t>26</w:t>
                      </w:r>
                      <w:r w:rsidR="0030777A">
                        <w:rPr>
                          <w:rFonts w:ascii="Cambria" w:eastAsia="Cambria" w:hAnsi="Cambria" w:cs="Cambria"/>
                          <w:color w:val="595959"/>
                          <w:sz w:val="18"/>
                          <w:lang w:val="es-ES"/>
                        </w:rPr>
                        <w:t xml:space="preserve"> de noviembre de 2024</w:t>
                      </w:r>
                      <w:r w:rsidR="00350BF9" w:rsidRPr="0030777A">
                        <w:rPr>
                          <w:rFonts w:ascii="Cambria" w:eastAsia="Cambria" w:hAnsi="Cambria" w:cs="Cambria"/>
                          <w:color w:val="595959"/>
                          <w:sz w:val="18"/>
                          <w:lang w:val="es-ES"/>
                        </w:rPr>
                        <w:t>.</w:t>
                      </w:r>
                    </w:p>
                  </w:txbxContent>
                </v:textbox>
              </v:rect>
            </w:pict>
          </mc:Fallback>
        </mc:AlternateContent>
      </w:r>
    </w:p>
    <w:p w14:paraId="057B844E" w14:textId="77777777" w:rsidR="00166878" w:rsidRPr="00EF5857" w:rsidRDefault="00166878">
      <w:pPr>
        <w:tabs>
          <w:tab w:val="center" w:pos="5400"/>
        </w:tabs>
        <w:jc w:val="center"/>
        <w:rPr>
          <w:rFonts w:ascii="Cambria" w:eastAsia="Cambria" w:hAnsi="Cambria" w:cs="Cambria"/>
          <w:sz w:val="18"/>
          <w:szCs w:val="18"/>
          <w:lang w:val="es-ES"/>
        </w:rPr>
      </w:pPr>
    </w:p>
    <w:p w14:paraId="6E8F503E" w14:textId="2159D561" w:rsidR="00166878" w:rsidRPr="00EF5857" w:rsidRDefault="00350BF9">
      <w:pPr>
        <w:tabs>
          <w:tab w:val="center" w:pos="5400"/>
        </w:tabs>
        <w:jc w:val="center"/>
        <w:rPr>
          <w:rFonts w:ascii="Cambria" w:eastAsia="Cambria" w:hAnsi="Cambria" w:cs="Cambria"/>
          <w:b/>
          <w:sz w:val="20"/>
          <w:szCs w:val="20"/>
          <w:lang w:val="es-ES"/>
        </w:rPr>
      </w:pPr>
      <w:r w:rsidRPr="00EF5857">
        <w:rPr>
          <w:noProof/>
          <w:lang w:val="es-ES"/>
        </w:rPr>
        <mc:AlternateContent>
          <mc:Choice Requires="wps">
            <w:drawing>
              <wp:anchor distT="0" distB="0" distL="114300" distR="114300" simplePos="0" relativeHeight="251658247" behindDoc="0" locked="0" layoutInCell="1" hidden="0" allowOverlap="1" wp14:anchorId="1C1E0544" wp14:editId="6CC0FB83">
                <wp:simplePos x="0" y="0"/>
                <wp:positionH relativeFrom="column">
                  <wp:posOffset>-266699</wp:posOffset>
                </wp:positionH>
                <wp:positionV relativeFrom="paragraph">
                  <wp:posOffset>901700</wp:posOffset>
                </wp:positionV>
                <wp:extent cx="1190625" cy="342265"/>
                <wp:effectExtent l="0" t="0" r="0" b="0"/>
                <wp:wrapNone/>
                <wp:docPr id="20" name="Rectangle 20"/>
                <wp:cNvGraphicFramePr/>
                <a:graphic xmlns:a="http://schemas.openxmlformats.org/drawingml/2006/main">
                  <a:graphicData uri="http://schemas.microsoft.com/office/word/2010/wordprocessingShape">
                    <wps:wsp>
                      <wps:cNvSpPr/>
                      <wps:spPr>
                        <a:xfrm>
                          <a:off x="4755450" y="3613630"/>
                          <a:ext cx="1181100" cy="332740"/>
                        </a:xfrm>
                        <a:prstGeom prst="rect">
                          <a:avLst/>
                        </a:prstGeom>
                        <a:noFill/>
                        <a:ln>
                          <a:noFill/>
                        </a:ln>
                      </wps:spPr>
                      <wps:txbx>
                        <w:txbxContent>
                          <w:p w14:paraId="5150B1C9" w14:textId="77777777" w:rsidR="00166878" w:rsidRDefault="00350BF9">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a:noAutofit/>
                      </wps:bodyPr>
                    </wps:wsp>
                  </a:graphicData>
                </a:graphic>
              </wp:anchor>
            </w:drawing>
          </mc:Choice>
          <mc:Fallback>
            <w:pict>
              <v:rect w14:anchorId="1C1E0544" id="Rectangle 20" o:spid="_x0000_s1031" style="position:absolute;left:0;text-align:left;margin-left:-21pt;margin-top:71pt;width:93.75pt;height:26.9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" filled="f" stroked="f">
                <v:textbox inset="2.53958mm,1.2694mm,2.53958mm,1.2694mm">
                  <w:txbxContent>
                    <w:p w14:paraId="5150B1C9" w14:textId="77777777" w:rsidR="00166878" w:rsidRDefault="00350BF9">
                      <w:pPr>
                        <w:jc w:val="center"/>
                        <w:textDirection w:val="btLr"/>
                      </w:pPr>
                      <w:r>
                        <w:rPr>
                          <w:rFonts w:ascii="Calibri" w:eastAsia="Calibri" w:hAnsi="Calibri" w:cs="Calibri"/>
                          <w:b/>
                          <w:color w:val="FFFFFF"/>
                        </w:rPr>
                        <w:t>www.cidh.org</w:t>
                      </w:r>
                    </w:p>
                  </w:txbxContent>
                </v:textbox>
              </v:rect>
            </w:pict>
          </mc:Fallback>
        </mc:AlternateContent>
      </w:r>
    </w:p>
    <w:p w14:paraId="0B06454D" w14:textId="0E5BA476" w:rsidR="00166878" w:rsidRPr="00EF5857" w:rsidRDefault="0030777A">
      <w:pPr>
        <w:tabs>
          <w:tab w:val="center" w:pos="5400"/>
        </w:tabs>
        <w:jc w:val="center"/>
        <w:rPr>
          <w:rFonts w:ascii="Cambria" w:eastAsia="Cambria" w:hAnsi="Cambria" w:cs="Cambria"/>
          <w:b/>
          <w:sz w:val="20"/>
          <w:szCs w:val="20"/>
          <w:lang w:val="es-ES"/>
        </w:rPr>
        <w:sectPr w:rsidR="00166878" w:rsidRPr="00EF5857">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sectPr>
      </w:pPr>
      <w:r w:rsidRPr="00EF5857">
        <w:rPr>
          <w:noProof/>
          <w:lang w:val="es-ES"/>
        </w:rPr>
        <mc:AlternateContent>
          <mc:Choice Requires="wps">
            <w:drawing>
              <wp:anchor distT="0" distB="0" distL="114300" distR="114300" simplePos="0" relativeHeight="251658246" behindDoc="0" locked="0" layoutInCell="1" hidden="0" allowOverlap="1" wp14:anchorId="3ED003A2" wp14:editId="0EA85374">
                <wp:simplePos x="0" y="0"/>
                <wp:positionH relativeFrom="column">
                  <wp:posOffset>1282537</wp:posOffset>
                </wp:positionH>
                <wp:positionV relativeFrom="paragraph">
                  <wp:posOffset>488950</wp:posOffset>
                </wp:positionV>
                <wp:extent cx="4096385" cy="567055"/>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5FCF1" w14:textId="2695E9CA" w:rsidR="00582226" w:rsidRPr="00D72DC6" w:rsidRDefault="0030777A">
                            <w:pPr>
                              <w:rPr>
                                <w:color w:val="FFFFFF" w:themeColor="background1"/>
                                <w14:textFill>
                                  <w14:noFill/>
                                </w14:textFill>
                              </w:rPr>
                            </w:pPr>
                            <w:r>
                              <w:rPr>
                                <w:noProof/>
                                <w:color w:val="FFFFFF" w:themeColor="background1"/>
                              </w:rPr>
                              <w:drawing>
                                <wp:inline distT="0" distB="0" distL="0" distR="0" wp14:anchorId="6036C39F" wp14:editId="2FFB916A">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003A2" id="_x0000_t202" coordsize="21600,21600" o:spt="202" path="m,l,21600r21600,l21600,xe">
                <v:stroke joinstyle="miter"/>
                <v:path gradientshapeok="t" o:connecttype="rect"/>
              </v:shapetype>
              <v:shape id="Text Box 17" o:spid="_x0000_s1032" type="#_x0000_t202" style="position:absolute;left:0;text-align:left;margin-left:101pt;margin-top:38.5pt;width:322.55pt;height:44.6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" fillcolor="white [3201]" stroked="f" strokeweight=".5pt">
                <v:textbox>
                  <w:txbxContent>
                    <w:p w14:paraId="5C15FCF1" w14:textId="2695E9CA" w:rsidR="00582226" w:rsidRPr="00D72DC6" w:rsidRDefault="0030777A">
                      <w:pPr>
                        <w:rPr>
                          <w:color w:val="FFFFFF" w:themeColor="background1"/>
                          <w14:textFill>
                            <w14:noFill/>
                          </w14:textFill>
                        </w:rPr>
                      </w:pPr>
                      <w:r>
                        <w:rPr>
                          <w:noProof/>
                          <w:color w:val="FFFFFF" w:themeColor="background1"/>
                        </w:rPr>
                        <w:drawing>
                          <wp:inline distT="0" distB="0" distL="0" distR="0" wp14:anchorId="6036C39F" wp14:editId="2FFB916A">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350BF9" w:rsidRPr="00EF5857">
        <w:rPr>
          <w:rFonts w:ascii="Cambria" w:eastAsia="Cambria" w:hAnsi="Cambria" w:cs="Cambria"/>
          <w:b/>
          <w:sz w:val="20"/>
          <w:szCs w:val="20"/>
          <w:lang w:val="es-ES"/>
        </w:rPr>
        <w:tab/>
      </w:r>
    </w:p>
    <w:p w14:paraId="0A9D484F" w14:textId="77777777" w:rsidR="00166878" w:rsidRPr="00EF5857" w:rsidRDefault="00350BF9">
      <w:pPr>
        <w:spacing w:after="240"/>
        <w:ind w:firstLine="720"/>
        <w:jc w:val="both"/>
        <w:rPr>
          <w:rFonts w:ascii="Cambria" w:eastAsia="Cambria" w:hAnsi="Cambria" w:cs="Cambria"/>
          <w:b/>
          <w:sz w:val="20"/>
          <w:szCs w:val="20"/>
          <w:lang w:val="es-ES"/>
        </w:rPr>
      </w:pPr>
      <w:r w:rsidRPr="00EF5857">
        <w:rPr>
          <w:rFonts w:ascii="Cambria" w:eastAsia="Cambria" w:hAnsi="Cambria" w:cs="Cambria"/>
          <w:b/>
          <w:sz w:val="20"/>
          <w:szCs w:val="20"/>
          <w:lang w:val="es-ES"/>
        </w:rPr>
        <w:lastRenderedPageBreak/>
        <w:t>I.</w:t>
      </w:r>
      <w:r w:rsidRPr="00EF5857">
        <w:rPr>
          <w:rFonts w:ascii="Cambria" w:eastAsia="Cambria" w:hAnsi="Cambria" w:cs="Cambria"/>
          <w:b/>
          <w:sz w:val="20"/>
          <w:szCs w:val="20"/>
          <w:lang w:val="es-ES"/>
        </w:rPr>
        <w:tab/>
        <w:t xml:space="preserve">DATOS DE LA PETICIÓN </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166878" w:rsidRPr="00EF5857" w14:paraId="6EE0EB38" w14:textId="77777777">
        <w:tc>
          <w:tcPr>
            <w:tcW w:w="3600" w:type="dxa"/>
            <w:tcBorders>
              <w:top w:val="single" w:sz="4" w:space="0" w:color="000000"/>
              <w:bottom w:val="single" w:sz="6" w:space="0" w:color="000000"/>
            </w:tcBorders>
            <w:shd w:val="clear" w:color="auto" w:fill="386294"/>
            <w:vAlign w:val="center"/>
          </w:tcPr>
          <w:p w14:paraId="4EEBAE0E"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Parte peticionaria:</w:t>
            </w:r>
          </w:p>
        </w:tc>
        <w:tc>
          <w:tcPr>
            <w:tcW w:w="5760" w:type="dxa"/>
            <w:vAlign w:val="center"/>
          </w:tcPr>
          <w:p w14:paraId="42812122"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Filemón Medina Ramos</w:t>
            </w:r>
          </w:p>
        </w:tc>
      </w:tr>
      <w:tr w:rsidR="00166878" w:rsidRPr="00EF5857" w14:paraId="7E0974AE" w14:textId="77777777">
        <w:tc>
          <w:tcPr>
            <w:tcW w:w="3600" w:type="dxa"/>
            <w:tcBorders>
              <w:top w:val="single" w:sz="6" w:space="0" w:color="000000"/>
              <w:bottom w:val="single" w:sz="6" w:space="0" w:color="000000"/>
            </w:tcBorders>
            <w:shd w:val="clear" w:color="auto" w:fill="386294"/>
            <w:vAlign w:val="center"/>
          </w:tcPr>
          <w:p w14:paraId="45ACA354"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Presunta víctima:</w:t>
            </w:r>
          </w:p>
        </w:tc>
        <w:tc>
          <w:tcPr>
            <w:tcW w:w="5760" w:type="dxa"/>
            <w:vAlign w:val="center"/>
          </w:tcPr>
          <w:p w14:paraId="0B029B38"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Filemón Medina Ramos</w:t>
            </w:r>
          </w:p>
        </w:tc>
      </w:tr>
      <w:tr w:rsidR="00166878" w:rsidRPr="00EF5857" w14:paraId="1DEF2316" w14:textId="77777777">
        <w:tc>
          <w:tcPr>
            <w:tcW w:w="3600" w:type="dxa"/>
            <w:tcBorders>
              <w:top w:val="single" w:sz="6" w:space="0" w:color="000000"/>
              <w:bottom w:val="single" w:sz="6" w:space="0" w:color="000000"/>
            </w:tcBorders>
            <w:shd w:val="clear" w:color="auto" w:fill="386294"/>
            <w:vAlign w:val="center"/>
          </w:tcPr>
          <w:p w14:paraId="4BCE2009"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Estado denunciado:</w:t>
            </w:r>
          </w:p>
        </w:tc>
        <w:tc>
          <w:tcPr>
            <w:tcW w:w="5760" w:type="dxa"/>
            <w:vAlign w:val="center"/>
          </w:tcPr>
          <w:p w14:paraId="3DAFD79B"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Panamá</w:t>
            </w:r>
          </w:p>
        </w:tc>
      </w:tr>
      <w:tr w:rsidR="00166878" w:rsidRPr="00FE3DE0" w14:paraId="5A0266B2" w14:textId="77777777">
        <w:tc>
          <w:tcPr>
            <w:tcW w:w="3600" w:type="dxa"/>
            <w:tcBorders>
              <w:top w:val="single" w:sz="6" w:space="0" w:color="000000"/>
              <w:bottom w:val="single" w:sz="6" w:space="0" w:color="000000"/>
            </w:tcBorders>
            <w:shd w:val="clear" w:color="auto" w:fill="386294"/>
            <w:vAlign w:val="center"/>
          </w:tcPr>
          <w:p w14:paraId="7A21CB4B"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Derechos invocados:</w:t>
            </w:r>
          </w:p>
        </w:tc>
        <w:tc>
          <w:tcPr>
            <w:tcW w:w="5760" w:type="dxa"/>
            <w:vAlign w:val="center"/>
          </w:tcPr>
          <w:p w14:paraId="7D81074F" w14:textId="4C259254"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Artículos 5 (integridad personal), 7 (libertad personal), 11(honor y dignidad), 13 (libertad de pensamiento y de expresión), 22 (derecho de circulación) de la Convención Americana sobre Derechos Humanos</w:t>
            </w:r>
            <w:r w:rsidRPr="00EF5857">
              <w:rPr>
                <w:rFonts w:ascii="Cambria" w:eastAsia="Cambria" w:hAnsi="Cambria" w:cs="Cambria"/>
                <w:sz w:val="20"/>
                <w:szCs w:val="20"/>
                <w:vertAlign w:val="superscript"/>
                <w:lang w:val="es-ES"/>
              </w:rPr>
              <w:footnoteReference w:id="2"/>
            </w:r>
            <w:r w:rsidRPr="00EF5857">
              <w:rPr>
                <w:rFonts w:ascii="Cambria" w:eastAsia="Cambria" w:hAnsi="Cambria" w:cs="Cambria"/>
                <w:sz w:val="20"/>
                <w:szCs w:val="20"/>
                <w:lang w:val="es-ES"/>
              </w:rPr>
              <w:t xml:space="preserve">; </w:t>
            </w:r>
            <w:r w:rsidR="00D2194B" w:rsidRPr="00EF5857">
              <w:rPr>
                <w:rFonts w:ascii="Cambria" w:eastAsia="Cambria" w:hAnsi="Cambria" w:cs="Cambria"/>
                <w:sz w:val="20"/>
                <w:szCs w:val="20"/>
                <w:lang w:val="es-ES"/>
              </w:rPr>
              <w:t xml:space="preserve">y </w:t>
            </w:r>
            <w:r w:rsidRPr="00EF5857">
              <w:rPr>
                <w:rFonts w:ascii="Cambria" w:eastAsia="Cambria" w:hAnsi="Cambria" w:cs="Cambria"/>
                <w:sz w:val="20"/>
                <w:szCs w:val="20"/>
                <w:lang w:val="es-ES"/>
              </w:rPr>
              <w:t xml:space="preserve">artículos 1, 2, 3, 4 y 5 de la Convención Interamericana para Prevenir y Sancionar la Tortura; </w:t>
            </w:r>
            <w:r w:rsidR="0087249E" w:rsidRPr="00EF5857">
              <w:rPr>
                <w:rFonts w:ascii="Cambria" w:eastAsia="Cambria" w:hAnsi="Cambria" w:cs="Cambria"/>
                <w:sz w:val="20"/>
                <w:szCs w:val="20"/>
                <w:lang w:val="es-ES"/>
              </w:rPr>
              <w:t xml:space="preserve">y </w:t>
            </w:r>
            <w:r w:rsidRPr="00EF5857">
              <w:rPr>
                <w:rFonts w:ascii="Cambria" w:eastAsia="Cambria" w:hAnsi="Cambria" w:cs="Cambria"/>
                <w:sz w:val="20"/>
                <w:szCs w:val="20"/>
                <w:lang w:val="es-ES"/>
              </w:rPr>
              <w:t>artículos   I (derecho a la vida, a la libertad, a la seguridad e integridad de la pe), IV (derecho de libertad de investigación, opinión, expresión y difusión), VIII (derecho de residencia y tránsito), X (derecho a la inviolabilidad y circulación de la correspondencia), XVII (derecho de reconocimiento de la personalidad jurídica y de los derechos civiles), XXII (derecho de asociación), XXV (derecho de protección contra la detención arbitraria) y XXVIII (alcance de los derechos del hombre) de la Declaración Americana de los Derechos y Deberes del Hombre</w:t>
            </w:r>
            <w:r w:rsidRPr="00EF5857">
              <w:rPr>
                <w:rFonts w:ascii="Cambria" w:eastAsia="Cambria" w:hAnsi="Cambria" w:cs="Cambria"/>
                <w:sz w:val="20"/>
                <w:szCs w:val="20"/>
                <w:vertAlign w:val="superscript"/>
                <w:lang w:val="es-ES"/>
              </w:rPr>
              <w:footnoteReference w:id="3"/>
            </w:r>
          </w:p>
        </w:tc>
      </w:tr>
    </w:tbl>
    <w:p w14:paraId="292AA464" w14:textId="77777777" w:rsidR="00166878" w:rsidRPr="00EF5857" w:rsidRDefault="00350BF9">
      <w:pPr>
        <w:spacing w:before="240" w:after="240"/>
        <w:ind w:firstLine="720"/>
        <w:jc w:val="both"/>
        <w:rPr>
          <w:rFonts w:ascii="Cambria" w:eastAsia="Cambria" w:hAnsi="Cambria" w:cs="Cambria"/>
          <w:b/>
          <w:sz w:val="20"/>
          <w:szCs w:val="20"/>
          <w:lang w:val="es-ES"/>
        </w:rPr>
      </w:pPr>
      <w:r w:rsidRPr="00EF5857">
        <w:rPr>
          <w:rFonts w:ascii="Cambria" w:eastAsia="Cambria" w:hAnsi="Cambria" w:cs="Cambria"/>
          <w:b/>
          <w:sz w:val="20"/>
          <w:szCs w:val="20"/>
          <w:lang w:val="es-ES"/>
        </w:rPr>
        <w:t>II.</w:t>
      </w:r>
      <w:r w:rsidRPr="00EF5857">
        <w:rPr>
          <w:rFonts w:ascii="Cambria" w:eastAsia="Cambria" w:hAnsi="Cambria" w:cs="Cambria"/>
          <w:b/>
          <w:sz w:val="20"/>
          <w:szCs w:val="20"/>
          <w:lang w:val="es-ES"/>
        </w:rPr>
        <w:tab/>
        <w:t>TRÁMITE ANTE LA CIDH</w:t>
      </w:r>
      <w:r w:rsidRPr="00EF5857">
        <w:rPr>
          <w:rFonts w:ascii="Cambria" w:eastAsia="Cambria" w:hAnsi="Cambria" w:cs="Cambria"/>
          <w:b/>
          <w:sz w:val="20"/>
          <w:szCs w:val="20"/>
          <w:vertAlign w:val="superscript"/>
          <w:lang w:val="es-ES"/>
        </w:rPr>
        <w:footnoteReference w:id="4"/>
      </w:r>
    </w:p>
    <w:tbl>
      <w:tblPr>
        <w:tblStyle w:val="a0"/>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166878" w:rsidRPr="00EF5857" w14:paraId="158C551C" w14:textId="77777777">
        <w:tc>
          <w:tcPr>
            <w:tcW w:w="3600" w:type="dxa"/>
            <w:tcBorders>
              <w:top w:val="single" w:sz="6" w:space="0" w:color="000000"/>
              <w:bottom w:val="single" w:sz="6" w:space="0" w:color="000000"/>
            </w:tcBorders>
            <w:shd w:val="clear" w:color="auto" w:fill="386294"/>
            <w:vAlign w:val="center"/>
          </w:tcPr>
          <w:p w14:paraId="63F14F1E"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Presentación de la petición:</w:t>
            </w:r>
          </w:p>
        </w:tc>
        <w:tc>
          <w:tcPr>
            <w:tcW w:w="5760" w:type="dxa"/>
            <w:vAlign w:val="center"/>
          </w:tcPr>
          <w:p w14:paraId="3B7513FB"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3 de julio de 2013</w:t>
            </w:r>
          </w:p>
        </w:tc>
      </w:tr>
      <w:tr w:rsidR="00166878" w:rsidRPr="00EF5857" w14:paraId="29D87997" w14:textId="77777777">
        <w:tc>
          <w:tcPr>
            <w:tcW w:w="3600" w:type="dxa"/>
            <w:tcBorders>
              <w:top w:val="single" w:sz="6" w:space="0" w:color="000000"/>
              <w:bottom w:val="single" w:sz="6" w:space="0" w:color="000000"/>
            </w:tcBorders>
            <w:shd w:val="clear" w:color="auto" w:fill="386294"/>
            <w:vAlign w:val="center"/>
          </w:tcPr>
          <w:p w14:paraId="43A9CD3E"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Notificación de la petición al Estado:</w:t>
            </w:r>
          </w:p>
        </w:tc>
        <w:tc>
          <w:tcPr>
            <w:tcW w:w="5760" w:type="dxa"/>
            <w:vAlign w:val="center"/>
          </w:tcPr>
          <w:p w14:paraId="64339498"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21 de abril de 2017</w:t>
            </w:r>
          </w:p>
        </w:tc>
      </w:tr>
      <w:tr w:rsidR="00166878" w:rsidRPr="00EF5857" w14:paraId="3D65C487" w14:textId="77777777">
        <w:tc>
          <w:tcPr>
            <w:tcW w:w="3600" w:type="dxa"/>
            <w:tcBorders>
              <w:top w:val="single" w:sz="6" w:space="0" w:color="000000"/>
              <w:bottom w:val="single" w:sz="6" w:space="0" w:color="000000"/>
            </w:tcBorders>
            <w:shd w:val="clear" w:color="auto" w:fill="386294"/>
            <w:vAlign w:val="center"/>
          </w:tcPr>
          <w:p w14:paraId="70BD5EAF"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Primera respuesta del Estado:</w:t>
            </w:r>
          </w:p>
        </w:tc>
        <w:tc>
          <w:tcPr>
            <w:tcW w:w="5760" w:type="dxa"/>
            <w:vAlign w:val="center"/>
          </w:tcPr>
          <w:p w14:paraId="2BE64EB2"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11 de agosto de 2017</w:t>
            </w:r>
          </w:p>
        </w:tc>
      </w:tr>
      <w:tr w:rsidR="00166878" w:rsidRPr="00EF5857" w14:paraId="485E113C" w14:textId="77777777">
        <w:tc>
          <w:tcPr>
            <w:tcW w:w="3600" w:type="dxa"/>
            <w:tcBorders>
              <w:top w:val="single" w:sz="6" w:space="0" w:color="000000"/>
              <w:bottom w:val="single" w:sz="6" w:space="0" w:color="000000"/>
            </w:tcBorders>
            <w:shd w:val="clear" w:color="auto" w:fill="386294"/>
            <w:vAlign w:val="center"/>
          </w:tcPr>
          <w:p w14:paraId="04313BEC"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Información adicional aportada por la parte peticionaria:</w:t>
            </w:r>
          </w:p>
        </w:tc>
        <w:tc>
          <w:tcPr>
            <w:tcW w:w="5760" w:type="dxa"/>
            <w:vAlign w:val="center"/>
          </w:tcPr>
          <w:p w14:paraId="6FD48E25"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22 de enero de 2018</w:t>
            </w:r>
          </w:p>
        </w:tc>
      </w:tr>
      <w:tr w:rsidR="00166878" w:rsidRPr="00EF5857" w14:paraId="6F032F6A" w14:textId="77777777">
        <w:tc>
          <w:tcPr>
            <w:tcW w:w="3600" w:type="dxa"/>
            <w:tcBorders>
              <w:top w:val="single" w:sz="6" w:space="0" w:color="000000"/>
              <w:bottom w:val="single" w:sz="6" w:space="0" w:color="000000"/>
            </w:tcBorders>
            <w:shd w:val="clear" w:color="auto" w:fill="386294"/>
            <w:vAlign w:val="center"/>
          </w:tcPr>
          <w:p w14:paraId="5BC804EF"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Advertencia de archivo</w:t>
            </w:r>
          </w:p>
        </w:tc>
        <w:tc>
          <w:tcPr>
            <w:tcW w:w="5760" w:type="dxa"/>
            <w:vAlign w:val="center"/>
          </w:tcPr>
          <w:p w14:paraId="2372325F"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23 de marzo de 2021</w:t>
            </w:r>
          </w:p>
        </w:tc>
      </w:tr>
      <w:tr w:rsidR="00166878" w:rsidRPr="00EF5857" w14:paraId="6452FF88" w14:textId="77777777">
        <w:tc>
          <w:tcPr>
            <w:tcW w:w="3600" w:type="dxa"/>
            <w:tcBorders>
              <w:top w:val="single" w:sz="6" w:space="0" w:color="000000"/>
              <w:bottom w:val="single" w:sz="6" w:space="0" w:color="000000"/>
            </w:tcBorders>
            <w:shd w:val="clear" w:color="auto" w:fill="386294"/>
            <w:vAlign w:val="center"/>
          </w:tcPr>
          <w:p w14:paraId="683EEB98"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Respuesta a advertencia de archivo</w:t>
            </w:r>
          </w:p>
        </w:tc>
        <w:tc>
          <w:tcPr>
            <w:tcW w:w="5760" w:type="dxa"/>
            <w:vAlign w:val="center"/>
          </w:tcPr>
          <w:p w14:paraId="50E10A3F"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29 de mayo de 2021</w:t>
            </w:r>
          </w:p>
        </w:tc>
      </w:tr>
    </w:tbl>
    <w:p w14:paraId="5F21ECC8" w14:textId="77777777" w:rsidR="00166878" w:rsidRPr="00EF5857" w:rsidRDefault="00350BF9">
      <w:pPr>
        <w:spacing w:before="240" w:after="240"/>
        <w:ind w:firstLine="720"/>
        <w:jc w:val="both"/>
        <w:rPr>
          <w:rFonts w:ascii="Cambria" w:eastAsia="Cambria" w:hAnsi="Cambria" w:cs="Cambria"/>
          <w:b/>
          <w:sz w:val="20"/>
          <w:szCs w:val="20"/>
          <w:lang w:val="es-ES"/>
        </w:rPr>
      </w:pPr>
      <w:r w:rsidRPr="00EF5857">
        <w:rPr>
          <w:rFonts w:ascii="Cambria" w:eastAsia="Cambria" w:hAnsi="Cambria" w:cs="Cambria"/>
          <w:b/>
          <w:sz w:val="20"/>
          <w:szCs w:val="20"/>
          <w:lang w:val="es-ES"/>
        </w:rPr>
        <w:t xml:space="preserve">III. </w:t>
      </w:r>
      <w:r w:rsidRPr="00EF5857">
        <w:rPr>
          <w:rFonts w:ascii="Cambria" w:eastAsia="Cambria" w:hAnsi="Cambria" w:cs="Cambria"/>
          <w:b/>
          <w:sz w:val="20"/>
          <w:szCs w:val="20"/>
          <w:lang w:val="es-ES"/>
        </w:rPr>
        <w:tab/>
        <w:t xml:space="preserve">COMPETENCIA </w:t>
      </w:r>
    </w:p>
    <w:tbl>
      <w:tblPr>
        <w:tblStyle w:val="a1"/>
        <w:tblW w:w="933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0"/>
        <w:gridCol w:w="5777"/>
      </w:tblGrid>
      <w:tr w:rsidR="00166878" w:rsidRPr="00EF5857" w14:paraId="4939922B" w14:textId="77777777">
        <w:trPr>
          <w:cantSplit/>
        </w:trPr>
        <w:tc>
          <w:tcPr>
            <w:tcW w:w="3560" w:type="dxa"/>
            <w:tcBorders>
              <w:top w:val="single" w:sz="4" w:space="0" w:color="000000"/>
              <w:bottom w:val="single" w:sz="6" w:space="0" w:color="000000"/>
            </w:tcBorders>
            <w:shd w:val="clear" w:color="auto" w:fill="386294"/>
            <w:vAlign w:val="center"/>
          </w:tcPr>
          <w:p w14:paraId="33858F78" w14:textId="77777777" w:rsidR="00166878" w:rsidRPr="00EF5857" w:rsidRDefault="00350BF9">
            <w:pPr>
              <w:jc w:val="center"/>
              <w:rPr>
                <w:rFonts w:ascii="Cambria" w:eastAsia="Cambria" w:hAnsi="Cambria" w:cs="Cambria"/>
                <w:b/>
                <w:i/>
                <w:color w:val="FFFFFF"/>
                <w:sz w:val="20"/>
                <w:szCs w:val="20"/>
                <w:lang w:val="es-ES"/>
              </w:rPr>
            </w:pPr>
            <w:r w:rsidRPr="00EF5857">
              <w:rPr>
                <w:rFonts w:ascii="Cambria" w:eastAsia="Cambria" w:hAnsi="Cambria" w:cs="Cambria"/>
                <w:b/>
                <w:color w:val="FFFFFF"/>
                <w:sz w:val="20"/>
                <w:szCs w:val="20"/>
                <w:lang w:val="es-ES"/>
              </w:rPr>
              <w:t>Competencia</w:t>
            </w:r>
            <w:r w:rsidRPr="00EF5857">
              <w:rPr>
                <w:rFonts w:ascii="Cambria" w:eastAsia="Cambria" w:hAnsi="Cambria" w:cs="Cambria"/>
                <w:b/>
                <w:i/>
                <w:color w:val="FFFFFF"/>
                <w:sz w:val="20"/>
                <w:szCs w:val="20"/>
                <w:lang w:val="es-ES"/>
              </w:rPr>
              <w:t xml:space="preserve"> Ratione personae:</w:t>
            </w:r>
          </w:p>
        </w:tc>
        <w:tc>
          <w:tcPr>
            <w:tcW w:w="5777" w:type="dxa"/>
            <w:vAlign w:val="center"/>
          </w:tcPr>
          <w:p w14:paraId="25DDCE21" w14:textId="77777777" w:rsidR="00166878" w:rsidRPr="00EF5857" w:rsidRDefault="00350BF9">
            <w:pPr>
              <w:rPr>
                <w:rFonts w:ascii="Cambria" w:eastAsia="Cambria" w:hAnsi="Cambria" w:cs="Cambria"/>
                <w:sz w:val="20"/>
                <w:szCs w:val="20"/>
                <w:lang w:val="es-ES"/>
              </w:rPr>
            </w:pPr>
            <w:r w:rsidRPr="00EF5857">
              <w:rPr>
                <w:rFonts w:ascii="Cambria" w:eastAsia="Cambria" w:hAnsi="Cambria" w:cs="Cambria"/>
                <w:sz w:val="20"/>
                <w:szCs w:val="20"/>
                <w:lang w:val="es-ES"/>
              </w:rPr>
              <w:t>Sí</w:t>
            </w:r>
          </w:p>
        </w:tc>
      </w:tr>
      <w:tr w:rsidR="00166878" w:rsidRPr="00EF5857" w14:paraId="6B298A5C" w14:textId="77777777">
        <w:trPr>
          <w:cantSplit/>
        </w:trPr>
        <w:tc>
          <w:tcPr>
            <w:tcW w:w="3560" w:type="dxa"/>
            <w:tcBorders>
              <w:top w:val="single" w:sz="6" w:space="0" w:color="000000"/>
              <w:bottom w:val="single" w:sz="6" w:space="0" w:color="000000"/>
            </w:tcBorders>
            <w:shd w:val="clear" w:color="auto" w:fill="386294"/>
            <w:vAlign w:val="center"/>
          </w:tcPr>
          <w:p w14:paraId="40A94EB8"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Competencia</w:t>
            </w:r>
            <w:r w:rsidRPr="00EF5857">
              <w:rPr>
                <w:rFonts w:ascii="Cambria" w:eastAsia="Cambria" w:hAnsi="Cambria" w:cs="Cambria"/>
                <w:b/>
                <w:i/>
                <w:color w:val="FFFFFF"/>
                <w:sz w:val="20"/>
                <w:szCs w:val="20"/>
                <w:lang w:val="es-ES"/>
              </w:rPr>
              <w:t xml:space="preserve"> Ratione loci</w:t>
            </w:r>
            <w:r w:rsidRPr="00EF5857">
              <w:rPr>
                <w:rFonts w:ascii="Cambria" w:eastAsia="Cambria" w:hAnsi="Cambria" w:cs="Cambria"/>
                <w:b/>
                <w:color w:val="FFFFFF"/>
                <w:sz w:val="20"/>
                <w:szCs w:val="20"/>
                <w:lang w:val="es-ES"/>
              </w:rPr>
              <w:t>:</w:t>
            </w:r>
          </w:p>
        </w:tc>
        <w:tc>
          <w:tcPr>
            <w:tcW w:w="5777" w:type="dxa"/>
            <w:vAlign w:val="center"/>
          </w:tcPr>
          <w:p w14:paraId="3A3DAD2E" w14:textId="77777777" w:rsidR="00166878" w:rsidRPr="00EF5857" w:rsidRDefault="00350BF9">
            <w:pPr>
              <w:rPr>
                <w:rFonts w:ascii="Cambria" w:eastAsia="Cambria" w:hAnsi="Cambria" w:cs="Cambria"/>
                <w:sz w:val="20"/>
                <w:szCs w:val="20"/>
                <w:lang w:val="es-ES"/>
              </w:rPr>
            </w:pPr>
            <w:r w:rsidRPr="00EF5857">
              <w:rPr>
                <w:rFonts w:ascii="Cambria" w:eastAsia="Cambria" w:hAnsi="Cambria" w:cs="Cambria"/>
                <w:sz w:val="20"/>
                <w:szCs w:val="20"/>
                <w:lang w:val="es-ES"/>
              </w:rPr>
              <w:t>Sí</w:t>
            </w:r>
          </w:p>
        </w:tc>
      </w:tr>
      <w:tr w:rsidR="00166878" w:rsidRPr="00EF5857" w14:paraId="2D28F569" w14:textId="77777777">
        <w:trPr>
          <w:cantSplit/>
        </w:trPr>
        <w:tc>
          <w:tcPr>
            <w:tcW w:w="3560" w:type="dxa"/>
            <w:tcBorders>
              <w:top w:val="single" w:sz="6" w:space="0" w:color="000000"/>
              <w:bottom w:val="single" w:sz="6" w:space="0" w:color="000000"/>
            </w:tcBorders>
            <w:shd w:val="clear" w:color="auto" w:fill="386294"/>
            <w:vAlign w:val="center"/>
          </w:tcPr>
          <w:p w14:paraId="33ADE4A8"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Competencia</w:t>
            </w:r>
            <w:r w:rsidRPr="00EF5857">
              <w:rPr>
                <w:rFonts w:ascii="Cambria" w:eastAsia="Cambria" w:hAnsi="Cambria" w:cs="Cambria"/>
                <w:b/>
                <w:i/>
                <w:color w:val="FFFFFF"/>
                <w:sz w:val="20"/>
                <w:szCs w:val="20"/>
                <w:lang w:val="es-ES"/>
              </w:rPr>
              <w:t xml:space="preserve"> Ratione temporis</w:t>
            </w:r>
            <w:r w:rsidRPr="00EF5857">
              <w:rPr>
                <w:rFonts w:ascii="Cambria" w:eastAsia="Cambria" w:hAnsi="Cambria" w:cs="Cambria"/>
                <w:b/>
                <w:color w:val="FFFFFF"/>
                <w:sz w:val="20"/>
                <w:szCs w:val="20"/>
                <w:lang w:val="es-ES"/>
              </w:rPr>
              <w:t>:</w:t>
            </w:r>
          </w:p>
        </w:tc>
        <w:tc>
          <w:tcPr>
            <w:tcW w:w="5777" w:type="dxa"/>
            <w:vAlign w:val="center"/>
          </w:tcPr>
          <w:p w14:paraId="3129D6FA" w14:textId="77777777" w:rsidR="00166878" w:rsidRPr="00EF5857" w:rsidRDefault="00350BF9">
            <w:pPr>
              <w:rPr>
                <w:rFonts w:ascii="Cambria" w:eastAsia="Cambria" w:hAnsi="Cambria" w:cs="Cambria"/>
                <w:sz w:val="20"/>
                <w:szCs w:val="20"/>
                <w:lang w:val="es-ES"/>
              </w:rPr>
            </w:pPr>
            <w:r w:rsidRPr="00EF5857">
              <w:rPr>
                <w:rFonts w:ascii="Cambria" w:eastAsia="Cambria" w:hAnsi="Cambria" w:cs="Cambria"/>
                <w:sz w:val="20"/>
                <w:szCs w:val="20"/>
                <w:lang w:val="es-ES"/>
              </w:rPr>
              <w:t>Sí</w:t>
            </w:r>
          </w:p>
        </w:tc>
      </w:tr>
      <w:tr w:rsidR="00166878" w:rsidRPr="00FE3DE0" w14:paraId="7543F891" w14:textId="77777777">
        <w:trPr>
          <w:cantSplit/>
        </w:trPr>
        <w:tc>
          <w:tcPr>
            <w:tcW w:w="3560" w:type="dxa"/>
            <w:tcBorders>
              <w:top w:val="single" w:sz="6" w:space="0" w:color="000000"/>
              <w:bottom w:val="single" w:sz="6" w:space="0" w:color="000000"/>
            </w:tcBorders>
            <w:shd w:val="clear" w:color="auto" w:fill="386294"/>
            <w:vAlign w:val="center"/>
          </w:tcPr>
          <w:p w14:paraId="175B86A7"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Competencia</w:t>
            </w:r>
            <w:r w:rsidRPr="00EF5857">
              <w:rPr>
                <w:rFonts w:ascii="Cambria" w:eastAsia="Cambria" w:hAnsi="Cambria" w:cs="Cambria"/>
                <w:b/>
                <w:i/>
                <w:color w:val="FFFFFF"/>
                <w:sz w:val="20"/>
                <w:szCs w:val="20"/>
                <w:lang w:val="es-ES"/>
              </w:rPr>
              <w:t xml:space="preserve"> Ratione materiae</w:t>
            </w:r>
            <w:r w:rsidRPr="00EF5857">
              <w:rPr>
                <w:rFonts w:ascii="Cambria" w:eastAsia="Cambria" w:hAnsi="Cambria" w:cs="Cambria"/>
                <w:b/>
                <w:color w:val="FFFFFF"/>
                <w:sz w:val="20"/>
                <w:szCs w:val="20"/>
                <w:lang w:val="es-ES"/>
              </w:rPr>
              <w:t>:</w:t>
            </w:r>
          </w:p>
        </w:tc>
        <w:tc>
          <w:tcPr>
            <w:tcW w:w="5777" w:type="dxa"/>
            <w:vAlign w:val="center"/>
          </w:tcPr>
          <w:p w14:paraId="2D496F6A" w14:textId="5B7D39F5"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Sí, Convención Americana (depósito del instrumento de ratificación realizado el 22 de junio de 1978) y Convención Interamericana para </w:t>
            </w:r>
            <w:r w:rsidR="006E38EA" w:rsidRPr="00EF5857">
              <w:rPr>
                <w:rFonts w:ascii="Cambria" w:eastAsia="Cambria" w:hAnsi="Cambria" w:cs="Cambria"/>
                <w:sz w:val="20"/>
                <w:szCs w:val="20"/>
                <w:lang w:val="es-ES"/>
              </w:rPr>
              <w:t>P</w:t>
            </w:r>
            <w:r w:rsidRPr="00EF5857">
              <w:rPr>
                <w:rFonts w:ascii="Cambria" w:eastAsia="Cambria" w:hAnsi="Cambria" w:cs="Cambria"/>
                <w:sz w:val="20"/>
                <w:szCs w:val="20"/>
                <w:lang w:val="es-ES"/>
              </w:rPr>
              <w:t>revenir y Sancionar la Tortura (depósito del instrumento de ratificación realizado 28 de agosto de 1991)</w:t>
            </w:r>
          </w:p>
        </w:tc>
      </w:tr>
    </w:tbl>
    <w:p w14:paraId="4BA3C252" w14:textId="77777777" w:rsidR="00166878" w:rsidRPr="00EF5857" w:rsidRDefault="00350BF9">
      <w:pPr>
        <w:spacing w:before="240" w:after="240"/>
        <w:ind w:firstLine="720"/>
        <w:jc w:val="both"/>
        <w:rPr>
          <w:rFonts w:ascii="Cambria" w:eastAsia="Cambria" w:hAnsi="Cambria" w:cs="Cambria"/>
          <w:b/>
          <w:sz w:val="20"/>
          <w:szCs w:val="20"/>
          <w:lang w:val="es-ES"/>
        </w:rPr>
      </w:pPr>
      <w:r w:rsidRPr="00EF5857">
        <w:rPr>
          <w:rFonts w:ascii="Cambria" w:eastAsia="Cambria" w:hAnsi="Cambria" w:cs="Cambria"/>
          <w:b/>
          <w:sz w:val="20"/>
          <w:szCs w:val="20"/>
          <w:lang w:val="es-ES"/>
        </w:rPr>
        <w:t xml:space="preserve">IV. </w:t>
      </w:r>
      <w:r w:rsidRPr="00EF5857">
        <w:rPr>
          <w:rFonts w:ascii="Cambria" w:eastAsia="Cambria" w:hAnsi="Cambria" w:cs="Cambria"/>
          <w:b/>
          <w:sz w:val="20"/>
          <w:szCs w:val="20"/>
          <w:lang w:val="es-ES"/>
        </w:rPr>
        <w:tab/>
        <w:t>DUPLICACIÓN</w:t>
      </w:r>
      <w:r w:rsidRPr="00EF5857">
        <w:rPr>
          <w:rFonts w:ascii="Cambria" w:eastAsia="Cambria" w:hAnsi="Cambria" w:cs="Cambria"/>
          <w:b/>
          <w:color w:val="FFFFFF"/>
          <w:sz w:val="20"/>
          <w:szCs w:val="20"/>
          <w:lang w:val="es-ES"/>
        </w:rPr>
        <w:t xml:space="preserve"> </w:t>
      </w:r>
      <w:r w:rsidRPr="00EF5857">
        <w:rPr>
          <w:rFonts w:ascii="Cambria" w:eastAsia="Cambria" w:hAnsi="Cambria" w:cs="Cambria"/>
          <w:b/>
          <w:sz w:val="20"/>
          <w:szCs w:val="20"/>
          <w:lang w:val="es-ES"/>
        </w:rPr>
        <w:t>DE PROCEDIMIENTOS Y COSA JUZGADA</w:t>
      </w:r>
      <w:r w:rsidRPr="00EF5857">
        <w:rPr>
          <w:rFonts w:ascii="Cambria" w:eastAsia="Cambria" w:hAnsi="Cambria" w:cs="Cambria"/>
          <w:b/>
          <w:i/>
          <w:sz w:val="20"/>
          <w:szCs w:val="20"/>
          <w:lang w:val="es-ES"/>
        </w:rPr>
        <w:t xml:space="preserve"> </w:t>
      </w:r>
      <w:r w:rsidRPr="00EF5857">
        <w:rPr>
          <w:rFonts w:ascii="Cambria" w:eastAsia="Cambria" w:hAnsi="Cambria" w:cs="Cambria"/>
          <w:b/>
          <w:sz w:val="20"/>
          <w:szCs w:val="20"/>
          <w:lang w:val="es-ES"/>
        </w:rPr>
        <w:t>INTERNACIONAL, CARACTERIZACIÓN, AGOTAMIENTO DE LOS RECURSOS INTERNOS Y PLAZO DE PRESENTACIÓN</w:t>
      </w:r>
    </w:p>
    <w:tbl>
      <w:tblPr>
        <w:tblStyle w:val="a2"/>
        <w:tblW w:w="933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6"/>
        <w:gridCol w:w="5771"/>
      </w:tblGrid>
      <w:tr w:rsidR="00166878" w:rsidRPr="00EF5857" w14:paraId="2C3EB8F7" w14:textId="77777777">
        <w:trPr>
          <w:cantSplit/>
        </w:trPr>
        <w:tc>
          <w:tcPr>
            <w:tcW w:w="3566" w:type="dxa"/>
            <w:tcBorders>
              <w:top w:val="single" w:sz="4" w:space="0" w:color="000000"/>
              <w:bottom w:val="single" w:sz="6" w:space="0" w:color="000000"/>
            </w:tcBorders>
            <w:shd w:val="clear" w:color="auto" w:fill="386294"/>
            <w:vAlign w:val="center"/>
          </w:tcPr>
          <w:p w14:paraId="64629024"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Duplicación de procedimientos y cosa juzgada internacional:</w:t>
            </w:r>
          </w:p>
        </w:tc>
        <w:tc>
          <w:tcPr>
            <w:tcW w:w="5771" w:type="dxa"/>
            <w:vAlign w:val="center"/>
          </w:tcPr>
          <w:p w14:paraId="34409271" w14:textId="77777777"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No</w:t>
            </w:r>
          </w:p>
        </w:tc>
      </w:tr>
      <w:tr w:rsidR="00166878" w:rsidRPr="00FE3DE0" w14:paraId="54F113F8" w14:textId="77777777">
        <w:trPr>
          <w:cantSplit/>
        </w:trPr>
        <w:tc>
          <w:tcPr>
            <w:tcW w:w="3566" w:type="dxa"/>
            <w:tcBorders>
              <w:top w:val="single" w:sz="4" w:space="0" w:color="000000"/>
              <w:bottom w:val="single" w:sz="6" w:space="0" w:color="000000"/>
            </w:tcBorders>
            <w:shd w:val="clear" w:color="auto" w:fill="386294"/>
            <w:vAlign w:val="center"/>
          </w:tcPr>
          <w:p w14:paraId="7D4AB33E" w14:textId="77777777" w:rsidR="00166878" w:rsidRPr="00EF5857" w:rsidRDefault="00350BF9">
            <w:pPr>
              <w:jc w:val="center"/>
              <w:rPr>
                <w:rFonts w:ascii="Cambria" w:eastAsia="Cambria" w:hAnsi="Cambria" w:cs="Cambria"/>
                <w:b/>
                <w:i/>
                <w:color w:val="FFFFFF"/>
                <w:sz w:val="20"/>
                <w:szCs w:val="20"/>
                <w:lang w:val="es-ES"/>
              </w:rPr>
            </w:pPr>
            <w:r w:rsidRPr="00EF5857">
              <w:rPr>
                <w:rFonts w:ascii="Cambria" w:eastAsia="Cambria" w:hAnsi="Cambria" w:cs="Cambria"/>
                <w:b/>
                <w:color w:val="FFFFFF"/>
                <w:sz w:val="20"/>
                <w:szCs w:val="20"/>
                <w:lang w:val="es-ES"/>
              </w:rPr>
              <w:lastRenderedPageBreak/>
              <w:t>Derechos declarados admisibles</w:t>
            </w:r>
            <w:r w:rsidRPr="00EF5857">
              <w:rPr>
                <w:rFonts w:ascii="Cambria" w:eastAsia="Cambria" w:hAnsi="Cambria" w:cs="Cambria"/>
                <w:b/>
                <w:i/>
                <w:color w:val="FFFFFF"/>
                <w:sz w:val="20"/>
                <w:szCs w:val="20"/>
                <w:lang w:val="es-ES"/>
              </w:rPr>
              <w:t>:</w:t>
            </w:r>
          </w:p>
        </w:tc>
        <w:tc>
          <w:tcPr>
            <w:tcW w:w="5771" w:type="dxa"/>
            <w:vAlign w:val="center"/>
          </w:tcPr>
          <w:p w14:paraId="35CB57B9" w14:textId="781E4ADB" w:rsidR="00166878" w:rsidRPr="00EF5857" w:rsidRDefault="00350BF9">
            <w:pPr>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Artículos </w:t>
            </w:r>
            <w:r w:rsidR="000374CF" w:rsidRPr="00EF5857">
              <w:rPr>
                <w:rFonts w:ascii="Cambria" w:eastAsia="Cambria" w:hAnsi="Cambria" w:cs="Cambria"/>
                <w:sz w:val="20"/>
                <w:szCs w:val="20"/>
                <w:lang w:val="es-ES"/>
              </w:rPr>
              <w:t xml:space="preserve">5 (integridad personal), </w:t>
            </w:r>
            <w:r w:rsidRPr="00EF5857">
              <w:rPr>
                <w:rFonts w:ascii="Cambria" w:eastAsia="Cambria" w:hAnsi="Cambria" w:cs="Cambria"/>
                <w:sz w:val="20"/>
                <w:szCs w:val="20"/>
                <w:lang w:val="es-ES"/>
              </w:rPr>
              <w:t>7 (libertad personal), 8 (garantías judiciales)</w:t>
            </w:r>
            <w:r w:rsidR="00F27959" w:rsidRPr="00EF5857">
              <w:rPr>
                <w:rFonts w:ascii="Cambria" w:eastAsia="Cambria" w:hAnsi="Cambria" w:cs="Cambria"/>
                <w:sz w:val="20"/>
                <w:szCs w:val="20"/>
                <w:lang w:val="es-ES"/>
              </w:rPr>
              <w:t>,</w:t>
            </w:r>
            <w:r w:rsidRPr="00EF5857">
              <w:rPr>
                <w:rFonts w:ascii="Cambria" w:eastAsia="Cambria" w:hAnsi="Cambria" w:cs="Cambria"/>
                <w:sz w:val="20"/>
                <w:szCs w:val="20"/>
                <w:lang w:val="es-ES"/>
              </w:rPr>
              <w:t xml:space="preserve"> 11 (</w:t>
            </w:r>
            <w:r w:rsidR="00A85D8D" w:rsidRPr="00EF5857">
              <w:rPr>
                <w:rFonts w:ascii="Cambria" w:eastAsia="Cambria" w:hAnsi="Cambria" w:cs="Cambria"/>
                <w:sz w:val="20"/>
                <w:szCs w:val="20"/>
                <w:lang w:val="es-ES"/>
              </w:rPr>
              <w:t>protección de la honra</w:t>
            </w:r>
            <w:r w:rsidRPr="00EF5857">
              <w:rPr>
                <w:rFonts w:ascii="Cambria" w:eastAsia="Cambria" w:hAnsi="Cambria" w:cs="Cambria"/>
                <w:sz w:val="20"/>
                <w:szCs w:val="20"/>
                <w:lang w:val="es-ES"/>
              </w:rPr>
              <w:t xml:space="preserve"> y </w:t>
            </w:r>
            <w:r w:rsidR="00A85D8D" w:rsidRPr="00EF5857">
              <w:rPr>
                <w:rFonts w:ascii="Cambria" w:eastAsia="Cambria" w:hAnsi="Cambria" w:cs="Cambria"/>
                <w:sz w:val="20"/>
                <w:szCs w:val="20"/>
                <w:lang w:val="es-ES"/>
              </w:rPr>
              <w:t xml:space="preserve">de la </w:t>
            </w:r>
            <w:r w:rsidRPr="00EF5857">
              <w:rPr>
                <w:rFonts w:ascii="Cambria" w:eastAsia="Cambria" w:hAnsi="Cambria" w:cs="Cambria"/>
                <w:sz w:val="20"/>
                <w:szCs w:val="20"/>
                <w:lang w:val="es-ES"/>
              </w:rPr>
              <w:t xml:space="preserve">dignidad), 13 (libertad de pensamiento y expresión) y 25 (protección judicial) de la Convención Americana, </w:t>
            </w:r>
            <w:r w:rsidR="00A02A0D" w:rsidRPr="00EF5857">
              <w:rPr>
                <w:rFonts w:ascii="Cambria" w:eastAsia="Cambria" w:hAnsi="Cambria" w:cs="Cambria"/>
                <w:sz w:val="20"/>
                <w:szCs w:val="20"/>
                <w:lang w:val="es-ES"/>
              </w:rPr>
              <w:t xml:space="preserve">en </w:t>
            </w:r>
            <w:r w:rsidRPr="00EF5857">
              <w:rPr>
                <w:rFonts w:ascii="Cambria" w:eastAsia="Cambria" w:hAnsi="Cambria" w:cs="Cambria"/>
                <w:sz w:val="20"/>
                <w:szCs w:val="20"/>
                <w:lang w:val="es-ES"/>
              </w:rPr>
              <w:t>conexión con su artículo 1</w:t>
            </w:r>
            <w:r w:rsidR="00A02A0D" w:rsidRPr="00EF5857">
              <w:rPr>
                <w:rFonts w:ascii="Cambria" w:eastAsia="Cambria" w:hAnsi="Cambria" w:cs="Cambria"/>
                <w:sz w:val="20"/>
                <w:szCs w:val="20"/>
                <w:lang w:val="es-ES"/>
              </w:rPr>
              <w:t>.1</w:t>
            </w:r>
            <w:r w:rsidRPr="00EF5857">
              <w:rPr>
                <w:rFonts w:ascii="Cambria" w:eastAsia="Cambria" w:hAnsi="Cambria" w:cs="Cambria"/>
                <w:sz w:val="20"/>
                <w:szCs w:val="20"/>
                <w:lang w:val="es-ES"/>
              </w:rPr>
              <w:t xml:space="preserve"> (obligación de respetar los derechos) </w:t>
            </w:r>
          </w:p>
        </w:tc>
      </w:tr>
      <w:tr w:rsidR="00166878" w:rsidRPr="00FE3DE0" w14:paraId="73037B45" w14:textId="77777777">
        <w:trPr>
          <w:cantSplit/>
        </w:trPr>
        <w:tc>
          <w:tcPr>
            <w:tcW w:w="3566" w:type="dxa"/>
            <w:tcBorders>
              <w:top w:val="single" w:sz="6" w:space="0" w:color="000000"/>
              <w:bottom w:val="single" w:sz="6" w:space="0" w:color="000000"/>
            </w:tcBorders>
            <w:shd w:val="clear" w:color="auto" w:fill="386294"/>
            <w:vAlign w:val="center"/>
          </w:tcPr>
          <w:p w14:paraId="3F980109"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Agotamiento de recursos internos o procedencia de una excepción:</w:t>
            </w:r>
          </w:p>
        </w:tc>
        <w:tc>
          <w:tcPr>
            <w:tcW w:w="5771" w:type="dxa"/>
            <w:vAlign w:val="center"/>
          </w:tcPr>
          <w:p w14:paraId="456C9E58" w14:textId="77777777" w:rsidR="00166878" w:rsidRPr="00EF5857" w:rsidRDefault="00350BF9">
            <w:pPr>
              <w:rPr>
                <w:rFonts w:ascii="Cambria" w:eastAsia="Cambria" w:hAnsi="Cambria" w:cs="Cambria"/>
                <w:sz w:val="20"/>
                <w:szCs w:val="20"/>
                <w:lang w:val="es-ES"/>
              </w:rPr>
            </w:pPr>
            <w:r w:rsidRPr="00EF5857">
              <w:rPr>
                <w:rFonts w:ascii="Cambria" w:eastAsia="Cambria" w:hAnsi="Cambria" w:cs="Cambria"/>
                <w:sz w:val="20"/>
                <w:szCs w:val="20"/>
                <w:lang w:val="es-ES"/>
              </w:rPr>
              <w:t>Sí, en los términos de la Sección VI</w:t>
            </w:r>
          </w:p>
        </w:tc>
      </w:tr>
      <w:tr w:rsidR="00166878" w:rsidRPr="00FE3DE0" w14:paraId="18D3F18A" w14:textId="77777777">
        <w:trPr>
          <w:cantSplit/>
        </w:trPr>
        <w:tc>
          <w:tcPr>
            <w:tcW w:w="3566" w:type="dxa"/>
            <w:tcBorders>
              <w:top w:val="single" w:sz="6" w:space="0" w:color="000000"/>
              <w:bottom w:val="single" w:sz="6" w:space="0" w:color="000000"/>
            </w:tcBorders>
            <w:shd w:val="clear" w:color="auto" w:fill="386294"/>
            <w:vAlign w:val="center"/>
          </w:tcPr>
          <w:p w14:paraId="679CF615" w14:textId="77777777" w:rsidR="00166878" w:rsidRPr="00EF5857" w:rsidRDefault="00350BF9">
            <w:pPr>
              <w:jc w:val="center"/>
              <w:rPr>
                <w:rFonts w:ascii="Cambria" w:eastAsia="Cambria" w:hAnsi="Cambria" w:cs="Cambria"/>
                <w:b/>
                <w:color w:val="FFFFFF"/>
                <w:sz w:val="20"/>
                <w:szCs w:val="20"/>
                <w:lang w:val="es-ES"/>
              </w:rPr>
            </w:pPr>
            <w:r w:rsidRPr="00EF5857">
              <w:rPr>
                <w:rFonts w:ascii="Cambria" w:eastAsia="Cambria" w:hAnsi="Cambria" w:cs="Cambria"/>
                <w:b/>
                <w:color w:val="FFFFFF"/>
                <w:sz w:val="20"/>
                <w:szCs w:val="20"/>
                <w:lang w:val="es-ES"/>
              </w:rPr>
              <w:t>Presentación dentro de plazo:</w:t>
            </w:r>
          </w:p>
        </w:tc>
        <w:tc>
          <w:tcPr>
            <w:tcW w:w="5771" w:type="dxa"/>
            <w:vAlign w:val="center"/>
          </w:tcPr>
          <w:p w14:paraId="0B9972C0" w14:textId="77777777" w:rsidR="00166878" w:rsidRPr="00EF5857" w:rsidRDefault="00350BF9">
            <w:pPr>
              <w:rPr>
                <w:rFonts w:ascii="Cambria" w:eastAsia="Cambria" w:hAnsi="Cambria" w:cs="Cambria"/>
                <w:sz w:val="20"/>
                <w:szCs w:val="20"/>
                <w:lang w:val="es-ES"/>
              </w:rPr>
            </w:pPr>
            <w:r w:rsidRPr="00EF5857">
              <w:rPr>
                <w:rFonts w:ascii="Cambria" w:eastAsia="Cambria" w:hAnsi="Cambria" w:cs="Cambria"/>
                <w:sz w:val="20"/>
                <w:szCs w:val="20"/>
                <w:lang w:val="es-ES"/>
              </w:rPr>
              <w:t>Sí, en los términos de la Sección VI</w:t>
            </w:r>
          </w:p>
        </w:tc>
      </w:tr>
    </w:tbl>
    <w:p w14:paraId="15E6010B" w14:textId="77777777" w:rsidR="00166878" w:rsidRPr="00EF5857" w:rsidRDefault="00350BF9">
      <w:pPr>
        <w:spacing w:before="240" w:after="240"/>
        <w:ind w:firstLine="720"/>
        <w:jc w:val="both"/>
        <w:rPr>
          <w:rFonts w:ascii="Cambria" w:eastAsia="Cambria" w:hAnsi="Cambria" w:cs="Cambria"/>
          <w:b/>
          <w:sz w:val="20"/>
          <w:szCs w:val="20"/>
          <w:lang w:val="es-ES"/>
        </w:rPr>
      </w:pPr>
      <w:r w:rsidRPr="00EF5857">
        <w:rPr>
          <w:rFonts w:ascii="Cambria" w:eastAsia="Cambria" w:hAnsi="Cambria" w:cs="Cambria"/>
          <w:b/>
          <w:sz w:val="20"/>
          <w:szCs w:val="20"/>
          <w:lang w:val="es-ES"/>
        </w:rPr>
        <w:t xml:space="preserve">V. </w:t>
      </w:r>
      <w:r w:rsidRPr="00EF5857">
        <w:rPr>
          <w:lang w:val="es-ES"/>
        </w:rPr>
        <w:tab/>
      </w:r>
      <w:r w:rsidRPr="00EF5857">
        <w:rPr>
          <w:rFonts w:ascii="Cambria" w:eastAsia="Cambria" w:hAnsi="Cambria" w:cs="Cambria"/>
          <w:b/>
          <w:sz w:val="20"/>
          <w:szCs w:val="20"/>
          <w:lang w:val="es-ES"/>
        </w:rPr>
        <w:t>POSICIÓN DE LAS PARTES</w:t>
      </w:r>
    </w:p>
    <w:p w14:paraId="33C2C888" w14:textId="67318DD3" w:rsidR="00166878" w:rsidRPr="00EF5857" w:rsidRDefault="00C1000C">
      <w:pPr>
        <w:spacing w:before="240" w:after="240"/>
        <w:ind w:firstLine="720"/>
        <w:jc w:val="both"/>
        <w:rPr>
          <w:rFonts w:ascii="Cambria" w:eastAsia="Cambria" w:hAnsi="Cambria" w:cs="Cambria"/>
          <w:iCs/>
          <w:sz w:val="20"/>
          <w:szCs w:val="20"/>
          <w:lang w:val="es-ES"/>
        </w:rPr>
      </w:pPr>
      <w:r w:rsidRPr="00EF5857">
        <w:rPr>
          <w:rFonts w:ascii="Cambria" w:eastAsia="Cambria" w:hAnsi="Cambria" w:cs="Cambria"/>
          <w:b/>
          <w:iCs/>
          <w:sz w:val="20"/>
          <w:szCs w:val="20"/>
          <w:lang w:val="es-ES"/>
        </w:rPr>
        <w:t>La parte peticionaria</w:t>
      </w:r>
    </w:p>
    <w:p w14:paraId="5293D276" w14:textId="1358609E" w:rsidR="00166878" w:rsidRPr="00EF5857"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El señor </w:t>
      </w:r>
      <w:r w:rsidR="00C6717D" w:rsidRPr="00EF5857">
        <w:rPr>
          <w:rFonts w:ascii="Cambria" w:eastAsia="Cambria" w:hAnsi="Cambria" w:cs="Cambria"/>
          <w:sz w:val="20"/>
          <w:szCs w:val="20"/>
          <w:lang w:val="es-ES"/>
        </w:rPr>
        <w:t xml:space="preserve">Filemón </w:t>
      </w:r>
      <w:r w:rsidRPr="00EF5857">
        <w:rPr>
          <w:rFonts w:ascii="Cambria" w:eastAsia="Cambria" w:hAnsi="Cambria" w:cs="Cambria"/>
          <w:sz w:val="20"/>
          <w:szCs w:val="20"/>
          <w:lang w:val="es-ES"/>
        </w:rPr>
        <w:t>Medina Ramos</w:t>
      </w:r>
      <w:r w:rsidR="003261A9" w:rsidRPr="00EF5857">
        <w:rPr>
          <w:rFonts w:ascii="Cambria" w:eastAsia="Cambria" w:hAnsi="Cambria" w:cs="Cambria"/>
          <w:sz w:val="20"/>
          <w:szCs w:val="20"/>
          <w:lang w:val="es-ES"/>
        </w:rPr>
        <w:t xml:space="preserve"> (en adelante también “el Sr. Medina”</w:t>
      </w:r>
      <w:r w:rsidRPr="00EF5857">
        <w:rPr>
          <w:rFonts w:ascii="Cambria" w:eastAsia="Cambria" w:hAnsi="Cambria" w:cs="Cambria"/>
          <w:sz w:val="20"/>
          <w:szCs w:val="20"/>
          <w:lang w:val="es-ES"/>
        </w:rPr>
        <w:t>,</w:t>
      </w:r>
      <w:r w:rsidR="003261A9" w:rsidRPr="00EF5857">
        <w:rPr>
          <w:rFonts w:ascii="Cambria" w:eastAsia="Cambria" w:hAnsi="Cambria" w:cs="Cambria"/>
          <w:sz w:val="20"/>
          <w:szCs w:val="20"/>
          <w:lang w:val="es-ES"/>
        </w:rPr>
        <w:t xml:space="preserve"> “el peticionario” </w:t>
      </w:r>
      <w:r w:rsidR="005B5F1E" w:rsidRPr="00EF5857">
        <w:rPr>
          <w:rFonts w:ascii="Cambria" w:eastAsia="Cambria" w:hAnsi="Cambria" w:cs="Cambria"/>
          <w:sz w:val="20"/>
          <w:szCs w:val="20"/>
          <w:lang w:val="es-ES"/>
        </w:rPr>
        <w:t>o</w:t>
      </w:r>
      <w:r w:rsidR="003261A9" w:rsidRPr="00EF5857">
        <w:rPr>
          <w:rFonts w:ascii="Cambria" w:eastAsia="Cambria" w:hAnsi="Cambria" w:cs="Cambria"/>
          <w:sz w:val="20"/>
          <w:szCs w:val="20"/>
          <w:lang w:val="es-ES"/>
        </w:rPr>
        <w:t xml:space="preserve"> “</w:t>
      </w:r>
      <w:r w:rsidR="005B5F1E" w:rsidRPr="00EF5857">
        <w:rPr>
          <w:rFonts w:ascii="Cambria" w:eastAsia="Cambria" w:hAnsi="Cambria" w:cs="Cambria"/>
          <w:sz w:val="20"/>
          <w:szCs w:val="20"/>
          <w:lang w:val="es-ES"/>
        </w:rPr>
        <w:t>la presunta víctima</w:t>
      </w:r>
      <w:r w:rsidR="003261A9" w:rsidRPr="00EF5857">
        <w:rPr>
          <w:rFonts w:ascii="Cambria" w:eastAsia="Cambria" w:hAnsi="Cambria" w:cs="Cambria"/>
          <w:sz w:val="20"/>
          <w:szCs w:val="20"/>
          <w:lang w:val="es-ES"/>
        </w:rPr>
        <w:t>”</w:t>
      </w:r>
      <w:r w:rsidRPr="00EF5857">
        <w:rPr>
          <w:rFonts w:ascii="Cambria" w:eastAsia="Cambria" w:hAnsi="Cambria" w:cs="Cambria"/>
          <w:sz w:val="20"/>
          <w:szCs w:val="20"/>
          <w:lang w:val="es-ES"/>
        </w:rPr>
        <w:t xml:space="preserve"> </w:t>
      </w:r>
      <w:r w:rsidR="005B5F1E" w:rsidRPr="00EF5857">
        <w:rPr>
          <w:rFonts w:ascii="Cambria" w:eastAsia="Cambria" w:hAnsi="Cambria" w:cs="Cambria"/>
          <w:sz w:val="20"/>
          <w:szCs w:val="20"/>
          <w:lang w:val="es-ES"/>
        </w:rPr>
        <w:t>alega</w:t>
      </w:r>
      <w:r w:rsidRPr="00EF5857">
        <w:rPr>
          <w:rFonts w:ascii="Cambria" w:eastAsia="Cambria" w:hAnsi="Cambria" w:cs="Cambria"/>
          <w:sz w:val="20"/>
          <w:szCs w:val="20"/>
          <w:lang w:val="es-ES"/>
        </w:rPr>
        <w:t xml:space="preserve"> que </w:t>
      </w:r>
      <w:r w:rsidR="005D4828" w:rsidRPr="00EF5857">
        <w:rPr>
          <w:rFonts w:ascii="Cambria" w:eastAsia="Cambria" w:hAnsi="Cambria" w:cs="Cambria"/>
          <w:sz w:val="20"/>
          <w:szCs w:val="20"/>
          <w:lang w:val="es-ES"/>
        </w:rPr>
        <w:t>Panamá</w:t>
      </w:r>
      <w:r w:rsidRPr="00EF5857">
        <w:rPr>
          <w:rFonts w:ascii="Cambria" w:eastAsia="Cambria" w:hAnsi="Cambria" w:cs="Cambria"/>
          <w:sz w:val="20"/>
          <w:szCs w:val="20"/>
          <w:lang w:val="es-ES"/>
        </w:rPr>
        <w:t xml:space="preserve"> es responsable por las agresiones sufridas a manos del entonces jefe del Consejo de Seguridad del Estado. Según el peticionario, </w:t>
      </w:r>
      <w:r w:rsidR="00990ECD" w:rsidRPr="00EF5857">
        <w:rPr>
          <w:rFonts w:ascii="Cambria" w:eastAsia="Cambria" w:hAnsi="Cambria" w:cs="Cambria"/>
          <w:sz w:val="20"/>
          <w:szCs w:val="20"/>
          <w:lang w:val="es-ES"/>
        </w:rPr>
        <w:t xml:space="preserve">este </w:t>
      </w:r>
      <w:r w:rsidR="00B4231F" w:rsidRPr="00EF5857">
        <w:rPr>
          <w:rFonts w:ascii="Cambria" w:eastAsia="Cambria" w:hAnsi="Cambria" w:cs="Cambria"/>
          <w:sz w:val="20"/>
          <w:szCs w:val="20"/>
          <w:lang w:val="es-ES"/>
        </w:rPr>
        <w:t>funcionario</w:t>
      </w:r>
      <w:r w:rsidRPr="00EF5857">
        <w:rPr>
          <w:rFonts w:ascii="Cambria" w:eastAsia="Cambria" w:hAnsi="Cambria" w:cs="Cambria"/>
          <w:sz w:val="20"/>
          <w:szCs w:val="20"/>
          <w:lang w:val="es-ES"/>
        </w:rPr>
        <w:t xml:space="preserve"> lo retuvo y golpeó en</w:t>
      </w:r>
      <w:r w:rsidR="00B4231F" w:rsidRPr="00EF5857">
        <w:rPr>
          <w:rFonts w:ascii="Cambria" w:eastAsia="Cambria" w:hAnsi="Cambria" w:cs="Cambria"/>
          <w:sz w:val="20"/>
          <w:szCs w:val="20"/>
          <w:lang w:val="es-ES"/>
        </w:rPr>
        <w:t xml:space="preserve"> la base de</w:t>
      </w:r>
      <w:r w:rsidRPr="00EF5857">
        <w:rPr>
          <w:rFonts w:ascii="Cambria" w:eastAsia="Cambria" w:hAnsi="Cambria" w:cs="Cambria"/>
          <w:sz w:val="20"/>
          <w:szCs w:val="20"/>
          <w:lang w:val="es-ES"/>
        </w:rPr>
        <w:t xml:space="preserve"> </w:t>
      </w:r>
      <w:r w:rsidRPr="00EF5857">
        <w:rPr>
          <w:rFonts w:ascii="Cambria" w:eastAsia="Cambria" w:hAnsi="Cambria" w:cs="Cambria"/>
          <w:i/>
          <w:iCs/>
          <w:sz w:val="20"/>
          <w:szCs w:val="20"/>
          <w:lang w:val="es-ES"/>
        </w:rPr>
        <w:t>Quarry Heights</w:t>
      </w:r>
      <w:r w:rsidRPr="00EF5857">
        <w:rPr>
          <w:rFonts w:ascii="Cambria" w:eastAsia="Cambria" w:hAnsi="Cambria" w:cs="Cambria"/>
          <w:sz w:val="20"/>
          <w:szCs w:val="20"/>
          <w:vertAlign w:val="superscript"/>
          <w:lang w:val="es-ES"/>
        </w:rPr>
        <w:footnoteReference w:id="5"/>
      </w:r>
      <w:r w:rsidRPr="00EF5857">
        <w:rPr>
          <w:rFonts w:ascii="Cambria" w:eastAsia="Cambria" w:hAnsi="Cambria" w:cs="Cambria"/>
          <w:sz w:val="20"/>
          <w:szCs w:val="20"/>
          <w:lang w:val="es-ES"/>
        </w:rPr>
        <w:t xml:space="preserve">, en </w:t>
      </w:r>
      <w:r w:rsidR="003065AB" w:rsidRPr="00EF5857">
        <w:rPr>
          <w:rFonts w:ascii="Cambria" w:eastAsia="Cambria" w:hAnsi="Cambria" w:cs="Cambria"/>
          <w:sz w:val="20"/>
          <w:szCs w:val="20"/>
          <w:lang w:val="es-ES"/>
        </w:rPr>
        <w:t>la c</w:t>
      </w:r>
      <w:r w:rsidRPr="00EF5857">
        <w:rPr>
          <w:rFonts w:ascii="Cambria" w:eastAsia="Cambria" w:hAnsi="Cambria" w:cs="Cambria"/>
          <w:sz w:val="20"/>
          <w:szCs w:val="20"/>
          <w:lang w:val="es-ES"/>
        </w:rPr>
        <w:t>iudad de Panamá</w:t>
      </w:r>
      <w:r w:rsidR="003065AB" w:rsidRPr="00EF5857">
        <w:rPr>
          <w:rFonts w:ascii="Cambria" w:eastAsia="Cambria" w:hAnsi="Cambria" w:cs="Cambria"/>
          <w:sz w:val="20"/>
          <w:szCs w:val="20"/>
          <w:lang w:val="es-ES"/>
        </w:rPr>
        <w:t>;</w:t>
      </w:r>
      <w:r w:rsidRPr="00EF5857">
        <w:rPr>
          <w:rFonts w:ascii="Cambria" w:eastAsia="Cambria" w:hAnsi="Cambria" w:cs="Cambria"/>
          <w:sz w:val="20"/>
          <w:szCs w:val="20"/>
          <w:lang w:val="es-ES"/>
        </w:rPr>
        <w:t xml:space="preserve"> y destruyó información almacenada en su teléfono celular, en el cual </w:t>
      </w:r>
      <w:r w:rsidR="00EF5857" w:rsidRPr="00EF5857">
        <w:rPr>
          <w:rFonts w:ascii="Cambria" w:eastAsia="Cambria" w:hAnsi="Cambria" w:cs="Cambria"/>
          <w:sz w:val="20"/>
          <w:szCs w:val="20"/>
          <w:lang w:val="es-ES"/>
        </w:rPr>
        <w:t>allegadamente</w:t>
      </w:r>
      <w:r w:rsidR="0046582E" w:rsidRPr="00EF5857">
        <w:rPr>
          <w:rFonts w:ascii="Cambria" w:eastAsia="Cambria" w:hAnsi="Cambria" w:cs="Cambria"/>
          <w:sz w:val="20"/>
          <w:szCs w:val="20"/>
          <w:lang w:val="es-ES"/>
        </w:rPr>
        <w:t xml:space="preserve"> </w:t>
      </w:r>
      <w:r w:rsidRPr="00EF5857">
        <w:rPr>
          <w:rFonts w:ascii="Cambria" w:eastAsia="Cambria" w:hAnsi="Cambria" w:cs="Cambria"/>
          <w:sz w:val="20"/>
          <w:szCs w:val="20"/>
          <w:lang w:val="es-ES"/>
        </w:rPr>
        <w:t xml:space="preserve">documentaba actos de abuso cometidos por las autoridades. Asimismo, alega una falta de debida diligencia en la investigación de estos </w:t>
      </w:r>
      <w:r w:rsidR="0046582E" w:rsidRPr="00EF5857">
        <w:rPr>
          <w:rFonts w:ascii="Cambria" w:eastAsia="Cambria" w:hAnsi="Cambria" w:cs="Cambria"/>
          <w:sz w:val="20"/>
          <w:szCs w:val="20"/>
          <w:lang w:val="es-ES"/>
        </w:rPr>
        <w:t>hechos</w:t>
      </w:r>
      <w:r w:rsidRPr="00EF5857">
        <w:rPr>
          <w:rFonts w:ascii="Cambria" w:eastAsia="Cambria" w:hAnsi="Cambria" w:cs="Cambria"/>
          <w:sz w:val="20"/>
          <w:szCs w:val="20"/>
          <w:lang w:val="es-ES"/>
        </w:rPr>
        <w:t xml:space="preserve"> por parte del Ministerio Público.</w:t>
      </w:r>
    </w:p>
    <w:p w14:paraId="2D821A07" w14:textId="65B90B97" w:rsidR="0087249E" w:rsidRPr="00EF5857" w:rsidRDefault="00C05AEE" w:rsidP="008724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El Sr. Media n</w:t>
      </w:r>
      <w:r w:rsidR="00350BF9" w:rsidRPr="00EF5857">
        <w:rPr>
          <w:rFonts w:ascii="Cambria" w:eastAsia="Cambria" w:hAnsi="Cambria" w:cs="Cambria"/>
          <w:sz w:val="20"/>
          <w:szCs w:val="20"/>
          <w:lang w:val="es-ES"/>
        </w:rPr>
        <w:t xml:space="preserve">arra que el 11 de junio de 2013, cuando ejercía como </w:t>
      </w:r>
      <w:r w:rsidR="00D2194B" w:rsidRPr="00EF5857">
        <w:rPr>
          <w:rFonts w:ascii="Cambria" w:eastAsia="Cambria" w:hAnsi="Cambria" w:cs="Cambria"/>
          <w:sz w:val="20"/>
          <w:szCs w:val="20"/>
          <w:lang w:val="es-ES"/>
        </w:rPr>
        <w:t>secretario general</w:t>
      </w:r>
      <w:r w:rsidR="00350BF9" w:rsidRPr="00EF5857">
        <w:rPr>
          <w:rFonts w:ascii="Cambria" w:eastAsia="Cambria" w:hAnsi="Cambria" w:cs="Cambria"/>
          <w:sz w:val="20"/>
          <w:szCs w:val="20"/>
          <w:lang w:val="es-ES"/>
        </w:rPr>
        <w:t xml:space="preserve"> del Sindicato de Periodistas de Panamá, acudió a </w:t>
      </w:r>
      <w:r w:rsidR="00350BF9" w:rsidRPr="00EF5857">
        <w:rPr>
          <w:rFonts w:ascii="Cambria" w:eastAsia="Cambria" w:hAnsi="Cambria" w:cs="Cambria"/>
          <w:i/>
          <w:iCs/>
          <w:sz w:val="20"/>
          <w:szCs w:val="20"/>
          <w:lang w:val="es-ES"/>
        </w:rPr>
        <w:t xml:space="preserve">Quarry </w:t>
      </w:r>
      <w:r w:rsidR="00350BF9" w:rsidRPr="005B49F5">
        <w:rPr>
          <w:rFonts w:ascii="Cambria" w:eastAsia="Cambria" w:hAnsi="Cambria" w:cs="Cambria"/>
          <w:i/>
          <w:iCs/>
          <w:sz w:val="20"/>
          <w:szCs w:val="20"/>
          <w:lang w:val="es-ES"/>
        </w:rPr>
        <w:t>Heights</w:t>
      </w:r>
      <w:r w:rsidR="00350BF9" w:rsidRPr="00EF5857">
        <w:rPr>
          <w:rFonts w:ascii="Cambria" w:eastAsia="Cambria" w:hAnsi="Cambria" w:cs="Cambria"/>
          <w:sz w:val="20"/>
          <w:szCs w:val="20"/>
          <w:lang w:val="es-ES"/>
        </w:rPr>
        <w:t xml:space="preserve"> </w:t>
      </w:r>
      <w:r w:rsidR="00D2194B" w:rsidRPr="00EF5857">
        <w:rPr>
          <w:rFonts w:ascii="Cambria" w:eastAsia="Cambria" w:hAnsi="Cambria" w:cs="Cambria"/>
          <w:sz w:val="20"/>
          <w:szCs w:val="20"/>
          <w:lang w:val="es-ES"/>
        </w:rPr>
        <w:t>para</w:t>
      </w:r>
      <w:r w:rsidR="00350BF9" w:rsidRPr="00EF5857">
        <w:rPr>
          <w:rFonts w:ascii="Cambria" w:eastAsia="Cambria" w:hAnsi="Cambria" w:cs="Cambria"/>
          <w:sz w:val="20"/>
          <w:szCs w:val="20"/>
          <w:lang w:val="es-ES"/>
        </w:rPr>
        <w:t xml:space="preserve"> asistir a una periodista y un camarógrafo que, según información de redes sociales, habían sido retenidos bajo amenazas por agentes del servicio de seguridad del Estado. El señor Medina indica que al llegar al lugar un agente le informó que los periodistas habrían cometido un delito por filmar en un área restringida de máxima seguridad y que se negaron a entregar la memoria de la cámara de video cuando fue solicitada por los agentes</w:t>
      </w:r>
      <w:r w:rsidR="00D2194B" w:rsidRPr="00EF5857">
        <w:rPr>
          <w:rFonts w:ascii="Cambria" w:eastAsia="Cambria" w:hAnsi="Cambria" w:cs="Cambria"/>
          <w:sz w:val="20"/>
          <w:szCs w:val="20"/>
          <w:lang w:val="es-ES"/>
        </w:rPr>
        <w:t>, lo cual podría conllevar una pena de hasta cuatro años de prisión</w:t>
      </w:r>
      <w:r w:rsidR="00350BF9" w:rsidRPr="00EF5857">
        <w:rPr>
          <w:rFonts w:ascii="Cambria" w:eastAsia="Cambria" w:hAnsi="Cambria" w:cs="Cambria"/>
          <w:sz w:val="20"/>
          <w:szCs w:val="20"/>
          <w:lang w:val="es-ES"/>
        </w:rPr>
        <w:t>.</w:t>
      </w:r>
    </w:p>
    <w:p w14:paraId="15BFFD90" w14:textId="7A3D49F0" w:rsidR="0087249E" w:rsidRPr="00EF5857" w:rsidRDefault="00EC09B1" w:rsidP="0087249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M</w:t>
      </w:r>
      <w:r w:rsidR="0087249E" w:rsidRPr="00EF5857">
        <w:rPr>
          <w:rFonts w:ascii="Cambria" w:eastAsia="Cambria" w:hAnsi="Cambria" w:cs="Cambria"/>
          <w:sz w:val="20"/>
          <w:szCs w:val="20"/>
          <w:lang w:val="es-ES"/>
        </w:rPr>
        <w:t>inutos después, el entonces jefe del Consejo de Seguridad Nacional (CSN) llegó al lugar y declaró que la única solución era que los periodistas entregaran su equipo para revisión; de encontrarse algo prohibido, se eliminaría y no se presentarían cargos. Ante esto, la presunta víctima afirma que usó su celular para grabar y documentar las actuaciones de los agentes. Sin embargo, al percatarse el jefe del CSN de que estaba siendo grabado, sujetó a la presunta víctima por la solapa de su abrigo y lo golpeó varias veces contra un automóvil, a pesar de que no ofrecía resistencia. Posteriormente, tres agentes habrían continuado con la agresión, quitándole el celular y borrando la grabación realizada, mientras otro lo apuntaba con un arma. La presunta víctima también expresó su preocupación de que su celular pudiera haber sido clonado o intervenido, y denuncia que las autoridades impidieron el ingreso de su abogado y de otros periodistas al lugar.</w:t>
      </w:r>
    </w:p>
    <w:p w14:paraId="405BCFF0" w14:textId="77777777" w:rsidR="004C4165" w:rsidRPr="00EF5857" w:rsidRDefault="00E976AF" w:rsidP="004C4165">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La presunta víctima refiera que</w:t>
      </w:r>
      <w:r w:rsidR="0087249E" w:rsidRPr="00EF5857">
        <w:rPr>
          <w:rFonts w:ascii="Cambria" w:eastAsia="Cambria" w:hAnsi="Cambria" w:cs="Cambria"/>
          <w:sz w:val="20"/>
          <w:szCs w:val="20"/>
          <w:lang w:val="es-ES"/>
        </w:rPr>
        <w:t xml:space="preserve"> </w:t>
      </w:r>
      <w:r w:rsidRPr="00EF5857">
        <w:rPr>
          <w:rFonts w:ascii="Cambria" w:eastAsia="Cambria" w:hAnsi="Cambria" w:cs="Cambria"/>
          <w:sz w:val="20"/>
          <w:szCs w:val="20"/>
          <w:lang w:val="es-ES"/>
        </w:rPr>
        <w:t>luego de</w:t>
      </w:r>
      <w:r w:rsidR="0087249E" w:rsidRPr="00EF5857">
        <w:rPr>
          <w:rFonts w:ascii="Cambria" w:eastAsia="Cambria" w:hAnsi="Cambria" w:cs="Cambria"/>
          <w:sz w:val="20"/>
          <w:szCs w:val="20"/>
          <w:lang w:val="es-ES"/>
        </w:rPr>
        <w:t xml:space="preserve"> los hechos, experimentó un fuerte dolor en el brazo izquierdo</w:t>
      </w:r>
      <w:r w:rsidR="001F3BF6" w:rsidRPr="00EF5857">
        <w:rPr>
          <w:rFonts w:ascii="Cambria" w:eastAsia="Cambria" w:hAnsi="Cambria" w:cs="Cambria"/>
          <w:sz w:val="20"/>
          <w:szCs w:val="20"/>
          <w:lang w:val="es-ES"/>
        </w:rPr>
        <w:t>,</w:t>
      </w:r>
      <w:r w:rsidR="0087249E" w:rsidRPr="00EF5857">
        <w:rPr>
          <w:rFonts w:ascii="Cambria" w:eastAsia="Cambria" w:hAnsi="Cambria" w:cs="Cambria"/>
          <w:sz w:val="20"/>
          <w:szCs w:val="20"/>
          <w:lang w:val="es-ES"/>
        </w:rPr>
        <w:t xml:space="preserve"> </w:t>
      </w:r>
      <w:r w:rsidR="001F3BF6" w:rsidRPr="00EF5857">
        <w:rPr>
          <w:rFonts w:ascii="Cambria" w:eastAsia="Cambria" w:hAnsi="Cambria" w:cs="Cambria"/>
          <w:sz w:val="20"/>
          <w:szCs w:val="20"/>
          <w:lang w:val="es-ES"/>
        </w:rPr>
        <w:t>por lo</w:t>
      </w:r>
      <w:r w:rsidR="0087249E" w:rsidRPr="00EF5857">
        <w:rPr>
          <w:rFonts w:ascii="Cambria" w:eastAsia="Cambria" w:hAnsi="Cambria" w:cs="Cambria"/>
          <w:sz w:val="20"/>
          <w:szCs w:val="20"/>
          <w:lang w:val="es-ES"/>
        </w:rPr>
        <w:t xml:space="preserve"> que el 14 de junio de 2013 fue remitido al Instituto de Medicina Legal, donde se le otorgó una incapacidad de </w:t>
      </w:r>
      <w:r w:rsidR="001F3BF6" w:rsidRPr="00EF5857">
        <w:rPr>
          <w:rFonts w:ascii="Cambria" w:eastAsia="Cambria" w:hAnsi="Cambria" w:cs="Cambria"/>
          <w:sz w:val="20"/>
          <w:szCs w:val="20"/>
          <w:lang w:val="es-ES"/>
        </w:rPr>
        <w:t>veintiún</w:t>
      </w:r>
      <w:r w:rsidR="0087249E" w:rsidRPr="00EF5857">
        <w:rPr>
          <w:rFonts w:ascii="Cambria" w:eastAsia="Cambria" w:hAnsi="Cambria" w:cs="Cambria"/>
          <w:sz w:val="20"/>
          <w:szCs w:val="20"/>
          <w:lang w:val="es-ES"/>
        </w:rPr>
        <w:t xml:space="preserve"> días. Sin embargo, el 2 de septiembre de 2013 </w:t>
      </w:r>
      <w:r w:rsidR="001F3BF6" w:rsidRPr="00EF5857">
        <w:rPr>
          <w:rFonts w:ascii="Cambria" w:eastAsia="Cambria" w:hAnsi="Cambria" w:cs="Cambria"/>
          <w:sz w:val="20"/>
          <w:szCs w:val="20"/>
          <w:lang w:val="es-ES"/>
        </w:rPr>
        <w:t>se le certificó</w:t>
      </w:r>
      <w:r w:rsidR="0087249E" w:rsidRPr="00EF5857">
        <w:rPr>
          <w:rFonts w:ascii="Cambria" w:eastAsia="Cambria" w:hAnsi="Cambria" w:cs="Cambria"/>
          <w:sz w:val="20"/>
          <w:szCs w:val="20"/>
          <w:lang w:val="es-ES"/>
        </w:rPr>
        <w:t xml:space="preserve"> una incapacidad definitiva de 90 días debido a una pérdida de fuerza en los músculos del brazo.</w:t>
      </w:r>
    </w:p>
    <w:p w14:paraId="52AF5B81" w14:textId="5F0F8B0F" w:rsidR="0087249E" w:rsidRPr="00EF5857" w:rsidRDefault="0087249E" w:rsidP="00B73365">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Por lo expuesto, </w:t>
      </w:r>
      <w:r w:rsidR="00C7366A" w:rsidRPr="00EF5857">
        <w:rPr>
          <w:rFonts w:ascii="Cambria" w:eastAsia="Cambria" w:hAnsi="Cambria" w:cs="Cambria"/>
          <w:sz w:val="20"/>
          <w:szCs w:val="20"/>
          <w:lang w:val="es-ES"/>
        </w:rPr>
        <w:t>el</w:t>
      </w:r>
      <w:r w:rsidRPr="00EF5857">
        <w:rPr>
          <w:rFonts w:ascii="Cambria" w:eastAsia="Cambria" w:hAnsi="Cambria" w:cs="Cambria"/>
          <w:sz w:val="20"/>
          <w:szCs w:val="20"/>
          <w:lang w:val="es-ES"/>
        </w:rPr>
        <w:t xml:space="preserve"> 20 de junio de 2013</w:t>
      </w:r>
      <w:r w:rsidR="00C7366A" w:rsidRPr="00EF5857">
        <w:rPr>
          <w:rFonts w:ascii="Cambria" w:eastAsia="Cambria" w:hAnsi="Cambria" w:cs="Cambria"/>
          <w:sz w:val="20"/>
          <w:szCs w:val="20"/>
          <w:lang w:val="es-ES"/>
        </w:rPr>
        <w:t>el Sr. Medina</w:t>
      </w:r>
      <w:r w:rsidRPr="00EF5857">
        <w:rPr>
          <w:rFonts w:ascii="Cambria" w:eastAsia="Cambria" w:hAnsi="Cambria" w:cs="Cambria"/>
          <w:sz w:val="20"/>
          <w:szCs w:val="20"/>
          <w:lang w:val="es-ES"/>
        </w:rPr>
        <w:t xml:space="preserve"> presentó una querella formal ante el Ministerio Público contra el entonces jefe del CSN</w:t>
      </w:r>
      <w:r w:rsidR="00C7366A" w:rsidRPr="00EF5857">
        <w:rPr>
          <w:rFonts w:ascii="Cambria" w:eastAsia="Cambria" w:hAnsi="Cambria" w:cs="Cambria"/>
          <w:sz w:val="20"/>
          <w:szCs w:val="20"/>
          <w:lang w:val="es-ES"/>
        </w:rPr>
        <w:t>,</w:t>
      </w:r>
      <w:r w:rsidRPr="00EF5857">
        <w:rPr>
          <w:rFonts w:ascii="Cambria" w:eastAsia="Cambria" w:hAnsi="Cambria" w:cs="Cambria"/>
          <w:sz w:val="20"/>
          <w:szCs w:val="20"/>
          <w:lang w:val="es-ES"/>
        </w:rPr>
        <w:t xml:space="preserve"> por la comisión de los delitos contra la libertad individual</w:t>
      </w:r>
      <w:r w:rsidR="00B84174" w:rsidRPr="00EF5857">
        <w:rPr>
          <w:rFonts w:ascii="Cambria" w:eastAsia="Cambria" w:hAnsi="Cambria" w:cs="Cambria"/>
          <w:sz w:val="20"/>
          <w:szCs w:val="20"/>
          <w:lang w:val="es-ES"/>
        </w:rPr>
        <w:t>;</w:t>
      </w:r>
      <w:r w:rsidRPr="00EF5857">
        <w:rPr>
          <w:rFonts w:ascii="Cambria" w:eastAsia="Cambria" w:hAnsi="Cambria" w:cs="Cambria"/>
          <w:sz w:val="20"/>
          <w:szCs w:val="20"/>
          <w:lang w:val="es-ES"/>
        </w:rPr>
        <w:t xml:space="preserve"> contra la administración pública (en la modalidad de abuso de autoridad)</w:t>
      </w:r>
      <w:r w:rsidR="00B84174" w:rsidRPr="00EF5857">
        <w:rPr>
          <w:rFonts w:ascii="Cambria" w:eastAsia="Cambria" w:hAnsi="Cambria" w:cs="Cambria"/>
          <w:sz w:val="20"/>
          <w:szCs w:val="20"/>
          <w:lang w:val="es-ES"/>
        </w:rPr>
        <w:t>; y</w:t>
      </w:r>
      <w:r w:rsidRPr="00EF5857">
        <w:rPr>
          <w:rFonts w:ascii="Cambria" w:eastAsia="Cambria" w:hAnsi="Cambria" w:cs="Cambria"/>
          <w:sz w:val="20"/>
          <w:szCs w:val="20"/>
          <w:lang w:val="es-ES"/>
        </w:rPr>
        <w:t xml:space="preserve"> contra la inviolabilidad del secreto de las comunicaciones y el derecho a la intimidad. No obstante, el 21 de agosto de 2013 la Fiscalía Tercera Anticorrupción dispuso no admitir su querella por la presunta comisión del delito de abuso de autoridad. </w:t>
      </w:r>
      <w:r w:rsidRPr="00EF5857">
        <w:rPr>
          <w:rFonts w:ascii="Cambria" w:eastAsia="Cambria" w:hAnsi="Cambria" w:cs="Cambria"/>
          <w:sz w:val="20"/>
          <w:szCs w:val="20"/>
          <w:lang w:val="es-ES"/>
        </w:rPr>
        <w:lastRenderedPageBreak/>
        <w:t>Asimismo, manifiesta que presentó una petición especial de detención preventiva e impedimento de salida del país</w:t>
      </w:r>
      <w:r w:rsidR="00B73365" w:rsidRPr="00EF5857">
        <w:rPr>
          <w:rFonts w:ascii="Cambria" w:eastAsia="Cambria" w:hAnsi="Cambria" w:cs="Cambria"/>
          <w:sz w:val="20"/>
          <w:szCs w:val="20"/>
          <w:lang w:val="es-ES"/>
        </w:rPr>
        <w:t xml:space="preserve"> con el citado funcionario</w:t>
      </w:r>
      <w:r w:rsidRPr="00EF5857">
        <w:rPr>
          <w:rFonts w:ascii="Cambria" w:eastAsia="Cambria" w:hAnsi="Cambria" w:cs="Cambria"/>
          <w:sz w:val="20"/>
          <w:szCs w:val="20"/>
          <w:lang w:val="es-ES"/>
        </w:rPr>
        <w:t>, pero el 11 de noviembre de 2014 el Ministerio Público la desestimó.</w:t>
      </w:r>
    </w:p>
    <w:p w14:paraId="4BFAF3CC" w14:textId="274CB12A" w:rsidR="00166878" w:rsidRPr="00EF5857" w:rsidRDefault="00821C7A" w:rsidP="00F129E9">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ES"/>
        </w:rPr>
      </w:pPr>
      <w:r w:rsidRPr="00EF5857">
        <w:rPr>
          <w:rFonts w:ascii="Cambria" w:eastAsia="Cambria" w:hAnsi="Cambria" w:cs="Cambria"/>
          <w:sz w:val="20"/>
          <w:szCs w:val="20"/>
          <w:lang w:val="es-ES"/>
        </w:rPr>
        <w:t>Posteriormente, continúa el peticionario, e</w:t>
      </w:r>
      <w:r w:rsidR="00350BF9" w:rsidRPr="00EF5857">
        <w:rPr>
          <w:rFonts w:ascii="Cambria" w:eastAsia="Cambria" w:hAnsi="Cambria" w:cs="Cambria"/>
          <w:sz w:val="20"/>
          <w:szCs w:val="20"/>
          <w:lang w:val="es-ES"/>
        </w:rPr>
        <w:t xml:space="preserve">l 24 de enero de 2017 el Juzgado Décimo de Circuito Penal, mediante Sentencia Condenatoria </w:t>
      </w:r>
      <w:r w:rsidR="00745140" w:rsidRPr="00EF5857">
        <w:rPr>
          <w:rFonts w:ascii="Cambria" w:eastAsia="Cambria" w:hAnsi="Cambria" w:cs="Cambria"/>
          <w:sz w:val="20"/>
          <w:szCs w:val="20"/>
          <w:lang w:val="es-ES"/>
        </w:rPr>
        <w:t xml:space="preserve">nro. </w:t>
      </w:r>
      <w:r w:rsidR="00350BF9" w:rsidRPr="00EF5857">
        <w:rPr>
          <w:rFonts w:ascii="Cambria" w:eastAsia="Cambria" w:hAnsi="Cambria" w:cs="Cambria"/>
          <w:sz w:val="20"/>
          <w:szCs w:val="20"/>
          <w:lang w:val="es-ES"/>
        </w:rPr>
        <w:t xml:space="preserve">04-17, </w:t>
      </w:r>
      <w:r w:rsidR="00F129E9" w:rsidRPr="00EF5857">
        <w:rPr>
          <w:rFonts w:ascii="Cambria" w:eastAsia="Cambria" w:hAnsi="Cambria" w:cs="Cambria"/>
          <w:sz w:val="20"/>
          <w:szCs w:val="20"/>
          <w:lang w:val="es-ES"/>
        </w:rPr>
        <w:t>condenó</w:t>
      </w:r>
      <w:r w:rsidR="00350BF9" w:rsidRPr="00EF5857">
        <w:rPr>
          <w:rFonts w:ascii="Cambria" w:eastAsia="Cambria" w:hAnsi="Cambria" w:cs="Cambria"/>
          <w:sz w:val="20"/>
          <w:szCs w:val="20"/>
          <w:lang w:val="es-ES"/>
        </w:rPr>
        <w:t xml:space="preserve"> al </w:t>
      </w:r>
      <w:r w:rsidR="00F129E9" w:rsidRPr="00EF5857">
        <w:rPr>
          <w:rFonts w:ascii="Cambria" w:eastAsia="Cambria" w:hAnsi="Cambria" w:cs="Cambria"/>
          <w:sz w:val="20"/>
          <w:szCs w:val="20"/>
          <w:lang w:val="es-ES"/>
        </w:rPr>
        <w:t>entonces</w:t>
      </w:r>
      <w:r w:rsidR="00350BF9" w:rsidRPr="00EF5857">
        <w:rPr>
          <w:rFonts w:ascii="Cambria" w:eastAsia="Cambria" w:hAnsi="Cambria" w:cs="Cambria"/>
          <w:sz w:val="20"/>
          <w:szCs w:val="20"/>
          <w:lang w:val="es-ES"/>
        </w:rPr>
        <w:t xml:space="preserve"> jefe del CSN </w:t>
      </w:r>
      <w:r w:rsidR="00F129E9" w:rsidRPr="00EF5857">
        <w:rPr>
          <w:rFonts w:ascii="Cambria" w:eastAsia="Cambria" w:hAnsi="Cambria" w:cs="Cambria"/>
          <w:sz w:val="20"/>
          <w:szCs w:val="20"/>
          <w:lang w:val="es-ES"/>
        </w:rPr>
        <w:t>únicamente por el delito de lesiones personales</w:t>
      </w:r>
      <w:r w:rsidR="00E16B9E" w:rsidRPr="00EF5857">
        <w:rPr>
          <w:rFonts w:ascii="Cambria" w:eastAsia="Cambria" w:hAnsi="Cambria" w:cs="Cambria"/>
          <w:sz w:val="20"/>
          <w:szCs w:val="20"/>
          <w:lang w:val="es-ES"/>
        </w:rPr>
        <w:t>,</w:t>
      </w:r>
      <w:r w:rsidR="00F129E9" w:rsidRPr="00EF5857">
        <w:rPr>
          <w:rFonts w:ascii="Cambria" w:eastAsia="Cambria" w:hAnsi="Cambria" w:cs="Cambria"/>
          <w:sz w:val="20"/>
          <w:szCs w:val="20"/>
          <w:lang w:val="es-ES"/>
        </w:rPr>
        <w:t xml:space="preserve"> </w:t>
      </w:r>
      <w:r w:rsidR="00350BF9" w:rsidRPr="00EF5857">
        <w:rPr>
          <w:rFonts w:ascii="Cambria" w:eastAsia="Cambria" w:hAnsi="Cambria" w:cs="Cambria"/>
          <w:sz w:val="20"/>
          <w:szCs w:val="20"/>
          <w:lang w:val="es-ES"/>
        </w:rPr>
        <w:t xml:space="preserve">a </w:t>
      </w:r>
      <w:r w:rsidR="009B175A" w:rsidRPr="00EF5857">
        <w:rPr>
          <w:rFonts w:ascii="Cambria" w:eastAsia="Cambria" w:hAnsi="Cambria" w:cs="Cambria"/>
          <w:sz w:val="20"/>
          <w:szCs w:val="20"/>
          <w:lang w:val="es-ES"/>
        </w:rPr>
        <w:t>5</w:t>
      </w:r>
      <w:r w:rsidR="00350BF9" w:rsidRPr="00EF5857">
        <w:rPr>
          <w:rFonts w:ascii="Cambria" w:eastAsia="Cambria" w:hAnsi="Cambria" w:cs="Cambria"/>
          <w:sz w:val="20"/>
          <w:szCs w:val="20"/>
          <w:lang w:val="es-ES"/>
        </w:rPr>
        <w:t xml:space="preserve"> años de prisión y a una pena accesoria </w:t>
      </w:r>
      <w:r w:rsidR="00D2194B" w:rsidRPr="00EF5857">
        <w:rPr>
          <w:rFonts w:ascii="Cambria" w:eastAsia="Cambria" w:hAnsi="Cambria" w:cs="Cambria"/>
          <w:sz w:val="20"/>
          <w:szCs w:val="20"/>
          <w:lang w:val="es-ES"/>
        </w:rPr>
        <w:t>de inhabilitación</w:t>
      </w:r>
      <w:r w:rsidR="00350BF9" w:rsidRPr="00EF5857">
        <w:rPr>
          <w:rFonts w:ascii="Cambria" w:eastAsia="Cambria" w:hAnsi="Cambria" w:cs="Cambria"/>
          <w:sz w:val="20"/>
          <w:szCs w:val="20"/>
          <w:lang w:val="es-ES"/>
        </w:rPr>
        <w:t xml:space="preserve"> para el ejercicio de funciones públicas por </w:t>
      </w:r>
      <w:r w:rsidR="009B175A" w:rsidRPr="00EF5857">
        <w:rPr>
          <w:rFonts w:ascii="Cambria" w:eastAsia="Cambria" w:hAnsi="Cambria" w:cs="Cambria"/>
          <w:sz w:val="20"/>
          <w:szCs w:val="20"/>
          <w:lang w:val="es-ES"/>
        </w:rPr>
        <w:t>2</w:t>
      </w:r>
      <w:r w:rsidR="00350BF9" w:rsidRPr="00EF5857">
        <w:rPr>
          <w:rFonts w:ascii="Cambria" w:eastAsia="Cambria" w:hAnsi="Cambria" w:cs="Cambria"/>
          <w:sz w:val="20"/>
          <w:szCs w:val="20"/>
          <w:lang w:val="es-ES"/>
        </w:rPr>
        <w:t xml:space="preserve"> años</w:t>
      </w:r>
      <w:r w:rsidR="00745140" w:rsidRPr="00EF5857">
        <w:rPr>
          <w:rFonts w:ascii="Cambria" w:eastAsia="Cambria" w:hAnsi="Cambria" w:cs="Cambria"/>
          <w:sz w:val="20"/>
          <w:szCs w:val="20"/>
          <w:lang w:val="es-ES"/>
        </w:rPr>
        <w:t>;</w:t>
      </w:r>
      <w:r w:rsidR="00350BF9" w:rsidRPr="00EF5857">
        <w:rPr>
          <w:rFonts w:ascii="Cambria" w:eastAsia="Cambria" w:hAnsi="Cambria" w:cs="Cambria"/>
          <w:sz w:val="20"/>
          <w:szCs w:val="20"/>
          <w:lang w:val="es-ES"/>
        </w:rPr>
        <w:t xml:space="preserve"> </w:t>
      </w:r>
      <w:r w:rsidR="00F129E9" w:rsidRPr="00EF5857">
        <w:rPr>
          <w:rFonts w:ascii="Cambria" w:eastAsia="Cambria" w:hAnsi="Cambria" w:cs="Cambria"/>
          <w:sz w:val="20"/>
          <w:szCs w:val="20"/>
          <w:lang w:val="es-ES"/>
        </w:rPr>
        <w:t xml:space="preserve">y </w:t>
      </w:r>
      <w:r w:rsidR="00745140" w:rsidRPr="00EF5857">
        <w:rPr>
          <w:rFonts w:ascii="Cambria" w:eastAsia="Cambria" w:hAnsi="Cambria" w:cs="Cambria"/>
          <w:sz w:val="20"/>
          <w:szCs w:val="20"/>
          <w:lang w:val="es-ES"/>
        </w:rPr>
        <w:t xml:space="preserve">le </w:t>
      </w:r>
      <w:r w:rsidR="00350BF9" w:rsidRPr="00EF5857">
        <w:rPr>
          <w:rFonts w:ascii="Cambria" w:eastAsia="Cambria" w:hAnsi="Cambria" w:cs="Cambria"/>
          <w:sz w:val="20"/>
          <w:szCs w:val="20"/>
          <w:lang w:val="es-ES"/>
        </w:rPr>
        <w:t xml:space="preserve">negó la reparación </w:t>
      </w:r>
      <w:r w:rsidR="00D2194B" w:rsidRPr="00EF5857">
        <w:rPr>
          <w:rFonts w:ascii="Cambria" w:eastAsia="Cambria" w:hAnsi="Cambria" w:cs="Cambria"/>
          <w:sz w:val="20"/>
          <w:szCs w:val="20"/>
          <w:lang w:val="es-ES"/>
        </w:rPr>
        <w:t>por daños</w:t>
      </w:r>
      <w:r w:rsidR="00350BF9" w:rsidRPr="00EF5857">
        <w:rPr>
          <w:rFonts w:ascii="Cambria" w:eastAsia="Cambria" w:hAnsi="Cambria" w:cs="Cambria"/>
          <w:sz w:val="20"/>
          <w:szCs w:val="20"/>
          <w:lang w:val="es-ES"/>
        </w:rPr>
        <w:t xml:space="preserve"> y perjuicios.</w:t>
      </w:r>
      <w:r w:rsidR="0087249E" w:rsidRPr="00EF5857">
        <w:rPr>
          <w:rFonts w:ascii="Cambria" w:eastAsia="Cambria" w:hAnsi="Cambria" w:cs="Cambria"/>
          <w:sz w:val="20"/>
          <w:szCs w:val="20"/>
          <w:lang w:val="es-ES"/>
        </w:rPr>
        <w:t xml:space="preserve"> </w:t>
      </w:r>
      <w:r w:rsidR="009B175A" w:rsidRPr="00EF5857">
        <w:rPr>
          <w:rFonts w:ascii="Cambria" w:eastAsia="Cambria" w:hAnsi="Cambria" w:cs="Cambria"/>
          <w:sz w:val="20"/>
          <w:szCs w:val="20"/>
          <w:lang w:val="es-ES"/>
        </w:rPr>
        <w:t>Luego, e</w:t>
      </w:r>
      <w:r w:rsidR="00350BF9" w:rsidRPr="00EF5857">
        <w:rPr>
          <w:rFonts w:ascii="Cambria" w:eastAsia="Cambria" w:hAnsi="Cambria" w:cs="Cambria"/>
          <w:sz w:val="20"/>
          <w:szCs w:val="20"/>
          <w:lang w:val="es-ES"/>
        </w:rPr>
        <w:t xml:space="preserve">l 26 de julio de 2017 el Segundo Tribunal Superior de Justicia </w:t>
      </w:r>
      <w:r w:rsidR="0087249E" w:rsidRPr="00EF5857">
        <w:rPr>
          <w:rFonts w:ascii="Cambria" w:eastAsia="Cambria" w:hAnsi="Cambria" w:cs="Cambria"/>
          <w:sz w:val="20"/>
          <w:szCs w:val="20"/>
          <w:lang w:val="es-ES"/>
        </w:rPr>
        <w:t>ratificó</w:t>
      </w:r>
      <w:r w:rsidR="00350BF9" w:rsidRPr="00EF5857">
        <w:rPr>
          <w:rFonts w:ascii="Cambria" w:eastAsia="Cambria" w:hAnsi="Cambria" w:cs="Cambria"/>
          <w:sz w:val="20"/>
          <w:szCs w:val="20"/>
          <w:lang w:val="es-ES"/>
        </w:rPr>
        <w:t xml:space="preserve"> la condena de primera instancia. </w:t>
      </w:r>
      <w:r w:rsidR="0087249E" w:rsidRPr="00EF5857">
        <w:rPr>
          <w:rFonts w:ascii="Cambria" w:eastAsia="Cambria" w:hAnsi="Cambria" w:cs="Cambria"/>
          <w:sz w:val="20"/>
          <w:szCs w:val="20"/>
          <w:lang w:val="es-ES"/>
        </w:rPr>
        <w:t xml:space="preserve">Finalmente, </w:t>
      </w:r>
      <w:r w:rsidR="00350BF9" w:rsidRPr="00EF5857">
        <w:rPr>
          <w:rFonts w:ascii="Cambria" w:eastAsia="Cambria" w:hAnsi="Cambria" w:cs="Cambria"/>
          <w:sz w:val="20"/>
          <w:szCs w:val="20"/>
          <w:lang w:val="es-ES"/>
        </w:rPr>
        <w:t>el 22 de agosto de 2019 la Sala Penal de la Corte Suprema de Justicia rechazó el recurso de casación interpuesto por la defensa del procesado</w:t>
      </w:r>
      <w:r w:rsidR="0087249E" w:rsidRPr="00EF5857">
        <w:rPr>
          <w:rFonts w:ascii="Cambria" w:eastAsia="Cambria" w:hAnsi="Cambria" w:cs="Cambria"/>
          <w:sz w:val="20"/>
          <w:szCs w:val="20"/>
          <w:lang w:val="es-ES"/>
        </w:rPr>
        <w:t xml:space="preserve"> y</w:t>
      </w:r>
      <w:r w:rsidR="00350BF9" w:rsidRPr="00EF5857">
        <w:rPr>
          <w:rFonts w:ascii="Cambria" w:eastAsia="Cambria" w:hAnsi="Cambria" w:cs="Cambria"/>
          <w:sz w:val="20"/>
          <w:szCs w:val="20"/>
          <w:lang w:val="es-ES"/>
        </w:rPr>
        <w:t xml:space="preserve"> confir</w:t>
      </w:r>
      <w:r w:rsidR="0087249E" w:rsidRPr="00EF5857">
        <w:rPr>
          <w:rFonts w:ascii="Cambria" w:eastAsia="Cambria" w:hAnsi="Cambria" w:cs="Cambria"/>
          <w:sz w:val="20"/>
          <w:szCs w:val="20"/>
          <w:lang w:val="es-ES"/>
        </w:rPr>
        <w:t>mó</w:t>
      </w:r>
      <w:r w:rsidR="00350BF9" w:rsidRPr="00EF5857">
        <w:rPr>
          <w:rFonts w:ascii="Cambria" w:eastAsia="Cambria" w:hAnsi="Cambria" w:cs="Cambria"/>
          <w:sz w:val="20"/>
          <w:szCs w:val="20"/>
          <w:lang w:val="es-ES"/>
        </w:rPr>
        <w:t xml:space="preserve"> la decisión </w:t>
      </w:r>
      <w:r w:rsidR="001D13F9" w:rsidRPr="00EF5857">
        <w:rPr>
          <w:rFonts w:ascii="Cambria" w:eastAsia="Cambria" w:hAnsi="Cambria" w:cs="Cambria"/>
          <w:sz w:val="20"/>
          <w:szCs w:val="20"/>
          <w:lang w:val="es-ES"/>
        </w:rPr>
        <w:t xml:space="preserve">de segunda instancia </w:t>
      </w:r>
      <w:r w:rsidR="00350BF9" w:rsidRPr="00EF5857">
        <w:rPr>
          <w:rFonts w:ascii="Cambria" w:eastAsia="Cambria" w:hAnsi="Cambria" w:cs="Cambria"/>
          <w:sz w:val="20"/>
          <w:szCs w:val="20"/>
          <w:lang w:val="es-ES"/>
        </w:rPr>
        <w:t xml:space="preserve">del Tribunal Superior. </w:t>
      </w:r>
    </w:p>
    <w:p w14:paraId="1DD9712A" w14:textId="77777777" w:rsidR="0087249E" w:rsidRPr="00EF5857" w:rsidRDefault="0087249E" w:rsidP="001D13F9">
      <w:pPr>
        <w:rPr>
          <w:sz w:val="20"/>
          <w:szCs w:val="20"/>
          <w:lang w:val="es-ES"/>
        </w:rPr>
      </w:pPr>
    </w:p>
    <w:p w14:paraId="10DD88E5" w14:textId="2007C960" w:rsidR="0087249E" w:rsidRPr="00EF5857" w:rsidRDefault="00350BF9" w:rsidP="0087249E">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20"/>
          <w:szCs w:val="20"/>
          <w:lang w:val="es-ES"/>
        </w:rPr>
      </w:pPr>
      <w:r w:rsidRPr="00EF5857">
        <w:rPr>
          <w:rFonts w:ascii="Cambria" w:eastAsia="Cambria" w:hAnsi="Cambria" w:cs="Cambria"/>
          <w:sz w:val="20"/>
          <w:szCs w:val="20"/>
          <w:lang w:val="es-ES"/>
        </w:rPr>
        <w:t>En suma</w:t>
      </w:r>
      <w:r w:rsidR="0087249E" w:rsidRPr="00EF5857">
        <w:rPr>
          <w:rFonts w:ascii="Cambria" w:eastAsia="Cambria" w:hAnsi="Cambria" w:cs="Cambria"/>
          <w:sz w:val="20"/>
          <w:szCs w:val="20"/>
          <w:lang w:val="es-ES"/>
        </w:rPr>
        <w:t>, el peticionario cuestiona que</w:t>
      </w:r>
      <w:r w:rsidR="00F129E9" w:rsidRPr="00EF5857">
        <w:rPr>
          <w:rFonts w:ascii="Cambria" w:eastAsia="Cambria" w:hAnsi="Cambria" w:cs="Cambria"/>
          <w:sz w:val="20"/>
          <w:szCs w:val="20"/>
          <w:lang w:val="es-ES"/>
        </w:rPr>
        <w:t xml:space="preserve"> las referidas sentencias no reconocieron todos los hechos denunciados en la querella penal, la cual daba cuenta de una variedad de delitos. Así, precisa que no solo se cometieron afectaciones a su integridad personal, sino también: i) a su libertad, al ser retenido ilegalmente en </w:t>
      </w:r>
      <w:r w:rsidR="00CD7001" w:rsidRPr="00EF5857">
        <w:rPr>
          <w:rFonts w:ascii="Cambria" w:eastAsia="Cambria" w:hAnsi="Cambria" w:cs="Cambria"/>
          <w:sz w:val="20"/>
          <w:szCs w:val="20"/>
          <w:lang w:val="es-ES"/>
        </w:rPr>
        <w:t xml:space="preserve">las instalaciones </w:t>
      </w:r>
      <w:r w:rsidR="00F129E9" w:rsidRPr="00EF5857">
        <w:rPr>
          <w:rFonts w:ascii="Cambria" w:eastAsia="Cambria" w:hAnsi="Cambria" w:cs="Cambria"/>
          <w:sz w:val="20"/>
          <w:szCs w:val="20"/>
          <w:lang w:val="es-ES"/>
        </w:rPr>
        <w:t xml:space="preserve">de </w:t>
      </w:r>
      <w:r w:rsidR="00F129E9" w:rsidRPr="00EF5857">
        <w:rPr>
          <w:rFonts w:ascii="Cambria" w:eastAsia="Cambria" w:hAnsi="Cambria" w:cs="Cambria"/>
          <w:i/>
          <w:iCs/>
          <w:sz w:val="20"/>
          <w:szCs w:val="20"/>
          <w:lang w:val="es-ES"/>
        </w:rPr>
        <w:t>Quarry Heigh</w:t>
      </w:r>
      <w:r w:rsidR="00EF5857">
        <w:rPr>
          <w:rFonts w:ascii="Cambria" w:eastAsia="Cambria" w:hAnsi="Cambria" w:cs="Cambria"/>
          <w:i/>
          <w:iCs/>
          <w:sz w:val="20"/>
          <w:szCs w:val="20"/>
          <w:lang w:val="es-ES"/>
        </w:rPr>
        <w:t>t</w:t>
      </w:r>
      <w:r w:rsidR="00F129E9" w:rsidRPr="00EF5857">
        <w:rPr>
          <w:rFonts w:ascii="Cambria" w:eastAsia="Cambria" w:hAnsi="Cambria" w:cs="Cambria"/>
          <w:i/>
          <w:iCs/>
          <w:sz w:val="20"/>
          <w:szCs w:val="20"/>
          <w:lang w:val="es-ES"/>
        </w:rPr>
        <w:t>s</w:t>
      </w:r>
      <w:r w:rsidR="00B94A2A" w:rsidRPr="00EF5857">
        <w:rPr>
          <w:rFonts w:ascii="Cambria" w:eastAsia="Cambria" w:hAnsi="Cambria" w:cs="Cambria"/>
          <w:i/>
          <w:iCs/>
          <w:sz w:val="20"/>
          <w:szCs w:val="20"/>
          <w:lang w:val="es-ES"/>
        </w:rPr>
        <w:t xml:space="preserve">; </w:t>
      </w:r>
      <w:r w:rsidR="00B94A2A" w:rsidRPr="00EF5857">
        <w:rPr>
          <w:rFonts w:ascii="Cambria" w:eastAsia="Cambria" w:hAnsi="Cambria" w:cs="Cambria"/>
          <w:sz w:val="20"/>
          <w:szCs w:val="20"/>
          <w:lang w:val="es-ES"/>
        </w:rPr>
        <w:t>y</w:t>
      </w:r>
      <w:r w:rsidR="00F129E9" w:rsidRPr="00EF5857">
        <w:rPr>
          <w:rFonts w:ascii="Cambria" w:eastAsia="Cambria" w:hAnsi="Cambria" w:cs="Cambria"/>
          <w:sz w:val="20"/>
          <w:szCs w:val="20"/>
          <w:lang w:val="es-ES"/>
        </w:rPr>
        <w:t xml:space="preserve"> ii) a la inviolabilidad del secreto y el derecho a la intimidad</w:t>
      </w:r>
      <w:r w:rsidR="00B94A2A" w:rsidRPr="00EF5857">
        <w:rPr>
          <w:rFonts w:ascii="Cambria" w:eastAsia="Cambria" w:hAnsi="Cambria" w:cs="Cambria"/>
          <w:sz w:val="20"/>
          <w:szCs w:val="20"/>
          <w:lang w:val="es-ES"/>
        </w:rPr>
        <w:t>, pues le arrebataron el teléfono celular y borraron toda la información que tenía registrada</w:t>
      </w:r>
      <w:r w:rsidR="0030777A">
        <w:rPr>
          <w:rFonts w:ascii="Cambria" w:eastAsia="Cambria" w:hAnsi="Cambria" w:cs="Cambria"/>
          <w:sz w:val="20"/>
          <w:szCs w:val="20"/>
          <w:lang w:val="es-ES"/>
        </w:rPr>
        <w:t>.</w:t>
      </w:r>
    </w:p>
    <w:p w14:paraId="7567C454" w14:textId="77777777" w:rsidR="00166878" w:rsidRPr="00EF5857" w:rsidRDefault="00166878">
      <w:pPr>
        <w:jc w:val="both"/>
        <w:rPr>
          <w:rFonts w:ascii="Cambria" w:eastAsia="Cambria" w:hAnsi="Cambria" w:cs="Cambria"/>
          <w:sz w:val="20"/>
          <w:szCs w:val="20"/>
          <w:lang w:val="es-ES"/>
        </w:rPr>
      </w:pPr>
    </w:p>
    <w:p w14:paraId="28E3C7F3" w14:textId="66FE21DB" w:rsidR="00166878" w:rsidRPr="00EF5857" w:rsidRDefault="00350BF9">
      <w:p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b/>
          <w:iCs/>
          <w:sz w:val="20"/>
          <w:szCs w:val="20"/>
          <w:lang w:val="es-ES"/>
        </w:rPr>
      </w:pPr>
      <w:r w:rsidRPr="00EF5857">
        <w:rPr>
          <w:rFonts w:ascii="Cambria" w:eastAsia="Cambria" w:hAnsi="Cambria" w:cs="Cambria"/>
          <w:sz w:val="20"/>
          <w:szCs w:val="20"/>
          <w:lang w:val="es-ES"/>
        </w:rPr>
        <w:tab/>
      </w:r>
      <w:r w:rsidRPr="00EF5857">
        <w:rPr>
          <w:rFonts w:ascii="Cambria" w:eastAsia="Cambria" w:hAnsi="Cambria" w:cs="Cambria"/>
          <w:b/>
          <w:iCs/>
          <w:sz w:val="20"/>
          <w:szCs w:val="20"/>
          <w:lang w:val="es-ES"/>
        </w:rPr>
        <w:t>El</w:t>
      </w:r>
      <w:r w:rsidRPr="00EF5857">
        <w:rPr>
          <w:rFonts w:ascii="Cambria" w:eastAsia="Cambria" w:hAnsi="Cambria" w:cs="Cambria"/>
          <w:b/>
          <w:iCs/>
          <w:color w:val="FF0000"/>
          <w:sz w:val="20"/>
          <w:szCs w:val="20"/>
          <w:lang w:val="es-ES"/>
        </w:rPr>
        <w:t xml:space="preserve"> </w:t>
      </w:r>
      <w:r w:rsidRPr="00EF5857">
        <w:rPr>
          <w:rFonts w:ascii="Cambria" w:eastAsia="Cambria" w:hAnsi="Cambria" w:cs="Cambria"/>
          <w:b/>
          <w:iCs/>
          <w:sz w:val="20"/>
          <w:szCs w:val="20"/>
          <w:lang w:val="es-ES"/>
        </w:rPr>
        <w:t xml:space="preserve">Estado </w:t>
      </w:r>
      <w:r w:rsidR="001D13F9" w:rsidRPr="00EF5857">
        <w:rPr>
          <w:rFonts w:ascii="Cambria" w:eastAsia="Cambria" w:hAnsi="Cambria" w:cs="Cambria"/>
          <w:b/>
          <w:iCs/>
          <w:sz w:val="20"/>
          <w:szCs w:val="20"/>
          <w:lang w:val="es-ES"/>
        </w:rPr>
        <w:t>panameño</w:t>
      </w:r>
    </w:p>
    <w:p w14:paraId="457A6B73" w14:textId="35ED924A" w:rsidR="00166878" w:rsidRPr="00EF5857"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Por su parte, </w:t>
      </w:r>
      <w:r w:rsidR="00E55C91" w:rsidRPr="00EF5857">
        <w:rPr>
          <w:rFonts w:ascii="Cambria" w:eastAsia="Cambria" w:hAnsi="Cambria" w:cs="Cambria"/>
          <w:sz w:val="20"/>
          <w:szCs w:val="20"/>
          <w:lang w:val="es-ES"/>
        </w:rPr>
        <w:t>Panamá</w:t>
      </w:r>
      <w:r w:rsidRPr="00EF5857">
        <w:rPr>
          <w:rFonts w:ascii="Cambria" w:eastAsia="Cambria" w:hAnsi="Cambria" w:cs="Cambria"/>
          <w:sz w:val="20"/>
          <w:szCs w:val="20"/>
          <w:lang w:val="es-ES"/>
        </w:rPr>
        <w:t xml:space="preserve"> sostiene que la presunta víctima tuvo acceso efectivo en todo momento a los recursos judiciales disponibles, los cuales son la interposición de una denuncia o una querella penal, reguladas en el Código Procesal Penal vigente. Afirma que la presunta víctima efectivamente utilizó estos recursos presentando una querella contra el entonces jefe del CSN por los delitos de abuso de autoridad, violación al secreto de las comunicaciones, lesiones y delitos contra la seguridad colectiva, por lo que se iniciaron investigaciones a cargo del Ministerio Público.</w:t>
      </w:r>
    </w:p>
    <w:p w14:paraId="04790122" w14:textId="48DA1717" w:rsidR="00166878" w:rsidRPr="00EF5857" w:rsidRDefault="00EF73A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Informa </w:t>
      </w:r>
      <w:r w:rsidR="00350BF9" w:rsidRPr="00EF5857">
        <w:rPr>
          <w:rFonts w:ascii="Cambria" w:eastAsia="Cambria" w:hAnsi="Cambria" w:cs="Cambria"/>
          <w:sz w:val="20"/>
          <w:szCs w:val="20"/>
          <w:lang w:val="es-ES"/>
        </w:rPr>
        <w:t>que el 21 de agosto de 2013 la Fiscalía Tercera Anticorrupción del Ministerio Público decidió no admitir la querella en relación con el abuso de autoridad y la infracción de deberes de los servidores públicos. Sin embargo, el 26 de septiembre de 2014 la Fiscalía Anticorrupción remitió el caso a la Fiscalía de Circuito del Primer Circuito Judicial de Panamá, al identificar posibles delitos autónomos de lesiones personales y contra la libertad individual</w:t>
      </w:r>
      <w:r w:rsidR="000C44FC" w:rsidRPr="00EF5857">
        <w:rPr>
          <w:rFonts w:ascii="Cambria" w:eastAsia="Cambria" w:hAnsi="Cambria" w:cs="Cambria"/>
          <w:sz w:val="20"/>
          <w:szCs w:val="20"/>
          <w:lang w:val="es-ES"/>
        </w:rPr>
        <w:t>,</w:t>
      </w:r>
      <w:r w:rsidR="00350BF9" w:rsidRPr="00EF5857">
        <w:rPr>
          <w:rFonts w:ascii="Cambria" w:eastAsia="Cambria" w:hAnsi="Cambria" w:cs="Cambria"/>
          <w:sz w:val="20"/>
          <w:szCs w:val="20"/>
          <w:lang w:val="es-ES"/>
        </w:rPr>
        <w:t xml:space="preserve"> </w:t>
      </w:r>
      <w:r w:rsidR="000C44FC" w:rsidRPr="00EF5857">
        <w:rPr>
          <w:rFonts w:ascii="Cambria" w:eastAsia="Cambria" w:hAnsi="Cambria" w:cs="Cambria"/>
          <w:sz w:val="20"/>
          <w:szCs w:val="20"/>
          <w:lang w:val="es-ES"/>
        </w:rPr>
        <w:t>los cuales son</w:t>
      </w:r>
      <w:r w:rsidR="00350BF9" w:rsidRPr="00EF5857">
        <w:rPr>
          <w:rFonts w:ascii="Cambria" w:eastAsia="Cambria" w:hAnsi="Cambria" w:cs="Cambria"/>
          <w:sz w:val="20"/>
          <w:szCs w:val="20"/>
          <w:lang w:val="es-ES"/>
        </w:rPr>
        <w:t xml:space="preserve"> perseguibles de oficio. </w:t>
      </w:r>
      <w:r w:rsidR="00D3633E" w:rsidRPr="00EF5857">
        <w:rPr>
          <w:rFonts w:ascii="Cambria" w:eastAsia="Cambria" w:hAnsi="Cambria" w:cs="Cambria"/>
          <w:sz w:val="20"/>
          <w:szCs w:val="20"/>
          <w:lang w:val="es-ES"/>
        </w:rPr>
        <w:t>A</w:t>
      </w:r>
      <w:r w:rsidR="00B94A2A" w:rsidRPr="00EF5857">
        <w:rPr>
          <w:rFonts w:ascii="Cambria" w:eastAsia="Cambria" w:hAnsi="Cambria" w:cs="Cambria"/>
          <w:sz w:val="20"/>
          <w:szCs w:val="20"/>
          <w:lang w:val="es-ES"/>
        </w:rPr>
        <w:t>sí,</w:t>
      </w:r>
      <w:r w:rsidR="00350BF9" w:rsidRPr="00EF5857">
        <w:rPr>
          <w:rFonts w:ascii="Cambria" w:eastAsia="Cambria" w:hAnsi="Cambria" w:cs="Cambria"/>
          <w:sz w:val="20"/>
          <w:szCs w:val="20"/>
          <w:lang w:val="es-ES"/>
        </w:rPr>
        <w:t xml:space="preserve"> el 11 de noviembre de 2014 la Fiscalía Quinta de Circuito admitió la querella por el delito contra la vida y la integridad personal, constituyendo a la presunta víctima como querellante coadyuvante.</w:t>
      </w:r>
    </w:p>
    <w:p w14:paraId="312D2D79" w14:textId="7A7304B0" w:rsidR="00166878" w:rsidRPr="00EF5857" w:rsidRDefault="0022518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Panamá e</w:t>
      </w:r>
      <w:r w:rsidR="00350BF9" w:rsidRPr="00EF5857">
        <w:rPr>
          <w:rFonts w:ascii="Cambria" w:eastAsia="Cambria" w:hAnsi="Cambria" w:cs="Cambria"/>
          <w:sz w:val="20"/>
          <w:szCs w:val="20"/>
          <w:lang w:val="es-ES"/>
        </w:rPr>
        <w:t xml:space="preserve">xplica que la Fiscalía Quinta se opuso a la detención preventiva del </w:t>
      </w:r>
      <w:r w:rsidRPr="00EF5857">
        <w:rPr>
          <w:rFonts w:ascii="Cambria" w:eastAsia="Cambria" w:hAnsi="Cambria" w:cs="Cambria"/>
          <w:sz w:val="20"/>
          <w:szCs w:val="20"/>
          <w:lang w:val="es-ES"/>
        </w:rPr>
        <w:t xml:space="preserve">funcionario </w:t>
      </w:r>
      <w:r w:rsidR="00350BF9" w:rsidRPr="00EF5857">
        <w:rPr>
          <w:rFonts w:ascii="Cambria" w:eastAsia="Cambria" w:hAnsi="Cambria" w:cs="Cambria"/>
          <w:sz w:val="20"/>
          <w:szCs w:val="20"/>
          <w:lang w:val="es-ES"/>
        </w:rPr>
        <w:t>querellado</w:t>
      </w:r>
      <w:r w:rsidR="002D27C5" w:rsidRPr="00EF5857">
        <w:rPr>
          <w:rFonts w:ascii="Cambria" w:eastAsia="Cambria" w:hAnsi="Cambria" w:cs="Cambria"/>
          <w:sz w:val="20"/>
          <w:szCs w:val="20"/>
          <w:lang w:val="es-ES"/>
        </w:rPr>
        <w:t>,</w:t>
      </w:r>
      <w:r w:rsidR="00350BF9" w:rsidRPr="00EF5857">
        <w:rPr>
          <w:rFonts w:ascii="Cambria" w:eastAsia="Cambria" w:hAnsi="Cambria" w:cs="Cambria"/>
          <w:sz w:val="20"/>
          <w:szCs w:val="20"/>
          <w:lang w:val="es-ES"/>
        </w:rPr>
        <w:t xml:space="preserve"> solicitada por la presunta víctima</w:t>
      </w:r>
      <w:r w:rsidR="002D27C5" w:rsidRPr="00EF5857">
        <w:rPr>
          <w:rFonts w:ascii="Cambria" w:eastAsia="Cambria" w:hAnsi="Cambria" w:cs="Cambria"/>
          <w:sz w:val="20"/>
          <w:szCs w:val="20"/>
          <w:lang w:val="es-ES"/>
        </w:rPr>
        <w:t>,</w:t>
      </w:r>
      <w:r w:rsidR="00350BF9" w:rsidRPr="00EF5857">
        <w:rPr>
          <w:rFonts w:ascii="Cambria" w:eastAsia="Cambria" w:hAnsi="Cambria" w:cs="Cambria"/>
          <w:sz w:val="20"/>
          <w:szCs w:val="20"/>
          <w:lang w:val="es-ES"/>
        </w:rPr>
        <w:t xml:space="preserve"> dado que esta </w:t>
      </w:r>
      <w:r w:rsidR="002D27C5" w:rsidRPr="00EF5857">
        <w:rPr>
          <w:rFonts w:ascii="Cambria" w:eastAsia="Cambria" w:hAnsi="Cambria" w:cs="Cambria"/>
          <w:sz w:val="20"/>
          <w:szCs w:val="20"/>
          <w:lang w:val="es-ES"/>
        </w:rPr>
        <w:t>medida de aseguramiento</w:t>
      </w:r>
      <w:r w:rsidR="004535B8" w:rsidRPr="00EF5857">
        <w:rPr>
          <w:rFonts w:ascii="Cambria" w:eastAsia="Cambria" w:hAnsi="Cambria" w:cs="Cambria"/>
          <w:sz w:val="20"/>
          <w:szCs w:val="20"/>
          <w:lang w:val="es-ES"/>
        </w:rPr>
        <w:t xml:space="preserve"> respondía</w:t>
      </w:r>
      <w:r w:rsidR="00350BF9" w:rsidRPr="00EF5857">
        <w:rPr>
          <w:rFonts w:ascii="Cambria" w:eastAsia="Cambria" w:hAnsi="Cambria" w:cs="Cambria"/>
          <w:sz w:val="20"/>
          <w:szCs w:val="20"/>
          <w:lang w:val="es-ES"/>
        </w:rPr>
        <w:t xml:space="preserve"> a otros presupuestos </w:t>
      </w:r>
      <w:r w:rsidR="004535B8" w:rsidRPr="00EF5857">
        <w:rPr>
          <w:rFonts w:ascii="Cambria" w:eastAsia="Cambria" w:hAnsi="Cambria" w:cs="Cambria"/>
          <w:sz w:val="20"/>
          <w:szCs w:val="20"/>
          <w:lang w:val="es-ES"/>
        </w:rPr>
        <w:t>legales</w:t>
      </w:r>
      <w:r w:rsidR="00350BF9" w:rsidRPr="00EF5857">
        <w:rPr>
          <w:rFonts w:ascii="Cambria" w:eastAsia="Cambria" w:hAnsi="Cambria" w:cs="Cambria"/>
          <w:sz w:val="20"/>
          <w:szCs w:val="20"/>
          <w:lang w:val="es-ES"/>
        </w:rPr>
        <w:t xml:space="preserve"> </w:t>
      </w:r>
      <w:r w:rsidR="00B94A2A" w:rsidRPr="00EF5857">
        <w:rPr>
          <w:rFonts w:ascii="Cambria" w:eastAsia="Cambria" w:hAnsi="Cambria" w:cs="Cambria"/>
          <w:sz w:val="20"/>
          <w:szCs w:val="20"/>
          <w:lang w:val="es-ES"/>
        </w:rPr>
        <w:t>de acuerdo con los artículos</w:t>
      </w:r>
      <w:r w:rsidR="00350BF9" w:rsidRPr="00EF5857">
        <w:rPr>
          <w:rFonts w:ascii="Cambria" w:eastAsia="Cambria" w:hAnsi="Cambria" w:cs="Cambria"/>
          <w:sz w:val="20"/>
          <w:szCs w:val="20"/>
          <w:lang w:val="es-ES"/>
        </w:rPr>
        <w:t xml:space="preserve"> 2128</w:t>
      </w:r>
      <w:r w:rsidR="00350BF9" w:rsidRPr="00EF5857">
        <w:rPr>
          <w:rFonts w:ascii="Cambria" w:eastAsia="Cambria" w:hAnsi="Cambria" w:cs="Cambria"/>
          <w:sz w:val="20"/>
          <w:szCs w:val="20"/>
          <w:vertAlign w:val="superscript"/>
          <w:lang w:val="es-ES"/>
        </w:rPr>
        <w:footnoteReference w:id="6"/>
      </w:r>
      <w:r w:rsidR="00350BF9" w:rsidRPr="00EF5857">
        <w:rPr>
          <w:rFonts w:ascii="Cambria" w:eastAsia="Cambria" w:hAnsi="Cambria" w:cs="Cambria"/>
          <w:sz w:val="20"/>
          <w:szCs w:val="20"/>
          <w:lang w:val="es-ES"/>
        </w:rPr>
        <w:t xml:space="preserve"> y 2140</w:t>
      </w:r>
      <w:r w:rsidR="00350BF9" w:rsidRPr="00EF5857">
        <w:rPr>
          <w:rFonts w:ascii="Cambria" w:eastAsia="Cambria" w:hAnsi="Cambria" w:cs="Cambria"/>
          <w:sz w:val="20"/>
          <w:szCs w:val="20"/>
          <w:vertAlign w:val="superscript"/>
          <w:lang w:val="es-ES"/>
        </w:rPr>
        <w:footnoteReference w:id="7"/>
      </w:r>
      <w:r w:rsidR="00350BF9" w:rsidRPr="00EF5857">
        <w:rPr>
          <w:rFonts w:ascii="Cambria" w:eastAsia="Cambria" w:hAnsi="Cambria" w:cs="Cambria"/>
          <w:sz w:val="20"/>
          <w:szCs w:val="20"/>
          <w:lang w:val="es-ES"/>
        </w:rPr>
        <w:t xml:space="preserve"> del Código Judicial</w:t>
      </w:r>
      <w:r w:rsidR="00B94A2A" w:rsidRPr="00EF5857">
        <w:rPr>
          <w:rFonts w:ascii="Cambria" w:eastAsia="Cambria" w:hAnsi="Cambria" w:cs="Cambria"/>
          <w:sz w:val="20"/>
          <w:szCs w:val="20"/>
          <w:lang w:val="es-ES"/>
        </w:rPr>
        <w:t xml:space="preserve">. Sin perjuicio de ello, </w:t>
      </w:r>
      <w:r w:rsidR="00350BF9" w:rsidRPr="00EF5857">
        <w:rPr>
          <w:rFonts w:ascii="Cambria" w:eastAsia="Cambria" w:hAnsi="Cambria" w:cs="Cambria"/>
          <w:sz w:val="20"/>
          <w:szCs w:val="20"/>
          <w:lang w:val="es-ES"/>
        </w:rPr>
        <w:t xml:space="preserve">el 27 de febrero de 2015 </w:t>
      </w:r>
      <w:r w:rsidR="00F8396F" w:rsidRPr="00EF5857">
        <w:rPr>
          <w:rFonts w:ascii="Cambria" w:eastAsia="Cambria" w:hAnsi="Cambria" w:cs="Cambria"/>
          <w:sz w:val="20"/>
          <w:szCs w:val="20"/>
          <w:lang w:val="es-ES"/>
        </w:rPr>
        <w:t xml:space="preserve">la fiscalía </w:t>
      </w:r>
      <w:r w:rsidR="00350BF9" w:rsidRPr="00EF5857">
        <w:rPr>
          <w:rFonts w:ascii="Cambria" w:eastAsia="Cambria" w:hAnsi="Cambria" w:cs="Cambria"/>
          <w:sz w:val="20"/>
          <w:szCs w:val="20"/>
          <w:lang w:val="es-ES"/>
        </w:rPr>
        <w:t xml:space="preserve">solicitó </w:t>
      </w:r>
      <w:r w:rsidR="00F8396F" w:rsidRPr="00EF5857">
        <w:rPr>
          <w:rFonts w:ascii="Cambria" w:eastAsia="Cambria" w:hAnsi="Cambria" w:cs="Cambria"/>
          <w:sz w:val="20"/>
          <w:szCs w:val="20"/>
          <w:lang w:val="es-ES"/>
        </w:rPr>
        <w:t>a</w:t>
      </w:r>
      <w:r w:rsidR="00350BF9" w:rsidRPr="00EF5857">
        <w:rPr>
          <w:rFonts w:ascii="Cambria" w:eastAsia="Cambria" w:hAnsi="Cambria" w:cs="Cambria"/>
          <w:sz w:val="20"/>
          <w:szCs w:val="20"/>
          <w:lang w:val="es-ES"/>
        </w:rPr>
        <w:t>uto de llamamiento a juicio</w:t>
      </w:r>
      <w:r w:rsidR="00FE6E0C" w:rsidRPr="00EF5857">
        <w:rPr>
          <w:rFonts w:ascii="Cambria" w:eastAsia="Cambria" w:hAnsi="Cambria" w:cs="Cambria"/>
          <w:sz w:val="20"/>
          <w:szCs w:val="20"/>
          <w:lang w:val="es-ES"/>
        </w:rPr>
        <w:t>;</w:t>
      </w:r>
      <w:r w:rsidR="00B94A2A" w:rsidRPr="00EF5857">
        <w:rPr>
          <w:rFonts w:ascii="Cambria" w:eastAsia="Cambria" w:hAnsi="Cambria" w:cs="Cambria"/>
          <w:sz w:val="20"/>
          <w:szCs w:val="20"/>
          <w:lang w:val="es-ES"/>
        </w:rPr>
        <w:t xml:space="preserve"> </w:t>
      </w:r>
      <w:r w:rsidR="00FE6E0C" w:rsidRPr="00EF5857">
        <w:rPr>
          <w:rFonts w:ascii="Cambria" w:eastAsia="Cambria" w:hAnsi="Cambria" w:cs="Cambria"/>
          <w:sz w:val="20"/>
          <w:szCs w:val="20"/>
          <w:lang w:val="es-ES"/>
        </w:rPr>
        <w:t>en consecuencia</w:t>
      </w:r>
      <w:r w:rsidR="00B94A2A" w:rsidRPr="00EF5857">
        <w:rPr>
          <w:rFonts w:ascii="Cambria" w:eastAsia="Cambria" w:hAnsi="Cambria" w:cs="Cambria"/>
          <w:sz w:val="20"/>
          <w:szCs w:val="20"/>
          <w:lang w:val="es-ES"/>
        </w:rPr>
        <w:t>,</w:t>
      </w:r>
      <w:r w:rsidR="00350BF9" w:rsidRPr="00EF5857">
        <w:rPr>
          <w:rFonts w:ascii="Cambria" w:eastAsia="Cambria" w:hAnsi="Cambria" w:cs="Cambria"/>
          <w:sz w:val="20"/>
          <w:szCs w:val="20"/>
          <w:lang w:val="es-ES"/>
        </w:rPr>
        <w:t xml:space="preserve"> </w:t>
      </w:r>
      <w:r w:rsidR="00B94A2A" w:rsidRPr="00EF5857">
        <w:rPr>
          <w:rFonts w:ascii="Cambria" w:eastAsia="Cambria" w:hAnsi="Cambria" w:cs="Cambria"/>
          <w:sz w:val="20"/>
          <w:szCs w:val="20"/>
          <w:lang w:val="es-ES"/>
        </w:rPr>
        <w:t>e</w:t>
      </w:r>
      <w:r w:rsidR="00350BF9" w:rsidRPr="00EF5857">
        <w:rPr>
          <w:rFonts w:ascii="Cambria" w:eastAsia="Cambria" w:hAnsi="Cambria" w:cs="Cambria"/>
          <w:sz w:val="20"/>
          <w:szCs w:val="20"/>
          <w:lang w:val="es-ES"/>
        </w:rPr>
        <w:t xml:space="preserve">l 19 de junio de 2015 el Juzgado Décimo de lo Penal ordenó la apertura del juicio. </w:t>
      </w:r>
      <w:r w:rsidR="0094025F" w:rsidRPr="00EF5857">
        <w:rPr>
          <w:rFonts w:ascii="Cambria" w:eastAsia="Cambria" w:hAnsi="Cambria" w:cs="Cambria"/>
          <w:sz w:val="20"/>
          <w:szCs w:val="20"/>
          <w:lang w:val="es-ES"/>
        </w:rPr>
        <w:t>Dando como resultado que el 24 de enero de 2017</w:t>
      </w:r>
      <w:r w:rsidR="00D47B91" w:rsidRPr="00EF5857">
        <w:rPr>
          <w:rFonts w:ascii="Cambria" w:eastAsia="Cambria" w:hAnsi="Cambria" w:cs="Cambria"/>
          <w:sz w:val="20"/>
          <w:szCs w:val="20"/>
          <w:lang w:val="es-ES"/>
        </w:rPr>
        <w:t xml:space="preserve"> este juzgado condenara </w:t>
      </w:r>
      <w:r w:rsidR="00350BF9" w:rsidRPr="00EF5857">
        <w:rPr>
          <w:rFonts w:ascii="Cambria" w:eastAsia="Cambria" w:hAnsi="Cambria" w:cs="Cambria"/>
          <w:sz w:val="20"/>
          <w:szCs w:val="20"/>
          <w:lang w:val="es-ES"/>
        </w:rPr>
        <w:t>al ex jefe del CSN por el delito de lesiones en perjuicio del señor Medina Ramos.</w:t>
      </w:r>
    </w:p>
    <w:p w14:paraId="2D3656AC" w14:textId="47C330C4" w:rsidR="00166878" w:rsidRPr="00EF5857" w:rsidRDefault="00D47B9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lastRenderedPageBreak/>
        <w:t>El Estado panameño a</w:t>
      </w:r>
      <w:r w:rsidR="00350BF9" w:rsidRPr="00EF5857">
        <w:rPr>
          <w:rFonts w:ascii="Cambria" w:eastAsia="Cambria" w:hAnsi="Cambria" w:cs="Cambria"/>
          <w:sz w:val="20"/>
          <w:szCs w:val="20"/>
          <w:lang w:val="es-ES"/>
        </w:rPr>
        <w:t xml:space="preserve">rgumenta que, estos hechos prueban que la presunta víctima tuvo acceso efectivo a los recursos internos y pudo proteger y denunciar las alegadas violaciones a su integridad física y personal. Del mismo modo, </w:t>
      </w:r>
      <w:r w:rsidR="000B7BDE" w:rsidRPr="00EF5857">
        <w:rPr>
          <w:rFonts w:ascii="Cambria" w:eastAsia="Cambria" w:hAnsi="Cambria" w:cs="Cambria"/>
          <w:sz w:val="20"/>
          <w:szCs w:val="20"/>
          <w:lang w:val="es-ES"/>
        </w:rPr>
        <w:t>sostiene</w:t>
      </w:r>
      <w:r w:rsidR="00350BF9" w:rsidRPr="00EF5857">
        <w:rPr>
          <w:rFonts w:ascii="Cambria" w:eastAsia="Cambria" w:hAnsi="Cambria" w:cs="Cambria"/>
          <w:sz w:val="20"/>
          <w:szCs w:val="20"/>
          <w:lang w:val="es-ES"/>
        </w:rPr>
        <w:t xml:space="preserve"> que las autoridades competentes cumplieron con sus deberes de garantizar y proteger los derechos del peticionario al investigar y sancionar en primera instancia al procesado. </w:t>
      </w:r>
    </w:p>
    <w:p w14:paraId="18A7C48D" w14:textId="6FED4949" w:rsidR="00166878" w:rsidRPr="00EF5857"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Finalmente, </w:t>
      </w:r>
      <w:r w:rsidR="00C22233" w:rsidRPr="00EF5857">
        <w:rPr>
          <w:rFonts w:ascii="Cambria" w:eastAsia="Cambria" w:hAnsi="Cambria" w:cs="Cambria"/>
          <w:sz w:val="20"/>
          <w:szCs w:val="20"/>
          <w:lang w:val="es-ES"/>
        </w:rPr>
        <w:t>aduce</w:t>
      </w:r>
      <w:r w:rsidRPr="00EF5857">
        <w:rPr>
          <w:rFonts w:ascii="Cambria" w:eastAsia="Cambria" w:hAnsi="Cambria" w:cs="Cambria"/>
          <w:sz w:val="20"/>
          <w:szCs w:val="20"/>
          <w:lang w:val="es-ES"/>
        </w:rPr>
        <w:t xml:space="preserve"> que la presunta víctima acudió de forma prematura a la CIDH, al presentar la petición tan solo </w:t>
      </w:r>
      <w:r w:rsidR="00C22233" w:rsidRPr="00EF5857">
        <w:rPr>
          <w:rFonts w:ascii="Cambria" w:eastAsia="Cambria" w:hAnsi="Cambria" w:cs="Cambria"/>
          <w:sz w:val="20"/>
          <w:szCs w:val="20"/>
          <w:lang w:val="es-ES"/>
        </w:rPr>
        <w:t>trece</w:t>
      </w:r>
      <w:r w:rsidRPr="00EF5857">
        <w:rPr>
          <w:rFonts w:ascii="Cambria" w:eastAsia="Cambria" w:hAnsi="Cambria" w:cs="Cambria"/>
          <w:sz w:val="20"/>
          <w:szCs w:val="20"/>
          <w:lang w:val="es-ES"/>
        </w:rPr>
        <w:t xml:space="preserve"> días después de haber interpuesto una querella penal ante el Ministerio Público, sin permitir que las autoridades llevaran a cabo la investigación correspondiente. </w:t>
      </w:r>
    </w:p>
    <w:p w14:paraId="772C144F" w14:textId="77777777" w:rsidR="00166878" w:rsidRPr="00EF5857" w:rsidRDefault="00350BF9">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sz w:val="20"/>
          <w:szCs w:val="20"/>
          <w:lang w:val="es-ES"/>
        </w:rPr>
      </w:pPr>
      <w:r w:rsidRPr="00EF5857">
        <w:rPr>
          <w:rFonts w:ascii="Cambria" w:eastAsia="Cambria" w:hAnsi="Cambria" w:cs="Cambria"/>
          <w:b/>
          <w:sz w:val="20"/>
          <w:szCs w:val="20"/>
          <w:lang w:val="es-ES"/>
        </w:rPr>
        <w:t>VI.</w:t>
      </w:r>
      <w:r w:rsidRPr="00EF5857">
        <w:rPr>
          <w:lang w:val="es-ES"/>
        </w:rPr>
        <w:tab/>
      </w:r>
      <w:r w:rsidRPr="00EF5857">
        <w:rPr>
          <w:rFonts w:ascii="Cambria" w:eastAsia="Cambria" w:hAnsi="Cambria" w:cs="Cambria"/>
          <w:b/>
          <w:sz w:val="20"/>
          <w:szCs w:val="20"/>
          <w:lang w:val="es-ES"/>
        </w:rPr>
        <w:t xml:space="preserve">ANÁLISIS DE AGOTAMIENTO DE LOS RECURSOS INTERNOS Y PLAZO DE PRESENTACIÓN </w:t>
      </w:r>
    </w:p>
    <w:p w14:paraId="711418A7" w14:textId="564DAF10" w:rsidR="00166878" w:rsidRPr="00EF5857" w:rsidRDefault="00350BF9">
      <w:pPr>
        <w:numPr>
          <w:ilvl w:val="0"/>
          <w:numId w:val="1"/>
        </w:numPr>
        <w:pBdr>
          <w:top w:val="nil"/>
          <w:left w:val="nil"/>
          <w:bottom w:val="nil"/>
          <w:right w:val="nil"/>
          <w:between w:val="nil"/>
        </w:pBdr>
        <w:spacing w:before="240" w:after="240"/>
        <w:jc w:val="both"/>
        <w:rPr>
          <w:rFonts w:ascii="Cambria" w:eastAsia="Cambria" w:hAnsi="Cambria" w:cs="Cambria"/>
          <w:color w:val="000000"/>
          <w:sz w:val="20"/>
          <w:szCs w:val="20"/>
          <w:lang w:val="es-ES"/>
        </w:rPr>
      </w:pPr>
      <w:r w:rsidRPr="00EF5857">
        <w:rPr>
          <w:rFonts w:ascii="Cambria" w:eastAsia="Cambria" w:hAnsi="Cambria" w:cs="Cambria"/>
          <w:color w:val="000000"/>
          <w:sz w:val="20"/>
          <w:szCs w:val="20"/>
          <w:lang w:val="es-ES"/>
        </w:rPr>
        <w:t xml:space="preserve">La presunta víctima presentó la presente petición ante la CIDH el 3 de julio de 2013. Para el Estado, la presentación de la petición ocurrió antes de que las autoridades del país pudieran tener la oportunidad de investigar los hechos, una vez que la presunta víctima habría presentado la querella penal ante el Ministerio Público el 20 de junio de 2013, por los hechos ocurridos el 11 de julio de 2013. </w:t>
      </w:r>
    </w:p>
    <w:p w14:paraId="2B02A58C" w14:textId="77777777" w:rsidR="00166878" w:rsidRPr="00993522" w:rsidRDefault="00350BF9" w:rsidP="17AD151D">
      <w:pPr>
        <w:numPr>
          <w:ilvl w:val="0"/>
          <w:numId w:val="1"/>
        </w:numPr>
        <w:pBdr>
          <w:top w:val="nil"/>
          <w:left w:val="nil"/>
          <w:bottom w:val="nil"/>
          <w:right w:val="nil"/>
          <w:between w:val="nil"/>
        </w:pBdr>
        <w:spacing w:before="240" w:after="240"/>
        <w:jc w:val="both"/>
        <w:rPr>
          <w:rFonts w:ascii="Cambria" w:eastAsia="Cambria" w:hAnsi="Cambria" w:cs="Cambria"/>
          <w:color w:val="000000"/>
          <w:sz w:val="20"/>
          <w:szCs w:val="20"/>
          <w:lang w:val="es-ES"/>
        </w:rPr>
      </w:pPr>
      <w:r w:rsidRPr="00993522">
        <w:rPr>
          <w:rFonts w:ascii="Cambria" w:eastAsia="Cambria" w:hAnsi="Cambria" w:cs="Cambria"/>
          <w:color w:val="000000" w:themeColor="text1"/>
          <w:sz w:val="20"/>
          <w:szCs w:val="20"/>
          <w:lang w:val="es-ES"/>
        </w:rPr>
        <w:t>El artículo 46.1.a) de la Convención Americana dispone que para que una petición sea admitida se requiere “</w:t>
      </w:r>
      <w:r w:rsidRPr="00993522">
        <w:rPr>
          <w:rFonts w:ascii="Cambria" w:eastAsia="Cambria" w:hAnsi="Cambria" w:cs="Cambria"/>
          <w:i/>
          <w:iCs/>
          <w:color w:val="000000" w:themeColor="text1"/>
          <w:sz w:val="20"/>
          <w:szCs w:val="20"/>
          <w:lang w:val="es-ES"/>
        </w:rPr>
        <w:t>que se hayan interpuesto y agotado los recursos de jurisdicción interna, conforme a los principios del Derecho Internacional generalmente reconocidos</w:t>
      </w:r>
      <w:r w:rsidRPr="00993522">
        <w:rPr>
          <w:rFonts w:ascii="Cambria" w:eastAsia="Cambria" w:hAnsi="Cambria" w:cs="Cambria"/>
          <w:color w:val="000000" w:themeColor="text1"/>
          <w:sz w:val="20"/>
          <w:szCs w:val="20"/>
          <w:lang w:val="es-ES"/>
        </w:rPr>
        <w:t xml:space="preserve">”. </w:t>
      </w:r>
    </w:p>
    <w:p w14:paraId="1F95AE79" w14:textId="77777777" w:rsidR="00166878" w:rsidRPr="00EF5857" w:rsidRDefault="00350BF9">
      <w:pPr>
        <w:numPr>
          <w:ilvl w:val="0"/>
          <w:numId w:val="1"/>
        </w:numPr>
        <w:pBdr>
          <w:top w:val="nil"/>
          <w:left w:val="nil"/>
          <w:bottom w:val="nil"/>
          <w:right w:val="nil"/>
          <w:between w:val="nil"/>
        </w:pBdr>
        <w:spacing w:before="240" w:after="240"/>
        <w:jc w:val="both"/>
        <w:rPr>
          <w:rFonts w:ascii="Cambria" w:eastAsia="Cambria" w:hAnsi="Cambria" w:cs="Cambria"/>
          <w:color w:val="000000"/>
          <w:sz w:val="20"/>
          <w:szCs w:val="20"/>
          <w:lang w:val="es-ES"/>
        </w:rPr>
      </w:pPr>
      <w:r w:rsidRPr="00EF5857">
        <w:rPr>
          <w:rFonts w:ascii="Cambria" w:eastAsia="Cambria" w:hAnsi="Cambria" w:cs="Cambria"/>
          <w:color w:val="000000"/>
          <w:sz w:val="20"/>
          <w:szCs w:val="20"/>
          <w:lang w:val="es-ES"/>
        </w:rPr>
        <w:t>La CIDH recuerda que el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EF5857">
        <w:rPr>
          <w:rFonts w:ascii="Cambria" w:eastAsia="Cambria" w:hAnsi="Cambria" w:cs="Cambria"/>
          <w:color w:val="000000"/>
          <w:sz w:val="20"/>
          <w:szCs w:val="20"/>
          <w:vertAlign w:val="superscript"/>
          <w:lang w:val="es-ES"/>
        </w:rPr>
        <w:footnoteReference w:id="8"/>
      </w:r>
      <w:r w:rsidRPr="00EF5857">
        <w:rPr>
          <w:rFonts w:ascii="Cambria" w:eastAsia="Cambria" w:hAnsi="Cambria" w:cs="Cambria"/>
          <w:color w:val="000000"/>
          <w:sz w:val="20"/>
          <w:szCs w:val="20"/>
          <w:lang w:val="es-ES"/>
        </w:rPr>
        <w:t>. En este sentido, la CIDH ha sido consistente en señalar que “</w:t>
      </w:r>
      <w:r w:rsidRPr="00EF5857">
        <w:rPr>
          <w:rFonts w:ascii="Cambria" w:eastAsia="Cambria" w:hAnsi="Cambria" w:cs="Cambria"/>
          <w:i/>
          <w:color w:val="000000"/>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EF5857">
        <w:rPr>
          <w:rFonts w:ascii="Cambria" w:eastAsia="Cambria" w:hAnsi="Cambria" w:cs="Cambria"/>
          <w:color w:val="000000"/>
          <w:sz w:val="20"/>
          <w:szCs w:val="20"/>
          <w:lang w:val="es-ES"/>
        </w:rPr>
        <w:t>”</w:t>
      </w:r>
      <w:r w:rsidRPr="00EF5857">
        <w:rPr>
          <w:rFonts w:ascii="Cambria" w:eastAsia="Cambria" w:hAnsi="Cambria" w:cs="Cambria"/>
          <w:color w:val="000000"/>
          <w:sz w:val="20"/>
          <w:szCs w:val="20"/>
          <w:vertAlign w:val="superscript"/>
          <w:lang w:val="es-ES"/>
        </w:rPr>
        <w:footnoteReference w:id="9"/>
      </w:r>
      <w:r w:rsidRPr="00EF5857">
        <w:rPr>
          <w:rFonts w:ascii="Cambria" w:eastAsia="Cambria" w:hAnsi="Cambria" w:cs="Cambria"/>
          <w:color w:val="000000"/>
          <w:sz w:val="20"/>
          <w:szCs w:val="20"/>
          <w:lang w:val="es-ES"/>
        </w:rPr>
        <w:t xml:space="preserve">. </w:t>
      </w:r>
    </w:p>
    <w:p w14:paraId="4C531DCA" w14:textId="77777777" w:rsidR="00166878" w:rsidRPr="00EF5857" w:rsidRDefault="00350BF9" w:rsidP="00D2194B">
      <w:pPr>
        <w:numPr>
          <w:ilvl w:val="0"/>
          <w:numId w:val="1"/>
        </w:numPr>
        <w:pBdr>
          <w:top w:val="nil"/>
          <w:left w:val="nil"/>
          <w:bottom w:val="nil"/>
          <w:right w:val="nil"/>
          <w:between w:val="nil"/>
        </w:pBdr>
        <w:spacing w:before="240" w:after="240"/>
        <w:jc w:val="both"/>
        <w:rPr>
          <w:rFonts w:ascii="Cambria" w:eastAsia="Cambria" w:hAnsi="Cambria" w:cs="Cambria"/>
          <w:color w:val="000000"/>
          <w:sz w:val="20"/>
          <w:szCs w:val="20"/>
          <w:lang w:val="es-ES"/>
        </w:rPr>
      </w:pPr>
      <w:r w:rsidRPr="00EF5857">
        <w:rPr>
          <w:rFonts w:ascii="Cambria" w:eastAsia="Cambria" w:hAnsi="Cambria" w:cs="Cambria"/>
          <w:color w:val="000000"/>
          <w:sz w:val="20"/>
          <w:szCs w:val="20"/>
          <w:lang w:val="es-ES"/>
        </w:rPr>
        <w:t xml:space="preserve">En el mismo sentido, la Corte Interamericana de Derechos Humanos ha establecido que: </w:t>
      </w:r>
    </w:p>
    <w:p w14:paraId="2BAAB350" w14:textId="77777777" w:rsidR="00166878" w:rsidRPr="00EF5857" w:rsidRDefault="00350BF9" w:rsidP="00D2194B">
      <w:pPr>
        <w:spacing w:before="240" w:after="240"/>
        <w:ind w:left="562" w:right="144"/>
        <w:jc w:val="both"/>
        <w:rPr>
          <w:rFonts w:ascii="Cambria" w:eastAsia="Cambria" w:hAnsi="Cambria" w:cs="Cambria"/>
          <w:sz w:val="18"/>
          <w:szCs w:val="18"/>
          <w:lang w:val="es-ES"/>
        </w:rPr>
      </w:pPr>
      <w:r w:rsidRPr="00EF5857">
        <w:rPr>
          <w:rFonts w:ascii="Cambria" w:eastAsia="Cambria" w:hAnsi="Cambria" w:cs="Cambria"/>
          <w:sz w:val="18"/>
          <w:szCs w:val="18"/>
          <w:lang w:val="es-ES"/>
        </w:rPr>
        <w:t xml:space="preserve">el artículo 46 de la Convención Americana, al exigir que dicho agotamiento se produzca “[p]ara que una petición o comunicación […] sea </w:t>
      </w:r>
      <w:r w:rsidRPr="00EF5857">
        <w:rPr>
          <w:rFonts w:ascii="Cambria" w:eastAsia="Cambria" w:hAnsi="Cambria" w:cs="Cambria"/>
          <w:sz w:val="18"/>
          <w:szCs w:val="18"/>
          <w:u w:val="single"/>
          <w:lang w:val="es-ES"/>
        </w:rPr>
        <w:t>admitida</w:t>
      </w:r>
      <w:r w:rsidRPr="00EF5857">
        <w:rPr>
          <w:rFonts w:ascii="Cambria" w:eastAsia="Cambria" w:hAnsi="Cambria" w:cs="Cambria"/>
          <w:sz w:val="18"/>
          <w:szCs w:val="18"/>
          <w:lang w:val="es-ES"/>
        </w:rPr>
        <w:t xml:space="preserve"> por la Comisión” (subrayado añadido), debe ser interpretado en el sentido que exige el agotamiento de los recursos para el momento en que se decida sobre la admisibilidad de la petición y no para el momento de la presentación de la misma”.</w:t>
      </w:r>
    </w:p>
    <w:p w14:paraId="4EADD13D" w14:textId="77777777" w:rsidR="00166878" w:rsidRPr="00EF5857" w:rsidRDefault="00350BF9" w:rsidP="00D2194B">
      <w:pPr>
        <w:spacing w:before="240" w:after="240"/>
        <w:ind w:left="562" w:right="144"/>
        <w:jc w:val="center"/>
        <w:rPr>
          <w:rFonts w:ascii="Cambria" w:eastAsia="Cambria" w:hAnsi="Cambria" w:cs="Cambria"/>
          <w:sz w:val="18"/>
          <w:szCs w:val="18"/>
          <w:lang w:val="es-ES"/>
        </w:rPr>
      </w:pPr>
      <w:r w:rsidRPr="00EF5857">
        <w:rPr>
          <w:rFonts w:ascii="Cambria" w:eastAsia="Cambria" w:hAnsi="Cambria" w:cs="Cambria"/>
          <w:sz w:val="18"/>
          <w:szCs w:val="18"/>
          <w:lang w:val="es-ES"/>
        </w:rPr>
        <w:t>[…]</w:t>
      </w:r>
    </w:p>
    <w:p w14:paraId="7D40EE71" w14:textId="77777777" w:rsidR="00166878" w:rsidRPr="00EF5857" w:rsidRDefault="00350BF9" w:rsidP="00D2194B">
      <w:pPr>
        <w:spacing w:before="240" w:after="240"/>
        <w:ind w:left="562" w:right="144"/>
        <w:jc w:val="both"/>
        <w:rPr>
          <w:rFonts w:ascii="Cambria" w:eastAsia="Cambria" w:hAnsi="Cambria" w:cs="Cambria"/>
          <w:sz w:val="18"/>
          <w:szCs w:val="18"/>
          <w:lang w:val="es-ES"/>
        </w:rPr>
      </w:pPr>
      <w:r w:rsidRPr="00EF5857">
        <w:rPr>
          <w:rFonts w:ascii="Cambria" w:eastAsia="Cambria" w:hAnsi="Cambria" w:cs="Cambria"/>
          <w:sz w:val="18"/>
          <w:szCs w:val="18"/>
          <w:lang w:val="es-ES"/>
        </w:rPr>
        <w:t>[…] no afecta el carácter subsidiario del sistema interamericano el hecho que el análisis del cumplimiento del requisito de agotamiento de recursos internos se realice de acuerdo con la situación al momento de decidir sobre la admisibilidad de la petición. Por el contrario, de estar pendiente algún recurso interno, el Estado tiene la oportunidad de solucionar la situación alegada durante la etapa de admisibilidad</w:t>
      </w:r>
      <w:r w:rsidRPr="00EF5857">
        <w:rPr>
          <w:rFonts w:ascii="Cambria" w:eastAsia="Cambria" w:hAnsi="Cambria" w:cs="Cambria"/>
          <w:sz w:val="18"/>
          <w:szCs w:val="18"/>
          <w:vertAlign w:val="superscript"/>
          <w:lang w:val="es-ES"/>
        </w:rPr>
        <w:footnoteReference w:id="10"/>
      </w:r>
      <w:r w:rsidRPr="00EF5857">
        <w:rPr>
          <w:rFonts w:ascii="Cambria" w:eastAsia="Cambria" w:hAnsi="Cambria" w:cs="Cambria"/>
          <w:sz w:val="18"/>
          <w:szCs w:val="18"/>
          <w:lang w:val="es-ES"/>
        </w:rPr>
        <w:t>.</w:t>
      </w:r>
    </w:p>
    <w:p w14:paraId="40F316D8" w14:textId="56E91442" w:rsidR="00166878" w:rsidRPr="00EF5857" w:rsidRDefault="0031541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Asimismo,</w:t>
      </w:r>
      <w:r w:rsidR="00350BF9" w:rsidRPr="00EF5857">
        <w:rPr>
          <w:rFonts w:ascii="Cambria" w:eastAsia="Cambria" w:hAnsi="Cambria" w:cs="Cambria"/>
          <w:sz w:val="20"/>
          <w:szCs w:val="20"/>
          <w:lang w:val="es-ES"/>
        </w:rPr>
        <w:t xml:space="preserve"> CIDH recuerda que en situaciones que incluyen delitos contra la vida e integridad</w:t>
      </w:r>
      <w:r w:rsidR="00BA2E35" w:rsidRPr="00EF5857">
        <w:rPr>
          <w:rFonts w:ascii="Cambria" w:eastAsia="Cambria" w:hAnsi="Cambria" w:cs="Cambria"/>
          <w:sz w:val="20"/>
          <w:szCs w:val="20"/>
          <w:lang w:val="es-ES"/>
        </w:rPr>
        <w:t xml:space="preserve"> personal</w:t>
      </w:r>
      <w:r w:rsidR="00350BF9" w:rsidRPr="00EF5857">
        <w:rPr>
          <w:rFonts w:ascii="Cambria" w:eastAsia="Cambria" w:hAnsi="Cambria" w:cs="Cambria"/>
          <w:sz w:val="20"/>
          <w:szCs w:val="20"/>
          <w:lang w:val="es-ES"/>
        </w:rPr>
        <w:t>, los recursos que deben tomarse en cuenta a los efectos de la admisibilidad de las peticiones son los relacionados con la investigación penal y sanción de los responsables”</w:t>
      </w:r>
      <w:r w:rsidR="00350BF9" w:rsidRPr="00EF5857">
        <w:rPr>
          <w:rFonts w:ascii="Cambria" w:eastAsia="Cambria" w:hAnsi="Cambria" w:cs="Cambria"/>
          <w:sz w:val="20"/>
          <w:szCs w:val="20"/>
          <w:vertAlign w:val="superscript"/>
          <w:lang w:val="es-ES"/>
        </w:rPr>
        <w:footnoteReference w:id="11"/>
      </w:r>
      <w:r w:rsidR="00350BF9" w:rsidRPr="00EF5857">
        <w:rPr>
          <w:rFonts w:ascii="Cambria" w:eastAsia="Cambria" w:hAnsi="Cambria" w:cs="Cambria"/>
          <w:sz w:val="20"/>
          <w:szCs w:val="20"/>
          <w:lang w:val="es-ES"/>
        </w:rPr>
        <w:t xml:space="preserve">. Como regla general, una investigación </w:t>
      </w:r>
      <w:r w:rsidR="00350BF9" w:rsidRPr="00EF5857">
        <w:rPr>
          <w:rFonts w:ascii="Cambria" w:eastAsia="Cambria" w:hAnsi="Cambria" w:cs="Cambria"/>
          <w:sz w:val="20"/>
          <w:szCs w:val="20"/>
          <w:lang w:val="es-ES"/>
        </w:rPr>
        <w:lastRenderedPageBreak/>
        <w:t>penal debe realizarse prontamente para proteger los intereses de las víctimas, preservar la prueba e incluso salvaguardar los derechos de toda persona que en el contexto de la investigación sea considerada.</w:t>
      </w:r>
    </w:p>
    <w:p w14:paraId="48C03BED" w14:textId="486C708C" w:rsidR="00166878" w:rsidRPr="00EF5857" w:rsidRDefault="0090332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En esta línea</w:t>
      </w:r>
      <w:r w:rsidR="00350BF9" w:rsidRPr="00EF5857">
        <w:rPr>
          <w:rFonts w:ascii="Cambria" w:eastAsia="Cambria" w:hAnsi="Cambria" w:cs="Cambria"/>
          <w:sz w:val="20"/>
          <w:szCs w:val="20"/>
          <w:lang w:val="es-ES"/>
        </w:rPr>
        <w:t xml:space="preserve">, tanto la presunta víctima como el Estado han aportado </w:t>
      </w:r>
      <w:r w:rsidR="00B94A2A" w:rsidRPr="00EF5857">
        <w:rPr>
          <w:rFonts w:ascii="Cambria" w:eastAsia="Cambria" w:hAnsi="Cambria" w:cs="Cambria"/>
          <w:sz w:val="20"/>
          <w:szCs w:val="20"/>
          <w:lang w:val="es-ES"/>
        </w:rPr>
        <w:t>información en</w:t>
      </w:r>
      <w:r w:rsidR="00350BF9" w:rsidRPr="00EF5857">
        <w:rPr>
          <w:rFonts w:ascii="Cambria" w:eastAsia="Cambria" w:hAnsi="Cambria" w:cs="Cambria"/>
          <w:sz w:val="20"/>
          <w:szCs w:val="20"/>
          <w:lang w:val="es-ES"/>
        </w:rPr>
        <w:t xml:space="preserve"> la que consta que el 20 de junio de 2013 se presentó </w:t>
      </w:r>
      <w:r w:rsidR="005C5DF9" w:rsidRPr="00EF5857">
        <w:rPr>
          <w:rFonts w:ascii="Cambria" w:eastAsia="Cambria" w:hAnsi="Cambria" w:cs="Cambria"/>
          <w:sz w:val="20"/>
          <w:szCs w:val="20"/>
          <w:lang w:val="es-ES"/>
        </w:rPr>
        <w:t>querella</w:t>
      </w:r>
      <w:r w:rsidR="00350BF9" w:rsidRPr="00EF5857">
        <w:rPr>
          <w:rFonts w:ascii="Cambria" w:eastAsia="Cambria" w:hAnsi="Cambria" w:cs="Cambria"/>
          <w:sz w:val="20"/>
          <w:szCs w:val="20"/>
          <w:lang w:val="es-ES"/>
        </w:rPr>
        <w:t xml:space="preserve"> en contra del </w:t>
      </w:r>
      <w:r w:rsidR="00B94A2A" w:rsidRPr="00EF5857">
        <w:rPr>
          <w:rFonts w:ascii="Cambria" w:eastAsia="Cambria" w:hAnsi="Cambria" w:cs="Cambria"/>
          <w:sz w:val="20"/>
          <w:szCs w:val="20"/>
          <w:lang w:val="es-ES"/>
        </w:rPr>
        <w:t xml:space="preserve">entonces </w:t>
      </w:r>
      <w:r w:rsidR="00350BF9" w:rsidRPr="00EF5857">
        <w:rPr>
          <w:rFonts w:ascii="Cambria" w:eastAsia="Cambria" w:hAnsi="Cambria" w:cs="Cambria"/>
          <w:sz w:val="20"/>
          <w:szCs w:val="20"/>
          <w:lang w:val="es-ES"/>
        </w:rPr>
        <w:t xml:space="preserve">jefe del Consejo de Seguridad del Estado por el delito de lesiones, delito contra la administración pública en modalidad de abuso de autoridad e infracción de los deberes de los servidores públicos, delito contra la inviolabilidad del secreto y derecho a la intimidad y contra la seguridad colectiva. El 1 de julio de 2013, la presunta víctima presentó la presente petición ante la Comisión. </w:t>
      </w:r>
    </w:p>
    <w:p w14:paraId="3B6989B4" w14:textId="0182C157" w:rsidR="00166878" w:rsidRDefault="00350BF9" w:rsidP="00B94A2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Asimismo, amb</w:t>
      </w:r>
      <w:r w:rsidR="00B94A2A" w:rsidRPr="00EF5857">
        <w:rPr>
          <w:rFonts w:ascii="Cambria" w:eastAsia="Cambria" w:hAnsi="Cambria" w:cs="Cambria"/>
          <w:sz w:val="20"/>
          <w:szCs w:val="20"/>
          <w:lang w:val="es-ES"/>
        </w:rPr>
        <w:t xml:space="preserve">as partes </w:t>
      </w:r>
      <w:r w:rsidRPr="00EF5857">
        <w:rPr>
          <w:rFonts w:ascii="Cambria" w:eastAsia="Cambria" w:hAnsi="Cambria" w:cs="Cambria"/>
          <w:sz w:val="20"/>
          <w:szCs w:val="20"/>
          <w:lang w:val="es-ES"/>
        </w:rPr>
        <w:t>confirman que el 24 de enero de 2017 el Juzgado Décimo de Circuito Penal condenó a cinco años de prisión e inhabilitación para el ejercicio de sus funciones públicas por el término de dos años, únicamente por el delito de lesiones</w:t>
      </w:r>
      <w:r w:rsidR="00B94A2A" w:rsidRPr="00EF5857">
        <w:rPr>
          <w:rFonts w:ascii="Cambria" w:eastAsia="Cambria" w:hAnsi="Cambria" w:cs="Cambria"/>
          <w:sz w:val="20"/>
          <w:szCs w:val="20"/>
          <w:lang w:val="es-ES"/>
        </w:rPr>
        <w:t xml:space="preserve">. </w:t>
      </w:r>
      <w:r w:rsidRPr="00EF5857">
        <w:rPr>
          <w:rFonts w:ascii="Cambria" w:eastAsia="Cambria" w:hAnsi="Cambria" w:cs="Cambria"/>
          <w:sz w:val="20"/>
          <w:szCs w:val="20"/>
          <w:lang w:val="es-ES"/>
        </w:rPr>
        <w:t xml:space="preserve">Según la presunta víctima, el 26 de julio de 2017 el Segundo Tribunal Superior de Justicia confirmó la decisión </w:t>
      </w:r>
      <w:r w:rsidR="00B94A2A" w:rsidRPr="00EF5857">
        <w:rPr>
          <w:rFonts w:ascii="Cambria" w:eastAsia="Cambria" w:hAnsi="Cambria" w:cs="Cambria"/>
          <w:sz w:val="20"/>
          <w:szCs w:val="20"/>
          <w:lang w:val="es-ES"/>
        </w:rPr>
        <w:t>primera instancia</w:t>
      </w:r>
      <w:r w:rsidR="000B4246" w:rsidRPr="00EF5857">
        <w:rPr>
          <w:rFonts w:ascii="Cambria" w:eastAsia="Cambria" w:hAnsi="Cambria" w:cs="Cambria"/>
          <w:sz w:val="20"/>
          <w:szCs w:val="20"/>
          <w:lang w:val="es-ES"/>
        </w:rPr>
        <w:t>;</w:t>
      </w:r>
      <w:r w:rsidR="00B94A2A" w:rsidRPr="00EF5857">
        <w:rPr>
          <w:rFonts w:ascii="Cambria" w:eastAsia="Cambria" w:hAnsi="Cambria" w:cs="Cambria"/>
          <w:sz w:val="20"/>
          <w:szCs w:val="20"/>
          <w:lang w:val="es-ES"/>
        </w:rPr>
        <w:t xml:space="preserve"> y luego</w:t>
      </w:r>
      <w:r w:rsidRPr="00EF5857">
        <w:rPr>
          <w:rFonts w:ascii="Cambria" w:eastAsia="Cambria" w:hAnsi="Cambria" w:cs="Cambria"/>
          <w:sz w:val="20"/>
          <w:szCs w:val="20"/>
          <w:lang w:val="es-ES"/>
        </w:rPr>
        <w:t xml:space="preserve"> esta decisión fue impugnada por el jefe del Consejo de Seguridad del Estado. </w:t>
      </w:r>
      <w:r w:rsidR="00B94A2A" w:rsidRPr="00EF5857">
        <w:rPr>
          <w:rFonts w:ascii="Cambria" w:eastAsia="Cambria" w:hAnsi="Cambria" w:cs="Cambria"/>
          <w:sz w:val="20"/>
          <w:szCs w:val="20"/>
          <w:lang w:val="es-ES"/>
        </w:rPr>
        <w:t>No obstante, e</w:t>
      </w:r>
      <w:r w:rsidRPr="00EF5857">
        <w:rPr>
          <w:rFonts w:ascii="Cambria" w:eastAsia="Cambria" w:hAnsi="Cambria" w:cs="Cambria"/>
          <w:sz w:val="20"/>
          <w:szCs w:val="20"/>
          <w:lang w:val="es-ES"/>
        </w:rPr>
        <w:t>l 22 de agosto de 2019 la Sala Penal de la Corte Suprema de Justicia negó el proceso de casación y confirm</w:t>
      </w:r>
      <w:r w:rsidR="00B94A2A" w:rsidRPr="00EF5857">
        <w:rPr>
          <w:rFonts w:ascii="Cambria" w:eastAsia="Cambria" w:hAnsi="Cambria" w:cs="Cambria"/>
          <w:sz w:val="20"/>
          <w:szCs w:val="20"/>
          <w:lang w:val="es-ES"/>
        </w:rPr>
        <w:t>ó</w:t>
      </w:r>
      <w:r w:rsidRPr="00EF5857">
        <w:rPr>
          <w:rFonts w:ascii="Cambria" w:eastAsia="Cambria" w:hAnsi="Cambria" w:cs="Cambria"/>
          <w:sz w:val="20"/>
          <w:szCs w:val="20"/>
          <w:lang w:val="es-ES"/>
        </w:rPr>
        <w:t xml:space="preserve"> la condena.  El Estado no contr</w:t>
      </w:r>
      <w:r w:rsidR="00B94A2A" w:rsidRPr="00EF5857">
        <w:rPr>
          <w:rFonts w:ascii="Cambria" w:eastAsia="Cambria" w:hAnsi="Cambria" w:cs="Cambria"/>
          <w:sz w:val="20"/>
          <w:szCs w:val="20"/>
          <w:lang w:val="es-ES"/>
        </w:rPr>
        <w:t>ovierte</w:t>
      </w:r>
      <w:r w:rsidRPr="00EF5857">
        <w:rPr>
          <w:rFonts w:ascii="Cambria" w:eastAsia="Cambria" w:hAnsi="Cambria" w:cs="Cambria"/>
          <w:sz w:val="20"/>
          <w:szCs w:val="20"/>
          <w:lang w:val="es-ES"/>
        </w:rPr>
        <w:t xml:space="preserve"> estos hechos. </w:t>
      </w:r>
    </w:p>
    <w:p w14:paraId="5AD48259" w14:textId="1A82CCE4" w:rsidR="00166878" w:rsidRPr="00EF5857"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Por lo tanto, tomando en consideración la situación vigente al momento de pronunciarse sobre la admisibilidad de la petición, el proceso penal en referencia se agotó el 22 de agosto de 2019 </w:t>
      </w:r>
      <w:r w:rsidR="007E182A" w:rsidRPr="00EF5857">
        <w:rPr>
          <w:rFonts w:ascii="Cambria" w:eastAsia="Cambria" w:hAnsi="Cambria" w:cs="Cambria"/>
          <w:sz w:val="20"/>
          <w:szCs w:val="20"/>
          <w:lang w:val="es-ES"/>
        </w:rPr>
        <w:t xml:space="preserve">siendo el proceso </w:t>
      </w:r>
      <w:r w:rsidRPr="00EF5857">
        <w:rPr>
          <w:rFonts w:ascii="Cambria" w:eastAsia="Cambria" w:hAnsi="Cambria" w:cs="Cambria"/>
          <w:sz w:val="20"/>
          <w:szCs w:val="20"/>
          <w:lang w:val="es-ES"/>
        </w:rPr>
        <w:t>penal una vía adecuada</w:t>
      </w:r>
      <w:r w:rsidR="00F42447" w:rsidRPr="00EF5857">
        <w:rPr>
          <w:rFonts w:ascii="Cambria" w:eastAsia="Cambria" w:hAnsi="Cambria" w:cs="Cambria"/>
          <w:sz w:val="20"/>
          <w:szCs w:val="20"/>
          <w:lang w:val="es-ES"/>
        </w:rPr>
        <w:t>.</w:t>
      </w:r>
      <w:r w:rsidRPr="00EF5857">
        <w:rPr>
          <w:rFonts w:ascii="Cambria" w:eastAsia="Cambria" w:hAnsi="Cambria" w:cs="Cambria"/>
          <w:sz w:val="20"/>
          <w:szCs w:val="20"/>
          <w:lang w:val="es-ES"/>
        </w:rPr>
        <w:t xml:space="preserve"> Aunque la petición fue presentada el 1 de julio de 2013, la CIDH resalta que, en el momento de adoptar </w:t>
      </w:r>
      <w:r w:rsidR="00F42447" w:rsidRPr="00EF5857">
        <w:rPr>
          <w:rFonts w:ascii="Cambria" w:eastAsia="Cambria" w:hAnsi="Cambria" w:cs="Cambria"/>
          <w:sz w:val="20"/>
          <w:szCs w:val="20"/>
          <w:lang w:val="es-ES"/>
        </w:rPr>
        <w:t xml:space="preserve">la presente decisión sobre admisibilidad </w:t>
      </w:r>
      <w:r w:rsidRPr="00EF5857">
        <w:rPr>
          <w:rFonts w:ascii="Cambria" w:eastAsia="Cambria" w:hAnsi="Cambria" w:cs="Cambria"/>
          <w:sz w:val="20"/>
          <w:szCs w:val="20"/>
          <w:lang w:val="es-ES"/>
        </w:rPr>
        <w:t xml:space="preserve">el proceso penal ya se </w:t>
      </w:r>
      <w:r w:rsidR="00F42447" w:rsidRPr="00EF5857">
        <w:rPr>
          <w:rFonts w:ascii="Cambria" w:eastAsia="Cambria" w:hAnsi="Cambria" w:cs="Cambria"/>
          <w:sz w:val="20"/>
          <w:szCs w:val="20"/>
          <w:lang w:val="es-ES"/>
        </w:rPr>
        <w:t>encuentra</w:t>
      </w:r>
      <w:r w:rsidRPr="00EF5857">
        <w:rPr>
          <w:rFonts w:ascii="Cambria" w:eastAsia="Cambria" w:hAnsi="Cambria" w:cs="Cambria"/>
          <w:sz w:val="20"/>
          <w:szCs w:val="20"/>
          <w:lang w:val="es-ES"/>
        </w:rPr>
        <w:t xml:space="preserve"> agotado.</w:t>
      </w:r>
    </w:p>
    <w:p w14:paraId="2CD7D18C" w14:textId="2F522A6B" w:rsidR="00166878" w:rsidRPr="00EF5857" w:rsidRDefault="00350BF9" w:rsidP="00B94A2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Por ende, cuando la sala Penal de la Corte Suprema de Justicia negó la casación el 22 de agosto de 2019, esta decisión final agot</w:t>
      </w:r>
      <w:r w:rsidR="00B94A2A" w:rsidRPr="00EF5857">
        <w:rPr>
          <w:rFonts w:ascii="Cambria" w:eastAsia="Cambria" w:hAnsi="Cambria" w:cs="Cambria"/>
          <w:sz w:val="20"/>
          <w:szCs w:val="20"/>
          <w:lang w:val="es-ES"/>
        </w:rPr>
        <w:t>ó</w:t>
      </w:r>
      <w:r w:rsidRPr="00EF5857">
        <w:rPr>
          <w:rFonts w:ascii="Cambria" w:eastAsia="Cambria" w:hAnsi="Cambria" w:cs="Cambria"/>
          <w:sz w:val="20"/>
          <w:szCs w:val="20"/>
          <w:lang w:val="es-ES"/>
        </w:rPr>
        <w:t xml:space="preserve"> los recursos internos en los términos del artículo 46.1.a) de la Convención. </w:t>
      </w:r>
      <w:r w:rsidR="00260590" w:rsidRPr="00EF5857">
        <w:rPr>
          <w:rFonts w:ascii="Cambria" w:eastAsia="Cambria" w:hAnsi="Cambria" w:cs="Cambria"/>
          <w:sz w:val="20"/>
          <w:szCs w:val="20"/>
          <w:lang w:val="es-ES"/>
        </w:rPr>
        <w:t>R</w:t>
      </w:r>
      <w:r w:rsidRPr="00EF5857">
        <w:rPr>
          <w:rFonts w:ascii="Cambria" w:eastAsia="Cambria" w:hAnsi="Cambria" w:cs="Cambria"/>
          <w:sz w:val="20"/>
          <w:szCs w:val="20"/>
          <w:lang w:val="es-ES"/>
        </w:rPr>
        <w:t xml:space="preserve">especto del plazo de presentación de la petición, el artículo 46.1.b) de la Convención establece que para que una petición resulte admisible por la Comisión se requerirá que sea presentada dentro del plazo de seis meses a partir de la fecha en que el presunto lesionado haya sido notificado de la decisión definitiva. </w:t>
      </w:r>
      <w:r w:rsidR="00B94A2A" w:rsidRPr="00EF5857">
        <w:rPr>
          <w:rFonts w:ascii="Cambria" w:eastAsia="Cambria" w:hAnsi="Cambria" w:cs="Cambria"/>
          <w:sz w:val="20"/>
          <w:szCs w:val="20"/>
          <w:lang w:val="es-ES"/>
        </w:rPr>
        <w:t>E</w:t>
      </w:r>
      <w:r w:rsidRPr="00EF5857">
        <w:rPr>
          <w:rFonts w:ascii="Cambria" w:eastAsia="Cambria" w:hAnsi="Cambria" w:cs="Cambria"/>
          <w:sz w:val="20"/>
          <w:szCs w:val="20"/>
          <w:lang w:val="es-ES"/>
        </w:rPr>
        <w:t>n el presente caso,</w:t>
      </w:r>
      <w:r w:rsidR="00B94A2A" w:rsidRPr="00EF5857">
        <w:rPr>
          <w:rFonts w:ascii="Cambria" w:eastAsia="Cambria" w:hAnsi="Cambria" w:cs="Cambria"/>
          <w:sz w:val="20"/>
          <w:szCs w:val="20"/>
          <w:lang w:val="es-ES"/>
        </w:rPr>
        <w:t xml:space="preserve"> </w:t>
      </w:r>
      <w:r w:rsidR="00260590" w:rsidRPr="00EF5857">
        <w:rPr>
          <w:rFonts w:ascii="Cambria" w:eastAsia="Cambria" w:hAnsi="Cambria" w:cs="Cambria"/>
          <w:sz w:val="20"/>
          <w:szCs w:val="20"/>
          <w:lang w:val="es-ES"/>
        </w:rPr>
        <w:t>como</w:t>
      </w:r>
      <w:r w:rsidRPr="00EF5857">
        <w:rPr>
          <w:rFonts w:ascii="Cambria" w:eastAsia="Cambria" w:hAnsi="Cambria" w:cs="Cambria"/>
          <w:sz w:val="20"/>
          <w:szCs w:val="20"/>
          <w:lang w:val="es-ES"/>
        </w:rPr>
        <w:t xml:space="preserve"> el agotamiento de los recursos internos se dio mientras </w:t>
      </w:r>
      <w:r w:rsidR="006C11F7" w:rsidRPr="00EF5857">
        <w:rPr>
          <w:rFonts w:ascii="Cambria" w:eastAsia="Cambria" w:hAnsi="Cambria" w:cs="Cambria"/>
          <w:sz w:val="20"/>
          <w:szCs w:val="20"/>
          <w:lang w:val="es-ES"/>
        </w:rPr>
        <w:t>la petición</w:t>
      </w:r>
      <w:r w:rsidRPr="00EF5857">
        <w:rPr>
          <w:rFonts w:ascii="Cambria" w:eastAsia="Cambria" w:hAnsi="Cambria" w:cs="Cambria"/>
          <w:sz w:val="20"/>
          <w:szCs w:val="20"/>
          <w:lang w:val="es-ES"/>
        </w:rPr>
        <w:t xml:space="preserve"> </w:t>
      </w:r>
      <w:r w:rsidR="006C11F7" w:rsidRPr="00EF5857">
        <w:rPr>
          <w:rFonts w:ascii="Cambria" w:eastAsia="Cambria" w:hAnsi="Cambria" w:cs="Cambria"/>
          <w:sz w:val="20"/>
          <w:szCs w:val="20"/>
          <w:lang w:val="es-ES"/>
        </w:rPr>
        <w:t xml:space="preserve">aún estaba en fase de admisibilidad, </w:t>
      </w:r>
      <w:r w:rsidR="00B972EC" w:rsidRPr="00EF5857">
        <w:rPr>
          <w:rFonts w:ascii="Cambria" w:eastAsia="Cambria" w:hAnsi="Cambria" w:cs="Cambria"/>
          <w:sz w:val="20"/>
          <w:szCs w:val="20"/>
          <w:lang w:val="es-ES"/>
        </w:rPr>
        <w:t xml:space="preserve">dicho requisito se da por cumplido. </w:t>
      </w:r>
    </w:p>
    <w:p w14:paraId="6E8EAC1E" w14:textId="77777777" w:rsidR="00166878" w:rsidRPr="00EF5857" w:rsidRDefault="00350BF9">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b/>
          <w:sz w:val="20"/>
          <w:szCs w:val="20"/>
          <w:lang w:val="es-ES"/>
        </w:rPr>
      </w:pPr>
      <w:r w:rsidRPr="00EF5857">
        <w:rPr>
          <w:rFonts w:ascii="Cambria" w:eastAsia="Cambria" w:hAnsi="Cambria" w:cs="Cambria"/>
          <w:b/>
          <w:sz w:val="20"/>
          <w:szCs w:val="20"/>
          <w:lang w:val="es-ES"/>
        </w:rPr>
        <w:t>VII.</w:t>
      </w:r>
      <w:r w:rsidRPr="00EF5857">
        <w:rPr>
          <w:rFonts w:ascii="Cambria" w:eastAsia="Cambria" w:hAnsi="Cambria" w:cs="Cambria"/>
          <w:b/>
          <w:sz w:val="20"/>
          <w:szCs w:val="20"/>
          <w:lang w:val="es-ES"/>
        </w:rPr>
        <w:tab/>
        <w:t>ANÁLISIS DE CARACTERIZACIÓN DE LOS HECHOS ALEGADOS</w:t>
      </w:r>
    </w:p>
    <w:p w14:paraId="7D41A90D" w14:textId="77777777" w:rsidR="00166878" w:rsidRPr="00EF5857"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
        </w:rPr>
      </w:pPr>
      <w:r w:rsidRPr="00EF5857">
        <w:rPr>
          <w:rFonts w:ascii="Cambria" w:eastAsia="Cambria" w:hAnsi="Cambria" w:cs="Cambria"/>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El criterio para analizar la admisibilidad difiere del utilizado para el análisis del fondo de la petición dado que la Comisión sólo realiza un análisis prima facie para determinar si los peticionarios establecen la aparente o posible violación de un derecho garantizado por la Convención Americana. Se trata de un análisis somero que no implica prejuzgar o emitir una opinión preliminar sobre el fondo del asunto. </w:t>
      </w:r>
    </w:p>
    <w:p w14:paraId="7D2EA349" w14:textId="5242F3C9" w:rsidR="00A05CE2" w:rsidRPr="00EF5857" w:rsidRDefault="00A05CE2" w:rsidP="00A05CE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eastAsia="Cambria" w:hAnsiTheme="majorHAnsi" w:cs="Cambria"/>
          <w:sz w:val="20"/>
          <w:szCs w:val="20"/>
          <w:lang w:val="es-ES"/>
        </w:rPr>
      </w:pPr>
      <w:r w:rsidRPr="00EF5857">
        <w:rPr>
          <w:rFonts w:ascii="Cambria" w:eastAsia="Cambria" w:hAnsi="Cambria" w:cs="Cambria"/>
          <w:sz w:val="20"/>
          <w:szCs w:val="20"/>
          <w:lang w:val="es-ES"/>
        </w:rPr>
        <w:t>En relación con los argumentos presentados por el Estado, relativos a que investigó y sancionó al responsable de los hechos denunciados, la Comisión recuerda que de acuerdo con la jurisprudencia de la Corte Interamericana para que un Estado no sea responsable por la violación a los derechos humanos atendiendo al principio de complementariedad o subsidiariedad debe haber reconocido las violaciones a derechos humanos, hacerlas cesar y repararlas integralmente</w:t>
      </w:r>
      <w:r w:rsidRPr="00EF5857">
        <w:rPr>
          <w:rFonts w:ascii="Cambria" w:eastAsia="Cambria" w:hAnsi="Cambria" w:cs="Cambria"/>
          <w:sz w:val="20"/>
          <w:szCs w:val="20"/>
          <w:vertAlign w:val="superscript"/>
          <w:lang w:val="es-ES"/>
        </w:rPr>
        <w:footnoteReference w:id="12"/>
      </w:r>
      <w:r w:rsidRPr="00EF5857">
        <w:rPr>
          <w:rFonts w:ascii="Cambria" w:eastAsia="Cambria" w:hAnsi="Cambria" w:cs="Cambria"/>
          <w:sz w:val="20"/>
          <w:szCs w:val="20"/>
          <w:lang w:val="es-ES"/>
        </w:rPr>
        <w:t>.</w:t>
      </w:r>
      <w:r w:rsidR="00062D1B" w:rsidRPr="00EF5857">
        <w:rPr>
          <w:rFonts w:ascii="Cambria" w:eastAsia="Cambria" w:hAnsi="Cambria" w:cs="Cambria"/>
          <w:sz w:val="20"/>
          <w:szCs w:val="20"/>
          <w:lang w:val="es-ES"/>
        </w:rPr>
        <w:t xml:space="preserve"> </w:t>
      </w:r>
      <w:r w:rsidRPr="00EF5857">
        <w:rPr>
          <w:rFonts w:ascii="Cambria" w:eastAsia="Cambria" w:hAnsi="Cambria" w:cs="Cambria"/>
          <w:sz w:val="20"/>
          <w:szCs w:val="20"/>
          <w:lang w:val="es-ES"/>
        </w:rPr>
        <w:t>En el presente asunto, la Comisión observa que los hechos d</w:t>
      </w:r>
      <w:r w:rsidRPr="00EF5857">
        <w:rPr>
          <w:rFonts w:asciiTheme="majorHAnsi" w:eastAsia="Cambria" w:hAnsiTheme="majorHAnsi" w:cs="Cambria"/>
          <w:sz w:val="20"/>
          <w:szCs w:val="20"/>
          <w:lang w:val="es-ES"/>
        </w:rPr>
        <w:t xml:space="preserve">e la petición no se limitan cuestionar las lesiones corporales sufridas por la presunta víctima a manos del director de seguridad, sino que además denuncia la destrucción de material periodístico que le habría sido arrebatado de su celular y alegadas limitaciones al ejercicio de su derecho a la libertad de expresión por intentar de obstaculizar el desempeño de la labor periodística, así la como su privación de su libertad. Al respecto, la Comisión no aprecia que, </w:t>
      </w:r>
      <w:r w:rsidRPr="00EF5857">
        <w:rPr>
          <w:rFonts w:asciiTheme="majorHAnsi" w:eastAsia="Cambria" w:hAnsiTheme="majorHAnsi" w:cs="Cambria"/>
          <w:i/>
          <w:iCs/>
          <w:sz w:val="20"/>
          <w:szCs w:val="20"/>
          <w:lang w:val="es-ES"/>
        </w:rPr>
        <w:t>prima facie</w:t>
      </w:r>
      <w:r w:rsidRPr="00EF5857">
        <w:rPr>
          <w:rFonts w:asciiTheme="majorHAnsi" w:eastAsia="Cambria" w:hAnsiTheme="majorHAnsi" w:cs="Cambria"/>
          <w:sz w:val="20"/>
          <w:szCs w:val="20"/>
          <w:lang w:val="es-ES"/>
        </w:rPr>
        <w:t>, tales afectaciones hayan sido abarcadas por la</w:t>
      </w:r>
      <w:r w:rsidR="00062D1B" w:rsidRPr="00EF5857">
        <w:rPr>
          <w:rFonts w:asciiTheme="majorHAnsi" w:eastAsia="Cambria" w:hAnsiTheme="majorHAnsi" w:cs="Cambria"/>
          <w:sz w:val="20"/>
          <w:szCs w:val="20"/>
          <w:lang w:val="es-ES"/>
        </w:rPr>
        <w:t>s</w:t>
      </w:r>
      <w:r w:rsidRPr="00EF5857">
        <w:rPr>
          <w:rFonts w:asciiTheme="majorHAnsi" w:eastAsia="Cambria" w:hAnsiTheme="majorHAnsi" w:cs="Cambria"/>
          <w:sz w:val="20"/>
          <w:szCs w:val="20"/>
          <w:lang w:val="es-ES"/>
        </w:rPr>
        <w:t xml:space="preserve"> sentencias </w:t>
      </w:r>
      <w:r w:rsidR="00062D1B" w:rsidRPr="00EF5857">
        <w:rPr>
          <w:rFonts w:asciiTheme="majorHAnsi" w:eastAsia="Cambria" w:hAnsiTheme="majorHAnsi" w:cs="Cambria"/>
          <w:sz w:val="20"/>
          <w:szCs w:val="20"/>
          <w:lang w:val="es-ES"/>
        </w:rPr>
        <w:lastRenderedPageBreak/>
        <w:t>condenatorias cuestionadas por la presunta víctima, por lo cual no puede dar por acreditado en esta etapa procesal que el Estado haya reconocido y reparado tales vulneraciones. En tal sentido, toda vez que tales hechos podrían</w:t>
      </w:r>
      <w:r w:rsidR="006F1689" w:rsidRPr="00EF5857">
        <w:rPr>
          <w:rFonts w:asciiTheme="majorHAnsi" w:eastAsia="Cambria" w:hAnsiTheme="majorHAnsi" w:cs="Cambria"/>
          <w:sz w:val="20"/>
          <w:szCs w:val="20"/>
          <w:lang w:val="es-ES"/>
        </w:rPr>
        <w:t>, en principio,</w:t>
      </w:r>
      <w:r w:rsidR="00062D1B" w:rsidRPr="00EF5857">
        <w:rPr>
          <w:rFonts w:asciiTheme="majorHAnsi" w:eastAsia="Cambria" w:hAnsiTheme="majorHAnsi" w:cs="Cambria"/>
          <w:sz w:val="20"/>
          <w:szCs w:val="20"/>
          <w:lang w:val="es-ES"/>
        </w:rPr>
        <w:t xml:space="preserve"> configurar violaciones a los derechos a la libertad,</w:t>
      </w:r>
      <w:r w:rsidR="00173E2E" w:rsidRPr="00EF5857">
        <w:rPr>
          <w:rFonts w:asciiTheme="majorHAnsi" w:eastAsia="Cambria" w:hAnsiTheme="majorHAnsi" w:cs="Cambria"/>
          <w:sz w:val="20"/>
          <w:szCs w:val="20"/>
          <w:lang w:val="es-ES"/>
        </w:rPr>
        <w:t xml:space="preserve"> </w:t>
      </w:r>
      <w:r w:rsidR="00062D1B" w:rsidRPr="00EF5857">
        <w:rPr>
          <w:rFonts w:asciiTheme="majorHAnsi" w:eastAsia="Cambria" w:hAnsiTheme="majorHAnsi" w:cs="Cambria"/>
          <w:sz w:val="20"/>
          <w:szCs w:val="20"/>
          <w:lang w:val="es-ES"/>
        </w:rPr>
        <w:t>protección de las comunicaciones y libertad de expresión, contemplados en los artículos 7, 11.2, 13 y de la Convención</w:t>
      </w:r>
      <w:r w:rsidR="006F1689" w:rsidRPr="00EF5857">
        <w:rPr>
          <w:rFonts w:asciiTheme="majorHAnsi" w:eastAsia="Cambria" w:hAnsiTheme="majorHAnsi" w:cs="Cambria"/>
          <w:sz w:val="20"/>
          <w:szCs w:val="20"/>
          <w:lang w:val="es-ES"/>
        </w:rPr>
        <w:t xml:space="preserve"> Americana.</w:t>
      </w:r>
    </w:p>
    <w:p w14:paraId="124CE04B" w14:textId="0876E611" w:rsidR="00166878" w:rsidRPr="00EF5857" w:rsidRDefault="00062D1B">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eastAsia="Cambria" w:hAnsiTheme="majorHAnsi" w:cs="Cambria"/>
          <w:sz w:val="20"/>
          <w:szCs w:val="20"/>
          <w:lang w:val="es-ES"/>
        </w:rPr>
      </w:pPr>
      <w:r w:rsidRPr="00EF5857">
        <w:rPr>
          <w:rFonts w:asciiTheme="majorHAnsi" w:eastAsia="Cambria" w:hAnsiTheme="majorHAnsi" w:cs="Cambria"/>
          <w:sz w:val="20"/>
          <w:szCs w:val="20"/>
          <w:lang w:val="es-ES"/>
        </w:rPr>
        <w:t xml:space="preserve">Sin perjuicio de lo expuesto, tras un análisis </w:t>
      </w:r>
      <w:r w:rsidRPr="00EF5857">
        <w:rPr>
          <w:rFonts w:asciiTheme="majorHAnsi" w:eastAsia="Cambria" w:hAnsiTheme="majorHAnsi" w:cs="Cambria"/>
          <w:i/>
          <w:sz w:val="20"/>
          <w:szCs w:val="20"/>
          <w:lang w:val="es-ES"/>
        </w:rPr>
        <w:t>prima facie</w:t>
      </w:r>
      <w:r w:rsidRPr="00EF5857">
        <w:rPr>
          <w:rFonts w:asciiTheme="majorHAnsi" w:eastAsia="Cambria" w:hAnsiTheme="majorHAnsi" w:cs="Cambria"/>
          <w:sz w:val="20"/>
          <w:szCs w:val="20"/>
          <w:lang w:val="es-ES"/>
        </w:rPr>
        <w:t xml:space="preserve"> los supuestos del presente caso no caracterizan una vulneración al derecho a la libre circulación. Si bien la presunta víctima alega que fue privado de su libertad en </w:t>
      </w:r>
      <w:r w:rsidRPr="005B49F5">
        <w:rPr>
          <w:rFonts w:asciiTheme="majorHAnsi" w:eastAsia="Cambria" w:hAnsiTheme="majorHAnsi" w:cs="Cambria"/>
          <w:i/>
          <w:iCs/>
          <w:sz w:val="20"/>
          <w:szCs w:val="20"/>
          <w:lang w:val="es-ES"/>
        </w:rPr>
        <w:t>Qu</w:t>
      </w:r>
      <w:r w:rsidR="00EF5857" w:rsidRPr="005B49F5">
        <w:rPr>
          <w:rFonts w:asciiTheme="majorHAnsi" w:eastAsia="Cambria" w:hAnsiTheme="majorHAnsi" w:cs="Cambria"/>
          <w:i/>
          <w:iCs/>
          <w:sz w:val="20"/>
          <w:szCs w:val="20"/>
          <w:lang w:val="es-ES"/>
        </w:rPr>
        <w:t>a</w:t>
      </w:r>
      <w:r w:rsidRPr="005B49F5">
        <w:rPr>
          <w:rFonts w:asciiTheme="majorHAnsi" w:eastAsia="Cambria" w:hAnsiTheme="majorHAnsi" w:cs="Cambria"/>
          <w:i/>
          <w:iCs/>
          <w:sz w:val="20"/>
          <w:szCs w:val="20"/>
          <w:lang w:val="es-ES"/>
        </w:rPr>
        <w:t>rry</w:t>
      </w:r>
      <w:r w:rsidRPr="00EF5857">
        <w:rPr>
          <w:rFonts w:asciiTheme="majorHAnsi" w:eastAsia="Cambria" w:hAnsiTheme="majorHAnsi" w:cs="Cambria"/>
          <w:i/>
          <w:iCs/>
          <w:sz w:val="20"/>
          <w:szCs w:val="20"/>
          <w:lang w:val="es-ES"/>
        </w:rPr>
        <w:t xml:space="preserve"> Heights</w:t>
      </w:r>
      <w:r w:rsidRPr="00EF5857">
        <w:rPr>
          <w:rFonts w:asciiTheme="majorHAnsi" w:eastAsia="Cambria" w:hAnsiTheme="majorHAnsi" w:cs="Cambria"/>
          <w:sz w:val="20"/>
          <w:szCs w:val="20"/>
          <w:lang w:val="es-ES"/>
        </w:rPr>
        <w:t xml:space="preserve"> –hecho que, según alega, resultaría contrario a la garantía de su libre circulación–, el artículo 22 de la Convención protege el derecho a la libertad física en una dimensión particular. La Corte considera que entre el artículo 22 y 7 de la Convención hay una relación de especie y género, debiendo el artículo 22 ser aplicable a circunstancias más específicas de la privación de la libertad física</w:t>
      </w:r>
      <w:r w:rsidRPr="00EF5857">
        <w:rPr>
          <w:rFonts w:asciiTheme="majorHAnsi" w:eastAsia="Cambria" w:hAnsiTheme="majorHAnsi" w:cs="Cambria"/>
          <w:sz w:val="20"/>
          <w:szCs w:val="20"/>
          <w:vertAlign w:val="superscript"/>
          <w:lang w:val="es-ES"/>
        </w:rPr>
        <w:footnoteReference w:id="13"/>
      </w:r>
      <w:r w:rsidRPr="00EF5857">
        <w:rPr>
          <w:rFonts w:asciiTheme="majorHAnsi" w:eastAsia="Cambria" w:hAnsiTheme="majorHAnsi" w:cs="Cambria"/>
          <w:sz w:val="20"/>
          <w:szCs w:val="20"/>
          <w:lang w:val="es-ES"/>
        </w:rPr>
        <w:t>. Hasta la fecha, según la jurisprudencia interamericana, pueden ser ejemplificados en casos de   desplazamiento forzado</w:t>
      </w:r>
      <w:r w:rsidRPr="00EF5857">
        <w:rPr>
          <w:rFonts w:asciiTheme="majorHAnsi" w:eastAsia="Cambria" w:hAnsiTheme="majorHAnsi" w:cs="Cambria"/>
          <w:sz w:val="20"/>
          <w:szCs w:val="20"/>
          <w:vertAlign w:val="superscript"/>
          <w:lang w:val="es-ES"/>
        </w:rPr>
        <w:footnoteReference w:id="14"/>
      </w:r>
      <w:r w:rsidRPr="00EF5857">
        <w:rPr>
          <w:rFonts w:asciiTheme="majorHAnsi" w:eastAsia="Cambria" w:hAnsiTheme="majorHAnsi" w:cs="Cambria"/>
          <w:sz w:val="20"/>
          <w:szCs w:val="20"/>
          <w:lang w:val="es-ES"/>
        </w:rPr>
        <w:t>, refugio</w:t>
      </w:r>
      <w:r w:rsidRPr="00EF5857">
        <w:rPr>
          <w:rFonts w:asciiTheme="majorHAnsi" w:eastAsia="Cambria" w:hAnsiTheme="majorHAnsi" w:cs="Cambria"/>
          <w:sz w:val="20"/>
          <w:szCs w:val="20"/>
          <w:vertAlign w:val="superscript"/>
          <w:lang w:val="es-ES"/>
        </w:rPr>
        <w:footnoteReference w:id="15"/>
      </w:r>
      <w:r w:rsidRPr="00EF5857">
        <w:rPr>
          <w:rFonts w:asciiTheme="majorHAnsi" w:eastAsia="Cambria" w:hAnsiTheme="majorHAnsi" w:cs="Cambria"/>
          <w:sz w:val="20"/>
          <w:szCs w:val="20"/>
          <w:lang w:val="es-ES"/>
        </w:rPr>
        <w:t>, migración y expulsión injustificada</w:t>
      </w:r>
      <w:r w:rsidRPr="00EF5857">
        <w:rPr>
          <w:rFonts w:asciiTheme="majorHAnsi" w:eastAsia="Cambria" w:hAnsiTheme="majorHAnsi" w:cs="Cambria"/>
          <w:sz w:val="20"/>
          <w:szCs w:val="20"/>
          <w:vertAlign w:val="superscript"/>
          <w:lang w:val="es-ES"/>
        </w:rPr>
        <w:footnoteReference w:id="16"/>
      </w:r>
      <w:r w:rsidRPr="00EF5857">
        <w:rPr>
          <w:rFonts w:asciiTheme="majorHAnsi" w:eastAsia="Cambria" w:hAnsiTheme="majorHAnsi" w:cs="Cambria"/>
          <w:sz w:val="20"/>
          <w:szCs w:val="20"/>
          <w:lang w:val="es-ES"/>
        </w:rPr>
        <w:t>, exilio y asilo</w:t>
      </w:r>
      <w:r w:rsidRPr="00EF5857">
        <w:rPr>
          <w:rFonts w:asciiTheme="majorHAnsi" w:eastAsia="Cambria" w:hAnsiTheme="majorHAnsi" w:cs="Cambria"/>
          <w:sz w:val="20"/>
          <w:szCs w:val="20"/>
          <w:vertAlign w:val="superscript"/>
          <w:lang w:val="es-ES"/>
        </w:rPr>
        <w:footnoteReference w:id="17"/>
      </w:r>
      <w:r w:rsidRPr="00EF5857">
        <w:rPr>
          <w:rFonts w:asciiTheme="majorHAnsi" w:eastAsia="Cambria" w:hAnsiTheme="majorHAnsi" w:cs="Cambria"/>
          <w:sz w:val="20"/>
          <w:szCs w:val="20"/>
          <w:lang w:val="es-ES"/>
        </w:rPr>
        <w:t>, y restricción de salida del país</w:t>
      </w:r>
      <w:r w:rsidRPr="00EF5857">
        <w:rPr>
          <w:rFonts w:asciiTheme="majorHAnsi" w:eastAsia="Cambria" w:hAnsiTheme="majorHAnsi" w:cs="Cambria"/>
          <w:sz w:val="20"/>
          <w:szCs w:val="20"/>
          <w:vertAlign w:val="superscript"/>
          <w:lang w:val="es-ES"/>
        </w:rPr>
        <w:footnoteReference w:id="18"/>
      </w:r>
      <w:r w:rsidRPr="00EF5857">
        <w:rPr>
          <w:rFonts w:asciiTheme="majorHAnsi" w:eastAsia="Cambria" w:hAnsiTheme="majorHAnsi" w:cs="Cambria"/>
          <w:sz w:val="20"/>
          <w:szCs w:val="20"/>
          <w:lang w:val="es-ES"/>
        </w:rPr>
        <w:t>.</w:t>
      </w:r>
      <w:r w:rsidR="001233C8" w:rsidRPr="00EF5857">
        <w:rPr>
          <w:rFonts w:asciiTheme="majorHAnsi" w:eastAsia="Cambria" w:hAnsiTheme="majorHAnsi" w:cs="Cambria"/>
          <w:sz w:val="20"/>
          <w:szCs w:val="20"/>
          <w:lang w:val="es-ES"/>
        </w:rPr>
        <w:t xml:space="preserve"> </w:t>
      </w:r>
    </w:p>
    <w:p w14:paraId="3D331E0D" w14:textId="78062EBE" w:rsidR="00166878" w:rsidRPr="00EF5857"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eastAsia="Cambria" w:hAnsiTheme="majorHAnsi" w:cs="Cambria"/>
          <w:sz w:val="20"/>
          <w:szCs w:val="20"/>
          <w:lang w:val="es-ES"/>
        </w:rPr>
      </w:pPr>
      <w:r w:rsidRPr="00EF5857">
        <w:rPr>
          <w:rFonts w:asciiTheme="majorHAnsi" w:eastAsia="Cambria" w:hAnsiTheme="majorHAnsi" w:cs="Cambria"/>
          <w:sz w:val="20"/>
          <w:szCs w:val="20"/>
          <w:lang w:val="es-ES"/>
        </w:rPr>
        <w:t>Finalmente, la Comisión Interamericana ha establecido previamente que, una vez que la Convención Americana entra en vigor en relación con un Estado, ésta y no la Declaración</w:t>
      </w:r>
      <w:r w:rsidR="006E1137" w:rsidRPr="00EF5857">
        <w:rPr>
          <w:rFonts w:asciiTheme="majorHAnsi" w:eastAsia="Cambria" w:hAnsiTheme="majorHAnsi" w:cs="Cambria"/>
          <w:sz w:val="20"/>
          <w:szCs w:val="20"/>
          <w:lang w:val="es-ES"/>
        </w:rPr>
        <w:t xml:space="preserve"> Americana</w:t>
      </w:r>
      <w:r w:rsidRPr="00EF5857">
        <w:rPr>
          <w:rFonts w:asciiTheme="majorHAnsi" w:eastAsia="Cambria" w:hAnsiTheme="majorHAnsi" w:cs="Cambria"/>
          <w:sz w:val="20"/>
          <w:szCs w:val="20"/>
          <w:lang w:val="es-ES"/>
        </w:rPr>
        <w:t xml:space="preserve"> pasa a ser la fuente primaria de derecho aplicable por la Comisión, siempre que la petición se refiera a la presunta violación de derechos idénticos en ambos instrumentos y no se trate de una situación de violación continua. En el presente caso, la presunta víctima alegó la violación de </w:t>
      </w:r>
      <w:r w:rsidR="00F36504" w:rsidRPr="00EF5857">
        <w:rPr>
          <w:rFonts w:asciiTheme="majorHAnsi" w:eastAsia="Cambria" w:hAnsiTheme="majorHAnsi" w:cs="Cambria"/>
          <w:sz w:val="20"/>
          <w:szCs w:val="20"/>
          <w:lang w:val="es-ES"/>
        </w:rPr>
        <w:t xml:space="preserve">una serie de disposiciones de la </w:t>
      </w:r>
      <w:r w:rsidR="00CC0163" w:rsidRPr="00EF5857">
        <w:rPr>
          <w:rFonts w:asciiTheme="majorHAnsi" w:eastAsia="Cambria" w:hAnsiTheme="majorHAnsi" w:cs="Cambria"/>
          <w:sz w:val="20"/>
          <w:szCs w:val="20"/>
          <w:lang w:val="es-ES"/>
        </w:rPr>
        <w:t xml:space="preserve">Declaración que </w:t>
      </w:r>
      <w:r w:rsidRPr="00EF5857">
        <w:rPr>
          <w:rFonts w:asciiTheme="majorHAnsi" w:eastAsia="Cambria" w:hAnsiTheme="majorHAnsi" w:cs="Cambria"/>
          <w:sz w:val="20"/>
          <w:szCs w:val="20"/>
          <w:lang w:val="es-ES"/>
        </w:rPr>
        <w:t>corresponden a derechos idénticos consagrados en la Convención Americana</w:t>
      </w:r>
      <w:r w:rsidR="00CC0163" w:rsidRPr="00EF5857">
        <w:rPr>
          <w:rFonts w:asciiTheme="majorHAnsi" w:eastAsia="Cambria" w:hAnsiTheme="majorHAnsi" w:cs="Cambria"/>
          <w:sz w:val="20"/>
          <w:szCs w:val="20"/>
          <w:lang w:val="es-ES"/>
        </w:rPr>
        <w:t>.</w:t>
      </w:r>
      <w:r w:rsidRPr="00EF5857">
        <w:rPr>
          <w:rFonts w:asciiTheme="majorHAnsi" w:eastAsia="Cambria" w:hAnsiTheme="majorHAnsi" w:cs="Cambria"/>
          <w:sz w:val="20"/>
          <w:szCs w:val="20"/>
          <w:lang w:val="es-ES"/>
        </w:rPr>
        <w:t xml:space="preserve"> Por lo tanto, no corresponde </w:t>
      </w:r>
      <w:r w:rsidR="00F62CB2" w:rsidRPr="00EF5857">
        <w:rPr>
          <w:rFonts w:asciiTheme="majorHAnsi" w:eastAsia="Cambria" w:hAnsiTheme="majorHAnsi" w:cs="Cambria"/>
          <w:sz w:val="20"/>
          <w:szCs w:val="20"/>
          <w:lang w:val="es-ES"/>
        </w:rPr>
        <w:t>un eventual análisis</w:t>
      </w:r>
      <w:r w:rsidRPr="00EF5857">
        <w:rPr>
          <w:rFonts w:asciiTheme="majorHAnsi" w:eastAsia="Cambria" w:hAnsiTheme="majorHAnsi" w:cs="Cambria"/>
          <w:sz w:val="20"/>
          <w:szCs w:val="20"/>
          <w:lang w:val="es-ES"/>
        </w:rPr>
        <w:t xml:space="preserve"> de fondo </w:t>
      </w:r>
      <w:r w:rsidR="007C06AA" w:rsidRPr="00EF5857">
        <w:rPr>
          <w:rFonts w:asciiTheme="majorHAnsi" w:eastAsia="Cambria" w:hAnsiTheme="majorHAnsi" w:cs="Cambria"/>
          <w:sz w:val="20"/>
          <w:szCs w:val="20"/>
          <w:lang w:val="es-ES"/>
        </w:rPr>
        <w:t xml:space="preserve">acerca de la eventual violaciones de dichas disposiciones no convencionales. </w:t>
      </w:r>
    </w:p>
    <w:p w14:paraId="6D149F4D" w14:textId="31715CFC" w:rsidR="00166878" w:rsidRDefault="00350BF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eastAsia="Cambria" w:hAnsiTheme="majorHAnsi" w:cs="Cambria"/>
          <w:sz w:val="20"/>
          <w:szCs w:val="20"/>
          <w:lang w:val="es-ES"/>
        </w:rPr>
      </w:pPr>
      <w:r w:rsidRPr="00EF5857">
        <w:rPr>
          <w:rFonts w:asciiTheme="majorHAnsi" w:eastAsia="Cambria" w:hAnsiTheme="majorHAnsi" w:cs="Cambria"/>
          <w:sz w:val="20"/>
          <w:szCs w:val="20"/>
          <w:lang w:val="es-ES"/>
        </w:rPr>
        <w:t>En atención a estas consideraciones</w:t>
      </w:r>
      <w:r w:rsidR="00F40EEF" w:rsidRPr="00EF5857">
        <w:rPr>
          <w:rFonts w:asciiTheme="majorHAnsi" w:eastAsia="Cambria" w:hAnsiTheme="majorHAnsi" w:cs="Cambria"/>
          <w:sz w:val="20"/>
          <w:szCs w:val="20"/>
          <w:lang w:val="es-ES"/>
        </w:rPr>
        <w:t>,</w:t>
      </w:r>
      <w:r w:rsidRPr="00EF5857">
        <w:rPr>
          <w:rFonts w:asciiTheme="majorHAnsi" w:eastAsia="Cambria" w:hAnsiTheme="majorHAnsi" w:cs="Cambria"/>
          <w:sz w:val="20"/>
          <w:szCs w:val="20"/>
          <w:lang w:val="es-ES"/>
        </w:rPr>
        <w:t xml:space="preserve"> y tras examinar </w:t>
      </w:r>
      <w:r w:rsidR="00CD5C68" w:rsidRPr="00EF5857">
        <w:rPr>
          <w:rFonts w:asciiTheme="majorHAnsi" w:eastAsia="Cambria" w:hAnsiTheme="majorHAnsi" w:cs="Cambria"/>
          <w:sz w:val="20"/>
          <w:szCs w:val="20"/>
          <w:lang w:val="es-ES"/>
        </w:rPr>
        <w:t>las posiciones de</w:t>
      </w:r>
      <w:r w:rsidRPr="00EF5857">
        <w:rPr>
          <w:rFonts w:asciiTheme="majorHAnsi" w:eastAsia="Cambria" w:hAnsiTheme="majorHAnsi" w:cs="Cambria"/>
          <w:sz w:val="20"/>
          <w:szCs w:val="20"/>
          <w:lang w:val="es-ES"/>
        </w:rPr>
        <w:t xml:space="preserve"> las partes</w:t>
      </w:r>
      <w:r w:rsidR="00CD5C68" w:rsidRPr="00EF5857">
        <w:rPr>
          <w:rFonts w:asciiTheme="majorHAnsi" w:eastAsia="Cambria" w:hAnsiTheme="majorHAnsi" w:cs="Cambria"/>
          <w:sz w:val="20"/>
          <w:szCs w:val="20"/>
          <w:lang w:val="es-ES"/>
        </w:rPr>
        <w:t>,</w:t>
      </w:r>
      <w:r w:rsidRPr="00EF5857">
        <w:rPr>
          <w:rFonts w:asciiTheme="majorHAnsi" w:eastAsia="Cambria" w:hAnsiTheme="majorHAnsi" w:cs="Cambria"/>
          <w:sz w:val="20"/>
          <w:szCs w:val="20"/>
          <w:lang w:val="es-ES"/>
        </w:rPr>
        <w:t xml:space="preserve"> la Comisión estima que </w:t>
      </w:r>
      <w:r w:rsidR="00B47805" w:rsidRPr="00EF5857">
        <w:rPr>
          <w:rFonts w:asciiTheme="majorHAnsi" w:eastAsia="Cambria" w:hAnsiTheme="majorHAnsi" w:cs="Cambria"/>
          <w:sz w:val="20"/>
          <w:szCs w:val="20"/>
          <w:lang w:val="es-ES"/>
        </w:rPr>
        <w:t>los alegatos del peticionario</w:t>
      </w:r>
      <w:r w:rsidRPr="00EF5857">
        <w:rPr>
          <w:rFonts w:asciiTheme="majorHAnsi" w:eastAsia="Cambria" w:hAnsiTheme="majorHAnsi" w:cs="Cambria"/>
          <w:sz w:val="20"/>
          <w:szCs w:val="20"/>
          <w:lang w:val="es-ES"/>
        </w:rPr>
        <w:t xml:space="preserve"> no resultan manifiestamente infundad</w:t>
      </w:r>
      <w:r w:rsidR="00B47805" w:rsidRPr="00EF5857">
        <w:rPr>
          <w:rFonts w:asciiTheme="majorHAnsi" w:eastAsia="Cambria" w:hAnsiTheme="majorHAnsi" w:cs="Cambria"/>
          <w:sz w:val="20"/>
          <w:szCs w:val="20"/>
          <w:lang w:val="es-ES"/>
        </w:rPr>
        <w:t>o</w:t>
      </w:r>
      <w:r w:rsidRPr="00EF5857">
        <w:rPr>
          <w:rFonts w:asciiTheme="majorHAnsi" w:eastAsia="Cambria" w:hAnsiTheme="majorHAnsi" w:cs="Cambria"/>
          <w:sz w:val="20"/>
          <w:szCs w:val="20"/>
          <w:lang w:val="es-ES"/>
        </w:rPr>
        <w:t>s y requieren un estudio de fondo</w:t>
      </w:r>
      <w:r w:rsidR="00B47805" w:rsidRPr="00EF5857">
        <w:rPr>
          <w:rFonts w:asciiTheme="majorHAnsi" w:eastAsia="Cambria" w:hAnsiTheme="majorHAnsi" w:cs="Cambria"/>
          <w:sz w:val="20"/>
          <w:szCs w:val="20"/>
          <w:lang w:val="es-ES"/>
        </w:rPr>
        <w:t>,</w:t>
      </w:r>
      <w:r w:rsidRPr="00EF5857">
        <w:rPr>
          <w:rFonts w:asciiTheme="majorHAnsi" w:eastAsia="Cambria" w:hAnsiTheme="majorHAnsi" w:cs="Cambria"/>
          <w:sz w:val="20"/>
          <w:szCs w:val="20"/>
          <w:lang w:val="es-ES"/>
        </w:rPr>
        <w:t xml:space="preserve"> pues los hechos alegados, de corroborarse como ciertos podrían caracterizar violaciones a los derechos contemplados en los artículos </w:t>
      </w:r>
      <w:r w:rsidR="009F6775" w:rsidRPr="00EF5857">
        <w:rPr>
          <w:rFonts w:asciiTheme="majorHAnsi" w:eastAsia="Cambria" w:hAnsiTheme="majorHAnsi" w:cs="Cambria"/>
          <w:sz w:val="20"/>
          <w:szCs w:val="20"/>
          <w:lang w:val="es-ES"/>
        </w:rPr>
        <w:t xml:space="preserve">5 (integridad personal), </w:t>
      </w:r>
      <w:r w:rsidRPr="00EF5857">
        <w:rPr>
          <w:rFonts w:asciiTheme="majorHAnsi" w:eastAsia="Cambria" w:hAnsiTheme="majorHAnsi" w:cs="Cambria"/>
          <w:sz w:val="20"/>
          <w:szCs w:val="20"/>
          <w:lang w:val="es-ES"/>
        </w:rPr>
        <w:t xml:space="preserve">7 (libertad personal), 8 (garantías judiciales), </w:t>
      </w:r>
      <w:r w:rsidR="009F6775" w:rsidRPr="00EF5857">
        <w:rPr>
          <w:rFonts w:asciiTheme="majorHAnsi" w:eastAsia="Cambria" w:hAnsiTheme="majorHAnsi" w:cs="Cambria"/>
          <w:sz w:val="20"/>
          <w:szCs w:val="20"/>
          <w:lang w:val="es-ES"/>
        </w:rPr>
        <w:t xml:space="preserve">11 (protección de la honra y de la dignidad), </w:t>
      </w:r>
      <w:r w:rsidRPr="00EF5857">
        <w:rPr>
          <w:rFonts w:asciiTheme="majorHAnsi" w:eastAsia="Cambria" w:hAnsiTheme="majorHAnsi" w:cs="Cambria"/>
          <w:sz w:val="20"/>
          <w:szCs w:val="20"/>
          <w:lang w:val="es-ES"/>
        </w:rPr>
        <w:t>13 (libertad de pensamiento y expresión), y 25 (protección judicial) de la Convención</w:t>
      </w:r>
      <w:r w:rsidR="001D6308" w:rsidRPr="00EF5857">
        <w:rPr>
          <w:rFonts w:asciiTheme="majorHAnsi" w:eastAsia="Cambria" w:hAnsiTheme="majorHAnsi" w:cs="Cambria"/>
          <w:sz w:val="20"/>
          <w:szCs w:val="20"/>
          <w:lang w:val="es-ES"/>
        </w:rPr>
        <w:t xml:space="preserve"> Americana</w:t>
      </w:r>
      <w:r w:rsidRPr="00EF5857">
        <w:rPr>
          <w:rFonts w:asciiTheme="majorHAnsi" w:eastAsia="Cambria" w:hAnsiTheme="majorHAnsi" w:cs="Cambria"/>
          <w:sz w:val="20"/>
          <w:szCs w:val="20"/>
          <w:lang w:val="es-ES"/>
        </w:rPr>
        <w:t xml:space="preserve"> en perjuicio </w:t>
      </w:r>
      <w:r w:rsidR="00F40EEF" w:rsidRPr="00EF5857">
        <w:rPr>
          <w:rFonts w:asciiTheme="majorHAnsi" w:eastAsia="Cambria" w:hAnsiTheme="majorHAnsi" w:cs="Cambria"/>
          <w:sz w:val="20"/>
          <w:szCs w:val="20"/>
          <w:lang w:val="es-ES"/>
        </w:rPr>
        <w:t>de</w:t>
      </w:r>
      <w:r w:rsidRPr="00EF5857">
        <w:rPr>
          <w:rFonts w:asciiTheme="majorHAnsi" w:eastAsia="Cambria" w:hAnsiTheme="majorHAnsi" w:cs="Cambria"/>
          <w:sz w:val="20"/>
          <w:szCs w:val="20"/>
          <w:lang w:val="es-ES"/>
        </w:rPr>
        <w:t xml:space="preserve"> Filemón Medina Ramos, todos en conexión con </w:t>
      </w:r>
      <w:r w:rsidR="00F40EEF" w:rsidRPr="00EF5857">
        <w:rPr>
          <w:rFonts w:asciiTheme="majorHAnsi" w:eastAsia="Cambria" w:hAnsiTheme="majorHAnsi" w:cs="Cambria"/>
          <w:sz w:val="20"/>
          <w:szCs w:val="20"/>
          <w:lang w:val="es-ES"/>
        </w:rPr>
        <w:t>su</w:t>
      </w:r>
      <w:r w:rsidRPr="00EF5857">
        <w:rPr>
          <w:rFonts w:asciiTheme="majorHAnsi" w:eastAsia="Cambria" w:hAnsiTheme="majorHAnsi" w:cs="Cambria"/>
          <w:sz w:val="20"/>
          <w:szCs w:val="20"/>
          <w:lang w:val="es-ES"/>
        </w:rPr>
        <w:t xml:space="preserve"> art</w:t>
      </w:r>
      <w:r w:rsidR="00F40EEF" w:rsidRPr="00EF5857">
        <w:rPr>
          <w:rFonts w:asciiTheme="majorHAnsi" w:eastAsia="Cambria" w:hAnsiTheme="majorHAnsi" w:cs="Cambria"/>
          <w:sz w:val="20"/>
          <w:szCs w:val="20"/>
          <w:lang w:val="es-ES"/>
        </w:rPr>
        <w:t>ículo</w:t>
      </w:r>
      <w:r w:rsidRPr="00EF5857">
        <w:rPr>
          <w:rFonts w:asciiTheme="majorHAnsi" w:eastAsia="Cambria" w:hAnsiTheme="majorHAnsi" w:cs="Cambria"/>
          <w:sz w:val="20"/>
          <w:szCs w:val="20"/>
          <w:lang w:val="es-ES"/>
        </w:rPr>
        <w:t xml:space="preserve"> 1.1 (obligación de respetar los derechos)</w:t>
      </w:r>
      <w:r w:rsidR="00F40EEF" w:rsidRPr="00EF5857">
        <w:rPr>
          <w:rFonts w:asciiTheme="majorHAnsi" w:eastAsia="Cambria" w:hAnsiTheme="majorHAnsi" w:cs="Cambria"/>
          <w:sz w:val="20"/>
          <w:szCs w:val="20"/>
          <w:lang w:val="es-ES"/>
        </w:rPr>
        <w:t>.</w:t>
      </w:r>
      <w:r w:rsidR="00135CD5" w:rsidRPr="00EF5857">
        <w:rPr>
          <w:rFonts w:asciiTheme="majorHAnsi" w:eastAsia="Cambria" w:hAnsiTheme="majorHAnsi" w:cs="Cambria"/>
          <w:sz w:val="20"/>
          <w:szCs w:val="20"/>
          <w:lang w:val="es-ES"/>
        </w:rPr>
        <w:t xml:space="preserve"> Asimismo, en la etapa de fondo del presente caso, y como una cuestión de mérito, la Comisión evaluará si se vulneraron disposiciones de la Convención Interamericana para Prevenir y Sancionar la Tortura, en conexión con el citado artículo 5 de la Convención Americana. </w:t>
      </w:r>
    </w:p>
    <w:p w14:paraId="072A4928" w14:textId="77777777" w:rsidR="005B49F5" w:rsidRDefault="005B49F5" w:rsidP="005B49F5">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Theme="majorHAnsi" w:eastAsia="Cambria" w:hAnsiTheme="majorHAnsi" w:cs="Cambria"/>
          <w:sz w:val="20"/>
          <w:szCs w:val="20"/>
          <w:lang w:val="es-ES"/>
        </w:rPr>
      </w:pPr>
    </w:p>
    <w:p w14:paraId="05A421AE" w14:textId="77777777" w:rsidR="005B49F5" w:rsidRPr="00EF5857" w:rsidRDefault="005B49F5" w:rsidP="005B49F5">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Theme="majorHAnsi" w:eastAsia="Cambria" w:hAnsiTheme="majorHAnsi" w:cs="Cambria"/>
          <w:sz w:val="20"/>
          <w:szCs w:val="20"/>
          <w:lang w:val="es-ES"/>
        </w:rPr>
      </w:pPr>
    </w:p>
    <w:p w14:paraId="4B305139" w14:textId="77777777" w:rsidR="00166878" w:rsidRPr="00EF5857" w:rsidRDefault="00350BF9">
      <w:pPr>
        <w:pBdr>
          <w:top w:val="nil"/>
          <w:left w:val="nil"/>
          <w:bottom w:val="nil"/>
          <w:right w:val="nil"/>
          <w:between w:val="nil"/>
        </w:pBdr>
        <w:spacing w:before="240" w:after="240"/>
        <w:ind w:left="720"/>
        <w:jc w:val="both"/>
        <w:rPr>
          <w:rFonts w:asciiTheme="majorHAnsi" w:eastAsia="Cambria" w:hAnsiTheme="majorHAnsi" w:cs="Cambria"/>
          <w:b/>
          <w:color w:val="000000"/>
          <w:sz w:val="20"/>
          <w:szCs w:val="20"/>
          <w:lang w:val="es-ES"/>
        </w:rPr>
      </w:pPr>
      <w:r w:rsidRPr="00EF5857">
        <w:rPr>
          <w:rFonts w:asciiTheme="majorHAnsi" w:eastAsia="Cambria" w:hAnsiTheme="majorHAnsi" w:cs="Cambria"/>
          <w:b/>
          <w:color w:val="000000"/>
          <w:sz w:val="20"/>
          <w:szCs w:val="20"/>
          <w:lang w:val="es-ES"/>
        </w:rPr>
        <w:lastRenderedPageBreak/>
        <w:t xml:space="preserve">VIII. </w:t>
      </w:r>
      <w:r w:rsidRPr="00EF5857">
        <w:rPr>
          <w:rFonts w:asciiTheme="majorHAnsi" w:eastAsia="Cambria" w:hAnsiTheme="majorHAnsi" w:cs="Cambria"/>
          <w:b/>
          <w:color w:val="000000"/>
          <w:sz w:val="20"/>
          <w:szCs w:val="20"/>
          <w:lang w:val="es-ES"/>
        </w:rPr>
        <w:tab/>
        <w:t>DECISIÓN</w:t>
      </w:r>
    </w:p>
    <w:p w14:paraId="17A8C21D" w14:textId="699D3AD0" w:rsidR="00166878" w:rsidRPr="00EF5857" w:rsidRDefault="00350BF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hAnsiTheme="majorHAnsi"/>
          <w:sz w:val="20"/>
          <w:szCs w:val="20"/>
          <w:lang w:val="es-ES"/>
        </w:rPr>
      </w:pPr>
      <w:r w:rsidRPr="00EF5857">
        <w:rPr>
          <w:rFonts w:asciiTheme="majorHAnsi" w:eastAsia="Cambria" w:hAnsiTheme="majorHAnsi" w:cs="Cambria"/>
          <w:sz w:val="20"/>
          <w:szCs w:val="20"/>
          <w:lang w:val="es-ES"/>
        </w:rPr>
        <w:t xml:space="preserve">Declarar admisible la presente petición en relación con los artículos </w:t>
      </w:r>
      <w:r w:rsidR="00CD5C68" w:rsidRPr="00EF5857">
        <w:rPr>
          <w:rFonts w:asciiTheme="majorHAnsi" w:eastAsia="Cambria" w:hAnsiTheme="majorHAnsi" w:cs="Cambria"/>
          <w:sz w:val="20"/>
          <w:szCs w:val="20"/>
          <w:lang w:val="es-ES"/>
        </w:rPr>
        <w:t xml:space="preserve">5, </w:t>
      </w:r>
      <w:r w:rsidRPr="00EF5857">
        <w:rPr>
          <w:rFonts w:asciiTheme="majorHAnsi" w:eastAsia="Cambria" w:hAnsiTheme="majorHAnsi" w:cs="Cambria"/>
          <w:sz w:val="20"/>
          <w:szCs w:val="20"/>
          <w:lang w:val="es-ES"/>
        </w:rPr>
        <w:t>7, 8, 11, 13 y 25 de la Convención Americana</w:t>
      </w:r>
      <w:r w:rsidR="00CD5C68" w:rsidRPr="00EF5857">
        <w:rPr>
          <w:rFonts w:asciiTheme="majorHAnsi" w:eastAsia="Cambria" w:hAnsiTheme="majorHAnsi" w:cs="Cambria"/>
          <w:sz w:val="20"/>
          <w:szCs w:val="20"/>
          <w:lang w:val="es-ES"/>
        </w:rPr>
        <w:t>,</w:t>
      </w:r>
      <w:r w:rsidRPr="00EF5857">
        <w:rPr>
          <w:rFonts w:asciiTheme="majorHAnsi" w:eastAsia="Cambria" w:hAnsiTheme="majorHAnsi" w:cs="Cambria"/>
          <w:sz w:val="20"/>
          <w:szCs w:val="20"/>
          <w:lang w:val="es-ES"/>
        </w:rPr>
        <w:t xml:space="preserve"> en relación con su artículo 1.1</w:t>
      </w:r>
      <w:r w:rsidR="0030777A">
        <w:rPr>
          <w:rFonts w:asciiTheme="majorHAnsi" w:eastAsia="Cambria" w:hAnsiTheme="majorHAnsi" w:cs="Cambria"/>
          <w:sz w:val="20"/>
          <w:szCs w:val="20"/>
          <w:lang w:val="es-ES"/>
        </w:rPr>
        <w:t>;</w:t>
      </w:r>
    </w:p>
    <w:p w14:paraId="402B942C" w14:textId="6B83DBCE" w:rsidR="00166878" w:rsidRPr="005B49F5" w:rsidRDefault="00350BF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hAnsiTheme="majorHAnsi"/>
          <w:sz w:val="20"/>
          <w:szCs w:val="20"/>
          <w:lang w:val="es-ES"/>
        </w:rPr>
      </w:pPr>
      <w:r w:rsidRPr="00EF5857">
        <w:rPr>
          <w:rFonts w:asciiTheme="majorHAnsi" w:eastAsia="Cambria" w:hAnsiTheme="majorHAnsi" w:cs="Cambria"/>
          <w:sz w:val="20"/>
          <w:szCs w:val="20"/>
          <w:lang w:val="es-ES"/>
        </w:rPr>
        <w:t xml:space="preserve">Declarar inadmisible la presente petición en relación con los artículos invocados de la Declaración </w:t>
      </w:r>
      <w:r w:rsidRPr="005B49F5">
        <w:rPr>
          <w:rFonts w:asciiTheme="majorHAnsi" w:eastAsia="Cambria" w:hAnsiTheme="majorHAnsi" w:cs="Cambria"/>
          <w:sz w:val="20"/>
          <w:szCs w:val="20"/>
          <w:lang w:val="es-ES"/>
        </w:rPr>
        <w:t>Americana sobre Derechos y Deberes del Hombre</w:t>
      </w:r>
      <w:r w:rsidR="0030777A">
        <w:rPr>
          <w:rFonts w:asciiTheme="majorHAnsi" w:eastAsia="Cambria" w:hAnsiTheme="majorHAnsi" w:cs="Cambria"/>
          <w:sz w:val="20"/>
          <w:szCs w:val="20"/>
          <w:lang w:val="es-ES"/>
        </w:rPr>
        <w:t>;</w:t>
      </w:r>
    </w:p>
    <w:p w14:paraId="65F30C25" w14:textId="29BD3317" w:rsidR="00EF5857" w:rsidRPr="005B49F5" w:rsidRDefault="00EF5857">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hAnsiTheme="majorHAnsi"/>
          <w:sz w:val="20"/>
          <w:szCs w:val="20"/>
          <w:lang w:val="es-ES"/>
        </w:rPr>
      </w:pPr>
      <w:r w:rsidRPr="005B49F5">
        <w:rPr>
          <w:rFonts w:asciiTheme="majorHAnsi" w:hAnsiTheme="majorHAnsi"/>
          <w:sz w:val="20"/>
          <w:szCs w:val="20"/>
          <w:lang w:val="es-ES"/>
        </w:rPr>
        <w:t>Declarar inadmisible la presente petición en relación con el artículo 22 de la Convención Americana</w:t>
      </w:r>
      <w:r w:rsidR="0030777A">
        <w:rPr>
          <w:rFonts w:asciiTheme="majorHAnsi" w:hAnsiTheme="majorHAnsi"/>
          <w:sz w:val="20"/>
          <w:szCs w:val="20"/>
          <w:lang w:val="es-ES"/>
        </w:rPr>
        <w:t>, y;</w:t>
      </w:r>
    </w:p>
    <w:p w14:paraId="62E03A51" w14:textId="77777777" w:rsidR="00166878" w:rsidRPr="0030777A" w:rsidRDefault="00350BF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Theme="majorHAnsi" w:eastAsia="Cambria" w:hAnsiTheme="majorHAnsi" w:cs="Cambria"/>
          <w:color w:val="FF0000"/>
          <w:sz w:val="20"/>
          <w:szCs w:val="20"/>
          <w:lang w:val="es-ES"/>
        </w:rPr>
      </w:pPr>
      <w:r w:rsidRPr="005B49F5">
        <w:rPr>
          <w:rFonts w:asciiTheme="majorHAnsi" w:eastAsia="Cambria" w:hAnsiTheme="majorHAnsi" w:cs="Cambria"/>
          <w:sz w:val="20"/>
          <w:szCs w:val="20"/>
          <w:lang w:val="es-ES"/>
        </w:rPr>
        <w:t>Notificar</w:t>
      </w:r>
      <w:r w:rsidRPr="00EF5857">
        <w:rPr>
          <w:rFonts w:asciiTheme="majorHAnsi" w:eastAsia="Cambria" w:hAnsiTheme="majorHAnsi" w:cs="Cambria"/>
          <w:sz w:val="20"/>
          <w:szCs w:val="20"/>
          <w:lang w:val="es-ES"/>
        </w:rPr>
        <w:t xml:space="preserve"> a las partes la presente decisión; continuar con el análisis del fondo de la cuestión; y publicar esta decisión e incluirla en su Informe Anual a la Asamblea General de la Organización de los Estados Americanos.</w:t>
      </w:r>
    </w:p>
    <w:p w14:paraId="3A6E447C" w14:textId="71045665" w:rsidR="009A2FED" w:rsidRPr="00FE3DE0" w:rsidRDefault="0030777A" w:rsidP="00FE3DE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993522">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noviembre de 2024.  (Firmado): Carlos Bernal Pulido, Primer Vicepresidente; José Luis Caballero Ochoa, Segundo Vicepresidente; Edgar Stuardo Ralón Orellana y Gloria Monique de Mees, </w:t>
      </w:r>
      <w:r w:rsidR="00FE3DE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A2FED" w:rsidRPr="00FE3DE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482B" w14:textId="77777777" w:rsidR="000E50D8" w:rsidRDefault="000E50D8">
      <w:r>
        <w:separator/>
      </w:r>
    </w:p>
  </w:endnote>
  <w:endnote w:type="continuationSeparator" w:id="0">
    <w:p w14:paraId="76E5B49A" w14:textId="77777777" w:rsidR="000E50D8" w:rsidRDefault="000E50D8">
      <w:r>
        <w:continuationSeparator/>
      </w:r>
    </w:p>
  </w:endnote>
  <w:endnote w:type="continuationNotice" w:id="1">
    <w:p w14:paraId="0DEE40EF" w14:textId="77777777" w:rsidR="000E50D8" w:rsidRDefault="000E5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ppleSystemUIFont">
    <w:charset w:val="00"/>
    <w:family w:val="roman"/>
    <w:pitch w:val="default"/>
  </w:font>
  <w:font w:name="UICTFontTextStyleBody">
    <w:charset w:val="00"/>
    <w:family w:val="roman"/>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1520" w14:textId="77777777" w:rsidR="00166878" w:rsidRDefault="00166878">
    <w:pPr>
      <w:rPr>
        <w:rFonts w:ascii="Cambria" w:eastAsia="Cambria" w:hAnsi="Cambria" w:cs="Cambria"/>
        <w:color w:val="333333"/>
        <w:sz w:val="16"/>
        <w:szCs w:val="16"/>
        <w:highlight w:val="white"/>
      </w:rPr>
    </w:pPr>
  </w:p>
  <w:p w14:paraId="68545A18" w14:textId="77777777" w:rsidR="00166878" w:rsidRDefault="00350BF9">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D2194B">
      <w:rPr>
        <w:rFonts w:ascii="Cambria" w:eastAsia="Cambria" w:hAnsi="Cambria" w:cs="Cambria"/>
        <w:noProof/>
        <w:color w:val="000000"/>
        <w:sz w:val="16"/>
        <w:szCs w:val="16"/>
      </w:rPr>
      <w:t>1</w:t>
    </w:r>
    <w:r>
      <w:rPr>
        <w:rFonts w:ascii="Cambria" w:eastAsia="Cambria" w:hAnsi="Cambria" w:cs="Cambria"/>
        <w:color w:val="000000"/>
        <w:sz w:val="16"/>
        <w:szCs w:val="16"/>
      </w:rPr>
      <w:fldChar w:fldCharType="end"/>
    </w:r>
  </w:p>
  <w:p w14:paraId="07113319" w14:textId="77777777" w:rsidR="00166878" w:rsidRDefault="00166878">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12F1" w14:textId="77777777" w:rsidR="00166878" w:rsidRDefault="00166878">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33C471BB" w14:textId="77777777" w:rsidR="00166878" w:rsidRDefault="00166878">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AF7B" w14:textId="77777777" w:rsidR="000E50D8" w:rsidRDefault="000E50D8">
      <w:r>
        <w:separator/>
      </w:r>
    </w:p>
  </w:footnote>
  <w:footnote w:type="continuationSeparator" w:id="0">
    <w:p w14:paraId="7A088901" w14:textId="77777777" w:rsidR="000E50D8" w:rsidRDefault="000E50D8">
      <w:r>
        <w:continuationSeparator/>
      </w:r>
    </w:p>
  </w:footnote>
  <w:footnote w:type="continuationNotice" w:id="1">
    <w:p w14:paraId="39379679" w14:textId="77777777" w:rsidR="000E50D8" w:rsidRDefault="000E50D8"/>
  </w:footnote>
  <w:footnote w:id="2">
    <w:p w14:paraId="502821BB" w14:textId="77777777" w:rsidR="00166878" w:rsidRPr="00D2194B" w:rsidRDefault="00350BF9">
      <w:pPr>
        <w:pBdr>
          <w:top w:val="nil"/>
          <w:left w:val="nil"/>
          <w:bottom w:val="nil"/>
          <w:right w:val="nil"/>
          <w:between w:val="nil"/>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En adelante “la Convención” o “la Convención Americana”.</w:t>
      </w:r>
    </w:p>
  </w:footnote>
  <w:footnote w:id="3">
    <w:p w14:paraId="2EA2F1FB" w14:textId="77777777" w:rsidR="00166878" w:rsidRPr="00D2194B" w:rsidRDefault="00350BF9">
      <w:pPr>
        <w:pBdr>
          <w:top w:val="nil"/>
          <w:left w:val="nil"/>
          <w:bottom w:val="nil"/>
          <w:right w:val="nil"/>
          <w:between w:val="nil"/>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En Adelante “la Declaración” o “la Declaración Americana”.</w:t>
      </w:r>
    </w:p>
  </w:footnote>
  <w:footnote w:id="4">
    <w:p w14:paraId="2E432165" w14:textId="77777777" w:rsidR="00166878" w:rsidRPr="00D2194B" w:rsidRDefault="00350BF9">
      <w:pPr>
        <w:pBdr>
          <w:top w:val="nil"/>
          <w:left w:val="nil"/>
          <w:bottom w:val="nil"/>
          <w:right w:val="nil"/>
          <w:between w:val="nil"/>
        </w:pBdr>
        <w:spacing w:after="120"/>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Las observaciones de cada parte fueron debidamente trasladadas a la parte contraria.</w:t>
      </w:r>
    </w:p>
  </w:footnote>
  <w:footnote w:id="5">
    <w:p w14:paraId="6064E4D9" w14:textId="0F9248AC" w:rsidR="00166878" w:rsidRPr="00D2194B" w:rsidRDefault="00350BF9" w:rsidP="006E38EA">
      <w:pPr>
        <w:ind w:firstLine="720"/>
        <w:jc w:val="both"/>
        <w:rPr>
          <w:rFonts w:asciiTheme="majorHAnsi" w:hAnsiTheme="majorHAnsi"/>
          <w:sz w:val="16"/>
          <w:szCs w:val="16"/>
          <w:lang w:val="es-PE"/>
        </w:rPr>
      </w:pPr>
      <w:r w:rsidRPr="00D2194B">
        <w:rPr>
          <w:rStyle w:val="FootnoteReference"/>
          <w:rFonts w:asciiTheme="majorHAnsi" w:hAnsiTheme="majorHAnsi"/>
          <w:sz w:val="16"/>
          <w:szCs w:val="16"/>
        </w:rPr>
        <w:footnoteRef/>
      </w:r>
      <w:r w:rsidRPr="00D2194B">
        <w:rPr>
          <w:rFonts w:asciiTheme="majorHAnsi" w:hAnsiTheme="majorHAnsi"/>
          <w:sz w:val="16"/>
          <w:szCs w:val="16"/>
          <w:lang w:val="es-PE"/>
        </w:rPr>
        <w:t xml:space="preserve"> </w:t>
      </w:r>
      <w:r w:rsidR="004B4568">
        <w:rPr>
          <w:rFonts w:asciiTheme="majorHAnsi" w:hAnsiTheme="majorHAnsi"/>
          <w:sz w:val="16"/>
          <w:szCs w:val="16"/>
          <w:lang w:val="es-PE"/>
        </w:rPr>
        <w:t xml:space="preserve">La base de </w:t>
      </w:r>
      <w:r w:rsidRPr="00D2194B">
        <w:rPr>
          <w:rFonts w:asciiTheme="majorHAnsi" w:eastAsia="Cambria" w:hAnsiTheme="majorHAnsi" w:cs="Cambria"/>
          <w:i/>
          <w:sz w:val="16"/>
          <w:szCs w:val="16"/>
          <w:lang w:val="es-PE"/>
        </w:rPr>
        <w:t>Quarry Heights</w:t>
      </w:r>
      <w:r w:rsidRPr="00D2194B">
        <w:rPr>
          <w:rFonts w:asciiTheme="majorHAnsi" w:eastAsia="Cambria" w:hAnsiTheme="majorHAnsi" w:cs="Cambria"/>
          <w:sz w:val="16"/>
          <w:szCs w:val="16"/>
          <w:lang w:val="es-PE"/>
        </w:rPr>
        <w:t xml:space="preserve"> era el cuartel general del Comando Sur de Estados Unidos desde 1915 hasta 1997</w:t>
      </w:r>
      <w:r w:rsidR="007347DD">
        <w:rPr>
          <w:rFonts w:asciiTheme="majorHAnsi" w:eastAsia="Cambria" w:hAnsiTheme="majorHAnsi" w:cs="Cambria"/>
          <w:sz w:val="16"/>
          <w:szCs w:val="16"/>
          <w:lang w:val="es-PE"/>
        </w:rPr>
        <w:t xml:space="preserve">. Estas instalaciones pasaron </w:t>
      </w:r>
      <w:r w:rsidR="00056AAE">
        <w:rPr>
          <w:rFonts w:asciiTheme="majorHAnsi" w:eastAsia="Cambria" w:hAnsiTheme="majorHAnsi" w:cs="Cambria"/>
          <w:sz w:val="16"/>
          <w:szCs w:val="16"/>
          <w:lang w:val="es-PE"/>
        </w:rPr>
        <w:t xml:space="preserve">a estar bajo control del Estado panameño </w:t>
      </w:r>
      <w:r w:rsidR="003F1E1F">
        <w:rPr>
          <w:rFonts w:asciiTheme="majorHAnsi" w:eastAsia="Cambria" w:hAnsiTheme="majorHAnsi" w:cs="Cambria"/>
          <w:sz w:val="16"/>
          <w:szCs w:val="16"/>
          <w:lang w:val="es-PE"/>
        </w:rPr>
        <w:t xml:space="preserve">en virtud de los Tratados Torrijos-Carter suscritos con los Estados Unidos en 1977, de la misma forma que todas las tierras </w:t>
      </w:r>
      <w:r w:rsidR="008A16D3">
        <w:rPr>
          <w:rFonts w:asciiTheme="majorHAnsi" w:eastAsia="Cambria" w:hAnsiTheme="majorHAnsi" w:cs="Cambria"/>
          <w:sz w:val="16"/>
          <w:szCs w:val="16"/>
          <w:lang w:val="es-PE"/>
        </w:rPr>
        <w:t xml:space="preserve">e infraestructuras que </w:t>
      </w:r>
      <w:r w:rsidR="004B35F9">
        <w:rPr>
          <w:rFonts w:asciiTheme="majorHAnsi" w:eastAsia="Cambria" w:hAnsiTheme="majorHAnsi" w:cs="Cambria"/>
          <w:sz w:val="16"/>
          <w:szCs w:val="16"/>
          <w:lang w:val="es-PE"/>
        </w:rPr>
        <w:t>estuvieron</w:t>
      </w:r>
      <w:r w:rsidR="008A16D3">
        <w:rPr>
          <w:rFonts w:asciiTheme="majorHAnsi" w:eastAsia="Cambria" w:hAnsiTheme="majorHAnsi" w:cs="Cambria"/>
          <w:sz w:val="16"/>
          <w:szCs w:val="16"/>
          <w:lang w:val="es-PE"/>
        </w:rPr>
        <w:t xml:space="preserve"> </w:t>
      </w:r>
      <w:r w:rsidR="004B35F9">
        <w:rPr>
          <w:rFonts w:asciiTheme="majorHAnsi" w:eastAsia="Cambria" w:hAnsiTheme="majorHAnsi" w:cs="Cambria"/>
          <w:sz w:val="16"/>
          <w:szCs w:val="16"/>
          <w:lang w:val="es-PE"/>
        </w:rPr>
        <w:t>bajo el</w:t>
      </w:r>
      <w:r w:rsidR="008A16D3">
        <w:rPr>
          <w:rFonts w:asciiTheme="majorHAnsi" w:eastAsia="Cambria" w:hAnsiTheme="majorHAnsi" w:cs="Cambria"/>
          <w:sz w:val="16"/>
          <w:szCs w:val="16"/>
          <w:lang w:val="es-PE"/>
        </w:rPr>
        <w:t xml:space="preserve"> control de este segundo Estado</w:t>
      </w:r>
      <w:r w:rsidR="004B35F9">
        <w:rPr>
          <w:rFonts w:asciiTheme="majorHAnsi" w:eastAsia="Cambria" w:hAnsiTheme="majorHAnsi" w:cs="Cambria"/>
          <w:sz w:val="16"/>
          <w:szCs w:val="16"/>
          <w:lang w:val="es-PE"/>
        </w:rPr>
        <w:t xml:space="preserve"> desde la construcción del canal</w:t>
      </w:r>
      <w:r w:rsidR="008A16D3">
        <w:rPr>
          <w:rFonts w:asciiTheme="majorHAnsi" w:eastAsia="Cambria" w:hAnsiTheme="majorHAnsi" w:cs="Cambria"/>
          <w:sz w:val="16"/>
          <w:szCs w:val="16"/>
          <w:lang w:val="es-PE"/>
        </w:rPr>
        <w:t xml:space="preserve">. </w:t>
      </w:r>
    </w:p>
  </w:footnote>
  <w:footnote w:id="6">
    <w:p w14:paraId="3198BD9C" w14:textId="77777777" w:rsidR="00BC6FD2" w:rsidRDefault="00350BF9" w:rsidP="00BC6FD2">
      <w:pPr>
        <w:ind w:firstLine="720"/>
        <w:jc w:val="both"/>
        <w:rPr>
          <w:rFonts w:asciiTheme="majorHAnsi" w:eastAsia="Cambria" w:hAnsiTheme="majorHAnsi" w:cs="Cambria"/>
          <w:sz w:val="16"/>
          <w:szCs w:val="16"/>
          <w:highlight w:val="white"/>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w:t>
      </w:r>
      <w:r w:rsidRPr="00D2194B">
        <w:rPr>
          <w:rFonts w:asciiTheme="majorHAnsi" w:eastAsia="Cambria" w:hAnsiTheme="majorHAnsi" w:cs="Cambria"/>
          <w:sz w:val="16"/>
          <w:szCs w:val="16"/>
          <w:highlight w:val="white"/>
          <w:lang w:val="es-PE"/>
        </w:rPr>
        <w:t xml:space="preserve">El artículo 2128 del Código Judicial panameño establece que: </w:t>
      </w:r>
    </w:p>
    <w:p w14:paraId="19AC4BC6" w14:textId="2CFBA603" w:rsidR="00166878" w:rsidRPr="0018714F" w:rsidRDefault="00350BF9" w:rsidP="0018714F">
      <w:pPr>
        <w:ind w:left="720" w:right="720"/>
        <w:jc w:val="both"/>
        <w:rPr>
          <w:rFonts w:asciiTheme="majorHAnsi" w:eastAsia="Cambria" w:hAnsiTheme="majorHAnsi" w:cs="Cambria"/>
          <w:iCs/>
          <w:sz w:val="16"/>
          <w:szCs w:val="16"/>
          <w:highlight w:val="white"/>
          <w:lang w:val="es-PE"/>
        </w:rPr>
      </w:pPr>
      <w:r w:rsidRPr="0018714F">
        <w:rPr>
          <w:rFonts w:asciiTheme="majorHAnsi" w:eastAsia="Cambria" w:hAnsiTheme="majorHAnsi" w:cs="Cambria"/>
          <w:iCs/>
          <w:sz w:val="16"/>
          <w:szCs w:val="16"/>
          <w:highlight w:val="white"/>
          <w:lang w:val="es-PE"/>
        </w:rPr>
        <w:t>Serán aplicables las medidas cautelares:</w:t>
      </w:r>
    </w:p>
    <w:p w14:paraId="01E3B6D6" w14:textId="4D1C96E2" w:rsidR="00166878" w:rsidRPr="0018714F" w:rsidRDefault="00350BF9" w:rsidP="0018714F">
      <w:pPr>
        <w:ind w:left="720" w:right="720"/>
        <w:jc w:val="both"/>
        <w:rPr>
          <w:rFonts w:asciiTheme="majorHAnsi" w:eastAsia="Cambria" w:hAnsiTheme="majorHAnsi" w:cs="Cambria"/>
          <w:iCs/>
          <w:sz w:val="16"/>
          <w:szCs w:val="16"/>
          <w:highlight w:val="white"/>
          <w:lang w:val="es-PE"/>
        </w:rPr>
      </w:pPr>
      <w:r w:rsidRPr="0018714F">
        <w:rPr>
          <w:rFonts w:asciiTheme="majorHAnsi" w:eastAsia="Cambria" w:hAnsiTheme="majorHAnsi" w:cs="Cambria"/>
          <w:iCs/>
          <w:sz w:val="16"/>
          <w:szCs w:val="16"/>
          <w:highlight w:val="white"/>
          <w:lang w:val="es-PE"/>
        </w:rPr>
        <w:t xml:space="preserve">a. Cuando existan exigencias inaplazables relativas a las investigaciones, relacionadas con situaciones concretas de peligro para la adquisición o la autenticidad de las pruebas; b. Cuando el imputado se dé a la fuga o exista peligro evidente de que intenta hacerlo, y el delito contemple pena mínima de dos años de prisión; y, c. Cuando, por circunstancias especiales o por la personalidad del imputado, exista peligro concreto de que </w:t>
      </w:r>
      <w:r w:rsidR="005C5DF9" w:rsidRPr="0018714F">
        <w:rPr>
          <w:rFonts w:asciiTheme="majorHAnsi" w:eastAsia="Cambria" w:hAnsiTheme="majorHAnsi" w:cs="Cambria"/>
          <w:iCs/>
          <w:sz w:val="16"/>
          <w:szCs w:val="16"/>
          <w:highlight w:val="white"/>
          <w:lang w:val="es-PE"/>
        </w:rPr>
        <w:t>este</w:t>
      </w:r>
      <w:r w:rsidRPr="0018714F">
        <w:rPr>
          <w:rFonts w:asciiTheme="majorHAnsi" w:eastAsia="Cambria" w:hAnsiTheme="majorHAnsi" w:cs="Cambria"/>
          <w:iCs/>
          <w:sz w:val="16"/>
          <w:szCs w:val="16"/>
          <w:highlight w:val="white"/>
          <w:lang w:val="es-PE"/>
        </w:rPr>
        <w:t xml:space="preserve"> cometa delitos graves mediante el uso de armas u otros medios de violencia personal.</w:t>
      </w:r>
    </w:p>
  </w:footnote>
  <w:footnote w:id="7">
    <w:p w14:paraId="24B3FF4A" w14:textId="77777777" w:rsidR="0018714F" w:rsidRDefault="00350BF9" w:rsidP="0018714F">
      <w:pP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El artículo 2140 del Código Judicial panameño establece que: </w:t>
      </w:r>
    </w:p>
    <w:p w14:paraId="17E9E34C" w14:textId="751C9CDE" w:rsidR="00166878" w:rsidRPr="0018714F" w:rsidRDefault="00350BF9" w:rsidP="0018714F">
      <w:pPr>
        <w:ind w:left="720" w:right="720"/>
        <w:jc w:val="both"/>
        <w:rPr>
          <w:rFonts w:asciiTheme="majorHAnsi" w:eastAsia="Cambria" w:hAnsiTheme="majorHAnsi" w:cs="Cambria"/>
          <w:iCs/>
          <w:sz w:val="16"/>
          <w:szCs w:val="16"/>
          <w:lang w:val="es-PE"/>
        </w:rPr>
      </w:pPr>
      <w:r w:rsidRPr="0018714F">
        <w:rPr>
          <w:rFonts w:asciiTheme="majorHAnsi" w:eastAsia="Cambria" w:hAnsiTheme="majorHAnsi" w:cs="Cambria"/>
          <w:iCs/>
          <w:sz w:val="16"/>
          <w:szCs w:val="16"/>
          <w:highlight w:val="white"/>
          <w:lang w:val="es-PE"/>
        </w:rPr>
        <w:t>Cuando se proceda por delito que tenga señalada pena mínima de dos años de prisión y exista prueba que acredite el delito y la vinculación del imputado, a través de un medio probatorio que produzca certeza jurídica de ese acto y exista, además, posibilidad de fuga, desatención al proceso, peligro de destrucción de pruebas, o que pueda atentar contra la vida o salud de otra persona o contra sí mismo, se decretará su detención preventiva. Si el imputado fuere una persona con discapacidad, el funcionario, además, tomará las precauciones necesarias para salvaguardar su integridad personal.</w:t>
      </w:r>
    </w:p>
  </w:footnote>
  <w:footnote w:id="8">
    <w:p w14:paraId="02C18CE5" w14:textId="77777777" w:rsidR="00166878" w:rsidRPr="00D2194B" w:rsidRDefault="00350BF9" w:rsidP="00205F07">
      <w:pPr>
        <w:pBdr>
          <w:top w:val="nil"/>
          <w:left w:val="nil"/>
          <w:bottom w:val="nil"/>
          <w:right w:val="nil"/>
          <w:between w:val="nil"/>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CIDH, Informe No. 35/16, Petición 4480-02. Admisibilidad. Carlos Manuel Veraza Urtusuástegui. México. 29 de julio de 2016, párr. 33</w:t>
      </w:r>
    </w:p>
  </w:footnote>
  <w:footnote w:id="9">
    <w:p w14:paraId="5646CCBC" w14:textId="77777777" w:rsidR="00166878" w:rsidRPr="00D2194B" w:rsidRDefault="00350BF9" w:rsidP="00205F07">
      <w:pPr>
        <w:pBdr>
          <w:top w:val="nil"/>
          <w:left w:val="nil"/>
          <w:bottom w:val="nil"/>
          <w:right w:val="nil"/>
          <w:between w:val="nil"/>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Véase entre otros, CIDH. Informe 4/15, Admisibilidad, Petición 582/01, Raúl Rolando Romero Feris, Argentina, 29 de enero de 2015, párr. 40.</w:t>
      </w:r>
    </w:p>
  </w:footnote>
  <w:footnote w:id="10">
    <w:p w14:paraId="75293431" w14:textId="77777777" w:rsidR="00166878" w:rsidRPr="00E75056" w:rsidRDefault="00350BF9" w:rsidP="00205F07">
      <w:pPr>
        <w:pBdr>
          <w:top w:val="nil"/>
          <w:left w:val="nil"/>
          <w:bottom w:val="nil"/>
          <w:right w:val="nil"/>
          <w:between w:val="nil"/>
        </w:pBdr>
        <w:ind w:firstLine="720"/>
        <w:jc w:val="both"/>
        <w:rPr>
          <w:rFonts w:asciiTheme="majorHAnsi" w:eastAsia="Cambria" w:hAnsiTheme="majorHAnsi" w:cs="Cambria"/>
          <w:sz w:val="16"/>
          <w:szCs w:val="16"/>
          <w:lang w:val="es-ES"/>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Véase por ejemplo, Corte IDH. Caso Wong Ho Wing Vs. </w:t>
      </w:r>
      <w:r w:rsidRPr="00E75056">
        <w:rPr>
          <w:rFonts w:asciiTheme="majorHAnsi" w:eastAsia="Cambria" w:hAnsiTheme="majorHAnsi" w:cs="Cambria"/>
          <w:sz w:val="16"/>
          <w:szCs w:val="16"/>
          <w:lang w:val="es-ES"/>
        </w:rPr>
        <w:t xml:space="preserve">Perú. </w:t>
      </w:r>
      <w:r w:rsidRPr="00D2194B">
        <w:rPr>
          <w:rFonts w:asciiTheme="majorHAnsi" w:eastAsia="Cambria" w:hAnsiTheme="majorHAnsi" w:cs="Cambria"/>
          <w:sz w:val="16"/>
          <w:szCs w:val="16"/>
          <w:lang w:val="es-PE"/>
        </w:rPr>
        <w:t xml:space="preserve">Excepción Preliminar, Fondo, Reparaciones y Costas. Sentencia de 30 de junio de 2015. Serie C No. 297, párrs. 25 y 27; y Corte IDH. Caso Asociación Nacional de Cesantes y Jubilados de la Superintendencia Nacional de Administración Tributaria (ANCEJUB-SUNAT) Vs. </w:t>
      </w:r>
      <w:r w:rsidRPr="00E75056">
        <w:rPr>
          <w:rFonts w:asciiTheme="majorHAnsi" w:eastAsia="Cambria" w:hAnsiTheme="majorHAnsi" w:cs="Cambria"/>
          <w:sz w:val="16"/>
          <w:szCs w:val="16"/>
          <w:lang w:val="es-ES"/>
        </w:rPr>
        <w:t xml:space="preserve">Perú. </w:t>
      </w:r>
      <w:r w:rsidRPr="00D2194B">
        <w:rPr>
          <w:rFonts w:asciiTheme="majorHAnsi" w:eastAsia="Cambria" w:hAnsiTheme="majorHAnsi" w:cs="Cambria"/>
          <w:sz w:val="16"/>
          <w:szCs w:val="16"/>
          <w:lang w:val="es-PE"/>
        </w:rPr>
        <w:t xml:space="preserve">Excepciones Preliminares, Fondo, Reparaciones y Costas. Sentencia de 21 de noviembre de 2019. </w:t>
      </w:r>
      <w:r w:rsidRPr="00E75056">
        <w:rPr>
          <w:rFonts w:asciiTheme="majorHAnsi" w:eastAsia="Cambria" w:hAnsiTheme="majorHAnsi" w:cs="Cambria"/>
          <w:sz w:val="16"/>
          <w:szCs w:val="16"/>
          <w:lang w:val="es-ES"/>
        </w:rPr>
        <w:t xml:space="preserve">Serie C No. 394, párr. 22. </w:t>
      </w:r>
    </w:p>
  </w:footnote>
  <w:footnote w:id="11">
    <w:p w14:paraId="2C2D5974" w14:textId="7147D624" w:rsidR="00166878" w:rsidRPr="00D2194B" w:rsidRDefault="00350BF9" w:rsidP="00205F07">
      <w:pPr>
        <w:pBdr>
          <w:top w:val="nil"/>
          <w:left w:val="nil"/>
          <w:bottom w:val="nil"/>
          <w:right w:val="nil"/>
          <w:between w:val="nil"/>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CIDH, Informe No. 72/18, Petición 1131-08. Admisibilidad. Moisés de Jesús Hernández Pinto y familia. Guatemala. 20 de junio de 2018, párr. 10.</w:t>
      </w:r>
    </w:p>
  </w:footnote>
  <w:footnote w:id="12">
    <w:p w14:paraId="6728502F" w14:textId="5270B4D2" w:rsidR="00A05CE2" w:rsidRPr="00A31399" w:rsidRDefault="00A05CE2" w:rsidP="006F1689">
      <w:pPr>
        <w:ind w:firstLine="720"/>
        <w:jc w:val="both"/>
        <w:rPr>
          <w:rFonts w:asciiTheme="majorHAnsi" w:eastAsia="Cambria" w:hAnsiTheme="majorHAnsi" w:cs="Cambria"/>
          <w:sz w:val="16"/>
          <w:szCs w:val="16"/>
          <w:lang w:val="es-PE"/>
        </w:rPr>
      </w:pPr>
      <w:r w:rsidRPr="00263374">
        <w:rPr>
          <w:rStyle w:val="FootnoteReference"/>
          <w:rFonts w:asciiTheme="majorHAnsi" w:hAnsiTheme="majorHAnsi"/>
          <w:sz w:val="16"/>
          <w:szCs w:val="16"/>
        </w:rPr>
        <w:footnoteRef/>
      </w:r>
      <w:r w:rsidR="00EA3F5D">
        <w:rPr>
          <w:rFonts w:asciiTheme="majorHAnsi" w:eastAsia="Cambria" w:hAnsiTheme="majorHAnsi" w:cs="Cambria"/>
          <w:sz w:val="16"/>
          <w:szCs w:val="16"/>
          <w:lang w:val="es-PE"/>
        </w:rPr>
        <w:t xml:space="preserve"> </w:t>
      </w:r>
      <w:r>
        <w:rPr>
          <w:rFonts w:asciiTheme="majorHAnsi" w:eastAsia="Cambria" w:hAnsiTheme="majorHAnsi" w:cs="Cambria"/>
          <w:sz w:val="16"/>
          <w:szCs w:val="16"/>
          <w:lang w:val="es-PE"/>
        </w:rPr>
        <w:t>Corte IDH.</w:t>
      </w:r>
      <w:r w:rsidRPr="00263374">
        <w:rPr>
          <w:rFonts w:asciiTheme="majorHAnsi" w:eastAsia="Cambria" w:hAnsiTheme="majorHAnsi" w:cs="Cambria"/>
          <w:sz w:val="16"/>
          <w:szCs w:val="16"/>
          <w:lang w:val="es-PE"/>
        </w:rPr>
        <w:t xml:space="preserve"> </w:t>
      </w:r>
      <w:r>
        <w:rPr>
          <w:rFonts w:asciiTheme="majorHAnsi" w:eastAsia="Cambria" w:hAnsiTheme="majorHAnsi" w:cs="Cambria"/>
          <w:sz w:val="16"/>
          <w:szCs w:val="16"/>
          <w:lang w:val="es-PE"/>
        </w:rPr>
        <w:t xml:space="preserve">Caso </w:t>
      </w:r>
      <w:r w:rsidRPr="00263374">
        <w:rPr>
          <w:rFonts w:asciiTheme="majorHAnsi" w:eastAsia="Cambria" w:hAnsiTheme="majorHAnsi" w:cs="Cambria"/>
          <w:sz w:val="16"/>
          <w:szCs w:val="16"/>
          <w:lang w:val="es-PE"/>
        </w:rPr>
        <w:t xml:space="preserve">Tzompaxtle Tecpile y otros vs México, Excepciones preliminares, Fondo y Reparaciones. </w:t>
      </w:r>
      <w:r w:rsidRPr="00A31399">
        <w:rPr>
          <w:rFonts w:asciiTheme="majorHAnsi" w:eastAsia="Cambria" w:hAnsiTheme="majorHAnsi" w:cs="Cambria"/>
          <w:sz w:val="16"/>
          <w:szCs w:val="16"/>
          <w:lang w:val="es-PE"/>
        </w:rPr>
        <w:t>Sentencia del 7 de noviembre de 2022, párr. 194</w:t>
      </w:r>
      <w:r>
        <w:rPr>
          <w:rFonts w:asciiTheme="majorHAnsi" w:eastAsia="Cambria" w:hAnsiTheme="majorHAnsi" w:cs="Cambria"/>
          <w:sz w:val="16"/>
          <w:szCs w:val="16"/>
          <w:lang w:val="es-PE"/>
        </w:rPr>
        <w:t xml:space="preserve">; </w:t>
      </w:r>
      <w:r w:rsidRPr="00A31399">
        <w:rPr>
          <w:rFonts w:asciiTheme="majorHAnsi" w:eastAsia="Cambria" w:hAnsiTheme="majorHAnsi" w:cs="Cambria"/>
          <w:sz w:val="16"/>
          <w:szCs w:val="16"/>
          <w:lang w:val="es-PE"/>
        </w:rPr>
        <w:t>Caso Petro Urrego Vs. Colombia. Excepciones Preliminares, Fondo, Reparaciones y Costas. Sentencia de 8 de julio de 2020. Serie C No. 406, Párr.109</w:t>
      </w:r>
      <w:r>
        <w:rPr>
          <w:rFonts w:asciiTheme="majorHAnsi" w:eastAsia="Cambria" w:hAnsiTheme="majorHAnsi" w:cs="Cambria"/>
          <w:sz w:val="16"/>
          <w:szCs w:val="16"/>
          <w:lang w:val="es-PE"/>
        </w:rPr>
        <w:t xml:space="preserve">; y </w:t>
      </w:r>
      <w:r w:rsidRPr="00D2194B">
        <w:rPr>
          <w:rFonts w:asciiTheme="majorHAnsi" w:eastAsia="Cambria" w:hAnsiTheme="majorHAnsi" w:cs="Cambria"/>
          <w:sz w:val="16"/>
          <w:szCs w:val="16"/>
          <w:lang w:val="es-PE"/>
        </w:rPr>
        <w:t>Caso Urrutia Laubreaux Vs. Chile. Excepciones Preliminares, Fondo, Reparaciones y Costas. Sentencia de 27 de agosto de 2020. Serie C No. 409, párr. 90.</w:t>
      </w:r>
    </w:p>
  </w:footnote>
  <w:footnote w:id="13">
    <w:p w14:paraId="420C268C" w14:textId="77777777" w:rsidR="00166878" w:rsidRPr="00D2194B" w:rsidRDefault="00350BF9" w:rsidP="00070BD8">
      <w:pPr>
        <w:pBdr>
          <w:top w:val="nil"/>
          <w:left w:val="nil"/>
          <w:bottom w:val="nil"/>
          <w:right w:val="nil"/>
          <w:between w:val="nil"/>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FE3DE0">
        <w:rPr>
          <w:rFonts w:asciiTheme="majorHAnsi" w:eastAsia="Cambria" w:hAnsiTheme="majorHAnsi" w:cs="Cambria"/>
          <w:sz w:val="16"/>
          <w:szCs w:val="16"/>
          <w:lang w:val="pt-BR"/>
        </w:rPr>
        <w:t xml:space="preserve"> </w:t>
      </w:r>
      <w:r w:rsidRPr="00FE3DE0">
        <w:rPr>
          <w:rFonts w:asciiTheme="majorHAnsi" w:eastAsia="Cambria" w:hAnsiTheme="majorHAnsi" w:cs="Cambria"/>
          <w:sz w:val="16"/>
          <w:szCs w:val="16"/>
          <w:highlight w:val="white"/>
          <w:lang w:val="pt-BR"/>
        </w:rPr>
        <w:t xml:space="preserve">Corte IDH. Caso Andrade Salmón Vs. </w:t>
      </w:r>
      <w:r w:rsidRPr="00D2194B">
        <w:rPr>
          <w:rFonts w:asciiTheme="majorHAnsi" w:eastAsia="Cambria" w:hAnsiTheme="majorHAnsi" w:cs="Cambria"/>
          <w:sz w:val="16"/>
          <w:szCs w:val="16"/>
          <w:highlight w:val="white"/>
          <w:lang w:val="es-PE"/>
        </w:rPr>
        <w:t xml:space="preserve">Bolivia. Fondo, Reparaciones y Costas. Sentencia de 1 de diciembre de 2016. Serie C No. 330, párr. 141-144. </w:t>
      </w:r>
    </w:p>
  </w:footnote>
  <w:footnote w:id="14">
    <w:p w14:paraId="672F9DE7" w14:textId="289AB724" w:rsidR="00166878" w:rsidRPr="00D2194B" w:rsidRDefault="00350BF9" w:rsidP="00070BD8">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16"/>
          <w:szCs w:val="16"/>
          <w:lang w:val="pt-BR"/>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Corte IDH. Caso Defensor de Derechos Humanos y otros Vs. Guatemala. Excepciones Preliminares, Fondo, Reparaciones y Costas. Sentencia de 28 de agosto de 2014. Serie C No. 283; Corte IDH. Caso Gudiel Álvarez y otros ("Diario Militar") Vs. Guatemala. Fondo, Reparaciones y Costas. Sentencia de 20 noviembre de 2012. Serie C No. 253; Corte IDH. Caso Masacres de El Mozote y lugares aledaños Vs. El Salvador. Fondo, Reparaciones y Costas. Sentencia de 25 de octubre de 2012. Serie C No. 252; Corte IDH. Caso Masacres de Río Negro Vs. Guatemala. Excepción Preliminar, Fondo, Reparaciones y Costas. Sentencia de 4 de septiembre de 2012. Serie C No. 250; Corte IDH. Caso Familia Barrios Vs. Venezuela. Fondo, Reparaciones y Costas. Sentencia de 24 de noviembre de 2011. Serie C No. 237; Corte IDH. Caso de las Masacres de Ituango Vs. Colombia. Sentencia de 1 de julio de 2006. Serie C No. </w:t>
      </w:r>
      <w:r w:rsidR="00EA3F5D" w:rsidRPr="00D2194B">
        <w:rPr>
          <w:rFonts w:asciiTheme="majorHAnsi" w:eastAsia="Cambria" w:hAnsiTheme="majorHAnsi" w:cs="Cambria"/>
          <w:sz w:val="16"/>
          <w:szCs w:val="16"/>
          <w:lang w:val="es-PE"/>
        </w:rPr>
        <w:t>148;</w:t>
      </w:r>
      <w:r w:rsidRPr="00D2194B">
        <w:rPr>
          <w:rFonts w:asciiTheme="majorHAnsi" w:eastAsia="Cambria" w:hAnsiTheme="majorHAnsi" w:cs="Cambria"/>
          <w:sz w:val="16"/>
          <w:szCs w:val="16"/>
          <w:lang w:val="es-PE"/>
        </w:rPr>
        <w:t xml:space="preserve"> Corte IDH. Caso de la Masacre de Pueblo Bello Vs. Colombia. Sentencia de 31 de enero de 2006. Serie C No. 140; Corte IDH. Caso de la Comunidad Moiwana Vs. Surinam. Excepciones Preliminares, Fondo, Reparaciones y Costas. Sentencia de 15 de junio de 2005. </w:t>
      </w:r>
      <w:r w:rsidRPr="00D2194B">
        <w:rPr>
          <w:rFonts w:asciiTheme="majorHAnsi" w:eastAsia="Cambria" w:hAnsiTheme="majorHAnsi" w:cs="Cambria"/>
          <w:sz w:val="16"/>
          <w:szCs w:val="16"/>
          <w:lang w:val="pt-BR"/>
        </w:rPr>
        <w:t>Serie C No. 124.</w:t>
      </w:r>
    </w:p>
  </w:footnote>
  <w:footnote w:id="15">
    <w:p w14:paraId="28C994D7" w14:textId="77777777" w:rsidR="00166878" w:rsidRPr="00D2194B" w:rsidRDefault="00350BF9" w:rsidP="00070BD8">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pt-BR"/>
        </w:rPr>
        <w:t xml:space="preserve"> Corte IDH. Caso Familia Pacheco Tineo Vs. </w:t>
      </w:r>
      <w:r w:rsidRPr="00D2194B">
        <w:rPr>
          <w:rFonts w:asciiTheme="majorHAnsi" w:eastAsia="Cambria" w:hAnsiTheme="majorHAnsi" w:cs="Cambria"/>
          <w:sz w:val="16"/>
          <w:szCs w:val="16"/>
          <w:lang w:val="es-PE"/>
        </w:rPr>
        <w:t>Bolivia. Excepciones Preliminares, Fondo, Reparaciones y Costas. Sentencia de 25 de noviembre de 2013. Serie C No. 272.</w:t>
      </w:r>
    </w:p>
  </w:footnote>
  <w:footnote w:id="16">
    <w:p w14:paraId="585FC17D" w14:textId="77777777" w:rsidR="00166878" w:rsidRPr="00D2194B" w:rsidRDefault="00350BF9" w:rsidP="00070BD8">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16"/>
          <w:szCs w:val="16"/>
          <w:lang w:val="es-PE"/>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Corte IDH. Caso de Personas dominicanas y haitianas expulsadas Vs. República Dominicana. Excepciones Preliminares, Fondo, Reparaciones y Costas. Sentencia de 28 de agosto de 2014. Serie C No. 282; Corte IDH. Caso Nadege Dorzema y otros Vs. República Dominicana. Fondo, Reparaciones y Costas. Sentencia de 24 de octubre de 2012. Serie C No. 251.</w:t>
      </w:r>
    </w:p>
  </w:footnote>
  <w:footnote w:id="17">
    <w:p w14:paraId="6C8EB9E4" w14:textId="77777777" w:rsidR="00166878" w:rsidRPr="00E75056" w:rsidRDefault="00350BF9" w:rsidP="00070BD8">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16"/>
          <w:szCs w:val="16"/>
          <w:lang w:val="pt-BR"/>
        </w:rPr>
      </w:pPr>
      <w:r w:rsidRPr="00D2194B">
        <w:rPr>
          <w:rStyle w:val="FootnoteReference"/>
          <w:rFonts w:asciiTheme="majorHAnsi" w:hAnsiTheme="majorHAnsi"/>
          <w:sz w:val="16"/>
          <w:szCs w:val="16"/>
        </w:rPr>
        <w:footnoteRef/>
      </w:r>
      <w:r w:rsidRPr="00D2194B">
        <w:rPr>
          <w:rFonts w:asciiTheme="majorHAnsi" w:eastAsia="Cambria" w:hAnsiTheme="majorHAnsi" w:cs="Cambria"/>
          <w:sz w:val="16"/>
          <w:szCs w:val="16"/>
          <w:lang w:val="es-PE"/>
        </w:rPr>
        <w:t xml:space="preserve"> Corte IDH. Caso Vélez Restrepo y familiares Vs. </w:t>
      </w:r>
      <w:r w:rsidRPr="00E75056">
        <w:rPr>
          <w:rFonts w:asciiTheme="majorHAnsi" w:eastAsia="Cambria" w:hAnsiTheme="majorHAnsi" w:cs="Cambria"/>
          <w:sz w:val="16"/>
          <w:szCs w:val="16"/>
          <w:lang w:val="es-ES"/>
        </w:rPr>
        <w:t xml:space="preserve">Colombia. </w:t>
      </w:r>
      <w:r w:rsidRPr="00D2194B">
        <w:rPr>
          <w:rFonts w:asciiTheme="majorHAnsi" w:eastAsia="Cambria" w:hAnsiTheme="majorHAnsi" w:cs="Cambria"/>
          <w:sz w:val="16"/>
          <w:szCs w:val="16"/>
          <w:lang w:val="es-PE"/>
        </w:rPr>
        <w:t xml:space="preserve">Excepción Preliminar, Fondo, Reparaciones y Costas. Sentencia de 3 de septiembre de 2012. Serie C No. 248; Corte IDH. Caso Cepeda Vargas Vs. Colombia. Excepciones Preliminares, Fondo, Reparaciones y Costas. Sentencia de 26 de mayo de 2010. </w:t>
      </w:r>
      <w:r w:rsidRPr="00E75056">
        <w:rPr>
          <w:rFonts w:asciiTheme="majorHAnsi" w:eastAsia="Cambria" w:hAnsiTheme="majorHAnsi" w:cs="Cambria"/>
          <w:sz w:val="16"/>
          <w:szCs w:val="16"/>
          <w:lang w:val="pt-BR"/>
        </w:rPr>
        <w:t>Serie C No. 213.</w:t>
      </w:r>
    </w:p>
  </w:footnote>
  <w:footnote w:id="18">
    <w:p w14:paraId="3A7E45BB" w14:textId="77777777" w:rsidR="00166878" w:rsidRPr="00FE3DE0" w:rsidRDefault="00350BF9" w:rsidP="00070BD8">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sz w:val="16"/>
          <w:szCs w:val="16"/>
          <w:lang w:val="es-AR"/>
        </w:rPr>
      </w:pPr>
      <w:r w:rsidRPr="00D2194B">
        <w:rPr>
          <w:rStyle w:val="FootnoteReference"/>
          <w:rFonts w:asciiTheme="majorHAnsi" w:hAnsiTheme="majorHAnsi"/>
          <w:sz w:val="16"/>
          <w:szCs w:val="16"/>
        </w:rPr>
        <w:footnoteRef/>
      </w:r>
      <w:r w:rsidRPr="00E75056">
        <w:rPr>
          <w:rFonts w:asciiTheme="majorHAnsi" w:eastAsia="Cambria" w:hAnsiTheme="majorHAnsi" w:cs="Cambria"/>
          <w:sz w:val="16"/>
          <w:szCs w:val="16"/>
          <w:lang w:val="pt-BR"/>
        </w:rPr>
        <w:t xml:space="preserve"> Corte IDH. Caso Liakat Ali Alibux Vs. </w:t>
      </w:r>
      <w:r w:rsidRPr="00D2194B">
        <w:rPr>
          <w:rFonts w:asciiTheme="majorHAnsi" w:eastAsia="Cambria" w:hAnsiTheme="majorHAnsi" w:cs="Cambria"/>
          <w:sz w:val="16"/>
          <w:szCs w:val="16"/>
          <w:lang w:val="es-PE"/>
        </w:rPr>
        <w:t xml:space="preserve">Surinam. Excepciones Preliminares, Fondo, Reparaciones y Costas. Sentencia de 30 de enero de 2014. Serie C No. 276; Corte IDH. Caso Ricardo Canese Vs. Paraguay. Fondo, Reparaciones y Costas. </w:t>
      </w:r>
      <w:r w:rsidRPr="00FE3DE0">
        <w:rPr>
          <w:rFonts w:asciiTheme="majorHAnsi" w:eastAsia="Cambria" w:hAnsiTheme="majorHAnsi" w:cs="Cambria"/>
          <w:sz w:val="16"/>
          <w:szCs w:val="16"/>
          <w:lang w:val="es-AR"/>
        </w:rPr>
        <w:t>Sentencia de 31 de agosto de 2004. Serie C No.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1E90" w14:textId="77777777" w:rsidR="00166878" w:rsidRDefault="00350BF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sidR="001F56BE">
      <w:rPr>
        <w:rFonts w:ascii="Open Sans" w:eastAsia="Open Sans" w:hAnsi="Open Sans" w:cs="Open Sans"/>
        <w:color w:val="000000"/>
      </w:rPr>
      <w:fldChar w:fldCharType="separate"/>
    </w:r>
    <w:r>
      <w:rPr>
        <w:rFonts w:ascii="Open Sans" w:eastAsia="Open Sans" w:hAnsi="Open Sans" w:cs="Open Sans"/>
        <w:color w:val="000000"/>
      </w:rPr>
      <w:fldChar w:fldCharType="end"/>
    </w:r>
  </w:p>
  <w:p w14:paraId="1F1B5A9A" w14:textId="77777777" w:rsidR="00166878" w:rsidRDefault="00166878">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7564" w14:textId="77777777" w:rsidR="00166878" w:rsidRDefault="00350BF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0238682E" wp14:editId="49015938">
          <wp:extent cx="1972237" cy="104775"/>
          <wp:effectExtent l="0" t="0" r="0" b="0"/>
          <wp:docPr id="25" name="image2.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2.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55AD4662" w14:textId="77777777" w:rsidR="00166878" w:rsidRDefault="001F56BE">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noProof/>
      </w:rPr>
      <w:pict w14:anchorId="53C88F23">
        <v:rect id="_x0000_i1025" style="width:425.2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2F3"/>
    <w:multiLevelType w:val="multilevel"/>
    <w:tmpl w:val="2E968BF8"/>
    <w:lvl w:ilvl="0">
      <w:start w:val="1"/>
      <w:numFmt w:val="decimal"/>
      <w:lvlText w:val="%1."/>
      <w:lvlJc w:val="left"/>
      <w:pPr>
        <w:ind w:left="0" w:firstLine="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8A5B42"/>
    <w:multiLevelType w:val="multilevel"/>
    <w:tmpl w:val="57F49C4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03350D"/>
    <w:multiLevelType w:val="multilevel"/>
    <w:tmpl w:val="E318B642"/>
    <w:lvl w:ilvl="0">
      <w:start w:val="1"/>
      <w:numFmt w:val="decimal"/>
      <w:lvlText w:val="%1."/>
      <w:lvlJc w:val="left"/>
      <w:pPr>
        <w:ind w:left="0" w:firstLine="72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6489339">
    <w:abstractNumId w:val="2"/>
  </w:num>
  <w:num w:numId="2" w16cid:durableId="1967394451">
    <w:abstractNumId w:val="0"/>
  </w:num>
  <w:num w:numId="3" w16cid:durableId="15832240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78"/>
    <w:rsid w:val="000374CF"/>
    <w:rsid w:val="00043784"/>
    <w:rsid w:val="00056AAE"/>
    <w:rsid w:val="00062D1B"/>
    <w:rsid w:val="00070BD8"/>
    <w:rsid w:val="000B1060"/>
    <w:rsid w:val="000B4246"/>
    <w:rsid w:val="000B7BDE"/>
    <w:rsid w:val="000C44FC"/>
    <w:rsid w:val="000E50D8"/>
    <w:rsid w:val="001233C8"/>
    <w:rsid w:val="00135CD5"/>
    <w:rsid w:val="00166878"/>
    <w:rsid w:val="00173E2E"/>
    <w:rsid w:val="0018714F"/>
    <w:rsid w:val="001D13F9"/>
    <w:rsid w:val="001D6308"/>
    <w:rsid w:val="001F3BF6"/>
    <w:rsid w:val="001F56BE"/>
    <w:rsid w:val="00205F07"/>
    <w:rsid w:val="00220CF2"/>
    <w:rsid w:val="0022518E"/>
    <w:rsid w:val="00231C2C"/>
    <w:rsid w:val="002441BE"/>
    <w:rsid w:val="002509A8"/>
    <w:rsid w:val="00260590"/>
    <w:rsid w:val="002A3C76"/>
    <w:rsid w:val="002D27C5"/>
    <w:rsid w:val="003065AB"/>
    <w:rsid w:val="0030777A"/>
    <w:rsid w:val="00315418"/>
    <w:rsid w:val="003261A9"/>
    <w:rsid w:val="00350BF9"/>
    <w:rsid w:val="003676C2"/>
    <w:rsid w:val="003F1E1F"/>
    <w:rsid w:val="003F5945"/>
    <w:rsid w:val="00415463"/>
    <w:rsid w:val="00441B13"/>
    <w:rsid w:val="004535B8"/>
    <w:rsid w:val="0046582E"/>
    <w:rsid w:val="004A6E44"/>
    <w:rsid w:val="004B35F9"/>
    <w:rsid w:val="004B4568"/>
    <w:rsid w:val="004C4165"/>
    <w:rsid w:val="00544ADB"/>
    <w:rsid w:val="005528A5"/>
    <w:rsid w:val="00580F0D"/>
    <w:rsid w:val="00582226"/>
    <w:rsid w:val="005B49F5"/>
    <w:rsid w:val="005B5F1E"/>
    <w:rsid w:val="005C5DF9"/>
    <w:rsid w:val="005D4828"/>
    <w:rsid w:val="005E5709"/>
    <w:rsid w:val="00610F23"/>
    <w:rsid w:val="0061554B"/>
    <w:rsid w:val="0068256D"/>
    <w:rsid w:val="006C11F7"/>
    <w:rsid w:val="006E1137"/>
    <w:rsid w:val="006E38EA"/>
    <w:rsid w:val="006F1689"/>
    <w:rsid w:val="007347DD"/>
    <w:rsid w:val="00743B02"/>
    <w:rsid w:val="00745140"/>
    <w:rsid w:val="007556AA"/>
    <w:rsid w:val="00796B86"/>
    <w:rsid w:val="007C06AA"/>
    <w:rsid w:val="007E182A"/>
    <w:rsid w:val="00821C7A"/>
    <w:rsid w:val="00832159"/>
    <w:rsid w:val="00840374"/>
    <w:rsid w:val="00854AFC"/>
    <w:rsid w:val="0087249E"/>
    <w:rsid w:val="008A16D3"/>
    <w:rsid w:val="008C7A47"/>
    <w:rsid w:val="008D7928"/>
    <w:rsid w:val="008E2DD6"/>
    <w:rsid w:val="008F1B93"/>
    <w:rsid w:val="00903328"/>
    <w:rsid w:val="009078B1"/>
    <w:rsid w:val="0094025F"/>
    <w:rsid w:val="00990ECD"/>
    <w:rsid w:val="0099229B"/>
    <w:rsid w:val="00993522"/>
    <w:rsid w:val="009A2FED"/>
    <w:rsid w:val="009B175A"/>
    <w:rsid w:val="009F41E6"/>
    <w:rsid w:val="009F6775"/>
    <w:rsid w:val="00A014F1"/>
    <w:rsid w:val="00A02A0D"/>
    <w:rsid w:val="00A05CE2"/>
    <w:rsid w:val="00A079A7"/>
    <w:rsid w:val="00A85D8D"/>
    <w:rsid w:val="00AB0354"/>
    <w:rsid w:val="00AB25EF"/>
    <w:rsid w:val="00AE742E"/>
    <w:rsid w:val="00AE7AD4"/>
    <w:rsid w:val="00AF5C29"/>
    <w:rsid w:val="00B4231F"/>
    <w:rsid w:val="00B47805"/>
    <w:rsid w:val="00B73365"/>
    <w:rsid w:val="00B84174"/>
    <w:rsid w:val="00B94A2A"/>
    <w:rsid w:val="00B972EC"/>
    <w:rsid w:val="00BA2E35"/>
    <w:rsid w:val="00BB1A1B"/>
    <w:rsid w:val="00BB3343"/>
    <w:rsid w:val="00BB33E8"/>
    <w:rsid w:val="00BC6FD2"/>
    <w:rsid w:val="00C05AEE"/>
    <w:rsid w:val="00C1000C"/>
    <w:rsid w:val="00C20BC0"/>
    <w:rsid w:val="00C22233"/>
    <w:rsid w:val="00C524B8"/>
    <w:rsid w:val="00C65E59"/>
    <w:rsid w:val="00C6717D"/>
    <w:rsid w:val="00C7366A"/>
    <w:rsid w:val="00CC0163"/>
    <w:rsid w:val="00CD5C68"/>
    <w:rsid w:val="00CD7001"/>
    <w:rsid w:val="00D06B0C"/>
    <w:rsid w:val="00D2194B"/>
    <w:rsid w:val="00D3633E"/>
    <w:rsid w:val="00D47B91"/>
    <w:rsid w:val="00D83D0A"/>
    <w:rsid w:val="00DA3F45"/>
    <w:rsid w:val="00DA4244"/>
    <w:rsid w:val="00DB2632"/>
    <w:rsid w:val="00DC43C8"/>
    <w:rsid w:val="00DC4A73"/>
    <w:rsid w:val="00DF06EA"/>
    <w:rsid w:val="00E0115D"/>
    <w:rsid w:val="00E16B9E"/>
    <w:rsid w:val="00E24368"/>
    <w:rsid w:val="00E55C91"/>
    <w:rsid w:val="00E75056"/>
    <w:rsid w:val="00E976AF"/>
    <w:rsid w:val="00EA3F5D"/>
    <w:rsid w:val="00EC09B1"/>
    <w:rsid w:val="00EF5857"/>
    <w:rsid w:val="00EF73AD"/>
    <w:rsid w:val="00F129E9"/>
    <w:rsid w:val="00F27959"/>
    <w:rsid w:val="00F36504"/>
    <w:rsid w:val="00F40EEF"/>
    <w:rsid w:val="00F42447"/>
    <w:rsid w:val="00F62CB2"/>
    <w:rsid w:val="00F740BB"/>
    <w:rsid w:val="00F76281"/>
    <w:rsid w:val="00F8396F"/>
    <w:rsid w:val="00FE3DE0"/>
    <w:rsid w:val="00FE6E0C"/>
    <w:rsid w:val="17AD151D"/>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D81D92"/>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0"/>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0"/>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0"/>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0"/>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A95"/>
    <w:rPr>
      <w:lang w:val="en-US" w:eastAsia="en-US"/>
    </w:rPr>
  </w:style>
  <w:style w:type="character" w:styleId="CommentReference">
    <w:name w:val="annotation reference"/>
    <w:basedOn w:val="DefaultParagraphFont"/>
    <w:uiPriority w:val="99"/>
    <w:semiHidden/>
    <w:unhideWhenUsed/>
    <w:rsid w:val="00E14026"/>
    <w:rPr>
      <w:sz w:val="16"/>
      <w:szCs w:val="16"/>
    </w:rPr>
  </w:style>
  <w:style w:type="paragraph" w:styleId="CommentText">
    <w:name w:val="annotation text"/>
    <w:basedOn w:val="Normal"/>
    <w:link w:val="CommentTextChar"/>
    <w:uiPriority w:val="99"/>
    <w:unhideWhenUsed/>
    <w:rsid w:val="00E14026"/>
    <w:rPr>
      <w:sz w:val="20"/>
      <w:szCs w:val="20"/>
    </w:rPr>
  </w:style>
  <w:style w:type="character" w:customStyle="1" w:styleId="CommentTextChar">
    <w:name w:val="Comment Text Char"/>
    <w:basedOn w:val="DefaultParagraphFont"/>
    <w:link w:val="CommentText"/>
    <w:uiPriority w:val="99"/>
    <w:rsid w:val="00E14026"/>
    <w:rPr>
      <w:lang w:val="en-US" w:eastAsia="en-US"/>
    </w:rPr>
  </w:style>
  <w:style w:type="paragraph" w:styleId="CommentSubject">
    <w:name w:val="annotation subject"/>
    <w:basedOn w:val="CommentText"/>
    <w:next w:val="CommentText"/>
    <w:link w:val="CommentSubjectChar"/>
    <w:uiPriority w:val="99"/>
    <w:semiHidden/>
    <w:unhideWhenUsed/>
    <w:rsid w:val="00E14026"/>
    <w:rPr>
      <w:b/>
      <w:bCs/>
    </w:rPr>
  </w:style>
  <w:style w:type="character" w:customStyle="1" w:styleId="CommentSubjectChar">
    <w:name w:val="Comment Subject Char"/>
    <w:basedOn w:val="CommentTextChar"/>
    <w:link w:val="CommentSubject"/>
    <w:uiPriority w:val="99"/>
    <w:semiHidden/>
    <w:rsid w:val="00E14026"/>
    <w:rPr>
      <w:b/>
      <w:bCs/>
      <w:lang w:val="en-US" w:eastAsia="en-US"/>
    </w:rPr>
  </w:style>
  <w:style w:type="paragraph" w:customStyle="1" w:styleId="p1">
    <w:name w:val="p1"/>
    <w:basedOn w:val="Normal"/>
    <w:rsid w:val="00AC4FA1"/>
    <w:rPr>
      <w:rFonts w:ascii=".AppleSystemUIFont" w:eastAsiaTheme="minorEastAsia" w:hAnsi=".AppleSystemUIFont"/>
      <w:sz w:val="26"/>
      <w:szCs w:val="26"/>
    </w:rPr>
  </w:style>
  <w:style w:type="character" w:customStyle="1" w:styleId="s1">
    <w:name w:val="s1"/>
    <w:basedOn w:val="DefaultParagraphFont"/>
    <w:rsid w:val="00AC4FA1"/>
    <w:rPr>
      <w:rFonts w:ascii="UICTFontTextStyleBody" w:hAnsi="UICTFontTextStyleBody" w:hint="default"/>
      <w:b w:val="0"/>
      <w:bCs w:val="0"/>
      <w:i w:val="0"/>
      <w:iCs w:val="0"/>
      <w:sz w:val="26"/>
      <w:szCs w:val="2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A3271"/>
    <w:pPr>
      <w:jc w:val="both"/>
    </w:pPr>
    <w:rPr>
      <w:sz w:val="20"/>
      <w:szCs w:val="20"/>
      <w:vertAlign w:val="superscript"/>
      <w:lang w:val="es-ES" w:eastAsia="es-ES"/>
    </w:rPr>
  </w:style>
  <w:style w:type="paragraph" w:styleId="NormalWeb">
    <w:name w:val="Normal (Web)"/>
    <w:basedOn w:val="Normal"/>
    <w:uiPriority w:val="99"/>
    <w:semiHidden/>
    <w:unhideWhenUsed/>
    <w:rsid w:val="00B82A1A"/>
    <w:pPr>
      <w:spacing w:before="100" w:beforeAutospacing="1" w:after="100" w:afterAutospacing="1"/>
    </w:pPr>
    <w:rPr>
      <w:lang w:val="pt-BR" w:eastAsia="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Char2">
    <w:name w:val="Char2"/>
    <w:basedOn w:val="Normal"/>
    <w:rsid w:val="00A05CE2"/>
    <w:pPr>
      <w:spacing w:after="160" w:line="240" w:lineRule="exact"/>
    </w:pPr>
    <w:rPr>
      <w:sz w:val="20"/>
      <w:szCs w:val="20"/>
      <w:vertAlign w:val="superscript"/>
      <w:lang w:val="es-ES" w:eastAsia="es-ES"/>
    </w:rPr>
  </w:style>
  <w:style w:type="paragraph" w:customStyle="1" w:styleId="paragraph">
    <w:name w:val="paragraph"/>
    <w:basedOn w:val="Normal"/>
    <w:rsid w:val="0030777A"/>
    <w:pPr>
      <w:spacing w:before="100" w:beforeAutospacing="1" w:after="100" w:afterAutospacing="1"/>
    </w:pPr>
  </w:style>
  <w:style w:type="character" w:customStyle="1" w:styleId="normaltextrun">
    <w:name w:val="normaltextrun"/>
    <w:basedOn w:val="DefaultParagraphFont"/>
    <w:rsid w:val="0030777A"/>
  </w:style>
  <w:style w:type="character" w:customStyle="1" w:styleId="eop">
    <w:name w:val="eop"/>
    <w:basedOn w:val="DefaultParagraphFont"/>
    <w:rsid w:val="0030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3OaGLTNt5YN49G9M+mgoDwVag==">CgMxLjA4AHIhMUVtLVpwMFBCLUtxdUdPZFBWcm9FZW5TSjFiZmNJa1V2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3099</Words>
  <Characters>17670</Characters>
  <Application>Microsoft Office Word</Application>
  <DocSecurity>0</DocSecurity>
  <Lines>147</Lines>
  <Paragraphs>41</Paragraphs>
  <ScaleCrop>false</ScaleCrop>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2025-02-10T19:40:00Z</dcterms:created>
  <dcterms:modified xsi:type="dcterms:W3CDTF">2025-02-10T19:40:00Z</dcterms:modified>
</cp:coreProperties>
</file>