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330E8A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CB0363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2733D">
                              <w:rPr>
                                <w:rFonts w:asciiTheme="majorHAnsi" w:hAnsiTheme="majorHAnsi" w:cs="Arial"/>
                                <w:b/>
                                <w:bCs/>
                                <w:color w:val="0D0D0D" w:themeColor="text1" w:themeTint="F2"/>
                                <w:sz w:val="36"/>
                                <w:szCs w:val="22"/>
                                <w:lang w:val="es-ES_tradnl"/>
                              </w:rPr>
                              <w:t>236</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24</w:t>
                            </w:r>
                          </w:p>
                          <w:p w14:paraId="45F30ECA" w14:textId="114CA24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35AFC">
                              <w:rPr>
                                <w:rFonts w:asciiTheme="majorHAnsi" w:hAnsiTheme="majorHAnsi" w:cs="Arial"/>
                                <w:b/>
                                <w:color w:val="0D0D0D" w:themeColor="text1" w:themeTint="F2"/>
                                <w:sz w:val="36"/>
                                <w:szCs w:val="22"/>
                                <w:lang w:val="es-ES_tradnl"/>
                              </w:rPr>
                              <w:t>1962-19</w:t>
                            </w:r>
                          </w:p>
                          <w:p w14:paraId="188B4303" w14:textId="434027A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670A007F" w:rsidR="005B52B0" w:rsidRPr="0010736F" w:rsidRDefault="00535AF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V.M.C.P.</w:t>
                            </w:r>
                          </w:p>
                          <w:bookmarkEnd w:id="0"/>
                          <w:p w14:paraId="0B9F7D22" w14:textId="4FDF08D8" w:rsidR="005B52B0" w:rsidRPr="00F56ECB" w:rsidRDefault="00535AF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2CB0363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2733D">
                        <w:rPr>
                          <w:rFonts w:asciiTheme="majorHAnsi" w:hAnsiTheme="majorHAnsi" w:cs="Arial"/>
                          <w:b/>
                          <w:bCs/>
                          <w:color w:val="0D0D0D" w:themeColor="text1" w:themeTint="F2"/>
                          <w:sz w:val="36"/>
                          <w:szCs w:val="22"/>
                          <w:lang w:val="es-ES_tradnl"/>
                        </w:rPr>
                        <w:t>236</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24</w:t>
                      </w:r>
                    </w:p>
                    <w:p w14:paraId="45F30ECA" w14:textId="114CA24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35AFC">
                        <w:rPr>
                          <w:rFonts w:asciiTheme="majorHAnsi" w:hAnsiTheme="majorHAnsi" w:cs="Arial"/>
                          <w:b/>
                          <w:color w:val="0D0D0D" w:themeColor="text1" w:themeTint="F2"/>
                          <w:sz w:val="36"/>
                          <w:szCs w:val="22"/>
                          <w:lang w:val="es-ES_tradnl"/>
                        </w:rPr>
                        <w:t>1962-19</w:t>
                      </w:r>
                    </w:p>
                    <w:p w14:paraId="188B4303" w14:textId="434027A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670A007F" w:rsidR="005B52B0" w:rsidRPr="0010736F" w:rsidRDefault="00535AF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V.M.C.P.</w:t>
                      </w:r>
                    </w:p>
                    <w:bookmarkEnd w:id="1"/>
                    <w:p w14:paraId="0B9F7D22" w14:textId="4FDF08D8" w:rsidR="005B52B0" w:rsidRPr="00F56ECB" w:rsidRDefault="00535AF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F1BA4A1" w:rsidR="00627C9F" w:rsidRPr="00EB711A" w:rsidRDefault="00834D49" w:rsidP="007A5817">
                            <w:pPr>
                              <w:spacing w:line="276" w:lineRule="auto"/>
                              <w:jc w:val="right"/>
                              <w:rPr>
                                <w:rFonts w:asciiTheme="minorHAnsi" w:hAnsiTheme="minorHAnsi"/>
                                <w:color w:val="FFFFFF" w:themeColor="background1"/>
                                <w:sz w:val="22"/>
                                <w:lang w:val="es-ES"/>
                              </w:rPr>
                            </w:pPr>
                            <w:r w:rsidRPr="00EB711A">
                              <w:rPr>
                                <w:rFonts w:asciiTheme="minorHAnsi" w:hAnsiTheme="minorHAnsi"/>
                                <w:color w:val="FFFFFF" w:themeColor="background1"/>
                                <w:sz w:val="22"/>
                                <w:lang w:val="es-ES"/>
                              </w:rPr>
                              <w:t>OEA/Ser.L/V/II</w:t>
                            </w:r>
                          </w:p>
                          <w:p w14:paraId="71D2D5D2" w14:textId="66C59B9C" w:rsidR="00627C9F" w:rsidRPr="00EB711A" w:rsidRDefault="00627C9F" w:rsidP="007A5817">
                            <w:pPr>
                              <w:spacing w:line="276" w:lineRule="auto"/>
                              <w:jc w:val="right"/>
                              <w:rPr>
                                <w:rFonts w:asciiTheme="minorHAnsi" w:hAnsiTheme="minorHAnsi"/>
                                <w:color w:val="FFFFFF" w:themeColor="background1"/>
                                <w:sz w:val="22"/>
                                <w:lang w:val="es-ES"/>
                              </w:rPr>
                            </w:pPr>
                            <w:r w:rsidRPr="00EB711A">
                              <w:rPr>
                                <w:rFonts w:asciiTheme="minorHAnsi" w:hAnsiTheme="minorHAnsi"/>
                                <w:color w:val="FFFFFF" w:themeColor="background1"/>
                                <w:sz w:val="22"/>
                                <w:lang w:val="es-ES"/>
                              </w:rPr>
                              <w:t xml:space="preserve">Doc. </w:t>
                            </w:r>
                            <w:r w:rsidR="0082733D" w:rsidRPr="00EB711A">
                              <w:rPr>
                                <w:rFonts w:asciiTheme="minorHAnsi" w:hAnsiTheme="minorHAnsi"/>
                                <w:color w:val="FFFFFF" w:themeColor="background1"/>
                                <w:sz w:val="22"/>
                                <w:lang w:val="es-ES"/>
                              </w:rPr>
                              <w:t>248</w:t>
                            </w:r>
                          </w:p>
                          <w:p w14:paraId="4061DBBD" w14:textId="3F0EC64F" w:rsidR="00627C9F" w:rsidRPr="00C25ADB" w:rsidRDefault="0034146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14C6D">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F1BA4A1" w:rsidR="00627C9F" w:rsidRPr="00EB711A" w:rsidRDefault="00834D49" w:rsidP="007A5817">
                      <w:pPr>
                        <w:spacing w:line="276" w:lineRule="auto"/>
                        <w:jc w:val="right"/>
                        <w:rPr>
                          <w:rFonts w:asciiTheme="minorHAnsi" w:hAnsiTheme="minorHAnsi"/>
                          <w:color w:val="FFFFFF" w:themeColor="background1"/>
                          <w:sz w:val="22"/>
                          <w:lang w:val="es-ES"/>
                        </w:rPr>
                      </w:pPr>
                      <w:r w:rsidRPr="00EB711A">
                        <w:rPr>
                          <w:rFonts w:asciiTheme="minorHAnsi" w:hAnsiTheme="minorHAnsi"/>
                          <w:color w:val="FFFFFF" w:themeColor="background1"/>
                          <w:sz w:val="22"/>
                          <w:lang w:val="es-ES"/>
                        </w:rPr>
                        <w:t>OEA/Ser.L/V/II</w:t>
                      </w:r>
                    </w:p>
                    <w:p w14:paraId="71D2D5D2" w14:textId="66C59B9C" w:rsidR="00627C9F" w:rsidRPr="00EB711A" w:rsidRDefault="00627C9F" w:rsidP="007A5817">
                      <w:pPr>
                        <w:spacing w:line="276" w:lineRule="auto"/>
                        <w:jc w:val="right"/>
                        <w:rPr>
                          <w:rFonts w:asciiTheme="minorHAnsi" w:hAnsiTheme="minorHAnsi"/>
                          <w:color w:val="FFFFFF" w:themeColor="background1"/>
                          <w:sz w:val="22"/>
                          <w:lang w:val="es-ES"/>
                        </w:rPr>
                      </w:pPr>
                      <w:r w:rsidRPr="00EB711A">
                        <w:rPr>
                          <w:rFonts w:asciiTheme="minorHAnsi" w:hAnsiTheme="minorHAnsi"/>
                          <w:color w:val="FFFFFF" w:themeColor="background1"/>
                          <w:sz w:val="22"/>
                          <w:lang w:val="es-ES"/>
                        </w:rPr>
                        <w:t xml:space="preserve">Doc. </w:t>
                      </w:r>
                      <w:r w:rsidR="0082733D" w:rsidRPr="00EB711A">
                        <w:rPr>
                          <w:rFonts w:asciiTheme="minorHAnsi" w:hAnsiTheme="minorHAnsi"/>
                          <w:color w:val="FFFFFF" w:themeColor="background1"/>
                          <w:sz w:val="22"/>
                          <w:lang w:val="es-ES"/>
                        </w:rPr>
                        <w:t>248</w:t>
                      </w:r>
                    </w:p>
                    <w:p w14:paraId="4061DBBD" w14:textId="3F0EC64F" w:rsidR="00627C9F" w:rsidRPr="00C25ADB" w:rsidRDefault="0034146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14C6D">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84C371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4146E">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B97F28">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F27AE">
                              <w:rPr>
                                <w:rFonts w:asciiTheme="majorHAnsi" w:hAnsiTheme="majorHAnsi"/>
                                <w:color w:val="0D0D0D" w:themeColor="text1" w:themeTint="F2"/>
                                <w:sz w:val="18"/>
                                <w:szCs w:val="22"/>
                                <w:lang w:val="es-ES"/>
                              </w:rPr>
                              <w:t>4</w:t>
                            </w:r>
                            <w:r w:rsidR="00B97F28">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84C371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4146E">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B97F28">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F27AE">
                        <w:rPr>
                          <w:rFonts w:asciiTheme="majorHAnsi" w:hAnsiTheme="majorHAnsi"/>
                          <w:color w:val="0D0D0D" w:themeColor="text1" w:themeTint="F2"/>
                          <w:sz w:val="18"/>
                          <w:szCs w:val="22"/>
                          <w:lang w:val="es-ES"/>
                        </w:rPr>
                        <w:t>4</w:t>
                      </w:r>
                      <w:r w:rsidR="00B97F28">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01CD6A81" wp14:editId="6BCD351B">
                <wp:simplePos x="0" y="0"/>
                <wp:positionH relativeFrom="column">
                  <wp:posOffset>1338580</wp:posOffset>
                </wp:positionH>
                <wp:positionV relativeFrom="paragraph">
                  <wp:posOffset>11395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1D801" w14:textId="77777777" w:rsidR="00A221E8"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221E8" w:rsidRPr="00A221E8">
                              <w:rPr>
                                <w:rFonts w:asciiTheme="majorHAnsi" w:hAnsiTheme="majorHAnsi"/>
                                <w:color w:val="595959" w:themeColor="text1" w:themeTint="A6"/>
                                <w:sz w:val="18"/>
                                <w:szCs w:val="18"/>
                                <w:lang w:val="pt-BR"/>
                              </w:rPr>
                              <w:t>236</w:t>
                            </w:r>
                            <w:r w:rsidR="007B05C4" w:rsidRPr="00A221E8">
                              <w:rPr>
                                <w:rFonts w:asciiTheme="majorHAnsi" w:hAnsiTheme="majorHAnsi"/>
                                <w:color w:val="595959" w:themeColor="text1" w:themeTint="A6"/>
                                <w:sz w:val="18"/>
                                <w:szCs w:val="18"/>
                                <w:lang w:val="pt-BR"/>
                              </w:rPr>
                              <w:t>/</w:t>
                            </w:r>
                            <w:r w:rsidR="00A221E8" w:rsidRPr="00A221E8">
                              <w:rPr>
                                <w:rFonts w:asciiTheme="majorHAnsi" w:hAnsiTheme="majorHAnsi"/>
                                <w:color w:val="595959" w:themeColor="text1" w:themeTint="A6"/>
                                <w:sz w:val="18"/>
                                <w:szCs w:val="18"/>
                                <w:lang w:val="pt-BR"/>
                              </w:rPr>
                              <w:t>24</w:t>
                            </w:r>
                            <w:r w:rsidRPr="00A221E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35AFC">
                              <w:rPr>
                                <w:rFonts w:asciiTheme="majorHAnsi" w:hAnsiTheme="majorHAnsi"/>
                                <w:color w:val="595959" w:themeColor="text1" w:themeTint="A6"/>
                                <w:sz w:val="18"/>
                                <w:szCs w:val="18"/>
                                <w:lang w:val="es-ES"/>
                              </w:rPr>
                              <w:t>1962-19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5C1BC6" w:rsidRPr="005C1BC6">
                              <w:rPr>
                                <w:rFonts w:asciiTheme="majorHAnsi" w:hAnsiTheme="majorHAnsi"/>
                                <w:color w:val="595959" w:themeColor="text1" w:themeTint="A6"/>
                                <w:sz w:val="18"/>
                                <w:szCs w:val="18"/>
                                <w:lang w:val="es-ES_tradnl"/>
                              </w:rPr>
                              <w:t>V.M.C.P.</w:t>
                            </w:r>
                            <w:r w:rsidRPr="00890650">
                              <w:rPr>
                                <w:rFonts w:asciiTheme="majorHAnsi" w:hAnsiTheme="majorHAnsi"/>
                                <w:color w:val="595959" w:themeColor="text1" w:themeTint="A6"/>
                                <w:sz w:val="18"/>
                                <w:szCs w:val="18"/>
                                <w:lang w:val="es-ES_tradnl"/>
                              </w:rPr>
                              <w:t xml:space="preserve"> </w:t>
                            </w:r>
                            <w:r w:rsidR="005C1BC6">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294950">
                              <w:rPr>
                                <w:rFonts w:asciiTheme="majorHAnsi" w:hAnsiTheme="majorHAnsi"/>
                                <w:color w:val="595959" w:themeColor="text1" w:themeTint="A6"/>
                                <w:sz w:val="18"/>
                                <w:szCs w:val="18"/>
                                <w:lang w:val="es-ES_tradnl"/>
                              </w:rPr>
                              <w:t xml:space="preserve">  </w:t>
                            </w:r>
                          </w:p>
                          <w:p w14:paraId="7FD77785" w14:textId="2D5072D3" w:rsidR="00113F73" w:rsidRPr="007B05C4" w:rsidRDefault="00DB5C99"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10 de diciembre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4pt;margin-top:.9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" filled="f" stroked="f" strokeweight=".5pt">
                <v:textbox>
                  <w:txbxContent>
                    <w:p w14:paraId="0251D801" w14:textId="77777777" w:rsidR="00A221E8"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221E8" w:rsidRPr="00A221E8">
                        <w:rPr>
                          <w:rFonts w:asciiTheme="majorHAnsi" w:hAnsiTheme="majorHAnsi"/>
                          <w:color w:val="595959" w:themeColor="text1" w:themeTint="A6"/>
                          <w:sz w:val="18"/>
                          <w:szCs w:val="18"/>
                          <w:lang w:val="pt-BR"/>
                        </w:rPr>
                        <w:t>236</w:t>
                      </w:r>
                      <w:r w:rsidR="007B05C4" w:rsidRPr="00A221E8">
                        <w:rPr>
                          <w:rFonts w:asciiTheme="majorHAnsi" w:hAnsiTheme="majorHAnsi"/>
                          <w:color w:val="595959" w:themeColor="text1" w:themeTint="A6"/>
                          <w:sz w:val="18"/>
                          <w:szCs w:val="18"/>
                          <w:lang w:val="pt-BR"/>
                        </w:rPr>
                        <w:t>/</w:t>
                      </w:r>
                      <w:r w:rsidR="00A221E8" w:rsidRPr="00A221E8">
                        <w:rPr>
                          <w:rFonts w:asciiTheme="majorHAnsi" w:hAnsiTheme="majorHAnsi"/>
                          <w:color w:val="595959" w:themeColor="text1" w:themeTint="A6"/>
                          <w:sz w:val="18"/>
                          <w:szCs w:val="18"/>
                          <w:lang w:val="pt-BR"/>
                        </w:rPr>
                        <w:t>24</w:t>
                      </w:r>
                      <w:r w:rsidRPr="00A221E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35AFC">
                        <w:rPr>
                          <w:rFonts w:asciiTheme="majorHAnsi" w:hAnsiTheme="majorHAnsi"/>
                          <w:color w:val="595959" w:themeColor="text1" w:themeTint="A6"/>
                          <w:sz w:val="18"/>
                          <w:szCs w:val="18"/>
                          <w:lang w:val="es-ES"/>
                        </w:rPr>
                        <w:t>1962-19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5C1BC6" w:rsidRPr="005C1BC6">
                        <w:rPr>
                          <w:rFonts w:asciiTheme="majorHAnsi" w:hAnsiTheme="majorHAnsi"/>
                          <w:color w:val="595959" w:themeColor="text1" w:themeTint="A6"/>
                          <w:sz w:val="18"/>
                          <w:szCs w:val="18"/>
                          <w:lang w:val="es-ES_tradnl"/>
                        </w:rPr>
                        <w:t>V.M.C.P.</w:t>
                      </w:r>
                      <w:r w:rsidRPr="00890650">
                        <w:rPr>
                          <w:rFonts w:asciiTheme="majorHAnsi" w:hAnsiTheme="majorHAnsi"/>
                          <w:color w:val="595959" w:themeColor="text1" w:themeTint="A6"/>
                          <w:sz w:val="18"/>
                          <w:szCs w:val="18"/>
                          <w:lang w:val="es-ES_tradnl"/>
                        </w:rPr>
                        <w:t xml:space="preserve"> </w:t>
                      </w:r>
                      <w:r w:rsidR="005C1BC6">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294950">
                        <w:rPr>
                          <w:rFonts w:asciiTheme="majorHAnsi" w:hAnsiTheme="majorHAnsi"/>
                          <w:color w:val="595959" w:themeColor="text1" w:themeTint="A6"/>
                          <w:sz w:val="18"/>
                          <w:szCs w:val="18"/>
                          <w:lang w:val="es-ES_tradnl"/>
                        </w:rPr>
                        <w:t xml:space="preserve">  </w:t>
                      </w:r>
                    </w:p>
                    <w:p w14:paraId="7FD77785" w14:textId="2D5072D3" w:rsidR="00113F73" w:rsidRPr="007B05C4" w:rsidRDefault="00DB5C99"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10 de diciembre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378BE1E1"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4BBB9917" wp14:editId="2322F0D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0C653EB2" w:rsidR="0070697F" w:rsidRDefault="00294950"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5D37EBA2" wp14:editId="7E22AB9B">
                <wp:simplePos x="0" y="0"/>
                <wp:positionH relativeFrom="column">
                  <wp:posOffset>1292062</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1.75pt;margin-top:38.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1EA1FA45" w:rsidR="003239B8" w:rsidRPr="000D05CB" w:rsidRDefault="009B391C" w:rsidP="008D2290">
            <w:pPr>
              <w:jc w:val="both"/>
              <w:rPr>
                <w:rFonts w:ascii="Cambria" w:hAnsi="Cambria"/>
                <w:bCs/>
                <w:sz w:val="20"/>
                <w:szCs w:val="20"/>
              </w:rPr>
            </w:pPr>
            <w:r>
              <w:rPr>
                <w:rFonts w:ascii="Cambria" w:hAnsi="Cambria"/>
                <w:bCs/>
                <w:sz w:val="20"/>
                <w:szCs w:val="20"/>
              </w:rPr>
              <w:t>L.L.B</w:t>
            </w:r>
            <w:r>
              <w:rPr>
                <w:rStyle w:val="FootnoteReference"/>
                <w:rFonts w:ascii="Cambria" w:hAnsi="Cambria"/>
                <w:bCs/>
                <w:sz w:val="20"/>
                <w:szCs w:val="20"/>
              </w:rPr>
              <w:footnoteReference w:id="2"/>
            </w:r>
            <w:r>
              <w:rPr>
                <w:rFonts w:ascii="Cambria" w:hAnsi="Cambria"/>
                <w:bCs/>
                <w:sz w:val="20"/>
                <w:szCs w:val="20"/>
              </w:rPr>
              <w:t>.</w:t>
            </w:r>
          </w:p>
        </w:tc>
      </w:tr>
      <w:tr w:rsidR="003239B8" w:rsidRPr="001E49E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2A2418"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0A74A0E6" w:rsidR="003239B8" w:rsidRPr="000D05CB" w:rsidRDefault="00140219" w:rsidP="008D2290">
            <w:pPr>
              <w:jc w:val="both"/>
              <w:rPr>
                <w:rFonts w:ascii="Cambria" w:hAnsi="Cambria"/>
                <w:bCs/>
                <w:sz w:val="20"/>
                <w:szCs w:val="20"/>
                <w:lang w:val="es-ES"/>
              </w:rPr>
            </w:pPr>
            <w:r w:rsidRPr="00140219">
              <w:rPr>
                <w:rFonts w:ascii="Cambria" w:hAnsi="Cambria"/>
                <w:bCs/>
                <w:sz w:val="20"/>
                <w:szCs w:val="20"/>
                <w:lang w:val="es-ES_tradnl"/>
              </w:rPr>
              <w:t>V.M.C.P</w:t>
            </w:r>
            <w:r>
              <w:rPr>
                <w:rStyle w:val="FootnoteReference"/>
                <w:rFonts w:ascii="Cambria" w:hAnsi="Cambria"/>
                <w:bCs/>
                <w:sz w:val="20"/>
                <w:szCs w:val="20"/>
                <w:lang w:val="es-ES_tradnl"/>
              </w:rPr>
              <w:footnoteReference w:id="3"/>
            </w:r>
            <w:r w:rsidRPr="00140219">
              <w:rPr>
                <w:rFonts w:ascii="Cambria" w:hAnsi="Cambria"/>
                <w:bCs/>
                <w:sz w:val="20"/>
                <w:szCs w:val="20"/>
                <w:lang w:val="es-ES_tradnl"/>
              </w:rPr>
              <w:t>.</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55F45A06" w:rsidR="003239B8" w:rsidRPr="000D05CB" w:rsidRDefault="00140219" w:rsidP="008D2290">
            <w:pPr>
              <w:jc w:val="both"/>
              <w:rPr>
                <w:rFonts w:ascii="Cambria" w:hAnsi="Cambria"/>
                <w:bCs/>
                <w:sz w:val="20"/>
                <w:szCs w:val="20"/>
              </w:rPr>
            </w:pPr>
            <w:r>
              <w:rPr>
                <w:rFonts w:ascii="Cambria" w:hAnsi="Cambria"/>
                <w:bCs/>
                <w:sz w:val="20"/>
                <w:szCs w:val="20"/>
              </w:rPr>
              <w:t>Perú</w:t>
            </w:r>
          </w:p>
        </w:tc>
      </w:tr>
      <w:tr w:rsidR="00223A29" w:rsidRPr="00462441"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75CA9540" w:rsidR="00223A29" w:rsidRPr="00B46115" w:rsidRDefault="00B56878" w:rsidP="008D2290">
            <w:pPr>
              <w:jc w:val="both"/>
              <w:rPr>
                <w:rFonts w:ascii="Cambria" w:hAnsi="Cambria"/>
                <w:bCs/>
                <w:sz w:val="20"/>
                <w:szCs w:val="20"/>
                <w:lang w:val="es-CO"/>
              </w:rPr>
            </w:pPr>
            <w:r w:rsidRPr="00B46115">
              <w:rPr>
                <w:rFonts w:ascii="Cambria" w:hAnsi="Cambria"/>
                <w:bCs/>
                <w:sz w:val="20"/>
                <w:szCs w:val="20"/>
                <w:lang w:val="es-CO"/>
              </w:rPr>
              <w:t xml:space="preserve">Artículos </w:t>
            </w:r>
            <w:r w:rsidR="00B46115" w:rsidRPr="00A52A58">
              <w:rPr>
                <w:rFonts w:ascii="Cambria" w:hAnsi="Cambria"/>
                <w:bCs/>
                <w:sz w:val="20"/>
                <w:szCs w:val="20"/>
                <w:lang w:val="es-CO"/>
              </w:rPr>
              <w:t>8 (garantías j</w:t>
            </w:r>
            <w:r w:rsidR="00B46115">
              <w:rPr>
                <w:rFonts w:ascii="Cambria" w:hAnsi="Cambria"/>
                <w:bCs/>
                <w:sz w:val="20"/>
                <w:szCs w:val="20"/>
                <w:lang w:val="es-CO"/>
              </w:rPr>
              <w:t xml:space="preserve">udiciales), 11 (protección a la honra y dignidad) y 25 (protección judicial) </w:t>
            </w:r>
            <w:r w:rsidR="00B46115" w:rsidRPr="007E054F">
              <w:rPr>
                <w:rFonts w:ascii="Cambria" w:hAnsi="Cambria"/>
                <w:bCs/>
                <w:sz w:val="20"/>
                <w:szCs w:val="20"/>
                <w:lang w:val="es-419" w:bidi="es-ES"/>
              </w:rPr>
              <w:t>de la Convención Americana sobre Derechos Humanos</w:t>
            </w:r>
            <w:r w:rsidR="00B46115" w:rsidRPr="007E054F">
              <w:rPr>
                <w:rFonts w:ascii="Cambria" w:hAnsi="Cambria"/>
                <w:bCs/>
                <w:sz w:val="20"/>
                <w:szCs w:val="20"/>
                <w:vertAlign w:val="superscript"/>
                <w:lang w:val="es-419" w:bidi="es-ES"/>
              </w:rPr>
              <w:footnoteReference w:id="4"/>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0DB47FA1" w:rsidR="004C2312" w:rsidRPr="003239B8" w:rsidRDefault="00AC4B2D" w:rsidP="002625EA">
            <w:pPr>
              <w:jc w:val="both"/>
              <w:rPr>
                <w:rFonts w:ascii="Cambria" w:hAnsi="Cambria"/>
                <w:bCs/>
                <w:sz w:val="20"/>
                <w:szCs w:val="20"/>
                <w:lang w:val="es-ES"/>
              </w:rPr>
            </w:pPr>
            <w:r>
              <w:rPr>
                <w:rFonts w:ascii="Cambria" w:hAnsi="Cambria"/>
                <w:bCs/>
                <w:sz w:val="20"/>
                <w:szCs w:val="20"/>
                <w:lang w:val="es-ES"/>
              </w:rPr>
              <w:t>6 de septiembre de 2019</w:t>
            </w:r>
          </w:p>
        </w:tc>
      </w:tr>
      <w:tr w:rsidR="004C2312" w:rsidRPr="00950C33"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792634C1" w:rsidR="004C2312" w:rsidRPr="003239B8" w:rsidRDefault="00B94139" w:rsidP="008D2290">
            <w:pPr>
              <w:jc w:val="both"/>
              <w:rPr>
                <w:rFonts w:ascii="Cambria" w:hAnsi="Cambria"/>
                <w:bCs/>
                <w:sz w:val="20"/>
                <w:szCs w:val="20"/>
                <w:lang w:val="es-ES"/>
              </w:rPr>
            </w:pPr>
            <w:r>
              <w:rPr>
                <w:rFonts w:ascii="Cambria" w:hAnsi="Cambria"/>
                <w:bCs/>
                <w:sz w:val="20"/>
                <w:szCs w:val="20"/>
                <w:lang w:val="es-ES"/>
              </w:rPr>
              <w:t>16 de marzo de 2023</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4EFE44EF" w:rsidR="004C2312" w:rsidRPr="003239B8" w:rsidRDefault="00B94139"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R</w:t>
            </w:r>
            <w:r w:rsidR="004C2312" w:rsidRPr="003239B8">
              <w:rPr>
                <w:rFonts w:ascii="Cambria" w:hAnsi="Cambria"/>
                <w:b/>
                <w:color w:val="FFFFFF" w:themeColor="background1"/>
                <w:sz w:val="20"/>
                <w:szCs w:val="20"/>
                <w:lang w:val="es-ES"/>
              </w:rPr>
              <w:t>espuesta del Estado:</w:t>
            </w:r>
          </w:p>
        </w:tc>
        <w:tc>
          <w:tcPr>
            <w:tcW w:w="5647" w:type="dxa"/>
            <w:vAlign w:val="center"/>
          </w:tcPr>
          <w:p w14:paraId="6B47064C" w14:textId="1F110286" w:rsidR="004C2312" w:rsidRPr="003239B8" w:rsidRDefault="0037625F" w:rsidP="008D2290">
            <w:pPr>
              <w:jc w:val="both"/>
              <w:rPr>
                <w:rFonts w:ascii="Cambria" w:hAnsi="Cambria"/>
                <w:bCs/>
                <w:sz w:val="20"/>
                <w:szCs w:val="20"/>
                <w:lang w:val="es-ES"/>
              </w:rPr>
            </w:pPr>
            <w:r>
              <w:rPr>
                <w:rFonts w:ascii="Cambria" w:hAnsi="Cambria"/>
                <w:bCs/>
                <w:sz w:val="20"/>
                <w:szCs w:val="20"/>
                <w:lang w:val="es-ES"/>
              </w:rPr>
              <w:t>6 de julio de 2023</w:t>
            </w:r>
          </w:p>
        </w:tc>
      </w:tr>
      <w:tr w:rsidR="001E49E7" w:rsidRPr="007B76D3"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48CA2CFB" w14:textId="4C0FC58D" w:rsidR="001E49E7" w:rsidRPr="003239B8" w:rsidRDefault="003222F5" w:rsidP="002625EA">
            <w:pPr>
              <w:jc w:val="both"/>
              <w:rPr>
                <w:rFonts w:ascii="Cambria" w:hAnsi="Cambria"/>
                <w:bCs/>
                <w:sz w:val="20"/>
                <w:szCs w:val="20"/>
                <w:lang w:val="es-ES"/>
              </w:rPr>
            </w:pPr>
            <w:r>
              <w:rPr>
                <w:rFonts w:ascii="Cambria" w:hAnsi="Cambria"/>
                <w:bCs/>
                <w:sz w:val="20"/>
                <w:szCs w:val="20"/>
                <w:lang w:val="es-ES"/>
              </w:rPr>
              <w:t>25 de octubre de 2022</w:t>
            </w:r>
          </w:p>
        </w:tc>
      </w:tr>
      <w:tr w:rsidR="001E49E7" w:rsidRPr="00950C33"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6E85D194" w14:textId="34FEFAD5" w:rsidR="001E49E7" w:rsidRPr="003239B8" w:rsidRDefault="003222F5" w:rsidP="002625EA">
            <w:pPr>
              <w:jc w:val="both"/>
              <w:rPr>
                <w:rFonts w:ascii="Cambria" w:hAnsi="Cambria"/>
                <w:bCs/>
                <w:sz w:val="20"/>
                <w:szCs w:val="20"/>
                <w:lang w:val="es-ES"/>
              </w:rPr>
            </w:pPr>
            <w:r>
              <w:rPr>
                <w:rFonts w:ascii="Cambria" w:hAnsi="Cambria"/>
                <w:bCs/>
                <w:sz w:val="20"/>
                <w:szCs w:val="20"/>
                <w:lang w:val="es-ES"/>
              </w:rPr>
              <w:t>24 de noviembre de 2022</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0091AE90" w:rsidR="003239B8" w:rsidRPr="00B3745F" w:rsidRDefault="003222F5"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460E9706" w:rsidR="003239B8" w:rsidRPr="00B3745F" w:rsidRDefault="003222F5"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6C2241F7" w:rsidR="003239B8" w:rsidRPr="00B3745F" w:rsidRDefault="003222F5" w:rsidP="008D2290">
            <w:pPr>
              <w:rPr>
                <w:rFonts w:ascii="Cambria" w:hAnsi="Cambria"/>
                <w:bCs/>
                <w:sz w:val="20"/>
                <w:szCs w:val="20"/>
              </w:rPr>
            </w:pPr>
            <w:r>
              <w:rPr>
                <w:rFonts w:ascii="Cambria" w:hAnsi="Cambria"/>
                <w:bCs/>
                <w:sz w:val="20"/>
                <w:szCs w:val="20"/>
              </w:rPr>
              <w:t>Sí</w:t>
            </w:r>
          </w:p>
        </w:tc>
      </w:tr>
      <w:tr w:rsidR="003239B8" w:rsidRPr="00462441"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000E2617" w:rsidR="003239B8" w:rsidRPr="00B3745F" w:rsidRDefault="003648DF" w:rsidP="008D2290">
            <w:pPr>
              <w:jc w:val="both"/>
              <w:rPr>
                <w:rFonts w:ascii="Cambria" w:hAnsi="Cambria"/>
                <w:bCs/>
                <w:sz w:val="20"/>
                <w:szCs w:val="20"/>
                <w:lang w:val="es-ES"/>
              </w:rPr>
            </w:pPr>
            <w:r w:rsidRPr="007E054F">
              <w:rPr>
                <w:rFonts w:ascii="Cambria" w:hAnsi="Cambria"/>
                <w:bCs/>
                <w:sz w:val="20"/>
                <w:szCs w:val="20"/>
                <w:lang w:val="es-419" w:bidi="es-ES"/>
              </w:rPr>
              <w:t xml:space="preserve">Sí, la Convención Americana (depósito de instrumento realizado el </w:t>
            </w:r>
            <w:r w:rsidR="006D3E88">
              <w:rPr>
                <w:rFonts w:ascii="Cambria" w:hAnsi="Cambria"/>
                <w:bCs/>
                <w:sz w:val="20"/>
                <w:szCs w:val="20"/>
                <w:lang w:val="es-419" w:bidi="es-ES"/>
              </w:rPr>
              <w:t>28</w:t>
            </w:r>
            <w:r w:rsidRPr="007E054F">
              <w:rPr>
                <w:rFonts w:ascii="Cambria" w:hAnsi="Cambria"/>
                <w:bCs/>
                <w:sz w:val="20"/>
                <w:szCs w:val="20"/>
                <w:lang w:val="es-419" w:bidi="es-ES"/>
              </w:rPr>
              <w:t xml:space="preserve"> de julio de 197</w:t>
            </w:r>
            <w:r w:rsidR="006D3E88">
              <w:rPr>
                <w:rFonts w:ascii="Cambria" w:hAnsi="Cambria"/>
                <w:bCs/>
                <w:sz w:val="20"/>
                <w:szCs w:val="20"/>
                <w:lang w:val="es-419" w:bidi="es-ES"/>
              </w:rPr>
              <w:t>8</w:t>
            </w:r>
            <w:r w:rsidRPr="007E054F">
              <w:rPr>
                <w:rFonts w:ascii="Cambria" w:hAnsi="Cambria"/>
                <w:bCs/>
                <w:sz w:val="20"/>
                <w:szCs w:val="20"/>
                <w:lang w:val="es-419" w:bidi="es-ES"/>
              </w:rPr>
              <w:t>)</w:t>
            </w:r>
            <w:r>
              <w:rPr>
                <w:rFonts w:ascii="Cambria" w:hAnsi="Cambria"/>
                <w:bCs/>
                <w:sz w:val="20"/>
                <w:szCs w:val="20"/>
                <w:lang w:val="es-419" w:bidi="es-ES"/>
              </w:rPr>
              <w:t xml:space="preserve"> y Convención </w:t>
            </w:r>
            <w:r w:rsidR="005321D0" w:rsidRPr="005321D0">
              <w:rPr>
                <w:rFonts w:ascii="Cambria" w:hAnsi="Cambria"/>
                <w:bCs/>
                <w:sz w:val="20"/>
                <w:szCs w:val="20"/>
                <w:lang w:val="es-419" w:bidi="es-ES"/>
              </w:rPr>
              <w:t>Interamericana para Prevenir, Sancionar y Erradicar la Violencia Contra la Mujer</w:t>
            </w:r>
            <w:r w:rsidR="005321D0">
              <w:rPr>
                <w:rStyle w:val="FootnoteReference"/>
                <w:rFonts w:ascii="Cambria" w:hAnsi="Cambria"/>
                <w:bCs/>
                <w:sz w:val="20"/>
                <w:szCs w:val="20"/>
                <w:lang w:val="es-419" w:bidi="es-ES"/>
              </w:rPr>
              <w:footnoteReference w:id="6"/>
            </w:r>
            <w:r>
              <w:rPr>
                <w:rFonts w:ascii="Cambria" w:hAnsi="Cambria"/>
                <w:bCs/>
                <w:sz w:val="20"/>
                <w:szCs w:val="20"/>
                <w:lang w:val="es-419" w:bidi="es-ES"/>
              </w:rPr>
              <w:t xml:space="preserve"> </w:t>
            </w:r>
            <w:r w:rsidRPr="007E054F">
              <w:rPr>
                <w:rFonts w:ascii="Cambria" w:hAnsi="Cambria"/>
                <w:bCs/>
                <w:sz w:val="20"/>
                <w:szCs w:val="20"/>
                <w:lang w:val="es-419" w:bidi="es-ES"/>
              </w:rPr>
              <w:t xml:space="preserve">(depósito de instrumento realizado el </w:t>
            </w:r>
            <w:r w:rsidR="003E6049">
              <w:rPr>
                <w:rFonts w:ascii="Cambria" w:hAnsi="Cambria"/>
                <w:bCs/>
                <w:sz w:val="20"/>
                <w:szCs w:val="20"/>
                <w:lang w:val="es-419" w:bidi="es-ES"/>
              </w:rPr>
              <w:t>4</w:t>
            </w:r>
            <w:r w:rsidRPr="007E054F">
              <w:rPr>
                <w:rFonts w:ascii="Cambria" w:hAnsi="Cambria"/>
                <w:bCs/>
                <w:sz w:val="20"/>
                <w:szCs w:val="20"/>
                <w:lang w:val="es-419" w:bidi="es-ES"/>
              </w:rPr>
              <w:t xml:space="preserve"> de </w:t>
            </w:r>
            <w:r w:rsidR="003E6049">
              <w:rPr>
                <w:rFonts w:ascii="Cambria" w:hAnsi="Cambria"/>
                <w:bCs/>
                <w:sz w:val="20"/>
                <w:szCs w:val="20"/>
                <w:lang w:val="es-419" w:bidi="es-ES"/>
              </w:rPr>
              <w:t xml:space="preserve">junio </w:t>
            </w:r>
            <w:r w:rsidRPr="007E054F">
              <w:rPr>
                <w:rFonts w:ascii="Cambria" w:hAnsi="Cambria"/>
                <w:bCs/>
                <w:sz w:val="20"/>
                <w:szCs w:val="20"/>
                <w:lang w:val="es-419" w:bidi="es-ES"/>
              </w:rPr>
              <w:t>de 19</w:t>
            </w:r>
            <w:r>
              <w:rPr>
                <w:rFonts w:ascii="Cambria" w:hAnsi="Cambria"/>
                <w:bCs/>
                <w:sz w:val="20"/>
                <w:szCs w:val="20"/>
                <w:lang w:val="es-419" w:bidi="es-ES"/>
              </w:rPr>
              <w:t>96</w:t>
            </w:r>
            <w:r w:rsidRPr="007E054F">
              <w:rPr>
                <w:rFonts w:ascii="Cambria" w:hAnsi="Cambria"/>
                <w:bCs/>
                <w:sz w:val="20"/>
                <w:szCs w:val="20"/>
                <w:lang w:val="es-419" w:bidi="es-ES"/>
              </w:rPr>
              <w:t>)</w:t>
            </w:r>
          </w:p>
        </w:tc>
      </w:tr>
    </w:tbl>
    <w:p w14:paraId="299A3868" w14:textId="1538A31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950C33" w:rsidRPr="003239B8">
        <w:rPr>
          <w:rFonts w:asciiTheme="majorHAnsi" w:hAnsiTheme="majorHAnsi"/>
          <w:b/>
          <w:bCs/>
          <w:sz w:val="20"/>
          <w:szCs w:val="20"/>
          <w:lang w:val="es-ES"/>
        </w:rPr>
        <w:t>INTERNACIONAL</w:t>
      </w:r>
      <w:r w:rsidR="00950C33">
        <w:rPr>
          <w:rFonts w:asciiTheme="majorHAnsi" w:hAnsiTheme="majorHAnsi"/>
          <w:b/>
          <w:bCs/>
          <w:sz w:val="20"/>
          <w:szCs w:val="20"/>
          <w:lang w:val="es-ES"/>
        </w:rPr>
        <w:t xml:space="preserve">, </w:t>
      </w:r>
      <w:r w:rsidR="00950C3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950C33"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197A34B9" w:rsidR="00EE00E9" w:rsidRPr="00DC24E3" w:rsidRDefault="0002213D" w:rsidP="008D2290">
            <w:pPr>
              <w:jc w:val="both"/>
              <w:rPr>
                <w:rFonts w:ascii="Cambria" w:hAnsi="Cambria"/>
                <w:bCs/>
                <w:sz w:val="20"/>
                <w:szCs w:val="20"/>
                <w:lang w:val="es-ES"/>
              </w:rPr>
            </w:pPr>
            <w:r>
              <w:rPr>
                <w:rFonts w:ascii="Cambria" w:hAnsi="Cambria"/>
                <w:bCs/>
                <w:sz w:val="20"/>
                <w:szCs w:val="20"/>
                <w:lang w:val="es-ES"/>
              </w:rPr>
              <w:t>No</w:t>
            </w:r>
          </w:p>
        </w:tc>
      </w:tr>
      <w:tr w:rsidR="003239B8" w:rsidRPr="00462441"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7A26BDE6" w:rsidR="003239B8" w:rsidRPr="00C24FAD" w:rsidRDefault="00437873" w:rsidP="008D2290">
            <w:pPr>
              <w:jc w:val="both"/>
              <w:rPr>
                <w:rFonts w:ascii="Cambria" w:hAnsi="Cambria"/>
                <w:bCs/>
                <w:sz w:val="20"/>
                <w:szCs w:val="20"/>
                <w:lang w:val="es-CO"/>
              </w:rPr>
            </w:pPr>
            <w:r w:rsidRPr="00C24FAD">
              <w:rPr>
                <w:rFonts w:ascii="Cambria" w:hAnsi="Cambria"/>
                <w:bCs/>
                <w:sz w:val="20"/>
                <w:szCs w:val="20"/>
                <w:lang w:val="es-CO"/>
              </w:rPr>
              <w:t xml:space="preserve">Artículos 5 (integridad personal), </w:t>
            </w:r>
            <w:r w:rsidR="00C24FAD" w:rsidRPr="00C24FAD">
              <w:rPr>
                <w:rFonts w:ascii="Cambria" w:hAnsi="Cambria"/>
                <w:bCs/>
                <w:sz w:val="20"/>
                <w:szCs w:val="20"/>
                <w:lang w:val="es-CO"/>
              </w:rPr>
              <w:t>8 (garantías j</w:t>
            </w:r>
            <w:r w:rsidR="00C24FAD">
              <w:rPr>
                <w:rFonts w:ascii="Cambria" w:hAnsi="Cambria"/>
                <w:bCs/>
                <w:sz w:val="20"/>
                <w:szCs w:val="20"/>
                <w:lang w:val="es-CO"/>
              </w:rPr>
              <w:t>udiciales),</w:t>
            </w:r>
            <w:r w:rsidR="00E82DC9">
              <w:rPr>
                <w:rFonts w:ascii="Cambria" w:hAnsi="Cambria"/>
                <w:bCs/>
                <w:sz w:val="20"/>
                <w:szCs w:val="20"/>
                <w:lang w:val="es-CO"/>
              </w:rPr>
              <w:t xml:space="preserve"> </w:t>
            </w:r>
            <w:r w:rsidR="004F0C1B">
              <w:rPr>
                <w:rFonts w:ascii="Cambria" w:hAnsi="Cambria"/>
                <w:bCs/>
                <w:sz w:val="20"/>
                <w:szCs w:val="20"/>
                <w:lang w:val="es-CO"/>
              </w:rPr>
              <w:t>11 (vida privada), 19 (derechos del niño), 24 (igualdad ante la ley) y 25 (protección judicial) de la Convención Americana; y artículo 7 de la Convención de Belém do Pará</w:t>
            </w:r>
          </w:p>
        </w:tc>
      </w:tr>
      <w:tr w:rsidR="003239B8" w:rsidRPr="00462441"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6532C0D0" w:rsidR="003239B8" w:rsidRPr="00DC24E3" w:rsidRDefault="00C24FAD"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462441"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33F73DF9" w:rsidR="003239B8" w:rsidRPr="00C24FAD" w:rsidRDefault="00C24FAD" w:rsidP="008D2290">
            <w:pPr>
              <w:rPr>
                <w:rFonts w:ascii="Cambria" w:hAnsi="Cambria"/>
                <w:bCs/>
                <w:sz w:val="20"/>
                <w:szCs w:val="20"/>
                <w:lang w:val="es-CO"/>
              </w:rPr>
            </w:pPr>
            <w:r>
              <w:rPr>
                <w:rFonts w:ascii="Cambria" w:hAnsi="Cambria"/>
                <w:bCs/>
                <w:sz w:val="20"/>
                <w:szCs w:val="20"/>
                <w:lang w:val="es-ES"/>
              </w:rPr>
              <w:t>Sí, en los términos de la Sección VI</w:t>
            </w:r>
          </w:p>
        </w:tc>
      </w:tr>
    </w:tbl>
    <w:p w14:paraId="31523824" w14:textId="77777777" w:rsidR="00EF5F75" w:rsidRDefault="00EF5F75" w:rsidP="003239B8">
      <w:pPr>
        <w:spacing w:before="240" w:after="240"/>
        <w:ind w:firstLine="720"/>
        <w:jc w:val="both"/>
        <w:rPr>
          <w:rFonts w:asciiTheme="majorHAnsi" w:hAnsiTheme="majorHAnsi"/>
          <w:b/>
          <w:sz w:val="20"/>
          <w:szCs w:val="20"/>
          <w:lang w:val="es-UY"/>
        </w:rPr>
      </w:pPr>
    </w:p>
    <w:p w14:paraId="57D12ABC" w14:textId="77777777" w:rsidR="00EF5F75" w:rsidRDefault="00EF5F75" w:rsidP="003239B8">
      <w:pPr>
        <w:spacing w:before="240" w:after="240"/>
        <w:ind w:firstLine="720"/>
        <w:jc w:val="both"/>
        <w:rPr>
          <w:rFonts w:asciiTheme="majorHAnsi" w:hAnsiTheme="majorHAnsi"/>
          <w:b/>
          <w:sz w:val="20"/>
          <w:szCs w:val="20"/>
          <w:lang w:val="es-UY"/>
        </w:rPr>
      </w:pPr>
    </w:p>
    <w:p w14:paraId="48C24E3A" w14:textId="77777777" w:rsidR="00EF5F75" w:rsidRDefault="00EF5F75" w:rsidP="003239B8">
      <w:pPr>
        <w:spacing w:before="240" w:after="240"/>
        <w:ind w:firstLine="720"/>
        <w:jc w:val="both"/>
        <w:rPr>
          <w:rFonts w:asciiTheme="majorHAnsi" w:hAnsiTheme="majorHAnsi"/>
          <w:b/>
          <w:sz w:val="20"/>
          <w:szCs w:val="20"/>
          <w:lang w:val="es-UY"/>
        </w:rPr>
      </w:pPr>
    </w:p>
    <w:p w14:paraId="56FD5D57" w14:textId="0E616091" w:rsidR="003239B8" w:rsidRPr="003E2449" w:rsidRDefault="00223A29" w:rsidP="002608A4">
      <w:pPr>
        <w:spacing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4241A0" w:rsidRPr="003E2449">
        <w:rPr>
          <w:rFonts w:asciiTheme="majorHAnsi" w:hAnsiTheme="majorHAnsi"/>
          <w:b/>
          <w:sz w:val="20"/>
          <w:szCs w:val="20"/>
          <w:lang w:val="es-UY"/>
        </w:rPr>
        <w:t>POSICIÓN DE LAS PARTES</w:t>
      </w:r>
      <w:r w:rsidR="003239B8" w:rsidRPr="003E2449">
        <w:rPr>
          <w:rFonts w:asciiTheme="majorHAnsi" w:hAnsiTheme="majorHAnsi"/>
          <w:b/>
          <w:sz w:val="20"/>
          <w:szCs w:val="20"/>
          <w:lang w:val="es-UY"/>
        </w:rPr>
        <w:t xml:space="preserve"> </w:t>
      </w:r>
    </w:p>
    <w:p w14:paraId="6901F992" w14:textId="1ECC67C9" w:rsidR="0008158C" w:rsidRPr="003E2449" w:rsidRDefault="008E4086" w:rsidP="002608A4">
      <w:pPr>
        <w:pStyle w:val="ListParagraph"/>
        <w:spacing w:before="0"/>
        <w:jc w:val="both"/>
        <w:rPr>
          <w:rFonts w:asciiTheme="majorHAnsi" w:hAnsiTheme="majorHAnsi"/>
          <w:b/>
          <w:sz w:val="20"/>
          <w:szCs w:val="20"/>
          <w:lang w:val="es-UY"/>
        </w:rPr>
      </w:pPr>
      <w:r w:rsidRPr="003E2449">
        <w:rPr>
          <w:rFonts w:asciiTheme="majorHAnsi" w:hAnsiTheme="majorHAnsi"/>
          <w:b/>
          <w:sz w:val="20"/>
          <w:szCs w:val="20"/>
          <w:lang w:val="es-UY"/>
        </w:rPr>
        <w:t>La p</w:t>
      </w:r>
      <w:r w:rsidR="0008158C" w:rsidRPr="003E2449">
        <w:rPr>
          <w:rFonts w:asciiTheme="majorHAnsi" w:hAnsiTheme="majorHAnsi"/>
          <w:b/>
          <w:sz w:val="20"/>
          <w:szCs w:val="20"/>
          <w:lang w:val="es-UY"/>
        </w:rPr>
        <w:t>arte peticionaria</w:t>
      </w:r>
    </w:p>
    <w:p w14:paraId="3409AE88" w14:textId="77777777" w:rsidR="00437873" w:rsidRPr="003E2449" w:rsidRDefault="00437873" w:rsidP="002608A4">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eastAsia="Cambria" w:hAnsi="Cambria" w:cs="Cambria"/>
          <w:color w:val="000000"/>
          <w:sz w:val="20"/>
          <w:szCs w:val="20"/>
          <w:bdr w:val="none" w:sz="0" w:space="0" w:color="auto"/>
          <w:lang w:val="es-ES"/>
        </w:rPr>
      </w:pPr>
      <w:r w:rsidRPr="003E2449">
        <w:rPr>
          <w:rFonts w:ascii="Cambria" w:eastAsia="Cambria" w:hAnsi="Cambria" w:cs="Cambria"/>
          <w:color w:val="000000"/>
          <w:sz w:val="20"/>
          <w:szCs w:val="20"/>
          <w:bdr w:val="none" w:sz="0" w:space="0" w:color="auto"/>
          <w:lang w:val="es-ES"/>
        </w:rPr>
        <w:t>La parte peticionaria alega la violación de los derechos de acceso a la justicia y a la honra y dignidad en perjuicio de la adolescente V.M.C.P. por la absolución y posterior decreto de prescripción a favor de tres hombres que la habrían violado mientras se encontraba en estado de embriaguez.</w:t>
      </w:r>
    </w:p>
    <w:p w14:paraId="727977D6" w14:textId="551C2DA1" w:rsidR="00437873" w:rsidRPr="003E2449" w:rsidRDefault="00437873" w:rsidP="002608A4">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eastAsia="Cambria" w:hAnsi="Cambria" w:cs="Cambria"/>
          <w:color w:val="000000"/>
          <w:sz w:val="20"/>
          <w:szCs w:val="20"/>
          <w:bdr w:val="none" w:sz="0" w:space="0" w:color="auto"/>
          <w:lang w:val="es-ES"/>
        </w:rPr>
      </w:pPr>
      <w:r w:rsidRPr="003E2449">
        <w:rPr>
          <w:rFonts w:ascii="Cambria" w:eastAsia="Cambria" w:hAnsi="Cambria" w:cs="Cambria"/>
          <w:color w:val="000000"/>
          <w:sz w:val="20"/>
          <w:szCs w:val="20"/>
          <w:bdr w:val="none" w:sz="0" w:space="0" w:color="auto"/>
          <w:lang w:val="es-ES"/>
        </w:rPr>
        <w:t>La parte peticionaria relata que entre las 8:00 p.m. y las 12:00 a.m. del 19 de junio de 2015</w:t>
      </w:r>
      <w:r w:rsidR="00D74A2F" w:rsidRPr="003E2449">
        <w:rPr>
          <w:rFonts w:ascii="Cambria" w:eastAsia="Cambria" w:hAnsi="Cambria" w:cs="Cambria"/>
          <w:color w:val="000000"/>
          <w:sz w:val="20"/>
          <w:szCs w:val="20"/>
          <w:bdr w:val="none" w:sz="0" w:space="0" w:color="auto"/>
          <w:lang w:val="es-ES"/>
        </w:rPr>
        <w:t>,</w:t>
      </w:r>
      <w:r w:rsidRPr="003E2449">
        <w:rPr>
          <w:rFonts w:ascii="Cambria" w:eastAsia="Cambria" w:hAnsi="Cambria" w:cs="Cambria"/>
          <w:color w:val="000000"/>
          <w:sz w:val="20"/>
          <w:szCs w:val="20"/>
          <w:bdr w:val="none" w:sz="0" w:space="0" w:color="auto"/>
          <w:lang w:val="es-ES"/>
        </w:rPr>
        <w:t xml:space="preserve"> mientras un grupo de cuatro adolescentes </w:t>
      </w:r>
      <w:r w:rsidRPr="003E2449">
        <w:rPr>
          <w:rFonts w:ascii="Cambria" w:eastAsia="Cambria" w:hAnsi="Cambria" w:cs="Cambria"/>
          <w:sz w:val="20"/>
          <w:szCs w:val="20"/>
          <w:bdr w:val="none" w:sz="0" w:space="0" w:color="auto"/>
          <w:lang w:val="es-ES"/>
        </w:rPr>
        <w:t>departía en una casa</w:t>
      </w:r>
      <w:r w:rsidRPr="003E2449">
        <w:rPr>
          <w:rFonts w:ascii="Cambria" w:eastAsia="Cambria" w:hAnsi="Cambria" w:cs="Cambria"/>
          <w:color w:val="000000"/>
          <w:sz w:val="20"/>
          <w:szCs w:val="20"/>
          <w:bdr w:val="none" w:sz="0" w:space="0" w:color="auto"/>
          <w:lang w:val="es-ES"/>
        </w:rPr>
        <w:t xml:space="preserve">, entre quienes se encontraba V.M.C.P. y era la única mujer, le dieron a beber cerca de diez vasos </w:t>
      </w:r>
      <w:r w:rsidR="005A1B7A" w:rsidRPr="003E2449">
        <w:rPr>
          <w:rFonts w:ascii="Cambria" w:eastAsia="Cambria" w:hAnsi="Cambria" w:cs="Cambria"/>
          <w:color w:val="000000"/>
          <w:sz w:val="20"/>
          <w:szCs w:val="20"/>
          <w:bdr w:val="none" w:sz="0" w:space="0" w:color="auto"/>
          <w:lang w:val="es-ES"/>
        </w:rPr>
        <w:t xml:space="preserve">con bebidas </w:t>
      </w:r>
      <w:r w:rsidR="00701726" w:rsidRPr="003E2449">
        <w:rPr>
          <w:rFonts w:ascii="Cambria" w:eastAsia="Cambria" w:hAnsi="Cambria" w:cs="Cambria"/>
          <w:color w:val="000000"/>
          <w:sz w:val="20"/>
          <w:szCs w:val="20"/>
          <w:bdr w:val="none" w:sz="0" w:space="0" w:color="auto"/>
          <w:lang w:val="es-ES"/>
        </w:rPr>
        <w:t>alcohólicas</w:t>
      </w:r>
      <w:r w:rsidRPr="003E2449">
        <w:rPr>
          <w:rFonts w:ascii="Cambria" w:eastAsia="Cambria" w:hAnsi="Cambria" w:cs="Cambria"/>
          <w:color w:val="000000"/>
          <w:sz w:val="20"/>
          <w:szCs w:val="20"/>
          <w:bdr w:val="none" w:sz="0" w:space="0" w:color="auto"/>
          <w:lang w:val="es-ES"/>
        </w:rPr>
        <w:t>. Una vez ella entró en un estado de alicoramiento que incapacitó su libertad de movimiento, los tres jóvenes</w:t>
      </w:r>
      <w:r w:rsidR="000C38FD" w:rsidRPr="003E2449">
        <w:rPr>
          <w:rFonts w:ascii="Cambria" w:eastAsia="Cambria" w:hAnsi="Cambria" w:cs="Cambria"/>
          <w:color w:val="000000"/>
          <w:sz w:val="20"/>
          <w:szCs w:val="20"/>
          <w:bdr w:val="none" w:sz="0" w:space="0" w:color="auto"/>
          <w:lang w:val="es-ES"/>
        </w:rPr>
        <w:t xml:space="preserve"> que estaban con ella</w:t>
      </w:r>
      <w:r w:rsidRPr="003E2449">
        <w:rPr>
          <w:rFonts w:ascii="Cambria" w:eastAsia="Cambria" w:hAnsi="Cambria" w:cs="Cambria"/>
          <w:color w:val="000000"/>
          <w:sz w:val="20"/>
          <w:szCs w:val="20"/>
          <w:bdr w:val="none" w:sz="0" w:space="0" w:color="auto"/>
          <w:lang w:val="es-ES"/>
        </w:rPr>
        <w:t xml:space="preserve"> se </w:t>
      </w:r>
      <w:r w:rsidR="00701726" w:rsidRPr="003E2449">
        <w:rPr>
          <w:rFonts w:ascii="Cambria" w:eastAsia="Cambria" w:hAnsi="Cambria" w:cs="Cambria"/>
          <w:color w:val="000000"/>
          <w:sz w:val="20"/>
          <w:szCs w:val="20"/>
          <w:bdr w:val="none" w:sz="0" w:space="0" w:color="auto"/>
          <w:lang w:val="es-ES"/>
        </w:rPr>
        <w:t xml:space="preserve">habrían turnado </w:t>
      </w:r>
      <w:r w:rsidRPr="003E2449">
        <w:rPr>
          <w:rFonts w:ascii="Cambria" w:eastAsia="Cambria" w:hAnsi="Cambria" w:cs="Cambria"/>
          <w:color w:val="000000"/>
          <w:sz w:val="20"/>
          <w:szCs w:val="20"/>
          <w:bdr w:val="none" w:sz="0" w:space="0" w:color="auto"/>
          <w:lang w:val="es-ES"/>
        </w:rPr>
        <w:t xml:space="preserve">para penetrarla vaginal, oral y analmente </w:t>
      </w:r>
      <w:r w:rsidR="00B5750A" w:rsidRPr="003E2449">
        <w:rPr>
          <w:rFonts w:ascii="Cambria" w:eastAsia="Cambria" w:hAnsi="Cambria" w:cs="Cambria"/>
          <w:color w:val="000000"/>
          <w:sz w:val="20"/>
          <w:szCs w:val="20"/>
          <w:bdr w:val="none" w:sz="0" w:space="0" w:color="auto"/>
          <w:lang w:val="es-ES"/>
        </w:rPr>
        <w:t>valiéndose</w:t>
      </w:r>
      <w:r w:rsidRPr="003E2449">
        <w:rPr>
          <w:rFonts w:ascii="Cambria" w:eastAsia="Cambria" w:hAnsi="Cambria" w:cs="Cambria"/>
          <w:color w:val="000000"/>
          <w:sz w:val="20"/>
          <w:szCs w:val="20"/>
          <w:bdr w:val="none" w:sz="0" w:space="0" w:color="auto"/>
          <w:lang w:val="es-ES"/>
        </w:rPr>
        <w:t xml:space="preserve"> de la fuerza física.</w:t>
      </w:r>
    </w:p>
    <w:p w14:paraId="38F7442E" w14:textId="2AFEEC88" w:rsidR="00437873" w:rsidRPr="003E2449" w:rsidRDefault="001B477D" w:rsidP="002608A4">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eastAsia="Cambria" w:hAnsi="Cambria" w:cs="Cambria"/>
          <w:color w:val="000000"/>
          <w:sz w:val="20"/>
          <w:szCs w:val="20"/>
          <w:bdr w:val="none" w:sz="0" w:space="0" w:color="auto"/>
          <w:lang w:val="es-ES"/>
        </w:rPr>
      </w:pPr>
      <w:r w:rsidRPr="003E2449">
        <w:rPr>
          <w:rFonts w:ascii="Cambria" w:eastAsia="Cambria" w:hAnsi="Cambria" w:cs="Cambria"/>
          <w:color w:val="000000"/>
          <w:sz w:val="20"/>
          <w:szCs w:val="20"/>
          <w:bdr w:val="none" w:sz="0" w:space="0" w:color="auto"/>
          <w:lang w:val="es-ES"/>
        </w:rPr>
        <w:t>T</w:t>
      </w:r>
      <w:r w:rsidR="00437873" w:rsidRPr="003E2449">
        <w:rPr>
          <w:rFonts w:ascii="Cambria" w:eastAsia="Cambria" w:hAnsi="Cambria" w:cs="Cambria"/>
          <w:color w:val="000000"/>
          <w:sz w:val="20"/>
          <w:szCs w:val="20"/>
          <w:bdr w:val="none" w:sz="0" w:space="0" w:color="auto"/>
          <w:lang w:val="es-ES"/>
        </w:rPr>
        <w:t xml:space="preserve">ras denunciar estos hechos, </w:t>
      </w:r>
      <w:r w:rsidR="00647932" w:rsidRPr="003E2449">
        <w:rPr>
          <w:rFonts w:ascii="Cambria" w:eastAsia="Cambria" w:hAnsi="Cambria" w:cs="Cambria"/>
          <w:color w:val="000000"/>
          <w:sz w:val="20"/>
          <w:szCs w:val="20"/>
          <w:bdr w:val="none" w:sz="0" w:space="0" w:color="auto"/>
          <w:lang w:val="es-ES"/>
        </w:rPr>
        <w:t xml:space="preserve">se inició </w:t>
      </w:r>
      <w:r w:rsidR="00437873" w:rsidRPr="003E2449">
        <w:rPr>
          <w:rFonts w:ascii="Cambria" w:eastAsia="Cambria" w:hAnsi="Cambria" w:cs="Cambria"/>
          <w:color w:val="000000"/>
          <w:sz w:val="20"/>
          <w:szCs w:val="20"/>
          <w:bdr w:val="none" w:sz="0" w:space="0" w:color="auto"/>
          <w:lang w:val="es-ES"/>
        </w:rPr>
        <w:t xml:space="preserve">el expediente radicado </w:t>
      </w:r>
      <w:r w:rsidR="005527E6" w:rsidRPr="003E2449">
        <w:rPr>
          <w:rFonts w:ascii="Cambria" w:eastAsia="Cambria" w:hAnsi="Cambria" w:cs="Cambria"/>
          <w:color w:val="000000"/>
          <w:sz w:val="20"/>
          <w:szCs w:val="20"/>
          <w:bdr w:val="none" w:sz="0" w:space="0" w:color="auto"/>
          <w:lang w:val="es-ES"/>
        </w:rPr>
        <w:t>nro.</w:t>
      </w:r>
      <w:r w:rsidR="00437873" w:rsidRPr="003E2449">
        <w:rPr>
          <w:rFonts w:ascii="Cambria" w:eastAsia="Cambria" w:hAnsi="Cambria" w:cs="Cambria"/>
          <w:color w:val="000000"/>
          <w:sz w:val="20"/>
          <w:szCs w:val="20"/>
          <w:bdr w:val="none" w:sz="0" w:space="0" w:color="auto"/>
          <w:lang w:val="es-ES"/>
        </w:rPr>
        <w:t xml:space="preserve"> 2683-2015 a</w:t>
      </w:r>
      <w:r w:rsidR="00647932" w:rsidRPr="003E2449">
        <w:rPr>
          <w:rFonts w:ascii="Cambria" w:eastAsia="Cambria" w:hAnsi="Cambria" w:cs="Cambria"/>
          <w:color w:val="000000"/>
          <w:sz w:val="20"/>
          <w:szCs w:val="20"/>
          <w:bdr w:val="none" w:sz="0" w:space="0" w:color="auto"/>
          <w:lang w:val="es-ES"/>
        </w:rPr>
        <w:t>nte e</w:t>
      </w:r>
      <w:r w:rsidR="00437873" w:rsidRPr="003E2449">
        <w:rPr>
          <w:rFonts w:ascii="Cambria" w:eastAsia="Cambria" w:hAnsi="Cambria" w:cs="Cambria"/>
          <w:color w:val="000000"/>
          <w:sz w:val="20"/>
          <w:szCs w:val="20"/>
          <w:bdr w:val="none" w:sz="0" w:space="0" w:color="auto"/>
          <w:lang w:val="es-ES"/>
        </w:rPr>
        <w:t>l Tercer Juzgado de Familia, el cual tramitó un proceso penal contra los tres adolescentes por el delito de violación de la libertad sexual de persona a quien se coloca en estado de inconsciencia e incapacidad para resistir, tipificado en el artículo 171 del Código Penal del Perú. La parte peticionaria refiere que el 7 de agosto de 2015 dicho juzgado condenó en primera instancia a los tres acusados por ese delito. Sin embargo, afirma que éstos apelaron</w:t>
      </w:r>
      <w:r w:rsidR="00D128C1" w:rsidRPr="003E2449">
        <w:rPr>
          <w:rFonts w:ascii="Cambria" w:eastAsia="Cambria" w:hAnsi="Cambria" w:cs="Cambria"/>
          <w:color w:val="000000"/>
          <w:sz w:val="20"/>
          <w:szCs w:val="20"/>
          <w:bdr w:val="none" w:sz="0" w:space="0" w:color="auto"/>
          <w:lang w:val="es-ES"/>
        </w:rPr>
        <w:t xml:space="preserve">, </w:t>
      </w:r>
      <w:r w:rsidR="00437873" w:rsidRPr="003E2449">
        <w:rPr>
          <w:rFonts w:ascii="Cambria" w:eastAsia="Cambria" w:hAnsi="Cambria" w:cs="Cambria"/>
          <w:color w:val="000000"/>
          <w:sz w:val="20"/>
          <w:szCs w:val="20"/>
          <w:bdr w:val="none" w:sz="0" w:space="0" w:color="auto"/>
          <w:lang w:val="es-ES"/>
        </w:rPr>
        <w:t xml:space="preserve">y la Sala Civil de Apelaciones emitió la sentencia </w:t>
      </w:r>
      <w:r w:rsidR="005527E6" w:rsidRPr="003E2449">
        <w:rPr>
          <w:rFonts w:ascii="Cambria" w:eastAsia="Cambria" w:hAnsi="Cambria" w:cs="Cambria"/>
          <w:color w:val="000000"/>
          <w:sz w:val="20"/>
          <w:szCs w:val="20"/>
          <w:bdr w:val="none" w:sz="0" w:space="0" w:color="auto"/>
          <w:lang w:val="es-ES"/>
        </w:rPr>
        <w:t>nro.</w:t>
      </w:r>
      <w:r w:rsidR="00437873" w:rsidRPr="003E2449">
        <w:rPr>
          <w:rFonts w:ascii="Cambria" w:eastAsia="Cambria" w:hAnsi="Cambria" w:cs="Cambria"/>
          <w:color w:val="000000"/>
          <w:sz w:val="20"/>
          <w:szCs w:val="20"/>
          <w:bdr w:val="none" w:sz="0" w:space="0" w:color="auto"/>
          <w:lang w:val="es-ES"/>
        </w:rPr>
        <w:t xml:space="preserve"> 489-2015 por la cual anuló la condena </w:t>
      </w:r>
      <w:r w:rsidR="005527E6" w:rsidRPr="003E2449">
        <w:rPr>
          <w:rFonts w:ascii="Cambria" w:eastAsia="Cambria" w:hAnsi="Cambria" w:cs="Cambria"/>
          <w:color w:val="000000"/>
          <w:sz w:val="20"/>
          <w:szCs w:val="20"/>
          <w:bdr w:val="none" w:sz="0" w:space="0" w:color="auto"/>
          <w:lang w:val="es-ES"/>
        </w:rPr>
        <w:t>de primera instancia</w:t>
      </w:r>
      <w:r w:rsidR="00437873" w:rsidRPr="003E2449">
        <w:rPr>
          <w:rFonts w:ascii="Cambria" w:eastAsia="Cambria" w:hAnsi="Cambria" w:cs="Cambria"/>
          <w:color w:val="000000"/>
          <w:sz w:val="20"/>
          <w:szCs w:val="20"/>
          <w:bdr w:val="none" w:sz="0" w:space="0" w:color="auto"/>
          <w:lang w:val="es-ES"/>
        </w:rPr>
        <w:t xml:space="preserve">, al considerar que </w:t>
      </w:r>
      <w:r w:rsidR="00AD02CF" w:rsidRPr="003E2449">
        <w:rPr>
          <w:rFonts w:ascii="Cambria" w:eastAsia="Cambria" w:hAnsi="Cambria" w:cs="Cambria"/>
          <w:color w:val="000000"/>
          <w:sz w:val="20"/>
          <w:szCs w:val="20"/>
          <w:bdr w:val="none" w:sz="0" w:space="0" w:color="auto"/>
          <w:lang w:val="es-ES"/>
        </w:rPr>
        <w:t xml:space="preserve">el </w:t>
      </w:r>
      <w:r w:rsidR="00AD02CF" w:rsidRPr="003E2449">
        <w:rPr>
          <w:rFonts w:ascii="Cambria" w:eastAsia="Cambria" w:hAnsi="Cambria" w:cs="Cambria"/>
          <w:i/>
          <w:iCs/>
          <w:color w:val="000000"/>
          <w:sz w:val="20"/>
          <w:szCs w:val="20"/>
          <w:bdr w:val="none" w:sz="0" w:space="0" w:color="auto"/>
          <w:lang w:val="es-ES"/>
        </w:rPr>
        <w:t>a quo</w:t>
      </w:r>
      <w:r w:rsidR="00437873" w:rsidRPr="003E2449">
        <w:rPr>
          <w:rFonts w:ascii="Cambria" w:eastAsia="Cambria" w:hAnsi="Cambria" w:cs="Cambria"/>
          <w:color w:val="000000"/>
          <w:sz w:val="20"/>
          <w:szCs w:val="20"/>
          <w:bdr w:val="none" w:sz="0" w:space="0" w:color="auto"/>
          <w:lang w:val="es-ES"/>
        </w:rPr>
        <w:t xml:space="preserve"> debía valorar un video presentado por la defensa de los procesados en donde, en palabras de la Sala</w:t>
      </w:r>
      <w:r w:rsidR="000C2A90" w:rsidRPr="003E2449">
        <w:rPr>
          <w:rFonts w:ascii="Cambria" w:eastAsia="Cambria" w:hAnsi="Cambria" w:cs="Cambria"/>
          <w:color w:val="000000"/>
          <w:sz w:val="20"/>
          <w:szCs w:val="20"/>
          <w:bdr w:val="none" w:sz="0" w:space="0" w:color="auto"/>
          <w:lang w:val="es-ES"/>
        </w:rPr>
        <w:t>,</w:t>
      </w:r>
      <w:r w:rsidR="00437873" w:rsidRPr="003E2449">
        <w:rPr>
          <w:rFonts w:ascii="Cambria" w:eastAsia="Cambria" w:hAnsi="Cambria" w:cs="Cambria"/>
          <w:color w:val="000000"/>
          <w:sz w:val="20"/>
          <w:szCs w:val="20"/>
          <w:bdr w:val="none" w:sz="0" w:space="0" w:color="auto"/>
          <w:lang w:val="es-ES"/>
        </w:rPr>
        <w:t xml:space="preserve"> “</w:t>
      </w:r>
      <w:r w:rsidR="00437873" w:rsidRPr="003E2449">
        <w:rPr>
          <w:rFonts w:ascii="Cambria" w:eastAsia="Cambria" w:hAnsi="Cambria" w:cs="Cambria"/>
          <w:i/>
          <w:color w:val="000000"/>
          <w:sz w:val="20"/>
          <w:szCs w:val="20"/>
          <w:bdr w:val="none" w:sz="0" w:space="0" w:color="auto"/>
          <w:lang w:val="es-ES"/>
        </w:rPr>
        <w:t>graficaría objetivamente cómo sucedieron los hechos</w:t>
      </w:r>
      <w:r w:rsidR="00437873" w:rsidRPr="003E2449">
        <w:rPr>
          <w:rFonts w:ascii="Cambria" w:eastAsia="Cambria" w:hAnsi="Cambria" w:cs="Cambria"/>
          <w:color w:val="000000"/>
          <w:sz w:val="20"/>
          <w:szCs w:val="20"/>
          <w:bdr w:val="none" w:sz="0" w:space="0" w:color="auto"/>
          <w:lang w:val="es-ES"/>
        </w:rPr>
        <w:t>”.</w:t>
      </w:r>
    </w:p>
    <w:p w14:paraId="00FF60DF" w14:textId="013F992C" w:rsidR="00437873" w:rsidRPr="003E2449" w:rsidRDefault="00437873" w:rsidP="002608A4">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eastAsia="Cambria" w:hAnsi="Cambria" w:cs="Cambria"/>
          <w:color w:val="000000"/>
          <w:sz w:val="20"/>
          <w:szCs w:val="20"/>
          <w:bdr w:val="none" w:sz="0" w:space="0" w:color="auto"/>
          <w:lang w:val="es-ES"/>
        </w:rPr>
      </w:pPr>
      <w:r w:rsidRPr="003E2449">
        <w:rPr>
          <w:rFonts w:ascii="Cambria" w:eastAsia="Cambria" w:hAnsi="Cambria" w:cs="Cambria"/>
          <w:color w:val="000000"/>
          <w:sz w:val="20"/>
          <w:szCs w:val="20"/>
          <w:bdr w:val="none" w:sz="0" w:space="0" w:color="auto"/>
          <w:lang w:val="es-ES"/>
        </w:rPr>
        <w:t>Ante esta decisión, la parte peticionaria señala que la Jueza Tercera de Familia emitió una nueva sentencia</w:t>
      </w:r>
      <w:r w:rsidR="00E4758C" w:rsidRPr="003E2449">
        <w:rPr>
          <w:rFonts w:ascii="Cambria" w:eastAsia="Cambria" w:hAnsi="Cambria" w:cs="Cambria"/>
          <w:color w:val="000000"/>
          <w:sz w:val="20"/>
          <w:szCs w:val="20"/>
          <w:bdr w:val="none" w:sz="0" w:space="0" w:color="auto"/>
          <w:lang w:val="es-ES"/>
        </w:rPr>
        <w:t>,</w:t>
      </w:r>
      <w:r w:rsidRPr="003E2449">
        <w:rPr>
          <w:rFonts w:ascii="Cambria" w:eastAsia="Cambria" w:hAnsi="Cambria" w:cs="Cambria"/>
          <w:color w:val="000000"/>
          <w:sz w:val="20"/>
          <w:szCs w:val="20"/>
          <w:bdr w:val="none" w:sz="0" w:space="0" w:color="auto"/>
          <w:lang w:val="es-ES"/>
        </w:rPr>
        <w:t xml:space="preserve"> con el </w:t>
      </w:r>
      <w:r w:rsidR="004F40DE" w:rsidRPr="003E2449">
        <w:rPr>
          <w:rFonts w:ascii="Cambria" w:eastAsia="Cambria" w:hAnsi="Cambria" w:cs="Cambria"/>
          <w:color w:val="000000"/>
          <w:sz w:val="20"/>
          <w:szCs w:val="20"/>
          <w:bdr w:val="none" w:sz="0" w:space="0" w:color="auto"/>
          <w:lang w:val="es-ES"/>
        </w:rPr>
        <w:t>nro.</w:t>
      </w:r>
      <w:r w:rsidRPr="003E2449">
        <w:rPr>
          <w:rFonts w:ascii="Cambria" w:eastAsia="Cambria" w:hAnsi="Cambria" w:cs="Cambria"/>
          <w:color w:val="000000"/>
          <w:sz w:val="20"/>
          <w:szCs w:val="20"/>
          <w:bdr w:val="none" w:sz="0" w:space="0" w:color="auto"/>
          <w:lang w:val="es-ES"/>
        </w:rPr>
        <w:t xml:space="preserve"> 843-2015</w:t>
      </w:r>
      <w:r w:rsidR="00875F9C" w:rsidRPr="003E2449">
        <w:rPr>
          <w:rFonts w:ascii="Cambria" w:eastAsia="Cambria" w:hAnsi="Cambria" w:cs="Cambria"/>
          <w:color w:val="000000"/>
          <w:sz w:val="20"/>
          <w:szCs w:val="20"/>
          <w:bdr w:val="none" w:sz="0" w:space="0" w:color="auto"/>
          <w:lang w:val="es-ES"/>
        </w:rPr>
        <w:t>,</w:t>
      </w:r>
      <w:r w:rsidRPr="003E2449">
        <w:rPr>
          <w:rFonts w:ascii="Cambria" w:eastAsia="Cambria" w:hAnsi="Cambria" w:cs="Cambria"/>
          <w:color w:val="000000"/>
          <w:sz w:val="20"/>
          <w:szCs w:val="20"/>
          <w:bdr w:val="none" w:sz="0" w:space="0" w:color="auto"/>
          <w:lang w:val="es-ES"/>
        </w:rPr>
        <w:t xml:space="preserve"> mediante la que absolvió a los tres imputados, pues estimó que el v</w:t>
      </w:r>
      <w:r w:rsidR="000C2A90" w:rsidRPr="003E2449">
        <w:rPr>
          <w:rFonts w:ascii="Cambria" w:eastAsia="Cambria" w:hAnsi="Cambria" w:cs="Cambria"/>
          <w:color w:val="000000"/>
          <w:sz w:val="20"/>
          <w:szCs w:val="20"/>
          <w:bdr w:val="none" w:sz="0" w:space="0" w:color="auto"/>
          <w:lang w:val="es-ES"/>
        </w:rPr>
        <w:t>i</w:t>
      </w:r>
      <w:r w:rsidRPr="003E2449">
        <w:rPr>
          <w:rFonts w:ascii="Cambria" w:eastAsia="Cambria" w:hAnsi="Cambria" w:cs="Cambria"/>
          <w:color w:val="000000"/>
          <w:sz w:val="20"/>
          <w:szCs w:val="20"/>
          <w:bdr w:val="none" w:sz="0" w:space="0" w:color="auto"/>
          <w:lang w:val="es-ES"/>
        </w:rPr>
        <w:t xml:space="preserve">deo generaba dudas sobre la participación de V.M.C.P., pese a que se había realizado una pericia que determinó que la adolescente se encontraba en tercera fase de intoxicación, bajo imposibilidad </w:t>
      </w:r>
      <w:r w:rsidR="00EC0947" w:rsidRPr="003E2449">
        <w:rPr>
          <w:rFonts w:ascii="Cambria" w:eastAsia="Cambria" w:hAnsi="Cambria" w:cs="Cambria"/>
          <w:color w:val="000000"/>
          <w:sz w:val="20"/>
          <w:szCs w:val="20"/>
          <w:bdr w:val="none" w:sz="0" w:space="0" w:color="auto"/>
          <w:lang w:val="es-ES"/>
        </w:rPr>
        <w:t xml:space="preserve">total </w:t>
      </w:r>
      <w:r w:rsidRPr="003E2449">
        <w:rPr>
          <w:rFonts w:ascii="Cambria" w:eastAsia="Cambria" w:hAnsi="Cambria" w:cs="Cambria"/>
          <w:color w:val="000000"/>
          <w:sz w:val="20"/>
          <w:szCs w:val="20"/>
          <w:bdr w:val="none" w:sz="0" w:space="0" w:color="auto"/>
          <w:lang w:val="es-ES"/>
        </w:rPr>
        <w:t xml:space="preserve">de manifestar su voluntad. La presunta víctima apeló dicha decisión, pero el 27 de enero de 2016 la Primera Sala de Apelaciones dictó la sentencia </w:t>
      </w:r>
      <w:r w:rsidR="007A2B2C" w:rsidRPr="003E2449">
        <w:rPr>
          <w:rFonts w:ascii="Cambria" w:eastAsia="Cambria" w:hAnsi="Cambria" w:cs="Cambria"/>
          <w:color w:val="000000"/>
          <w:sz w:val="20"/>
          <w:szCs w:val="20"/>
          <w:bdr w:val="none" w:sz="0" w:space="0" w:color="auto"/>
          <w:lang w:val="es-ES"/>
        </w:rPr>
        <w:t xml:space="preserve">nro. </w:t>
      </w:r>
      <w:r w:rsidRPr="003E2449">
        <w:rPr>
          <w:rFonts w:ascii="Cambria" w:eastAsia="Cambria" w:hAnsi="Cambria" w:cs="Cambria"/>
          <w:color w:val="000000"/>
          <w:sz w:val="20"/>
          <w:szCs w:val="20"/>
          <w:bdr w:val="none" w:sz="0" w:space="0" w:color="auto"/>
          <w:lang w:val="es-ES"/>
        </w:rPr>
        <w:t>47-2016 en la que ratific</w:t>
      </w:r>
      <w:r w:rsidR="006A49DD" w:rsidRPr="003E2449">
        <w:rPr>
          <w:rFonts w:ascii="Cambria" w:eastAsia="Cambria" w:hAnsi="Cambria" w:cs="Cambria"/>
          <w:color w:val="000000"/>
          <w:sz w:val="20"/>
          <w:szCs w:val="20"/>
          <w:bdr w:val="none" w:sz="0" w:space="0" w:color="auto"/>
          <w:lang w:val="es-ES"/>
        </w:rPr>
        <w:t>ó</w:t>
      </w:r>
      <w:r w:rsidRPr="003E2449">
        <w:rPr>
          <w:rFonts w:ascii="Cambria" w:eastAsia="Cambria" w:hAnsi="Cambria" w:cs="Cambria"/>
          <w:color w:val="000000"/>
          <w:sz w:val="20"/>
          <w:szCs w:val="20"/>
          <w:bdr w:val="none" w:sz="0" w:space="0" w:color="auto"/>
          <w:lang w:val="es-ES"/>
        </w:rPr>
        <w:t xml:space="preserve"> la postura de que ella </w:t>
      </w:r>
      <w:r w:rsidR="00EC0947" w:rsidRPr="003E2449">
        <w:rPr>
          <w:rFonts w:ascii="Cambria" w:eastAsia="Cambria" w:hAnsi="Cambria" w:cs="Cambria"/>
          <w:color w:val="000000"/>
          <w:sz w:val="20"/>
          <w:szCs w:val="20"/>
          <w:bdr w:val="none" w:sz="0" w:space="0" w:color="auto"/>
          <w:lang w:val="es-ES"/>
        </w:rPr>
        <w:t xml:space="preserve">habría </w:t>
      </w:r>
      <w:r w:rsidRPr="003E2449">
        <w:rPr>
          <w:rFonts w:ascii="Cambria" w:eastAsia="Cambria" w:hAnsi="Cambria" w:cs="Cambria"/>
          <w:color w:val="000000"/>
          <w:sz w:val="20"/>
          <w:szCs w:val="20"/>
          <w:bdr w:val="none" w:sz="0" w:space="0" w:color="auto"/>
          <w:lang w:val="es-ES"/>
        </w:rPr>
        <w:t>particip</w:t>
      </w:r>
      <w:r w:rsidR="00EC0947" w:rsidRPr="003E2449">
        <w:rPr>
          <w:rFonts w:ascii="Cambria" w:eastAsia="Cambria" w:hAnsi="Cambria" w:cs="Cambria"/>
          <w:color w:val="000000"/>
          <w:sz w:val="20"/>
          <w:szCs w:val="20"/>
          <w:bdr w:val="none" w:sz="0" w:space="0" w:color="auto"/>
          <w:lang w:val="es-ES"/>
        </w:rPr>
        <w:t>ado</w:t>
      </w:r>
      <w:r w:rsidRPr="003E2449">
        <w:rPr>
          <w:rFonts w:ascii="Cambria" w:eastAsia="Cambria" w:hAnsi="Cambria" w:cs="Cambria"/>
          <w:color w:val="000000"/>
          <w:sz w:val="20"/>
          <w:szCs w:val="20"/>
          <w:bdr w:val="none" w:sz="0" w:space="0" w:color="auto"/>
          <w:lang w:val="es-ES"/>
        </w:rPr>
        <w:t xml:space="preserve"> activamente en los hechos. La parte peticionaria indica que V.M.C.P. interpuso </w:t>
      </w:r>
      <w:r w:rsidR="006A49DD" w:rsidRPr="003E2449">
        <w:rPr>
          <w:rFonts w:ascii="Cambria" w:eastAsia="Cambria" w:hAnsi="Cambria" w:cs="Cambria"/>
          <w:color w:val="000000"/>
          <w:sz w:val="20"/>
          <w:szCs w:val="20"/>
          <w:bdr w:val="none" w:sz="0" w:space="0" w:color="auto"/>
          <w:lang w:val="es-ES"/>
        </w:rPr>
        <w:t xml:space="preserve">un </w:t>
      </w:r>
      <w:r w:rsidRPr="003E2449">
        <w:rPr>
          <w:rFonts w:ascii="Cambria" w:eastAsia="Cambria" w:hAnsi="Cambria" w:cs="Cambria"/>
          <w:color w:val="000000"/>
          <w:sz w:val="20"/>
          <w:szCs w:val="20"/>
          <w:bdr w:val="none" w:sz="0" w:space="0" w:color="auto"/>
          <w:lang w:val="es-ES"/>
        </w:rPr>
        <w:t xml:space="preserve">recurso de casación contra dicho fallo, y aunque la Corte Suprema de Justicia confirmó esa decisión mediante sentencia de casación </w:t>
      </w:r>
      <w:r w:rsidR="006A49DD" w:rsidRPr="003E2449">
        <w:rPr>
          <w:rFonts w:ascii="Cambria" w:eastAsia="Cambria" w:hAnsi="Cambria" w:cs="Cambria"/>
          <w:color w:val="000000"/>
          <w:sz w:val="20"/>
          <w:szCs w:val="20"/>
          <w:bdr w:val="none" w:sz="0" w:space="0" w:color="auto"/>
          <w:lang w:val="es-ES"/>
        </w:rPr>
        <w:t>nro.</w:t>
      </w:r>
      <w:r w:rsidRPr="003E2449">
        <w:rPr>
          <w:rFonts w:ascii="Cambria" w:eastAsia="Cambria" w:hAnsi="Cambria" w:cs="Cambria"/>
          <w:color w:val="000000"/>
          <w:sz w:val="20"/>
          <w:szCs w:val="20"/>
          <w:bdr w:val="none" w:sz="0" w:space="0" w:color="auto"/>
          <w:lang w:val="es-ES"/>
        </w:rPr>
        <w:t xml:space="preserve"> 661-2016, ordenó, por otros motivos, que la jueza de primera instancia emitiera un nuevo fallo dentro de los tres meses siguientes.</w:t>
      </w:r>
    </w:p>
    <w:p w14:paraId="6033FB6A" w14:textId="7FE3D4B1" w:rsidR="00437873" w:rsidRPr="003E2449" w:rsidRDefault="00437873" w:rsidP="002608A4">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eastAsia="Cambria" w:hAnsi="Cambria" w:cs="Cambria"/>
          <w:color w:val="000000"/>
          <w:sz w:val="20"/>
          <w:szCs w:val="20"/>
          <w:bdr w:val="none" w:sz="0" w:space="0" w:color="auto"/>
          <w:lang w:val="es-ES"/>
        </w:rPr>
      </w:pPr>
      <w:r w:rsidRPr="003E2449">
        <w:rPr>
          <w:rFonts w:ascii="Cambria" w:eastAsia="Cambria" w:hAnsi="Cambria" w:cs="Cambria"/>
          <w:color w:val="000000"/>
          <w:sz w:val="20"/>
          <w:szCs w:val="20"/>
          <w:bdr w:val="none" w:sz="0" w:space="0" w:color="auto"/>
          <w:lang w:val="es-ES"/>
        </w:rPr>
        <w:t>La parte peticionaria enfatiza que el expediente fue remitido al juzgado de primera instancia ocho meses después y</w:t>
      </w:r>
      <w:r w:rsidR="009309EE" w:rsidRPr="003E2449">
        <w:rPr>
          <w:rFonts w:ascii="Cambria" w:eastAsia="Cambria" w:hAnsi="Cambria" w:cs="Cambria"/>
          <w:color w:val="000000"/>
          <w:sz w:val="20"/>
          <w:szCs w:val="20"/>
          <w:bdr w:val="none" w:sz="0" w:space="0" w:color="auto"/>
          <w:lang w:val="es-ES"/>
        </w:rPr>
        <w:t>,</w:t>
      </w:r>
      <w:r w:rsidRPr="003E2449">
        <w:rPr>
          <w:rFonts w:ascii="Cambria" w:eastAsia="Cambria" w:hAnsi="Cambria" w:cs="Cambria"/>
          <w:color w:val="000000"/>
          <w:sz w:val="20"/>
          <w:szCs w:val="20"/>
          <w:bdr w:val="none" w:sz="0" w:space="0" w:color="auto"/>
          <w:lang w:val="es-ES"/>
        </w:rPr>
        <w:t xml:space="preserve"> para entonces, el Tercer Juzgado de Familia expidió la Resolución 95 por la cual declaraba la prescripción de la acción penal a favor de los tres procesados. La presunta víctima apeló esa providencia, pero mediante auto </w:t>
      </w:r>
      <w:r w:rsidR="00995E10" w:rsidRPr="003E2449">
        <w:rPr>
          <w:rFonts w:ascii="Cambria" w:eastAsia="Cambria" w:hAnsi="Cambria" w:cs="Cambria"/>
          <w:color w:val="000000"/>
          <w:sz w:val="20"/>
          <w:szCs w:val="20"/>
          <w:bdr w:val="none" w:sz="0" w:space="0" w:color="auto"/>
          <w:lang w:val="es-ES"/>
        </w:rPr>
        <w:t>nro.</w:t>
      </w:r>
      <w:r w:rsidRPr="003E2449">
        <w:rPr>
          <w:rFonts w:ascii="Cambria" w:eastAsia="Cambria" w:hAnsi="Cambria" w:cs="Cambria"/>
          <w:color w:val="000000"/>
          <w:sz w:val="20"/>
          <w:szCs w:val="20"/>
          <w:bdr w:val="none" w:sz="0" w:space="0" w:color="auto"/>
          <w:lang w:val="es-ES"/>
        </w:rPr>
        <w:t xml:space="preserve"> 55-2018 la Sala de Apelaciones estableció que el plazo de prescripción del delito es de dos años, por lo que el término </w:t>
      </w:r>
      <w:r w:rsidR="00173485" w:rsidRPr="003E2449">
        <w:rPr>
          <w:rFonts w:ascii="Cambria" w:eastAsia="Cambria" w:hAnsi="Cambria" w:cs="Cambria"/>
          <w:color w:val="000000"/>
          <w:sz w:val="20"/>
          <w:szCs w:val="20"/>
          <w:bdr w:val="none" w:sz="0" w:space="0" w:color="auto"/>
          <w:lang w:val="es-ES"/>
        </w:rPr>
        <w:t>había fenecido</w:t>
      </w:r>
      <w:r w:rsidRPr="003E2449">
        <w:rPr>
          <w:rFonts w:ascii="Cambria" w:eastAsia="Cambria" w:hAnsi="Cambria" w:cs="Cambria"/>
          <w:color w:val="000000"/>
          <w:sz w:val="20"/>
          <w:szCs w:val="20"/>
          <w:bdr w:val="none" w:sz="0" w:space="0" w:color="auto"/>
          <w:lang w:val="es-ES"/>
        </w:rPr>
        <w:t xml:space="preserve"> el 19 de junio de 2017. La representación de V.M.C.P. presentó un recurso ante la Corte Suprema de Justicia alegando que debía aplicarse de manera supletoria el plazo de prescripción previsto en el Código de Niños y Adolescente, para procesos penales sustanciados contra adolescentes, pero </w:t>
      </w:r>
      <w:r w:rsidR="00774162" w:rsidRPr="003E2449">
        <w:rPr>
          <w:rFonts w:ascii="Cambria" w:eastAsia="Cambria" w:hAnsi="Cambria" w:cs="Cambria"/>
          <w:color w:val="000000"/>
          <w:sz w:val="20"/>
          <w:szCs w:val="20"/>
          <w:bdr w:val="none" w:sz="0" w:space="0" w:color="auto"/>
          <w:lang w:val="es-ES"/>
        </w:rPr>
        <w:t xml:space="preserve">la </w:t>
      </w:r>
      <w:r w:rsidR="0036223D" w:rsidRPr="003E2449">
        <w:rPr>
          <w:rFonts w:ascii="Cambria" w:eastAsia="Cambria" w:hAnsi="Cambria" w:cs="Cambria"/>
          <w:color w:val="000000"/>
          <w:sz w:val="20"/>
          <w:szCs w:val="20"/>
          <w:bdr w:val="none" w:sz="0" w:space="0" w:color="auto"/>
          <w:lang w:val="es-ES"/>
        </w:rPr>
        <w:t>C</w:t>
      </w:r>
      <w:r w:rsidR="00774162" w:rsidRPr="003E2449">
        <w:rPr>
          <w:rFonts w:ascii="Cambria" w:eastAsia="Cambria" w:hAnsi="Cambria" w:cs="Cambria"/>
          <w:color w:val="000000"/>
          <w:sz w:val="20"/>
          <w:szCs w:val="20"/>
          <w:bdr w:val="none" w:sz="0" w:space="0" w:color="auto"/>
          <w:lang w:val="es-ES"/>
        </w:rPr>
        <w:t>orte</w:t>
      </w:r>
      <w:r w:rsidRPr="003E2449">
        <w:rPr>
          <w:rFonts w:ascii="Cambria" w:eastAsia="Cambria" w:hAnsi="Cambria" w:cs="Cambria"/>
          <w:color w:val="000000"/>
          <w:sz w:val="20"/>
          <w:szCs w:val="20"/>
          <w:bdr w:val="none" w:sz="0" w:space="0" w:color="auto"/>
          <w:lang w:val="es-ES"/>
        </w:rPr>
        <w:t xml:space="preserve"> no aceptó </w:t>
      </w:r>
      <w:r w:rsidR="00774162" w:rsidRPr="003E2449">
        <w:rPr>
          <w:rFonts w:ascii="Cambria" w:eastAsia="Cambria" w:hAnsi="Cambria" w:cs="Cambria"/>
          <w:color w:val="000000"/>
          <w:sz w:val="20"/>
          <w:szCs w:val="20"/>
          <w:bdr w:val="none" w:sz="0" w:space="0" w:color="auto"/>
          <w:lang w:val="es-ES"/>
        </w:rPr>
        <w:t>esa</w:t>
      </w:r>
      <w:r w:rsidRPr="003E2449">
        <w:rPr>
          <w:rFonts w:ascii="Cambria" w:eastAsia="Cambria" w:hAnsi="Cambria" w:cs="Cambria"/>
          <w:color w:val="000000"/>
          <w:sz w:val="20"/>
          <w:szCs w:val="20"/>
          <w:bdr w:val="none" w:sz="0" w:space="0" w:color="auto"/>
          <w:lang w:val="es-ES"/>
        </w:rPr>
        <w:t xml:space="preserve"> hipótesis. La parte peticionaria agrega que </w:t>
      </w:r>
      <w:r w:rsidR="00BD4559" w:rsidRPr="003E2449">
        <w:rPr>
          <w:rFonts w:ascii="Cambria" w:eastAsia="Cambria" w:hAnsi="Cambria" w:cs="Cambria"/>
          <w:color w:val="000000"/>
          <w:sz w:val="20"/>
          <w:szCs w:val="20"/>
          <w:bdr w:val="none" w:sz="0" w:space="0" w:color="auto"/>
          <w:lang w:val="es-ES"/>
        </w:rPr>
        <w:t xml:space="preserve">posteriormente presentaron </w:t>
      </w:r>
      <w:r w:rsidRPr="003E2449">
        <w:rPr>
          <w:rFonts w:ascii="Cambria" w:eastAsia="Cambria" w:hAnsi="Cambria" w:cs="Cambria"/>
          <w:color w:val="000000"/>
          <w:sz w:val="20"/>
          <w:szCs w:val="20"/>
          <w:bdr w:val="none" w:sz="0" w:space="0" w:color="auto"/>
          <w:lang w:val="es-ES"/>
        </w:rPr>
        <w:t>una acción de amparo que fue declarada improcedente en última instancia en mayo de 2019.</w:t>
      </w:r>
    </w:p>
    <w:p w14:paraId="4540F863" w14:textId="6F813851" w:rsidR="00437873" w:rsidRPr="003E2449" w:rsidRDefault="00BD4559" w:rsidP="002608A4">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eastAsia="Cambria" w:hAnsi="Cambria" w:cs="Cambria"/>
          <w:color w:val="000000"/>
          <w:sz w:val="20"/>
          <w:szCs w:val="20"/>
          <w:bdr w:val="none" w:sz="0" w:space="0" w:color="auto"/>
          <w:lang w:val="es-ES"/>
        </w:rPr>
      </w:pPr>
      <w:r w:rsidRPr="003E2449">
        <w:rPr>
          <w:rFonts w:ascii="Cambria" w:eastAsia="Cambria" w:hAnsi="Cambria" w:cs="Cambria"/>
          <w:color w:val="000000"/>
          <w:sz w:val="20"/>
          <w:szCs w:val="20"/>
          <w:bdr w:val="none" w:sz="0" w:space="0" w:color="auto"/>
          <w:lang w:val="es-ES"/>
        </w:rPr>
        <w:t xml:space="preserve">La parte peticionaria aduce </w:t>
      </w:r>
      <w:r w:rsidR="00437873" w:rsidRPr="003E2449">
        <w:rPr>
          <w:rFonts w:ascii="Cambria" w:eastAsia="Cambria" w:hAnsi="Cambria" w:cs="Cambria"/>
          <w:color w:val="000000"/>
          <w:sz w:val="20"/>
          <w:szCs w:val="20"/>
          <w:bdr w:val="none" w:sz="0" w:space="0" w:color="auto"/>
          <w:lang w:val="es-ES"/>
        </w:rPr>
        <w:t>que el Estado es responsable de la violación de los derechos de acceso a la justicia y a la protección de la honra y dignidad de V.M.C.P.</w:t>
      </w:r>
      <w:r w:rsidR="005B5E85" w:rsidRPr="003E2449">
        <w:rPr>
          <w:rFonts w:ascii="Cambria" w:eastAsia="Cambria" w:hAnsi="Cambria" w:cs="Cambria"/>
          <w:color w:val="000000"/>
          <w:sz w:val="20"/>
          <w:szCs w:val="20"/>
          <w:bdr w:val="none" w:sz="0" w:space="0" w:color="auto"/>
          <w:lang w:val="es-ES"/>
        </w:rPr>
        <w:t>,</w:t>
      </w:r>
      <w:r w:rsidR="00437873" w:rsidRPr="003E2449">
        <w:rPr>
          <w:rFonts w:ascii="Cambria" w:eastAsia="Cambria" w:hAnsi="Cambria" w:cs="Cambria"/>
          <w:color w:val="000000"/>
          <w:sz w:val="20"/>
          <w:szCs w:val="20"/>
          <w:bdr w:val="none" w:sz="0" w:space="0" w:color="auto"/>
          <w:lang w:val="es-ES"/>
        </w:rPr>
        <w:t xml:space="preserve"> porque los tribunales internos realizaron una interpretación subjetiva y parcializada, contraria al peritaje y al testimonio de la presunta víctima de un video del cual se desconocía la fuente y la cadena de custodia. </w:t>
      </w:r>
      <w:r w:rsidR="00ED026A" w:rsidRPr="003E2449">
        <w:rPr>
          <w:rFonts w:ascii="Cambria" w:eastAsia="Cambria" w:hAnsi="Cambria" w:cs="Cambria"/>
          <w:color w:val="000000"/>
          <w:sz w:val="20"/>
          <w:szCs w:val="20"/>
          <w:bdr w:val="none" w:sz="0" w:space="0" w:color="auto"/>
          <w:lang w:val="es-ES"/>
        </w:rPr>
        <w:t>Alega</w:t>
      </w:r>
      <w:r w:rsidR="00437873" w:rsidRPr="003E2449">
        <w:rPr>
          <w:rFonts w:ascii="Cambria" w:eastAsia="Cambria" w:hAnsi="Cambria" w:cs="Cambria"/>
          <w:color w:val="000000"/>
          <w:sz w:val="20"/>
          <w:szCs w:val="20"/>
          <w:bdr w:val="none" w:sz="0" w:space="0" w:color="auto"/>
          <w:lang w:val="es-ES"/>
        </w:rPr>
        <w:t xml:space="preserve"> además que las autoridades estatales cometieron la grave omisión por parte de la Corte Suprema de Justicia de no haber remitido a tiempo el expediente para evitar la prescripción penal, lo que consolidó la impunidad frente a los hechos denunciados.</w:t>
      </w:r>
    </w:p>
    <w:p w14:paraId="180B531E" w14:textId="0B695B16" w:rsidR="00533DFF" w:rsidRPr="003E2449" w:rsidRDefault="00437873" w:rsidP="002608A4">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eastAsia="Cambria" w:hAnsi="Cambria" w:cs="Cambria"/>
          <w:color w:val="000000"/>
          <w:sz w:val="20"/>
          <w:szCs w:val="20"/>
          <w:bdr w:val="none" w:sz="0" w:space="0" w:color="auto"/>
          <w:lang w:val="es-ES"/>
        </w:rPr>
      </w:pPr>
      <w:r w:rsidRPr="003E2449">
        <w:rPr>
          <w:rFonts w:ascii="Cambria" w:eastAsia="Cambria" w:hAnsi="Cambria" w:cs="Cambria"/>
          <w:color w:val="000000"/>
          <w:sz w:val="20"/>
          <w:szCs w:val="20"/>
          <w:bdr w:val="none" w:sz="0" w:space="0" w:color="auto"/>
          <w:lang w:val="es-ES"/>
        </w:rPr>
        <w:t xml:space="preserve">En una comunicación posterior, V.M.C.P. informa que el 10 de octubre de 2019 interpuso una demanda de daños y perjuicios contra los tres presuntos perpetradores de la violación, la cual está siendo tramitada dentro del expediente </w:t>
      </w:r>
      <w:r w:rsidR="00BA1B39" w:rsidRPr="003E2449">
        <w:rPr>
          <w:rFonts w:ascii="Cambria" w:eastAsia="Cambria" w:hAnsi="Cambria" w:cs="Cambria"/>
          <w:color w:val="000000"/>
          <w:sz w:val="20"/>
          <w:szCs w:val="20"/>
          <w:bdr w:val="none" w:sz="0" w:space="0" w:color="auto"/>
          <w:lang w:val="es-ES"/>
        </w:rPr>
        <w:t>nro.</w:t>
      </w:r>
      <w:r w:rsidRPr="003E2449">
        <w:rPr>
          <w:rFonts w:ascii="Cambria" w:eastAsia="Cambria" w:hAnsi="Cambria" w:cs="Cambria"/>
          <w:color w:val="000000"/>
          <w:sz w:val="20"/>
          <w:szCs w:val="20"/>
          <w:bdr w:val="none" w:sz="0" w:space="0" w:color="auto"/>
          <w:lang w:val="es-ES"/>
        </w:rPr>
        <w:t xml:space="preserve"> 4971-2019 ante el Quinto Juzgado Civil de la Corte Superior de Justicia de Arequipa.</w:t>
      </w:r>
    </w:p>
    <w:p w14:paraId="6D88CFF0" w14:textId="77777777" w:rsidR="00437873" w:rsidRPr="003E2449" w:rsidRDefault="00437873" w:rsidP="002608A4">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Fonts w:ascii="Cambria" w:eastAsia="Cambria" w:hAnsi="Cambria" w:cs="Cambria"/>
          <w:b/>
          <w:color w:val="000000"/>
          <w:sz w:val="20"/>
          <w:szCs w:val="20"/>
          <w:bdr w:val="none" w:sz="0" w:space="0" w:color="auto"/>
          <w:lang w:val="es-ES"/>
        </w:rPr>
      </w:pPr>
      <w:r w:rsidRPr="003E2449">
        <w:rPr>
          <w:rFonts w:ascii="Cambria" w:eastAsia="Cambria" w:hAnsi="Cambria" w:cs="Cambria"/>
          <w:b/>
          <w:color w:val="000000"/>
          <w:sz w:val="20"/>
          <w:szCs w:val="20"/>
          <w:bdr w:val="none" w:sz="0" w:space="0" w:color="auto"/>
          <w:lang w:val="es-ES"/>
        </w:rPr>
        <w:lastRenderedPageBreak/>
        <w:t>El Estado peruano</w:t>
      </w:r>
    </w:p>
    <w:p w14:paraId="349E28E4" w14:textId="385C37AF" w:rsidR="00437873" w:rsidRPr="003E2449" w:rsidRDefault="00437873" w:rsidP="002608A4">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eastAsia="Cambria" w:hAnsi="Cambria" w:cs="Cambria"/>
          <w:color w:val="000000"/>
          <w:sz w:val="20"/>
          <w:szCs w:val="20"/>
          <w:bdr w:val="none" w:sz="0" w:space="0" w:color="auto"/>
          <w:lang w:val="es-ES"/>
        </w:rPr>
      </w:pPr>
      <w:r w:rsidRPr="003E2449">
        <w:rPr>
          <w:rFonts w:ascii="Cambria" w:eastAsia="Cambria" w:hAnsi="Cambria" w:cs="Cambria"/>
          <w:color w:val="000000"/>
          <w:sz w:val="20"/>
          <w:szCs w:val="20"/>
          <w:bdr w:val="none" w:sz="0" w:space="0" w:color="auto"/>
          <w:lang w:val="es-ES"/>
        </w:rPr>
        <w:t>El Estado, por su parte, replica que la presente petición es inadmisible bajo tres causales: i) en tanto la parte peticionaria pretende hacer uso de la CIDH como un tribunal de cuarta instancia internacional para que revise las sentencias adoptadas en el proceso penal; ii) la presunta víctima no ha agotado los recursos internos, en particular, la acción de amparo; y iii)</w:t>
      </w:r>
      <w:r w:rsidR="002931D4" w:rsidRPr="003E2449">
        <w:rPr>
          <w:rFonts w:ascii="Cambria" w:eastAsia="Cambria" w:hAnsi="Cambria" w:cs="Cambria"/>
          <w:color w:val="000000"/>
          <w:sz w:val="20"/>
          <w:szCs w:val="20"/>
          <w:bdr w:val="none" w:sz="0" w:space="0" w:color="auto"/>
          <w:lang w:val="es-ES"/>
        </w:rPr>
        <w:t xml:space="preserve"> por considerar que</w:t>
      </w:r>
      <w:r w:rsidRPr="003E2449">
        <w:rPr>
          <w:rFonts w:ascii="Cambria" w:eastAsia="Cambria" w:hAnsi="Cambria" w:cs="Cambria"/>
          <w:color w:val="000000"/>
          <w:sz w:val="20"/>
          <w:szCs w:val="20"/>
          <w:bdr w:val="none" w:sz="0" w:space="0" w:color="auto"/>
          <w:lang w:val="es-ES"/>
        </w:rPr>
        <w:t xml:space="preserve"> la petición no expone hechos que caractericen una violación a los derechos contenidos en la Convención Americana.</w:t>
      </w:r>
    </w:p>
    <w:p w14:paraId="329392AA" w14:textId="50971C0E" w:rsidR="00437873" w:rsidRPr="003E2449" w:rsidRDefault="00437873" w:rsidP="002608A4">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eastAsia="Cambria" w:hAnsi="Cambria" w:cs="Cambria"/>
          <w:color w:val="000000"/>
          <w:sz w:val="20"/>
          <w:szCs w:val="20"/>
          <w:bdr w:val="none" w:sz="0" w:space="0" w:color="auto"/>
          <w:lang w:val="es-ES"/>
        </w:rPr>
      </w:pPr>
      <w:r w:rsidRPr="003E2449">
        <w:rPr>
          <w:rFonts w:ascii="Cambria" w:eastAsia="Cambria" w:hAnsi="Cambria" w:cs="Cambria"/>
          <w:color w:val="000000"/>
          <w:sz w:val="20"/>
          <w:szCs w:val="20"/>
          <w:bdr w:val="none" w:sz="0" w:space="0" w:color="auto"/>
          <w:lang w:val="es-ES"/>
        </w:rPr>
        <w:t xml:space="preserve">En primer lugar, Perú plantea que la petición incurre en la denominada “fórmula de la cuarta instancia internacional”, toda vez que la presunta víctima acude a la </w:t>
      </w:r>
      <w:r w:rsidR="00EF498C" w:rsidRPr="003E2449">
        <w:rPr>
          <w:rFonts w:ascii="Cambria" w:eastAsia="Cambria" w:hAnsi="Cambria" w:cs="Cambria"/>
          <w:color w:val="000000"/>
          <w:sz w:val="20"/>
          <w:szCs w:val="20"/>
          <w:bdr w:val="none" w:sz="0" w:space="0" w:color="auto"/>
          <w:lang w:val="es-ES"/>
        </w:rPr>
        <w:t>CIDH</w:t>
      </w:r>
      <w:r w:rsidRPr="003E2449">
        <w:rPr>
          <w:rFonts w:ascii="Cambria" w:eastAsia="Cambria" w:hAnsi="Cambria" w:cs="Cambria"/>
          <w:color w:val="000000"/>
          <w:sz w:val="20"/>
          <w:szCs w:val="20"/>
          <w:bdr w:val="none" w:sz="0" w:space="0" w:color="auto"/>
          <w:lang w:val="es-ES"/>
        </w:rPr>
        <w:t xml:space="preserve"> con el objetivo de que revise las decisiones adoptadas en el proceso penal seguido por el delito de violación de la libertad sexual, pese a que éstas respetaron las garantías judiciales del debido proceso. El Estado recuerda que</w:t>
      </w:r>
      <w:r w:rsidR="00665526" w:rsidRPr="003E2449">
        <w:rPr>
          <w:rFonts w:ascii="Cambria" w:eastAsia="Cambria" w:hAnsi="Cambria" w:cs="Cambria"/>
          <w:color w:val="000000"/>
          <w:sz w:val="20"/>
          <w:szCs w:val="20"/>
          <w:bdr w:val="none" w:sz="0" w:space="0" w:color="auto"/>
          <w:lang w:val="es-ES"/>
        </w:rPr>
        <w:t>,</w:t>
      </w:r>
      <w:r w:rsidRPr="003E2449">
        <w:rPr>
          <w:rFonts w:ascii="Cambria" w:eastAsia="Cambria" w:hAnsi="Cambria" w:cs="Cambria"/>
          <w:color w:val="000000"/>
          <w:sz w:val="20"/>
          <w:szCs w:val="20"/>
          <w:bdr w:val="none" w:sz="0" w:space="0" w:color="auto"/>
          <w:lang w:val="es-ES"/>
        </w:rPr>
        <w:t xml:space="preserve"> en los términos del artículo 47.b de la Convención, los órganos del Sistema Interamericana sólo podrán revisar el contenido de decisiones judiciales cuando se haya producido una manifiesta vulneración de derechos humanos. Así, no pueden dirimir los desacuerdos de las partes sobre alcances de la valoración de la prueba, ni de la aplicación del derecho interno en aspectos no vinculados al Derechos Internacional de los Derechos Humanos.</w:t>
      </w:r>
    </w:p>
    <w:p w14:paraId="626E4372" w14:textId="14ACBC1F" w:rsidR="00437873" w:rsidRPr="003E2449" w:rsidRDefault="00437873" w:rsidP="002608A4">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eastAsia="Cambria" w:hAnsi="Cambria" w:cs="Cambria"/>
          <w:color w:val="000000"/>
          <w:sz w:val="20"/>
          <w:szCs w:val="20"/>
          <w:bdr w:val="none" w:sz="0" w:space="0" w:color="auto"/>
          <w:lang w:val="es-ES"/>
        </w:rPr>
      </w:pPr>
      <w:r w:rsidRPr="003E2449">
        <w:rPr>
          <w:rFonts w:ascii="Cambria" w:eastAsia="Cambria" w:hAnsi="Cambria" w:cs="Cambria"/>
          <w:color w:val="000000"/>
          <w:sz w:val="20"/>
          <w:szCs w:val="20"/>
          <w:bdr w:val="none" w:sz="0" w:space="0" w:color="auto"/>
          <w:lang w:val="es-ES"/>
        </w:rPr>
        <w:t xml:space="preserve">En esa medida, asegura que la parte peticionaria busca que la CIDH se pronuncie sobre aspectos que ya fueron valorados, analizados y decididos por las autoridades jurisdiccionales competentes. </w:t>
      </w:r>
      <w:r w:rsidRPr="003E2449">
        <w:rPr>
          <w:rFonts w:ascii="Cambria" w:eastAsia="Cambria" w:hAnsi="Cambria" w:cs="Cambria"/>
          <w:sz w:val="20"/>
          <w:szCs w:val="20"/>
          <w:bdr w:val="none" w:sz="0" w:space="0" w:color="auto"/>
          <w:lang w:val="es-ES"/>
        </w:rPr>
        <w:t>Plantea</w:t>
      </w:r>
      <w:r w:rsidRPr="003E2449">
        <w:rPr>
          <w:rFonts w:ascii="Cambria" w:eastAsia="Cambria" w:hAnsi="Cambria" w:cs="Cambria"/>
          <w:color w:val="000000"/>
          <w:sz w:val="20"/>
          <w:szCs w:val="20"/>
          <w:bdr w:val="none" w:sz="0" w:space="0" w:color="auto"/>
          <w:lang w:val="es-ES"/>
        </w:rPr>
        <w:t xml:space="preserve"> que, independientemente de que el resultado haya sido desfavorable para la parte peticionaria, ello no faculta a la Comisión a revisar las decisiones adoptadas a fin de “</w:t>
      </w:r>
      <w:r w:rsidRPr="003E2449">
        <w:rPr>
          <w:rFonts w:ascii="Cambria" w:eastAsia="Cambria" w:hAnsi="Cambria" w:cs="Cambria"/>
          <w:i/>
          <w:iCs/>
          <w:color w:val="000000"/>
          <w:sz w:val="20"/>
          <w:szCs w:val="20"/>
          <w:bdr w:val="none" w:sz="0" w:space="0" w:color="auto"/>
          <w:lang w:val="es-ES"/>
        </w:rPr>
        <w:t>juzgar la corrección sustantiva de las resoluciones emitidas por los órganos competentes</w:t>
      </w:r>
      <w:r w:rsidRPr="003E2449">
        <w:rPr>
          <w:rFonts w:ascii="Cambria" w:eastAsia="Cambria" w:hAnsi="Cambria" w:cs="Cambria"/>
          <w:color w:val="000000"/>
          <w:sz w:val="20"/>
          <w:szCs w:val="20"/>
          <w:bdr w:val="none" w:sz="0" w:space="0" w:color="auto"/>
          <w:lang w:val="es-ES"/>
        </w:rPr>
        <w:t>”, pues ello excede los límites de su competencia.</w:t>
      </w:r>
    </w:p>
    <w:p w14:paraId="3B1E5564" w14:textId="77777777" w:rsidR="00437873" w:rsidRPr="003E2449" w:rsidRDefault="00437873" w:rsidP="002608A4">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eastAsia="Cambria" w:hAnsi="Cambria" w:cs="Cambria"/>
          <w:color w:val="000000"/>
          <w:sz w:val="20"/>
          <w:szCs w:val="20"/>
          <w:bdr w:val="none" w:sz="0" w:space="0" w:color="auto"/>
          <w:lang w:val="es-ES"/>
        </w:rPr>
      </w:pPr>
      <w:r w:rsidRPr="003E2449">
        <w:rPr>
          <w:rFonts w:ascii="Cambria" w:eastAsia="Cambria" w:hAnsi="Cambria" w:cs="Cambria"/>
          <w:color w:val="000000"/>
          <w:sz w:val="20"/>
          <w:szCs w:val="20"/>
          <w:bdr w:val="none" w:sz="0" w:space="0" w:color="auto"/>
          <w:lang w:val="es-ES"/>
        </w:rPr>
        <w:t>Por otra parte, Perú asevera que la presunta víctima no ha agotado los recursos de la jurisdicción interna, particularmente, la acción constitucional de amparo a fin de revertir los fallos proferidos en su contra. Recuerda que el artículo 46.1.a) de la Convención impone el requisito de haber agotado de manera previa los recursos internos a fin de obtener un remedio judicial a las violaciones alegadas. Con ello, la Convención reconoce la soberanía interna de los gobiernos sobre lo ocurrido en sus territorios.</w:t>
      </w:r>
    </w:p>
    <w:p w14:paraId="15BEA32A" w14:textId="2152024E" w:rsidR="00437873" w:rsidRPr="003E2449" w:rsidRDefault="00437873" w:rsidP="002608A4">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eastAsia="Cambria" w:hAnsi="Cambria" w:cs="Cambria"/>
          <w:color w:val="000000"/>
          <w:sz w:val="20"/>
          <w:szCs w:val="20"/>
          <w:bdr w:val="none" w:sz="0" w:space="0" w:color="auto"/>
          <w:lang w:val="es-ES"/>
        </w:rPr>
      </w:pPr>
      <w:r w:rsidRPr="003E2449">
        <w:rPr>
          <w:rFonts w:ascii="Cambria" w:eastAsia="Cambria" w:hAnsi="Cambria" w:cs="Cambria"/>
          <w:color w:val="000000"/>
          <w:sz w:val="20"/>
          <w:szCs w:val="20"/>
          <w:bdr w:val="none" w:sz="0" w:space="0" w:color="auto"/>
          <w:lang w:val="es-ES"/>
        </w:rPr>
        <w:t>De este modo, explica que la Constitución del Perú y el Código Procesal Constitucional consagran la procedencia del recurso de amparo respecto de resoluciones judiciales “</w:t>
      </w:r>
      <w:r w:rsidRPr="003E2449">
        <w:rPr>
          <w:rFonts w:ascii="Cambria" w:eastAsia="Cambria" w:hAnsi="Cambria" w:cs="Cambria"/>
          <w:i/>
          <w:iCs/>
          <w:color w:val="000000"/>
          <w:sz w:val="20"/>
          <w:szCs w:val="20"/>
          <w:bdr w:val="none" w:sz="0" w:space="0" w:color="auto"/>
          <w:lang w:val="es-ES"/>
        </w:rPr>
        <w:t>con manifiesto agravio a la tutela procesal efectiva</w:t>
      </w:r>
      <w:r w:rsidRPr="003E2449">
        <w:rPr>
          <w:rFonts w:ascii="Cambria" w:eastAsia="Cambria" w:hAnsi="Cambria" w:cs="Cambria"/>
          <w:color w:val="000000"/>
          <w:sz w:val="20"/>
          <w:szCs w:val="20"/>
          <w:bdr w:val="none" w:sz="0" w:space="0" w:color="auto"/>
          <w:lang w:val="es-ES"/>
        </w:rPr>
        <w:t xml:space="preserve">” lo que comprende el derecho de acceso a la justicia y el debido proceso. De suerte que el amparo cumple con las características de ser un recurso idóneo y efectivo para plantear el reclamo </w:t>
      </w:r>
      <w:r w:rsidR="00296471" w:rsidRPr="003E2449">
        <w:rPr>
          <w:rFonts w:ascii="Cambria" w:eastAsia="Cambria" w:hAnsi="Cambria" w:cs="Cambria"/>
          <w:color w:val="000000"/>
          <w:sz w:val="20"/>
          <w:szCs w:val="20"/>
          <w:bdr w:val="none" w:sz="0" w:space="0" w:color="auto"/>
          <w:lang w:val="es-ES"/>
        </w:rPr>
        <w:t xml:space="preserve">relativo a </w:t>
      </w:r>
      <w:r w:rsidRPr="003E2449">
        <w:rPr>
          <w:rFonts w:ascii="Cambria" w:eastAsia="Cambria" w:hAnsi="Cambria" w:cs="Cambria"/>
          <w:color w:val="000000"/>
          <w:sz w:val="20"/>
          <w:szCs w:val="20"/>
          <w:bdr w:val="none" w:sz="0" w:space="0" w:color="auto"/>
          <w:lang w:val="es-ES"/>
        </w:rPr>
        <w:t xml:space="preserve">los derechos fundamentales de la presunta víctima en el marco del proceso penal. Asimismo, </w:t>
      </w:r>
      <w:r w:rsidR="00C1338C" w:rsidRPr="003E2449">
        <w:rPr>
          <w:rFonts w:ascii="Cambria" w:eastAsia="Cambria" w:hAnsi="Cambria" w:cs="Cambria"/>
          <w:color w:val="000000"/>
          <w:sz w:val="20"/>
          <w:szCs w:val="20"/>
          <w:bdr w:val="none" w:sz="0" w:space="0" w:color="auto"/>
          <w:lang w:val="es-ES"/>
        </w:rPr>
        <w:t>considera</w:t>
      </w:r>
      <w:r w:rsidRPr="003E2449">
        <w:rPr>
          <w:rFonts w:ascii="Cambria" w:eastAsia="Cambria" w:hAnsi="Cambria" w:cs="Cambria"/>
          <w:color w:val="000000"/>
          <w:sz w:val="20"/>
          <w:szCs w:val="20"/>
          <w:bdr w:val="none" w:sz="0" w:space="0" w:color="auto"/>
          <w:lang w:val="es-ES"/>
        </w:rPr>
        <w:t xml:space="preserve"> que el caso tampoco se encuentra en </w:t>
      </w:r>
      <w:r w:rsidR="00905E26" w:rsidRPr="003E2449">
        <w:rPr>
          <w:rFonts w:ascii="Cambria" w:eastAsia="Cambria" w:hAnsi="Cambria" w:cs="Cambria"/>
          <w:color w:val="000000"/>
          <w:sz w:val="20"/>
          <w:szCs w:val="20"/>
          <w:bdr w:val="none" w:sz="0" w:space="0" w:color="auto"/>
          <w:lang w:val="es-ES"/>
        </w:rPr>
        <w:t>alguna de las excepciones a la regla del agotamiento de recursos internos</w:t>
      </w:r>
      <w:r w:rsidRPr="003E2449">
        <w:rPr>
          <w:rFonts w:ascii="Cambria" w:eastAsia="Cambria" w:hAnsi="Cambria" w:cs="Cambria"/>
          <w:color w:val="000000"/>
          <w:sz w:val="20"/>
          <w:szCs w:val="20"/>
          <w:bdr w:val="none" w:sz="0" w:space="0" w:color="auto"/>
          <w:lang w:val="es-ES"/>
        </w:rPr>
        <w:t xml:space="preserve">, conforme al artículo 46.2 de la Convención. En tal sentido, </w:t>
      </w:r>
      <w:r w:rsidR="00040AA4" w:rsidRPr="003E2449">
        <w:rPr>
          <w:rFonts w:ascii="Cambria" w:eastAsia="Cambria" w:hAnsi="Cambria" w:cs="Cambria"/>
          <w:color w:val="000000"/>
          <w:sz w:val="20"/>
          <w:szCs w:val="20"/>
          <w:bdr w:val="none" w:sz="0" w:space="0" w:color="auto"/>
          <w:lang w:val="es-ES"/>
        </w:rPr>
        <w:t>aduce</w:t>
      </w:r>
      <w:r w:rsidRPr="003E2449">
        <w:rPr>
          <w:rFonts w:ascii="Cambria" w:eastAsia="Cambria" w:hAnsi="Cambria" w:cs="Cambria"/>
          <w:color w:val="000000"/>
          <w:sz w:val="20"/>
          <w:szCs w:val="20"/>
          <w:bdr w:val="none" w:sz="0" w:space="0" w:color="auto"/>
          <w:lang w:val="es-ES"/>
        </w:rPr>
        <w:t xml:space="preserve"> que después de la emisión de las decisiones absolutorias a favor de los tres procesados, la parte peticionaria no ha recurrido al proceso constitucional de amparo. Por ello, </w:t>
      </w:r>
      <w:r w:rsidR="00377A8F" w:rsidRPr="003E2449">
        <w:rPr>
          <w:rFonts w:ascii="Cambria" w:eastAsia="Cambria" w:hAnsi="Cambria" w:cs="Cambria"/>
          <w:color w:val="000000"/>
          <w:sz w:val="20"/>
          <w:szCs w:val="20"/>
          <w:bdr w:val="none" w:sz="0" w:space="0" w:color="auto"/>
          <w:lang w:val="es-ES"/>
        </w:rPr>
        <w:t>resalta</w:t>
      </w:r>
      <w:r w:rsidR="001D7664" w:rsidRPr="003E2449">
        <w:rPr>
          <w:rFonts w:ascii="Cambria" w:eastAsia="Cambria" w:hAnsi="Cambria" w:cs="Cambria"/>
          <w:color w:val="000000"/>
          <w:sz w:val="20"/>
          <w:szCs w:val="20"/>
          <w:bdr w:val="none" w:sz="0" w:space="0" w:color="auto"/>
          <w:lang w:val="es-ES"/>
        </w:rPr>
        <w:t xml:space="preserve"> </w:t>
      </w:r>
      <w:r w:rsidRPr="003E2449">
        <w:rPr>
          <w:rFonts w:ascii="Cambria" w:eastAsia="Cambria" w:hAnsi="Cambria" w:cs="Cambria"/>
          <w:color w:val="000000"/>
          <w:sz w:val="20"/>
          <w:szCs w:val="20"/>
          <w:bdr w:val="none" w:sz="0" w:space="0" w:color="auto"/>
          <w:lang w:val="es-ES"/>
        </w:rPr>
        <w:t>que la presente petición es inadmisible,</w:t>
      </w:r>
      <w:r w:rsidRPr="003E2449">
        <w:rPr>
          <w:rFonts w:ascii="Cambria" w:eastAsia="Cambria" w:hAnsi="Cambria" w:cs="Cambria"/>
          <w:sz w:val="20"/>
          <w:szCs w:val="20"/>
          <w:bdr w:val="none" w:sz="0" w:space="0" w:color="auto"/>
          <w:lang w:val="es-ES"/>
        </w:rPr>
        <w:t xml:space="preserve"> dada la inobservancia d</w:t>
      </w:r>
      <w:r w:rsidRPr="003E2449">
        <w:rPr>
          <w:rFonts w:ascii="Cambria" w:eastAsia="Cambria" w:hAnsi="Cambria" w:cs="Cambria"/>
          <w:color w:val="000000"/>
          <w:sz w:val="20"/>
          <w:szCs w:val="20"/>
          <w:bdr w:val="none" w:sz="0" w:space="0" w:color="auto"/>
          <w:lang w:val="es-ES"/>
        </w:rPr>
        <w:t>el requisito de previo agotamiento contemplado en el artículo 46.1.a) de la Convención Americana.</w:t>
      </w:r>
    </w:p>
    <w:p w14:paraId="4D8640D3" w14:textId="622F2A06" w:rsidR="00437873" w:rsidRPr="003E2449" w:rsidRDefault="00437873" w:rsidP="002608A4">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eastAsia="Cambria" w:hAnsi="Cambria" w:cs="Cambria"/>
          <w:color w:val="000000"/>
          <w:sz w:val="20"/>
          <w:szCs w:val="20"/>
          <w:bdr w:val="none" w:sz="0" w:space="0" w:color="auto"/>
          <w:lang w:val="es-ES"/>
        </w:rPr>
      </w:pPr>
      <w:r w:rsidRPr="003E2449">
        <w:rPr>
          <w:rFonts w:ascii="Cambria" w:eastAsia="Cambria" w:hAnsi="Cambria" w:cs="Cambria"/>
          <w:color w:val="000000"/>
          <w:sz w:val="20"/>
          <w:szCs w:val="20"/>
          <w:bdr w:val="none" w:sz="0" w:space="0" w:color="auto"/>
          <w:lang w:val="es-ES"/>
        </w:rPr>
        <w:t>Por último, el Estado aduce que la petición no expone hechos que configuren violaci</w:t>
      </w:r>
      <w:r w:rsidR="00E75C7B" w:rsidRPr="003E2449">
        <w:rPr>
          <w:rFonts w:ascii="Cambria" w:eastAsia="Cambria" w:hAnsi="Cambria" w:cs="Cambria"/>
          <w:color w:val="000000"/>
          <w:sz w:val="20"/>
          <w:szCs w:val="20"/>
          <w:bdr w:val="none" w:sz="0" w:space="0" w:color="auto"/>
          <w:lang w:val="es-ES"/>
        </w:rPr>
        <w:t>ones</w:t>
      </w:r>
      <w:r w:rsidRPr="003E2449">
        <w:rPr>
          <w:rFonts w:ascii="Cambria" w:eastAsia="Cambria" w:hAnsi="Cambria" w:cs="Cambria"/>
          <w:color w:val="000000"/>
          <w:sz w:val="20"/>
          <w:szCs w:val="20"/>
          <w:bdr w:val="none" w:sz="0" w:space="0" w:color="auto"/>
          <w:lang w:val="es-ES"/>
        </w:rPr>
        <w:t xml:space="preserve"> de los derechos protegidos en la Convención Americana, y</w:t>
      </w:r>
      <w:r w:rsidR="00C01B56" w:rsidRPr="003E2449">
        <w:rPr>
          <w:rFonts w:ascii="Cambria" w:eastAsia="Cambria" w:hAnsi="Cambria" w:cs="Cambria"/>
          <w:color w:val="000000"/>
          <w:sz w:val="20"/>
          <w:szCs w:val="20"/>
          <w:bdr w:val="none" w:sz="0" w:space="0" w:color="auto"/>
          <w:lang w:val="es-ES"/>
        </w:rPr>
        <w:t xml:space="preserve"> lo</w:t>
      </w:r>
      <w:r w:rsidRPr="003E2449">
        <w:rPr>
          <w:rFonts w:ascii="Cambria" w:eastAsia="Cambria" w:hAnsi="Cambria" w:cs="Cambria"/>
          <w:color w:val="000000"/>
          <w:sz w:val="20"/>
          <w:szCs w:val="20"/>
          <w:bdr w:val="none" w:sz="0" w:space="0" w:color="auto"/>
          <w:lang w:val="es-ES"/>
        </w:rPr>
        <w:t xml:space="preserve"> por tanto es inadmisible de conformidad con el artículo 47.b) de dicho tratado. A este respecto, sostiene que el proceso penal respetó el derecho de defensa y las garantías del debido proceso de V.M.C.P., así como sus derechos a recurrir el fallo ante un juez o tribunal superior, por lo cual concluye que la presunta víctima ha tenido pleno acceso a la justicia, interponiendo los recursos legales correspondientes</w:t>
      </w:r>
      <w:r w:rsidR="00361FAB" w:rsidRPr="003E2449">
        <w:rPr>
          <w:rFonts w:ascii="Cambria" w:eastAsia="Cambria" w:hAnsi="Cambria" w:cs="Cambria"/>
          <w:color w:val="000000"/>
          <w:sz w:val="20"/>
          <w:szCs w:val="20"/>
          <w:bdr w:val="none" w:sz="0" w:space="0" w:color="auto"/>
          <w:lang w:val="es-ES"/>
        </w:rPr>
        <w:t>.</w:t>
      </w:r>
      <w:r w:rsidRPr="003E2449">
        <w:rPr>
          <w:rFonts w:ascii="Cambria" w:eastAsia="Cambria" w:hAnsi="Cambria" w:cs="Cambria"/>
          <w:color w:val="000000"/>
          <w:sz w:val="20"/>
          <w:szCs w:val="20"/>
          <w:bdr w:val="none" w:sz="0" w:space="0" w:color="auto"/>
          <w:lang w:val="es-ES"/>
        </w:rPr>
        <w:t xml:space="preserve"> </w:t>
      </w:r>
      <w:r w:rsidR="00361FAB" w:rsidRPr="003E2449">
        <w:rPr>
          <w:rFonts w:ascii="Cambria" w:eastAsia="Cambria" w:hAnsi="Cambria" w:cs="Cambria"/>
          <w:color w:val="000000"/>
          <w:sz w:val="20"/>
          <w:szCs w:val="20"/>
          <w:bdr w:val="none" w:sz="0" w:space="0" w:color="auto"/>
          <w:lang w:val="es-ES"/>
        </w:rPr>
        <w:t>El</w:t>
      </w:r>
      <w:r w:rsidRPr="003E2449">
        <w:rPr>
          <w:rFonts w:ascii="Cambria" w:eastAsia="Cambria" w:hAnsi="Cambria" w:cs="Cambria"/>
          <w:color w:val="000000"/>
          <w:sz w:val="20"/>
          <w:szCs w:val="20"/>
          <w:bdr w:val="none" w:sz="0" w:space="0" w:color="auto"/>
          <w:lang w:val="es-ES"/>
        </w:rPr>
        <w:t xml:space="preserve"> que los resultados no hayan sido favorables a </w:t>
      </w:r>
      <w:r w:rsidR="00C87A57" w:rsidRPr="003E2449">
        <w:rPr>
          <w:rFonts w:ascii="Cambria" w:eastAsia="Cambria" w:hAnsi="Cambria" w:cs="Cambria"/>
          <w:color w:val="000000"/>
          <w:sz w:val="20"/>
          <w:szCs w:val="20"/>
          <w:bdr w:val="none" w:sz="0" w:space="0" w:color="auto"/>
          <w:lang w:val="es-ES"/>
        </w:rPr>
        <w:t>los</w:t>
      </w:r>
      <w:r w:rsidRPr="003E2449">
        <w:rPr>
          <w:rFonts w:ascii="Cambria" w:eastAsia="Cambria" w:hAnsi="Cambria" w:cs="Cambria"/>
          <w:color w:val="000000"/>
          <w:sz w:val="20"/>
          <w:szCs w:val="20"/>
          <w:bdr w:val="none" w:sz="0" w:space="0" w:color="auto"/>
          <w:lang w:val="es-ES"/>
        </w:rPr>
        <w:t xml:space="preserve"> intereses</w:t>
      </w:r>
      <w:r w:rsidR="00C87A57" w:rsidRPr="003E2449">
        <w:rPr>
          <w:rFonts w:ascii="Cambria" w:eastAsia="Cambria" w:hAnsi="Cambria" w:cs="Cambria"/>
          <w:color w:val="000000"/>
          <w:sz w:val="20"/>
          <w:szCs w:val="20"/>
          <w:bdr w:val="none" w:sz="0" w:space="0" w:color="auto"/>
          <w:lang w:val="es-ES"/>
        </w:rPr>
        <w:t xml:space="preserve"> de la presunta víctima</w:t>
      </w:r>
      <w:r w:rsidRPr="003E2449">
        <w:rPr>
          <w:rFonts w:ascii="Cambria" w:eastAsia="Cambria" w:hAnsi="Cambria" w:cs="Cambria"/>
          <w:color w:val="000000"/>
          <w:sz w:val="20"/>
          <w:szCs w:val="20"/>
          <w:bdr w:val="none" w:sz="0" w:space="0" w:color="auto"/>
          <w:lang w:val="es-ES"/>
        </w:rPr>
        <w:t xml:space="preserve"> no implica la vulneración de alguna de sus garantías judiciales reconocidas en la Convención Americana. Por consiguiente, </w:t>
      </w:r>
      <w:r w:rsidR="00E62998" w:rsidRPr="003E2449">
        <w:rPr>
          <w:rFonts w:ascii="Cambria" w:eastAsia="Cambria" w:hAnsi="Cambria" w:cs="Cambria"/>
          <w:color w:val="000000"/>
          <w:sz w:val="20"/>
          <w:szCs w:val="20"/>
          <w:bdr w:val="none" w:sz="0" w:space="0" w:color="auto"/>
          <w:lang w:val="es-ES"/>
        </w:rPr>
        <w:t>Perú</w:t>
      </w:r>
      <w:r w:rsidRPr="003E2449">
        <w:rPr>
          <w:rFonts w:ascii="Cambria" w:eastAsia="Cambria" w:hAnsi="Cambria" w:cs="Cambria"/>
          <w:color w:val="000000"/>
          <w:sz w:val="20"/>
          <w:szCs w:val="20"/>
          <w:bdr w:val="none" w:sz="0" w:space="0" w:color="auto"/>
          <w:lang w:val="es-ES"/>
        </w:rPr>
        <w:t xml:space="preserve"> solicita a la CIDH declarar la inadmisibilidad de la presente petición.</w:t>
      </w:r>
    </w:p>
    <w:p w14:paraId="51F68C92" w14:textId="77777777" w:rsidR="003239B8" w:rsidRPr="003E2449" w:rsidRDefault="003239B8" w:rsidP="002608A4">
      <w:pPr>
        <w:spacing w:after="240"/>
        <w:ind w:firstLine="720"/>
        <w:jc w:val="both"/>
        <w:rPr>
          <w:rFonts w:ascii="Cambria" w:hAnsi="Cambria"/>
          <w:sz w:val="20"/>
          <w:szCs w:val="20"/>
          <w:lang w:val="es-UY"/>
        </w:rPr>
      </w:pPr>
      <w:r w:rsidRPr="003E2449">
        <w:rPr>
          <w:rFonts w:asciiTheme="majorHAnsi" w:eastAsia="Cambria" w:hAnsiTheme="majorHAnsi" w:cs="Cambria"/>
          <w:b/>
          <w:bCs/>
          <w:color w:val="000000"/>
          <w:sz w:val="20"/>
          <w:szCs w:val="20"/>
          <w:u w:color="000000"/>
          <w:lang w:val="es-ES" w:eastAsia="es-ES"/>
        </w:rPr>
        <w:t>VI.</w:t>
      </w:r>
      <w:r w:rsidRPr="003E2449">
        <w:rPr>
          <w:rFonts w:asciiTheme="majorHAnsi" w:eastAsia="Cambria" w:hAnsiTheme="majorHAnsi" w:cs="Cambria"/>
          <w:b/>
          <w:bCs/>
          <w:color w:val="000000"/>
          <w:sz w:val="20"/>
          <w:szCs w:val="20"/>
          <w:u w:color="000000"/>
          <w:lang w:val="es-ES" w:eastAsia="es-ES"/>
        </w:rPr>
        <w:tab/>
      </w:r>
      <w:r w:rsidR="004A6A54" w:rsidRPr="003E2449">
        <w:rPr>
          <w:rFonts w:asciiTheme="majorHAnsi" w:hAnsiTheme="majorHAnsi"/>
          <w:b/>
          <w:bCs/>
          <w:sz w:val="20"/>
          <w:szCs w:val="20"/>
          <w:lang w:val="es-ES_tradnl"/>
        </w:rPr>
        <w:t xml:space="preserve">ANÁLISIS DE </w:t>
      </w:r>
      <w:r w:rsidR="00C21FEF" w:rsidRPr="003E2449">
        <w:rPr>
          <w:rFonts w:asciiTheme="majorHAnsi" w:hAnsiTheme="majorHAnsi"/>
          <w:b/>
          <w:sz w:val="20"/>
          <w:szCs w:val="20"/>
          <w:lang w:val="es-ES"/>
        </w:rPr>
        <w:t>AGOTAMIENTO DE LOS RECURSOS INTERNOS Y PLAZO DE PRESENTACIÓN</w:t>
      </w:r>
      <w:r w:rsidR="00C21FEF" w:rsidRPr="003E2449">
        <w:rPr>
          <w:rFonts w:asciiTheme="majorHAnsi" w:eastAsia="Cambria" w:hAnsiTheme="majorHAnsi" w:cs="Cambria"/>
          <w:b/>
          <w:bCs/>
          <w:color w:val="000000"/>
          <w:sz w:val="20"/>
          <w:szCs w:val="20"/>
          <w:u w:color="000000"/>
          <w:lang w:val="es-ES" w:eastAsia="es-ES"/>
        </w:rPr>
        <w:t xml:space="preserve"> </w:t>
      </w:r>
    </w:p>
    <w:p w14:paraId="7A07A099" w14:textId="74FBF6E1" w:rsidR="00567A7F" w:rsidRPr="003E2449" w:rsidRDefault="00567A7F" w:rsidP="002608A4">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0" w:firstLine="720"/>
        <w:jc w:val="both"/>
        <w:rPr>
          <w:sz w:val="20"/>
          <w:szCs w:val="20"/>
          <w:lang w:val="es-ES"/>
        </w:rPr>
      </w:pPr>
      <w:r w:rsidRPr="003E2449">
        <w:rPr>
          <w:sz w:val="20"/>
          <w:szCs w:val="20"/>
          <w:lang w:val="es-ES"/>
        </w:rPr>
        <w:t xml:space="preserve">La Comisión observa que la parte peticionaria denuncia la impunidad que rodea la violación sexual sufrida por la </w:t>
      </w:r>
      <w:r w:rsidR="00B634A6" w:rsidRPr="003E2449">
        <w:rPr>
          <w:sz w:val="20"/>
          <w:szCs w:val="20"/>
          <w:lang w:val="es-ES"/>
        </w:rPr>
        <w:t>adolescente V.M.C.P.</w:t>
      </w:r>
      <w:r w:rsidRPr="003E2449">
        <w:rPr>
          <w:sz w:val="20"/>
          <w:szCs w:val="20"/>
          <w:lang w:val="es-ES"/>
        </w:rPr>
        <w:t xml:space="preserve"> el 1</w:t>
      </w:r>
      <w:r w:rsidR="00B634A6" w:rsidRPr="003E2449">
        <w:rPr>
          <w:sz w:val="20"/>
          <w:szCs w:val="20"/>
          <w:lang w:val="es-ES"/>
        </w:rPr>
        <w:t>9</w:t>
      </w:r>
      <w:r w:rsidRPr="003E2449">
        <w:rPr>
          <w:sz w:val="20"/>
          <w:szCs w:val="20"/>
          <w:lang w:val="es-ES"/>
        </w:rPr>
        <w:t xml:space="preserve"> de </w:t>
      </w:r>
      <w:r w:rsidR="00B634A6" w:rsidRPr="003E2449">
        <w:rPr>
          <w:sz w:val="20"/>
          <w:szCs w:val="20"/>
          <w:lang w:val="es-ES"/>
        </w:rPr>
        <w:t xml:space="preserve">junio </w:t>
      </w:r>
      <w:r w:rsidRPr="003E2449">
        <w:rPr>
          <w:sz w:val="20"/>
          <w:szCs w:val="20"/>
          <w:lang w:val="es-ES"/>
        </w:rPr>
        <w:t>de 201</w:t>
      </w:r>
      <w:r w:rsidR="00B634A6" w:rsidRPr="003E2449">
        <w:rPr>
          <w:sz w:val="20"/>
          <w:szCs w:val="20"/>
          <w:lang w:val="es-ES"/>
        </w:rPr>
        <w:t>5 a raíz de las absoluciones y posterior</w:t>
      </w:r>
      <w:r w:rsidR="006B42B5" w:rsidRPr="003E2449">
        <w:rPr>
          <w:sz w:val="20"/>
          <w:szCs w:val="20"/>
          <w:lang w:val="es-ES"/>
        </w:rPr>
        <w:t xml:space="preserve"> </w:t>
      </w:r>
      <w:r w:rsidR="00B634A6" w:rsidRPr="003E2449">
        <w:rPr>
          <w:sz w:val="20"/>
          <w:szCs w:val="20"/>
          <w:lang w:val="es-ES"/>
        </w:rPr>
        <w:t xml:space="preserve">declaratoria de </w:t>
      </w:r>
      <w:r w:rsidR="006B42B5" w:rsidRPr="003E2449">
        <w:rPr>
          <w:sz w:val="20"/>
          <w:szCs w:val="20"/>
          <w:lang w:val="es-ES"/>
        </w:rPr>
        <w:t>prescripción</w:t>
      </w:r>
      <w:r w:rsidR="00B634A6" w:rsidRPr="003E2449">
        <w:rPr>
          <w:sz w:val="20"/>
          <w:szCs w:val="20"/>
          <w:lang w:val="es-ES"/>
        </w:rPr>
        <w:t xml:space="preserve"> sobre el delito</w:t>
      </w:r>
      <w:r w:rsidRPr="003E2449">
        <w:rPr>
          <w:sz w:val="20"/>
          <w:szCs w:val="20"/>
          <w:lang w:val="es-ES"/>
        </w:rPr>
        <w:t>. El Estado replica que la parte peticionaria no ha agotado los recursos internos, en particular</w:t>
      </w:r>
      <w:r w:rsidR="00C33447" w:rsidRPr="003E2449">
        <w:rPr>
          <w:sz w:val="20"/>
          <w:szCs w:val="20"/>
          <w:lang w:val="es-ES"/>
        </w:rPr>
        <w:t xml:space="preserve"> porque</w:t>
      </w:r>
      <w:r w:rsidRPr="003E2449">
        <w:rPr>
          <w:sz w:val="20"/>
          <w:szCs w:val="20"/>
          <w:lang w:val="es-ES"/>
        </w:rPr>
        <w:t xml:space="preserve"> </w:t>
      </w:r>
      <w:r w:rsidR="00D1538F" w:rsidRPr="003E2449">
        <w:rPr>
          <w:sz w:val="20"/>
          <w:szCs w:val="20"/>
          <w:lang w:val="es-ES"/>
        </w:rPr>
        <w:t xml:space="preserve">no interpuso un recurso de amparo contra </w:t>
      </w:r>
      <w:r w:rsidR="0089252C" w:rsidRPr="003E2449">
        <w:rPr>
          <w:sz w:val="20"/>
          <w:szCs w:val="20"/>
          <w:lang w:val="es-ES"/>
        </w:rPr>
        <w:t xml:space="preserve">la </w:t>
      </w:r>
      <w:r w:rsidR="00D1538F" w:rsidRPr="003E2449">
        <w:rPr>
          <w:sz w:val="20"/>
          <w:szCs w:val="20"/>
          <w:lang w:val="es-ES"/>
        </w:rPr>
        <w:t xml:space="preserve">providencia judicial a fin </w:t>
      </w:r>
      <w:r w:rsidR="00D1538F" w:rsidRPr="003E2449">
        <w:rPr>
          <w:sz w:val="20"/>
          <w:szCs w:val="20"/>
          <w:lang w:val="es-ES"/>
        </w:rPr>
        <w:lastRenderedPageBreak/>
        <w:t>de revertir la decisión de prescripción</w:t>
      </w:r>
      <w:r w:rsidRPr="003E2449">
        <w:rPr>
          <w:sz w:val="20"/>
          <w:szCs w:val="20"/>
          <w:lang w:val="es-ES"/>
        </w:rPr>
        <w:t>.</w:t>
      </w:r>
      <w:r w:rsidR="00D1538F" w:rsidRPr="003E2449">
        <w:rPr>
          <w:sz w:val="20"/>
          <w:szCs w:val="20"/>
          <w:lang w:val="es-ES"/>
        </w:rPr>
        <w:t xml:space="preserve"> La peticionaria señala de manera escueta que sí </w:t>
      </w:r>
      <w:r w:rsidR="00115D20" w:rsidRPr="003E2449">
        <w:rPr>
          <w:sz w:val="20"/>
          <w:szCs w:val="20"/>
          <w:lang w:val="es-ES"/>
        </w:rPr>
        <w:t>promovió una acción de amparo que fue declarada improcedente en junio de 2019, pero no aporta la documentación correspondiente, ni información de radicación o número de sentencia.</w:t>
      </w:r>
    </w:p>
    <w:p w14:paraId="11A8F9C8" w14:textId="4EE5DCD7" w:rsidR="00567A7F" w:rsidRPr="003E2449" w:rsidRDefault="00410A2F" w:rsidP="002608A4">
      <w:pPr>
        <w:pStyle w:val="ListParagraph"/>
        <w:numPr>
          <w:ilvl w:val="0"/>
          <w:numId w:val="63"/>
        </w:numPr>
        <w:spacing w:before="0"/>
        <w:ind w:left="0" w:firstLine="720"/>
        <w:jc w:val="both"/>
        <w:rPr>
          <w:sz w:val="20"/>
          <w:szCs w:val="20"/>
          <w:lang w:val="es-ES"/>
        </w:rPr>
      </w:pPr>
      <w:r w:rsidRPr="003E2449">
        <w:rPr>
          <w:sz w:val="20"/>
          <w:szCs w:val="20"/>
          <w:lang w:val="es-CO"/>
        </w:rPr>
        <w:t>E</w:t>
      </w:r>
      <w:r w:rsidRPr="003E2449">
        <w:rPr>
          <w:sz w:val="20"/>
          <w:szCs w:val="20"/>
          <w:lang w:val="es-ES"/>
        </w:rPr>
        <w:t>l artículo 46.1.a) de la Convención Americana dispone que</w:t>
      </w:r>
      <w:r w:rsidR="0089252C" w:rsidRPr="003E2449">
        <w:rPr>
          <w:sz w:val="20"/>
          <w:szCs w:val="20"/>
          <w:lang w:val="es-ES"/>
        </w:rPr>
        <w:t>,</w:t>
      </w:r>
      <w:r w:rsidRPr="003E2449">
        <w:rPr>
          <w:sz w:val="20"/>
          <w:szCs w:val="20"/>
          <w:lang w:val="es-ES"/>
        </w:rPr>
        <w:t xml:space="preserve"> para que una petición sea admitida</w:t>
      </w:r>
      <w:r w:rsidR="0089252C" w:rsidRPr="003E2449">
        <w:rPr>
          <w:sz w:val="20"/>
          <w:szCs w:val="20"/>
          <w:lang w:val="es-ES"/>
        </w:rPr>
        <w:t>,</w:t>
      </w:r>
      <w:r w:rsidRPr="003E2449">
        <w:rPr>
          <w:sz w:val="20"/>
          <w:szCs w:val="20"/>
          <w:lang w:val="es-ES"/>
        </w:rPr>
        <w:t xml:space="preserve"> se requiere que se hayan interpuesto y agotado los recursos de jurisdicción interna, conforme a los principios del Derecho Internacional generalmente reconocidos. </w:t>
      </w:r>
      <w:r w:rsidR="00567A7F" w:rsidRPr="003E2449">
        <w:rPr>
          <w:sz w:val="20"/>
          <w:szCs w:val="20"/>
          <w:lang w:val="es-CO"/>
        </w:rPr>
        <w:t>Para efectos de admisibilidad, la Comisión debe evaluar si los recursos internos son idóneos y efectivos, es decir, si éstos proveen una oportunidad real para que la alegada lesión a los derechos humanos sea remediada y resuelta por las autoridades nacionales antes de acudir al Sistema Interamericano</w:t>
      </w:r>
      <w:r w:rsidR="00567A7F" w:rsidRPr="003E2449">
        <w:rPr>
          <w:sz w:val="20"/>
          <w:szCs w:val="20"/>
          <w:vertAlign w:val="superscript"/>
          <w:lang w:val="es-CO"/>
        </w:rPr>
        <w:footnoteReference w:id="7"/>
      </w:r>
      <w:r w:rsidR="00567A7F" w:rsidRPr="003E2449">
        <w:rPr>
          <w:sz w:val="20"/>
          <w:szCs w:val="20"/>
          <w:lang w:val="es-CO"/>
        </w:rPr>
        <w:t>.</w:t>
      </w:r>
    </w:p>
    <w:p w14:paraId="1A832C39" w14:textId="2AB6304F" w:rsidR="00567A7F" w:rsidRPr="003E2449" w:rsidRDefault="00567A7F" w:rsidP="002608A4">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0" w:firstLine="720"/>
        <w:jc w:val="both"/>
        <w:rPr>
          <w:sz w:val="20"/>
          <w:szCs w:val="20"/>
          <w:lang w:val="es-ES"/>
        </w:rPr>
      </w:pPr>
      <w:r w:rsidRPr="003E2449">
        <w:rPr>
          <w:sz w:val="20"/>
          <w:szCs w:val="20"/>
          <w:lang w:val="es-ES"/>
        </w:rPr>
        <w:t>A este respecto, la Comisión recuerda que, en casos de graves violaciones de derechos humanos como la violencia sexual, los recursos internos que deben tomarse en cuenta a efectos de la admisibilidad de una petición son los relacionados con el proceso penal, ya que es la vía idónea para esclarecer los hechos y establecer las sanciones penales correspondientes, además de posibilitar otros modos de reparación de tipo pecuniario</w:t>
      </w:r>
      <w:r w:rsidRPr="003E2449">
        <w:rPr>
          <w:sz w:val="20"/>
          <w:szCs w:val="20"/>
          <w:vertAlign w:val="superscript"/>
          <w:lang w:val="es-ES"/>
        </w:rPr>
        <w:footnoteReference w:id="8"/>
      </w:r>
      <w:r w:rsidRPr="003E2449">
        <w:rPr>
          <w:sz w:val="20"/>
          <w:szCs w:val="20"/>
          <w:lang w:val="es-ES"/>
        </w:rPr>
        <w:t>.</w:t>
      </w:r>
    </w:p>
    <w:p w14:paraId="091956FB" w14:textId="466C1127" w:rsidR="00766B5B" w:rsidRPr="003E2449" w:rsidRDefault="0036673F" w:rsidP="002608A4">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0" w:firstLine="720"/>
        <w:jc w:val="both"/>
        <w:rPr>
          <w:sz w:val="20"/>
          <w:szCs w:val="20"/>
          <w:lang w:val="es-ES"/>
        </w:rPr>
      </w:pPr>
      <w:r w:rsidRPr="003E2449">
        <w:rPr>
          <w:sz w:val="20"/>
          <w:szCs w:val="20"/>
          <w:lang w:val="es-ES"/>
        </w:rPr>
        <w:t>En el presente asunto, n</w:t>
      </w:r>
      <w:r w:rsidR="0066541E" w:rsidRPr="003E2449">
        <w:rPr>
          <w:sz w:val="20"/>
          <w:szCs w:val="20"/>
          <w:lang w:val="es-ES"/>
        </w:rPr>
        <w:t xml:space="preserve">o existe controversia en que la presunta víctima acudió a la jurisdicción penal como vía </w:t>
      </w:r>
      <w:r w:rsidR="00A13968" w:rsidRPr="003E2449">
        <w:rPr>
          <w:sz w:val="20"/>
          <w:szCs w:val="20"/>
          <w:lang w:val="es-ES"/>
        </w:rPr>
        <w:t>idónea a fin de obtener una investigación y sanción contra los responsables.</w:t>
      </w:r>
      <w:r w:rsidR="009A4BF7" w:rsidRPr="003E2449">
        <w:rPr>
          <w:sz w:val="20"/>
          <w:szCs w:val="20"/>
          <w:lang w:val="es-ES"/>
        </w:rPr>
        <w:t xml:space="preserve"> Ahora bien, </w:t>
      </w:r>
      <w:r w:rsidR="00CB36FA" w:rsidRPr="003E2449">
        <w:rPr>
          <w:sz w:val="20"/>
          <w:szCs w:val="20"/>
          <w:lang w:val="es-ES"/>
        </w:rPr>
        <w:t>en cuanto a</w:t>
      </w:r>
      <w:r w:rsidR="009A4BF7" w:rsidRPr="003E2449">
        <w:rPr>
          <w:sz w:val="20"/>
          <w:szCs w:val="20"/>
          <w:lang w:val="es-ES"/>
        </w:rPr>
        <w:t xml:space="preserve">l recurso de amparo, la Comisión reitera que </w:t>
      </w:r>
      <w:r w:rsidR="009C620E" w:rsidRPr="003E2449">
        <w:rPr>
          <w:sz w:val="20"/>
          <w:szCs w:val="20"/>
          <w:lang w:val="es-ES"/>
        </w:rPr>
        <w:t>si bien en algunos casos los recursos extraordinarios pueden ser adecuados para plantear el reclamo a nivel interno por una violación de derechos humanos, como norma general, los únicos recursos que se deben agotar son aquellos previstos en la legislación para remediar la situación denunciada</w:t>
      </w:r>
      <w:r w:rsidR="001C1025" w:rsidRPr="003E2449">
        <w:rPr>
          <w:sz w:val="20"/>
          <w:szCs w:val="20"/>
          <w:lang w:val="es-ES"/>
        </w:rPr>
        <w:t>;</w:t>
      </w:r>
      <w:r w:rsidR="009C620E" w:rsidRPr="003E2449">
        <w:rPr>
          <w:sz w:val="20"/>
          <w:szCs w:val="20"/>
          <w:lang w:val="es-ES"/>
        </w:rPr>
        <w:t xml:space="preserve"> que</w:t>
      </w:r>
      <w:r w:rsidR="00580D03" w:rsidRPr="003E2449">
        <w:rPr>
          <w:sz w:val="20"/>
          <w:szCs w:val="20"/>
          <w:lang w:val="es-ES"/>
        </w:rPr>
        <w:t>,</w:t>
      </w:r>
      <w:r w:rsidR="009C620E" w:rsidRPr="003E2449">
        <w:rPr>
          <w:sz w:val="20"/>
          <w:szCs w:val="20"/>
          <w:lang w:val="es-ES"/>
        </w:rPr>
        <w:t xml:space="preserve"> en principio, son los recursos ordinarios y no extraordinarios</w:t>
      </w:r>
      <w:r w:rsidR="009C620E" w:rsidRPr="003E2449">
        <w:rPr>
          <w:sz w:val="20"/>
          <w:szCs w:val="20"/>
          <w:vertAlign w:val="superscript"/>
          <w:lang w:val="es-ES"/>
        </w:rPr>
        <w:footnoteReference w:id="9"/>
      </w:r>
      <w:r w:rsidR="00404148" w:rsidRPr="003E2449">
        <w:rPr>
          <w:sz w:val="20"/>
          <w:szCs w:val="20"/>
          <w:lang w:val="es-ES_tradnl"/>
        </w:rPr>
        <w:t xml:space="preserve">. Por ello, la CIDH considera que no es necesario, </w:t>
      </w:r>
      <w:r w:rsidR="006C04E9" w:rsidRPr="003E2449">
        <w:rPr>
          <w:sz w:val="20"/>
          <w:szCs w:val="20"/>
          <w:lang w:val="es-ES_tradnl"/>
        </w:rPr>
        <w:t>como regla general</w:t>
      </w:r>
      <w:r w:rsidR="00404148" w:rsidRPr="003E2449">
        <w:rPr>
          <w:sz w:val="20"/>
          <w:szCs w:val="20"/>
          <w:lang w:val="es-ES_tradnl"/>
        </w:rPr>
        <w:t xml:space="preserve">, </w:t>
      </w:r>
      <w:r w:rsidR="0017431D" w:rsidRPr="003E2449">
        <w:rPr>
          <w:sz w:val="20"/>
          <w:szCs w:val="20"/>
          <w:lang w:val="es-ES_tradnl"/>
        </w:rPr>
        <w:t xml:space="preserve">instaurar </w:t>
      </w:r>
      <w:r w:rsidR="00404148" w:rsidRPr="003E2449">
        <w:rPr>
          <w:sz w:val="20"/>
          <w:szCs w:val="20"/>
          <w:lang w:val="es-ES_tradnl"/>
        </w:rPr>
        <w:t xml:space="preserve">un recurso extraordinario o </w:t>
      </w:r>
      <w:r w:rsidR="00C34AB4" w:rsidRPr="003E2449">
        <w:rPr>
          <w:sz w:val="20"/>
          <w:szCs w:val="20"/>
          <w:lang w:val="es-ES_tradnl"/>
        </w:rPr>
        <w:t xml:space="preserve">ejercer </w:t>
      </w:r>
      <w:r w:rsidR="00404148" w:rsidRPr="003E2449">
        <w:rPr>
          <w:sz w:val="20"/>
          <w:szCs w:val="20"/>
          <w:lang w:val="es-ES_tradnl"/>
        </w:rPr>
        <w:t>una vía procesal adicional para cumplir con el requisito establecido en el artículo 46.1.a) de la Convención</w:t>
      </w:r>
      <w:r w:rsidR="00404148" w:rsidRPr="003E2449">
        <w:rPr>
          <w:rStyle w:val="FootnoteReference"/>
          <w:sz w:val="20"/>
          <w:szCs w:val="20"/>
          <w:lang w:val="es-ES_tradnl"/>
        </w:rPr>
        <w:footnoteReference w:id="10"/>
      </w:r>
      <w:r w:rsidR="00404148" w:rsidRPr="003E2449">
        <w:rPr>
          <w:sz w:val="20"/>
          <w:szCs w:val="20"/>
          <w:lang w:val="es-ES_tradnl"/>
        </w:rPr>
        <w:t>.</w:t>
      </w:r>
      <w:r w:rsidR="00690A24" w:rsidRPr="003E2449">
        <w:rPr>
          <w:sz w:val="20"/>
          <w:szCs w:val="20"/>
          <w:lang w:val="es-ES_tradnl"/>
        </w:rPr>
        <w:t xml:space="preserve"> </w:t>
      </w:r>
      <w:r w:rsidR="00766B5B" w:rsidRPr="003E2449">
        <w:rPr>
          <w:sz w:val="20"/>
          <w:szCs w:val="20"/>
          <w:lang w:val="es-ES"/>
        </w:rPr>
        <w:t>De manera que</w:t>
      </w:r>
      <w:r w:rsidR="00F85F9E" w:rsidRPr="003E2449">
        <w:rPr>
          <w:sz w:val="20"/>
          <w:szCs w:val="20"/>
          <w:lang w:val="es-ES"/>
        </w:rPr>
        <w:t xml:space="preserve"> la parte peticionaria no estaba obligada a recurrir a la acción de amparo a fin de agotar los recursos de jurisdicción interna.</w:t>
      </w:r>
    </w:p>
    <w:p w14:paraId="5CEA3E13" w14:textId="7A804669" w:rsidR="00690A24" w:rsidRPr="003E2449" w:rsidRDefault="00690A24" w:rsidP="002608A4">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0" w:firstLine="720"/>
        <w:jc w:val="both"/>
        <w:rPr>
          <w:sz w:val="20"/>
          <w:szCs w:val="20"/>
          <w:lang w:val="es-ES"/>
        </w:rPr>
      </w:pPr>
      <w:r w:rsidRPr="003E2449">
        <w:rPr>
          <w:sz w:val="20"/>
          <w:szCs w:val="20"/>
          <w:lang w:val="es-ES"/>
        </w:rPr>
        <w:t>Con todo, la Comisión advierte que</w:t>
      </w:r>
      <w:r w:rsidR="00D06D99" w:rsidRPr="003E2449">
        <w:rPr>
          <w:sz w:val="20"/>
          <w:szCs w:val="20"/>
          <w:lang w:val="es-ES"/>
        </w:rPr>
        <w:t xml:space="preserve"> el reclamo principal de la presente petición versa en </w:t>
      </w:r>
      <w:r w:rsidR="007F232D" w:rsidRPr="003E2449">
        <w:rPr>
          <w:sz w:val="20"/>
          <w:szCs w:val="20"/>
          <w:lang w:val="es-ES"/>
        </w:rPr>
        <w:t>las violaciones de derechos humanas cometidas al interior del proceso penal, al punto en que éste se habría tornado en una vía de revictimización y no de reivindicación de derechos. Así las cosas, la C</w:t>
      </w:r>
      <w:r w:rsidR="00B949D7" w:rsidRPr="003E2449">
        <w:rPr>
          <w:sz w:val="20"/>
          <w:szCs w:val="20"/>
          <w:lang w:val="es-ES"/>
        </w:rPr>
        <w:t>omisión nota que existen elementos para con</w:t>
      </w:r>
      <w:r w:rsidR="00DB444A" w:rsidRPr="003E2449">
        <w:rPr>
          <w:sz w:val="20"/>
          <w:szCs w:val="20"/>
          <w:lang w:val="es-ES"/>
        </w:rPr>
        <w:t>sidera</w:t>
      </w:r>
      <w:r w:rsidR="00B949D7" w:rsidRPr="003E2449">
        <w:rPr>
          <w:sz w:val="20"/>
          <w:szCs w:val="20"/>
          <w:lang w:val="es-ES"/>
        </w:rPr>
        <w:t xml:space="preserve">r, de manera preliminar, que este recurso </w:t>
      </w:r>
      <w:r w:rsidR="00F32BF8" w:rsidRPr="003E2449">
        <w:rPr>
          <w:sz w:val="20"/>
          <w:szCs w:val="20"/>
          <w:lang w:val="es-ES"/>
        </w:rPr>
        <w:t xml:space="preserve">no fue idóneo </w:t>
      </w:r>
      <w:r w:rsidR="00DB444A" w:rsidRPr="003E2449">
        <w:rPr>
          <w:sz w:val="20"/>
          <w:szCs w:val="20"/>
          <w:lang w:val="es-ES"/>
        </w:rPr>
        <w:t xml:space="preserve">ni efectivo </w:t>
      </w:r>
      <w:r w:rsidR="00F32BF8" w:rsidRPr="003E2449">
        <w:rPr>
          <w:sz w:val="20"/>
          <w:szCs w:val="20"/>
          <w:lang w:val="es-ES"/>
        </w:rPr>
        <w:t>para reparar la situación jurídica infringida</w:t>
      </w:r>
      <w:r w:rsidR="001A1B1A" w:rsidRPr="003E2449">
        <w:rPr>
          <w:sz w:val="20"/>
          <w:szCs w:val="20"/>
          <w:lang w:val="es-ES"/>
        </w:rPr>
        <w:t xml:space="preserve"> en los términos del artículo 46.2.a) de la Convención Americana</w:t>
      </w:r>
      <w:r w:rsidR="00F32BF8" w:rsidRPr="003E2449">
        <w:rPr>
          <w:sz w:val="20"/>
          <w:szCs w:val="20"/>
          <w:lang w:val="es-ES"/>
        </w:rPr>
        <w:t>.</w:t>
      </w:r>
    </w:p>
    <w:p w14:paraId="7A7BA3C3" w14:textId="7C6A61B6" w:rsidR="006C0ECF" w:rsidRPr="003E2449" w:rsidRDefault="0017276C" w:rsidP="002608A4">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0" w:firstLine="720"/>
        <w:jc w:val="both"/>
        <w:rPr>
          <w:sz w:val="20"/>
          <w:szCs w:val="20"/>
          <w:lang w:val="es-ES"/>
        </w:rPr>
      </w:pPr>
      <w:r w:rsidRPr="003E2449">
        <w:rPr>
          <w:sz w:val="20"/>
          <w:szCs w:val="20"/>
          <w:lang w:val="es-CO"/>
        </w:rPr>
        <w:t xml:space="preserve">Sobre el particular, </w:t>
      </w:r>
      <w:r w:rsidR="001A1B1A" w:rsidRPr="003E2449">
        <w:rPr>
          <w:sz w:val="20"/>
          <w:szCs w:val="20"/>
          <w:lang w:val="es-CO"/>
        </w:rPr>
        <w:t>la CIDH ha establecido que</w:t>
      </w:r>
      <w:r w:rsidR="00823844" w:rsidRPr="003E2449">
        <w:rPr>
          <w:sz w:val="20"/>
          <w:szCs w:val="20"/>
          <w:lang w:val="es-CO"/>
        </w:rPr>
        <w:t xml:space="preserve"> </w:t>
      </w:r>
      <w:r w:rsidR="001A1B1A" w:rsidRPr="003E2449">
        <w:rPr>
          <w:sz w:val="20"/>
          <w:szCs w:val="20"/>
          <w:lang w:val="es-CO"/>
        </w:rPr>
        <w:t>l</w:t>
      </w:r>
      <w:r w:rsidR="00B40BB6" w:rsidRPr="003E2449">
        <w:rPr>
          <w:sz w:val="20"/>
          <w:szCs w:val="20"/>
          <w:lang w:val="es-CO"/>
        </w:rPr>
        <w:t xml:space="preserve">as excepciones a la regla de agotamiento de los recursos internos previstas en el artículo 46.2 de la Convención Americana se encuentran estrechamente ligadas a la determinación de posibles violaciones a ciertos derechos en ella consagrados, tales como las garantías de acceso a la justicia y el derecho a la protección judicial efectiva. Sin embargo, el artículo 46.2, por su naturaleza y objeto, es una norma con contenido autónomo frente a las normas sustantivas de la Convención Americana. Por lo tanto, la </w:t>
      </w:r>
      <w:r w:rsidR="004A4F36" w:rsidRPr="003E2449">
        <w:rPr>
          <w:sz w:val="20"/>
          <w:szCs w:val="20"/>
          <w:lang w:val="es-CO"/>
        </w:rPr>
        <w:t xml:space="preserve">decisión </w:t>
      </w:r>
      <w:r w:rsidR="00B40BB6" w:rsidRPr="003E2449">
        <w:rPr>
          <w:sz w:val="20"/>
          <w:szCs w:val="20"/>
          <w:lang w:val="es-CO"/>
        </w:rPr>
        <w:t>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w:t>
      </w:r>
      <w:r w:rsidR="00B40BB6" w:rsidRPr="003E2449">
        <w:rPr>
          <w:sz w:val="20"/>
          <w:szCs w:val="20"/>
          <w:vertAlign w:val="superscript"/>
          <w:lang w:val="es-CO"/>
        </w:rPr>
        <w:footnoteReference w:id="11"/>
      </w:r>
      <w:r w:rsidR="00B40BB6" w:rsidRPr="003E2449">
        <w:rPr>
          <w:sz w:val="20"/>
          <w:szCs w:val="20"/>
          <w:lang w:val="es-CO"/>
        </w:rPr>
        <w:t>.</w:t>
      </w:r>
    </w:p>
    <w:p w14:paraId="2F852359" w14:textId="6F809996" w:rsidR="003638E9" w:rsidRPr="003E2449" w:rsidRDefault="00CC4BA6" w:rsidP="002608A4">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0" w:firstLine="720"/>
        <w:jc w:val="both"/>
        <w:rPr>
          <w:sz w:val="20"/>
          <w:szCs w:val="20"/>
          <w:lang w:val="es-ES"/>
        </w:rPr>
      </w:pPr>
      <w:r w:rsidRPr="003E2449">
        <w:rPr>
          <w:sz w:val="20"/>
          <w:szCs w:val="20"/>
          <w:lang w:val="es-CO"/>
        </w:rPr>
        <w:lastRenderedPageBreak/>
        <w:t xml:space="preserve">De tal forma, </w:t>
      </w:r>
      <w:r w:rsidR="00A8631A" w:rsidRPr="003E2449">
        <w:rPr>
          <w:sz w:val="20"/>
          <w:szCs w:val="20"/>
          <w:lang w:val="es-CO"/>
        </w:rPr>
        <w:t xml:space="preserve">la </w:t>
      </w:r>
      <w:r w:rsidR="004A5E7E" w:rsidRPr="003E2449">
        <w:rPr>
          <w:sz w:val="20"/>
          <w:szCs w:val="20"/>
          <w:lang w:val="es-CO"/>
        </w:rPr>
        <w:t>CIDH</w:t>
      </w:r>
      <w:r w:rsidR="00A8631A" w:rsidRPr="003E2449">
        <w:rPr>
          <w:sz w:val="20"/>
          <w:szCs w:val="20"/>
          <w:lang w:val="es-CO"/>
        </w:rPr>
        <w:t xml:space="preserve"> </w:t>
      </w:r>
      <w:r w:rsidR="00500251" w:rsidRPr="003E2449">
        <w:rPr>
          <w:sz w:val="20"/>
          <w:szCs w:val="20"/>
          <w:lang w:val="es-CO"/>
        </w:rPr>
        <w:t>considera que</w:t>
      </w:r>
      <w:r w:rsidR="00206CD8" w:rsidRPr="003E2449">
        <w:rPr>
          <w:sz w:val="20"/>
          <w:szCs w:val="20"/>
          <w:lang w:val="es-CO"/>
        </w:rPr>
        <w:t>,</w:t>
      </w:r>
      <w:r w:rsidR="004A5E7E" w:rsidRPr="003E2449">
        <w:rPr>
          <w:sz w:val="20"/>
          <w:szCs w:val="20"/>
          <w:lang w:val="es-CO"/>
        </w:rPr>
        <w:t xml:space="preserve"> </w:t>
      </w:r>
      <w:r w:rsidR="00500251" w:rsidRPr="003E2449">
        <w:rPr>
          <w:sz w:val="20"/>
          <w:szCs w:val="20"/>
          <w:lang w:val="es-CO"/>
        </w:rPr>
        <w:t>a partir de l</w:t>
      </w:r>
      <w:r w:rsidR="007716D8" w:rsidRPr="003E2449">
        <w:rPr>
          <w:sz w:val="20"/>
          <w:szCs w:val="20"/>
          <w:lang w:val="es-CO"/>
        </w:rPr>
        <w:t>os reclamos de la parte peticionaria relacionados con aspectos específicos del proceso penal, como el uso de un v</w:t>
      </w:r>
      <w:r w:rsidR="00206CD8" w:rsidRPr="003E2449">
        <w:rPr>
          <w:sz w:val="20"/>
          <w:szCs w:val="20"/>
          <w:lang w:val="es-CO"/>
        </w:rPr>
        <w:t>i</w:t>
      </w:r>
      <w:r w:rsidR="007716D8" w:rsidRPr="003E2449">
        <w:rPr>
          <w:sz w:val="20"/>
          <w:szCs w:val="20"/>
          <w:lang w:val="es-CO"/>
        </w:rPr>
        <w:t xml:space="preserve">deo íntimo sin el consentimiento de </w:t>
      </w:r>
      <w:r w:rsidR="00E95B14" w:rsidRPr="003E2449">
        <w:rPr>
          <w:sz w:val="20"/>
          <w:szCs w:val="20"/>
          <w:lang w:val="es-CO"/>
        </w:rPr>
        <w:t>la adolescente</w:t>
      </w:r>
      <w:r w:rsidR="009C25DD" w:rsidRPr="003E2449">
        <w:rPr>
          <w:sz w:val="20"/>
          <w:szCs w:val="20"/>
          <w:lang w:val="es-CO"/>
        </w:rPr>
        <w:t xml:space="preserve"> y el retardo injustificado en la remisión del expediente</w:t>
      </w:r>
      <w:r w:rsidR="00143213" w:rsidRPr="003E2449">
        <w:rPr>
          <w:sz w:val="20"/>
          <w:szCs w:val="20"/>
          <w:lang w:val="es-CO"/>
        </w:rPr>
        <w:t xml:space="preserve">, son acciones graves que </w:t>
      </w:r>
      <w:r w:rsidR="00CF52EE" w:rsidRPr="003E2449">
        <w:rPr>
          <w:sz w:val="20"/>
          <w:szCs w:val="20"/>
          <w:lang w:val="es-CO"/>
        </w:rPr>
        <w:t xml:space="preserve">podrían </w:t>
      </w:r>
      <w:r w:rsidR="00143213" w:rsidRPr="003E2449">
        <w:rPr>
          <w:sz w:val="20"/>
          <w:szCs w:val="20"/>
          <w:lang w:val="es-CO"/>
        </w:rPr>
        <w:t>compromete</w:t>
      </w:r>
      <w:r w:rsidR="00CF52EE" w:rsidRPr="003E2449">
        <w:rPr>
          <w:sz w:val="20"/>
          <w:szCs w:val="20"/>
          <w:lang w:val="es-CO"/>
        </w:rPr>
        <w:t>r</w:t>
      </w:r>
      <w:r w:rsidR="00143213" w:rsidRPr="003E2449">
        <w:rPr>
          <w:sz w:val="20"/>
          <w:szCs w:val="20"/>
          <w:lang w:val="es-CO"/>
        </w:rPr>
        <w:t xml:space="preserve"> </w:t>
      </w:r>
      <w:r w:rsidR="007F733E" w:rsidRPr="003E2449">
        <w:rPr>
          <w:sz w:val="20"/>
          <w:szCs w:val="20"/>
          <w:lang w:val="es-CO"/>
        </w:rPr>
        <w:t xml:space="preserve">la idoneidad del recurso interno </w:t>
      </w:r>
      <w:r w:rsidR="00B26167" w:rsidRPr="003E2449">
        <w:rPr>
          <w:sz w:val="20"/>
          <w:szCs w:val="20"/>
          <w:lang w:val="es-CO"/>
        </w:rPr>
        <w:t xml:space="preserve">en la medida que </w:t>
      </w:r>
      <w:r w:rsidR="0007512F" w:rsidRPr="003E2449">
        <w:rPr>
          <w:sz w:val="20"/>
          <w:szCs w:val="20"/>
          <w:lang w:val="es-CO"/>
        </w:rPr>
        <w:t>obstaculizan</w:t>
      </w:r>
      <w:r w:rsidR="00B26167" w:rsidRPr="003E2449">
        <w:rPr>
          <w:sz w:val="20"/>
          <w:szCs w:val="20"/>
          <w:lang w:val="es-CO"/>
        </w:rPr>
        <w:t xml:space="preserve"> su capacidad de analizar </w:t>
      </w:r>
      <w:r w:rsidR="001B5EBC" w:rsidRPr="003E2449">
        <w:rPr>
          <w:sz w:val="20"/>
          <w:szCs w:val="20"/>
          <w:lang w:val="es-CO"/>
        </w:rPr>
        <w:t xml:space="preserve">el alegato de </w:t>
      </w:r>
      <w:r w:rsidR="00B26167" w:rsidRPr="003E2449">
        <w:rPr>
          <w:sz w:val="20"/>
          <w:szCs w:val="20"/>
          <w:lang w:val="es-CO"/>
        </w:rPr>
        <w:t>una violación de derechos humanos</w:t>
      </w:r>
      <w:r w:rsidR="00CF52EE" w:rsidRPr="003E2449">
        <w:rPr>
          <w:sz w:val="20"/>
          <w:szCs w:val="20"/>
          <w:lang w:val="es-CO"/>
        </w:rPr>
        <w:t>. Y</w:t>
      </w:r>
      <w:r w:rsidR="0007512F" w:rsidRPr="003E2449">
        <w:rPr>
          <w:sz w:val="20"/>
          <w:szCs w:val="20"/>
          <w:lang w:val="es-CO"/>
        </w:rPr>
        <w:t xml:space="preserve"> por lo tanto, teniendo cuenta la naturaleza misma de las </w:t>
      </w:r>
      <w:r w:rsidR="006E25DF" w:rsidRPr="003E2449">
        <w:rPr>
          <w:sz w:val="20"/>
          <w:szCs w:val="20"/>
          <w:lang w:val="es-CO"/>
        </w:rPr>
        <w:t xml:space="preserve">vulneraciones sufridas por la presunta víctima, </w:t>
      </w:r>
      <w:r w:rsidR="00CD449E" w:rsidRPr="003E2449">
        <w:rPr>
          <w:sz w:val="20"/>
          <w:szCs w:val="20"/>
          <w:lang w:val="es-CO"/>
        </w:rPr>
        <w:t xml:space="preserve">tales falencias en el proceso </w:t>
      </w:r>
      <w:r w:rsidR="0090457F" w:rsidRPr="003E2449">
        <w:rPr>
          <w:sz w:val="20"/>
          <w:szCs w:val="20"/>
          <w:lang w:val="es-CO"/>
        </w:rPr>
        <w:t xml:space="preserve">podrían </w:t>
      </w:r>
      <w:r w:rsidR="006E25DF" w:rsidRPr="003E2449">
        <w:rPr>
          <w:sz w:val="20"/>
          <w:szCs w:val="20"/>
          <w:lang w:val="es-CO"/>
        </w:rPr>
        <w:t>compromete</w:t>
      </w:r>
      <w:r w:rsidR="0090457F" w:rsidRPr="003E2449">
        <w:rPr>
          <w:sz w:val="20"/>
          <w:szCs w:val="20"/>
          <w:lang w:val="es-CO"/>
        </w:rPr>
        <w:t>r</w:t>
      </w:r>
      <w:r w:rsidR="00064F01" w:rsidRPr="003E2449">
        <w:rPr>
          <w:sz w:val="20"/>
          <w:szCs w:val="20"/>
          <w:lang w:val="es-CO"/>
        </w:rPr>
        <w:t xml:space="preserve"> la efectividad del proceso penal como recurso adecuado</w:t>
      </w:r>
      <w:r w:rsidR="0055043B" w:rsidRPr="003E2449">
        <w:rPr>
          <w:sz w:val="20"/>
          <w:szCs w:val="20"/>
          <w:lang w:val="es-CO"/>
        </w:rPr>
        <w:t xml:space="preserve"> para preservar los derechos de una niña que alega haber sido víctima de una violación carnal de las características </w:t>
      </w:r>
      <w:r w:rsidR="00C276CB" w:rsidRPr="003E2449">
        <w:rPr>
          <w:sz w:val="20"/>
          <w:szCs w:val="20"/>
          <w:lang w:val="es-CO"/>
        </w:rPr>
        <w:t>alegadas</w:t>
      </w:r>
      <w:r w:rsidR="0055043B" w:rsidRPr="003E2449">
        <w:rPr>
          <w:sz w:val="20"/>
          <w:szCs w:val="20"/>
          <w:lang w:val="es-CO"/>
        </w:rPr>
        <w:t>.</w:t>
      </w:r>
      <w:r w:rsidR="00C276CB" w:rsidRPr="003E2449">
        <w:rPr>
          <w:sz w:val="20"/>
          <w:szCs w:val="20"/>
          <w:lang w:val="es-CO"/>
        </w:rPr>
        <w:t xml:space="preserve"> Esta consideración no constituye un prejuzgamiento sobre el fondo.</w:t>
      </w:r>
      <w:r w:rsidR="0055043B" w:rsidRPr="003E2449">
        <w:rPr>
          <w:sz w:val="20"/>
          <w:szCs w:val="20"/>
          <w:lang w:val="es-CO"/>
        </w:rPr>
        <w:t xml:space="preserve"> </w:t>
      </w:r>
    </w:p>
    <w:p w14:paraId="72F36998" w14:textId="112A80F9" w:rsidR="00C61D9C" w:rsidRPr="003E2449" w:rsidRDefault="00C61D9C" w:rsidP="002608A4">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0" w:firstLine="720"/>
        <w:jc w:val="both"/>
        <w:rPr>
          <w:sz w:val="20"/>
          <w:szCs w:val="20"/>
          <w:lang w:val="es-ES"/>
        </w:rPr>
      </w:pPr>
      <w:r w:rsidRPr="003E2449">
        <w:rPr>
          <w:sz w:val="20"/>
          <w:szCs w:val="20"/>
          <w:lang w:val="es-CO"/>
        </w:rPr>
        <w:t xml:space="preserve">En consecuencia, y siempre desde un enfoque </w:t>
      </w:r>
      <w:r w:rsidRPr="003E2449">
        <w:rPr>
          <w:i/>
          <w:iCs/>
          <w:sz w:val="20"/>
          <w:szCs w:val="20"/>
          <w:lang w:val="es-CO"/>
        </w:rPr>
        <w:t>prima facie</w:t>
      </w:r>
      <w:r w:rsidRPr="003E2449">
        <w:rPr>
          <w:sz w:val="20"/>
          <w:szCs w:val="20"/>
          <w:lang w:val="es-CO"/>
        </w:rPr>
        <w:t>, la CIDH estima aplicable la excepción al agotamiento de los recursos internos, prevista en el artículo 46.1.a) de la Convención Americana.</w:t>
      </w:r>
      <w:r w:rsidR="00E97B5C" w:rsidRPr="003E2449">
        <w:rPr>
          <w:sz w:val="20"/>
          <w:szCs w:val="20"/>
          <w:lang w:val="es-CO"/>
        </w:rPr>
        <w:t xml:space="preserve"> Y, dado que </w:t>
      </w:r>
      <w:r w:rsidR="006002C5" w:rsidRPr="003E2449">
        <w:rPr>
          <w:sz w:val="20"/>
          <w:szCs w:val="20"/>
          <w:lang w:val="es-CO"/>
        </w:rPr>
        <w:t>el proceso penal culminó a finales de 2018,</w:t>
      </w:r>
      <w:r w:rsidR="0053285D" w:rsidRPr="003E2449">
        <w:rPr>
          <w:sz w:val="20"/>
          <w:szCs w:val="20"/>
          <w:lang w:val="es-CO"/>
        </w:rPr>
        <w:t xml:space="preserve"> </w:t>
      </w:r>
      <w:r w:rsidR="00755B27" w:rsidRPr="003E2449">
        <w:rPr>
          <w:sz w:val="20"/>
          <w:szCs w:val="20"/>
          <w:lang w:val="es-CO"/>
        </w:rPr>
        <w:t xml:space="preserve">cuyos </w:t>
      </w:r>
      <w:r w:rsidR="0053285D" w:rsidRPr="003E2449">
        <w:rPr>
          <w:sz w:val="20"/>
          <w:szCs w:val="20"/>
          <w:lang w:val="es-CO"/>
        </w:rPr>
        <w:t>efectos</w:t>
      </w:r>
      <w:r w:rsidR="00755B27" w:rsidRPr="003E2449">
        <w:rPr>
          <w:sz w:val="20"/>
          <w:szCs w:val="20"/>
          <w:lang w:val="es-CO"/>
        </w:rPr>
        <w:t xml:space="preserve"> subsisten en el tiempo,</w:t>
      </w:r>
      <w:r w:rsidR="006002C5" w:rsidRPr="003E2449">
        <w:rPr>
          <w:sz w:val="20"/>
          <w:szCs w:val="20"/>
          <w:lang w:val="es-CO"/>
        </w:rPr>
        <w:t xml:space="preserve"> </w:t>
      </w:r>
      <w:r w:rsidR="00755B27" w:rsidRPr="003E2449">
        <w:rPr>
          <w:sz w:val="20"/>
          <w:szCs w:val="20"/>
          <w:lang w:val="es-CO"/>
        </w:rPr>
        <w:t xml:space="preserve">y </w:t>
      </w:r>
      <w:r w:rsidR="007F755B" w:rsidRPr="003E2449">
        <w:rPr>
          <w:sz w:val="20"/>
          <w:szCs w:val="20"/>
          <w:lang w:val="es-CO"/>
        </w:rPr>
        <w:t xml:space="preserve">en vista de que </w:t>
      </w:r>
      <w:r w:rsidR="006002C5" w:rsidRPr="003E2449">
        <w:rPr>
          <w:sz w:val="20"/>
          <w:szCs w:val="20"/>
          <w:lang w:val="es-CO"/>
        </w:rPr>
        <w:t xml:space="preserve">la petición fue presentada el </w:t>
      </w:r>
      <w:r w:rsidR="006002C5" w:rsidRPr="003E2449">
        <w:rPr>
          <w:bCs/>
          <w:sz w:val="20"/>
          <w:szCs w:val="20"/>
          <w:lang w:val="es-ES"/>
        </w:rPr>
        <w:t xml:space="preserve">6 de septiembre de 2019, </w:t>
      </w:r>
      <w:r w:rsidR="003E348D" w:rsidRPr="003E2449">
        <w:rPr>
          <w:bCs/>
          <w:sz w:val="20"/>
          <w:szCs w:val="20"/>
          <w:lang w:val="es-ES"/>
        </w:rPr>
        <w:t xml:space="preserve">la Comisión </w:t>
      </w:r>
      <w:r w:rsidR="006002C5" w:rsidRPr="003E2449">
        <w:rPr>
          <w:bCs/>
          <w:sz w:val="20"/>
          <w:szCs w:val="20"/>
          <w:lang w:val="es-ES"/>
        </w:rPr>
        <w:t xml:space="preserve">concluye que </w:t>
      </w:r>
      <w:r w:rsidR="009E594D" w:rsidRPr="003E2449">
        <w:rPr>
          <w:bCs/>
          <w:sz w:val="20"/>
          <w:szCs w:val="20"/>
          <w:lang w:val="es-ES"/>
        </w:rPr>
        <w:t>fue interpuesta dentro de un plazo razonable en los términos del artículo 32.2 de</w:t>
      </w:r>
      <w:r w:rsidR="00B84965" w:rsidRPr="003E2449">
        <w:rPr>
          <w:bCs/>
          <w:sz w:val="20"/>
          <w:szCs w:val="20"/>
          <w:lang w:val="es-ES"/>
        </w:rPr>
        <w:t>l Reglamento de la Comisión</w:t>
      </w:r>
      <w:r w:rsidR="009E594D" w:rsidRPr="003E2449">
        <w:rPr>
          <w:bCs/>
          <w:sz w:val="20"/>
          <w:szCs w:val="20"/>
          <w:lang w:val="es-ES"/>
        </w:rPr>
        <w:t>.</w:t>
      </w:r>
    </w:p>
    <w:p w14:paraId="673598AF" w14:textId="77777777" w:rsidR="003239B8" w:rsidRPr="003E2449" w:rsidRDefault="003239B8" w:rsidP="002608A4">
      <w:pPr>
        <w:pStyle w:val="ListParagraph"/>
        <w:spacing w:before="0"/>
        <w:jc w:val="both"/>
        <w:rPr>
          <w:rFonts w:asciiTheme="majorHAnsi" w:hAnsiTheme="majorHAnsi"/>
          <w:b/>
          <w:bCs/>
          <w:sz w:val="20"/>
          <w:szCs w:val="20"/>
          <w:lang w:val="es-UY"/>
        </w:rPr>
      </w:pPr>
      <w:r w:rsidRPr="003E2449">
        <w:rPr>
          <w:rFonts w:asciiTheme="majorHAnsi" w:hAnsiTheme="majorHAnsi"/>
          <w:b/>
          <w:bCs/>
          <w:sz w:val="20"/>
          <w:szCs w:val="20"/>
          <w:lang w:val="es-ES"/>
        </w:rPr>
        <w:t>VII.</w:t>
      </w:r>
      <w:r w:rsidRPr="003E2449">
        <w:rPr>
          <w:rFonts w:asciiTheme="majorHAnsi" w:hAnsiTheme="majorHAnsi"/>
          <w:b/>
          <w:bCs/>
          <w:sz w:val="20"/>
          <w:szCs w:val="20"/>
          <w:lang w:val="es-ES"/>
        </w:rPr>
        <w:tab/>
      </w:r>
      <w:r w:rsidR="004A6A54" w:rsidRPr="003E2449">
        <w:rPr>
          <w:rFonts w:asciiTheme="majorHAnsi" w:hAnsiTheme="majorHAnsi"/>
          <w:b/>
          <w:bCs/>
          <w:sz w:val="20"/>
          <w:szCs w:val="20"/>
          <w:lang w:val="es-ES_tradnl"/>
        </w:rPr>
        <w:t xml:space="preserve">ANÁLISIS DE </w:t>
      </w:r>
      <w:r w:rsidR="00C21FEF" w:rsidRPr="003E2449">
        <w:rPr>
          <w:rFonts w:asciiTheme="majorHAnsi" w:hAnsiTheme="majorHAnsi"/>
          <w:b/>
          <w:bCs/>
          <w:sz w:val="20"/>
          <w:szCs w:val="20"/>
          <w:lang w:val="es-ES"/>
        </w:rPr>
        <w:t xml:space="preserve">CARACTERIZACIÓN </w:t>
      </w:r>
      <w:r w:rsidR="00C21FEF" w:rsidRPr="003E2449">
        <w:rPr>
          <w:rFonts w:asciiTheme="majorHAnsi" w:hAnsiTheme="majorHAnsi"/>
          <w:b/>
          <w:bCs/>
          <w:sz w:val="20"/>
          <w:szCs w:val="20"/>
          <w:lang w:val="es-UY"/>
        </w:rPr>
        <w:t>DE LOS HECHOS ALEGADOS</w:t>
      </w:r>
    </w:p>
    <w:p w14:paraId="2DDF1999" w14:textId="3390F0C0" w:rsidR="006E621A" w:rsidRPr="003E2449" w:rsidRDefault="00703077" w:rsidP="002608A4">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0" w:firstLine="720"/>
        <w:jc w:val="both"/>
        <w:rPr>
          <w:sz w:val="20"/>
          <w:szCs w:val="20"/>
          <w:lang w:val="es-ES"/>
        </w:rPr>
      </w:pPr>
      <w:r w:rsidRPr="003E2449">
        <w:rPr>
          <w:sz w:val="20"/>
          <w:szCs w:val="20"/>
          <w:lang w:val="es-UY"/>
        </w:rPr>
        <w:t>E</w:t>
      </w:r>
      <w:r w:rsidRPr="003E2449">
        <w:rPr>
          <w:sz w:val="20"/>
          <w:szCs w:val="20"/>
          <w:lang w:val="es-ES"/>
        </w:rPr>
        <w:t>l objeto de la presente petición se refier</w:t>
      </w:r>
      <w:r w:rsidR="00737D29" w:rsidRPr="003E2449">
        <w:rPr>
          <w:sz w:val="20"/>
          <w:szCs w:val="20"/>
          <w:lang w:val="es-ES"/>
        </w:rPr>
        <w:t>e</w:t>
      </w:r>
      <w:r w:rsidR="004B421C" w:rsidRPr="003E2449">
        <w:rPr>
          <w:sz w:val="20"/>
          <w:szCs w:val="20"/>
          <w:lang w:val="es-ES"/>
        </w:rPr>
        <w:t xml:space="preserve"> </w:t>
      </w:r>
      <w:r w:rsidR="00667D4D" w:rsidRPr="003E2449">
        <w:rPr>
          <w:sz w:val="20"/>
          <w:szCs w:val="20"/>
          <w:lang w:val="es-ES"/>
        </w:rPr>
        <w:t>al uso de estereotipos discriminatorios con base en el género y demoras indebidas en el marco del proceso penal seguido por la violación sexual de la adolescente V.M.C.P., hechos que, aduce, quedaron en la impunidad.</w:t>
      </w:r>
      <w:r w:rsidR="00657EDF" w:rsidRPr="003E2449">
        <w:rPr>
          <w:sz w:val="20"/>
          <w:szCs w:val="20"/>
          <w:lang w:val="es-ES"/>
        </w:rPr>
        <w:t xml:space="preserve"> Por su parte, el Estado sostiene que </w:t>
      </w:r>
      <w:r w:rsidR="00AF7A73" w:rsidRPr="003E2449">
        <w:rPr>
          <w:sz w:val="20"/>
          <w:szCs w:val="20"/>
          <w:lang w:val="es-ES"/>
        </w:rPr>
        <w:t xml:space="preserve">la parte peticionaria pretende utilizar a la CIDH como tribunal de alzada internacional y arguye, además, que la petición es inadmisible porque </w:t>
      </w:r>
      <w:r w:rsidR="00677F89" w:rsidRPr="003E2449">
        <w:rPr>
          <w:sz w:val="20"/>
          <w:szCs w:val="20"/>
          <w:lang w:val="es-ES"/>
        </w:rPr>
        <w:t>el proceso penal respetó las garantías judiciales de la presunta víctima.</w:t>
      </w:r>
    </w:p>
    <w:p w14:paraId="623FE111" w14:textId="6B6FEA07" w:rsidR="00D4293B" w:rsidRPr="003E2449" w:rsidRDefault="00D4293B" w:rsidP="002608A4">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0" w:firstLine="720"/>
        <w:jc w:val="both"/>
        <w:rPr>
          <w:sz w:val="20"/>
          <w:szCs w:val="20"/>
          <w:lang w:val="es-ES"/>
        </w:rPr>
      </w:pPr>
      <w:r w:rsidRPr="003E2449">
        <w:rPr>
          <w:sz w:val="20"/>
          <w:szCs w:val="20"/>
          <w:lang w:val="es-ES"/>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 A este respecto, la Comisión reitera que el criterio de evaluación de la fase de admisibilidad difiere del que se utiliza para pronunciarse sobre el fondo de una petición; la CIDH debe realizar en esta etapa una evaluación </w:t>
      </w:r>
      <w:r w:rsidRPr="003E2449">
        <w:rPr>
          <w:i/>
          <w:iCs/>
          <w:sz w:val="20"/>
          <w:szCs w:val="20"/>
          <w:lang w:val="es-ES"/>
        </w:rPr>
        <w:t>prima facie</w:t>
      </w:r>
      <w:r w:rsidRPr="003E2449">
        <w:rPr>
          <w:sz w:val="20"/>
          <w:szCs w:val="20"/>
          <w:lang w:val="es-ES"/>
        </w:rPr>
        <w:t xml:space="preserve"> para </w:t>
      </w:r>
      <w:r w:rsidR="00EF263D" w:rsidRPr="003E2449">
        <w:rPr>
          <w:sz w:val="20"/>
          <w:szCs w:val="20"/>
          <w:lang w:val="es-ES"/>
        </w:rPr>
        <w:t>esclarecer</w:t>
      </w:r>
      <w:r w:rsidR="008C3A4E" w:rsidRPr="003E2449">
        <w:rPr>
          <w:sz w:val="20"/>
          <w:szCs w:val="20"/>
          <w:lang w:val="es-ES"/>
        </w:rPr>
        <w:t xml:space="preserve"> </w:t>
      </w:r>
      <w:r w:rsidRPr="003E2449">
        <w:rPr>
          <w:sz w:val="20"/>
          <w:szCs w:val="20"/>
          <w:lang w:val="es-ES"/>
        </w:rPr>
        <w:t xml:space="preserve">si la petición establece el fundamento de la violación, posible o potencial, de un derecho garantizado por la Convención, pero no para </w:t>
      </w:r>
      <w:r w:rsidR="008C3A4E" w:rsidRPr="003E2449">
        <w:rPr>
          <w:sz w:val="20"/>
          <w:szCs w:val="20"/>
          <w:lang w:val="es-ES"/>
        </w:rPr>
        <w:t xml:space="preserve">resolver </w:t>
      </w:r>
      <w:r w:rsidRPr="003E2449">
        <w:rPr>
          <w:sz w:val="20"/>
          <w:szCs w:val="20"/>
          <w:lang w:val="es-ES"/>
        </w:rPr>
        <w:t>la existencia de una violación de derechos. Esta determinación sobre la caracterización de violaciones de la Convención Americana constituye un análisis primario, que no implica prejuzgar sobre el fondo del asunto.</w:t>
      </w:r>
    </w:p>
    <w:p w14:paraId="5B97BBE9" w14:textId="118AB6BB" w:rsidR="003912F9" w:rsidRPr="003E2449" w:rsidRDefault="00EF263D" w:rsidP="002608A4">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240"/>
        <w:ind w:left="0" w:firstLine="720"/>
        <w:jc w:val="both"/>
        <w:rPr>
          <w:rFonts w:asciiTheme="majorHAnsi" w:hAnsiTheme="majorHAnsi"/>
          <w:sz w:val="20"/>
          <w:szCs w:val="20"/>
          <w:lang w:val="es-ES"/>
        </w:rPr>
      </w:pPr>
      <w:r w:rsidRPr="003E2449">
        <w:rPr>
          <w:rFonts w:asciiTheme="majorHAnsi" w:hAnsiTheme="majorHAnsi"/>
          <w:sz w:val="20"/>
          <w:szCs w:val="20"/>
          <w:lang w:val="es-ES"/>
        </w:rPr>
        <w:t>En cuanto</w:t>
      </w:r>
      <w:r w:rsidR="003912F9" w:rsidRPr="003E2449">
        <w:rPr>
          <w:rFonts w:asciiTheme="majorHAnsi" w:hAnsiTheme="majorHAnsi"/>
          <w:sz w:val="20"/>
          <w:szCs w:val="20"/>
          <w:lang w:val="es-ES"/>
        </w:rPr>
        <w:t xml:space="preserve"> a la investigación y sanción de la violencia sexual, la Comisión recuerda que las obligaciones generales de los artículos 8.1 y 25 de la Convención se ven reforzadas por las disposiciones de la Convención de Belém do Pará, cuyo artículo 7.b) impone el deber específico de utilizar la debida diligencia para prevenir, sancionar y erradicar la violencia contra la mujer</w:t>
      </w:r>
      <w:r w:rsidR="003912F9" w:rsidRPr="003E2449">
        <w:rPr>
          <w:rFonts w:asciiTheme="majorHAnsi" w:hAnsiTheme="majorHAnsi"/>
          <w:sz w:val="20"/>
          <w:szCs w:val="20"/>
          <w:vertAlign w:val="superscript"/>
          <w:lang w:val="es-ES"/>
        </w:rPr>
        <w:footnoteReference w:id="12"/>
      </w:r>
      <w:r w:rsidR="003912F9" w:rsidRPr="003E2449">
        <w:rPr>
          <w:rFonts w:asciiTheme="majorHAnsi" w:hAnsiTheme="majorHAnsi"/>
          <w:sz w:val="20"/>
          <w:szCs w:val="20"/>
          <w:lang w:val="es-ES"/>
        </w:rPr>
        <w:t>. En efecto, el deber de investigar tiene alcances adicionales cuando se trata de una mujer que sufre una muerte violenta, maltrato o afectación a su libertad personal, pues se requiere que el Estado esclarezca si el acto fue perpetrado por razón del género</w:t>
      </w:r>
      <w:r w:rsidR="003912F9" w:rsidRPr="003E2449">
        <w:rPr>
          <w:rFonts w:asciiTheme="majorHAnsi" w:hAnsiTheme="majorHAnsi"/>
          <w:sz w:val="20"/>
          <w:szCs w:val="20"/>
          <w:vertAlign w:val="superscript"/>
          <w:lang w:val="es-ES"/>
        </w:rPr>
        <w:footnoteReference w:id="13"/>
      </w:r>
      <w:r w:rsidR="003912F9" w:rsidRPr="003E2449">
        <w:rPr>
          <w:rFonts w:asciiTheme="majorHAnsi" w:hAnsiTheme="majorHAnsi"/>
          <w:sz w:val="20"/>
          <w:szCs w:val="20"/>
          <w:lang w:val="es-ES"/>
        </w:rPr>
        <w:t>.</w:t>
      </w:r>
    </w:p>
    <w:p w14:paraId="175440F8" w14:textId="08632092" w:rsidR="00B14B60" w:rsidRPr="003E2449" w:rsidRDefault="003912F9" w:rsidP="002608A4">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0" w:firstLine="720"/>
        <w:jc w:val="both"/>
        <w:rPr>
          <w:rFonts w:asciiTheme="majorHAnsi" w:hAnsiTheme="majorHAnsi"/>
          <w:sz w:val="20"/>
          <w:szCs w:val="20"/>
          <w:lang w:val="es-ES"/>
        </w:rPr>
      </w:pPr>
      <w:r w:rsidRPr="003E2449">
        <w:rPr>
          <w:rFonts w:asciiTheme="majorHAnsi" w:hAnsiTheme="majorHAnsi"/>
          <w:sz w:val="20"/>
          <w:szCs w:val="20"/>
          <w:lang w:val="es-ES"/>
        </w:rPr>
        <w:t>De igual manera, la debida diligencia reforzada en las investigaciones de violencia sexual contra las mujeres implica también la incorporación de la perspectiva de género en el análisis de los hechos, en la recopilación de la prueba y en la conducción del juicio</w:t>
      </w:r>
      <w:r w:rsidRPr="003E2449">
        <w:rPr>
          <w:rStyle w:val="FootnoteReference"/>
          <w:rFonts w:asciiTheme="majorHAnsi" w:hAnsiTheme="majorHAnsi"/>
          <w:sz w:val="20"/>
          <w:szCs w:val="20"/>
          <w:lang w:val="es-ES"/>
        </w:rPr>
        <w:footnoteReference w:id="14"/>
      </w:r>
      <w:r w:rsidRPr="003E2449">
        <w:rPr>
          <w:rFonts w:asciiTheme="majorHAnsi" w:hAnsiTheme="majorHAnsi"/>
          <w:sz w:val="20"/>
          <w:szCs w:val="20"/>
          <w:lang w:val="es-ES"/>
        </w:rPr>
        <w:t xml:space="preserve">. La investigación debe ser conducida por personas capacitadas en la materia, y, entre otras obligaciones, supone que </w:t>
      </w:r>
      <w:r w:rsidRPr="003E2449">
        <w:rPr>
          <w:rFonts w:asciiTheme="majorHAnsi" w:hAnsiTheme="majorHAnsi"/>
          <w:sz w:val="20"/>
          <w:szCs w:val="20"/>
          <w:lang w:val="es-CO"/>
        </w:rPr>
        <w:t xml:space="preserve">se documenten y coordinen los actos investigativos y se maneje diligentemente la prueba, tomando muestras suficientes, realizando estudios para </w:t>
      </w:r>
      <w:r w:rsidRPr="003E2449">
        <w:rPr>
          <w:rFonts w:asciiTheme="majorHAnsi" w:hAnsiTheme="majorHAnsi"/>
          <w:sz w:val="20"/>
          <w:szCs w:val="20"/>
          <w:lang w:val="es-CO"/>
        </w:rPr>
        <w:lastRenderedPageBreak/>
        <w:t>determinar la posible autoría del hecho, asegurando otras pruebas como la ropa de la víctima, investigando de forma inmediata el lugar de los hechos y garantizando la correcta cadena de custodia</w:t>
      </w:r>
      <w:r w:rsidRPr="003E2449">
        <w:rPr>
          <w:rStyle w:val="FootnoteReference"/>
          <w:rFonts w:asciiTheme="majorHAnsi" w:hAnsiTheme="majorHAnsi"/>
          <w:sz w:val="20"/>
          <w:szCs w:val="20"/>
          <w:lang w:val="es-CO"/>
        </w:rPr>
        <w:footnoteReference w:id="15"/>
      </w:r>
      <w:r w:rsidRPr="003E2449">
        <w:rPr>
          <w:rFonts w:asciiTheme="majorHAnsi" w:hAnsiTheme="majorHAnsi"/>
          <w:sz w:val="20"/>
          <w:szCs w:val="20"/>
          <w:lang w:val="es-CO"/>
        </w:rPr>
        <w:t>.</w:t>
      </w:r>
    </w:p>
    <w:p w14:paraId="3C28289E" w14:textId="799DE497" w:rsidR="00B14B60" w:rsidRPr="003E2449" w:rsidRDefault="00B14B60" w:rsidP="002608A4">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0" w:firstLine="720"/>
        <w:jc w:val="both"/>
        <w:rPr>
          <w:rFonts w:asciiTheme="majorHAnsi" w:hAnsiTheme="majorHAnsi"/>
          <w:sz w:val="20"/>
          <w:szCs w:val="20"/>
          <w:lang w:val="es-ES"/>
        </w:rPr>
      </w:pPr>
      <w:r w:rsidRPr="003E2449">
        <w:rPr>
          <w:rFonts w:asciiTheme="majorHAnsi" w:hAnsiTheme="majorHAnsi"/>
          <w:sz w:val="20"/>
          <w:szCs w:val="20"/>
          <w:lang w:val="es-CO"/>
        </w:rPr>
        <w:t xml:space="preserve">Asimismo, </w:t>
      </w:r>
      <w:r w:rsidR="0048537D" w:rsidRPr="003E2449">
        <w:rPr>
          <w:rFonts w:asciiTheme="majorHAnsi" w:hAnsiTheme="majorHAnsi"/>
          <w:sz w:val="20"/>
          <w:szCs w:val="20"/>
          <w:lang w:val="es-CO"/>
        </w:rPr>
        <w:t xml:space="preserve">en relación con </w:t>
      </w:r>
      <w:r w:rsidR="008449B0" w:rsidRPr="003E2449">
        <w:rPr>
          <w:rFonts w:asciiTheme="majorHAnsi" w:hAnsiTheme="majorHAnsi"/>
          <w:sz w:val="20"/>
          <w:szCs w:val="20"/>
          <w:lang w:val="es-CO"/>
        </w:rPr>
        <w:t xml:space="preserve">la </w:t>
      </w:r>
      <w:r w:rsidR="0048537D" w:rsidRPr="003E2449">
        <w:rPr>
          <w:rFonts w:asciiTheme="majorHAnsi" w:hAnsiTheme="majorHAnsi"/>
          <w:sz w:val="20"/>
          <w:szCs w:val="20"/>
          <w:lang w:val="es-CO"/>
        </w:rPr>
        <w:t xml:space="preserve">violencia sexual cometida contra una niña o adolescente, </w:t>
      </w:r>
      <w:r w:rsidR="00E40140" w:rsidRPr="003E2449">
        <w:rPr>
          <w:rFonts w:asciiTheme="majorHAnsi" w:hAnsiTheme="majorHAnsi"/>
          <w:sz w:val="20"/>
          <w:szCs w:val="20"/>
          <w:lang w:val="es-CO"/>
        </w:rPr>
        <w:t>se ha establecido que éstas enfrentan un</w:t>
      </w:r>
      <w:r w:rsidR="007B3BC5" w:rsidRPr="003E2449">
        <w:rPr>
          <w:rFonts w:asciiTheme="majorHAnsi" w:hAnsiTheme="majorHAnsi"/>
          <w:sz w:val="20"/>
          <w:szCs w:val="20"/>
          <w:lang w:val="es-CO"/>
        </w:rPr>
        <w:t xml:space="preserve"> mayor riesgo de </w:t>
      </w:r>
      <w:r w:rsidR="00E40140" w:rsidRPr="003E2449">
        <w:rPr>
          <w:rFonts w:asciiTheme="majorHAnsi" w:hAnsiTheme="majorHAnsi"/>
          <w:sz w:val="20"/>
          <w:szCs w:val="20"/>
          <w:lang w:val="es-CO"/>
        </w:rPr>
        <w:t xml:space="preserve">encontrar </w:t>
      </w:r>
      <w:r w:rsidR="007B3BC5" w:rsidRPr="003E2449">
        <w:rPr>
          <w:rFonts w:asciiTheme="majorHAnsi" w:hAnsiTheme="majorHAnsi"/>
          <w:sz w:val="20"/>
          <w:szCs w:val="20"/>
          <w:lang w:val="es-CO"/>
        </w:rPr>
        <w:t>obstáculos y discriminación en el acceso a la justicia</w:t>
      </w:r>
      <w:r w:rsidR="00E40140" w:rsidRPr="003E2449">
        <w:rPr>
          <w:rFonts w:asciiTheme="majorHAnsi" w:hAnsiTheme="majorHAnsi"/>
          <w:sz w:val="20"/>
          <w:szCs w:val="20"/>
          <w:lang w:val="es-CO"/>
        </w:rPr>
        <w:t>, ya que</w:t>
      </w:r>
      <w:r w:rsidR="007B3BC5" w:rsidRPr="003E2449">
        <w:rPr>
          <w:rFonts w:asciiTheme="majorHAnsi" w:hAnsiTheme="majorHAnsi"/>
          <w:sz w:val="20"/>
          <w:szCs w:val="20"/>
          <w:lang w:val="es-CO"/>
        </w:rPr>
        <w:t xml:space="preserve"> conflu</w:t>
      </w:r>
      <w:r w:rsidR="00E40140" w:rsidRPr="003E2449">
        <w:rPr>
          <w:rFonts w:asciiTheme="majorHAnsi" w:hAnsiTheme="majorHAnsi"/>
          <w:sz w:val="20"/>
          <w:szCs w:val="20"/>
          <w:lang w:val="es-CO"/>
        </w:rPr>
        <w:t xml:space="preserve">yen </w:t>
      </w:r>
      <w:r w:rsidR="007B3BC5" w:rsidRPr="003E2449">
        <w:rPr>
          <w:rFonts w:asciiTheme="majorHAnsi" w:hAnsiTheme="majorHAnsi"/>
          <w:sz w:val="20"/>
          <w:szCs w:val="20"/>
          <w:lang w:val="es-CO"/>
        </w:rPr>
        <w:t>las condiciones de mujer y niña</w:t>
      </w:r>
      <w:r w:rsidR="004F012A" w:rsidRPr="003E2449">
        <w:rPr>
          <w:rStyle w:val="FootnoteReference"/>
          <w:rFonts w:asciiTheme="majorHAnsi" w:hAnsiTheme="majorHAnsi"/>
          <w:sz w:val="20"/>
          <w:szCs w:val="20"/>
          <w:lang w:val="es-CO"/>
        </w:rPr>
        <w:footnoteReference w:id="16"/>
      </w:r>
      <w:r w:rsidR="00015FDA" w:rsidRPr="003E2449">
        <w:rPr>
          <w:rFonts w:asciiTheme="majorHAnsi" w:hAnsiTheme="majorHAnsi"/>
          <w:sz w:val="20"/>
          <w:szCs w:val="20"/>
          <w:lang w:val="es-CO"/>
        </w:rPr>
        <w:t>.</w:t>
      </w:r>
      <w:r w:rsidR="00F518E0" w:rsidRPr="003E2449">
        <w:rPr>
          <w:rFonts w:asciiTheme="majorHAnsi" w:hAnsiTheme="majorHAnsi"/>
          <w:sz w:val="20"/>
          <w:szCs w:val="20"/>
          <w:lang w:val="es-CO"/>
        </w:rPr>
        <w:t xml:space="preserve"> En ese sentido, </w:t>
      </w:r>
      <w:r w:rsidR="002348C1" w:rsidRPr="003E2449">
        <w:rPr>
          <w:rFonts w:asciiTheme="majorHAnsi" w:hAnsiTheme="majorHAnsi"/>
          <w:sz w:val="20"/>
          <w:szCs w:val="20"/>
          <w:lang w:val="es-CO"/>
        </w:rPr>
        <w:t>la discriminación judicial por estas condiciones puede caracterizar una violación de los derechos de la niñez y a la igualdad ante la ley, protegidos en los artículo</w:t>
      </w:r>
      <w:r w:rsidR="00E2233C" w:rsidRPr="003E2449">
        <w:rPr>
          <w:rFonts w:asciiTheme="majorHAnsi" w:hAnsiTheme="majorHAnsi"/>
          <w:sz w:val="20"/>
          <w:szCs w:val="20"/>
          <w:lang w:val="es-CO"/>
        </w:rPr>
        <w:t>s</w:t>
      </w:r>
      <w:r w:rsidR="002348C1" w:rsidRPr="003E2449">
        <w:rPr>
          <w:rFonts w:asciiTheme="majorHAnsi" w:hAnsiTheme="majorHAnsi"/>
          <w:sz w:val="20"/>
          <w:szCs w:val="20"/>
          <w:lang w:val="es-CO"/>
        </w:rPr>
        <w:t xml:space="preserve"> 19 y 24 de la Convención Americana.</w:t>
      </w:r>
    </w:p>
    <w:p w14:paraId="35CD31D6" w14:textId="5142987B" w:rsidR="006E621A" w:rsidRPr="003E2449" w:rsidRDefault="008C5E2D" w:rsidP="002608A4">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0" w:firstLine="720"/>
        <w:jc w:val="both"/>
        <w:rPr>
          <w:sz w:val="20"/>
          <w:szCs w:val="20"/>
          <w:lang w:val="es-ES"/>
        </w:rPr>
      </w:pPr>
      <w:r w:rsidRPr="003E2449">
        <w:rPr>
          <w:sz w:val="20"/>
          <w:szCs w:val="20"/>
          <w:lang w:val="es-ES"/>
        </w:rPr>
        <w:t>En aten</w:t>
      </w:r>
      <w:r w:rsidR="00C25ADB" w:rsidRPr="003E2449">
        <w:rPr>
          <w:sz w:val="20"/>
          <w:szCs w:val="20"/>
          <w:lang w:val="es-ES"/>
        </w:rPr>
        <w:t xml:space="preserve">ción a estas consideraciones y </w:t>
      </w:r>
      <w:r w:rsidRPr="003E2449">
        <w:rPr>
          <w:sz w:val="20"/>
          <w:szCs w:val="20"/>
          <w:lang w:val="es-ES"/>
        </w:rPr>
        <w:t>tras examinar los elementos de hecho y de derecho expuestos por las partes la Comisión estima que las alegaciones de la parte peticionaria no resultan manifiestamente infundadas y requieren un estudio de fondo</w:t>
      </w:r>
      <w:r w:rsidR="00394073" w:rsidRPr="003E2449">
        <w:rPr>
          <w:sz w:val="20"/>
          <w:szCs w:val="20"/>
          <w:lang w:val="es-ES"/>
        </w:rPr>
        <w:t>;</w:t>
      </w:r>
      <w:r w:rsidRPr="003E2449">
        <w:rPr>
          <w:sz w:val="20"/>
          <w:szCs w:val="20"/>
          <w:lang w:val="es-ES"/>
        </w:rPr>
        <w:t xml:space="preserve"> pues los hechos alegados, de corroborarse como ciertos</w:t>
      </w:r>
      <w:r w:rsidR="00394073" w:rsidRPr="003E2449">
        <w:rPr>
          <w:sz w:val="20"/>
          <w:szCs w:val="20"/>
          <w:lang w:val="es-ES"/>
        </w:rPr>
        <w:t>,</w:t>
      </w:r>
      <w:r w:rsidRPr="003E2449">
        <w:rPr>
          <w:sz w:val="20"/>
          <w:szCs w:val="20"/>
          <w:lang w:val="es-ES"/>
        </w:rPr>
        <w:t xml:space="preserve"> podrían caracteri</w:t>
      </w:r>
      <w:r w:rsidR="004B421C" w:rsidRPr="003E2449">
        <w:rPr>
          <w:sz w:val="20"/>
          <w:szCs w:val="20"/>
          <w:lang w:val="es-ES"/>
        </w:rPr>
        <w:t>zar violaciones a los artículos</w:t>
      </w:r>
      <w:r w:rsidR="00394073" w:rsidRPr="003E2449">
        <w:rPr>
          <w:sz w:val="20"/>
          <w:szCs w:val="20"/>
          <w:lang w:val="es-ES"/>
        </w:rPr>
        <w:t xml:space="preserve"> </w:t>
      </w:r>
      <w:r w:rsidR="008A66C1" w:rsidRPr="003E2449">
        <w:rPr>
          <w:bCs/>
          <w:sz w:val="20"/>
          <w:szCs w:val="20"/>
          <w:lang w:val="es-CO"/>
        </w:rPr>
        <w:t xml:space="preserve">5 (integridad personal), 8 (garantías judiciales), 11 (vida privada), 19 (derechos del niño), 24 (igualdad ante la ley) y 25 (protección judicial) de la Convención Americana; y </w:t>
      </w:r>
      <w:r w:rsidR="00283F6A" w:rsidRPr="003E2449">
        <w:rPr>
          <w:bCs/>
          <w:sz w:val="20"/>
          <w:szCs w:val="20"/>
          <w:lang w:val="es-CO"/>
        </w:rPr>
        <w:t>del</w:t>
      </w:r>
      <w:r w:rsidR="006E3434" w:rsidRPr="003E2449">
        <w:rPr>
          <w:bCs/>
          <w:sz w:val="20"/>
          <w:szCs w:val="20"/>
          <w:lang w:val="es-CO"/>
        </w:rPr>
        <w:t xml:space="preserve"> </w:t>
      </w:r>
      <w:r w:rsidR="008A66C1" w:rsidRPr="003E2449">
        <w:rPr>
          <w:bCs/>
          <w:sz w:val="20"/>
          <w:szCs w:val="20"/>
          <w:lang w:val="es-CO"/>
        </w:rPr>
        <w:t>artículo 7 de la Convención de Belém do Pará,</w:t>
      </w:r>
      <w:r w:rsidR="00394073" w:rsidRPr="003E2449">
        <w:rPr>
          <w:sz w:val="20"/>
          <w:szCs w:val="20"/>
          <w:lang w:val="es-ES"/>
        </w:rPr>
        <w:t xml:space="preserve"> en perjuicio de </w:t>
      </w:r>
      <w:r w:rsidR="008A66C1" w:rsidRPr="003E2449">
        <w:rPr>
          <w:sz w:val="20"/>
          <w:szCs w:val="20"/>
          <w:lang w:val="es-ES"/>
        </w:rPr>
        <w:t>V.M.C.P.</w:t>
      </w:r>
    </w:p>
    <w:p w14:paraId="445BF42E" w14:textId="77777777" w:rsidR="003239B8" w:rsidRPr="003E2449" w:rsidRDefault="003239B8" w:rsidP="002608A4">
      <w:pPr>
        <w:pStyle w:val="ListParagraph"/>
        <w:spacing w:before="0"/>
        <w:jc w:val="both"/>
        <w:rPr>
          <w:rFonts w:asciiTheme="majorHAnsi" w:hAnsiTheme="majorHAnsi"/>
          <w:b/>
          <w:bCs/>
          <w:sz w:val="20"/>
          <w:szCs w:val="20"/>
          <w:lang w:val="es-ES"/>
        </w:rPr>
      </w:pPr>
      <w:r w:rsidRPr="003E2449">
        <w:rPr>
          <w:rFonts w:asciiTheme="majorHAnsi" w:hAnsiTheme="majorHAnsi"/>
          <w:b/>
          <w:bCs/>
          <w:sz w:val="20"/>
          <w:szCs w:val="20"/>
          <w:lang w:val="es-ES"/>
        </w:rPr>
        <w:t xml:space="preserve">VIII. </w:t>
      </w:r>
      <w:r w:rsidRPr="003E2449">
        <w:rPr>
          <w:rFonts w:asciiTheme="majorHAnsi" w:hAnsiTheme="majorHAnsi"/>
          <w:b/>
          <w:bCs/>
          <w:sz w:val="20"/>
          <w:szCs w:val="20"/>
          <w:lang w:val="es-ES"/>
        </w:rPr>
        <w:tab/>
        <w:t>DECISIÓN</w:t>
      </w:r>
    </w:p>
    <w:p w14:paraId="16B36F97" w14:textId="72504748" w:rsidR="003239B8" w:rsidRPr="003E2449" w:rsidRDefault="003239B8" w:rsidP="002608A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E2449">
        <w:rPr>
          <w:rFonts w:asciiTheme="majorHAnsi" w:hAnsiTheme="majorHAnsi"/>
          <w:sz w:val="20"/>
          <w:szCs w:val="20"/>
          <w:lang w:val="es-ES"/>
        </w:rPr>
        <w:t>Declarar admisible la presente petición en relación con</w:t>
      </w:r>
      <w:r w:rsidR="001D7F96" w:rsidRPr="003E2449">
        <w:rPr>
          <w:rFonts w:asciiTheme="majorHAnsi" w:hAnsiTheme="majorHAnsi"/>
          <w:sz w:val="20"/>
          <w:szCs w:val="20"/>
          <w:lang w:val="es-ES"/>
        </w:rPr>
        <w:t xml:space="preserve"> </w:t>
      </w:r>
      <w:r w:rsidR="00895123" w:rsidRPr="003E2449">
        <w:rPr>
          <w:rFonts w:asciiTheme="majorHAnsi" w:hAnsiTheme="majorHAnsi"/>
          <w:sz w:val="20"/>
          <w:szCs w:val="20"/>
          <w:lang w:val="es-ES"/>
        </w:rPr>
        <w:t>los artículos 5, 8, 11, 19, 24 y 25 de la Convención Americana en conexión con su artículo 1.1</w:t>
      </w:r>
      <w:r w:rsidR="00A758AA" w:rsidRPr="003E2449">
        <w:rPr>
          <w:rFonts w:asciiTheme="majorHAnsi" w:hAnsiTheme="majorHAnsi"/>
          <w:sz w:val="20"/>
          <w:szCs w:val="20"/>
          <w:lang w:val="es-ES"/>
        </w:rPr>
        <w:t>;</w:t>
      </w:r>
      <w:r w:rsidR="007B76D3" w:rsidRPr="003E2449">
        <w:rPr>
          <w:rFonts w:asciiTheme="majorHAnsi" w:hAnsiTheme="majorHAnsi"/>
          <w:sz w:val="20"/>
          <w:szCs w:val="20"/>
          <w:lang w:val="es-ES"/>
        </w:rPr>
        <w:t xml:space="preserve"> y</w:t>
      </w:r>
      <w:r w:rsidR="001A46A7" w:rsidRPr="003E2449">
        <w:rPr>
          <w:rFonts w:asciiTheme="majorHAnsi" w:hAnsiTheme="majorHAnsi"/>
          <w:sz w:val="20"/>
          <w:szCs w:val="20"/>
          <w:lang w:val="es-ES"/>
        </w:rPr>
        <w:t xml:space="preserve"> </w:t>
      </w:r>
      <w:r w:rsidR="003E2449">
        <w:rPr>
          <w:rFonts w:asciiTheme="majorHAnsi" w:hAnsiTheme="majorHAnsi"/>
          <w:sz w:val="20"/>
          <w:szCs w:val="20"/>
          <w:lang w:val="es-ES"/>
        </w:rPr>
        <w:t xml:space="preserve">el </w:t>
      </w:r>
      <w:r w:rsidR="003E2449">
        <w:rPr>
          <w:rFonts w:ascii="Cambria" w:hAnsi="Cambria"/>
          <w:bCs/>
          <w:sz w:val="20"/>
          <w:szCs w:val="20"/>
          <w:lang w:val="es-CO"/>
        </w:rPr>
        <w:t>artículo 7 de la Convención de Belém do Pará</w:t>
      </w:r>
      <w:r w:rsidR="00AA6B6E">
        <w:rPr>
          <w:rFonts w:ascii="Cambria" w:hAnsi="Cambria"/>
          <w:bCs/>
          <w:sz w:val="20"/>
          <w:szCs w:val="20"/>
          <w:lang w:val="es-CO"/>
        </w:rPr>
        <w:t>; y</w:t>
      </w:r>
    </w:p>
    <w:p w14:paraId="02C904B2" w14:textId="623E050E" w:rsidR="009A56CE" w:rsidRDefault="004A6A54" w:rsidP="002608A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E2449">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ECF4D06" w14:textId="583EB6F3" w:rsidR="00E234D4" w:rsidRPr="00462441" w:rsidRDefault="00612978" w:rsidP="00462441">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277A77">
        <w:rPr>
          <w:rStyle w:val="normaltextrun"/>
          <w:rFonts w:ascii="Cambria" w:hAnsi="Cambria" w:cs="Segoe UI"/>
          <w:sz w:val="20"/>
          <w:szCs w:val="20"/>
          <w:lang w:val="es-CL"/>
        </w:rPr>
        <w:t>10</w:t>
      </w:r>
      <w:r>
        <w:rPr>
          <w:rStyle w:val="normaltextrun"/>
          <w:rFonts w:ascii="Cambria" w:hAnsi="Cambria" w:cs="Segoe UI"/>
          <w:sz w:val="20"/>
          <w:szCs w:val="20"/>
          <w:lang w:val="es-CL"/>
        </w:rPr>
        <w:t xml:space="preserve"> días del mes de </w:t>
      </w:r>
      <w:r w:rsidR="00EB711A">
        <w:rPr>
          <w:rStyle w:val="normaltextrun"/>
          <w:rFonts w:ascii="Cambria" w:hAnsi="Cambria" w:cs="Segoe UI"/>
          <w:sz w:val="20"/>
          <w:szCs w:val="20"/>
          <w:lang w:val="es-CL"/>
        </w:rPr>
        <w:t>diciembre</w:t>
      </w:r>
      <w:r>
        <w:rPr>
          <w:rStyle w:val="normaltextrun"/>
          <w:rFonts w:ascii="Cambria" w:hAnsi="Cambria" w:cs="Segoe UI"/>
          <w:sz w:val="20"/>
          <w:szCs w:val="20"/>
          <w:lang w:val="es-CL"/>
        </w:rPr>
        <w:t xml:space="preserve"> de 2024.  (Firmado): Carlos Bernal Pulido, Primer Vicepresidente; José Luis Caballero Ochoa, Segundo Vicepresidente; Edgar Stuardo Ralón Orellana</w:t>
      </w:r>
      <w:r w:rsidR="00413124">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Andrea Pochak, </w:t>
      </w:r>
      <w:r w:rsidR="00462441">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E234D4" w:rsidRPr="0046244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503B3" w14:textId="77777777" w:rsidR="00607EC0" w:rsidRDefault="00607EC0">
      <w:r>
        <w:separator/>
      </w:r>
    </w:p>
  </w:endnote>
  <w:endnote w:type="continuationSeparator" w:id="0">
    <w:p w14:paraId="4156FCC8" w14:textId="77777777" w:rsidR="00607EC0" w:rsidRDefault="00607EC0">
      <w:r>
        <w:continuationSeparator/>
      </w:r>
    </w:p>
  </w:endnote>
  <w:endnote w:type="continuationNotice" w:id="1">
    <w:p w14:paraId="60936464" w14:textId="77777777" w:rsidR="00607EC0" w:rsidRDefault="00607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6AC8F" w14:textId="77777777" w:rsidR="00607EC0" w:rsidRPr="000F35ED" w:rsidRDefault="00607EC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64B2953" w14:textId="77777777" w:rsidR="00607EC0" w:rsidRPr="000F35ED" w:rsidRDefault="00607EC0" w:rsidP="000F35ED">
      <w:pPr>
        <w:rPr>
          <w:rFonts w:asciiTheme="majorHAnsi" w:hAnsiTheme="majorHAnsi"/>
          <w:sz w:val="16"/>
          <w:szCs w:val="16"/>
        </w:rPr>
      </w:pPr>
      <w:r w:rsidRPr="000F35ED">
        <w:rPr>
          <w:rFonts w:asciiTheme="majorHAnsi" w:hAnsiTheme="majorHAnsi"/>
          <w:sz w:val="16"/>
          <w:szCs w:val="16"/>
        </w:rPr>
        <w:separator/>
      </w:r>
    </w:p>
    <w:p w14:paraId="3C7D5641" w14:textId="77777777" w:rsidR="00607EC0" w:rsidRPr="000F35ED" w:rsidRDefault="00607EC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D7596E1" w14:textId="77777777" w:rsidR="00607EC0" w:rsidRPr="000F35ED" w:rsidRDefault="00607EC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70AF57E" w14:textId="6834469A" w:rsidR="009B391C" w:rsidRPr="000231F2" w:rsidRDefault="009B391C" w:rsidP="000231F2">
      <w:pPr>
        <w:pStyle w:val="FootnoteText"/>
        <w:ind w:firstLine="720"/>
        <w:jc w:val="both"/>
        <w:rPr>
          <w:rFonts w:asciiTheme="majorHAnsi" w:hAnsiTheme="majorHAnsi"/>
          <w:sz w:val="16"/>
          <w:szCs w:val="16"/>
          <w:lang w:val="es-CO"/>
        </w:rPr>
      </w:pPr>
      <w:r w:rsidRPr="000231F2">
        <w:rPr>
          <w:rStyle w:val="FootnoteReference"/>
          <w:rFonts w:asciiTheme="majorHAnsi" w:hAnsiTheme="majorHAnsi"/>
          <w:sz w:val="16"/>
          <w:szCs w:val="16"/>
        </w:rPr>
        <w:footnoteRef/>
      </w:r>
      <w:r w:rsidRPr="000231F2">
        <w:rPr>
          <w:rFonts w:asciiTheme="majorHAnsi" w:hAnsiTheme="majorHAnsi"/>
          <w:sz w:val="16"/>
          <w:szCs w:val="16"/>
          <w:lang w:val="es-CO"/>
        </w:rPr>
        <w:t xml:space="preserve"> La parte peticionaria solicitó </w:t>
      </w:r>
      <w:r w:rsidR="007B186B" w:rsidRPr="000231F2">
        <w:rPr>
          <w:rFonts w:asciiTheme="majorHAnsi" w:hAnsiTheme="majorHAnsi"/>
          <w:sz w:val="16"/>
          <w:szCs w:val="16"/>
          <w:lang w:val="es-CO"/>
        </w:rPr>
        <w:t xml:space="preserve">la </w:t>
      </w:r>
      <w:r w:rsidRPr="000231F2">
        <w:rPr>
          <w:rFonts w:asciiTheme="majorHAnsi" w:hAnsiTheme="majorHAnsi"/>
          <w:sz w:val="16"/>
          <w:szCs w:val="16"/>
          <w:lang w:val="es-CO"/>
        </w:rPr>
        <w:t>reserva</w:t>
      </w:r>
      <w:r w:rsidR="007B186B" w:rsidRPr="000231F2">
        <w:rPr>
          <w:rFonts w:asciiTheme="majorHAnsi" w:hAnsiTheme="majorHAnsi"/>
          <w:sz w:val="16"/>
          <w:szCs w:val="16"/>
          <w:lang w:val="es-CO"/>
        </w:rPr>
        <w:t xml:space="preserve"> de su identidad</w:t>
      </w:r>
      <w:r w:rsidR="005A3656" w:rsidRPr="000231F2">
        <w:rPr>
          <w:rFonts w:asciiTheme="majorHAnsi" w:hAnsiTheme="majorHAnsi"/>
          <w:sz w:val="16"/>
          <w:szCs w:val="16"/>
          <w:lang w:val="es-CO"/>
        </w:rPr>
        <w:t>, de conformidad con el artículo 28.2 del Reglamento de la CIDH.</w:t>
      </w:r>
    </w:p>
  </w:footnote>
  <w:footnote w:id="3">
    <w:p w14:paraId="374D3BAC" w14:textId="46BC80A1" w:rsidR="00140219" w:rsidRPr="000231F2" w:rsidRDefault="00140219" w:rsidP="000231F2">
      <w:pPr>
        <w:pStyle w:val="FootnoteText"/>
        <w:ind w:firstLine="720"/>
        <w:jc w:val="both"/>
        <w:rPr>
          <w:rFonts w:asciiTheme="majorHAnsi" w:hAnsiTheme="majorHAnsi"/>
          <w:sz w:val="16"/>
          <w:szCs w:val="16"/>
          <w:lang w:val="es-CO"/>
        </w:rPr>
      </w:pPr>
      <w:r w:rsidRPr="000231F2">
        <w:rPr>
          <w:rStyle w:val="FootnoteReference"/>
          <w:rFonts w:asciiTheme="majorHAnsi" w:hAnsiTheme="majorHAnsi"/>
          <w:sz w:val="16"/>
          <w:szCs w:val="16"/>
        </w:rPr>
        <w:footnoteRef/>
      </w:r>
      <w:r w:rsidRPr="000231F2">
        <w:rPr>
          <w:rFonts w:asciiTheme="majorHAnsi" w:hAnsiTheme="majorHAnsi"/>
          <w:sz w:val="16"/>
          <w:szCs w:val="16"/>
          <w:lang w:val="es-CO"/>
        </w:rPr>
        <w:t xml:space="preserve"> </w:t>
      </w:r>
      <w:r w:rsidR="00D75800" w:rsidRPr="000231F2">
        <w:rPr>
          <w:rFonts w:asciiTheme="majorHAnsi" w:hAnsiTheme="majorHAnsi"/>
          <w:sz w:val="16"/>
          <w:szCs w:val="16"/>
          <w:lang w:val="es-CO"/>
        </w:rPr>
        <w:t xml:space="preserve">Por tratarse de una denuncia de hechos de violencia sexual en perjuicio de una </w:t>
      </w:r>
      <w:r w:rsidR="002C0105" w:rsidRPr="000231F2">
        <w:rPr>
          <w:rFonts w:asciiTheme="majorHAnsi" w:hAnsiTheme="majorHAnsi"/>
          <w:sz w:val="16"/>
          <w:szCs w:val="16"/>
          <w:lang w:val="es-CO"/>
        </w:rPr>
        <w:t>adolescente</w:t>
      </w:r>
      <w:r w:rsidR="00D75800" w:rsidRPr="000231F2">
        <w:rPr>
          <w:rFonts w:asciiTheme="majorHAnsi" w:hAnsiTheme="majorHAnsi"/>
          <w:sz w:val="16"/>
          <w:szCs w:val="16"/>
          <w:lang w:val="es-CO"/>
        </w:rPr>
        <w:t xml:space="preserve">, la Comisión Interamericana decidió </w:t>
      </w:r>
      <w:r w:rsidR="00921234" w:rsidRPr="000231F2">
        <w:rPr>
          <w:rFonts w:asciiTheme="majorHAnsi" w:hAnsiTheme="majorHAnsi"/>
          <w:sz w:val="16"/>
          <w:szCs w:val="16"/>
          <w:lang w:val="es-CO"/>
        </w:rPr>
        <w:t>restringir la</w:t>
      </w:r>
      <w:r w:rsidR="00D75800" w:rsidRPr="000231F2">
        <w:rPr>
          <w:rFonts w:asciiTheme="majorHAnsi" w:hAnsiTheme="majorHAnsi"/>
          <w:sz w:val="16"/>
          <w:szCs w:val="16"/>
          <w:lang w:val="es-CO"/>
        </w:rPr>
        <w:t xml:space="preserve"> identidad de la presunta víctima para evitar su revictimización y posibles afectaciones a su vida privada.</w:t>
      </w:r>
    </w:p>
  </w:footnote>
  <w:footnote w:id="4">
    <w:p w14:paraId="673C462D" w14:textId="77777777" w:rsidR="00B46115" w:rsidRPr="000231F2" w:rsidRDefault="00B46115" w:rsidP="000231F2">
      <w:pPr>
        <w:pStyle w:val="FootnoteText"/>
        <w:ind w:firstLine="720"/>
        <w:jc w:val="both"/>
        <w:rPr>
          <w:rFonts w:asciiTheme="majorHAnsi" w:hAnsiTheme="majorHAnsi"/>
          <w:color w:val="auto"/>
          <w:sz w:val="16"/>
          <w:szCs w:val="16"/>
          <w:lang w:val="es-ES"/>
        </w:rPr>
      </w:pPr>
      <w:r w:rsidRPr="000231F2">
        <w:rPr>
          <w:rStyle w:val="FootnoteReference"/>
          <w:rFonts w:asciiTheme="majorHAnsi" w:hAnsiTheme="majorHAnsi"/>
          <w:sz w:val="16"/>
          <w:szCs w:val="16"/>
        </w:rPr>
        <w:footnoteRef/>
      </w:r>
      <w:r w:rsidRPr="000231F2">
        <w:rPr>
          <w:rFonts w:asciiTheme="majorHAnsi" w:hAnsiTheme="majorHAnsi"/>
          <w:sz w:val="16"/>
          <w:szCs w:val="16"/>
          <w:lang w:val="es-ES"/>
        </w:rPr>
        <w:t xml:space="preserve"> En adelante “la </w:t>
      </w:r>
      <w:r w:rsidRPr="000231F2">
        <w:rPr>
          <w:rFonts w:asciiTheme="majorHAnsi" w:hAnsiTheme="majorHAnsi"/>
          <w:color w:val="auto"/>
          <w:sz w:val="16"/>
          <w:szCs w:val="16"/>
          <w:lang w:val="es-ES"/>
        </w:rPr>
        <w:t>Convención Americana” o “la Convención”.</w:t>
      </w:r>
    </w:p>
  </w:footnote>
  <w:footnote w:id="5">
    <w:p w14:paraId="1AFEF3B0" w14:textId="7D5F3FA9" w:rsidR="008E3BFE" w:rsidRPr="000231F2" w:rsidRDefault="008E3BFE" w:rsidP="000231F2">
      <w:pPr>
        <w:pStyle w:val="FootnoteText"/>
        <w:ind w:firstLine="720"/>
        <w:jc w:val="both"/>
        <w:rPr>
          <w:rFonts w:asciiTheme="majorHAnsi" w:hAnsiTheme="majorHAnsi"/>
          <w:sz w:val="16"/>
          <w:szCs w:val="16"/>
          <w:lang w:val="es-ES"/>
        </w:rPr>
      </w:pPr>
      <w:r w:rsidRPr="000231F2">
        <w:rPr>
          <w:rStyle w:val="FootnoteReference"/>
          <w:rFonts w:asciiTheme="majorHAnsi" w:hAnsiTheme="majorHAnsi"/>
          <w:sz w:val="16"/>
          <w:szCs w:val="16"/>
        </w:rPr>
        <w:footnoteRef/>
      </w:r>
      <w:r w:rsidRPr="000231F2">
        <w:rPr>
          <w:rFonts w:asciiTheme="majorHAnsi" w:hAnsiTheme="majorHAnsi"/>
          <w:sz w:val="16"/>
          <w:szCs w:val="16"/>
          <w:lang w:val="es-ES"/>
        </w:rPr>
        <w:t xml:space="preserve"> Las observaciones de cada parte fueron debidamente trasladadas a la parte contraria.</w:t>
      </w:r>
    </w:p>
  </w:footnote>
  <w:footnote w:id="6">
    <w:p w14:paraId="7C9F2E04" w14:textId="2C56CA19" w:rsidR="005321D0" w:rsidRPr="000231F2" w:rsidRDefault="005321D0" w:rsidP="000231F2">
      <w:pPr>
        <w:pStyle w:val="FootnoteText"/>
        <w:ind w:firstLine="720"/>
        <w:jc w:val="both"/>
        <w:rPr>
          <w:rFonts w:asciiTheme="majorHAnsi" w:hAnsiTheme="majorHAnsi"/>
          <w:sz w:val="16"/>
          <w:szCs w:val="16"/>
          <w:lang w:val="es-CO"/>
        </w:rPr>
      </w:pPr>
      <w:r w:rsidRPr="000231F2">
        <w:rPr>
          <w:rStyle w:val="FootnoteReference"/>
          <w:rFonts w:asciiTheme="majorHAnsi" w:hAnsiTheme="majorHAnsi"/>
          <w:sz w:val="16"/>
          <w:szCs w:val="16"/>
          <w:lang w:val="es-CO"/>
        </w:rPr>
        <w:footnoteRef/>
      </w:r>
      <w:r w:rsidRPr="000231F2">
        <w:rPr>
          <w:rFonts w:asciiTheme="majorHAnsi" w:hAnsiTheme="majorHAnsi"/>
          <w:sz w:val="16"/>
          <w:szCs w:val="16"/>
          <w:lang w:val="es-CO"/>
        </w:rPr>
        <w:t xml:space="preserve"> En adelante “Convención de </w:t>
      </w:r>
      <w:r w:rsidRPr="000231F2">
        <w:rPr>
          <w:rFonts w:asciiTheme="majorHAnsi" w:hAnsiTheme="majorHAnsi"/>
          <w:bCs/>
          <w:sz w:val="16"/>
          <w:szCs w:val="16"/>
          <w:lang w:val="es-CO" w:bidi="es-ES"/>
        </w:rPr>
        <w:t>Belém do Pará”.</w:t>
      </w:r>
    </w:p>
  </w:footnote>
  <w:footnote w:id="7">
    <w:p w14:paraId="1952E264" w14:textId="24D1A824" w:rsidR="00567A7F" w:rsidRPr="000231F2" w:rsidRDefault="00567A7F" w:rsidP="000231F2">
      <w:pPr>
        <w:pStyle w:val="FootnoteText"/>
        <w:ind w:firstLine="720"/>
        <w:jc w:val="both"/>
        <w:rPr>
          <w:rFonts w:asciiTheme="majorHAnsi" w:hAnsiTheme="majorHAnsi"/>
          <w:sz w:val="16"/>
          <w:szCs w:val="16"/>
          <w:lang w:val="es-CO"/>
        </w:rPr>
      </w:pPr>
      <w:r w:rsidRPr="000231F2">
        <w:rPr>
          <w:rStyle w:val="FootnoteReference"/>
          <w:rFonts w:asciiTheme="majorHAnsi" w:hAnsiTheme="majorHAnsi"/>
          <w:sz w:val="16"/>
          <w:szCs w:val="16"/>
        </w:rPr>
        <w:footnoteRef/>
      </w:r>
      <w:r w:rsidRPr="000231F2">
        <w:rPr>
          <w:rFonts w:asciiTheme="majorHAnsi" w:hAnsiTheme="majorHAnsi"/>
          <w:sz w:val="16"/>
          <w:szCs w:val="16"/>
          <w:lang w:val="es-CO"/>
        </w:rPr>
        <w:t xml:space="preserve"> CIDH</w:t>
      </w:r>
      <w:r w:rsidR="009E263E">
        <w:rPr>
          <w:rFonts w:asciiTheme="majorHAnsi" w:hAnsiTheme="majorHAnsi"/>
          <w:sz w:val="16"/>
          <w:szCs w:val="16"/>
          <w:lang w:val="es-CO"/>
        </w:rPr>
        <w:t>,</w:t>
      </w:r>
      <w:r w:rsidRPr="000231F2">
        <w:rPr>
          <w:rFonts w:asciiTheme="majorHAnsi" w:hAnsiTheme="majorHAnsi"/>
          <w:sz w:val="16"/>
          <w:szCs w:val="16"/>
          <w:lang w:val="es-CO"/>
        </w:rPr>
        <w:t xml:space="preserve"> Informe No. Informe No. 89/21, Petición 5-12, Trabajadores Mineros de Cananea y sus familiares</w:t>
      </w:r>
      <w:r w:rsidR="00E32B69">
        <w:rPr>
          <w:rFonts w:asciiTheme="majorHAnsi" w:hAnsiTheme="majorHAnsi"/>
          <w:sz w:val="16"/>
          <w:szCs w:val="16"/>
          <w:lang w:val="es-CO"/>
        </w:rPr>
        <w:t>,</w:t>
      </w:r>
      <w:r w:rsidRPr="000231F2">
        <w:rPr>
          <w:rFonts w:asciiTheme="majorHAnsi" w:hAnsiTheme="majorHAnsi"/>
          <w:sz w:val="16"/>
          <w:szCs w:val="16"/>
          <w:lang w:val="es-CO"/>
        </w:rPr>
        <w:t xml:space="preserve"> México</w:t>
      </w:r>
      <w:r w:rsidR="00E32B69">
        <w:rPr>
          <w:rFonts w:asciiTheme="majorHAnsi" w:hAnsiTheme="majorHAnsi"/>
          <w:sz w:val="16"/>
          <w:szCs w:val="16"/>
          <w:lang w:val="es-CO"/>
        </w:rPr>
        <w:t>,</w:t>
      </w:r>
      <w:r w:rsidRPr="000231F2">
        <w:rPr>
          <w:rFonts w:asciiTheme="majorHAnsi" w:hAnsiTheme="majorHAnsi"/>
          <w:sz w:val="16"/>
          <w:szCs w:val="16"/>
          <w:lang w:val="es-CO"/>
        </w:rPr>
        <w:t xml:space="preserve"> 28 de marzo de 2021, párr. 32; </w:t>
      </w:r>
      <w:r w:rsidR="00B3798D" w:rsidRPr="000231F2">
        <w:rPr>
          <w:rFonts w:asciiTheme="majorHAnsi" w:hAnsiTheme="majorHAnsi"/>
          <w:sz w:val="16"/>
          <w:szCs w:val="16"/>
          <w:lang w:val="es-CO"/>
        </w:rPr>
        <w:t>Informe No. 279/21</w:t>
      </w:r>
      <w:r w:rsidR="00E32B69">
        <w:rPr>
          <w:rFonts w:asciiTheme="majorHAnsi" w:hAnsiTheme="majorHAnsi"/>
          <w:sz w:val="16"/>
          <w:szCs w:val="16"/>
          <w:lang w:val="es-CO"/>
        </w:rPr>
        <w:t>,</w:t>
      </w:r>
      <w:r w:rsidR="00B3798D" w:rsidRPr="000231F2">
        <w:rPr>
          <w:rFonts w:asciiTheme="majorHAnsi" w:hAnsiTheme="majorHAnsi"/>
          <w:sz w:val="16"/>
          <w:szCs w:val="16"/>
          <w:lang w:val="es-CO"/>
        </w:rPr>
        <w:t xml:space="preserve"> Petición 2106-12</w:t>
      </w:r>
      <w:r w:rsidR="00E32B69">
        <w:rPr>
          <w:rFonts w:asciiTheme="majorHAnsi" w:hAnsiTheme="majorHAnsi"/>
          <w:sz w:val="16"/>
          <w:szCs w:val="16"/>
          <w:lang w:val="es-CO"/>
        </w:rPr>
        <w:t>,</w:t>
      </w:r>
      <w:r w:rsidR="00B3798D" w:rsidRPr="000231F2">
        <w:rPr>
          <w:rFonts w:asciiTheme="majorHAnsi" w:hAnsiTheme="majorHAnsi"/>
          <w:sz w:val="16"/>
          <w:szCs w:val="16"/>
          <w:lang w:val="es-CO"/>
        </w:rPr>
        <w:t xml:space="preserve"> Admisibilidad</w:t>
      </w:r>
      <w:r w:rsidR="00E32B69">
        <w:rPr>
          <w:rFonts w:asciiTheme="majorHAnsi" w:hAnsiTheme="majorHAnsi"/>
          <w:sz w:val="16"/>
          <w:szCs w:val="16"/>
          <w:lang w:val="es-CO"/>
        </w:rPr>
        <w:t>,</w:t>
      </w:r>
      <w:r w:rsidR="00B3798D" w:rsidRPr="000231F2">
        <w:rPr>
          <w:rFonts w:asciiTheme="majorHAnsi" w:hAnsiTheme="majorHAnsi"/>
          <w:sz w:val="16"/>
          <w:szCs w:val="16"/>
          <w:lang w:val="es-CO"/>
        </w:rPr>
        <w:t xml:space="preserve"> Comunidades Huitosachi, Mogótavo y Bacajípare del pueblo indígena Rarámuri</w:t>
      </w:r>
      <w:r w:rsidR="00E32B69">
        <w:rPr>
          <w:rFonts w:asciiTheme="majorHAnsi" w:hAnsiTheme="majorHAnsi"/>
          <w:sz w:val="16"/>
          <w:szCs w:val="16"/>
          <w:lang w:val="es-CO"/>
        </w:rPr>
        <w:t>,</w:t>
      </w:r>
      <w:r w:rsidR="00B3798D" w:rsidRPr="000231F2">
        <w:rPr>
          <w:rFonts w:asciiTheme="majorHAnsi" w:hAnsiTheme="majorHAnsi"/>
          <w:sz w:val="16"/>
          <w:szCs w:val="16"/>
          <w:lang w:val="es-CO"/>
        </w:rPr>
        <w:t xml:space="preserve"> </w:t>
      </w:r>
      <w:r w:rsidR="00B3798D" w:rsidRPr="000231F2">
        <w:rPr>
          <w:rFonts w:asciiTheme="majorHAnsi" w:hAnsiTheme="majorHAnsi"/>
          <w:sz w:val="16"/>
          <w:szCs w:val="16"/>
          <w:lang w:val="es-ES"/>
        </w:rPr>
        <w:t>México</w:t>
      </w:r>
      <w:r w:rsidR="00E32B69">
        <w:rPr>
          <w:rFonts w:asciiTheme="majorHAnsi" w:hAnsiTheme="majorHAnsi"/>
          <w:sz w:val="16"/>
          <w:szCs w:val="16"/>
          <w:lang w:val="es-ES"/>
        </w:rPr>
        <w:t>,</w:t>
      </w:r>
      <w:r w:rsidR="00B3798D" w:rsidRPr="000231F2">
        <w:rPr>
          <w:rFonts w:asciiTheme="majorHAnsi" w:hAnsiTheme="majorHAnsi"/>
          <w:sz w:val="16"/>
          <w:szCs w:val="16"/>
          <w:lang w:val="es-ES"/>
        </w:rPr>
        <w:t xml:space="preserve"> 29 de octubre de 2021, párr. 29; e, </w:t>
      </w:r>
      <w:r w:rsidRPr="000231F2">
        <w:rPr>
          <w:rFonts w:asciiTheme="majorHAnsi" w:hAnsiTheme="majorHAnsi"/>
          <w:sz w:val="16"/>
          <w:szCs w:val="16"/>
          <w:lang w:val="es-CO"/>
        </w:rPr>
        <w:t>Informe No. 317/21</w:t>
      </w:r>
      <w:r w:rsidR="006E69B5">
        <w:rPr>
          <w:rFonts w:asciiTheme="majorHAnsi" w:hAnsiTheme="majorHAnsi"/>
          <w:sz w:val="16"/>
          <w:szCs w:val="16"/>
          <w:lang w:val="es-CO"/>
        </w:rPr>
        <w:t>,</w:t>
      </w:r>
      <w:r w:rsidRPr="000231F2">
        <w:rPr>
          <w:rFonts w:asciiTheme="majorHAnsi" w:hAnsiTheme="majorHAnsi"/>
          <w:sz w:val="16"/>
          <w:szCs w:val="16"/>
          <w:lang w:val="es-CO"/>
        </w:rPr>
        <w:t xml:space="preserve"> Petición 1841-14</w:t>
      </w:r>
      <w:r w:rsidR="006E69B5">
        <w:rPr>
          <w:rFonts w:asciiTheme="majorHAnsi" w:hAnsiTheme="majorHAnsi"/>
          <w:sz w:val="16"/>
          <w:szCs w:val="16"/>
          <w:lang w:val="es-CO"/>
        </w:rPr>
        <w:t>,</w:t>
      </w:r>
      <w:r w:rsidRPr="000231F2">
        <w:rPr>
          <w:rFonts w:asciiTheme="majorHAnsi" w:hAnsiTheme="majorHAnsi"/>
          <w:sz w:val="16"/>
          <w:szCs w:val="16"/>
          <w:lang w:val="es-CO"/>
        </w:rPr>
        <w:t xml:space="preserve"> Admisibilidad</w:t>
      </w:r>
      <w:r w:rsidR="006E69B5">
        <w:rPr>
          <w:rFonts w:asciiTheme="majorHAnsi" w:hAnsiTheme="majorHAnsi"/>
          <w:sz w:val="16"/>
          <w:szCs w:val="16"/>
          <w:lang w:val="es-CO"/>
        </w:rPr>
        <w:t>,</w:t>
      </w:r>
      <w:r w:rsidRPr="000231F2">
        <w:rPr>
          <w:rFonts w:asciiTheme="majorHAnsi" w:hAnsiTheme="majorHAnsi"/>
          <w:sz w:val="16"/>
          <w:szCs w:val="16"/>
          <w:lang w:val="es-CO"/>
        </w:rPr>
        <w:t xml:space="preserve"> M</w:t>
      </w:r>
      <w:r w:rsidR="00BF122D">
        <w:rPr>
          <w:rFonts w:asciiTheme="majorHAnsi" w:hAnsiTheme="majorHAnsi"/>
          <w:sz w:val="16"/>
          <w:szCs w:val="16"/>
          <w:lang w:val="es-CO"/>
        </w:rPr>
        <w:t>.</w:t>
      </w:r>
      <w:r w:rsidRPr="000231F2">
        <w:rPr>
          <w:rFonts w:asciiTheme="majorHAnsi" w:hAnsiTheme="majorHAnsi"/>
          <w:sz w:val="16"/>
          <w:szCs w:val="16"/>
          <w:lang w:val="es-CO"/>
        </w:rPr>
        <w:t xml:space="preserve"> y C. Costa Rica</w:t>
      </w:r>
      <w:r w:rsidR="006E69B5">
        <w:rPr>
          <w:rFonts w:asciiTheme="majorHAnsi" w:hAnsiTheme="majorHAnsi"/>
          <w:sz w:val="16"/>
          <w:szCs w:val="16"/>
          <w:lang w:val="es-CO"/>
        </w:rPr>
        <w:t>,</w:t>
      </w:r>
      <w:r w:rsidRPr="000231F2">
        <w:rPr>
          <w:rFonts w:asciiTheme="majorHAnsi" w:hAnsiTheme="majorHAnsi"/>
          <w:sz w:val="16"/>
          <w:szCs w:val="16"/>
          <w:lang w:val="es-CO"/>
        </w:rPr>
        <w:t xml:space="preserve"> 4 de noviembre de 2021, párr. 25.</w:t>
      </w:r>
    </w:p>
  </w:footnote>
  <w:footnote w:id="8">
    <w:p w14:paraId="41F38C11" w14:textId="45810E82" w:rsidR="00567A7F" w:rsidRPr="000231F2" w:rsidRDefault="00567A7F" w:rsidP="000231F2">
      <w:pPr>
        <w:pStyle w:val="FootnoteText"/>
        <w:ind w:firstLine="720"/>
        <w:jc w:val="both"/>
        <w:rPr>
          <w:rFonts w:asciiTheme="majorHAnsi" w:hAnsiTheme="majorHAnsi"/>
          <w:sz w:val="16"/>
          <w:szCs w:val="16"/>
          <w:lang w:val="es-CO"/>
        </w:rPr>
      </w:pPr>
      <w:r w:rsidRPr="000231F2">
        <w:rPr>
          <w:rStyle w:val="FootnoteReference"/>
          <w:rFonts w:asciiTheme="majorHAnsi" w:hAnsiTheme="majorHAnsi"/>
          <w:sz w:val="16"/>
          <w:szCs w:val="16"/>
        </w:rPr>
        <w:footnoteRef/>
      </w:r>
      <w:r w:rsidRPr="000231F2">
        <w:rPr>
          <w:rFonts w:asciiTheme="majorHAnsi" w:hAnsiTheme="majorHAnsi"/>
          <w:sz w:val="16"/>
          <w:szCs w:val="16"/>
          <w:lang w:val="es-CO"/>
        </w:rPr>
        <w:t xml:space="preserve"> </w:t>
      </w:r>
      <w:r w:rsidR="0098178D" w:rsidRPr="000231F2">
        <w:rPr>
          <w:rFonts w:asciiTheme="majorHAnsi" w:hAnsiTheme="majorHAnsi"/>
          <w:sz w:val="16"/>
          <w:szCs w:val="16"/>
          <w:lang w:val="es-CO"/>
        </w:rPr>
        <w:t>CIDH, Informe No. 75/24</w:t>
      </w:r>
      <w:r w:rsidR="006E69B5">
        <w:rPr>
          <w:rFonts w:asciiTheme="majorHAnsi" w:hAnsiTheme="majorHAnsi"/>
          <w:sz w:val="16"/>
          <w:szCs w:val="16"/>
          <w:lang w:val="es-CO"/>
        </w:rPr>
        <w:t>,</w:t>
      </w:r>
      <w:r w:rsidR="0098178D" w:rsidRPr="000231F2">
        <w:rPr>
          <w:rFonts w:asciiTheme="majorHAnsi" w:hAnsiTheme="majorHAnsi"/>
          <w:sz w:val="16"/>
          <w:szCs w:val="16"/>
          <w:lang w:val="es-CO"/>
        </w:rPr>
        <w:t xml:space="preserve"> Petición 1776-20</w:t>
      </w:r>
      <w:r w:rsidR="006E69B5">
        <w:rPr>
          <w:rFonts w:asciiTheme="majorHAnsi" w:hAnsiTheme="majorHAnsi"/>
          <w:sz w:val="16"/>
          <w:szCs w:val="16"/>
          <w:lang w:val="es-CO"/>
        </w:rPr>
        <w:t>,</w:t>
      </w:r>
      <w:r w:rsidR="0098178D" w:rsidRPr="000231F2">
        <w:rPr>
          <w:rFonts w:asciiTheme="majorHAnsi" w:hAnsiTheme="majorHAnsi"/>
          <w:sz w:val="16"/>
          <w:szCs w:val="16"/>
          <w:lang w:val="es-CO"/>
        </w:rPr>
        <w:t xml:space="preserve"> Admisibilidad</w:t>
      </w:r>
      <w:r w:rsidR="006E69B5">
        <w:rPr>
          <w:rFonts w:asciiTheme="majorHAnsi" w:hAnsiTheme="majorHAnsi"/>
          <w:sz w:val="16"/>
          <w:szCs w:val="16"/>
          <w:lang w:val="es-CO"/>
        </w:rPr>
        <w:t>,</w:t>
      </w:r>
      <w:r w:rsidR="0098178D" w:rsidRPr="000231F2">
        <w:rPr>
          <w:rFonts w:asciiTheme="majorHAnsi" w:hAnsiTheme="majorHAnsi"/>
          <w:sz w:val="16"/>
          <w:szCs w:val="16"/>
          <w:lang w:val="es-CO"/>
        </w:rPr>
        <w:t xml:space="preserve"> A.R.H. Colombia</w:t>
      </w:r>
      <w:r w:rsidR="006E69B5">
        <w:rPr>
          <w:rFonts w:asciiTheme="majorHAnsi" w:hAnsiTheme="majorHAnsi"/>
          <w:sz w:val="16"/>
          <w:szCs w:val="16"/>
          <w:lang w:val="es-CO"/>
        </w:rPr>
        <w:t>,</w:t>
      </w:r>
      <w:r w:rsidR="0098178D" w:rsidRPr="000231F2">
        <w:rPr>
          <w:rFonts w:asciiTheme="majorHAnsi" w:hAnsiTheme="majorHAnsi"/>
          <w:sz w:val="16"/>
          <w:szCs w:val="16"/>
          <w:lang w:val="es-CO"/>
        </w:rPr>
        <w:t xml:space="preserve"> 5 de junio de 2024, párr. 30; y </w:t>
      </w:r>
      <w:r w:rsidRPr="000231F2">
        <w:rPr>
          <w:rFonts w:asciiTheme="majorHAnsi" w:hAnsiTheme="majorHAnsi"/>
          <w:sz w:val="16"/>
          <w:szCs w:val="16"/>
          <w:lang w:val="es-CO"/>
        </w:rPr>
        <w:t>CIDH, Informe No. 179/21</w:t>
      </w:r>
      <w:r w:rsidR="006E69B5">
        <w:rPr>
          <w:rFonts w:asciiTheme="majorHAnsi" w:hAnsiTheme="majorHAnsi"/>
          <w:sz w:val="16"/>
          <w:szCs w:val="16"/>
          <w:lang w:val="es-CO"/>
        </w:rPr>
        <w:t>,</w:t>
      </w:r>
      <w:r w:rsidRPr="000231F2">
        <w:rPr>
          <w:rFonts w:asciiTheme="majorHAnsi" w:hAnsiTheme="majorHAnsi"/>
          <w:sz w:val="16"/>
          <w:szCs w:val="16"/>
          <w:lang w:val="es-CO"/>
        </w:rPr>
        <w:t xml:space="preserve"> </w:t>
      </w:r>
      <w:r w:rsidRPr="000231F2">
        <w:rPr>
          <w:rFonts w:asciiTheme="majorHAnsi" w:hAnsiTheme="majorHAnsi"/>
          <w:sz w:val="16"/>
          <w:szCs w:val="16"/>
          <w:lang w:val="es-ES_tradnl"/>
        </w:rPr>
        <w:t>Petici</w:t>
      </w:r>
      <w:r w:rsidRPr="000231F2">
        <w:rPr>
          <w:rFonts w:asciiTheme="majorHAnsi" w:hAnsiTheme="majorHAnsi"/>
          <w:sz w:val="16"/>
          <w:szCs w:val="16"/>
          <w:lang w:val="es-ES"/>
        </w:rPr>
        <w:t>ón 1319-11</w:t>
      </w:r>
      <w:r w:rsidR="006E69B5">
        <w:rPr>
          <w:rFonts w:asciiTheme="majorHAnsi" w:hAnsiTheme="majorHAnsi"/>
          <w:sz w:val="16"/>
          <w:szCs w:val="16"/>
          <w:lang w:val="es-ES"/>
        </w:rPr>
        <w:t>,</w:t>
      </w:r>
      <w:r w:rsidRPr="000231F2">
        <w:rPr>
          <w:rFonts w:asciiTheme="majorHAnsi" w:hAnsiTheme="majorHAnsi"/>
          <w:sz w:val="16"/>
          <w:szCs w:val="16"/>
          <w:lang w:val="es-ES"/>
        </w:rPr>
        <w:t xml:space="preserve"> </w:t>
      </w:r>
      <w:r w:rsidRPr="000231F2">
        <w:rPr>
          <w:rFonts w:asciiTheme="majorHAnsi" w:hAnsiTheme="majorHAnsi"/>
          <w:sz w:val="16"/>
          <w:szCs w:val="16"/>
          <w:lang w:val="es-ES_tradnl"/>
        </w:rPr>
        <w:t>Admisibilidad</w:t>
      </w:r>
      <w:r w:rsidR="006E69B5">
        <w:rPr>
          <w:rFonts w:asciiTheme="majorHAnsi" w:hAnsiTheme="majorHAnsi"/>
          <w:sz w:val="16"/>
          <w:szCs w:val="16"/>
          <w:lang w:val="es-ES_tradnl"/>
        </w:rPr>
        <w:t>,</w:t>
      </w:r>
      <w:r w:rsidRPr="000231F2">
        <w:rPr>
          <w:rFonts w:asciiTheme="majorHAnsi" w:hAnsiTheme="majorHAnsi"/>
          <w:sz w:val="16"/>
          <w:szCs w:val="16"/>
          <w:lang w:val="es-ES_tradnl"/>
        </w:rPr>
        <w:t xml:space="preserve"> M.P.M. y N.E.M. Ecuador</w:t>
      </w:r>
      <w:r w:rsidR="006E69B5">
        <w:rPr>
          <w:rFonts w:asciiTheme="majorHAnsi" w:hAnsiTheme="majorHAnsi"/>
          <w:sz w:val="16"/>
          <w:szCs w:val="16"/>
          <w:lang w:val="es-ES_tradnl"/>
        </w:rPr>
        <w:t>,</w:t>
      </w:r>
      <w:r w:rsidRPr="000231F2">
        <w:rPr>
          <w:rFonts w:asciiTheme="majorHAnsi" w:hAnsiTheme="majorHAnsi"/>
          <w:sz w:val="16"/>
          <w:szCs w:val="16"/>
          <w:lang w:val="es-ES_tradnl"/>
        </w:rPr>
        <w:t xml:space="preserve"> </w:t>
      </w:r>
      <w:r w:rsidRPr="000231F2">
        <w:rPr>
          <w:rFonts w:asciiTheme="majorHAnsi" w:hAnsiTheme="majorHAnsi"/>
          <w:sz w:val="16"/>
          <w:szCs w:val="16"/>
          <w:lang w:val="es-ES"/>
        </w:rPr>
        <w:t xml:space="preserve">13 de agosto de 2021, </w:t>
      </w:r>
      <w:r w:rsidRPr="000231F2">
        <w:rPr>
          <w:rFonts w:asciiTheme="majorHAnsi" w:hAnsiTheme="majorHAnsi"/>
          <w:sz w:val="16"/>
          <w:szCs w:val="16"/>
          <w:lang w:val="es-CO"/>
        </w:rPr>
        <w:t>párr. 17.</w:t>
      </w:r>
    </w:p>
  </w:footnote>
  <w:footnote w:id="9">
    <w:p w14:paraId="52874D8E" w14:textId="08931037" w:rsidR="009C620E" w:rsidRPr="000231F2" w:rsidRDefault="009C620E" w:rsidP="000231F2">
      <w:pPr>
        <w:pStyle w:val="FootnoteText"/>
        <w:ind w:firstLine="720"/>
        <w:jc w:val="both"/>
        <w:rPr>
          <w:rFonts w:asciiTheme="majorHAnsi" w:hAnsiTheme="majorHAnsi"/>
          <w:sz w:val="16"/>
          <w:szCs w:val="16"/>
          <w:lang w:val="es-CO"/>
        </w:rPr>
      </w:pPr>
      <w:r w:rsidRPr="000231F2">
        <w:rPr>
          <w:rStyle w:val="FootnoteReference"/>
          <w:rFonts w:asciiTheme="majorHAnsi" w:hAnsiTheme="majorHAnsi"/>
          <w:sz w:val="16"/>
          <w:szCs w:val="16"/>
        </w:rPr>
        <w:footnoteRef/>
      </w:r>
      <w:r w:rsidRPr="000231F2">
        <w:rPr>
          <w:rFonts w:asciiTheme="majorHAnsi" w:hAnsiTheme="majorHAnsi"/>
          <w:sz w:val="16"/>
          <w:szCs w:val="16"/>
          <w:lang w:val="es-CO"/>
        </w:rPr>
        <w:t xml:space="preserve"> CIDH, Informe No. 161/17, Petición 29-07. Admisibilidad</w:t>
      </w:r>
      <w:r w:rsidR="009F0A81">
        <w:rPr>
          <w:rFonts w:asciiTheme="majorHAnsi" w:hAnsiTheme="majorHAnsi"/>
          <w:sz w:val="16"/>
          <w:szCs w:val="16"/>
          <w:lang w:val="es-CO"/>
        </w:rPr>
        <w:t>,</w:t>
      </w:r>
      <w:r w:rsidRPr="000231F2">
        <w:rPr>
          <w:rFonts w:asciiTheme="majorHAnsi" w:hAnsiTheme="majorHAnsi"/>
          <w:sz w:val="16"/>
          <w:szCs w:val="16"/>
          <w:lang w:val="es-CO"/>
        </w:rPr>
        <w:t xml:space="preserve"> </w:t>
      </w:r>
      <w:r w:rsidRPr="009F0A81">
        <w:rPr>
          <w:rFonts w:asciiTheme="majorHAnsi" w:hAnsiTheme="majorHAnsi"/>
          <w:sz w:val="16"/>
          <w:szCs w:val="16"/>
          <w:lang w:val="es-ES"/>
        </w:rPr>
        <w:t>Andy Williams Garcés Suárez y familia</w:t>
      </w:r>
      <w:r w:rsidR="009F0A81" w:rsidRPr="009F0A81">
        <w:rPr>
          <w:rFonts w:asciiTheme="majorHAnsi" w:hAnsiTheme="majorHAnsi"/>
          <w:sz w:val="16"/>
          <w:szCs w:val="16"/>
          <w:lang w:val="es-ES"/>
        </w:rPr>
        <w:t>,</w:t>
      </w:r>
      <w:r w:rsidRPr="009F0A81">
        <w:rPr>
          <w:rFonts w:asciiTheme="majorHAnsi" w:hAnsiTheme="majorHAnsi"/>
          <w:sz w:val="16"/>
          <w:szCs w:val="16"/>
          <w:lang w:val="es-ES"/>
        </w:rPr>
        <w:t xml:space="preserve"> </w:t>
      </w:r>
      <w:r w:rsidRPr="000231F2">
        <w:rPr>
          <w:rFonts w:asciiTheme="majorHAnsi" w:hAnsiTheme="majorHAnsi"/>
          <w:sz w:val="16"/>
          <w:szCs w:val="16"/>
          <w:lang w:val="es-CO"/>
        </w:rPr>
        <w:t>Perú</w:t>
      </w:r>
      <w:r w:rsidR="009F0A81">
        <w:rPr>
          <w:rFonts w:asciiTheme="majorHAnsi" w:hAnsiTheme="majorHAnsi"/>
          <w:sz w:val="16"/>
          <w:szCs w:val="16"/>
          <w:lang w:val="es-CO"/>
        </w:rPr>
        <w:t>,</w:t>
      </w:r>
      <w:r w:rsidRPr="000231F2">
        <w:rPr>
          <w:rFonts w:asciiTheme="majorHAnsi" w:hAnsiTheme="majorHAnsi"/>
          <w:sz w:val="16"/>
          <w:szCs w:val="16"/>
          <w:lang w:val="es-CO"/>
        </w:rPr>
        <w:t xml:space="preserve"> 30 de noviembre de 2017, párr. 12.</w:t>
      </w:r>
    </w:p>
  </w:footnote>
  <w:footnote w:id="10">
    <w:p w14:paraId="41DDE14D" w14:textId="7615FAB2" w:rsidR="00404148" w:rsidRPr="000231F2" w:rsidRDefault="00404148" w:rsidP="000231F2">
      <w:pPr>
        <w:pStyle w:val="FootnoteText"/>
        <w:ind w:firstLine="720"/>
        <w:jc w:val="both"/>
        <w:rPr>
          <w:rFonts w:asciiTheme="majorHAnsi" w:hAnsiTheme="majorHAnsi"/>
          <w:sz w:val="16"/>
          <w:szCs w:val="16"/>
          <w:lang w:val="es-ES"/>
        </w:rPr>
      </w:pPr>
      <w:r w:rsidRPr="000231F2">
        <w:rPr>
          <w:rStyle w:val="FootnoteReference"/>
          <w:rFonts w:asciiTheme="majorHAnsi" w:hAnsiTheme="majorHAnsi"/>
          <w:sz w:val="16"/>
          <w:szCs w:val="16"/>
        </w:rPr>
        <w:footnoteRef/>
      </w:r>
      <w:r w:rsidRPr="000231F2">
        <w:rPr>
          <w:rFonts w:asciiTheme="majorHAnsi" w:hAnsiTheme="majorHAnsi"/>
          <w:sz w:val="16"/>
          <w:szCs w:val="16"/>
          <w:lang w:val="es-ES"/>
        </w:rPr>
        <w:t xml:space="preserve"> CIDH, Informe No. 347/22, Petición 1383-13</w:t>
      </w:r>
      <w:r w:rsidR="009F0A81">
        <w:rPr>
          <w:rFonts w:asciiTheme="majorHAnsi" w:hAnsiTheme="majorHAnsi"/>
          <w:sz w:val="16"/>
          <w:szCs w:val="16"/>
          <w:lang w:val="es-ES"/>
        </w:rPr>
        <w:t>,</w:t>
      </w:r>
      <w:r w:rsidRPr="000231F2">
        <w:rPr>
          <w:rFonts w:asciiTheme="majorHAnsi" w:hAnsiTheme="majorHAnsi"/>
          <w:sz w:val="16"/>
          <w:szCs w:val="16"/>
          <w:lang w:val="es-ES"/>
        </w:rPr>
        <w:t xml:space="preserve"> Admisibilidad</w:t>
      </w:r>
      <w:r w:rsidR="009F0A81">
        <w:rPr>
          <w:rFonts w:asciiTheme="majorHAnsi" w:hAnsiTheme="majorHAnsi"/>
          <w:sz w:val="16"/>
          <w:szCs w:val="16"/>
          <w:lang w:val="es-ES"/>
        </w:rPr>
        <w:t>,</w:t>
      </w:r>
      <w:r w:rsidRPr="000231F2">
        <w:rPr>
          <w:rFonts w:asciiTheme="majorHAnsi" w:hAnsiTheme="majorHAnsi"/>
          <w:sz w:val="16"/>
          <w:szCs w:val="16"/>
          <w:lang w:val="es-ES"/>
        </w:rPr>
        <w:t xml:space="preserve"> César Alberto Jordán Brignole</w:t>
      </w:r>
      <w:r w:rsidR="009F0A81">
        <w:rPr>
          <w:rFonts w:asciiTheme="majorHAnsi" w:hAnsiTheme="majorHAnsi"/>
          <w:sz w:val="16"/>
          <w:szCs w:val="16"/>
          <w:lang w:val="es-ES"/>
        </w:rPr>
        <w:t>,</w:t>
      </w:r>
      <w:r w:rsidRPr="000231F2">
        <w:rPr>
          <w:rFonts w:asciiTheme="majorHAnsi" w:hAnsiTheme="majorHAnsi"/>
          <w:sz w:val="16"/>
          <w:szCs w:val="16"/>
          <w:lang w:val="es-ES"/>
        </w:rPr>
        <w:t xml:space="preserve"> Perú</w:t>
      </w:r>
      <w:r w:rsidR="009F0A81">
        <w:rPr>
          <w:rFonts w:asciiTheme="majorHAnsi" w:hAnsiTheme="majorHAnsi"/>
          <w:sz w:val="16"/>
          <w:szCs w:val="16"/>
          <w:lang w:val="es-ES"/>
        </w:rPr>
        <w:t>,</w:t>
      </w:r>
      <w:r w:rsidRPr="000231F2">
        <w:rPr>
          <w:rFonts w:asciiTheme="majorHAnsi" w:hAnsiTheme="majorHAnsi"/>
          <w:sz w:val="16"/>
          <w:szCs w:val="16"/>
          <w:lang w:val="es-ES"/>
        </w:rPr>
        <w:t xml:space="preserve"> 21 de noviembre de 2022, párr. 23.</w:t>
      </w:r>
    </w:p>
  </w:footnote>
  <w:footnote w:id="11">
    <w:p w14:paraId="73605698" w14:textId="790736E3" w:rsidR="00B40BB6" w:rsidRPr="000231F2" w:rsidRDefault="00B40BB6" w:rsidP="000231F2">
      <w:pPr>
        <w:pStyle w:val="FootnoteText"/>
        <w:ind w:firstLine="720"/>
        <w:jc w:val="both"/>
        <w:rPr>
          <w:rFonts w:asciiTheme="majorHAnsi" w:hAnsiTheme="majorHAnsi"/>
          <w:sz w:val="16"/>
          <w:szCs w:val="16"/>
          <w:lang w:val="es-CO"/>
        </w:rPr>
      </w:pPr>
      <w:r w:rsidRPr="000231F2">
        <w:rPr>
          <w:rStyle w:val="FootnoteReference"/>
          <w:rFonts w:asciiTheme="majorHAnsi" w:hAnsiTheme="majorHAnsi"/>
          <w:sz w:val="16"/>
          <w:szCs w:val="16"/>
        </w:rPr>
        <w:footnoteRef/>
      </w:r>
      <w:r w:rsidRPr="000231F2">
        <w:rPr>
          <w:rFonts w:asciiTheme="majorHAnsi" w:hAnsiTheme="majorHAnsi"/>
          <w:sz w:val="16"/>
          <w:szCs w:val="16"/>
          <w:lang w:val="es-CO"/>
        </w:rPr>
        <w:t xml:space="preserve"> CIDH, Informe No. 317/21</w:t>
      </w:r>
      <w:r w:rsidR="009F0A81">
        <w:rPr>
          <w:rFonts w:asciiTheme="majorHAnsi" w:hAnsiTheme="majorHAnsi"/>
          <w:sz w:val="16"/>
          <w:szCs w:val="16"/>
          <w:lang w:val="es-CO"/>
        </w:rPr>
        <w:t>,</w:t>
      </w:r>
      <w:r w:rsidRPr="000231F2">
        <w:rPr>
          <w:rFonts w:asciiTheme="majorHAnsi" w:hAnsiTheme="majorHAnsi"/>
          <w:sz w:val="16"/>
          <w:szCs w:val="16"/>
          <w:lang w:val="es-CO"/>
        </w:rPr>
        <w:t xml:space="preserve"> Petición 1841-14</w:t>
      </w:r>
      <w:r w:rsidR="009F0A81">
        <w:rPr>
          <w:rFonts w:asciiTheme="majorHAnsi" w:hAnsiTheme="majorHAnsi"/>
          <w:sz w:val="16"/>
          <w:szCs w:val="16"/>
          <w:lang w:val="es-CO"/>
        </w:rPr>
        <w:t>,</w:t>
      </w:r>
      <w:r w:rsidRPr="000231F2">
        <w:rPr>
          <w:rFonts w:asciiTheme="majorHAnsi" w:hAnsiTheme="majorHAnsi"/>
          <w:sz w:val="16"/>
          <w:szCs w:val="16"/>
          <w:lang w:val="es-CO"/>
        </w:rPr>
        <w:t xml:space="preserve"> Admisibilidad</w:t>
      </w:r>
      <w:r w:rsidR="009F0A81">
        <w:rPr>
          <w:rFonts w:asciiTheme="majorHAnsi" w:hAnsiTheme="majorHAnsi"/>
          <w:sz w:val="16"/>
          <w:szCs w:val="16"/>
          <w:lang w:val="es-CO"/>
        </w:rPr>
        <w:t>,</w:t>
      </w:r>
      <w:r w:rsidRPr="000231F2">
        <w:rPr>
          <w:rFonts w:asciiTheme="majorHAnsi" w:hAnsiTheme="majorHAnsi"/>
          <w:sz w:val="16"/>
          <w:szCs w:val="16"/>
          <w:lang w:val="es-CO"/>
        </w:rPr>
        <w:t xml:space="preserve"> M</w:t>
      </w:r>
      <w:r w:rsidR="00BF122D">
        <w:rPr>
          <w:rFonts w:asciiTheme="majorHAnsi" w:hAnsiTheme="majorHAnsi"/>
          <w:sz w:val="16"/>
          <w:szCs w:val="16"/>
          <w:lang w:val="es-CO"/>
        </w:rPr>
        <w:t>.</w:t>
      </w:r>
      <w:r w:rsidRPr="000231F2">
        <w:rPr>
          <w:rFonts w:asciiTheme="majorHAnsi" w:hAnsiTheme="majorHAnsi"/>
          <w:sz w:val="16"/>
          <w:szCs w:val="16"/>
          <w:lang w:val="es-CO"/>
        </w:rPr>
        <w:t xml:space="preserve"> y C. Costa Rica</w:t>
      </w:r>
      <w:r w:rsidR="00F942EB">
        <w:rPr>
          <w:rFonts w:asciiTheme="majorHAnsi" w:hAnsiTheme="majorHAnsi"/>
          <w:sz w:val="16"/>
          <w:szCs w:val="16"/>
          <w:lang w:val="es-CO"/>
        </w:rPr>
        <w:t>,</w:t>
      </w:r>
      <w:r w:rsidRPr="000231F2">
        <w:rPr>
          <w:rFonts w:asciiTheme="majorHAnsi" w:hAnsiTheme="majorHAnsi"/>
          <w:sz w:val="16"/>
          <w:szCs w:val="16"/>
          <w:lang w:val="es-CO"/>
        </w:rPr>
        <w:t xml:space="preserve"> 4 de noviembre de 2021, párr. 25.</w:t>
      </w:r>
    </w:p>
  </w:footnote>
  <w:footnote w:id="12">
    <w:p w14:paraId="0A71434E" w14:textId="69F260A3" w:rsidR="003912F9" w:rsidRPr="000231F2" w:rsidRDefault="003912F9" w:rsidP="000231F2">
      <w:pPr>
        <w:pStyle w:val="FootnoteText"/>
        <w:ind w:firstLine="720"/>
        <w:jc w:val="both"/>
        <w:rPr>
          <w:rFonts w:asciiTheme="majorHAnsi" w:hAnsiTheme="majorHAnsi"/>
          <w:sz w:val="16"/>
          <w:szCs w:val="16"/>
          <w:lang w:val="es-CO"/>
        </w:rPr>
      </w:pPr>
      <w:r w:rsidRPr="000231F2">
        <w:rPr>
          <w:rStyle w:val="FootnoteReference"/>
          <w:rFonts w:asciiTheme="majorHAnsi" w:hAnsiTheme="majorHAnsi"/>
          <w:sz w:val="16"/>
          <w:szCs w:val="16"/>
        </w:rPr>
        <w:footnoteRef/>
      </w:r>
      <w:r w:rsidRPr="000231F2">
        <w:rPr>
          <w:rFonts w:asciiTheme="majorHAnsi" w:hAnsiTheme="majorHAnsi"/>
          <w:sz w:val="16"/>
          <w:szCs w:val="16"/>
          <w:lang w:val="es-CO"/>
        </w:rPr>
        <w:t xml:space="preserve"> Corte IDH</w:t>
      </w:r>
      <w:r w:rsidR="00F942EB">
        <w:rPr>
          <w:rFonts w:asciiTheme="majorHAnsi" w:hAnsiTheme="majorHAnsi"/>
          <w:sz w:val="16"/>
          <w:szCs w:val="16"/>
          <w:lang w:val="es-CO"/>
        </w:rPr>
        <w:t>,</w:t>
      </w:r>
      <w:r w:rsidRPr="000231F2">
        <w:rPr>
          <w:rFonts w:asciiTheme="majorHAnsi" w:hAnsiTheme="majorHAnsi"/>
          <w:sz w:val="16"/>
          <w:szCs w:val="16"/>
          <w:lang w:val="es-CO"/>
        </w:rPr>
        <w:t xml:space="preserve"> Caso Velásquez Paiz y otros Vs. Guatemala</w:t>
      </w:r>
      <w:r w:rsidR="00F942EB">
        <w:rPr>
          <w:rFonts w:asciiTheme="majorHAnsi" w:hAnsiTheme="majorHAnsi"/>
          <w:sz w:val="16"/>
          <w:szCs w:val="16"/>
          <w:lang w:val="es-CO"/>
        </w:rPr>
        <w:t>,</w:t>
      </w:r>
      <w:r w:rsidRPr="000231F2">
        <w:rPr>
          <w:rFonts w:asciiTheme="majorHAnsi" w:hAnsiTheme="majorHAnsi"/>
          <w:sz w:val="16"/>
          <w:szCs w:val="16"/>
          <w:lang w:val="es-CO"/>
        </w:rPr>
        <w:t xml:space="preserve"> Excepciones Preliminares, Fondo, Reparaciones y Costas</w:t>
      </w:r>
      <w:r w:rsidR="00F942EB">
        <w:rPr>
          <w:rFonts w:asciiTheme="majorHAnsi" w:hAnsiTheme="majorHAnsi"/>
          <w:sz w:val="16"/>
          <w:szCs w:val="16"/>
          <w:lang w:val="es-CO"/>
        </w:rPr>
        <w:t>,</w:t>
      </w:r>
      <w:r w:rsidRPr="000231F2">
        <w:rPr>
          <w:rFonts w:asciiTheme="majorHAnsi" w:hAnsiTheme="majorHAnsi"/>
          <w:sz w:val="16"/>
          <w:szCs w:val="16"/>
          <w:lang w:val="es-CO"/>
        </w:rPr>
        <w:t xml:space="preserve"> Sentencia de 19 de noviembre de 2015</w:t>
      </w:r>
      <w:r w:rsidR="00F942EB">
        <w:rPr>
          <w:rFonts w:asciiTheme="majorHAnsi" w:hAnsiTheme="majorHAnsi"/>
          <w:sz w:val="16"/>
          <w:szCs w:val="16"/>
          <w:lang w:val="es-CO"/>
        </w:rPr>
        <w:t>,</w:t>
      </w:r>
      <w:r w:rsidRPr="000231F2">
        <w:rPr>
          <w:rFonts w:asciiTheme="majorHAnsi" w:hAnsiTheme="majorHAnsi"/>
          <w:sz w:val="16"/>
          <w:szCs w:val="16"/>
          <w:lang w:val="es-CO"/>
        </w:rPr>
        <w:t xml:space="preserve"> Serie C No. 307, párr. 145.</w:t>
      </w:r>
    </w:p>
  </w:footnote>
  <w:footnote w:id="13">
    <w:p w14:paraId="362FB15F" w14:textId="499C0E8F" w:rsidR="003912F9" w:rsidRPr="000231F2" w:rsidRDefault="003912F9" w:rsidP="000231F2">
      <w:pPr>
        <w:pStyle w:val="FootnoteText"/>
        <w:ind w:firstLine="720"/>
        <w:jc w:val="both"/>
        <w:rPr>
          <w:rFonts w:asciiTheme="majorHAnsi" w:hAnsiTheme="majorHAnsi"/>
          <w:sz w:val="16"/>
          <w:szCs w:val="16"/>
          <w:lang w:val="es-CO"/>
        </w:rPr>
      </w:pPr>
      <w:r w:rsidRPr="000231F2">
        <w:rPr>
          <w:rStyle w:val="FootnoteReference"/>
          <w:rFonts w:asciiTheme="majorHAnsi" w:hAnsiTheme="majorHAnsi"/>
          <w:sz w:val="16"/>
          <w:szCs w:val="16"/>
        </w:rPr>
        <w:footnoteRef/>
      </w:r>
      <w:r w:rsidRPr="000231F2">
        <w:rPr>
          <w:rFonts w:asciiTheme="majorHAnsi" w:hAnsiTheme="majorHAnsi"/>
          <w:sz w:val="16"/>
          <w:szCs w:val="16"/>
          <w:lang w:val="es-CO"/>
        </w:rPr>
        <w:t xml:space="preserve"> Corte IDH</w:t>
      </w:r>
      <w:r w:rsidR="00F942EB">
        <w:rPr>
          <w:rFonts w:asciiTheme="majorHAnsi" w:hAnsiTheme="majorHAnsi"/>
          <w:sz w:val="16"/>
          <w:szCs w:val="16"/>
          <w:lang w:val="es-CO"/>
        </w:rPr>
        <w:t>,</w:t>
      </w:r>
      <w:r w:rsidRPr="000231F2">
        <w:rPr>
          <w:rFonts w:asciiTheme="majorHAnsi" w:hAnsiTheme="majorHAnsi"/>
          <w:sz w:val="16"/>
          <w:szCs w:val="16"/>
          <w:lang w:val="es-CO"/>
        </w:rPr>
        <w:t xml:space="preserve"> Caso Velásquez Paiz y otros Vs. Guatemala</w:t>
      </w:r>
      <w:r w:rsidR="00F942EB">
        <w:rPr>
          <w:rFonts w:asciiTheme="majorHAnsi" w:hAnsiTheme="majorHAnsi"/>
          <w:sz w:val="16"/>
          <w:szCs w:val="16"/>
          <w:lang w:val="es-CO"/>
        </w:rPr>
        <w:t>,</w:t>
      </w:r>
      <w:r w:rsidRPr="000231F2">
        <w:rPr>
          <w:rFonts w:asciiTheme="majorHAnsi" w:hAnsiTheme="majorHAnsi"/>
          <w:sz w:val="16"/>
          <w:szCs w:val="16"/>
          <w:lang w:val="es-CO"/>
        </w:rPr>
        <w:t xml:space="preserve"> Excepciones Preliminares, Fondo, Reparaciones y Costas</w:t>
      </w:r>
      <w:r w:rsidR="00F942EB">
        <w:rPr>
          <w:rFonts w:asciiTheme="majorHAnsi" w:hAnsiTheme="majorHAnsi"/>
          <w:sz w:val="16"/>
          <w:szCs w:val="16"/>
          <w:lang w:val="es-CO"/>
        </w:rPr>
        <w:t>,</w:t>
      </w:r>
      <w:r w:rsidRPr="000231F2">
        <w:rPr>
          <w:rFonts w:asciiTheme="majorHAnsi" w:hAnsiTheme="majorHAnsi"/>
          <w:sz w:val="16"/>
          <w:szCs w:val="16"/>
          <w:lang w:val="es-CO"/>
        </w:rPr>
        <w:t xml:space="preserve"> Sentencia de 19 de noviembre de 2015</w:t>
      </w:r>
      <w:r w:rsidR="00F942EB">
        <w:rPr>
          <w:rFonts w:asciiTheme="majorHAnsi" w:hAnsiTheme="majorHAnsi"/>
          <w:sz w:val="16"/>
          <w:szCs w:val="16"/>
          <w:lang w:val="es-CO"/>
        </w:rPr>
        <w:t>,</w:t>
      </w:r>
      <w:r w:rsidRPr="000231F2">
        <w:rPr>
          <w:rFonts w:asciiTheme="majorHAnsi" w:hAnsiTheme="majorHAnsi"/>
          <w:sz w:val="16"/>
          <w:szCs w:val="16"/>
          <w:lang w:val="es-CO"/>
        </w:rPr>
        <w:t xml:space="preserve"> Serie C No. 307, párr. 146.</w:t>
      </w:r>
    </w:p>
  </w:footnote>
  <w:footnote w:id="14">
    <w:p w14:paraId="5EB45F87" w14:textId="6BD7EA0B" w:rsidR="003912F9" w:rsidRPr="000231F2" w:rsidRDefault="003912F9" w:rsidP="000231F2">
      <w:pPr>
        <w:pStyle w:val="FootnoteText"/>
        <w:ind w:firstLine="720"/>
        <w:jc w:val="both"/>
        <w:rPr>
          <w:rFonts w:asciiTheme="majorHAnsi" w:hAnsiTheme="majorHAnsi"/>
          <w:sz w:val="16"/>
          <w:szCs w:val="16"/>
          <w:lang w:val="es-CO"/>
        </w:rPr>
      </w:pPr>
      <w:r w:rsidRPr="000231F2">
        <w:rPr>
          <w:rStyle w:val="FootnoteReference"/>
          <w:rFonts w:asciiTheme="majorHAnsi" w:hAnsiTheme="majorHAnsi"/>
          <w:sz w:val="16"/>
          <w:szCs w:val="16"/>
        </w:rPr>
        <w:footnoteRef/>
      </w:r>
      <w:r w:rsidRPr="000231F2">
        <w:rPr>
          <w:rFonts w:asciiTheme="majorHAnsi" w:hAnsiTheme="majorHAnsi"/>
          <w:sz w:val="16"/>
          <w:szCs w:val="16"/>
          <w:lang w:val="es-CO"/>
        </w:rPr>
        <w:t xml:space="preserve"> Corte IDH</w:t>
      </w:r>
      <w:r w:rsidR="002B4D6B">
        <w:rPr>
          <w:rFonts w:asciiTheme="majorHAnsi" w:hAnsiTheme="majorHAnsi"/>
          <w:sz w:val="16"/>
          <w:szCs w:val="16"/>
          <w:lang w:val="es-CO"/>
        </w:rPr>
        <w:t>,</w:t>
      </w:r>
      <w:r w:rsidRPr="000231F2">
        <w:rPr>
          <w:rFonts w:asciiTheme="majorHAnsi" w:hAnsiTheme="majorHAnsi"/>
          <w:sz w:val="16"/>
          <w:szCs w:val="16"/>
          <w:lang w:val="es-CO"/>
        </w:rPr>
        <w:t xml:space="preserve"> Caso González y otras (“Campo Algodonero”) Vs. México</w:t>
      </w:r>
      <w:r w:rsidR="002B4D6B">
        <w:rPr>
          <w:rFonts w:asciiTheme="majorHAnsi" w:hAnsiTheme="majorHAnsi"/>
          <w:sz w:val="16"/>
          <w:szCs w:val="16"/>
          <w:lang w:val="es-CO"/>
        </w:rPr>
        <w:t>,</w:t>
      </w:r>
      <w:r w:rsidRPr="000231F2">
        <w:rPr>
          <w:rFonts w:asciiTheme="majorHAnsi" w:hAnsiTheme="majorHAnsi"/>
          <w:sz w:val="16"/>
          <w:szCs w:val="16"/>
          <w:lang w:val="es-CO"/>
        </w:rPr>
        <w:t xml:space="preserve"> Excepción Preliminar, Fondo, Reparaciones y Costas</w:t>
      </w:r>
      <w:r w:rsidR="002B4D6B">
        <w:rPr>
          <w:rFonts w:asciiTheme="majorHAnsi" w:hAnsiTheme="majorHAnsi"/>
          <w:sz w:val="16"/>
          <w:szCs w:val="16"/>
          <w:lang w:val="es-CO"/>
        </w:rPr>
        <w:t>,</w:t>
      </w:r>
      <w:r w:rsidRPr="000231F2">
        <w:rPr>
          <w:rFonts w:asciiTheme="majorHAnsi" w:hAnsiTheme="majorHAnsi"/>
          <w:sz w:val="16"/>
          <w:szCs w:val="16"/>
          <w:lang w:val="es-CO"/>
        </w:rPr>
        <w:t xml:space="preserve"> Sentencia de 16 de noviembre de 2009</w:t>
      </w:r>
      <w:r w:rsidR="002B4D6B">
        <w:rPr>
          <w:rFonts w:asciiTheme="majorHAnsi" w:hAnsiTheme="majorHAnsi"/>
          <w:sz w:val="16"/>
          <w:szCs w:val="16"/>
          <w:lang w:val="es-CO"/>
        </w:rPr>
        <w:t>,</w:t>
      </w:r>
      <w:r w:rsidRPr="000231F2">
        <w:rPr>
          <w:rFonts w:asciiTheme="majorHAnsi" w:hAnsiTheme="majorHAnsi"/>
          <w:sz w:val="16"/>
          <w:szCs w:val="16"/>
          <w:lang w:val="es-CO"/>
        </w:rPr>
        <w:t xml:space="preserve"> Serie C No. 205, párr. 455; Caso Fernández Ortega y otros Vs. México, supra, párrs. 194, 251 y 252; Caso Espinoza Gonzáles Vs. Perú</w:t>
      </w:r>
      <w:r w:rsidR="002B4D6B">
        <w:rPr>
          <w:rFonts w:asciiTheme="majorHAnsi" w:hAnsiTheme="majorHAnsi"/>
          <w:sz w:val="16"/>
          <w:szCs w:val="16"/>
          <w:lang w:val="es-CO"/>
        </w:rPr>
        <w:t>,</w:t>
      </w:r>
      <w:r w:rsidRPr="000231F2">
        <w:rPr>
          <w:rFonts w:asciiTheme="majorHAnsi" w:hAnsiTheme="majorHAnsi"/>
          <w:sz w:val="16"/>
          <w:szCs w:val="16"/>
          <w:lang w:val="es-CO"/>
        </w:rPr>
        <w:t xml:space="preserve"> Excepciones Preliminares, Fondo, Reparaciones y Costas</w:t>
      </w:r>
      <w:r w:rsidR="00884DE4">
        <w:rPr>
          <w:rFonts w:asciiTheme="majorHAnsi" w:hAnsiTheme="majorHAnsi"/>
          <w:sz w:val="16"/>
          <w:szCs w:val="16"/>
          <w:lang w:val="es-CO"/>
        </w:rPr>
        <w:t>,</w:t>
      </w:r>
      <w:r w:rsidRPr="000231F2">
        <w:rPr>
          <w:rFonts w:asciiTheme="majorHAnsi" w:hAnsiTheme="majorHAnsi"/>
          <w:sz w:val="16"/>
          <w:szCs w:val="16"/>
          <w:lang w:val="es-CO"/>
        </w:rPr>
        <w:t xml:space="preserve"> Sentencia de 20 de noviembre de 2014</w:t>
      </w:r>
      <w:r w:rsidR="002B4D6B">
        <w:rPr>
          <w:rFonts w:asciiTheme="majorHAnsi" w:hAnsiTheme="majorHAnsi"/>
          <w:sz w:val="16"/>
          <w:szCs w:val="16"/>
          <w:lang w:val="es-CO"/>
        </w:rPr>
        <w:t>,</w:t>
      </w:r>
      <w:r w:rsidRPr="000231F2">
        <w:rPr>
          <w:rFonts w:asciiTheme="majorHAnsi" w:hAnsiTheme="majorHAnsi"/>
          <w:sz w:val="16"/>
          <w:szCs w:val="16"/>
          <w:lang w:val="es-CO"/>
        </w:rPr>
        <w:t xml:space="preserve"> Serie C No. 289, párrs. 242 y 252; Caso Favela Nova Brasilia Vs. Brasil</w:t>
      </w:r>
      <w:r w:rsidR="00CD7A61">
        <w:rPr>
          <w:rFonts w:asciiTheme="majorHAnsi" w:hAnsiTheme="majorHAnsi"/>
          <w:sz w:val="16"/>
          <w:szCs w:val="16"/>
          <w:lang w:val="es-CO"/>
        </w:rPr>
        <w:t>,</w:t>
      </w:r>
      <w:r w:rsidRPr="000231F2">
        <w:rPr>
          <w:rFonts w:asciiTheme="majorHAnsi" w:hAnsiTheme="majorHAnsi"/>
          <w:sz w:val="16"/>
          <w:szCs w:val="16"/>
          <w:lang w:val="es-CO"/>
        </w:rPr>
        <w:t xml:space="preserve"> Excepciones Preliminares, Fondo, Reparaciones y Costas</w:t>
      </w:r>
      <w:r w:rsidR="002B4D6B">
        <w:rPr>
          <w:rFonts w:asciiTheme="majorHAnsi" w:hAnsiTheme="majorHAnsi"/>
          <w:sz w:val="16"/>
          <w:szCs w:val="16"/>
          <w:lang w:val="es-CO"/>
        </w:rPr>
        <w:t>,</w:t>
      </w:r>
      <w:r w:rsidRPr="000231F2">
        <w:rPr>
          <w:rFonts w:asciiTheme="majorHAnsi" w:hAnsiTheme="majorHAnsi"/>
          <w:sz w:val="16"/>
          <w:szCs w:val="16"/>
          <w:lang w:val="es-CO"/>
        </w:rPr>
        <w:t xml:space="preserve"> Sentencia de 16 de febrero de 2017</w:t>
      </w:r>
      <w:r w:rsidR="002B4D6B">
        <w:rPr>
          <w:rFonts w:asciiTheme="majorHAnsi" w:hAnsiTheme="majorHAnsi"/>
          <w:sz w:val="16"/>
          <w:szCs w:val="16"/>
          <w:lang w:val="es-CO"/>
        </w:rPr>
        <w:t>,</w:t>
      </w:r>
      <w:r w:rsidRPr="000231F2">
        <w:rPr>
          <w:rFonts w:asciiTheme="majorHAnsi" w:hAnsiTheme="majorHAnsi"/>
          <w:sz w:val="16"/>
          <w:szCs w:val="16"/>
          <w:lang w:val="es-CO"/>
        </w:rPr>
        <w:t xml:space="preserve"> Serie C No. 333, párr. 254</w:t>
      </w:r>
      <w:r w:rsidR="002B4D6B">
        <w:rPr>
          <w:rFonts w:asciiTheme="majorHAnsi" w:hAnsiTheme="majorHAnsi"/>
          <w:sz w:val="16"/>
          <w:szCs w:val="16"/>
          <w:lang w:val="es-CO"/>
        </w:rPr>
        <w:t>;</w:t>
      </w:r>
      <w:r w:rsidRPr="000231F2">
        <w:rPr>
          <w:rFonts w:asciiTheme="majorHAnsi" w:hAnsiTheme="majorHAnsi"/>
          <w:sz w:val="16"/>
          <w:szCs w:val="16"/>
          <w:lang w:val="es-CO"/>
        </w:rPr>
        <w:t xml:space="preserve"> y Caso Azul Rojas Marín y otra Vs. Perú</w:t>
      </w:r>
      <w:r w:rsidR="00FF56AB">
        <w:rPr>
          <w:rFonts w:asciiTheme="majorHAnsi" w:hAnsiTheme="majorHAnsi"/>
          <w:sz w:val="16"/>
          <w:szCs w:val="16"/>
          <w:lang w:val="es-CO"/>
        </w:rPr>
        <w:t>,</w:t>
      </w:r>
      <w:r w:rsidRPr="000231F2">
        <w:rPr>
          <w:rFonts w:asciiTheme="majorHAnsi" w:hAnsiTheme="majorHAnsi"/>
          <w:sz w:val="16"/>
          <w:szCs w:val="16"/>
          <w:lang w:val="es-CO"/>
        </w:rPr>
        <w:t xml:space="preserve"> Excepciones Preliminares, Fondo, Reparaciones y Costas</w:t>
      </w:r>
      <w:r w:rsidR="00CD7A61">
        <w:rPr>
          <w:rFonts w:asciiTheme="majorHAnsi" w:hAnsiTheme="majorHAnsi"/>
          <w:sz w:val="16"/>
          <w:szCs w:val="16"/>
          <w:lang w:val="es-CO"/>
        </w:rPr>
        <w:t>,</w:t>
      </w:r>
      <w:r w:rsidRPr="000231F2">
        <w:rPr>
          <w:rFonts w:asciiTheme="majorHAnsi" w:hAnsiTheme="majorHAnsi"/>
          <w:sz w:val="16"/>
          <w:szCs w:val="16"/>
          <w:lang w:val="es-CO"/>
        </w:rPr>
        <w:t xml:space="preserve"> Sentencia de 12 de marzo de 2020</w:t>
      </w:r>
      <w:r w:rsidR="00FF56AB">
        <w:rPr>
          <w:rFonts w:asciiTheme="majorHAnsi" w:hAnsiTheme="majorHAnsi"/>
          <w:sz w:val="16"/>
          <w:szCs w:val="16"/>
          <w:lang w:val="es-CO"/>
        </w:rPr>
        <w:t>,</w:t>
      </w:r>
      <w:r w:rsidRPr="000231F2">
        <w:rPr>
          <w:rFonts w:asciiTheme="majorHAnsi" w:hAnsiTheme="majorHAnsi"/>
          <w:sz w:val="16"/>
          <w:szCs w:val="16"/>
          <w:lang w:val="es-CO"/>
        </w:rPr>
        <w:t xml:space="preserve"> Serie C No. 402, párr. 180.</w:t>
      </w:r>
    </w:p>
  </w:footnote>
  <w:footnote w:id="15">
    <w:p w14:paraId="48C1ABF6" w14:textId="24C1DE06" w:rsidR="003912F9" w:rsidRPr="000231F2" w:rsidRDefault="003912F9" w:rsidP="000231F2">
      <w:pPr>
        <w:pStyle w:val="FootnoteText"/>
        <w:ind w:firstLine="720"/>
        <w:jc w:val="both"/>
        <w:rPr>
          <w:rFonts w:asciiTheme="majorHAnsi" w:hAnsiTheme="majorHAnsi"/>
          <w:sz w:val="16"/>
          <w:szCs w:val="16"/>
          <w:lang w:val="es-CO"/>
        </w:rPr>
      </w:pPr>
      <w:r w:rsidRPr="000231F2">
        <w:rPr>
          <w:rStyle w:val="FootnoteReference"/>
          <w:rFonts w:asciiTheme="majorHAnsi" w:hAnsiTheme="majorHAnsi"/>
          <w:sz w:val="16"/>
          <w:szCs w:val="16"/>
        </w:rPr>
        <w:footnoteRef/>
      </w:r>
      <w:r w:rsidRPr="000231F2">
        <w:rPr>
          <w:rFonts w:asciiTheme="majorHAnsi" w:hAnsiTheme="majorHAnsi"/>
          <w:sz w:val="16"/>
          <w:szCs w:val="16"/>
          <w:lang w:val="es-CO"/>
        </w:rPr>
        <w:t xml:space="preserve"> Corte IDH</w:t>
      </w:r>
      <w:r w:rsidR="00FF56AB">
        <w:rPr>
          <w:rFonts w:asciiTheme="majorHAnsi" w:hAnsiTheme="majorHAnsi"/>
          <w:sz w:val="16"/>
          <w:szCs w:val="16"/>
          <w:lang w:val="es-CO"/>
        </w:rPr>
        <w:t>,</w:t>
      </w:r>
      <w:r w:rsidRPr="000231F2">
        <w:rPr>
          <w:rFonts w:asciiTheme="majorHAnsi" w:hAnsiTheme="majorHAnsi"/>
          <w:sz w:val="16"/>
          <w:szCs w:val="16"/>
          <w:lang w:val="es-CO"/>
        </w:rPr>
        <w:t xml:space="preserve"> Caso González y otras (“Campo Algodonero”) Vs. México</w:t>
      </w:r>
      <w:r w:rsidR="00FF56AB">
        <w:rPr>
          <w:rFonts w:asciiTheme="majorHAnsi" w:hAnsiTheme="majorHAnsi"/>
          <w:sz w:val="16"/>
          <w:szCs w:val="16"/>
          <w:lang w:val="es-CO"/>
        </w:rPr>
        <w:t>,</w:t>
      </w:r>
      <w:r w:rsidRPr="000231F2">
        <w:rPr>
          <w:rFonts w:asciiTheme="majorHAnsi" w:hAnsiTheme="majorHAnsi"/>
          <w:sz w:val="16"/>
          <w:szCs w:val="16"/>
          <w:lang w:val="es-CO"/>
        </w:rPr>
        <w:t xml:space="preserve"> Excepción Preliminar, Fondo, Reparaciones y Costas</w:t>
      </w:r>
      <w:r w:rsidR="00FF56AB">
        <w:rPr>
          <w:rFonts w:asciiTheme="majorHAnsi" w:hAnsiTheme="majorHAnsi"/>
          <w:sz w:val="16"/>
          <w:szCs w:val="16"/>
          <w:lang w:val="es-CO"/>
        </w:rPr>
        <w:t>,</w:t>
      </w:r>
      <w:r w:rsidRPr="000231F2">
        <w:rPr>
          <w:rFonts w:asciiTheme="majorHAnsi" w:hAnsiTheme="majorHAnsi"/>
          <w:sz w:val="16"/>
          <w:szCs w:val="16"/>
          <w:lang w:val="es-CO"/>
        </w:rPr>
        <w:t xml:space="preserve"> Sentencia de 16 de noviembre de 2009</w:t>
      </w:r>
      <w:r w:rsidR="00FF56AB">
        <w:rPr>
          <w:rFonts w:asciiTheme="majorHAnsi" w:hAnsiTheme="majorHAnsi"/>
          <w:sz w:val="16"/>
          <w:szCs w:val="16"/>
          <w:lang w:val="es-CO"/>
        </w:rPr>
        <w:t>,</w:t>
      </w:r>
      <w:r w:rsidRPr="000231F2">
        <w:rPr>
          <w:rFonts w:asciiTheme="majorHAnsi" w:hAnsiTheme="majorHAnsi"/>
          <w:sz w:val="16"/>
          <w:szCs w:val="16"/>
          <w:lang w:val="es-CO"/>
        </w:rPr>
        <w:t xml:space="preserve"> Serie C No. 205, párr. 455; Caso Fernández Ortega y otros Vs. México, supra, párrs. 194, 251 y 252; Caso Espinoza Gonzáles Vs. Perú</w:t>
      </w:r>
      <w:r w:rsidR="00FF56AB">
        <w:rPr>
          <w:rFonts w:asciiTheme="majorHAnsi" w:hAnsiTheme="majorHAnsi"/>
          <w:sz w:val="16"/>
          <w:szCs w:val="16"/>
          <w:lang w:val="es-CO"/>
        </w:rPr>
        <w:t>,</w:t>
      </w:r>
      <w:r w:rsidRPr="000231F2">
        <w:rPr>
          <w:rFonts w:asciiTheme="majorHAnsi" w:hAnsiTheme="majorHAnsi"/>
          <w:sz w:val="16"/>
          <w:szCs w:val="16"/>
          <w:lang w:val="es-CO"/>
        </w:rPr>
        <w:t xml:space="preserve"> Excepciones Preliminares, Fondo, Reparaciones y Costas</w:t>
      </w:r>
      <w:r w:rsidR="00FF56AB">
        <w:rPr>
          <w:rFonts w:asciiTheme="majorHAnsi" w:hAnsiTheme="majorHAnsi"/>
          <w:sz w:val="16"/>
          <w:szCs w:val="16"/>
          <w:lang w:val="es-CO"/>
        </w:rPr>
        <w:t>,</w:t>
      </w:r>
      <w:r w:rsidRPr="000231F2">
        <w:rPr>
          <w:rFonts w:asciiTheme="majorHAnsi" w:hAnsiTheme="majorHAnsi"/>
          <w:sz w:val="16"/>
          <w:szCs w:val="16"/>
          <w:lang w:val="es-CO"/>
        </w:rPr>
        <w:t xml:space="preserve"> Sentencia de 20 de noviembre de 2014</w:t>
      </w:r>
      <w:r w:rsidR="00B3798E">
        <w:rPr>
          <w:rFonts w:asciiTheme="majorHAnsi" w:hAnsiTheme="majorHAnsi"/>
          <w:sz w:val="16"/>
          <w:szCs w:val="16"/>
          <w:lang w:val="es-CO"/>
        </w:rPr>
        <w:t>,</w:t>
      </w:r>
      <w:r w:rsidRPr="000231F2">
        <w:rPr>
          <w:rFonts w:asciiTheme="majorHAnsi" w:hAnsiTheme="majorHAnsi"/>
          <w:sz w:val="16"/>
          <w:szCs w:val="16"/>
          <w:lang w:val="es-CO"/>
        </w:rPr>
        <w:t xml:space="preserve"> Serie C No. 289, párrs. 242 y 252; Caso Favela Nova Brasilia Vs. Brasil. Excepciones Preliminares, Fondo, Reparaciones y Costas</w:t>
      </w:r>
      <w:r w:rsidR="00B3798E">
        <w:rPr>
          <w:rFonts w:asciiTheme="majorHAnsi" w:hAnsiTheme="majorHAnsi"/>
          <w:sz w:val="16"/>
          <w:szCs w:val="16"/>
          <w:lang w:val="es-CO"/>
        </w:rPr>
        <w:t>,</w:t>
      </w:r>
      <w:r w:rsidRPr="000231F2">
        <w:rPr>
          <w:rFonts w:asciiTheme="majorHAnsi" w:hAnsiTheme="majorHAnsi"/>
          <w:sz w:val="16"/>
          <w:szCs w:val="16"/>
          <w:lang w:val="es-CO"/>
        </w:rPr>
        <w:t xml:space="preserve"> Sentencia de 16 de febrero de 2017</w:t>
      </w:r>
      <w:r w:rsidR="00B3798E">
        <w:rPr>
          <w:rFonts w:asciiTheme="majorHAnsi" w:hAnsiTheme="majorHAnsi"/>
          <w:sz w:val="16"/>
          <w:szCs w:val="16"/>
          <w:lang w:val="es-CO"/>
        </w:rPr>
        <w:t>,</w:t>
      </w:r>
      <w:r w:rsidRPr="000231F2">
        <w:rPr>
          <w:rFonts w:asciiTheme="majorHAnsi" w:hAnsiTheme="majorHAnsi"/>
          <w:sz w:val="16"/>
          <w:szCs w:val="16"/>
          <w:lang w:val="es-CO"/>
        </w:rPr>
        <w:t xml:space="preserve"> Serie C No. 333, párr. 254</w:t>
      </w:r>
      <w:r w:rsidR="00B3798E">
        <w:rPr>
          <w:rFonts w:asciiTheme="majorHAnsi" w:hAnsiTheme="majorHAnsi"/>
          <w:sz w:val="16"/>
          <w:szCs w:val="16"/>
          <w:lang w:val="es-CO"/>
        </w:rPr>
        <w:t>;</w:t>
      </w:r>
      <w:r w:rsidRPr="000231F2">
        <w:rPr>
          <w:rFonts w:asciiTheme="majorHAnsi" w:hAnsiTheme="majorHAnsi"/>
          <w:sz w:val="16"/>
          <w:szCs w:val="16"/>
          <w:lang w:val="es-CO"/>
        </w:rPr>
        <w:t xml:space="preserve"> y Caso Azul Rojas Marín y otra Vs. Perú</w:t>
      </w:r>
      <w:r w:rsidR="00B3798E">
        <w:rPr>
          <w:rFonts w:asciiTheme="majorHAnsi" w:hAnsiTheme="majorHAnsi"/>
          <w:sz w:val="16"/>
          <w:szCs w:val="16"/>
          <w:lang w:val="es-CO"/>
        </w:rPr>
        <w:t>,</w:t>
      </w:r>
      <w:r w:rsidRPr="000231F2">
        <w:rPr>
          <w:rFonts w:asciiTheme="majorHAnsi" w:hAnsiTheme="majorHAnsi"/>
          <w:sz w:val="16"/>
          <w:szCs w:val="16"/>
          <w:lang w:val="es-CO"/>
        </w:rPr>
        <w:t xml:space="preserve"> Excepciones Preliminares, Fondo, Reparaciones y Costas</w:t>
      </w:r>
      <w:r w:rsidR="00B3798E">
        <w:rPr>
          <w:rFonts w:asciiTheme="majorHAnsi" w:hAnsiTheme="majorHAnsi"/>
          <w:sz w:val="16"/>
          <w:szCs w:val="16"/>
          <w:lang w:val="es-CO"/>
        </w:rPr>
        <w:t>,</w:t>
      </w:r>
      <w:r w:rsidRPr="000231F2">
        <w:rPr>
          <w:rFonts w:asciiTheme="majorHAnsi" w:hAnsiTheme="majorHAnsi"/>
          <w:sz w:val="16"/>
          <w:szCs w:val="16"/>
          <w:lang w:val="es-CO"/>
        </w:rPr>
        <w:t xml:space="preserve"> Sentencia de 12 de marzo de 2020</w:t>
      </w:r>
      <w:r w:rsidR="00B3798E">
        <w:rPr>
          <w:rFonts w:asciiTheme="majorHAnsi" w:hAnsiTheme="majorHAnsi"/>
          <w:sz w:val="16"/>
          <w:szCs w:val="16"/>
          <w:lang w:val="es-CO"/>
        </w:rPr>
        <w:t>,</w:t>
      </w:r>
      <w:r w:rsidRPr="000231F2">
        <w:rPr>
          <w:rFonts w:asciiTheme="majorHAnsi" w:hAnsiTheme="majorHAnsi"/>
          <w:sz w:val="16"/>
          <w:szCs w:val="16"/>
          <w:lang w:val="es-CO"/>
        </w:rPr>
        <w:t xml:space="preserve"> Serie C No. 402, párr. 180.</w:t>
      </w:r>
    </w:p>
  </w:footnote>
  <w:footnote w:id="16">
    <w:p w14:paraId="3BF8E066" w14:textId="79ABCE2D" w:rsidR="004F012A" w:rsidRPr="000231F2" w:rsidRDefault="004F012A" w:rsidP="000231F2">
      <w:pPr>
        <w:pStyle w:val="FootnoteText"/>
        <w:ind w:firstLine="720"/>
        <w:jc w:val="both"/>
        <w:rPr>
          <w:rFonts w:asciiTheme="majorHAnsi" w:hAnsiTheme="majorHAnsi"/>
          <w:sz w:val="16"/>
          <w:szCs w:val="16"/>
          <w:lang w:val="es-CO"/>
        </w:rPr>
      </w:pPr>
      <w:r w:rsidRPr="000231F2">
        <w:rPr>
          <w:rStyle w:val="FootnoteReference"/>
          <w:rFonts w:asciiTheme="majorHAnsi" w:hAnsiTheme="majorHAnsi"/>
          <w:sz w:val="16"/>
          <w:szCs w:val="16"/>
        </w:rPr>
        <w:footnoteRef/>
      </w:r>
      <w:r w:rsidRPr="00462441">
        <w:rPr>
          <w:rFonts w:asciiTheme="majorHAnsi" w:hAnsiTheme="majorHAnsi"/>
          <w:sz w:val="16"/>
          <w:szCs w:val="16"/>
          <w:lang w:val="es-AR"/>
        </w:rPr>
        <w:t xml:space="preserve"> Corte IDH</w:t>
      </w:r>
      <w:r w:rsidR="005668E5" w:rsidRPr="00462441">
        <w:rPr>
          <w:rFonts w:asciiTheme="majorHAnsi" w:hAnsiTheme="majorHAnsi"/>
          <w:sz w:val="16"/>
          <w:szCs w:val="16"/>
          <w:lang w:val="es-AR"/>
        </w:rPr>
        <w:t>,</w:t>
      </w:r>
      <w:r w:rsidRPr="00462441">
        <w:rPr>
          <w:rFonts w:asciiTheme="majorHAnsi" w:hAnsiTheme="majorHAnsi"/>
          <w:sz w:val="16"/>
          <w:szCs w:val="16"/>
          <w:lang w:val="es-AR"/>
        </w:rPr>
        <w:t xml:space="preserve"> Caso Angulo Losada Vs</w:t>
      </w:r>
      <w:r w:rsidR="005668E5" w:rsidRPr="00462441">
        <w:rPr>
          <w:rFonts w:asciiTheme="majorHAnsi" w:hAnsiTheme="majorHAnsi"/>
          <w:sz w:val="16"/>
          <w:szCs w:val="16"/>
          <w:lang w:val="es-AR"/>
        </w:rPr>
        <w:t>.</w:t>
      </w:r>
      <w:r w:rsidRPr="00462441">
        <w:rPr>
          <w:rFonts w:asciiTheme="majorHAnsi" w:hAnsiTheme="majorHAnsi"/>
          <w:sz w:val="16"/>
          <w:szCs w:val="16"/>
          <w:lang w:val="es-AR"/>
        </w:rPr>
        <w:t xml:space="preserve"> </w:t>
      </w:r>
      <w:r w:rsidRPr="000231F2">
        <w:rPr>
          <w:rFonts w:asciiTheme="majorHAnsi" w:hAnsiTheme="majorHAnsi"/>
          <w:sz w:val="16"/>
          <w:szCs w:val="16"/>
          <w:lang w:val="es-CO"/>
        </w:rPr>
        <w:t>Bolivia</w:t>
      </w:r>
      <w:r w:rsidR="005668E5">
        <w:rPr>
          <w:rFonts w:asciiTheme="majorHAnsi" w:hAnsiTheme="majorHAnsi"/>
          <w:sz w:val="16"/>
          <w:szCs w:val="16"/>
          <w:lang w:val="es-CO"/>
        </w:rPr>
        <w:t>,</w:t>
      </w:r>
      <w:r w:rsidRPr="000231F2">
        <w:rPr>
          <w:rFonts w:asciiTheme="majorHAnsi" w:hAnsiTheme="majorHAnsi"/>
          <w:sz w:val="16"/>
          <w:szCs w:val="16"/>
          <w:lang w:val="es-CO"/>
        </w:rPr>
        <w:t xml:space="preserve"> Excepciones Preliminares, Fondo y Reparaciones</w:t>
      </w:r>
      <w:r w:rsidR="005668E5">
        <w:rPr>
          <w:rFonts w:asciiTheme="majorHAnsi" w:hAnsiTheme="majorHAnsi"/>
          <w:sz w:val="16"/>
          <w:szCs w:val="16"/>
          <w:lang w:val="es-CO"/>
        </w:rPr>
        <w:t>,</w:t>
      </w:r>
      <w:r w:rsidRPr="000231F2">
        <w:rPr>
          <w:rFonts w:asciiTheme="majorHAnsi" w:hAnsiTheme="majorHAnsi"/>
          <w:sz w:val="16"/>
          <w:szCs w:val="16"/>
          <w:lang w:val="es-CO"/>
        </w:rPr>
        <w:t xml:space="preserve"> Sentencia de 18 de noviembre de 2022</w:t>
      </w:r>
      <w:r w:rsidR="005668E5">
        <w:rPr>
          <w:rFonts w:asciiTheme="majorHAnsi" w:hAnsiTheme="majorHAnsi"/>
          <w:sz w:val="16"/>
          <w:szCs w:val="16"/>
          <w:lang w:val="es-CO"/>
        </w:rPr>
        <w:t>,</w:t>
      </w:r>
      <w:r w:rsidRPr="000231F2">
        <w:rPr>
          <w:rFonts w:asciiTheme="majorHAnsi" w:hAnsiTheme="majorHAnsi"/>
          <w:sz w:val="16"/>
          <w:szCs w:val="16"/>
          <w:lang w:val="es-CO"/>
        </w:rPr>
        <w:t xml:space="preserve"> Serie C No. 475, párr</w:t>
      </w:r>
      <w:r w:rsidR="006D5957" w:rsidRPr="000231F2">
        <w:rPr>
          <w:rFonts w:asciiTheme="majorHAnsi" w:hAnsiTheme="majorHAnsi"/>
          <w:sz w:val="16"/>
          <w:szCs w:val="16"/>
          <w:lang w:val="es-CO"/>
        </w:rPr>
        <w:t>s</w:t>
      </w:r>
      <w:r w:rsidRPr="000231F2">
        <w:rPr>
          <w:rFonts w:asciiTheme="majorHAnsi" w:hAnsiTheme="majorHAnsi"/>
          <w:sz w:val="16"/>
          <w:szCs w:val="16"/>
          <w:lang w:val="es-CO"/>
        </w:rPr>
        <w:t>.</w:t>
      </w:r>
      <w:r w:rsidR="006D5957" w:rsidRPr="000231F2">
        <w:rPr>
          <w:rFonts w:asciiTheme="majorHAnsi" w:hAnsiTheme="majorHAnsi"/>
          <w:sz w:val="16"/>
          <w:szCs w:val="16"/>
          <w:lang w:val="es-CO"/>
        </w:rPr>
        <w:t xml:space="preserve"> 100 y</w:t>
      </w:r>
      <w:r w:rsidRPr="000231F2">
        <w:rPr>
          <w:rFonts w:asciiTheme="majorHAnsi" w:hAnsiTheme="majorHAnsi"/>
          <w:sz w:val="16"/>
          <w:szCs w:val="16"/>
          <w:lang w:val="es-CO"/>
        </w:rPr>
        <w:t xml:space="preserve"> 160.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2A2418" w:rsidP="00A50FCF">
    <w:pPr>
      <w:pStyle w:val="Header"/>
      <w:tabs>
        <w:tab w:val="clear" w:pos="4320"/>
        <w:tab w:val="clear" w:pos="8640"/>
      </w:tabs>
      <w:jc w:val="center"/>
      <w:rPr>
        <w:sz w:val="22"/>
        <w:szCs w:val="22"/>
      </w:rPr>
    </w:pPr>
    <w:r>
      <w:rPr>
        <w:noProof/>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ED81597"/>
    <w:multiLevelType w:val="hybridMultilevel"/>
    <w:tmpl w:val="13CA9C6C"/>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D963D70"/>
    <w:multiLevelType w:val="multilevel"/>
    <w:tmpl w:val="D4A08A04"/>
    <w:lvl w:ilvl="0">
      <w:start w:val="1"/>
      <w:numFmt w:val="decimal"/>
      <w:lvlText w:val="%1."/>
      <w:lvlJc w:val="left"/>
      <w:pPr>
        <w:ind w:left="1440" w:hanging="720"/>
      </w:pPr>
      <w:rPr>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7"/>
  </w:num>
  <w:num w:numId="4" w16cid:durableId="2018339747">
    <w:abstractNumId w:val="22"/>
  </w:num>
  <w:num w:numId="5" w16cid:durableId="368341374">
    <w:abstractNumId w:val="50"/>
  </w:num>
  <w:num w:numId="6" w16cid:durableId="1074009954">
    <w:abstractNumId w:val="29"/>
  </w:num>
  <w:num w:numId="7" w16cid:durableId="1545016965">
    <w:abstractNumId w:val="7"/>
  </w:num>
  <w:num w:numId="8" w16cid:durableId="1165165820">
    <w:abstractNumId w:val="18"/>
  </w:num>
  <w:num w:numId="9" w16cid:durableId="751703382">
    <w:abstractNumId w:val="44"/>
  </w:num>
  <w:num w:numId="10" w16cid:durableId="1010065578">
    <w:abstractNumId w:val="0"/>
  </w:num>
  <w:num w:numId="11" w16cid:durableId="599265313">
    <w:abstractNumId w:val="39"/>
  </w:num>
  <w:num w:numId="12" w16cid:durableId="1094203649">
    <w:abstractNumId w:val="40"/>
  </w:num>
  <w:num w:numId="13" w16cid:durableId="393090155">
    <w:abstractNumId w:val="47"/>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6"/>
  </w:num>
  <w:num w:numId="24" w16cid:durableId="477890311">
    <w:abstractNumId w:val="17"/>
  </w:num>
  <w:num w:numId="25" w16cid:durableId="1967855925">
    <w:abstractNumId w:val="19"/>
  </w:num>
  <w:num w:numId="26" w16cid:durableId="998537020">
    <w:abstractNumId w:val="20"/>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49"/>
  </w:num>
  <w:num w:numId="42" w16cid:durableId="910309630">
    <w:abstractNumId w:val="51"/>
  </w:num>
  <w:num w:numId="43" w16cid:durableId="221603102">
    <w:abstractNumId w:val="52"/>
  </w:num>
  <w:num w:numId="44" w16cid:durableId="779104680">
    <w:abstractNumId w:val="55"/>
  </w:num>
  <w:num w:numId="45" w16cid:durableId="1713115894">
    <w:abstractNumId w:val="56"/>
  </w:num>
  <w:num w:numId="46" w16cid:durableId="1387951419">
    <w:abstractNumId w:val="58"/>
  </w:num>
  <w:num w:numId="47" w16cid:durableId="648510715">
    <w:abstractNumId w:val="59"/>
  </w:num>
  <w:num w:numId="48" w16cid:durableId="1806315575">
    <w:abstractNumId w:val="60"/>
  </w:num>
  <w:num w:numId="49" w16cid:durableId="1682586011">
    <w:abstractNumId w:val="62"/>
  </w:num>
  <w:num w:numId="50" w16cid:durableId="2025083079">
    <w:abstractNumId w:val="63"/>
  </w:num>
  <w:num w:numId="51" w16cid:durableId="530342504">
    <w:abstractNumId w:val="21"/>
  </w:num>
  <w:num w:numId="52" w16cid:durableId="955454438">
    <w:abstractNumId w:val="43"/>
  </w:num>
  <w:num w:numId="53" w16cid:durableId="586957926">
    <w:abstractNumId w:val="54"/>
  </w:num>
  <w:num w:numId="54" w16cid:durableId="1498381482">
    <w:abstractNumId w:val="48"/>
  </w:num>
  <w:num w:numId="55" w16cid:durableId="1930308158">
    <w:abstractNumId w:val="46"/>
  </w:num>
  <w:num w:numId="56" w16cid:durableId="71783945">
    <w:abstractNumId w:val="28"/>
  </w:num>
  <w:num w:numId="57" w16cid:durableId="327246300">
    <w:abstractNumId w:val="26"/>
  </w:num>
  <w:num w:numId="58" w16cid:durableId="823088829">
    <w:abstractNumId w:val="38"/>
  </w:num>
  <w:num w:numId="59" w16cid:durableId="219633537">
    <w:abstractNumId w:val="4"/>
  </w:num>
  <w:num w:numId="60" w16cid:durableId="364453791">
    <w:abstractNumId w:val="45"/>
  </w:num>
  <w:num w:numId="61" w16cid:durableId="319626255">
    <w:abstractNumId w:val="53"/>
  </w:num>
  <w:num w:numId="62" w16cid:durableId="362898492">
    <w:abstractNumId w:val="6"/>
  </w:num>
  <w:num w:numId="63" w16cid:durableId="81055689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6218650">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0D72"/>
    <w:rsid w:val="00006E1F"/>
    <w:rsid w:val="000070D7"/>
    <w:rsid w:val="00014492"/>
    <w:rsid w:val="00015FDA"/>
    <w:rsid w:val="0001788C"/>
    <w:rsid w:val="0002213D"/>
    <w:rsid w:val="000231F2"/>
    <w:rsid w:val="000337EF"/>
    <w:rsid w:val="00040AA4"/>
    <w:rsid w:val="00040C3A"/>
    <w:rsid w:val="000419AD"/>
    <w:rsid w:val="000433C9"/>
    <w:rsid w:val="000615CF"/>
    <w:rsid w:val="00064F01"/>
    <w:rsid w:val="00071174"/>
    <w:rsid w:val="000716C5"/>
    <w:rsid w:val="00073885"/>
    <w:rsid w:val="00073E6D"/>
    <w:rsid w:val="0007512F"/>
    <w:rsid w:val="00075E23"/>
    <w:rsid w:val="0007730D"/>
    <w:rsid w:val="0008158C"/>
    <w:rsid w:val="0009344A"/>
    <w:rsid w:val="000A0C63"/>
    <w:rsid w:val="000A2BC2"/>
    <w:rsid w:val="000A392E"/>
    <w:rsid w:val="000A575F"/>
    <w:rsid w:val="000B417D"/>
    <w:rsid w:val="000C2A90"/>
    <w:rsid w:val="000C38FD"/>
    <w:rsid w:val="000D05CB"/>
    <w:rsid w:val="000D10DB"/>
    <w:rsid w:val="000E5EB5"/>
    <w:rsid w:val="000F35ED"/>
    <w:rsid w:val="000F48A2"/>
    <w:rsid w:val="000F5D09"/>
    <w:rsid w:val="001004FE"/>
    <w:rsid w:val="00103D78"/>
    <w:rsid w:val="0010621F"/>
    <w:rsid w:val="00107131"/>
    <w:rsid w:val="0010736F"/>
    <w:rsid w:val="00113F73"/>
    <w:rsid w:val="00115D20"/>
    <w:rsid w:val="00121CC2"/>
    <w:rsid w:val="00125B7C"/>
    <w:rsid w:val="00131425"/>
    <w:rsid w:val="00131901"/>
    <w:rsid w:val="00133EE5"/>
    <w:rsid w:val="00136B3C"/>
    <w:rsid w:val="00140219"/>
    <w:rsid w:val="00143213"/>
    <w:rsid w:val="00167A34"/>
    <w:rsid w:val="0017276C"/>
    <w:rsid w:val="00173485"/>
    <w:rsid w:val="0017431D"/>
    <w:rsid w:val="00176AEE"/>
    <w:rsid w:val="001A1B1A"/>
    <w:rsid w:val="001A46A7"/>
    <w:rsid w:val="001A4EAF"/>
    <w:rsid w:val="001A520D"/>
    <w:rsid w:val="001A7870"/>
    <w:rsid w:val="001B0E2F"/>
    <w:rsid w:val="001B3A00"/>
    <w:rsid w:val="001B477D"/>
    <w:rsid w:val="001B478B"/>
    <w:rsid w:val="001B5EBC"/>
    <w:rsid w:val="001B7389"/>
    <w:rsid w:val="001C1025"/>
    <w:rsid w:val="001C1B41"/>
    <w:rsid w:val="001D40C9"/>
    <w:rsid w:val="001D46D4"/>
    <w:rsid w:val="001D65EF"/>
    <w:rsid w:val="001D7664"/>
    <w:rsid w:val="001D7F96"/>
    <w:rsid w:val="001E49E7"/>
    <w:rsid w:val="001F156A"/>
    <w:rsid w:val="001F7201"/>
    <w:rsid w:val="00206CD8"/>
    <w:rsid w:val="00222C38"/>
    <w:rsid w:val="00223A29"/>
    <w:rsid w:val="002250A3"/>
    <w:rsid w:val="002348C1"/>
    <w:rsid w:val="00235217"/>
    <w:rsid w:val="00241C5E"/>
    <w:rsid w:val="00244A2E"/>
    <w:rsid w:val="0024631C"/>
    <w:rsid w:val="00246D1F"/>
    <w:rsid w:val="00247403"/>
    <w:rsid w:val="00247542"/>
    <w:rsid w:val="002608A4"/>
    <w:rsid w:val="00266B61"/>
    <w:rsid w:val="0026712A"/>
    <w:rsid w:val="002704DB"/>
    <w:rsid w:val="002710BE"/>
    <w:rsid w:val="00272CAD"/>
    <w:rsid w:val="00274A39"/>
    <w:rsid w:val="00277A77"/>
    <w:rsid w:val="00283F6A"/>
    <w:rsid w:val="00291B8E"/>
    <w:rsid w:val="002931D4"/>
    <w:rsid w:val="00294950"/>
    <w:rsid w:val="00296471"/>
    <w:rsid w:val="002A0AAE"/>
    <w:rsid w:val="002A2418"/>
    <w:rsid w:val="002A351E"/>
    <w:rsid w:val="002A5820"/>
    <w:rsid w:val="002A7D08"/>
    <w:rsid w:val="002B3D8A"/>
    <w:rsid w:val="002B4D6B"/>
    <w:rsid w:val="002C0105"/>
    <w:rsid w:val="002D1DE7"/>
    <w:rsid w:val="002D2B26"/>
    <w:rsid w:val="002D3C44"/>
    <w:rsid w:val="002D7EA2"/>
    <w:rsid w:val="002E187C"/>
    <w:rsid w:val="002F390A"/>
    <w:rsid w:val="00302733"/>
    <w:rsid w:val="00305835"/>
    <w:rsid w:val="00306E0B"/>
    <w:rsid w:val="00306F33"/>
    <w:rsid w:val="00314078"/>
    <w:rsid w:val="0031535D"/>
    <w:rsid w:val="003222F5"/>
    <w:rsid w:val="003239B8"/>
    <w:rsid w:val="00323DD5"/>
    <w:rsid w:val="0033169F"/>
    <w:rsid w:val="00331D60"/>
    <w:rsid w:val="003402A8"/>
    <w:rsid w:val="0034146E"/>
    <w:rsid w:val="0034172C"/>
    <w:rsid w:val="00344977"/>
    <w:rsid w:val="00346C95"/>
    <w:rsid w:val="00356185"/>
    <w:rsid w:val="00360380"/>
    <w:rsid w:val="00361FAB"/>
    <w:rsid w:val="0036223D"/>
    <w:rsid w:val="003638E9"/>
    <w:rsid w:val="003648DF"/>
    <w:rsid w:val="0036673F"/>
    <w:rsid w:val="00374605"/>
    <w:rsid w:val="0037519E"/>
    <w:rsid w:val="0037625F"/>
    <w:rsid w:val="00377A8F"/>
    <w:rsid w:val="00381784"/>
    <w:rsid w:val="00386CF0"/>
    <w:rsid w:val="0038783C"/>
    <w:rsid w:val="003912F9"/>
    <w:rsid w:val="00394073"/>
    <w:rsid w:val="00394AB9"/>
    <w:rsid w:val="003976F1"/>
    <w:rsid w:val="003A061A"/>
    <w:rsid w:val="003A5F08"/>
    <w:rsid w:val="003B70FB"/>
    <w:rsid w:val="003C676B"/>
    <w:rsid w:val="003D3566"/>
    <w:rsid w:val="003D3BC2"/>
    <w:rsid w:val="003E2449"/>
    <w:rsid w:val="003E348D"/>
    <w:rsid w:val="003E6049"/>
    <w:rsid w:val="003E6CA1"/>
    <w:rsid w:val="003E79EF"/>
    <w:rsid w:val="003F234A"/>
    <w:rsid w:val="003F27AE"/>
    <w:rsid w:val="003F5154"/>
    <w:rsid w:val="00404148"/>
    <w:rsid w:val="00405F9C"/>
    <w:rsid w:val="004065A8"/>
    <w:rsid w:val="00410A2F"/>
    <w:rsid w:val="00413124"/>
    <w:rsid w:val="00414C6D"/>
    <w:rsid w:val="004165C2"/>
    <w:rsid w:val="00416DCC"/>
    <w:rsid w:val="004230B6"/>
    <w:rsid w:val="004241A0"/>
    <w:rsid w:val="00437873"/>
    <w:rsid w:val="00441ECB"/>
    <w:rsid w:val="00445193"/>
    <w:rsid w:val="0046003E"/>
    <w:rsid w:val="00462441"/>
    <w:rsid w:val="00462C1B"/>
    <w:rsid w:val="00467B7E"/>
    <w:rsid w:val="004717B8"/>
    <w:rsid w:val="00473BB4"/>
    <w:rsid w:val="00475E48"/>
    <w:rsid w:val="00477592"/>
    <w:rsid w:val="00477DFF"/>
    <w:rsid w:val="0048537D"/>
    <w:rsid w:val="00486F1C"/>
    <w:rsid w:val="0049419D"/>
    <w:rsid w:val="004A057B"/>
    <w:rsid w:val="004A4F36"/>
    <w:rsid w:val="004A5E7E"/>
    <w:rsid w:val="004A6A54"/>
    <w:rsid w:val="004B421C"/>
    <w:rsid w:val="004B5C34"/>
    <w:rsid w:val="004C20D2"/>
    <w:rsid w:val="004C2312"/>
    <w:rsid w:val="004C4587"/>
    <w:rsid w:val="004C4656"/>
    <w:rsid w:val="004C46FF"/>
    <w:rsid w:val="004C4B62"/>
    <w:rsid w:val="004C54C9"/>
    <w:rsid w:val="004C562E"/>
    <w:rsid w:val="004D4ABA"/>
    <w:rsid w:val="004D6025"/>
    <w:rsid w:val="004E1AC1"/>
    <w:rsid w:val="004E2649"/>
    <w:rsid w:val="004F012A"/>
    <w:rsid w:val="004F0C1B"/>
    <w:rsid w:val="004F40DE"/>
    <w:rsid w:val="004F626F"/>
    <w:rsid w:val="00500251"/>
    <w:rsid w:val="00501399"/>
    <w:rsid w:val="005047ED"/>
    <w:rsid w:val="0050633D"/>
    <w:rsid w:val="00507BC4"/>
    <w:rsid w:val="005128E4"/>
    <w:rsid w:val="005133DB"/>
    <w:rsid w:val="00514504"/>
    <w:rsid w:val="00520D37"/>
    <w:rsid w:val="00521E1F"/>
    <w:rsid w:val="00525560"/>
    <w:rsid w:val="005321D0"/>
    <w:rsid w:val="0053285D"/>
    <w:rsid w:val="00533DFF"/>
    <w:rsid w:val="00535AFC"/>
    <w:rsid w:val="00544C49"/>
    <w:rsid w:val="0054573F"/>
    <w:rsid w:val="0055043B"/>
    <w:rsid w:val="005516A1"/>
    <w:rsid w:val="005527E6"/>
    <w:rsid w:val="005559EF"/>
    <w:rsid w:val="00563557"/>
    <w:rsid w:val="005668E5"/>
    <w:rsid w:val="00567A7F"/>
    <w:rsid w:val="0057402A"/>
    <w:rsid w:val="005755D3"/>
    <w:rsid w:val="0057693F"/>
    <w:rsid w:val="005771D0"/>
    <w:rsid w:val="00580D03"/>
    <w:rsid w:val="00581601"/>
    <w:rsid w:val="005851FF"/>
    <w:rsid w:val="00586DB6"/>
    <w:rsid w:val="0059061D"/>
    <w:rsid w:val="0059191A"/>
    <w:rsid w:val="00591E9B"/>
    <w:rsid w:val="005921FF"/>
    <w:rsid w:val="005922C0"/>
    <w:rsid w:val="005A1B7A"/>
    <w:rsid w:val="005A24ED"/>
    <w:rsid w:val="005A3656"/>
    <w:rsid w:val="005A6D0E"/>
    <w:rsid w:val="005B52B0"/>
    <w:rsid w:val="005B5E85"/>
    <w:rsid w:val="005B6806"/>
    <w:rsid w:val="005C1BC6"/>
    <w:rsid w:val="005C4001"/>
    <w:rsid w:val="005C4225"/>
    <w:rsid w:val="005F0DAD"/>
    <w:rsid w:val="005F0F33"/>
    <w:rsid w:val="006002C5"/>
    <w:rsid w:val="00600DEB"/>
    <w:rsid w:val="00607EC0"/>
    <w:rsid w:val="00612978"/>
    <w:rsid w:val="0062253E"/>
    <w:rsid w:val="00622B71"/>
    <w:rsid w:val="00627C9F"/>
    <w:rsid w:val="006311E9"/>
    <w:rsid w:val="00632354"/>
    <w:rsid w:val="00635421"/>
    <w:rsid w:val="00642810"/>
    <w:rsid w:val="00642990"/>
    <w:rsid w:val="00647932"/>
    <w:rsid w:val="00652333"/>
    <w:rsid w:val="00657EDF"/>
    <w:rsid w:val="0066541E"/>
    <w:rsid w:val="00665526"/>
    <w:rsid w:val="00667D4D"/>
    <w:rsid w:val="00677F89"/>
    <w:rsid w:val="0068009E"/>
    <w:rsid w:val="00690A24"/>
    <w:rsid w:val="00692219"/>
    <w:rsid w:val="006937E8"/>
    <w:rsid w:val="00693A30"/>
    <w:rsid w:val="00695355"/>
    <w:rsid w:val="006A17D2"/>
    <w:rsid w:val="006A49DD"/>
    <w:rsid w:val="006A5B9C"/>
    <w:rsid w:val="006A73E6"/>
    <w:rsid w:val="006B0EAC"/>
    <w:rsid w:val="006B2D5C"/>
    <w:rsid w:val="006B42B5"/>
    <w:rsid w:val="006C04E9"/>
    <w:rsid w:val="006C0ECF"/>
    <w:rsid w:val="006C1417"/>
    <w:rsid w:val="006C4EB1"/>
    <w:rsid w:val="006D1133"/>
    <w:rsid w:val="006D3E88"/>
    <w:rsid w:val="006D5957"/>
    <w:rsid w:val="006E0166"/>
    <w:rsid w:val="006E25DF"/>
    <w:rsid w:val="006E2FFB"/>
    <w:rsid w:val="006E3434"/>
    <w:rsid w:val="006E621A"/>
    <w:rsid w:val="006E69B5"/>
    <w:rsid w:val="006E7B34"/>
    <w:rsid w:val="006F5218"/>
    <w:rsid w:val="00701726"/>
    <w:rsid w:val="00703077"/>
    <w:rsid w:val="0070697F"/>
    <w:rsid w:val="007103C4"/>
    <w:rsid w:val="0072169B"/>
    <w:rsid w:val="0072199C"/>
    <w:rsid w:val="00722C9F"/>
    <w:rsid w:val="007253B8"/>
    <w:rsid w:val="0073741F"/>
    <w:rsid w:val="00737D29"/>
    <w:rsid w:val="00746F22"/>
    <w:rsid w:val="00751930"/>
    <w:rsid w:val="00755B27"/>
    <w:rsid w:val="00761A9B"/>
    <w:rsid w:val="0076643F"/>
    <w:rsid w:val="00766B5B"/>
    <w:rsid w:val="00770765"/>
    <w:rsid w:val="007716D8"/>
    <w:rsid w:val="00774162"/>
    <w:rsid w:val="00777F63"/>
    <w:rsid w:val="0079150F"/>
    <w:rsid w:val="007A2B2C"/>
    <w:rsid w:val="007A5817"/>
    <w:rsid w:val="007B05C4"/>
    <w:rsid w:val="007B186B"/>
    <w:rsid w:val="007B3BC5"/>
    <w:rsid w:val="007B60E9"/>
    <w:rsid w:val="007B6335"/>
    <w:rsid w:val="007B6CC3"/>
    <w:rsid w:val="007B76D3"/>
    <w:rsid w:val="007C3334"/>
    <w:rsid w:val="007C7BB7"/>
    <w:rsid w:val="007D2B98"/>
    <w:rsid w:val="007E21BC"/>
    <w:rsid w:val="007E3289"/>
    <w:rsid w:val="007E7C82"/>
    <w:rsid w:val="007F232D"/>
    <w:rsid w:val="007F2AA1"/>
    <w:rsid w:val="007F588D"/>
    <w:rsid w:val="007F733E"/>
    <w:rsid w:val="007F755B"/>
    <w:rsid w:val="00803F1C"/>
    <w:rsid w:val="0080600E"/>
    <w:rsid w:val="00814688"/>
    <w:rsid w:val="008152A3"/>
    <w:rsid w:val="00815D49"/>
    <w:rsid w:val="00817612"/>
    <w:rsid w:val="00823844"/>
    <w:rsid w:val="00825832"/>
    <w:rsid w:val="0082733D"/>
    <w:rsid w:val="00830123"/>
    <w:rsid w:val="0083107B"/>
    <w:rsid w:val="008338A4"/>
    <w:rsid w:val="00834D49"/>
    <w:rsid w:val="00836F07"/>
    <w:rsid w:val="00837C45"/>
    <w:rsid w:val="0084406F"/>
    <w:rsid w:val="00844730"/>
    <w:rsid w:val="008449B0"/>
    <w:rsid w:val="008457C2"/>
    <w:rsid w:val="00857A82"/>
    <w:rsid w:val="00862384"/>
    <w:rsid w:val="00873836"/>
    <w:rsid w:val="00875F9C"/>
    <w:rsid w:val="00884DE4"/>
    <w:rsid w:val="00885737"/>
    <w:rsid w:val="00887C68"/>
    <w:rsid w:val="00890650"/>
    <w:rsid w:val="00890DA0"/>
    <w:rsid w:val="0089252C"/>
    <w:rsid w:val="008944DC"/>
    <w:rsid w:val="00895123"/>
    <w:rsid w:val="00897E12"/>
    <w:rsid w:val="008A3ABE"/>
    <w:rsid w:val="008A66C1"/>
    <w:rsid w:val="008A7E0F"/>
    <w:rsid w:val="008B0BA3"/>
    <w:rsid w:val="008B12F5"/>
    <w:rsid w:val="008C3A4E"/>
    <w:rsid w:val="008C5E2D"/>
    <w:rsid w:val="008D768D"/>
    <w:rsid w:val="008D7A89"/>
    <w:rsid w:val="008E3759"/>
    <w:rsid w:val="008E3BFE"/>
    <w:rsid w:val="008E4086"/>
    <w:rsid w:val="008F1912"/>
    <w:rsid w:val="00901503"/>
    <w:rsid w:val="0090270B"/>
    <w:rsid w:val="009041DC"/>
    <w:rsid w:val="0090457F"/>
    <w:rsid w:val="00905E26"/>
    <w:rsid w:val="00917B5A"/>
    <w:rsid w:val="00920A58"/>
    <w:rsid w:val="00920A8C"/>
    <w:rsid w:val="00921234"/>
    <w:rsid w:val="009305C6"/>
    <w:rsid w:val="009309EE"/>
    <w:rsid w:val="00934A2C"/>
    <w:rsid w:val="00950C33"/>
    <w:rsid w:val="0096198B"/>
    <w:rsid w:val="009619D7"/>
    <w:rsid w:val="0096706E"/>
    <w:rsid w:val="00974276"/>
    <w:rsid w:val="00974491"/>
    <w:rsid w:val="00975AE3"/>
    <w:rsid w:val="00975C4E"/>
    <w:rsid w:val="0098178D"/>
    <w:rsid w:val="00981FBA"/>
    <w:rsid w:val="009901DC"/>
    <w:rsid w:val="00994934"/>
    <w:rsid w:val="00995E10"/>
    <w:rsid w:val="00997BC5"/>
    <w:rsid w:val="009A398B"/>
    <w:rsid w:val="009A4BF7"/>
    <w:rsid w:val="009A4F41"/>
    <w:rsid w:val="009A56CE"/>
    <w:rsid w:val="009B381B"/>
    <w:rsid w:val="009B391C"/>
    <w:rsid w:val="009C25DD"/>
    <w:rsid w:val="009C620E"/>
    <w:rsid w:val="009D1753"/>
    <w:rsid w:val="009D7611"/>
    <w:rsid w:val="009E0B61"/>
    <w:rsid w:val="009E263E"/>
    <w:rsid w:val="009E4EBF"/>
    <w:rsid w:val="009E53DE"/>
    <w:rsid w:val="009E594D"/>
    <w:rsid w:val="009E5C5A"/>
    <w:rsid w:val="009F0A81"/>
    <w:rsid w:val="009F67D5"/>
    <w:rsid w:val="00A11212"/>
    <w:rsid w:val="00A11E44"/>
    <w:rsid w:val="00A13968"/>
    <w:rsid w:val="00A15562"/>
    <w:rsid w:val="00A221E8"/>
    <w:rsid w:val="00A2228B"/>
    <w:rsid w:val="00A267E5"/>
    <w:rsid w:val="00A30100"/>
    <w:rsid w:val="00A31170"/>
    <w:rsid w:val="00A328B3"/>
    <w:rsid w:val="00A42C7B"/>
    <w:rsid w:val="00A50787"/>
    <w:rsid w:val="00A50FCF"/>
    <w:rsid w:val="00A528D1"/>
    <w:rsid w:val="00A610CD"/>
    <w:rsid w:val="00A758AA"/>
    <w:rsid w:val="00A85CC1"/>
    <w:rsid w:val="00A8631A"/>
    <w:rsid w:val="00AA09A2"/>
    <w:rsid w:val="00AA2053"/>
    <w:rsid w:val="00AA6B6E"/>
    <w:rsid w:val="00AA7996"/>
    <w:rsid w:val="00AC1532"/>
    <w:rsid w:val="00AC19CB"/>
    <w:rsid w:val="00AC4B2D"/>
    <w:rsid w:val="00AD02CF"/>
    <w:rsid w:val="00AE5488"/>
    <w:rsid w:val="00AE6F91"/>
    <w:rsid w:val="00AF5571"/>
    <w:rsid w:val="00AF7A73"/>
    <w:rsid w:val="00B010DF"/>
    <w:rsid w:val="00B04818"/>
    <w:rsid w:val="00B07341"/>
    <w:rsid w:val="00B14B60"/>
    <w:rsid w:val="00B22073"/>
    <w:rsid w:val="00B26167"/>
    <w:rsid w:val="00B26770"/>
    <w:rsid w:val="00B30539"/>
    <w:rsid w:val="00B314DB"/>
    <w:rsid w:val="00B361F2"/>
    <w:rsid w:val="00B3718B"/>
    <w:rsid w:val="00B3745F"/>
    <w:rsid w:val="00B3798D"/>
    <w:rsid w:val="00B3798E"/>
    <w:rsid w:val="00B40BB6"/>
    <w:rsid w:val="00B418A1"/>
    <w:rsid w:val="00B46115"/>
    <w:rsid w:val="00B4632A"/>
    <w:rsid w:val="00B530F1"/>
    <w:rsid w:val="00B5650E"/>
    <w:rsid w:val="00B56738"/>
    <w:rsid w:val="00B56878"/>
    <w:rsid w:val="00B5750A"/>
    <w:rsid w:val="00B634A6"/>
    <w:rsid w:val="00B66A61"/>
    <w:rsid w:val="00B7712A"/>
    <w:rsid w:val="00B84965"/>
    <w:rsid w:val="00B93D7F"/>
    <w:rsid w:val="00B94139"/>
    <w:rsid w:val="00B949D7"/>
    <w:rsid w:val="00B97F28"/>
    <w:rsid w:val="00BA1B39"/>
    <w:rsid w:val="00BA276C"/>
    <w:rsid w:val="00BB019D"/>
    <w:rsid w:val="00BB306F"/>
    <w:rsid w:val="00BB43AA"/>
    <w:rsid w:val="00BB600A"/>
    <w:rsid w:val="00BD0FF5"/>
    <w:rsid w:val="00BD2075"/>
    <w:rsid w:val="00BD4559"/>
    <w:rsid w:val="00BD4B89"/>
    <w:rsid w:val="00BD5922"/>
    <w:rsid w:val="00BE0F3B"/>
    <w:rsid w:val="00BF02CB"/>
    <w:rsid w:val="00BF122D"/>
    <w:rsid w:val="00BF6FD8"/>
    <w:rsid w:val="00C01B56"/>
    <w:rsid w:val="00C03680"/>
    <w:rsid w:val="00C03E14"/>
    <w:rsid w:val="00C054DF"/>
    <w:rsid w:val="00C05921"/>
    <w:rsid w:val="00C1338C"/>
    <w:rsid w:val="00C15755"/>
    <w:rsid w:val="00C21762"/>
    <w:rsid w:val="00C21FEF"/>
    <w:rsid w:val="00C23BA4"/>
    <w:rsid w:val="00C24543"/>
    <w:rsid w:val="00C24FAD"/>
    <w:rsid w:val="00C256A2"/>
    <w:rsid w:val="00C25ADB"/>
    <w:rsid w:val="00C276CB"/>
    <w:rsid w:val="00C33447"/>
    <w:rsid w:val="00C34AB4"/>
    <w:rsid w:val="00C43772"/>
    <w:rsid w:val="00C50371"/>
    <w:rsid w:val="00C51515"/>
    <w:rsid w:val="00C529B7"/>
    <w:rsid w:val="00C5396F"/>
    <w:rsid w:val="00C5660B"/>
    <w:rsid w:val="00C61D9C"/>
    <w:rsid w:val="00C66B72"/>
    <w:rsid w:val="00C721A2"/>
    <w:rsid w:val="00C755CF"/>
    <w:rsid w:val="00C87A57"/>
    <w:rsid w:val="00C87AC4"/>
    <w:rsid w:val="00C9567A"/>
    <w:rsid w:val="00CB212D"/>
    <w:rsid w:val="00CB2660"/>
    <w:rsid w:val="00CB36FA"/>
    <w:rsid w:val="00CC4BA6"/>
    <w:rsid w:val="00CC5E90"/>
    <w:rsid w:val="00CD046C"/>
    <w:rsid w:val="00CD449E"/>
    <w:rsid w:val="00CD607F"/>
    <w:rsid w:val="00CD7A61"/>
    <w:rsid w:val="00CE076C"/>
    <w:rsid w:val="00CE18C3"/>
    <w:rsid w:val="00CE5199"/>
    <w:rsid w:val="00CE66D5"/>
    <w:rsid w:val="00CF52EE"/>
    <w:rsid w:val="00CF637A"/>
    <w:rsid w:val="00D049A2"/>
    <w:rsid w:val="00D059DE"/>
    <w:rsid w:val="00D05ABD"/>
    <w:rsid w:val="00D06D99"/>
    <w:rsid w:val="00D128C1"/>
    <w:rsid w:val="00D13FCE"/>
    <w:rsid w:val="00D1538F"/>
    <w:rsid w:val="00D306D1"/>
    <w:rsid w:val="00D30800"/>
    <w:rsid w:val="00D32090"/>
    <w:rsid w:val="00D34786"/>
    <w:rsid w:val="00D35291"/>
    <w:rsid w:val="00D37BFC"/>
    <w:rsid w:val="00D419CA"/>
    <w:rsid w:val="00D4293B"/>
    <w:rsid w:val="00D47A8E"/>
    <w:rsid w:val="00D52D14"/>
    <w:rsid w:val="00D70631"/>
    <w:rsid w:val="00D712D3"/>
    <w:rsid w:val="00D71422"/>
    <w:rsid w:val="00D72DC6"/>
    <w:rsid w:val="00D74A2F"/>
    <w:rsid w:val="00D7558D"/>
    <w:rsid w:val="00D75800"/>
    <w:rsid w:val="00D81D92"/>
    <w:rsid w:val="00D876F9"/>
    <w:rsid w:val="00D94F6A"/>
    <w:rsid w:val="00DA7B5F"/>
    <w:rsid w:val="00DB444A"/>
    <w:rsid w:val="00DB5C99"/>
    <w:rsid w:val="00DB772F"/>
    <w:rsid w:val="00DC0D1A"/>
    <w:rsid w:val="00DC11E7"/>
    <w:rsid w:val="00DC24E3"/>
    <w:rsid w:val="00DC5706"/>
    <w:rsid w:val="00DC7023"/>
    <w:rsid w:val="00DC769A"/>
    <w:rsid w:val="00DD3D86"/>
    <w:rsid w:val="00DD4AD2"/>
    <w:rsid w:val="00DE2862"/>
    <w:rsid w:val="00DF1EC4"/>
    <w:rsid w:val="00DF392B"/>
    <w:rsid w:val="00E0340B"/>
    <w:rsid w:val="00E04A90"/>
    <w:rsid w:val="00E0551F"/>
    <w:rsid w:val="00E17E98"/>
    <w:rsid w:val="00E219C7"/>
    <w:rsid w:val="00E2233C"/>
    <w:rsid w:val="00E234D4"/>
    <w:rsid w:val="00E25101"/>
    <w:rsid w:val="00E31749"/>
    <w:rsid w:val="00E32B69"/>
    <w:rsid w:val="00E35E0E"/>
    <w:rsid w:val="00E40140"/>
    <w:rsid w:val="00E407C6"/>
    <w:rsid w:val="00E4118C"/>
    <w:rsid w:val="00E43157"/>
    <w:rsid w:val="00E461CE"/>
    <w:rsid w:val="00E4729B"/>
    <w:rsid w:val="00E4758C"/>
    <w:rsid w:val="00E573E4"/>
    <w:rsid w:val="00E613EE"/>
    <w:rsid w:val="00E62998"/>
    <w:rsid w:val="00E64C3D"/>
    <w:rsid w:val="00E66075"/>
    <w:rsid w:val="00E720CA"/>
    <w:rsid w:val="00E7279D"/>
    <w:rsid w:val="00E73B34"/>
    <w:rsid w:val="00E75C7B"/>
    <w:rsid w:val="00E82DC9"/>
    <w:rsid w:val="00E84EB5"/>
    <w:rsid w:val="00E85662"/>
    <w:rsid w:val="00E8789F"/>
    <w:rsid w:val="00E95B14"/>
    <w:rsid w:val="00E97B5C"/>
    <w:rsid w:val="00E97B71"/>
    <w:rsid w:val="00EA2181"/>
    <w:rsid w:val="00EA3D34"/>
    <w:rsid w:val="00EA4F24"/>
    <w:rsid w:val="00EB454D"/>
    <w:rsid w:val="00EB711A"/>
    <w:rsid w:val="00EC02F5"/>
    <w:rsid w:val="00EC0947"/>
    <w:rsid w:val="00ED026A"/>
    <w:rsid w:val="00ED549D"/>
    <w:rsid w:val="00ED5E10"/>
    <w:rsid w:val="00ED76BE"/>
    <w:rsid w:val="00EE00E9"/>
    <w:rsid w:val="00EF1AAA"/>
    <w:rsid w:val="00EF263D"/>
    <w:rsid w:val="00EF498C"/>
    <w:rsid w:val="00EF5F75"/>
    <w:rsid w:val="00EF619B"/>
    <w:rsid w:val="00EF67E5"/>
    <w:rsid w:val="00EF6A29"/>
    <w:rsid w:val="00F00B55"/>
    <w:rsid w:val="00F02AD1"/>
    <w:rsid w:val="00F1343B"/>
    <w:rsid w:val="00F171BC"/>
    <w:rsid w:val="00F23E97"/>
    <w:rsid w:val="00F253CC"/>
    <w:rsid w:val="00F32BF8"/>
    <w:rsid w:val="00F33920"/>
    <w:rsid w:val="00F37106"/>
    <w:rsid w:val="00F4418B"/>
    <w:rsid w:val="00F44E25"/>
    <w:rsid w:val="00F518E0"/>
    <w:rsid w:val="00F519CF"/>
    <w:rsid w:val="00F56BA5"/>
    <w:rsid w:val="00F56ECB"/>
    <w:rsid w:val="00F60E22"/>
    <w:rsid w:val="00F638AB"/>
    <w:rsid w:val="00F70B3D"/>
    <w:rsid w:val="00F746B1"/>
    <w:rsid w:val="00F81395"/>
    <w:rsid w:val="00F81BB8"/>
    <w:rsid w:val="00F84E53"/>
    <w:rsid w:val="00F85F9E"/>
    <w:rsid w:val="00F90C64"/>
    <w:rsid w:val="00F917D1"/>
    <w:rsid w:val="00F942EB"/>
    <w:rsid w:val="00F9653B"/>
    <w:rsid w:val="00FB0E1D"/>
    <w:rsid w:val="00FB62CF"/>
    <w:rsid w:val="00FB68FA"/>
    <w:rsid w:val="00FD3C3B"/>
    <w:rsid w:val="00FE07DD"/>
    <w:rsid w:val="00FE6B45"/>
    <w:rsid w:val="00FF55F3"/>
    <w:rsid w:val="00FF56AB"/>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rsid w:val="00DB772F"/>
    <w:pPr>
      <w:spacing w:before="240" w:after="240"/>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B46115"/>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Revision">
    <w:name w:val="Revision"/>
    <w:hidden/>
    <w:uiPriority w:val="99"/>
    <w:semiHidden/>
    <w:rsid w:val="003E244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61297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612978"/>
  </w:style>
  <w:style w:type="character" w:customStyle="1" w:styleId="eop">
    <w:name w:val="eop"/>
    <w:basedOn w:val="DefaultParagraphFont"/>
    <w:rsid w:val="00612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2576">
      <w:bodyDiv w:val="1"/>
      <w:marLeft w:val="0"/>
      <w:marRight w:val="0"/>
      <w:marTop w:val="0"/>
      <w:marBottom w:val="0"/>
      <w:divBdr>
        <w:top w:val="none" w:sz="0" w:space="0" w:color="auto"/>
        <w:left w:val="none" w:sz="0" w:space="0" w:color="auto"/>
        <w:bottom w:val="none" w:sz="0" w:space="0" w:color="auto"/>
        <w:right w:val="none" w:sz="0" w:space="0" w:color="auto"/>
      </w:divBdr>
    </w:div>
    <w:div w:id="102821256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38691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436D5"/>
    <w:rsid w:val="0025245B"/>
    <w:rsid w:val="002A3923"/>
    <w:rsid w:val="00323DD5"/>
    <w:rsid w:val="00394049"/>
    <w:rsid w:val="003B0C71"/>
    <w:rsid w:val="003B6048"/>
    <w:rsid w:val="003E2DD8"/>
    <w:rsid w:val="00477DFF"/>
    <w:rsid w:val="004B5BBB"/>
    <w:rsid w:val="004F2DF8"/>
    <w:rsid w:val="00517E2A"/>
    <w:rsid w:val="00586DB6"/>
    <w:rsid w:val="006D1133"/>
    <w:rsid w:val="006D3128"/>
    <w:rsid w:val="006F24A1"/>
    <w:rsid w:val="007F1DE6"/>
    <w:rsid w:val="00875B8A"/>
    <w:rsid w:val="008937F7"/>
    <w:rsid w:val="008953BC"/>
    <w:rsid w:val="00901503"/>
    <w:rsid w:val="009619D7"/>
    <w:rsid w:val="009A261B"/>
    <w:rsid w:val="009E4EBF"/>
    <w:rsid w:val="00AA2E17"/>
    <w:rsid w:val="00AC15A4"/>
    <w:rsid w:val="00B0336C"/>
    <w:rsid w:val="00CD307E"/>
    <w:rsid w:val="00D241E9"/>
    <w:rsid w:val="00D7750D"/>
    <w:rsid w:val="00E66075"/>
    <w:rsid w:val="00EA4F24"/>
    <w:rsid w:val="00EF67E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3103</Words>
  <Characters>17690</Characters>
  <Application>Microsoft Office Word</Application>
  <DocSecurity>0</DocSecurity>
  <Lines>147</Lines>
  <Paragraphs>41</Paragraphs>
  <ScaleCrop>false</ScaleCrop>
  <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2025-02-10T19:40:00Z</dcterms:created>
  <dcterms:modified xsi:type="dcterms:W3CDTF">2025-02-10T19:40:00Z</dcterms:modified>
</cp:coreProperties>
</file>