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6205BD98">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3801C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A393D" w14:textId="5FA492DA" w:rsidR="004E318B" w:rsidRPr="00C01C57" w:rsidRDefault="004E318B" w:rsidP="004E318B">
                            <w:pPr>
                              <w:spacing w:line="275" w:lineRule="auto"/>
                              <w:textDirection w:val="btLr"/>
                              <w:rPr>
                                <w:lang w:val="es-US"/>
                              </w:rPr>
                            </w:pPr>
                            <w:r w:rsidRPr="00C01C57">
                              <w:rPr>
                                <w:rFonts w:ascii="Cambria" w:eastAsia="Cambria" w:hAnsi="Cambria" w:cs="Cambria"/>
                                <w:b/>
                                <w:color w:val="0D0D0D"/>
                                <w:sz w:val="36"/>
                                <w:lang w:val="es-US"/>
                              </w:rPr>
                              <w:t xml:space="preserve">INFORME No. </w:t>
                            </w:r>
                            <w:r w:rsidR="005C766C">
                              <w:rPr>
                                <w:rFonts w:ascii="Cambria" w:eastAsia="Cambria" w:hAnsi="Cambria" w:cs="Cambria"/>
                                <w:b/>
                                <w:color w:val="0D0D0D"/>
                                <w:sz w:val="36"/>
                                <w:lang w:val="es-US"/>
                              </w:rPr>
                              <w:t>239</w:t>
                            </w:r>
                            <w:r w:rsidRPr="00C01C57">
                              <w:rPr>
                                <w:rFonts w:ascii="Cambria" w:eastAsia="Cambria" w:hAnsi="Cambria" w:cs="Cambria"/>
                                <w:b/>
                                <w:color w:val="0D0D0D"/>
                                <w:sz w:val="36"/>
                                <w:lang w:val="es-US"/>
                              </w:rPr>
                              <w:t>/</w:t>
                            </w:r>
                            <w:r>
                              <w:rPr>
                                <w:rFonts w:ascii="Cambria" w:eastAsia="Cambria" w:hAnsi="Cambria" w:cs="Cambria"/>
                                <w:b/>
                                <w:color w:val="0D0D0D"/>
                                <w:sz w:val="36"/>
                                <w:lang w:val="es-US"/>
                              </w:rPr>
                              <w:t>24</w:t>
                            </w:r>
                          </w:p>
                          <w:p w14:paraId="0772C237" w14:textId="77777777" w:rsidR="004E318B" w:rsidRPr="00C01C57" w:rsidRDefault="004E318B" w:rsidP="004E318B">
                            <w:pPr>
                              <w:spacing w:line="275" w:lineRule="auto"/>
                              <w:textDirection w:val="btLr"/>
                              <w:rPr>
                                <w:lang w:val="es-US"/>
                              </w:rPr>
                            </w:pPr>
                            <w:r w:rsidRPr="00C01C57">
                              <w:rPr>
                                <w:rFonts w:ascii="Cambria" w:eastAsia="Cambria" w:hAnsi="Cambria" w:cs="Cambria"/>
                                <w:b/>
                                <w:color w:val="0D0D0D"/>
                                <w:sz w:val="36"/>
                                <w:lang w:val="es-US"/>
                              </w:rPr>
                              <w:t xml:space="preserve">PETICIÓN 382-16 </w:t>
                            </w:r>
                          </w:p>
                          <w:p w14:paraId="58915E6B" w14:textId="77777777" w:rsidR="004E318B" w:rsidRPr="00C01C57" w:rsidRDefault="004E318B" w:rsidP="004E318B">
                            <w:pPr>
                              <w:spacing w:line="275" w:lineRule="auto"/>
                              <w:textDirection w:val="btLr"/>
                              <w:rPr>
                                <w:lang w:val="es-US"/>
                              </w:rPr>
                            </w:pPr>
                            <w:r w:rsidRPr="00C01C57">
                              <w:rPr>
                                <w:rFonts w:ascii="Cambria" w:eastAsia="Cambria" w:hAnsi="Cambria" w:cs="Cambria"/>
                                <w:color w:val="0D0D0D"/>
                                <w:lang w:val="es-US"/>
                              </w:rPr>
                              <w:t>INFORME DE ADMISIBILIDAD</w:t>
                            </w:r>
                          </w:p>
                          <w:p w14:paraId="5BE00FAD" w14:textId="77777777" w:rsidR="004E318B" w:rsidRPr="00C01C57" w:rsidRDefault="004E318B" w:rsidP="004E318B">
                            <w:pPr>
                              <w:spacing w:line="275" w:lineRule="auto"/>
                              <w:textDirection w:val="btLr"/>
                              <w:rPr>
                                <w:lang w:val="es-US"/>
                              </w:rPr>
                            </w:pPr>
                          </w:p>
                          <w:p w14:paraId="3DC653C3" w14:textId="77777777" w:rsidR="004E318B" w:rsidRPr="00C01C57" w:rsidRDefault="004E318B" w:rsidP="004E318B">
                            <w:pPr>
                              <w:spacing w:line="275" w:lineRule="auto"/>
                              <w:textDirection w:val="btLr"/>
                              <w:rPr>
                                <w:lang w:val="es-US"/>
                              </w:rPr>
                            </w:pPr>
                            <w:r>
                              <w:rPr>
                                <w:rFonts w:ascii="Cambria" w:eastAsia="Cambria" w:hAnsi="Cambria" w:cs="Cambria"/>
                                <w:color w:val="0D0D0D"/>
                                <w:lang w:val="es-US"/>
                              </w:rPr>
                              <w:t xml:space="preserve">GERENTES Y COMUNICADORES DE </w:t>
                            </w:r>
                            <w:r w:rsidRPr="00C01C57">
                              <w:rPr>
                                <w:rFonts w:ascii="Cambria" w:eastAsia="Cambria" w:hAnsi="Cambria" w:cs="Cambria"/>
                                <w:color w:val="0D0D0D"/>
                                <w:lang w:val="es-US"/>
                              </w:rPr>
                              <w:t xml:space="preserve">RADIODIFUSORA CAPLINA </w:t>
                            </w:r>
                          </w:p>
                          <w:p w14:paraId="7C88399A" w14:textId="77777777" w:rsidR="004E318B" w:rsidRDefault="004E318B" w:rsidP="004E318B">
                            <w:pPr>
                              <w:spacing w:line="275" w:lineRule="auto"/>
                              <w:textDirection w:val="btLr"/>
                            </w:pPr>
                            <w:r>
                              <w:rPr>
                                <w:rFonts w:ascii="Cambria" w:eastAsia="Cambria" w:hAnsi="Cambria" w:cs="Cambria"/>
                                <w:color w:val="0D0D0D"/>
                              </w:rPr>
                              <w:t>PERÚ</w:t>
                            </w:r>
                          </w:p>
                          <w:p w14:paraId="0B9F7D22" w14:textId="424AFDDF" w:rsidR="005B52B0" w:rsidRPr="00F56ECB" w:rsidRDefault="005B52B0" w:rsidP="00F56ECB">
                            <w:pPr>
                              <w:spacing w:line="276" w:lineRule="auto"/>
                              <w:rPr>
                                <w:rFonts w:asciiTheme="majorHAnsi" w:hAnsiTheme="majorHAnsi" w:cs="Arial"/>
                                <w:color w:val="0D0D0D" w:themeColor="text1" w:themeTint="F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51FA393D" w14:textId="5FA492DA" w:rsidR="004E318B" w:rsidRPr="00C01C57" w:rsidRDefault="004E318B" w:rsidP="004E318B">
                      <w:pPr>
                        <w:spacing w:line="275" w:lineRule="auto"/>
                        <w:textDirection w:val="btLr"/>
                        <w:rPr>
                          <w:lang w:val="es-US"/>
                        </w:rPr>
                      </w:pPr>
                      <w:r w:rsidRPr="00C01C57">
                        <w:rPr>
                          <w:rFonts w:ascii="Cambria" w:eastAsia="Cambria" w:hAnsi="Cambria" w:cs="Cambria"/>
                          <w:b/>
                          <w:color w:val="0D0D0D"/>
                          <w:sz w:val="36"/>
                          <w:lang w:val="es-US"/>
                        </w:rPr>
                        <w:t xml:space="preserve">INFORME No. </w:t>
                      </w:r>
                      <w:r w:rsidR="005C766C">
                        <w:rPr>
                          <w:rFonts w:ascii="Cambria" w:eastAsia="Cambria" w:hAnsi="Cambria" w:cs="Cambria"/>
                          <w:b/>
                          <w:color w:val="0D0D0D"/>
                          <w:sz w:val="36"/>
                          <w:lang w:val="es-US"/>
                        </w:rPr>
                        <w:t>239</w:t>
                      </w:r>
                      <w:r w:rsidRPr="00C01C57">
                        <w:rPr>
                          <w:rFonts w:ascii="Cambria" w:eastAsia="Cambria" w:hAnsi="Cambria" w:cs="Cambria"/>
                          <w:b/>
                          <w:color w:val="0D0D0D"/>
                          <w:sz w:val="36"/>
                          <w:lang w:val="es-US"/>
                        </w:rPr>
                        <w:t>/</w:t>
                      </w:r>
                      <w:r>
                        <w:rPr>
                          <w:rFonts w:ascii="Cambria" w:eastAsia="Cambria" w:hAnsi="Cambria" w:cs="Cambria"/>
                          <w:b/>
                          <w:color w:val="0D0D0D"/>
                          <w:sz w:val="36"/>
                          <w:lang w:val="es-US"/>
                        </w:rPr>
                        <w:t>24</w:t>
                      </w:r>
                    </w:p>
                    <w:p w14:paraId="0772C237" w14:textId="77777777" w:rsidR="004E318B" w:rsidRPr="00C01C57" w:rsidRDefault="004E318B" w:rsidP="004E318B">
                      <w:pPr>
                        <w:spacing w:line="275" w:lineRule="auto"/>
                        <w:textDirection w:val="btLr"/>
                        <w:rPr>
                          <w:lang w:val="es-US"/>
                        </w:rPr>
                      </w:pPr>
                      <w:r w:rsidRPr="00C01C57">
                        <w:rPr>
                          <w:rFonts w:ascii="Cambria" w:eastAsia="Cambria" w:hAnsi="Cambria" w:cs="Cambria"/>
                          <w:b/>
                          <w:color w:val="0D0D0D"/>
                          <w:sz w:val="36"/>
                          <w:lang w:val="es-US"/>
                        </w:rPr>
                        <w:t xml:space="preserve">PETICIÓN 382-16 </w:t>
                      </w:r>
                    </w:p>
                    <w:p w14:paraId="58915E6B" w14:textId="77777777" w:rsidR="004E318B" w:rsidRPr="00C01C57" w:rsidRDefault="004E318B" w:rsidP="004E318B">
                      <w:pPr>
                        <w:spacing w:line="275" w:lineRule="auto"/>
                        <w:textDirection w:val="btLr"/>
                        <w:rPr>
                          <w:lang w:val="es-US"/>
                        </w:rPr>
                      </w:pPr>
                      <w:r w:rsidRPr="00C01C57">
                        <w:rPr>
                          <w:rFonts w:ascii="Cambria" w:eastAsia="Cambria" w:hAnsi="Cambria" w:cs="Cambria"/>
                          <w:color w:val="0D0D0D"/>
                          <w:lang w:val="es-US"/>
                        </w:rPr>
                        <w:t>INFORME DE ADMISIBILIDAD</w:t>
                      </w:r>
                    </w:p>
                    <w:p w14:paraId="5BE00FAD" w14:textId="77777777" w:rsidR="004E318B" w:rsidRPr="00C01C57" w:rsidRDefault="004E318B" w:rsidP="004E318B">
                      <w:pPr>
                        <w:spacing w:line="275" w:lineRule="auto"/>
                        <w:textDirection w:val="btLr"/>
                        <w:rPr>
                          <w:lang w:val="es-US"/>
                        </w:rPr>
                      </w:pPr>
                    </w:p>
                    <w:p w14:paraId="3DC653C3" w14:textId="77777777" w:rsidR="004E318B" w:rsidRPr="00C01C57" w:rsidRDefault="004E318B" w:rsidP="004E318B">
                      <w:pPr>
                        <w:spacing w:line="275" w:lineRule="auto"/>
                        <w:textDirection w:val="btLr"/>
                        <w:rPr>
                          <w:lang w:val="es-US"/>
                        </w:rPr>
                      </w:pPr>
                      <w:r>
                        <w:rPr>
                          <w:rFonts w:ascii="Cambria" w:eastAsia="Cambria" w:hAnsi="Cambria" w:cs="Cambria"/>
                          <w:color w:val="0D0D0D"/>
                          <w:lang w:val="es-US"/>
                        </w:rPr>
                        <w:t xml:space="preserve">GERENTES Y COMUNICADORES DE </w:t>
                      </w:r>
                      <w:r w:rsidRPr="00C01C57">
                        <w:rPr>
                          <w:rFonts w:ascii="Cambria" w:eastAsia="Cambria" w:hAnsi="Cambria" w:cs="Cambria"/>
                          <w:color w:val="0D0D0D"/>
                          <w:lang w:val="es-US"/>
                        </w:rPr>
                        <w:t xml:space="preserve">RADIODIFUSORA CAPLINA </w:t>
                      </w:r>
                    </w:p>
                    <w:p w14:paraId="7C88399A" w14:textId="77777777" w:rsidR="004E318B" w:rsidRDefault="004E318B" w:rsidP="004E318B">
                      <w:pPr>
                        <w:spacing w:line="275" w:lineRule="auto"/>
                        <w:textDirection w:val="btLr"/>
                      </w:pPr>
                      <w:r>
                        <w:rPr>
                          <w:rFonts w:ascii="Cambria" w:eastAsia="Cambria" w:hAnsi="Cambria" w:cs="Cambria"/>
                          <w:color w:val="0D0D0D"/>
                        </w:rPr>
                        <w:t>PERÚ</w:t>
                      </w:r>
                    </w:p>
                    <w:p w14:paraId="0B9F7D22" w14:textId="424AFDDF" w:rsidR="005B52B0" w:rsidRPr="00F56ECB" w:rsidRDefault="005B52B0" w:rsidP="00F56ECB">
                      <w:pPr>
                        <w:spacing w:line="276" w:lineRule="auto"/>
                        <w:rPr>
                          <w:rFonts w:asciiTheme="majorHAnsi" w:hAnsiTheme="majorHAnsi" w:cs="Arial"/>
                          <w:color w:val="0D0D0D" w:themeColor="text1" w:themeTint="F2"/>
                          <w:szCs w:val="22"/>
                          <w:lang w:val="es-ES"/>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31E0B82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7A2A43D" w:rsidR="00627C9F" w:rsidRPr="00252B6E" w:rsidRDefault="00834D49" w:rsidP="007A5817">
                            <w:pPr>
                              <w:spacing w:line="276" w:lineRule="auto"/>
                              <w:jc w:val="right"/>
                              <w:rPr>
                                <w:rFonts w:asciiTheme="minorHAnsi" w:hAnsiTheme="minorHAnsi"/>
                                <w:color w:val="FFFFFF" w:themeColor="background1"/>
                                <w:sz w:val="22"/>
                                <w:lang w:val="es-AR"/>
                              </w:rPr>
                            </w:pPr>
                            <w:r w:rsidRPr="00252B6E">
                              <w:rPr>
                                <w:rFonts w:asciiTheme="minorHAnsi" w:hAnsiTheme="minorHAnsi"/>
                                <w:color w:val="FFFFFF" w:themeColor="background1"/>
                                <w:sz w:val="22"/>
                                <w:lang w:val="es-AR"/>
                              </w:rPr>
                              <w:t>OEA/Ser.L/V/II</w:t>
                            </w:r>
                          </w:p>
                          <w:p w14:paraId="71D2D5D2" w14:textId="41936E7A" w:rsidR="00627C9F" w:rsidRPr="00FF5D0A" w:rsidRDefault="00627C9F" w:rsidP="007A5817">
                            <w:pPr>
                              <w:spacing w:line="276" w:lineRule="auto"/>
                              <w:jc w:val="right"/>
                              <w:rPr>
                                <w:rFonts w:asciiTheme="minorHAnsi" w:hAnsiTheme="minorHAnsi"/>
                                <w:color w:val="FFFFFF" w:themeColor="background1"/>
                                <w:sz w:val="22"/>
                                <w:lang w:val="es-ES"/>
                              </w:rPr>
                            </w:pPr>
                            <w:r w:rsidRPr="00FF5D0A">
                              <w:rPr>
                                <w:rFonts w:asciiTheme="minorHAnsi" w:hAnsiTheme="minorHAnsi"/>
                                <w:color w:val="FFFFFF" w:themeColor="background1"/>
                                <w:sz w:val="22"/>
                                <w:lang w:val="es-ES"/>
                              </w:rPr>
                              <w:t>Doc.</w:t>
                            </w:r>
                            <w:r w:rsidR="005C766C" w:rsidRPr="00FF5D0A">
                              <w:rPr>
                                <w:rFonts w:asciiTheme="minorHAnsi" w:hAnsiTheme="minorHAnsi"/>
                                <w:color w:val="FFFFFF" w:themeColor="background1"/>
                                <w:sz w:val="22"/>
                                <w:lang w:val="es-ES"/>
                              </w:rPr>
                              <w:t xml:space="preserve"> 251</w:t>
                            </w:r>
                            <w:r w:rsidRPr="00FF5D0A">
                              <w:rPr>
                                <w:rFonts w:asciiTheme="minorHAnsi" w:hAnsiTheme="minorHAnsi"/>
                                <w:color w:val="FFFFFF" w:themeColor="background1"/>
                                <w:sz w:val="22"/>
                                <w:lang w:val="es-ES"/>
                              </w:rPr>
                              <w:t xml:space="preserve"> </w:t>
                            </w:r>
                          </w:p>
                          <w:p w14:paraId="4061DBBD" w14:textId="6C0B8B5E" w:rsidR="00627C9F" w:rsidRPr="00C25ADB" w:rsidRDefault="009E1BC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F5D0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7A2A43D" w:rsidR="00627C9F" w:rsidRPr="00252B6E" w:rsidRDefault="00834D49" w:rsidP="007A5817">
                      <w:pPr>
                        <w:spacing w:line="276" w:lineRule="auto"/>
                        <w:jc w:val="right"/>
                        <w:rPr>
                          <w:rFonts w:asciiTheme="minorHAnsi" w:hAnsiTheme="minorHAnsi"/>
                          <w:color w:val="FFFFFF" w:themeColor="background1"/>
                          <w:sz w:val="22"/>
                          <w:lang w:val="es-AR"/>
                        </w:rPr>
                      </w:pPr>
                      <w:r w:rsidRPr="00252B6E">
                        <w:rPr>
                          <w:rFonts w:asciiTheme="minorHAnsi" w:hAnsiTheme="minorHAnsi"/>
                          <w:color w:val="FFFFFF" w:themeColor="background1"/>
                          <w:sz w:val="22"/>
                          <w:lang w:val="es-AR"/>
                        </w:rPr>
                        <w:t>OEA/Ser.L/V/II</w:t>
                      </w:r>
                    </w:p>
                    <w:p w14:paraId="71D2D5D2" w14:textId="41936E7A" w:rsidR="00627C9F" w:rsidRPr="00FF5D0A" w:rsidRDefault="00627C9F" w:rsidP="007A5817">
                      <w:pPr>
                        <w:spacing w:line="276" w:lineRule="auto"/>
                        <w:jc w:val="right"/>
                        <w:rPr>
                          <w:rFonts w:asciiTheme="minorHAnsi" w:hAnsiTheme="minorHAnsi"/>
                          <w:color w:val="FFFFFF" w:themeColor="background1"/>
                          <w:sz w:val="22"/>
                          <w:lang w:val="es-ES"/>
                        </w:rPr>
                      </w:pPr>
                      <w:r w:rsidRPr="00FF5D0A">
                        <w:rPr>
                          <w:rFonts w:asciiTheme="minorHAnsi" w:hAnsiTheme="minorHAnsi"/>
                          <w:color w:val="FFFFFF" w:themeColor="background1"/>
                          <w:sz w:val="22"/>
                          <w:lang w:val="es-ES"/>
                        </w:rPr>
                        <w:t>Doc.</w:t>
                      </w:r>
                      <w:r w:rsidR="005C766C" w:rsidRPr="00FF5D0A">
                        <w:rPr>
                          <w:rFonts w:asciiTheme="minorHAnsi" w:hAnsiTheme="minorHAnsi"/>
                          <w:color w:val="FFFFFF" w:themeColor="background1"/>
                          <w:sz w:val="22"/>
                          <w:lang w:val="es-ES"/>
                        </w:rPr>
                        <w:t xml:space="preserve"> 251</w:t>
                      </w:r>
                      <w:r w:rsidRPr="00FF5D0A">
                        <w:rPr>
                          <w:rFonts w:asciiTheme="minorHAnsi" w:hAnsiTheme="minorHAnsi"/>
                          <w:color w:val="FFFFFF" w:themeColor="background1"/>
                          <w:sz w:val="22"/>
                          <w:lang w:val="es-ES"/>
                        </w:rPr>
                        <w:t xml:space="preserve"> </w:t>
                      </w:r>
                    </w:p>
                    <w:p w14:paraId="4061DBBD" w14:textId="6C0B8B5E" w:rsidR="00627C9F" w:rsidRPr="00C25ADB" w:rsidRDefault="009E1BC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F5D0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27B73E04">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A92C27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8596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68596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B95FAE" w:rsidRPr="00890650">
                              <w:rPr>
                                <w:rFonts w:asciiTheme="majorHAnsi" w:hAnsiTheme="majorHAnsi"/>
                                <w:color w:val="0D0D0D" w:themeColor="text1" w:themeTint="F2"/>
                                <w:sz w:val="18"/>
                                <w:szCs w:val="22"/>
                                <w:lang w:val="es-ES"/>
                              </w:rPr>
                              <w:t>20</w:t>
                            </w:r>
                            <w:r w:rsidR="00B95FAE">
                              <w:rPr>
                                <w:rFonts w:asciiTheme="majorHAnsi" w:hAnsiTheme="majorHAnsi"/>
                                <w:color w:val="0D0D0D" w:themeColor="text1" w:themeTint="F2"/>
                                <w:sz w:val="18"/>
                                <w:szCs w:val="22"/>
                                <w:lang w:val="es-ES"/>
                              </w:rPr>
                              <w:t>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A92C27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8596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68596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B95FAE" w:rsidRPr="00890650">
                        <w:rPr>
                          <w:rFonts w:asciiTheme="majorHAnsi" w:hAnsiTheme="majorHAnsi"/>
                          <w:color w:val="0D0D0D" w:themeColor="text1" w:themeTint="F2"/>
                          <w:sz w:val="18"/>
                          <w:szCs w:val="22"/>
                          <w:lang w:val="es-ES"/>
                        </w:rPr>
                        <w:t>20</w:t>
                      </w:r>
                      <w:r w:rsidR="00B95FAE">
                        <w:rPr>
                          <w:rFonts w:asciiTheme="majorHAnsi" w:hAnsiTheme="majorHAnsi"/>
                          <w:color w:val="0D0D0D" w:themeColor="text1" w:themeTint="F2"/>
                          <w:sz w:val="18"/>
                          <w:szCs w:val="22"/>
                          <w:lang w:val="es-ES"/>
                        </w:rPr>
                        <w:t>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22AED4AA" w:rsidR="00A50FCF" w:rsidRPr="0090270B" w:rsidRDefault="00B95FAE"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16DC8317">
                <wp:simplePos x="0" y="0"/>
                <wp:positionH relativeFrom="column">
                  <wp:posOffset>1330859</wp:posOffset>
                </wp:positionH>
                <wp:positionV relativeFrom="paragraph">
                  <wp:posOffset>136431</wp:posOffset>
                </wp:positionV>
                <wp:extent cx="5042781"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42781"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3F6F86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01DF1" w:rsidRPr="00801DF1">
                              <w:rPr>
                                <w:rFonts w:asciiTheme="majorHAnsi" w:hAnsiTheme="majorHAnsi"/>
                                <w:color w:val="595959" w:themeColor="text1" w:themeTint="A6"/>
                                <w:sz w:val="18"/>
                                <w:szCs w:val="18"/>
                                <w:lang w:val="pt-BR"/>
                              </w:rPr>
                              <w:t>239</w:t>
                            </w:r>
                            <w:r w:rsidR="007B05C4" w:rsidRPr="00801DF1">
                              <w:rPr>
                                <w:rFonts w:asciiTheme="majorHAnsi" w:hAnsiTheme="majorHAnsi"/>
                                <w:color w:val="595959" w:themeColor="text1" w:themeTint="A6"/>
                                <w:sz w:val="18"/>
                                <w:szCs w:val="18"/>
                                <w:lang w:val="pt-BR"/>
                              </w:rPr>
                              <w:t>/</w:t>
                            </w:r>
                            <w:r w:rsidR="00801DF1" w:rsidRPr="00801DF1">
                              <w:rPr>
                                <w:rFonts w:asciiTheme="majorHAnsi" w:hAnsiTheme="majorHAnsi"/>
                                <w:color w:val="595959" w:themeColor="text1" w:themeTint="A6"/>
                                <w:sz w:val="18"/>
                                <w:szCs w:val="18"/>
                                <w:lang w:val="pt-BR"/>
                              </w:rPr>
                              <w:t>24</w:t>
                            </w:r>
                            <w:r w:rsidRPr="00801DF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1DF1">
                              <w:rPr>
                                <w:rFonts w:asciiTheme="majorHAnsi" w:hAnsiTheme="majorHAnsi"/>
                                <w:color w:val="595959" w:themeColor="text1" w:themeTint="A6"/>
                                <w:sz w:val="18"/>
                                <w:szCs w:val="18"/>
                                <w:lang w:val="es-ES"/>
                              </w:rPr>
                              <w:t>382</w:t>
                            </w:r>
                            <w:r w:rsidR="000433C9">
                              <w:rPr>
                                <w:rFonts w:asciiTheme="majorHAnsi" w:hAnsiTheme="majorHAnsi"/>
                                <w:color w:val="595959" w:themeColor="text1" w:themeTint="A6"/>
                                <w:sz w:val="18"/>
                                <w:szCs w:val="18"/>
                                <w:lang w:val="es-ES"/>
                              </w:rPr>
                              <w:t>-</w:t>
                            </w:r>
                            <w:r w:rsidR="00801DF1">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95FAE">
                              <w:rPr>
                                <w:rFonts w:asciiTheme="majorHAnsi" w:hAnsiTheme="majorHAnsi"/>
                                <w:color w:val="595959" w:themeColor="text1" w:themeTint="A6"/>
                                <w:sz w:val="18"/>
                                <w:szCs w:val="18"/>
                                <w:lang w:val="es-ES_tradnl"/>
                              </w:rPr>
                              <w:t xml:space="preserve">Gerentes y comunicadores de </w:t>
                            </w:r>
                            <w:r w:rsidR="002D4A03">
                              <w:rPr>
                                <w:rFonts w:asciiTheme="majorHAnsi" w:hAnsiTheme="majorHAnsi"/>
                                <w:color w:val="595959" w:themeColor="text1" w:themeTint="A6"/>
                                <w:sz w:val="18"/>
                                <w:szCs w:val="18"/>
                                <w:lang w:val="es-ES_tradnl"/>
                              </w:rPr>
                              <w:t>R</w:t>
                            </w:r>
                            <w:r w:rsidR="00B95FAE">
                              <w:rPr>
                                <w:rFonts w:asciiTheme="majorHAnsi" w:hAnsiTheme="majorHAnsi"/>
                                <w:color w:val="595959" w:themeColor="text1" w:themeTint="A6"/>
                                <w:sz w:val="18"/>
                                <w:szCs w:val="18"/>
                                <w:lang w:val="es-ES_tradnl"/>
                              </w:rPr>
                              <w:t>adiodifusora Caplina</w:t>
                            </w:r>
                            <w:r w:rsidRPr="007B05C4">
                              <w:rPr>
                                <w:rFonts w:asciiTheme="majorHAnsi" w:hAnsiTheme="majorHAnsi"/>
                                <w:color w:val="595959" w:themeColor="text1" w:themeTint="A6"/>
                                <w:sz w:val="18"/>
                                <w:szCs w:val="18"/>
                                <w:lang w:val="es-ES"/>
                              </w:rPr>
                              <w:t>.</w:t>
                            </w:r>
                            <w:r w:rsidR="00B95FAE">
                              <w:rPr>
                                <w:rFonts w:asciiTheme="majorHAnsi" w:hAnsiTheme="majorHAnsi"/>
                                <w:color w:val="595959" w:themeColor="text1" w:themeTint="A6"/>
                                <w:sz w:val="18"/>
                                <w:szCs w:val="18"/>
                                <w:lang w:val="es-ES"/>
                              </w:rPr>
                              <w:t xml:space="preserve"> 10 de diciembre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4.8pt;margin-top:10.75pt;width:397.0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" filled="f" stroked="f" strokeweight=".5pt">
                <v:textbox>
                  <w:txbxContent>
                    <w:p w14:paraId="7FD77785" w14:textId="63F6F86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01DF1" w:rsidRPr="00801DF1">
                        <w:rPr>
                          <w:rFonts w:asciiTheme="majorHAnsi" w:hAnsiTheme="majorHAnsi"/>
                          <w:color w:val="595959" w:themeColor="text1" w:themeTint="A6"/>
                          <w:sz w:val="18"/>
                          <w:szCs w:val="18"/>
                          <w:lang w:val="pt-BR"/>
                        </w:rPr>
                        <w:t>239</w:t>
                      </w:r>
                      <w:r w:rsidR="007B05C4" w:rsidRPr="00801DF1">
                        <w:rPr>
                          <w:rFonts w:asciiTheme="majorHAnsi" w:hAnsiTheme="majorHAnsi"/>
                          <w:color w:val="595959" w:themeColor="text1" w:themeTint="A6"/>
                          <w:sz w:val="18"/>
                          <w:szCs w:val="18"/>
                          <w:lang w:val="pt-BR"/>
                        </w:rPr>
                        <w:t>/</w:t>
                      </w:r>
                      <w:r w:rsidR="00801DF1" w:rsidRPr="00801DF1">
                        <w:rPr>
                          <w:rFonts w:asciiTheme="majorHAnsi" w:hAnsiTheme="majorHAnsi"/>
                          <w:color w:val="595959" w:themeColor="text1" w:themeTint="A6"/>
                          <w:sz w:val="18"/>
                          <w:szCs w:val="18"/>
                          <w:lang w:val="pt-BR"/>
                        </w:rPr>
                        <w:t>24</w:t>
                      </w:r>
                      <w:r w:rsidRPr="00801DF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1DF1">
                        <w:rPr>
                          <w:rFonts w:asciiTheme="majorHAnsi" w:hAnsiTheme="majorHAnsi"/>
                          <w:color w:val="595959" w:themeColor="text1" w:themeTint="A6"/>
                          <w:sz w:val="18"/>
                          <w:szCs w:val="18"/>
                          <w:lang w:val="es-ES"/>
                        </w:rPr>
                        <w:t>382</w:t>
                      </w:r>
                      <w:r w:rsidR="000433C9">
                        <w:rPr>
                          <w:rFonts w:asciiTheme="majorHAnsi" w:hAnsiTheme="majorHAnsi"/>
                          <w:color w:val="595959" w:themeColor="text1" w:themeTint="A6"/>
                          <w:sz w:val="18"/>
                          <w:szCs w:val="18"/>
                          <w:lang w:val="es-ES"/>
                        </w:rPr>
                        <w:t>-</w:t>
                      </w:r>
                      <w:r w:rsidR="00801DF1">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95FAE">
                        <w:rPr>
                          <w:rFonts w:asciiTheme="majorHAnsi" w:hAnsiTheme="majorHAnsi"/>
                          <w:color w:val="595959" w:themeColor="text1" w:themeTint="A6"/>
                          <w:sz w:val="18"/>
                          <w:szCs w:val="18"/>
                          <w:lang w:val="es-ES_tradnl"/>
                        </w:rPr>
                        <w:t xml:space="preserve">Gerentes y comunicadores de </w:t>
                      </w:r>
                      <w:r w:rsidR="002D4A03">
                        <w:rPr>
                          <w:rFonts w:asciiTheme="majorHAnsi" w:hAnsiTheme="majorHAnsi"/>
                          <w:color w:val="595959" w:themeColor="text1" w:themeTint="A6"/>
                          <w:sz w:val="18"/>
                          <w:szCs w:val="18"/>
                          <w:lang w:val="es-ES_tradnl"/>
                        </w:rPr>
                        <w:t>R</w:t>
                      </w:r>
                      <w:r w:rsidR="00B95FAE">
                        <w:rPr>
                          <w:rFonts w:asciiTheme="majorHAnsi" w:hAnsiTheme="majorHAnsi"/>
                          <w:color w:val="595959" w:themeColor="text1" w:themeTint="A6"/>
                          <w:sz w:val="18"/>
                          <w:szCs w:val="18"/>
                          <w:lang w:val="es-ES_tradnl"/>
                        </w:rPr>
                        <w:t>adiodifusora Caplina</w:t>
                      </w:r>
                      <w:r w:rsidRPr="007B05C4">
                        <w:rPr>
                          <w:rFonts w:asciiTheme="majorHAnsi" w:hAnsiTheme="majorHAnsi"/>
                          <w:color w:val="595959" w:themeColor="text1" w:themeTint="A6"/>
                          <w:sz w:val="18"/>
                          <w:szCs w:val="18"/>
                          <w:lang w:val="es-ES"/>
                        </w:rPr>
                        <w:t>.</w:t>
                      </w:r>
                      <w:r w:rsidR="00B95FAE">
                        <w:rPr>
                          <w:rFonts w:asciiTheme="majorHAnsi" w:hAnsiTheme="majorHAnsi"/>
                          <w:color w:val="595959" w:themeColor="text1" w:themeTint="A6"/>
                          <w:sz w:val="18"/>
                          <w:szCs w:val="18"/>
                          <w:lang w:val="es-ES"/>
                        </w:rPr>
                        <w:t xml:space="preserve"> 10 de diciembre de 2024.</w:t>
                      </w:r>
                    </w:p>
                  </w:txbxContent>
                </v:textbox>
              </v:shape>
            </w:pict>
          </mc:Fallback>
        </mc:AlternateContent>
      </w:r>
    </w:p>
    <w:p w14:paraId="4730F205" w14:textId="344052A2" w:rsidR="00A50FCF" w:rsidRPr="0090270B" w:rsidRDefault="00A50FCF" w:rsidP="00040C3A">
      <w:pPr>
        <w:tabs>
          <w:tab w:val="center" w:pos="5400"/>
        </w:tabs>
        <w:suppressAutoHyphens/>
        <w:jc w:val="center"/>
        <w:rPr>
          <w:rFonts w:asciiTheme="majorHAnsi" w:hAnsiTheme="majorHAnsi"/>
          <w:sz w:val="18"/>
          <w:szCs w:val="22"/>
          <w:lang w:val="es-ES_tradnl"/>
        </w:rPr>
      </w:pP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2492E00"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6F2212B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C76A843" w:rsidR="0070697F" w:rsidRDefault="002D4A03"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55F8581">
                <wp:simplePos x="0" y="0"/>
                <wp:positionH relativeFrom="column">
                  <wp:posOffset>1281902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0.9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9268B81" w14:textId="77777777" w:rsidR="004E318B" w:rsidRPr="004118CE" w:rsidRDefault="003239B8" w:rsidP="004E318B">
      <w:pPr>
        <w:spacing w:after="240"/>
        <w:ind w:firstLine="720"/>
        <w:jc w:val="both"/>
        <w:rPr>
          <w:rFonts w:ascii="Cambria" w:eastAsia="Cambria" w:hAnsi="Cambria" w:cs="Cambria"/>
          <w:b/>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004E318B" w:rsidRPr="004118CE">
        <w:rPr>
          <w:rFonts w:ascii="Cambria" w:eastAsia="Cambria" w:hAnsi="Cambria" w:cs="Cambria"/>
          <w:b/>
          <w:sz w:val="20"/>
          <w:szCs w:val="20"/>
          <w:lang w:val="es-ES"/>
        </w:rPr>
        <w:t xml:space="preserve">DATOS DE LA PETICIÓN </w:t>
      </w:r>
    </w:p>
    <w:tbl>
      <w:tblPr>
        <w:tblW w:w="9247"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647"/>
      </w:tblGrid>
      <w:tr w:rsidR="004E318B" w:rsidRPr="004118CE" w14:paraId="428910EE" w14:textId="77777777" w:rsidTr="0039378C">
        <w:tc>
          <w:tcPr>
            <w:tcW w:w="3600" w:type="dxa"/>
            <w:tcBorders>
              <w:top w:val="single" w:sz="4" w:space="0" w:color="000000"/>
              <w:bottom w:val="single" w:sz="6" w:space="0" w:color="000000"/>
            </w:tcBorders>
            <w:shd w:val="clear" w:color="auto" w:fill="386294"/>
            <w:vAlign w:val="center"/>
          </w:tcPr>
          <w:p w14:paraId="46C29D71"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Parte peticionaria:</w:t>
            </w:r>
          </w:p>
        </w:tc>
        <w:tc>
          <w:tcPr>
            <w:tcW w:w="5647" w:type="dxa"/>
            <w:vAlign w:val="center"/>
          </w:tcPr>
          <w:p w14:paraId="331EE021"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 xml:space="preserve">Felipe Chino Begazo </w:t>
            </w:r>
          </w:p>
        </w:tc>
      </w:tr>
      <w:tr w:rsidR="004E318B" w:rsidRPr="00252B6E" w14:paraId="3CD03DF3" w14:textId="77777777" w:rsidTr="0039378C">
        <w:tc>
          <w:tcPr>
            <w:tcW w:w="3600" w:type="dxa"/>
            <w:tcBorders>
              <w:top w:val="single" w:sz="6" w:space="0" w:color="000000"/>
              <w:bottom w:val="single" w:sz="6" w:space="0" w:color="000000"/>
            </w:tcBorders>
            <w:shd w:val="clear" w:color="auto" w:fill="386294"/>
            <w:vAlign w:val="center"/>
          </w:tcPr>
          <w:p w14:paraId="1F5B441E"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Presunta víctima:</w:t>
            </w:r>
          </w:p>
        </w:tc>
        <w:tc>
          <w:tcPr>
            <w:tcW w:w="5647" w:type="dxa"/>
            <w:vAlign w:val="center"/>
          </w:tcPr>
          <w:p w14:paraId="0B50FB95"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Radiodifusora Caplina y Frecuencia Modulada Sociedad Comercial de Responsabilidad Limitada, Nicolasa Cavina Laura Mamani, Sabino Mario Aguilar Aguilar e hijos, los periodistas, reporteros y panelistas de la Radiodifusora Caplina y Frecuencia Modulada Sociedad Comercial de Responsabilidad Limitada</w:t>
            </w:r>
          </w:p>
        </w:tc>
      </w:tr>
      <w:tr w:rsidR="004E318B" w:rsidRPr="004118CE" w14:paraId="39DF1880" w14:textId="77777777" w:rsidTr="0039378C">
        <w:trPr>
          <w:trHeight w:val="219"/>
        </w:trPr>
        <w:tc>
          <w:tcPr>
            <w:tcW w:w="3600" w:type="dxa"/>
            <w:tcBorders>
              <w:top w:val="single" w:sz="6" w:space="0" w:color="000000"/>
              <w:bottom w:val="single" w:sz="6" w:space="0" w:color="000000"/>
            </w:tcBorders>
            <w:shd w:val="clear" w:color="auto" w:fill="386294"/>
            <w:vAlign w:val="center"/>
          </w:tcPr>
          <w:p w14:paraId="1BE55D4F"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Estado denunciado:</w:t>
            </w:r>
          </w:p>
        </w:tc>
        <w:tc>
          <w:tcPr>
            <w:tcW w:w="5647" w:type="dxa"/>
            <w:vAlign w:val="center"/>
          </w:tcPr>
          <w:p w14:paraId="493964DC"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 xml:space="preserve">República del Perú </w:t>
            </w:r>
          </w:p>
        </w:tc>
      </w:tr>
      <w:tr w:rsidR="004E318B" w:rsidRPr="00252B6E" w14:paraId="48FEDC85" w14:textId="77777777" w:rsidTr="0039378C">
        <w:tc>
          <w:tcPr>
            <w:tcW w:w="3600" w:type="dxa"/>
            <w:tcBorders>
              <w:top w:val="single" w:sz="6" w:space="0" w:color="000000"/>
              <w:bottom w:val="single" w:sz="6" w:space="0" w:color="000000"/>
            </w:tcBorders>
            <w:shd w:val="clear" w:color="auto" w:fill="386294"/>
            <w:vAlign w:val="center"/>
          </w:tcPr>
          <w:p w14:paraId="3EBBB267"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Derechos invocados:</w:t>
            </w:r>
          </w:p>
        </w:tc>
        <w:tc>
          <w:tcPr>
            <w:tcW w:w="5647" w:type="dxa"/>
            <w:vAlign w:val="center"/>
          </w:tcPr>
          <w:p w14:paraId="41B7F355"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Artículo 8 (</w:t>
            </w:r>
            <w:r>
              <w:rPr>
                <w:rFonts w:ascii="Cambria" w:eastAsia="Cambria" w:hAnsi="Cambria" w:cs="Cambria"/>
                <w:sz w:val="20"/>
                <w:szCs w:val="20"/>
                <w:lang w:val="es-ES"/>
              </w:rPr>
              <w:t>garantías judiciales</w:t>
            </w:r>
            <w:r w:rsidRPr="004118CE">
              <w:rPr>
                <w:rFonts w:ascii="Cambria" w:eastAsia="Cambria" w:hAnsi="Cambria" w:cs="Cambria"/>
                <w:sz w:val="20"/>
                <w:szCs w:val="20"/>
                <w:lang w:val="es-ES"/>
              </w:rPr>
              <w:t xml:space="preserve">), 13 (libertad de </w:t>
            </w:r>
            <w:r>
              <w:rPr>
                <w:rFonts w:ascii="Cambria" w:eastAsia="Cambria" w:hAnsi="Cambria" w:cs="Cambria"/>
                <w:sz w:val="20"/>
                <w:szCs w:val="20"/>
                <w:lang w:val="es-ES"/>
              </w:rPr>
              <w:t xml:space="preserve">pensamiento y </w:t>
            </w:r>
            <w:r w:rsidRPr="004118CE">
              <w:rPr>
                <w:rFonts w:ascii="Cambria" w:eastAsia="Cambria" w:hAnsi="Cambria" w:cs="Cambria"/>
                <w:sz w:val="20"/>
                <w:szCs w:val="20"/>
                <w:lang w:val="es-ES"/>
              </w:rPr>
              <w:t>expresión), 21 (propiedad privada), 24 (igualdad ante la ley)</w:t>
            </w:r>
            <w:r>
              <w:rPr>
                <w:rFonts w:ascii="Cambria" w:eastAsia="Cambria" w:hAnsi="Cambria" w:cs="Cambria"/>
                <w:sz w:val="20"/>
                <w:szCs w:val="20"/>
                <w:lang w:val="es-ES"/>
              </w:rPr>
              <w:t xml:space="preserve"> y</w:t>
            </w:r>
            <w:r w:rsidRPr="004118CE">
              <w:rPr>
                <w:rFonts w:ascii="Cambria" w:eastAsia="Cambria" w:hAnsi="Cambria" w:cs="Cambria"/>
                <w:sz w:val="20"/>
                <w:szCs w:val="20"/>
                <w:lang w:val="es-ES"/>
              </w:rPr>
              <w:t xml:space="preserve"> 25 (protección judicial) de la Convención Americana </w:t>
            </w:r>
            <w:r>
              <w:rPr>
                <w:rFonts w:ascii="Cambria" w:eastAsia="Cambria" w:hAnsi="Cambria" w:cs="Cambria"/>
                <w:sz w:val="20"/>
                <w:szCs w:val="20"/>
                <w:lang w:val="es-ES"/>
              </w:rPr>
              <w:t>sobre</w:t>
            </w:r>
            <w:r w:rsidRPr="004118CE">
              <w:rPr>
                <w:rFonts w:ascii="Cambria" w:eastAsia="Cambria" w:hAnsi="Cambria" w:cs="Cambria"/>
                <w:sz w:val="20"/>
                <w:szCs w:val="20"/>
                <w:lang w:val="es-ES"/>
              </w:rPr>
              <w:t xml:space="preserve"> Derechos Humanos</w:t>
            </w:r>
            <w:r>
              <w:rPr>
                <w:rStyle w:val="FootnoteReference"/>
                <w:rFonts w:ascii="Cambria" w:eastAsia="Cambria" w:hAnsi="Cambria" w:cs="Cambria"/>
                <w:sz w:val="20"/>
                <w:szCs w:val="20"/>
                <w:lang w:val="es-ES"/>
              </w:rPr>
              <w:footnoteReference w:id="2"/>
            </w:r>
          </w:p>
        </w:tc>
      </w:tr>
    </w:tbl>
    <w:p w14:paraId="745EAF95" w14:textId="77777777" w:rsidR="004E318B" w:rsidRPr="004118CE" w:rsidRDefault="004E318B" w:rsidP="004E318B">
      <w:pPr>
        <w:spacing w:before="240" w:after="240"/>
        <w:ind w:firstLine="720"/>
        <w:jc w:val="both"/>
        <w:rPr>
          <w:rFonts w:ascii="Cambria" w:eastAsia="Cambria" w:hAnsi="Cambria" w:cs="Cambria"/>
          <w:b/>
          <w:sz w:val="20"/>
          <w:szCs w:val="20"/>
          <w:lang w:val="es-ES"/>
        </w:rPr>
      </w:pPr>
      <w:r w:rsidRPr="004118CE">
        <w:rPr>
          <w:rFonts w:ascii="Cambria" w:eastAsia="Cambria" w:hAnsi="Cambria" w:cs="Cambria"/>
          <w:b/>
          <w:sz w:val="20"/>
          <w:szCs w:val="20"/>
          <w:lang w:val="es-ES"/>
        </w:rPr>
        <w:t>II.</w:t>
      </w:r>
      <w:r w:rsidRPr="004118CE">
        <w:rPr>
          <w:rFonts w:ascii="Cambria" w:eastAsia="Cambria" w:hAnsi="Cambria" w:cs="Cambria"/>
          <w:b/>
          <w:sz w:val="20"/>
          <w:szCs w:val="20"/>
          <w:lang w:val="es-ES"/>
        </w:rPr>
        <w:tab/>
        <w:t>TRÁMITE ANTE LA CIDH</w:t>
      </w:r>
      <w:r w:rsidRPr="004118CE">
        <w:rPr>
          <w:rFonts w:ascii="Cambria" w:eastAsia="Cambria" w:hAnsi="Cambria" w:cs="Cambria"/>
          <w:b/>
          <w:sz w:val="20"/>
          <w:szCs w:val="20"/>
          <w:vertAlign w:val="superscript"/>
          <w:lang w:val="es-ES"/>
        </w:rPr>
        <w:footnoteReference w:id="3"/>
      </w:r>
    </w:p>
    <w:tbl>
      <w:tblPr>
        <w:tblW w:w="9247"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647"/>
      </w:tblGrid>
      <w:tr w:rsidR="004E318B" w:rsidRPr="004118CE" w14:paraId="2C91C3F6" w14:textId="77777777" w:rsidTr="0039378C">
        <w:tc>
          <w:tcPr>
            <w:tcW w:w="3600" w:type="dxa"/>
            <w:tcBorders>
              <w:top w:val="single" w:sz="6" w:space="0" w:color="000000"/>
              <w:bottom w:val="single" w:sz="6" w:space="0" w:color="000000"/>
            </w:tcBorders>
            <w:shd w:val="clear" w:color="auto" w:fill="386294"/>
            <w:vAlign w:val="center"/>
          </w:tcPr>
          <w:p w14:paraId="6F82DC17"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Presentación de la petición:</w:t>
            </w:r>
          </w:p>
        </w:tc>
        <w:tc>
          <w:tcPr>
            <w:tcW w:w="5647" w:type="dxa"/>
            <w:vAlign w:val="center"/>
          </w:tcPr>
          <w:p w14:paraId="0A424D07"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7 de marzo de 2016</w:t>
            </w:r>
          </w:p>
        </w:tc>
      </w:tr>
      <w:tr w:rsidR="004E318B" w:rsidRPr="004118CE" w14:paraId="2A367E61" w14:textId="77777777" w:rsidTr="0039378C">
        <w:tc>
          <w:tcPr>
            <w:tcW w:w="3600" w:type="dxa"/>
            <w:tcBorders>
              <w:top w:val="single" w:sz="6" w:space="0" w:color="000000"/>
              <w:bottom w:val="single" w:sz="6" w:space="0" w:color="000000"/>
            </w:tcBorders>
            <w:shd w:val="clear" w:color="auto" w:fill="386294"/>
            <w:vAlign w:val="center"/>
          </w:tcPr>
          <w:p w14:paraId="6F17739B"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Información adicional recibida durante la etapa de estudio:</w:t>
            </w:r>
          </w:p>
        </w:tc>
        <w:tc>
          <w:tcPr>
            <w:tcW w:w="5647" w:type="dxa"/>
            <w:vAlign w:val="center"/>
          </w:tcPr>
          <w:p w14:paraId="71BAE6D5"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26 de junio de 2017</w:t>
            </w:r>
          </w:p>
        </w:tc>
      </w:tr>
      <w:tr w:rsidR="004E318B" w:rsidRPr="004118CE" w14:paraId="2B637A61" w14:textId="77777777" w:rsidTr="0039378C">
        <w:tc>
          <w:tcPr>
            <w:tcW w:w="3600" w:type="dxa"/>
            <w:tcBorders>
              <w:top w:val="single" w:sz="6" w:space="0" w:color="000000"/>
              <w:bottom w:val="single" w:sz="6" w:space="0" w:color="000000"/>
            </w:tcBorders>
            <w:shd w:val="clear" w:color="auto" w:fill="386294"/>
            <w:vAlign w:val="center"/>
          </w:tcPr>
          <w:p w14:paraId="079B129A"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Notificación de la petición al Estado:</w:t>
            </w:r>
          </w:p>
        </w:tc>
        <w:tc>
          <w:tcPr>
            <w:tcW w:w="5647" w:type="dxa"/>
            <w:vAlign w:val="center"/>
          </w:tcPr>
          <w:p w14:paraId="63255CBC"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06 de diciembre de 2019</w:t>
            </w:r>
          </w:p>
        </w:tc>
      </w:tr>
      <w:tr w:rsidR="004E318B" w:rsidRPr="004118CE" w14:paraId="01ED4498" w14:textId="77777777" w:rsidTr="0039378C">
        <w:tc>
          <w:tcPr>
            <w:tcW w:w="3600" w:type="dxa"/>
            <w:tcBorders>
              <w:top w:val="single" w:sz="6" w:space="0" w:color="000000"/>
              <w:bottom w:val="single" w:sz="6" w:space="0" w:color="000000"/>
            </w:tcBorders>
            <w:shd w:val="clear" w:color="auto" w:fill="386294"/>
            <w:vAlign w:val="center"/>
          </w:tcPr>
          <w:p w14:paraId="225AAC2A"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Reiteración de pedido de respuesta al Estado</w:t>
            </w:r>
          </w:p>
        </w:tc>
        <w:tc>
          <w:tcPr>
            <w:tcW w:w="5647" w:type="dxa"/>
            <w:vAlign w:val="center"/>
          </w:tcPr>
          <w:p w14:paraId="0B8B8155"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14 de mayo de 2020</w:t>
            </w:r>
          </w:p>
        </w:tc>
      </w:tr>
      <w:tr w:rsidR="004E318B" w:rsidRPr="004118CE" w14:paraId="485F45A7" w14:textId="77777777" w:rsidTr="0039378C">
        <w:tc>
          <w:tcPr>
            <w:tcW w:w="3600" w:type="dxa"/>
            <w:tcBorders>
              <w:top w:val="single" w:sz="6" w:space="0" w:color="000000"/>
              <w:bottom w:val="single" w:sz="6" w:space="0" w:color="000000"/>
            </w:tcBorders>
            <w:shd w:val="clear" w:color="auto" w:fill="386294"/>
            <w:vAlign w:val="center"/>
          </w:tcPr>
          <w:p w14:paraId="066D1CDE"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Primera respuesta del Estado:</w:t>
            </w:r>
          </w:p>
        </w:tc>
        <w:tc>
          <w:tcPr>
            <w:tcW w:w="5647" w:type="dxa"/>
            <w:vAlign w:val="center"/>
          </w:tcPr>
          <w:p w14:paraId="22F9131F"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1 de junio de 2020</w:t>
            </w:r>
          </w:p>
        </w:tc>
      </w:tr>
      <w:tr w:rsidR="004E318B" w:rsidRPr="004118CE" w14:paraId="1646E972" w14:textId="77777777" w:rsidTr="0039378C">
        <w:tc>
          <w:tcPr>
            <w:tcW w:w="3600" w:type="dxa"/>
            <w:tcBorders>
              <w:top w:val="single" w:sz="6" w:space="0" w:color="000000"/>
              <w:bottom w:val="single" w:sz="6" w:space="0" w:color="000000"/>
            </w:tcBorders>
            <w:shd w:val="clear" w:color="auto" w:fill="386294"/>
            <w:vAlign w:val="center"/>
          </w:tcPr>
          <w:p w14:paraId="09FFEF1D"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Observaciones adicionales de la parte peticionaria:</w:t>
            </w:r>
          </w:p>
        </w:tc>
        <w:tc>
          <w:tcPr>
            <w:tcW w:w="5647" w:type="dxa"/>
            <w:vAlign w:val="center"/>
          </w:tcPr>
          <w:p w14:paraId="3A84DE0A"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3 de abril de 2021</w:t>
            </w:r>
          </w:p>
        </w:tc>
      </w:tr>
      <w:tr w:rsidR="004E318B" w:rsidRPr="004118CE" w14:paraId="303DA55A" w14:textId="77777777" w:rsidTr="0039378C">
        <w:tc>
          <w:tcPr>
            <w:tcW w:w="3600" w:type="dxa"/>
            <w:tcBorders>
              <w:top w:val="single" w:sz="6" w:space="0" w:color="000000"/>
              <w:bottom w:val="single" w:sz="6" w:space="0" w:color="000000"/>
            </w:tcBorders>
            <w:shd w:val="clear" w:color="auto" w:fill="386294"/>
            <w:vAlign w:val="center"/>
          </w:tcPr>
          <w:p w14:paraId="39767CA7"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Observaciones adicionales del Estado:</w:t>
            </w:r>
          </w:p>
        </w:tc>
        <w:tc>
          <w:tcPr>
            <w:tcW w:w="5647" w:type="dxa"/>
            <w:vAlign w:val="center"/>
          </w:tcPr>
          <w:p w14:paraId="1198DC07"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19 de julio de 2021</w:t>
            </w:r>
          </w:p>
        </w:tc>
      </w:tr>
      <w:tr w:rsidR="004E318B" w:rsidRPr="004118CE" w14:paraId="545C9DA7" w14:textId="77777777" w:rsidTr="0039378C">
        <w:tc>
          <w:tcPr>
            <w:tcW w:w="3600" w:type="dxa"/>
            <w:tcBorders>
              <w:top w:val="single" w:sz="6" w:space="0" w:color="000000"/>
              <w:bottom w:val="single" w:sz="6" w:space="0" w:color="000000"/>
            </w:tcBorders>
            <w:shd w:val="clear" w:color="auto" w:fill="386294"/>
            <w:vAlign w:val="center"/>
          </w:tcPr>
          <w:p w14:paraId="47FD3900"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Manifestación de Interés/Impulso procesal por la parte peticionaria:</w:t>
            </w:r>
          </w:p>
        </w:tc>
        <w:tc>
          <w:tcPr>
            <w:tcW w:w="5647" w:type="dxa"/>
            <w:vAlign w:val="center"/>
          </w:tcPr>
          <w:p w14:paraId="58807D88"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30 de junio de 2023</w:t>
            </w:r>
          </w:p>
        </w:tc>
      </w:tr>
    </w:tbl>
    <w:p w14:paraId="0018E1F2" w14:textId="77777777" w:rsidR="004E318B" w:rsidRPr="004118CE" w:rsidRDefault="004E318B" w:rsidP="004E318B">
      <w:pPr>
        <w:spacing w:before="240" w:after="240"/>
        <w:ind w:firstLine="720"/>
        <w:jc w:val="both"/>
        <w:rPr>
          <w:rFonts w:ascii="Cambria" w:eastAsia="Cambria" w:hAnsi="Cambria" w:cs="Cambria"/>
          <w:b/>
          <w:sz w:val="20"/>
          <w:szCs w:val="20"/>
          <w:lang w:val="es-ES"/>
        </w:rPr>
      </w:pPr>
      <w:r w:rsidRPr="004118CE">
        <w:rPr>
          <w:rFonts w:ascii="Cambria" w:eastAsia="Cambria" w:hAnsi="Cambria" w:cs="Cambria"/>
          <w:b/>
          <w:sz w:val="20"/>
          <w:szCs w:val="20"/>
          <w:lang w:val="es-ES"/>
        </w:rPr>
        <w:t xml:space="preserve">III. </w:t>
      </w:r>
      <w:r w:rsidRPr="004118CE">
        <w:rPr>
          <w:rFonts w:ascii="Cambria" w:eastAsia="Cambria" w:hAnsi="Cambria" w:cs="Cambria"/>
          <w:b/>
          <w:sz w:val="20"/>
          <w:szCs w:val="20"/>
          <w:lang w:val="es-ES"/>
        </w:rPr>
        <w:tab/>
        <w:t xml:space="preserve">COMPETENCIA </w:t>
      </w:r>
    </w:p>
    <w:tbl>
      <w:tblPr>
        <w:tblW w:w="924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62"/>
        <w:gridCol w:w="5680"/>
      </w:tblGrid>
      <w:tr w:rsidR="004E318B" w:rsidRPr="004B30D3" w14:paraId="0E21C44D" w14:textId="77777777" w:rsidTr="0039378C">
        <w:trPr>
          <w:cantSplit/>
        </w:trPr>
        <w:tc>
          <w:tcPr>
            <w:tcW w:w="3562" w:type="dxa"/>
            <w:tcBorders>
              <w:top w:val="single" w:sz="4" w:space="0" w:color="000000"/>
              <w:bottom w:val="single" w:sz="6" w:space="0" w:color="000000"/>
            </w:tcBorders>
            <w:shd w:val="clear" w:color="auto" w:fill="386294"/>
            <w:vAlign w:val="center"/>
          </w:tcPr>
          <w:p w14:paraId="55A09EF6" w14:textId="77777777" w:rsidR="004E318B" w:rsidRPr="004118CE" w:rsidRDefault="004E318B" w:rsidP="0039378C">
            <w:pPr>
              <w:jc w:val="center"/>
              <w:rPr>
                <w:rFonts w:ascii="Cambria" w:eastAsia="Cambria" w:hAnsi="Cambria" w:cs="Cambria"/>
                <w:b/>
                <w:i/>
                <w:color w:val="FFFFFF"/>
                <w:sz w:val="20"/>
                <w:szCs w:val="20"/>
                <w:lang w:val="es-ES"/>
              </w:rPr>
            </w:pPr>
            <w:r w:rsidRPr="004118CE">
              <w:rPr>
                <w:rFonts w:ascii="Cambria" w:eastAsia="Cambria" w:hAnsi="Cambria" w:cs="Cambria"/>
                <w:b/>
                <w:color w:val="FFFFFF"/>
                <w:sz w:val="20"/>
                <w:szCs w:val="20"/>
                <w:lang w:val="es-ES"/>
              </w:rPr>
              <w:t>Competencia</w:t>
            </w:r>
            <w:r w:rsidRPr="004118CE">
              <w:rPr>
                <w:rFonts w:ascii="Cambria" w:eastAsia="Cambria" w:hAnsi="Cambria" w:cs="Cambria"/>
                <w:b/>
                <w:i/>
                <w:color w:val="FFFFFF"/>
                <w:sz w:val="20"/>
                <w:szCs w:val="20"/>
                <w:lang w:val="es-ES"/>
              </w:rPr>
              <w:t xml:space="preserve"> Ratione personae:</w:t>
            </w:r>
          </w:p>
        </w:tc>
        <w:tc>
          <w:tcPr>
            <w:tcW w:w="5680" w:type="dxa"/>
            <w:vAlign w:val="center"/>
          </w:tcPr>
          <w:p w14:paraId="0DFF16FE"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Sí</w:t>
            </w:r>
          </w:p>
        </w:tc>
      </w:tr>
      <w:tr w:rsidR="004E318B" w:rsidRPr="004118CE" w14:paraId="1D96AB3F" w14:textId="77777777" w:rsidTr="0039378C">
        <w:trPr>
          <w:cantSplit/>
        </w:trPr>
        <w:tc>
          <w:tcPr>
            <w:tcW w:w="3562" w:type="dxa"/>
            <w:tcBorders>
              <w:top w:val="single" w:sz="6" w:space="0" w:color="000000"/>
              <w:bottom w:val="single" w:sz="6" w:space="0" w:color="000000"/>
            </w:tcBorders>
            <w:shd w:val="clear" w:color="auto" w:fill="386294"/>
            <w:vAlign w:val="center"/>
          </w:tcPr>
          <w:p w14:paraId="40747006"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Competencia</w:t>
            </w:r>
            <w:r w:rsidRPr="004118CE">
              <w:rPr>
                <w:rFonts w:ascii="Cambria" w:eastAsia="Cambria" w:hAnsi="Cambria" w:cs="Cambria"/>
                <w:b/>
                <w:i/>
                <w:color w:val="FFFFFF"/>
                <w:sz w:val="20"/>
                <w:szCs w:val="20"/>
                <w:lang w:val="es-ES"/>
              </w:rPr>
              <w:t xml:space="preserve"> Ratione loci</w:t>
            </w:r>
            <w:r w:rsidRPr="004118CE">
              <w:rPr>
                <w:rFonts w:ascii="Cambria" w:eastAsia="Cambria" w:hAnsi="Cambria" w:cs="Cambria"/>
                <w:b/>
                <w:color w:val="FFFFFF"/>
                <w:sz w:val="20"/>
                <w:szCs w:val="20"/>
                <w:lang w:val="es-ES"/>
              </w:rPr>
              <w:t>:</w:t>
            </w:r>
          </w:p>
        </w:tc>
        <w:tc>
          <w:tcPr>
            <w:tcW w:w="5680" w:type="dxa"/>
            <w:vAlign w:val="center"/>
          </w:tcPr>
          <w:p w14:paraId="4DFA7CE8" w14:textId="77777777" w:rsidR="004E318B" w:rsidRPr="004118CE" w:rsidRDefault="004E318B" w:rsidP="0039378C">
            <w:pPr>
              <w:rPr>
                <w:rFonts w:ascii="Cambria" w:eastAsia="Cambria" w:hAnsi="Cambria" w:cs="Cambria"/>
                <w:sz w:val="20"/>
                <w:szCs w:val="20"/>
                <w:lang w:val="es-ES"/>
              </w:rPr>
            </w:pPr>
            <w:r w:rsidRPr="004118CE">
              <w:rPr>
                <w:rFonts w:ascii="Cambria" w:eastAsia="Cambria" w:hAnsi="Cambria" w:cs="Cambria"/>
                <w:sz w:val="20"/>
                <w:szCs w:val="20"/>
                <w:lang w:val="es-ES"/>
              </w:rPr>
              <w:t>Sí</w:t>
            </w:r>
          </w:p>
        </w:tc>
      </w:tr>
      <w:tr w:rsidR="004E318B" w:rsidRPr="004118CE" w14:paraId="7C0C793E" w14:textId="77777777" w:rsidTr="0039378C">
        <w:trPr>
          <w:cantSplit/>
        </w:trPr>
        <w:tc>
          <w:tcPr>
            <w:tcW w:w="3562" w:type="dxa"/>
            <w:tcBorders>
              <w:top w:val="single" w:sz="6" w:space="0" w:color="000000"/>
              <w:bottom w:val="single" w:sz="6" w:space="0" w:color="000000"/>
            </w:tcBorders>
            <w:shd w:val="clear" w:color="auto" w:fill="386294"/>
            <w:vAlign w:val="center"/>
          </w:tcPr>
          <w:p w14:paraId="383456FF"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Competencia</w:t>
            </w:r>
            <w:r w:rsidRPr="004118CE">
              <w:rPr>
                <w:rFonts w:ascii="Cambria" w:eastAsia="Cambria" w:hAnsi="Cambria" w:cs="Cambria"/>
                <w:b/>
                <w:i/>
                <w:color w:val="FFFFFF"/>
                <w:sz w:val="20"/>
                <w:szCs w:val="20"/>
                <w:lang w:val="es-ES"/>
              </w:rPr>
              <w:t xml:space="preserve"> Ratione temporis</w:t>
            </w:r>
            <w:r w:rsidRPr="004118CE">
              <w:rPr>
                <w:rFonts w:ascii="Cambria" w:eastAsia="Cambria" w:hAnsi="Cambria" w:cs="Cambria"/>
                <w:b/>
                <w:color w:val="FFFFFF"/>
                <w:sz w:val="20"/>
                <w:szCs w:val="20"/>
                <w:lang w:val="es-ES"/>
              </w:rPr>
              <w:t>:</w:t>
            </w:r>
          </w:p>
        </w:tc>
        <w:tc>
          <w:tcPr>
            <w:tcW w:w="5680" w:type="dxa"/>
            <w:vAlign w:val="center"/>
          </w:tcPr>
          <w:p w14:paraId="4AFA3693" w14:textId="77777777" w:rsidR="004E318B" w:rsidRPr="004118CE" w:rsidRDefault="004E318B" w:rsidP="0039378C">
            <w:pPr>
              <w:rPr>
                <w:rFonts w:ascii="Cambria" w:eastAsia="Cambria" w:hAnsi="Cambria" w:cs="Cambria"/>
                <w:sz w:val="20"/>
                <w:szCs w:val="20"/>
                <w:lang w:val="es-ES"/>
              </w:rPr>
            </w:pPr>
            <w:r w:rsidRPr="004118CE">
              <w:rPr>
                <w:rFonts w:ascii="Cambria" w:eastAsia="Cambria" w:hAnsi="Cambria" w:cs="Cambria"/>
                <w:sz w:val="20"/>
                <w:szCs w:val="20"/>
                <w:lang w:val="es-ES"/>
              </w:rPr>
              <w:t>Sí</w:t>
            </w:r>
          </w:p>
        </w:tc>
      </w:tr>
      <w:tr w:rsidR="004E318B" w:rsidRPr="00252B6E" w14:paraId="46151797" w14:textId="77777777" w:rsidTr="0039378C">
        <w:trPr>
          <w:cantSplit/>
        </w:trPr>
        <w:tc>
          <w:tcPr>
            <w:tcW w:w="3562" w:type="dxa"/>
            <w:tcBorders>
              <w:top w:val="single" w:sz="6" w:space="0" w:color="000000"/>
              <w:bottom w:val="single" w:sz="6" w:space="0" w:color="000000"/>
            </w:tcBorders>
            <w:shd w:val="clear" w:color="auto" w:fill="386294"/>
            <w:vAlign w:val="center"/>
          </w:tcPr>
          <w:p w14:paraId="0594498C"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Competencia</w:t>
            </w:r>
            <w:r w:rsidRPr="004118CE">
              <w:rPr>
                <w:rFonts w:ascii="Cambria" w:eastAsia="Cambria" w:hAnsi="Cambria" w:cs="Cambria"/>
                <w:b/>
                <w:i/>
                <w:color w:val="FFFFFF"/>
                <w:sz w:val="20"/>
                <w:szCs w:val="20"/>
                <w:lang w:val="es-ES"/>
              </w:rPr>
              <w:t xml:space="preserve"> Ratione materiae</w:t>
            </w:r>
            <w:r w:rsidRPr="004118CE">
              <w:rPr>
                <w:rFonts w:ascii="Cambria" w:eastAsia="Cambria" w:hAnsi="Cambria" w:cs="Cambria"/>
                <w:b/>
                <w:color w:val="FFFFFF"/>
                <w:sz w:val="20"/>
                <w:szCs w:val="20"/>
                <w:lang w:val="es-ES"/>
              </w:rPr>
              <w:t>:</w:t>
            </w:r>
          </w:p>
        </w:tc>
        <w:tc>
          <w:tcPr>
            <w:tcW w:w="5680" w:type="dxa"/>
            <w:vAlign w:val="center"/>
          </w:tcPr>
          <w:p w14:paraId="24D6234D"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Sí, en relación con Convención Americana (depósito del instrumento de ratificación realizado el 12 de julio de 1978)</w:t>
            </w:r>
          </w:p>
        </w:tc>
      </w:tr>
    </w:tbl>
    <w:p w14:paraId="3236D4CC" w14:textId="7F2450AD" w:rsidR="004E318B" w:rsidRPr="004118CE" w:rsidRDefault="004E318B" w:rsidP="004E318B">
      <w:pPr>
        <w:spacing w:before="240" w:after="240"/>
        <w:ind w:firstLine="720"/>
        <w:jc w:val="both"/>
        <w:rPr>
          <w:rFonts w:ascii="Cambria" w:eastAsia="Cambria" w:hAnsi="Cambria" w:cs="Cambria"/>
          <w:b/>
          <w:sz w:val="20"/>
          <w:szCs w:val="20"/>
          <w:lang w:val="es-ES"/>
        </w:rPr>
      </w:pPr>
      <w:r w:rsidRPr="004118CE">
        <w:rPr>
          <w:rFonts w:ascii="Cambria" w:eastAsia="Cambria" w:hAnsi="Cambria" w:cs="Cambria"/>
          <w:b/>
          <w:sz w:val="20"/>
          <w:szCs w:val="20"/>
          <w:lang w:val="es-ES"/>
        </w:rPr>
        <w:t xml:space="preserve">IV. </w:t>
      </w:r>
      <w:r w:rsidRPr="004118CE">
        <w:rPr>
          <w:rFonts w:ascii="Cambria" w:eastAsia="Cambria" w:hAnsi="Cambria" w:cs="Cambria"/>
          <w:b/>
          <w:sz w:val="20"/>
          <w:szCs w:val="20"/>
          <w:lang w:val="es-ES"/>
        </w:rPr>
        <w:tab/>
        <w:t>DUPLICACIÓN</w:t>
      </w:r>
      <w:r w:rsidRPr="004118CE">
        <w:rPr>
          <w:rFonts w:ascii="Cambria" w:eastAsia="Cambria" w:hAnsi="Cambria" w:cs="Cambria"/>
          <w:b/>
          <w:color w:val="FFFFFF"/>
          <w:sz w:val="20"/>
          <w:szCs w:val="20"/>
          <w:lang w:val="es-ES"/>
        </w:rPr>
        <w:t xml:space="preserve"> </w:t>
      </w:r>
      <w:r w:rsidRPr="004118CE">
        <w:rPr>
          <w:rFonts w:ascii="Cambria" w:eastAsia="Cambria" w:hAnsi="Cambria" w:cs="Cambria"/>
          <w:b/>
          <w:sz w:val="20"/>
          <w:szCs w:val="20"/>
          <w:lang w:val="es-ES"/>
        </w:rPr>
        <w:t>DE PROCEDIMIENTOS Y COSA JUZGADA</w:t>
      </w:r>
      <w:r w:rsidRPr="004118CE">
        <w:rPr>
          <w:rFonts w:ascii="Cambria" w:eastAsia="Cambria" w:hAnsi="Cambria" w:cs="Cambria"/>
          <w:b/>
          <w:i/>
          <w:sz w:val="20"/>
          <w:szCs w:val="20"/>
          <w:lang w:val="es-ES"/>
        </w:rPr>
        <w:t xml:space="preserve"> </w:t>
      </w:r>
      <w:r w:rsidR="00252B6E" w:rsidRPr="004118CE">
        <w:rPr>
          <w:rFonts w:ascii="Cambria" w:eastAsia="Cambria" w:hAnsi="Cambria" w:cs="Cambria"/>
          <w:b/>
          <w:sz w:val="20"/>
          <w:szCs w:val="20"/>
          <w:lang w:val="es-ES"/>
        </w:rPr>
        <w:t>INTERNACIONAL, CARACTERIZACIÓN</w:t>
      </w:r>
      <w:r w:rsidRPr="004118CE">
        <w:rPr>
          <w:rFonts w:ascii="Cambria" w:eastAsia="Cambria" w:hAnsi="Cambria" w:cs="Cambria"/>
          <w:b/>
          <w:sz w:val="20"/>
          <w:szCs w:val="20"/>
          <w:lang w:val="es-ES"/>
        </w:rPr>
        <w:t>, AGOTAMIENTO DE LOS RECURSOS INTERNOS Y PLAZO DE PRESENTACIÓN</w:t>
      </w:r>
    </w:p>
    <w:tbl>
      <w:tblPr>
        <w:tblW w:w="924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66"/>
        <w:gridCol w:w="5676"/>
      </w:tblGrid>
      <w:tr w:rsidR="004E318B" w:rsidRPr="004118CE" w14:paraId="7A54B5B7" w14:textId="77777777" w:rsidTr="0039378C">
        <w:trPr>
          <w:cantSplit/>
        </w:trPr>
        <w:tc>
          <w:tcPr>
            <w:tcW w:w="3566" w:type="dxa"/>
            <w:tcBorders>
              <w:top w:val="single" w:sz="4" w:space="0" w:color="000000"/>
              <w:bottom w:val="single" w:sz="6" w:space="0" w:color="000000"/>
            </w:tcBorders>
            <w:shd w:val="clear" w:color="auto" w:fill="386294"/>
            <w:vAlign w:val="center"/>
          </w:tcPr>
          <w:p w14:paraId="7C8E60E2"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Duplicación de procedimientos y cosa juzgada internacional:</w:t>
            </w:r>
          </w:p>
        </w:tc>
        <w:tc>
          <w:tcPr>
            <w:tcW w:w="5676" w:type="dxa"/>
            <w:vAlign w:val="center"/>
          </w:tcPr>
          <w:p w14:paraId="7D27C8F1"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No</w:t>
            </w:r>
          </w:p>
        </w:tc>
      </w:tr>
      <w:tr w:rsidR="004E318B" w:rsidRPr="00252B6E" w14:paraId="2AE51EBE" w14:textId="77777777" w:rsidTr="0039378C">
        <w:trPr>
          <w:cantSplit/>
        </w:trPr>
        <w:tc>
          <w:tcPr>
            <w:tcW w:w="3566" w:type="dxa"/>
            <w:tcBorders>
              <w:top w:val="single" w:sz="4" w:space="0" w:color="000000"/>
              <w:bottom w:val="single" w:sz="6" w:space="0" w:color="000000"/>
            </w:tcBorders>
            <w:shd w:val="clear" w:color="auto" w:fill="386294"/>
            <w:vAlign w:val="center"/>
          </w:tcPr>
          <w:p w14:paraId="1ECC2A8A" w14:textId="77777777" w:rsidR="004E318B" w:rsidRPr="004118CE" w:rsidRDefault="004E318B" w:rsidP="0039378C">
            <w:pPr>
              <w:jc w:val="center"/>
              <w:rPr>
                <w:rFonts w:ascii="Cambria" w:eastAsia="Cambria" w:hAnsi="Cambria" w:cs="Cambria"/>
                <w:b/>
                <w:i/>
                <w:color w:val="FFFFFF"/>
                <w:sz w:val="20"/>
                <w:szCs w:val="20"/>
                <w:lang w:val="es-ES"/>
              </w:rPr>
            </w:pPr>
            <w:r w:rsidRPr="004118CE">
              <w:rPr>
                <w:rFonts w:ascii="Cambria" w:eastAsia="Cambria" w:hAnsi="Cambria" w:cs="Cambria"/>
                <w:b/>
                <w:color w:val="FFFFFF"/>
                <w:sz w:val="20"/>
                <w:szCs w:val="20"/>
                <w:lang w:val="es-ES"/>
              </w:rPr>
              <w:t>Derechos declarados admisibles</w:t>
            </w:r>
            <w:r w:rsidRPr="004118CE">
              <w:rPr>
                <w:rFonts w:ascii="Cambria" w:eastAsia="Cambria" w:hAnsi="Cambria" w:cs="Cambria"/>
                <w:b/>
                <w:i/>
                <w:color w:val="FFFFFF"/>
                <w:sz w:val="20"/>
                <w:szCs w:val="20"/>
                <w:lang w:val="es-ES"/>
              </w:rPr>
              <w:t>:</w:t>
            </w:r>
          </w:p>
        </w:tc>
        <w:tc>
          <w:tcPr>
            <w:tcW w:w="5676" w:type="dxa"/>
            <w:vAlign w:val="center"/>
          </w:tcPr>
          <w:p w14:paraId="1988A9C1" w14:textId="77777777" w:rsidR="004E318B" w:rsidRPr="004118CE" w:rsidRDefault="004E318B" w:rsidP="0039378C">
            <w:pPr>
              <w:jc w:val="both"/>
              <w:rPr>
                <w:rFonts w:ascii="Cambria" w:eastAsia="Cambria" w:hAnsi="Cambria" w:cs="Cambria"/>
                <w:sz w:val="20"/>
                <w:szCs w:val="20"/>
                <w:lang w:val="es-ES"/>
              </w:rPr>
            </w:pPr>
            <w:r w:rsidRPr="004118CE">
              <w:rPr>
                <w:rFonts w:ascii="Cambria" w:eastAsia="Cambria" w:hAnsi="Cambria" w:cs="Cambria"/>
                <w:sz w:val="20"/>
                <w:szCs w:val="20"/>
                <w:lang w:val="es-ES"/>
              </w:rPr>
              <w:t>Artículos 8 (</w:t>
            </w:r>
            <w:r>
              <w:rPr>
                <w:rFonts w:ascii="Cambria" w:eastAsia="Cambria" w:hAnsi="Cambria" w:cs="Cambria"/>
                <w:sz w:val="20"/>
                <w:szCs w:val="20"/>
                <w:lang w:val="es-ES"/>
              </w:rPr>
              <w:t>garantías judiciales</w:t>
            </w:r>
            <w:r w:rsidRPr="004118CE">
              <w:rPr>
                <w:rFonts w:ascii="Cambria" w:eastAsia="Cambria" w:hAnsi="Cambria" w:cs="Cambria"/>
                <w:sz w:val="20"/>
                <w:szCs w:val="20"/>
                <w:lang w:val="es-ES"/>
              </w:rPr>
              <w:t xml:space="preserve">), 13 (libertad de </w:t>
            </w:r>
            <w:r>
              <w:rPr>
                <w:rFonts w:ascii="Cambria" w:eastAsia="Cambria" w:hAnsi="Cambria" w:cs="Cambria"/>
                <w:sz w:val="20"/>
                <w:szCs w:val="20"/>
                <w:lang w:val="es-ES"/>
              </w:rPr>
              <w:t xml:space="preserve">pensamiento y </w:t>
            </w:r>
            <w:r w:rsidRPr="004118CE">
              <w:rPr>
                <w:rFonts w:ascii="Cambria" w:eastAsia="Cambria" w:hAnsi="Cambria" w:cs="Cambria"/>
                <w:sz w:val="20"/>
                <w:szCs w:val="20"/>
                <w:lang w:val="es-ES"/>
              </w:rPr>
              <w:t>expresión), 21 (propiedad privada)</w:t>
            </w:r>
            <w:r>
              <w:rPr>
                <w:rFonts w:ascii="Cambria" w:eastAsia="Cambria" w:hAnsi="Cambria" w:cs="Cambria"/>
                <w:sz w:val="20"/>
                <w:szCs w:val="20"/>
                <w:lang w:val="es-ES"/>
              </w:rPr>
              <w:t xml:space="preserve"> y</w:t>
            </w:r>
            <w:r w:rsidRPr="004118CE">
              <w:rPr>
                <w:rFonts w:ascii="Cambria" w:eastAsia="Cambria" w:hAnsi="Cambria" w:cs="Cambria"/>
                <w:sz w:val="20"/>
                <w:szCs w:val="20"/>
                <w:lang w:val="es-ES"/>
              </w:rPr>
              <w:t xml:space="preserve"> 25 (protección judicial) de la Convención Americana; en relación con su artículo 1.1 (obligación de respetar los derechos)</w:t>
            </w:r>
          </w:p>
        </w:tc>
      </w:tr>
      <w:tr w:rsidR="004E318B" w:rsidRPr="000925C8" w14:paraId="73BAA150" w14:textId="77777777" w:rsidTr="0039378C">
        <w:trPr>
          <w:cantSplit/>
        </w:trPr>
        <w:tc>
          <w:tcPr>
            <w:tcW w:w="3566" w:type="dxa"/>
            <w:tcBorders>
              <w:top w:val="single" w:sz="6" w:space="0" w:color="000000"/>
              <w:bottom w:val="single" w:sz="6" w:space="0" w:color="000000"/>
            </w:tcBorders>
            <w:shd w:val="clear" w:color="auto" w:fill="386294"/>
            <w:vAlign w:val="center"/>
          </w:tcPr>
          <w:p w14:paraId="32D91965"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Agotamiento de recursos internos o procedencia de una excepción:</w:t>
            </w:r>
          </w:p>
        </w:tc>
        <w:tc>
          <w:tcPr>
            <w:tcW w:w="5676" w:type="dxa"/>
            <w:vAlign w:val="center"/>
          </w:tcPr>
          <w:p w14:paraId="4DAFFE46" w14:textId="77777777" w:rsidR="004E318B" w:rsidRPr="004118CE" w:rsidRDefault="004E318B" w:rsidP="0039378C">
            <w:pPr>
              <w:rPr>
                <w:rFonts w:ascii="Cambria" w:eastAsia="Cambria" w:hAnsi="Cambria" w:cs="Cambria"/>
                <w:sz w:val="20"/>
                <w:szCs w:val="20"/>
                <w:lang w:val="es-ES"/>
              </w:rPr>
            </w:pPr>
            <w:r w:rsidRPr="004118CE">
              <w:rPr>
                <w:rFonts w:ascii="Cambria" w:eastAsia="Cambria" w:hAnsi="Cambria" w:cs="Cambria"/>
                <w:sz w:val="20"/>
                <w:szCs w:val="20"/>
                <w:lang w:val="es-ES"/>
              </w:rPr>
              <w:t>Sí</w:t>
            </w:r>
          </w:p>
        </w:tc>
      </w:tr>
      <w:tr w:rsidR="004E318B" w:rsidRPr="000925C8" w14:paraId="71A820E5" w14:textId="77777777" w:rsidTr="0039378C">
        <w:trPr>
          <w:cantSplit/>
        </w:trPr>
        <w:tc>
          <w:tcPr>
            <w:tcW w:w="3566" w:type="dxa"/>
            <w:tcBorders>
              <w:top w:val="single" w:sz="6" w:space="0" w:color="000000"/>
              <w:bottom w:val="single" w:sz="6" w:space="0" w:color="000000"/>
            </w:tcBorders>
            <w:shd w:val="clear" w:color="auto" w:fill="386294"/>
            <w:vAlign w:val="center"/>
          </w:tcPr>
          <w:p w14:paraId="59CB6AC1" w14:textId="77777777" w:rsidR="004E318B" w:rsidRPr="004118CE" w:rsidRDefault="004E318B" w:rsidP="0039378C">
            <w:pPr>
              <w:jc w:val="center"/>
              <w:rPr>
                <w:rFonts w:ascii="Cambria" w:eastAsia="Cambria" w:hAnsi="Cambria" w:cs="Cambria"/>
                <w:b/>
                <w:color w:val="FFFFFF"/>
                <w:sz w:val="20"/>
                <w:szCs w:val="20"/>
                <w:lang w:val="es-ES"/>
              </w:rPr>
            </w:pPr>
            <w:r w:rsidRPr="004118CE">
              <w:rPr>
                <w:rFonts w:ascii="Cambria" w:eastAsia="Cambria" w:hAnsi="Cambria" w:cs="Cambria"/>
                <w:b/>
                <w:color w:val="FFFFFF"/>
                <w:sz w:val="20"/>
                <w:szCs w:val="20"/>
                <w:lang w:val="es-ES"/>
              </w:rPr>
              <w:t>Presentación dentro de plazo:</w:t>
            </w:r>
          </w:p>
        </w:tc>
        <w:tc>
          <w:tcPr>
            <w:tcW w:w="5676" w:type="dxa"/>
            <w:vAlign w:val="center"/>
          </w:tcPr>
          <w:p w14:paraId="6BCB4F25" w14:textId="77777777" w:rsidR="004E318B" w:rsidRPr="004118CE" w:rsidRDefault="004E318B" w:rsidP="0039378C">
            <w:pPr>
              <w:rPr>
                <w:rFonts w:ascii="Cambria" w:eastAsia="Cambria" w:hAnsi="Cambria" w:cs="Cambria"/>
                <w:sz w:val="20"/>
                <w:szCs w:val="20"/>
                <w:lang w:val="es-ES"/>
              </w:rPr>
            </w:pPr>
            <w:r w:rsidRPr="004118CE">
              <w:rPr>
                <w:rFonts w:ascii="Cambria" w:eastAsia="Cambria" w:hAnsi="Cambria" w:cs="Cambria"/>
                <w:sz w:val="20"/>
                <w:szCs w:val="20"/>
                <w:lang w:val="es-ES"/>
              </w:rPr>
              <w:t>Sí</w:t>
            </w:r>
          </w:p>
        </w:tc>
      </w:tr>
    </w:tbl>
    <w:p w14:paraId="5A02E4F4" w14:textId="77777777" w:rsidR="004E318B" w:rsidRPr="0080065F" w:rsidRDefault="004E318B" w:rsidP="004E318B">
      <w:pPr>
        <w:spacing w:after="240"/>
        <w:ind w:firstLine="720"/>
        <w:jc w:val="both"/>
        <w:rPr>
          <w:rFonts w:asciiTheme="majorHAnsi" w:eastAsia="Cambria" w:hAnsiTheme="majorHAnsi" w:cs="Cambria"/>
          <w:b/>
          <w:sz w:val="20"/>
          <w:szCs w:val="20"/>
          <w:lang w:val="es-ES_tradnl"/>
        </w:rPr>
      </w:pPr>
      <w:r w:rsidRPr="004118CE">
        <w:rPr>
          <w:rFonts w:ascii="Cambria" w:eastAsia="Cambria" w:hAnsi="Cambria" w:cs="Cambria"/>
          <w:b/>
          <w:sz w:val="20"/>
          <w:szCs w:val="20"/>
          <w:lang w:val="es-ES"/>
        </w:rPr>
        <w:lastRenderedPageBreak/>
        <w:t xml:space="preserve">V. </w:t>
      </w:r>
      <w:r w:rsidRPr="004118CE">
        <w:rPr>
          <w:rFonts w:ascii="Cambria" w:eastAsia="Cambria" w:hAnsi="Cambria" w:cs="Cambria"/>
          <w:b/>
          <w:sz w:val="20"/>
          <w:szCs w:val="20"/>
          <w:lang w:val="es-ES"/>
        </w:rPr>
        <w:tab/>
      </w:r>
      <w:r w:rsidRPr="0080065F">
        <w:rPr>
          <w:rFonts w:asciiTheme="majorHAnsi" w:eastAsia="Cambria" w:hAnsiTheme="majorHAnsi" w:cs="Cambria"/>
          <w:b/>
          <w:sz w:val="20"/>
          <w:szCs w:val="20"/>
          <w:lang w:val="es-ES_tradnl"/>
        </w:rPr>
        <w:t>POSICIÓN DE LAS PARTES</w:t>
      </w:r>
    </w:p>
    <w:p w14:paraId="3C1656E8" w14:textId="77777777" w:rsidR="004E318B" w:rsidRPr="0080065F" w:rsidRDefault="004E318B" w:rsidP="004E318B">
      <w:pPr>
        <w:spacing w:after="240"/>
        <w:ind w:firstLine="720"/>
        <w:jc w:val="both"/>
        <w:rPr>
          <w:rFonts w:asciiTheme="majorHAnsi" w:eastAsia="Cambria" w:hAnsiTheme="majorHAnsi" w:cs="Cambria"/>
          <w:b/>
          <w:bCs/>
          <w:iCs/>
          <w:sz w:val="20"/>
          <w:szCs w:val="20"/>
          <w:lang w:val="es-ES_tradnl"/>
        </w:rPr>
      </w:pPr>
      <w:r w:rsidRPr="0080065F">
        <w:rPr>
          <w:rFonts w:asciiTheme="majorHAnsi" w:eastAsia="Cambria" w:hAnsiTheme="majorHAnsi" w:cs="Cambria"/>
          <w:b/>
          <w:bCs/>
          <w:iCs/>
          <w:sz w:val="20"/>
          <w:szCs w:val="20"/>
          <w:lang w:val="es-ES_tradnl"/>
        </w:rPr>
        <w:t xml:space="preserve">La parte peticionaria  </w:t>
      </w:r>
    </w:p>
    <w:p w14:paraId="4010DC32" w14:textId="77777777" w:rsidR="004E318B" w:rsidRPr="00C5636C" w:rsidRDefault="004E318B" w:rsidP="613FA59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 xml:space="preserve">La parte peticionaria (o también “el peticionario”) denuncia que el Estado violó los derechos a la libertad de expresión, propiedad privada, igualdad ante la ley, garantías y protección judicial de un grupo de comunicadores mediante actos de abusos de poder del Ministerio de Transportes y Comunicaciones, que habrían resultado en el cierre de Radio Caplina (en adelante también “la emisora”) por haber informado acerca de protestas en Tacna. </w:t>
      </w:r>
    </w:p>
    <w:p w14:paraId="61DC42CD" w14:textId="6AADC9D6" w:rsidR="004E318B" w:rsidRPr="00C5636C" w:rsidRDefault="004E318B" w:rsidP="613FA59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El peticionario narra que en 1991 se otorgó a la empresa Radiodifusora Caplina y Frecuencia Modulada una autorización para operar una estación de radiodifusión en Tac</w:t>
      </w:r>
      <w:r w:rsidR="002F4796" w:rsidRPr="00C5636C">
        <w:rPr>
          <w:rFonts w:asciiTheme="majorHAnsi" w:eastAsia="Cambria" w:hAnsiTheme="majorHAnsi" w:cs="Cambria"/>
          <w:sz w:val="20"/>
          <w:szCs w:val="20"/>
          <w:lang w:val="es-ES"/>
        </w:rPr>
        <w:t>n</w:t>
      </w:r>
      <w:r w:rsidRPr="00C5636C">
        <w:rPr>
          <w:rFonts w:asciiTheme="majorHAnsi" w:eastAsia="Cambria" w:hAnsiTheme="majorHAnsi" w:cs="Cambria"/>
          <w:sz w:val="20"/>
          <w:szCs w:val="20"/>
          <w:lang w:val="es-ES"/>
        </w:rPr>
        <w:t>a. Posteriormente, en enero de 2001</w:t>
      </w:r>
      <w:r w:rsidR="002F4796" w:rsidRPr="00C5636C">
        <w:rPr>
          <w:rFonts w:asciiTheme="majorHAnsi" w:eastAsia="Cambria" w:hAnsiTheme="majorHAnsi" w:cs="Cambria"/>
          <w:sz w:val="20"/>
          <w:szCs w:val="20"/>
          <w:lang w:val="es-ES"/>
        </w:rPr>
        <w:t>,</w:t>
      </w:r>
      <w:r w:rsidRPr="00C5636C">
        <w:rPr>
          <w:rFonts w:asciiTheme="majorHAnsi" w:eastAsia="Cambria" w:hAnsiTheme="majorHAnsi" w:cs="Cambria"/>
          <w:sz w:val="20"/>
          <w:szCs w:val="20"/>
          <w:lang w:val="es-ES"/>
        </w:rPr>
        <w:t xml:space="preserve"> la emisora presentó una solicitud formal de renovación automática de la autorización ante el Ministerio de Transportes y Comunicaciones (en adelante también “MTC”) para continuar operando. Sin embargo, el 1 de abril de 2005 se declaró improcedente dicha solicitud de renovación debido a deudas de la empresa con el MTC. Tras la interposición de distintos recursos administrativos entre 2005 y 2008, el 3 de noviembre de 2008 el MTC confirmó la improcedencia del pedido de renovación. En consecuencia, el </w:t>
      </w:r>
      <w:r w:rsidR="004F313F" w:rsidRPr="00C5636C">
        <w:rPr>
          <w:rFonts w:asciiTheme="majorHAnsi" w:eastAsia="Cambria" w:hAnsiTheme="majorHAnsi" w:cs="Cambria"/>
          <w:sz w:val="20"/>
          <w:szCs w:val="20"/>
          <w:lang w:val="es-ES"/>
        </w:rPr>
        <w:t>1</w:t>
      </w:r>
      <w:r w:rsidRPr="00C5636C">
        <w:rPr>
          <w:rFonts w:asciiTheme="majorHAnsi" w:eastAsia="Cambria" w:hAnsiTheme="majorHAnsi" w:cs="Cambria"/>
          <w:sz w:val="20"/>
          <w:szCs w:val="20"/>
          <w:lang w:val="es-ES"/>
        </w:rPr>
        <w:t xml:space="preserve">2 de noviembre de 2008 representantes de la Dirección General de Control y Supervisión de Comunicaciones del Ministerio de Transporte y Comunicaciones, con el </w:t>
      </w:r>
      <w:r w:rsidR="009C2ED4" w:rsidRPr="00C5636C">
        <w:rPr>
          <w:rFonts w:asciiTheme="majorHAnsi" w:eastAsia="Cambria" w:hAnsiTheme="majorHAnsi" w:cs="Cambria"/>
          <w:sz w:val="20"/>
          <w:szCs w:val="20"/>
          <w:lang w:val="es-ES"/>
        </w:rPr>
        <w:t>E</w:t>
      </w:r>
      <w:r w:rsidRPr="00C5636C">
        <w:rPr>
          <w:rFonts w:asciiTheme="majorHAnsi" w:eastAsia="Cambria" w:hAnsiTheme="majorHAnsi" w:cs="Cambria"/>
          <w:sz w:val="20"/>
          <w:szCs w:val="20"/>
          <w:lang w:val="es-ES"/>
        </w:rPr>
        <w:t xml:space="preserve">jército, </w:t>
      </w:r>
      <w:r w:rsidR="00377FBF" w:rsidRPr="00C5636C">
        <w:rPr>
          <w:rFonts w:asciiTheme="majorHAnsi" w:eastAsia="Cambria" w:hAnsiTheme="majorHAnsi" w:cs="Cambria"/>
          <w:sz w:val="20"/>
          <w:szCs w:val="20"/>
          <w:lang w:val="es-ES"/>
        </w:rPr>
        <w:t>clausuraron la emisora e incautaron los equipos de transmisión, rodeando la emisora con tanques de guerra e ingresando a patadas.</w:t>
      </w:r>
    </w:p>
    <w:p w14:paraId="59FBAE1A" w14:textId="77F1F511" w:rsidR="004E318B" w:rsidRPr="00C5636C" w:rsidRDefault="00AC12D5" w:rsidP="613FA59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El cierre</w:t>
      </w:r>
      <w:r w:rsidR="004E318B" w:rsidRPr="00C5636C">
        <w:rPr>
          <w:rFonts w:asciiTheme="majorHAnsi" w:eastAsia="Cambria" w:hAnsiTheme="majorHAnsi" w:cs="Cambria"/>
          <w:sz w:val="20"/>
          <w:szCs w:val="20"/>
          <w:lang w:val="es-ES"/>
        </w:rPr>
        <w:t xml:space="preserve"> de la emisora, en cumplimiento de la resolución administrativa, ocurrió en el contexto de manifestaciones masivas en Perú, tras la modificación de la Ley del Canon Minero en octubre del 2008. Esta modificación había reducido significativamente la participación de Tacna en los ingresos del canon, provocando protestas en la ciudad. En este contexto, el 4 de noviembre de 2008 el gobierno declaró un estado de emergencia por </w:t>
      </w:r>
      <w:r w:rsidR="00F051E9" w:rsidRPr="00C5636C">
        <w:rPr>
          <w:rFonts w:asciiTheme="majorHAnsi" w:eastAsia="Cambria" w:hAnsiTheme="majorHAnsi" w:cs="Cambria"/>
          <w:sz w:val="20"/>
          <w:szCs w:val="20"/>
          <w:lang w:val="es-ES"/>
        </w:rPr>
        <w:t xml:space="preserve">30 </w:t>
      </w:r>
      <w:r w:rsidR="004E318B" w:rsidRPr="00C5636C">
        <w:rPr>
          <w:rFonts w:asciiTheme="majorHAnsi" w:eastAsia="Cambria" w:hAnsiTheme="majorHAnsi" w:cs="Cambria"/>
          <w:sz w:val="20"/>
          <w:szCs w:val="20"/>
          <w:lang w:val="es-ES"/>
        </w:rPr>
        <w:t>días en varias provincias de Tacna. La parte peticionaria denuncia que la actuación del Ministerio de Transporte y Comunicaciones fue un acto de abuso de poder, que se produjo en represalia por la cobertura que Radio Caplina hizo de esas protestas sociales en Tacna.</w:t>
      </w:r>
    </w:p>
    <w:p w14:paraId="27531069" w14:textId="4255396D" w:rsidR="004E318B" w:rsidRPr="00C5636C" w:rsidRDefault="004E318B" w:rsidP="613FA59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Con respecto al agotamiento de los recursos internos, la parte peticionaria narra que</w:t>
      </w:r>
      <w:r w:rsidR="00F051E9" w:rsidRPr="00C5636C">
        <w:rPr>
          <w:rFonts w:asciiTheme="majorHAnsi" w:eastAsia="Cambria" w:hAnsiTheme="majorHAnsi" w:cs="Cambria"/>
          <w:sz w:val="20"/>
          <w:szCs w:val="20"/>
          <w:lang w:val="es-ES"/>
        </w:rPr>
        <w:t>,</w:t>
      </w:r>
      <w:r w:rsidRPr="00C5636C">
        <w:rPr>
          <w:rFonts w:asciiTheme="majorHAnsi" w:eastAsia="Cambria" w:hAnsiTheme="majorHAnsi" w:cs="Cambria"/>
          <w:sz w:val="20"/>
          <w:szCs w:val="20"/>
          <w:lang w:val="es-ES"/>
        </w:rPr>
        <w:t xml:space="preserve"> además de los recursos administrativos </w:t>
      </w:r>
      <w:r w:rsidR="00FB0FB3" w:rsidRPr="00C5636C">
        <w:rPr>
          <w:rFonts w:asciiTheme="majorHAnsi" w:eastAsia="Cambria" w:hAnsiTheme="majorHAnsi" w:cs="Cambria"/>
          <w:sz w:val="20"/>
          <w:szCs w:val="20"/>
          <w:lang w:val="es-ES"/>
        </w:rPr>
        <w:t xml:space="preserve">planteados </w:t>
      </w:r>
      <w:r w:rsidRPr="00C5636C">
        <w:rPr>
          <w:rFonts w:asciiTheme="majorHAnsi" w:eastAsia="Cambria" w:hAnsiTheme="majorHAnsi" w:cs="Cambria"/>
          <w:sz w:val="20"/>
          <w:szCs w:val="20"/>
          <w:lang w:val="es-ES"/>
        </w:rPr>
        <w:t xml:space="preserve">ante el MTC para continuar con su licencia, </w:t>
      </w:r>
      <w:r w:rsidR="0045671D" w:rsidRPr="00C5636C">
        <w:rPr>
          <w:rFonts w:asciiTheme="majorHAnsi" w:eastAsia="Cambria" w:hAnsiTheme="majorHAnsi" w:cs="Cambria"/>
          <w:sz w:val="20"/>
          <w:szCs w:val="20"/>
          <w:lang w:val="es-ES"/>
        </w:rPr>
        <w:t xml:space="preserve">interpuso </w:t>
      </w:r>
      <w:r w:rsidRPr="00C5636C">
        <w:rPr>
          <w:rFonts w:asciiTheme="majorHAnsi" w:eastAsia="Cambria" w:hAnsiTheme="majorHAnsi" w:cs="Cambria"/>
          <w:sz w:val="20"/>
          <w:szCs w:val="20"/>
          <w:lang w:val="es-ES"/>
        </w:rPr>
        <w:t xml:space="preserve">una demanda de nulidad el 14 de enero de 2009, la cual fue resuelta de manera final por la Corte Suprema de Justicia el 8 de abril de 2013, resultando improcedente. El 20 de agosto de 2013 la emisora </w:t>
      </w:r>
      <w:r w:rsidR="0045671D" w:rsidRPr="00C5636C">
        <w:rPr>
          <w:rFonts w:asciiTheme="majorHAnsi" w:eastAsia="Cambria" w:hAnsiTheme="majorHAnsi" w:cs="Cambria"/>
          <w:sz w:val="20"/>
          <w:szCs w:val="20"/>
          <w:lang w:val="es-ES"/>
        </w:rPr>
        <w:t xml:space="preserve">planteó </w:t>
      </w:r>
      <w:r w:rsidRPr="00C5636C">
        <w:rPr>
          <w:rFonts w:asciiTheme="majorHAnsi" w:eastAsia="Cambria" w:hAnsiTheme="majorHAnsi" w:cs="Cambria"/>
          <w:sz w:val="20"/>
          <w:szCs w:val="20"/>
          <w:lang w:val="es-ES"/>
        </w:rPr>
        <w:t>una acción de amparo en contra de esa decisión del 8 de abril de 2013, pero fue declarad</w:t>
      </w:r>
      <w:r w:rsidR="003354B5" w:rsidRPr="00C5636C">
        <w:rPr>
          <w:rFonts w:asciiTheme="majorHAnsi" w:eastAsia="Cambria" w:hAnsiTheme="majorHAnsi" w:cs="Cambria"/>
          <w:sz w:val="20"/>
          <w:szCs w:val="20"/>
          <w:lang w:val="es-ES"/>
        </w:rPr>
        <w:t>a</w:t>
      </w:r>
      <w:r w:rsidRPr="00C5636C">
        <w:rPr>
          <w:rFonts w:asciiTheme="majorHAnsi" w:eastAsia="Cambria" w:hAnsiTheme="majorHAnsi" w:cs="Cambria"/>
          <w:sz w:val="20"/>
          <w:szCs w:val="20"/>
          <w:lang w:val="es-ES"/>
        </w:rPr>
        <w:t xml:space="preserve"> improcedente porque supuestamente habría sido</w:t>
      </w:r>
      <w:r w:rsidR="00635A56" w:rsidRPr="00C5636C">
        <w:rPr>
          <w:rFonts w:asciiTheme="majorHAnsi" w:eastAsia="Cambria" w:hAnsiTheme="majorHAnsi" w:cs="Cambria"/>
          <w:sz w:val="20"/>
          <w:szCs w:val="20"/>
          <w:lang w:val="es-ES"/>
        </w:rPr>
        <w:t xml:space="preserve"> propuesto</w:t>
      </w:r>
      <w:r w:rsidRPr="00C5636C">
        <w:rPr>
          <w:rFonts w:asciiTheme="majorHAnsi" w:eastAsia="Cambria" w:hAnsiTheme="majorHAnsi" w:cs="Cambria"/>
          <w:sz w:val="20"/>
          <w:szCs w:val="20"/>
          <w:lang w:val="es-ES"/>
        </w:rPr>
        <w:t xml:space="preserve"> ante un juzgado incompetente. Para el peticionario esta decisión no consideró adecuadamente el lugar de domicilio del demandante a la fecha de presentación del recurso. La decisión final que archivó este proceso de garantías constitucionales habría sido notificada el 25 de septiembre de 2016. </w:t>
      </w:r>
    </w:p>
    <w:p w14:paraId="38A95460" w14:textId="77777777" w:rsidR="004E318B" w:rsidRPr="00C5636C" w:rsidRDefault="004E318B" w:rsidP="004E318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La parte peticionaria alega que, aunque la Constitución y la Convención Americana permiten restricciones durante un estado de emergencia, estas no deben anular las libertades de información, opinión y expresión. En este sentido, la intervención y clausura de la emisora fueron medidas desproporcionadas y violaron estos derechos, intentando silenciar una voz crítica y objetiva en la cobertura de eventos públicos. Estas acciones vulnerarían los citados derechos de la Convención Americana, así como legislación doméstica.</w:t>
      </w:r>
    </w:p>
    <w:p w14:paraId="5316C49C" w14:textId="77777777" w:rsidR="004E318B" w:rsidRPr="00C5636C" w:rsidRDefault="004E318B" w:rsidP="004E318B">
      <w:pPr>
        <w:spacing w:after="240"/>
        <w:ind w:firstLine="720"/>
        <w:jc w:val="both"/>
        <w:rPr>
          <w:rFonts w:asciiTheme="majorHAnsi" w:eastAsia="Cambria" w:hAnsiTheme="majorHAnsi" w:cs="Cambria"/>
          <w:b/>
          <w:bCs/>
          <w:iCs/>
          <w:sz w:val="20"/>
          <w:szCs w:val="20"/>
          <w:lang w:val="es-ES_tradnl"/>
        </w:rPr>
      </w:pPr>
      <w:r w:rsidRPr="00C5636C">
        <w:rPr>
          <w:rFonts w:asciiTheme="majorHAnsi" w:eastAsia="Cambria" w:hAnsiTheme="majorHAnsi" w:cs="Cambria"/>
          <w:b/>
          <w:bCs/>
          <w:iCs/>
          <w:sz w:val="20"/>
          <w:szCs w:val="20"/>
          <w:lang w:val="es-ES_tradnl"/>
        </w:rPr>
        <w:t>El Estado peruano</w:t>
      </w:r>
    </w:p>
    <w:p w14:paraId="2B81776E" w14:textId="77777777" w:rsidR="004E318B"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 xml:space="preserve">El Estado, por su parte, argumenta que la Radiodifusora Caplina no tiene legitimación para presentar peticiones ante la CIDH porque la Convención Americana sólo protege a personas naturales. En este sentido, recuerda que ese organismo ha emitido varias decisiones inadmitiendo peticiones presentadas por entidades comerciales bajo condición de víctimas directas. Perú también señala que la legislación nacional invocada como presuntamente violada no forma parte de los derechos protegidos por la Convención, y que la CIDH no puede actuar como una cuarta instancia para revisar decisiones judiciales internas. </w:t>
      </w:r>
    </w:p>
    <w:p w14:paraId="0C1B4E22" w14:textId="77777777" w:rsidR="003C1679" w:rsidRPr="00C5636C" w:rsidRDefault="003C1679" w:rsidP="003C1679">
      <w:pPr>
        <w:pBdr>
          <w:bar w:val="none" w:sz="0" w:color="auto"/>
        </w:pBdr>
        <w:spacing w:after="240"/>
        <w:ind w:left="720"/>
        <w:jc w:val="both"/>
        <w:rPr>
          <w:rFonts w:asciiTheme="majorHAnsi" w:eastAsia="Cambria" w:hAnsiTheme="majorHAnsi" w:cs="Cambria"/>
          <w:sz w:val="20"/>
          <w:szCs w:val="20"/>
          <w:lang w:val="es-ES"/>
        </w:rPr>
      </w:pPr>
    </w:p>
    <w:p w14:paraId="20CF79E0" w14:textId="4C529A5F" w:rsidR="004E318B" w:rsidRPr="00C5636C" w:rsidRDefault="004E318B"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lastRenderedPageBreak/>
        <w:t xml:space="preserve">Sobre el agotamiento de recursos internos el Estado argumenta que la petición inicial fue </w:t>
      </w:r>
      <w:r w:rsidR="008E6A53" w:rsidRPr="00C5636C">
        <w:rPr>
          <w:rFonts w:asciiTheme="majorHAnsi" w:eastAsia="Cambria" w:hAnsiTheme="majorHAnsi" w:cs="Cambria"/>
          <w:sz w:val="20"/>
          <w:szCs w:val="20"/>
          <w:lang w:val="es-ES_tradnl"/>
        </w:rPr>
        <w:t xml:space="preserve">enviada a la </w:t>
      </w:r>
      <w:r w:rsidR="00A420BD" w:rsidRPr="00C5636C">
        <w:rPr>
          <w:rFonts w:asciiTheme="majorHAnsi" w:eastAsia="Cambria" w:hAnsiTheme="majorHAnsi" w:cs="Cambria"/>
          <w:sz w:val="20"/>
          <w:szCs w:val="20"/>
          <w:lang w:val="es-ES_tradnl"/>
        </w:rPr>
        <w:t>Comisión</w:t>
      </w:r>
      <w:r w:rsidR="008E6A53" w:rsidRPr="00C5636C">
        <w:rPr>
          <w:rFonts w:asciiTheme="majorHAnsi" w:eastAsia="Cambria" w:hAnsiTheme="majorHAnsi" w:cs="Cambria"/>
          <w:sz w:val="20"/>
          <w:szCs w:val="20"/>
          <w:lang w:val="es-ES_tradnl"/>
        </w:rPr>
        <w:t xml:space="preserve"> </w:t>
      </w:r>
      <w:r w:rsidRPr="00C5636C">
        <w:rPr>
          <w:rFonts w:asciiTheme="majorHAnsi" w:eastAsia="Cambria" w:hAnsiTheme="majorHAnsi" w:cs="Cambria"/>
          <w:sz w:val="20"/>
          <w:szCs w:val="20"/>
          <w:lang w:val="es-ES_tradnl"/>
        </w:rPr>
        <w:t>el 7 de marzo de 2016, antes de que se resolvieran las controversias sobre la demanda de nulidad de una de las resoluciones administrativas impugnadas</w:t>
      </w:r>
      <w:r w:rsidR="00655F2D" w:rsidRPr="00C5636C">
        <w:rPr>
          <w:rFonts w:asciiTheme="majorHAnsi" w:eastAsia="Cambria" w:hAnsiTheme="majorHAnsi" w:cs="Cambria"/>
          <w:sz w:val="20"/>
          <w:szCs w:val="20"/>
          <w:lang w:val="es-ES_tradnl"/>
        </w:rPr>
        <w:t>;</w:t>
      </w:r>
      <w:r w:rsidRPr="00C5636C">
        <w:rPr>
          <w:rFonts w:asciiTheme="majorHAnsi" w:eastAsia="Cambria" w:hAnsiTheme="majorHAnsi" w:cs="Cambria"/>
          <w:sz w:val="20"/>
          <w:szCs w:val="20"/>
          <w:lang w:val="es-ES_tradnl"/>
        </w:rPr>
        <w:t xml:space="preserve"> ya que, según indica, la decisión final del Tribunal Constitucional en el recurso de amparo fue notificada el 25 de septiembre de 2016. </w:t>
      </w:r>
    </w:p>
    <w:p w14:paraId="528341B8" w14:textId="6F91732E"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 xml:space="preserve">Asimismo, afirma que la petición fue </w:t>
      </w:r>
      <w:r w:rsidR="005C21E4" w:rsidRPr="00C5636C">
        <w:rPr>
          <w:rFonts w:asciiTheme="majorHAnsi" w:eastAsia="Cambria" w:hAnsiTheme="majorHAnsi" w:cs="Cambria"/>
          <w:sz w:val="20"/>
          <w:szCs w:val="20"/>
          <w:lang w:val="es-ES"/>
        </w:rPr>
        <w:t>interpuesta</w:t>
      </w:r>
      <w:r w:rsidRPr="00C5636C">
        <w:rPr>
          <w:rFonts w:asciiTheme="majorHAnsi" w:eastAsia="Cambria" w:hAnsiTheme="majorHAnsi" w:cs="Cambria"/>
          <w:sz w:val="20"/>
          <w:szCs w:val="20"/>
          <w:lang w:val="es-ES"/>
        </w:rPr>
        <w:t xml:space="preserve"> mientras se encontraban pendientes las resoluciones finales de dos expedientes judiciales que fueron abiertos en 2011. En estos procesos los afectados cuestionan la improcedencia de un pedido administrativo </w:t>
      </w:r>
      <w:r w:rsidR="00A420BD" w:rsidRPr="00C5636C">
        <w:rPr>
          <w:rFonts w:asciiTheme="majorHAnsi" w:eastAsia="Cambria" w:hAnsiTheme="majorHAnsi" w:cs="Cambria"/>
          <w:sz w:val="20"/>
          <w:szCs w:val="20"/>
          <w:lang w:val="es-ES"/>
        </w:rPr>
        <w:t xml:space="preserve">formulado </w:t>
      </w:r>
      <w:r w:rsidRPr="00C5636C">
        <w:rPr>
          <w:rFonts w:asciiTheme="majorHAnsi" w:eastAsia="Cambria" w:hAnsiTheme="majorHAnsi" w:cs="Cambria"/>
          <w:sz w:val="20"/>
          <w:szCs w:val="20"/>
          <w:lang w:val="es-ES"/>
        </w:rPr>
        <w:t xml:space="preserve">en 2010, en el que intentaban la restitución de la autorización de la Radio Caplina, dejando sin efecto las decisiones administrativas tomadas en 2008. Según el Estado, se habría notificado la resolución de uno de los expedientes judiciales en agosto de 2017, y el otro en septiembre de 2018, fechas posteriores a la presentación de la petición ante la CIDH. </w:t>
      </w:r>
    </w:p>
    <w:p w14:paraId="107D044B" w14:textId="39FC906A"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Asimismo, en materia sustantiva, Perú argumenta que la petición no expone hechos que constituyan violaciones de los derechos garantizados por la Convención Americana. Aduce que la CIDH no debe reexaminar decisiones judiciales internas, ya que los procesos se llevaron a cabo con las garantías del debido proceso conforme a la ley. Respecto a la libertad de expresión e información sostiene que la denegatoria de renovación de la autorización se debió a un incumplimiento de pagos, no a una acción arbitraria. Sobre el derecho a la propiedad privada, el Estado indica que la incautación de la estación de radiodifusión no autorizada “Radio Caplina” el 12 de noviembre de 2008, realizada con la participación del Ministerio Público, la Policía Nacional y las fuerzas armadas en un contexto de estado de emergencia, fue legal y conforme a la Constitución y a la propia Convención</w:t>
      </w:r>
      <w:r w:rsidR="00872BD3" w:rsidRPr="00C5636C">
        <w:rPr>
          <w:rFonts w:asciiTheme="majorHAnsi" w:eastAsia="Cambria" w:hAnsiTheme="majorHAnsi" w:cs="Cambria"/>
          <w:sz w:val="20"/>
          <w:szCs w:val="20"/>
          <w:lang w:val="es-ES"/>
        </w:rPr>
        <w:t>;</w:t>
      </w:r>
      <w:r w:rsidRPr="00C5636C">
        <w:rPr>
          <w:rFonts w:asciiTheme="majorHAnsi" w:eastAsia="Cambria" w:hAnsiTheme="majorHAnsi" w:cs="Cambria"/>
          <w:sz w:val="20"/>
          <w:szCs w:val="20"/>
          <w:lang w:val="es-ES"/>
        </w:rPr>
        <w:t xml:space="preserve"> ya que la estación operaba sin autorización, configurándose el delito de hurto agravado del espectro radioeléctrico. Acerca del derecho a la igualdad ante la ley sostiene que la parte peticionaria no demostró sus posibles vulneraciones; y</w:t>
      </w:r>
      <w:r w:rsidR="00872BD3" w:rsidRPr="00C5636C">
        <w:rPr>
          <w:rFonts w:asciiTheme="majorHAnsi" w:eastAsia="Cambria" w:hAnsiTheme="majorHAnsi" w:cs="Cambria"/>
          <w:sz w:val="20"/>
          <w:szCs w:val="20"/>
          <w:lang w:val="es-ES"/>
        </w:rPr>
        <w:t>,</w:t>
      </w:r>
      <w:r w:rsidRPr="00C5636C">
        <w:rPr>
          <w:rFonts w:asciiTheme="majorHAnsi" w:eastAsia="Cambria" w:hAnsiTheme="majorHAnsi" w:cs="Cambria"/>
          <w:sz w:val="20"/>
          <w:szCs w:val="20"/>
          <w:lang w:val="es-ES"/>
        </w:rPr>
        <w:t xml:space="preserve"> en lo tocante al derecho a la protección judicial, asegura que la parte peticionaria tuvo acceso a recursos judiciales efectivos, y que no presentó quejas contra los jueces. </w:t>
      </w:r>
    </w:p>
    <w:p w14:paraId="271A598F" w14:textId="77777777" w:rsidR="004E318B" w:rsidRPr="00C5636C" w:rsidRDefault="004E318B" w:rsidP="004E318B">
      <w:pPr>
        <w:spacing w:after="240"/>
        <w:ind w:firstLine="720"/>
        <w:jc w:val="both"/>
        <w:rPr>
          <w:rFonts w:asciiTheme="majorHAnsi" w:eastAsia="Cambria" w:hAnsiTheme="majorHAnsi" w:cs="Cambria"/>
          <w:sz w:val="20"/>
          <w:szCs w:val="20"/>
          <w:lang w:val="es-ES_tradnl"/>
        </w:rPr>
      </w:pPr>
      <w:r w:rsidRPr="00C5636C">
        <w:rPr>
          <w:rFonts w:asciiTheme="majorHAnsi" w:eastAsia="Cambria" w:hAnsiTheme="majorHAnsi" w:cs="Cambria"/>
          <w:b/>
          <w:sz w:val="20"/>
          <w:szCs w:val="20"/>
          <w:lang w:val="es-ES_tradnl"/>
        </w:rPr>
        <w:t>VI.</w:t>
      </w:r>
      <w:r w:rsidRPr="00C5636C">
        <w:rPr>
          <w:rFonts w:asciiTheme="majorHAnsi" w:eastAsia="Cambria" w:hAnsiTheme="majorHAnsi" w:cs="Cambria"/>
          <w:b/>
          <w:sz w:val="20"/>
          <w:szCs w:val="20"/>
          <w:lang w:val="es-ES_tradnl"/>
        </w:rPr>
        <w:tab/>
        <w:t xml:space="preserve">ANÁLISIS DE LA COMPETENCIA </w:t>
      </w:r>
      <w:r w:rsidRPr="00C5636C">
        <w:rPr>
          <w:rFonts w:asciiTheme="majorHAnsi" w:eastAsia="Cambria" w:hAnsiTheme="majorHAnsi" w:cs="Cambria"/>
          <w:b/>
          <w:i/>
          <w:iCs/>
          <w:sz w:val="20"/>
          <w:szCs w:val="20"/>
          <w:lang w:val="es-ES_tradnl"/>
        </w:rPr>
        <w:t>RATIONE PERSONAE</w:t>
      </w:r>
      <w:r w:rsidRPr="00C5636C">
        <w:rPr>
          <w:rFonts w:asciiTheme="majorHAnsi" w:eastAsia="Cambria" w:hAnsiTheme="majorHAnsi" w:cs="Cambria"/>
          <w:b/>
          <w:sz w:val="20"/>
          <w:szCs w:val="20"/>
          <w:lang w:val="es-ES_tradnl"/>
        </w:rPr>
        <w:t xml:space="preserve"> </w:t>
      </w:r>
    </w:p>
    <w:p w14:paraId="38EA9226" w14:textId="0D2C8259" w:rsidR="004E318B" w:rsidRPr="00C5636C" w:rsidRDefault="004E318B"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 xml:space="preserve"> La Comisión ha seguido el criterio de interpretación del artículo 44 de la Convención Americana requiriendo que</w:t>
      </w:r>
      <w:r w:rsidR="00872BD3" w:rsidRPr="00C5636C">
        <w:rPr>
          <w:rFonts w:asciiTheme="majorHAnsi" w:eastAsia="Cambria" w:hAnsiTheme="majorHAnsi" w:cs="Cambria"/>
          <w:sz w:val="20"/>
          <w:szCs w:val="20"/>
          <w:lang w:val="es-ES_tradnl"/>
        </w:rPr>
        <w:t>,</w:t>
      </w:r>
      <w:r w:rsidRPr="00C5636C">
        <w:rPr>
          <w:rFonts w:asciiTheme="majorHAnsi" w:eastAsia="Cambria" w:hAnsiTheme="majorHAnsi" w:cs="Cambria"/>
          <w:sz w:val="20"/>
          <w:szCs w:val="20"/>
          <w:lang w:val="es-ES_tradnl"/>
        </w:rPr>
        <w:t xml:space="preserve"> para que una petición sea admisible</w:t>
      </w:r>
      <w:r w:rsidR="00872BD3" w:rsidRPr="00C5636C">
        <w:rPr>
          <w:rFonts w:asciiTheme="majorHAnsi" w:eastAsia="Cambria" w:hAnsiTheme="majorHAnsi" w:cs="Cambria"/>
          <w:sz w:val="20"/>
          <w:szCs w:val="20"/>
          <w:lang w:val="es-ES_tradnl"/>
        </w:rPr>
        <w:t>,</w:t>
      </w:r>
      <w:r w:rsidRPr="00C5636C">
        <w:rPr>
          <w:rFonts w:asciiTheme="majorHAnsi" w:eastAsia="Cambria" w:hAnsiTheme="majorHAnsi" w:cs="Cambria"/>
          <w:sz w:val="20"/>
          <w:szCs w:val="20"/>
          <w:lang w:val="es-ES_tradnl"/>
        </w:rPr>
        <w:t xml:space="preserve"> deben existir víctimas concretas, individualizadas y determinadas, o se refieran a un grupo de víctimas específico y definido compuesto de individuos determinables.</w:t>
      </w:r>
    </w:p>
    <w:p w14:paraId="19F5956C" w14:textId="77777777"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En el presente caso, la parte peticionaria plantea que son presuntas víctimas Radiodifusora Caplina y Frecuencia Modulada Sociedad Comercial de Responsabilidad Limitada; la gerente de esta emisora Nicolasa Cabina Laura Mamani; el gerente Sabino Mario Aguilar Aguilar y sus hijos; y los periodistas, reporteros y panelistas de dicho medio de comunicación.</w:t>
      </w:r>
    </w:p>
    <w:p w14:paraId="7D720CFF" w14:textId="4DE26CC1" w:rsidR="004E318B" w:rsidRPr="00C5636C" w:rsidRDefault="004E318B"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 xml:space="preserve">A este respecto, la CIDH reitera que si bien no posee competencia para evaluar alegadas violaciones a derechos de personas jurídicas </w:t>
      </w:r>
      <w:r w:rsidRPr="00C5636C">
        <w:rPr>
          <w:rFonts w:asciiTheme="majorHAnsi" w:eastAsia="Cambria" w:hAnsiTheme="majorHAnsi" w:cs="Cambria"/>
          <w:i/>
          <w:iCs/>
          <w:sz w:val="20"/>
          <w:szCs w:val="20"/>
          <w:lang w:val="es-ES_tradnl"/>
        </w:rPr>
        <w:t>per se</w:t>
      </w:r>
      <w:r w:rsidRPr="00C5636C">
        <w:rPr>
          <w:rFonts w:asciiTheme="majorHAnsi" w:eastAsia="Cambria" w:hAnsiTheme="majorHAnsi" w:cs="Cambria"/>
          <w:sz w:val="20"/>
          <w:szCs w:val="20"/>
          <w:lang w:val="es-ES_tradnl"/>
        </w:rPr>
        <w:t xml:space="preserve">, y ha emitido jurisprudencia constante en la materia, lo que se refuerza con las conclusiones de la Corte IDH en su Opinión Consultiva 22/16, sí puede pronunciarse </w:t>
      </w:r>
      <w:r w:rsidR="008F720B" w:rsidRPr="00C5636C">
        <w:rPr>
          <w:rFonts w:asciiTheme="majorHAnsi" w:eastAsia="Cambria" w:hAnsiTheme="majorHAnsi" w:cs="Cambria"/>
          <w:sz w:val="20"/>
          <w:szCs w:val="20"/>
          <w:lang w:val="es-ES_tradnl"/>
        </w:rPr>
        <w:t>sobre</w:t>
      </w:r>
      <w:r w:rsidRPr="00C5636C">
        <w:rPr>
          <w:rFonts w:asciiTheme="majorHAnsi" w:eastAsia="Cambria" w:hAnsiTheme="majorHAnsi" w:cs="Cambria"/>
          <w:sz w:val="20"/>
          <w:szCs w:val="20"/>
          <w:lang w:val="es-ES_tradnl"/>
        </w:rPr>
        <w:t xml:space="preserve"> actos que afectan a un medio de comunicación cuando materialmente se afecta a personas concretas ejercían su derecho a la libertad de expresión a través de esa vía de emisión de información. Conclusión a la que también llega el tribunal interamericano en su citado dictamen, y en su jurisprudencia.</w:t>
      </w:r>
    </w:p>
    <w:p w14:paraId="1B699EC1" w14:textId="12F909FA"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 xml:space="preserve">En este sentido, la Corte IDH también ha reconocido que </w:t>
      </w:r>
      <w:r w:rsidR="008F720B" w:rsidRPr="00C5636C">
        <w:rPr>
          <w:rFonts w:asciiTheme="majorHAnsi" w:eastAsia="Cambria" w:hAnsiTheme="majorHAnsi" w:cs="Cambria"/>
          <w:sz w:val="20"/>
          <w:szCs w:val="20"/>
          <w:lang w:val="es-ES"/>
        </w:rPr>
        <w:t>“</w:t>
      </w:r>
      <w:r w:rsidRPr="00C5636C">
        <w:rPr>
          <w:rFonts w:asciiTheme="majorHAnsi" w:eastAsia="Cambria" w:hAnsiTheme="majorHAnsi" w:cs="Cambria"/>
          <w:i/>
          <w:iCs/>
          <w:sz w:val="20"/>
          <w:szCs w:val="20"/>
          <w:lang w:val="es-ES"/>
        </w:rPr>
        <w:t>hoy en día una parte importante del periodismo se ejerce a través de personas jurídicas y se reitera que es fundamental que los periodistas que laboran en estos medios de comunicación gocen de la protección y de la independencia necesarias para realizar sus funciones a cabalidad</w:t>
      </w:r>
      <w:r w:rsidR="008F720B" w:rsidRPr="00C5636C">
        <w:rPr>
          <w:rFonts w:asciiTheme="majorHAnsi" w:eastAsia="Cambria" w:hAnsiTheme="majorHAnsi" w:cs="Cambria"/>
          <w:sz w:val="20"/>
          <w:szCs w:val="20"/>
          <w:lang w:val="es-ES"/>
        </w:rPr>
        <w:t>”</w:t>
      </w:r>
      <w:r w:rsidRPr="00C5636C">
        <w:rPr>
          <w:rStyle w:val="FootnoteReference"/>
          <w:rFonts w:asciiTheme="majorHAnsi" w:eastAsia="Cambria" w:hAnsiTheme="majorHAnsi" w:cs="Cambria"/>
          <w:sz w:val="20"/>
          <w:szCs w:val="20"/>
          <w:lang w:val="es-ES"/>
        </w:rPr>
        <w:footnoteReference w:id="4"/>
      </w:r>
      <w:r w:rsidRPr="00C5636C">
        <w:rPr>
          <w:rFonts w:asciiTheme="majorHAnsi" w:eastAsia="Cambria" w:hAnsiTheme="majorHAnsi" w:cs="Cambria"/>
          <w:sz w:val="20"/>
          <w:szCs w:val="20"/>
          <w:lang w:val="es-ES"/>
        </w:rPr>
        <w:t>. En esa línea, esta Comisión ha reconocido que los medios de comunicación hacen posible el ejercicio del derecho a la libertad de expresión de los directores, editores y comunicadores del mismo, a título individual</w:t>
      </w:r>
      <w:r w:rsidRPr="00C5636C">
        <w:rPr>
          <w:rFonts w:asciiTheme="majorHAnsi" w:eastAsia="Cambria" w:hAnsiTheme="majorHAnsi" w:cs="Cambria"/>
          <w:sz w:val="20"/>
          <w:szCs w:val="20"/>
          <w:vertAlign w:val="superscript"/>
          <w:lang w:val="es-ES"/>
        </w:rPr>
        <w:footnoteReference w:id="5"/>
      </w:r>
      <w:r w:rsidRPr="00C5636C">
        <w:rPr>
          <w:rFonts w:asciiTheme="majorHAnsi" w:eastAsia="Cambria" w:hAnsiTheme="majorHAnsi" w:cs="Cambria"/>
          <w:sz w:val="20"/>
          <w:szCs w:val="20"/>
          <w:lang w:val="es-ES"/>
        </w:rPr>
        <w:t xml:space="preserve">. </w:t>
      </w:r>
    </w:p>
    <w:p w14:paraId="3DFC1F37" w14:textId="65F2DFC9"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lastRenderedPageBreak/>
        <w:t>En el caso</w:t>
      </w:r>
      <w:r w:rsidR="002930DB" w:rsidRPr="00C5636C">
        <w:rPr>
          <w:rFonts w:asciiTheme="majorHAnsi" w:eastAsia="Cambria" w:hAnsiTheme="majorHAnsi" w:cs="Cambria"/>
          <w:sz w:val="20"/>
          <w:szCs w:val="20"/>
          <w:lang w:val="es-ES"/>
        </w:rPr>
        <w:t xml:space="preserve"> bajo estudio</w:t>
      </w:r>
      <w:r w:rsidRPr="00C5636C">
        <w:rPr>
          <w:rFonts w:asciiTheme="majorHAnsi" w:eastAsia="Cambria" w:hAnsiTheme="majorHAnsi" w:cs="Cambria"/>
          <w:sz w:val="20"/>
          <w:szCs w:val="20"/>
          <w:lang w:val="es-ES"/>
        </w:rPr>
        <w:t xml:space="preserve"> las personas naturales arriba citadas, señaladas como presuntas víctimas, habrían sido afectadas en el ejercicio de su libertad de expresión, sea porque eran gerentes del medio de comunicación, periodistas o panelistas de la emisora</w:t>
      </w:r>
      <w:r w:rsidR="007A3C9E" w:rsidRPr="00C5636C">
        <w:rPr>
          <w:rFonts w:asciiTheme="majorHAnsi" w:eastAsia="Cambria" w:hAnsiTheme="majorHAnsi" w:cs="Cambria"/>
          <w:sz w:val="20"/>
          <w:szCs w:val="20"/>
          <w:lang w:val="es-ES"/>
        </w:rPr>
        <w:t>;</w:t>
      </w:r>
      <w:r w:rsidRPr="00C5636C">
        <w:rPr>
          <w:rFonts w:asciiTheme="majorHAnsi" w:eastAsia="Cambria" w:hAnsiTheme="majorHAnsi" w:cs="Cambria"/>
          <w:sz w:val="20"/>
          <w:szCs w:val="20"/>
          <w:lang w:val="es-ES"/>
        </w:rPr>
        <w:t xml:space="preserve"> </w:t>
      </w:r>
      <w:r w:rsidR="007A3C9E" w:rsidRPr="00C5636C">
        <w:rPr>
          <w:rFonts w:asciiTheme="majorHAnsi" w:eastAsia="Cambria" w:hAnsiTheme="majorHAnsi" w:cs="Cambria"/>
          <w:sz w:val="20"/>
          <w:szCs w:val="20"/>
          <w:lang w:val="es-ES"/>
        </w:rPr>
        <w:t xml:space="preserve">o porque </w:t>
      </w:r>
      <w:r w:rsidRPr="00C5636C">
        <w:rPr>
          <w:rFonts w:asciiTheme="majorHAnsi" w:eastAsia="Cambria" w:hAnsiTheme="majorHAnsi" w:cs="Cambria"/>
          <w:sz w:val="20"/>
          <w:szCs w:val="20"/>
          <w:lang w:val="es-ES"/>
        </w:rPr>
        <w:t>fuera</w:t>
      </w:r>
      <w:r w:rsidR="007A3C9E" w:rsidRPr="00C5636C">
        <w:rPr>
          <w:rFonts w:asciiTheme="majorHAnsi" w:eastAsia="Cambria" w:hAnsiTheme="majorHAnsi" w:cs="Cambria"/>
          <w:sz w:val="20"/>
          <w:szCs w:val="20"/>
          <w:lang w:val="es-ES"/>
        </w:rPr>
        <w:t>n</w:t>
      </w:r>
      <w:r w:rsidRPr="00C5636C">
        <w:rPr>
          <w:rFonts w:asciiTheme="majorHAnsi" w:eastAsia="Cambria" w:hAnsiTheme="majorHAnsi" w:cs="Cambria"/>
          <w:sz w:val="20"/>
          <w:szCs w:val="20"/>
          <w:lang w:val="es-ES"/>
        </w:rPr>
        <w:t xml:space="preserve"> de la población de Tacna, que en un sentido más amplio y general también pudiera considerarse afectada. Esta determinación, estima la Comisión, es suficiente para efectos del análisis de competencia, sin perjuicio de que en la etapa de fondo se complete la determinación definitiva las personas naturales afectadas por la clausura de la emisora. Por lo tanto, la CIDH concluye que tiene competencia </w:t>
      </w:r>
      <w:r w:rsidRPr="00C5636C">
        <w:rPr>
          <w:rFonts w:asciiTheme="majorHAnsi" w:eastAsia="Cambria" w:hAnsiTheme="majorHAnsi" w:cs="Cambria"/>
          <w:i/>
          <w:iCs/>
          <w:sz w:val="20"/>
          <w:szCs w:val="20"/>
          <w:lang w:val="es-ES"/>
        </w:rPr>
        <w:t>ratione personae</w:t>
      </w:r>
      <w:r w:rsidRPr="00C5636C">
        <w:rPr>
          <w:rFonts w:asciiTheme="majorHAnsi" w:eastAsia="Cambria" w:hAnsiTheme="majorHAnsi" w:cs="Cambria"/>
          <w:sz w:val="20"/>
          <w:szCs w:val="20"/>
          <w:lang w:val="es-ES"/>
        </w:rPr>
        <w:t xml:space="preserve"> para conocer del presente asunto, y que tal determinación es consistente con los criterios establecidos en distintas decisiones de los órganos del Sistema Interamericano.  </w:t>
      </w:r>
    </w:p>
    <w:p w14:paraId="0C46574D" w14:textId="77777777" w:rsidR="004E318B" w:rsidRPr="00C5636C" w:rsidRDefault="004E318B" w:rsidP="004E318B">
      <w:pPr>
        <w:spacing w:after="240"/>
        <w:ind w:firstLine="720"/>
        <w:jc w:val="both"/>
        <w:rPr>
          <w:rFonts w:asciiTheme="majorHAnsi" w:eastAsia="Cambria" w:hAnsiTheme="majorHAnsi" w:cs="Cambria"/>
          <w:sz w:val="20"/>
          <w:szCs w:val="20"/>
          <w:lang w:val="es-ES_tradnl"/>
        </w:rPr>
      </w:pPr>
      <w:r w:rsidRPr="00C5636C">
        <w:rPr>
          <w:rFonts w:asciiTheme="majorHAnsi" w:eastAsia="Cambria" w:hAnsiTheme="majorHAnsi" w:cs="Cambria"/>
          <w:b/>
          <w:sz w:val="20"/>
          <w:szCs w:val="20"/>
          <w:lang w:val="es-ES_tradnl"/>
        </w:rPr>
        <w:t xml:space="preserve">VII. </w:t>
      </w:r>
      <w:r w:rsidRPr="00C5636C">
        <w:rPr>
          <w:rFonts w:asciiTheme="majorHAnsi" w:eastAsia="Cambria" w:hAnsiTheme="majorHAnsi" w:cs="Cambria"/>
          <w:b/>
          <w:sz w:val="20"/>
          <w:szCs w:val="20"/>
          <w:lang w:val="es-ES_tradnl"/>
        </w:rPr>
        <w:tab/>
        <w:t>ANÁLISIS DEL AGOTAMIENTO DE LOS RECURSOS INTERNOS Y DEL PLAZO DE PRESENTACIÓN DE LA PETICIÓN</w:t>
      </w:r>
    </w:p>
    <w:p w14:paraId="018FE20B" w14:textId="77777777"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La parte peticionaria argumenta que los recursos internos disponibles fueron agotados tras el rechazo de su solicitud de renovación de la licencia de la Radio Caplina en 2005, por medio de una serie de recursos administrativos y judiciales. En contraste, el Estado peruano sostiene que el requisito de agotamiento no se cumplió completamente, ya que algunos procesos permanecían pendientes en enero de 2017, y la petición ante la CIDH fue presentada antes de la notificación de la última resolución en septiembre de 2016.</w:t>
      </w:r>
    </w:p>
    <w:p w14:paraId="07DF74E6" w14:textId="77777777" w:rsidR="004E318B" w:rsidRPr="00C5636C" w:rsidRDefault="004E318B"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 xml:space="preserve">A partir de la revisión de la información aportada por las partes en el expediente de la presente petición, la Comisión observa que: </w:t>
      </w:r>
    </w:p>
    <w:p w14:paraId="2C9681ED" w14:textId="6A9F5566"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 xml:space="preserve">El 3 de enero de 2001 se presentó al Ministerio de Transportes y Comunicaciones la solicitud de renovación de autorización de la emisora radial. Sin embargo, mediante resolución del 1 de abril de 2005 esta se negó debido a deudas pendientes con el Ministerio. Luego se interpuso un recurso de reconsideración, que fue declarado improcedente por extemporaneidad el 15 de junio de 2005. Esta negativa se apeló, y el 15 de septiembre de 2005 se declaró la nulidad por no haberse contabilizado adecuadamente el término para presentar el recurso. </w:t>
      </w:r>
    </w:p>
    <w:p w14:paraId="4E5938A6" w14:textId="73062DC1" w:rsidR="004E318B" w:rsidRPr="00C5636C" w:rsidRDefault="22E4729E" w:rsidP="00470BDC">
      <w:pPr>
        <w:numPr>
          <w:ilvl w:val="0"/>
          <w:numId w:val="60"/>
        </w:numPr>
        <w:pBdr>
          <w:bar w:val="none" w:sz="0" w:color="auto"/>
        </w:pBdr>
        <w:spacing w:after="240" w:line="259" w:lineRule="auto"/>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 xml:space="preserve">De esta manera, el proceso volvió a tramitar ante la autoridad responsable por juzgar el recurso de reconsideración interpuesto. En esta etapa, se </w:t>
      </w:r>
      <w:r w:rsidR="30C9398A" w:rsidRPr="00C5636C">
        <w:rPr>
          <w:rFonts w:asciiTheme="majorHAnsi" w:eastAsia="Cambria" w:hAnsiTheme="majorHAnsi" w:cs="Cambria"/>
          <w:sz w:val="20"/>
          <w:szCs w:val="20"/>
          <w:lang w:val="es-ES"/>
        </w:rPr>
        <w:t xml:space="preserve">suministró </w:t>
      </w:r>
      <w:r w:rsidR="133BAC00" w:rsidRPr="00C5636C">
        <w:rPr>
          <w:rFonts w:asciiTheme="majorHAnsi" w:eastAsia="Cambria" w:hAnsiTheme="majorHAnsi" w:cs="Cambria"/>
          <w:sz w:val="20"/>
          <w:szCs w:val="20"/>
          <w:lang w:val="es-ES"/>
        </w:rPr>
        <w:t xml:space="preserve">una petición para que la empresa fuera acogida en los </w:t>
      </w:r>
      <w:r w:rsidR="413D638C" w:rsidRPr="00C5636C">
        <w:rPr>
          <w:rFonts w:asciiTheme="majorHAnsi" w:eastAsia="Cambria" w:hAnsiTheme="majorHAnsi" w:cs="Cambria"/>
          <w:sz w:val="20"/>
          <w:szCs w:val="20"/>
          <w:lang w:val="es-ES"/>
        </w:rPr>
        <w:t>beneficios</w:t>
      </w:r>
      <w:r w:rsidR="133BAC00" w:rsidRPr="00C5636C">
        <w:rPr>
          <w:rFonts w:asciiTheme="majorHAnsi" w:eastAsia="Cambria" w:hAnsiTheme="majorHAnsi" w:cs="Cambria"/>
          <w:sz w:val="20"/>
          <w:szCs w:val="20"/>
          <w:lang w:val="es-ES"/>
        </w:rPr>
        <w:t xml:space="preserve"> de la</w:t>
      </w:r>
      <w:r w:rsidR="4AAF6DDE" w:rsidRPr="00C5636C">
        <w:rPr>
          <w:rFonts w:asciiTheme="majorHAnsi" w:eastAsia="Cambria" w:hAnsiTheme="majorHAnsi" w:cs="Cambria"/>
          <w:sz w:val="20"/>
          <w:szCs w:val="20"/>
          <w:lang w:val="es-ES"/>
        </w:rPr>
        <w:t xml:space="preserve"> reciente</w:t>
      </w:r>
      <w:r w:rsidR="133BAC00" w:rsidRPr="00C5636C">
        <w:rPr>
          <w:rFonts w:asciiTheme="majorHAnsi" w:eastAsia="Cambria" w:hAnsiTheme="majorHAnsi" w:cs="Cambria"/>
          <w:sz w:val="20"/>
          <w:szCs w:val="20"/>
          <w:lang w:val="es-ES"/>
        </w:rPr>
        <w:t xml:space="preserve"> Ley 28</w:t>
      </w:r>
      <w:r w:rsidR="17919BA5" w:rsidRPr="00C5636C">
        <w:rPr>
          <w:rFonts w:asciiTheme="majorHAnsi" w:eastAsia="Cambria" w:hAnsiTheme="majorHAnsi" w:cs="Cambria"/>
          <w:sz w:val="20"/>
          <w:szCs w:val="20"/>
          <w:lang w:val="es-ES"/>
        </w:rPr>
        <w:t>58</w:t>
      </w:r>
      <w:r w:rsidR="133BAC00" w:rsidRPr="00C5636C">
        <w:rPr>
          <w:rFonts w:asciiTheme="majorHAnsi" w:eastAsia="Cambria" w:hAnsiTheme="majorHAnsi" w:cs="Cambria"/>
          <w:sz w:val="20"/>
          <w:szCs w:val="20"/>
          <w:lang w:val="es-ES"/>
        </w:rPr>
        <w:t>6, que, conforme detalla el Estado, establecía un "plazo único para que las empresas cumplan con regularizar los pagos por servicios de radiodifusión</w:t>
      </w:r>
      <w:r w:rsidR="12045121" w:rsidRPr="00C5636C">
        <w:rPr>
          <w:rFonts w:asciiTheme="majorHAnsi" w:eastAsia="Cambria" w:hAnsiTheme="majorHAnsi" w:cs="Cambria"/>
          <w:sz w:val="20"/>
          <w:szCs w:val="20"/>
          <w:lang w:val="es-ES"/>
        </w:rPr>
        <w:t xml:space="preserve">". </w:t>
      </w:r>
      <w:r w:rsidR="004E318B" w:rsidRPr="00C5636C">
        <w:rPr>
          <w:rFonts w:asciiTheme="majorHAnsi" w:eastAsia="Cambria" w:hAnsiTheme="majorHAnsi" w:cs="Cambria"/>
          <w:sz w:val="20"/>
          <w:szCs w:val="20"/>
          <w:lang w:val="es-ES"/>
        </w:rPr>
        <w:t xml:space="preserve"> </w:t>
      </w:r>
      <w:r w:rsidR="552DFFB3" w:rsidRPr="00C5636C">
        <w:rPr>
          <w:rFonts w:asciiTheme="majorHAnsi" w:eastAsia="Cambria" w:hAnsiTheme="majorHAnsi" w:cs="Cambria"/>
          <w:sz w:val="20"/>
          <w:szCs w:val="20"/>
          <w:lang w:val="es-ES"/>
        </w:rPr>
        <w:t xml:space="preserve">Así, El </w:t>
      </w:r>
      <w:r w:rsidR="004E318B" w:rsidRPr="00C5636C">
        <w:rPr>
          <w:rFonts w:asciiTheme="majorHAnsi" w:eastAsia="Cambria" w:hAnsiTheme="majorHAnsi" w:cs="Cambria"/>
          <w:sz w:val="20"/>
          <w:szCs w:val="20"/>
          <w:lang w:val="es-ES"/>
        </w:rPr>
        <w:t>24 de marzo de 2006 se emitió una nueva resolución</w:t>
      </w:r>
      <w:r w:rsidR="533B408F" w:rsidRPr="00C5636C">
        <w:rPr>
          <w:rFonts w:asciiTheme="majorHAnsi" w:eastAsia="Cambria" w:hAnsiTheme="majorHAnsi" w:cs="Cambria"/>
          <w:sz w:val="20"/>
          <w:szCs w:val="20"/>
          <w:lang w:val="es-ES"/>
        </w:rPr>
        <w:t xml:space="preserve"> sobre el pedido de </w:t>
      </w:r>
      <w:r w:rsidR="15C194EA" w:rsidRPr="00C5636C">
        <w:rPr>
          <w:rFonts w:asciiTheme="majorHAnsi" w:eastAsia="Cambria" w:hAnsiTheme="majorHAnsi" w:cs="Cambria"/>
          <w:sz w:val="20"/>
          <w:szCs w:val="20"/>
          <w:lang w:val="es-ES"/>
        </w:rPr>
        <w:t xml:space="preserve">reconsideración </w:t>
      </w:r>
      <w:r w:rsidR="533B408F" w:rsidRPr="00C5636C">
        <w:rPr>
          <w:rFonts w:asciiTheme="majorHAnsi" w:eastAsia="Cambria" w:hAnsiTheme="majorHAnsi" w:cs="Cambria"/>
          <w:sz w:val="20"/>
          <w:szCs w:val="20"/>
          <w:lang w:val="es-ES"/>
        </w:rPr>
        <w:t xml:space="preserve">que había sido presentado el 1 de abril de 2005. </w:t>
      </w:r>
      <w:r w:rsidR="60D041B9" w:rsidRPr="00C5636C">
        <w:rPr>
          <w:rFonts w:asciiTheme="majorHAnsi" w:eastAsia="Cambria" w:hAnsiTheme="majorHAnsi" w:cs="Cambria"/>
          <w:sz w:val="20"/>
          <w:szCs w:val="20"/>
          <w:lang w:val="es-ES"/>
        </w:rPr>
        <w:t xml:space="preserve">De esta vez, </w:t>
      </w:r>
      <w:r w:rsidR="16540707" w:rsidRPr="00C5636C">
        <w:rPr>
          <w:rFonts w:asciiTheme="majorHAnsi" w:eastAsia="Cambria" w:hAnsiTheme="majorHAnsi" w:cs="Cambria"/>
          <w:sz w:val="20"/>
          <w:szCs w:val="20"/>
          <w:lang w:val="es-ES"/>
        </w:rPr>
        <w:t xml:space="preserve">el MTC </w:t>
      </w:r>
      <w:r w:rsidR="004E318B" w:rsidRPr="00C5636C">
        <w:rPr>
          <w:rFonts w:asciiTheme="majorHAnsi" w:eastAsia="Cambria" w:hAnsiTheme="majorHAnsi" w:cs="Cambria"/>
          <w:sz w:val="20"/>
          <w:szCs w:val="20"/>
          <w:lang w:val="es-ES"/>
        </w:rPr>
        <w:t xml:space="preserve">declaró infundado el recurso de reconsideración, debido al pago extemporáneo de la tasa correspondiente a los años 2002, 2003 y 2005. </w:t>
      </w:r>
    </w:p>
    <w:p w14:paraId="3D81B0AA" w14:textId="73EDCAE1" w:rsidR="004E318B" w:rsidRPr="00C5636C" w:rsidRDefault="7E10E11C"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Se presentó un recurso en contra de esta</w:t>
      </w:r>
      <w:r w:rsidR="1197C04D" w:rsidRPr="00C5636C">
        <w:rPr>
          <w:rFonts w:asciiTheme="majorHAnsi" w:eastAsia="Cambria" w:hAnsiTheme="majorHAnsi" w:cs="Cambria"/>
          <w:sz w:val="20"/>
          <w:szCs w:val="20"/>
          <w:lang w:val="es-ES"/>
        </w:rPr>
        <w:t xml:space="preserve"> resolución</w:t>
      </w:r>
      <w:r w:rsidRPr="00C5636C">
        <w:rPr>
          <w:rFonts w:asciiTheme="majorHAnsi" w:eastAsia="Cambria" w:hAnsiTheme="majorHAnsi" w:cs="Cambria"/>
          <w:sz w:val="20"/>
          <w:szCs w:val="20"/>
          <w:lang w:val="es-ES"/>
        </w:rPr>
        <w:t xml:space="preserve">, </w:t>
      </w:r>
      <w:r w:rsidR="2B872667" w:rsidRPr="00C5636C">
        <w:rPr>
          <w:rFonts w:asciiTheme="majorHAnsi" w:eastAsia="Cambria" w:hAnsiTheme="majorHAnsi" w:cs="Cambria"/>
          <w:sz w:val="20"/>
          <w:szCs w:val="20"/>
          <w:lang w:val="es-ES"/>
        </w:rPr>
        <w:t xml:space="preserve">una vez que la empresa consideraba que los pagos habrían sido hechos conforme los beneficios de la Ley 28856. </w:t>
      </w:r>
      <w:r w:rsidR="2BF17175" w:rsidRPr="00C5636C">
        <w:rPr>
          <w:rFonts w:asciiTheme="majorHAnsi" w:eastAsia="Cambria" w:hAnsiTheme="majorHAnsi" w:cs="Cambria"/>
          <w:sz w:val="20"/>
          <w:szCs w:val="20"/>
          <w:lang w:val="es-ES"/>
        </w:rPr>
        <w:t xml:space="preserve">Asimismo, </w:t>
      </w:r>
      <w:r w:rsidR="295854EB" w:rsidRPr="00C5636C">
        <w:rPr>
          <w:rFonts w:asciiTheme="majorHAnsi" w:eastAsia="Cambria" w:hAnsiTheme="majorHAnsi" w:cs="Cambria"/>
          <w:sz w:val="20"/>
          <w:szCs w:val="20"/>
          <w:lang w:val="es-ES"/>
        </w:rPr>
        <w:t xml:space="preserve">durante el trámite de este recurso, la empresa </w:t>
      </w:r>
      <w:r w:rsidR="4011DE43" w:rsidRPr="00C5636C">
        <w:rPr>
          <w:rFonts w:asciiTheme="majorHAnsi" w:eastAsia="Cambria" w:hAnsiTheme="majorHAnsi" w:cs="Cambria"/>
          <w:sz w:val="20"/>
          <w:szCs w:val="20"/>
          <w:lang w:val="es-ES"/>
        </w:rPr>
        <w:t xml:space="preserve">envió </w:t>
      </w:r>
      <w:r w:rsidR="295854EB" w:rsidRPr="00C5636C">
        <w:rPr>
          <w:rFonts w:asciiTheme="majorHAnsi" w:eastAsia="Cambria" w:hAnsiTheme="majorHAnsi" w:cs="Cambria"/>
          <w:sz w:val="20"/>
          <w:szCs w:val="20"/>
          <w:lang w:val="es-ES"/>
        </w:rPr>
        <w:t xml:space="preserve">nuevos Oficios, pues </w:t>
      </w:r>
      <w:r w:rsidR="2BF17175" w:rsidRPr="00C5636C">
        <w:rPr>
          <w:rFonts w:asciiTheme="majorHAnsi" w:eastAsia="Cambria" w:hAnsiTheme="majorHAnsi" w:cs="Cambria"/>
          <w:sz w:val="20"/>
          <w:szCs w:val="20"/>
          <w:lang w:val="es-ES"/>
        </w:rPr>
        <w:t xml:space="preserve">también consideraba que podría ser beneficiada por las disposiciones de la nueva </w:t>
      </w:r>
      <w:r w:rsidR="37298BED" w:rsidRPr="00C5636C">
        <w:rPr>
          <w:rFonts w:asciiTheme="majorHAnsi" w:eastAsia="Cambria" w:hAnsiTheme="majorHAnsi" w:cs="Cambria"/>
          <w:sz w:val="20"/>
          <w:szCs w:val="20"/>
          <w:lang w:val="es-ES"/>
        </w:rPr>
        <w:t>Ley 28.</w:t>
      </w:r>
      <w:r w:rsidR="2B39624D" w:rsidRPr="00C5636C">
        <w:rPr>
          <w:rFonts w:asciiTheme="majorHAnsi" w:eastAsia="Cambria" w:hAnsiTheme="majorHAnsi" w:cs="Cambria"/>
          <w:sz w:val="20"/>
          <w:szCs w:val="20"/>
          <w:lang w:val="es-ES"/>
        </w:rPr>
        <w:t>692</w:t>
      </w:r>
      <w:r w:rsidR="2AB446DB" w:rsidRPr="00C5636C">
        <w:rPr>
          <w:rFonts w:asciiTheme="majorHAnsi" w:eastAsia="Cambria" w:hAnsiTheme="majorHAnsi" w:cs="Cambria"/>
          <w:sz w:val="20"/>
          <w:szCs w:val="20"/>
          <w:lang w:val="es-ES"/>
        </w:rPr>
        <w:t>. S</w:t>
      </w:r>
      <w:r w:rsidR="708CC72A" w:rsidRPr="00C5636C">
        <w:rPr>
          <w:rFonts w:asciiTheme="majorHAnsi" w:eastAsia="Cambria" w:hAnsiTheme="majorHAnsi" w:cs="Cambria"/>
          <w:sz w:val="20"/>
          <w:szCs w:val="20"/>
          <w:lang w:val="es-ES"/>
        </w:rPr>
        <w:t xml:space="preserve">egún el Estado, </w:t>
      </w:r>
      <w:r w:rsidR="1B9E930F" w:rsidRPr="00C5636C">
        <w:rPr>
          <w:rFonts w:asciiTheme="majorHAnsi" w:eastAsia="Cambria" w:hAnsiTheme="majorHAnsi" w:cs="Cambria"/>
          <w:sz w:val="20"/>
          <w:szCs w:val="20"/>
          <w:lang w:val="es-ES"/>
        </w:rPr>
        <w:t xml:space="preserve">esta nueva Ley </w:t>
      </w:r>
      <w:r w:rsidR="708CC72A" w:rsidRPr="00C5636C">
        <w:rPr>
          <w:rFonts w:asciiTheme="majorHAnsi" w:eastAsia="Cambria" w:hAnsiTheme="majorHAnsi" w:cs="Cambria"/>
          <w:sz w:val="20"/>
          <w:szCs w:val="20"/>
          <w:lang w:val="es-ES"/>
        </w:rPr>
        <w:t>ampliaba alcances de la Ley Nº 28</w:t>
      </w:r>
      <w:r w:rsidR="2E5597F7" w:rsidRPr="00C5636C">
        <w:rPr>
          <w:rFonts w:asciiTheme="majorHAnsi" w:eastAsia="Cambria" w:hAnsiTheme="majorHAnsi" w:cs="Cambria"/>
          <w:sz w:val="20"/>
          <w:szCs w:val="20"/>
          <w:lang w:val="es-ES"/>
        </w:rPr>
        <w:t>.</w:t>
      </w:r>
      <w:r w:rsidR="708CC72A" w:rsidRPr="00C5636C">
        <w:rPr>
          <w:rFonts w:asciiTheme="majorHAnsi" w:eastAsia="Cambria" w:hAnsiTheme="majorHAnsi" w:cs="Cambria"/>
          <w:sz w:val="20"/>
          <w:szCs w:val="20"/>
          <w:lang w:val="es-ES"/>
        </w:rPr>
        <w:t xml:space="preserve">586. </w:t>
      </w:r>
    </w:p>
    <w:p w14:paraId="26E1460E" w14:textId="6385F259" w:rsidR="004E318B" w:rsidRPr="00C5636C" w:rsidRDefault="3E149276"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 xml:space="preserve">No obstante, el 2 de septiembre de 2008, </w:t>
      </w:r>
      <w:r w:rsidR="7BF63DB1" w:rsidRPr="00C5636C">
        <w:rPr>
          <w:rFonts w:asciiTheme="majorHAnsi" w:eastAsia="Cambria" w:hAnsiTheme="majorHAnsi" w:cs="Cambria"/>
          <w:sz w:val="20"/>
          <w:szCs w:val="20"/>
          <w:lang w:val="es-ES"/>
        </w:rPr>
        <w:t xml:space="preserve">las autoridades del MTC mantuvieron la decisión de dejar sin efecto la autorización otorgada para la </w:t>
      </w:r>
      <w:r w:rsidR="39029AB2" w:rsidRPr="00C5636C">
        <w:rPr>
          <w:rFonts w:asciiTheme="majorHAnsi" w:eastAsia="Cambria" w:hAnsiTheme="majorHAnsi" w:cs="Cambria"/>
          <w:sz w:val="20"/>
          <w:szCs w:val="20"/>
          <w:lang w:val="es-ES"/>
        </w:rPr>
        <w:t>operación</w:t>
      </w:r>
      <w:r w:rsidR="7BF63DB1" w:rsidRPr="00C5636C">
        <w:rPr>
          <w:rFonts w:asciiTheme="majorHAnsi" w:eastAsia="Cambria" w:hAnsiTheme="majorHAnsi" w:cs="Cambria"/>
          <w:sz w:val="20"/>
          <w:szCs w:val="20"/>
          <w:lang w:val="es-ES"/>
        </w:rPr>
        <w:t xml:space="preserve"> de Radio Caplina</w:t>
      </w:r>
      <w:r w:rsidR="6B79B799" w:rsidRPr="00C5636C">
        <w:rPr>
          <w:rFonts w:asciiTheme="majorHAnsi" w:eastAsia="Cambria" w:hAnsiTheme="majorHAnsi" w:cs="Cambria"/>
          <w:sz w:val="20"/>
          <w:szCs w:val="20"/>
          <w:lang w:val="es-ES"/>
        </w:rPr>
        <w:t>,</w:t>
      </w:r>
      <w:r w:rsidR="1B20E8AE" w:rsidRPr="00C5636C">
        <w:rPr>
          <w:rFonts w:asciiTheme="majorHAnsi" w:eastAsia="Cambria" w:hAnsiTheme="majorHAnsi" w:cs="Cambria"/>
          <w:sz w:val="20"/>
          <w:szCs w:val="20"/>
          <w:lang w:val="es-ES"/>
        </w:rPr>
        <w:t xml:space="preserve"> bajo el razonamiento de que, aún cuando considerada la nueva legislación, hubo pago extemporáneo del canon de 2006.</w:t>
      </w:r>
      <w:r w:rsidR="771FD8C6" w:rsidRPr="00C5636C">
        <w:rPr>
          <w:rFonts w:asciiTheme="majorHAnsi" w:eastAsia="Cambria" w:hAnsiTheme="majorHAnsi" w:cs="Cambria"/>
          <w:sz w:val="20"/>
          <w:szCs w:val="20"/>
          <w:lang w:val="es-ES"/>
        </w:rPr>
        <w:t xml:space="preserve"> </w:t>
      </w:r>
      <w:r w:rsidR="0B37AC5A" w:rsidRPr="00C5636C">
        <w:rPr>
          <w:rFonts w:asciiTheme="majorHAnsi" w:eastAsia="Cambria" w:hAnsiTheme="majorHAnsi" w:cs="Cambria"/>
          <w:sz w:val="20"/>
          <w:szCs w:val="20"/>
          <w:lang w:val="es-ES"/>
        </w:rPr>
        <w:t xml:space="preserve">Se </w:t>
      </w:r>
      <w:r w:rsidR="35F6A2B6" w:rsidRPr="00C5636C">
        <w:rPr>
          <w:rFonts w:asciiTheme="majorHAnsi" w:eastAsia="Cambria" w:hAnsiTheme="majorHAnsi" w:cs="Cambria"/>
          <w:sz w:val="20"/>
          <w:szCs w:val="20"/>
          <w:lang w:val="es-ES"/>
        </w:rPr>
        <w:t xml:space="preserve">interpuso </w:t>
      </w:r>
      <w:r w:rsidR="0B37AC5A" w:rsidRPr="00C5636C">
        <w:rPr>
          <w:rFonts w:asciiTheme="majorHAnsi" w:eastAsia="Cambria" w:hAnsiTheme="majorHAnsi" w:cs="Cambria"/>
          <w:sz w:val="20"/>
          <w:szCs w:val="20"/>
          <w:lang w:val="es-ES"/>
        </w:rPr>
        <w:t xml:space="preserve">nuevo recurso </w:t>
      </w:r>
      <w:r w:rsidR="0D890773" w:rsidRPr="00C5636C">
        <w:rPr>
          <w:rFonts w:asciiTheme="majorHAnsi" w:eastAsia="Cambria" w:hAnsiTheme="majorHAnsi" w:cs="Cambria"/>
          <w:sz w:val="20"/>
          <w:szCs w:val="20"/>
          <w:lang w:val="es-ES"/>
        </w:rPr>
        <w:t xml:space="preserve">de reconsideración </w:t>
      </w:r>
      <w:r w:rsidR="0B37AC5A" w:rsidRPr="00C5636C">
        <w:rPr>
          <w:rFonts w:asciiTheme="majorHAnsi" w:eastAsia="Cambria" w:hAnsiTheme="majorHAnsi" w:cs="Cambria"/>
          <w:sz w:val="20"/>
          <w:szCs w:val="20"/>
          <w:lang w:val="es-ES"/>
        </w:rPr>
        <w:t>en contra de dicha resolución,</w:t>
      </w:r>
      <w:r w:rsidR="18A7B789" w:rsidRPr="00C5636C">
        <w:rPr>
          <w:rFonts w:asciiTheme="majorHAnsi" w:eastAsia="Cambria" w:hAnsiTheme="majorHAnsi" w:cs="Cambria"/>
          <w:sz w:val="20"/>
          <w:szCs w:val="20"/>
          <w:lang w:val="es-ES"/>
        </w:rPr>
        <w:t xml:space="preserve"> </w:t>
      </w:r>
      <w:r w:rsidR="2462D49C" w:rsidRPr="00C5636C">
        <w:rPr>
          <w:rFonts w:asciiTheme="majorHAnsi" w:eastAsia="Cambria" w:hAnsiTheme="majorHAnsi" w:cs="Cambria"/>
          <w:sz w:val="20"/>
          <w:szCs w:val="20"/>
          <w:lang w:val="es-ES"/>
        </w:rPr>
        <w:t xml:space="preserve">tramitado como recurso de apelación por decisión del MTC, </w:t>
      </w:r>
      <w:r w:rsidR="18A7B789" w:rsidRPr="00C5636C">
        <w:rPr>
          <w:rFonts w:asciiTheme="majorHAnsi" w:eastAsia="Cambria" w:hAnsiTheme="majorHAnsi" w:cs="Cambria"/>
          <w:sz w:val="20"/>
          <w:szCs w:val="20"/>
          <w:lang w:val="es-ES"/>
        </w:rPr>
        <w:t>pero 3 de noviembre de 2008</w:t>
      </w:r>
      <w:r w:rsidR="7F89F8D7" w:rsidRPr="00C5636C">
        <w:rPr>
          <w:rFonts w:asciiTheme="majorHAnsi" w:eastAsia="Cambria" w:hAnsiTheme="majorHAnsi" w:cs="Cambria"/>
          <w:sz w:val="20"/>
          <w:szCs w:val="20"/>
          <w:lang w:val="es-ES"/>
        </w:rPr>
        <w:t xml:space="preserve"> las autoridades del Ministerio </w:t>
      </w:r>
      <w:r w:rsidR="172839F9" w:rsidRPr="00C5636C">
        <w:rPr>
          <w:rFonts w:asciiTheme="majorHAnsi" w:eastAsia="Cambria" w:hAnsiTheme="majorHAnsi" w:cs="Cambria"/>
          <w:sz w:val="20"/>
          <w:szCs w:val="20"/>
          <w:lang w:val="es-ES"/>
        </w:rPr>
        <w:t xml:space="preserve">lo </w:t>
      </w:r>
      <w:r w:rsidR="18A7B789" w:rsidRPr="00C5636C">
        <w:rPr>
          <w:rFonts w:asciiTheme="majorHAnsi" w:eastAsia="Cambria" w:hAnsiTheme="majorHAnsi" w:cs="Cambria"/>
          <w:sz w:val="20"/>
          <w:szCs w:val="20"/>
          <w:lang w:val="es-ES"/>
        </w:rPr>
        <w:t>declar</w:t>
      </w:r>
      <w:r w:rsidR="143D3286" w:rsidRPr="00C5636C">
        <w:rPr>
          <w:rFonts w:asciiTheme="majorHAnsi" w:eastAsia="Cambria" w:hAnsiTheme="majorHAnsi" w:cs="Cambria"/>
          <w:sz w:val="20"/>
          <w:szCs w:val="20"/>
          <w:lang w:val="es-ES"/>
        </w:rPr>
        <w:t>aron</w:t>
      </w:r>
      <w:r w:rsidR="18A7B789" w:rsidRPr="00C5636C">
        <w:rPr>
          <w:rFonts w:asciiTheme="majorHAnsi" w:eastAsia="Cambria" w:hAnsiTheme="majorHAnsi" w:cs="Cambria"/>
          <w:sz w:val="20"/>
          <w:szCs w:val="20"/>
          <w:lang w:val="es-ES"/>
        </w:rPr>
        <w:t xml:space="preserve"> infundado</w:t>
      </w:r>
      <w:r w:rsidR="46E51388" w:rsidRPr="00C5636C">
        <w:rPr>
          <w:rFonts w:asciiTheme="majorHAnsi" w:eastAsia="Cambria" w:hAnsiTheme="majorHAnsi" w:cs="Cambria"/>
          <w:sz w:val="20"/>
          <w:szCs w:val="20"/>
          <w:lang w:val="es-ES"/>
        </w:rPr>
        <w:t xml:space="preserve">, </w:t>
      </w:r>
    </w:p>
    <w:p w14:paraId="3007734E" w14:textId="059A47A0" w:rsidR="004E318B" w:rsidRPr="00C5636C" w:rsidRDefault="004E318B"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En consecuencia, el 12 de noviembre de 2008 se ejecutó la resolución administrativa en la madrugada, cuando los representantes de la Dirección General de Control y Supervisión de Comunicaciones del Ministerio de Transportes y Comunicaciones</w:t>
      </w:r>
      <w:r w:rsidR="00821162">
        <w:rPr>
          <w:rFonts w:asciiTheme="majorHAnsi" w:eastAsia="Cambria" w:hAnsiTheme="majorHAnsi" w:cs="Cambria"/>
          <w:sz w:val="20"/>
          <w:szCs w:val="20"/>
          <w:lang w:val="es-ES_tradnl"/>
        </w:rPr>
        <w:t>.</w:t>
      </w:r>
      <w:r w:rsidRPr="00C5636C">
        <w:rPr>
          <w:rFonts w:asciiTheme="majorHAnsi" w:eastAsia="Cambria" w:hAnsiTheme="majorHAnsi" w:cs="Cambria"/>
          <w:sz w:val="20"/>
          <w:szCs w:val="20"/>
          <w:lang w:val="es-ES_tradnl"/>
        </w:rPr>
        <w:t xml:space="preserve"> </w:t>
      </w:r>
    </w:p>
    <w:p w14:paraId="28DF34F7" w14:textId="70B812CD"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Seguidamente, el 14 de enero de 2009</w:t>
      </w:r>
      <w:r w:rsidR="00D23E54" w:rsidRPr="00C5636C">
        <w:rPr>
          <w:rFonts w:asciiTheme="majorHAnsi" w:eastAsia="Cambria" w:hAnsiTheme="majorHAnsi" w:cs="Cambria"/>
          <w:sz w:val="20"/>
          <w:szCs w:val="20"/>
          <w:lang w:val="es-ES"/>
        </w:rPr>
        <w:t>,</w:t>
      </w:r>
      <w:r w:rsidRPr="00C5636C">
        <w:rPr>
          <w:rFonts w:asciiTheme="majorHAnsi" w:eastAsia="Cambria" w:hAnsiTheme="majorHAnsi" w:cs="Cambria"/>
          <w:sz w:val="20"/>
          <w:szCs w:val="20"/>
          <w:lang w:val="es-ES"/>
        </w:rPr>
        <w:t xml:space="preserve"> se interpuso en sede judicial una demanda de nulidad de la resolución administrativa (expediente nro. 451-2009), </w:t>
      </w:r>
      <w:r w:rsidR="7CC1C6BE" w:rsidRPr="00C5636C">
        <w:rPr>
          <w:rFonts w:asciiTheme="majorHAnsi" w:eastAsia="Cambria" w:hAnsiTheme="majorHAnsi" w:cs="Cambria"/>
          <w:sz w:val="20"/>
          <w:szCs w:val="20"/>
          <w:lang w:val="es-ES"/>
        </w:rPr>
        <w:t xml:space="preserve">con base en el alegado </w:t>
      </w:r>
      <w:r w:rsidR="3D77D905" w:rsidRPr="00C5636C">
        <w:rPr>
          <w:rFonts w:asciiTheme="majorHAnsi" w:eastAsia="Cambria" w:hAnsiTheme="majorHAnsi" w:cs="Cambria"/>
          <w:sz w:val="20"/>
          <w:szCs w:val="20"/>
          <w:lang w:val="es-ES"/>
        </w:rPr>
        <w:t>cumplimiento</w:t>
      </w:r>
      <w:r w:rsidR="7CC1C6BE" w:rsidRPr="00C5636C">
        <w:rPr>
          <w:rFonts w:asciiTheme="majorHAnsi" w:eastAsia="Cambria" w:hAnsiTheme="majorHAnsi" w:cs="Cambria"/>
          <w:sz w:val="20"/>
          <w:szCs w:val="20"/>
          <w:lang w:val="es-ES"/>
        </w:rPr>
        <w:t xml:space="preserve"> de las Leyes 28.586 y 28.692. </w:t>
      </w:r>
      <w:r w:rsidR="3B6292D6" w:rsidRPr="00C5636C">
        <w:rPr>
          <w:rFonts w:asciiTheme="majorHAnsi" w:eastAsia="Cambria" w:hAnsiTheme="majorHAnsi" w:cs="Cambria"/>
          <w:sz w:val="20"/>
          <w:szCs w:val="20"/>
          <w:lang w:val="es-ES"/>
        </w:rPr>
        <w:t>Ahora bine, la demanda fue</w:t>
      </w:r>
      <w:r w:rsidRPr="00C5636C">
        <w:rPr>
          <w:rFonts w:asciiTheme="majorHAnsi" w:eastAsia="Cambria" w:hAnsiTheme="majorHAnsi" w:cs="Cambria"/>
          <w:sz w:val="20"/>
          <w:szCs w:val="20"/>
          <w:lang w:val="es-ES"/>
        </w:rPr>
        <w:t xml:space="preserve"> declarada infundada por el Segundo Juzgado Contencioso </w:t>
      </w:r>
      <w:r w:rsidRPr="00C5636C">
        <w:rPr>
          <w:rFonts w:asciiTheme="majorHAnsi" w:eastAsia="Cambria" w:hAnsiTheme="majorHAnsi" w:cs="Cambria"/>
          <w:sz w:val="20"/>
          <w:szCs w:val="20"/>
          <w:lang w:val="es-ES"/>
        </w:rPr>
        <w:lastRenderedPageBreak/>
        <w:t xml:space="preserve">Administrativo de Lima el 12 de abril de 2011. </w:t>
      </w:r>
      <w:r w:rsidR="00D23E54" w:rsidRPr="00C5636C">
        <w:rPr>
          <w:rFonts w:asciiTheme="majorHAnsi" w:eastAsia="Cambria" w:hAnsiTheme="majorHAnsi" w:cs="Cambria"/>
          <w:sz w:val="20"/>
          <w:szCs w:val="20"/>
          <w:lang w:val="es-ES"/>
        </w:rPr>
        <w:t>Apelada</w:t>
      </w:r>
      <w:r w:rsidRPr="00C5636C">
        <w:rPr>
          <w:rFonts w:asciiTheme="majorHAnsi" w:eastAsia="Cambria" w:hAnsiTheme="majorHAnsi" w:cs="Cambria"/>
          <w:sz w:val="20"/>
          <w:szCs w:val="20"/>
          <w:lang w:val="es-ES"/>
        </w:rPr>
        <w:t xml:space="preserve"> esta decisión, el 6 de agosto de 2012 la Primera Sala del Contencioso Administrativo de la Corte Superior de Justicia de Lima ratificó la sentencia. Contra esta decisión los afectados presentaron un recurso de casación (Cas. 8030-2012), que fue declarado improcedente por la Sala de Derecho Constitucional y Social Permanente de la Corte Suprema de Justicia el 8 de abril de 2013.</w:t>
      </w:r>
    </w:p>
    <w:p w14:paraId="15FFBDB7" w14:textId="0BFA2E4C"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Estas resoluciones judiciales fueron cuestionadas por medio de una acción de amparo el 20 de agosto de 2013, presentada ante el Primer Juzgado Mixto de Ilo (expediente nro. 00310-2013)</w:t>
      </w:r>
      <w:r w:rsidR="2CE77E30" w:rsidRPr="00C5636C">
        <w:rPr>
          <w:rFonts w:asciiTheme="majorHAnsi" w:eastAsia="Cambria" w:hAnsiTheme="majorHAnsi" w:cs="Cambria"/>
          <w:sz w:val="20"/>
          <w:szCs w:val="20"/>
          <w:lang w:val="es-ES"/>
        </w:rPr>
        <w:t xml:space="preserve">. La parte peticionaria afirma que la demanda fue propuesta alegando " la violación del derecho constitucional a la debida motivación, al principio de interdicción de la arbitrariedad, seguridad jurídica y predictibilidad de las resoluciones judiciales," - información que no es contestada por el Estado. Mientras tanto, el </w:t>
      </w:r>
      <w:r w:rsidR="003C1679" w:rsidRPr="00C5636C">
        <w:rPr>
          <w:rFonts w:asciiTheme="majorHAnsi" w:eastAsia="Cambria" w:hAnsiTheme="majorHAnsi" w:cs="Cambria"/>
          <w:sz w:val="20"/>
          <w:szCs w:val="20"/>
          <w:lang w:val="es-ES"/>
        </w:rPr>
        <w:t>amparo declarada</w:t>
      </w:r>
      <w:r w:rsidRPr="00C5636C">
        <w:rPr>
          <w:rFonts w:asciiTheme="majorHAnsi" w:eastAsia="Cambria" w:hAnsiTheme="majorHAnsi" w:cs="Cambria"/>
          <w:sz w:val="20"/>
          <w:szCs w:val="20"/>
          <w:lang w:val="es-ES"/>
        </w:rPr>
        <w:t xml:space="preserve"> improcedente por falta de competencia territorial del juzgado. En contra de esta decisión se presentó un recurso de apelación ante la Sala Mixta Descentralizada de Ilo, la que confirmó la decisión de primera instancia el 26 de junio de 2014. Finalmente, el Tribunal Constitucional rechazó el 7 de octubre de 2014 un recurso de agravio constitucional (expediente nro. 3736-2014) presentado por los afectados. </w:t>
      </w:r>
    </w:p>
    <w:p w14:paraId="0F1DC660" w14:textId="2D499C3F" w:rsidR="004E318B" w:rsidRPr="00C5636C" w:rsidRDefault="004E318B"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La Comisión nota que</w:t>
      </w:r>
      <w:r w:rsidR="003D2C51" w:rsidRPr="00C5636C">
        <w:rPr>
          <w:rFonts w:asciiTheme="majorHAnsi" w:eastAsia="Cambria" w:hAnsiTheme="majorHAnsi" w:cs="Cambria"/>
          <w:sz w:val="20"/>
          <w:szCs w:val="20"/>
          <w:lang w:val="es-ES_tradnl"/>
        </w:rPr>
        <w:t>,</w:t>
      </w:r>
      <w:r w:rsidRPr="00C5636C">
        <w:rPr>
          <w:rFonts w:asciiTheme="majorHAnsi" w:eastAsia="Cambria" w:hAnsiTheme="majorHAnsi" w:cs="Cambria"/>
          <w:sz w:val="20"/>
          <w:szCs w:val="20"/>
          <w:lang w:val="es-ES_tradnl"/>
        </w:rPr>
        <w:t xml:space="preserve"> respecto de los hechos anteriormente señalados, no hay mayor controversia entre las partes, salvo </w:t>
      </w:r>
      <w:r w:rsidR="003D2C51" w:rsidRPr="00C5636C">
        <w:rPr>
          <w:rFonts w:asciiTheme="majorHAnsi" w:eastAsia="Cambria" w:hAnsiTheme="majorHAnsi" w:cs="Cambria"/>
          <w:sz w:val="20"/>
          <w:szCs w:val="20"/>
          <w:lang w:val="es-ES_tradnl"/>
        </w:rPr>
        <w:t>en cuanto</w:t>
      </w:r>
      <w:r w:rsidRPr="00C5636C">
        <w:rPr>
          <w:rFonts w:asciiTheme="majorHAnsi" w:eastAsia="Cambria" w:hAnsiTheme="majorHAnsi" w:cs="Cambria"/>
          <w:sz w:val="20"/>
          <w:szCs w:val="20"/>
          <w:lang w:val="es-ES_tradnl"/>
        </w:rPr>
        <w:t xml:space="preserve"> a la fecha de notificación de esta última decisión del Tribunal Constitucional del 7 de octubre de 2014</w:t>
      </w:r>
      <w:r w:rsidR="00633502" w:rsidRPr="00C5636C">
        <w:rPr>
          <w:rFonts w:asciiTheme="majorHAnsi" w:eastAsia="Cambria" w:hAnsiTheme="majorHAnsi" w:cs="Cambria"/>
          <w:sz w:val="20"/>
          <w:szCs w:val="20"/>
          <w:lang w:val="es-ES_tradnl"/>
        </w:rPr>
        <w:t>:</w:t>
      </w:r>
      <w:r w:rsidRPr="00C5636C">
        <w:rPr>
          <w:rFonts w:asciiTheme="majorHAnsi" w:eastAsia="Cambria" w:hAnsiTheme="majorHAnsi" w:cs="Cambria"/>
          <w:sz w:val="20"/>
          <w:szCs w:val="20"/>
          <w:lang w:val="es-ES_tradnl"/>
        </w:rPr>
        <w:t xml:space="preserve"> de acuerdo con los peticionarios esta se notificó el 25 de septiembre de 2015; mientras que el Estado señala que la fecha de notificación fue el 25 de septiembre de 2016, pero ninguna de las partes aporta prueba de cuál es la fecha correcta. </w:t>
      </w:r>
    </w:p>
    <w:p w14:paraId="04500524" w14:textId="77777777"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 xml:space="preserve">Por otro lado, a partir de las informaciones aportadas por el Estado y no controvertidas por la parte peticionaria, se tiene que el 27 de agosto de 2010 se presentó otro pedido administrativo de restitución de la autorización de operación de la emisora, que había estado sin operar desde 2008. Este nuevo pedido fue negado en vía administrativa el 15 de noviembre de 2010. Se presentó un recurso de apelación administrativo, que fue negado el 26 de enero de 2011. En contra de dicha resolución, que negaba la apelación administrativa, se inició una demanda judicial de nulidad (expediente judicial nro. 911- 2011). </w:t>
      </w:r>
    </w:p>
    <w:p w14:paraId="0CE1F103" w14:textId="55A7FA99" w:rsidR="004E318B" w:rsidRPr="00C5636C" w:rsidRDefault="004E318B"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Esa demanda fue desestimada por el 15</w:t>
      </w:r>
      <w:r w:rsidR="00E00BE2" w:rsidRPr="00C5636C">
        <w:rPr>
          <w:rFonts w:asciiTheme="majorHAnsi" w:eastAsia="Cambria" w:hAnsiTheme="majorHAnsi" w:cs="Cambria"/>
          <w:sz w:val="20"/>
          <w:szCs w:val="20"/>
          <w:lang w:val="es-ES_tradnl"/>
        </w:rPr>
        <w:t>º</w:t>
      </w:r>
      <w:r w:rsidRPr="00C5636C">
        <w:rPr>
          <w:rFonts w:asciiTheme="majorHAnsi" w:eastAsia="Cambria" w:hAnsiTheme="majorHAnsi" w:cs="Cambria"/>
          <w:sz w:val="20"/>
          <w:szCs w:val="20"/>
          <w:lang w:val="es-ES_tradnl"/>
        </w:rPr>
        <w:t xml:space="preserve"> Juzgado Contencioso-Administrativo de Lima el 29 de septiembre de 2015 por supuesta litispendencia. Posteriormente, la 1ª Sala Especializada en lo Contencioso Administrativo de la Corte Superior de Justicia de Lima, en sede de apelación, confirmó la decisión de primera instancia. No consta en el expediente que se haya impugnado esta decisión. </w:t>
      </w:r>
    </w:p>
    <w:p w14:paraId="52E7C164" w14:textId="7BFBDB4C"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Igualmente, surge del expediente</w:t>
      </w:r>
      <w:r w:rsidR="007B7738" w:rsidRPr="00C5636C">
        <w:rPr>
          <w:rFonts w:asciiTheme="majorHAnsi" w:eastAsia="Cambria" w:hAnsiTheme="majorHAnsi" w:cs="Cambria"/>
          <w:sz w:val="20"/>
          <w:szCs w:val="20"/>
          <w:lang w:val="es-ES"/>
        </w:rPr>
        <w:t>,</w:t>
      </w:r>
      <w:r w:rsidRPr="00C5636C">
        <w:rPr>
          <w:rFonts w:asciiTheme="majorHAnsi" w:eastAsia="Cambria" w:hAnsiTheme="majorHAnsi" w:cs="Cambria"/>
          <w:sz w:val="20"/>
          <w:szCs w:val="20"/>
          <w:lang w:val="es-ES"/>
        </w:rPr>
        <w:t xml:space="preserve"> a partir de la información aportada por el Estado y no controvertidas por el peticionario, que el 10 de enero de 2011 se habría presentado un nuevo pedido de renovación de frecuencia, de esta vez basado en el Decreto Supremo 060-2010. Sin embargo, una vez más esta solicitud fue negada. Primero mediante resolución del 21 de enero de 2011, confirmada tras apelación mediante otra resolución del 31 de marzo de 2011. </w:t>
      </w:r>
    </w:p>
    <w:p w14:paraId="1FF2EB7D" w14:textId="41EB32EE" w:rsidR="004E318B" w:rsidRPr="00C5636C" w:rsidRDefault="004E318B"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 xml:space="preserve">Frente a lo anterior, se </w:t>
      </w:r>
      <w:r w:rsidR="00606F46" w:rsidRPr="00C5636C">
        <w:rPr>
          <w:rFonts w:asciiTheme="majorHAnsi" w:eastAsia="Cambria" w:hAnsiTheme="majorHAnsi" w:cs="Cambria"/>
          <w:sz w:val="20"/>
          <w:szCs w:val="20"/>
          <w:lang w:val="es-ES_tradnl"/>
        </w:rPr>
        <w:t xml:space="preserve">interpuso </w:t>
      </w:r>
      <w:r w:rsidRPr="00C5636C">
        <w:rPr>
          <w:rFonts w:asciiTheme="majorHAnsi" w:eastAsia="Cambria" w:hAnsiTheme="majorHAnsi" w:cs="Cambria"/>
          <w:sz w:val="20"/>
          <w:szCs w:val="20"/>
          <w:lang w:val="es-ES_tradnl"/>
        </w:rPr>
        <w:t xml:space="preserve">una demanda judicial de nulidad (expediente judicial nro. 2695-2011). Esta fue primero declarada infundada por el 11º Juzgado Administrativo de Lima el 25 de enero de 2017; y confirmada en grado de apelación por la Tercera Sala Especializada en lo Contencioso Administrativo de Lima el 26 de septiembre de 2018. No se impugnó este fallo, que fue el final de este proceso. </w:t>
      </w:r>
    </w:p>
    <w:p w14:paraId="4540E796" w14:textId="77777777" w:rsidR="004E318B" w:rsidRPr="00C5636C" w:rsidRDefault="004E318B" w:rsidP="004E318B">
      <w:pPr>
        <w:spacing w:after="240"/>
        <w:ind w:firstLine="720"/>
        <w:jc w:val="both"/>
        <w:rPr>
          <w:rFonts w:asciiTheme="majorHAnsi" w:eastAsia="Cambria" w:hAnsiTheme="majorHAnsi" w:cs="Cambria"/>
          <w:sz w:val="20"/>
          <w:szCs w:val="20"/>
          <w:lang w:val="es-ES_tradnl"/>
        </w:rPr>
      </w:pPr>
      <w:r w:rsidRPr="00C5636C">
        <w:rPr>
          <w:rFonts w:asciiTheme="majorHAnsi" w:eastAsia="Cambria" w:hAnsiTheme="majorHAnsi" w:cs="Cambria"/>
          <w:i/>
          <w:sz w:val="20"/>
          <w:szCs w:val="20"/>
          <w:lang w:val="es-ES_tradnl"/>
        </w:rPr>
        <w:t>Conclusiones de la CIDH respecto del agotamiento de los recursos internos</w:t>
      </w:r>
      <w:r w:rsidRPr="00C5636C">
        <w:rPr>
          <w:rFonts w:asciiTheme="majorHAnsi" w:eastAsia="Cambria" w:hAnsiTheme="majorHAnsi" w:cs="Cambria"/>
          <w:sz w:val="20"/>
          <w:szCs w:val="20"/>
          <w:lang w:val="es-ES_tradnl"/>
        </w:rPr>
        <w:t xml:space="preserve"> </w:t>
      </w:r>
    </w:p>
    <w:p w14:paraId="660142C7" w14:textId="19084F85" w:rsidR="004E318B" w:rsidRPr="00C5636C"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La Comisión considera que el requisito de agotamiento de recursos internos, establecido en el artículo 46.1.a) de la Convención</w:t>
      </w:r>
      <w:r w:rsidR="00D85AC0" w:rsidRPr="00C5636C">
        <w:rPr>
          <w:rFonts w:asciiTheme="majorHAnsi" w:eastAsia="Cambria" w:hAnsiTheme="majorHAnsi" w:cs="Cambria"/>
          <w:sz w:val="20"/>
          <w:szCs w:val="20"/>
          <w:lang w:val="es-ES"/>
        </w:rPr>
        <w:t>,</w:t>
      </w:r>
      <w:r w:rsidRPr="00C5636C">
        <w:rPr>
          <w:rFonts w:asciiTheme="majorHAnsi" w:eastAsia="Cambria" w:hAnsiTheme="majorHAnsi" w:cs="Cambria"/>
          <w:sz w:val="20"/>
          <w:szCs w:val="20"/>
          <w:lang w:val="es-ES"/>
        </w:rPr>
        <w:t xml:space="preserve"> fue cumplido a partir de la resolución de octubre de 2014 del Tribunal Constitucional, considerada notificada el 25 de septiembre de 2015. Dicho recurso resolvió en última instancia procedimientos judiciales resultantes de la negativa de pedidos administrativos </w:t>
      </w:r>
      <w:r w:rsidR="00604A0C" w:rsidRPr="00C5636C">
        <w:rPr>
          <w:rFonts w:asciiTheme="majorHAnsi" w:eastAsia="Cambria" w:hAnsiTheme="majorHAnsi" w:cs="Cambria"/>
          <w:sz w:val="20"/>
          <w:szCs w:val="20"/>
          <w:lang w:val="es-ES"/>
        </w:rPr>
        <w:t xml:space="preserve">intentados </w:t>
      </w:r>
      <w:r w:rsidRPr="00C5636C">
        <w:rPr>
          <w:rFonts w:asciiTheme="majorHAnsi" w:eastAsia="Cambria" w:hAnsiTheme="majorHAnsi" w:cs="Cambria"/>
          <w:sz w:val="20"/>
          <w:szCs w:val="20"/>
          <w:lang w:val="es-ES"/>
        </w:rPr>
        <w:t xml:space="preserve">por la Radio Caplina sobre de la renovación de su autorización de operación. Además, independientemente de que la discrepancia respecto de la fecha de notificación de esta decisión del Tribunal Constitucional ocurrió en 2015 como indica el peticionario o en 2016 como dice el Estado, de cualquier forma la petición cumple con el requisito del plazo de presentación establecido en el artículo 46.1.b) de la Convención Americana, porque la </w:t>
      </w:r>
      <w:r w:rsidRPr="00C5636C">
        <w:rPr>
          <w:rFonts w:asciiTheme="majorHAnsi" w:eastAsia="Cambria" w:hAnsiTheme="majorHAnsi" w:cs="Cambria"/>
          <w:sz w:val="20"/>
          <w:szCs w:val="20"/>
          <w:lang w:val="es-ES"/>
        </w:rPr>
        <w:lastRenderedPageBreak/>
        <w:t xml:space="preserve">petición se recibió el 7 de marzo de 2016. Es decir, aun tomando como fecha de notificación el 25 de septiembre de 2015, la petición cae dentro del plazo de seis meses establecido en dicha norma. </w:t>
      </w:r>
    </w:p>
    <w:p w14:paraId="596BAB9A" w14:textId="41BEB836" w:rsidR="004E318B" w:rsidRPr="00C5636C" w:rsidRDefault="004E318B"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 xml:space="preserve">Por otro lado, frente al alegato del Estado de que al momento de la </w:t>
      </w:r>
      <w:r w:rsidR="001226C0" w:rsidRPr="00C5636C">
        <w:rPr>
          <w:rFonts w:asciiTheme="majorHAnsi" w:eastAsia="Cambria" w:hAnsiTheme="majorHAnsi" w:cs="Cambria"/>
          <w:sz w:val="20"/>
          <w:szCs w:val="20"/>
          <w:lang w:val="es-ES_tradnl"/>
        </w:rPr>
        <w:t xml:space="preserve">sumisión </w:t>
      </w:r>
      <w:r w:rsidRPr="00C5636C">
        <w:rPr>
          <w:rFonts w:asciiTheme="majorHAnsi" w:eastAsia="Cambria" w:hAnsiTheme="majorHAnsi" w:cs="Cambria"/>
          <w:sz w:val="20"/>
          <w:szCs w:val="20"/>
          <w:lang w:val="es-ES_tradnl"/>
        </w:rPr>
        <w:t xml:space="preserve">de la petición había otros procesos en trámite ante la jurisdicción interna, la CIDH reitera que el momento en el que deben estar agotados los recursos es el de la adopción de la decisión de admisibilidad, por medio de un informe. Además, como ya se indicó en el párrafo anterior, los recursos pertinentes al cumplimiento de ese requisito convencional sí se agotaron dentro de los seis meses previos a la </w:t>
      </w:r>
      <w:r w:rsidR="004E2B8C" w:rsidRPr="00C5636C">
        <w:rPr>
          <w:rFonts w:asciiTheme="majorHAnsi" w:eastAsia="Cambria" w:hAnsiTheme="majorHAnsi" w:cs="Cambria"/>
          <w:sz w:val="20"/>
          <w:szCs w:val="20"/>
          <w:lang w:val="es-ES_tradnl"/>
        </w:rPr>
        <w:t xml:space="preserve">formalización </w:t>
      </w:r>
      <w:r w:rsidRPr="00C5636C">
        <w:rPr>
          <w:rFonts w:asciiTheme="majorHAnsi" w:eastAsia="Cambria" w:hAnsiTheme="majorHAnsi" w:cs="Cambria"/>
          <w:sz w:val="20"/>
          <w:szCs w:val="20"/>
          <w:lang w:val="es-ES_tradnl"/>
        </w:rPr>
        <w:t xml:space="preserve">de la petición. </w:t>
      </w:r>
    </w:p>
    <w:p w14:paraId="12A30E96" w14:textId="77777777" w:rsidR="004E318B" w:rsidRPr="00C5636C" w:rsidRDefault="004E318B" w:rsidP="004E318B">
      <w:pPr>
        <w:spacing w:after="240"/>
        <w:ind w:firstLine="720"/>
        <w:jc w:val="both"/>
        <w:rPr>
          <w:rFonts w:asciiTheme="majorHAnsi" w:eastAsia="Cambria" w:hAnsiTheme="majorHAnsi" w:cs="Cambria"/>
          <w:sz w:val="20"/>
          <w:szCs w:val="20"/>
          <w:lang w:val="es-ES_tradnl"/>
        </w:rPr>
      </w:pPr>
      <w:r w:rsidRPr="00C5636C">
        <w:rPr>
          <w:rFonts w:asciiTheme="majorHAnsi" w:eastAsia="Cambria" w:hAnsiTheme="majorHAnsi" w:cs="Cambria"/>
          <w:b/>
          <w:sz w:val="20"/>
          <w:szCs w:val="20"/>
          <w:lang w:val="es-ES_tradnl"/>
        </w:rPr>
        <w:t xml:space="preserve">VIII.  </w:t>
      </w:r>
      <w:r w:rsidRPr="00C5636C">
        <w:rPr>
          <w:rFonts w:asciiTheme="majorHAnsi" w:eastAsia="Cambria" w:hAnsiTheme="majorHAnsi" w:cs="Cambria"/>
          <w:b/>
          <w:sz w:val="20"/>
          <w:szCs w:val="20"/>
          <w:lang w:val="es-ES_tradnl"/>
        </w:rPr>
        <w:tab/>
        <w:t>ANÁLISIS DE CARACTERIZACIÓN DE LOS HECHOS ALEGADOS</w:t>
      </w:r>
      <w:r w:rsidRPr="00C5636C">
        <w:rPr>
          <w:rFonts w:asciiTheme="majorHAnsi" w:eastAsia="Cambria" w:hAnsiTheme="majorHAnsi" w:cs="Cambria"/>
          <w:sz w:val="20"/>
          <w:szCs w:val="20"/>
          <w:lang w:val="es-ES_tradnl"/>
        </w:rPr>
        <w:t xml:space="preserve"> </w:t>
      </w:r>
    </w:p>
    <w:p w14:paraId="14734997" w14:textId="77777777" w:rsidR="004E318B" w:rsidRPr="00C5636C" w:rsidRDefault="004E318B"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Cambria" w:hAnsi="Cambria"/>
          <w:sz w:val="20"/>
          <w:szCs w:val="20"/>
          <w:lang w:val="es-ES_tradnl"/>
        </w:rPr>
        <w:t xml:space="preserve">En primer lugar, la Comisión reitera que el criterio de evaluación de la fase de admisibilidad difiere del que se utiliza para pronunciarse sobre el fondo de una petición; la CIDH debe realizar en esta etapa una evaluación </w:t>
      </w:r>
      <w:r w:rsidRPr="00C5636C">
        <w:rPr>
          <w:rFonts w:ascii="Cambria" w:hAnsi="Cambria"/>
          <w:i/>
          <w:iCs/>
          <w:sz w:val="20"/>
          <w:szCs w:val="20"/>
          <w:lang w:val="es-ES_tradnl"/>
        </w:rPr>
        <w:t>prima facie</w:t>
      </w:r>
      <w:r w:rsidRPr="00C5636C">
        <w:rPr>
          <w:rFonts w:ascii="Cambria" w:hAnsi="Cambria"/>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25DAE911" w14:textId="0A0B4E03" w:rsidR="004E318B" w:rsidRPr="00C5636C" w:rsidRDefault="004E318B"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La Comisión observa que los hechos denunciados se centran en la negativa del Estado de renovar la autorización para operar la emisora de radio debido a deudas pendientes, y su consecuente clausura, seguida de la negativa de las autoridades administrativas y judiciales de permitirle seguir operando, lo que según los peticionarios responde a un acto de amordazamiento del medio, o de represalia por su papel informativo en el contexto de determinadas protestas sociales en el país. Esta situación, compleja</w:t>
      </w:r>
      <w:r w:rsidR="00870F5D" w:rsidRPr="00C5636C">
        <w:rPr>
          <w:rFonts w:asciiTheme="majorHAnsi" w:eastAsia="Cambria" w:hAnsiTheme="majorHAnsi" w:cs="Cambria"/>
          <w:sz w:val="20"/>
          <w:szCs w:val="20"/>
          <w:lang w:val="es-ES_tradnl"/>
        </w:rPr>
        <w:t xml:space="preserve"> e</w:t>
      </w:r>
      <w:r w:rsidR="00085004" w:rsidRPr="00C5636C">
        <w:rPr>
          <w:rFonts w:asciiTheme="majorHAnsi" w:eastAsia="Cambria" w:hAnsiTheme="majorHAnsi" w:cs="Cambria"/>
          <w:sz w:val="20"/>
          <w:szCs w:val="20"/>
          <w:lang w:val="es-ES_tradnl"/>
        </w:rPr>
        <w:t>n</w:t>
      </w:r>
      <w:r w:rsidRPr="00C5636C">
        <w:rPr>
          <w:rFonts w:asciiTheme="majorHAnsi" w:eastAsia="Cambria" w:hAnsiTheme="majorHAnsi" w:cs="Cambria"/>
          <w:sz w:val="20"/>
          <w:szCs w:val="20"/>
          <w:lang w:val="es-ES_tradnl"/>
        </w:rPr>
        <w:t xml:space="preserve"> cuanto a su desarrollo y consideraciones jurídicas en términos del derecho internacional de los derechos humanos, amerita de un análisis de convencionalidad propio de la etapa de fondo del proceso ante la CIDH. Los alegatos de la parte peticionaria no son manifiestamente infundados y</w:t>
      </w:r>
      <w:r w:rsidR="00085004" w:rsidRPr="00C5636C">
        <w:rPr>
          <w:rFonts w:asciiTheme="majorHAnsi" w:eastAsia="Cambria" w:hAnsiTheme="majorHAnsi" w:cs="Cambria"/>
          <w:sz w:val="20"/>
          <w:szCs w:val="20"/>
          <w:lang w:val="es-ES_tradnl"/>
        </w:rPr>
        <w:t>,</w:t>
      </w:r>
      <w:r w:rsidRPr="00C5636C">
        <w:rPr>
          <w:rFonts w:asciiTheme="majorHAnsi" w:eastAsia="Cambria" w:hAnsiTheme="majorHAnsi" w:cs="Cambria"/>
          <w:sz w:val="20"/>
          <w:szCs w:val="20"/>
          <w:lang w:val="es-ES_tradnl"/>
        </w:rPr>
        <w:t xml:space="preserve"> de comprobarse como ciertos, podrían constituir vulneraciones a los derechos establecidos en los artículos 8 (garantías judiciales), 13 (libertad de pensamiento y expresión), 21 (propiedad privada)</w:t>
      </w:r>
      <w:r w:rsidR="00085004" w:rsidRPr="00C5636C">
        <w:rPr>
          <w:rFonts w:asciiTheme="majorHAnsi" w:eastAsia="Cambria" w:hAnsiTheme="majorHAnsi" w:cs="Cambria"/>
          <w:sz w:val="20"/>
          <w:szCs w:val="20"/>
          <w:lang w:val="es-ES_tradnl"/>
        </w:rPr>
        <w:t xml:space="preserve"> —</w:t>
      </w:r>
      <w:r w:rsidRPr="00C5636C">
        <w:rPr>
          <w:rFonts w:asciiTheme="majorHAnsi" w:eastAsia="Cambria" w:hAnsiTheme="majorHAnsi" w:cs="Cambria"/>
          <w:sz w:val="20"/>
          <w:szCs w:val="20"/>
          <w:lang w:val="es-ES_tradnl"/>
        </w:rPr>
        <w:t>por lo relativo a la incautación de los equipos de la emisora</w:t>
      </w:r>
      <w:r w:rsidR="00085004" w:rsidRPr="00C5636C">
        <w:rPr>
          <w:rFonts w:asciiTheme="majorHAnsi" w:eastAsia="Cambria" w:hAnsiTheme="majorHAnsi" w:cs="Cambria"/>
          <w:sz w:val="20"/>
          <w:szCs w:val="20"/>
          <w:lang w:val="es-ES_tradnl"/>
        </w:rPr>
        <w:t>00</w:t>
      </w:r>
      <w:r w:rsidRPr="00C5636C">
        <w:rPr>
          <w:rFonts w:asciiTheme="majorHAnsi" w:eastAsia="Cambria" w:hAnsiTheme="majorHAnsi" w:cs="Cambria"/>
          <w:sz w:val="20"/>
          <w:szCs w:val="20"/>
          <w:lang w:val="es-ES_tradnl"/>
        </w:rPr>
        <w:t xml:space="preserve"> y 25 (protección judicial), </w:t>
      </w:r>
      <w:r w:rsidR="00A83EFE" w:rsidRPr="00C5636C">
        <w:rPr>
          <w:rFonts w:asciiTheme="majorHAnsi" w:eastAsia="Cambria" w:hAnsiTheme="majorHAnsi" w:cs="Cambria"/>
          <w:sz w:val="20"/>
          <w:szCs w:val="20"/>
          <w:lang w:val="es-ES_tradnl"/>
        </w:rPr>
        <w:t xml:space="preserve">previstos </w:t>
      </w:r>
      <w:r w:rsidRPr="00C5636C">
        <w:rPr>
          <w:rFonts w:asciiTheme="majorHAnsi" w:eastAsia="Cambria" w:hAnsiTheme="majorHAnsi" w:cs="Cambria"/>
          <w:sz w:val="20"/>
          <w:szCs w:val="20"/>
          <w:lang w:val="es-ES_tradnl"/>
        </w:rPr>
        <w:t xml:space="preserve">en la Convención Americana, en relación con su artículo 1.1 (obligación de respetar los derechos), en perjuicio de las personas naturales individualizadas hasta este punto del procedimiento, y de aquellas que se sustente como afectadas en la etapa de fondo del presente caso. </w:t>
      </w:r>
    </w:p>
    <w:p w14:paraId="5A2C0864" w14:textId="3CA23A49" w:rsidR="004E318B" w:rsidRPr="00C5636C" w:rsidRDefault="001226C0" w:rsidP="004E318B">
      <w:pPr>
        <w:numPr>
          <w:ilvl w:val="0"/>
          <w:numId w:val="60"/>
        </w:numPr>
        <w:pBdr>
          <w:bar w:val="none" w:sz="0" w:color="auto"/>
        </w:pBdr>
        <w:spacing w:after="240"/>
        <w:ind w:left="0" w:firstLine="72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En relación con el</w:t>
      </w:r>
      <w:r w:rsidR="004E318B" w:rsidRPr="00C5636C">
        <w:rPr>
          <w:rFonts w:asciiTheme="majorHAnsi" w:eastAsia="Cambria" w:hAnsiTheme="majorHAnsi" w:cs="Cambria"/>
          <w:sz w:val="20"/>
          <w:szCs w:val="20"/>
          <w:lang w:val="es-ES_tradnl"/>
        </w:rPr>
        <w:t xml:space="preserve"> argumento del Estado sobre la “fórmula de la cuarta instancia”, la Comisión considera que, tal como lo ha indicado la Corte IDH, “</w:t>
      </w:r>
      <w:r w:rsidR="004E318B" w:rsidRPr="00C5636C">
        <w:rPr>
          <w:rFonts w:asciiTheme="majorHAnsi" w:eastAsia="Cambria" w:hAnsiTheme="majorHAnsi" w:cs="Cambria"/>
          <w:i/>
          <w:iCs/>
          <w:sz w:val="20"/>
          <w:szCs w:val="20"/>
          <w:lang w:val="es-ES_tradnl"/>
        </w:rPr>
        <w:t>[le]compete verificar si en los pasos efectivamente dados a nivel interno se violaron o no obligaciones internacionales del Estado derivadas de los instrumentos interamericanos que le otorgan competencia</w:t>
      </w:r>
      <w:r w:rsidR="004E318B" w:rsidRPr="00C5636C">
        <w:rPr>
          <w:rFonts w:asciiTheme="majorHAnsi" w:eastAsia="Cambria" w:hAnsiTheme="majorHAnsi" w:cs="Cambria"/>
          <w:sz w:val="20"/>
          <w:szCs w:val="20"/>
          <w:lang w:val="es-ES_tradnl"/>
        </w:rPr>
        <w:t>”</w:t>
      </w:r>
      <w:r w:rsidR="004E318B" w:rsidRPr="00C5636C">
        <w:rPr>
          <w:rFonts w:asciiTheme="majorHAnsi" w:eastAsia="Cambria" w:hAnsiTheme="majorHAnsi" w:cs="Cambria"/>
          <w:sz w:val="20"/>
          <w:szCs w:val="20"/>
          <w:vertAlign w:val="superscript"/>
          <w:lang w:val="es-ES_tradnl"/>
        </w:rPr>
        <w:footnoteReference w:id="6"/>
      </w:r>
      <w:r w:rsidR="004E318B" w:rsidRPr="00C5636C">
        <w:rPr>
          <w:rFonts w:asciiTheme="majorHAnsi" w:eastAsia="Cambria" w:hAnsiTheme="majorHAnsi" w:cs="Cambria"/>
          <w:sz w:val="20"/>
          <w:szCs w:val="20"/>
          <w:lang w:val="es-ES_tradnl"/>
        </w:rPr>
        <w:t xml:space="preserve">. Asimismo, le </w:t>
      </w:r>
      <w:r w:rsidR="00A83EFE" w:rsidRPr="00C5636C">
        <w:rPr>
          <w:rFonts w:asciiTheme="majorHAnsi" w:eastAsia="Cambria" w:hAnsiTheme="majorHAnsi" w:cs="Cambria"/>
          <w:sz w:val="20"/>
          <w:szCs w:val="20"/>
          <w:lang w:val="es-ES_tradnl"/>
        </w:rPr>
        <w:t xml:space="preserve">atañe </w:t>
      </w:r>
      <w:r w:rsidR="004E318B" w:rsidRPr="00C5636C">
        <w:rPr>
          <w:rFonts w:asciiTheme="majorHAnsi" w:eastAsia="Cambria" w:hAnsiTheme="majorHAnsi" w:cs="Cambria"/>
          <w:sz w:val="20"/>
          <w:szCs w:val="20"/>
          <w:lang w:val="es-ES_tradnl"/>
        </w:rPr>
        <w:t>valorar “</w:t>
      </w:r>
      <w:r w:rsidR="004E318B" w:rsidRPr="00C5636C">
        <w:rPr>
          <w:rFonts w:asciiTheme="majorHAnsi" w:eastAsia="Cambria" w:hAnsiTheme="majorHAnsi" w:cs="Cambria"/>
          <w:i/>
          <w:iCs/>
          <w:sz w:val="20"/>
          <w:szCs w:val="20"/>
          <w:lang w:val="es-ES_tradnl"/>
        </w:rPr>
        <w:t xml:space="preserve">si las actuaciones de órganos judiciales constituyen o no una violación de las obligaciones internacionales del Estado, [lo cual]puede conducir a que </w:t>
      </w:r>
      <w:r w:rsidR="004E318B" w:rsidRPr="00C5636C">
        <w:rPr>
          <w:rFonts w:asciiTheme="majorHAnsi" w:eastAsia="Cambria" w:hAnsiTheme="majorHAnsi" w:cs="Cambria"/>
          <w:sz w:val="20"/>
          <w:szCs w:val="20"/>
          <w:lang w:val="es-ES_tradnl"/>
        </w:rPr>
        <w:t>[…]</w:t>
      </w:r>
      <w:r w:rsidR="004E318B" w:rsidRPr="00C5636C">
        <w:rPr>
          <w:rFonts w:asciiTheme="majorHAnsi" w:eastAsia="Cambria" w:hAnsiTheme="majorHAnsi" w:cs="Cambria"/>
          <w:i/>
          <w:iCs/>
          <w:sz w:val="20"/>
          <w:szCs w:val="20"/>
          <w:lang w:val="es-ES_tradnl"/>
        </w:rPr>
        <w:t xml:space="preserve"> deba ocuparse de examinar los respectivos procesos internos para establecer su compatibilidad con la Convención Americana</w:t>
      </w:r>
      <w:r w:rsidR="004E318B" w:rsidRPr="00C5636C">
        <w:rPr>
          <w:rFonts w:asciiTheme="majorHAnsi" w:eastAsia="Cambria" w:hAnsiTheme="majorHAnsi" w:cs="Cambria"/>
          <w:sz w:val="20"/>
          <w:szCs w:val="20"/>
          <w:lang w:val="es-ES_tradnl"/>
        </w:rPr>
        <w:t>”</w:t>
      </w:r>
      <w:r w:rsidR="004E318B" w:rsidRPr="00C5636C">
        <w:rPr>
          <w:rFonts w:asciiTheme="majorHAnsi" w:eastAsia="Cambria" w:hAnsiTheme="majorHAnsi" w:cs="Cambria"/>
          <w:sz w:val="20"/>
          <w:szCs w:val="20"/>
          <w:vertAlign w:val="superscript"/>
          <w:lang w:val="es-ES_tradnl"/>
        </w:rPr>
        <w:footnoteReference w:id="7"/>
      </w:r>
      <w:r w:rsidR="004E318B" w:rsidRPr="00C5636C">
        <w:rPr>
          <w:rFonts w:asciiTheme="majorHAnsi" w:eastAsia="Cambria" w:hAnsiTheme="majorHAnsi" w:cs="Cambria"/>
          <w:sz w:val="20"/>
          <w:szCs w:val="20"/>
          <w:lang w:val="es-ES_tradnl"/>
        </w:rPr>
        <w:t>. En este sentido, el análisis sobre si el Estado incurrió en violaciones a la Convención Americana es una cuestión que corresponde ser decidida en el fondo del presente asunto.</w:t>
      </w:r>
    </w:p>
    <w:p w14:paraId="664ACEA6" w14:textId="6D2F4F71" w:rsidR="004E318B" w:rsidRDefault="004E318B" w:rsidP="613FA591">
      <w:pPr>
        <w:numPr>
          <w:ilvl w:val="0"/>
          <w:numId w:val="60"/>
        </w:numPr>
        <w:pBdr>
          <w:bar w:val="none" w:sz="0" w:color="auto"/>
        </w:pBdr>
        <w:spacing w:after="240"/>
        <w:ind w:left="0" w:firstLine="720"/>
        <w:jc w:val="both"/>
        <w:rPr>
          <w:rFonts w:asciiTheme="majorHAnsi" w:eastAsia="Cambria" w:hAnsiTheme="majorHAnsi" w:cs="Cambria"/>
          <w:sz w:val="20"/>
          <w:szCs w:val="20"/>
          <w:lang w:val="es-ES"/>
        </w:rPr>
      </w:pPr>
      <w:r w:rsidRPr="00C5636C">
        <w:rPr>
          <w:rFonts w:asciiTheme="majorHAnsi" w:eastAsia="Cambria" w:hAnsiTheme="majorHAnsi" w:cs="Cambria"/>
          <w:sz w:val="20"/>
          <w:szCs w:val="20"/>
          <w:lang w:val="es-ES"/>
        </w:rPr>
        <w:t xml:space="preserve">Finalmente, </w:t>
      </w:r>
      <w:r w:rsidR="005770A5" w:rsidRPr="00C5636C">
        <w:rPr>
          <w:rFonts w:asciiTheme="majorHAnsi" w:eastAsia="Cambria" w:hAnsiTheme="majorHAnsi" w:cs="Cambria"/>
          <w:sz w:val="20"/>
          <w:szCs w:val="20"/>
          <w:lang w:val="es-ES"/>
        </w:rPr>
        <w:t>en cuanto</w:t>
      </w:r>
      <w:r w:rsidRPr="00C5636C">
        <w:rPr>
          <w:rFonts w:asciiTheme="majorHAnsi" w:eastAsia="Cambria" w:hAnsiTheme="majorHAnsi" w:cs="Cambria"/>
          <w:sz w:val="20"/>
          <w:szCs w:val="20"/>
          <w:lang w:val="es-ES"/>
        </w:rPr>
        <w:t xml:space="preserve"> a la invocación que hace el peticionario </w:t>
      </w:r>
      <w:r w:rsidR="6643B40F" w:rsidRPr="00C5636C">
        <w:rPr>
          <w:rFonts w:asciiTheme="majorHAnsi" w:eastAsia="Cambria" w:hAnsiTheme="majorHAnsi" w:cs="Cambria"/>
          <w:sz w:val="20"/>
          <w:szCs w:val="20"/>
          <w:lang w:val="es-ES"/>
        </w:rPr>
        <w:t>sobre</w:t>
      </w:r>
      <w:r w:rsidRPr="00C5636C">
        <w:rPr>
          <w:rFonts w:asciiTheme="majorHAnsi" w:eastAsia="Cambria" w:hAnsiTheme="majorHAnsi" w:cs="Cambria"/>
          <w:sz w:val="20"/>
          <w:szCs w:val="20"/>
          <w:lang w:val="es-ES"/>
        </w:rPr>
        <w:t xml:space="preserve"> la alegada violación del artículo 24 de la Convención Americana (derecho a la igualdad ante la ley), la Comisión observa que este no ha aportado elementos de convicción suficientes que permitan, al menos </w:t>
      </w:r>
      <w:r w:rsidRPr="00C5636C">
        <w:rPr>
          <w:rFonts w:asciiTheme="majorHAnsi" w:eastAsia="Cambria" w:hAnsiTheme="majorHAnsi" w:cs="Cambria"/>
          <w:i/>
          <w:iCs/>
          <w:sz w:val="20"/>
          <w:szCs w:val="20"/>
          <w:lang w:val="es-ES"/>
        </w:rPr>
        <w:t>prima facie</w:t>
      </w:r>
      <w:r w:rsidRPr="00C5636C">
        <w:rPr>
          <w:rFonts w:asciiTheme="majorHAnsi" w:eastAsia="Cambria" w:hAnsiTheme="majorHAnsi" w:cs="Cambria"/>
          <w:sz w:val="20"/>
          <w:szCs w:val="20"/>
          <w:lang w:val="es-ES"/>
        </w:rPr>
        <w:t>, considerar su eventual vulneración atribuible al Estado peruano.</w:t>
      </w:r>
    </w:p>
    <w:p w14:paraId="76A0F400" w14:textId="77777777" w:rsidR="003C1679" w:rsidRPr="00C5636C" w:rsidRDefault="003C1679" w:rsidP="003C1679">
      <w:pPr>
        <w:pBdr>
          <w:bar w:val="none" w:sz="0" w:color="auto"/>
        </w:pBdr>
        <w:spacing w:after="240"/>
        <w:jc w:val="both"/>
        <w:rPr>
          <w:rFonts w:asciiTheme="majorHAnsi" w:eastAsia="Cambria" w:hAnsiTheme="majorHAnsi" w:cs="Cambria"/>
          <w:sz w:val="20"/>
          <w:szCs w:val="20"/>
          <w:lang w:val="es-ES"/>
        </w:rPr>
      </w:pPr>
    </w:p>
    <w:p w14:paraId="5EE6ACD7" w14:textId="77777777" w:rsidR="004E318B" w:rsidRPr="00C5636C" w:rsidRDefault="004E318B" w:rsidP="004E318B">
      <w:pPr>
        <w:spacing w:after="240"/>
        <w:ind w:firstLine="720"/>
        <w:jc w:val="both"/>
        <w:rPr>
          <w:rFonts w:asciiTheme="majorHAnsi" w:eastAsia="Cambria" w:hAnsiTheme="majorHAnsi" w:cs="Cambria"/>
          <w:b/>
          <w:color w:val="000000"/>
          <w:sz w:val="20"/>
          <w:szCs w:val="20"/>
          <w:lang w:val="es-ES_tradnl"/>
        </w:rPr>
      </w:pPr>
      <w:r w:rsidRPr="00C5636C">
        <w:rPr>
          <w:rFonts w:asciiTheme="majorHAnsi" w:eastAsia="Cambria" w:hAnsiTheme="majorHAnsi" w:cs="Cambria"/>
          <w:b/>
          <w:sz w:val="20"/>
          <w:szCs w:val="20"/>
          <w:lang w:val="es-ES_tradnl"/>
        </w:rPr>
        <w:lastRenderedPageBreak/>
        <w:t>I</w:t>
      </w:r>
      <w:r w:rsidRPr="00C5636C">
        <w:rPr>
          <w:rFonts w:asciiTheme="majorHAnsi" w:eastAsia="Cambria" w:hAnsiTheme="majorHAnsi" w:cs="Cambria"/>
          <w:b/>
          <w:color w:val="000000"/>
          <w:sz w:val="20"/>
          <w:szCs w:val="20"/>
          <w:lang w:val="es-ES_tradnl"/>
        </w:rPr>
        <w:t xml:space="preserve">V. </w:t>
      </w:r>
      <w:r w:rsidRPr="00C5636C">
        <w:rPr>
          <w:rFonts w:asciiTheme="majorHAnsi" w:eastAsia="Cambria" w:hAnsiTheme="majorHAnsi" w:cs="Cambria"/>
          <w:b/>
          <w:color w:val="000000"/>
          <w:sz w:val="20"/>
          <w:szCs w:val="20"/>
          <w:lang w:val="es-ES_tradnl"/>
        </w:rPr>
        <w:tab/>
        <w:t>DECISIÓN</w:t>
      </w:r>
    </w:p>
    <w:p w14:paraId="52819B95" w14:textId="77777777" w:rsidR="004E318B" w:rsidRPr="00C5636C" w:rsidRDefault="004E318B" w:rsidP="004E318B">
      <w:pPr>
        <w:numPr>
          <w:ilvl w:val="0"/>
          <w:numId w:val="59"/>
        </w:numPr>
        <w:pBdr>
          <w:top w:val="none" w:sz="0" w:space="0" w:color="000000"/>
          <w:left w:val="none" w:sz="0" w:space="0" w:color="000000"/>
          <w:bottom w:val="none" w:sz="0" w:space="0" w:color="000000"/>
          <w:right w:val="none" w:sz="0" w:space="0" w:color="000000"/>
          <w:between w:val="none" w:sz="0" w:space="0" w:color="000000"/>
          <w:bar w:val="none" w:sz="0" w:color="auto"/>
        </w:pBdr>
        <w:spacing w:after="24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Declarar admisible la presente petición en relación con los artículos 8, 13, 21 y 25 de la Convención Americana sobre Derechos Humanos;</w:t>
      </w:r>
    </w:p>
    <w:p w14:paraId="513A770C" w14:textId="12BA6DD3" w:rsidR="004E318B" w:rsidRPr="00C5636C" w:rsidRDefault="004E318B" w:rsidP="004E318B">
      <w:pPr>
        <w:numPr>
          <w:ilvl w:val="0"/>
          <w:numId w:val="59"/>
        </w:numPr>
        <w:pBdr>
          <w:bar w:val="none" w:sz="0" w:color="auto"/>
        </w:pBdr>
        <w:spacing w:after="24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Declarar inadmisible la presente petición en relación con el artículo 24 de la Convención Americana</w:t>
      </w:r>
      <w:r w:rsidR="003C1679">
        <w:rPr>
          <w:rFonts w:asciiTheme="majorHAnsi" w:eastAsia="Cambria" w:hAnsiTheme="majorHAnsi" w:cs="Cambria"/>
          <w:sz w:val="20"/>
          <w:szCs w:val="20"/>
          <w:lang w:val="es-ES_tradnl"/>
        </w:rPr>
        <w:t>, y;</w:t>
      </w:r>
    </w:p>
    <w:p w14:paraId="4AF5F1FB" w14:textId="77777777" w:rsidR="004E318B" w:rsidRDefault="004E318B" w:rsidP="004E318B">
      <w:pPr>
        <w:numPr>
          <w:ilvl w:val="0"/>
          <w:numId w:val="59"/>
        </w:numPr>
        <w:pBdr>
          <w:top w:val="none" w:sz="0" w:space="0" w:color="000000"/>
          <w:left w:val="none" w:sz="0" w:space="0" w:color="000000"/>
          <w:bottom w:val="none" w:sz="0" w:space="0" w:color="000000"/>
          <w:right w:val="none" w:sz="0" w:space="0" w:color="000000"/>
          <w:between w:val="none" w:sz="0" w:space="0" w:color="000000"/>
          <w:bar w:val="none" w:sz="0" w:color="auto"/>
        </w:pBdr>
        <w:spacing w:after="240"/>
        <w:jc w:val="both"/>
        <w:rPr>
          <w:rFonts w:asciiTheme="majorHAnsi" w:eastAsia="Cambria" w:hAnsiTheme="majorHAnsi" w:cs="Cambria"/>
          <w:sz w:val="20"/>
          <w:szCs w:val="20"/>
          <w:lang w:val="es-ES_tradnl"/>
        </w:rPr>
      </w:pPr>
      <w:r w:rsidRPr="00C5636C">
        <w:rPr>
          <w:rFonts w:asciiTheme="majorHAnsi" w:eastAsia="Cambria" w:hAnsiTheme="majorHAnsi" w:cs="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2C904B2" w14:textId="752FFCB9" w:rsidR="009A56CE" w:rsidRPr="00252B6E" w:rsidRDefault="008D0489" w:rsidP="00252B6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10 días del mes de diciembre de 2024.  (Firmado): Carlos Bernal Pulido, Primer Vicepresidente; José Luis Caballero Ochoa, Segundo Vicepresidente; Edgar Stuardo Ralón Orellana</w:t>
      </w:r>
      <w:r w:rsidR="00903A11">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 </w:t>
      </w:r>
      <w:r w:rsidR="00252B6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9A56CE" w:rsidRPr="00252B6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6085" w14:textId="77777777" w:rsidR="00D012C2" w:rsidRDefault="00D012C2">
      <w:r>
        <w:separator/>
      </w:r>
    </w:p>
  </w:endnote>
  <w:endnote w:type="continuationSeparator" w:id="0">
    <w:p w14:paraId="35BCE8DF" w14:textId="77777777" w:rsidR="00D012C2" w:rsidRDefault="00D0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A228" w14:textId="77777777" w:rsidR="00D012C2" w:rsidRPr="000F35ED" w:rsidRDefault="00D012C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BBD85F" w14:textId="77777777" w:rsidR="00D012C2" w:rsidRPr="000F35ED" w:rsidRDefault="00D012C2" w:rsidP="000F35ED">
      <w:pPr>
        <w:rPr>
          <w:rFonts w:asciiTheme="majorHAnsi" w:hAnsiTheme="majorHAnsi"/>
          <w:sz w:val="16"/>
          <w:szCs w:val="16"/>
        </w:rPr>
      </w:pPr>
      <w:r w:rsidRPr="000F35ED">
        <w:rPr>
          <w:rFonts w:asciiTheme="majorHAnsi" w:hAnsiTheme="majorHAnsi"/>
          <w:sz w:val="16"/>
          <w:szCs w:val="16"/>
        </w:rPr>
        <w:separator/>
      </w:r>
    </w:p>
    <w:p w14:paraId="4B687D91" w14:textId="77777777" w:rsidR="00D012C2" w:rsidRPr="000F35ED" w:rsidRDefault="00D012C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58E1C08" w14:textId="77777777" w:rsidR="00D012C2" w:rsidRPr="000F35ED" w:rsidRDefault="00D012C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CEAC6D" w14:textId="77777777" w:rsidR="004E318B" w:rsidRPr="000925C8" w:rsidRDefault="004E318B" w:rsidP="004E318B">
      <w:pPr>
        <w:pStyle w:val="FootnoteText"/>
        <w:ind w:firstLine="706"/>
        <w:rPr>
          <w:rFonts w:asciiTheme="majorHAnsi" w:hAnsiTheme="majorHAnsi"/>
          <w:sz w:val="16"/>
          <w:szCs w:val="16"/>
          <w:lang w:val="es-ES"/>
        </w:rPr>
      </w:pPr>
      <w:r w:rsidRPr="000925C8">
        <w:rPr>
          <w:rStyle w:val="FootnoteReference"/>
          <w:rFonts w:asciiTheme="majorHAnsi" w:hAnsiTheme="majorHAnsi"/>
          <w:sz w:val="16"/>
          <w:szCs w:val="16"/>
        </w:rPr>
        <w:footnoteRef/>
      </w:r>
      <w:r w:rsidRPr="000925C8">
        <w:rPr>
          <w:rFonts w:asciiTheme="majorHAnsi" w:hAnsiTheme="majorHAnsi"/>
          <w:sz w:val="16"/>
          <w:szCs w:val="16"/>
          <w:lang w:val="es-ES"/>
        </w:rPr>
        <w:t xml:space="preserve"> En adelante “la Convención Americana” o “la Convención”. </w:t>
      </w:r>
    </w:p>
  </w:footnote>
  <w:footnote w:id="3">
    <w:p w14:paraId="48B9A704" w14:textId="77777777" w:rsidR="004E318B" w:rsidRPr="000925C8" w:rsidRDefault="004E318B" w:rsidP="004E318B">
      <w:pPr>
        <w:ind w:firstLine="706"/>
        <w:jc w:val="both"/>
        <w:rPr>
          <w:rFonts w:asciiTheme="majorHAnsi" w:eastAsia="Cambria" w:hAnsiTheme="majorHAnsi" w:cs="Cambria"/>
          <w:color w:val="000000"/>
          <w:sz w:val="16"/>
          <w:szCs w:val="16"/>
          <w:lang w:val="es-US"/>
        </w:rPr>
      </w:pPr>
      <w:r w:rsidRPr="000925C8">
        <w:rPr>
          <w:rStyle w:val="FootnoteReference"/>
          <w:rFonts w:asciiTheme="majorHAnsi" w:hAnsiTheme="majorHAnsi"/>
          <w:sz w:val="16"/>
          <w:szCs w:val="16"/>
        </w:rPr>
        <w:footnoteRef/>
      </w:r>
      <w:r w:rsidRPr="000925C8">
        <w:rPr>
          <w:rFonts w:asciiTheme="majorHAnsi" w:eastAsia="Cambria" w:hAnsiTheme="majorHAnsi" w:cs="Cambria"/>
          <w:color w:val="000000"/>
          <w:sz w:val="16"/>
          <w:szCs w:val="16"/>
          <w:lang w:val="es-US"/>
        </w:rPr>
        <w:t xml:space="preserve"> Las observaciones de cada parte fueron debidamente trasladadas a la parte contraria. </w:t>
      </w:r>
    </w:p>
  </w:footnote>
  <w:footnote w:id="4">
    <w:p w14:paraId="154920FE" w14:textId="77777777" w:rsidR="004E318B" w:rsidRPr="000925C8" w:rsidRDefault="004E318B" w:rsidP="004E318B">
      <w:pPr>
        <w:pStyle w:val="FootnoteText"/>
        <w:ind w:firstLine="706"/>
        <w:jc w:val="both"/>
        <w:rPr>
          <w:rFonts w:asciiTheme="majorHAnsi" w:hAnsiTheme="majorHAnsi"/>
          <w:sz w:val="16"/>
          <w:szCs w:val="16"/>
          <w:lang w:val="es-ES"/>
        </w:rPr>
      </w:pPr>
      <w:r w:rsidRPr="000925C8">
        <w:rPr>
          <w:rStyle w:val="FootnoteReference"/>
          <w:rFonts w:asciiTheme="majorHAnsi" w:hAnsiTheme="majorHAnsi"/>
          <w:sz w:val="16"/>
          <w:szCs w:val="16"/>
        </w:rPr>
        <w:footnoteRef/>
      </w:r>
      <w:r w:rsidRPr="000925C8">
        <w:rPr>
          <w:rFonts w:asciiTheme="majorHAnsi" w:hAnsiTheme="majorHAnsi"/>
          <w:sz w:val="16"/>
          <w:szCs w:val="16"/>
          <w:lang w:val="es-ES"/>
        </w:rPr>
        <w:t xml:space="preserve"> Corte IDH</w:t>
      </w:r>
      <w:r>
        <w:rPr>
          <w:rFonts w:asciiTheme="majorHAnsi" w:hAnsiTheme="majorHAnsi"/>
          <w:sz w:val="16"/>
          <w:szCs w:val="16"/>
          <w:lang w:val="es-ES"/>
        </w:rPr>
        <w:t>,</w:t>
      </w:r>
      <w:r w:rsidRPr="000925C8">
        <w:rPr>
          <w:rFonts w:asciiTheme="majorHAnsi" w:hAnsiTheme="majorHAnsi"/>
          <w:sz w:val="16"/>
          <w:szCs w:val="16"/>
          <w:lang w:val="es-ES"/>
        </w:rPr>
        <w:t xml:space="preserve"> Caso Granier y otros (Radio Caracas Televisión) Vs. Venezuela</w:t>
      </w:r>
      <w:r>
        <w:rPr>
          <w:rFonts w:asciiTheme="majorHAnsi" w:hAnsiTheme="majorHAnsi"/>
          <w:sz w:val="16"/>
          <w:szCs w:val="16"/>
          <w:lang w:val="es-ES"/>
        </w:rPr>
        <w:t>,</w:t>
      </w:r>
      <w:r w:rsidRPr="000925C8">
        <w:rPr>
          <w:rFonts w:asciiTheme="majorHAnsi" w:hAnsiTheme="majorHAnsi"/>
          <w:sz w:val="16"/>
          <w:szCs w:val="16"/>
          <w:lang w:val="es-ES"/>
        </w:rPr>
        <w:t xml:space="preserve"> Excepciones Preliminares, Fondo, Reparaciones y Costas</w:t>
      </w:r>
      <w:r>
        <w:rPr>
          <w:rFonts w:asciiTheme="majorHAnsi" w:hAnsiTheme="majorHAnsi"/>
          <w:sz w:val="16"/>
          <w:szCs w:val="16"/>
          <w:lang w:val="es-ES"/>
        </w:rPr>
        <w:t>,</w:t>
      </w:r>
      <w:r w:rsidRPr="000925C8">
        <w:rPr>
          <w:rFonts w:asciiTheme="majorHAnsi" w:hAnsiTheme="majorHAnsi"/>
          <w:sz w:val="16"/>
          <w:szCs w:val="16"/>
          <w:lang w:val="es-ES"/>
        </w:rPr>
        <w:t xml:space="preserve"> Sentencia de 22 de junio de 2015</w:t>
      </w:r>
      <w:r>
        <w:rPr>
          <w:rFonts w:asciiTheme="majorHAnsi" w:hAnsiTheme="majorHAnsi"/>
          <w:sz w:val="16"/>
          <w:szCs w:val="16"/>
          <w:lang w:val="es-ES"/>
        </w:rPr>
        <w:t>,</w:t>
      </w:r>
      <w:r w:rsidRPr="000925C8">
        <w:rPr>
          <w:rFonts w:asciiTheme="majorHAnsi" w:hAnsiTheme="majorHAnsi"/>
          <w:sz w:val="16"/>
          <w:szCs w:val="16"/>
          <w:lang w:val="es-ES"/>
        </w:rPr>
        <w:t xml:space="preserve"> Serie C No. 293, párr. 152.</w:t>
      </w:r>
    </w:p>
  </w:footnote>
  <w:footnote w:id="5">
    <w:p w14:paraId="31837043" w14:textId="67BC98D5" w:rsidR="004E318B" w:rsidRPr="000925C8" w:rsidRDefault="004E318B" w:rsidP="004E318B">
      <w:pPr>
        <w:ind w:firstLine="706"/>
        <w:jc w:val="both"/>
        <w:rPr>
          <w:rFonts w:asciiTheme="majorHAnsi" w:eastAsia="Cambria" w:hAnsiTheme="majorHAnsi" w:cs="Cambria"/>
          <w:sz w:val="16"/>
          <w:szCs w:val="16"/>
          <w:lang w:val="es-US"/>
        </w:rPr>
      </w:pPr>
      <w:r w:rsidRPr="000925C8">
        <w:rPr>
          <w:rStyle w:val="FootnoteReference"/>
          <w:rFonts w:asciiTheme="majorHAnsi" w:hAnsiTheme="majorHAnsi"/>
          <w:sz w:val="16"/>
          <w:szCs w:val="16"/>
        </w:rPr>
        <w:footnoteRef/>
      </w:r>
      <w:r w:rsidRPr="000925C8">
        <w:rPr>
          <w:rFonts w:asciiTheme="majorHAnsi" w:eastAsia="Cambria" w:hAnsiTheme="majorHAnsi" w:cs="Cambria"/>
          <w:sz w:val="16"/>
          <w:szCs w:val="16"/>
          <w:lang w:val="es-US"/>
        </w:rPr>
        <w:t xml:space="preserve"> CIDH, Informe No. 72/11, Petición 1164-05</w:t>
      </w:r>
      <w:r w:rsidR="003310D8">
        <w:rPr>
          <w:rFonts w:asciiTheme="majorHAnsi" w:eastAsia="Cambria" w:hAnsiTheme="majorHAnsi" w:cs="Cambria"/>
          <w:sz w:val="16"/>
          <w:szCs w:val="16"/>
          <w:lang w:val="es-US"/>
        </w:rPr>
        <w:t>,</w:t>
      </w:r>
      <w:r w:rsidRPr="000925C8">
        <w:rPr>
          <w:rFonts w:asciiTheme="majorHAnsi" w:eastAsia="Cambria" w:hAnsiTheme="majorHAnsi" w:cs="Cambria"/>
          <w:sz w:val="16"/>
          <w:szCs w:val="16"/>
          <w:lang w:val="es-US"/>
        </w:rPr>
        <w:t xml:space="preserve"> Admisibilidad</w:t>
      </w:r>
      <w:r w:rsidR="003310D8">
        <w:rPr>
          <w:rFonts w:asciiTheme="majorHAnsi" w:eastAsia="Cambria" w:hAnsiTheme="majorHAnsi" w:cs="Cambria"/>
          <w:sz w:val="16"/>
          <w:szCs w:val="16"/>
          <w:lang w:val="es-US"/>
        </w:rPr>
        <w:t>,</w:t>
      </w:r>
      <w:r w:rsidRPr="000925C8">
        <w:rPr>
          <w:rFonts w:asciiTheme="majorHAnsi" w:eastAsia="Cambria" w:hAnsiTheme="majorHAnsi" w:cs="Cambria"/>
          <w:sz w:val="16"/>
          <w:szCs w:val="16"/>
          <w:lang w:val="es-US"/>
        </w:rPr>
        <w:t xml:space="preserve"> William Gómez Vargas</w:t>
      </w:r>
      <w:r w:rsidR="003310D8">
        <w:rPr>
          <w:rFonts w:asciiTheme="majorHAnsi" w:eastAsia="Cambria" w:hAnsiTheme="majorHAnsi" w:cs="Cambria"/>
          <w:sz w:val="16"/>
          <w:szCs w:val="16"/>
          <w:lang w:val="es-US"/>
        </w:rPr>
        <w:t>,</w:t>
      </w:r>
      <w:r w:rsidRPr="000925C8">
        <w:rPr>
          <w:rFonts w:asciiTheme="majorHAnsi" w:eastAsia="Cambria" w:hAnsiTheme="majorHAnsi" w:cs="Cambria"/>
          <w:sz w:val="16"/>
          <w:szCs w:val="16"/>
          <w:lang w:val="es-US"/>
        </w:rPr>
        <w:t xml:space="preserve"> Costa Rica</w:t>
      </w:r>
      <w:r w:rsidR="003310D8">
        <w:rPr>
          <w:rFonts w:asciiTheme="majorHAnsi" w:eastAsia="Cambria" w:hAnsiTheme="majorHAnsi" w:cs="Cambria"/>
          <w:sz w:val="16"/>
          <w:szCs w:val="16"/>
          <w:lang w:val="es-US"/>
        </w:rPr>
        <w:t>,</w:t>
      </w:r>
      <w:r w:rsidRPr="000925C8">
        <w:rPr>
          <w:rFonts w:asciiTheme="majorHAnsi" w:eastAsia="Cambria" w:hAnsiTheme="majorHAnsi" w:cs="Cambria"/>
          <w:sz w:val="16"/>
          <w:szCs w:val="16"/>
          <w:lang w:val="es-US"/>
        </w:rPr>
        <w:t xml:space="preserve"> 31 de marzo de 2011, párr. 35</w:t>
      </w:r>
    </w:p>
  </w:footnote>
  <w:footnote w:id="6">
    <w:p w14:paraId="1A7698D4" w14:textId="4940241B" w:rsidR="004E318B" w:rsidRPr="000925C8" w:rsidRDefault="004E318B" w:rsidP="004E318B">
      <w:pPr>
        <w:ind w:firstLine="706"/>
        <w:jc w:val="both"/>
        <w:rPr>
          <w:rFonts w:asciiTheme="majorHAnsi" w:eastAsia="Cambria" w:hAnsiTheme="majorHAnsi" w:cs="Cambria"/>
          <w:sz w:val="16"/>
          <w:szCs w:val="16"/>
          <w:lang w:val="es-US"/>
        </w:rPr>
      </w:pPr>
      <w:r w:rsidRPr="000925C8">
        <w:rPr>
          <w:rStyle w:val="FootnoteReference"/>
          <w:rFonts w:asciiTheme="majorHAnsi" w:hAnsiTheme="majorHAnsi"/>
          <w:sz w:val="16"/>
          <w:szCs w:val="16"/>
        </w:rPr>
        <w:footnoteRef/>
      </w:r>
      <w:r w:rsidRPr="000925C8">
        <w:rPr>
          <w:rFonts w:asciiTheme="majorHAnsi" w:eastAsia="Cambria" w:hAnsiTheme="majorHAnsi" w:cs="Cambria"/>
          <w:sz w:val="16"/>
          <w:szCs w:val="16"/>
          <w:lang w:val="es-US"/>
        </w:rPr>
        <w:t xml:space="preserve"> Corte IDH</w:t>
      </w:r>
      <w:r>
        <w:rPr>
          <w:rFonts w:asciiTheme="majorHAnsi" w:eastAsia="Cambria" w:hAnsiTheme="majorHAnsi" w:cs="Cambria"/>
          <w:sz w:val="16"/>
          <w:szCs w:val="16"/>
          <w:lang w:val="es-US"/>
        </w:rPr>
        <w:t>,</w:t>
      </w:r>
      <w:r w:rsidRPr="000925C8">
        <w:rPr>
          <w:rFonts w:asciiTheme="majorHAnsi" w:eastAsia="Cambria" w:hAnsiTheme="majorHAnsi" w:cs="Cambria"/>
          <w:sz w:val="16"/>
          <w:szCs w:val="16"/>
          <w:lang w:val="es-US"/>
        </w:rPr>
        <w:t xml:space="preserve"> Caso Cabrera García y Montiel Flores Vs. México</w:t>
      </w:r>
      <w:r>
        <w:rPr>
          <w:rFonts w:asciiTheme="majorHAnsi" w:eastAsia="Cambria" w:hAnsiTheme="majorHAnsi" w:cs="Cambria"/>
          <w:sz w:val="16"/>
          <w:szCs w:val="16"/>
          <w:lang w:val="es-US"/>
        </w:rPr>
        <w:t>,</w:t>
      </w:r>
      <w:r w:rsidRPr="000925C8">
        <w:rPr>
          <w:rFonts w:asciiTheme="majorHAnsi" w:eastAsia="Cambria" w:hAnsiTheme="majorHAnsi" w:cs="Cambria"/>
          <w:sz w:val="16"/>
          <w:szCs w:val="16"/>
          <w:lang w:val="es-US"/>
        </w:rPr>
        <w:t xml:space="preserve"> Excepción Preliminar, Fondo, Reparaciones y Costas</w:t>
      </w:r>
      <w:r w:rsidR="001756B4">
        <w:rPr>
          <w:rFonts w:asciiTheme="majorHAnsi" w:eastAsia="Cambria" w:hAnsiTheme="majorHAnsi" w:cs="Cambria"/>
          <w:sz w:val="16"/>
          <w:szCs w:val="16"/>
          <w:lang w:val="es-US"/>
        </w:rPr>
        <w:t>,</w:t>
      </w:r>
      <w:r w:rsidRPr="000925C8">
        <w:rPr>
          <w:rFonts w:asciiTheme="majorHAnsi" w:eastAsia="Cambria" w:hAnsiTheme="majorHAnsi" w:cs="Cambria"/>
          <w:sz w:val="16"/>
          <w:szCs w:val="16"/>
          <w:lang w:val="es-US"/>
        </w:rPr>
        <w:t xml:space="preserve"> Sentencia de 26 de noviembre de 2010</w:t>
      </w:r>
      <w:r>
        <w:rPr>
          <w:rFonts w:asciiTheme="majorHAnsi" w:eastAsia="Cambria" w:hAnsiTheme="majorHAnsi" w:cs="Cambria"/>
          <w:sz w:val="16"/>
          <w:szCs w:val="16"/>
          <w:lang w:val="es-US"/>
        </w:rPr>
        <w:t>,</w:t>
      </w:r>
      <w:r w:rsidRPr="000925C8">
        <w:rPr>
          <w:rFonts w:asciiTheme="majorHAnsi" w:eastAsia="Cambria" w:hAnsiTheme="majorHAnsi" w:cs="Cambria"/>
          <w:sz w:val="16"/>
          <w:szCs w:val="16"/>
          <w:lang w:val="es-US"/>
        </w:rPr>
        <w:t xml:space="preserve"> Serie C No. 220, párr. 19.</w:t>
      </w:r>
    </w:p>
  </w:footnote>
  <w:footnote w:id="7">
    <w:p w14:paraId="52D1B25D" w14:textId="77777777" w:rsidR="004E318B" w:rsidRPr="0080065F" w:rsidRDefault="004E318B" w:rsidP="004E318B">
      <w:pPr>
        <w:ind w:firstLine="706"/>
        <w:jc w:val="both"/>
        <w:rPr>
          <w:rFonts w:asciiTheme="majorHAnsi" w:eastAsia="Cambria" w:hAnsiTheme="majorHAnsi" w:cs="Cambria"/>
          <w:sz w:val="16"/>
          <w:szCs w:val="16"/>
          <w:lang w:val="es-ES"/>
        </w:rPr>
      </w:pPr>
      <w:r w:rsidRPr="000925C8">
        <w:rPr>
          <w:rStyle w:val="FootnoteReference"/>
          <w:rFonts w:asciiTheme="majorHAnsi" w:hAnsiTheme="majorHAnsi"/>
          <w:sz w:val="16"/>
          <w:szCs w:val="16"/>
        </w:rPr>
        <w:footnoteRef/>
      </w:r>
      <w:r w:rsidRPr="000925C8">
        <w:rPr>
          <w:rFonts w:asciiTheme="majorHAnsi" w:eastAsia="Cambria" w:hAnsiTheme="majorHAnsi" w:cs="Cambria"/>
          <w:sz w:val="16"/>
          <w:szCs w:val="16"/>
          <w:lang w:val="es-US"/>
        </w:rPr>
        <w:t xml:space="preserve"> Corte IDH</w:t>
      </w:r>
      <w:r>
        <w:rPr>
          <w:rFonts w:asciiTheme="majorHAnsi" w:eastAsia="Cambria" w:hAnsiTheme="majorHAnsi" w:cs="Cambria"/>
          <w:sz w:val="16"/>
          <w:szCs w:val="16"/>
          <w:lang w:val="es-US"/>
        </w:rPr>
        <w:t>,</w:t>
      </w:r>
      <w:r w:rsidRPr="000925C8">
        <w:rPr>
          <w:rFonts w:asciiTheme="majorHAnsi" w:eastAsia="Cambria" w:hAnsiTheme="majorHAnsi" w:cs="Cambria"/>
          <w:sz w:val="16"/>
          <w:szCs w:val="16"/>
          <w:lang w:val="es-US"/>
        </w:rPr>
        <w:t xml:space="preserve"> Caso Palma Mendoza y otros Vs. Ecuador</w:t>
      </w:r>
      <w:r>
        <w:rPr>
          <w:rFonts w:asciiTheme="majorHAnsi" w:eastAsia="Cambria" w:hAnsiTheme="majorHAnsi" w:cs="Cambria"/>
          <w:sz w:val="16"/>
          <w:szCs w:val="16"/>
          <w:lang w:val="es-US"/>
        </w:rPr>
        <w:t>,</w:t>
      </w:r>
      <w:r w:rsidRPr="000925C8">
        <w:rPr>
          <w:rFonts w:asciiTheme="majorHAnsi" w:eastAsia="Cambria" w:hAnsiTheme="majorHAnsi" w:cs="Cambria"/>
          <w:sz w:val="16"/>
          <w:szCs w:val="16"/>
          <w:lang w:val="es-US"/>
        </w:rPr>
        <w:t xml:space="preserve"> Excepción Preliminar y Fondo</w:t>
      </w:r>
      <w:r>
        <w:rPr>
          <w:rFonts w:asciiTheme="majorHAnsi" w:eastAsia="Cambria" w:hAnsiTheme="majorHAnsi" w:cs="Cambria"/>
          <w:sz w:val="16"/>
          <w:szCs w:val="16"/>
          <w:lang w:val="es-US"/>
        </w:rPr>
        <w:t>,</w:t>
      </w:r>
      <w:r w:rsidRPr="000925C8">
        <w:rPr>
          <w:rFonts w:asciiTheme="majorHAnsi" w:eastAsia="Cambria" w:hAnsiTheme="majorHAnsi" w:cs="Cambria"/>
          <w:sz w:val="16"/>
          <w:szCs w:val="16"/>
          <w:lang w:val="es-US"/>
        </w:rPr>
        <w:t xml:space="preserve"> </w:t>
      </w:r>
      <w:r w:rsidRPr="000925C8">
        <w:rPr>
          <w:rFonts w:asciiTheme="majorHAnsi" w:eastAsia="Cambria" w:hAnsiTheme="majorHAnsi" w:cs="Cambria"/>
          <w:sz w:val="16"/>
          <w:szCs w:val="16"/>
          <w:lang w:val="es-ES"/>
        </w:rPr>
        <w:t>Sentencia de 3 de septiembre de 2012</w:t>
      </w:r>
      <w:r>
        <w:rPr>
          <w:rFonts w:asciiTheme="majorHAnsi" w:eastAsia="Cambria" w:hAnsiTheme="majorHAnsi" w:cs="Cambria"/>
          <w:sz w:val="16"/>
          <w:szCs w:val="16"/>
          <w:lang w:val="es-ES"/>
        </w:rPr>
        <w:t>,</w:t>
      </w:r>
      <w:r w:rsidRPr="000925C8">
        <w:rPr>
          <w:rFonts w:asciiTheme="majorHAnsi" w:eastAsia="Cambria" w:hAnsiTheme="majorHAnsi" w:cs="Cambria"/>
          <w:sz w:val="16"/>
          <w:szCs w:val="16"/>
          <w:lang w:val="es-ES"/>
        </w:rPr>
        <w:t xml:space="preserve"> </w:t>
      </w:r>
      <w:r w:rsidRPr="0080065F">
        <w:rPr>
          <w:rFonts w:asciiTheme="majorHAnsi" w:eastAsia="Cambria" w:hAnsiTheme="majorHAnsi" w:cs="Cambria"/>
          <w:sz w:val="16"/>
          <w:szCs w:val="16"/>
          <w:lang w:val="es-ES"/>
        </w:rPr>
        <w:t>Serie C No. 247, párr.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05777" w:rsidP="00A50FCF">
    <w:pPr>
      <w:pStyle w:val="Header"/>
      <w:tabs>
        <w:tab w:val="clear" w:pos="4320"/>
        <w:tab w:val="clear" w:pos="8640"/>
      </w:tabs>
      <w:jc w:val="center"/>
      <w:rPr>
        <w:sz w:val="22"/>
        <w:szCs w:val="22"/>
      </w:rPr>
    </w:pPr>
    <w:r>
      <w:rPr>
        <w:noProof/>
        <w:sz w:val="22"/>
        <w:szCs w:val="22"/>
        <w:bdr w:val="nil"/>
      </w:rPr>
      <w:pict w14:anchorId="43C7E6AC">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AEA"/>
    <w:multiLevelType w:val="multilevel"/>
    <w:tmpl w:val="B3485908"/>
    <w:lvl w:ilvl="0">
      <w:start w:val="1"/>
      <w:numFmt w:val="decimal"/>
      <w:lvlText w:val="%1."/>
      <w:lvlJc w:val="left"/>
      <w:pPr>
        <w:ind w:left="0" w:firstLine="72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A10BF7"/>
    <w:multiLevelType w:val="multilevel"/>
    <w:tmpl w:val="64CC7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5"/>
  </w:num>
  <w:num w:numId="3" w16cid:durableId="1836843260">
    <w:abstractNumId w:val="54"/>
  </w:num>
  <w:num w:numId="4" w16cid:durableId="2018339747">
    <w:abstractNumId w:val="21"/>
  </w:num>
  <w:num w:numId="5" w16cid:durableId="368341374">
    <w:abstractNumId w:val="48"/>
  </w:num>
  <w:num w:numId="6" w16cid:durableId="1074009954">
    <w:abstractNumId w:val="28"/>
  </w:num>
  <w:num w:numId="7" w16cid:durableId="1545016965">
    <w:abstractNumId w:val="6"/>
  </w:num>
  <w:num w:numId="8" w16cid:durableId="1165165820">
    <w:abstractNumId w:val="17"/>
  </w:num>
  <w:num w:numId="9" w16cid:durableId="751703382">
    <w:abstractNumId w:val="43"/>
  </w:num>
  <w:num w:numId="10" w16cid:durableId="1010065578">
    <w:abstractNumId w:val="1"/>
  </w:num>
  <w:num w:numId="11" w16cid:durableId="599265313">
    <w:abstractNumId w:val="38"/>
  </w:num>
  <w:num w:numId="12" w16cid:durableId="1094203649">
    <w:abstractNumId w:val="39"/>
  </w:num>
  <w:num w:numId="13" w16cid:durableId="393090155">
    <w:abstractNumId w:val="45"/>
  </w:num>
  <w:num w:numId="14" w16cid:durableId="1198931784">
    <w:abstractNumId w:val="2"/>
  </w:num>
  <w:num w:numId="15" w16cid:durableId="2056192837">
    <w:abstractNumId w:val="3"/>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7"/>
  </w:num>
  <w:num w:numId="42" w16cid:durableId="910309630">
    <w:abstractNumId w:val="49"/>
  </w:num>
  <w:num w:numId="43" w16cid:durableId="221603102">
    <w:abstractNumId w:val="50"/>
  </w:num>
  <w:num w:numId="44" w16cid:durableId="779104680">
    <w:abstractNumId w:val="52"/>
  </w:num>
  <w:num w:numId="45" w16cid:durableId="1713115894">
    <w:abstractNumId w:val="53"/>
  </w:num>
  <w:num w:numId="46" w16cid:durableId="1387951419">
    <w:abstractNumId w:val="55"/>
  </w:num>
  <w:num w:numId="47" w16cid:durableId="648510715">
    <w:abstractNumId w:val="56"/>
  </w:num>
  <w:num w:numId="48" w16cid:durableId="1806315575">
    <w:abstractNumId w:val="57"/>
  </w:num>
  <w:num w:numId="49" w16cid:durableId="1682586011">
    <w:abstractNumId w:val="58"/>
  </w:num>
  <w:num w:numId="50" w16cid:durableId="2025083079">
    <w:abstractNumId w:val="59"/>
  </w:num>
  <w:num w:numId="51" w16cid:durableId="530342504">
    <w:abstractNumId w:val="20"/>
  </w:num>
  <w:num w:numId="52" w16cid:durableId="955454438">
    <w:abstractNumId w:val="42"/>
  </w:num>
  <w:num w:numId="53" w16cid:durableId="586957926">
    <w:abstractNumId w:val="51"/>
  </w:num>
  <w:num w:numId="54" w16cid:durableId="1498381482">
    <w:abstractNumId w:val="46"/>
  </w:num>
  <w:num w:numId="55" w16cid:durableId="1930308158">
    <w:abstractNumId w:val="44"/>
  </w:num>
  <w:num w:numId="56" w16cid:durableId="71783945">
    <w:abstractNumId w:val="27"/>
  </w:num>
  <w:num w:numId="57" w16cid:durableId="327246300">
    <w:abstractNumId w:val="25"/>
  </w:num>
  <w:num w:numId="58" w16cid:durableId="823088829">
    <w:abstractNumId w:val="37"/>
  </w:num>
  <w:num w:numId="59" w16cid:durableId="1656178892">
    <w:abstractNumId w:val="0"/>
  </w:num>
  <w:num w:numId="60" w16cid:durableId="1878154213">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6FE"/>
    <w:rsid w:val="00071174"/>
    <w:rsid w:val="000716C5"/>
    <w:rsid w:val="00075E23"/>
    <w:rsid w:val="00085004"/>
    <w:rsid w:val="0009344A"/>
    <w:rsid w:val="000A392E"/>
    <w:rsid w:val="000A575F"/>
    <w:rsid w:val="000B1EFE"/>
    <w:rsid w:val="000D05CB"/>
    <w:rsid w:val="000D10DB"/>
    <w:rsid w:val="000E5EB5"/>
    <w:rsid w:val="000F095A"/>
    <w:rsid w:val="000F35ED"/>
    <w:rsid w:val="001004FE"/>
    <w:rsid w:val="00107131"/>
    <w:rsid w:val="0010736F"/>
    <w:rsid w:val="00113F73"/>
    <w:rsid w:val="00121CC2"/>
    <w:rsid w:val="001226C0"/>
    <w:rsid w:val="00131425"/>
    <w:rsid w:val="00133EE5"/>
    <w:rsid w:val="0015677B"/>
    <w:rsid w:val="00167A34"/>
    <w:rsid w:val="0017305B"/>
    <w:rsid w:val="001756B4"/>
    <w:rsid w:val="0018540C"/>
    <w:rsid w:val="0019213C"/>
    <w:rsid w:val="001A00D4"/>
    <w:rsid w:val="001A520D"/>
    <w:rsid w:val="001A7870"/>
    <w:rsid w:val="001B3A00"/>
    <w:rsid w:val="001B478B"/>
    <w:rsid w:val="001C1B41"/>
    <w:rsid w:val="001D65EF"/>
    <w:rsid w:val="001D7CA9"/>
    <w:rsid w:val="001D7F96"/>
    <w:rsid w:val="001E49E7"/>
    <w:rsid w:val="001F7201"/>
    <w:rsid w:val="00203650"/>
    <w:rsid w:val="00206C5B"/>
    <w:rsid w:val="00223A29"/>
    <w:rsid w:val="002250A3"/>
    <w:rsid w:val="00235217"/>
    <w:rsid w:val="00246D1F"/>
    <w:rsid w:val="00247403"/>
    <w:rsid w:val="00247542"/>
    <w:rsid w:val="00252B6E"/>
    <w:rsid w:val="00266B61"/>
    <w:rsid w:val="0026712A"/>
    <w:rsid w:val="002704DB"/>
    <w:rsid w:val="002930DB"/>
    <w:rsid w:val="002A0AAE"/>
    <w:rsid w:val="002A5820"/>
    <w:rsid w:val="002D2B26"/>
    <w:rsid w:val="002D4A03"/>
    <w:rsid w:val="002D7EA2"/>
    <w:rsid w:val="002E187C"/>
    <w:rsid w:val="002F4796"/>
    <w:rsid w:val="00302733"/>
    <w:rsid w:val="00305835"/>
    <w:rsid w:val="00306F33"/>
    <w:rsid w:val="00314078"/>
    <w:rsid w:val="0031535D"/>
    <w:rsid w:val="003239B8"/>
    <w:rsid w:val="003310D8"/>
    <w:rsid w:val="0033169F"/>
    <w:rsid w:val="003354B5"/>
    <w:rsid w:val="00344977"/>
    <w:rsid w:val="00346C95"/>
    <w:rsid w:val="00356185"/>
    <w:rsid w:val="00360380"/>
    <w:rsid w:val="0037519E"/>
    <w:rsid w:val="00377FBF"/>
    <w:rsid w:val="003810C8"/>
    <w:rsid w:val="00386CF0"/>
    <w:rsid w:val="00394073"/>
    <w:rsid w:val="003B70FB"/>
    <w:rsid w:val="003C1679"/>
    <w:rsid w:val="003C676B"/>
    <w:rsid w:val="003D162E"/>
    <w:rsid w:val="003D2C51"/>
    <w:rsid w:val="003D3BC2"/>
    <w:rsid w:val="003E20C6"/>
    <w:rsid w:val="003E6CA1"/>
    <w:rsid w:val="003F5154"/>
    <w:rsid w:val="00405F9C"/>
    <w:rsid w:val="004065A8"/>
    <w:rsid w:val="004165C2"/>
    <w:rsid w:val="004241A0"/>
    <w:rsid w:val="0043A60E"/>
    <w:rsid w:val="00441ECB"/>
    <w:rsid w:val="00445193"/>
    <w:rsid w:val="00453B48"/>
    <w:rsid w:val="0045671D"/>
    <w:rsid w:val="00462C1B"/>
    <w:rsid w:val="00467B7E"/>
    <w:rsid w:val="00470BDC"/>
    <w:rsid w:val="00473BB4"/>
    <w:rsid w:val="00477592"/>
    <w:rsid w:val="00486F1C"/>
    <w:rsid w:val="0049419D"/>
    <w:rsid w:val="004A057B"/>
    <w:rsid w:val="004A6A54"/>
    <w:rsid w:val="004B0DFE"/>
    <w:rsid w:val="004B421C"/>
    <w:rsid w:val="004C20D2"/>
    <w:rsid w:val="004C2312"/>
    <w:rsid w:val="004C4B62"/>
    <w:rsid w:val="004C54C9"/>
    <w:rsid w:val="004D4ABA"/>
    <w:rsid w:val="004D6025"/>
    <w:rsid w:val="004E2649"/>
    <w:rsid w:val="004E2B8C"/>
    <w:rsid w:val="004E318B"/>
    <w:rsid w:val="004E644E"/>
    <w:rsid w:val="004F313F"/>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0A5"/>
    <w:rsid w:val="005771D0"/>
    <w:rsid w:val="0058081B"/>
    <w:rsid w:val="0059191A"/>
    <w:rsid w:val="005921FF"/>
    <w:rsid w:val="005A24ED"/>
    <w:rsid w:val="005A6D0E"/>
    <w:rsid w:val="005B52B0"/>
    <w:rsid w:val="005B6806"/>
    <w:rsid w:val="005C21E4"/>
    <w:rsid w:val="005C4225"/>
    <w:rsid w:val="005C766C"/>
    <w:rsid w:val="005D0ADC"/>
    <w:rsid w:val="005F0DAD"/>
    <w:rsid w:val="005F0F33"/>
    <w:rsid w:val="00600DEB"/>
    <w:rsid w:val="00604A0C"/>
    <w:rsid w:val="00606F46"/>
    <w:rsid w:val="00627C9F"/>
    <w:rsid w:val="006311E9"/>
    <w:rsid w:val="00632354"/>
    <w:rsid w:val="00633502"/>
    <w:rsid w:val="00635421"/>
    <w:rsid w:val="00635A56"/>
    <w:rsid w:val="00642810"/>
    <w:rsid w:val="00652333"/>
    <w:rsid w:val="00655F2D"/>
    <w:rsid w:val="0068009E"/>
    <w:rsid w:val="0068159B"/>
    <w:rsid w:val="00685968"/>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3741F"/>
    <w:rsid w:val="00755B53"/>
    <w:rsid w:val="0076643F"/>
    <w:rsid w:val="00777F63"/>
    <w:rsid w:val="00786716"/>
    <w:rsid w:val="007A3C9E"/>
    <w:rsid w:val="007A3F55"/>
    <w:rsid w:val="007A5817"/>
    <w:rsid w:val="007B05C4"/>
    <w:rsid w:val="007B60E9"/>
    <w:rsid w:val="007B6CC3"/>
    <w:rsid w:val="007B76D3"/>
    <w:rsid w:val="007B7738"/>
    <w:rsid w:val="007C3334"/>
    <w:rsid w:val="007D2B98"/>
    <w:rsid w:val="007E21BC"/>
    <w:rsid w:val="007E7C82"/>
    <w:rsid w:val="007F2AA1"/>
    <w:rsid w:val="007F588D"/>
    <w:rsid w:val="00801DF1"/>
    <w:rsid w:val="00803F1C"/>
    <w:rsid w:val="0080600E"/>
    <w:rsid w:val="00814688"/>
    <w:rsid w:val="00817612"/>
    <w:rsid w:val="00821162"/>
    <w:rsid w:val="008338A4"/>
    <w:rsid w:val="00834D49"/>
    <w:rsid w:val="00837C45"/>
    <w:rsid w:val="00844730"/>
    <w:rsid w:val="008457C2"/>
    <w:rsid w:val="00857A82"/>
    <w:rsid w:val="00861057"/>
    <w:rsid w:val="00867978"/>
    <w:rsid w:val="00870F5D"/>
    <w:rsid w:val="00872BD3"/>
    <w:rsid w:val="00873836"/>
    <w:rsid w:val="00885737"/>
    <w:rsid w:val="00890650"/>
    <w:rsid w:val="008944DC"/>
    <w:rsid w:val="00897E12"/>
    <w:rsid w:val="008A7E0F"/>
    <w:rsid w:val="008B12F5"/>
    <w:rsid w:val="008C5E2D"/>
    <w:rsid w:val="008D0489"/>
    <w:rsid w:val="008D768D"/>
    <w:rsid w:val="008E3759"/>
    <w:rsid w:val="008E3BFE"/>
    <w:rsid w:val="008E6A53"/>
    <w:rsid w:val="008F1912"/>
    <w:rsid w:val="008F720B"/>
    <w:rsid w:val="0090270B"/>
    <w:rsid w:val="00903A11"/>
    <w:rsid w:val="009041DC"/>
    <w:rsid w:val="00905777"/>
    <w:rsid w:val="00917B5A"/>
    <w:rsid w:val="00920A58"/>
    <w:rsid w:val="00920A8C"/>
    <w:rsid w:val="00934A2C"/>
    <w:rsid w:val="0096706E"/>
    <w:rsid w:val="00974491"/>
    <w:rsid w:val="00975C4E"/>
    <w:rsid w:val="00981FBA"/>
    <w:rsid w:val="00997BC5"/>
    <w:rsid w:val="009A4F41"/>
    <w:rsid w:val="009A56CE"/>
    <w:rsid w:val="009B381B"/>
    <w:rsid w:val="009C2ED4"/>
    <w:rsid w:val="009D1753"/>
    <w:rsid w:val="009D7611"/>
    <w:rsid w:val="009E0B61"/>
    <w:rsid w:val="009E1BC1"/>
    <w:rsid w:val="009E53DE"/>
    <w:rsid w:val="00A11212"/>
    <w:rsid w:val="00A11E44"/>
    <w:rsid w:val="00A15562"/>
    <w:rsid w:val="00A30100"/>
    <w:rsid w:val="00A328B3"/>
    <w:rsid w:val="00A420BD"/>
    <w:rsid w:val="00A50FCF"/>
    <w:rsid w:val="00A528D1"/>
    <w:rsid w:val="00A610CD"/>
    <w:rsid w:val="00A758AA"/>
    <w:rsid w:val="00A75AA6"/>
    <w:rsid w:val="00A83EFE"/>
    <w:rsid w:val="00AA09A2"/>
    <w:rsid w:val="00AA7996"/>
    <w:rsid w:val="00AC12D5"/>
    <w:rsid w:val="00AC19CB"/>
    <w:rsid w:val="00AE5488"/>
    <w:rsid w:val="00AE6F91"/>
    <w:rsid w:val="00AF5571"/>
    <w:rsid w:val="00B04818"/>
    <w:rsid w:val="00B07341"/>
    <w:rsid w:val="00B30539"/>
    <w:rsid w:val="00B314DB"/>
    <w:rsid w:val="00B361F2"/>
    <w:rsid w:val="00B3718B"/>
    <w:rsid w:val="00B3745F"/>
    <w:rsid w:val="00B4632A"/>
    <w:rsid w:val="00B530F1"/>
    <w:rsid w:val="00B93D7F"/>
    <w:rsid w:val="00B95FAE"/>
    <w:rsid w:val="00BA276C"/>
    <w:rsid w:val="00BB019D"/>
    <w:rsid w:val="00BB306F"/>
    <w:rsid w:val="00BD0FF5"/>
    <w:rsid w:val="00BD4B89"/>
    <w:rsid w:val="00BD5922"/>
    <w:rsid w:val="00BF02CB"/>
    <w:rsid w:val="00BF482C"/>
    <w:rsid w:val="00BF6FD8"/>
    <w:rsid w:val="00C03680"/>
    <w:rsid w:val="00C054DF"/>
    <w:rsid w:val="00C21762"/>
    <w:rsid w:val="00C21FEF"/>
    <w:rsid w:val="00C23BA4"/>
    <w:rsid w:val="00C24543"/>
    <w:rsid w:val="00C256A2"/>
    <w:rsid w:val="00C25ADB"/>
    <w:rsid w:val="00C33090"/>
    <w:rsid w:val="00C47ADB"/>
    <w:rsid w:val="00C51515"/>
    <w:rsid w:val="00C5636C"/>
    <w:rsid w:val="00C5660B"/>
    <w:rsid w:val="00C66B72"/>
    <w:rsid w:val="00C77B58"/>
    <w:rsid w:val="00C87AC4"/>
    <w:rsid w:val="00C9567A"/>
    <w:rsid w:val="00CA2108"/>
    <w:rsid w:val="00CB212D"/>
    <w:rsid w:val="00CB2660"/>
    <w:rsid w:val="00CC5E90"/>
    <w:rsid w:val="00CD046C"/>
    <w:rsid w:val="00CE076C"/>
    <w:rsid w:val="00CE5199"/>
    <w:rsid w:val="00CE66D5"/>
    <w:rsid w:val="00CF637A"/>
    <w:rsid w:val="00D012C2"/>
    <w:rsid w:val="00D059DE"/>
    <w:rsid w:val="00D05ABD"/>
    <w:rsid w:val="00D13FCE"/>
    <w:rsid w:val="00D23E54"/>
    <w:rsid w:val="00D306D1"/>
    <w:rsid w:val="00D30800"/>
    <w:rsid w:val="00D34786"/>
    <w:rsid w:val="00D37BFC"/>
    <w:rsid w:val="00D47A8E"/>
    <w:rsid w:val="00D52D14"/>
    <w:rsid w:val="00D712D3"/>
    <w:rsid w:val="00D71422"/>
    <w:rsid w:val="00D72DC6"/>
    <w:rsid w:val="00D7558D"/>
    <w:rsid w:val="00D81D92"/>
    <w:rsid w:val="00D85AC0"/>
    <w:rsid w:val="00D876F9"/>
    <w:rsid w:val="00DA7B5F"/>
    <w:rsid w:val="00DB305A"/>
    <w:rsid w:val="00DC11E7"/>
    <w:rsid w:val="00DC24E3"/>
    <w:rsid w:val="00DC7023"/>
    <w:rsid w:val="00DC769A"/>
    <w:rsid w:val="00DD3D86"/>
    <w:rsid w:val="00DD4AD2"/>
    <w:rsid w:val="00DE2862"/>
    <w:rsid w:val="00DE59F0"/>
    <w:rsid w:val="00DF1EC4"/>
    <w:rsid w:val="00E00BE2"/>
    <w:rsid w:val="00E0340B"/>
    <w:rsid w:val="00E04A90"/>
    <w:rsid w:val="00E0551F"/>
    <w:rsid w:val="00E219C7"/>
    <w:rsid w:val="00E24368"/>
    <w:rsid w:val="00E4118C"/>
    <w:rsid w:val="00E43157"/>
    <w:rsid w:val="00E461CE"/>
    <w:rsid w:val="00E573E4"/>
    <w:rsid w:val="00E64C3D"/>
    <w:rsid w:val="00E720CA"/>
    <w:rsid w:val="00E84EB5"/>
    <w:rsid w:val="00E85662"/>
    <w:rsid w:val="00E8789F"/>
    <w:rsid w:val="00E97B71"/>
    <w:rsid w:val="00EA3D34"/>
    <w:rsid w:val="00EB454D"/>
    <w:rsid w:val="00ED549D"/>
    <w:rsid w:val="00ED5E10"/>
    <w:rsid w:val="00ED76BE"/>
    <w:rsid w:val="00EE00E9"/>
    <w:rsid w:val="00EF1AAA"/>
    <w:rsid w:val="00EF29C8"/>
    <w:rsid w:val="00EF619B"/>
    <w:rsid w:val="00F00B55"/>
    <w:rsid w:val="00F02AD1"/>
    <w:rsid w:val="00F051E9"/>
    <w:rsid w:val="00F245BD"/>
    <w:rsid w:val="00F253CC"/>
    <w:rsid w:val="00F37106"/>
    <w:rsid w:val="00F44E25"/>
    <w:rsid w:val="00F519CF"/>
    <w:rsid w:val="00F5534E"/>
    <w:rsid w:val="00F56BA5"/>
    <w:rsid w:val="00F56ECB"/>
    <w:rsid w:val="00F60E22"/>
    <w:rsid w:val="00F7179E"/>
    <w:rsid w:val="00F80917"/>
    <w:rsid w:val="00F81395"/>
    <w:rsid w:val="00F81BB8"/>
    <w:rsid w:val="00F90C64"/>
    <w:rsid w:val="00F917D1"/>
    <w:rsid w:val="00F9653B"/>
    <w:rsid w:val="00FB0FB3"/>
    <w:rsid w:val="00FB62CF"/>
    <w:rsid w:val="00FD3C3B"/>
    <w:rsid w:val="00FE07DD"/>
    <w:rsid w:val="00FE6B45"/>
    <w:rsid w:val="00FF55F3"/>
    <w:rsid w:val="00FF5851"/>
    <w:rsid w:val="00FF5D0A"/>
    <w:rsid w:val="00FF7B79"/>
    <w:rsid w:val="022E9A08"/>
    <w:rsid w:val="02C5993E"/>
    <w:rsid w:val="03E6C99F"/>
    <w:rsid w:val="04246CC8"/>
    <w:rsid w:val="0636DD03"/>
    <w:rsid w:val="06983D3A"/>
    <w:rsid w:val="0891C54F"/>
    <w:rsid w:val="08C953B8"/>
    <w:rsid w:val="0923C1C2"/>
    <w:rsid w:val="0A29E36F"/>
    <w:rsid w:val="0B0D0930"/>
    <w:rsid w:val="0B37AC5A"/>
    <w:rsid w:val="0D890773"/>
    <w:rsid w:val="0F0E26C3"/>
    <w:rsid w:val="10480A67"/>
    <w:rsid w:val="113F4C55"/>
    <w:rsid w:val="1197C04D"/>
    <w:rsid w:val="11F7382A"/>
    <w:rsid w:val="12045121"/>
    <w:rsid w:val="133BAC00"/>
    <w:rsid w:val="143D3286"/>
    <w:rsid w:val="150823C8"/>
    <w:rsid w:val="15C194EA"/>
    <w:rsid w:val="16540707"/>
    <w:rsid w:val="172839F9"/>
    <w:rsid w:val="17919BA5"/>
    <w:rsid w:val="17D72CF9"/>
    <w:rsid w:val="189EED77"/>
    <w:rsid w:val="18A7B789"/>
    <w:rsid w:val="18F33D68"/>
    <w:rsid w:val="19A04529"/>
    <w:rsid w:val="1B20E8AE"/>
    <w:rsid w:val="1B5E9B7F"/>
    <w:rsid w:val="1B9E930F"/>
    <w:rsid w:val="1BAE797B"/>
    <w:rsid w:val="1DA89FAE"/>
    <w:rsid w:val="1F62E5AF"/>
    <w:rsid w:val="20300B2F"/>
    <w:rsid w:val="22E4729E"/>
    <w:rsid w:val="236B0803"/>
    <w:rsid w:val="2462D49C"/>
    <w:rsid w:val="27BB1879"/>
    <w:rsid w:val="28D04D14"/>
    <w:rsid w:val="295854EB"/>
    <w:rsid w:val="297C3514"/>
    <w:rsid w:val="2AB446DB"/>
    <w:rsid w:val="2B39624D"/>
    <w:rsid w:val="2B872667"/>
    <w:rsid w:val="2BF17175"/>
    <w:rsid w:val="2BF400F7"/>
    <w:rsid w:val="2CE77E30"/>
    <w:rsid w:val="2E5597F7"/>
    <w:rsid w:val="30C9398A"/>
    <w:rsid w:val="33D5359C"/>
    <w:rsid w:val="34E7447C"/>
    <w:rsid w:val="35389AAC"/>
    <w:rsid w:val="35F6A2B6"/>
    <w:rsid w:val="37298BED"/>
    <w:rsid w:val="39029AB2"/>
    <w:rsid w:val="3B6292D6"/>
    <w:rsid w:val="3C43C11D"/>
    <w:rsid w:val="3D77D905"/>
    <w:rsid w:val="3E149276"/>
    <w:rsid w:val="4011DE43"/>
    <w:rsid w:val="413D638C"/>
    <w:rsid w:val="4275743B"/>
    <w:rsid w:val="435870F4"/>
    <w:rsid w:val="4367656F"/>
    <w:rsid w:val="440AE304"/>
    <w:rsid w:val="451CB8E6"/>
    <w:rsid w:val="46E51388"/>
    <w:rsid w:val="481AF02F"/>
    <w:rsid w:val="4833D8DB"/>
    <w:rsid w:val="483CDDC1"/>
    <w:rsid w:val="4AAF6DDE"/>
    <w:rsid w:val="4B333710"/>
    <w:rsid w:val="4C00AE1F"/>
    <w:rsid w:val="4CCA592A"/>
    <w:rsid w:val="4FDA71EF"/>
    <w:rsid w:val="5086C28A"/>
    <w:rsid w:val="51B5ABF4"/>
    <w:rsid w:val="533B408F"/>
    <w:rsid w:val="552DFFB3"/>
    <w:rsid w:val="59585B1E"/>
    <w:rsid w:val="60285309"/>
    <w:rsid w:val="60456CE6"/>
    <w:rsid w:val="60D041B9"/>
    <w:rsid w:val="612392C0"/>
    <w:rsid w:val="613FA591"/>
    <w:rsid w:val="62F2B895"/>
    <w:rsid w:val="648AA855"/>
    <w:rsid w:val="64C8453F"/>
    <w:rsid w:val="65328548"/>
    <w:rsid w:val="662153A4"/>
    <w:rsid w:val="6643B40F"/>
    <w:rsid w:val="667E705F"/>
    <w:rsid w:val="68E597F4"/>
    <w:rsid w:val="69622EB1"/>
    <w:rsid w:val="6B79B799"/>
    <w:rsid w:val="6F2DF83E"/>
    <w:rsid w:val="708CC72A"/>
    <w:rsid w:val="70B0BADC"/>
    <w:rsid w:val="71B61C06"/>
    <w:rsid w:val="7336B089"/>
    <w:rsid w:val="738D6A45"/>
    <w:rsid w:val="771FD8C6"/>
    <w:rsid w:val="7883B0BA"/>
    <w:rsid w:val="79C0AA01"/>
    <w:rsid w:val="7BF63DB1"/>
    <w:rsid w:val="7CC1C6BE"/>
    <w:rsid w:val="7D2E9D69"/>
    <w:rsid w:val="7E10E11C"/>
    <w:rsid w:val="7F89F8D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677B"/>
    <w:rPr>
      <w:sz w:val="16"/>
      <w:szCs w:val="16"/>
    </w:rPr>
  </w:style>
  <w:style w:type="paragraph" w:styleId="CommentText">
    <w:name w:val="annotation text"/>
    <w:basedOn w:val="Normal"/>
    <w:link w:val="CommentTextChar"/>
    <w:uiPriority w:val="99"/>
    <w:semiHidden/>
    <w:unhideWhenUsed/>
    <w:rsid w:val="0015677B"/>
    <w:rPr>
      <w:sz w:val="20"/>
      <w:szCs w:val="20"/>
    </w:rPr>
  </w:style>
  <w:style w:type="character" w:customStyle="1" w:styleId="CommentTextChar">
    <w:name w:val="Comment Text Char"/>
    <w:basedOn w:val="DefaultParagraphFont"/>
    <w:link w:val="CommentText"/>
    <w:uiPriority w:val="99"/>
    <w:semiHidden/>
    <w:rsid w:val="0015677B"/>
    <w:rPr>
      <w:lang w:val="en-US" w:eastAsia="en-US"/>
    </w:rPr>
  </w:style>
  <w:style w:type="paragraph" w:styleId="CommentSubject">
    <w:name w:val="annotation subject"/>
    <w:basedOn w:val="CommentText"/>
    <w:next w:val="CommentText"/>
    <w:link w:val="CommentSubjectChar"/>
    <w:uiPriority w:val="99"/>
    <w:semiHidden/>
    <w:unhideWhenUsed/>
    <w:rsid w:val="0015677B"/>
    <w:rPr>
      <w:b/>
      <w:bCs/>
    </w:rPr>
  </w:style>
  <w:style w:type="character" w:customStyle="1" w:styleId="CommentSubjectChar">
    <w:name w:val="Comment Subject Char"/>
    <w:basedOn w:val="CommentTextChar"/>
    <w:link w:val="CommentSubject"/>
    <w:uiPriority w:val="99"/>
    <w:semiHidden/>
    <w:rsid w:val="0015677B"/>
    <w:rPr>
      <w:b/>
      <w:bCs/>
      <w:lang w:val="en-US" w:eastAsia="en-US"/>
    </w:rPr>
  </w:style>
  <w:style w:type="paragraph" w:styleId="Revision">
    <w:name w:val="Revision"/>
    <w:hidden/>
    <w:uiPriority w:val="99"/>
    <w:semiHidden/>
    <w:rsid w:val="00C330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D04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D0489"/>
  </w:style>
  <w:style w:type="character" w:customStyle="1" w:styleId="eop">
    <w:name w:val="eop"/>
    <w:basedOn w:val="DefaultParagraphFont"/>
    <w:rsid w:val="008D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3654</Words>
  <Characters>20831</Characters>
  <Application>Microsoft Office Word</Application>
  <DocSecurity>0</DocSecurity>
  <Lines>173</Lines>
  <Paragraphs>48</Paragraphs>
  <ScaleCrop>false</ScaleCrop>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2025-02-10T19:40:00Z</dcterms:created>
  <dcterms:modified xsi:type="dcterms:W3CDTF">2025-02-10T19:40:00Z</dcterms:modified>
</cp:coreProperties>
</file>