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1BB3" w14:textId="77777777" w:rsidR="00040C3A" w:rsidRPr="0090270B" w:rsidRDefault="00D306D1" w:rsidP="00627C9F">
      <w:pPr>
        <w:jc w:val="both"/>
        <w:rPr>
          <w:rFonts w:asciiTheme="majorHAnsi" w:hAnsiTheme="majorHAnsi" w:cs="Univers"/>
          <w:b/>
          <w:bCs/>
          <w:sz w:val="22"/>
          <w:szCs w:val="22"/>
          <w:lang w:val="es-ES_tradnl"/>
        </w:rPr>
      </w:pPr>
      <w:r w:rsidRPr="0090270B">
        <w:rPr>
          <w:rFonts w:asciiTheme="majorHAnsi" w:hAnsiTheme="majorHAnsi"/>
          <w:noProof/>
          <w:sz w:val="22"/>
          <w:szCs w:val="22"/>
          <w:lang w:val="es-AR" w:eastAsia="es-AR"/>
        </w:rPr>
        <mc:AlternateContent>
          <mc:Choice Requires="wps">
            <w:drawing>
              <wp:anchor distT="0" distB="0" distL="114300" distR="114300" simplePos="0" relativeHeight="251658240" behindDoc="0" locked="0" layoutInCell="1" allowOverlap="1" wp14:anchorId="179A3F0F" wp14:editId="1371D494">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1B92B11">
              <v:rect id="Rectangle 1"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a7194" stroked="f" strokeweight="2pt" w14:anchorId="26181A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w:pict>
          </mc:Fallback>
        </mc:AlternateContent>
      </w:r>
      <w:r w:rsidR="003E6CA1" w:rsidRPr="0090270B">
        <w:rPr>
          <w:rFonts w:asciiTheme="majorHAnsi" w:hAnsiTheme="majorHAnsi"/>
          <w:noProof/>
          <w:sz w:val="22"/>
          <w:szCs w:val="22"/>
          <w:lang w:val="es-AR" w:eastAsia="es-AR"/>
        </w:rPr>
        <mc:AlternateContent>
          <mc:Choice Requires="wps">
            <w:drawing>
              <wp:anchor distT="0" distB="0" distL="114300" distR="114300" simplePos="0" relativeHeight="251658244" behindDoc="0" locked="0" layoutInCell="1" allowOverlap="1" wp14:anchorId="10F4F91A" wp14:editId="21050AED">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218F2" w14:textId="0208E50D" w:rsidR="00B27DD8" w:rsidRDefault="00B27DD8" w:rsidP="00AE5488">
                            <w:r>
                              <w:rPr>
                                <w:noProof/>
                                <w:lang w:val="es-AR" w:eastAsia="es-AR"/>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4F91A"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349218F2" w14:textId="0208E50D" w:rsidR="00B27DD8" w:rsidRDefault="00B27DD8" w:rsidP="00AE5488">
                      <w:r>
                        <w:rPr>
                          <w:noProof/>
                          <w:lang w:val="es-AR" w:eastAsia="es-AR"/>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tab/>
                        <w:t xml:space="preserve"> </w:t>
                      </w:r>
                    </w:p>
                  </w:txbxContent>
                </v:textbox>
              </v:shape>
            </w:pict>
          </mc:Fallback>
        </mc:AlternateContent>
      </w:r>
    </w:p>
    <w:p w14:paraId="47386BAF"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5A87E141"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29D95BCC" w14:textId="77777777" w:rsidR="005128E4" w:rsidRPr="0090270B" w:rsidRDefault="005128E4" w:rsidP="00040C3A">
      <w:pPr>
        <w:tabs>
          <w:tab w:val="center" w:pos="5400"/>
        </w:tabs>
        <w:suppressAutoHyphens/>
        <w:rPr>
          <w:rFonts w:asciiTheme="majorHAnsi" w:hAnsiTheme="majorHAnsi"/>
          <w:sz w:val="22"/>
          <w:szCs w:val="22"/>
          <w:lang w:val="es-ES_tradnl"/>
        </w:rPr>
      </w:pPr>
    </w:p>
    <w:p w14:paraId="12A36B24" w14:textId="77777777" w:rsidR="005128E4" w:rsidRPr="0090270B" w:rsidRDefault="005128E4" w:rsidP="00040C3A">
      <w:pPr>
        <w:tabs>
          <w:tab w:val="center" w:pos="5400"/>
        </w:tabs>
        <w:suppressAutoHyphens/>
        <w:rPr>
          <w:rFonts w:asciiTheme="majorHAnsi" w:hAnsiTheme="majorHAnsi"/>
          <w:sz w:val="22"/>
          <w:szCs w:val="22"/>
          <w:lang w:val="es-ES_tradnl"/>
        </w:rPr>
      </w:pPr>
    </w:p>
    <w:p w14:paraId="2252093D" w14:textId="77777777" w:rsidR="005128E4" w:rsidRPr="0090270B" w:rsidRDefault="005128E4" w:rsidP="00040C3A">
      <w:pPr>
        <w:tabs>
          <w:tab w:val="center" w:pos="5400"/>
        </w:tabs>
        <w:suppressAutoHyphens/>
        <w:rPr>
          <w:rFonts w:asciiTheme="majorHAnsi" w:hAnsiTheme="majorHAnsi"/>
          <w:sz w:val="22"/>
          <w:szCs w:val="22"/>
          <w:lang w:val="es-ES_tradnl"/>
        </w:rPr>
      </w:pPr>
    </w:p>
    <w:p w14:paraId="403935BD"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6DCF5F8F"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4791F13A"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44E016B6"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63D41962"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5ADEB990"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D81B7E8"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4791D04" w14:textId="77777777" w:rsidR="00040C3A" w:rsidRPr="0090270B" w:rsidRDefault="003D3BC2" w:rsidP="00040C3A">
      <w:pPr>
        <w:tabs>
          <w:tab w:val="center" w:pos="5400"/>
        </w:tabs>
        <w:suppressAutoHyphens/>
        <w:jc w:val="center"/>
        <w:rPr>
          <w:rFonts w:asciiTheme="majorHAnsi" w:hAnsiTheme="majorHAnsi"/>
          <w:sz w:val="22"/>
          <w:szCs w:val="22"/>
          <w:lang w:val="es-ES_tradnl"/>
        </w:rPr>
      </w:pPr>
      <w:r w:rsidRPr="0090270B">
        <w:rPr>
          <w:rFonts w:asciiTheme="majorHAnsi" w:hAnsiTheme="majorHAnsi"/>
          <w:noProof/>
          <w:sz w:val="22"/>
          <w:szCs w:val="22"/>
          <w:lang w:val="es-AR" w:eastAsia="es-AR"/>
        </w:rPr>
        <mc:AlternateContent>
          <mc:Choice Requires="wps">
            <w:drawing>
              <wp:anchor distT="0" distB="0" distL="114300" distR="114300" simplePos="0" relativeHeight="251658241" behindDoc="0" locked="0" layoutInCell="1" allowOverlap="1" wp14:anchorId="5980ED94" wp14:editId="42272B8B">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9FE29C" w14:textId="78BA2D04" w:rsidR="00B27DD8" w:rsidRPr="00753EB5" w:rsidRDefault="00B27DD8" w:rsidP="00997BC5">
                            <w:pPr>
                              <w:spacing w:line="276" w:lineRule="auto"/>
                              <w:rPr>
                                <w:rFonts w:asciiTheme="majorHAnsi" w:hAnsiTheme="majorHAnsi" w:cs="Arial"/>
                                <w:b/>
                                <w:bCs/>
                                <w:color w:val="0D0D0D" w:themeColor="text1" w:themeTint="F2"/>
                                <w:sz w:val="36"/>
                                <w:szCs w:val="22"/>
                                <w:lang w:val="es-ES_tradnl"/>
                              </w:rPr>
                            </w:pPr>
                            <w:r w:rsidRPr="00753EB5">
                              <w:rPr>
                                <w:rFonts w:asciiTheme="majorHAnsi" w:hAnsiTheme="majorHAnsi" w:cs="Arial"/>
                                <w:b/>
                                <w:bCs/>
                                <w:color w:val="0D0D0D" w:themeColor="text1" w:themeTint="F2"/>
                                <w:sz w:val="36"/>
                                <w:szCs w:val="22"/>
                                <w:lang w:val="es-ES_tradnl"/>
                              </w:rPr>
                              <w:t xml:space="preserve">INFORME </w:t>
                            </w:r>
                            <w:r w:rsidRPr="00753EB5">
                              <w:rPr>
                                <w:rFonts w:asciiTheme="majorHAnsi" w:hAnsiTheme="majorHAnsi" w:cs="Arial"/>
                                <w:b/>
                                <w:bCs/>
                                <w:color w:val="0D0D0D" w:themeColor="text1" w:themeTint="F2"/>
                                <w:sz w:val="36"/>
                                <w:szCs w:val="40"/>
                                <w:lang w:val="es-ES_tradnl"/>
                              </w:rPr>
                              <w:t>No.</w:t>
                            </w:r>
                            <w:r w:rsidRPr="00753EB5">
                              <w:rPr>
                                <w:rFonts w:asciiTheme="majorHAnsi" w:hAnsiTheme="majorHAnsi" w:cs="Arial"/>
                                <w:b/>
                                <w:bCs/>
                                <w:color w:val="0D0D0D" w:themeColor="text1" w:themeTint="F2"/>
                                <w:sz w:val="36"/>
                                <w:szCs w:val="22"/>
                                <w:lang w:val="es-ES_tradnl"/>
                              </w:rPr>
                              <w:t xml:space="preserve"> </w:t>
                            </w:r>
                            <w:r w:rsidR="000F6135">
                              <w:rPr>
                                <w:rFonts w:asciiTheme="majorHAnsi" w:hAnsiTheme="majorHAnsi" w:cs="Arial"/>
                                <w:b/>
                                <w:bCs/>
                                <w:color w:val="0D0D0D" w:themeColor="text1" w:themeTint="F2"/>
                                <w:sz w:val="36"/>
                                <w:szCs w:val="22"/>
                                <w:lang w:val="es-ES_tradnl"/>
                              </w:rPr>
                              <w:t>293</w:t>
                            </w:r>
                            <w:r w:rsidRPr="00753EB5">
                              <w:rPr>
                                <w:rFonts w:asciiTheme="majorHAnsi" w:hAnsiTheme="majorHAnsi" w:cs="Arial"/>
                                <w:b/>
                                <w:bCs/>
                                <w:color w:val="0D0D0D" w:themeColor="text1" w:themeTint="F2"/>
                                <w:sz w:val="36"/>
                                <w:szCs w:val="22"/>
                                <w:lang w:val="es-ES_tradnl"/>
                              </w:rPr>
                              <w:t>/25</w:t>
                            </w:r>
                          </w:p>
                          <w:p w14:paraId="09C54AB3" w14:textId="38016293" w:rsidR="00B27DD8" w:rsidRPr="00753EB5" w:rsidRDefault="00B27DD8" w:rsidP="00997BC5">
                            <w:pPr>
                              <w:spacing w:line="276" w:lineRule="auto"/>
                              <w:rPr>
                                <w:rFonts w:asciiTheme="majorHAnsi" w:hAnsiTheme="majorHAnsi" w:cs="Arial"/>
                                <w:b/>
                                <w:color w:val="0D0D0D" w:themeColor="text1" w:themeTint="F2"/>
                                <w:sz w:val="36"/>
                                <w:szCs w:val="22"/>
                                <w:lang w:val="es-ES_tradnl"/>
                              </w:rPr>
                            </w:pPr>
                            <w:r w:rsidRPr="00753EB5">
                              <w:rPr>
                                <w:rFonts w:asciiTheme="majorHAnsi" w:hAnsiTheme="majorHAnsi" w:cs="Arial"/>
                                <w:b/>
                                <w:color w:val="0D0D0D" w:themeColor="text1" w:themeTint="F2"/>
                                <w:sz w:val="36"/>
                                <w:szCs w:val="22"/>
                                <w:lang w:val="es-ES_tradnl"/>
                              </w:rPr>
                              <w:t>PETICIÓN 6-16</w:t>
                            </w:r>
                          </w:p>
                          <w:p w14:paraId="70CF6833" w14:textId="060BF630" w:rsidR="00B27DD8" w:rsidRPr="00753EB5" w:rsidRDefault="00B27DD8" w:rsidP="00997BC5">
                            <w:pPr>
                              <w:spacing w:line="276" w:lineRule="auto"/>
                              <w:rPr>
                                <w:rFonts w:asciiTheme="majorHAnsi" w:hAnsiTheme="majorHAnsi" w:cs="Arial"/>
                                <w:color w:val="0D0D0D" w:themeColor="text1" w:themeTint="F2"/>
                                <w:szCs w:val="22"/>
                                <w:lang w:val="es-ES_tradnl"/>
                              </w:rPr>
                            </w:pPr>
                            <w:r w:rsidRPr="00753EB5">
                              <w:rPr>
                                <w:rFonts w:asciiTheme="majorHAnsi" w:hAnsiTheme="majorHAnsi" w:cs="Arial"/>
                                <w:color w:val="0D0D0D" w:themeColor="text1" w:themeTint="F2"/>
                                <w:szCs w:val="22"/>
                                <w:lang w:val="es-ES_tradnl"/>
                              </w:rPr>
                              <w:t xml:space="preserve">INFORME DE ADMISIBILIDAD </w:t>
                            </w:r>
                          </w:p>
                          <w:p w14:paraId="5FDD6F0D" w14:textId="77777777" w:rsidR="00B27DD8" w:rsidRPr="00753EB5" w:rsidRDefault="00B27DD8" w:rsidP="00997BC5">
                            <w:pPr>
                              <w:spacing w:line="276" w:lineRule="auto"/>
                              <w:rPr>
                                <w:rFonts w:asciiTheme="majorHAnsi" w:hAnsiTheme="majorHAnsi" w:cs="Arial"/>
                                <w:color w:val="0D0D0D" w:themeColor="text1" w:themeTint="F2"/>
                                <w:szCs w:val="22"/>
                                <w:lang w:val="es-ES_tradnl"/>
                              </w:rPr>
                            </w:pPr>
                            <w:bookmarkStart w:id="0" w:name="_ftnref1"/>
                          </w:p>
                          <w:bookmarkEnd w:id="0"/>
                          <w:p w14:paraId="01E3C4E2" w14:textId="25C028EC" w:rsidR="00B27DD8" w:rsidRPr="00753EB5" w:rsidRDefault="00B27DD8" w:rsidP="00997BC5">
                            <w:pPr>
                              <w:spacing w:line="276" w:lineRule="auto"/>
                              <w:rPr>
                                <w:rFonts w:asciiTheme="majorHAnsi" w:hAnsiTheme="majorHAnsi" w:cs="Arial"/>
                                <w:color w:val="0D0D0D" w:themeColor="text1" w:themeTint="F2"/>
                                <w:szCs w:val="22"/>
                                <w:lang w:val="es-US"/>
                              </w:rPr>
                            </w:pPr>
                            <w:r w:rsidRPr="00753EB5">
                              <w:rPr>
                                <w:rFonts w:asciiTheme="majorHAnsi" w:hAnsiTheme="majorHAnsi" w:cs="Arial"/>
                                <w:color w:val="0D0D0D" w:themeColor="text1" w:themeTint="F2"/>
                                <w:szCs w:val="22"/>
                                <w:lang w:val="es-US"/>
                              </w:rPr>
                              <w:t>JORGE OSCAR ÁLVAREZ Y OTROS</w:t>
                            </w:r>
                          </w:p>
                          <w:p w14:paraId="575DFD52" w14:textId="5E6A1157" w:rsidR="00B27DD8" w:rsidRPr="00EB197F" w:rsidRDefault="00B27DD8" w:rsidP="007A5817">
                            <w:pPr>
                              <w:rPr>
                                <w:color w:val="0D0D0D" w:themeColor="text1" w:themeTint="F2"/>
                                <w:lang w:val="es-PE"/>
                              </w:rPr>
                            </w:pPr>
                            <w:r w:rsidRPr="00753EB5">
                              <w:rPr>
                                <w:rFonts w:asciiTheme="majorHAnsi" w:hAnsiTheme="majorHAnsi" w:cs="Arial"/>
                                <w:color w:val="0D0D0D" w:themeColor="text1" w:themeTint="F2"/>
                                <w:szCs w:val="22"/>
                                <w:lang w:val="es-PE"/>
                              </w:rPr>
                              <w:t>ARGENTINA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0ED94" id="Text Box 5" o:spid="_x0000_s1027" type="#_x0000_t202" style="position:absolute;left:0;text-align:left;margin-left:106.5pt;margin-top:8.45pt;width:349.7pt;height:17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4D9FE29C" w14:textId="78BA2D04" w:rsidR="00B27DD8" w:rsidRPr="00753EB5" w:rsidRDefault="00B27DD8" w:rsidP="00997BC5">
                      <w:pPr>
                        <w:spacing w:line="276" w:lineRule="auto"/>
                        <w:rPr>
                          <w:rFonts w:asciiTheme="majorHAnsi" w:hAnsiTheme="majorHAnsi" w:cs="Arial"/>
                          <w:b/>
                          <w:bCs/>
                          <w:color w:val="0D0D0D" w:themeColor="text1" w:themeTint="F2"/>
                          <w:sz w:val="36"/>
                          <w:szCs w:val="22"/>
                          <w:lang w:val="es-ES_tradnl"/>
                        </w:rPr>
                      </w:pPr>
                      <w:r w:rsidRPr="00753EB5">
                        <w:rPr>
                          <w:rFonts w:asciiTheme="majorHAnsi" w:hAnsiTheme="majorHAnsi" w:cs="Arial"/>
                          <w:b/>
                          <w:bCs/>
                          <w:color w:val="0D0D0D" w:themeColor="text1" w:themeTint="F2"/>
                          <w:sz w:val="36"/>
                          <w:szCs w:val="22"/>
                          <w:lang w:val="es-ES_tradnl"/>
                        </w:rPr>
                        <w:t xml:space="preserve">INFORME </w:t>
                      </w:r>
                      <w:r w:rsidRPr="00753EB5">
                        <w:rPr>
                          <w:rFonts w:asciiTheme="majorHAnsi" w:hAnsiTheme="majorHAnsi" w:cs="Arial"/>
                          <w:b/>
                          <w:bCs/>
                          <w:color w:val="0D0D0D" w:themeColor="text1" w:themeTint="F2"/>
                          <w:sz w:val="36"/>
                          <w:szCs w:val="40"/>
                          <w:lang w:val="es-ES_tradnl"/>
                        </w:rPr>
                        <w:t>No.</w:t>
                      </w:r>
                      <w:r w:rsidRPr="00753EB5">
                        <w:rPr>
                          <w:rFonts w:asciiTheme="majorHAnsi" w:hAnsiTheme="majorHAnsi" w:cs="Arial"/>
                          <w:b/>
                          <w:bCs/>
                          <w:color w:val="0D0D0D" w:themeColor="text1" w:themeTint="F2"/>
                          <w:sz w:val="36"/>
                          <w:szCs w:val="22"/>
                          <w:lang w:val="es-ES_tradnl"/>
                        </w:rPr>
                        <w:t xml:space="preserve"> </w:t>
                      </w:r>
                      <w:r w:rsidR="000F6135">
                        <w:rPr>
                          <w:rFonts w:asciiTheme="majorHAnsi" w:hAnsiTheme="majorHAnsi" w:cs="Arial"/>
                          <w:b/>
                          <w:bCs/>
                          <w:color w:val="0D0D0D" w:themeColor="text1" w:themeTint="F2"/>
                          <w:sz w:val="36"/>
                          <w:szCs w:val="22"/>
                          <w:lang w:val="es-ES_tradnl"/>
                        </w:rPr>
                        <w:t>293</w:t>
                      </w:r>
                      <w:r w:rsidRPr="00753EB5">
                        <w:rPr>
                          <w:rFonts w:asciiTheme="majorHAnsi" w:hAnsiTheme="majorHAnsi" w:cs="Arial"/>
                          <w:b/>
                          <w:bCs/>
                          <w:color w:val="0D0D0D" w:themeColor="text1" w:themeTint="F2"/>
                          <w:sz w:val="36"/>
                          <w:szCs w:val="22"/>
                          <w:lang w:val="es-ES_tradnl"/>
                        </w:rPr>
                        <w:t>/25</w:t>
                      </w:r>
                    </w:p>
                    <w:p w14:paraId="09C54AB3" w14:textId="38016293" w:rsidR="00B27DD8" w:rsidRPr="00753EB5" w:rsidRDefault="00B27DD8" w:rsidP="00997BC5">
                      <w:pPr>
                        <w:spacing w:line="276" w:lineRule="auto"/>
                        <w:rPr>
                          <w:rFonts w:asciiTheme="majorHAnsi" w:hAnsiTheme="majorHAnsi" w:cs="Arial"/>
                          <w:b/>
                          <w:color w:val="0D0D0D" w:themeColor="text1" w:themeTint="F2"/>
                          <w:sz w:val="36"/>
                          <w:szCs w:val="22"/>
                          <w:lang w:val="es-ES_tradnl"/>
                        </w:rPr>
                      </w:pPr>
                      <w:r w:rsidRPr="00753EB5">
                        <w:rPr>
                          <w:rFonts w:asciiTheme="majorHAnsi" w:hAnsiTheme="majorHAnsi" w:cs="Arial"/>
                          <w:b/>
                          <w:color w:val="0D0D0D" w:themeColor="text1" w:themeTint="F2"/>
                          <w:sz w:val="36"/>
                          <w:szCs w:val="22"/>
                          <w:lang w:val="es-ES_tradnl"/>
                        </w:rPr>
                        <w:t>PETICIÓN 6-16</w:t>
                      </w:r>
                    </w:p>
                    <w:p w14:paraId="70CF6833" w14:textId="060BF630" w:rsidR="00B27DD8" w:rsidRPr="00753EB5" w:rsidRDefault="00B27DD8" w:rsidP="00997BC5">
                      <w:pPr>
                        <w:spacing w:line="276" w:lineRule="auto"/>
                        <w:rPr>
                          <w:rFonts w:asciiTheme="majorHAnsi" w:hAnsiTheme="majorHAnsi" w:cs="Arial"/>
                          <w:color w:val="0D0D0D" w:themeColor="text1" w:themeTint="F2"/>
                          <w:szCs w:val="22"/>
                          <w:lang w:val="es-ES_tradnl"/>
                        </w:rPr>
                      </w:pPr>
                      <w:r w:rsidRPr="00753EB5">
                        <w:rPr>
                          <w:rFonts w:asciiTheme="majorHAnsi" w:hAnsiTheme="majorHAnsi" w:cs="Arial"/>
                          <w:color w:val="0D0D0D" w:themeColor="text1" w:themeTint="F2"/>
                          <w:szCs w:val="22"/>
                          <w:lang w:val="es-ES_tradnl"/>
                        </w:rPr>
                        <w:t xml:space="preserve">INFORME DE ADMISIBILIDAD </w:t>
                      </w:r>
                    </w:p>
                    <w:p w14:paraId="5FDD6F0D" w14:textId="77777777" w:rsidR="00B27DD8" w:rsidRPr="00753EB5" w:rsidRDefault="00B27DD8" w:rsidP="00997BC5">
                      <w:pPr>
                        <w:spacing w:line="276" w:lineRule="auto"/>
                        <w:rPr>
                          <w:rFonts w:asciiTheme="majorHAnsi" w:hAnsiTheme="majorHAnsi" w:cs="Arial"/>
                          <w:color w:val="0D0D0D" w:themeColor="text1" w:themeTint="F2"/>
                          <w:szCs w:val="22"/>
                          <w:lang w:val="es-ES_tradnl"/>
                        </w:rPr>
                      </w:pPr>
                      <w:bookmarkStart w:id="1" w:name="_ftnref1"/>
                    </w:p>
                    <w:bookmarkEnd w:id="1"/>
                    <w:p w14:paraId="01E3C4E2" w14:textId="25C028EC" w:rsidR="00B27DD8" w:rsidRPr="00753EB5" w:rsidRDefault="00B27DD8" w:rsidP="00997BC5">
                      <w:pPr>
                        <w:spacing w:line="276" w:lineRule="auto"/>
                        <w:rPr>
                          <w:rFonts w:asciiTheme="majorHAnsi" w:hAnsiTheme="majorHAnsi" w:cs="Arial"/>
                          <w:color w:val="0D0D0D" w:themeColor="text1" w:themeTint="F2"/>
                          <w:szCs w:val="22"/>
                          <w:lang w:val="es-US"/>
                        </w:rPr>
                      </w:pPr>
                      <w:r w:rsidRPr="00753EB5">
                        <w:rPr>
                          <w:rFonts w:asciiTheme="majorHAnsi" w:hAnsiTheme="majorHAnsi" w:cs="Arial"/>
                          <w:color w:val="0D0D0D" w:themeColor="text1" w:themeTint="F2"/>
                          <w:szCs w:val="22"/>
                          <w:lang w:val="es-US"/>
                        </w:rPr>
                        <w:t>JORGE OSCAR ÁLVAREZ Y OTROS</w:t>
                      </w:r>
                    </w:p>
                    <w:p w14:paraId="575DFD52" w14:textId="5E6A1157" w:rsidR="00B27DD8" w:rsidRPr="00EB197F" w:rsidRDefault="00B27DD8" w:rsidP="007A5817">
                      <w:pPr>
                        <w:rPr>
                          <w:color w:val="0D0D0D" w:themeColor="text1" w:themeTint="F2"/>
                          <w:lang w:val="es-PE"/>
                        </w:rPr>
                      </w:pPr>
                      <w:r w:rsidRPr="00753EB5">
                        <w:rPr>
                          <w:rFonts w:asciiTheme="majorHAnsi" w:hAnsiTheme="majorHAnsi" w:cs="Arial"/>
                          <w:color w:val="0D0D0D" w:themeColor="text1" w:themeTint="F2"/>
                          <w:szCs w:val="22"/>
                          <w:lang w:val="es-PE"/>
                        </w:rPr>
                        <w:t>ARGENTINA</w:t>
                      </w:r>
                    </w:p>
                  </w:txbxContent>
                </v:textbox>
              </v:shape>
            </w:pict>
          </mc:Fallback>
        </mc:AlternateContent>
      </w:r>
      <w:r w:rsidR="004E2649" w:rsidRPr="0090270B">
        <w:rPr>
          <w:rFonts w:asciiTheme="majorHAnsi" w:hAnsiTheme="majorHAnsi"/>
          <w:noProof/>
          <w:sz w:val="22"/>
          <w:szCs w:val="22"/>
          <w:lang w:val="es-AR" w:eastAsia="es-AR"/>
        </w:rPr>
        <mc:AlternateContent>
          <mc:Choice Requires="wps">
            <w:drawing>
              <wp:anchor distT="0" distB="0" distL="114300" distR="114300" simplePos="0" relativeHeight="251658243" behindDoc="0" locked="0" layoutInCell="1" allowOverlap="1" wp14:anchorId="73BE5919" wp14:editId="686CF99C">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F0BAF6" w14:textId="5A664BE4" w:rsidR="00B27DD8" w:rsidRPr="004B6A00" w:rsidRDefault="00B27DD8" w:rsidP="007A5817">
                            <w:pPr>
                              <w:spacing w:line="276" w:lineRule="auto"/>
                              <w:jc w:val="right"/>
                              <w:rPr>
                                <w:rFonts w:asciiTheme="minorHAnsi" w:hAnsiTheme="minorHAnsi"/>
                                <w:color w:val="FFFFFF" w:themeColor="background1"/>
                                <w:sz w:val="22"/>
                                <w:lang w:val="es-ES"/>
                              </w:rPr>
                            </w:pPr>
                            <w:r w:rsidRPr="004B6A00">
                              <w:rPr>
                                <w:rFonts w:asciiTheme="minorHAnsi" w:hAnsiTheme="minorHAnsi"/>
                                <w:color w:val="FFFFFF" w:themeColor="background1"/>
                                <w:sz w:val="22"/>
                                <w:lang w:val="es-ES"/>
                              </w:rPr>
                              <w:t>OEA/Ser.L/V/II</w:t>
                            </w:r>
                          </w:p>
                          <w:p w14:paraId="6A41611B" w14:textId="5D2A0AA7" w:rsidR="00B27DD8" w:rsidRPr="004B6A00" w:rsidRDefault="00B27DD8" w:rsidP="007A5817">
                            <w:pPr>
                              <w:spacing w:line="276" w:lineRule="auto"/>
                              <w:jc w:val="right"/>
                              <w:rPr>
                                <w:rFonts w:asciiTheme="minorHAnsi" w:hAnsiTheme="minorHAnsi"/>
                                <w:color w:val="FFFFFF" w:themeColor="background1"/>
                                <w:sz w:val="22"/>
                                <w:lang w:val="es-ES"/>
                              </w:rPr>
                            </w:pPr>
                            <w:r w:rsidRPr="004B6A00">
                              <w:rPr>
                                <w:rFonts w:asciiTheme="minorHAnsi" w:hAnsiTheme="minorHAnsi"/>
                                <w:color w:val="FFFFFF" w:themeColor="background1"/>
                                <w:sz w:val="22"/>
                                <w:lang w:val="es-ES"/>
                              </w:rPr>
                              <w:t xml:space="preserve">Doc. </w:t>
                            </w:r>
                            <w:r w:rsidR="002E3593" w:rsidRPr="004B6A00">
                              <w:rPr>
                                <w:rFonts w:asciiTheme="minorHAnsi" w:hAnsiTheme="minorHAnsi"/>
                                <w:color w:val="FFFFFF" w:themeColor="background1"/>
                                <w:sz w:val="22"/>
                                <w:lang w:val="es-ES"/>
                              </w:rPr>
                              <w:t>308</w:t>
                            </w:r>
                          </w:p>
                          <w:p w14:paraId="69373ED2" w14:textId="361956E7" w:rsidR="00B27DD8" w:rsidRPr="00C25ADB" w:rsidRDefault="000F6135"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14 diciembre</w:t>
                            </w:r>
                            <w:r w:rsidR="00B27DD8" w:rsidRPr="00C25ADB">
                              <w:rPr>
                                <w:rFonts w:asciiTheme="minorHAnsi" w:hAnsiTheme="minorHAnsi"/>
                                <w:color w:val="FFFFFF" w:themeColor="background1"/>
                                <w:sz w:val="22"/>
                                <w:lang w:val="es-PA"/>
                              </w:rPr>
                              <w:t xml:space="preserve"> 202</w:t>
                            </w:r>
                            <w:r w:rsidR="00B27DD8">
                              <w:rPr>
                                <w:rFonts w:asciiTheme="minorHAnsi" w:hAnsiTheme="minorHAnsi"/>
                                <w:color w:val="FFFFFF" w:themeColor="background1"/>
                                <w:sz w:val="22"/>
                                <w:lang w:val="es-PA"/>
                              </w:rPr>
                              <w:t>5</w:t>
                            </w:r>
                          </w:p>
                          <w:p w14:paraId="0771DB5B" w14:textId="77777777" w:rsidR="00B27DD8" w:rsidRPr="00C25ADB" w:rsidRDefault="00B27DD8"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Original: español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E5919" id="Text Box 8" o:spid="_x0000_s1028" type="#_x0000_t202" style="position:absolute;left:0;text-align:left;margin-left:-27pt;margin-top:12.9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6CF0BAF6" w14:textId="5A664BE4" w:rsidR="00B27DD8" w:rsidRPr="004B6A00" w:rsidRDefault="00B27DD8" w:rsidP="007A5817">
                      <w:pPr>
                        <w:spacing w:line="276" w:lineRule="auto"/>
                        <w:jc w:val="right"/>
                        <w:rPr>
                          <w:rFonts w:asciiTheme="minorHAnsi" w:hAnsiTheme="minorHAnsi"/>
                          <w:color w:val="FFFFFF" w:themeColor="background1"/>
                          <w:sz w:val="22"/>
                          <w:lang w:val="es-ES"/>
                        </w:rPr>
                      </w:pPr>
                      <w:r w:rsidRPr="004B6A00">
                        <w:rPr>
                          <w:rFonts w:asciiTheme="minorHAnsi" w:hAnsiTheme="minorHAnsi"/>
                          <w:color w:val="FFFFFF" w:themeColor="background1"/>
                          <w:sz w:val="22"/>
                          <w:lang w:val="es-ES"/>
                        </w:rPr>
                        <w:t>OEA/Ser.L/V/II</w:t>
                      </w:r>
                    </w:p>
                    <w:p w14:paraId="6A41611B" w14:textId="5D2A0AA7" w:rsidR="00B27DD8" w:rsidRPr="004B6A00" w:rsidRDefault="00B27DD8" w:rsidP="007A5817">
                      <w:pPr>
                        <w:spacing w:line="276" w:lineRule="auto"/>
                        <w:jc w:val="right"/>
                        <w:rPr>
                          <w:rFonts w:asciiTheme="minorHAnsi" w:hAnsiTheme="minorHAnsi"/>
                          <w:color w:val="FFFFFF" w:themeColor="background1"/>
                          <w:sz w:val="22"/>
                          <w:lang w:val="es-ES"/>
                        </w:rPr>
                      </w:pPr>
                      <w:r w:rsidRPr="004B6A00">
                        <w:rPr>
                          <w:rFonts w:asciiTheme="minorHAnsi" w:hAnsiTheme="minorHAnsi"/>
                          <w:color w:val="FFFFFF" w:themeColor="background1"/>
                          <w:sz w:val="22"/>
                          <w:lang w:val="es-ES"/>
                        </w:rPr>
                        <w:t xml:space="preserve">Doc. </w:t>
                      </w:r>
                      <w:r w:rsidR="002E3593" w:rsidRPr="004B6A00">
                        <w:rPr>
                          <w:rFonts w:asciiTheme="minorHAnsi" w:hAnsiTheme="minorHAnsi"/>
                          <w:color w:val="FFFFFF" w:themeColor="background1"/>
                          <w:sz w:val="22"/>
                          <w:lang w:val="es-ES"/>
                        </w:rPr>
                        <w:t>308</w:t>
                      </w:r>
                    </w:p>
                    <w:p w14:paraId="69373ED2" w14:textId="361956E7" w:rsidR="00B27DD8" w:rsidRPr="00C25ADB" w:rsidRDefault="000F6135"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14 diciembre</w:t>
                      </w:r>
                      <w:r w:rsidR="00B27DD8" w:rsidRPr="00C25ADB">
                        <w:rPr>
                          <w:rFonts w:asciiTheme="minorHAnsi" w:hAnsiTheme="minorHAnsi"/>
                          <w:color w:val="FFFFFF" w:themeColor="background1"/>
                          <w:sz w:val="22"/>
                          <w:lang w:val="es-PA"/>
                        </w:rPr>
                        <w:t xml:space="preserve"> 202</w:t>
                      </w:r>
                      <w:r w:rsidR="00B27DD8">
                        <w:rPr>
                          <w:rFonts w:asciiTheme="minorHAnsi" w:hAnsiTheme="minorHAnsi"/>
                          <w:color w:val="FFFFFF" w:themeColor="background1"/>
                          <w:sz w:val="22"/>
                          <w:lang w:val="es-PA"/>
                        </w:rPr>
                        <w:t>5</w:t>
                      </w:r>
                    </w:p>
                    <w:p w14:paraId="0771DB5B" w14:textId="77777777" w:rsidR="00B27DD8" w:rsidRPr="00C25ADB" w:rsidRDefault="00B27DD8"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Original: español</w:t>
                      </w:r>
                    </w:p>
                  </w:txbxContent>
                </v:textbox>
              </v:shape>
            </w:pict>
          </mc:Fallback>
        </mc:AlternateContent>
      </w:r>
    </w:p>
    <w:p w14:paraId="155B0536"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FE3AB8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C383BC0" w14:textId="77777777" w:rsidR="00040C3A" w:rsidRPr="0090270B" w:rsidRDefault="00040C3A" w:rsidP="00040C3A">
      <w:pPr>
        <w:tabs>
          <w:tab w:val="center" w:pos="5400"/>
        </w:tabs>
        <w:suppressAutoHyphens/>
        <w:jc w:val="center"/>
        <w:rPr>
          <w:rFonts w:asciiTheme="majorHAnsi" w:hAnsiTheme="majorHAnsi" w:cs="Arial"/>
          <w:sz w:val="22"/>
          <w:szCs w:val="22"/>
          <w:lang w:val="es-ES_tradnl"/>
        </w:rPr>
      </w:pPr>
    </w:p>
    <w:p w14:paraId="54590931"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76C291D6"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161B44F"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C4EEE0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B0E4647"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DAAF36D"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2496A14"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5772DB3"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820FADA"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54445A55"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D4A4040"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048FBB2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90ABFB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C69004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33CA43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874DEE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698D0D6"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F90782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45D9AC1"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6068EE5"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4A4A43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B3B735F"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2C5C441"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806A2B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19C392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14A0182"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22"/>
          <w:szCs w:val="22"/>
          <w:lang w:val="es-AR" w:eastAsia="es-AR"/>
        </w:rPr>
        <mc:AlternateContent>
          <mc:Choice Requires="wps">
            <w:drawing>
              <wp:anchor distT="0" distB="0" distL="114300" distR="114300" simplePos="0" relativeHeight="251658242" behindDoc="0" locked="0" layoutInCell="1" allowOverlap="1" wp14:anchorId="37B0B44F" wp14:editId="1101FDFD">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DF3581" w14:textId="207FDAA0" w:rsidR="00B27DD8" w:rsidRPr="003C2239" w:rsidRDefault="00B27DD8"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0F6135">
                              <w:rPr>
                                <w:rFonts w:asciiTheme="majorHAnsi" w:hAnsiTheme="majorHAnsi"/>
                                <w:color w:val="0D0D0D" w:themeColor="text1" w:themeTint="F2"/>
                                <w:sz w:val="18"/>
                                <w:szCs w:val="22"/>
                                <w:lang w:val="es-ES"/>
                              </w:rPr>
                              <w:t>14</w:t>
                            </w:r>
                            <w:r w:rsidRPr="00890650">
                              <w:rPr>
                                <w:rFonts w:asciiTheme="majorHAnsi" w:hAnsiTheme="majorHAnsi"/>
                                <w:color w:val="0D0D0D" w:themeColor="text1" w:themeTint="F2"/>
                                <w:sz w:val="18"/>
                                <w:szCs w:val="22"/>
                                <w:lang w:val="es-ES"/>
                              </w:rPr>
                              <w:t xml:space="preserve"> de </w:t>
                            </w:r>
                            <w:r w:rsidR="000F6135">
                              <w:rPr>
                                <w:rFonts w:asciiTheme="majorHAnsi" w:hAnsiTheme="majorHAnsi"/>
                                <w:color w:val="0D0D0D" w:themeColor="text1" w:themeTint="F2"/>
                                <w:sz w:val="18"/>
                                <w:szCs w:val="22"/>
                                <w:lang w:val="es-ES"/>
                              </w:rPr>
                              <w:t>diciembre</w:t>
                            </w:r>
                            <w:r>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Pr>
                                <w:rFonts w:asciiTheme="majorHAnsi" w:hAnsiTheme="majorHAnsi"/>
                                <w:color w:val="0D0D0D" w:themeColor="text1" w:themeTint="F2"/>
                                <w:sz w:val="18"/>
                                <w:szCs w:val="22"/>
                                <w:lang w:val="es-ES"/>
                              </w:rPr>
                              <w:t>25</w:t>
                            </w:r>
                            <w:r w:rsidR="000F6135">
                              <w:rPr>
                                <w:rFonts w:asciiTheme="majorHAnsi" w:hAnsiTheme="majorHAnsi"/>
                                <w:color w:val="0D0D0D" w:themeColor="text1" w:themeTint="F2"/>
                                <w:sz w:val="18"/>
                                <w:szCs w:val="22"/>
                                <w:lang w:val="es-ES"/>
                              </w:rPr>
                              <w:t>.</w:t>
                            </w:r>
                          </w:p>
                          <w:p w14:paraId="4D148488" w14:textId="77777777" w:rsidR="00B27DD8" w:rsidRPr="00167A34" w:rsidRDefault="00B27DD8"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0B44F" id="Text Box 7" o:spid="_x0000_s1029" type="#_x0000_t202" style="position:absolute;left:0;text-align:left;margin-left:105.65pt;margin-top:1.8pt;width:388.5pt;height:5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4BDF3581" w14:textId="207FDAA0" w:rsidR="00B27DD8" w:rsidRPr="003C2239" w:rsidRDefault="00B27DD8"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0F6135">
                        <w:rPr>
                          <w:rFonts w:asciiTheme="majorHAnsi" w:hAnsiTheme="majorHAnsi"/>
                          <w:color w:val="0D0D0D" w:themeColor="text1" w:themeTint="F2"/>
                          <w:sz w:val="18"/>
                          <w:szCs w:val="22"/>
                          <w:lang w:val="es-ES"/>
                        </w:rPr>
                        <w:t>14</w:t>
                      </w:r>
                      <w:r w:rsidRPr="00890650">
                        <w:rPr>
                          <w:rFonts w:asciiTheme="majorHAnsi" w:hAnsiTheme="majorHAnsi"/>
                          <w:color w:val="0D0D0D" w:themeColor="text1" w:themeTint="F2"/>
                          <w:sz w:val="18"/>
                          <w:szCs w:val="22"/>
                          <w:lang w:val="es-ES"/>
                        </w:rPr>
                        <w:t xml:space="preserve"> de </w:t>
                      </w:r>
                      <w:r w:rsidR="000F6135">
                        <w:rPr>
                          <w:rFonts w:asciiTheme="majorHAnsi" w:hAnsiTheme="majorHAnsi"/>
                          <w:color w:val="0D0D0D" w:themeColor="text1" w:themeTint="F2"/>
                          <w:sz w:val="18"/>
                          <w:szCs w:val="22"/>
                          <w:lang w:val="es-ES"/>
                        </w:rPr>
                        <w:t>diciembre</w:t>
                      </w:r>
                      <w:r>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Pr>
                          <w:rFonts w:asciiTheme="majorHAnsi" w:hAnsiTheme="majorHAnsi"/>
                          <w:color w:val="0D0D0D" w:themeColor="text1" w:themeTint="F2"/>
                          <w:sz w:val="18"/>
                          <w:szCs w:val="22"/>
                          <w:lang w:val="es-ES"/>
                        </w:rPr>
                        <w:t>25</w:t>
                      </w:r>
                      <w:r w:rsidR="000F6135">
                        <w:rPr>
                          <w:rFonts w:asciiTheme="majorHAnsi" w:hAnsiTheme="majorHAnsi"/>
                          <w:color w:val="0D0D0D" w:themeColor="text1" w:themeTint="F2"/>
                          <w:sz w:val="18"/>
                          <w:szCs w:val="22"/>
                          <w:lang w:val="es-ES"/>
                        </w:rPr>
                        <w:t>.</w:t>
                      </w:r>
                    </w:p>
                    <w:p w14:paraId="4D148488" w14:textId="77777777" w:rsidR="00B27DD8" w:rsidRPr="00167A34" w:rsidRDefault="00B27DD8"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1F28BEB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929D1FD"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469D0BE"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A79F059"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30672AE"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18"/>
          <w:szCs w:val="22"/>
          <w:lang w:val="es-AR" w:eastAsia="es-AR"/>
        </w:rPr>
        <mc:AlternateContent>
          <mc:Choice Requires="wps">
            <w:drawing>
              <wp:anchor distT="0" distB="0" distL="114300" distR="114300" simplePos="0" relativeHeight="251658245" behindDoc="0" locked="0" layoutInCell="1" allowOverlap="1" wp14:anchorId="14798ABC" wp14:editId="15CC0E24">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1BB0DD" w14:textId="77777777" w:rsidR="00ED6427" w:rsidRDefault="00B27DD8"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0F6135" w:rsidRPr="000F6135">
                              <w:rPr>
                                <w:rFonts w:asciiTheme="majorHAnsi" w:hAnsiTheme="majorHAnsi"/>
                                <w:color w:val="595959" w:themeColor="text1" w:themeTint="A6"/>
                                <w:sz w:val="18"/>
                                <w:szCs w:val="18"/>
                                <w:lang w:val="pt-BR"/>
                              </w:rPr>
                              <w:t>293</w:t>
                            </w:r>
                            <w:r w:rsidRPr="000F6135">
                              <w:rPr>
                                <w:rFonts w:asciiTheme="majorHAnsi" w:hAnsiTheme="majorHAnsi"/>
                                <w:color w:val="595959" w:themeColor="text1" w:themeTint="A6"/>
                                <w:sz w:val="18"/>
                                <w:szCs w:val="18"/>
                                <w:lang w:val="pt-BR"/>
                              </w:rPr>
                              <w:t>/</w:t>
                            </w:r>
                            <w:r w:rsidR="000F6135" w:rsidRPr="000F6135">
                              <w:rPr>
                                <w:rFonts w:asciiTheme="majorHAnsi" w:hAnsiTheme="majorHAnsi"/>
                                <w:color w:val="595959" w:themeColor="text1" w:themeTint="A6"/>
                                <w:sz w:val="18"/>
                                <w:szCs w:val="18"/>
                                <w:lang w:val="pt-BR"/>
                              </w:rPr>
                              <w:t>25</w:t>
                            </w:r>
                            <w:r w:rsidRPr="000F6135">
                              <w:rPr>
                                <w:rFonts w:asciiTheme="majorHAnsi" w:hAnsiTheme="majorHAnsi"/>
                                <w:color w:val="595959" w:themeColor="text1" w:themeTint="A6"/>
                                <w:sz w:val="18"/>
                                <w:szCs w:val="18"/>
                                <w:lang w:val="pt-BR"/>
                              </w:rPr>
                              <w:t xml:space="preserve">. </w:t>
                            </w:r>
                            <w:r>
                              <w:rPr>
                                <w:rFonts w:asciiTheme="majorHAnsi" w:hAnsiTheme="majorHAnsi"/>
                                <w:color w:val="595959" w:themeColor="text1" w:themeTint="A6"/>
                                <w:sz w:val="18"/>
                                <w:szCs w:val="18"/>
                                <w:lang w:val="es-ES_tradnl"/>
                              </w:rPr>
                              <w:t>Petici</w:t>
                            </w:r>
                            <w:r>
                              <w:rPr>
                                <w:rFonts w:asciiTheme="majorHAnsi" w:hAnsiTheme="majorHAnsi"/>
                                <w:color w:val="595959" w:themeColor="text1" w:themeTint="A6"/>
                                <w:sz w:val="18"/>
                                <w:szCs w:val="18"/>
                                <w:lang w:val="es-ES"/>
                              </w:rPr>
                              <w:t xml:space="preserve">ón 6-16. </w:t>
                            </w:r>
                            <w:r>
                              <w:rPr>
                                <w:rFonts w:asciiTheme="majorHAnsi" w:hAnsiTheme="majorHAnsi"/>
                                <w:color w:val="595959" w:themeColor="text1" w:themeTint="A6"/>
                                <w:sz w:val="18"/>
                                <w:szCs w:val="18"/>
                                <w:lang w:val="es-ES_tradnl"/>
                              </w:rPr>
                              <w:t>Admisibilidad</w:t>
                            </w:r>
                            <w:r w:rsidRPr="00890650">
                              <w:rPr>
                                <w:rFonts w:asciiTheme="majorHAnsi" w:hAnsiTheme="majorHAnsi"/>
                                <w:color w:val="595959" w:themeColor="text1" w:themeTint="A6"/>
                                <w:sz w:val="18"/>
                                <w:szCs w:val="18"/>
                                <w:lang w:val="es-ES_tradnl"/>
                              </w:rPr>
                              <w:t xml:space="preserve">. </w:t>
                            </w:r>
                          </w:p>
                          <w:p w14:paraId="0D1B22CF" w14:textId="00346BE4" w:rsidR="00B27DD8" w:rsidRPr="007B05C4" w:rsidRDefault="00524A77"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 xml:space="preserve">Jorge Oscar </w:t>
                            </w:r>
                            <w:r w:rsidRPr="00524A77">
                              <w:rPr>
                                <w:rFonts w:asciiTheme="majorHAnsi" w:hAnsiTheme="majorHAnsi"/>
                                <w:color w:val="595959" w:themeColor="text1" w:themeTint="A6"/>
                                <w:sz w:val="18"/>
                                <w:szCs w:val="18"/>
                                <w:lang w:val="es-ES"/>
                              </w:rPr>
                              <w:t>Álvarez y otros</w:t>
                            </w:r>
                            <w:r w:rsidR="00B27DD8" w:rsidRPr="00047ED4">
                              <w:rPr>
                                <w:rFonts w:asciiTheme="majorHAnsi" w:hAnsiTheme="majorHAnsi"/>
                                <w:color w:val="595959" w:themeColor="text1" w:themeTint="A6"/>
                                <w:sz w:val="18"/>
                                <w:szCs w:val="18"/>
                                <w:lang w:val="es-ES_tradnl"/>
                              </w:rPr>
                              <w:t xml:space="preserve">. </w:t>
                            </w:r>
                            <w:r w:rsidR="00C61DA7">
                              <w:rPr>
                                <w:rFonts w:asciiTheme="majorHAnsi" w:hAnsiTheme="majorHAnsi"/>
                                <w:color w:val="595959" w:themeColor="text1" w:themeTint="A6"/>
                                <w:sz w:val="18"/>
                                <w:szCs w:val="18"/>
                                <w:lang w:val="es-ES_tradnl"/>
                              </w:rPr>
                              <w:t>Argentina</w:t>
                            </w:r>
                            <w:r w:rsidR="00B27DD8" w:rsidRPr="00890650">
                              <w:rPr>
                                <w:rFonts w:asciiTheme="majorHAnsi" w:hAnsiTheme="majorHAnsi"/>
                                <w:color w:val="595959" w:themeColor="text1" w:themeTint="A6"/>
                                <w:sz w:val="18"/>
                                <w:szCs w:val="18"/>
                                <w:lang w:val="es-ES_tradnl"/>
                              </w:rPr>
                              <w:t xml:space="preserve">. </w:t>
                            </w:r>
                            <w:r w:rsidR="00C61DA7">
                              <w:rPr>
                                <w:rFonts w:asciiTheme="majorHAnsi" w:hAnsiTheme="majorHAnsi"/>
                                <w:color w:val="595959" w:themeColor="text1" w:themeTint="A6"/>
                                <w:sz w:val="18"/>
                                <w:szCs w:val="18"/>
                                <w:lang w:val="es-ES"/>
                              </w:rPr>
                              <w:t>14 de diciembre de 2025</w:t>
                            </w:r>
                            <w:r w:rsidR="00B27DD8"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98ABC" id="Text Box 10" o:spid="_x0000_s1030" type="#_x0000_t202" style="position:absolute;left:0;text-align:left;margin-left:105pt;margin-top:.45pt;width:389.25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761BB0DD" w14:textId="77777777" w:rsidR="00ED6427" w:rsidRDefault="00B27DD8"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0F6135" w:rsidRPr="000F6135">
                        <w:rPr>
                          <w:rFonts w:asciiTheme="majorHAnsi" w:hAnsiTheme="majorHAnsi"/>
                          <w:color w:val="595959" w:themeColor="text1" w:themeTint="A6"/>
                          <w:sz w:val="18"/>
                          <w:szCs w:val="18"/>
                          <w:lang w:val="pt-BR"/>
                        </w:rPr>
                        <w:t>293</w:t>
                      </w:r>
                      <w:r w:rsidRPr="000F6135">
                        <w:rPr>
                          <w:rFonts w:asciiTheme="majorHAnsi" w:hAnsiTheme="majorHAnsi"/>
                          <w:color w:val="595959" w:themeColor="text1" w:themeTint="A6"/>
                          <w:sz w:val="18"/>
                          <w:szCs w:val="18"/>
                          <w:lang w:val="pt-BR"/>
                        </w:rPr>
                        <w:t>/</w:t>
                      </w:r>
                      <w:r w:rsidR="000F6135" w:rsidRPr="000F6135">
                        <w:rPr>
                          <w:rFonts w:asciiTheme="majorHAnsi" w:hAnsiTheme="majorHAnsi"/>
                          <w:color w:val="595959" w:themeColor="text1" w:themeTint="A6"/>
                          <w:sz w:val="18"/>
                          <w:szCs w:val="18"/>
                          <w:lang w:val="pt-BR"/>
                        </w:rPr>
                        <w:t>25</w:t>
                      </w:r>
                      <w:r w:rsidRPr="000F6135">
                        <w:rPr>
                          <w:rFonts w:asciiTheme="majorHAnsi" w:hAnsiTheme="majorHAnsi"/>
                          <w:color w:val="595959" w:themeColor="text1" w:themeTint="A6"/>
                          <w:sz w:val="18"/>
                          <w:szCs w:val="18"/>
                          <w:lang w:val="pt-BR"/>
                        </w:rPr>
                        <w:t xml:space="preserve">. </w:t>
                      </w:r>
                      <w:r>
                        <w:rPr>
                          <w:rFonts w:asciiTheme="majorHAnsi" w:hAnsiTheme="majorHAnsi"/>
                          <w:color w:val="595959" w:themeColor="text1" w:themeTint="A6"/>
                          <w:sz w:val="18"/>
                          <w:szCs w:val="18"/>
                          <w:lang w:val="es-ES_tradnl"/>
                        </w:rPr>
                        <w:t>Petici</w:t>
                      </w:r>
                      <w:r>
                        <w:rPr>
                          <w:rFonts w:asciiTheme="majorHAnsi" w:hAnsiTheme="majorHAnsi"/>
                          <w:color w:val="595959" w:themeColor="text1" w:themeTint="A6"/>
                          <w:sz w:val="18"/>
                          <w:szCs w:val="18"/>
                          <w:lang w:val="es-ES"/>
                        </w:rPr>
                        <w:t xml:space="preserve">ón 6-16. </w:t>
                      </w:r>
                      <w:r>
                        <w:rPr>
                          <w:rFonts w:asciiTheme="majorHAnsi" w:hAnsiTheme="majorHAnsi"/>
                          <w:color w:val="595959" w:themeColor="text1" w:themeTint="A6"/>
                          <w:sz w:val="18"/>
                          <w:szCs w:val="18"/>
                          <w:lang w:val="es-ES_tradnl"/>
                        </w:rPr>
                        <w:t>Admisibilidad</w:t>
                      </w:r>
                      <w:r w:rsidRPr="00890650">
                        <w:rPr>
                          <w:rFonts w:asciiTheme="majorHAnsi" w:hAnsiTheme="majorHAnsi"/>
                          <w:color w:val="595959" w:themeColor="text1" w:themeTint="A6"/>
                          <w:sz w:val="18"/>
                          <w:szCs w:val="18"/>
                          <w:lang w:val="es-ES_tradnl"/>
                        </w:rPr>
                        <w:t xml:space="preserve">. </w:t>
                      </w:r>
                    </w:p>
                    <w:p w14:paraId="0D1B22CF" w14:textId="00346BE4" w:rsidR="00B27DD8" w:rsidRPr="007B05C4" w:rsidRDefault="00524A77"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 xml:space="preserve">Jorge Oscar </w:t>
                      </w:r>
                      <w:r w:rsidRPr="00524A77">
                        <w:rPr>
                          <w:rFonts w:asciiTheme="majorHAnsi" w:hAnsiTheme="majorHAnsi"/>
                          <w:color w:val="595959" w:themeColor="text1" w:themeTint="A6"/>
                          <w:sz w:val="18"/>
                          <w:szCs w:val="18"/>
                          <w:lang w:val="es-ES"/>
                        </w:rPr>
                        <w:t>Álvarez y otros</w:t>
                      </w:r>
                      <w:r w:rsidR="00B27DD8" w:rsidRPr="00047ED4">
                        <w:rPr>
                          <w:rFonts w:asciiTheme="majorHAnsi" w:hAnsiTheme="majorHAnsi"/>
                          <w:color w:val="595959" w:themeColor="text1" w:themeTint="A6"/>
                          <w:sz w:val="18"/>
                          <w:szCs w:val="18"/>
                          <w:lang w:val="es-ES_tradnl"/>
                        </w:rPr>
                        <w:t xml:space="preserve">. </w:t>
                      </w:r>
                      <w:r w:rsidR="00C61DA7">
                        <w:rPr>
                          <w:rFonts w:asciiTheme="majorHAnsi" w:hAnsiTheme="majorHAnsi"/>
                          <w:color w:val="595959" w:themeColor="text1" w:themeTint="A6"/>
                          <w:sz w:val="18"/>
                          <w:szCs w:val="18"/>
                          <w:lang w:val="es-ES_tradnl"/>
                        </w:rPr>
                        <w:t>Argentina</w:t>
                      </w:r>
                      <w:r w:rsidR="00B27DD8" w:rsidRPr="00890650">
                        <w:rPr>
                          <w:rFonts w:asciiTheme="majorHAnsi" w:hAnsiTheme="majorHAnsi"/>
                          <w:color w:val="595959" w:themeColor="text1" w:themeTint="A6"/>
                          <w:sz w:val="18"/>
                          <w:szCs w:val="18"/>
                          <w:lang w:val="es-ES_tradnl"/>
                        </w:rPr>
                        <w:t xml:space="preserve">. </w:t>
                      </w:r>
                      <w:r w:rsidR="00C61DA7">
                        <w:rPr>
                          <w:rFonts w:asciiTheme="majorHAnsi" w:hAnsiTheme="majorHAnsi"/>
                          <w:color w:val="595959" w:themeColor="text1" w:themeTint="A6"/>
                          <w:sz w:val="18"/>
                          <w:szCs w:val="18"/>
                          <w:lang w:val="es-ES"/>
                        </w:rPr>
                        <w:t>14 de diciembre de 2025</w:t>
                      </w:r>
                      <w:r w:rsidR="00B27DD8" w:rsidRPr="007B05C4">
                        <w:rPr>
                          <w:rFonts w:asciiTheme="majorHAnsi" w:hAnsiTheme="majorHAnsi"/>
                          <w:color w:val="595959" w:themeColor="text1" w:themeTint="A6"/>
                          <w:sz w:val="18"/>
                          <w:szCs w:val="18"/>
                          <w:lang w:val="es-ES"/>
                        </w:rPr>
                        <w:t>.</w:t>
                      </w:r>
                    </w:p>
                  </w:txbxContent>
                </v:textbox>
              </v:shape>
            </w:pict>
          </mc:Fallback>
        </mc:AlternateContent>
      </w:r>
    </w:p>
    <w:p w14:paraId="196A49DE"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DA07629" w14:textId="5B39F037" w:rsidR="0090270B" w:rsidRDefault="00D306D1" w:rsidP="005516A1">
      <w:pPr>
        <w:tabs>
          <w:tab w:val="center" w:pos="5400"/>
        </w:tabs>
        <w:suppressAutoHyphens/>
        <w:jc w:val="center"/>
        <w:rPr>
          <w:rFonts w:asciiTheme="majorHAnsi" w:hAnsiTheme="majorHAnsi"/>
          <w:b/>
          <w:sz w:val="20"/>
          <w:lang w:val="es-ES_tradnl"/>
        </w:rPr>
      </w:pPr>
      <w:r w:rsidRPr="00625030">
        <w:rPr>
          <w:rFonts w:asciiTheme="majorHAnsi" w:hAnsiTheme="majorHAnsi"/>
          <w:noProof/>
          <w:sz w:val="22"/>
          <w:szCs w:val="22"/>
          <w:lang w:val="es-AR" w:eastAsia="es-AR"/>
        </w:rPr>
        <mc:AlternateContent>
          <mc:Choice Requires="wps">
            <w:drawing>
              <wp:anchor distT="0" distB="0" distL="114300" distR="114300" simplePos="0" relativeHeight="251658247" behindDoc="0" locked="0" layoutInCell="1" allowOverlap="1" wp14:anchorId="02EDA5EE" wp14:editId="62ADE247">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A0DBC3" w14:textId="77777777" w:rsidR="00B27DD8" w:rsidRPr="004B7EB6" w:rsidRDefault="00B27DD8"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DA5EE" id="Text Box 4" o:spid="_x0000_s1031" type="#_x0000_t202" style="position:absolute;left:0;text-align:left;margin-left:-21.45pt;margin-top:72.05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Ug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XvCzobFLKHfUbw/dKgQn7ypqyr0I+CQ8zT71kfYZH+mjDRD50EucrcH//tt9xNNIkpazhnap4OHX&#10;RnjFmflmaVg/56c0EgzT4fTsYkwHf6xZHmvspr4B6kpOL4eTSYx4NIOoPdQvtPbzGJVUwkqKXXAc&#10;xBvsNpyeDanm8wSidXMC7+3Cyeg6NimO3HP7Irzr5xJpoh9g2DoxfTOeHTZaWphvEHSVZjfy3LHa&#10;80+rmka6f1biW3B8TqjD4zd7BQ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BisxUgbAIAAEQFAAAOAAAAAAAAAAAA&#10;AAAAAC4CAABkcnMvZTJvRG9jLnhtbFBLAQItABQABgAIAAAAIQBdLTBP4gAAAAsBAAAPAAAAAAAA&#10;AAAAAAAAAMYEAABkcnMvZG93bnJldi54bWxQSwUGAAAAAAQABADzAAAA1QUAAAAA&#10;" filled="f" stroked="f" strokeweight=".5pt">
                <v:textbox>
                  <w:txbxContent>
                    <w:p w14:paraId="6EA0DBC3" w14:textId="77777777" w:rsidR="00B27DD8" w:rsidRPr="004B7EB6" w:rsidRDefault="00B27DD8"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2FE1B253" w14:textId="58C157EE" w:rsidR="0070697F" w:rsidRDefault="00F47A14" w:rsidP="005516A1">
      <w:pPr>
        <w:tabs>
          <w:tab w:val="center" w:pos="5400"/>
        </w:tabs>
        <w:suppressAutoHyphens/>
        <w:jc w:val="center"/>
        <w:rPr>
          <w:rFonts w:asciiTheme="majorHAnsi" w:hAnsiTheme="majorHAnsi"/>
          <w:b/>
          <w:sz w:val="20"/>
          <w:lang w:val="es-ES_tradnl"/>
        </w:rPr>
        <w:sectPr w:rsidR="0070697F" w:rsidSect="00C054DF">
          <w:headerReference w:type="even" r:id="rId12"/>
          <w:headerReference w:type="default" r:id="rId13"/>
          <w:footerReference w:type="default" r:id="rId14"/>
          <w:footerReference w:type="first" r:id="rId15"/>
          <w:type w:val="oddPage"/>
          <w:pgSz w:w="12240" w:h="15840"/>
          <w:pgMar w:top="1440" w:right="1440" w:bottom="1440" w:left="1440" w:header="720" w:footer="720" w:gutter="0"/>
          <w:pgNumType w:start="0"/>
          <w:cols w:space="720"/>
          <w:titlePg/>
          <w:docGrid w:linePitch="326"/>
        </w:sectPr>
      </w:pPr>
      <w:r>
        <w:rPr>
          <w:rFonts w:asciiTheme="majorHAnsi" w:hAnsiTheme="majorHAnsi"/>
          <w:noProof/>
          <w:sz w:val="18"/>
          <w:szCs w:val="22"/>
          <w:lang w:val="es-AR" w:eastAsia="es-AR"/>
        </w:rPr>
        <mc:AlternateContent>
          <mc:Choice Requires="wps">
            <w:drawing>
              <wp:anchor distT="0" distB="0" distL="114300" distR="114300" simplePos="0" relativeHeight="251658246" behindDoc="0" locked="0" layoutInCell="1" allowOverlap="1" wp14:anchorId="50472543" wp14:editId="7EFA0951">
                <wp:simplePos x="0" y="0"/>
                <wp:positionH relativeFrom="column">
                  <wp:posOffset>1327868</wp:posOffset>
                </wp:positionH>
                <wp:positionV relativeFrom="paragraph">
                  <wp:posOffset>489889</wp:posOffset>
                </wp:positionV>
                <wp:extent cx="4096385" cy="620284"/>
                <wp:effectExtent l="0" t="0" r="0" b="8890"/>
                <wp:wrapNone/>
                <wp:docPr id="9" name="Text Box 9"/>
                <wp:cNvGraphicFramePr/>
                <a:graphic xmlns:a="http://schemas.openxmlformats.org/drawingml/2006/main">
                  <a:graphicData uri="http://schemas.microsoft.com/office/word/2010/wordprocessingShape">
                    <wps:wsp>
                      <wps:cNvSpPr txBox="1"/>
                      <wps:spPr>
                        <a:xfrm>
                          <a:off x="0" y="0"/>
                          <a:ext cx="4096385" cy="62028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1ECD3C" w14:textId="065EB933" w:rsidR="00B27DD8" w:rsidRPr="00D72DC6" w:rsidRDefault="00F47A14" w:rsidP="00F02AD1">
                            <w:pPr>
                              <w:rPr>
                                <w:color w:val="FFFFFF" w:themeColor="background1"/>
                                <w14:textFill>
                                  <w14:noFill/>
                                </w14:textFill>
                              </w:rPr>
                            </w:pPr>
                            <w:r>
                              <w:rPr>
                                <w:noProof/>
                                <w:color w:val="FFFFFF" w:themeColor="background1"/>
                              </w:rPr>
                              <w:drawing>
                                <wp:inline distT="0" distB="0" distL="0" distR="0" wp14:anchorId="7AF3820F" wp14:editId="6AD183EA">
                                  <wp:extent cx="1199072" cy="469265"/>
                                  <wp:effectExtent l="0" t="0" r="1270"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16"/>
                                          <a:srcRect r="34274"/>
                                          <a:stretch>
                                            <a:fillRect/>
                                          </a:stretch>
                                        </pic:blipFill>
                                        <pic:spPr bwMode="auto">
                                          <a:xfrm>
                                            <a:off x="0" y="0"/>
                                            <a:ext cx="1199072" cy="46926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72543" id="Text Box 9" o:spid="_x0000_s1032" type="#_x0000_t202" style="position:absolute;left:0;text-align:left;margin-left:104.55pt;margin-top:38.55pt;width:322.55pt;height:48.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ACveAIAAGwFAAAOAAAAZHJzL2Uyb0RvYy54bWysVEtPGzEQvlfqf7B8L7sJgULEBqUgqkqo&#10;oELF2fHaxKrX49qT7Ka/vmPv5lHKhaqX3bHn/fmbubjsGsvWKkQDruKjo5Iz5STUxj1X/PvjzYcz&#10;ziIKVwsLTlV8oyK/nL1/d9H6qRrDEmytAqMgLk5bX/Elop8WRZRL1Yh4BF45UmoIjUA6hueiDqKl&#10;6I0txmV5WrQQah9Aqhjp9rpX8lmOr7WSeKd1VMhsxak2zN+Qv4v0LWYXYvochF8aOZQh/qGKRhhH&#10;SXehrgUKtgrmr1CNkQEiaDyS0BSgtZEq90DdjMoX3TwshVe5FwIn+h1M8f+FlV/XD/4+MOw+QUcP&#10;mABpfZxGukz9dDo06U+VMtIThJsdbKpDJulyUp6fHp+dcCZJdzoux2eTFKbYe/sQ8bOChiWh4oGe&#10;JaMl1rcRe9OtSUoWwZr6xlibD4kK6soGthb0iBZzjRT8DyvrWEvJj0/KHNhBcu8jW5fCqEyGId2+&#10;wyzhxqpkY903pZmpc6Ov5BZSKrfLn62TlaZUb3Ec7PdVvcW574M8cmZwuHNujIOQu8/Ts4es/rGF&#10;TPf29DYHfScRu0VHjROCWwIsoN4QLwL0IxO9vDH0eLci4r0INCNEBZp7vKOPtkDgwyBxtoTw67X7&#10;ZE/UJS1nLc1cxePPlQiKM/vFEanPR5NJGtJ8mJx8HNMhHGoWhxq3aq6AGDGiDeNlFpM92q2oAzRP&#10;tB7mKSuphJOUu+K4Fa+w3wS0XqSaz7MRjaUXeOsevEyhE8qJmo/dkwh+4C8S87/CdjrF9AWNe9vk&#10;6WC+QtAmczzh3KM64E8jnadkWD9pZxyes9V+Sc5+AwAA//8DAFBLAwQUAAYACAAAACEARTSNOeIA&#10;AAAKAQAADwAAAGRycy9kb3ducmV2LnhtbEyPTU+DQBCG7yb+h82YeDF2KW0FkaUxRm3izeJHvG3Z&#10;EYjsLGG3gP/e8aSnyWSevPO8+Xa2nRhx8K0jBctFBAKpcqalWsFL+XCZgvBBk9GdI1TwjR62xelJ&#10;rjPjJnrGcR9qwSHkM62gCaHPpPRVg1b7heuR+PbpBqsDr0MtzaAnDredjKPoSlrdEn9odI93DVZf&#10;+6NV8HFRvz/5+fF1Wm1W/f1uLJM3Uyp1fjbf3oAIOIc/GH71WR0Kdjq4IxkvOgVxdL1kVEGS8GQg&#10;3axjEAcmk3UKssjl/wrFDwAAAP//AwBQSwECLQAUAAYACAAAACEAtoM4kv4AAADhAQAAEwAAAAAA&#10;AAAAAAAAAAAAAAAAW0NvbnRlbnRfVHlwZXNdLnhtbFBLAQItABQABgAIAAAAIQA4/SH/1gAAAJQB&#10;AAALAAAAAAAAAAAAAAAAAC8BAABfcmVscy8ucmVsc1BLAQItABQABgAIAAAAIQAicACveAIAAGwF&#10;AAAOAAAAAAAAAAAAAAAAAC4CAABkcnMvZTJvRG9jLnhtbFBLAQItABQABgAIAAAAIQBFNI054gAA&#10;AAoBAAAPAAAAAAAAAAAAAAAAANIEAABkcnMvZG93bnJldi54bWxQSwUGAAAAAAQABADzAAAA4QUA&#10;AAAA&#10;" fillcolor="white [3201]" stroked="f" strokeweight=".5pt">
                <v:textbox>
                  <w:txbxContent>
                    <w:p w14:paraId="2A1ECD3C" w14:textId="065EB933" w:rsidR="00B27DD8" w:rsidRPr="00D72DC6" w:rsidRDefault="00F47A14" w:rsidP="00F02AD1">
                      <w:pPr>
                        <w:rPr>
                          <w:color w:val="FFFFFF" w:themeColor="background1"/>
                          <w14:textFill>
                            <w14:noFill/>
                          </w14:textFill>
                        </w:rPr>
                      </w:pPr>
                      <w:r>
                        <w:rPr>
                          <w:noProof/>
                          <w:color w:val="FFFFFF" w:themeColor="background1"/>
                        </w:rPr>
                        <w:drawing>
                          <wp:inline distT="0" distB="0" distL="0" distR="0" wp14:anchorId="7AF3820F" wp14:editId="6AD183EA">
                            <wp:extent cx="1199072" cy="469265"/>
                            <wp:effectExtent l="0" t="0" r="1270"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16"/>
                                    <a:srcRect r="34274"/>
                                    <a:stretch>
                                      <a:fillRect/>
                                    </a:stretch>
                                  </pic:blipFill>
                                  <pic:spPr bwMode="auto">
                                    <a:xfrm>
                                      <a:off x="0" y="0"/>
                                      <a:ext cx="1199072" cy="469265"/>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4A6A54">
        <w:rPr>
          <w:rFonts w:asciiTheme="majorHAnsi" w:hAnsiTheme="majorHAnsi"/>
          <w:b/>
          <w:sz w:val="20"/>
          <w:lang w:val="es-ES_tradnl"/>
        </w:rPr>
        <w:tab/>
      </w:r>
    </w:p>
    <w:p w14:paraId="376DDC8B" w14:textId="77777777" w:rsidR="003239B8" w:rsidRPr="000419AD" w:rsidRDefault="003239B8" w:rsidP="004A6A54">
      <w:pPr>
        <w:spacing w:after="240"/>
        <w:ind w:firstLine="720"/>
        <w:jc w:val="both"/>
        <w:rPr>
          <w:rFonts w:asciiTheme="majorHAnsi" w:hAnsiTheme="majorHAnsi"/>
          <w:b/>
          <w:bCs/>
          <w:sz w:val="20"/>
          <w:szCs w:val="20"/>
          <w:lang w:val="es-ES"/>
        </w:rPr>
      </w:pPr>
      <w:r w:rsidRPr="000419AD">
        <w:rPr>
          <w:rFonts w:asciiTheme="majorHAnsi" w:hAnsiTheme="majorHAnsi"/>
          <w:b/>
          <w:bCs/>
          <w:sz w:val="20"/>
          <w:szCs w:val="20"/>
          <w:lang w:val="es-ES"/>
        </w:rPr>
        <w:lastRenderedPageBreak/>
        <w:t>I.</w:t>
      </w:r>
      <w:r w:rsidRPr="000419AD">
        <w:rPr>
          <w:rFonts w:asciiTheme="majorHAnsi" w:hAnsiTheme="majorHAnsi"/>
          <w:b/>
          <w:bCs/>
          <w:sz w:val="20"/>
          <w:szCs w:val="20"/>
          <w:lang w:val="es-ES"/>
        </w:rPr>
        <w:tab/>
        <w:t xml:space="preserve">DATOS DE LA PETICIÓN </w:t>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3239B8" w:rsidRPr="00D001FB" w14:paraId="5A79D1F7" w14:textId="77777777" w:rsidTr="004A6A54">
        <w:tc>
          <w:tcPr>
            <w:tcW w:w="3600" w:type="dxa"/>
            <w:tcBorders>
              <w:top w:val="single" w:sz="4" w:space="0" w:color="auto"/>
              <w:bottom w:val="single" w:sz="6" w:space="0" w:color="auto"/>
            </w:tcBorders>
            <w:shd w:val="clear" w:color="auto" w:fill="386294"/>
            <w:vAlign w:val="center"/>
          </w:tcPr>
          <w:p w14:paraId="0CB2A43B" w14:textId="77777777" w:rsidR="003239B8" w:rsidRPr="000D05CB" w:rsidRDefault="003239B8" w:rsidP="002D58FA">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Parte peticionaria:</w:t>
            </w:r>
          </w:p>
        </w:tc>
        <w:tc>
          <w:tcPr>
            <w:tcW w:w="5760" w:type="dxa"/>
            <w:vAlign w:val="center"/>
          </w:tcPr>
          <w:p w14:paraId="3C5315D8" w14:textId="44184666" w:rsidR="003239B8" w:rsidRPr="00D13530" w:rsidRDefault="007537A7" w:rsidP="00D13530">
            <w:pPr>
              <w:jc w:val="both"/>
              <w:rPr>
                <w:rFonts w:ascii="Cambria" w:hAnsi="Cambria"/>
                <w:bCs/>
                <w:sz w:val="20"/>
                <w:szCs w:val="20"/>
                <w:lang w:val="es-PE"/>
              </w:rPr>
            </w:pPr>
            <w:r w:rsidRPr="00D001FB">
              <w:rPr>
                <w:rFonts w:ascii="Cambria" w:hAnsi="Cambria"/>
                <w:bCs/>
                <w:sz w:val="20"/>
                <w:szCs w:val="20"/>
                <w:lang w:val="es-ES"/>
              </w:rPr>
              <w:t>Antonio María Hernández</w:t>
            </w:r>
          </w:p>
        </w:tc>
      </w:tr>
      <w:tr w:rsidR="003239B8" w:rsidRPr="0050589E" w14:paraId="593A7E45" w14:textId="77777777" w:rsidTr="004A6A54">
        <w:tc>
          <w:tcPr>
            <w:tcW w:w="3600" w:type="dxa"/>
            <w:tcBorders>
              <w:top w:val="single" w:sz="6" w:space="0" w:color="auto"/>
              <w:bottom w:val="single" w:sz="6" w:space="0" w:color="auto"/>
            </w:tcBorders>
            <w:shd w:val="clear" w:color="auto" w:fill="386294"/>
            <w:vAlign w:val="center"/>
          </w:tcPr>
          <w:p w14:paraId="0E78CA0C" w14:textId="77777777" w:rsidR="003239B8" w:rsidRPr="000D05CB" w:rsidRDefault="00757CFB" w:rsidP="002D58FA">
            <w:pPr>
              <w:jc w:val="center"/>
              <w:rPr>
                <w:rFonts w:ascii="Cambria" w:hAnsi="Cambria"/>
                <w:b/>
                <w:bCs/>
                <w:color w:val="FFFFFF" w:themeColor="background1"/>
                <w:sz w:val="20"/>
                <w:szCs w:val="20"/>
              </w:rPr>
            </w:pPr>
            <w:sdt>
              <w:sdtPr>
                <w:rPr>
                  <w:rFonts w:ascii="Cambria" w:hAnsi="Cambria"/>
                  <w:b/>
                  <w:bCs/>
                  <w:color w:val="FFFFFF" w:themeColor="background1"/>
                  <w:sz w:val="20"/>
                  <w:szCs w:val="20"/>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3239B8" w:rsidRPr="000D05CB">
                  <w:rPr>
                    <w:rFonts w:ascii="Cambria" w:hAnsi="Cambria"/>
                    <w:b/>
                    <w:bCs/>
                    <w:color w:val="FFFFFF" w:themeColor="background1"/>
                    <w:sz w:val="20"/>
                    <w:szCs w:val="20"/>
                  </w:rPr>
                  <w:t>Presunta víctima</w:t>
                </w:r>
              </w:sdtContent>
            </w:sdt>
            <w:r w:rsidR="003239B8" w:rsidRPr="000D05CB">
              <w:rPr>
                <w:rFonts w:ascii="Cambria" w:hAnsi="Cambria"/>
                <w:b/>
                <w:bCs/>
                <w:color w:val="FFFFFF" w:themeColor="background1"/>
                <w:sz w:val="20"/>
                <w:szCs w:val="20"/>
              </w:rPr>
              <w:t>:</w:t>
            </w:r>
          </w:p>
        </w:tc>
        <w:tc>
          <w:tcPr>
            <w:tcW w:w="5760" w:type="dxa"/>
            <w:vAlign w:val="center"/>
          </w:tcPr>
          <w:p w14:paraId="4AEBF59E" w14:textId="786EF12C" w:rsidR="003239B8" w:rsidRPr="007537A7" w:rsidRDefault="007537A7" w:rsidP="002D58FA">
            <w:pPr>
              <w:jc w:val="both"/>
              <w:rPr>
                <w:rFonts w:ascii="Cambria" w:hAnsi="Cambria"/>
                <w:bCs/>
                <w:sz w:val="20"/>
                <w:szCs w:val="20"/>
                <w:lang w:val="es-US"/>
              </w:rPr>
            </w:pPr>
            <w:r w:rsidRPr="007537A7">
              <w:rPr>
                <w:rFonts w:ascii="Cambria" w:hAnsi="Cambria"/>
                <w:bCs/>
                <w:sz w:val="20"/>
                <w:szCs w:val="20"/>
                <w:lang w:val="es-US"/>
              </w:rPr>
              <w:t>Jorge Oscar Álvarez y otros</w:t>
            </w:r>
            <w:r w:rsidR="002A250D">
              <w:rPr>
                <w:rStyle w:val="FootnoteReference"/>
                <w:rFonts w:ascii="Cambria" w:hAnsi="Cambria"/>
                <w:bCs/>
                <w:sz w:val="20"/>
                <w:szCs w:val="20"/>
                <w:lang w:val="es-US"/>
              </w:rPr>
              <w:footnoteReference w:id="2"/>
            </w:r>
          </w:p>
        </w:tc>
      </w:tr>
      <w:tr w:rsidR="003239B8" w14:paraId="3E62E1D3" w14:textId="77777777" w:rsidTr="004A6A54">
        <w:tc>
          <w:tcPr>
            <w:tcW w:w="3600" w:type="dxa"/>
            <w:tcBorders>
              <w:top w:val="single" w:sz="6" w:space="0" w:color="auto"/>
              <w:bottom w:val="single" w:sz="6" w:space="0" w:color="auto"/>
            </w:tcBorders>
            <w:shd w:val="clear" w:color="auto" w:fill="386294"/>
            <w:vAlign w:val="center"/>
          </w:tcPr>
          <w:p w14:paraId="340B0F09" w14:textId="77777777" w:rsidR="003239B8" w:rsidRPr="000D05CB" w:rsidRDefault="003239B8" w:rsidP="002D58FA">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Estado denunciado:</w:t>
            </w:r>
          </w:p>
        </w:tc>
        <w:tc>
          <w:tcPr>
            <w:tcW w:w="5760" w:type="dxa"/>
            <w:vAlign w:val="center"/>
          </w:tcPr>
          <w:p w14:paraId="274C8A50" w14:textId="54E9A0DF" w:rsidR="003239B8" w:rsidRPr="000D05CB" w:rsidRDefault="007537A7" w:rsidP="002D58FA">
            <w:pPr>
              <w:jc w:val="both"/>
              <w:rPr>
                <w:rFonts w:ascii="Cambria" w:hAnsi="Cambria"/>
                <w:bCs/>
                <w:sz w:val="20"/>
                <w:szCs w:val="20"/>
              </w:rPr>
            </w:pPr>
            <w:r>
              <w:rPr>
                <w:rFonts w:ascii="Cambria" w:hAnsi="Cambria"/>
                <w:bCs/>
                <w:sz w:val="20"/>
                <w:szCs w:val="20"/>
              </w:rPr>
              <w:t>Argentina</w:t>
            </w:r>
            <w:r w:rsidR="0003441B">
              <w:rPr>
                <w:rStyle w:val="FootnoteReference"/>
                <w:rFonts w:ascii="Cambria" w:hAnsi="Cambria"/>
                <w:bCs/>
                <w:sz w:val="20"/>
                <w:szCs w:val="20"/>
              </w:rPr>
              <w:footnoteReference w:id="3"/>
            </w:r>
          </w:p>
        </w:tc>
      </w:tr>
      <w:tr w:rsidR="00223A29" w:rsidRPr="0050589E" w14:paraId="632511BC" w14:textId="77777777" w:rsidTr="004A6A54">
        <w:tc>
          <w:tcPr>
            <w:tcW w:w="3600" w:type="dxa"/>
            <w:tcBorders>
              <w:top w:val="single" w:sz="6" w:space="0" w:color="auto"/>
              <w:bottom w:val="single" w:sz="6" w:space="0" w:color="auto"/>
            </w:tcBorders>
            <w:shd w:val="clear" w:color="auto" w:fill="386294"/>
            <w:vAlign w:val="center"/>
          </w:tcPr>
          <w:p w14:paraId="727E2F6B" w14:textId="60AEE329" w:rsidR="00223A29" w:rsidRPr="000D05CB" w:rsidRDefault="001B3A00" w:rsidP="00E4118C">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 xml:space="preserve">Derechos </w:t>
            </w:r>
            <w:r w:rsidR="00E4118C" w:rsidRPr="000D05CB">
              <w:rPr>
                <w:rFonts w:ascii="Cambria" w:hAnsi="Cambria"/>
                <w:b/>
                <w:bCs/>
                <w:color w:val="FFFFFF" w:themeColor="background1"/>
                <w:sz w:val="20"/>
                <w:szCs w:val="20"/>
              </w:rPr>
              <w:t>invocados</w:t>
            </w:r>
            <w:r w:rsidRPr="000D05CB">
              <w:rPr>
                <w:rFonts w:ascii="Cambria" w:hAnsi="Cambria"/>
                <w:b/>
                <w:bCs/>
                <w:color w:val="FFFFFF" w:themeColor="background1"/>
                <w:sz w:val="20"/>
                <w:szCs w:val="20"/>
              </w:rPr>
              <w:t>:</w:t>
            </w:r>
          </w:p>
        </w:tc>
        <w:tc>
          <w:tcPr>
            <w:tcW w:w="5760" w:type="dxa"/>
            <w:vAlign w:val="center"/>
          </w:tcPr>
          <w:p w14:paraId="6DEE1EEB" w14:textId="58F9186A" w:rsidR="00223A29" w:rsidRPr="00D75707" w:rsidRDefault="00D75707" w:rsidP="002D58FA">
            <w:pPr>
              <w:jc w:val="both"/>
              <w:rPr>
                <w:rFonts w:ascii="Cambria" w:hAnsi="Cambria"/>
                <w:bCs/>
                <w:sz w:val="20"/>
                <w:szCs w:val="20"/>
                <w:lang w:val="es-US"/>
              </w:rPr>
            </w:pPr>
            <w:r w:rsidRPr="00D77308">
              <w:rPr>
                <w:rFonts w:ascii="Cambria" w:hAnsi="Cambria"/>
                <w:bCs/>
                <w:sz w:val="20"/>
                <w:szCs w:val="20"/>
                <w:lang w:val="es-ES"/>
              </w:rPr>
              <w:t xml:space="preserve">Artículos </w:t>
            </w:r>
            <w:r w:rsidR="001A10ED">
              <w:rPr>
                <w:rFonts w:ascii="Cambria" w:hAnsi="Cambria"/>
                <w:bCs/>
                <w:sz w:val="20"/>
                <w:szCs w:val="20"/>
                <w:lang w:val="es-ES"/>
              </w:rPr>
              <w:t>21 (propiedad) y 24 (igualdad)</w:t>
            </w:r>
            <w:r w:rsidRPr="00D77308">
              <w:rPr>
                <w:rFonts w:ascii="Cambria" w:hAnsi="Cambria"/>
                <w:bCs/>
                <w:sz w:val="20"/>
                <w:szCs w:val="20"/>
                <w:lang w:val="es-ES"/>
              </w:rPr>
              <w:t xml:space="preserve"> de la Convención Americana sobre Derechos Humanos</w:t>
            </w:r>
            <w:r w:rsidRPr="00D77308">
              <w:rPr>
                <w:rStyle w:val="FootnoteReference"/>
                <w:rFonts w:ascii="Cambria" w:hAnsi="Cambria"/>
                <w:bCs/>
                <w:sz w:val="20"/>
                <w:szCs w:val="20"/>
                <w:lang w:val="es-ES"/>
              </w:rPr>
              <w:footnoteReference w:id="4"/>
            </w:r>
          </w:p>
        </w:tc>
      </w:tr>
    </w:tbl>
    <w:p w14:paraId="20263696" w14:textId="77777777" w:rsidR="003239B8" w:rsidRPr="00E4118C" w:rsidRDefault="003239B8" w:rsidP="003239B8">
      <w:pPr>
        <w:spacing w:before="240" w:after="240"/>
        <w:ind w:firstLine="720"/>
        <w:jc w:val="both"/>
        <w:rPr>
          <w:rFonts w:asciiTheme="majorHAnsi" w:hAnsiTheme="majorHAnsi"/>
          <w:b/>
          <w:bCs/>
          <w:sz w:val="20"/>
          <w:szCs w:val="20"/>
          <w:lang w:val="es-ES"/>
        </w:rPr>
      </w:pPr>
      <w:r w:rsidRPr="004C2312">
        <w:rPr>
          <w:rFonts w:asciiTheme="majorHAnsi" w:hAnsiTheme="majorHAnsi"/>
          <w:b/>
          <w:bCs/>
          <w:sz w:val="20"/>
          <w:szCs w:val="20"/>
          <w:lang w:val="es-ES"/>
        </w:rPr>
        <w:t>II.</w:t>
      </w:r>
      <w:r w:rsidRPr="004C2312">
        <w:rPr>
          <w:rFonts w:asciiTheme="majorHAnsi" w:hAnsiTheme="majorHAnsi"/>
          <w:b/>
          <w:bCs/>
          <w:sz w:val="20"/>
          <w:szCs w:val="20"/>
          <w:lang w:val="es-ES"/>
        </w:rPr>
        <w:tab/>
        <w:t>TRÁMITE ANTE LA CIDH</w:t>
      </w:r>
      <w:r w:rsidR="008E3BFE" w:rsidRPr="008E3BFE">
        <w:rPr>
          <w:rStyle w:val="FootnoteReference"/>
          <w:rFonts w:ascii="Cambria" w:hAnsi="Cambria"/>
          <w:b/>
          <w:sz w:val="20"/>
          <w:szCs w:val="20"/>
        </w:rPr>
        <w:footnoteReference w:id="5"/>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4C2312" w:rsidRPr="004A6A54" w14:paraId="306EFCB0" w14:textId="77777777" w:rsidTr="004A6A54">
        <w:tc>
          <w:tcPr>
            <w:tcW w:w="3600" w:type="dxa"/>
            <w:tcBorders>
              <w:top w:val="single" w:sz="6" w:space="0" w:color="auto"/>
              <w:bottom w:val="single" w:sz="6" w:space="0" w:color="auto"/>
            </w:tcBorders>
            <w:shd w:val="clear" w:color="auto" w:fill="386294"/>
            <w:vAlign w:val="center"/>
          </w:tcPr>
          <w:p w14:paraId="7508D16F" w14:textId="653461D7" w:rsidR="004C2312"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P</w:t>
            </w:r>
            <w:r w:rsidR="004C2312" w:rsidRPr="003239B8">
              <w:rPr>
                <w:rFonts w:ascii="Cambria" w:hAnsi="Cambria"/>
                <w:b/>
                <w:bCs/>
                <w:color w:val="FFFFFF" w:themeColor="background1"/>
                <w:sz w:val="20"/>
                <w:szCs w:val="20"/>
                <w:lang w:val="es-ES"/>
              </w:rPr>
              <w:t>resentación de la petición:</w:t>
            </w:r>
          </w:p>
        </w:tc>
        <w:tc>
          <w:tcPr>
            <w:tcW w:w="5760" w:type="dxa"/>
            <w:vAlign w:val="center"/>
          </w:tcPr>
          <w:p w14:paraId="6E579153" w14:textId="7AB9FC1B" w:rsidR="004C2312" w:rsidRPr="003239B8" w:rsidRDefault="0045636E" w:rsidP="002D58FA">
            <w:pPr>
              <w:jc w:val="both"/>
              <w:rPr>
                <w:rFonts w:ascii="Cambria" w:hAnsi="Cambria"/>
                <w:bCs/>
                <w:sz w:val="20"/>
                <w:szCs w:val="20"/>
                <w:lang w:val="es-ES"/>
              </w:rPr>
            </w:pPr>
            <w:r>
              <w:rPr>
                <w:rFonts w:ascii="Cambria" w:hAnsi="Cambria"/>
                <w:bCs/>
                <w:sz w:val="20"/>
                <w:szCs w:val="20"/>
                <w:lang w:val="es-ES"/>
              </w:rPr>
              <w:t>4 de enero de 2016</w:t>
            </w:r>
          </w:p>
        </w:tc>
      </w:tr>
      <w:tr w:rsidR="004C2312" w:rsidRPr="003C51ED" w14:paraId="1BDCD5C6" w14:textId="77777777" w:rsidTr="004A6A54">
        <w:tc>
          <w:tcPr>
            <w:tcW w:w="3600" w:type="dxa"/>
            <w:tcBorders>
              <w:top w:val="single" w:sz="6" w:space="0" w:color="auto"/>
              <w:bottom w:val="single" w:sz="6" w:space="0" w:color="auto"/>
            </w:tcBorders>
            <w:shd w:val="clear" w:color="auto" w:fill="386294"/>
            <w:vAlign w:val="center"/>
          </w:tcPr>
          <w:p w14:paraId="7A18664F" w14:textId="73FE510C"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N</w:t>
            </w:r>
            <w:r w:rsidR="004C2312" w:rsidRPr="003239B8">
              <w:rPr>
                <w:rFonts w:ascii="Cambria" w:hAnsi="Cambria"/>
                <w:b/>
                <w:color w:val="FFFFFF" w:themeColor="background1"/>
                <w:sz w:val="20"/>
                <w:szCs w:val="20"/>
                <w:lang w:val="es-ES"/>
              </w:rPr>
              <w:t>otificación de la petición al Estado:</w:t>
            </w:r>
          </w:p>
        </w:tc>
        <w:tc>
          <w:tcPr>
            <w:tcW w:w="5760" w:type="dxa"/>
            <w:vAlign w:val="center"/>
          </w:tcPr>
          <w:p w14:paraId="1519DA6A" w14:textId="773F4A08" w:rsidR="004C2312" w:rsidRPr="003239B8" w:rsidRDefault="00AC1C27" w:rsidP="002D58FA">
            <w:pPr>
              <w:jc w:val="both"/>
              <w:rPr>
                <w:rFonts w:ascii="Cambria" w:hAnsi="Cambria"/>
                <w:bCs/>
                <w:sz w:val="20"/>
                <w:szCs w:val="20"/>
                <w:lang w:val="es-ES"/>
              </w:rPr>
            </w:pPr>
            <w:r>
              <w:rPr>
                <w:rFonts w:ascii="Cambria" w:hAnsi="Cambria"/>
                <w:bCs/>
                <w:sz w:val="20"/>
                <w:szCs w:val="20"/>
                <w:lang w:val="es-ES"/>
              </w:rPr>
              <w:t>2 de octubre de 2022</w:t>
            </w:r>
          </w:p>
        </w:tc>
      </w:tr>
      <w:tr w:rsidR="004C2312" w:rsidRPr="004A6A54" w14:paraId="6147A8D5" w14:textId="77777777" w:rsidTr="004A6A54">
        <w:tc>
          <w:tcPr>
            <w:tcW w:w="3600" w:type="dxa"/>
            <w:tcBorders>
              <w:top w:val="single" w:sz="6" w:space="0" w:color="auto"/>
              <w:bottom w:val="single" w:sz="6" w:space="0" w:color="auto"/>
            </w:tcBorders>
            <w:shd w:val="clear" w:color="auto" w:fill="386294"/>
            <w:vAlign w:val="center"/>
          </w:tcPr>
          <w:p w14:paraId="0201C86D" w14:textId="4A5EC6F9"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P</w:t>
            </w:r>
            <w:r w:rsidR="004C2312" w:rsidRPr="003239B8">
              <w:rPr>
                <w:rFonts w:ascii="Cambria" w:hAnsi="Cambria"/>
                <w:b/>
                <w:color w:val="FFFFFF" w:themeColor="background1"/>
                <w:sz w:val="20"/>
                <w:szCs w:val="20"/>
                <w:lang w:val="es-ES"/>
              </w:rPr>
              <w:t>rimera respuesta del Estado:</w:t>
            </w:r>
          </w:p>
        </w:tc>
        <w:tc>
          <w:tcPr>
            <w:tcW w:w="5760" w:type="dxa"/>
            <w:vAlign w:val="center"/>
          </w:tcPr>
          <w:p w14:paraId="1972B99E" w14:textId="292F475A" w:rsidR="004C2312" w:rsidRPr="003239B8" w:rsidRDefault="002B3DDF" w:rsidP="002D58FA">
            <w:pPr>
              <w:jc w:val="both"/>
              <w:rPr>
                <w:rFonts w:ascii="Cambria" w:hAnsi="Cambria"/>
                <w:bCs/>
                <w:sz w:val="20"/>
                <w:szCs w:val="20"/>
                <w:lang w:val="es-ES"/>
              </w:rPr>
            </w:pPr>
            <w:r>
              <w:rPr>
                <w:rFonts w:ascii="Cambria" w:hAnsi="Cambria"/>
                <w:bCs/>
                <w:sz w:val="20"/>
                <w:szCs w:val="20"/>
                <w:lang w:val="es-ES"/>
              </w:rPr>
              <w:t>23 de enero de 2023</w:t>
            </w:r>
          </w:p>
        </w:tc>
      </w:tr>
      <w:tr w:rsidR="004C2312" w:rsidRPr="0050589E" w14:paraId="322668B6" w14:textId="77777777" w:rsidTr="004A6A54">
        <w:tc>
          <w:tcPr>
            <w:tcW w:w="3600" w:type="dxa"/>
            <w:tcBorders>
              <w:top w:val="single" w:sz="6" w:space="0" w:color="auto"/>
              <w:bottom w:val="single" w:sz="6" w:space="0" w:color="auto"/>
            </w:tcBorders>
            <w:shd w:val="clear" w:color="auto" w:fill="386294"/>
            <w:vAlign w:val="center"/>
          </w:tcPr>
          <w:p w14:paraId="1524DA55" w14:textId="77777777" w:rsidR="004C2312" w:rsidRPr="003239B8" w:rsidRDefault="008E3BFE" w:rsidP="008E3BFE">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Observaciones adicionales de la parte peticionaria:</w:t>
            </w:r>
          </w:p>
        </w:tc>
        <w:tc>
          <w:tcPr>
            <w:tcW w:w="5760" w:type="dxa"/>
            <w:vAlign w:val="center"/>
          </w:tcPr>
          <w:p w14:paraId="41D8B862" w14:textId="53882D3A" w:rsidR="004C2312" w:rsidRPr="003239B8" w:rsidRDefault="002A0B33" w:rsidP="002D58FA">
            <w:pPr>
              <w:jc w:val="both"/>
              <w:rPr>
                <w:rFonts w:ascii="Cambria" w:hAnsi="Cambria"/>
                <w:bCs/>
                <w:sz w:val="20"/>
                <w:szCs w:val="20"/>
                <w:lang w:val="es-ES"/>
              </w:rPr>
            </w:pPr>
            <w:r>
              <w:rPr>
                <w:rFonts w:ascii="Cambria" w:hAnsi="Cambria"/>
                <w:bCs/>
                <w:sz w:val="20"/>
                <w:szCs w:val="20"/>
                <w:lang w:val="es-ES"/>
              </w:rPr>
              <w:t xml:space="preserve">21 de noviembre de 2023; </w:t>
            </w:r>
            <w:r w:rsidR="00195C25">
              <w:rPr>
                <w:rFonts w:ascii="Cambria" w:hAnsi="Cambria"/>
                <w:bCs/>
                <w:sz w:val="20"/>
                <w:szCs w:val="20"/>
                <w:lang w:val="es-ES"/>
              </w:rPr>
              <w:t xml:space="preserve">29 de diciembre de 2023; </w:t>
            </w:r>
            <w:r w:rsidR="00D122C4">
              <w:rPr>
                <w:rFonts w:ascii="Cambria" w:hAnsi="Cambria"/>
                <w:bCs/>
                <w:sz w:val="20"/>
                <w:szCs w:val="20"/>
                <w:lang w:val="es-ES"/>
              </w:rPr>
              <w:t>4 de enero de 2024</w:t>
            </w:r>
            <w:r w:rsidR="000D563A">
              <w:rPr>
                <w:rFonts w:ascii="Cambria" w:hAnsi="Cambria"/>
                <w:bCs/>
                <w:sz w:val="20"/>
                <w:szCs w:val="20"/>
                <w:lang w:val="es-ES"/>
              </w:rPr>
              <w:t xml:space="preserve">; 8 de febrero de 2024; </w:t>
            </w:r>
            <w:r w:rsidR="00AE6901">
              <w:rPr>
                <w:rFonts w:ascii="Cambria" w:hAnsi="Cambria"/>
                <w:bCs/>
                <w:sz w:val="20"/>
                <w:szCs w:val="20"/>
                <w:lang w:val="es-ES"/>
              </w:rPr>
              <w:t xml:space="preserve">15 de abril de 2024 </w:t>
            </w:r>
            <w:r w:rsidR="00000332">
              <w:rPr>
                <w:rFonts w:ascii="Cambria" w:hAnsi="Cambria"/>
                <w:bCs/>
                <w:sz w:val="20"/>
                <w:szCs w:val="20"/>
                <w:lang w:val="es-ES"/>
              </w:rPr>
              <w:t>y 9 de abril de 2025</w:t>
            </w:r>
          </w:p>
        </w:tc>
      </w:tr>
      <w:tr w:rsidR="001E49E7" w:rsidRPr="007B76D3" w14:paraId="0F502B44" w14:textId="77777777" w:rsidTr="004A6A54">
        <w:tc>
          <w:tcPr>
            <w:tcW w:w="3600" w:type="dxa"/>
            <w:tcBorders>
              <w:top w:val="single" w:sz="6" w:space="0" w:color="auto"/>
              <w:bottom w:val="single" w:sz="6" w:space="0" w:color="auto"/>
            </w:tcBorders>
            <w:shd w:val="clear" w:color="auto" w:fill="386294"/>
            <w:vAlign w:val="center"/>
          </w:tcPr>
          <w:p w14:paraId="046FEDC0" w14:textId="71E42F00" w:rsidR="001E49E7" w:rsidRPr="003239B8" w:rsidRDefault="004A6A54" w:rsidP="00DD4AD2">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A</w:t>
            </w:r>
            <w:r w:rsidR="001E49E7" w:rsidRPr="003239B8">
              <w:rPr>
                <w:rFonts w:ascii="Cambria" w:hAnsi="Cambria"/>
                <w:b/>
                <w:bCs/>
                <w:color w:val="FFFFFF" w:themeColor="background1"/>
                <w:sz w:val="20"/>
                <w:szCs w:val="20"/>
                <w:lang w:val="es-ES"/>
              </w:rPr>
              <w:t>dvertencia sobre posible archivo:</w:t>
            </w:r>
          </w:p>
        </w:tc>
        <w:tc>
          <w:tcPr>
            <w:tcW w:w="5760" w:type="dxa"/>
            <w:vAlign w:val="center"/>
          </w:tcPr>
          <w:p w14:paraId="5500808B" w14:textId="4BE73430" w:rsidR="001E49E7" w:rsidRPr="003239B8" w:rsidRDefault="00EA1E6B" w:rsidP="002D58FA">
            <w:pPr>
              <w:jc w:val="both"/>
              <w:rPr>
                <w:rFonts w:ascii="Cambria" w:hAnsi="Cambria"/>
                <w:bCs/>
                <w:sz w:val="20"/>
                <w:szCs w:val="20"/>
                <w:lang w:val="es-ES"/>
              </w:rPr>
            </w:pPr>
            <w:r>
              <w:rPr>
                <w:rFonts w:ascii="Cambria" w:hAnsi="Cambria"/>
                <w:bCs/>
                <w:sz w:val="20"/>
                <w:szCs w:val="20"/>
                <w:lang w:val="es-ES"/>
              </w:rPr>
              <w:t>22 de octubre de 2020</w:t>
            </w:r>
          </w:p>
        </w:tc>
      </w:tr>
      <w:tr w:rsidR="001E49E7" w:rsidRPr="003C51ED" w14:paraId="789A7AF7" w14:textId="77777777" w:rsidTr="004A6A54">
        <w:tc>
          <w:tcPr>
            <w:tcW w:w="3600" w:type="dxa"/>
            <w:tcBorders>
              <w:top w:val="single" w:sz="6" w:space="0" w:color="auto"/>
              <w:bottom w:val="single" w:sz="6" w:space="0" w:color="auto"/>
            </w:tcBorders>
            <w:shd w:val="clear" w:color="auto" w:fill="386294"/>
            <w:vAlign w:val="center"/>
          </w:tcPr>
          <w:p w14:paraId="11989038" w14:textId="59EC032B" w:rsidR="001E49E7"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R</w:t>
            </w:r>
            <w:r w:rsidR="001E49E7" w:rsidRPr="003239B8">
              <w:rPr>
                <w:rFonts w:ascii="Cambria" w:hAnsi="Cambria"/>
                <w:b/>
                <w:bCs/>
                <w:color w:val="FFFFFF" w:themeColor="background1"/>
                <w:sz w:val="20"/>
                <w:szCs w:val="20"/>
                <w:lang w:val="es-ES"/>
              </w:rPr>
              <w:t xml:space="preserve">espuesta de la parte peticionaria ante advertencia </w:t>
            </w:r>
            <w:r w:rsidR="00DD4AD2">
              <w:rPr>
                <w:rFonts w:ascii="Cambria" w:hAnsi="Cambria"/>
                <w:b/>
                <w:bCs/>
                <w:color w:val="FFFFFF" w:themeColor="background1"/>
                <w:sz w:val="20"/>
                <w:szCs w:val="20"/>
                <w:lang w:val="es-ES"/>
              </w:rPr>
              <w:t xml:space="preserve">de </w:t>
            </w:r>
            <w:r w:rsidR="001E49E7" w:rsidRPr="003239B8">
              <w:rPr>
                <w:rFonts w:ascii="Cambria" w:hAnsi="Cambria"/>
                <w:b/>
                <w:bCs/>
                <w:color w:val="FFFFFF" w:themeColor="background1"/>
                <w:sz w:val="20"/>
                <w:szCs w:val="20"/>
                <w:lang w:val="es-ES"/>
              </w:rPr>
              <w:t>posible archivo:</w:t>
            </w:r>
          </w:p>
        </w:tc>
        <w:tc>
          <w:tcPr>
            <w:tcW w:w="5760" w:type="dxa"/>
            <w:vAlign w:val="center"/>
          </w:tcPr>
          <w:p w14:paraId="24E176E2" w14:textId="34DB82E0" w:rsidR="001E49E7" w:rsidRPr="003239B8" w:rsidRDefault="009D1DAE" w:rsidP="002D58FA">
            <w:pPr>
              <w:jc w:val="both"/>
              <w:rPr>
                <w:rFonts w:ascii="Cambria" w:hAnsi="Cambria"/>
                <w:bCs/>
                <w:sz w:val="20"/>
                <w:szCs w:val="20"/>
                <w:lang w:val="es-ES"/>
              </w:rPr>
            </w:pPr>
            <w:r>
              <w:rPr>
                <w:rFonts w:ascii="Cambria" w:hAnsi="Cambria"/>
                <w:bCs/>
                <w:sz w:val="20"/>
                <w:szCs w:val="20"/>
                <w:lang w:val="es-ES"/>
              </w:rPr>
              <w:t>3 de noviembre de 2020</w:t>
            </w:r>
          </w:p>
        </w:tc>
      </w:tr>
    </w:tbl>
    <w:p w14:paraId="21DAA666" w14:textId="7777777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III. </w:t>
      </w:r>
      <w:r w:rsidRPr="003239B8">
        <w:rPr>
          <w:rFonts w:asciiTheme="majorHAnsi" w:hAnsiTheme="majorHAnsi"/>
          <w:b/>
          <w:bCs/>
          <w:sz w:val="20"/>
          <w:szCs w:val="20"/>
          <w:lang w:val="es-ES"/>
        </w:rPr>
        <w:tab/>
        <w:t>COMPETENCIA</w:t>
      </w:r>
      <w:r w:rsidR="00EE00E9">
        <w:rPr>
          <w:rFonts w:asciiTheme="majorHAnsi" w:hAnsiTheme="majorHAnsi"/>
          <w:b/>
          <w:bCs/>
          <w:sz w:val="20"/>
          <w:szCs w:val="20"/>
          <w:lang w:val="es-ES"/>
        </w:rPr>
        <w:t xml:space="preserve"> </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1"/>
        <w:gridCol w:w="5776"/>
      </w:tblGrid>
      <w:tr w:rsidR="003239B8" w:rsidRPr="00540F17" w14:paraId="072532AD" w14:textId="77777777" w:rsidTr="003E6764">
        <w:trPr>
          <w:cantSplit/>
        </w:trPr>
        <w:tc>
          <w:tcPr>
            <w:tcW w:w="3561" w:type="dxa"/>
            <w:tcBorders>
              <w:top w:val="single" w:sz="4" w:space="0" w:color="auto"/>
              <w:bottom w:val="single" w:sz="6" w:space="0" w:color="auto"/>
            </w:tcBorders>
            <w:shd w:val="clear" w:color="auto" w:fill="386294"/>
            <w:vAlign w:val="center"/>
          </w:tcPr>
          <w:p w14:paraId="5C2E4B34" w14:textId="77777777" w:rsidR="003239B8" w:rsidRPr="00B3745F" w:rsidRDefault="003239B8" w:rsidP="002D58FA">
            <w:pPr>
              <w:jc w:val="center"/>
              <w:rPr>
                <w:rFonts w:ascii="Cambria" w:hAnsi="Cambria"/>
                <w:b/>
                <w:bCs/>
                <w:i/>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personae:</w:t>
            </w:r>
          </w:p>
        </w:tc>
        <w:tc>
          <w:tcPr>
            <w:tcW w:w="5776" w:type="dxa"/>
            <w:vAlign w:val="center"/>
          </w:tcPr>
          <w:p w14:paraId="7707F3E9" w14:textId="4A4D6ABA" w:rsidR="003239B8" w:rsidRPr="00B3745F" w:rsidRDefault="00DF1182" w:rsidP="002D58FA">
            <w:pPr>
              <w:rPr>
                <w:rFonts w:ascii="Cambria" w:hAnsi="Cambria"/>
                <w:bCs/>
                <w:sz w:val="20"/>
                <w:szCs w:val="20"/>
              </w:rPr>
            </w:pPr>
            <w:r>
              <w:rPr>
                <w:rFonts w:ascii="Cambria" w:hAnsi="Cambria"/>
                <w:bCs/>
                <w:sz w:val="20"/>
                <w:szCs w:val="20"/>
              </w:rPr>
              <w:t>Sí</w:t>
            </w:r>
          </w:p>
        </w:tc>
      </w:tr>
      <w:tr w:rsidR="003239B8" w:rsidRPr="00540F17" w14:paraId="4B8802DA" w14:textId="77777777" w:rsidTr="003E6764">
        <w:trPr>
          <w:cantSplit/>
        </w:trPr>
        <w:tc>
          <w:tcPr>
            <w:tcW w:w="3561" w:type="dxa"/>
            <w:tcBorders>
              <w:top w:val="single" w:sz="6" w:space="0" w:color="auto"/>
              <w:bottom w:val="single" w:sz="6" w:space="0" w:color="auto"/>
            </w:tcBorders>
            <w:shd w:val="clear" w:color="auto" w:fill="386294"/>
            <w:vAlign w:val="center"/>
          </w:tcPr>
          <w:p w14:paraId="3915C23B" w14:textId="77777777" w:rsidR="003239B8" w:rsidRPr="00B3745F" w:rsidRDefault="003239B8" w:rsidP="002D58FA">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loci</w:t>
            </w:r>
            <w:r w:rsidRPr="00B3745F">
              <w:rPr>
                <w:rFonts w:ascii="Cambria" w:hAnsi="Cambria"/>
                <w:b/>
                <w:bCs/>
                <w:color w:val="FFFFFF" w:themeColor="background1"/>
                <w:sz w:val="20"/>
                <w:szCs w:val="20"/>
              </w:rPr>
              <w:t>:</w:t>
            </w:r>
          </w:p>
        </w:tc>
        <w:tc>
          <w:tcPr>
            <w:tcW w:w="5776" w:type="dxa"/>
            <w:vAlign w:val="center"/>
          </w:tcPr>
          <w:p w14:paraId="12C931CB" w14:textId="18903B02" w:rsidR="003239B8" w:rsidRPr="00B3745F" w:rsidRDefault="00DF1182" w:rsidP="002D58FA">
            <w:pPr>
              <w:rPr>
                <w:rFonts w:ascii="Cambria" w:hAnsi="Cambria"/>
                <w:bCs/>
                <w:sz w:val="20"/>
                <w:szCs w:val="20"/>
              </w:rPr>
            </w:pPr>
            <w:r>
              <w:rPr>
                <w:rFonts w:ascii="Cambria" w:hAnsi="Cambria"/>
                <w:bCs/>
                <w:sz w:val="20"/>
                <w:szCs w:val="20"/>
              </w:rPr>
              <w:t>Sí</w:t>
            </w:r>
          </w:p>
        </w:tc>
      </w:tr>
      <w:tr w:rsidR="003239B8" w:rsidRPr="00540F17" w14:paraId="4362FDF3" w14:textId="77777777" w:rsidTr="003E6764">
        <w:trPr>
          <w:cantSplit/>
        </w:trPr>
        <w:tc>
          <w:tcPr>
            <w:tcW w:w="3561" w:type="dxa"/>
            <w:tcBorders>
              <w:top w:val="single" w:sz="6" w:space="0" w:color="auto"/>
              <w:bottom w:val="single" w:sz="6" w:space="0" w:color="auto"/>
            </w:tcBorders>
            <w:shd w:val="clear" w:color="auto" w:fill="386294"/>
            <w:vAlign w:val="center"/>
          </w:tcPr>
          <w:p w14:paraId="3BE23153" w14:textId="77777777" w:rsidR="003239B8" w:rsidRPr="00B3745F" w:rsidRDefault="003239B8" w:rsidP="002D58FA">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temporis</w:t>
            </w:r>
            <w:r w:rsidRPr="00B3745F">
              <w:rPr>
                <w:rFonts w:ascii="Cambria" w:hAnsi="Cambria"/>
                <w:b/>
                <w:bCs/>
                <w:color w:val="FFFFFF" w:themeColor="background1"/>
                <w:sz w:val="20"/>
                <w:szCs w:val="20"/>
              </w:rPr>
              <w:t>:</w:t>
            </w:r>
          </w:p>
        </w:tc>
        <w:tc>
          <w:tcPr>
            <w:tcW w:w="5776" w:type="dxa"/>
            <w:vAlign w:val="center"/>
          </w:tcPr>
          <w:p w14:paraId="6F8B059B" w14:textId="6D1507E6" w:rsidR="003239B8" w:rsidRPr="00B3745F" w:rsidRDefault="00091B40" w:rsidP="002D58FA">
            <w:pPr>
              <w:rPr>
                <w:rFonts w:ascii="Cambria" w:hAnsi="Cambria"/>
                <w:bCs/>
                <w:sz w:val="20"/>
                <w:szCs w:val="20"/>
              </w:rPr>
            </w:pPr>
            <w:r>
              <w:rPr>
                <w:rFonts w:ascii="Cambria" w:hAnsi="Cambria"/>
                <w:bCs/>
                <w:sz w:val="20"/>
                <w:szCs w:val="20"/>
              </w:rPr>
              <w:t>Sí</w:t>
            </w:r>
          </w:p>
        </w:tc>
      </w:tr>
      <w:tr w:rsidR="003239B8" w:rsidRPr="0050589E" w14:paraId="30ABEC3E" w14:textId="77777777" w:rsidTr="003E6764">
        <w:trPr>
          <w:cantSplit/>
        </w:trPr>
        <w:tc>
          <w:tcPr>
            <w:tcW w:w="3561" w:type="dxa"/>
            <w:tcBorders>
              <w:top w:val="single" w:sz="6" w:space="0" w:color="auto"/>
              <w:bottom w:val="single" w:sz="6" w:space="0" w:color="auto"/>
            </w:tcBorders>
            <w:shd w:val="clear" w:color="auto" w:fill="386294"/>
            <w:vAlign w:val="center"/>
          </w:tcPr>
          <w:p w14:paraId="47B529D2" w14:textId="77777777" w:rsidR="003239B8" w:rsidRPr="00B3745F" w:rsidRDefault="003239B8" w:rsidP="002D58FA">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materia</w:t>
            </w:r>
            <w:r w:rsidR="00EE00E9" w:rsidRPr="00B3745F">
              <w:rPr>
                <w:rFonts w:ascii="Cambria" w:hAnsi="Cambria"/>
                <w:b/>
                <w:bCs/>
                <w:i/>
                <w:color w:val="FFFFFF" w:themeColor="background1"/>
                <w:sz w:val="20"/>
                <w:szCs w:val="20"/>
              </w:rPr>
              <w:t>e</w:t>
            </w:r>
            <w:r w:rsidRPr="00B3745F">
              <w:rPr>
                <w:rFonts w:ascii="Cambria" w:hAnsi="Cambria"/>
                <w:b/>
                <w:bCs/>
                <w:color w:val="FFFFFF" w:themeColor="background1"/>
                <w:sz w:val="20"/>
                <w:szCs w:val="20"/>
              </w:rPr>
              <w:t>:</w:t>
            </w:r>
          </w:p>
        </w:tc>
        <w:tc>
          <w:tcPr>
            <w:tcW w:w="5776" w:type="dxa"/>
            <w:vAlign w:val="center"/>
          </w:tcPr>
          <w:p w14:paraId="0C122F44" w14:textId="44EEB7BB" w:rsidR="003239B8" w:rsidRPr="00B3745F" w:rsidRDefault="00091B40" w:rsidP="002D58FA">
            <w:pPr>
              <w:jc w:val="both"/>
              <w:rPr>
                <w:rFonts w:ascii="Cambria" w:hAnsi="Cambria"/>
                <w:bCs/>
                <w:sz w:val="20"/>
                <w:szCs w:val="20"/>
                <w:lang w:val="es-ES"/>
              </w:rPr>
            </w:pPr>
            <w:r w:rsidRPr="00D75707">
              <w:rPr>
                <w:rFonts w:ascii="Cambria" w:hAnsi="Cambria"/>
                <w:bCs/>
                <w:sz w:val="20"/>
                <w:szCs w:val="20"/>
                <w:lang w:val="es-US"/>
              </w:rPr>
              <w:t>Sí, Convención Americana (depósito del instrumento de ratificación realizado 5 de septiembre de 1984)</w:t>
            </w:r>
          </w:p>
        </w:tc>
      </w:tr>
    </w:tbl>
    <w:p w14:paraId="4E92C444" w14:textId="140CB1E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IV. </w:t>
      </w:r>
      <w:r w:rsidRPr="003239B8">
        <w:rPr>
          <w:rFonts w:asciiTheme="majorHAnsi" w:hAnsiTheme="majorHAnsi"/>
          <w:b/>
          <w:bCs/>
          <w:sz w:val="20"/>
          <w:szCs w:val="20"/>
          <w:lang w:val="es-ES"/>
        </w:rPr>
        <w:tab/>
      </w:r>
      <w:r w:rsidR="00EE00E9" w:rsidRPr="003239B8">
        <w:rPr>
          <w:rFonts w:asciiTheme="majorHAnsi" w:hAnsiTheme="majorHAnsi"/>
          <w:b/>
          <w:bCs/>
          <w:sz w:val="20"/>
          <w:szCs w:val="20"/>
          <w:lang w:val="es-ES"/>
        </w:rPr>
        <w:t>DUPLICACIÓN</w:t>
      </w:r>
      <w:r w:rsidR="00EE00E9" w:rsidRPr="003239B8">
        <w:rPr>
          <w:rFonts w:asciiTheme="majorHAnsi" w:hAnsiTheme="majorHAnsi"/>
          <w:b/>
          <w:bCs/>
          <w:color w:val="FFFFFF" w:themeColor="background1"/>
          <w:sz w:val="20"/>
          <w:szCs w:val="20"/>
          <w:lang w:val="es-ES"/>
        </w:rPr>
        <w:t xml:space="preserve"> </w:t>
      </w:r>
      <w:r w:rsidR="00EE00E9" w:rsidRPr="003239B8">
        <w:rPr>
          <w:rFonts w:asciiTheme="majorHAnsi" w:hAnsiTheme="majorHAnsi"/>
          <w:b/>
          <w:bCs/>
          <w:sz w:val="20"/>
          <w:szCs w:val="20"/>
          <w:lang w:val="es-ES"/>
        </w:rPr>
        <w:t>DE PROCEDIMIENTOS Y COSA JUZGADA</w:t>
      </w:r>
      <w:r w:rsidR="00EE00E9" w:rsidRPr="003239B8">
        <w:rPr>
          <w:rFonts w:asciiTheme="majorHAnsi" w:hAnsiTheme="majorHAnsi"/>
          <w:b/>
          <w:bCs/>
          <w:i/>
          <w:sz w:val="20"/>
          <w:szCs w:val="20"/>
          <w:lang w:val="es-ES"/>
        </w:rPr>
        <w:t xml:space="preserve"> </w:t>
      </w:r>
      <w:r w:rsidR="00EE00E9" w:rsidRPr="003239B8">
        <w:rPr>
          <w:rFonts w:asciiTheme="majorHAnsi" w:hAnsiTheme="majorHAnsi"/>
          <w:b/>
          <w:bCs/>
          <w:sz w:val="20"/>
          <w:szCs w:val="20"/>
          <w:lang w:val="es-ES"/>
        </w:rPr>
        <w:t>INTERNACIONAL</w:t>
      </w:r>
      <w:r w:rsidR="005D38F9">
        <w:rPr>
          <w:rFonts w:asciiTheme="majorHAnsi" w:hAnsiTheme="majorHAnsi"/>
          <w:b/>
          <w:bCs/>
          <w:sz w:val="20"/>
          <w:szCs w:val="20"/>
          <w:lang w:val="es-ES"/>
        </w:rPr>
        <w:t>,</w:t>
      </w:r>
      <w:r w:rsidRPr="003239B8">
        <w:rPr>
          <w:rFonts w:asciiTheme="majorHAnsi" w:hAnsiTheme="majorHAnsi"/>
          <w:b/>
          <w:bCs/>
          <w:sz w:val="20"/>
          <w:szCs w:val="20"/>
          <w:lang w:val="es-ES"/>
        </w:rPr>
        <w:t xml:space="preserve"> CARACTERIZACIÓN, </w:t>
      </w:r>
      <w:r w:rsidRPr="003239B8">
        <w:rPr>
          <w:rFonts w:asciiTheme="majorHAnsi" w:hAnsiTheme="majorHAnsi"/>
          <w:b/>
          <w:sz w:val="20"/>
          <w:szCs w:val="20"/>
          <w:lang w:val="es-ES"/>
        </w:rPr>
        <w:t>AGOTAMIENTO DE LOS RECURSOS INTERNOS Y PLAZO DE PRESENTACIÓN</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5"/>
        <w:gridCol w:w="5772"/>
      </w:tblGrid>
      <w:tr w:rsidR="00EE00E9" w:rsidRPr="003C51ED" w14:paraId="1231C988" w14:textId="77777777" w:rsidTr="003E6764">
        <w:trPr>
          <w:cantSplit/>
        </w:trPr>
        <w:tc>
          <w:tcPr>
            <w:tcW w:w="3565" w:type="dxa"/>
            <w:tcBorders>
              <w:top w:val="single" w:sz="4" w:space="0" w:color="auto"/>
              <w:bottom w:val="single" w:sz="6" w:space="0" w:color="auto"/>
            </w:tcBorders>
            <w:shd w:val="clear" w:color="auto" w:fill="386294"/>
            <w:vAlign w:val="center"/>
          </w:tcPr>
          <w:p w14:paraId="6F8031F4" w14:textId="77777777" w:rsidR="00EE00E9" w:rsidRPr="00DC24E3" w:rsidRDefault="00EE00E9" w:rsidP="002D58FA">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Duplicación de procedimientos y cosa juzgada internacional:</w:t>
            </w:r>
          </w:p>
        </w:tc>
        <w:tc>
          <w:tcPr>
            <w:tcW w:w="5772" w:type="dxa"/>
            <w:vAlign w:val="center"/>
          </w:tcPr>
          <w:p w14:paraId="240941E6" w14:textId="0175B896" w:rsidR="00EE00E9" w:rsidRPr="00DC24E3" w:rsidRDefault="001A10ED" w:rsidP="002D58FA">
            <w:pPr>
              <w:jc w:val="both"/>
              <w:rPr>
                <w:rFonts w:ascii="Cambria" w:hAnsi="Cambria"/>
                <w:bCs/>
                <w:sz w:val="20"/>
                <w:szCs w:val="20"/>
                <w:lang w:val="es-ES"/>
              </w:rPr>
            </w:pPr>
            <w:r>
              <w:rPr>
                <w:rFonts w:ascii="Cambria" w:hAnsi="Cambria"/>
                <w:bCs/>
                <w:sz w:val="20"/>
                <w:szCs w:val="20"/>
                <w:lang w:val="es-ES"/>
              </w:rPr>
              <w:t>No</w:t>
            </w:r>
          </w:p>
        </w:tc>
      </w:tr>
      <w:tr w:rsidR="003239B8" w:rsidRPr="0050589E" w14:paraId="15FAA7D1" w14:textId="77777777" w:rsidTr="003E6764">
        <w:trPr>
          <w:cantSplit/>
        </w:trPr>
        <w:tc>
          <w:tcPr>
            <w:tcW w:w="3565" w:type="dxa"/>
            <w:tcBorders>
              <w:top w:val="single" w:sz="4" w:space="0" w:color="auto"/>
              <w:bottom w:val="single" w:sz="6" w:space="0" w:color="auto"/>
            </w:tcBorders>
            <w:shd w:val="clear" w:color="auto" w:fill="386294"/>
            <w:vAlign w:val="center"/>
          </w:tcPr>
          <w:p w14:paraId="1B0D29FF" w14:textId="77777777" w:rsidR="003239B8" w:rsidRPr="00DC24E3" w:rsidRDefault="003239B8" w:rsidP="002D58FA">
            <w:pPr>
              <w:jc w:val="center"/>
              <w:rPr>
                <w:rFonts w:ascii="Cambria" w:hAnsi="Cambria"/>
                <w:b/>
                <w:bCs/>
                <w:i/>
                <w:color w:val="FFFFFF" w:themeColor="background1"/>
                <w:sz w:val="20"/>
                <w:szCs w:val="20"/>
              </w:rPr>
            </w:pPr>
            <w:r w:rsidRPr="00DC24E3">
              <w:rPr>
                <w:rFonts w:ascii="Cambria" w:hAnsi="Cambria"/>
                <w:b/>
                <w:bCs/>
                <w:color w:val="FFFFFF" w:themeColor="background1"/>
                <w:sz w:val="20"/>
                <w:szCs w:val="20"/>
              </w:rPr>
              <w:t>Derechos declarados admisibles</w:t>
            </w:r>
            <w:r w:rsidRPr="00DC24E3">
              <w:rPr>
                <w:rFonts w:ascii="Cambria" w:hAnsi="Cambria"/>
                <w:b/>
                <w:bCs/>
                <w:i/>
                <w:color w:val="FFFFFF" w:themeColor="background1"/>
                <w:sz w:val="20"/>
                <w:szCs w:val="20"/>
              </w:rPr>
              <w:t>:</w:t>
            </w:r>
          </w:p>
        </w:tc>
        <w:tc>
          <w:tcPr>
            <w:tcW w:w="5772" w:type="dxa"/>
            <w:vAlign w:val="center"/>
          </w:tcPr>
          <w:p w14:paraId="6310C8F7" w14:textId="79012B37" w:rsidR="003239B8" w:rsidRPr="00D001FB" w:rsidRDefault="001A10ED" w:rsidP="002D58FA">
            <w:pPr>
              <w:jc w:val="both"/>
              <w:rPr>
                <w:rFonts w:ascii="Cambria" w:hAnsi="Cambria"/>
                <w:bCs/>
                <w:sz w:val="20"/>
                <w:szCs w:val="20"/>
                <w:lang w:val="es-ES"/>
              </w:rPr>
            </w:pPr>
            <w:r w:rsidRPr="00D77308">
              <w:rPr>
                <w:rFonts w:ascii="Cambria" w:hAnsi="Cambria"/>
                <w:bCs/>
                <w:sz w:val="20"/>
                <w:szCs w:val="20"/>
                <w:lang w:val="es-ES"/>
              </w:rPr>
              <w:t xml:space="preserve">Artículos </w:t>
            </w:r>
            <w:r>
              <w:rPr>
                <w:rFonts w:ascii="Cambria" w:hAnsi="Cambria"/>
                <w:bCs/>
                <w:sz w:val="20"/>
                <w:szCs w:val="20"/>
                <w:lang w:val="es-ES"/>
              </w:rPr>
              <w:t>21 (propiedad) y 24 (igualdad)</w:t>
            </w:r>
            <w:r w:rsidRPr="00D77308">
              <w:rPr>
                <w:rFonts w:ascii="Cambria" w:hAnsi="Cambria"/>
                <w:bCs/>
                <w:sz w:val="20"/>
                <w:szCs w:val="20"/>
                <w:lang w:val="es-ES"/>
              </w:rPr>
              <w:t xml:space="preserve"> de la Convención</w:t>
            </w:r>
            <w:r w:rsidR="003E6764">
              <w:rPr>
                <w:rFonts w:ascii="Cambria" w:hAnsi="Cambria"/>
                <w:bCs/>
                <w:sz w:val="20"/>
                <w:szCs w:val="20"/>
                <w:lang w:val="es-ES"/>
              </w:rPr>
              <w:t xml:space="preserve"> Americana, en relación con su</w:t>
            </w:r>
            <w:r w:rsidR="0067328D">
              <w:rPr>
                <w:rFonts w:ascii="Cambria" w:hAnsi="Cambria"/>
                <w:bCs/>
                <w:sz w:val="20"/>
                <w:szCs w:val="20"/>
                <w:lang w:val="es-ES"/>
              </w:rPr>
              <w:t>s</w:t>
            </w:r>
            <w:r w:rsidR="003E6764">
              <w:rPr>
                <w:rFonts w:ascii="Cambria" w:hAnsi="Cambria"/>
                <w:bCs/>
                <w:sz w:val="20"/>
                <w:szCs w:val="20"/>
                <w:lang w:val="es-ES"/>
              </w:rPr>
              <w:t xml:space="preserve"> artículo</w:t>
            </w:r>
            <w:r w:rsidR="0067328D">
              <w:rPr>
                <w:rFonts w:ascii="Cambria" w:hAnsi="Cambria"/>
                <w:bCs/>
                <w:sz w:val="20"/>
                <w:szCs w:val="20"/>
                <w:lang w:val="es-ES"/>
              </w:rPr>
              <w:t>s</w:t>
            </w:r>
            <w:r w:rsidR="003E6764">
              <w:rPr>
                <w:rFonts w:ascii="Cambria" w:hAnsi="Cambria"/>
                <w:bCs/>
                <w:sz w:val="20"/>
                <w:szCs w:val="20"/>
                <w:lang w:val="es-ES"/>
              </w:rPr>
              <w:t xml:space="preserve"> 1.1 (obligación de respetar los derechos)</w:t>
            </w:r>
            <w:r w:rsidR="0067328D">
              <w:rPr>
                <w:rFonts w:ascii="Cambria" w:hAnsi="Cambria"/>
                <w:bCs/>
                <w:sz w:val="20"/>
                <w:szCs w:val="20"/>
                <w:lang w:val="es-ES"/>
              </w:rPr>
              <w:t xml:space="preserve"> y 2 (deber de adoptar dispo</w:t>
            </w:r>
            <w:r w:rsidR="001D4169">
              <w:rPr>
                <w:rFonts w:ascii="Cambria" w:hAnsi="Cambria"/>
                <w:bCs/>
                <w:sz w:val="20"/>
                <w:szCs w:val="20"/>
                <w:lang w:val="es-ES"/>
              </w:rPr>
              <w:t>siciones de derecho interno)</w:t>
            </w:r>
          </w:p>
        </w:tc>
      </w:tr>
      <w:tr w:rsidR="003239B8" w:rsidRPr="003C51ED" w14:paraId="4EFD141E" w14:textId="77777777" w:rsidTr="003E6764">
        <w:trPr>
          <w:cantSplit/>
        </w:trPr>
        <w:tc>
          <w:tcPr>
            <w:tcW w:w="3565" w:type="dxa"/>
            <w:tcBorders>
              <w:top w:val="single" w:sz="6" w:space="0" w:color="auto"/>
              <w:bottom w:val="single" w:sz="6" w:space="0" w:color="auto"/>
            </w:tcBorders>
            <w:shd w:val="clear" w:color="auto" w:fill="386294"/>
            <w:vAlign w:val="center"/>
          </w:tcPr>
          <w:p w14:paraId="4C04A89C" w14:textId="77777777" w:rsidR="003239B8" w:rsidRPr="00DC24E3" w:rsidRDefault="003239B8" w:rsidP="002D58FA">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Agotamiento de recursos internos</w:t>
            </w:r>
            <w:r w:rsidR="00EE00E9" w:rsidRPr="00DC24E3">
              <w:rPr>
                <w:rFonts w:ascii="Cambria" w:hAnsi="Cambria"/>
                <w:b/>
                <w:bCs/>
                <w:color w:val="FFFFFF" w:themeColor="background1"/>
                <w:sz w:val="20"/>
                <w:szCs w:val="20"/>
                <w:lang w:val="es-ES"/>
              </w:rPr>
              <w:t xml:space="preserve"> o procedencia de una excepción</w:t>
            </w:r>
            <w:r w:rsidRPr="00DC24E3">
              <w:rPr>
                <w:rFonts w:ascii="Cambria" w:hAnsi="Cambria"/>
                <w:b/>
                <w:bCs/>
                <w:color w:val="FFFFFF" w:themeColor="background1"/>
                <w:sz w:val="20"/>
                <w:szCs w:val="20"/>
                <w:lang w:val="es-ES"/>
              </w:rPr>
              <w:t>:</w:t>
            </w:r>
          </w:p>
        </w:tc>
        <w:tc>
          <w:tcPr>
            <w:tcW w:w="5772" w:type="dxa"/>
            <w:vAlign w:val="center"/>
          </w:tcPr>
          <w:p w14:paraId="69C53E8A" w14:textId="1AF0DE9A" w:rsidR="003239B8" w:rsidRPr="00DC24E3" w:rsidRDefault="00F51C57" w:rsidP="002D58FA">
            <w:pPr>
              <w:rPr>
                <w:rFonts w:ascii="Cambria" w:hAnsi="Cambria"/>
                <w:bCs/>
                <w:sz w:val="20"/>
                <w:szCs w:val="20"/>
                <w:lang w:val="es-ES"/>
              </w:rPr>
            </w:pPr>
            <w:r>
              <w:rPr>
                <w:rFonts w:ascii="Cambria" w:hAnsi="Cambria"/>
                <w:bCs/>
                <w:sz w:val="20"/>
                <w:szCs w:val="20"/>
                <w:lang w:val="es-ES"/>
              </w:rPr>
              <w:t>Sí</w:t>
            </w:r>
          </w:p>
        </w:tc>
      </w:tr>
      <w:tr w:rsidR="003239B8" w:rsidRPr="00B2155F" w14:paraId="52B5BA17" w14:textId="77777777" w:rsidTr="003E6764">
        <w:trPr>
          <w:cantSplit/>
        </w:trPr>
        <w:tc>
          <w:tcPr>
            <w:tcW w:w="3565" w:type="dxa"/>
            <w:tcBorders>
              <w:top w:val="single" w:sz="6" w:space="0" w:color="auto"/>
              <w:bottom w:val="single" w:sz="6" w:space="0" w:color="auto"/>
            </w:tcBorders>
            <w:shd w:val="clear" w:color="auto" w:fill="386294"/>
            <w:vAlign w:val="center"/>
          </w:tcPr>
          <w:p w14:paraId="5DF99086" w14:textId="77777777" w:rsidR="003239B8" w:rsidRPr="00DC24E3" w:rsidRDefault="003239B8" w:rsidP="002D58FA">
            <w:pPr>
              <w:jc w:val="center"/>
              <w:rPr>
                <w:rFonts w:ascii="Cambria" w:hAnsi="Cambria"/>
                <w:b/>
                <w:bCs/>
                <w:color w:val="FFFFFF" w:themeColor="background1"/>
                <w:sz w:val="20"/>
                <w:szCs w:val="20"/>
              </w:rPr>
            </w:pPr>
            <w:r w:rsidRPr="00DC24E3">
              <w:rPr>
                <w:rFonts w:ascii="Cambria" w:hAnsi="Cambria"/>
                <w:b/>
                <w:bCs/>
                <w:color w:val="FFFFFF" w:themeColor="background1"/>
                <w:sz w:val="20"/>
                <w:szCs w:val="20"/>
              </w:rPr>
              <w:t>Presentación dentro de plazo:</w:t>
            </w:r>
          </w:p>
        </w:tc>
        <w:tc>
          <w:tcPr>
            <w:tcW w:w="5772" w:type="dxa"/>
            <w:vAlign w:val="center"/>
          </w:tcPr>
          <w:p w14:paraId="4A2A4569" w14:textId="67F4A880" w:rsidR="003239B8" w:rsidRPr="00DC24E3" w:rsidRDefault="00F51C57" w:rsidP="002D58FA">
            <w:pPr>
              <w:rPr>
                <w:rFonts w:ascii="Cambria" w:hAnsi="Cambria"/>
                <w:bCs/>
                <w:sz w:val="20"/>
                <w:szCs w:val="20"/>
              </w:rPr>
            </w:pPr>
            <w:r>
              <w:rPr>
                <w:rFonts w:ascii="Cambria" w:hAnsi="Cambria"/>
                <w:bCs/>
                <w:sz w:val="20"/>
                <w:szCs w:val="20"/>
              </w:rPr>
              <w:t>Sí</w:t>
            </w:r>
          </w:p>
        </w:tc>
      </w:tr>
    </w:tbl>
    <w:p w14:paraId="18E6423B" w14:textId="0107F3A7" w:rsidR="003239B8" w:rsidRPr="00FE019D" w:rsidRDefault="00223A29" w:rsidP="003E6764">
      <w:pPr>
        <w:spacing w:before="240" w:after="240"/>
        <w:ind w:firstLine="720"/>
        <w:jc w:val="both"/>
        <w:rPr>
          <w:rFonts w:asciiTheme="majorHAnsi" w:hAnsiTheme="majorHAnsi"/>
          <w:b/>
          <w:sz w:val="20"/>
          <w:szCs w:val="20"/>
          <w:lang w:val="es-ES"/>
        </w:rPr>
      </w:pPr>
      <w:r>
        <w:rPr>
          <w:rFonts w:asciiTheme="majorHAnsi" w:hAnsiTheme="majorHAnsi"/>
          <w:b/>
          <w:sz w:val="20"/>
          <w:szCs w:val="20"/>
          <w:lang w:val="es-UY"/>
        </w:rPr>
        <w:t xml:space="preserve">V. </w:t>
      </w:r>
      <w:r>
        <w:rPr>
          <w:rFonts w:asciiTheme="majorHAnsi" w:hAnsiTheme="majorHAnsi"/>
          <w:b/>
          <w:sz w:val="20"/>
          <w:szCs w:val="20"/>
          <w:lang w:val="es-UY"/>
        </w:rPr>
        <w:tab/>
      </w:r>
      <w:r w:rsidR="00867314" w:rsidRPr="00FE019D">
        <w:rPr>
          <w:rFonts w:asciiTheme="majorHAnsi" w:hAnsiTheme="majorHAnsi"/>
          <w:b/>
          <w:sz w:val="20"/>
          <w:szCs w:val="20"/>
          <w:lang w:val="es-ES"/>
        </w:rPr>
        <w:t>POSICIÓN DE LAS PARTES</w:t>
      </w:r>
    </w:p>
    <w:p w14:paraId="20C8B292" w14:textId="2F8CD76A" w:rsidR="001E2C1C" w:rsidRPr="00FE019D" w:rsidRDefault="004442BC" w:rsidP="001E2C1C">
      <w:pPr>
        <w:spacing w:before="240" w:after="240"/>
        <w:ind w:firstLine="720"/>
        <w:jc w:val="both"/>
        <w:rPr>
          <w:rFonts w:asciiTheme="majorHAnsi" w:hAnsiTheme="majorHAnsi"/>
          <w:b/>
          <w:iCs/>
          <w:sz w:val="20"/>
          <w:szCs w:val="20"/>
          <w:lang w:val="es-ES"/>
        </w:rPr>
      </w:pPr>
      <w:r w:rsidRPr="00FE019D">
        <w:rPr>
          <w:rFonts w:asciiTheme="majorHAnsi" w:hAnsiTheme="majorHAnsi"/>
          <w:b/>
          <w:iCs/>
          <w:sz w:val="20"/>
          <w:szCs w:val="20"/>
          <w:lang w:val="es-ES"/>
        </w:rPr>
        <w:t>L</w:t>
      </w:r>
      <w:r w:rsidR="001E2C1C" w:rsidRPr="00FE019D">
        <w:rPr>
          <w:rFonts w:asciiTheme="majorHAnsi" w:hAnsiTheme="majorHAnsi"/>
          <w:b/>
          <w:iCs/>
          <w:sz w:val="20"/>
          <w:szCs w:val="20"/>
          <w:lang w:val="es-ES"/>
        </w:rPr>
        <w:t>a parte peticionaria</w:t>
      </w:r>
    </w:p>
    <w:p w14:paraId="768167A5" w14:textId="3AD88479" w:rsidR="0083100C" w:rsidRPr="00FE019D" w:rsidRDefault="00F51C57" w:rsidP="001B18E0">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FE019D">
        <w:rPr>
          <w:rFonts w:ascii="Cambria" w:hAnsi="Cambria"/>
          <w:sz w:val="20"/>
          <w:szCs w:val="20"/>
          <w:lang w:val="es-ES"/>
        </w:rPr>
        <w:t>La parte peticionaria</w:t>
      </w:r>
      <w:r w:rsidR="00A27F75" w:rsidRPr="00FE019D">
        <w:rPr>
          <w:rFonts w:ascii="Cambria" w:hAnsi="Cambria"/>
          <w:sz w:val="20"/>
          <w:szCs w:val="20"/>
          <w:lang w:val="es-ES"/>
        </w:rPr>
        <w:t xml:space="preserve"> (o</w:t>
      </w:r>
      <w:r w:rsidR="004669DD" w:rsidRPr="00FE019D">
        <w:rPr>
          <w:rFonts w:ascii="Cambria" w:hAnsi="Cambria"/>
          <w:sz w:val="20"/>
          <w:szCs w:val="20"/>
          <w:lang w:val="es-ES"/>
        </w:rPr>
        <w:t xml:space="preserve"> “los</w:t>
      </w:r>
      <w:r w:rsidR="00A27F75" w:rsidRPr="00FE019D">
        <w:rPr>
          <w:rFonts w:ascii="Cambria" w:hAnsi="Cambria"/>
          <w:sz w:val="20"/>
          <w:szCs w:val="20"/>
          <w:lang w:val="es-ES"/>
        </w:rPr>
        <w:t xml:space="preserve"> peticionario</w:t>
      </w:r>
      <w:r w:rsidR="004669DD" w:rsidRPr="00FE019D">
        <w:rPr>
          <w:rFonts w:ascii="Cambria" w:hAnsi="Cambria"/>
          <w:sz w:val="20"/>
          <w:szCs w:val="20"/>
          <w:lang w:val="es-ES"/>
        </w:rPr>
        <w:t>s”</w:t>
      </w:r>
      <w:r w:rsidR="00A27F75" w:rsidRPr="00FE019D">
        <w:rPr>
          <w:rFonts w:ascii="Cambria" w:hAnsi="Cambria"/>
          <w:sz w:val="20"/>
          <w:szCs w:val="20"/>
          <w:lang w:val="es-ES"/>
        </w:rPr>
        <w:t>)</w:t>
      </w:r>
      <w:r w:rsidRPr="00FE019D">
        <w:rPr>
          <w:rFonts w:ascii="Cambria" w:hAnsi="Cambria"/>
          <w:sz w:val="20"/>
          <w:szCs w:val="20"/>
          <w:lang w:val="es-ES"/>
        </w:rPr>
        <w:t xml:space="preserve"> alega que el Estado incurre en un trato discriminatorio y vu</w:t>
      </w:r>
      <w:r w:rsidR="001A10ED" w:rsidRPr="00FE019D">
        <w:rPr>
          <w:rFonts w:ascii="Cambria" w:hAnsi="Cambria"/>
          <w:sz w:val="20"/>
          <w:szCs w:val="20"/>
          <w:lang w:val="es-ES"/>
        </w:rPr>
        <w:t xml:space="preserve">lnera el derecho a la igualdad de las presuntas víctimas </w:t>
      </w:r>
      <w:r w:rsidR="00E170B7" w:rsidRPr="00FE019D">
        <w:rPr>
          <w:rFonts w:ascii="Cambria" w:hAnsi="Cambria"/>
          <w:sz w:val="20"/>
          <w:szCs w:val="20"/>
          <w:lang w:val="es-ES"/>
        </w:rPr>
        <w:t xml:space="preserve">(o “los excombatientes”) </w:t>
      </w:r>
      <w:r w:rsidRPr="00FE019D">
        <w:rPr>
          <w:rFonts w:ascii="Cambria" w:hAnsi="Cambria"/>
          <w:sz w:val="20"/>
          <w:szCs w:val="20"/>
          <w:lang w:val="es-ES"/>
        </w:rPr>
        <w:t xml:space="preserve">dado que </w:t>
      </w:r>
      <w:r w:rsidRPr="00FE019D">
        <w:rPr>
          <w:rFonts w:ascii="Cambria" w:hAnsi="Cambria"/>
          <w:sz w:val="20"/>
          <w:szCs w:val="20"/>
          <w:lang w:val="es-ES"/>
        </w:rPr>
        <w:lastRenderedPageBreak/>
        <w:t>no les ha reconocido la condición de veteranos de la guerra de las Islas Malvinas, Georgias y Sandwich del Sur, pese a haber participado en el conflicto desde la inmediata retaguardia, desempeñando funciones esenciales, tales como tareas de abastecimiento, logística y estrategia, entre otras.</w:t>
      </w:r>
    </w:p>
    <w:p w14:paraId="4930DAF1" w14:textId="02E64683" w:rsidR="001E2C1C" w:rsidRPr="00FE019D" w:rsidRDefault="001E2C1C" w:rsidP="001E2C1C">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left="720"/>
        <w:jc w:val="both"/>
        <w:rPr>
          <w:rFonts w:ascii="Cambria" w:hAnsi="Cambria"/>
          <w:i/>
          <w:sz w:val="20"/>
          <w:szCs w:val="20"/>
          <w:lang w:val="es-ES"/>
        </w:rPr>
      </w:pPr>
      <w:r w:rsidRPr="00FE019D">
        <w:rPr>
          <w:rFonts w:ascii="Cambria" w:hAnsi="Cambria"/>
          <w:i/>
          <w:sz w:val="20"/>
          <w:szCs w:val="20"/>
          <w:lang w:val="es-ES"/>
        </w:rPr>
        <w:t>Actuaciones desplegadas por los excombatientes en la Guerra de Malvinas</w:t>
      </w:r>
    </w:p>
    <w:p w14:paraId="5D736F19" w14:textId="281732A5" w:rsidR="00270C08" w:rsidRPr="00FE019D" w:rsidRDefault="006D4B25" w:rsidP="001B18E0">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FE019D">
        <w:rPr>
          <w:rFonts w:ascii="Cambria" w:hAnsi="Cambria"/>
          <w:sz w:val="20"/>
          <w:szCs w:val="20"/>
          <w:lang w:val="es-ES"/>
        </w:rPr>
        <w:t>Las presuntas víctimas</w:t>
      </w:r>
      <w:r w:rsidR="00270C08" w:rsidRPr="00FE019D">
        <w:rPr>
          <w:rFonts w:ascii="Cambria" w:hAnsi="Cambria"/>
          <w:sz w:val="20"/>
          <w:szCs w:val="20"/>
          <w:lang w:val="es-ES"/>
        </w:rPr>
        <w:t xml:space="preserve"> </w:t>
      </w:r>
      <w:r w:rsidR="00136C90" w:rsidRPr="00FE019D">
        <w:rPr>
          <w:rFonts w:ascii="Cambria" w:hAnsi="Cambria"/>
          <w:sz w:val="20"/>
          <w:szCs w:val="20"/>
          <w:lang w:val="es-ES"/>
        </w:rPr>
        <w:t>se encontraban realizando el servicio militar o</w:t>
      </w:r>
      <w:r w:rsidR="00270C08" w:rsidRPr="00FE019D">
        <w:rPr>
          <w:rFonts w:ascii="Cambria" w:hAnsi="Cambria"/>
          <w:sz w:val="20"/>
          <w:szCs w:val="20"/>
          <w:lang w:val="es-ES"/>
        </w:rPr>
        <w:t>bligatorio</w:t>
      </w:r>
      <w:r w:rsidR="00EF4341" w:rsidRPr="00FE019D">
        <w:rPr>
          <w:rFonts w:ascii="Cambria" w:hAnsi="Cambria"/>
          <w:sz w:val="20"/>
          <w:szCs w:val="20"/>
          <w:lang w:val="es-ES"/>
        </w:rPr>
        <w:t xml:space="preserve"> cuando </w:t>
      </w:r>
      <w:r w:rsidRPr="00FE019D">
        <w:rPr>
          <w:rFonts w:ascii="Cambria" w:hAnsi="Cambria"/>
          <w:sz w:val="20"/>
          <w:szCs w:val="20"/>
          <w:lang w:val="es-ES"/>
        </w:rPr>
        <w:t>estalló el conflicto bélico por las Islas Malvinas</w:t>
      </w:r>
      <w:r w:rsidR="00136C90" w:rsidRPr="00FE019D">
        <w:rPr>
          <w:rFonts w:ascii="Cambria" w:hAnsi="Cambria"/>
          <w:sz w:val="20"/>
          <w:szCs w:val="20"/>
          <w:lang w:val="es-ES"/>
        </w:rPr>
        <w:t>,</w:t>
      </w:r>
      <w:r w:rsidRPr="00FE019D">
        <w:rPr>
          <w:rFonts w:ascii="Cambria" w:hAnsi="Cambria"/>
          <w:sz w:val="20"/>
          <w:szCs w:val="20"/>
          <w:lang w:val="es-ES"/>
        </w:rPr>
        <w:t xml:space="preserve"> Georgias y Sandwich del Sur (en adelante “las Islas Malvinas”) entre Argentina e Inglaterra</w:t>
      </w:r>
      <w:r w:rsidR="00270C08" w:rsidRPr="00FE019D">
        <w:rPr>
          <w:rFonts w:ascii="Cambria" w:hAnsi="Cambria"/>
          <w:sz w:val="20"/>
          <w:szCs w:val="20"/>
          <w:lang w:val="es-ES"/>
        </w:rPr>
        <w:t xml:space="preserve">. En este sentido, </w:t>
      </w:r>
      <w:r w:rsidR="004442BC" w:rsidRPr="00FE019D">
        <w:rPr>
          <w:rFonts w:ascii="Cambria" w:hAnsi="Cambria"/>
          <w:sz w:val="20"/>
          <w:szCs w:val="20"/>
          <w:lang w:val="es-ES"/>
        </w:rPr>
        <w:t xml:space="preserve">el </w:t>
      </w:r>
      <w:r w:rsidR="004442BC" w:rsidRPr="00FE019D">
        <w:rPr>
          <w:rFonts w:asciiTheme="majorHAnsi" w:hAnsiTheme="majorHAnsi"/>
          <w:sz w:val="20"/>
          <w:szCs w:val="20"/>
          <w:lang w:val="es-ES"/>
        </w:rPr>
        <w:t>Decreto N.º 688/82</w:t>
      </w:r>
      <w:r w:rsidR="00603B6A" w:rsidRPr="00FE019D">
        <w:rPr>
          <w:rStyle w:val="FootnoteReference"/>
          <w:rFonts w:asciiTheme="majorHAnsi" w:hAnsiTheme="majorHAnsi"/>
          <w:sz w:val="20"/>
          <w:szCs w:val="20"/>
          <w:lang w:val="es-ES"/>
        </w:rPr>
        <w:footnoteReference w:id="6"/>
      </w:r>
      <w:r w:rsidR="005F66E5" w:rsidRPr="00FE019D">
        <w:rPr>
          <w:rFonts w:asciiTheme="majorHAnsi" w:hAnsiTheme="majorHAnsi"/>
          <w:sz w:val="20"/>
          <w:szCs w:val="20"/>
          <w:lang w:val="es-ES"/>
        </w:rPr>
        <w:t xml:space="preserve"> dispuso que </w:t>
      </w:r>
      <w:r w:rsidR="009C612C" w:rsidRPr="00FE019D">
        <w:rPr>
          <w:rFonts w:asciiTheme="majorHAnsi" w:hAnsiTheme="majorHAnsi"/>
          <w:sz w:val="20"/>
          <w:szCs w:val="20"/>
          <w:lang w:val="es-ES"/>
        </w:rPr>
        <w:t xml:space="preserve">los </w:t>
      </w:r>
      <w:r w:rsidR="00E170B7" w:rsidRPr="00FE019D">
        <w:rPr>
          <w:rFonts w:asciiTheme="majorHAnsi" w:hAnsiTheme="majorHAnsi"/>
          <w:sz w:val="20"/>
          <w:szCs w:val="20"/>
          <w:lang w:val="es-ES"/>
        </w:rPr>
        <w:t>excombatientes</w:t>
      </w:r>
      <w:r w:rsidR="005F66E5" w:rsidRPr="00FE019D">
        <w:rPr>
          <w:rFonts w:asciiTheme="majorHAnsi" w:hAnsiTheme="majorHAnsi"/>
          <w:sz w:val="20"/>
          <w:szCs w:val="20"/>
          <w:lang w:val="es-ES"/>
        </w:rPr>
        <w:t xml:space="preserve"> fuera</w:t>
      </w:r>
      <w:r w:rsidR="009C612C" w:rsidRPr="00FE019D">
        <w:rPr>
          <w:rFonts w:asciiTheme="majorHAnsi" w:hAnsiTheme="majorHAnsi"/>
          <w:sz w:val="20"/>
          <w:szCs w:val="20"/>
          <w:lang w:val="es-ES"/>
        </w:rPr>
        <w:t>n convocados y desplegado</w:t>
      </w:r>
      <w:r w:rsidRPr="00FE019D">
        <w:rPr>
          <w:rFonts w:asciiTheme="majorHAnsi" w:hAnsiTheme="majorHAnsi"/>
          <w:sz w:val="20"/>
          <w:szCs w:val="20"/>
          <w:lang w:val="es-ES"/>
        </w:rPr>
        <w:t>s en unidades militares</w:t>
      </w:r>
      <w:r w:rsidR="007B1F41" w:rsidRPr="00FE019D">
        <w:rPr>
          <w:rFonts w:asciiTheme="majorHAnsi" w:hAnsiTheme="majorHAnsi"/>
          <w:sz w:val="20"/>
          <w:szCs w:val="20"/>
          <w:lang w:val="es-ES"/>
        </w:rPr>
        <w:t xml:space="preserve"> en </w:t>
      </w:r>
      <w:r w:rsidRPr="00FE019D">
        <w:rPr>
          <w:rFonts w:asciiTheme="majorHAnsi" w:hAnsiTheme="majorHAnsi"/>
          <w:sz w:val="20"/>
          <w:szCs w:val="20"/>
          <w:lang w:val="es-ES"/>
        </w:rPr>
        <w:t>distintas provincias argentinas.</w:t>
      </w:r>
      <w:r w:rsidR="00F83CDB" w:rsidRPr="00FE019D">
        <w:rPr>
          <w:rFonts w:asciiTheme="majorHAnsi" w:hAnsiTheme="majorHAnsi"/>
          <w:sz w:val="20"/>
          <w:szCs w:val="20"/>
          <w:lang w:val="es-ES"/>
        </w:rPr>
        <w:t xml:space="preserve"> </w:t>
      </w:r>
      <w:r w:rsidR="005F66E5" w:rsidRPr="00FE019D">
        <w:rPr>
          <w:rFonts w:asciiTheme="majorHAnsi" w:hAnsiTheme="majorHAnsi"/>
          <w:sz w:val="20"/>
          <w:szCs w:val="20"/>
          <w:lang w:val="es-ES"/>
        </w:rPr>
        <w:t xml:space="preserve">Las presuntas víctimas </w:t>
      </w:r>
      <w:r w:rsidRPr="00FE019D">
        <w:rPr>
          <w:rFonts w:asciiTheme="majorHAnsi" w:hAnsiTheme="majorHAnsi"/>
          <w:sz w:val="20"/>
          <w:szCs w:val="20"/>
          <w:lang w:val="es-ES"/>
        </w:rPr>
        <w:t>fueron</w:t>
      </w:r>
      <w:r w:rsidR="005F66E5" w:rsidRPr="00FE019D">
        <w:rPr>
          <w:rFonts w:asciiTheme="majorHAnsi" w:hAnsiTheme="majorHAnsi"/>
          <w:sz w:val="20"/>
          <w:szCs w:val="20"/>
          <w:lang w:val="es-ES"/>
        </w:rPr>
        <w:t xml:space="preserve"> trasladada</w:t>
      </w:r>
      <w:r w:rsidRPr="00FE019D">
        <w:rPr>
          <w:rFonts w:asciiTheme="majorHAnsi" w:hAnsiTheme="majorHAnsi"/>
          <w:sz w:val="20"/>
          <w:szCs w:val="20"/>
          <w:lang w:val="es-ES"/>
        </w:rPr>
        <w:t xml:space="preserve">s a la Patagonia, </w:t>
      </w:r>
      <w:r w:rsidR="00AB1F95" w:rsidRPr="00FE019D">
        <w:rPr>
          <w:rFonts w:asciiTheme="majorHAnsi" w:hAnsiTheme="majorHAnsi"/>
          <w:sz w:val="20"/>
          <w:szCs w:val="20"/>
          <w:lang w:val="es-ES"/>
        </w:rPr>
        <w:t>donde fueron asignados al</w:t>
      </w:r>
      <w:r w:rsidRPr="00FE019D">
        <w:rPr>
          <w:rFonts w:asciiTheme="majorHAnsi" w:hAnsiTheme="majorHAnsi"/>
          <w:sz w:val="20"/>
          <w:szCs w:val="20"/>
          <w:lang w:val="es-ES"/>
        </w:rPr>
        <w:t xml:space="preserve"> Regimiento de Infantería 8. Allí cumplieron funciones en la denominada Zona de Despliegue Continental, integrada por bases</w:t>
      </w:r>
      <w:r w:rsidRPr="00FE019D">
        <w:rPr>
          <w:rFonts w:ascii="Cambria" w:hAnsi="Cambria"/>
          <w:sz w:val="20"/>
          <w:szCs w:val="20"/>
          <w:lang w:val="es-ES"/>
        </w:rPr>
        <w:t xml:space="preserve"> y unidades militares ubicadas en la costa atlántica patagónica. Según los peticionarios, dicha zona integraba el Teatro de Operaciones del Atlántico Sur (en adelante “el TOAS”), oficialmente constituido el 7 de abril de 1982.</w:t>
      </w:r>
      <w:r w:rsidR="007B1F41" w:rsidRPr="00FE019D">
        <w:rPr>
          <w:rFonts w:ascii="Cambria" w:hAnsi="Cambria"/>
          <w:sz w:val="20"/>
          <w:szCs w:val="20"/>
          <w:lang w:val="es-ES"/>
        </w:rPr>
        <w:t xml:space="preserve"> </w:t>
      </w:r>
    </w:p>
    <w:p w14:paraId="4DD5B641" w14:textId="31ED27F1" w:rsidR="007C2864" w:rsidRPr="00FE019D" w:rsidRDefault="00270C08" w:rsidP="001B18E0">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FE019D">
        <w:rPr>
          <w:rFonts w:ascii="Cambria" w:hAnsi="Cambria"/>
          <w:sz w:val="20"/>
          <w:szCs w:val="20"/>
          <w:lang w:val="es-ES"/>
        </w:rPr>
        <w:t>Los peticionarios argumentan que, aunque estuvieron en la inmediata retaguardia y no en el frente de batalla, l</w:t>
      </w:r>
      <w:r w:rsidR="00644213" w:rsidRPr="00FE019D">
        <w:rPr>
          <w:rFonts w:ascii="Cambria" w:hAnsi="Cambria"/>
          <w:sz w:val="20"/>
          <w:szCs w:val="20"/>
          <w:lang w:val="es-ES"/>
        </w:rPr>
        <w:t xml:space="preserve">levaron a cabo funciones claves. </w:t>
      </w:r>
      <w:r w:rsidRPr="00FE019D">
        <w:rPr>
          <w:rFonts w:ascii="Cambria" w:hAnsi="Cambria"/>
          <w:sz w:val="20"/>
          <w:szCs w:val="20"/>
          <w:lang w:val="es-ES"/>
        </w:rPr>
        <w:t xml:space="preserve">Las misiones que cumplieron estuvieron enmarcadas en la </w:t>
      </w:r>
      <w:r w:rsidR="00616E17" w:rsidRPr="00FE019D">
        <w:rPr>
          <w:rFonts w:ascii="Cambria" w:hAnsi="Cambria"/>
          <w:sz w:val="20"/>
          <w:szCs w:val="20"/>
          <w:lang w:val="es-ES"/>
        </w:rPr>
        <w:t>O</w:t>
      </w:r>
      <w:r w:rsidRPr="00FE019D">
        <w:rPr>
          <w:rFonts w:ascii="Cambria" w:hAnsi="Cambria"/>
          <w:sz w:val="20"/>
          <w:szCs w:val="20"/>
          <w:lang w:val="es-ES"/>
        </w:rPr>
        <w:t xml:space="preserve">rden de </w:t>
      </w:r>
      <w:r w:rsidR="00616E17" w:rsidRPr="00FE019D">
        <w:rPr>
          <w:rFonts w:ascii="Cambria" w:hAnsi="Cambria"/>
          <w:sz w:val="20"/>
          <w:szCs w:val="20"/>
          <w:lang w:val="es-ES"/>
        </w:rPr>
        <w:t>O</w:t>
      </w:r>
      <w:r w:rsidRPr="00FE019D">
        <w:rPr>
          <w:rFonts w:ascii="Cambria" w:hAnsi="Cambria"/>
          <w:sz w:val="20"/>
          <w:szCs w:val="20"/>
          <w:lang w:val="es-ES"/>
        </w:rPr>
        <w:t xml:space="preserve">peraciones Nº 1/82 de Vigilancia y Defensa del Litoral Marítimo. </w:t>
      </w:r>
      <w:r w:rsidR="000D1434" w:rsidRPr="00FE019D">
        <w:rPr>
          <w:rFonts w:ascii="Cambria" w:hAnsi="Cambria"/>
          <w:sz w:val="20"/>
          <w:szCs w:val="20"/>
          <w:lang w:val="es-ES"/>
        </w:rPr>
        <w:t>Realizaban funciones de combate, defensa, logística, abastecimiento, comunicaciones, inteligencia y protección de la población civil y costera; participaban en la vigilancia y eventual defensa del litoral marítimo y brindaban apoyo aéreo, entre otras tareas. Los excombatientes cumplían guardias prolongadas, asistían a heridos y fallecidos, y debían pernoctar en los denominados “po</w:t>
      </w:r>
      <w:r w:rsidR="006D4B25" w:rsidRPr="00FE019D">
        <w:rPr>
          <w:rFonts w:ascii="Cambria" w:hAnsi="Cambria"/>
          <w:sz w:val="20"/>
          <w:szCs w:val="20"/>
          <w:lang w:val="es-ES"/>
        </w:rPr>
        <w:t>zos de zorro” mientras custodia</w:t>
      </w:r>
      <w:r w:rsidR="00F83CDB" w:rsidRPr="00FE019D">
        <w:rPr>
          <w:rFonts w:ascii="Cambria" w:hAnsi="Cambria"/>
          <w:sz w:val="20"/>
          <w:szCs w:val="20"/>
          <w:lang w:val="es-ES"/>
        </w:rPr>
        <w:t>ban</w:t>
      </w:r>
      <w:r w:rsidR="006D4B25" w:rsidRPr="00FE019D">
        <w:rPr>
          <w:rFonts w:ascii="Cambria" w:hAnsi="Cambria"/>
          <w:sz w:val="20"/>
          <w:szCs w:val="20"/>
          <w:lang w:val="es-ES"/>
        </w:rPr>
        <w:t xml:space="preserve"> la zona. </w:t>
      </w:r>
    </w:p>
    <w:p w14:paraId="51D4A69F" w14:textId="7F474959" w:rsidR="001E2C1C" w:rsidRPr="00FE019D" w:rsidRDefault="00917B01" w:rsidP="00F83CD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left="720"/>
        <w:jc w:val="both"/>
        <w:rPr>
          <w:rFonts w:ascii="Cambria" w:hAnsi="Cambria"/>
          <w:i/>
          <w:sz w:val="20"/>
          <w:szCs w:val="20"/>
          <w:lang w:val="es-ES"/>
        </w:rPr>
      </w:pPr>
      <w:r w:rsidRPr="00FE019D">
        <w:rPr>
          <w:rFonts w:ascii="Cambria" w:hAnsi="Cambria"/>
          <w:i/>
          <w:sz w:val="20"/>
          <w:szCs w:val="20"/>
          <w:lang w:val="es-ES"/>
        </w:rPr>
        <w:t xml:space="preserve">Proceso </w:t>
      </w:r>
      <w:r w:rsidR="001E2C1C" w:rsidRPr="00FE019D">
        <w:rPr>
          <w:rFonts w:ascii="Cambria" w:hAnsi="Cambria"/>
          <w:i/>
          <w:sz w:val="20"/>
          <w:szCs w:val="20"/>
          <w:lang w:val="es-ES"/>
        </w:rPr>
        <w:t xml:space="preserve">en sede administrativa </w:t>
      </w:r>
    </w:p>
    <w:p w14:paraId="3180DB15" w14:textId="5ADC40C2" w:rsidR="00F83CDB" w:rsidRPr="00FE019D" w:rsidRDefault="00F83CDB" w:rsidP="001B18E0">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00FE019D">
        <w:rPr>
          <w:rFonts w:asciiTheme="majorHAnsi" w:hAnsiTheme="majorHAnsi"/>
          <w:sz w:val="20"/>
          <w:szCs w:val="20"/>
          <w:lang w:val="es-ES"/>
        </w:rPr>
        <w:t>Luego del conflicto</w:t>
      </w:r>
      <w:r w:rsidR="005F66E5" w:rsidRPr="00FE019D">
        <w:rPr>
          <w:rFonts w:asciiTheme="majorHAnsi" w:hAnsiTheme="majorHAnsi"/>
          <w:sz w:val="20"/>
          <w:szCs w:val="20"/>
          <w:lang w:val="es-ES"/>
        </w:rPr>
        <w:t xml:space="preserve"> bélico</w:t>
      </w:r>
      <w:r w:rsidRPr="00FE019D">
        <w:rPr>
          <w:rFonts w:asciiTheme="majorHAnsi" w:hAnsiTheme="majorHAnsi"/>
          <w:sz w:val="20"/>
          <w:szCs w:val="20"/>
          <w:lang w:val="es-ES"/>
        </w:rPr>
        <w:t xml:space="preserve"> de 1982, Argentina dictó normas que otorgaron beneficios a los veteranos: la Ley 22.674 creó un subsidio por lesiones vinculadas al TOAS o a la zona de despliegue continental; la Ley 23.109 otorgó beneficios sociales; la Ley 23.118 instituyó una condecoración; y la Ley 23.848 estableció una pensión para exsoldados que participaron en acciones bélicas y para civiles que actuaron en esos lugares. </w:t>
      </w:r>
    </w:p>
    <w:p w14:paraId="45808C70" w14:textId="79AAFEE5" w:rsidR="001549E9" w:rsidRPr="00FE019D" w:rsidRDefault="001F5D6B" w:rsidP="001B18E0">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00FE019D">
        <w:rPr>
          <w:rFonts w:asciiTheme="majorHAnsi" w:hAnsiTheme="majorHAnsi"/>
          <w:sz w:val="20"/>
          <w:szCs w:val="20"/>
          <w:lang w:val="es-ES"/>
        </w:rPr>
        <w:t>A través del presidente de la Asociación Civil Agrupación Gloria al 8</w:t>
      </w:r>
      <w:r w:rsidRPr="00FE019D">
        <w:rPr>
          <w:rStyle w:val="FootnoteReference"/>
          <w:rFonts w:asciiTheme="majorHAnsi" w:hAnsiTheme="majorHAnsi"/>
          <w:sz w:val="20"/>
          <w:szCs w:val="20"/>
          <w:lang w:val="es-ES"/>
        </w:rPr>
        <w:footnoteReference w:id="7"/>
      </w:r>
      <w:r w:rsidRPr="00FE019D">
        <w:rPr>
          <w:rFonts w:asciiTheme="majorHAnsi" w:hAnsiTheme="majorHAnsi"/>
          <w:sz w:val="20"/>
          <w:szCs w:val="20"/>
          <w:lang w:val="es-ES"/>
        </w:rPr>
        <w:t xml:space="preserve">, </w:t>
      </w:r>
      <w:r w:rsidR="00F83CDB" w:rsidRPr="00FE019D">
        <w:rPr>
          <w:rFonts w:asciiTheme="majorHAnsi" w:hAnsiTheme="majorHAnsi"/>
          <w:sz w:val="20"/>
          <w:szCs w:val="20"/>
          <w:lang w:val="es-ES"/>
        </w:rPr>
        <w:t xml:space="preserve">los peticionarios reclamaron vía administrativa </w:t>
      </w:r>
      <w:r w:rsidRPr="00FE019D">
        <w:rPr>
          <w:rFonts w:asciiTheme="majorHAnsi" w:hAnsiTheme="majorHAnsi"/>
          <w:sz w:val="20"/>
          <w:szCs w:val="20"/>
          <w:lang w:val="es-ES"/>
        </w:rPr>
        <w:t xml:space="preserve">ante el Ejército Argentino y el Ministerio de Defensa solicitando su reconocimiento como veteranos de guerra. No obstante, el 13 de septiembre de 2007 el Estado rechazó </w:t>
      </w:r>
      <w:r w:rsidR="00F83CDB" w:rsidRPr="00FE019D">
        <w:rPr>
          <w:rFonts w:asciiTheme="majorHAnsi" w:hAnsiTheme="majorHAnsi"/>
          <w:sz w:val="20"/>
          <w:szCs w:val="20"/>
          <w:lang w:val="es-ES"/>
        </w:rPr>
        <w:t>la</w:t>
      </w:r>
      <w:r w:rsidRPr="00FE019D">
        <w:rPr>
          <w:rFonts w:asciiTheme="majorHAnsi" w:hAnsiTheme="majorHAnsi"/>
          <w:sz w:val="20"/>
          <w:szCs w:val="20"/>
          <w:lang w:val="es-ES"/>
        </w:rPr>
        <w:t xml:space="preserve"> solicitud mediante una nota suscripta por el Coronel “PT”, dirigida al presidente de la Agrupación. En esa respuesta se sostuvo que los peticionarios no cumplían los requisitos previstos en </w:t>
      </w:r>
      <w:r w:rsidR="001926EC" w:rsidRPr="00FE019D">
        <w:rPr>
          <w:rFonts w:asciiTheme="majorHAnsi" w:hAnsiTheme="majorHAnsi"/>
          <w:sz w:val="20"/>
          <w:szCs w:val="20"/>
          <w:lang w:val="es-ES"/>
        </w:rPr>
        <w:t>la normativa nacional aplicable, en particular</w:t>
      </w:r>
      <w:r w:rsidRPr="00FE019D">
        <w:rPr>
          <w:rFonts w:asciiTheme="majorHAnsi" w:hAnsiTheme="majorHAnsi"/>
          <w:sz w:val="20"/>
          <w:szCs w:val="20"/>
          <w:lang w:val="es-ES"/>
        </w:rPr>
        <w:t xml:space="preserve"> los Decretos 509/88</w:t>
      </w:r>
      <w:r w:rsidRPr="00FE019D">
        <w:rPr>
          <w:rStyle w:val="FootnoteReference"/>
          <w:rFonts w:asciiTheme="majorHAnsi" w:hAnsiTheme="majorHAnsi"/>
          <w:sz w:val="20"/>
          <w:szCs w:val="20"/>
          <w:lang w:val="es-ES"/>
        </w:rPr>
        <w:footnoteReference w:id="8"/>
      </w:r>
      <w:r w:rsidRPr="00FE019D">
        <w:rPr>
          <w:rFonts w:asciiTheme="majorHAnsi" w:hAnsiTheme="majorHAnsi"/>
          <w:sz w:val="20"/>
          <w:szCs w:val="20"/>
          <w:lang w:val="es-ES"/>
        </w:rPr>
        <w:t xml:space="preserve"> y 886/05</w:t>
      </w:r>
      <w:r w:rsidR="001926EC" w:rsidRPr="00FE019D">
        <w:rPr>
          <w:rFonts w:ascii="Cambria" w:hAnsi="Cambria"/>
          <w:sz w:val="20"/>
          <w:szCs w:val="20"/>
          <w:lang w:val="es-ES"/>
        </w:rPr>
        <w:t xml:space="preserve"> </w:t>
      </w:r>
      <w:r w:rsidRPr="00FE019D">
        <w:rPr>
          <w:rFonts w:asciiTheme="majorHAnsi" w:hAnsiTheme="majorHAnsi"/>
          <w:sz w:val="20"/>
          <w:szCs w:val="20"/>
          <w:lang w:val="es-ES"/>
        </w:rPr>
        <w:t>que regulan las condiciones para ser considerado veterano de guerra.</w:t>
      </w:r>
      <w:r w:rsidR="00F83CDB" w:rsidRPr="00FE019D">
        <w:rPr>
          <w:rFonts w:asciiTheme="majorHAnsi" w:hAnsiTheme="majorHAnsi"/>
          <w:sz w:val="20"/>
          <w:szCs w:val="20"/>
          <w:lang w:val="es-ES"/>
        </w:rPr>
        <w:t xml:space="preserve"> </w:t>
      </w:r>
      <w:r w:rsidR="001549E9" w:rsidRPr="00FE019D">
        <w:rPr>
          <w:rFonts w:asciiTheme="majorHAnsi" w:hAnsiTheme="majorHAnsi"/>
          <w:sz w:val="20"/>
          <w:szCs w:val="20"/>
          <w:lang w:val="es-ES"/>
        </w:rPr>
        <w:t>Los peticionarios alegan que mientras la Ley 23.109 adoptaba un criterio estrictamente operativo al reconocer co</w:t>
      </w:r>
      <w:r w:rsidR="00F83CDB" w:rsidRPr="00FE019D">
        <w:rPr>
          <w:rFonts w:asciiTheme="majorHAnsi" w:hAnsiTheme="majorHAnsi"/>
          <w:sz w:val="20"/>
          <w:szCs w:val="20"/>
          <w:lang w:val="es-ES"/>
        </w:rPr>
        <w:t>mo veteranos de guerra a los ex</w:t>
      </w:r>
      <w:r w:rsidR="001549E9" w:rsidRPr="00FE019D">
        <w:rPr>
          <w:rFonts w:asciiTheme="majorHAnsi" w:hAnsiTheme="majorHAnsi"/>
          <w:sz w:val="20"/>
          <w:szCs w:val="20"/>
          <w:lang w:val="es-ES"/>
        </w:rPr>
        <w:t>soldados conscriptos que hubieran participado en las acciones bélicas desarrolladas en el Atlántico Sur</w:t>
      </w:r>
      <w:r w:rsidR="001926EC" w:rsidRPr="00FE019D">
        <w:rPr>
          <w:rFonts w:ascii="Cambria" w:hAnsi="Cambria"/>
          <w:sz w:val="20"/>
          <w:szCs w:val="20"/>
          <w:lang w:val="es-ES"/>
        </w:rPr>
        <w:t>,</w:t>
      </w:r>
      <w:r w:rsidR="001549E9" w:rsidRPr="00FE019D">
        <w:rPr>
          <w:rFonts w:asciiTheme="majorHAnsi" w:hAnsiTheme="majorHAnsi"/>
          <w:sz w:val="20"/>
          <w:szCs w:val="20"/>
          <w:lang w:val="es-ES"/>
        </w:rPr>
        <w:t xml:space="preserve"> su reglamentación introdujo un enfoque distinto y más restrictivo. En efecto, el Decreto Nº 509/88 desnaturalizó el criterio legal al imponer requisitos geográficos adicionales, estableciendo que solo serían veteranos quienes hubieran intervenido en acciones bélicas llevadas a cabo dentro </w:t>
      </w:r>
      <w:r w:rsidR="00F83CDB" w:rsidRPr="00FE019D">
        <w:rPr>
          <w:rFonts w:asciiTheme="majorHAnsi" w:hAnsiTheme="majorHAnsi"/>
          <w:sz w:val="20"/>
          <w:szCs w:val="20"/>
          <w:lang w:val="es-ES"/>
        </w:rPr>
        <w:t>del TOAS.</w:t>
      </w:r>
    </w:p>
    <w:p w14:paraId="63785D45" w14:textId="4F1233CE" w:rsidR="001E2C1C" w:rsidRPr="00FE019D" w:rsidRDefault="001E2C1C" w:rsidP="001E2C1C">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left="720"/>
        <w:jc w:val="both"/>
        <w:rPr>
          <w:rFonts w:asciiTheme="majorHAnsi" w:hAnsiTheme="majorHAnsi"/>
          <w:i/>
          <w:sz w:val="20"/>
          <w:szCs w:val="20"/>
          <w:lang w:val="es-ES"/>
        </w:rPr>
      </w:pPr>
      <w:r w:rsidRPr="00FE019D">
        <w:rPr>
          <w:rFonts w:asciiTheme="majorHAnsi" w:hAnsiTheme="majorHAnsi"/>
          <w:i/>
          <w:sz w:val="20"/>
          <w:szCs w:val="20"/>
          <w:lang w:val="es-ES"/>
        </w:rPr>
        <w:t xml:space="preserve">Proceso en sede judicial </w:t>
      </w:r>
    </w:p>
    <w:p w14:paraId="0904BC6B" w14:textId="7B3A7DC9" w:rsidR="00562952" w:rsidRPr="0050589E" w:rsidRDefault="001549E9" w:rsidP="1E592774">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0050589E">
        <w:rPr>
          <w:rFonts w:asciiTheme="majorHAnsi" w:hAnsiTheme="majorHAnsi"/>
          <w:sz w:val="20"/>
          <w:szCs w:val="20"/>
          <w:lang w:val="es-ES"/>
        </w:rPr>
        <w:t xml:space="preserve">Ante el rechazo de las pretensiones administrativas invocadas, el 5 de diciembre de 2007 la parte peticionaria interpuso una acción declarativa de certeza ante el Juzgado Federal de Primera Instancia Nº </w:t>
      </w:r>
      <w:r w:rsidRPr="0050589E">
        <w:rPr>
          <w:rFonts w:asciiTheme="majorHAnsi" w:hAnsiTheme="majorHAnsi"/>
          <w:sz w:val="20"/>
          <w:szCs w:val="20"/>
          <w:lang w:val="es-ES"/>
        </w:rPr>
        <w:lastRenderedPageBreak/>
        <w:t xml:space="preserve">3 de la ciudad de Córdoba, la que fue caratulada como </w:t>
      </w:r>
      <w:r w:rsidR="001926EC" w:rsidRPr="0050589E">
        <w:rPr>
          <w:rFonts w:asciiTheme="majorHAnsi" w:hAnsiTheme="majorHAnsi"/>
          <w:sz w:val="20"/>
          <w:szCs w:val="20"/>
          <w:lang w:val="es-ES"/>
        </w:rPr>
        <w:t xml:space="preserve">“Arfinetti, Víctor Hugo c/ Estado Nacional - acción meramente declarativa de derecho”, </w:t>
      </w:r>
      <w:r w:rsidRPr="0050589E">
        <w:rPr>
          <w:rFonts w:asciiTheme="majorHAnsi" w:hAnsiTheme="majorHAnsi"/>
          <w:sz w:val="20"/>
          <w:szCs w:val="20"/>
          <w:lang w:val="es-ES"/>
        </w:rPr>
        <w:t>en la que pidieron la inconstitucionalidad del decreto 509/88, reglamentario de la ley 23.109. El fallo de primera instancia admitió la pretensión de la actora y la Cámara Federal de Apelaciones de Córdoba confirmó y declaró la inconstitucionalidad</w:t>
      </w:r>
      <w:r w:rsidR="00801B31" w:rsidRPr="0050589E">
        <w:rPr>
          <w:rFonts w:asciiTheme="majorHAnsi" w:hAnsiTheme="majorHAnsi"/>
          <w:sz w:val="20"/>
          <w:szCs w:val="20"/>
          <w:lang w:val="es-ES"/>
        </w:rPr>
        <w:t xml:space="preserve"> del art. 1 del Decreto 509/88. </w:t>
      </w:r>
      <w:r w:rsidR="00562952" w:rsidRPr="0050589E">
        <w:rPr>
          <w:rFonts w:asciiTheme="majorHAnsi" w:hAnsiTheme="majorHAnsi"/>
          <w:sz w:val="20"/>
          <w:szCs w:val="20"/>
          <w:lang w:val="es-ES"/>
        </w:rPr>
        <w:t>Dicha</w:t>
      </w:r>
      <w:r w:rsidR="001926EC" w:rsidRPr="0050589E">
        <w:rPr>
          <w:rFonts w:asciiTheme="majorHAnsi" w:hAnsiTheme="majorHAnsi"/>
          <w:sz w:val="20"/>
          <w:szCs w:val="20"/>
          <w:lang w:val="es-ES"/>
        </w:rPr>
        <w:t xml:space="preserve"> </w:t>
      </w:r>
      <w:r w:rsidR="00562952" w:rsidRPr="0050589E">
        <w:rPr>
          <w:rFonts w:asciiTheme="majorHAnsi" w:hAnsiTheme="majorHAnsi"/>
          <w:sz w:val="20"/>
          <w:szCs w:val="20"/>
          <w:lang w:val="es-ES"/>
        </w:rPr>
        <w:t>C</w:t>
      </w:r>
      <w:r w:rsidR="001926EC" w:rsidRPr="0050589E">
        <w:rPr>
          <w:rFonts w:asciiTheme="majorHAnsi" w:hAnsiTheme="majorHAnsi"/>
          <w:sz w:val="20"/>
          <w:szCs w:val="20"/>
          <w:lang w:val="es-ES"/>
        </w:rPr>
        <w:t>ámara</w:t>
      </w:r>
      <w:r w:rsidR="00562952" w:rsidRPr="0050589E">
        <w:rPr>
          <w:rFonts w:asciiTheme="majorHAnsi" w:hAnsiTheme="majorHAnsi"/>
          <w:sz w:val="20"/>
          <w:szCs w:val="20"/>
          <w:lang w:val="es-ES"/>
        </w:rPr>
        <w:t xml:space="preserve"> Federal</w:t>
      </w:r>
      <w:r w:rsidR="001926EC" w:rsidRPr="0050589E">
        <w:rPr>
          <w:rFonts w:asciiTheme="majorHAnsi" w:hAnsiTheme="majorHAnsi"/>
          <w:sz w:val="20"/>
          <w:szCs w:val="20"/>
          <w:lang w:val="es-ES"/>
        </w:rPr>
        <w:t xml:space="preserve"> </w:t>
      </w:r>
      <w:r w:rsidR="00562952" w:rsidRPr="0050589E">
        <w:rPr>
          <w:rFonts w:asciiTheme="majorHAnsi" w:hAnsiTheme="majorHAnsi"/>
          <w:sz w:val="20"/>
          <w:szCs w:val="20"/>
          <w:lang w:val="es-ES"/>
        </w:rPr>
        <w:t>sostuvo: “</w:t>
      </w:r>
      <w:r w:rsidR="00562952" w:rsidRPr="0050589E">
        <w:rPr>
          <w:rFonts w:asciiTheme="majorHAnsi" w:hAnsiTheme="majorHAnsi"/>
          <w:i/>
          <w:iCs/>
          <w:sz w:val="20"/>
          <w:szCs w:val="20"/>
          <w:lang w:val="es-ES"/>
        </w:rPr>
        <w:t>los ac</w:t>
      </w:r>
      <w:r w:rsidR="00801B31" w:rsidRPr="0050589E">
        <w:rPr>
          <w:rFonts w:asciiTheme="majorHAnsi" w:hAnsiTheme="majorHAnsi"/>
          <w:i/>
          <w:iCs/>
          <w:sz w:val="20"/>
          <w:szCs w:val="20"/>
          <w:lang w:val="es-ES"/>
        </w:rPr>
        <w:t>tores tenían la condición de ex</w:t>
      </w:r>
      <w:r w:rsidR="00562952" w:rsidRPr="0050589E">
        <w:rPr>
          <w:rFonts w:asciiTheme="majorHAnsi" w:hAnsiTheme="majorHAnsi"/>
          <w:i/>
          <w:iCs/>
          <w:sz w:val="20"/>
          <w:szCs w:val="20"/>
          <w:lang w:val="es-ES"/>
        </w:rPr>
        <w:t>conscriptos que tuvieron plena participación en el conflicto bélico de Malvinas y a su vez con estado militar, siendo indiferente que desarrollaran sus responsabilidades militares en la vanguardia con lucha efectiva sobre el enemigo, o se mantuvieran en la retaguardia con funciones logísticas militares</w:t>
      </w:r>
      <w:r w:rsidR="00562952" w:rsidRPr="0050589E">
        <w:rPr>
          <w:rFonts w:asciiTheme="majorHAnsi" w:hAnsiTheme="majorHAnsi"/>
          <w:sz w:val="20"/>
          <w:szCs w:val="20"/>
          <w:lang w:val="es-ES"/>
        </w:rPr>
        <w:t>”.</w:t>
      </w:r>
    </w:p>
    <w:p w14:paraId="0860C74F" w14:textId="49F81628" w:rsidR="00A27F75" w:rsidRPr="00FE019D" w:rsidRDefault="001549E9" w:rsidP="00124754">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00FE019D">
        <w:rPr>
          <w:rFonts w:asciiTheme="majorHAnsi" w:hAnsiTheme="majorHAnsi"/>
          <w:sz w:val="20"/>
          <w:szCs w:val="20"/>
          <w:lang w:val="es-ES"/>
        </w:rPr>
        <w:t>Dicha sentencia fue re</w:t>
      </w:r>
      <w:r w:rsidR="00801B31" w:rsidRPr="00FE019D">
        <w:rPr>
          <w:rFonts w:asciiTheme="majorHAnsi" w:hAnsiTheme="majorHAnsi"/>
          <w:sz w:val="20"/>
          <w:szCs w:val="20"/>
          <w:lang w:val="es-ES"/>
        </w:rPr>
        <w:t>currida por el Estado Nacional</w:t>
      </w:r>
      <w:r w:rsidR="000F792A" w:rsidRPr="00FE019D">
        <w:rPr>
          <w:rFonts w:asciiTheme="majorHAnsi" w:hAnsiTheme="majorHAnsi"/>
          <w:sz w:val="20"/>
          <w:szCs w:val="20"/>
          <w:lang w:val="es-ES"/>
        </w:rPr>
        <w:t>,</w:t>
      </w:r>
      <w:r w:rsidR="00801B31" w:rsidRPr="00FE019D">
        <w:rPr>
          <w:rFonts w:ascii="Cambria" w:hAnsi="Cambria"/>
          <w:sz w:val="20"/>
          <w:szCs w:val="20"/>
          <w:lang w:val="es-ES"/>
        </w:rPr>
        <w:t xml:space="preserve"> </w:t>
      </w:r>
      <w:r w:rsidRPr="00FE019D">
        <w:rPr>
          <w:rFonts w:asciiTheme="majorHAnsi" w:hAnsiTheme="majorHAnsi"/>
          <w:sz w:val="20"/>
          <w:szCs w:val="20"/>
          <w:lang w:val="es-ES"/>
        </w:rPr>
        <w:t>Ministerio de Defensa</w:t>
      </w:r>
      <w:r w:rsidR="000F792A" w:rsidRPr="00FE019D">
        <w:rPr>
          <w:rFonts w:asciiTheme="majorHAnsi" w:hAnsiTheme="majorHAnsi"/>
          <w:sz w:val="20"/>
          <w:szCs w:val="20"/>
          <w:lang w:val="es-ES"/>
        </w:rPr>
        <w:t>,</w:t>
      </w:r>
      <w:r w:rsidRPr="00FE019D">
        <w:rPr>
          <w:rFonts w:asciiTheme="majorHAnsi" w:hAnsiTheme="majorHAnsi"/>
          <w:sz w:val="20"/>
          <w:szCs w:val="20"/>
          <w:lang w:val="es-ES"/>
        </w:rPr>
        <w:t xml:space="preserve"> ante la Corte Suprema de Justicia de la Nación</w:t>
      </w:r>
      <w:r w:rsidR="00B652BF" w:rsidRPr="00FE019D">
        <w:rPr>
          <w:rFonts w:asciiTheme="majorHAnsi" w:hAnsiTheme="majorHAnsi"/>
          <w:sz w:val="20"/>
          <w:szCs w:val="20"/>
          <w:lang w:val="es-ES"/>
        </w:rPr>
        <w:t xml:space="preserve"> (en adelante “CSJN”)</w:t>
      </w:r>
      <w:r w:rsidRPr="00FE019D">
        <w:rPr>
          <w:rFonts w:asciiTheme="majorHAnsi" w:hAnsiTheme="majorHAnsi"/>
          <w:sz w:val="20"/>
          <w:szCs w:val="20"/>
          <w:lang w:val="es-ES"/>
        </w:rPr>
        <w:t xml:space="preserve">. El 7 de julio de 2015 la </w:t>
      </w:r>
      <w:r w:rsidR="00B652BF" w:rsidRPr="00FE019D">
        <w:rPr>
          <w:rFonts w:asciiTheme="majorHAnsi" w:hAnsiTheme="majorHAnsi"/>
          <w:sz w:val="20"/>
          <w:szCs w:val="20"/>
          <w:lang w:val="es-ES"/>
        </w:rPr>
        <w:t xml:space="preserve">CSJN </w:t>
      </w:r>
      <w:r w:rsidRPr="00FE019D">
        <w:rPr>
          <w:rFonts w:asciiTheme="majorHAnsi" w:hAnsiTheme="majorHAnsi"/>
          <w:sz w:val="20"/>
          <w:szCs w:val="20"/>
          <w:lang w:val="es-ES"/>
        </w:rPr>
        <w:t xml:space="preserve">hizo lugar al recurso y rechazó el reclamo porque entendió que la Ley 23.109 sólo considera veteranos de guerra a los conscriptos que efectivamente participaron en acciones bélicas en el </w:t>
      </w:r>
      <w:r w:rsidR="00B652BF" w:rsidRPr="00FE019D">
        <w:rPr>
          <w:rFonts w:asciiTheme="majorHAnsi" w:hAnsiTheme="majorHAnsi"/>
          <w:sz w:val="20"/>
          <w:szCs w:val="20"/>
          <w:lang w:val="es-ES"/>
        </w:rPr>
        <w:t>TOAS</w:t>
      </w:r>
      <w:r w:rsidRPr="00FE019D">
        <w:rPr>
          <w:rFonts w:asciiTheme="majorHAnsi" w:hAnsiTheme="majorHAnsi"/>
          <w:sz w:val="20"/>
          <w:szCs w:val="20"/>
          <w:lang w:val="es-ES"/>
        </w:rPr>
        <w:t xml:space="preserve">. </w:t>
      </w:r>
      <w:r w:rsidR="00124754" w:rsidRPr="00FE019D">
        <w:rPr>
          <w:rFonts w:asciiTheme="majorHAnsi" w:hAnsiTheme="majorHAnsi"/>
          <w:sz w:val="20"/>
          <w:szCs w:val="20"/>
          <w:lang w:val="es-ES"/>
        </w:rPr>
        <w:t xml:space="preserve">La CSJN dispuso que igualar a todos bajo el mismo estatus (“todos participaron”) vaciaría de contenido el espíritu de la ley. Dicha sentencia finalizó el proceso a nivel interno. </w:t>
      </w:r>
      <w:r w:rsidR="00EF4341" w:rsidRPr="00FE019D">
        <w:rPr>
          <w:rFonts w:asciiTheme="majorHAnsi" w:hAnsiTheme="majorHAnsi"/>
          <w:sz w:val="20"/>
          <w:szCs w:val="20"/>
          <w:lang w:val="es-ES"/>
        </w:rPr>
        <w:t xml:space="preserve">Los peticionarios argumentan que la sentencia de la </w:t>
      </w:r>
      <w:r w:rsidR="00B652BF" w:rsidRPr="00FE019D">
        <w:rPr>
          <w:rFonts w:asciiTheme="majorHAnsi" w:hAnsiTheme="majorHAnsi"/>
          <w:sz w:val="20"/>
          <w:szCs w:val="20"/>
          <w:lang w:val="es-ES"/>
        </w:rPr>
        <w:t>CSJN</w:t>
      </w:r>
      <w:r w:rsidR="00EF4341" w:rsidRPr="00FE019D">
        <w:rPr>
          <w:rFonts w:asciiTheme="majorHAnsi" w:hAnsiTheme="majorHAnsi"/>
          <w:sz w:val="20"/>
          <w:szCs w:val="20"/>
          <w:lang w:val="es-ES"/>
        </w:rPr>
        <w:t xml:space="preserve"> se aparta de los principios y derechos de la Convención Americana</w:t>
      </w:r>
      <w:r w:rsidR="006D3A4A" w:rsidRPr="00FE019D">
        <w:rPr>
          <w:rFonts w:asciiTheme="majorHAnsi" w:hAnsiTheme="majorHAnsi"/>
          <w:sz w:val="20"/>
          <w:szCs w:val="20"/>
          <w:lang w:val="es-ES"/>
        </w:rPr>
        <w:t>,</w:t>
      </w:r>
      <w:r w:rsidR="00EF4341" w:rsidRPr="00FE019D">
        <w:rPr>
          <w:rFonts w:asciiTheme="majorHAnsi" w:hAnsiTheme="majorHAnsi"/>
          <w:sz w:val="20"/>
          <w:szCs w:val="20"/>
          <w:lang w:val="es-ES"/>
        </w:rPr>
        <w:t xml:space="preserve"> y por ello vulnera su derecho a la igualdad, al excluir injustificadamente del beneficio a quienes estuvieron en la inmediata retaguardia.</w:t>
      </w:r>
    </w:p>
    <w:p w14:paraId="7D8F1739" w14:textId="6C563DE1" w:rsidR="00CF7280" w:rsidRPr="00FE019D" w:rsidRDefault="00CF7280" w:rsidP="001B18E0">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00FE019D">
        <w:rPr>
          <w:rFonts w:asciiTheme="majorHAnsi" w:hAnsiTheme="majorHAnsi"/>
          <w:sz w:val="20"/>
          <w:szCs w:val="20"/>
          <w:lang w:val="es-ES"/>
        </w:rPr>
        <w:t xml:space="preserve">La parte peticionaria sostiene que la negativa estatal a reconocerlos como veteranos, basada en criterios geográficos fijados por normas infralegales, los excluyó injustificadamente de beneficios económicos y previsionales, afectó su derecho de propiedad y generó un trato desigual frente a otros exconscriptos, en violación de los artículos 21 y 24 de la Convención Americana. Añaden que ello también vulnera el artículo 43 del Protocolo I adicional a los Convenios de Ginebra de 1949, relativo al estatuto de combatiente y a la protección de las víctimas de los conflictos armados internacionales. Solicitan que la Comisión declare admisible la </w:t>
      </w:r>
      <w:r w:rsidR="000063CA" w:rsidRPr="00FE019D">
        <w:rPr>
          <w:rFonts w:asciiTheme="majorHAnsi" w:hAnsiTheme="majorHAnsi"/>
          <w:sz w:val="20"/>
          <w:szCs w:val="20"/>
          <w:lang w:val="es-ES"/>
        </w:rPr>
        <w:t>petición</w:t>
      </w:r>
      <w:r w:rsidRPr="00FE019D">
        <w:rPr>
          <w:rFonts w:asciiTheme="majorHAnsi" w:hAnsiTheme="majorHAnsi"/>
          <w:sz w:val="20"/>
          <w:szCs w:val="20"/>
          <w:lang w:val="es-ES"/>
        </w:rPr>
        <w:t xml:space="preserve"> y disponga su reconocimiento como veteranos con las reparaciones correspondientes.</w:t>
      </w:r>
    </w:p>
    <w:p w14:paraId="224DFF1B" w14:textId="4F3D2C28" w:rsidR="00F51C57" w:rsidRPr="00FE019D" w:rsidRDefault="007B1F41" w:rsidP="007B1F41">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b/>
          <w:bCs/>
          <w:iCs/>
          <w:sz w:val="20"/>
          <w:szCs w:val="20"/>
          <w:lang w:val="es-ES"/>
        </w:rPr>
      </w:pPr>
      <w:r w:rsidRPr="00FE019D">
        <w:rPr>
          <w:b/>
          <w:bCs/>
          <w:iCs/>
          <w:sz w:val="20"/>
          <w:szCs w:val="20"/>
          <w:lang w:val="es-ES"/>
        </w:rPr>
        <w:t>El Estado argentino</w:t>
      </w:r>
    </w:p>
    <w:p w14:paraId="226C919B" w14:textId="2DBDAA00" w:rsidR="00CF7280" w:rsidRPr="00FE019D" w:rsidRDefault="00AF4ECA" w:rsidP="001B18E0">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FE019D">
        <w:rPr>
          <w:rFonts w:ascii="Cambria" w:hAnsi="Cambria"/>
          <w:sz w:val="20"/>
          <w:szCs w:val="20"/>
          <w:lang w:val="es-ES"/>
        </w:rPr>
        <w:t>En primer lugar, e</w:t>
      </w:r>
      <w:r w:rsidR="00FD0185" w:rsidRPr="00FE019D">
        <w:rPr>
          <w:rFonts w:ascii="Cambria" w:hAnsi="Cambria"/>
          <w:sz w:val="20"/>
          <w:szCs w:val="20"/>
          <w:lang w:val="es-ES"/>
        </w:rPr>
        <w:t>l Estado advierte que la presente petición fue traslada</w:t>
      </w:r>
      <w:r w:rsidR="001D243C" w:rsidRPr="00FE019D">
        <w:rPr>
          <w:rFonts w:ascii="Cambria" w:hAnsi="Cambria"/>
          <w:sz w:val="20"/>
          <w:szCs w:val="20"/>
          <w:lang w:val="es-ES"/>
        </w:rPr>
        <w:t>da</w:t>
      </w:r>
      <w:r w:rsidR="00FD0185" w:rsidRPr="00FE019D">
        <w:rPr>
          <w:rFonts w:ascii="Cambria" w:hAnsi="Cambria"/>
          <w:sz w:val="20"/>
          <w:szCs w:val="20"/>
          <w:lang w:val="es-ES"/>
        </w:rPr>
        <w:t xml:space="preserve"> a su conocimiento </w:t>
      </w:r>
      <w:r w:rsidR="00E109CB" w:rsidRPr="00FE019D">
        <w:rPr>
          <w:rFonts w:ascii="Cambria" w:hAnsi="Cambria"/>
          <w:sz w:val="20"/>
          <w:szCs w:val="20"/>
          <w:lang w:val="es-ES"/>
        </w:rPr>
        <w:t>aproximadamente</w:t>
      </w:r>
      <w:r w:rsidR="00FD0185" w:rsidRPr="00FE019D">
        <w:rPr>
          <w:rFonts w:ascii="Cambria" w:hAnsi="Cambria"/>
          <w:sz w:val="20"/>
          <w:szCs w:val="20"/>
          <w:lang w:val="es-ES"/>
        </w:rPr>
        <w:t xml:space="preserve"> ocho años d</w:t>
      </w:r>
      <w:r w:rsidR="00E109CB" w:rsidRPr="00FE019D">
        <w:rPr>
          <w:rFonts w:ascii="Cambria" w:hAnsi="Cambria"/>
          <w:sz w:val="20"/>
          <w:szCs w:val="20"/>
          <w:lang w:val="es-ES"/>
        </w:rPr>
        <w:t xml:space="preserve">espués de su registro, </w:t>
      </w:r>
      <w:r w:rsidRPr="00FE019D">
        <w:rPr>
          <w:rFonts w:ascii="Cambria" w:hAnsi="Cambria"/>
          <w:sz w:val="20"/>
          <w:szCs w:val="20"/>
          <w:lang w:val="es-ES"/>
        </w:rPr>
        <w:t>lo cual resulta un g</w:t>
      </w:r>
      <w:r w:rsidR="00CF7280" w:rsidRPr="00FE019D">
        <w:rPr>
          <w:rFonts w:ascii="Cambria" w:hAnsi="Cambria"/>
          <w:sz w:val="20"/>
          <w:szCs w:val="20"/>
          <w:lang w:val="es-ES"/>
        </w:rPr>
        <w:t>rave problema para su defensa.  Seguidamente, sostiene que l</w:t>
      </w:r>
      <w:r w:rsidRPr="00FE019D">
        <w:rPr>
          <w:rFonts w:ascii="Cambria" w:hAnsi="Cambria"/>
          <w:sz w:val="20"/>
          <w:szCs w:val="20"/>
          <w:lang w:val="es-ES"/>
        </w:rPr>
        <w:t xml:space="preserve">a </w:t>
      </w:r>
      <w:r w:rsidR="007B1F41" w:rsidRPr="00FE019D">
        <w:rPr>
          <w:rFonts w:ascii="Cambria" w:hAnsi="Cambria"/>
          <w:sz w:val="20"/>
          <w:szCs w:val="20"/>
          <w:lang w:val="es-ES"/>
        </w:rPr>
        <w:t xml:space="preserve">exclusión de los peticionarios del régimen de beneficios de la Ley N.º 23.109, que reconoce pensiones y honores a los exsoldados conscriptos que “participaron en las acciones bélicas desarrolladas en el </w:t>
      </w:r>
      <w:r w:rsidR="00B652BF" w:rsidRPr="00FE019D">
        <w:rPr>
          <w:rFonts w:ascii="Cambria" w:hAnsi="Cambria"/>
          <w:sz w:val="20"/>
          <w:szCs w:val="20"/>
          <w:lang w:val="es-ES"/>
        </w:rPr>
        <w:t>TOAS</w:t>
      </w:r>
      <w:r w:rsidR="007B1F41" w:rsidRPr="00FE019D">
        <w:rPr>
          <w:rFonts w:ascii="Cambria" w:hAnsi="Cambria"/>
          <w:sz w:val="20"/>
          <w:szCs w:val="20"/>
          <w:lang w:val="es-ES"/>
        </w:rPr>
        <w:t xml:space="preserve">”, responde a un criterio normativo legítimo y objetivo. </w:t>
      </w:r>
    </w:p>
    <w:p w14:paraId="25A0ACE5" w14:textId="21B13FB6" w:rsidR="007B1F41" w:rsidRPr="0050589E" w:rsidRDefault="008C7C57" w:rsidP="1E592774">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50589E">
        <w:rPr>
          <w:rFonts w:ascii="Cambria" w:hAnsi="Cambria"/>
          <w:sz w:val="20"/>
          <w:szCs w:val="20"/>
          <w:lang w:val="es-ES"/>
        </w:rPr>
        <w:t>La</w:t>
      </w:r>
      <w:r w:rsidR="007B1F41" w:rsidRPr="0050589E">
        <w:rPr>
          <w:rFonts w:ascii="Cambria" w:hAnsi="Cambria"/>
          <w:sz w:val="20"/>
          <w:szCs w:val="20"/>
          <w:lang w:val="es-ES"/>
        </w:rPr>
        <w:t xml:space="preserve"> </w:t>
      </w:r>
      <w:r w:rsidR="00B652BF" w:rsidRPr="0050589E">
        <w:rPr>
          <w:rFonts w:asciiTheme="majorHAnsi" w:hAnsiTheme="majorHAnsi"/>
          <w:sz w:val="20"/>
          <w:szCs w:val="20"/>
          <w:lang w:val="es-ES"/>
        </w:rPr>
        <w:t>CSJN</w:t>
      </w:r>
      <w:r w:rsidR="00B652BF" w:rsidRPr="0050589E">
        <w:rPr>
          <w:rFonts w:ascii="Cambria" w:hAnsi="Cambria"/>
          <w:sz w:val="20"/>
          <w:szCs w:val="20"/>
          <w:lang w:val="es-ES"/>
        </w:rPr>
        <w:t xml:space="preserve"> </w:t>
      </w:r>
      <w:r w:rsidRPr="0050589E">
        <w:rPr>
          <w:rFonts w:ascii="Cambria" w:hAnsi="Cambria"/>
          <w:sz w:val="20"/>
          <w:szCs w:val="20"/>
          <w:lang w:val="es-ES"/>
        </w:rPr>
        <w:t xml:space="preserve">dictó </w:t>
      </w:r>
      <w:r w:rsidR="007B1F41" w:rsidRPr="0050589E">
        <w:rPr>
          <w:rFonts w:ascii="Cambria" w:hAnsi="Cambria"/>
          <w:sz w:val="20"/>
          <w:szCs w:val="20"/>
          <w:lang w:val="es-ES"/>
        </w:rPr>
        <w:t xml:space="preserve">sentencia </w:t>
      </w:r>
      <w:r w:rsidRPr="0050589E">
        <w:rPr>
          <w:rFonts w:ascii="Cambria" w:hAnsi="Cambria"/>
          <w:sz w:val="20"/>
          <w:szCs w:val="20"/>
          <w:lang w:val="es-ES"/>
        </w:rPr>
        <w:t>el</w:t>
      </w:r>
      <w:r w:rsidR="007B1F41" w:rsidRPr="0050589E">
        <w:rPr>
          <w:rFonts w:ascii="Cambria" w:hAnsi="Cambria"/>
          <w:sz w:val="20"/>
          <w:szCs w:val="20"/>
          <w:lang w:val="es-ES"/>
        </w:rPr>
        <w:t xml:space="preserve"> 7 de julio de 201</w:t>
      </w:r>
      <w:r w:rsidRPr="0050589E">
        <w:rPr>
          <w:rFonts w:ascii="Cambria" w:hAnsi="Cambria"/>
          <w:sz w:val="20"/>
          <w:szCs w:val="20"/>
          <w:lang w:val="es-ES"/>
        </w:rPr>
        <w:t>5</w:t>
      </w:r>
      <w:r w:rsidR="002762EE" w:rsidRPr="0050589E">
        <w:rPr>
          <w:rFonts w:ascii="Cambria" w:hAnsi="Cambria"/>
          <w:sz w:val="20"/>
          <w:szCs w:val="20"/>
          <w:lang w:val="es-ES"/>
        </w:rPr>
        <w:t xml:space="preserve"> en la causa “Arfinetti, Víctor Hugo c/ Estado Nacional”, donde</w:t>
      </w:r>
      <w:r w:rsidRPr="0050589E">
        <w:rPr>
          <w:rFonts w:ascii="Cambria" w:hAnsi="Cambria"/>
          <w:sz w:val="20"/>
          <w:szCs w:val="20"/>
          <w:lang w:val="es-ES"/>
        </w:rPr>
        <w:t xml:space="preserve"> </w:t>
      </w:r>
      <w:r w:rsidR="007B1F41" w:rsidRPr="0050589E">
        <w:rPr>
          <w:rFonts w:ascii="Cambria" w:hAnsi="Cambria"/>
          <w:sz w:val="20"/>
          <w:szCs w:val="20"/>
          <w:lang w:val="es-ES"/>
        </w:rPr>
        <w:t>interpretó que la cate</w:t>
      </w:r>
      <w:r w:rsidR="00AF4ECA" w:rsidRPr="0050589E">
        <w:rPr>
          <w:rFonts w:ascii="Cambria" w:hAnsi="Cambria"/>
          <w:sz w:val="20"/>
          <w:szCs w:val="20"/>
          <w:lang w:val="es-ES"/>
        </w:rPr>
        <w:t>goría de “veterano de guerra” so</w:t>
      </w:r>
      <w:r w:rsidR="007B1F41" w:rsidRPr="0050589E">
        <w:rPr>
          <w:rFonts w:ascii="Cambria" w:hAnsi="Cambria"/>
          <w:sz w:val="20"/>
          <w:szCs w:val="20"/>
          <w:lang w:val="es-ES"/>
        </w:rPr>
        <w:t>lo comprende a quienes tuvieron intervención directa en las acciones de combate dentro del teatro de operaciones delimitado, el cual abarca la plataforma continental, las Islas Malvinas, Georgias y Sandwich del Sur y su espacio aéreo.</w:t>
      </w:r>
      <w:r w:rsidR="00CF7280" w:rsidRPr="0050589E">
        <w:rPr>
          <w:rFonts w:ascii="Cambria" w:hAnsi="Cambria"/>
          <w:sz w:val="20"/>
          <w:szCs w:val="20"/>
          <w:lang w:val="es-ES"/>
        </w:rPr>
        <w:t xml:space="preserve"> </w:t>
      </w:r>
      <w:r w:rsidR="007B1F41" w:rsidRPr="0050589E">
        <w:rPr>
          <w:rFonts w:ascii="Cambria" w:hAnsi="Cambria"/>
          <w:sz w:val="20"/>
          <w:szCs w:val="20"/>
          <w:lang w:val="es-ES"/>
        </w:rPr>
        <w:t>El Estado citó textualmente que el máximo tribunal sostuvo que “</w:t>
      </w:r>
      <w:r w:rsidR="007B1F41" w:rsidRPr="0050589E">
        <w:rPr>
          <w:rFonts w:ascii="Cambria" w:hAnsi="Cambria"/>
          <w:i/>
          <w:iCs/>
          <w:sz w:val="20"/>
          <w:szCs w:val="20"/>
          <w:lang w:val="es-ES"/>
        </w:rPr>
        <w:t>la participación en acciones bélicas aparece, en ambas normas, como requisito ineludible</w:t>
      </w:r>
      <w:r w:rsidR="007B1F41" w:rsidRPr="0050589E">
        <w:rPr>
          <w:rFonts w:ascii="Cambria" w:hAnsi="Cambria"/>
          <w:sz w:val="20"/>
          <w:szCs w:val="20"/>
          <w:lang w:val="es-ES"/>
        </w:rPr>
        <w:t>”</w:t>
      </w:r>
      <w:r w:rsidR="00E93DA2" w:rsidRPr="0050589E">
        <w:rPr>
          <w:rFonts w:ascii="Cambria" w:hAnsi="Cambria"/>
          <w:sz w:val="20"/>
          <w:szCs w:val="20"/>
          <w:lang w:val="es-ES"/>
        </w:rPr>
        <w:t>;</w:t>
      </w:r>
      <w:r w:rsidR="007B1F41" w:rsidRPr="0050589E">
        <w:rPr>
          <w:rFonts w:ascii="Cambria" w:hAnsi="Cambria"/>
          <w:sz w:val="20"/>
          <w:szCs w:val="20"/>
          <w:lang w:val="es-ES"/>
        </w:rPr>
        <w:t xml:space="preserve"> y que “</w:t>
      </w:r>
      <w:r w:rsidR="007B1F41" w:rsidRPr="0050589E">
        <w:rPr>
          <w:rFonts w:ascii="Cambria" w:hAnsi="Cambria"/>
          <w:i/>
          <w:iCs/>
          <w:sz w:val="20"/>
          <w:szCs w:val="20"/>
          <w:lang w:val="es-ES"/>
        </w:rPr>
        <w:t>eliminar la distinción entre conscriptos que participaron y los que no lo hicieron desvirtúa el sentido de la ley</w:t>
      </w:r>
      <w:r w:rsidR="007B1F41" w:rsidRPr="0050589E">
        <w:rPr>
          <w:rFonts w:ascii="Cambria" w:hAnsi="Cambria"/>
          <w:sz w:val="20"/>
          <w:szCs w:val="20"/>
          <w:lang w:val="es-ES"/>
        </w:rPr>
        <w:t>”. En este sentido, argumentó que la diferenciación establecida por la legislación nacional no constituye discriminación, sino una clasificación razonable fundada en el tipo de servicio prestado.</w:t>
      </w:r>
    </w:p>
    <w:p w14:paraId="55977D14" w14:textId="1F3D6F5F" w:rsidR="007B1F41" w:rsidRPr="00FE019D" w:rsidRDefault="007B1F41" w:rsidP="001B18E0">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FE019D">
        <w:rPr>
          <w:rFonts w:ascii="Cambria" w:hAnsi="Cambria"/>
          <w:sz w:val="20"/>
          <w:szCs w:val="20"/>
          <w:lang w:val="es-ES"/>
        </w:rPr>
        <w:t xml:space="preserve">Asimismo, el Estado </w:t>
      </w:r>
      <w:r w:rsidR="00DF7D7D" w:rsidRPr="00FE019D">
        <w:rPr>
          <w:rFonts w:ascii="Cambria" w:hAnsi="Cambria"/>
          <w:sz w:val="20"/>
          <w:szCs w:val="20"/>
          <w:lang w:val="es-ES"/>
        </w:rPr>
        <w:t>alega</w:t>
      </w:r>
      <w:r w:rsidRPr="00FE019D">
        <w:rPr>
          <w:rFonts w:ascii="Cambria" w:hAnsi="Cambria"/>
          <w:sz w:val="20"/>
          <w:szCs w:val="20"/>
          <w:lang w:val="es-ES"/>
        </w:rPr>
        <w:t xml:space="preserve"> que los actores</w:t>
      </w:r>
      <w:r w:rsidR="00D402EB" w:rsidRPr="00FE019D">
        <w:rPr>
          <w:rFonts w:ascii="Cambria" w:hAnsi="Cambria"/>
          <w:sz w:val="20"/>
          <w:szCs w:val="20"/>
          <w:lang w:val="es-ES"/>
        </w:rPr>
        <w:t xml:space="preserve"> no agotaron correctamente los recursos internos dado que</w:t>
      </w:r>
      <w:r w:rsidRPr="00FE019D">
        <w:rPr>
          <w:rFonts w:ascii="Cambria" w:hAnsi="Cambria"/>
          <w:sz w:val="20"/>
          <w:szCs w:val="20"/>
          <w:lang w:val="es-ES"/>
        </w:rPr>
        <w:t xml:space="preserve"> no cuestionaron la constitucionalidad ni la convencionalidad del artículo 1.º de la Ley 23.109, que constituye la fuente norm</w:t>
      </w:r>
      <w:r w:rsidR="009F3542" w:rsidRPr="00FE019D">
        <w:rPr>
          <w:rFonts w:ascii="Cambria" w:hAnsi="Cambria"/>
          <w:sz w:val="20"/>
          <w:szCs w:val="20"/>
          <w:lang w:val="es-ES"/>
        </w:rPr>
        <w:t xml:space="preserve">ativa de la distinción alegada. Por el contrario, solamente cuestionaron la constitucionalidad del decreto reglamentario de dicha ley, </w:t>
      </w:r>
      <w:r w:rsidRPr="00FE019D">
        <w:rPr>
          <w:rFonts w:ascii="Cambria" w:hAnsi="Cambria"/>
          <w:sz w:val="20"/>
          <w:szCs w:val="20"/>
          <w:lang w:val="es-ES"/>
        </w:rPr>
        <w:t>motivo por el cual no puede considerarse cumplido el requisito de agotamiento de los recursos internos previsto en el artículo 46.1.a) de la Convención Americana.</w:t>
      </w:r>
    </w:p>
    <w:p w14:paraId="241DF50E" w14:textId="75EC8DA2" w:rsidR="007B1F41" w:rsidRPr="00FE019D" w:rsidRDefault="00DF7D7D" w:rsidP="001B18E0">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FE019D">
        <w:rPr>
          <w:rFonts w:ascii="Cambria" w:hAnsi="Cambria"/>
          <w:sz w:val="20"/>
          <w:szCs w:val="20"/>
          <w:lang w:val="es-ES"/>
        </w:rPr>
        <w:t xml:space="preserve">Asimismo, Argentina </w:t>
      </w:r>
      <w:r w:rsidR="00E109CB" w:rsidRPr="00FE019D">
        <w:rPr>
          <w:rFonts w:ascii="Cambria" w:hAnsi="Cambria"/>
          <w:sz w:val="20"/>
          <w:szCs w:val="20"/>
          <w:lang w:val="es-ES"/>
        </w:rPr>
        <w:t xml:space="preserve">alega que </w:t>
      </w:r>
      <w:r w:rsidR="007B1F41" w:rsidRPr="00FE019D">
        <w:rPr>
          <w:rFonts w:ascii="Cambria" w:hAnsi="Cambria"/>
          <w:sz w:val="20"/>
          <w:szCs w:val="20"/>
          <w:lang w:val="es-ES"/>
        </w:rPr>
        <w:t xml:space="preserve">la petición </w:t>
      </w:r>
      <w:r w:rsidR="00534A7C" w:rsidRPr="00FE019D">
        <w:rPr>
          <w:rFonts w:ascii="Cambria" w:hAnsi="Cambria"/>
          <w:sz w:val="20"/>
          <w:szCs w:val="20"/>
          <w:lang w:val="es-ES"/>
        </w:rPr>
        <w:t>no contiene violaciones</w:t>
      </w:r>
      <w:r w:rsidR="007B1F41" w:rsidRPr="00FE019D">
        <w:rPr>
          <w:rFonts w:ascii="Cambria" w:hAnsi="Cambria"/>
          <w:sz w:val="20"/>
          <w:szCs w:val="20"/>
          <w:lang w:val="es-ES"/>
        </w:rPr>
        <w:t xml:space="preserve"> de derechos humanos en los términos del a</w:t>
      </w:r>
      <w:r w:rsidR="00D402EB" w:rsidRPr="00FE019D">
        <w:rPr>
          <w:rFonts w:ascii="Cambria" w:hAnsi="Cambria"/>
          <w:sz w:val="20"/>
          <w:szCs w:val="20"/>
          <w:lang w:val="es-ES"/>
        </w:rPr>
        <w:t>rtículo 47.b) de la Convención</w:t>
      </w:r>
      <w:r w:rsidR="00534A7C" w:rsidRPr="00FE019D">
        <w:rPr>
          <w:rFonts w:ascii="Cambria" w:hAnsi="Cambria"/>
          <w:sz w:val="20"/>
          <w:szCs w:val="20"/>
          <w:lang w:val="es-ES"/>
        </w:rPr>
        <w:t>,</w:t>
      </w:r>
      <w:r w:rsidR="00D402EB" w:rsidRPr="00FE019D">
        <w:rPr>
          <w:rFonts w:ascii="Cambria" w:hAnsi="Cambria"/>
          <w:sz w:val="20"/>
          <w:szCs w:val="20"/>
          <w:lang w:val="es-ES"/>
        </w:rPr>
        <w:t xml:space="preserve"> ya que la parte peticionaria solo expresa disconformidad con la aplicación de la legislación interna. </w:t>
      </w:r>
      <w:r w:rsidR="00EF049D" w:rsidRPr="00FE019D">
        <w:rPr>
          <w:rFonts w:ascii="Cambria" w:hAnsi="Cambria"/>
          <w:sz w:val="20"/>
          <w:szCs w:val="20"/>
          <w:lang w:val="es-ES"/>
        </w:rPr>
        <w:t xml:space="preserve">En este sentido, el Estado señala que la parte peticionaria </w:t>
      </w:r>
      <w:r w:rsidR="00D402EB" w:rsidRPr="00FE019D">
        <w:rPr>
          <w:rFonts w:ascii="Cambria" w:hAnsi="Cambria"/>
          <w:sz w:val="20"/>
          <w:szCs w:val="20"/>
          <w:lang w:val="es-ES"/>
        </w:rPr>
        <w:t xml:space="preserve">pretende </w:t>
      </w:r>
      <w:r w:rsidR="007B1F41" w:rsidRPr="00FE019D">
        <w:rPr>
          <w:rFonts w:ascii="Cambria" w:hAnsi="Cambria"/>
          <w:sz w:val="20"/>
          <w:szCs w:val="20"/>
          <w:lang w:val="es-ES"/>
        </w:rPr>
        <w:t xml:space="preserve">reabrir ante la Comisión un debate jurídico ya resuelto por los tribunales nacionales conforme a las garantías </w:t>
      </w:r>
      <w:r w:rsidR="007B1F41" w:rsidRPr="00FE019D">
        <w:rPr>
          <w:rFonts w:ascii="Cambria" w:hAnsi="Cambria"/>
          <w:sz w:val="20"/>
          <w:szCs w:val="20"/>
          <w:lang w:val="es-ES"/>
        </w:rPr>
        <w:lastRenderedPageBreak/>
        <w:t>del debido proceso, lo cual transformaría al sistema interamericano en una “cuarta instancia” judicial, contraria al principio de subsidiariedad.</w:t>
      </w:r>
      <w:r w:rsidR="007B1F41" w:rsidRPr="00FE019D">
        <w:rPr>
          <w:lang w:val="es-ES"/>
        </w:rPr>
        <w:t xml:space="preserve"> </w:t>
      </w:r>
      <w:r w:rsidR="00CF7280" w:rsidRPr="00FE019D">
        <w:rPr>
          <w:rFonts w:ascii="Cambria" w:hAnsi="Cambria"/>
          <w:sz w:val="20"/>
          <w:szCs w:val="20"/>
          <w:lang w:val="es-ES"/>
        </w:rPr>
        <w:t>El Estado solic</w:t>
      </w:r>
      <w:r w:rsidR="001D243C" w:rsidRPr="00FE019D">
        <w:rPr>
          <w:rFonts w:ascii="Cambria" w:hAnsi="Cambria"/>
          <w:sz w:val="20"/>
          <w:szCs w:val="20"/>
          <w:lang w:val="es-ES"/>
        </w:rPr>
        <w:t>i</w:t>
      </w:r>
      <w:r w:rsidR="00CF7280" w:rsidRPr="00FE019D">
        <w:rPr>
          <w:rFonts w:ascii="Cambria" w:hAnsi="Cambria"/>
          <w:sz w:val="20"/>
          <w:szCs w:val="20"/>
          <w:lang w:val="es-ES"/>
        </w:rPr>
        <w:t>ta</w:t>
      </w:r>
      <w:r w:rsidR="007B1F41" w:rsidRPr="00FE019D">
        <w:rPr>
          <w:rFonts w:ascii="Cambria" w:hAnsi="Cambria"/>
          <w:sz w:val="20"/>
          <w:szCs w:val="20"/>
          <w:lang w:val="es-ES"/>
        </w:rPr>
        <w:t xml:space="preserve"> que en atención a </w:t>
      </w:r>
      <w:r w:rsidR="00E02641" w:rsidRPr="00FE019D">
        <w:rPr>
          <w:rFonts w:ascii="Cambria" w:hAnsi="Cambria"/>
          <w:sz w:val="20"/>
          <w:szCs w:val="20"/>
          <w:lang w:val="es-ES"/>
        </w:rPr>
        <w:t>estos</w:t>
      </w:r>
      <w:r w:rsidR="007B1F41" w:rsidRPr="00FE019D">
        <w:rPr>
          <w:rFonts w:ascii="Cambria" w:hAnsi="Cambria"/>
          <w:sz w:val="20"/>
          <w:szCs w:val="20"/>
          <w:lang w:val="es-ES"/>
        </w:rPr>
        <w:t xml:space="preserve"> argumentos disponga el archivo de la petición por no cumplir con los requisitos de admisibilidad previstos en los artículos 46 y 47 de la Convención Americana. En forma subsidiaria, pidió que, de continuar el análisis del caso, se tenga presente su reserva para ampliar la información y formular observaciones adicionales en futuras etapas del procedimiento.</w:t>
      </w:r>
    </w:p>
    <w:p w14:paraId="6F4D4171" w14:textId="61F41104" w:rsidR="003239B8" w:rsidRPr="00FE019D" w:rsidRDefault="003239B8" w:rsidP="003239B8">
      <w:pPr>
        <w:spacing w:before="240" w:after="240"/>
        <w:ind w:firstLine="720"/>
        <w:jc w:val="both"/>
        <w:rPr>
          <w:rFonts w:ascii="Cambria" w:hAnsi="Cambria"/>
          <w:sz w:val="20"/>
          <w:szCs w:val="20"/>
          <w:lang w:val="es-ES"/>
        </w:rPr>
      </w:pPr>
      <w:r w:rsidRPr="00FE019D">
        <w:rPr>
          <w:rFonts w:asciiTheme="majorHAnsi" w:eastAsia="Cambria" w:hAnsiTheme="majorHAnsi" w:cs="Cambria"/>
          <w:b/>
          <w:bCs/>
          <w:color w:val="000000"/>
          <w:sz w:val="20"/>
          <w:szCs w:val="20"/>
          <w:u w:color="000000"/>
          <w:lang w:val="es-ES" w:eastAsia="es-ES"/>
        </w:rPr>
        <w:t>VI.</w:t>
      </w:r>
      <w:r w:rsidRPr="00FE019D">
        <w:rPr>
          <w:rFonts w:asciiTheme="majorHAnsi" w:eastAsia="Cambria" w:hAnsiTheme="majorHAnsi" w:cs="Cambria"/>
          <w:b/>
          <w:bCs/>
          <w:color w:val="000000"/>
          <w:sz w:val="20"/>
          <w:szCs w:val="20"/>
          <w:u w:color="000000"/>
          <w:lang w:val="es-ES" w:eastAsia="es-ES"/>
        </w:rPr>
        <w:tab/>
      </w:r>
      <w:r w:rsidR="004A6A54" w:rsidRPr="00FE019D">
        <w:rPr>
          <w:rFonts w:asciiTheme="majorHAnsi" w:hAnsiTheme="majorHAnsi"/>
          <w:b/>
          <w:bCs/>
          <w:sz w:val="20"/>
          <w:szCs w:val="20"/>
          <w:lang w:val="es-ES"/>
        </w:rPr>
        <w:t xml:space="preserve">ANÁLISIS DE </w:t>
      </w:r>
      <w:r w:rsidR="00C21FEF" w:rsidRPr="00FE019D">
        <w:rPr>
          <w:rFonts w:asciiTheme="majorHAnsi" w:hAnsiTheme="majorHAnsi"/>
          <w:b/>
          <w:sz w:val="20"/>
          <w:szCs w:val="20"/>
          <w:lang w:val="es-ES"/>
        </w:rPr>
        <w:t>AGOTAMIENTO DE LOS RECURSOS INTERNOS Y PLAZO DE PRESENTACIÓN</w:t>
      </w:r>
      <w:r w:rsidR="00C21FEF" w:rsidRPr="00FE019D">
        <w:rPr>
          <w:rFonts w:asciiTheme="majorHAnsi" w:eastAsia="Cambria" w:hAnsiTheme="majorHAnsi" w:cs="Cambria"/>
          <w:b/>
          <w:bCs/>
          <w:color w:val="000000"/>
          <w:sz w:val="20"/>
          <w:szCs w:val="20"/>
          <w:u w:color="000000"/>
          <w:lang w:val="es-ES" w:eastAsia="es-ES"/>
        </w:rPr>
        <w:t xml:space="preserve"> </w:t>
      </w:r>
    </w:p>
    <w:p w14:paraId="1F207484" w14:textId="51E01E15" w:rsidR="008C7C57" w:rsidRPr="00FE019D" w:rsidRDefault="00EE6EE9" w:rsidP="001B18E0">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FE019D">
        <w:rPr>
          <w:rFonts w:ascii="Cambria" w:hAnsi="Cambria"/>
          <w:sz w:val="20"/>
          <w:szCs w:val="20"/>
          <w:lang w:val="es-ES"/>
        </w:rPr>
        <w:t xml:space="preserve">En el presente caso, la Comisión observa que los peticionarios promovieron gestiones administrativas ante el Ministerio de Defensa solicitando su inclusión en el régimen de reconocimiento de los excombatientes previsto en la Ley N.º 23.109. </w:t>
      </w:r>
      <w:r w:rsidR="008C7C57" w:rsidRPr="00FE019D">
        <w:rPr>
          <w:rFonts w:asciiTheme="majorHAnsi" w:hAnsiTheme="majorHAnsi"/>
          <w:sz w:val="20"/>
          <w:szCs w:val="20"/>
          <w:lang w:val="es-ES"/>
        </w:rPr>
        <w:t>El 13 de septiembre de 2007 se manifestó la negativa del Estado por medio de la respuest</w:t>
      </w:r>
      <w:r w:rsidR="001D243C" w:rsidRPr="00FE019D">
        <w:rPr>
          <w:rFonts w:asciiTheme="majorHAnsi" w:hAnsiTheme="majorHAnsi"/>
          <w:sz w:val="20"/>
          <w:szCs w:val="20"/>
          <w:lang w:val="es-ES"/>
        </w:rPr>
        <w:t>a del Coronel “PT” al presidente de la a</w:t>
      </w:r>
      <w:r w:rsidR="008C7C57" w:rsidRPr="00FE019D">
        <w:rPr>
          <w:rFonts w:asciiTheme="majorHAnsi" w:hAnsiTheme="majorHAnsi"/>
          <w:sz w:val="20"/>
          <w:szCs w:val="20"/>
          <w:lang w:val="es-ES"/>
        </w:rPr>
        <w:t>grupación "Gloria</w:t>
      </w:r>
      <w:r w:rsidR="009F3542" w:rsidRPr="00FE019D">
        <w:rPr>
          <w:rFonts w:asciiTheme="majorHAnsi" w:hAnsiTheme="majorHAnsi"/>
          <w:sz w:val="20"/>
          <w:szCs w:val="20"/>
          <w:lang w:val="es-ES"/>
        </w:rPr>
        <w:t xml:space="preserve"> al 8"</w:t>
      </w:r>
      <w:r w:rsidR="001D243C" w:rsidRPr="00FE019D">
        <w:rPr>
          <w:rFonts w:asciiTheme="majorHAnsi" w:hAnsiTheme="majorHAnsi"/>
          <w:sz w:val="20"/>
          <w:szCs w:val="20"/>
          <w:lang w:val="es-ES"/>
        </w:rPr>
        <w:t xml:space="preserve"> para reconocerlos como veteranos de la guerra de M</w:t>
      </w:r>
      <w:r w:rsidR="008C7C57" w:rsidRPr="00FE019D">
        <w:rPr>
          <w:rFonts w:asciiTheme="majorHAnsi" w:hAnsiTheme="majorHAnsi"/>
          <w:sz w:val="20"/>
          <w:szCs w:val="20"/>
          <w:lang w:val="es-ES"/>
        </w:rPr>
        <w:t>alvina</w:t>
      </w:r>
      <w:r w:rsidR="001D243C" w:rsidRPr="00FE019D">
        <w:rPr>
          <w:rFonts w:asciiTheme="majorHAnsi" w:hAnsiTheme="majorHAnsi"/>
          <w:sz w:val="20"/>
          <w:szCs w:val="20"/>
          <w:lang w:val="es-ES"/>
        </w:rPr>
        <w:t>s</w:t>
      </w:r>
      <w:r w:rsidR="008C7C57" w:rsidRPr="00FE019D">
        <w:rPr>
          <w:rFonts w:asciiTheme="majorHAnsi" w:hAnsiTheme="majorHAnsi"/>
          <w:sz w:val="20"/>
          <w:szCs w:val="20"/>
          <w:lang w:val="es-ES"/>
        </w:rPr>
        <w:t xml:space="preserve">. </w:t>
      </w:r>
    </w:p>
    <w:p w14:paraId="7E589371" w14:textId="5D9238CD" w:rsidR="00EE6EE9" w:rsidRPr="00FE019D" w:rsidRDefault="00EE6EE9" w:rsidP="001B18E0">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FE019D">
        <w:rPr>
          <w:rFonts w:ascii="Cambria" w:hAnsi="Cambria"/>
          <w:sz w:val="20"/>
          <w:szCs w:val="20"/>
          <w:lang w:val="es-ES"/>
        </w:rPr>
        <w:t>Frente a la falta de satisfacción de sus reclamos,</w:t>
      </w:r>
      <w:r w:rsidR="009F3542" w:rsidRPr="00FE019D">
        <w:rPr>
          <w:rFonts w:asciiTheme="majorHAnsi" w:hAnsiTheme="majorHAnsi"/>
          <w:sz w:val="20"/>
          <w:szCs w:val="20"/>
          <w:lang w:val="es-ES"/>
        </w:rPr>
        <w:t xml:space="preserve"> el 5 de diciembre de 2007 </w:t>
      </w:r>
      <w:r w:rsidRPr="00FE019D">
        <w:rPr>
          <w:rFonts w:ascii="Cambria" w:hAnsi="Cambria"/>
          <w:sz w:val="20"/>
          <w:szCs w:val="20"/>
          <w:lang w:val="es-ES"/>
        </w:rPr>
        <w:t xml:space="preserve">los peticionarios interpusieron una acción meramente declarativa de certeza, caratulada “Arfinetti, Víctor Hugo c/ Estado Nacional”, ante el Juzgado Federal de Primera Instancia N.º 3 de Córdoba, con el objeto de que se </w:t>
      </w:r>
      <w:r w:rsidR="009F3542" w:rsidRPr="00FE019D">
        <w:rPr>
          <w:rFonts w:ascii="Cambria" w:hAnsi="Cambria"/>
          <w:sz w:val="20"/>
          <w:szCs w:val="20"/>
          <w:lang w:val="es-ES"/>
        </w:rPr>
        <w:t>dispusiera</w:t>
      </w:r>
      <w:r w:rsidRPr="00FE019D">
        <w:rPr>
          <w:rFonts w:ascii="Cambria" w:hAnsi="Cambria"/>
          <w:sz w:val="20"/>
          <w:szCs w:val="20"/>
          <w:lang w:val="es-ES"/>
        </w:rPr>
        <w:t xml:space="preserve"> la inconstitucionalidad del Decreto N.º 509/88, reglamentario de la Ley N.º 23.109, por entender que la exclusión de quienes actuaron en la retaguardia resultaba contraria al principio de igualdad. El tribunal de primera instancia hizo lugar a la demanda y declaró la inconstitucionalidad del artículo 1 del decreto impugnado, decisión que fue confirmada por la Cámara Federal de Apelaciones de Córdoba.</w:t>
      </w:r>
    </w:p>
    <w:p w14:paraId="1530F196" w14:textId="55977193" w:rsidR="00EE6EE9" w:rsidRPr="00FE019D" w:rsidRDefault="00EE6EE9" w:rsidP="001B18E0">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FE019D">
        <w:rPr>
          <w:rFonts w:ascii="Cambria" w:hAnsi="Cambria"/>
          <w:sz w:val="20"/>
          <w:szCs w:val="20"/>
          <w:lang w:val="es-ES"/>
        </w:rPr>
        <w:t>El Estado Nacional i</w:t>
      </w:r>
      <w:r w:rsidR="00D40E2A" w:rsidRPr="00FE019D">
        <w:rPr>
          <w:rFonts w:ascii="Cambria" w:hAnsi="Cambria"/>
          <w:sz w:val="20"/>
          <w:szCs w:val="20"/>
          <w:lang w:val="es-ES"/>
        </w:rPr>
        <w:t>nterpuso recurso extraordinario</w:t>
      </w:r>
      <w:r w:rsidRPr="00FE019D">
        <w:rPr>
          <w:rFonts w:ascii="Cambria" w:hAnsi="Cambria"/>
          <w:sz w:val="20"/>
          <w:szCs w:val="20"/>
          <w:lang w:val="es-ES"/>
        </w:rPr>
        <w:t xml:space="preserve"> y la </w:t>
      </w:r>
      <w:r w:rsidR="009F3542" w:rsidRPr="00FE019D">
        <w:rPr>
          <w:rFonts w:asciiTheme="majorHAnsi" w:hAnsiTheme="majorHAnsi"/>
          <w:sz w:val="20"/>
          <w:szCs w:val="20"/>
          <w:lang w:val="es-ES"/>
        </w:rPr>
        <w:t>CSJN</w:t>
      </w:r>
      <w:r w:rsidR="00D40E2A" w:rsidRPr="00FE019D">
        <w:rPr>
          <w:rFonts w:asciiTheme="majorHAnsi" w:hAnsiTheme="majorHAnsi"/>
          <w:sz w:val="20"/>
          <w:szCs w:val="20"/>
          <w:lang w:val="es-ES"/>
        </w:rPr>
        <w:t xml:space="preserve"> </w:t>
      </w:r>
      <w:r w:rsidRPr="00FE019D">
        <w:rPr>
          <w:rFonts w:ascii="Cambria" w:hAnsi="Cambria"/>
          <w:sz w:val="20"/>
          <w:szCs w:val="20"/>
          <w:lang w:val="es-ES"/>
        </w:rPr>
        <w:t>mediante se</w:t>
      </w:r>
      <w:r w:rsidR="00D40E2A" w:rsidRPr="00FE019D">
        <w:rPr>
          <w:rFonts w:ascii="Cambria" w:hAnsi="Cambria"/>
          <w:sz w:val="20"/>
          <w:szCs w:val="20"/>
          <w:lang w:val="es-ES"/>
        </w:rPr>
        <w:t xml:space="preserve">ntencia del 7 de julio de 2015 </w:t>
      </w:r>
      <w:r w:rsidRPr="00FE019D">
        <w:rPr>
          <w:rFonts w:ascii="Cambria" w:hAnsi="Cambria"/>
          <w:sz w:val="20"/>
          <w:szCs w:val="20"/>
          <w:lang w:val="es-ES"/>
        </w:rPr>
        <w:t>revocó el fallo y rechazó la acción, al considerar que la ley exig</w:t>
      </w:r>
      <w:r w:rsidR="00D40E2A" w:rsidRPr="00FE019D">
        <w:rPr>
          <w:rFonts w:ascii="Cambria" w:hAnsi="Cambria"/>
          <w:sz w:val="20"/>
          <w:szCs w:val="20"/>
          <w:lang w:val="es-ES"/>
        </w:rPr>
        <w:t xml:space="preserve">e como requisito ineludible la </w:t>
      </w:r>
      <w:r w:rsidRPr="00FE019D">
        <w:rPr>
          <w:rFonts w:ascii="Cambria" w:hAnsi="Cambria"/>
          <w:sz w:val="20"/>
          <w:szCs w:val="20"/>
          <w:lang w:val="es-ES"/>
        </w:rPr>
        <w:t>participación en acciones bélicas desarrolladas en el</w:t>
      </w:r>
      <w:r w:rsidR="00B652BF" w:rsidRPr="00FE019D">
        <w:rPr>
          <w:rFonts w:ascii="Cambria" w:hAnsi="Cambria"/>
          <w:sz w:val="20"/>
          <w:szCs w:val="20"/>
          <w:lang w:val="es-ES"/>
        </w:rPr>
        <w:t xml:space="preserve"> </w:t>
      </w:r>
      <w:r w:rsidR="00B652BF" w:rsidRPr="00FE019D">
        <w:rPr>
          <w:rFonts w:asciiTheme="majorHAnsi" w:hAnsiTheme="majorHAnsi"/>
          <w:sz w:val="20"/>
          <w:szCs w:val="20"/>
          <w:lang w:val="es-ES"/>
        </w:rPr>
        <w:t>TOAS</w:t>
      </w:r>
      <w:r w:rsidRPr="00FE019D">
        <w:rPr>
          <w:rFonts w:ascii="Cambria" w:hAnsi="Cambria"/>
          <w:sz w:val="20"/>
          <w:szCs w:val="20"/>
          <w:lang w:val="es-ES"/>
        </w:rPr>
        <w:t>. En su decis</w:t>
      </w:r>
      <w:r w:rsidR="00D40E2A" w:rsidRPr="00FE019D">
        <w:rPr>
          <w:rFonts w:ascii="Cambria" w:hAnsi="Cambria"/>
          <w:sz w:val="20"/>
          <w:szCs w:val="20"/>
          <w:lang w:val="es-ES"/>
        </w:rPr>
        <w:t>ión, el máximo tribunal sostuvo</w:t>
      </w:r>
      <w:r w:rsidR="00D40E2A" w:rsidRPr="00FE019D">
        <w:rPr>
          <w:rFonts w:asciiTheme="majorHAnsi" w:hAnsiTheme="majorHAnsi"/>
          <w:sz w:val="20"/>
          <w:szCs w:val="20"/>
          <w:lang w:val="es-ES"/>
        </w:rPr>
        <w:t xml:space="preserve"> que igualar a todos bajo el mismo estatus (“todos participaron”) vaciaría de contenido el espíritu de la ley</w:t>
      </w:r>
      <w:r w:rsidRPr="00FE019D">
        <w:rPr>
          <w:rFonts w:ascii="Cambria" w:hAnsi="Cambria"/>
          <w:sz w:val="20"/>
          <w:szCs w:val="20"/>
          <w:lang w:val="es-ES"/>
        </w:rPr>
        <w:t>.</w:t>
      </w:r>
    </w:p>
    <w:p w14:paraId="3DF8CE41" w14:textId="49383F09" w:rsidR="007B1F41" w:rsidRPr="00FE019D" w:rsidRDefault="006522FA" w:rsidP="001B18E0">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FE019D">
        <w:rPr>
          <w:rFonts w:ascii="Cambria" w:hAnsi="Cambria"/>
          <w:sz w:val="20"/>
          <w:szCs w:val="20"/>
          <w:lang w:val="es-ES"/>
        </w:rPr>
        <w:t>La Comisión advierte que los peticionarios agotaron los recursos judiciales ordinarios disponibles, al haber recurrido a la instancia máxi</w:t>
      </w:r>
      <w:r w:rsidR="00D40E2A" w:rsidRPr="00FE019D">
        <w:rPr>
          <w:rFonts w:ascii="Cambria" w:hAnsi="Cambria"/>
          <w:sz w:val="20"/>
          <w:szCs w:val="20"/>
          <w:lang w:val="es-ES"/>
        </w:rPr>
        <w:t xml:space="preserve">ma del ordenamiento interno. El </w:t>
      </w:r>
      <w:r w:rsidRPr="00FE019D">
        <w:rPr>
          <w:rFonts w:ascii="Cambria" w:hAnsi="Cambria"/>
          <w:sz w:val="20"/>
          <w:szCs w:val="20"/>
          <w:lang w:val="es-ES"/>
        </w:rPr>
        <w:t>Estado argumenta que no se impugnó la constituc</w:t>
      </w:r>
      <w:r w:rsidR="00D40E2A" w:rsidRPr="00FE019D">
        <w:rPr>
          <w:rFonts w:ascii="Cambria" w:hAnsi="Cambria"/>
          <w:sz w:val="20"/>
          <w:szCs w:val="20"/>
          <w:lang w:val="es-ES"/>
        </w:rPr>
        <w:t xml:space="preserve">ionalidad de la Ley N.º 23.109, </w:t>
      </w:r>
      <w:r w:rsidRPr="00FE019D">
        <w:rPr>
          <w:rFonts w:ascii="Cambria" w:hAnsi="Cambria"/>
          <w:sz w:val="20"/>
          <w:szCs w:val="20"/>
          <w:lang w:val="es-ES"/>
        </w:rPr>
        <w:t>sino su decreto reglamentario</w:t>
      </w:r>
      <w:r w:rsidR="00D40E2A" w:rsidRPr="00FE019D">
        <w:rPr>
          <w:rFonts w:ascii="Cambria" w:hAnsi="Cambria"/>
          <w:sz w:val="20"/>
          <w:szCs w:val="20"/>
          <w:lang w:val="es-ES"/>
        </w:rPr>
        <w:t xml:space="preserve">. En este sentido, la CIDH observa que </w:t>
      </w:r>
      <w:r w:rsidRPr="00FE019D">
        <w:rPr>
          <w:rFonts w:ascii="Cambria" w:hAnsi="Cambria"/>
          <w:sz w:val="20"/>
          <w:szCs w:val="20"/>
          <w:lang w:val="es-ES"/>
        </w:rPr>
        <w:t>dicha circunstancia no desvirtúa el agotamiento, en tanto el objeto central del litigio fue la exclusión del reconocimiento y la</w:t>
      </w:r>
      <w:r w:rsidR="00B652BF" w:rsidRPr="00FE019D">
        <w:rPr>
          <w:rFonts w:ascii="Cambria" w:hAnsi="Cambria"/>
          <w:sz w:val="20"/>
          <w:szCs w:val="20"/>
          <w:lang w:val="es-ES"/>
        </w:rPr>
        <w:t xml:space="preserve"> CSJN</w:t>
      </w:r>
      <w:r w:rsidRPr="00FE019D">
        <w:rPr>
          <w:rFonts w:ascii="Cambria" w:hAnsi="Cambria"/>
          <w:sz w:val="20"/>
          <w:szCs w:val="20"/>
          <w:lang w:val="es-ES"/>
        </w:rPr>
        <w:t xml:space="preserve"> resolvió de manera definitiva sobre el fondo de la cuestión. Por consiguiente, la Comisión considera cumplido el requisito previsto en el artículo 46.1.a</w:t>
      </w:r>
      <w:r w:rsidR="00D40E2A" w:rsidRPr="00FE019D">
        <w:rPr>
          <w:rFonts w:ascii="Cambria" w:hAnsi="Cambria"/>
          <w:sz w:val="20"/>
          <w:szCs w:val="20"/>
          <w:lang w:val="es-ES"/>
        </w:rPr>
        <w:t>)</w:t>
      </w:r>
      <w:r w:rsidRPr="00FE019D">
        <w:rPr>
          <w:rFonts w:ascii="Cambria" w:hAnsi="Cambria"/>
          <w:sz w:val="20"/>
          <w:szCs w:val="20"/>
          <w:lang w:val="es-ES"/>
        </w:rPr>
        <w:t xml:space="preserve"> de la Convención Americana.</w:t>
      </w:r>
    </w:p>
    <w:p w14:paraId="04AF95EB" w14:textId="41BCF17F" w:rsidR="008C5E2D" w:rsidRPr="00FE019D" w:rsidRDefault="006522FA" w:rsidP="001B18E0">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FE019D">
        <w:rPr>
          <w:rFonts w:ascii="Cambria" w:hAnsi="Cambria"/>
          <w:sz w:val="20"/>
          <w:szCs w:val="20"/>
          <w:lang w:val="es-ES"/>
        </w:rPr>
        <w:t xml:space="preserve">En relación con el plazo de presentación, </w:t>
      </w:r>
      <w:r w:rsidR="007B1F41" w:rsidRPr="00FE019D">
        <w:rPr>
          <w:rFonts w:ascii="Cambria" w:hAnsi="Cambria"/>
          <w:sz w:val="20"/>
          <w:szCs w:val="20"/>
          <w:lang w:val="es-ES"/>
        </w:rPr>
        <w:t>la sentencia de la</w:t>
      </w:r>
      <w:r w:rsidR="00B652BF" w:rsidRPr="00FE019D">
        <w:rPr>
          <w:rFonts w:ascii="Cambria" w:hAnsi="Cambria"/>
          <w:sz w:val="20"/>
          <w:szCs w:val="20"/>
          <w:lang w:val="es-ES"/>
        </w:rPr>
        <w:t xml:space="preserve"> CSJN</w:t>
      </w:r>
      <w:r w:rsidR="007B1F41" w:rsidRPr="00FE019D">
        <w:rPr>
          <w:rFonts w:ascii="Cambria" w:hAnsi="Cambria"/>
          <w:sz w:val="20"/>
          <w:szCs w:val="20"/>
          <w:lang w:val="es-ES"/>
        </w:rPr>
        <w:t xml:space="preserve"> fue dictada el 7 de julio de 2015, </w:t>
      </w:r>
      <w:r w:rsidRPr="00FE019D">
        <w:rPr>
          <w:rFonts w:ascii="Cambria" w:hAnsi="Cambria"/>
          <w:sz w:val="20"/>
          <w:szCs w:val="20"/>
          <w:lang w:val="es-ES"/>
        </w:rPr>
        <w:t>lo cual finalizó el proceso a nivel interno. L</w:t>
      </w:r>
      <w:r w:rsidR="007B1F41" w:rsidRPr="00FE019D">
        <w:rPr>
          <w:rFonts w:ascii="Cambria" w:hAnsi="Cambria"/>
          <w:sz w:val="20"/>
          <w:szCs w:val="20"/>
          <w:lang w:val="es-ES"/>
        </w:rPr>
        <w:t>a petición fue recibida por la Comisión el 4 de enero de 2016, dentro del plazo</w:t>
      </w:r>
      <w:r w:rsidRPr="00FE019D">
        <w:rPr>
          <w:rFonts w:ascii="Cambria" w:hAnsi="Cambria"/>
          <w:sz w:val="20"/>
          <w:szCs w:val="20"/>
          <w:lang w:val="es-ES"/>
        </w:rPr>
        <w:t xml:space="preserve"> de seis meses</w:t>
      </w:r>
      <w:r w:rsidR="007B1F41" w:rsidRPr="00FE019D">
        <w:rPr>
          <w:rFonts w:ascii="Cambria" w:hAnsi="Cambria"/>
          <w:sz w:val="20"/>
          <w:szCs w:val="20"/>
          <w:lang w:val="es-ES"/>
        </w:rPr>
        <w:t xml:space="preserve">. En consecuencia, la Comisión estima que el requisito </w:t>
      </w:r>
      <w:r w:rsidRPr="00FE019D">
        <w:rPr>
          <w:rFonts w:ascii="Cambria" w:hAnsi="Cambria"/>
          <w:sz w:val="20"/>
          <w:szCs w:val="20"/>
          <w:lang w:val="es-ES"/>
        </w:rPr>
        <w:t>establecido</w:t>
      </w:r>
      <w:r w:rsidR="007B1F41" w:rsidRPr="00FE019D">
        <w:rPr>
          <w:rFonts w:ascii="Cambria" w:hAnsi="Cambria"/>
          <w:sz w:val="20"/>
          <w:szCs w:val="20"/>
          <w:lang w:val="es-ES"/>
        </w:rPr>
        <w:t xml:space="preserve"> </w:t>
      </w:r>
      <w:r w:rsidRPr="00FE019D">
        <w:rPr>
          <w:rFonts w:ascii="Cambria" w:hAnsi="Cambria"/>
          <w:sz w:val="20"/>
          <w:szCs w:val="20"/>
          <w:lang w:val="es-ES"/>
        </w:rPr>
        <w:t xml:space="preserve">en el artículo 46.1.b) de la Convención </w:t>
      </w:r>
      <w:r w:rsidR="007B1F41" w:rsidRPr="00FE019D">
        <w:rPr>
          <w:rFonts w:ascii="Cambria" w:hAnsi="Cambria"/>
          <w:sz w:val="20"/>
          <w:szCs w:val="20"/>
          <w:lang w:val="es-ES"/>
        </w:rPr>
        <w:t>se encuentra satisfecho.</w:t>
      </w:r>
    </w:p>
    <w:p w14:paraId="3206FA89" w14:textId="77777777" w:rsidR="00FD0185" w:rsidRPr="00FE019D" w:rsidRDefault="00FD0185" w:rsidP="001B18E0">
      <w:pPr>
        <w:pStyle w:val="ListParagraph"/>
        <w:numPr>
          <w:ilvl w:val="0"/>
          <w:numId w:val="55"/>
        </w:numPr>
        <w:suppressAutoHyphens/>
        <w:spacing w:before="240" w:after="240"/>
        <w:jc w:val="both"/>
        <w:rPr>
          <w:rFonts w:asciiTheme="majorHAnsi" w:hAnsiTheme="majorHAnsi"/>
          <w:sz w:val="20"/>
          <w:szCs w:val="20"/>
          <w:lang w:val="es-ES"/>
        </w:rPr>
      </w:pPr>
      <w:r w:rsidRPr="00FE019D">
        <w:rPr>
          <w:rFonts w:asciiTheme="majorHAnsi" w:hAnsiTheme="majorHAnsi"/>
          <w:sz w:val="20"/>
          <w:szCs w:val="20"/>
          <w:lang w:val="es-ES"/>
        </w:rPr>
        <w:t>Finalmente, la Comisión toma nota del reclamo del Estado sobre la supuesta extemporaneidad en el traslado de la petición. La CIDH señala al respecto que ni la Convención Americana ni el Reglamento de la Comisión establecen un plazo para el traslado de una petición al Estado a partir de su recepción y que los plazos establecidos en el Reglamento y en la Convención para otras etapas del trámite no son aplicables por analogía</w:t>
      </w:r>
      <w:r w:rsidRPr="00FE019D">
        <w:rPr>
          <w:rFonts w:asciiTheme="majorHAnsi" w:hAnsiTheme="majorHAnsi"/>
          <w:sz w:val="20"/>
          <w:szCs w:val="20"/>
          <w:vertAlign w:val="superscript"/>
          <w:lang w:val="es-ES"/>
        </w:rPr>
        <w:footnoteReference w:id="9"/>
      </w:r>
      <w:r w:rsidRPr="00FE019D">
        <w:rPr>
          <w:rFonts w:asciiTheme="majorHAnsi" w:hAnsiTheme="majorHAnsi"/>
          <w:sz w:val="20"/>
          <w:szCs w:val="20"/>
          <w:lang w:val="es-ES"/>
        </w:rPr>
        <w:t>. Asimismo, la CIDH en su Informe de Admisibilidad No. 79/08</w:t>
      </w:r>
      <w:r w:rsidRPr="00FE019D">
        <w:rPr>
          <w:rStyle w:val="FootnoteReference"/>
          <w:rFonts w:asciiTheme="majorHAnsi" w:hAnsiTheme="majorHAnsi"/>
          <w:sz w:val="20"/>
          <w:szCs w:val="20"/>
          <w:lang w:val="es-ES"/>
        </w:rPr>
        <w:footnoteReference w:id="10"/>
      </w:r>
      <w:r w:rsidRPr="00FE019D">
        <w:rPr>
          <w:rFonts w:asciiTheme="majorHAnsi" w:hAnsiTheme="majorHAnsi"/>
          <w:sz w:val="20"/>
          <w:szCs w:val="20"/>
          <w:lang w:val="es-ES"/>
        </w:rPr>
        <w:t>, aclaró que:</w:t>
      </w:r>
    </w:p>
    <w:p w14:paraId="50C61CFB" w14:textId="77777777" w:rsidR="00FD0185" w:rsidRPr="00FE019D" w:rsidRDefault="00FD0185" w:rsidP="00BF195A">
      <w:pPr>
        <w:suppressAutoHyphens/>
        <w:spacing w:before="240" w:after="240"/>
        <w:ind w:left="720" w:right="720"/>
        <w:jc w:val="both"/>
        <w:rPr>
          <w:rFonts w:asciiTheme="majorHAnsi" w:hAnsiTheme="majorHAnsi"/>
          <w:sz w:val="18"/>
          <w:szCs w:val="18"/>
          <w:lang w:val="es-ES"/>
        </w:rPr>
      </w:pPr>
      <w:r w:rsidRPr="00FE019D">
        <w:rPr>
          <w:rFonts w:asciiTheme="majorHAnsi" w:hAnsiTheme="majorHAnsi"/>
          <w:sz w:val="18"/>
          <w:szCs w:val="18"/>
          <w:lang w:val="es-ES"/>
        </w:rPr>
        <w:t>el tiempo transcurrido desde que la Comisión recibe una denuncia hasta que la traslada al Estado, de acuerdo con las normas del sistema interamericano de derechos humanos, no es, por sí solo, motivo para que se decida archivar la petición. Como ha señalado esta Comisión, “</w:t>
      </w:r>
      <w:r w:rsidRPr="00FE019D">
        <w:rPr>
          <w:rFonts w:asciiTheme="majorHAnsi" w:hAnsiTheme="majorHAnsi"/>
          <w:i/>
          <w:iCs/>
          <w:sz w:val="18"/>
          <w:szCs w:val="18"/>
          <w:lang w:val="es-ES"/>
        </w:rPr>
        <w:t xml:space="preserve">en la tramitación de casos individuales ante la Comisión, no existe el concepto de caducidad de instancia como una medida ipso jure, </w:t>
      </w:r>
      <w:r w:rsidRPr="00FE019D">
        <w:rPr>
          <w:rFonts w:asciiTheme="majorHAnsi" w:hAnsiTheme="majorHAnsi"/>
          <w:i/>
          <w:iCs/>
          <w:sz w:val="18"/>
          <w:szCs w:val="18"/>
          <w:lang w:val="es-ES"/>
        </w:rPr>
        <w:lastRenderedPageBreak/>
        <w:t>por el mero transcurso del tiempo</w:t>
      </w:r>
      <w:r w:rsidRPr="00FE019D">
        <w:rPr>
          <w:rFonts w:asciiTheme="majorHAnsi" w:hAnsiTheme="majorHAnsi"/>
          <w:sz w:val="18"/>
          <w:szCs w:val="18"/>
          <w:lang w:val="es-ES"/>
        </w:rPr>
        <w:t>” [CIDH, Informe Nº 33/98, Caso 10.545 Clemente Ayala Torres y otros (México), 15 de mayo de 1998, párrafo 28.]</w:t>
      </w:r>
    </w:p>
    <w:p w14:paraId="1DD57B62" w14:textId="77777777" w:rsidR="00FD0185" w:rsidRPr="00FE019D" w:rsidRDefault="00FD0185" w:rsidP="007C0974">
      <w:pPr>
        <w:suppressAutoHyphens/>
        <w:spacing w:before="240" w:after="240"/>
        <w:ind w:right="720"/>
        <w:jc w:val="both"/>
        <w:rPr>
          <w:rFonts w:asciiTheme="majorHAnsi" w:hAnsiTheme="majorHAnsi"/>
          <w:sz w:val="20"/>
          <w:szCs w:val="20"/>
          <w:lang w:val="es-ES"/>
        </w:rPr>
      </w:pPr>
      <w:r w:rsidRPr="00FE019D">
        <w:rPr>
          <w:rFonts w:asciiTheme="majorHAnsi" w:hAnsiTheme="majorHAnsi"/>
          <w:sz w:val="20"/>
          <w:szCs w:val="20"/>
          <w:lang w:val="es-ES"/>
        </w:rPr>
        <w:t>Asimismo, en refuerzo de lo anterior, la Corte Interamericana de Derechos Humanos ha establecido precisamente respecto a este punto que:</w:t>
      </w:r>
    </w:p>
    <w:p w14:paraId="21EB2EDA" w14:textId="77777777" w:rsidR="00FD0185" w:rsidRPr="00FE019D" w:rsidRDefault="00FD0185" w:rsidP="00BF195A">
      <w:pPr>
        <w:pStyle w:val="ListParagraph"/>
        <w:suppressAutoHyphens/>
        <w:spacing w:before="240" w:after="240"/>
        <w:ind w:right="720"/>
        <w:jc w:val="both"/>
        <w:rPr>
          <w:rFonts w:asciiTheme="majorHAnsi" w:hAnsiTheme="majorHAnsi"/>
          <w:sz w:val="18"/>
          <w:szCs w:val="18"/>
          <w:lang w:val="es-ES"/>
        </w:rPr>
      </w:pPr>
      <w:r w:rsidRPr="00FE019D">
        <w:rPr>
          <w:rFonts w:asciiTheme="majorHAnsi" w:hAnsiTheme="majorHAnsi"/>
          <w:sz w:val="18"/>
          <w:szCs w:val="18"/>
          <w:lang w:val="es-ES"/>
        </w:rPr>
        <w:t>[e]sta Corte considera que el criterio de razonabilidad, con base al cual se deben aplicar las normas procedimentales, implica que un plazo como el que propone el Estado tendría que estar dispuesto claramente en las normas que rigen el procedimiento. Esto es particularmente así considerando que se estaría poniendo en juego el derecho de petición de las presuntas víctimas, establecido en el artículo 44 de la Convención, por acciones u omisiones de la Comisión Interamericana sobre las cuales las presuntas víctimas no tienen ningún tipo de control</w:t>
      </w:r>
      <w:r w:rsidRPr="00FE019D">
        <w:rPr>
          <w:rStyle w:val="FootnoteReference"/>
          <w:rFonts w:asciiTheme="majorHAnsi" w:hAnsiTheme="majorHAnsi"/>
          <w:sz w:val="18"/>
          <w:szCs w:val="18"/>
          <w:lang w:val="es-ES"/>
        </w:rPr>
        <w:footnoteReference w:id="11"/>
      </w:r>
      <w:r w:rsidRPr="00FE019D">
        <w:rPr>
          <w:rFonts w:asciiTheme="majorHAnsi" w:hAnsiTheme="majorHAnsi"/>
          <w:sz w:val="18"/>
          <w:szCs w:val="18"/>
          <w:lang w:val="es-ES"/>
        </w:rPr>
        <w:t>.</w:t>
      </w:r>
    </w:p>
    <w:p w14:paraId="5B6E502F" w14:textId="1A876A0C" w:rsidR="00FD0185" w:rsidRPr="00FE019D" w:rsidRDefault="00FD0185" w:rsidP="00FD0185">
      <w:pPr>
        <w:suppressAutoHyphens/>
        <w:spacing w:before="240" w:after="240"/>
        <w:jc w:val="both"/>
        <w:rPr>
          <w:rFonts w:asciiTheme="majorHAnsi" w:hAnsiTheme="majorHAnsi"/>
          <w:sz w:val="20"/>
          <w:szCs w:val="20"/>
          <w:lang w:val="es-ES"/>
        </w:rPr>
      </w:pPr>
      <w:r w:rsidRPr="00FE019D">
        <w:rPr>
          <w:rFonts w:asciiTheme="majorHAnsi" w:hAnsiTheme="majorHAnsi"/>
          <w:sz w:val="20"/>
          <w:szCs w:val="20"/>
          <w:lang w:val="es-ES"/>
        </w:rPr>
        <w:t xml:space="preserve">En este sentido, la Comisión Interamericana reitera su compromiso con las víctimas, en función del cual realiza constantes esfuerzos para garantizar en todo momento la razonabilidad de los plazos en la tramitación de sus procesos; y el adecuado equilibrio entre la justicia y la seguridad jurídica. </w:t>
      </w:r>
    </w:p>
    <w:p w14:paraId="4FFBE378" w14:textId="64322DE9" w:rsidR="003239B8" w:rsidRPr="00FE019D" w:rsidRDefault="003239B8" w:rsidP="003239B8">
      <w:pPr>
        <w:pStyle w:val="ListParagraph"/>
        <w:spacing w:before="240" w:after="240"/>
        <w:jc w:val="both"/>
        <w:rPr>
          <w:rFonts w:asciiTheme="majorHAnsi" w:hAnsiTheme="majorHAnsi"/>
          <w:b/>
          <w:sz w:val="20"/>
          <w:szCs w:val="20"/>
          <w:lang w:val="es-ES"/>
        </w:rPr>
      </w:pPr>
      <w:r w:rsidRPr="00FE019D">
        <w:rPr>
          <w:rFonts w:asciiTheme="majorHAnsi" w:hAnsiTheme="majorHAnsi"/>
          <w:b/>
          <w:bCs/>
          <w:sz w:val="20"/>
          <w:szCs w:val="20"/>
          <w:lang w:val="es-ES"/>
        </w:rPr>
        <w:t>VII.</w:t>
      </w:r>
      <w:r w:rsidRPr="00FE019D">
        <w:rPr>
          <w:rFonts w:asciiTheme="majorHAnsi" w:hAnsiTheme="majorHAnsi"/>
          <w:b/>
          <w:bCs/>
          <w:sz w:val="20"/>
          <w:szCs w:val="20"/>
          <w:lang w:val="es-ES"/>
        </w:rPr>
        <w:tab/>
      </w:r>
      <w:r w:rsidR="004A6A54" w:rsidRPr="00FE019D">
        <w:rPr>
          <w:rFonts w:asciiTheme="majorHAnsi" w:hAnsiTheme="majorHAnsi"/>
          <w:b/>
          <w:bCs/>
          <w:sz w:val="20"/>
          <w:szCs w:val="20"/>
          <w:lang w:val="es-ES"/>
        </w:rPr>
        <w:t xml:space="preserve">ANÁLISIS DE </w:t>
      </w:r>
      <w:r w:rsidR="00C21FEF" w:rsidRPr="00FE019D">
        <w:rPr>
          <w:rFonts w:asciiTheme="majorHAnsi" w:hAnsiTheme="majorHAnsi"/>
          <w:b/>
          <w:bCs/>
          <w:sz w:val="20"/>
          <w:szCs w:val="20"/>
          <w:lang w:val="es-ES"/>
        </w:rPr>
        <w:t>CARACTERIZACIÓN DE LOS HECHOS ALEGADOS</w:t>
      </w:r>
    </w:p>
    <w:p w14:paraId="1504993E" w14:textId="77777777" w:rsidR="00FD0185" w:rsidRPr="00FE019D" w:rsidRDefault="00FD0185" w:rsidP="001B18E0">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FE019D">
        <w:rPr>
          <w:rFonts w:ascii="Cambria" w:hAnsi="Cambria"/>
          <w:sz w:val="20"/>
          <w:szCs w:val="20"/>
          <w:lang w:val="es-ES"/>
        </w:rPr>
        <w:t>La Comisión reitera que el criterio de evaluación de la fase de admisibilidad difiere del que se utiliza para pronunciarse sobre el fondo de una petición; la CIDH debe realizar en esta etapa una evaluación prima facie para definir si la petición identifica el fundamento de la violación, posible o potencial, de un derecho garantizado por la Convención, pero no para establecer la existencia de una violación de derechos. Esta determinación sobre la caracterización de violaciones de la Convención Americana constituye un análisis primario que no implica prejuzgar sobre el fondo del asunto. A los efectos de la admisibilidad, la Comisión debe decidir si los hechos alegados pueden constituir violaciones de derechos, según lo estipulado en el artículo 47.b) de la Convención Americana o si la petición es “manifiestamente infundada” o es “evidente su total improcedencia”, conforme al 47.c) de la Convención.</w:t>
      </w:r>
    </w:p>
    <w:p w14:paraId="7A30AB3B" w14:textId="4C9AFF1D" w:rsidR="0050780F" w:rsidRPr="00FE019D" w:rsidRDefault="0050780F" w:rsidP="001B18E0">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FE019D">
        <w:rPr>
          <w:rFonts w:ascii="Cambria" w:hAnsi="Cambria"/>
          <w:sz w:val="20"/>
          <w:szCs w:val="20"/>
          <w:lang w:val="es-ES"/>
        </w:rPr>
        <w:t xml:space="preserve">La Comisión observa que la presente petición </w:t>
      </w:r>
      <w:r w:rsidR="002B343A" w:rsidRPr="00FE019D">
        <w:rPr>
          <w:rFonts w:ascii="Cambria" w:hAnsi="Cambria"/>
          <w:sz w:val="20"/>
          <w:szCs w:val="20"/>
          <w:lang w:val="es-ES"/>
        </w:rPr>
        <w:t xml:space="preserve">se </w:t>
      </w:r>
      <w:r w:rsidRPr="00FE019D">
        <w:rPr>
          <w:rFonts w:ascii="Cambria" w:hAnsi="Cambria"/>
          <w:sz w:val="20"/>
          <w:szCs w:val="20"/>
          <w:lang w:val="es-ES"/>
        </w:rPr>
        <w:t xml:space="preserve">refiere a la alegada falta de reconocimiento por parte del Estado </w:t>
      </w:r>
      <w:r w:rsidR="002B343A" w:rsidRPr="00FE019D">
        <w:rPr>
          <w:rFonts w:ascii="Cambria" w:hAnsi="Cambria"/>
          <w:sz w:val="20"/>
          <w:szCs w:val="20"/>
          <w:lang w:val="es-ES"/>
        </w:rPr>
        <w:t>de</w:t>
      </w:r>
      <w:r w:rsidRPr="00FE019D">
        <w:rPr>
          <w:rFonts w:ascii="Cambria" w:hAnsi="Cambria"/>
          <w:sz w:val="20"/>
          <w:szCs w:val="20"/>
          <w:lang w:val="es-ES"/>
        </w:rPr>
        <w:t xml:space="preserve"> las presuntas víctimas como veteranos de la guerra de las Islas Malvinas</w:t>
      </w:r>
      <w:r w:rsidR="00917B01" w:rsidRPr="00FE019D">
        <w:rPr>
          <w:rFonts w:ascii="Cambria" w:hAnsi="Cambria"/>
          <w:sz w:val="20"/>
          <w:szCs w:val="20"/>
          <w:lang w:val="es-ES"/>
        </w:rPr>
        <w:t>,</w:t>
      </w:r>
      <w:r w:rsidRPr="00FE019D">
        <w:rPr>
          <w:rFonts w:ascii="Cambria" w:hAnsi="Cambria"/>
          <w:sz w:val="20"/>
          <w:szCs w:val="20"/>
          <w:lang w:val="es-ES"/>
        </w:rPr>
        <w:t xml:space="preserve"> pese a haber sido convocadas y desplegadas durante el conflicto en funciones logísticas y de apoyo bajo mando militar. </w:t>
      </w:r>
      <w:r w:rsidR="000A0546" w:rsidRPr="00FE019D">
        <w:rPr>
          <w:rFonts w:ascii="Cambria" w:hAnsi="Cambria"/>
          <w:sz w:val="20"/>
          <w:szCs w:val="20"/>
          <w:lang w:val="es-ES"/>
        </w:rPr>
        <w:t xml:space="preserve">Dicha condición implica el acceso a beneficios económicos, pensiones honoríficas y demás derechos derivados del reconocimiento oficial como veterano de guerra. </w:t>
      </w:r>
      <w:r w:rsidRPr="00FE019D">
        <w:rPr>
          <w:rFonts w:ascii="Cambria" w:hAnsi="Cambria"/>
          <w:sz w:val="20"/>
          <w:szCs w:val="20"/>
          <w:lang w:val="es-ES"/>
        </w:rPr>
        <w:t>En este sentido, se alegan como vulnerados los derechos reconocidos en los artículos 21 (propiedad) y 24 (igualdad) de la Convención Americana sobre Derechos Humanos, así como el artículo 43 del Protocolo I adicional a los Convenios de Ginebra de 1949, relativo a la protección de las víctimas de los conflictos armados internacionales.</w:t>
      </w:r>
    </w:p>
    <w:p w14:paraId="6AA7C902" w14:textId="45D1577E" w:rsidR="00226684" w:rsidRPr="00FE019D" w:rsidRDefault="00226684" w:rsidP="001B18E0">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FE019D">
        <w:rPr>
          <w:rFonts w:asciiTheme="majorHAnsi" w:hAnsiTheme="majorHAnsi"/>
          <w:sz w:val="20"/>
          <w:szCs w:val="20"/>
          <w:lang w:val="es-ES"/>
        </w:rPr>
        <w:t>La Comisión observa que los excombatientes fueron convocados y desplegados bajo estado militar en la Zona de Despliegue Continental, donde cumplieron funciones operativas indispensables para el desarrollo del conflicto</w:t>
      </w:r>
      <w:r w:rsidR="00917B01" w:rsidRPr="00FE019D">
        <w:rPr>
          <w:rFonts w:asciiTheme="majorHAnsi" w:hAnsiTheme="majorHAnsi"/>
          <w:sz w:val="20"/>
          <w:szCs w:val="20"/>
          <w:lang w:val="es-ES"/>
        </w:rPr>
        <w:t xml:space="preserve"> bélico de las Islas M</w:t>
      </w:r>
      <w:r w:rsidR="008677E0" w:rsidRPr="00FE019D">
        <w:rPr>
          <w:rFonts w:asciiTheme="majorHAnsi" w:hAnsiTheme="majorHAnsi"/>
          <w:sz w:val="20"/>
          <w:szCs w:val="20"/>
          <w:lang w:val="es-ES"/>
        </w:rPr>
        <w:t>alvinas</w:t>
      </w:r>
      <w:r w:rsidRPr="00FE019D">
        <w:rPr>
          <w:rFonts w:asciiTheme="majorHAnsi" w:hAnsiTheme="majorHAnsi"/>
          <w:sz w:val="20"/>
          <w:szCs w:val="20"/>
          <w:lang w:val="es-ES"/>
        </w:rPr>
        <w:t>. Sin embargo, la reglamentación posterior restringió el reconocimiento de la condición de veterano a un criterio geográfico ajeno a las órdenes de operaciones entonces vigentes, generando una diferenciación entre personas que actuaron bajo iguales mandos, riesgos y finalidades militares. Esta exclusión normativa</w:t>
      </w:r>
      <w:r w:rsidR="00D40E2A" w:rsidRPr="00FE019D">
        <w:rPr>
          <w:rFonts w:asciiTheme="majorHAnsi" w:hAnsiTheme="majorHAnsi"/>
          <w:sz w:val="20"/>
          <w:szCs w:val="20"/>
          <w:lang w:val="es-ES"/>
        </w:rPr>
        <w:t xml:space="preserve"> </w:t>
      </w:r>
      <w:r w:rsidR="00D40E2A" w:rsidRPr="00FE019D">
        <w:rPr>
          <w:rFonts w:asciiTheme="majorHAnsi" w:hAnsiTheme="majorHAnsi"/>
          <w:i/>
          <w:sz w:val="20"/>
          <w:szCs w:val="20"/>
          <w:lang w:val="es-ES"/>
        </w:rPr>
        <w:t>prima facie</w:t>
      </w:r>
      <w:r w:rsidRPr="00FE019D">
        <w:rPr>
          <w:rFonts w:asciiTheme="majorHAnsi" w:hAnsiTheme="majorHAnsi"/>
          <w:sz w:val="20"/>
          <w:szCs w:val="20"/>
          <w:lang w:val="es-ES"/>
        </w:rPr>
        <w:t xml:space="preserve"> podría constituir un trato desigual incompatible con </w:t>
      </w:r>
      <w:r w:rsidR="008677E0" w:rsidRPr="00FE019D">
        <w:rPr>
          <w:rFonts w:asciiTheme="majorHAnsi" w:hAnsiTheme="majorHAnsi"/>
          <w:sz w:val="20"/>
          <w:szCs w:val="20"/>
          <w:lang w:val="es-ES"/>
        </w:rPr>
        <w:t>el artículo 24 de la Convención</w:t>
      </w:r>
      <w:r w:rsidRPr="00FE019D">
        <w:rPr>
          <w:rFonts w:asciiTheme="majorHAnsi" w:hAnsiTheme="majorHAnsi"/>
          <w:sz w:val="20"/>
          <w:szCs w:val="20"/>
          <w:lang w:val="es-ES"/>
        </w:rPr>
        <w:t xml:space="preserve"> </w:t>
      </w:r>
      <w:r w:rsidR="008677E0" w:rsidRPr="00FE019D">
        <w:rPr>
          <w:rFonts w:asciiTheme="majorHAnsi" w:hAnsiTheme="majorHAnsi"/>
          <w:sz w:val="20"/>
          <w:szCs w:val="20"/>
          <w:lang w:val="es-ES"/>
        </w:rPr>
        <w:t>Americana</w:t>
      </w:r>
      <w:r w:rsidR="006E2671" w:rsidRPr="00FE019D">
        <w:rPr>
          <w:rFonts w:asciiTheme="majorHAnsi" w:hAnsiTheme="majorHAnsi"/>
          <w:sz w:val="20"/>
          <w:szCs w:val="20"/>
          <w:lang w:val="es-ES"/>
        </w:rPr>
        <w:t>,</w:t>
      </w:r>
      <w:r w:rsidR="008677E0" w:rsidRPr="00FE019D">
        <w:rPr>
          <w:rFonts w:asciiTheme="majorHAnsi" w:hAnsiTheme="majorHAnsi"/>
          <w:sz w:val="20"/>
          <w:szCs w:val="20"/>
          <w:lang w:val="es-ES"/>
        </w:rPr>
        <w:t xml:space="preserve"> </w:t>
      </w:r>
      <w:r w:rsidRPr="00FE019D">
        <w:rPr>
          <w:rFonts w:asciiTheme="majorHAnsi" w:hAnsiTheme="majorHAnsi"/>
          <w:sz w:val="20"/>
          <w:szCs w:val="20"/>
          <w:lang w:val="es-ES"/>
        </w:rPr>
        <w:t>y al privarles de los beneficios económicos, previsionales y asistenciales legalmente vinculados al estatus de veterano, también una posible afectación del derecho a la propi</w:t>
      </w:r>
      <w:r w:rsidR="008677E0" w:rsidRPr="00FE019D">
        <w:rPr>
          <w:rFonts w:asciiTheme="majorHAnsi" w:hAnsiTheme="majorHAnsi"/>
          <w:sz w:val="20"/>
          <w:szCs w:val="20"/>
          <w:lang w:val="es-ES"/>
        </w:rPr>
        <w:t>edad previsto en el artículo 21 de la Convención.</w:t>
      </w:r>
    </w:p>
    <w:p w14:paraId="6C7259C7" w14:textId="001CC0F4" w:rsidR="00D052E4" w:rsidRPr="00FE019D" w:rsidRDefault="00D052E4" w:rsidP="00D052E4">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FE019D">
        <w:rPr>
          <w:rFonts w:asciiTheme="majorHAnsi" w:hAnsiTheme="majorHAnsi"/>
          <w:sz w:val="20"/>
          <w:szCs w:val="20"/>
          <w:lang w:val="es-ES"/>
        </w:rPr>
        <w:t xml:space="preserve">Con respecto al alegato del Estado de la “fórmula de la cuarta instancia”, la Comisión considera que, tal como lo ha indicado la Corte IDH, “[le] compete verificar si en los pasos efectivamente dados a nivel interno se violaron o no obligaciones internacionales del Estado derivadas de los instrumentos </w:t>
      </w:r>
      <w:r w:rsidRPr="00FE019D">
        <w:rPr>
          <w:rFonts w:asciiTheme="majorHAnsi" w:hAnsiTheme="majorHAnsi"/>
          <w:sz w:val="20"/>
          <w:szCs w:val="20"/>
          <w:lang w:val="es-ES"/>
        </w:rPr>
        <w:lastRenderedPageBreak/>
        <w:t>interamericanos que le otorgan competencia”</w:t>
      </w:r>
      <w:r w:rsidRPr="00FE019D">
        <w:rPr>
          <w:rFonts w:asciiTheme="majorHAnsi" w:hAnsiTheme="majorHAnsi"/>
          <w:sz w:val="20"/>
          <w:szCs w:val="20"/>
          <w:vertAlign w:val="superscript"/>
          <w:lang w:val="es-ES"/>
        </w:rPr>
        <w:footnoteReference w:id="12"/>
      </w:r>
      <w:r w:rsidRPr="00FE019D">
        <w:rPr>
          <w:rFonts w:asciiTheme="majorHAnsi" w:hAnsiTheme="majorHAnsi"/>
          <w:sz w:val="20"/>
          <w:szCs w:val="20"/>
          <w:lang w:val="es-ES"/>
        </w:rPr>
        <w:t>. Asimismo, le corresponde examinar “si las actuaciones de órganos judiciales constituyen o no una violación de las obligaciones internacionales del Estado, [lo cual] puede conducir a que […] deba ocuparse de examinar los respectivos procesos internos para establecer su compatibilidad con la Convención Americana”</w:t>
      </w:r>
      <w:r w:rsidRPr="00FE019D">
        <w:rPr>
          <w:rFonts w:asciiTheme="majorHAnsi" w:hAnsiTheme="majorHAnsi"/>
          <w:sz w:val="20"/>
          <w:szCs w:val="20"/>
          <w:vertAlign w:val="superscript"/>
          <w:lang w:val="es-ES"/>
        </w:rPr>
        <w:footnoteReference w:id="13"/>
      </w:r>
      <w:r w:rsidRPr="00FE019D">
        <w:rPr>
          <w:rFonts w:asciiTheme="majorHAnsi" w:hAnsiTheme="majorHAnsi"/>
          <w:sz w:val="20"/>
          <w:szCs w:val="20"/>
          <w:lang w:val="es-ES"/>
        </w:rPr>
        <w:t xml:space="preserve">. En este sentido, </w:t>
      </w:r>
      <w:r w:rsidR="000017D4" w:rsidRPr="00FE019D">
        <w:rPr>
          <w:rFonts w:asciiTheme="majorHAnsi" w:hAnsiTheme="majorHAnsi"/>
          <w:sz w:val="20"/>
          <w:szCs w:val="20"/>
          <w:lang w:val="es-ES"/>
        </w:rPr>
        <w:t>en la etapa de fondo la Comisión analizará</w:t>
      </w:r>
      <w:r w:rsidR="00D158BC" w:rsidRPr="00FE019D">
        <w:rPr>
          <w:rFonts w:asciiTheme="majorHAnsi" w:hAnsiTheme="majorHAnsi"/>
          <w:sz w:val="20"/>
          <w:szCs w:val="20"/>
          <w:lang w:val="es-ES"/>
        </w:rPr>
        <w:t xml:space="preserve"> si la exclusión de las presuntas víctimas de </w:t>
      </w:r>
      <w:r w:rsidR="00814C79" w:rsidRPr="00FE019D">
        <w:rPr>
          <w:rFonts w:asciiTheme="majorHAnsi" w:hAnsiTheme="majorHAnsi"/>
          <w:sz w:val="20"/>
          <w:szCs w:val="20"/>
          <w:lang w:val="es-ES"/>
        </w:rPr>
        <w:t xml:space="preserve">las </w:t>
      </w:r>
      <w:r w:rsidR="00840F50" w:rsidRPr="00FE019D">
        <w:rPr>
          <w:rFonts w:asciiTheme="majorHAnsi" w:hAnsiTheme="majorHAnsi"/>
          <w:sz w:val="20"/>
          <w:szCs w:val="20"/>
          <w:lang w:val="es-ES"/>
        </w:rPr>
        <w:t>prestaciones y reconocimientos</w:t>
      </w:r>
      <w:r w:rsidR="00D158BC" w:rsidRPr="00FE019D">
        <w:rPr>
          <w:rFonts w:asciiTheme="majorHAnsi" w:hAnsiTheme="majorHAnsi"/>
          <w:sz w:val="20"/>
          <w:szCs w:val="20"/>
          <w:lang w:val="es-ES"/>
        </w:rPr>
        <w:t xml:space="preserve"> que alegan no les fueron otorgadas constituye un trato discriminatorio en su perjuicio</w:t>
      </w:r>
      <w:r w:rsidRPr="00FE019D">
        <w:rPr>
          <w:rFonts w:asciiTheme="majorHAnsi" w:hAnsiTheme="majorHAnsi"/>
          <w:sz w:val="20"/>
          <w:szCs w:val="20"/>
          <w:lang w:val="es-ES"/>
        </w:rPr>
        <w:t>.</w:t>
      </w:r>
    </w:p>
    <w:p w14:paraId="60326776" w14:textId="77CF9FF1" w:rsidR="00A726E7" w:rsidRPr="00FE019D" w:rsidRDefault="00A726E7" w:rsidP="00A726E7">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FE019D">
        <w:rPr>
          <w:rFonts w:ascii="Cambria" w:hAnsi="Cambria"/>
          <w:sz w:val="20"/>
          <w:szCs w:val="20"/>
          <w:lang w:val="es-ES"/>
        </w:rPr>
        <w:t xml:space="preserve">En atención a estas consideraciones y tras examinar los elementos de hecho y de derecho expuestos por las partes, la Comisión estima que las alegaciones de la parte peticionaria no resultan manifiestamente infundadas y requieren un estudio de fondo pues los hechos alegados, de corroborarse como ciertos podrían caracterizar violaciones a los artículos 21 (propiedad) y 24 (igualdad) de la Convención, </w:t>
      </w:r>
      <w:r w:rsidR="001D4169" w:rsidRPr="00FE019D">
        <w:rPr>
          <w:rFonts w:ascii="Cambria" w:hAnsi="Cambria"/>
          <w:sz w:val="20"/>
          <w:szCs w:val="20"/>
          <w:lang w:val="es-ES"/>
        </w:rPr>
        <w:t xml:space="preserve">en relación con sus artículos 1.1 (obligación de respetar los derechos) y 2 (deber de adoptar disposiciones de derecho interno) </w:t>
      </w:r>
      <w:r w:rsidRPr="00FE019D">
        <w:rPr>
          <w:rFonts w:ascii="Cambria" w:hAnsi="Cambria"/>
          <w:sz w:val="20"/>
          <w:szCs w:val="20"/>
          <w:lang w:val="es-ES"/>
        </w:rPr>
        <w:t>en perjuicio de las presuntas víctimas identificadas en el trámite de la presente petición.</w:t>
      </w:r>
    </w:p>
    <w:p w14:paraId="7DA6F617" w14:textId="3BE4350D" w:rsidR="006B0FA1" w:rsidRPr="00FE019D" w:rsidRDefault="006B0FA1" w:rsidP="001B18E0">
      <w:pPr>
        <w:pStyle w:val="ListParagraph"/>
        <w:numPr>
          <w:ilvl w:val="0"/>
          <w:numId w:val="55"/>
        </w:numPr>
        <w:spacing w:before="240" w:after="240"/>
        <w:jc w:val="both"/>
        <w:rPr>
          <w:b/>
          <w:sz w:val="20"/>
          <w:szCs w:val="20"/>
          <w:lang w:val="es-ES"/>
        </w:rPr>
      </w:pPr>
      <w:r w:rsidRPr="00FE019D">
        <w:rPr>
          <w:sz w:val="20"/>
          <w:szCs w:val="20"/>
          <w:lang w:val="es-ES"/>
        </w:rPr>
        <w:t>Por otra parte, en relación con los demás instrumentos internacionales alegados por los peticionarios, la Comisión carece de competencia para establecer violaciones a las normas de dichos tratados, sin perjuicio de lo cual podría tomarlos en cuenta como parte de su ejercicio interpretativo de las normas de la Convención Americana en la etapa de fondo del presente caso, en los términos del artículo 29 de la Convención Americana.</w:t>
      </w:r>
    </w:p>
    <w:p w14:paraId="29BB41F5" w14:textId="77777777" w:rsidR="003239B8" w:rsidRPr="00FE019D" w:rsidRDefault="003239B8" w:rsidP="003239B8">
      <w:pPr>
        <w:pStyle w:val="ListParagraph"/>
        <w:spacing w:before="240" w:after="240"/>
        <w:jc w:val="both"/>
        <w:rPr>
          <w:rFonts w:asciiTheme="majorHAnsi" w:hAnsiTheme="majorHAnsi"/>
          <w:b/>
          <w:bCs/>
          <w:sz w:val="20"/>
          <w:szCs w:val="20"/>
          <w:lang w:val="es-ES"/>
        </w:rPr>
      </w:pPr>
      <w:r w:rsidRPr="00FE019D">
        <w:rPr>
          <w:rFonts w:asciiTheme="majorHAnsi" w:hAnsiTheme="majorHAnsi"/>
          <w:b/>
          <w:bCs/>
          <w:sz w:val="20"/>
          <w:szCs w:val="20"/>
          <w:lang w:val="es-ES"/>
        </w:rPr>
        <w:t xml:space="preserve">VIII. </w:t>
      </w:r>
      <w:r w:rsidRPr="00FE019D">
        <w:rPr>
          <w:rFonts w:asciiTheme="majorHAnsi" w:hAnsiTheme="majorHAnsi"/>
          <w:b/>
          <w:bCs/>
          <w:sz w:val="20"/>
          <w:szCs w:val="20"/>
          <w:lang w:val="es-ES"/>
        </w:rPr>
        <w:tab/>
        <w:t>DECISIÓN</w:t>
      </w:r>
    </w:p>
    <w:p w14:paraId="41AA5BF6" w14:textId="0F52E1D8" w:rsidR="000419AD" w:rsidRPr="00FE019D" w:rsidRDefault="003239B8" w:rsidP="001B18E0">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FE019D">
        <w:rPr>
          <w:rFonts w:asciiTheme="majorHAnsi" w:hAnsiTheme="majorHAnsi"/>
          <w:sz w:val="20"/>
          <w:szCs w:val="20"/>
          <w:lang w:val="es-ES"/>
        </w:rPr>
        <w:t xml:space="preserve">Declarar admisible la presente petición en relación con </w:t>
      </w:r>
      <w:r w:rsidR="00887EAD" w:rsidRPr="00FE019D">
        <w:rPr>
          <w:rFonts w:asciiTheme="majorHAnsi" w:hAnsiTheme="majorHAnsi"/>
          <w:sz w:val="20"/>
          <w:szCs w:val="20"/>
          <w:lang w:val="es-ES"/>
        </w:rPr>
        <w:t>los artículos 21 (propiedad) y 24 (igualdad) de la Convención</w:t>
      </w:r>
      <w:r w:rsidR="003A1B2C" w:rsidRPr="00FE019D">
        <w:rPr>
          <w:rFonts w:asciiTheme="majorHAnsi" w:hAnsiTheme="majorHAnsi"/>
          <w:sz w:val="20"/>
          <w:szCs w:val="20"/>
          <w:lang w:val="es-ES"/>
        </w:rPr>
        <w:t xml:space="preserve"> Americana</w:t>
      </w:r>
      <w:r w:rsidR="001D4169" w:rsidRPr="00FE019D">
        <w:rPr>
          <w:rFonts w:asciiTheme="majorHAnsi" w:hAnsiTheme="majorHAnsi"/>
          <w:sz w:val="20"/>
          <w:szCs w:val="20"/>
          <w:lang w:val="es-ES"/>
        </w:rPr>
        <w:t>, en relación con sus artículos 1.1 y 2</w:t>
      </w:r>
      <w:r w:rsidR="00A758AA" w:rsidRPr="00FE019D">
        <w:rPr>
          <w:rFonts w:asciiTheme="majorHAnsi" w:hAnsiTheme="majorHAnsi"/>
          <w:sz w:val="20"/>
          <w:szCs w:val="20"/>
          <w:lang w:val="es-ES"/>
        </w:rPr>
        <w:t>;</w:t>
      </w:r>
      <w:r w:rsidR="007B76D3" w:rsidRPr="00FE019D">
        <w:rPr>
          <w:rFonts w:asciiTheme="majorHAnsi" w:hAnsiTheme="majorHAnsi"/>
          <w:sz w:val="20"/>
          <w:szCs w:val="20"/>
          <w:lang w:val="es-ES"/>
        </w:rPr>
        <w:t xml:space="preserve"> y</w:t>
      </w:r>
    </w:p>
    <w:p w14:paraId="7A84DF82" w14:textId="492298F1" w:rsidR="003A1B2C" w:rsidRDefault="004A6A54" w:rsidP="009413F5">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00FE019D">
        <w:rPr>
          <w:rFonts w:asciiTheme="majorHAnsi" w:hAnsiTheme="majorHAnsi"/>
          <w:sz w:val="20"/>
          <w:szCs w:val="20"/>
          <w:lang w:val="es-ES"/>
        </w:rPr>
        <w:t>Notificar a las partes la presente decisión; continuar con el análisis del fondo de la cuestión; y publicar esta decisión e incluirla en su Informe Anual a la Asamblea General de la Organización de los Estados Americanos.</w:t>
      </w:r>
    </w:p>
    <w:p w14:paraId="7D56EB0A" w14:textId="5FFF9E42" w:rsidR="0017002A" w:rsidRPr="00407104" w:rsidRDefault="0017002A" w:rsidP="004B6A00">
      <w:pPr>
        <w:suppressAutoHyphens/>
        <w:ind w:firstLine="720"/>
        <w:jc w:val="both"/>
        <w:rPr>
          <w:rFonts w:ascii="Segoe UI" w:hAnsi="Segoe UI" w:cs="Segoe UI"/>
          <w:sz w:val="18"/>
          <w:szCs w:val="18"/>
          <w:lang w:val="es-ES"/>
        </w:rPr>
      </w:pPr>
      <w:r>
        <w:rPr>
          <w:rStyle w:val="normaltextrun"/>
          <w:rFonts w:ascii="Cambria" w:hAnsi="Cambria" w:cs="Segoe UI"/>
          <w:sz w:val="20"/>
          <w:szCs w:val="20"/>
          <w:lang w:val="es-CL"/>
        </w:rPr>
        <w:t>Aprobado por la Comisión Interamericana de Derechos Humanos a lo</w:t>
      </w:r>
      <w:r w:rsidRPr="00AA7C99">
        <w:rPr>
          <w:rStyle w:val="normaltextrun"/>
          <w:rFonts w:ascii="Cambria" w:hAnsi="Cambria" w:cs="Segoe UI"/>
          <w:sz w:val="20"/>
          <w:szCs w:val="20"/>
          <w:lang w:val="es-CL"/>
        </w:rPr>
        <w:t xml:space="preserve">s </w:t>
      </w:r>
      <w:r w:rsidR="00443324" w:rsidRPr="00AA7C99">
        <w:rPr>
          <w:rStyle w:val="normaltextrun"/>
          <w:rFonts w:ascii="Cambria" w:hAnsi="Cambria" w:cs="Segoe UI"/>
          <w:sz w:val="20"/>
          <w:szCs w:val="20"/>
          <w:lang w:val="es-CL"/>
        </w:rPr>
        <w:t>14</w:t>
      </w:r>
      <w:r w:rsidRPr="00AA7C99">
        <w:rPr>
          <w:rStyle w:val="normaltextrun"/>
          <w:rFonts w:ascii="Cambria" w:hAnsi="Cambria" w:cs="Segoe UI"/>
          <w:sz w:val="20"/>
          <w:szCs w:val="20"/>
          <w:lang w:val="es-CL"/>
        </w:rPr>
        <w:t xml:space="preserve"> días del mes de </w:t>
      </w:r>
      <w:r w:rsidR="00AA7C99" w:rsidRPr="00AA7C99">
        <w:rPr>
          <w:rStyle w:val="normaltextrun"/>
          <w:rFonts w:ascii="Cambria" w:hAnsi="Cambria" w:cs="Segoe UI"/>
          <w:sz w:val="20"/>
          <w:szCs w:val="20"/>
          <w:lang w:val="es-CL"/>
        </w:rPr>
        <w:t>diciembre</w:t>
      </w:r>
      <w:r w:rsidRPr="00AA7C99">
        <w:rPr>
          <w:rStyle w:val="normaltextrun"/>
          <w:rFonts w:ascii="Cambria" w:hAnsi="Cambria" w:cs="Segoe UI"/>
          <w:sz w:val="20"/>
          <w:szCs w:val="20"/>
          <w:lang w:val="es-CL"/>
        </w:rPr>
        <w:t xml:space="preserve"> de 20</w:t>
      </w:r>
      <w:r w:rsidR="00AA7C99" w:rsidRPr="00AA7C99">
        <w:rPr>
          <w:rStyle w:val="normaltextrun"/>
          <w:rFonts w:ascii="Cambria" w:hAnsi="Cambria" w:cs="Segoe UI"/>
          <w:sz w:val="20"/>
          <w:szCs w:val="20"/>
          <w:lang w:val="es-CL"/>
        </w:rPr>
        <w:t>25</w:t>
      </w:r>
      <w:r w:rsidRPr="00AA7C99">
        <w:rPr>
          <w:rStyle w:val="normaltextrun"/>
          <w:rFonts w:ascii="Cambria" w:hAnsi="Cambria" w:cs="Segoe UI"/>
          <w:sz w:val="20"/>
          <w:szCs w:val="20"/>
          <w:lang w:val="es-CL"/>
        </w:rPr>
        <w:t>.  (Firmado): José Luis Caballero Ochoa, Presidente; Edgar Stuardo Ralón Orellana, Roberta Clarke</w:t>
      </w:r>
      <w:r w:rsidR="00443324" w:rsidRPr="00AA7C99">
        <w:rPr>
          <w:rStyle w:val="normaltextrun"/>
          <w:rFonts w:ascii="Cambria" w:hAnsi="Cambria" w:cs="Segoe UI"/>
          <w:sz w:val="20"/>
          <w:szCs w:val="20"/>
          <w:lang w:val="es-CL"/>
        </w:rPr>
        <w:t xml:space="preserve"> </w:t>
      </w:r>
      <w:r w:rsidRPr="00AA7C99">
        <w:rPr>
          <w:rStyle w:val="normaltextrun"/>
          <w:rFonts w:ascii="Cambria" w:hAnsi="Cambria" w:cs="Segoe UI"/>
          <w:sz w:val="20"/>
          <w:szCs w:val="20"/>
          <w:lang w:val="es-CL"/>
        </w:rPr>
        <w:t xml:space="preserve">y Gloria Monique de Mees, </w:t>
      </w:r>
      <w:r w:rsidR="00914A3B">
        <w:rPr>
          <w:rStyle w:val="normaltextrun"/>
          <w:rFonts w:ascii="Cambria" w:hAnsi="Cambria" w:cs="Segoe UI"/>
          <w:sz w:val="20"/>
          <w:szCs w:val="20"/>
          <w:lang w:val="es-CL"/>
        </w:rPr>
        <w:t>m</w:t>
      </w:r>
      <w:r w:rsidRPr="00AA7C99">
        <w:rPr>
          <w:rStyle w:val="normaltextrun"/>
          <w:rFonts w:ascii="Cambria" w:hAnsi="Cambria" w:cs="Segoe UI"/>
          <w:sz w:val="20"/>
          <w:szCs w:val="20"/>
          <w:lang w:val="es-CL"/>
        </w:rPr>
        <w:t xml:space="preserve">iembros de la Comisión. </w:t>
      </w:r>
      <w:r w:rsidRPr="00AA7C99">
        <w:rPr>
          <w:rStyle w:val="eop"/>
          <w:rFonts w:ascii="Cambria" w:hAnsi="Cambria" w:cs="Segoe UI"/>
          <w:sz w:val="20"/>
          <w:szCs w:val="20"/>
          <w:lang w:val="es-ES"/>
        </w:rPr>
        <w:t> </w:t>
      </w:r>
    </w:p>
    <w:p w14:paraId="6C65FBBA" w14:textId="78D52082" w:rsidR="00C82F66" w:rsidRDefault="00C82F66" w:rsidP="00536CA4">
      <w:pPr>
        <w:pStyle w:val="paragraph"/>
        <w:spacing w:before="0" w:beforeAutospacing="0" w:after="0" w:afterAutospacing="0"/>
        <w:jc w:val="center"/>
        <w:textAlignment w:val="baseline"/>
        <w:rPr>
          <w:rFonts w:asciiTheme="majorHAnsi" w:hAnsiTheme="majorHAnsi"/>
          <w:sz w:val="20"/>
          <w:szCs w:val="20"/>
          <w:lang w:val="es-ES"/>
        </w:rPr>
      </w:pPr>
      <w:r>
        <w:rPr>
          <w:rFonts w:asciiTheme="majorHAnsi" w:hAnsiTheme="majorHAnsi"/>
          <w:sz w:val="20"/>
          <w:szCs w:val="20"/>
          <w:lang w:val="es-ES"/>
        </w:rPr>
        <w:br w:type="page"/>
      </w:r>
    </w:p>
    <w:p w14:paraId="0365CD84" w14:textId="77777777" w:rsidR="009413F5" w:rsidRPr="00FE019D" w:rsidRDefault="009413F5" w:rsidP="003A1B2C">
      <w:pPr>
        <w:jc w:val="center"/>
        <w:rPr>
          <w:rFonts w:asciiTheme="majorHAnsi" w:hAnsiTheme="majorHAnsi"/>
          <w:sz w:val="20"/>
          <w:szCs w:val="20"/>
          <w:lang w:val="es-ES"/>
        </w:rPr>
      </w:pP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4675"/>
      </w:tblGrid>
      <w:tr w:rsidR="006754D2" w:rsidRPr="00FE019D" w14:paraId="5257849B" w14:textId="77777777" w:rsidTr="001F64BF">
        <w:tc>
          <w:tcPr>
            <w:tcW w:w="4675" w:type="dxa"/>
          </w:tcPr>
          <w:p w14:paraId="1455C7C1" w14:textId="77777777" w:rsidR="006754D2" w:rsidRPr="00FE019D" w:rsidRDefault="006754D2" w:rsidP="006754D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b/>
                <w:bCs/>
                <w:sz w:val="20"/>
                <w:szCs w:val="20"/>
                <w:lang w:val="es-ES"/>
              </w:rPr>
            </w:pPr>
            <w:r w:rsidRPr="00FE019D">
              <w:rPr>
                <w:rFonts w:asciiTheme="majorHAnsi" w:hAnsiTheme="majorHAnsi"/>
                <w:b/>
                <w:bCs/>
                <w:sz w:val="20"/>
                <w:szCs w:val="20"/>
                <w:lang w:val="es-ES"/>
              </w:rPr>
              <w:t>Anexo II: listado de presuntas víctimas</w:t>
            </w:r>
          </w:p>
          <w:p w14:paraId="6B7C7063" w14:textId="77777777" w:rsidR="006754D2" w:rsidRPr="00FE019D" w:rsidRDefault="006754D2" w:rsidP="006754D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sz w:val="20"/>
                <w:szCs w:val="20"/>
                <w:lang w:val="es-ES"/>
              </w:rPr>
            </w:pPr>
          </w:p>
          <w:p w14:paraId="5A7B66F6" w14:textId="77777777" w:rsidR="006754D2" w:rsidRPr="00FE019D" w:rsidRDefault="006754D2" w:rsidP="006754D2">
            <w:pPr>
              <w:pStyle w:val="ListParagraph"/>
              <w:numPr>
                <w:ilvl w:val="0"/>
                <w:numId w:val="58"/>
              </w:numPr>
              <w:jc w:val="both"/>
              <w:rPr>
                <w:rFonts w:asciiTheme="majorHAnsi" w:hAnsiTheme="majorHAnsi" w:cs="Calibri"/>
                <w:sz w:val="18"/>
                <w:szCs w:val="18"/>
                <w:lang w:val="es-ES"/>
              </w:rPr>
            </w:pPr>
            <w:r w:rsidRPr="00FE019D">
              <w:rPr>
                <w:rFonts w:asciiTheme="majorHAnsi" w:hAnsiTheme="majorHAnsi" w:cs="Arial"/>
                <w:sz w:val="18"/>
                <w:szCs w:val="18"/>
                <w:lang w:val="es-ES"/>
              </w:rPr>
              <w:t>Jorge Oscar Álvarez</w:t>
            </w:r>
          </w:p>
          <w:p w14:paraId="4B29C282" w14:textId="77777777" w:rsidR="006754D2" w:rsidRPr="00FE019D" w:rsidRDefault="006754D2" w:rsidP="006754D2">
            <w:pPr>
              <w:pStyle w:val="ListParagraph"/>
              <w:numPr>
                <w:ilvl w:val="0"/>
                <w:numId w:val="58"/>
              </w:numPr>
              <w:jc w:val="both"/>
              <w:rPr>
                <w:rFonts w:asciiTheme="majorHAnsi" w:hAnsiTheme="majorHAnsi" w:cs="Calibri"/>
                <w:sz w:val="18"/>
                <w:szCs w:val="18"/>
                <w:lang w:val="es-ES"/>
              </w:rPr>
            </w:pPr>
            <w:r w:rsidRPr="00FE019D">
              <w:rPr>
                <w:rFonts w:asciiTheme="majorHAnsi" w:hAnsiTheme="majorHAnsi" w:cs="Arial"/>
                <w:sz w:val="18"/>
                <w:szCs w:val="18"/>
                <w:lang w:val="es-ES"/>
              </w:rPr>
              <w:t>Carlos Alberto Tulián</w:t>
            </w:r>
          </w:p>
          <w:p w14:paraId="1C17D896" w14:textId="77777777" w:rsidR="006754D2" w:rsidRPr="00FE019D" w:rsidRDefault="006754D2" w:rsidP="006754D2">
            <w:pPr>
              <w:pStyle w:val="ListParagraph"/>
              <w:numPr>
                <w:ilvl w:val="0"/>
                <w:numId w:val="58"/>
              </w:numPr>
              <w:jc w:val="both"/>
              <w:rPr>
                <w:rFonts w:asciiTheme="majorHAnsi" w:hAnsiTheme="majorHAnsi" w:cs="Calibri"/>
                <w:sz w:val="18"/>
                <w:szCs w:val="18"/>
                <w:lang w:val="es-ES"/>
              </w:rPr>
            </w:pPr>
            <w:r w:rsidRPr="00FE019D">
              <w:rPr>
                <w:rFonts w:asciiTheme="majorHAnsi" w:hAnsiTheme="majorHAnsi" w:cs="Arial"/>
                <w:sz w:val="18"/>
                <w:szCs w:val="18"/>
                <w:lang w:val="es-ES"/>
              </w:rPr>
              <w:t>Pedro Alejo Manaro</w:t>
            </w:r>
          </w:p>
          <w:p w14:paraId="59DCA06C" w14:textId="77777777" w:rsidR="006754D2" w:rsidRPr="00FE019D" w:rsidRDefault="006754D2" w:rsidP="006754D2">
            <w:pPr>
              <w:pStyle w:val="ListParagraph"/>
              <w:numPr>
                <w:ilvl w:val="0"/>
                <w:numId w:val="58"/>
              </w:numPr>
              <w:jc w:val="both"/>
              <w:rPr>
                <w:rFonts w:asciiTheme="majorHAnsi" w:hAnsiTheme="majorHAnsi" w:cs="Calibri"/>
                <w:sz w:val="18"/>
                <w:szCs w:val="18"/>
                <w:lang w:val="es-ES"/>
              </w:rPr>
            </w:pPr>
            <w:r w:rsidRPr="00FE019D">
              <w:rPr>
                <w:rFonts w:asciiTheme="majorHAnsi" w:hAnsiTheme="majorHAnsi" w:cs="Calibri"/>
                <w:sz w:val="18"/>
                <w:szCs w:val="18"/>
                <w:lang w:val="es-ES"/>
              </w:rPr>
              <w:t>Fernando Ramón Vera</w:t>
            </w:r>
          </w:p>
          <w:p w14:paraId="00033657" w14:textId="77777777" w:rsidR="006754D2" w:rsidRPr="00FE019D" w:rsidRDefault="006754D2" w:rsidP="006754D2">
            <w:pPr>
              <w:pStyle w:val="ListParagraph"/>
              <w:numPr>
                <w:ilvl w:val="0"/>
                <w:numId w:val="58"/>
              </w:numPr>
              <w:jc w:val="both"/>
              <w:rPr>
                <w:rFonts w:asciiTheme="majorHAnsi" w:hAnsiTheme="majorHAnsi" w:cs="Calibri"/>
                <w:sz w:val="18"/>
                <w:szCs w:val="18"/>
                <w:lang w:val="es-ES"/>
              </w:rPr>
            </w:pPr>
            <w:r w:rsidRPr="00FE019D">
              <w:rPr>
                <w:rFonts w:asciiTheme="majorHAnsi" w:hAnsiTheme="majorHAnsi" w:cs="Arial"/>
                <w:sz w:val="18"/>
                <w:szCs w:val="18"/>
                <w:lang w:val="es-ES"/>
              </w:rPr>
              <w:t>Gerardo Daniel Trucco</w:t>
            </w:r>
          </w:p>
          <w:p w14:paraId="164858B0" w14:textId="77777777" w:rsidR="006754D2" w:rsidRPr="00FE019D" w:rsidRDefault="006754D2" w:rsidP="006754D2">
            <w:pPr>
              <w:pStyle w:val="ListParagraph"/>
              <w:numPr>
                <w:ilvl w:val="0"/>
                <w:numId w:val="58"/>
              </w:numPr>
              <w:jc w:val="both"/>
              <w:rPr>
                <w:rFonts w:asciiTheme="majorHAnsi" w:hAnsiTheme="majorHAnsi" w:cs="Calibri"/>
                <w:sz w:val="18"/>
                <w:szCs w:val="18"/>
                <w:lang w:val="es-ES"/>
              </w:rPr>
            </w:pPr>
            <w:r w:rsidRPr="00FE019D">
              <w:rPr>
                <w:rFonts w:asciiTheme="majorHAnsi" w:hAnsiTheme="majorHAnsi" w:cs="Arial"/>
                <w:sz w:val="18"/>
                <w:szCs w:val="18"/>
                <w:lang w:val="es-ES"/>
              </w:rPr>
              <w:t>Walter Sergio Arias</w:t>
            </w:r>
          </w:p>
          <w:p w14:paraId="707F0A70" w14:textId="77777777" w:rsidR="006754D2" w:rsidRPr="00FE019D" w:rsidRDefault="006754D2" w:rsidP="006754D2">
            <w:pPr>
              <w:pStyle w:val="ListParagraph"/>
              <w:numPr>
                <w:ilvl w:val="0"/>
                <w:numId w:val="58"/>
              </w:numPr>
              <w:jc w:val="both"/>
              <w:rPr>
                <w:rFonts w:asciiTheme="majorHAnsi" w:hAnsiTheme="majorHAnsi" w:cs="Calibri"/>
                <w:sz w:val="18"/>
                <w:szCs w:val="18"/>
                <w:lang w:val="es-ES"/>
              </w:rPr>
            </w:pPr>
            <w:r w:rsidRPr="00FE019D">
              <w:rPr>
                <w:rFonts w:asciiTheme="majorHAnsi" w:hAnsiTheme="majorHAnsi" w:cs="Arial"/>
                <w:sz w:val="18"/>
                <w:szCs w:val="18"/>
                <w:lang w:val="es-ES"/>
              </w:rPr>
              <w:t>Héctor Benigno Arias</w:t>
            </w:r>
          </w:p>
          <w:p w14:paraId="54C062AF" w14:textId="77777777" w:rsidR="006754D2" w:rsidRPr="00FE019D" w:rsidRDefault="006754D2" w:rsidP="006754D2">
            <w:pPr>
              <w:pStyle w:val="ListParagraph"/>
              <w:numPr>
                <w:ilvl w:val="0"/>
                <w:numId w:val="58"/>
              </w:numPr>
              <w:jc w:val="both"/>
              <w:rPr>
                <w:rFonts w:asciiTheme="majorHAnsi" w:hAnsiTheme="majorHAnsi" w:cs="Calibri"/>
                <w:sz w:val="18"/>
                <w:szCs w:val="18"/>
                <w:lang w:val="es-ES"/>
              </w:rPr>
            </w:pPr>
            <w:r w:rsidRPr="00FE019D">
              <w:rPr>
                <w:rFonts w:asciiTheme="majorHAnsi" w:hAnsiTheme="majorHAnsi" w:cs="Arial"/>
                <w:sz w:val="18"/>
                <w:szCs w:val="18"/>
                <w:lang w:val="es-ES"/>
              </w:rPr>
              <w:t>Pedro Adrián Costamagna</w:t>
            </w:r>
          </w:p>
          <w:p w14:paraId="7396BCB2" w14:textId="77777777" w:rsidR="006754D2" w:rsidRPr="00FE019D" w:rsidRDefault="006754D2" w:rsidP="006754D2">
            <w:pPr>
              <w:pStyle w:val="ListParagraph"/>
              <w:numPr>
                <w:ilvl w:val="0"/>
                <w:numId w:val="58"/>
              </w:numPr>
              <w:jc w:val="both"/>
              <w:rPr>
                <w:rFonts w:asciiTheme="majorHAnsi" w:hAnsiTheme="majorHAnsi" w:cs="Calibri"/>
                <w:sz w:val="18"/>
                <w:szCs w:val="18"/>
                <w:lang w:val="es-ES"/>
              </w:rPr>
            </w:pPr>
            <w:r w:rsidRPr="00FE019D">
              <w:rPr>
                <w:rFonts w:asciiTheme="majorHAnsi" w:hAnsiTheme="majorHAnsi" w:cs="Arial"/>
                <w:sz w:val="18"/>
                <w:szCs w:val="18"/>
                <w:lang w:val="es-ES"/>
              </w:rPr>
              <w:t>José Luis Quevedo</w:t>
            </w:r>
          </w:p>
          <w:p w14:paraId="78D1F2CB" w14:textId="77777777" w:rsidR="006754D2" w:rsidRPr="00FE019D" w:rsidRDefault="006754D2" w:rsidP="006754D2">
            <w:pPr>
              <w:pStyle w:val="ListParagraph"/>
              <w:numPr>
                <w:ilvl w:val="0"/>
                <w:numId w:val="58"/>
              </w:numPr>
              <w:jc w:val="both"/>
              <w:rPr>
                <w:rFonts w:asciiTheme="majorHAnsi" w:hAnsiTheme="majorHAnsi" w:cs="Calibri"/>
                <w:sz w:val="18"/>
                <w:szCs w:val="18"/>
                <w:lang w:val="es-ES"/>
              </w:rPr>
            </w:pPr>
            <w:r w:rsidRPr="00FE019D">
              <w:rPr>
                <w:rFonts w:asciiTheme="majorHAnsi" w:hAnsiTheme="majorHAnsi" w:cs="Arial"/>
                <w:sz w:val="18"/>
                <w:szCs w:val="18"/>
                <w:lang w:val="es-ES"/>
              </w:rPr>
              <w:t>Roque Rosario López</w:t>
            </w:r>
          </w:p>
          <w:p w14:paraId="295C58F2" w14:textId="77777777" w:rsidR="006754D2" w:rsidRPr="00FE019D" w:rsidRDefault="006754D2" w:rsidP="006754D2">
            <w:pPr>
              <w:pStyle w:val="ListParagraph"/>
              <w:numPr>
                <w:ilvl w:val="0"/>
                <w:numId w:val="58"/>
              </w:numPr>
              <w:jc w:val="both"/>
              <w:rPr>
                <w:rFonts w:asciiTheme="majorHAnsi" w:hAnsiTheme="majorHAnsi" w:cs="Calibri"/>
                <w:sz w:val="18"/>
                <w:szCs w:val="18"/>
                <w:lang w:val="es-ES"/>
              </w:rPr>
            </w:pPr>
            <w:r w:rsidRPr="00FE019D">
              <w:rPr>
                <w:rFonts w:asciiTheme="majorHAnsi" w:hAnsiTheme="majorHAnsi" w:cs="Arial"/>
                <w:sz w:val="18"/>
                <w:szCs w:val="18"/>
                <w:lang w:val="es-ES"/>
              </w:rPr>
              <w:t>Walter Alejandro Gómez</w:t>
            </w:r>
          </w:p>
          <w:p w14:paraId="56CD17DA" w14:textId="509B6244" w:rsidR="006754D2" w:rsidRPr="00FE019D" w:rsidRDefault="006754D2" w:rsidP="006754D2">
            <w:pPr>
              <w:pStyle w:val="ListParagraph"/>
              <w:numPr>
                <w:ilvl w:val="0"/>
                <w:numId w:val="58"/>
              </w:numPr>
              <w:jc w:val="both"/>
              <w:rPr>
                <w:rFonts w:asciiTheme="majorHAnsi" w:hAnsiTheme="majorHAnsi" w:cs="Calibri"/>
                <w:sz w:val="18"/>
                <w:szCs w:val="18"/>
                <w:lang w:val="es-ES"/>
              </w:rPr>
            </w:pPr>
            <w:r w:rsidRPr="00FE019D">
              <w:rPr>
                <w:rFonts w:asciiTheme="majorHAnsi" w:hAnsiTheme="majorHAnsi" w:cs="Arial"/>
                <w:sz w:val="18"/>
                <w:szCs w:val="18"/>
                <w:lang w:val="es-ES"/>
              </w:rPr>
              <w:t>Alejandro Constancio Pal</w:t>
            </w:r>
            <w:r w:rsidR="005748BE">
              <w:rPr>
                <w:rFonts w:asciiTheme="majorHAnsi" w:hAnsiTheme="majorHAnsi" w:cs="Arial"/>
                <w:sz w:val="18"/>
                <w:szCs w:val="18"/>
                <w:lang w:val="es-ES"/>
              </w:rPr>
              <w:t>ú</w:t>
            </w:r>
          </w:p>
          <w:p w14:paraId="1518DB2B" w14:textId="77777777" w:rsidR="006754D2" w:rsidRPr="00FE019D" w:rsidRDefault="006754D2" w:rsidP="006754D2">
            <w:pPr>
              <w:pStyle w:val="ListParagraph"/>
              <w:numPr>
                <w:ilvl w:val="0"/>
                <w:numId w:val="58"/>
              </w:numPr>
              <w:jc w:val="both"/>
              <w:rPr>
                <w:rFonts w:asciiTheme="majorHAnsi" w:hAnsiTheme="majorHAnsi" w:cs="Calibri"/>
                <w:sz w:val="18"/>
                <w:szCs w:val="18"/>
                <w:lang w:val="es-ES"/>
              </w:rPr>
            </w:pPr>
            <w:r w:rsidRPr="00FE019D">
              <w:rPr>
                <w:rFonts w:asciiTheme="majorHAnsi" w:hAnsiTheme="majorHAnsi" w:cs="Arial"/>
                <w:sz w:val="18"/>
                <w:szCs w:val="18"/>
                <w:lang w:val="es-ES"/>
              </w:rPr>
              <w:t>Rodolfo Germán Sabella</w:t>
            </w:r>
          </w:p>
          <w:p w14:paraId="759CB358" w14:textId="77777777" w:rsidR="006754D2" w:rsidRPr="00FE019D" w:rsidRDefault="006754D2" w:rsidP="006754D2">
            <w:pPr>
              <w:pStyle w:val="ListParagraph"/>
              <w:numPr>
                <w:ilvl w:val="0"/>
                <w:numId w:val="58"/>
              </w:numPr>
              <w:jc w:val="both"/>
              <w:rPr>
                <w:rFonts w:asciiTheme="majorHAnsi" w:hAnsiTheme="majorHAnsi" w:cs="Calibri"/>
                <w:sz w:val="18"/>
                <w:szCs w:val="18"/>
                <w:lang w:val="es-ES"/>
              </w:rPr>
            </w:pPr>
            <w:r w:rsidRPr="00FE019D">
              <w:rPr>
                <w:rFonts w:asciiTheme="majorHAnsi" w:hAnsiTheme="majorHAnsi" w:cs="Arial"/>
                <w:sz w:val="18"/>
                <w:szCs w:val="18"/>
                <w:lang w:val="es-ES"/>
              </w:rPr>
              <w:t>Rodolfo Ucci</w:t>
            </w:r>
          </w:p>
          <w:p w14:paraId="1799360D" w14:textId="77777777" w:rsidR="006754D2" w:rsidRPr="00FE019D" w:rsidRDefault="006754D2" w:rsidP="006754D2">
            <w:pPr>
              <w:pStyle w:val="ListParagraph"/>
              <w:numPr>
                <w:ilvl w:val="0"/>
                <w:numId w:val="58"/>
              </w:numPr>
              <w:jc w:val="both"/>
              <w:rPr>
                <w:rFonts w:asciiTheme="majorHAnsi" w:hAnsiTheme="majorHAnsi" w:cs="Calibri"/>
                <w:sz w:val="18"/>
                <w:szCs w:val="18"/>
                <w:lang w:val="es-ES"/>
              </w:rPr>
            </w:pPr>
            <w:r w:rsidRPr="00FE019D">
              <w:rPr>
                <w:rFonts w:asciiTheme="majorHAnsi" w:hAnsiTheme="majorHAnsi" w:cs="Arial"/>
                <w:sz w:val="18"/>
                <w:szCs w:val="18"/>
                <w:lang w:val="es-ES"/>
              </w:rPr>
              <w:t>Norberto Raúl Sánchez</w:t>
            </w:r>
          </w:p>
          <w:p w14:paraId="6BBB4698" w14:textId="77777777" w:rsidR="006754D2" w:rsidRPr="00FE019D" w:rsidRDefault="006754D2" w:rsidP="006754D2">
            <w:pPr>
              <w:pStyle w:val="ListParagraph"/>
              <w:numPr>
                <w:ilvl w:val="0"/>
                <w:numId w:val="58"/>
              </w:numPr>
              <w:jc w:val="both"/>
              <w:rPr>
                <w:rFonts w:asciiTheme="majorHAnsi" w:hAnsiTheme="majorHAnsi" w:cs="Calibri"/>
                <w:sz w:val="18"/>
                <w:szCs w:val="18"/>
                <w:lang w:val="es-ES"/>
              </w:rPr>
            </w:pPr>
            <w:r w:rsidRPr="00FE019D">
              <w:rPr>
                <w:rFonts w:asciiTheme="majorHAnsi" w:hAnsiTheme="majorHAnsi" w:cs="Arial"/>
                <w:sz w:val="18"/>
                <w:szCs w:val="18"/>
                <w:lang w:val="es-ES"/>
              </w:rPr>
              <w:t>Juan Carlos Sandiano</w:t>
            </w:r>
          </w:p>
          <w:p w14:paraId="0A902610" w14:textId="77777777" w:rsidR="006754D2" w:rsidRPr="00FE019D" w:rsidRDefault="006754D2" w:rsidP="006754D2">
            <w:pPr>
              <w:pStyle w:val="ListParagraph"/>
              <w:numPr>
                <w:ilvl w:val="0"/>
                <w:numId w:val="58"/>
              </w:numPr>
              <w:jc w:val="both"/>
              <w:rPr>
                <w:rFonts w:asciiTheme="majorHAnsi" w:hAnsiTheme="majorHAnsi" w:cs="Calibri"/>
                <w:sz w:val="18"/>
                <w:szCs w:val="18"/>
                <w:lang w:val="es-ES"/>
              </w:rPr>
            </w:pPr>
            <w:r w:rsidRPr="00FE019D">
              <w:rPr>
                <w:rFonts w:asciiTheme="majorHAnsi" w:hAnsiTheme="majorHAnsi" w:cs="Arial"/>
                <w:sz w:val="18"/>
                <w:szCs w:val="18"/>
                <w:lang w:val="es-ES"/>
              </w:rPr>
              <w:t>Juan Carlos Guzmán</w:t>
            </w:r>
          </w:p>
          <w:p w14:paraId="5710FC91" w14:textId="77777777" w:rsidR="006754D2" w:rsidRPr="00FE019D" w:rsidRDefault="006754D2" w:rsidP="006754D2">
            <w:pPr>
              <w:pStyle w:val="ListParagraph"/>
              <w:numPr>
                <w:ilvl w:val="0"/>
                <w:numId w:val="58"/>
              </w:numPr>
              <w:jc w:val="both"/>
              <w:rPr>
                <w:rFonts w:asciiTheme="majorHAnsi" w:hAnsiTheme="majorHAnsi" w:cs="Calibri"/>
                <w:sz w:val="18"/>
                <w:szCs w:val="18"/>
                <w:lang w:val="es-ES"/>
              </w:rPr>
            </w:pPr>
            <w:r w:rsidRPr="00FE019D">
              <w:rPr>
                <w:rFonts w:asciiTheme="majorHAnsi" w:hAnsiTheme="majorHAnsi" w:cs="Arial"/>
                <w:sz w:val="18"/>
                <w:szCs w:val="18"/>
                <w:lang w:val="es-ES"/>
              </w:rPr>
              <w:t>Jorge Horacio Davicino</w:t>
            </w:r>
          </w:p>
          <w:p w14:paraId="41B62ED4" w14:textId="77777777" w:rsidR="006754D2" w:rsidRPr="00FE019D" w:rsidRDefault="006754D2" w:rsidP="006754D2">
            <w:pPr>
              <w:pStyle w:val="ListParagraph"/>
              <w:numPr>
                <w:ilvl w:val="0"/>
                <w:numId w:val="58"/>
              </w:numPr>
              <w:jc w:val="both"/>
              <w:rPr>
                <w:rFonts w:asciiTheme="majorHAnsi" w:hAnsiTheme="majorHAnsi" w:cs="Calibri"/>
                <w:sz w:val="18"/>
                <w:szCs w:val="18"/>
                <w:lang w:val="es-ES"/>
              </w:rPr>
            </w:pPr>
            <w:r w:rsidRPr="00FE019D">
              <w:rPr>
                <w:rFonts w:asciiTheme="majorHAnsi" w:hAnsiTheme="majorHAnsi" w:cs="Arial"/>
                <w:sz w:val="18"/>
                <w:szCs w:val="18"/>
                <w:lang w:val="es-ES"/>
              </w:rPr>
              <w:t>Eduardo Rivero</w:t>
            </w:r>
          </w:p>
          <w:p w14:paraId="052F40ED" w14:textId="77777777" w:rsidR="006754D2" w:rsidRPr="00FE019D" w:rsidRDefault="006754D2" w:rsidP="006754D2">
            <w:pPr>
              <w:pStyle w:val="ListParagraph"/>
              <w:numPr>
                <w:ilvl w:val="0"/>
                <w:numId w:val="58"/>
              </w:numPr>
              <w:jc w:val="both"/>
              <w:rPr>
                <w:rFonts w:asciiTheme="majorHAnsi" w:hAnsiTheme="majorHAnsi" w:cs="Calibri"/>
                <w:sz w:val="18"/>
                <w:szCs w:val="18"/>
                <w:lang w:val="es-ES"/>
              </w:rPr>
            </w:pPr>
            <w:r w:rsidRPr="00FE019D">
              <w:rPr>
                <w:rFonts w:asciiTheme="majorHAnsi" w:hAnsiTheme="majorHAnsi" w:cs="Arial"/>
                <w:sz w:val="18"/>
                <w:szCs w:val="18"/>
                <w:lang w:val="es-ES"/>
              </w:rPr>
              <w:t>César Ortiz</w:t>
            </w:r>
          </w:p>
          <w:p w14:paraId="523B91DC" w14:textId="18D3A93F" w:rsidR="006754D2" w:rsidRPr="00FE019D" w:rsidRDefault="006754D2" w:rsidP="006754D2">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sz w:val="20"/>
                <w:szCs w:val="20"/>
                <w:lang w:val="es-ES"/>
              </w:rPr>
            </w:pPr>
          </w:p>
        </w:tc>
      </w:tr>
    </w:tbl>
    <w:p w14:paraId="0F2AE95C" w14:textId="092D0AF0" w:rsidR="009413F5" w:rsidRPr="00FE019D" w:rsidRDefault="006754D2" w:rsidP="009413F5">
      <w:pPr>
        <w:jc w:val="center"/>
        <w:rPr>
          <w:rFonts w:asciiTheme="majorHAnsi" w:hAnsiTheme="majorHAnsi"/>
          <w:sz w:val="20"/>
          <w:szCs w:val="20"/>
          <w:lang w:val="es-ES"/>
        </w:rPr>
      </w:pPr>
      <w:r w:rsidRPr="00FE019D">
        <w:rPr>
          <w:rFonts w:asciiTheme="majorHAnsi" w:hAnsiTheme="majorHAnsi"/>
          <w:sz w:val="20"/>
          <w:szCs w:val="20"/>
          <w:lang w:val="es-ES"/>
        </w:rPr>
        <w:br w:type="textWrapping" w:clear="all"/>
      </w:r>
    </w:p>
    <w:p w14:paraId="20E22CA9" w14:textId="77777777" w:rsidR="004442BC" w:rsidRPr="00FE019D" w:rsidRDefault="004442BC" w:rsidP="009413F5">
      <w:pPr>
        <w:jc w:val="both"/>
        <w:rPr>
          <w:rFonts w:asciiTheme="majorHAnsi" w:hAnsiTheme="majorHAnsi" w:cs="Calibri"/>
          <w:sz w:val="18"/>
          <w:szCs w:val="18"/>
          <w:lang w:val="es-ES"/>
        </w:rPr>
      </w:pPr>
    </w:p>
    <w:sectPr w:rsidR="004442BC" w:rsidRPr="00FE019D"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5B525" w14:textId="77777777" w:rsidR="00572AD8" w:rsidRDefault="00572AD8">
      <w:r>
        <w:separator/>
      </w:r>
    </w:p>
  </w:endnote>
  <w:endnote w:type="continuationSeparator" w:id="0">
    <w:p w14:paraId="794FFE00" w14:textId="77777777" w:rsidR="00572AD8" w:rsidRDefault="00572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29E243E2" w14:textId="25B7F197" w:rsidR="00B27DD8" w:rsidRPr="00934A2C" w:rsidRDefault="00B27DD8">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F816C2">
          <w:rPr>
            <w:noProof/>
            <w:sz w:val="16"/>
            <w:szCs w:val="22"/>
          </w:rPr>
          <w:t>1</w:t>
        </w:r>
        <w:r w:rsidRPr="00934A2C">
          <w:rPr>
            <w:noProof/>
            <w:sz w:val="16"/>
            <w:szCs w:val="22"/>
          </w:rPr>
          <w:fldChar w:fldCharType="end"/>
        </w:r>
      </w:p>
    </w:sdtContent>
  </w:sdt>
  <w:p w14:paraId="68530E6A" w14:textId="77777777" w:rsidR="00B27DD8" w:rsidRDefault="00B27D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4FDC" w14:textId="77777777" w:rsidR="00B27DD8" w:rsidRPr="00934A2C" w:rsidRDefault="00B27DD8">
    <w:pPr>
      <w:pStyle w:val="Footer"/>
      <w:jc w:val="center"/>
      <w:rPr>
        <w:sz w:val="16"/>
        <w:szCs w:val="22"/>
      </w:rPr>
    </w:pPr>
  </w:p>
  <w:p w14:paraId="49059CE3" w14:textId="77777777" w:rsidR="00B27DD8" w:rsidRDefault="00B27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4C16D" w14:textId="77777777" w:rsidR="00572AD8" w:rsidRPr="000F35ED" w:rsidRDefault="00572AD8">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574F5EC4" w14:textId="77777777" w:rsidR="00572AD8" w:rsidRPr="000F35ED" w:rsidRDefault="00572AD8" w:rsidP="000F35ED">
      <w:pPr>
        <w:rPr>
          <w:rFonts w:asciiTheme="majorHAnsi" w:hAnsiTheme="majorHAnsi"/>
          <w:sz w:val="16"/>
          <w:szCs w:val="16"/>
        </w:rPr>
      </w:pPr>
      <w:r w:rsidRPr="000F35ED">
        <w:rPr>
          <w:rFonts w:asciiTheme="majorHAnsi" w:hAnsiTheme="majorHAnsi"/>
          <w:sz w:val="16"/>
          <w:szCs w:val="16"/>
        </w:rPr>
        <w:separator/>
      </w:r>
    </w:p>
    <w:p w14:paraId="1AF35DEC" w14:textId="77777777" w:rsidR="00572AD8" w:rsidRPr="000F35ED" w:rsidRDefault="00572AD8"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562A1726" w14:textId="77777777" w:rsidR="00572AD8" w:rsidRPr="000F35ED" w:rsidRDefault="00572AD8"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53270D83" w14:textId="018069A9" w:rsidR="00B27DD8" w:rsidRPr="002D58FA" w:rsidRDefault="00B27DD8" w:rsidP="00D001FB">
      <w:pPr>
        <w:pStyle w:val="FootnoteText"/>
        <w:ind w:firstLine="720"/>
        <w:jc w:val="both"/>
        <w:rPr>
          <w:rFonts w:asciiTheme="majorHAnsi" w:hAnsiTheme="majorHAnsi"/>
          <w:sz w:val="16"/>
          <w:szCs w:val="16"/>
          <w:lang w:val="es-AR"/>
        </w:rPr>
      </w:pPr>
      <w:r w:rsidRPr="002D58FA">
        <w:rPr>
          <w:rStyle w:val="FootnoteReference"/>
          <w:rFonts w:asciiTheme="majorHAnsi" w:hAnsiTheme="majorHAnsi"/>
          <w:sz w:val="16"/>
          <w:szCs w:val="16"/>
        </w:rPr>
        <w:footnoteRef/>
      </w:r>
      <w:r w:rsidR="00F816C2">
        <w:rPr>
          <w:rFonts w:asciiTheme="majorHAnsi" w:hAnsiTheme="majorHAnsi"/>
          <w:sz w:val="16"/>
          <w:szCs w:val="16"/>
          <w:lang w:val="es-AR"/>
        </w:rPr>
        <w:t xml:space="preserve"> La parte peticionaria identifica a 18 presuntas víctimas en la petición inicial. En información adicional se agrega como presentas víctimas a los señores Eduardo Rivero y César Ortiz. Todos los nombres se presentan en anexo II.</w:t>
      </w:r>
    </w:p>
  </w:footnote>
  <w:footnote w:id="3">
    <w:p w14:paraId="21CD7E2E" w14:textId="1533B566" w:rsidR="0003441B" w:rsidRPr="0003441B" w:rsidRDefault="0003441B" w:rsidP="0003441B">
      <w:pPr>
        <w:pStyle w:val="FootnoteText"/>
        <w:ind w:firstLine="720"/>
        <w:rPr>
          <w:lang w:val="es-ES"/>
        </w:rPr>
      </w:pPr>
      <w:r>
        <w:rPr>
          <w:rStyle w:val="FootnoteReference"/>
        </w:rPr>
        <w:footnoteRef/>
      </w:r>
      <w:r>
        <w:rPr>
          <w:lang w:val="es-ES"/>
        </w:rPr>
        <w:t xml:space="preserve"> </w:t>
      </w:r>
      <w:r w:rsidRPr="00DC1594">
        <w:rPr>
          <w:rFonts w:asciiTheme="majorHAnsi" w:hAnsiTheme="majorHAnsi"/>
          <w:sz w:val="16"/>
          <w:szCs w:val="16"/>
          <w:lang w:val="es-US"/>
        </w:rPr>
        <w:t xml:space="preserve">Conforme a lo dispuesto en el artículo 17.2.a del Reglamento de la Comisión, </w:t>
      </w:r>
      <w:r>
        <w:rPr>
          <w:rFonts w:asciiTheme="majorHAnsi" w:hAnsiTheme="majorHAnsi"/>
          <w:sz w:val="16"/>
          <w:szCs w:val="16"/>
          <w:lang w:val="es-US"/>
        </w:rPr>
        <w:t>la</w:t>
      </w:r>
      <w:r w:rsidRPr="00DC1594">
        <w:rPr>
          <w:rFonts w:asciiTheme="majorHAnsi" w:hAnsiTheme="majorHAnsi"/>
          <w:sz w:val="16"/>
          <w:szCs w:val="16"/>
          <w:lang w:val="es-US"/>
        </w:rPr>
        <w:t xml:space="preserve"> Comisionad</w:t>
      </w:r>
      <w:r>
        <w:rPr>
          <w:rFonts w:asciiTheme="majorHAnsi" w:hAnsiTheme="majorHAnsi"/>
          <w:sz w:val="16"/>
          <w:szCs w:val="16"/>
          <w:lang w:val="es-US"/>
        </w:rPr>
        <w:t>a</w:t>
      </w:r>
      <w:r w:rsidRPr="00DC1594">
        <w:rPr>
          <w:rFonts w:asciiTheme="majorHAnsi" w:hAnsiTheme="majorHAnsi"/>
          <w:sz w:val="16"/>
          <w:szCs w:val="16"/>
          <w:lang w:val="es-US"/>
        </w:rPr>
        <w:t xml:space="preserve"> </w:t>
      </w:r>
      <w:r>
        <w:rPr>
          <w:rFonts w:asciiTheme="majorHAnsi" w:hAnsiTheme="majorHAnsi"/>
          <w:sz w:val="16"/>
          <w:szCs w:val="16"/>
          <w:lang w:val="es-US"/>
        </w:rPr>
        <w:t>Andrea Pochak</w:t>
      </w:r>
      <w:r w:rsidRPr="00DC1594">
        <w:rPr>
          <w:rFonts w:asciiTheme="majorHAnsi" w:hAnsiTheme="majorHAnsi"/>
          <w:sz w:val="16"/>
          <w:szCs w:val="16"/>
          <w:lang w:val="es-US"/>
        </w:rPr>
        <w:t xml:space="preserve">, de nacionalidad </w:t>
      </w:r>
      <w:r>
        <w:rPr>
          <w:rFonts w:asciiTheme="majorHAnsi" w:hAnsiTheme="majorHAnsi"/>
          <w:sz w:val="16"/>
          <w:szCs w:val="16"/>
          <w:lang w:val="es-US"/>
        </w:rPr>
        <w:t>argentina</w:t>
      </w:r>
      <w:r w:rsidRPr="00DC1594">
        <w:rPr>
          <w:rFonts w:asciiTheme="majorHAnsi" w:hAnsiTheme="majorHAnsi"/>
          <w:sz w:val="16"/>
          <w:szCs w:val="16"/>
          <w:lang w:val="es-US"/>
        </w:rPr>
        <w:t>, no participó en el debate ni en la decisión del presente asunto.</w:t>
      </w:r>
      <w:r w:rsidRPr="00F63673">
        <w:rPr>
          <w:lang w:val="es-ES"/>
        </w:rPr>
        <w:t xml:space="preserve"> </w:t>
      </w:r>
      <w:r w:rsidRPr="0003441B">
        <w:rPr>
          <w:lang w:val="es-ES"/>
        </w:rPr>
        <w:t xml:space="preserve"> </w:t>
      </w:r>
    </w:p>
  </w:footnote>
  <w:footnote w:id="4">
    <w:p w14:paraId="457E7634" w14:textId="2E4DAADE" w:rsidR="00B27DD8" w:rsidRPr="002D58FA" w:rsidRDefault="00B27DD8" w:rsidP="00D001FB">
      <w:pPr>
        <w:pStyle w:val="FootnoteText"/>
        <w:ind w:firstLine="720"/>
        <w:jc w:val="both"/>
        <w:rPr>
          <w:rFonts w:asciiTheme="majorHAnsi" w:hAnsiTheme="majorHAnsi"/>
          <w:sz w:val="16"/>
          <w:szCs w:val="16"/>
          <w:lang w:val="es-US"/>
        </w:rPr>
      </w:pPr>
      <w:r w:rsidRPr="002D58FA">
        <w:rPr>
          <w:rStyle w:val="FootnoteReference"/>
          <w:rFonts w:asciiTheme="majorHAnsi" w:hAnsiTheme="majorHAnsi"/>
          <w:sz w:val="16"/>
          <w:szCs w:val="16"/>
        </w:rPr>
        <w:footnoteRef/>
      </w:r>
      <w:r w:rsidRPr="002D58FA">
        <w:rPr>
          <w:rFonts w:asciiTheme="majorHAnsi" w:hAnsiTheme="majorHAnsi"/>
          <w:sz w:val="16"/>
          <w:szCs w:val="16"/>
          <w:lang w:val="es-US"/>
        </w:rPr>
        <w:t xml:space="preserve"> En adelante, “la Convención Americana” o “la Convención”.</w:t>
      </w:r>
      <w:r w:rsidR="00FD4912">
        <w:rPr>
          <w:rFonts w:asciiTheme="majorHAnsi" w:hAnsiTheme="majorHAnsi"/>
          <w:sz w:val="16"/>
          <w:szCs w:val="16"/>
          <w:lang w:val="es-US"/>
        </w:rPr>
        <w:t xml:space="preserve"> Los peticionarios también invocan: </w:t>
      </w:r>
      <w:r w:rsidR="00FD4912" w:rsidRPr="00FD4912">
        <w:rPr>
          <w:rFonts w:asciiTheme="majorHAnsi" w:hAnsiTheme="majorHAnsi"/>
          <w:sz w:val="16"/>
          <w:szCs w:val="16"/>
          <w:lang w:val="es-US"/>
        </w:rPr>
        <w:t>artículo 43 del Protocolo I adicional a los Convenios de Ginebra de 1949 relativo a la protección de las víctimas de los conflictos armados internacionales</w:t>
      </w:r>
      <w:r w:rsidR="003E6764">
        <w:rPr>
          <w:rFonts w:asciiTheme="majorHAnsi" w:hAnsiTheme="majorHAnsi"/>
          <w:sz w:val="16"/>
          <w:szCs w:val="16"/>
          <w:lang w:val="es-US"/>
        </w:rPr>
        <w:t>.</w:t>
      </w:r>
    </w:p>
  </w:footnote>
  <w:footnote w:id="5">
    <w:p w14:paraId="79F07139" w14:textId="77777777" w:rsidR="00B27DD8" w:rsidRPr="00537490" w:rsidRDefault="00B27DD8" w:rsidP="00D001FB">
      <w:pPr>
        <w:pStyle w:val="FootnoteText"/>
        <w:ind w:firstLine="720"/>
        <w:jc w:val="both"/>
        <w:rPr>
          <w:rFonts w:ascii="Cambria" w:hAnsi="Cambria"/>
          <w:sz w:val="16"/>
          <w:szCs w:val="16"/>
          <w:lang w:val="es-ES"/>
        </w:rPr>
      </w:pPr>
      <w:r w:rsidRPr="002D58FA">
        <w:rPr>
          <w:rStyle w:val="FootnoteReference"/>
          <w:rFonts w:asciiTheme="majorHAnsi" w:hAnsiTheme="majorHAnsi"/>
          <w:sz w:val="16"/>
          <w:szCs w:val="16"/>
        </w:rPr>
        <w:footnoteRef/>
      </w:r>
      <w:r w:rsidRPr="002D58FA">
        <w:rPr>
          <w:rFonts w:asciiTheme="majorHAnsi" w:hAnsiTheme="majorHAnsi"/>
          <w:sz w:val="16"/>
          <w:szCs w:val="16"/>
          <w:lang w:val="es-ES"/>
        </w:rPr>
        <w:t xml:space="preserve"> Las observaciones de cada parte fueron debidamente trasladadas a la parte contraria.</w:t>
      </w:r>
    </w:p>
  </w:footnote>
  <w:footnote w:id="6">
    <w:p w14:paraId="68A6212A" w14:textId="3CB4E4BA" w:rsidR="00B27DD8" w:rsidRPr="009A780D" w:rsidRDefault="00B27DD8" w:rsidP="00D001FB">
      <w:pPr>
        <w:pStyle w:val="FootnoteText"/>
        <w:ind w:firstLine="720"/>
        <w:jc w:val="both"/>
        <w:rPr>
          <w:rFonts w:asciiTheme="majorHAnsi" w:hAnsiTheme="majorHAnsi"/>
          <w:sz w:val="16"/>
          <w:szCs w:val="16"/>
          <w:lang w:val="es-AR"/>
        </w:rPr>
      </w:pPr>
      <w:r w:rsidRPr="009A780D">
        <w:rPr>
          <w:rStyle w:val="FootnoteReference"/>
          <w:rFonts w:asciiTheme="majorHAnsi" w:hAnsiTheme="majorHAnsi"/>
          <w:sz w:val="16"/>
          <w:szCs w:val="16"/>
        </w:rPr>
        <w:footnoteRef/>
      </w:r>
      <w:r w:rsidRPr="00D001FB">
        <w:rPr>
          <w:rFonts w:asciiTheme="majorHAnsi" w:hAnsiTheme="majorHAnsi"/>
          <w:sz w:val="16"/>
          <w:szCs w:val="16"/>
          <w:lang w:val="es-ES"/>
        </w:rPr>
        <w:t xml:space="preserve"> Decreto 688/82, artículo 1: Convócase al personal de la reserva fuera de servicio, perteneciente a la clase 1962, que fuera dado de baja de las Fuerzas Armadas, y aquellas otras clases que cumplieron el Servicio Militar Obligatorio con la antes mencionada, a partir del día y hora que en forma expresa fije la cédula de llamada, en la cantidad y forma que determine el Comando en Jefe de cada Fuerza.</w:t>
      </w:r>
    </w:p>
  </w:footnote>
  <w:footnote w:id="7">
    <w:p w14:paraId="4E26DDA4" w14:textId="77777777" w:rsidR="00B27DD8" w:rsidRPr="009A780D" w:rsidRDefault="00B27DD8" w:rsidP="00D001FB">
      <w:pPr>
        <w:pStyle w:val="FootnoteText"/>
        <w:ind w:firstLine="720"/>
        <w:jc w:val="both"/>
        <w:rPr>
          <w:rFonts w:asciiTheme="majorHAnsi" w:hAnsiTheme="majorHAnsi"/>
          <w:sz w:val="16"/>
          <w:szCs w:val="16"/>
          <w:lang w:val="es-AR"/>
        </w:rPr>
      </w:pPr>
      <w:r w:rsidRPr="009A780D">
        <w:rPr>
          <w:rStyle w:val="FootnoteReference"/>
          <w:rFonts w:asciiTheme="majorHAnsi" w:hAnsiTheme="majorHAnsi"/>
          <w:sz w:val="16"/>
          <w:szCs w:val="16"/>
        </w:rPr>
        <w:footnoteRef/>
      </w:r>
      <w:r w:rsidRPr="00D001FB">
        <w:rPr>
          <w:rFonts w:asciiTheme="majorHAnsi" w:hAnsiTheme="majorHAnsi"/>
          <w:sz w:val="16"/>
          <w:szCs w:val="16"/>
          <w:lang w:val="es-ES"/>
        </w:rPr>
        <w:t xml:space="preserve"> Asociación Civil Agrupación Gloria al 8 de Veteranos de Guerra no reconocidos. Identificación de la Personería Jurídica: Nº 487 A/08.</w:t>
      </w:r>
    </w:p>
  </w:footnote>
  <w:footnote w:id="8">
    <w:p w14:paraId="42168361" w14:textId="01CDB33B" w:rsidR="00B27DD8" w:rsidRPr="009A780D" w:rsidRDefault="00B27DD8" w:rsidP="00D001FB">
      <w:pPr>
        <w:pStyle w:val="FootnoteText"/>
        <w:ind w:firstLine="720"/>
        <w:jc w:val="both"/>
        <w:rPr>
          <w:rFonts w:asciiTheme="majorHAnsi" w:hAnsiTheme="majorHAnsi"/>
          <w:sz w:val="16"/>
          <w:szCs w:val="16"/>
          <w:lang w:val="es-AR"/>
        </w:rPr>
      </w:pPr>
      <w:r w:rsidRPr="009A780D">
        <w:rPr>
          <w:rStyle w:val="FootnoteReference"/>
          <w:rFonts w:asciiTheme="majorHAnsi" w:hAnsiTheme="majorHAnsi"/>
          <w:sz w:val="16"/>
          <w:szCs w:val="16"/>
        </w:rPr>
        <w:footnoteRef/>
      </w:r>
      <w:r w:rsidRPr="00D001FB">
        <w:rPr>
          <w:rFonts w:asciiTheme="majorHAnsi" w:hAnsiTheme="majorHAnsi"/>
          <w:sz w:val="16"/>
          <w:szCs w:val="16"/>
          <w:lang w:val="es-ES"/>
        </w:rPr>
        <w:t xml:space="preserve"> </w:t>
      </w:r>
      <w:r w:rsidRPr="009A780D">
        <w:rPr>
          <w:rFonts w:asciiTheme="majorHAnsi" w:hAnsiTheme="majorHAnsi"/>
          <w:sz w:val="16"/>
          <w:szCs w:val="16"/>
          <w:lang w:val="es-AR"/>
        </w:rPr>
        <w:t>Decreto 509/88,  artículo 1: A los efectos de la aplicación de la Ley 23.109 se consider</w:t>
      </w:r>
      <w:r>
        <w:rPr>
          <w:rFonts w:asciiTheme="majorHAnsi" w:hAnsiTheme="majorHAnsi"/>
          <w:sz w:val="16"/>
          <w:szCs w:val="16"/>
          <w:lang w:val="es-AR"/>
        </w:rPr>
        <w:t>ará Veterano de Guerra a los ex</w:t>
      </w:r>
      <w:r w:rsidRPr="009A780D">
        <w:rPr>
          <w:rFonts w:asciiTheme="majorHAnsi" w:hAnsiTheme="majorHAnsi"/>
          <w:sz w:val="16"/>
          <w:szCs w:val="16"/>
          <w:lang w:val="es-AR"/>
        </w:rPr>
        <w:t xml:space="preserve">soldados conscriptos que desde el 2 de abril al 14 de junio de 1982 participaron en las acciones bélicas desarrolladas en el Teatro de Operaciones del Atlántico Sur, cuya jurisdicción fuera determinada el 7 de abril de dicho año y que abarcaba la plataforma continental, las </w:t>
      </w:r>
      <w:r w:rsidR="00F816C2" w:rsidRPr="00F816C2">
        <w:rPr>
          <w:rFonts w:asciiTheme="majorHAnsi" w:hAnsiTheme="majorHAnsi"/>
          <w:sz w:val="16"/>
          <w:szCs w:val="16"/>
          <w:lang w:val="es-AR"/>
        </w:rPr>
        <w:t>Islas Malvinas, Georgias y Sandwich del Sur</w:t>
      </w:r>
      <w:r w:rsidRPr="009A780D">
        <w:rPr>
          <w:rFonts w:asciiTheme="majorHAnsi" w:hAnsiTheme="majorHAnsi"/>
          <w:sz w:val="16"/>
          <w:szCs w:val="16"/>
          <w:lang w:val="es-AR"/>
        </w:rPr>
        <w:t xml:space="preserve"> y el espacio aéreo correspondiente.</w:t>
      </w:r>
    </w:p>
  </w:footnote>
  <w:footnote w:id="9">
    <w:p w14:paraId="5B52A066" w14:textId="77777777" w:rsidR="00B27DD8" w:rsidRPr="0026787C" w:rsidRDefault="00B27DD8" w:rsidP="00D001FB">
      <w:pPr>
        <w:pStyle w:val="FootnoteText"/>
        <w:ind w:firstLine="720"/>
        <w:jc w:val="both"/>
        <w:rPr>
          <w:rFonts w:ascii="Cambria" w:hAnsi="Cambria"/>
          <w:color w:val="auto"/>
          <w:sz w:val="16"/>
          <w:szCs w:val="16"/>
          <w:lang w:val="es-ES"/>
        </w:rPr>
      </w:pPr>
      <w:r w:rsidRPr="0026787C">
        <w:rPr>
          <w:rStyle w:val="FootnoteReference"/>
          <w:rFonts w:ascii="Cambria" w:hAnsi="Cambria"/>
          <w:color w:val="auto"/>
          <w:sz w:val="16"/>
          <w:szCs w:val="16"/>
        </w:rPr>
        <w:footnoteRef/>
      </w:r>
      <w:r w:rsidRPr="0026787C">
        <w:rPr>
          <w:rFonts w:ascii="Cambria" w:hAnsi="Cambria"/>
          <w:color w:val="auto"/>
          <w:sz w:val="16"/>
          <w:szCs w:val="16"/>
          <w:lang w:val="es-ES"/>
        </w:rPr>
        <w:t xml:space="preserve"> Véase por ejemplo CIDH, Informe No. 56/16. </w:t>
      </w:r>
      <w:r w:rsidRPr="0026787C">
        <w:rPr>
          <w:rFonts w:ascii="Cambria" w:hAnsi="Cambria"/>
          <w:color w:val="auto"/>
          <w:sz w:val="16"/>
          <w:szCs w:val="16"/>
          <w:lang w:val="es-ES_tradnl"/>
        </w:rPr>
        <w:t xml:space="preserve">Petición 666-03. Admisibilidad. Luis Alberto Leiva. Argentina. </w:t>
      </w:r>
      <w:r w:rsidRPr="0026787C">
        <w:rPr>
          <w:rFonts w:ascii="Cambria" w:hAnsi="Cambria"/>
          <w:color w:val="auto"/>
          <w:sz w:val="16"/>
          <w:szCs w:val="16"/>
          <w:lang w:val="es-ES"/>
        </w:rPr>
        <w:t xml:space="preserve">6 de diciembre de 2016, párr. 25. </w:t>
      </w:r>
      <w:bookmarkStart w:id="2" w:name="_Hlk113360759"/>
    </w:p>
    <w:bookmarkEnd w:id="2"/>
  </w:footnote>
  <w:footnote w:id="10">
    <w:p w14:paraId="0BE05362" w14:textId="77777777" w:rsidR="00B27DD8" w:rsidRPr="0026787C" w:rsidRDefault="00B27DD8" w:rsidP="00D001FB">
      <w:pPr>
        <w:pStyle w:val="FootnoteText"/>
        <w:ind w:firstLine="720"/>
        <w:jc w:val="both"/>
        <w:rPr>
          <w:rFonts w:ascii="Cambria" w:hAnsi="Cambria"/>
          <w:sz w:val="16"/>
          <w:szCs w:val="16"/>
          <w:lang w:val="es-US"/>
        </w:rPr>
      </w:pPr>
      <w:r w:rsidRPr="0026787C">
        <w:rPr>
          <w:rStyle w:val="FootnoteReference"/>
          <w:rFonts w:ascii="Cambria" w:hAnsi="Cambria"/>
          <w:sz w:val="16"/>
          <w:szCs w:val="16"/>
        </w:rPr>
        <w:footnoteRef/>
      </w:r>
      <w:r w:rsidRPr="0026787C">
        <w:rPr>
          <w:rFonts w:ascii="Cambria" w:hAnsi="Cambria"/>
          <w:sz w:val="16"/>
          <w:szCs w:val="16"/>
          <w:lang w:val="es-US"/>
        </w:rPr>
        <w:t xml:space="preserve"> CIDH, Informe No. 79/08, Petición 95-01. Admisibilidad. Marcos Alejandro Martin. Argentina. 17 de octubre de 2008, párr. 27.</w:t>
      </w:r>
    </w:p>
  </w:footnote>
  <w:footnote w:id="11">
    <w:p w14:paraId="56712946" w14:textId="77777777" w:rsidR="00B27DD8" w:rsidRPr="000A0546" w:rsidRDefault="00B27DD8" w:rsidP="00D001FB">
      <w:pPr>
        <w:pStyle w:val="FootnoteText"/>
        <w:ind w:firstLine="720"/>
        <w:jc w:val="both"/>
        <w:rPr>
          <w:rFonts w:asciiTheme="majorHAnsi" w:hAnsiTheme="majorHAnsi"/>
          <w:sz w:val="16"/>
          <w:szCs w:val="16"/>
          <w:lang w:val="es-US"/>
        </w:rPr>
      </w:pPr>
      <w:r w:rsidRPr="0026787C">
        <w:rPr>
          <w:rStyle w:val="FootnoteReference"/>
          <w:rFonts w:ascii="Cambria" w:hAnsi="Cambria"/>
          <w:sz w:val="16"/>
          <w:szCs w:val="16"/>
        </w:rPr>
        <w:footnoteRef/>
      </w:r>
      <w:r w:rsidRPr="004B6A00">
        <w:rPr>
          <w:rFonts w:ascii="Cambria" w:hAnsi="Cambria"/>
          <w:sz w:val="16"/>
          <w:szCs w:val="16"/>
          <w:lang w:val="pt-BR"/>
        </w:rPr>
        <w:t xml:space="preserve"> </w:t>
      </w:r>
      <w:r w:rsidRPr="004B6A00">
        <w:rPr>
          <w:rFonts w:ascii="Cambria" w:hAnsi="Cambria"/>
          <w:color w:val="auto"/>
          <w:sz w:val="16"/>
          <w:szCs w:val="16"/>
          <w:lang w:val="pt-BR"/>
        </w:rPr>
        <w:t xml:space="preserve">Corte IDH, </w:t>
      </w:r>
      <w:r w:rsidRPr="004B6A00">
        <w:rPr>
          <w:rFonts w:ascii="Cambria" w:hAnsi="Cambria"/>
          <w:i/>
          <w:color w:val="auto"/>
          <w:sz w:val="16"/>
          <w:szCs w:val="16"/>
          <w:lang w:val="pt-BR"/>
        </w:rPr>
        <w:t xml:space="preserve">Caso Mémoli vs. Argentina. </w:t>
      </w:r>
      <w:r w:rsidRPr="0026787C">
        <w:rPr>
          <w:rFonts w:ascii="Cambria" w:hAnsi="Cambria"/>
          <w:color w:val="auto"/>
          <w:sz w:val="16"/>
          <w:szCs w:val="16"/>
          <w:lang w:val="es-ES"/>
        </w:rPr>
        <w:t xml:space="preserve">Excepciones Preliminares, </w:t>
      </w:r>
      <w:r w:rsidRPr="0026787C">
        <w:rPr>
          <w:rFonts w:ascii="Cambria" w:hAnsi="Cambria"/>
          <w:color w:val="auto"/>
          <w:sz w:val="16"/>
          <w:szCs w:val="16"/>
          <w:lang w:val="es-CO"/>
        </w:rPr>
        <w:t xml:space="preserve">Fondo, Reparaciones y Costas. Sentencia de 22 de agosto de 2013. </w:t>
      </w:r>
      <w:r w:rsidRPr="000A0546">
        <w:rPr>
          <w:rFonts w:asciiTheme="majorHAnsi" w:hAnsiTheme="majorHAnsi"/>
          <w:color w:val="auto"/>
          <w:sz w:val="16"/>
          <w:szCs w:val="16"/>
          <w:lang w:val="es-CO"/>
        </w:rPr>
        <w:t xml:space="preserve">Serie C No. 295, </w:t>
      </w:r>
      <w:r w:rsidRPr="000A0546">
        <w:rPr>
          <w:rFonts w:asciiTheme="majorHAnsi" w:hAnsiTheme="majorHAnsi"/>
          <w:color w:val="auto"/>
          <w:sz w:val="16"/>
          <w:szCs w:val="16"/>
          <w:lang w:val="es-AR"/>
        </w:rPr>
        <w:t>p</w:t>
      </w:r>
      <w:r w:rsidRPr="000A0546">
        <w:rPr>
          <w:rFonts w:asciiTheme="majorHAnsi" w:hAnsiTheme="majorHAnsi"/>
          <w:color w:val="auto"/>
          <w:sz w:val="16"/>
          <w:szCs w:val="16"/>
          <w:lang w:val="es-ES_tradnl"/>
        </w:rPr>
        <w:t>árr. 32.</w:t>
      </w:r>
    </w:p>
  </w:footnote>
  <w:footnote w:id="12">
    <w:p w14:paraId="490CF649" w14:textId="77777777" w:rsidR="00D052E4" w:rsidRPr="0026787C" w:rsidRDefault="00D052E4" w:rsidP="00D052E4">
      <w:pPr>
        <w:pStyle w:val="FootnoteText"/>
        <w:ind w:firstLine="720"/>
        <w:jc w:val="both"/>
        <w:rPr>
          <w:rFonts w:ascii="Cambria" w:hAnsi="Cambria"/>
          <w:sz w:val="16"/>
          <w:szCs w:val="16"/>
          <w:lang w:val="es-ES_tradnl"/>
        </w:rPr>
      </w:pPr>
      <w:r w:rsidRPr="0026787C">
        <w:rPr>
          <w:rStyle w:val="FootnoteReference"/>
          <w:rFonts w:ascii="Cambria" w:hAnsi="Cambria"/>
          <w:sz w:val="16"/>
          <w:szCs w:val="16"/>
        </w:rPr>
        <w:footnoteRef/>
      </w:r>
      <w:r w:rsidRPr="0026787C">
        <w:rPr>
          <w:rFonts w:ascii="Cambria" w:hAnsi="Cambria"/>
          <w:sz w:val="16"/>
          <w:szCs w:val="16"/>
          <w:lang w:val="es-ES_tradnl"/>
        </w:rPr>
        <w:t xml:space="preserve"> Corte IDH. Caso Cabrera García y Montiel Flores Vs. México. Excepción Preliminar, Fondo, Reparaciones y Costas. Sentencia de 26 de noviembre de 2010. Serie C No. 220, párr. 19.</w:t>
      </w:r>
    </w:p>
  </w:footnote>
  <w:footnote w:id="13">
    <w:p w14:paraId="1151304E" w14:textId="77777777" w:rsidR="00D052E4" w:rsidRPr="004A03D6" w:rsidRDefault="00D052E4" w:rsidP="00D052E4">
      <w:pPr>
        <w:pStyle w:val="FootnoteText"/>
        <w:ind w:firstLine="720"/>
        <w:jc w:val="both"/>
        <w:rPr>
          <w:rFonts w:ascii="Cambria" w:hAnsi="Cambria"/>
          <w:sz w:val="16"/>
          <w:szCs w:val="16"/>
          <w:lang w:val="es-ES_tradnl"/>
        </w:rPr>
      </w:pPr>
      <w:r w:rsidRPr="0026787C">
        <w:rPr>
          <w:rStyle w:val="FootnoteReference"/>
          <w:rFonts w:ascii="Cambria" w:hAnsi="Cambria"/>
          <w:sz w:val="16"/>
          <w:szCs w:val="16"/>
        </w:rPr>
        <w:footnoteRef/>
      </w:r>
      <w:r w:rsidRPr="0026787C">
        <w:rPr>
          <w:rFonts w:ascii="Cambria" w:hAnsi="Cambria"/>
          <w:sz w:val="16"/>
          <w:szCs w:val="16"/>
          <w:lang w:val="es-ES_tradnl"/>
        </w:rPr>
        <w:t xml:space="preserve"> Corte IDH. Caso Palma Mendoza y otros Vs. Ecuador. Excepción Preliminar y Fondo. Sentencia de 3 de septiembre de 2012. </w:t>
      </w:r>
      <w:r w:rsidRPr="0050589E">
        <w:rPr>
          <w:rFonts w:ascii="Cambria" w:hAnsi="Cambria"/>
          <w:sz w:val="16"/>
          <w:szCs w:val="16"/>
          <w:lang w:val="es-ES"/>
        </w:rPr>
        <w:t xml:space="preserve">Serie C No. 247, párr. 18; Corte IDH. Caso Rosadio Villavicencio Vs. </w:t>
      </w:r>
      <w:r w:rsidRPr="0026787C">
        <w:rPr>
          <w:rFonts w:ascii="Cambria" w:hAnsi="Cambria"/>
          <w:sz w:val="16"/>
          <w:szCs w:val="16"/>
          <w:lang w:val="es-ES_tradnl"/>
        </w:rPr>
        <w:t xml:space="preserve">Perú. Excepciones Preliminares, Fondo, Reparaciones y Costas. </w:t>
      </w:r>
      <w:r w:rsidRPr="0026787C">
        <w:rPr>
          <w:rFonts w:ascii="Cambria" w:hAnsi="Cambria"/>
          <w:sz w:val="16"/>
          <w:szCs w:val="16"/>
          <w:lang w:val="es-US"/>
        </w:rPr>
        <w:t xml:space="preserve">Sentencia de 14 de </w:t>
      </w:r>
      <w:r w:rsidRPr="004A03D6">
        <w:rPr>
          <w:rFonts w:ascii="Cambria" w:hAnsi="Cambria"/>
          <w:sz w:val="16"/>
          <w:szCs w:val="16"/>
          <w:lang w:val="es-US"/>
        </w:rPr>
        <w:t xml:space="preserve">octubre de 2019. Serie C No. 388., párr. 24; </w:t>
      </w:r>
      <w:r w:rsidRPr="004A03D6">
        <w:rPr>
          <w:rFonts w:ascii="Cambria" w:hAnsi="Cambria"/>
          <w:sz w:val="16"/>
          <w:szCs w:val="16"/>
          <w:lang w:val="es-ES_tradnl"/>
        </w:rPr>
        <w:t xml:space="preserve">Corte IDH. Caso Cabrera García y Montiel Flores Vs. México. Excepción Preliminar, Fondo, Reparaciones y Costas. </w:t>
      </w:r>
      <w:r w:rsidRPr="004A03D6">
        <w:rPr>
          <w:rFonts w:ascii="Cambria" w:hAnsi="Cambria"/>
          <w:sz w:val="16"/>
          <w:szCs w:val="16"/>
          <w:lang w:val="es-US"/>
        </w:rPr>
        <w:t>Sentencia de 26 de noviembre de 2010. Serie C No. 220, párr. 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00DB" w14:textId="77777777" w:rsidR="00B27DD8" w:rsidRDefault="00B27DD8" w:rsidP="002D58FA">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598FAFAB" w14:textId="77777777" w:rsidR="00B27DD8" w:rsidRDefault="00B27D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01BB" w14:textId="77777777" w:rsidR="00B27DD8" w:rsidRDefault="00B27DD8" w:rsidP="00A50FCF">
    <w:pPr>
      <w:pStyle w:val="Header"/>
      <w:tabs>
        <w:tab w:val="clear" w:pos="4320"/>
        <w:tab w:val="clear" w:pos="8640"/>
      </w:tabs>
      <w:jc w:val="center"/>
      <w:rPr>
        <w:sz w:val="22"/>
        <w:szCs w:val="22"/>
      </w:rPr>
    </w:pPr>
    <w:r>
      <w:rPr>
        <w:noProof/>
        <w:sz w:val="22"/>
        <w:szCs w:val="22"/>
        <w:lang w:val="es-AR" w:eastAsia="es-AR"/>
      </w:rPr>
      <w:drawing>
        <wp:inline distT="0" distB="0" distL="0" distR="0" wp14:anchorId="49B70CC6" wp14:editId="0E71EB96">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1CF3204D" w14:textId="77777777" w:rsidR="00B27DD8" w:rsidRPr="00EC7D62" w:rsidRDefault="00757CFB" w:rsidP="00A50FCF">
    <w:pPr>
      <w:pStyle w:val="Header"/>
      <w:tabs>
        <w:tab w:val="clear" w:pos="4320"/>
        <w:tab w:val="clear" w:pos="8640"/>
      </w:tabs>
      <w:jc w:val="center"/>
      <w:rPr>
        <w:sz w:val="22"/>
        <w:szCs w:val="22"/>
      </w:rPr>
    </w:pPr>
    <w:r>
      <w:rPr>
        <w:sz w:val="22"/>
        <w:szCs w:val="22"/>
      </w:rPr>
      <w:pict w14:anchorId="4367A34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6FE6E3C"/>
    <w:multiLevelType w:val="hybridMultilevel"/>
    <w:tmpl w:val="F468D9C4"/>
    <w:lvl w:ilvl="0" w:tplc="8E86168A">
      <w:start w:val="1"/>
      <w:numFmt w:val="decimal"/>
      <w:lvlText w:val="%1."/>
      <w:lvlJc w:val="left"/>
      <w:pPr>
        <w:ind w:left="720" w:hanging="360"/>
      </w:pPr>
      <w:rPr>
        <w:rFonts w:cs="Arial"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 w15:restartNumberingAfterBreak="0">
    <w:nsid w:val="0AAA482E"/>
    <w:multiLevelType w:val="hybridMultilevel"/>
    <w:tmpl w:val="1F7E973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0E1D2261"/>
    <w:multiLevelType w:val="hybridMultilevel"/>
    <w:tmpl w:val="FD8A3C32"/>
    <w:lvl w:ilvl="0" w:tplc="AEAC9CAE">
      <w:start w:val="1"/>
      <w:numFmt w:val="decimal"/>
      <w:lvlText w:val="%1."/>
      <w:lvlJc w:val="left"/>
      <w:pPr>
        <w:tabs>
          <w:tab w:val="num" w:pos="720"/>
        </w:tabs>
        <w:ind w:left="0" w:firstLine="720"/>
      </w:pPr>
      <w:rPr>
        <w:rFonts w:hint="default"/>
        <w:b w:val="0"/>
        <w:bCs/>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8"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10"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3"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5"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6"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2"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3"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28"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9"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0"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1"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37"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38"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0"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1"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2"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4"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6"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7"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48"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9"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1"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2"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3"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4"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5"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1972007181">
    <w:abstractNumId w:val="5"/>
  </w:num>
  <w:num w:numId="2" w16cid:durableId="755250289">
    <w:abstractNumId w:val="7"/>
  </w:num>
  <w:num w:numId="3" w16cid:durableId="1078211487">
    <w:abstractNumId w:val="52"/>
  </w:num>
  <w:num w:numId="4" w16cid:durableId="579102662">
    <w:abstractNumId w:val="22"/>
  </w:num>
  <w:num w:numId="5" w16cid:durableId="67121567">
    <w:abstractNumId w:val="46"/>
  </w:num>
  <w:num w:numId="6" w16cid:durableId="1646661812">
    <w:abstractNumId w:val="27"/>
  </w:num>
  <w:num w:numId="7" w16cid:durableId="730927982">
    <w:abstractNumId w:val="8"/>
  </w:num>
  <w:num w:numId="8" w16cid:durableId="351809135">
    <w:abstractNumId w:val="18"/>
  </w:num>
  <w:num w:numId="9" w16cid:durableId="477114342">
    <w:abstractNumId w:val="37"/>
  </w:num>
  <w:num w:numId="10" w16cid:durableId="1586919622">
    <w:abstractNumId w:val="41"/>
  </w:num>
  <w:num w:numId="11" w16cid:durableId="371543195">
    <w:abstractNumId w:val="0"/>
  </w:num>
  <w:num w:numId="12" w16cid:durableId="629626238">
    <w:abstractNumId w:val="36"/>
  </w:num>
  <w:num w:numId="13" w16cid:durableId="1604025017">
    <w:abstractNumId w:val="43"/>
  </w:num>
  <w:num w:numId="14" w16cid:durableId="999314875">
    <w:abstractNumId w:val="1"/>
  </w:num>
  <w:num w:numId="15" w16cid:durableId="1116633266">
    <w:abstractNumId w:val="3"/>
  </w:num>
  <w:num w:numId="16" w16cid:durableId="1245534303">
    <w:abstractNumId w:val="9"/>
  </w:num>
  <w:num w:numId="17" w16cid:durableId="22555270">
    <w:abstractNumId w:val="10"/>
  </w:num>
  <w:num w:numId="18" w16cid:durableId="1998610353">
    <w:abstractNumId w:val="11"/>
  </w:num>
  <w:num w:numId="19" w16cid:durableId="828331146">
    <w:abstractNumId w:val="12"/>
  </w:num>
  <w:num w:numId="20" w16cid:durableId="1753963365">
    <w:abstractNumId w:val="13"/>
  </w:num>
  <w:num w:numId="21" w16cid:durableId="585723984">
    <w:abstractNumId w:val="14"/>
  </w:num>
  <w:num w:numId="22" w16cid:durableId="1952858793">
    <w:abstractNumId w:val="15"/>
  </w:num>
  <w:num w:numId="23" w16cid:durableId="1445152783">
    <w:abstractNumId w:val="16"/>
  </w:num>
  <w:num w:numId="24" w16cid:durableId="2110008963">
    <w:abstractNumId w:val="17"/>
  </w:num>
  <w:num w:numId="25" w16cid:durableId="786774090">
    <w:abstractNumId w:val="19"/>
  </w:num>
  <w:num w:numId="26" w16cid:durableId="728580319">
    <w:abstractNumId w:val="20"/>
  </w:num>
  <w:num w:numId="27" w16cid:durableId="689798328">
    <w:abstractNumId w:val="23"/>
  </w:num>
  <w:num w:numId="28" w16cid:durableId="1879704245">
    <w:abstractNumId w:val="24"/>
  </w:num>
  <w:num w:numId="29" w16cid:durableId="1792363505">
    <w:abstractNumId w:val="25"/>
  </w:num>
  <w:num w:numId="30" w16cid:durableId="982585255">
    <w:abstractNumId w:val="26"/>
  </w:num>
  <w:num w:numId="31" w16cid:durableId="28653040">
    <w:abstractNumId w:val="28"/>
  </w:num>
  <w:num w:numId="32" w16cid:durableId="937299342">
    <w:abstractNumId w:val="29"/>
  </w:num>
  <w:num w:numId="33" w16cid:durableId="1445223576">
    <w:abstractNumId w:val="30"/>
  </w:num>
  <w:num w:numId="34" w16cid:durableId="913590726">
    <w:abstractNumId w:val="31"/>
  </w:num>
  <w:num w:numId="35" w16cid:durableId="1538854033">
    <w:abstractNumId w:val="32"/>
  </w:num>
  <w:num w:numId="36" w16cid:durableId="1064986888">
    <w:abstractNumId w:val="33"/>
  </w:num>
  <w:num w:numId="37" w16cid:durableId="1353068162">
    <w:abstractNumId w:val="34"/>
  </w:num>
  <w:num w:numId="38" w16cid:durableId="1228415424">
    <w:abstractNumId w:val="35"/>
  </w:num>
  <w:num w:numId="39" w16cid:durableId="1203060850">
    <w:abstractNumId w:val="38"/>
  </w:num>
  <w:num w:numId="40" w16cid:durableId="567149882">
    <w:abstractNumId w:val="39"/>
  </w:num>
  <w:num w:numId="41" w16cid:durableId="1012680924">
    <w:abstractNumId w:val="45"/>
  </w:num>
  <w:num w:numId="42" w16cid:durableId="83380896">
    <w:abstractNumId w:val="47"/>
  </w:num>
  <w:num w:numId="43" w16cid:durableId="1305623692">
    <w:abstractNumId w:val="48"/>
  </w:num>
  <w:num w:numId="44" w16cid:durableId="840394292">
    <w:abstractNumId w:val="50"/>
  </w:num>
  <w:num w:numId="45" w16cid:durableId="838081204">
    <w:abstractNumId w:val="51"/>
  </w:num>
  <w:num w:numId="46" w16cid:durableId="1268001215">
    <w:abstractNumId w:val="53"/>
  </w:num>
  <w:num w:numId="47" w16cid:durableId="1752779072">
    <w:abstractNumId w:val="54"/>
  </w:num>
  <w:num w:numId="48" w16cid:durableId="582958265">
    <w:abstractNumId w:val="55"/>
  </w:num>
  <w:num w:numId="49" w16cid:durableId="1273321744">
    <w:abstractNumId w:val="56"/>
  </w:num>
  <w:num w:numId="50" w16cid:durableId="1649284579">
    <w:abstractNumId w:val="57"/>
  </w:num>
  <w:num w:numId="51" w16cid:durableId="333604512">
    <w:abstractNumId w:val="21"/>
  </w:num>
  <w:num w:numId="52" w16cid:durableId="131752882">
    <w:abstractNumId w:val="40"/>
  </w:num>
  <w:num w:numId="53" w16cid:durableId="1796408829">
    <w:abstractNumId w:val="49"/>
  </w:num>
  <w:num w:numId="54" w16cid:durableId="1441411317">
    <w:abstractNumId w:val="44"/>
  </w:num>
  <w:num w:numId="55" w16cid:durableId="1237863027">
    <w:abstractNumId w:val="6"/>
  </w:num>
  <w:num w:numId="56" w16cid:durableId="1616979486">
    <w:abstractNumId w:val="42"/>
  </w:num>
  <w:num w:numId="57" w16cid:durableId="760301480">
    <w:abstractNumId w:val="4"/>
  </w:num>
  <w:num w:numId="58" w16cid:durableId="1604605409">
    <w:abstractNumId w:val="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32"/>
    <w:rsid w:val="0000036F"/>
    <w:rsid w:val="00000CDA"/>
    <w:rsid w:val="000017D4"/>
    <w:rsid w:val="000063CA"/>
    <w:rsid w:val="00006E1F"/>
    <w:rsid w:val="000070D7"/>
    <w:rsid w:val="0001788C"/>
    <w:rsid w:val="000337EF"/>
    <w:rsid w:val="0003441B"/>
    <w:rsid w:val="00040C3A"/>
    <w:rsid w:val="000419AD"/>
    <w:rsid w:val="000433C9"/>
    <w:rsid w:val="00047ED4"/>
    <w:rsid w:val="00051DC8"/>
    <w:rsid w:val="000716C5"/>
    <w:rsid w:val="0007527E"/>
    <w:rsid w:val="00075E23"/>
    <w:rsid w:val="00091B40"/>
    <w:rsid w:val="0009344A"/>
    <w:rsid w:val="000A0546"/>
    <w:rsid w:val="000A1974"/>
    <w:rsid w:val="000A392E"/>
    <w:rsid w:val="000A575F"/>
    <w:rsid w:val="000B0156"/>
    <w:rsid w:val="000B062C"/>
    <w:rsid w:val="000B1F9E"/>
    <w:rsid w:val="000D05CB"/>
    <w:rsid w:val="000D10DB"/>
    <w:rsid w:val="000D1434"/>
    <w:rsid w:val="000D563A"/>
    <w:rsid w:val="000E5EB5"/>
    <w:rsid w:val="000F35ED"/>
    <w:rsid w:val="000F6135"/>
    <w:rsid w:val="000F792A"/>
    <w:rsid w:val="00107131"/>
    <w:rsid w:val="0010736F"/>
    <w:rsid w:val="00113F73"/>
    <w:rsid w:val="00121CC2"/>
    <w:rsid w:val="00124754"/>
    <w:rsid w:val="00131425"/>
    <w:rsid w:val="00133EE5"/>
    <w:rsid w:val="001346DF"/>
    <w:rsid w:val="001362D4"/>
    <w:rsid w:val="00136C90"/>
    <w:rsid w:val="00146953"/>
    <w:rsid w:val="001549E9"/>
    <w:rsid w:val="00167A34"/>
    <w:rsid w:val="0017002A"/>
    <w:rsid w:val="001926EC"/>
    <w:rsid w:val="0019566B"/>
    <w:rsid w:val="00195C25"/>
    <w:rsid w:val="001A10ED"/>
    <w:rsid w:val="001A7870"/>
    <w:rsid w:val="001B18E0"/>
    <w:rsid w:val="001B3A00"/>
    <w:rsid w:val="001C1B41"/>
    <w:rsid w:val="001D243C"/>
    <w:rsid w:val="001D4169"/>
    <w:rsid w:val="001D65EF"/>
    <w:rsid w:val="001D7945"/>
    <w:rsid w:val="001E2C1C"/>
    <w:rsid w:val="001E49E7"/>
    <w:rsid w:val="001F5298"/>
    <w:rsid w:val="001F5D6B"/>
    <w:rsid w:val="001F64BF"/>
    <w:rsid w:val="001F7201"/>
    <w:rsid w:val="00203467"/>
    <w:rsid w:val="00223A29"/>
    <w:rsid w:val="002250A3"/>
    <w:rsid w:val="00226684"/>
    <w:rsid w:val="00235217"/>
    <w:rsid w:val="002469D2"/>
    <w:rsid w:val="00246D1F"/>
    <w:rsid w:val="00247403"/>
    <w:rsid w:val="00247542"/>
    <w:rsid w:val="0026020D"/>
    <w:rsid w:val="00266B61"/>
    <w:rsid w:val="0026712A"/>
    <w:rsid w:val="002704DB"/>
    <w:rsid w:val="00270C08"/>
    <w:rsid w:val="002762EE"/>
    <w:rsid w:val="002A0AAE"/>
    <w:rsid w:val="002A0B33"/>
    <w:rsid w:val="002A250D"/>
    <w:rsid w:val="002A5820"/>
    <w:rsid w:val="002B343A"/>
    <w:rsid w:val="002B3DDF"/>
    <w:rsid w:val="002B4B34"/>
    <w:rsid w:val="002D2B26"/>
    <w:rsid w:val="002D58FA"/>
    <w:rsid w:val="002D7EA2"/>
    <w:rsid w:val="002E187C"/>
    <w:rsid w:val="002E3593"/>
    <w:rsid w:val="002F7367"/>
    <w:rsid w:val="00302733"/>
    <w:rsid w:val="00314078"/>
    <w:rsid w:val="0031535D"/>
    <w:rsid w:val="003239B8"/>
    <w:rsid w:val="003266EE"/>
    <w:rsid w:val="0033169F"/>
    <w:rsid w:val="00344977"/>
    <w:rsid w:val="00346C95"/>
    <w:rsid w:val="00356185"/>
    <w:rsid w:val="00360380"/>
    <w:rsid w:val="00374CDF"/>
    <w:rsid w:val="0037519E"/>
    <w:rsid w:val="00386CF0"/>
    <w:rsid w:val="00394049"/>
    <w:rsid w:val="003A1B2C"/>
    <w:rsid w:val="003A5923"/>
    <w:rsid w:val="003A5E07"/>
    <w:rsid w:val="003B1B44"/>
    <w:rsid w:val="003B70FB"/>
    <w:rsid w:val="003C03EF"/>
    <w:rsid w:val="003C2239"/>
    <w:rsid w:val="003C51ED"/>
    <w:rsid w:val="003C676B"/>
    <w:rsid w:val="003D3BC2"/>
    <w:rsid w:val="003E5F91"/>
    <w:rsid w:val="003E6764"/>
    <w:rsid w:val="003E6CA1"/>
    <w:rsid w:val="00405F9C"/>
    <w:rsid w:val="004065A8"/>
    <w:rsid w:val="004165C2"/>
    <w:rsid w:val="00436B39"/>
    <w:rsid w:val="00441524"/>
    <w:rsid w:val="00441E0D"/>
    <w:rsid w:val="00441ECB"/>
    <w:rsid w:val="00443324"/>
    <w:rsid w:val="004442BC"/>
    <w:rsid w:val="00444F95"/>
    <w:rsid w:val="00445193"/>
    <w:rsid w:val="004511C8"/>
    <w:rsid w:val="0045224C"/>
    <w:rsid w:val="0045636E"/>
    <w:rsid w:val="00462C1B"/>
    <w:rsid w:val="004669DD"/>
    <w:rsid w:val="00467B7E"/>
    <w:rsid w:val="00472035"/>
    <w:rsid w:val="00473620"/>
    <w:rsid w:val="00473BB4"/>
    <w:rsid w:val="00477592"/>
    <w:rsid w:val="00486F1C"/>
    <w:rsid w:val="00492FB4"/>
    <w:rsid w:val="0049419D"/>
    <w:rsid w:val="004A6A54"/>
    <w:rsid w:val="004B6A00"/>
    <w:rsid w:val="004C09B2"/>
    <w:rsid w:val="004C20D2"/>
    <w:rsid w:val="004C2312"/>
    <w:rsid w:val="004C3B1F"/>
    <w:rsid w:val="004C4B62"/>
    <w:rsid w:val="004C54C9"/>
    <w:rsid w:val="004C6F31"/>
    <w:rsid w:val="004D4ABA"/>
    <w:rsid w:val="004D6025"/>
    <w:rsid w:val="004E2649"/>
    <w:rsid w:val="004E3844"/>
    <w:rsid w:val="004F626F"/>
    <w:rsid w:val="00501399"/>
    <w:rsid w:val="0050589E"/>
    <w:rsid w:val="0050633D"/>
    <w:rsid w:val="0050780F"/>
    <w:rsid w:val="00507BC4"/>
    <w:rsid w:val="005128E4"/>
    <w:rsid w:val="005133DB"/>
    <w:rsid w:val="00514504"/>
    <w:rsid w:val="00520ADE"/>
    <w:rsid w:val="00524A77"/>
    <w:rsid w:val="0052527A"/>
    <w:rsid w:val="00525560"/>
    <w:rsid w:val="00534A7C"/>
    <w:rsid w:val="00536CA4"/>
    <w:rsid w:val="00544C49"/>
    <w:rsid w:val="005516A1"/>
    <w:rsid w:val="005559EF"/>
    <w:rsid w:val="005564B7"/>
    <w:rsid w:val="00561EFB"/>
    <w:rsid w:val="00562952"/>
    <w:rsid w:val="00563557"/>
    <w:rsid w:val="00565560"/>
    <w:rsid w:val="00572AD8"/>
    <w:rsid w:val="0057402A"/>
    <w:rsid w:val="005748BE"/>
    <w:rsid w:val="005771D0"/>
    <w:rsid w:val="0059191A"/>
    <w:rsid w:val="005921FF"/>
    <w:rsid w:val="005A24ED"/>
    <w:rsid w:val="005A254F"/>
    <w:rsid w:val="005A6D0E"/>
    <w:rsid w:val="005B52B0"/>
    <w:rsid w:val="005B6806"/>
    <w:rsid w:val="005C4225"/>
    <w:rsid w:val="005D38F9"/>
    <w:rsid w:val="005F0DAD"/>
    <w:rsid w:val="005F0F33"/>
    <w:rsid w:val="005F66E5"/>
    <w:rsid w:val="00600DEB"/>
    <w:rsid w:val="00603B6A"/>
    <w:rsid w:val="006150AD"/>
    <w:rsid w:val="00616E17"/>
    <w:rsid w:val="00627C9F"/>
    <w:rsid w:val="00630AE5"/>
    <w:rsid w:val="006311E9"/>
    <w:rsid w:val="00632354"/>
    <w:rsid w:val="00634E32"/>
    <w:rsid w:val="00635421"/>
    <w:rsid w:val="00642810"/>
    <w:rsid w:val="00644213"/>
    <w:rsid w:val="006522FA"/>
    <w:rsid w:val="00652333"/>
    <w:rsid w:val="0067328D"/>
    <w:rsid w:val="006754D2"/>
    <w:rsid w:val="0068009E"/>
    <w:rsid w:val="00685EAE"/>
    <w:rsid w:val="00692219"/>
    <w:rsid w:val="00692CF2"/>
    <w:rsid w:val="006A05B8"/>
    <w:rsid w:val="006A17D2"/>
    <w:rsid w:val="006A73E6"/>
    <w:rsid w:val="006B0E30"/>
    <w:rsid w:val="006B0FA1"/>
    <w:rsid w:val="006B2D5C"/>
    <w:rsid w:val="006C4EB1"/>
    <w:rsid w:val="006D3A4A"/>
    <w:rsid w:val="006D4B25"/>
    <w:rsid w:val="006D5B19"/>
    <w:rsid w:val="006E0166"/>
    <w:rsid w:val="006E2671"/>
    <w:rsid w:val="006E2FFB"/>
    <w:rsid w:val="006E7B34"/>
    <w:rsid w:val="0070697F"/>
    <w:rsid w:val="0072199C"/>
    <w:rsid w:val="00722C9F"/>
    <w:rsid w:val="007253B8"/>
    <w:rsid w:val="0073741F"/>
    <w:rsid w:val="0074608A"/>
    <w:rsid w:val="007537A7"/>
    <w:rsid w:val="00753EB5"/>
    <w:rsid w:val="00757CFB"/>
    <w:rsid w:val="0076643F"/>
    <w:rsid w:val="00777F63"/>
    <w:rsid w:val="007A5817"/>
    <w:rsid w:val="007B05C4"/>
    <w:rsid w:val="007B1F41"/>
    <w:rsid w:val="007B3827"/>
    <w:rsid w:val="007B3A03"/>
    <w:rsid w:val="007B4175"/>
    <w:rsid w:val="007B60E9"/>
    <w:rsid w:val="007B6CC3"/>
    <w:rsid w:val="007B712C"/>
    <w:rsid w:val="007B76D3"/>
    <w:rsid w:val="007C0974"/>
    <w:rsid w:val="007C2864"/>
    <w:rsid w:val="007C3334"/>
    <w:rsid w:val="007C7E8C"/>
    <w:rsid w:val="007D2B98"/>
    <w:rsid w:val="007E21BC"/>
    <w:rsid w:val="007E7C82"/>
    <w:rsid w:val="007F2AA1"/>
    <w:rsid w:val="007F588D"/>
    <w:rsid w:val="00801B31"/>
    <w:rsid w:val="00803F1C"/>
    <w:rsid w:val="0080600E"/>
    <w:rsid w:val="00814688"/>
    <w:rsid w:val="00814C79"/>
    <w:rsid w:val="00814CB6"/>
    <w:rsid w:val="00817612"/>
    <w:rsid w:val="0083100C"/>
    <w:rsid w:val="008338A4"/>
    <w:rsid w:val="00834D49"/>
    <w:rsid w:val="00837C45"/>
    <w:rsid w:val="00840F50"/>
    <w:rsid w:val="00844730"/>
    <w:rsid w:val="00844E3A"/>
    <w:rsid w:val="008457C2"/>
    <w:rsid w:val="00857A82"/>
    <w:rsid w:val="008661E3"/>
    <w:rsid w:val="00867314"/>
    <w:rsid w:val="008677E0"/>
    <w:rsid w:val="00873836"/>
    <w:rsid w:val="00885737"/>
    <w:rsid w:val="00887EAD"/>
    <w:rsid w:val="00890650"/>
    <w:rsid w:val="00897E12"/>
    <w:rsid w:val="008A7E0F"/>
    <w:rsid w:val="008B12F5"/>
    <w:rsid w:val="008B681D"/>
    <w:rsid w:val="008C5E2D"/>
    <w:rsid w:val="008C7C57"/>
    <w:rsid w:val="008D768D"/>
    <w:rsid w:val="008E3759"/>
    <w:rsid w:val="008E3BFE"/>
    <w:rsid w:val="008F1912"/>
    <w:rsid w:val="0090270B"/>
    <w:rsid w:val="009041DC"/>
    <w:rsid w:val="00907832"/>
    <w:rsid w:val="00914A3B"/>
    <w:rsid w:val="00917B01"/>
    <w:rsid w:val="00917B5A"/>
    <w:rsid w:val="00920A58"/>
    <w:rsid w:val="00920A8C"/>
    <w:rsid w:val="00934A2C"/>
    <w:rsid w:val="009413F5"/>
    <w:rsid w:val="009475DC"/>
    <w:rsid w:val="00955CCE"/>
    <w:rsid w:val="0096706E"/>
    <w:rsid w:val="00974491"/>
    <w:rsid w:val="00975C4E"/>
    <w:rsid w:val="00981FBA"/>
    <w:rsid w:val="00997BC5"/>
    <w:rsid w:val="009A4F41"/>
    <w:rsid w:val="009A780D"/>
    <w:rsid w:val="009B381B"/>
    <w:rsid w:val="009B5AD9"/>
    <w:rsid w:val="009C612C"/>
    <w:rsid w:val="009D1753"/>
    <w:rsid w:val="009D1DAE"/>
    <w:rsid w:val="009D6B67"/>
    <w:rsid w:val="009D7611"/>
    <w:rsid w:val="009E0B61"/>
    <w:rsid w:val="009E53DE"/>
    <w:rsid w:val="009F3542"/>
    <w:rsid w:val="00A11212"/>
    <w:rsid w:val="00A11E44"/>
    <w:rsid w:val="00A23170"/>
    <w:rsid w:val="00A23907"/>
    <w:rsid w:val="00A27F75"/>
    <w:rsid w:val="00A30100"/>
    <w:rsid w:val="00A328B3"/>
    <w:rsid w:val="00A45D0C"/>
    <w:rsid w:val="00A50FCF"/>
    <w:rsid w:val="00A528D1"/>
    <w:rsid w:val="00A610CD"/>
    <w:rsid w:val="00A709A9"/>
    <w:rsid w:val="00A726E7"/>
    <w:rsid w:val="00A758AA"/>
    <w:rsid w:val="00A85728"/>
    <w:rsid w:val="00AA09A2"/>
    <w:rsid w:val="00AA52AC"/>
    <w:rsid w:val="00AA7996"/>
    <w:rsid w:val="00AA7C99"/>
    <w:rsid w:val="00AB1F95"/>
    <w:rsid w:val="00AC19CB"/>
    <w:rsid w:val="00AC1C27"/>
    <w:rsid w:val="00AE5488"/>
    <w:rsid w:val="00AE6901"/>
    <w:rsid w:val="00AE6F91"/>
    <w:rsid w:val="00AF4ECA"/>
    <w:rsid w:val="00AF5571"/>
    <w:rsid w:val="00AF5601"/>
    <w:rsid w:val="00B07341"/>
    <w:rsid w:val="00B11747"/>
    <w:rsid w:val="00B25F3F"/>
    <w:rsid w:val="00B27DD8"/>
    <w:rsid w:val="00B30539"/>
    <w:rsid w:val="00B30E46"/>
    <w:rsid w:val="00B314DB"/>
    <w:rsid w:val="00B361F2"/>
    <w:rsid w:val="00B3718B"/>
    <w:rsid w:val="00B3745F"/>
    <w:rsid w:val="00B46265"/>
    <w:rsid w:val="00B4632A"/>
    <w:rsid w:val="00B521B5"/>
    <w:rsid w:val="00B530F1"/>
    <w:rsid w:val="00B652BF"/>
    <w:rsid w:val="00B7274D"/>
    <w:rsid w:val="00B77C4B"/>
    <w:rsid w:val="00B95335"/>
    <w:rsid w:val="00BA276C"/>
    <w:rsid w:val="00BB306F"/>
    <w:rsid w:val="00BC268B"/>
    <w:rsid w:val="00BD0D53"/>
    <w:rsid w:val="00BD4B89"/>
    <w:rsid w:val="00BD5922"/>
    <w:rsid w:val="00BE2007"/>
    <w:rsid w:val="00BF02CB"/>
    <w:rsid w:val="00BF195A"/>
    <w:rsid w:val="00BF26A6"/>
    <w:rsid w:val="00BF6FD8"/>
    <w:rsid w:val="00C03680"/>
    <w:rsid w:val="00C054DF"/>
    <w:rsid w:val="00C149A7"/>
    <w:rsid w:val="00C17E65"/>
    <w:rsid w:val="00C21762"/>
    <w:rsid w:val="00C21FEF"/>
    <w:rsid w:val="00C23BA4"/>
    <w:rsid w:val="00C24543"/>
    <w:rsid w:val="00C256A2"/>
    <w:rsid w:val="00C25ADB"/>
    <w:rsid w:val="00C51515"/>
    <w:rsid w:val="00C563DF"/>
    <w:rsid w:val="00C5660B"/>
    <w:rsid w:val="00C61DA7"/>
    <w:rsid w:val="00C66B72"/>
    <w:rsid w:val="00C741C1"/>
    <w:rsid w:val="00C82F66"/>
    <w:rsid w:val="00C87AC4"/>
    <w:rsid w:val="00C9567A"/>
    <w:rsid w:val="00CB212D"/>
    <w:rsid w:val="00CB2660"/>
    <w:rsid w:val="00CC3B60"/>
    <w:rsid w:val="00CC442D"/>
    <w:rsid w:val="00CC5E90"/>
    <w:rsid w:val="00CD046C"/>
    <w:rsid w:val="00CE076C"/>
    <w:rsid w:val="00CE13B3"/>
    <w:rsid w:val="00CE5199"/>
    <w:rsid w:val="00CE66D5"/>
    <w:rsid w:val="00CF637A"/>
    <w:rsid w:val="00CF7280"/>
    <w:rsid w:val="00D001FB"/>
    <w:rsid w:val="00D052E4"/>
    <w:rsid w:val="00D059DE"/>
    <w:rsid w:val="00D05ABD"/>
    <w:rsid w:val="00D122C4"/>
    <w:rsid w:val="00D13530"/>
    <w:rsid w:val="00D13FCE"/>
    <w:rsid w:val="00D158BC"/>
    <w:rsid w:val="00D306D1"/>
    <w:rsid w:val="00D30800"/>
    <w:rsid w:val="00D34786"/>
    <w:rsid w:val="00D37BFC"/>
    <w:rsid w:val="00D402EB"/>
    <w:rsid w:val="00D40E2A"/>
    <w:rsid w:val="00D47A8E"/>
    <w:rsid w:val="00D52D14"/>
    <w:rsid w:val="00D712D3"/>
    <w:rsid w:val="00D713BD"/>
    <w:rsid w:val="00D71422"/>
    <w:rsid w:val="00D72DC6"/>
    <w:rsid w:val="00D74C0A"/>
    <w:rsid w:val="00D7558D"/>
    <w:rsid w:val="00D75707"/>
    <w:rsid w:val="00D81D92"/>
    <w:rsid w:val="00D839AA"/>
    <w:rsid w:val="00D876F9"/>
    <w:rsid w:val="00DA7B5F"/>
    <w:rsid w:val="00DC11E7"/>
    <w:rsid w:val="00DC24E3"/>
    <w:rsid w:val="00DC7023"/>
    <w:rsid w:val="00DC769A"/>
    <w:rsid w:val="00DD3D86"/>
    <w:rsid w:val="00DD4AD2"/>
    <w:rsid w:val="00DD566F"/>
    <w:rsid w:val="00DE4F76"/>
    <w:rsid w:val="00DF1182"/>
    <w:rsid w:val="00DF1EC4"/>
    <w:rsid w:val="00DF7D7D"/>
    <w:rsid w:val="00E02641"/>
    <w:rsid w:val="00E0340B"/>
    <w:rsid w:val="00E04A90"/>
    <w:rsid w:val="00E0551F"/>
    <w:rsid w:val="00E109CB"/>
    <w:rsid w:val="00E170B7"/>
    <w:rsid w:val="00E219C7"/>
    <w:rsid w:val="00E4118C"/>
    <w:rsid w:val="00E43157"/>
    <w:rsid w:val="00E461CE"/>
    <w:rsid w:val="00E54D28"/>
    <w:rsid w:val="00E573E4"/>
    <w:rsid w:val="00E64C3D"/>
    <w:rsid w:val="00E67C67"/>
    <w:rsid w:val="00E720CA"/>
    <w:rsid w:val="00E82DDC"/>
    <w:rsid w:val="00E84EB5"/>
    <w:rsid w:val="00E85662"/>
    <w:rsid w:val="00E8789F"/>
    <w:rsid w:val="00E93DA2"/>
    <w:rsid w:val="00E95CDD"/>
    <w:rsid w:val="00E97B71"/>
    <w:rsid w:val="00EA1E6B"/>
    <w:rsid w:val="00EA3D34"/>
    <w:rsid w:val="00EA5F0B"/>
    <w:rsid w:val="00EB197F"/>
    <w:rsid w:val="00EB445C"/>
    <w:rsid w:val="00EB454D"/>
    <w:rsid w:val="00ED549D"/>
    <w:rsid w:val="00ED6427"/>
    <w:rsid w:val="00ED76BE"/>
    <w:rsid w:val="00EE00E9"/>
    <w:rsid w:val="00EE6EE9"/>
    <w:rsid w:val="00EF049D"/>
    <w:rsid w:val="00EF1AAA"/>
    <w:rsid w:val="00EF4341"/>
    <w:rsid w:val="00EF619B"/>
    <w:rsid w:val="00EF76F5"/>
    <w:rsid w:val="00F00B55"/>
    <w:rsid w:val="00F02AD1"/>
    <w:rsid w:val="00F253CC"/>
    <w:rsid w:val="00F37106"/>
    <w:rsid w:val="00F44E25"/>
    <w:rsid w:val="00F47A14"/>
    <w:rsid w:val="00F519CF"/>
    <w:rsid w:val="00F51C57"/>
    <w:rsid w:val="00F56BA5"/>
    <w:rsid w:val="00F60E22"/>
    <w:rsid w:val="00F81395"/>
    <w:rsid w:val="00F816C2"/>
    <w:rsid w:val="00F81BB8"/>
    <w:rsid w:val="00F83CDB"/>
    <w:rsid w:val="00F90C64"/>
    <w:rsid w:val="00F917D1"/>
    <w:rsid w:val="00F9653B"/>
    <w:rsid w:val="00FA2AF0"/>
    <w:rsid w:val="00FB4936"/>
    <w:rsid w:val="00FB62CF"/>
    <w:rsid w:val="00FC4336"/>
    <w:rsid w:val="00FD0185"/>
    <w:rsid w:val="00FD3C3B"/>
    <w:rsid w:val="00FD4895"/>
    <w:rsid w:val="00FD4912"/>
    <w:rsid w:val="00FE019D"/>
    <w:rsid w:val="00FE07DD"/>
    <w:rsid w:val="00FE57B7"/>
    <w:rsid w:val="00FE6B45"/>
    <w:rsid w:val="00FF55F3"/>
    <w:rsid w:val="00FF5851"/>
    <w:rsid w:val="00FF7B79"/>
    <w:rsid w:val="1E59277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CE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Párrafo de lista1,List Paragraph1,Colorful List - Accent 11,List Paragraph11,List Paragraph2,Lista vistosa - Énfasis 11,Parragrap,Superíndice,Dot pt,No Spacing1,List Paragraph Char Char Char,Indicator Text,Numbered Para 1,Figuras,DH1"/>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1"/>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0">
    <w:name w:val="List 210"/>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0"/>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2"/>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0"/>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9"/>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0">
    <w:name w:val="List 510"/>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10"/>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Char2"/>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rsid w:val="00D75707"/>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character" w:customStyle="1" w:styleId="ListParagraphChar">
    <w:name w:val="List Paragraph Char"/>
    <w:aliases w:val="Párrafo de lista1 Char,List Paragraph1 Char,Colorful List - Accent 11 Char,List Paragraph11 Char,List Paragraph2 Char,Lista vistosa - Énfasis 11 Char,Parragrap Char,Superíndice Char,Dot pt Char,No Spacing1 Char,Indicator Text Char"/>
    <w:link w:val="ListParagraph"/>
    <w:uiPriority w:val="34"/>
    <w:locked/>
    <w:rsid w:val="002A250D"/>
    <w:rPr>
      <w:rFonts w:ascii="Cambria" w:eastAsia="Cambria" w:hAnsi="Cambria" w:cs="Cambria"/>
      <w:color w:val="000000"/>
      <w:sz w:val="24"/>
      <w:szCs w:val="24"/>
      <w:u w:color="000000"/>
      <w:lang w:val="en-US"/>
    </w:rPr>
  </w:style>
  <w:style w:type="character" w:styleId="CommentReference">
    <w:name w:val="annotation reference"/>
    <w:basedOn w:val="DefaultParagraphFont"/>
    <w:uiPriority w:val="99"/>
    <w:semiHidden/>
    <w:unhideWhenUsed/>
    <w:rsid w:val="00FC4336"/>
    <w:rPr>
      <w:sz w:val="16"/>
      <w:szCs w:val="16"/>
    </w:rPr>
  </w:style>
  <w:style w:type="paragraph" w:styleId="CommentText">
    <w:name w:val="annotation text"/>
    <w:basedOn w:val="Normal"/>
    <w:link w:val="CommentTextChar"/>
    <w:uiPriority w:val="99"/>
    <w:unhideWhenUsed/>
    <w:rsid w:val="00FC4336"/>
    <w:rPr>
      <w:sz w:val="20"/>
      <w:szCs w:val="20"/>
    </w:rPr>
  </w:style>
  <w:style w:type="character" w:customStyle="1" w:styleId="CommentTextChar">
    <w:name w:val="Comment Text Char"/>
    <w:basedOn w:val="DefaultParagraphFont"/>
    <w:link w:val="CommentText"/>
    <w:uiPriority w:val="99"/>
    <w:rsid w:val="00FC4336"/>
    <w:rPr>
      <w:lang w:val="en-US" w:eastAsia="en-US"/>
    </w:rPr>
  </w:style>
  <w:style w:type="paragraph" w:styleId="CommentSubject">
    <w:name w:val="annotation subject"/>
    <w:basedOn w:val="CommentText"/>
    <w:next w:val="CommentText"/>
    <w:link w:val="CommentSubjectChar"/>
    <w:uiPriority w:val="99"/>
    <w:semiHidden/>
    <w:unhideWhenUsed/>
    <w:rsid w:val="00FC4336"/>
    <w:rPr>
      <w:b/>
      <w:bCs/>
    </w:rPr>
  </w:style>
  <w:style w:type="character" w:customStyle="1" w:styleId="CommentSubjectChar">
    <w:name w:val="Comment Subject Char"/>
    <w:basedOn w:val="CommentTextChar"/>
    <w:link w:val="CommentSubject"/>
    <w:uiPriority w:val="99"/>
    <w:semiHidden/>
    <w:rsid w:val="00FC4336"/>
    <w:rPr>
      <w:b/>
      <w:bCs/>
      <w:lang w:val="en-US" w:eastAsia="en-US"/>
    </w:rPr>
  </w:style>
  <w:style w:type="paragraph" w:customStyle="1" w:styleId="paragraph">
    <w:name w:val="paragraph"/>
    <w:basedOn w:val="Normal"/>
    <w:rsid w:val="0017002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17002A"/>
  </w:style>
  <w:style w:type="character" w:customStyle="1" w:styleId="eop">
    <w:name w:val="eop"/>
    <w:basedOn w:val="DefaultParagraphFont"/>
    <w:rsid w:val="00170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136030"/>
    <w:rsid w:val="001B68CE"/>
    <w:rsid w:val="00200821"/>
    <w:rsid w:val="00201CE6"/>
    <w:rsid w:val="00203467"/>
    <w:rsid w:val="0025245B"/>
    <w:rsid w:val="002A3923"/>
    <w:rsid w:val="002C2242"/>
    <w:rsid w:val="00375D39"/>
    <w:rsid w:val="00394049"/>
    <w:rsid w:val="003E4EFC"/>
    <w:rsid w:val="004470C1"/>
    <w:rsid w:val="004B5BBB"/>
    <w:rsid w:val="004C7E28"/>
    <w:rsid w:val="004F2DF8"/>
    <w:rsid w:val="00546015"/>
    <w:rsid w:val="00663AC9"/>
    <w:rsid w:val="00685EAE"/>
    <w:rsid w:val="00692CF2"/>
    <w:rsid w:val="006A569A"/>
    <w:rsid w:val="006F24A1"/>
    <w:rsid w:val="00787C63"/>
    <w:rsid w:val="007B712C"/>
    <w:rsid w:val="00896EF7"/>
    <w:rsid w:val="009A261B"/>
    <w:rsid w:val="009C3CB6"/>
    <w:rsid w:val="00A23170"/>
    <w:rsid w:val="00A4418E"/>
    <w:rsid w:val="00AA2E17"/>
    <w:rsid w:val="00AC15A4"/>
    <w:rsid w:val="00B0336C"/>
    <w:rsid w:val="00B0765D"/>
    <w:rsid w:val="00B30277"/>
    <w:rsid w:val="00B77C4B"/>
    <w:rsid w:val="00D241E9"/>
    <w:rsid w:val="00D74C0A"/>
    <w:rsid w:val="00D7750D"/>
    <w:rsid w:val="00E918C6"/>
    <w:rsid w:val="00ED1B21"/>
    <w:rsid w:val="00F00D2F"/>
    <w:rsid w:val="00F11965"/>
    <w:rsid w:val="00F128DF"/>
    <w:rsid w:val="00F769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d548b3393e6e8f61860a01d9f6e8665c">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c1745f32f07ce2f1fa0afb8f89743d07"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956820-434A-4458-8864-D7CE2C4B406F}">
  <ds:schemaRefs>
    <ds:schemaRef ds:uri="http://schemas.openxmlformats.org/officeDocument/2006/bibliography"/>
  </ds:schemaRefs>
</ds:datastoreItem>
</file>

<file path=customXml/itemProps2.xml><?xml version="1.0" encoding="utf-8"?>
<ds:datastoreItem xmlns:ds="http://schemas.openxmlformats.org/officeDocument/2006/customXml" ds:itemID="{16067750-A16C-4F37-B6D1-25D8AABDD9D5}">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60945B4C-8162-43FB-990B-B573A881E1DB}">
  <ds:schemaRefs>
    <ds:schemaRef ds:uri="http://schemas.microsoft.com/sharepoint/v3/contenttype/forms"/>
  </ds:schemaRefs>
</ds:datastoreItem>
</file>

<file path=customXml/itemProps4.xml><?xml version="1.0" encoding="utf-8"?>
<ds:datastoreItem xmlns:ds="http://schemas.openxmlformats.org/officeDocument/2006/customXml" ds:itemID="{D2A95403-CFB1-4A5D-BC06-609AE7205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3178</Words>
  <Characters>18117</Characters>
  <Application>Microsoft Office Word</Application>
  <DocSecurity>0</DocSecurity>
  <Lines>150</Lines>
  <Paragraphs>42</Paragraphs>
  <ScaleCrop>false</ScaleCrop>
  <Company/>
  <LinksUpToDate>false</LinksUpToDate>
  <CharactersWithSpaces>21253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2026-01-29T14:10:00Z</dcterms:created>
  <dcterms:modified xsi:type="dcterms:W3CDTF">2026-01-29T14:10:00Z</dcterms:modified>
</cp:coreProperties>
</file>