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F958A1" w:rsidRDefault="00D306D1" w:rsidP="00627C9F">
      <w:pPr>
        <w:jc w:val="both"/>
        <w:rPr>
          <w:rFonts w:asciiTheme="majorHAnsi" w:hAnsiTheme="majorHAnsi" w:cs="Univers"/>
          <w:b/>
          <w:bCs/>
          <w:sz w:val="22"/>
          <w:szCs w:val="22"/>
          <w:lang w:val="es-ES_tradnl"/>
        </w:rPr>
      </w:pPr>
      <w:r w:rsidRPr="00F958A1">
        <w:rPr>
          <w:rFonts w:asciiTheme="majorHAnsi" w:hAnsiTheme="majorHAnsi"/>
          <w:noProof/>
          <w:sz w:val="22"/>
          <w:szCs w:val="22"/>
          <w:lang w:val="es-419" w:eastAsia="es-419"/>
        </w:rPr>
        <mc:AlternateContent>
          <mc:Choice Requires="wps">
            <w:drawing>
              <wp:anchor distT="0" distB="0" distL="114300" distR="114300" simplePos="0" relativeHeight="251658240" behindDoc="0" locked="0" layoutInCell="1" allowOverlap="1" wp14:anchorId="179A3F0F" wp14:editId="7572833A">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F4C03"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F958A1">
        <w:rPr>
          <w:rFonts w:asciiTheme="majorHAnsi" w:hAnsiTheme="majorHAnsi"/>
          <w:noProof/>
          <w:sz w:val="22"/>
          <w:szCs w:val="22"/>
          <w:lang w:val="es-419"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F958A1"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F958A1"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F958A1"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F958A1"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F958A1"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F958A1"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F958A1"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F958A1"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F958A1"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F958A1"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F958A1"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F958A1"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F958A1" w:rsidRDefault="003D3BC2" w:rsidP="00040C3A">
      <w:pPr>
        <w:tabs>
          <w:tab w:val="center" w:pos="5400"/>
        </w:tabs>
        <w:suppressAutoHyphens/>
        <w:jc w:val="center"/>
        <w:rPr>
          <w:rFonts w:asciiTheme="majorHAnsi" w:hAnsiTheme="majorHAnsi"/>
          <w:sz w:val="22"/>
          <w:szCs w:val="22"/>
          <w:lang w:val="es-ES_tradnl"/>
        </w:rPr>
      </w:pPr>
      <w:r w:rsidRPr="00F958A1">
        <w:rPr>
          <w:rFonts w:asciiTheme="majorHAnsi" w:hAnsiTheme="majorHAnsi"/>
          <w:noProof/>
          <w:sz w:val="22"/>
          <w:szCs w:val="22"/>
          <w:lang w:val="es-419"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4AE60CBE"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940060">
                              <w:rPr>
                                <w:rFonts w:asciiTheme="majorHAnsi" w:hAnsiTheme="majorHAnsi" w:cs="Arial"/>
                                <w:b/>
                                <w:bCs/>
                                <w:color w:val="0D0D0D" w:themeColor="text1" w:themeTint="F2"/>
                                <w:sz w:val="36"/>
                                <w:szCs w:val="22"/>
                                <w:lang w:val="es-ES_tradnl"/>
                              </w:rPr>
                              <w:t>129</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3875BFA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32040B">
                              <w:rPr>
                                <w:rFonts w:asciiTheme="majorHAnsi" w:hAnsiTheme="majorHAnsi" w:cs="Arial"/>
                                <w:b/>
                                <w:color w:val="0D0D0D" w:themeColor="text1" w:themeTint="F2"/>
                                <w:sz w:val="36"/>
                                <w:szCs w:val="22"/>
                                <w:lang w:val="es-ES_tradnl"/>
                              </w:rPr>
                              <w:t>783-1</w:t>
                            </w:r>
                            <w:r w:rsidR="000D3E32">
                              <w:rPr>
                                <w:rFonts w:asciiTheme="majorHAnsi" w:hAnsiTheme="majorHAnsi" w:cs="Arial"/>
                                <w:b/>
                                <w:color w:val="0D0D0D" w:themeColor="text1" w:themeTint="F2"/>
                                <w:sz w:val="36"/>
                                <w:szCs w:val="22"/>
                                <w:lang w:val="es-ES_tradnl"/>
                              </w:rPr>
                              <w:t>3</w:t>
                            </w:r>
                          </w:p>
                          <w:p w14:paraId="70CF6833" w14:textId="1DE7020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Pr="00E14A18">
                              <w:rPr>
                                <w:rFonts w:asciiTheme="majorHAnsi" w:hAnsiTheme="majorHAnsi" w:cs="Arial"/>
                                <w:color w:val="0D0D0D" w:themeColor="text1" w:themeTint="F2"/>
                                <w:szCs w:val="22"/>
                                <w:lang w:val="es-ES_tradnl"/>
                              </w:rPr>
                              <w:t>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25445A0D" w:rsidR="00EB197F" w:rsidRPr="0032040B" w:rsidRDefault="0032040B" w:rsidP="00997BC5">
                            <w:pPr>
                              <w:spacing w:line="276" w:lineRule="auto"/>
                              <w:rPr>
                                <w:rFonts w:asciiTheme="majorHAnsi" w:hAnsiTheme="majorHAnsi" w:cs="Arial"/>
                                <w:color w:val="0D0D0D" w:themeColor="text1" w:themeTint="F2"/>
                                <w:szCs w:val="22"/>
                                <w:lang w:val="es-ES_tradnl"/>
                              </w:rPr>
                            </w:pPr>
                            <w:r w:rsidRPr="0032040B">
                              <w:rPr>
                                <w:rFonts w:asciiTheme="majorHAnsi" w:hAnsiTheme="majorHAnsi" w:cs="Arial"/>
                                <w:color w:val="0D0D0D" w:themeColor="text1" w:themeTint="F2"/>
                                <w:szCs w:val="22"/>
                                <w:lang w:val="es-ES_tradnl"/>
                              </w:rPr>
                              <w:t>ADRIÁN</w:t>
                            </w:r>
                            <w:r>
                              <w:rPr>
                                <w:rFonts w:asciiTheme="majorHAnsi" w:hAnsiTheme="majorHAnsi" w:cs="Arial"/>
                                <w:color w:val="0D0D0D" w:themeColor="text1" w:themeTint="F2"/>
                                <w:szCs w:val="22"/>
                                <w:lang w:val="es-ES_tradnl"/>
                              </w:rPr>
                              <w:t xml:space="preserve"> ESTEBAN BUSTOS</w:t>
                            </w:r>
                          </w:p>
                          <w:p w14:paraId="575DFD52" w14:textId="0EB99861" w:rsidR="005B52B0" w:rsidRPr="00EB197F" w:rsidRDefault="0032040B" w:rsidP="007A5817">
                            <w:pPr>
                              <w:rPr>
                                <w:color w:val="0D0D0D" w:themeColor="text1" w:themeTint="F2"/>
                                <w:lang w:val="es-PE"/>
                              </w:rPr>
                            </w:pPr>
                            <w:r>
                              <w:rPr>
                                <w:rFonts w:asciiTheme="majorHAnsi" w:hAnsiTheme="majorHAnsi" w:cs="Arial"/>
                                <w:color w:val="0D0D0D" w:themeColor="text1" w:themeTint="F2"/>
                                <w:szCs w:val="22"/>
                                <w:lang w:val="es-P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4AE60CBE"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940060">
                        <w:rPr>
                          <w:rFonts w:asciiTheme="majorHAnsi" w:hAnsiTheme="majorHAnsi" w:cs="Arial"/>
                          <w:b/>
                          <w:bCs/>
                          <w:color w:val="0D0D0D" w:themeColor="text1" w:themeTint="F2"/>
                          <w:sz w:val="36"/>
                          <w:szCs w:val="22"/>
                          <w:lang w:val="es-ES_tradnl"/>
                        </w:rPr>
                        <w:t>129</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3875BFA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32040B">
                        <w:rPr>
                          <w:rFonts w:asciiTheme="majorHAnsi" w:hAnsiTheme="majorHAnsi" w:cs="Arial"/>
                          <w:b/>
                          <w:color w:val="0D0D0D" w:themeColor="text1" w:themeTint="F2"/>
                          <w:sz w:val="36"/>
                          <w:szCs w:val="22"/>
                          <w:lang w:val="es-ES_tradnl"/>
                        </w:rPr>
                        <w:t>783-1</w:t>
                      </w:r>
                      <w:r w:rsidR="000D3E32">
                        <w:rPr>
                          <w:rFonts w:asciiTheme="majorHAnsi" w:hAnsiTheme="majorHAnsi" w:cs="Arial"/>
                          <w:b/>
                          <w:color w:val="0D0D0D" w:themeColor="text1" w:themeTint="F2"/>
                          <w:sz w:val="36"/>
                          <w:szCs w:val="22"/>
                          <w:lang w:val="es-ES_tradnl"/>
                        </w:rPr>
                        <w:t>3</w:t>
                      </w:r>
                    </w:p>
                    <w:p w14:paraId="70CF6833" w14:textId="1DE7020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Pr="00E14A18">
                        <w:rPr>
                          <w:rFonts w:asciiTheme="majorHAnsi" w:hAnsiTheme="majorHAnsi" w:cs="Arial"/>
                          <w:color w:val="0D0D0D" w:themeColor="text1" w:themeTint="F2"/>
                          <w:szCs w:val="22"/>
                          <w:lang w:val="es-ES_tradnl"/>
                        </w:rPr>
                        <w:t>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25445A0D" w:rsidR="00EB197F" w:rsidRPr="0032040B" w:rsidRDefault="0032040B" w:rsidP="00997BC5">
                      <w:pPr>
                        <w:spacing w:line="276" w:lineRule="auto"/>
                        <w:rPr>
                          <w:rFonts w:asciiTheme="majorHAnsi" w:hAnsiTheme="majorHAnsi" w:cs="Arial"/>
                          <w:color w:val="0D0D0D" w:themeColor="text1" w:themeTint="F2"/>
                          <w:szCs w:val="22"/>
                          <w:lang w:val="es-ES_tradnl"/>
                        </w:rPr>
                      </w:pPr>
                      <w:r w:rsidRPr="0032040B">
                        <w:rPr>
                          <w:rFonts w:asciiTheme="majorHAnsi" w:hAnsiTheme="majorHAnsi" w:cs="Arial"/>
                          <w:color w:val="0D0D0D" w:themeColor="text1" w:themeTint="F2"/>
                          <w:szCs w:val="22"/>
                          <w:lang w:val="es-ES_tradnl"/>
                        </w:rPr>
                        <w:t>ADRIÁN</w:t>
                      </w:r>
                      <w:r>
                        <w:rPr>
                          <w:rFonts w:asciiTheme="majorHAnsi" w:hAnsiTheme="majorHAnsi" w:cs="Arial"/>
                          <w:color w:val="0D0D0D" w:themeColor="text1" w:themeTint="F2"/>
                          <w:szCs w:val="22"/>
                          <w:lang w:val="es-ES_tradnl"/>
                        </w:rPr>
                        <w:t xml:space="preserve"> ESTEBAN BUSTOS</w:t>
                      </w:r>
                    </w:p>
                    <w:p w14:paraId="575DFD52" w14:textId="0EB99861" w:rsidR="005B52B0" w:rsidRPr="00EB197F" w:rsidRDefault="0032040B" w:rsidP="007A5817">
                      <w:pPr>
                        <w:rPr>
                          <w:color w:val="0D0D0D" w:themeColor="text1" w:themeTint="F2"/>
                          <w:lang w:val="es-PE"/>
                        </w:rPr>
                      </w:pPr>
                      <w:r>
                        <w:rPr>
                          <w:rFonts w:asciiTheme="majorHAnsi" w:hAnsiTheme="majorHAnsi" w:cs="Arial"/>
                          <w:color w:val="0D0D0D" w:themeColor="text1" w:themeTint="F2"/>
                          <w:szCs w:val="22"/>
                          <w:lang w:val="es-PE"/>
                        </w:rPr>
                        <w:t>ARGENTINA</w:t>
                      </w:r>
                    </w:p>
                  </w:txbxContent>
                </v:textbox>
              </v:shape>
            </w:pict>
          </mc:Fallback>
        </mc:AlternateContent>
      </w:r>
      <w:r w:rsidR="004E2649" w:rsidRPr="00F958A1">
        <w:rPr>
          <w:rFonts w:asciiTheme="majorHAnsi" w:hAnsiTheme="majorHAnsi"/>
          <w:noProof/>
          <w:sz w:val="22"/>
          <w:szCs w:val="22"/>
          <w:lang w:val="es-419"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2FC322BF" w:rsidR="00627C9F" w:rsidRPr="000D3E32" w:rsidRDefault="00834D49" w:rsidP="007A5817">
                            <w:pPr>
                              <w:spacing w:line="276" w:lineRule="auto"/>
                              <w:jc w:val="right"/>
                              <w:rPr>
                                <w:rFonts w:asciiTheme="minorHAnsi" w:hAnsiTheme="minorHAnsi"/>
                                <w:color w:val="FFFFFF" w:themeColor="background1"/>
                                <w:sz w:val="22"/>
                                <w:lang w:val="es-ES"/>
                              </w:rPr>
                            </w:pPr>
                            <w:r w:rsidRPr="000D3E32">
                              <w:rPr>
                                <w:rFonts w:asciiTheme="minorHAnsi" w:hAnsiTheme="minorHAnsi"/>
                                <w:color w:val="FFFFFF" w:themeColor="background1"/>
                                <w:sz w:val="22"/>
                                <w:lang w:val="es-ES"/>
                              </w:rPr>
                              <w:t>OEA/Ser.L/V/II</w:t>
                            </w:r>
                          </w:p>
                          <w:p w14:paraId="6A41611B" w14:textId="1178BC55" w:rsidR="00627C9F" w:rsidRPr="000D3E32" w:rsidRDefault="00627C9F" w:rsidP="007A5817">
                            <w:pPr>
                              <w:spacing w:line="276" w:lineRule="auto"/>
                              <w:jc w:val="right"/>
                              <w:rPr>
                                <w:rFonts w:asciiTheme="minorHAnsi" w:hAnsiTheme="minorHAnsi"/>
                                <w:color w:val="FFFFFF" w:themeColor="background1"/>
                                <w:sz w:val="22"/>
                                <w:lang w:val="es-ES"/>
                              </w:rPr>
                            </w:pPr>
                            <w:r w:rsidRPr="000D3E32">
                              <w:rPr>
                                <w:rFonts w:asciiTheme="minorHAnsi" w:hAnsiTheme="minorHAnsi"/>
                                <w:color w:val="FFFFFF" w:themeColor="background1"/>
                                <w:sz w:val="22"/>
                                <w:lang w:val="es-ES"/>
                              </w:rPr>
                              <w:t xml:space="preserve">Doc. </w:t>
                            </w:r>
                            <w:r w:rsidR="00B563AE" w:rsidRPr="000D3E32">
                              <w:rPr>
                                <w:rFonts w:asciiTheme="minorHAnsi" w:hAnsiTheme="minorHAnsi"/>
                                <w:color w:val="FFFFFF" w:themeColor="background1"/>
                                <w:sz w:val="22"/>
                                <w:lang w:val="es-ES"/>
                              </w:rPr>
                              <w:t>135</w:t>
                            </w:r>
                          </w:p>
                          <w:p w14:paraId="69373ED2" w14:textId="29CD7CDB" w:rsidR="00627C9F" w:rsidRPr="00C25ADB" w:rsidRDefault="00B563AE"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15 julio</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2FC322BF" w:rsidR="00627C9F" w:rsidRPr="000D3E32" w:rsidRDefault="00834D49" w:rsidP="007A5817">
                      <w:pPr>
                        <w:spacing w:line="276" w:lineRule="auto"/>
                        <w:jc w:val="right"/>
                        <w:rPr>
                          <w:rFonts w:asciiTheme="minorHAnsi" w:hAnsiTheme="minorHAnsi"/>
                          <w:color w:val="FFFFFF" w:themeColor="background1"/>
                          <w:sz w:val="22"/>
                          <w:lang w:val="es-ES"/>
                        </w:rPr>
                      </w:pPr>
                      <w:r w:rsidRPr="000D3E32">
                        <w:rPr>
                          <w:rFonts w:asciiTheme="minorHAnsi" w:hAnsiTheme="minorHAnsi"/>
                          <w:color w:val="FFFFFF" w:themeColor="background1"/>
                          <w:sz w:val="22"/>
                          <w:lang w:val="es-ES"/>
                        </w:rPr>
                        <w:t>OEA/Ser.L/V/II</w:t>
                      </w:r>
                    </w:p>
                    <w:p w14:paraId="6A41611B" w14:textId="1178BC55" w:rsidR="00627C9F" w:rsidRPr="000D3E32" w:rsidRDefault="00627C9F" w:rsidP="007A5817">
                      <w:pPr>
                        <w:spacing w:line="276" w:lineRule="auto"/>
                        <w:jc w:val="right"/>
                        <w:rPr>
                          <w:rFonts w:asciiTheme="minorHAnsi" w:hAnsiTheme="minorHAnsi"/>
                          <w:color w:val="FFFFFF" w:themeColor="background1"/>
                          <w:sz w:val="22"/>
                          <w:lang w:val="es-ES"/>
                        </w:rPr>
                      </w:pPr>
                      <w:r w:rsidRPr="000D3E32">
                        <w:rPr>
                          <w:rFonts w:asciiTheme="minorHAnsi" w:hAnsiTheme="minorHAnsi"/>
                          <w:color w:val="FFFFFF" w:themeColor="background1"/>
                          <w:sz w:val="22"/>
                          <w:lang w:val="es-ES"/>
                        </w:rPr>
                        <w:t xml:space="preserve">Doc. </w:t>
                      </w:r>
                      <w:r w:rsidR="00B563AE" w:rsidRPr="000D3E32">
                        <w:rPr>
                          <w:rFonts w:asciiTheme="minorHAnsi" w:hAnsiTheme="minorHAnsi"/>
                          <w:color w:val="FFFFFF" w:themeColor="background1"/>
                          <w:sz w:val="22"/>
                          <w:lang w:val="es-ES"/>
                        </w:rPr>
                        <w:t>135</w:t>
                      </w:r>
                    </w:p>
                    <w:p w14:paraId="69373ED2" w14:textId="29CD7CDB" w:rsidR="00627C9F" w:rsidRPr="00C25ADB" w:rsidRDefault="00B563AE"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15 julio</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F958A1"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F958A1"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F958A1"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F958A1"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F958A1"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F958A1"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F958A1"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F958A1"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F958A1"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F958A1"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F958A1"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F958A1"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F958A1"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F958A1"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F958A1" w:rsidRDefault="0090270B" w:rsidP="00040C3A">
      <w:pPr>
        <w:tabs>
          <w:tab w:val="center" w:pos="5400"/>
        </w:tabs>
        <w:suppressAutoHyphens/>
        <w:jc w:val="center"/>
        <w:rPr>
          <w:rFonts w:asciiTheme="majorHAnsi" w:hAnsiTheme="majorHAnsi"/>
          <w:sz w:val="18"/>
          <w:szCs w:val="22"/>
          <w:lang w:val="es-ES_tradnl"/>
        </w:rPr>
      </w:pPr>
      <w:r w:rsidRPr="00F958A1">
        <w:rPr>
          <w:rFonts w:asciiTheme="majorHAnsi" w:hAnsiTheme="majorHAnsi"/>
          <w:noProof/>
          <w:sz w:val="22"/>
          <w:szCs w:val="22"/>
          <w:lang w:val="es-419"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4178DD91"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940060">
                              <w:rPr>
                                <w:rFonts w:asciiTheme="majorHAnsi" w:hAnsiTheme="majorHAnsi"/>
                                <w:color w:val="0D0D0D" w:themeColor="text1" w:themeTint="F2"/>
                                <w:sz w:val="18"/>
                                <w:szCs w:val="22"/>
                                <w:lang w:val="es-ES"/>
                              </w:rPr>
                              <w:t>15</w:t>
                            </w:r>
                            <w:r w:rsidRPr="00890650">
                              <w:rPr>
                                <w:rFonts w:asciiTheme="majorHAnsi" w:hAnsiTheme="majorHAnsi"/>
                                <w:color w:val="0D0D0D" w:themeColor="text1" w:themeTint="F2"/>
                                <w:sz w:val="18"/>
                                <w:szCs w:val="22"/>
                                <w:lang w:val="es-ES"/>
                              </w:rPr>
                              <w:t xml:space="preserve"> de </w:t>
                            </w:r>
                            <w:r w:rsidR="00940060">
                              <w:rPr>
                                <w:rFonts w:asciiTheme="majorHAnsi" w:hAnsiTheme="majorHAnsi"/>
                                <w:color w:val="0D0D0D" w:themeColor="text1" w:themeTint="F2"/>
                                <w:sz w:val="18"/>
                                <w:szCs w:val="22"/>
                                <w:lang w:val="es-ES"/>
                              </w:rPr>
                              <w:t>julio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940060">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4178DD91"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940060">
                        <w:rPr>
                          <w:rFonts w:asciiTheme="majorHAnsi" w:hAnsiTheme="majorHAnsi"/>
                          <w:color w:val="0D0D0D" w:themeColor="text1" w:themeTint="F2"/>
                          <w:sz w:val="18"/>
                          <w:szCs w:val="22"/>
                          <w:lang w:val="es-ES"/>
                        </w:rPr>
                        <w:t>15</w:t>
                      </w:r>
                      <w:r w:rsidRPr="00890650">
                        <w:rPr>
                          <w:rFonts w:asciiTheme="majorHAnsi" w:hAnsiTheme="majorHAnsi"/>
                          <w:color w:val="0D0D0D" w:themeColor="text1" w:themeTint="F2"/>
                          <w:sz w:val="18"/>
                          <w:szCs w:val="22"/>
                          <w:lang w:val="es-ES"/>
                        </w:rPr>
                        <w:t xml:space="preserve"> de </w:t>
                      </w:r>
                      <w:r w:rsidR="00940060">
                        <w:rPr>
                          <w:rFonts w:asciiTheme="majorHAnsi" w:hAnsiTheme="majorHAnsi"/>
                          <w:color w:val="0D0D0D" w:themeColor="text1" w:themeTint="F2"/>
                          <w:sz w:val="18"/>
                          <w:szCs w:val="22"/>
                          <w:lang w:val="es-ES"/>
                        </w:rPr>
                        <w:t>julio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940060">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F958A1" w:rsidRDefault="0090270B" w:rsidP="00040C3A">
      <w:pPr>
        <w:tabs>
          <w:tab w:val="center" w:pos="5400"/>
        </w:tabs>
        <w:suppressAutoHyphens/>
        <w:jc w:val="center"/>
        <w:rPr>
          <w:rFonts w:asciiTheme="majorHAnsi" w:hAnsiTheme="majorHAnsi"/>
          <w:sz w:val="18"/>
          <w:szCs w:val="22"/>
          <w:lang w:val="es-ES_tradnl"/>
        </w:rPr>
      </w:pPr>
      <w:r w:rsidRPr="00F958A1">
        <w:rPr>
          <w:rFonts w:asciiTheme="majorHAnsi" w:hAnsiTheme="majorHAnsi"/>
          <w:noProof/>
          <w:sz w:val="18"/>
          <w:szCs w:val="22"/>
          <w:lang w:val="es-419"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78B92" w14:textId="77777777" w:rsidR="00683FBB" w:rsidRDefault="00113F73" w:rsidP="00113F73">
                            <w:pPr>
                              <w:spacing w:line="276" w:lineRule="auto"/>
                              <w:rPr>
                                <w:rFonts w:asciiTheme="majorHAnsi" w:hAnsiTheme="majorHAnsi"/>
                                <w:color w:val="595959" w:themeColor="text1" w:themeTint="A6"/>
                                <w:sz w:val="18"/>
                                <w:szCs w:val="18"/>
                                <w:lang w:val="es-ES_tradnl"/>
                              </w:rPr>
                            </w:pPr>
                            <w:r w:rsidRPr="00E14A18">
                              <w:rPr>
                                <w:rFonts w:asciiTheme="majorHAnsi" w:hAnsiTheme="majorHAnsi"/>
                                <w:b/>
                                <w:color w:val="595959" w:themeColor="text1" w:themeTint="A6"/>
                                <w:sz w:val="18"/>
                                <w:szCs w:val="18"/>
                                <w:lang w:val="pt-BR"/>
                              </w:rPr>
                              <w:t>Citar como:</w:t>
                            </w:r>
                            <w:r w:rsidRPr="00E14A18">
                              <w:rPr>
                                <w:rFonts w:asciiTheme="majorHAnsi" w:hAnsiTheme="majorHAnsi"/>
                                <w:color w:val="595959" w:themeColor="text1" w:themeTint="A6"/>
                                <w:sz w:val="18"/>
                                <w:szCs w:val="18"/>
                                <w:lang w:val="pt-BR"/>
                              </w:rPr>
                              <w:t xml:space="preserve"> CIDH, Informe No. </w:t>
                            </w:r>
                            <w:r w:rsidR="00683FBB" w:rsidRPr="00683FBB">
                              <w:rPr>
                                <w:rFonts w:asciiTheme="majorHAnsi" w:hAnsiTheme="majorHAnsi"/>
                                <w:color w:val="595959" w:themeColor="text1" w:themeTint="A6"/>
                                <w:sz w:val="18"/>
                                <w:szCs w:val="18"/>
                                <w:lang w:val="pt-BR"/>
                              </w:rPr>
                              <w:t>129</w:t>
                            </w:r>
                            <w:r w:rsidR="007B05C4" w:rsidRPr="00683FBB">
                              <w:rPr>
                                <w:rFonts w:asciiTheme="majorHAnsi" w:hAnsiTheme="majorHAnsi"/>
                                <w:color w:val="595959" w:themeColor="text1" w:themeTint="A6"/>
                                <w:sz w:val="18"/>
                                <w:szCs w:val="18"/>
                                <w:lang w:val="pt-BR"/>
                              </w:rPr>
                              <w:t>/</w:t>
                            </w:r>
                            <w:r w:rsidR="00683FBB" w:rsidRPr="00683FBB">
                              <w:rPr>
                                <w:rFonts w:asciiTheme="majorHAnsi" w:hAnsiTheme="majorHAnsi"/>
                                <w:color w:val="595959" w:themeColor="text1" w:themeTint="A6"/>
                                <w:sz w:val="18"/>
                                <w:szCs w:val="18"/>
                                <w:lang w:val="pt-BR"/>
                              </w:rPr>
                              <w:t>25</w:t>
                            </w:r>
                            <w:r w:rsidRPr="00683FBB">
                              <w:rPr>
                                <w:rFonts w:asciiTheme="majorHAnsi" w:hAnsiTheme="majorHAnsi"/>
                                <w:color w:val="595959" w:themeColor="text1" w:themeTint="A6"/>
                                <w:sz w:val="18"/>
                                <w:szCs w:val="18"/>
                                <w:lang w:val="pt-BR"/>
                              </w:rPr>
                              <w:t xml:space="preserve">. </w:t>
                            </w:r>
                            <w:r w:rsidR="000433C9" w:rsidRPr="00E14A18">
                              <w:rPr>
                                <w:rFonts w:asciiTheme="majorHAnsi" w:hAnsiTheme="majorHAnsi"/>
                                <w:color w:val="595959" w:themeColor="text1" w:themeTint="A6"/>
                                <w:sz w:val="18"/>
                                <w:szCs w:val="18"/>
                                <w:lang w:val="es-ES_tradnl"/>
                              </w:rPr>
                              <w:t>Petici</w:t>
                            </w:r>
                            <w:r w:rsidR="000433C9" w:rsidRPr="00E14A18">
                              <w:rPr>
                                <w:rFonts w:asciiTheme="majorHAnsi" w:hAnsiTheme="majorHAnsi"/>
                                <w:color w:val="595959" w:themeColor="text1" w:themeTint="A6"/>
                                <w:sz w:val="18"/>
                                <w:szCs w:val="18"/>
                                <w:lang w:val="es-ES"/>
                              </w:rPr>
                              <w:t xml:space="preserve">ón </w:t>
                            </w:r>
                            <w:r w:rsidR="0032040B" w:rsidRPr="00E14A18">
                              <w:rPr>
                                <w:rFonts w:asciiTheme="majorHAnsi" w:hAnsiTheme="majorHAnsi"/>
                                <w:color w:val="595959" w:themeColor="text1" w:themeTint="A6"/>
                                <w:sz w:val="18"/>
                                <w:szCs w:val="18"/>
                                <w:lang w:val="es-ES"/>
                              </w:rPr>
                              <w:t>783-13</w:t>
                            </w:r>
                            <w:r w:rsidR="000433C9" w:rsidRPr="00E14A18">
                              <w:rPr>
                                <w:rFonts w:asciiTheme="majorHAnsi" w:hAnsiTheme="majorHAnsi"/>
                                <w:color w:val="595959" w:themeColor="text1" w:themeTint="A6"/>
                                <w:sz w:val="18"/>
                                <w:szCs w:val="18"/>
                                <w:lang w:val="es-ES"/>
                              </w:rPr>
                              <w:t xml:space="preserve">. </w:t>
                            </w:r>
                            <w:r w:rsidR="00955CCE" w:rsidRPr="00E14A18">
                              <w:rPr>
                                <w:rFonts w:asciiTheme="majorHAnsi" w:hAnsiTheme="majorHAnsi"/>
                                <w:color w:val="595959" w:themeColor="text1" w:themeTint="A6"/>
                                <w:sz w:val="18"/>
                                <w:szCs w:val="18"/>
                                <w:lang w:val="es-ES_tradnl"/>
                              </w:rPr>
                              <w:t>Inadmisibilidad</w:t>
                            </w:r>
                            <w:r w:rsidRPr="00E14A18">
                              <w:rPr>
                                <w:rFonts w:asciiTheme="majorHAnsi" w:hAnsiTheme="majorHAnsi"/>
                                <w:color w:val="595959" w:themeColor="text1" w:themeTint="A6"/>
                                <w:sz w:val="18"/>
                                <w:szCs w:val="18"/>
                                <w:lang w:val="es-ES_tradnl"/>
                              </w:rPr>
                              <w:t xml:space="preserve">. </w:t>
                            </w:r>
                          </w:p>
                          <w:p w14:paraId="0D1B22CF" w14:textId="5A5B9B78" w:rsidR="00113F73" w:rsidRPr="007B05C4" w:rsidRDefault="0032040B" w:rsidP="00113F73">
                            <w:pPr>
                              <w:spacing w:line="276" w:lineRule="auto"/>
                              <w:rPr>
                                <w:rFonts w:asciiTheme="majorHAnsi" w:hAnsiTheme="majorHAnsi"/>
                                <w:color w:val="595959" w:themeColor="text1" w:themeTint="A6"/>
                                <w:sz w:val="18"/>
                                <w:szCs w:val="18"/>
                                <w:lang w:val="es-ES"/>
                              </w:rPr>
                            </w:pPr>
                            <w:r w:rsidRPr="00E14A18">
                              <w:rPr>
                                <w:rFonts w:asciiTheme="majorHAnsi" w:hAnsiTheme="majorHAnsi"/>
                                <w:color w:val="595959" w:themeColor="text1" w:themeTint="A6"/>
                                <w:sz w:val="18"/>
                                <w:szCs w:val="18"/>
                                <w:lang w:val="es-ES_tradnl"/>
                              </w:rPr>
                              <w:t>Adrián Esteban Bustos</w:t>
                            </w:r>
                            <w:r w:rsidR="00113F73" w:rsidRPr="00E14A18">
                              <w:rPr>
                                <w:rFonts w:asciiTheme="majorHAnsi" w:hAnsiTheme="majorHAnsi"/>
                                <w:color w:val="595959" w:themeColor="text1" w:themeTint="A6"/>
                                <w:sz w:val="18"/>
                                <w:szCs w:val="18"/>
                                <w:lang w:val="es-ES_tradnl"/>
                              </w:rPr>
                              <w:t xml:space="preserve">. </w:t>
                            </w:r>
                            <w:r w:rsidRPr="00E14A18">
                              <w:rPr>
                                <w:rFonts w:asciiTheme="majorHAnsi" w:hAnsiTheme="majorHAnsi"/>
                                <w:color w:val="595959" w:themeColor="text1" w:themeTint="A6"/>
                                <w:sz w:val="18"/>
                                <w:szCs w:val="18"/>
                                <w:lang w:val="es-ES_tradnl"/>
                              </w:rPr>
                              <w:t>Argentina</w:t>
                            </w:r>
                            <w:r w:rsidR="00113F73" w:rsidRPr="00E14A18">
                              <w:rPr>
                                <w:rFonts w:asciiTheme="majorHAnsi" w:hAnsiTheme="majorHAnsi"/>
                                <w:color w:val="595959" w:themeColor="text1" w:themeTint="A6"/>
                                <w:sz w:val="18"/>
                                <w:szCs w:val="18"/>
                                <w:lang w:val="es-ES_tradnl"/>
                              </w:rPr>
                              <w:t xml:space="preserve">. </w:t>
                            </w:r>
                            <w:r w:rsidR="00683FBB">
                              <w:rPr>
                                <w:rFonts w:asciiTheme="majorHAnsi" w:hAnsiTheme="majorHAnsi"/>
                                <w:color w:val="595959" w:themeColor="text1" w:themeTint="A6"/>
                                <w:sz w:val="18"/>
                                <w:szCs w:val="18"/>
                                <w:lang w:val="es-ES"/>
                              </w:rPr>
                              <w:t>15 de julio de 2025</w:t>
                            </w:r>
                            <w:r w:rsidR="00113F73" w:rsidRPr="00E14A18">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5E678B92" w14:textId="77777777" w:rsidR="00683FBB" w:rsidRDefault="00113F73" w:rsidP="00113F73">
                      <w:pPr>
                        <w:spacing w:line="276" w:lineRule="auto"/>
                        <w:rPr>
                          <w:rFonts w:asciiTheme="majorHAnsi" w:hAnsiTheme="majorHAnsi"/>
                          <w:color w:val="595959" w:themeColor="text1" w:themeTint="A6"/>
                          <w:sz w:val="18"/>
                          <w:szCs w:val="18"/>
                          <w:lang w:val="es-ES_tradnl"/>
                        </w:rPr>
                      </w:pPr>
                      <w:r w:rsidRPr="00E14A18">
                        <w:rPr>
                          <w:rFonts w:asciiTheme="majorHAnsi" w:hAnsiTheme="majorHAnsi"/>
                          <w:b/>
                          <w:color w:val="595959" w:themeColor="text1" w:themeTint="A6"/>
                          <w:sz w:val="18"/>
                          <w:szCs w:val="18"/>
                          <w:lang w:val="pt-BR"/>
                        </w:rPr>
                        <w:t>Citar como:</w:t>
                      </w:r>
                      <w:r w:rsidRPr="00E14A18">
                        <w:rPr>
                          <w:rFonts w:asciiTheme="majorHAnsi" w:hAnsiTheme="majorHAnsi"/>
                          <w:color w:val="595959" w:themeColor="text1" w:themeTint="A6"/>
                          <w:sz w:val="18"/>
                          <w:szCs w:val="18"/>
                          <w:lang w:val="pt-BR"/>
                        </w:rPr>
                        <w:t xml:space="preserve"> CIDH, Informe No. </w:t>
                      </w:r>
                      <w:r w:rsidR="00683FBB" w:rsidRPr="00683FBB">
                        <w:rPr>
                          <w:rFonts w:asciiTheme="majorHAnsi" w:hAnsiTheme="majorHAnsi"/>
                          <w:color w:val="595959" w:themeColor="text1" w:themeTint="A6"/>
                          <w:sz w:val="18"/>
                          <w:szCs w:val="18"/>
                          <w:lang w:val="pt-BR"/>
                        </w:rPr>
                        <w:t>129</w:t>
                      </w:r>
                      <w:r w:rsidR="007B05C4" w:rsidRPr="00683FBB">
                        <w:rPr>
                          <w:rFonts w:asciiTheme="majorHAnsi" w:hAnsiTheme="majorHAnsi"/>
                          <w:color w:val="595959" w:themeColor="text1" w:themeTint="A6"/>
                          <w:sz w:val="18"/>
                          <w:szCs w:val="18"/>
                          <w:lang w:val="pt-BR"/>
                        </w:rPr>
                        <w:t>/</w:t>
                      </w:r>
                      <w:r w:rsidR="00683FBB" w:rsidRPr="00683FBB">
                        <w:rPr>
                          <w:rFonts w:asciiTheme="majorHAnsi" w:hAnsiTheme="majorHAnsi"/>
                          <w:color w:val="595959" w:themeColor="text1" w:themeTint="A6"/>
                          <w:sz w:val="18"/>
                          <w:szCs w:val="18"/>
                          <w:lang w:val="pt-BR"/>
                        </w:rPr>
                        <w:t>25</w:t>
                      </w:r>
                      <w:r w:rsidRPr="00683FBB">
                        <w:rPr>
                          <w:rFonts w:asciiTheme="majorHAnsi" w:hAnsiTheme="majorHAnsi"/>
                          <w:color w:val="595959" w:themeColor="text1" w:themeTint="A6"/>
                          <w:sz w:val="18"/>
                          <w:szCs w:val="18"/>
                          <w:lang w:val="pt-BR"/>
                        </w:rPr>
                        <w:t xml:space="preserve">. </w:t>
                      </w:r>
                      <w:r w:rsidR="000433C9" w:rsidRPr="00E14A18">
                        <w:rPr>
                          <w:rFonts w:asciiTheme="majorHAnsi" w:hAnsiTheme="majorHAnsi"/>
                          <w:color w:val="595959" w:themeColor="text1" w:themeTint="A6"/>
                          <w:sz w:val="18"/>
                          <w:szCs w:val="18"/>
                          <w:lang w:val="es-ES_tradnl"/>
                        </w:rPr>
                        <w:t>Petici</w:t>
                      </w:r>
                      <w:r w:rsidR="000433C9" w:rsidRPr="00E14A18">
                        <w:rPr>
                          <w:rFonts w:asciiTheme="majorHAnsi" w:hAnsiTheme="majorHAnsi"/>
                          <w:color w:val="595959" w:themeColor="text1" w:themeTint="A6"/>
                          <w:sz w:val="18"/>
                          <w:szCs w:val="18"/>
                          <w:lang w:val="es-ES"/>
                        </w:rPr>
                        <w:t xml:space="preserve">ón </w:t>
                      </w:r>
                      <w:r w:rsidR="0032040B" w:rsidRPr="00E14A18">
                        <w:rPr>
                          <w:rFonts w:asciiTheme="majorHAnsi" w:hAnsiTheme="majorHAnsi"/>
                          <w:color w:val="595959" w:themeColor="text1" w:themeTint="A6"/>
                          <w:sz w:val="18"/>
                          <w:szCs w:val="18"/>
                          <w:lang w:val="es-ES"/>
                        </w:rPr>
                        <w:t>783-13</w:t>
                      </w:r>
                      <w:r w:rsidR="000433C9" w:rsidRPr="00E14A18">
                        <w:rPr>
                          <w:rFonts w:asciiTheme="majorHAnsi" w:hAnsiTheme="majorHAnsi"/>
                          <w:color w:val="595959" w:themeColor="text1" w:themeTint="A6"/>
                          <w:sz w:val="18"/>
                          <w:szCs w:val="18"/>
                          <w:lang w:val="es-ES"/>
                        </w:rPr>
                        <w:t xml:space="preserve">. </w:t>
                      </w:r>
                      <w:r w:rsidR="00955CCE" w:rsidRPr="00E14A18">
                        <w:rPr>
                          <w:rFonts w:asciiTheme="majorHAnsi" w:hAnsiTheme="majorHAnsi"/>
                          <w:color w:val="595959" w:themeColor="text1" w:themeTint="A6"/>
                          <w:sz w:val="18"/>
                          <w:szCs w:val="18"/>
                          <w:lang w:val="es-ES_tradnl"/>
                        </w:rPr>
                        <w:t>Inadmisibilidad</w:t>
                      </w:r>
                      <w:r w:rsidRPr="00E14A18">
                        <w:rPr>
                          <w:rFonts w:asciiTheme="majorHAnsi" w:hAnsiTheme="majorHAnsi"/>
                          <w:color w:val="595959" w:themeColor="text1" w:themeTint="A6"/>
                          <w:sz w:val="18"/>
                          <w:szCs w:val="18"/>
                          <w:lang w:val="es-ES_tradnl"/>
                        </w:rPr>
                        <w:t xml:space="preserve">. </w:t>
                      </w:r>
                    </w:p>
                    <w:p w14:paraId="0D1B22CF" w14:textId="5A5B9B78" w:rsidR="00113F73" w:rsidRPr="007B05C4" w:rsidRDefault="0032040B" w:rsidP="00113F73">
                      <w:pPr>
                        <w:spacing w:line="276" w:lineRule="auto"/>
                        <w:rPr>
                          <w:rFonts w:asciiTheme="majorHAnsi" w:hAnsiTheme="majorHAnsi"/>
                          <w:color w:val="595959" w:themeColor="text1" w:themeTint="A6"/>
                          <w:sz w:val="18"/>
                          <w:szCs w:val="18"/>
                          <w:lang w:val="es-ES"/>
                        </w:rPr>
                      </w:pPr>
                      <w:r w:rsidRPr="00E14A18">
                        <w:rPr>
                          <w:rFonts w:asciiTheme="majorHAnsi" w:hAnsiTheme="majorHAnsi"/>
                          <w:color w:val="595959" w:themeColor="text1" w:themeTint="A6"/>
                          <w:sz w:val="18"/>
                          <w:szCs w:val="18"/>
                          <w:lang w:val="es-ES_tradnl"/>
                        </w:rPr>
                        <w:t>Adrián Esteban Bustos</w:t>
                      </w:r>
                      <w:r w:rsidR="00113F73" w:rsidRPr="00E14A18">
                        <w:rPr>
                          <w:rFonts w:asciiTheme="majorHAnsi" w:hAnsiTheme="majorHAnsi"/>
                          <w:color w:val="595959" w:themeColor="text1" w:themeTint="A6"/>
                          <w:sz w:val="18"/>
                          <w:szCs w:val="18"/>
                          <w:lang w:val="es-ES_tradnl"/>
                        </w:rPr>
                        <w:t xml:space="preserve">. </w:t>
                      </w:r>
                      <w:r w:rsidRPr="00E14A18">
                        <w:rPr>
                          <w:rFonts w:asciiTheme="majorHAnsi" w:hAnsiTheme="majorHAnsi"/>
                          <w:color w:val="595959" w:themeColor="text1" w:themeTint="A6"/>
                          <w:sz w:val="18"/>
                          <w:szCs w:val="18"/>
                          <w:lang w:val="es-ES_tradnl"/>
                        </w:rPr>
                        <w:t>Argentina</w:t>
                      </w:r>
                      <w:r w:rsidR="00113F73" w:rsidRPr="00E14A18">
                        <w:rPr>
                          <w:rFonts w:asciiTheme="majorHAnsi" w:hAnsiTheme="majorHAnsi"/>
                          <w:color w:val="595959" w:themeColor="text1" w:themeTint="A6"/>
                          <w:sz w:val="18"/>
                          <w:szCs w:val="18"/>
                          <w:lang w:val="es-ES_tradnl"/>
                        </w:rPr>
                        <w:t xml:space="preserve">. </w:t>
                      </w:r>
                      <w:r w:rsidR="00683FBB">
                        <w:rPr>
                          <w:rFonts w:asciiTheme="majorHAnsi" w:hAnsiTheme="majorHAnsi"/>
                          <w:color w:val="595959" w:themeColor="text1" w:themeTint="A6"/>
                          <w:sz w:val="18"/>
                          <w:szCs w:val="18"/>
                          <w:lang w:val="es-ES"/>
                        </w:rPr>
                        <w:t>15 de julio de 2025</w:t>
                      </w:r>
                      <w:r w:rsidR="00113F73" w:rsidRPr="00E14A18">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F958A1" w:rsidRDefault="00A50FCF" w:rsidP="00040C3A">
      <w:pPr>
        <w:tabs>
          <w:tab w:val="center" w:pos="5400"/>
        </w:tabs>
        <w:suppressAutoHyphens/>
        <w:jc w:val="center"/>
        <w:rPr>
          <w:rFonts w:asciiTheme="majorHAnsi" w:hAnsiTheme="majorHAnsi"/>
          <w:sz w:val="18"/>
          <w:szCs w:val="22"/>
          <w:lang w:val="es-ES_tradnl"/>
        </w:rPr>
      </w:pPr>
    </w:p>
    <w:p w14:paraId="1DA07629" w14:textId="6F333EB4" w:rsidR="0090270B" w:rsidRPr="00F958A1" w:rsidRDefault="00D306D1" w:rsidP="005516A1">
      <w:pPr>
        <w:tabs>
          <w:tab w:val="center" w:pos="5400"/>
        </w:tabs>
        <w:suppressAutoHyphens/>
        <w:jc w:val="center"/>
        <w:rPr>
          <w:rFonts w:asciiTheme="majorHAnsi" w:hAnsiTheme="majorHAnsi"/>
          <w:b/>
          <w:sz w:val="20"/>
          <w:lang w:val="es-ES_tradnl"/>
        </w:rPr>
      </w:pPr>
      <w:r w:rsidRPr="00F958A1">
        <w:rPr>
          <w:rFonts w:asciiTheme="majorHAnsi" w:hAnsiTheme="majorHAnsi"/>
          <w:noProof/>
          <w:sz w:val="22"/>
          <w:szCs w:val="22"/>
          <w:lang w:val="es-419" w:eastAsia="es-419"/>
        </w:rPr>
        <mc:AlternateContent>
          <mc:Choice Requires="wps">
            <w:drawing>
              <wp:anchor distT="0" distB="0" distL="114300" distR="114300" simplePos="0" relativeHeight="251658247" behindDoc="0" locked="0" layoutInCell="1" allowOverlap="1" wp14:anchorId="02EDA5EE" wp14:editId="4E58B3B0">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1BF98464" w:rsidR="0070697F" w:rsidRPr="00F958A1" w:rsidRDefault="00B563AE" w:rsidP="005516A1">
      <w:pPr>
        <w:tabs>
          <w:tab w:val="center" w:pos="5400"/>
        </w:tabs>
        <w:suppressAutoHyphens/>
        <w:jc w:val="center"/>
        <w:rPr>
          <w:rFonts w:asciiTheme="majorHAnsi" w:hAnsiTheme="majorHAnsi"/>
          <w:b/>
          <w:sz w:val="20"/>
          <w:lang w:val="es-ES_tradnl"/>
        </w:rPr>
        <w:sectPr w:rsidR="0070697F" w:rsidRPr="00F958A1"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F958A1">
        <w:rPr>
          <w:rFonts w:asciiTheme="majorHAnsi" w:hAnsiTheme="majorHAnsi"/>
          <w:noProof/>
          <w:sz w:val="18"/>
          <w:szCs w:val="22"/>
          <w:lang w:val="es-419" w:eastAsia="es-419"/>
        </w:rPr>
        <mc:AlternateContent>
          <mc:Choice Requires="wps">
            <w:drawing>
              <wp:anchor distT="0" distB="0" distL="114300" distR="114300" simplePos="0" relativeHeight="251658246" behindDoc="0" locked="0" layoutInCell="1" allowOverlap="1" wp14:anchorId="50472543" wp14:editId="166A4AE2">
                <wp:simplePos x="0" y="0"/>
                <wp:positionH relativeFrom="column">
                  <wp:posOffset>1313484</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0B3A3F0A" w:rsidR="00D72DC6" w:rsidRPr="00D72DC6" w:rsidRDefault="00B563AE" w:rsidP="00F02AD1">
                            <w:pPr>
                              <w:rPr>
                                <w:color w:val="FFFFFF" w:themeColor="background1"/>
                                <w14:textFill>
                                  <w14:noFill/>
                                </w14:textFill>
                              </w:rPr>
                            </w:pPr>
                            <w:r>
                              <w:rPr>
                                <w:noProof/>
                                <w:color w:val="FFFFFF" w:themeColor="background1"/>
                              </w:rPr>
                              <w:drawing>
                                <wp:inline distT="0" distB="0" distL="0" distR="0" wp14:anchorId="54910AB8" wp14:editId="5B551580">
                                  <wp:extent cx="1824355" cy="469265"/>
                                  <wp:effectExtent l="0" t="0" r="4445" b="6985"/>
                                  <wp:docPr id="1823065258" name="Picture 1823065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3.4pt;margin-top:38.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" fillcolor="white [3201]" stroked="f" strokeweight=".5pt">
                <v:textbox>
                  <w:txbxContent>
                    <w:p w14:paraId="2A1ECD3C" w14:textId="0B3A3F0A" w:rsidR="00D72DC6" w:rsidRPr="00D72DC6" w:rsidRDefault="00B563AE" w:rsidP="00F02AD1">
                      <w:pPr>
                        <w:rPr>
                          <w:color w:val="FFFFFF" w:themeColor="background1"/>
                          <w14:textFill>
                            <w14:noFill/>
                          </w14:textFill>
                        </w:rPr>
                      </w:pPr>
                      <w:r>
                        <w:rPr>
                          <w:noProof/>
                          <w:color w:val="FFFFFF" w:themeColor="background1"/>
                        </w:rPr>
                        <w:drawing>
                          <wp:inline distT="0" distB="0" distL="0" distR="0" wp14:anchorId="54910AB8" wp14:editId="5B551580">
                            <wp:extent cx="1824355" cy="469265"/>
                            <wp:effectExtent l="0" t="0" r="4445" b="6985"/>
                            <wp:docPr id="1823065258" name="Picture 1823065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sidRPr="00F958A1">
        <w:rPr>
          <w:rFonts w:asciiTheme="majorHAnsi" w:hAnsiTheme="majorHAnsi"/>
          <w:b/>
          <w:sz w:val="20"/>
          <w:lang w:val="es-ES_tradnl"/>
        </w:rPr>
        <w:tab/>
      </w:r>
    </w:p>
    <w:p w14:paraId="376DDC8B" w14:textId="77777777" w:rsidR="003239B8" w:rsidRPr="00F958A1" w:rsidRDefault="003239B8" w:rsidP="004A6A54">
      <w:pPr>
        <w:spacing w:after="240"/>
        <w:ind w:firstLine="720"/>
        <w:jc w:val="both"/>
        <w:rPr>
          <w:rFonts w:asciiTheme="majorHAnsi" w:hAnsiTheme="majorHAnsi"/>
          <w:b/>
          <w:bCs/>
          <w:sz w:val="20"/>
          <w:szCs w:val="20"/>
          <w:lang w:val="es-ES"/>
        </w:rPr>
      </w:pPr>
      <w:r w:rsidRPr="00F958A1">
        <w:rPr>
          <w:rFonts w:asciiTheme="majorHAnsi" w:hAnsiTheme="majorHAnsi"/>
          <w:b/>
          <w:bCs/>
          <w:sz w:val="20"/>
          <w:szCs w:val="20"/>
          <w:lang w:val="es-ES"/>
        </w:rPr>
        <w:lastRenderedPageBreak/>
        <w:t>I.</w:t>
      </w:r>
      <w:r w:rsidRPr="00F958A1">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F958A1"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F958A1" w:rsidRDefault="003239B8" w:rsidP="008D2290">
            <w:pPr>
              <w:jc w:val="center"/>
              <w:rPr>
                <w:rFonts w:ascii="Cambria" w:hAnsi="Cambria"/>
                <w:b/>
                <w:bCs/>
                <w:color w:val="FFFFFF" w:themeColor="background1"/>
                <w:sz w:val="20"/>
                <w:szCs w:val="20"/>
              </w:rPr>
            </w:pPr>
            <w:r w:rsidRPr="00F958A1">
              <w:rPr>
                <w:rFonts w:ascii="Cambria" w:hAnsi="Cambria"/>
                <w:b/>
                <w:bCs/>
                <w:color w:val="FFFFFF" w:themeColor="background1"/>
                <w:sz w:val="20"/>
                <w:szCs w:val="20"/>
              </w:rPr>
              <w:t>Parte peticionaria:</w:t>
            </w:r>
          </w:p>
        </w:tc>
        <w:tc>
          <w:tcPr>
            <w:tcW w:w="5760" w:type="dxa"/>
            <w:vAlign w:val="center"/>
          </w:tcPr>
          <w:p w14:paraId="3C5315D8" w14:textId="4396840D" w:rsidR="003239B8" w:rsidRPr="00F958A1" w:rsidRDefault="0032040B" w:rsidP="00D13530">
            <w:pPr>
              <w:jc w:val="both"/>
              <w:rPr>
                <w:rFonts w:ascii="Cambria" w:hAnsi="Cambria"/>
                <w:bCs/>
                <w:sz w:val="20"/>
                <w:szCs w:val="20"/>
                <w:lang w:val="es-PE"/>
              </w:rPr>
            </w:pPr>
            <w:r w:rsidRPr="00F958A1">
              <w:rPr>
                <w:rFonts w:ascii="Cambria" w:hAnsi="Cambria"/>
                <w:bCs/>
                <w:sz w:val="20"/>
                <w:szCs w:val="20"/>
                <w:lang w:val="es-PE"/>
              </w:rPr>
              <w:t>Adrián Esteban Bustos</w:t>
            </w:r>
          </w:p>
        </w:tc>
      </w:tr>
      <w:tr w:rsidR="003239B8" w:rsidRPr="00F958A1"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F958A1" w:rsidRDefault="006A4E58"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F958A1">
                  <w:rPr>
                    <w:rFonts w:ascii="Cambria" w:hAnsi="Cambria"/>
                    <w:b/>
                    <w:bCs/>
                    <w:color w:val="FFFFFF" w:themeColor="background1"/>
                    <w:sz w:val="20"/>
                    <w:szCs w:val="20"/>
                  </w:rPr>
                  <w:t>Presunta víctima</w:t>
                </w:r>
              </w:sdtContent>
            </w:sdt>
            <w:r w:rsidR="003239B8" w:rsidRPr="00F958A1">
              <w:rPr>
                <w:rFonts w:ascii="Cambria" w:hAnsi="Cambria"/>
                <w:b/>
                <w:bCs/>
                <w:color w:val="FFFFFF" w:themeColor="background1"/>
                <w:sz w:val="20"/>
                <w:szCs w:val="20"/>
              </w:rPr>
              <w:t>:</w:t>
            </w:r>
          </w:p>
        </w:tc>
        <w:tc>
          <w:tcPr>
            <w:tcW w:w="5760" w:type="dxa"/>
            <w:vAlign w:val="center"/>
          </w:tcPr>
          <w:p w14:paraId="4AEBF59E" w14:textId="0EAC86FA" w:rsidR="003239B8" w:rsidRPr="00F958A1" w:rsidRDefault="0032040B" w:rsidP="008D2290">
            <w:pPr>
              <w:jc w:val="both"/>
              <w:rPr>
                <w:rFonts w:ascii="Cambria" w:hAnsi="Cambria"/>
                <w:bCs/>
                <w:sz w:val="20"/>
                <w:szCs w:val="20"/>
                <w:lang w:val="es-ES"/>
              </w:rPr>
            </w:pPr>
            <w:r w:rsidRPr="00F958A1">
              <w:rPr>
                <w:rFonts w:ascii="Cambria" w:hAnsi="Cambria"/>
                <w:bCs/>
                <w:sz w:val="20"/>
                <w:szCs w:val="20"/>
                <w:lang w:val="es-ES"/>
              </w:rPr>
              <w:t>Adrián Esteban Bustos</w:t>
            </w:r>
          </w:p>
        </w:tc>
      </w:tr>
      <w:tr w:rsidR="003239B8" w:rsidRPr="00F958A1"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F958A1" w:rsidRDefault="003239B8" w:rsidP="008D2290">
            <w:pPr>
              <w:jc w:val="center"/>
              <w:rPr>
                <w:rFonts w:ascii="Cambria" w:hAnsi="Cambria"/>
                <w:b/>
                <w:bCs/>
                <w:color w:val="FFFFFF" w:themeColor="background1"/>
                <w:sz w:val="20"/>
                <w:szCs w:val="20"/>
              </w:rPr>
            </w:pPr>
            <w:r w:rsidRPr="00F958A1">
              <w:rPr>
                <w:rFonts w:ascii="Cambria" w:hAnsi="Cambria"/>
                <w:b/>
                <w:bCs/>
                <w:color w:val="FFFFFF" w:themeColor="background1"/>
                <w:sz w:val="20"/>
                <w:szCs w:val="20"/>
              </w:rPr>
              <w:t>Estado denunciado:</w:t>
            </w:r>
          </w:p>
        </w:tc>
        <w:tc>
          <w:tcPr>
            <w:tcW w:w="5760" w:type="dxa"/>
            <w:vAlign w:val="center"/>
          </w:tcPr>
          <w:p w14:paraId="274C8A50" w14:textId="5668D17A" w:rsidR="003239B8" w:rsidRPr="00F958A1" w:rsidRDefault="0032040B" w:rsidP="008D2290">
            <w:pPr>
              <w:jc w:val="both"/>
              <w:rPr>
                <w:rFonts w:ascii="Cambria" w:hAnsi="Cambria"/>
                <w:bCs/>
                <w:sz w:val="20"/>
                <w:szCs w:val="20"/>
              </w:rPr>
            </w:pPr>
            <w:r w:rsidRPr="00F958A1">
              <w:rPr>
                <w:rFonts w:ascii="Cambria" w:hAnsi="Cambria"/>
                <w:bCs/>
                <w:sz w:val="20"/>
                <w:szCs w:val="20"/>
              </w:rPr>
              <w:t>Argentina</w:t>
            </w:r>
            <w:r w:rsidRPr="00F958A1">
              <w:rPr>
                <w:rStyle w:val="FootnoteReference"/>
                <w:rFonts w:ascii="Cambria" w:hAnsi="Cambria"/>
                <w:bCs/>
                <w:sz w:val="20"/>
                <w:szCs w:val="20"/>
              </w:rPr>
              <w:footnoteReference w:id="2"/>
            </w:r>
          </w:p>
        </w:tc>
      </w:tr>
      <w:tr w:rsidR="00223A29" w:rsidRPr="000D3E32"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F958A1" w:rsidRDefault="001B3A00" w:rsidP="00E4118C">
            <w:pPr>
              <w:jc w:val="center"/>
              <w:rPr>
                <w:rFonts w:ascii="Cambria" w:hAnsi="Cambria"/>
                <w:b/>
                <w:bCs/>
                <w:color w:val="FFFFFF" w:themeColor="background1"/>
                <w:sz w:val="20"/>
                <w:szCs w:val="20"/>
              </w:rPr>
            </w:pPr>
            <w:r w:rsidRPr="00F958A1">
              <w:rPr>
                <w:rFonts w:ascii="Cambria" w:hAnsi="Cambria"/>
                <w:b/>
                <w:bCs/>
                <w:color w:val="FFFFFF" w:themeColor="background1"/>
                <w:sz w:val="20"/>
                <w:szCs w:val="20"/>
              </w:rPr>
              <w:t xml:space="preserve">Derechos </w:t>
            </w:r>
            <w:r w:rsidR="00E4118C" w:rsidRPr="00F958A1">
              <w:rPr>
                <w:rFonts w:ascii="Cambria" w:hAnsi="Cambria"/>
                <w:b/>
                <w:bCs/>
                <w:color w:val="FFFFFF" w:themeColor="background1"/>
                <w:sz w:val="20"/>
                <w:szCs w:val="20"/>
              </w:rPr>
              <w:t>invocados</w:t>
            </w:r>
            <w:r w:rsidRPr="00F958A1">
              <w:rPr>
                <w:rFonts w:ascii="Cambria" w:hAnsi="Cambria"/>
                <w:b/>
                <w:bCs/>
                <w:color w:val="FFFFFF" w:themeColor="background1"/>
                <w:sz w:val="20"/>
                <w:szCs w:val="20"/>
              </w:rPr>
              <w:t>:</w:t>
            </w:r>
          </w:p>
        </w:tc>
        <w:tc>
          <w:tcPr>
            <w:tcW w:w="5760" w:type="dxa"/>
            <w:vAlign w:val="center"/>
          </w:tcPr>
          <w:p w14:paraId="6DEE1EEB" w14:textId="50E0E6D6" w:rsidR="00223A29" w:rsidRPr="00F958A1" w:rsidRDefault="00BD1C7B" w:rsidP="008D2290">
            <w:pPr>
              <w:jc w:val="both"/>
              <w:rPr>
                <w:rFonts w:ascii="Cambria" w:hAnsi="Cambria"/>
                <w:bCs/>
                <w:sz w:val="20"/>
                <w:szCs w:val="20"/>
                <w:lang w:val="es-PE"/>
              </w:rPr>
            </w:pPr>
            <w:r w:rsidRPr="00F958A1">
              <w:rPr>
                <w:rFonts w:ascii="Cambria" w:hAnsi="Cambria"/>
                <w:sz w:val="20"/>
                <w:szCs w:val="20"/>
                <w:lang w:val="es-AR"/>
              </w:rPr>
              <w:t>Artículos 4 (vida), 5 (integridad personal), 8 (garantías judiciales) y 25 (protección judicial) de la Convención Americana sobre Derechos Humanos</w:t>
            </w:r>
            <w:r w:rsidR="0032040B" w:rsidRPr="00F958A1">
              <w:rPr>
                <w:rStyle w:val="FootnoteReference"/>
                <w:rFonts w:ascii="Cambria" w:hAnsi="Cambria"/>
                <w:bCs/>
                <w:sz w:val="20"/>
                <w:szCs w:val="20"/>
                <w:lang w:val="es-MX"/>
              </w:rPr>
              <w:footnoteReference w:id="3"/>
            </w:r>
          </w:p>
        </w:tc>
      </w:tr>
    </w:tbl>
    <w:p w14:paraId="20263696" w14:textId="77777777" w:rsidR="003239B8" w:rsidRPr="00F958A1" w:rsidRDefault="003239B8" w:rsidP="003239B8">
      <w:pPr>
        <w:spacing w:before="240" w:after="240"/>
        <w:ind w:firstLine="720"/>
        <w:jc w:val="both"/>
        <w:rPr>
          <w:rFonts w:asciiTheme="majorHAnsi" w:hAnsiTheme="majorHAnsi"/>
          <w:b/>
          <w:bCs/>
          <w:sz w:val="20"/>
          <w:szCs w:val="20"/>
          <w:lang w:val="es-ES"/>
        </w:rPr>
      </w:pPr>
      <w:r w:rsidRPr="00F958A1">
        <w:rPr>
          <w:rFonts w:asciiTheme="majorHAnsi" w:hAnsiTheme="majorHAnsi"/>
          <w:b/>
          <w:bCs/>
          <w:sz w:val="20"/>
          <w:szCs w:val="20"/>
          <w:lang w:val="es-ES"/>
        </w:rPr>
        <w:t>II.</w:t>
      </w:r>
      <w:r w:rsidRPr="00F958A1">
        <w:rPr>
          <w:rFonts w:asciiTheme="majorHAnsi" w:hAnsiTheme="majorHAnsi"/>
          <w:b/>
          <w:bCs/>
          <w:sz w:val="20"/>
          <w:szCs w:val="20"/>
          <w:lang w:val="es-ES"/>
        </w:rPr>
        <w:tab/>
        <w:t>TRÁMITE ANTE LA CIDH</w:t>
      </w:r>
      <w:r w:rsidR="008E3BFE" w:rsidRPr="00F958A1">
        <w:rPr>
          <w:rStyle w:val="FootnoteReference"/>
          <w:rFonts w:ascii="Cambria" w:hAnsi="Cambria"/>
          <w:b/>
          <w:sz w:val="20"/>
          <w:szCs w:val="20"/>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F958A1"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F958A1" w:rsidRDefault="004A6A54" w:rsidP="004A6A54">
            <w:pPr>
              <w:jc w:val="center"/>
              <w:rPr>
                <w:rFonts w:ascii="Cambria" w:hAnsi="Cambria"/>
                <w:b/>
                <w:bCs/>
                <w:color w:val="FFFFFF" w:themeColor="background1"/>
                <w:sz w:val="20"/>
                <w:szCs w:val="20"/>
                <w:lang w:val="es-ES"/>
              </w:rPr>
            </w:pPr>
            <w:r w:rsidRPr="00F958A1">
              <w:rPr>
                <w:rFonts w:ascii="Cambria" w:hAnsi="Cambria"/>
                <w:b/>
                <w:bCs/>
                <w:color w:val="FFFFFF" w:themeColor="background1"/>
                <w:sz w:val="20"/>
                <w:szCs w:val="20"/>
                <w:lang w:val="es-ES"/>
              </w:rPr>
              <w:t>P</w:t>
            </w:r>
            <w:r w:rsidR="004C2312" w:rsidRPr="00F958A1">
              <w:rPr>
                <w:rFonts w:ascii="Cambria" w:hAnsi="Cambria"/>
                <w:b/>
                <w:bCs/>
                <w:color w:val="FFFFFF" w:themeColor="background1"/>
                <w:sz w:val="20"/>
                <w:szCs w:val="20"/>
                <w:lang w:val="es-ES"/>
              </w:rPr>
              <w:t>resentación de la petición:</w:t>
            </w:r>
          </w:p>
        </w:tc>
        <w:tc>
          <w:tcPr>
            <w:tcW w:w="5760" w:type="dxa"/>
            <w:vAlign w:val="center"/>
          </w:tcPr>
          <w:p w14:paraId="6E579153" w14:textId="6A0D484D" w:rsidR="004C2312" w:rsidRPr="00F958A1" w:rsidRDefault="0032040B" w:rsidP="002625EA">
            <w:pPr>
              <w:jc w:val="both"/>
              <w:rPr>
                <w:rFonts w:ascii="Cambria" w:hAnsi="Cambria"/>
                <w:bCs/>
                <w:sz w:val="20"/>
                <w:szCs w:val="20"/>
                <w:lang w:val="es-ES"/>
              </w:rPr>
            </w:pPr>
            <w:r w:rsidRPr="00F958A1">
              <w:rPr>
                <w:rFonts w:ascii="Cambria" w:hAnsi="Cambria"/>
                <w:bCs/>
                <w:sz w:val="20"/>
                <w:szCs w:val="20"/>
                <w:lang w:val="es-ES"/>
              </w:rPr>
              <w:t>9 de mayo de 2013</w:t>
            </w:r>
          </w:p>
        </w:tc>
      </w:tr>
      <w:tr w:rsidR="00131425" w:rsidRPr="00F958A1"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F958A1" w:rsidRDefault="00131425" w:rsidP="004A6A54">
            <w:pPr>
              <w:jc w:val="center"/>
              <w:rPr>
                <w:rFonts w:ascii="Cambria" w:hAnsi="Cambria"/>
                <w:b/>
                <w:bCs/>
                <w:color w:val="FFFFFF" w:themeColor="background1"/>
                <w:sz w:val="20"/>
                <w:szCs w:val="20"/>
                <w:lang w:val="es-ES"/>
              </w:rPr>
            </w:pPr>
            <w:r w:rsidRPr="00F958A1">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792AECC1" w:rsidR="00131425" w:rsidRPr="00F958A1" w:rsidRDefault="0032040B" w:rsidP="002625EA">
            <w:pPr>
              <w:jc w:val="both"/>
              <w:rPr>
                <w:rFonts w:ascii="Cambria" w:hAnsi="Cambria"/>
                <w:bCs/>
                <w:sz w:val="20"/>
                <w:szCs w:val="20"/>
                <w:lang w:val="es-ES"/>
              </w:rPr>
            </w:pPr>
            <w:r w:rsidRPr="00F958A1">
              <w:rPr>
                <w:rFonts w:ascii="Cambria" w:hAnsi="Cambria"/>
                <w:bCs/>
                <w:sz w:val="20"/>
                <w:szCs w:val="20"/>
                <w:lang w:val="es-ES"/>
              </w:rPr>
              <w:t>3 de junio de 2013</w:t>
            </w:r>
          </w:p>
        </w:tc>
      </w:tr>
      <w:tr w:rsidR="004C2312" w:rsidRPr="00F958A1"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F958A1" w:rsidRDefault="004A6A54" w:rsidP="004A6A54">
            <w:pPr>
              <w:jc w:val="center"/>
              <w:rPr>
                <w:rFonts w:ascii="Cambria" w:hAnsi="Cambria"/>
                <w:b/>
                <w:bCs/>
                <w:color w:val="FFFFFF" w:themeColor="background1"/>
                <w:sz w:val="20"/>
                <w:szCs w:val="20"/>
                <w:lang w:val="es-ES"/>
              </w:rPr>
            </w:pPr>
            <w:r w:rsidRPr="00F958A1">
              <w:rPr>
                <w:rFonts w:ascii="Cambria" w:hAnsi="Cambria"/>
                <w:b/>
                <w:color w:val="FFFFFF" w:themeColor="background1"/>
                <w:sz w:val="20"/>
                <w:szCs w:val="20"/>
                <w:lang w:val="es-ES"/>
              </w:rPr>
              <w:t>N</w:t>
            </w:r>
            <w:r w:rsidR="004C2312" w:rsidRPr="00F958A1">
              <w:rPr>
                <w:rFonts w:ascii="Cambria" w:hAnsi="Cambria"/>
                <w:b/>
                <w:color w:val="FFFFFF" w:themeColor="background1"/>
                <w:sz w:val="20"/>
                <w:szCs w:val="20"/>
                <w:lang w:val="es-ES"/>
              </w:rPr>
              <w:t>otificación de la petición al Estado:</w:t>
            </w:r>
          </w:p>
        </w:tc>
        <w:tc>
          <w:tcPr>
            <w:tcW w:w="5760" w:type="dxa"/>
            <w:vAlign w:val="center"/>
          </w:tcPr>
          <w:p w14:paraId="1519DA6A" w14:textId="37867720" w:rsidR="004C2312" w:rsidRPr="00F958A1" w:rsidRDefault="0032040B" w:rsidP="008D2290">
            <w:pPr>
              <w:jc w:val="both"/>
              <w:rPr>
                <w:rFonts w:ascii="Cambria" w:hAnsi="Cambria"/>
                <w:bCs/>
                <w:sz w:val="20"/>
                <w:szCs w:val="20"/>
                <w:lang w:val="es-ES"/>
              </w:rPr>
            </w:pPr>
            <w:r w:rsidRPr="00F958A1">
              <w:rPr>
                <w:rFonts w:ascii="Cambria" w:hAnsi="Cambria"/>
                <w:bCs/>
                <w:sz w:val="20"/>
                <w:szCs w:val="20"/>
                <w:lang w:val="es-ES"/>
              </w:rPr>
              <w:t>28 de marzo de 2016</w:t>
            </w:r>
          </w:p>
        </w:tc>
      </w:tr>
      <w:tr w:rsidR="004C2312" w:rsidRPr="00F958A1"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F958A1" w:rsidRDefault="004A6A54" w:rsidP="004A6A54">
            <w:pPr>
              <w:jc w:val="center"/>
              <w:rPr>
                <w:rFonts w:ascii="Cambria" w:hAnsi="Cambria"/>
                <w:b/>
                <w:bCs/>
                <w:color w:val="FFFFFF" w:themeColor="background1"/>
                <w:sz w:val="20"/>
                <w:szCs w:val="20"/>
                <w:lang w:val="es-ES"/>
              </w:rPr>
            </w:pPr>
            <w:r w:rsidRPr="00F958A1">
              <w:rPr>
                <w:rFonts w:ascii="Cambria" w:hAnsi="Cambria"/>
                <w:b/>
                <w:color w:val="FFFFFF" w:themeColor="background1"/>
                <w:sz w:val="20"/>
                <w:szCs w:val="20"/>
                <w:lang w:val="es-ES"/>
              </w:rPr>
              <w:t>P</w:t>
            </w:r>
            <w:r w:rsidR="004C2312" w:rsidRPr="00F958A1">
              <w:rPr>
                <w:rFonts w:ascii="Cambria" w:hAnsi="Cambria"/>
                <w:b/>
                <w:color w:val="FFFFFF" w:themeColor="background1"/>
                <w:sz w:val="20"/>
                <w:szCs w:val="20"/>
                <w:lang w:val="es-ES"/>
              </w:rPr>
              <w:t>rimera respuesta del Estado:</w:t>
            </w:r>
          </w:p>
        </w:tc>
        <w:tc>
          <w:tcPr>
            <w:tcW w:w="5760" w:type="dxa"/>
            <w:vAlign w:val="center"/>
          </w:tcPr>
          <w:p w14:paraId="1972B99E" w14:textId="047B1F3D" w:rsidR="004C2312" w:rsidRPr="00F958A1" w:rsidRDefault="0032040B" w:rsidP="008D2290">
            <w:pPr>
              <w:jc w:val="both"/>
              <w:rPr>
                <w:rFonts w:ascii="Cambria" w:hAnsi="Cambria"/>
                <w:bCs/>
                <w:sz w:val="20"/>
                <w:szCs w:val="20"/>
                <w:lang w:val="es-ES"/>
              </w:rPr>
            </w:pPr>
            <w:r w:rsidRPr="00F958A1">
              <w:rPr>
                <w:rFonts w:ascii="Cambria" w:hAnsi="Cambria"/>
                <w:bCs/>
                <w:sz w:val="20"/>
                <w:szCs w:val="20"/>
                <w:lang w:val="es-ES"/>
              </w:rPr>
              <w:t>13 de octubre de 2017</w:t>
            </w:r>
          </w:p>
        </w:tc>
      </w:tr>
      <w:tr w:rsidR="001E49E7" w:rsidRPr="00F958A1"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F958A1" w:rsidRDefault="004A6A54" w:rsidP="00DD4AD2">
            <w:pPr>
              <w:jc w:val="center"/>
              <w:rPr>
                <w:rFonts w:ascii="Cambria" w:hAnsi="Cambria"/>
                <w:b/>
                <w:bCs/>
                <w:color w:val="FFFFFF" w:themeColor="background1"/>
                <w:sz w:val="20"/>
                <w:szCs w:val="20"/>
                <w:lang w:val="es-ES"/>
              </w:rPr>
            </w:pPr>
            <w:r w:rsidRPr="00F958A1">
              <w:rPr>
                <w:rFonts w:ascii="Cambria" w:hAnsi="Cambria"/>
                <w:b/>
                <w:bCs/>
                <w:color w:val="FFFFFF" w:themeColor="background1"/>
                <w:sz w:val="20"/>
                <w:szCs w:val="20"/>
                <w:lang w:val="es-ES"/>
              </w:rPr>
              <w:t>A</w:t>
            </w:r>
            <w:r w:rsidR="001E49E7" w:rsidRPr="00F958A1">
              <w:rPr>
                <w:rFonts w:ascii="Cambria" w:hAnsi="Cambria"/>
                <w:b/>
                <w:bCs/>
                <w:color w:val="FFFFFF" w:themeColor="background1"/>
                <w:sz w:val="20"/>
                <w:szCs w:val="20"/>
                <w:lang w:val="es-ES"/>
              </w:rPr>
              <w:t>dvertencia sobre posible archivo:</w:t>
            </w:r>
          </w:p>
        </w:tc>
        <w:tc>
          <w:tcPr>
            <w:tcW w:w="5760" w:type="dxa"/>
            <w:vAlign w:val="center"/>
          </w:tcPr>
          <w:p w14:paraId="5500808B" w14:textId="6710A2D1" w:rsidR="001E49E7" w:rsidRPr="00F958A1" w:rsidRDefault="0032040B" w:rsidP="002625EA">
            <w:pPr>
              <w:jc w:val="both"/>
              <w:rPr>
                <w:rFonts w:ascii="Cambria" w:hAnsi="Cambria"/>
                <w:bCs/>
                <w:sz w:val="20"/>
                <w:szCs w:val="20"/>
                <w:lang w:val="es-ES"/>
              </w:rPr>
            </w:pPr>
            <w:r w:rsidRPr="00F958A1">
              <w:rPr>
                <w:rFonts w:ascii="Cambria" w:hAnsi="Cambria"/>
                <w:bCs/>
                <w:sz w:val="20"/>
                <w:szCs w:val="20"/>
                <w:lang w:val="es-ES"/>
              </w:rPr>
              <w:t>30 de julio de 2024</w:t>
            </w:r>
          </w:p>
        </w:tc>
      </w:tr>
      <w:tr w:rsidR="001E49E7" w:rsidRPr="00F958A1"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F958A1" w:rsidRDefault="004A6A54" w:rsidP="004A6A54">
            <w:pPr>
              <w:jc w:val="center"/>
              <w:rPr>
                <w:rFonts w:ascii="Cambria" w:hAnsi="Cambria"/>
                <w:b/>
                <w:bCs/>
                <w:color w:val="FFFFFF" w:themeColor="background1"/>
                <w:sz w:val="20"/>
                <w:szCs w:val="20"/>
                <w:lang w:val="es-ES"/>
              </w:rPr>
            </w:pPr>
            <w:r w:rsidRPr="00F958A1">
              <w:rPr>
                <w:rFonts w:ascii="Cambria" w:hAnsi="Cambria"/>
                <w:b/>
                <w:bCs/>
                <w:color w:val="FFFFFF" w:themeColor="background1"/>
                <w:sz w:val="20"/>
                <w:szCs w:val="20"/>
                <w:lang w:val="es-ES"/>
              </w:rPr>
              <w:t>R</w:t>
            </w:r>
            <w:r w:rsidR="001E49E7" w:rsidRPr="00F958A1">
              <w:rPr>
                <w:rFonts w:ascii="Cambria" w:hAnsi="Cambria"/>
                <w:b/>
                <w:bCs/>
                <w:color w:val="FFFFFF" w:themeColor="background1"/>
                <w:sz w:val="20"/>
                <w:szCs w:val="20"/>
                <w:lang w:val="es-ES"/>
              </w:rPr>
              <w:t xml:space="preserve">espuesta de la parte peticionaria ante advertencia </w:t>
            </w:r>
            <w:r w:rsidR="00DD4AD2" w:rsidRPr="00F958A1">
              <w:rPr>
                <w:rFonts w:ascii="Cambria" w:hAnsi="Cambria"/>
                <w:b/>
                <w:bCs/>
                <w:color w:val="FFFFFF" w:themeColor="background1"/>
                <w:sz w:val="20"/>
                <w:szCs w:val="20"/>
                <w:lang w:val="es-ES"/>
              </w:rPr>
              <w:t xml:space="preserve">de </w:t>
            </w:r>
            <w:r w:rsidR="001E49E7" w:rsidRPr="00F958A1">
              <w:rPr>
                <w:rFonts w:ascii="Cambria" w:hAnsi="Cambria"/>
                <w:b/>
                <w:bCs/>
                <w:color w:val="FFFFFF" w:themeColor="background1"/>
                <w:sz w:val="20"/>
                <w:szCs w:val="20"/>
                <w:lang w:val="es-ES"/>
              </w:rPr>
              <w:t>posible archivo:</w:t>
            </w:r>
          </w:p>
        </w:tc>
        <w:tc>
          <w:tcPr>
            <w:tcW w:w="5760" w:type="dxa"/>
            <w:vAlign w:val="center"/>
          </w:tcPr>
          <w:p w14:paraId="24E176E2" w14:textId="3387AFF0" w:rsidR="001E49E7" w:rsidRPr="00F958A1" w:rsidRDefault="0032040B" w:rsidP="002625EA">
            <w:pPr>
              <w:jc w:val="both"/>
              <w:rPr>
                <w:rFonts w:ascii="Cambria" w:hAnsi="Cambria"/>
                <w:bCs/>
                <w:sz w:val="20"/>
                <w:szCs w:val="20"/>
                <w:lang w:val="es-ES"/>
              </w:rPr>
            </w:pPr>
            <w:r w:rsidRPr="00F958A1">
              <w:rPr>
                <w:rFonts w:ascii="Cambria" w:hAnsi="Cambria"/>
                <w:bCs/>
                <w:sz w:val="20"/>
                <w:szCs w:val="20"/>
                <w:lang w:val="es-ES"/>
              </w:rPr>
              <w:t>15 de octubre de 2024</w:t>
            </w:r>
          </w:p>
        </w:tc>
      </w:tr>
    </w:tbl>
    <w:p w14:paraId="21DAA666" w14:textId="77777777" w:rsidR="003239B8" w:rsidRPr="00F958A1" w:rsidRDefault="003239B8" w:rsidP="003239B8">
      <w:pPr>
        <w:spacing w:before="240" w:after="240"/>
        <w:ind w:firstLine="720"/>
        <w:jc w:val="both"/>
        <w:rPr>
          <w:rFonts w:asciiTheme="majorHAnsi" w:hAnsiTheme="majorHAnsi"/>
          <w:b/>
          <w:bCs/>
          <w:sz w:val="20"/>
          <w:szCs w:val="20"/>
          <w:lang w:val="es-ES"/>
        </w:rPr>
      </w:pPr>
      <w:r w:rsidRPr="00F958A1">
        <w:rPr>
          <w:rFonts w:asciiTheme="majorHAnsi" w:hAnsiTheme="majorHAnsi"/>
          <w:b/>
          <w:bCs/>
          <w:sz w:val="20"/>
          <w:szCs w:val="20"/>
          <w:lang w:val="es-ES"/>
        </w:rPr>
        <w:t xml:space="preserve">III. </w:t>
      </w:r>
      <w:r w:rsidRPr="00F958A1">
        <w:rPr>
          <w:rFonts w:asciiTheme="majorHAnsi" w:hAnsiTheme="majorHAnsi"/>
          <w:b/>
          <w:bCs/>
          <w:sz w:val="20"/>
          <w:szCs w:val="20"/>
          <w:lang w:val="es-ES"/>
        </w:rPr>
        <w:tab/>
        <w:t>COMPETENCIA</w:t>
      </w:r>
      <w:r w:rsidR="00EE00E9" w:rsidRPr="00F958A1">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F958A1" w14:paraId="072532AD" w14:textId="77777777" w:rsidTr="007E3027">
        <w:trPr>
          <w:cantSplit/>
        </w:trPr>
        <w:tc>
          <w:tcPr>
            <w:tcW w:w="3561" w:type="dxa"/>
            <w:tcBorders>
              <w:top w:val="single" w:sz="4" w:space="0" w:color="auto"/>
              <w:bottom w:val="single" w:sz="6" w:space="0" w:color="auto"/>
            </w:tcBorders>
            <w:shd w:val="clear" w:color="auto" w:fill="386294"/>
            <w:vAlign w:val="center"/>
          </w:tcPr>
          <w:p w14:paraId="5C2E4B34" w14:textId="77777777" w:rsidR="003239B8" w:rsidRPr="00F958A1" w:rsidRDefault="003239B8" w:rsidP="008D2290">
            <w:pPr>
              <w:jc w:val="center"/>
              <w:rPr>
                <w:rFonts w:ascii="Cambria" w:hAnsi="Cambria"/>
                <w:b/>
                <w:bCs/>
                <w:i/>
                <w:color w:val="FFFFFF" w:themeColor="background1"/>
                <w:sz w:val="20"/>
                <w:szCs w:val="20"/>
              </w:rPr>
            </w:pPr>
            <w:r w:rsidRPr="00F958A1">
              <w:rPr>
                <w:rFonts w:ascii="Cambria" w:hAnsi="Cambria"/>
                <w:b/>
                <w:bCs/>
                <w:color w:val="FFFFFF" w:themeColor="background1"/>
                <w:sz w:val="20"/>
                <w:szCs w:val="20"/>
              </w:rPr>
              <w:t>Competencia</w:t>
            </w:r>
            <w:r w:rsidRPr="00F958A1">
              <w:rPr>
                <w:rFonts w:ascii="Cambria" w:hAnsi="Cambria"/>
                <w:b/>
                <w:bCs/>
                <w:i/>
                <w:color w:val="FFFFFF" w:themeColor="background1"/>
                <w:sz w:val="20"/>
                <w:szCs w:val="20"/>
              </w:rPr>
              <w:t xml:space="preserve"> Ratione personae:</w:t>
            </w:r>
          </w:p>
        </w:tc>
        <w:tc>
          <w:tcPr>
            <w:tcW w:w="5776" w:type="dxa"/>
            <w:vAlign w:val="center"/>
          </w:tcPr>
          <w:p w14:paraId="7707F3E9" w14:textId="20FEE976" w:rsidR="003239B8" w:rsidRPr="00F958A1" w:rsidRDefault="0032040B" w:rsidP="008D2290">
            <w:pPr>
              <w:rPr>
                <w:rFonts w:ascii="Cambria" w:hAnsi="Cambria"/>
                <w:bCs/>
                <w:sz w:val="20"/>
                <w:szCs w:val="20"/>
              </w:rPr>
            </w:pPr>
            <w:r w:rsidRPr="00F958A1">
              <w:rPr>
                <w:rFonts w:ascii="Cambria" w:hAnsi="Cambria"/>
                <w:bCs/>
                <w:sz w:val="20"/>
                <w:szCs w:val="20"/>
              </w:rPr>
              <w:t>Sí</w:t>
            </w:r>
          </w:p>
        </w:tc>
      </w:tr>
      <w:tr w:rsidR="003239B8" w:rsidRPr="00F958A1" w14:paraId="4B8802DA" w14:textId="77777777" w:rsidTr="007E3027">
        <w:trPr>
          <w:cantSplit/>
        </w:trPr>
        <w:tc>
          <w:tcPr>
            <w:tcW w:w="3561" w:type="dxa"/>
            <w:tcBorders>
              <w:top w:val="single" w:sz="6" w:space="0" w:color="auto"/>
              <w:bottom w:val="single" w:sz="6" w:space="0" w:color="auto"/>
            </w:tcBorders>
            <w:shd w:val="clear" w:color="auto" w:fill="386294"/>
            <w:vAlign w:val="center"/>
          </w:tcPr>
          <w:p w14:paraId="3915C23B" w14:textId="77777777" w:rsidR="003239B8" w:rsidRPr="00F958A1" w:rsidRDefault="003239B8" w:rsidP="008D2290">
            <w:pPr>
              <w:jc w:val="center"/>
              <w:rPr>
                <w:rFonts w:ascii="Cambria" w:hAnsi="Cambria"/>
                <w:b/>
                <w:bCs/>
                <w:color w:val="FFFFFF" w:themeColor="background1"/>
                <w:sz w:val="20"/>
                <w:szCs w:val="20"/>
              </w:rPr>
            </w:pPr>
            <w:r w:rsidRPr="00F958A1">
              <w:rPr>
                <w:rFonts w:ascii="Cambria" w:hAnsi="Cambria"/>
                <w:b/>
                <w:bCs/>
                <w:color w:val="FFFFFF" w:themeColor="background1"/>
                <w:sz w:val="20"/>
                <w:szCs w:val="20"/>
              </w:rPr>
              <w:t>Competencia</w:t>
            </w:r>
            <w:r w:rsidRPr="00F958A1">
              <w:rPr>
                <w:rFonts w:ascii="Cambria" w:hAnsi="Cambria"/>
                <w:b/>
                <w:bCs/>
                <w:i/>
                <w:color w:val="FFFFFF" w:themeColor="background1"/>
                <w:sz w:val="20"/>
                <w:szCs w:val="20"/>
              </w:rPr>
              <w:t xml:space="preserve"> Ratione loci</w:t>
            </w:r>
            <w:r w:rsidRPr="00F958A1">
              <w:rPr>
                <w:rFonts w:ascii="Cambria" w:hAnsi="Cambria"/>
                <w:b/>
                <w:bCs/>
                <w:color w:val="FFFFFF" w:themeColor="background1"/>
                <w:sz w:val="20"/>
                <w:szCs w:val="20"/>
              </w:rPr>
              <w:t>:</w:t>
            </w:r>
          </w:p>
        </w:tc>
        <w:tc>
          <w:tcPr>
            <w:tcW w:w="5776" w:type="dxa"/>
            <w:vAlign w:val="center"/>
          </w:tcPr>
          <w:p w14:paraId="12C931CB" w14:textId="6C57846B" w:rsidR="003239B8" w:rsidRPr="00F958A1" w:rsidRDefault="0032040B" w:rsidP="008D2290">
            <w:pPr>
              <w:rPr>
                <w:rFonts w:ascii="Cambria" w:hAnsi="Cambria"/>
                <w:bCs/>
                <w:sz w:val="20"/>
                <w:szCs w:val="20"/>
              </w:rPr>
            </w:pPr>
            <w:r w:rsidRPr="00F958A1">
              <w:rPr>
                <w:rFonts w:ascii="Cambria" w:hAnsi="Cambria"/>
                <w:bCs/>
                <w:sz w:val="20"/>
                <w:szCs w:val="20"/>
              </w:rPr>
              <w:t>Sí</w:t>
            </w:r>
          </w:p>
        </w:tc>
      </w:tr>
      <w:tr w:rsidR="003239B8" w:rsidRPr="00F958A1" w14:paraId="4362FDF3" w14:textId="77777777" w:rsidTr="007E3027">
        <w:trPr>
          <w:cantSplit/>
        </w:trPr>
        <w:tc>
          <w:tcPr>
            <w:tcW w:w="3561" w:type="dxa"/>
            <w:tcBorders>
              <w:top w:val="single" w:sz="6" w:space="0" w:color="auto"/>
              <w:bottom w:val="single" w:sz="6" w:space="0" w:color="auto"/>
            </w:tcBorders>
            <w:shd w:val="clear" w:color="auto" w:fill="386294"/>
            <w:vAlign w:val="center"/>
          </w:tcPr>
          <w:p w14:paraId="3BE23153" w14:textId="77777777" w:rsidR="003239B8" w:rsidRPr="00F958A1" w:rsidRDefault="003239B8" w:rsidP="008D2290">
            <w:pPr>
              <w:jc w:val="center"/>
              <w:rPr>
                <w:rFonts w:ascii="Cambria" w:hAnsi="Cambria"/>
                <w:b/>
                <w:bCs/>
                <w:color w:val="FFFFFF" w:themeColor="background1"/>
                <w:sz w:val="20"/>
                <w:szCs w:val="20"/>
              </w:rPr>
            </w:pPr>
            <w:r w:rsidRPr="00F958A1">
              <w:rPr>
                <w:rFonts w:ascii="Cambria" w:hAnsi="Cambria"/>
                <w:b/>
                <w:bCs/>
                <w:color w:val="FFFFFF" w:themeColor="background1"/>
                <w:sz w:val="20"/>
                <w:szCs w:val="20"/>
              </w:rPr>
              <w:t>Competencia</w:t>
            </w:r>
            <w:r w:rsidRPr="00F958A1">
              <w:rPr>
                <w:rFonts w:ascii="Cambria" w:hAnsi="Cambria"/>
                <w:b/>
                <w:bCs/>
                <w:i/>
                <w:color w:val="FFFFFF" w:themeColor="background1"/>
                <w:sz w:val="20"/>
                <w:szCs w:val="20"/>
              </w:rPr>
              <w:t xml:space="preserve"> Ratione temporis</w:t>
            </w:r>
            <w:r w:rsidRPr="00F958A1">
              <w:rPr>
                <w:rFonts w:ascii="Cambria" w:hAnsi="Cambria"/>
                <w:b/>
                <w:bCs/>
                <w:color w:val="FFFFFF" w:themeColor="background1"/>
                <w:sz w:val="20"/>
                <w:szCs w:val="20"/>
              </w:rPr>
              <w:t>:</w:t>
            </w:r>
          </w:p>
        </w:tc>
        <w:tc>
          <w:tcPr>
            <w:tcW w:w="5776" w:type="dxa"/>
            <w:vAlign w:val="center"/>
          </w:tcPr>
          <w:p w14:paraId="6F8B059B" w14:textId="6AB56F53" w:rsidR="003239B8" w:rsidRPr="00F958A1" w:rsidRDefault="0032040B" w:rsidP="008D2290">
            <w:pPr>
              <w:rPr>
                <w:rFonts w:ascii="Cambria" w:hAnsi="Cambria"/>
                <w:bCs/>
                <w:sz w:val="20"/>
                <w:szCs w:val="20"/>
              </w:rPr>
            </w:pPr>
            <w:r w:rsidRPr="00F958A1">
              <w:rPr>
                <w:rFonts w:ascii="Cambria" w:hAnsi="Cambria"/>
                <w:bCs/>
                <w:sz w:val="20"/>
                <w:szCs w:val="20"/>
              </w:rPr>
              <w:t>Sí</w:t>
            </w:r>
          </w:p>
        </w:tc>
      </w:tr>
      <w:tr w:rsidR="003239B8" w:rsidRPr="000D3E32" w14:paraId="30ABEC3E" w14:textId="77777777" w:rsidTr="007E3027">
        <w:trPr>
          <w:cantSplit/>
        </w:trPr>
        <w:tc>
          <w:tcPr>
            <w:tcW w:w="3561" w:type="dxa"/>
            <w:tcBorders>
              <w:top w:val="single" w:sz="6" w:space="0" w:color="auto"/>
              <w:bottom w:val="single" w:sz="6" w:space="0" w:color="auto"/>
            </w:tcBorders>
            <w:shd w:val="clear" w:color="auto" w:fill="386294"/>
            <w:vAlign w:val="center"/>
          </w:tcPr>
          <w:p w14:paraId="47B529D2" w14:textId="77777777" w:rsidR="003239B8" w:rsidRPr="00F958A1" w:rsidRDefault="003239B8" w:rsidP="008D2290">
            <w:pPr>
              <w:jc w:val="center"/>
              <w:rPr>
                <w:rFonts w:ascii="Cambria" w:hAnsi="Cambria"/>
                <w:b/>
                <w:bCs/>
                <w:color w:val="FFFFFF" w:themeColor="background1"/>
                <w:sz w:val="20"/>
                <w:szCs w:val="20"/>
              </w:rPr>
            </w:pPr>
            <w:r w:rsidRPr="00F958A1">
              <w:rPr>
                <w:rFonts w:ascii="Cambria" w:hAnsi="Cambria"/>
                <w:b/>
                <w:bCs/>
                <w:color w:val="FFFFFF" w:themeColor="background1"/>
                <w:sz w:val="20"/>
                <w:szCs w:val="20"/>
              </w:rPr>
              <w:t>Competencia</w:t>
            </w:r>
            <w:r w:rsidRPr="00F958A1">
              <w:rPr>
                <w:rFonts w:ascii="Cambria" w:hAnsi="Cambria"/>
                <w:b/>
                <w:bCs/>
                <w:i/>
                <w:color w:val="FFFFFF" w:themeColor="background1"/>
                <w:sz w:val="20"/>
                <w:szCs w:val="20"/>
              </w:rPr>
              <w:t xml:space="preserve"> Ratione materia</w:t>
            </w:r>
            <w:r w:rsidR="00EE00E9" w:rsidRPr="00F958A1">
              <w:rPr>
                <w:rFonts w:ascii="Cambria" w:hAnsi="Cambria"/>
                <w:b/>
                <w:bCs/>
                <w:i/>
                <w:color w:val="FFFFFF" w:themeColor="background1"/>
                <w:sz w:val="20"/>
                <w:szCs w:val="20"/>
              </w:rPr>
              <w:t>e</w:t>
            </w:r>
            <w:r w:rsidRPr="00F958A1">
              <w:rPr>
                <w:rFonts w:ascii="Cambria" w:hAnsi="Cambria"/>
                <w:b/>
                <w:bCs/>
                <w:color w:val="FFFFFF" w:themeColor="background1"/>
                <w:sz w:val="20"/>
                <w:szCs w:val="20"/>
              </w:rPr>
              <w:t>:</w:t>
            </w:r>
          </w:p>
        </w:tc>
        <w:tc>
          <w:tcPr>
            <w:tcW w:w="5776" w:type="dxa"/>
            <w:vAlign w:val="center"/>
          </w:tcPr>
          <w:p w14:paraId="0C122F44" w14:textId="09318C59" w:rsidR="003239B8" w:rsidRPr="00F958A1" w:rsidRDefault="0032040B" w:rsidP="008D2290">
            <w:pPr>
              <w:jc w:val="both"/>
              <w:rPr>
                <w:rFonts w:ascii="Cambria" w:hAnsi="Cambria"/>
                <w:bCs/>
                <w:sz w:val="20"/>
                <w:szCs w:val="20"/>
                <w:lang w:val="es-ES"/>
              </w:rPr>
            </w:pPr>
            <w:r w:rsidRPr="00F958A1">
              <w:rPr>
                <w:rFonts w:ascii="Cambria" w:hAnsi="Cambria"/>
                <w:bCs/>
                <w:sz w:val="20"/>
                <w:szCs w:val="20"/>
                <w:lang w:val="es-ES"/>
              </w:rPr>
              <w:t>Sí, Convención Americana (depósito del instrumento de ratificación realizado 5 de septiembre de 1984)</w:t>
            </w:r>
          </w:p>
        </w:tc>
      </w:tr>
    </w:tbl>
    <w:p w14:paraId="4E92C444" w14:textId="140CB1E7" w:rsidR="003239B8" w:rsidRPr="00F958A1" w:rsidRDefault="003239B8" w:rsidP="007E3027">
      <w:pPr>
        <w:spacing w:before="240" w:after="240"/>
        <w:ind w:firstLine="720"/>
        <w:jc w:val="both"/>
        <w:rPr>
          <w:rFonts w:asciiTheme="majorHAnsi" w:hAnsiTheme="majorHAnsi"/>
          <w:b/>
          <w:bCs/>
          <w:sz w:val="20"/>
          <w:szCs w:val="20"/>
          <w:lang w:val="es-ES"/>
        </w:rPr>
      </w:pPr>
      <w:r w:rsidRPr="00F958A1">
        <w:rPr>
          <w:rFonts w:asciiTheme="majorHAnsi" w:hAnsiTheme="majorHAnsi"/>
          <w:b/>
          <w:bCs/>
          <w:sz w:val="20"/>
          <w:szCs w:val="20"/>
          <w:lang w:val="es-ES"/>
        </w:rPr>
        <w:t xml:space="preserve">IV. </w:t>
      </w:r>
      <w:r w:rsidRPr="00F958A1">
        <w:rPr>
          <w:rFonts w:asciiTheme="majorHAnsi" w:hAnsiTheme="majorHAnsi"/>
          <w:b/>
          <w:bCs/>
          <w:sz w:val="20"/>
          <w:szCs w:val="20"/>
          <w:lang w:val="es-ES"/>
        </w:rPr>
        <w:tab/>
      </w:r>
      <w:r w:rsidR="00EE00E9" w:rsidRPr="00F958A1">
        <w:rPr>
          <w:rFonts w:asciiTheme="majorHAnsi" w:hAnsiTheme="majorHAnsi"/>
          <w:b/>
          <w:bCs/>
          <w:sz w:val="20"/>
          <w:szCs w:val="20"/>
          <w:lang w:val="es-ES"/>
        </w:rPr>
        <w:t>DUPLICACIÓN</w:t>
      </w:r>
      <w:r w:rsidR="00EE00E9" w:rsidRPr="00F958A1">
        <w:rPr>
          <w:rFonts w:asciiTheme="majorHAnsi" w:hAnsiTheme="majorHAnsi"/>
          <w:b/>
          <w:bCs/>
          <w:color w:val="FFFFFF" w:themeColor="background1"/>
          <w:sz w:val="20"/>
          <w:szCs w:val="20"/>
          <w:lang w:val="es-ES"/>
        </w:rPr>
        <w:t xml:space="preserve"> </w:t>
      </w:r>
      <w:r w:rsidR="00EE00E9" w:rsidRPr="00F958A1">
        <w:rPr>
          <w:rFonts w:asciiTheme="majorHAnsi" w:hAnsiTheme="majorHAnsi"/>
          <w:b/>
          <w:bCs/>
          <w:sz w:val="20"/>
          <w:szCs w:val="20"/>
          <w:lang w:val="es-ES"/>
        </w:rPr>
        <w:t>DE PROCEDIMIENTOS Y COSA JUZGADA</w:t>
      </w:r>
      <w:r w:rsidR="00EE00E9" w:rsidRPr="00F958A1">
        <w:rPr>
          <w:rFonts w:asciiTheme="majorHAnsi" w:hAnsiTheme="majorHAnsi"/>
          <w:b/>
          <w:bCs/>
          <w:i/>
          <w:sz w:val="20"/>
          <w:szCs w:val="20"/>
          <w:lang w:val="es-ES"/>
        </w:rPr>
        <w:t xml:space="preserve"> </w:t>
      </w:r>
      <w:r w:rsidR="00EE00E9" w:rsidRPr="00F958A1">
        <w:rPr>
          <w:rFonts w:asciiTheme="majorHAnsi" w:hAnsiTheme="majorHAnsi"/>
          <w:b/>
          <w:bCs/>
          <w:sz w:val="20"/>
          <w:szCs w:val="20"/>
          <w:lang w:val="es-ES"/>
        </w:rPr>
        <w:t>INTERNACIONAL</w:t>
      </w:r>
      <w:r w:rsidR="005D38F9" w:rsidRPr="00F958A1">
        <w:rPr>
          <w:rFonts w:asciiTheme="majorHAnsi" w:hAnsiTheme="majorHAnsi"/>
          <w:b/>
          <w:bCs/>
          <w:sz w:val="20"/>
          <w:szCs w:val="20"/>
          <w:lang w:val="es-ES"/>
        </w:rPr>
        <w:t>,</w:t>
      </w:r>
      <w:r w:rsidRPr="00F958A1">
        <w:rPr>
          <w:rFonts w:asciiTheme="majorHAnsi" w:hAnsiTheme="majorHAnsi"/>
          <w:b/>
          <w:bCs/>
          <w:sz w:val="20"/>
          <w:szCs w:val="20"/>
          <w:lang w:val="es-ES"/>
        </w:rPr>
        <w:t xml:space="preserve"> CARACTERIZACIÓN, </w:t>
      </w:r>
      <w:r w:rsidRPr="00F958A1">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F958A1" w14:paraId="1231C988" w14:textId="77777777" w:rsidTr="007E3027">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F958A1" w:rsidRDefault="00EE00E9" w:rsidP="008D2290">
            <w:pPr>
              <w:jc w:val="center"/>
              <w:rPr>
                <w:rFonts w:ascii="Cambria" w:hAnsi="Cambria"/>
                <w:b/>
                <w:bCs/>
                <w:color w:val="FFFFFF" w:themeColor="background1"/>
                <w:sz w:val="20"/>
                <w:szCs w:val="20"/>
                <w:lang w:val="es-ES"/>
              </w:rPr>
            </w:pPr>
            <w:r w:rsidRPr="00F958A1">
              <w:rPr>
                <w:rFonts w:ascii="Cambria" w:hAnsi="Cambria"/>
                <w:b/>
                <w:bCs/>
                <w:color w:val="FFFFFF" w:themeColor="background1"/>
                <w:sz w:val="20"/>
                <w:szCs w:val="20"/>
                <w:lang w:val="es-ES"/>
              </w:rPr>
              <w:t>Duplicación de procedimientos y cosa juzgada internacional:</w:t>
            </w:r>
          </w:p>
        </w:tc>
        <w:tc>
          <w:tcPr>
            <w:tcW w:w="5771" w:type="dxa"/>
            <w:vAlign w:val="center"/>
          </w:tcPr>
          <w:p w14:paraId="240941E6" w14:textId="638FC78B" w:rsidR="00EE00E9" w:rsidRPr="00F958A1" w:rsidRDefault="00E14A18" w:rsidP="008D2290">
            <w:pPr>
              <w:jc w:val="both"/>
              <w:rPr>
                <w:rFonts w:ascii="Cambria" w:hAnsi="Cambria"/>
                <w:bCs/>
                <w:sz w:val="20"/>
                <w:szCs w:val="20"/>
                <w:lang w:val="es-ES"/>
              </w:rPr>
            </w:pPr>
            <w:r w:rsidRPr="00F958A1">
              <w:rPr>
                <w:rFonts w:ascii="Cambria" w:hAnsi="Cambria"/>
                <w:bCs/>
                <w:sz w:val="20"/>
                <w:szCs w:val="20"/>
                <w:lang w:val="es-ES"/>
              </w:rPr>
              <w:t>No</w:t>
            </w:r>
          </w:p>
        </w:tc>
      </w:tr>
      <w:tr w:rsidR="003239B8" w:rsidRPr="00F958A1" w14:paraId="15FAA7D1" w14:textId="77777777" w:rsidTr="007E3027">
        <w:trPr>
          <w:cantSplit/>
        </w:trPr>
        <w:tc>
          <w:tcPr>
            <w:tcW w:w="3566" w:type="dxa"/>
            <w:tcBorders>
              <w:top w:val="single" w:sz="4" w:space="0" w:color="auto"/>
              <w:bottom w:val="single" w:sz="6" w:space="0" w:color="auto"/>
            </w:tcBorders>
            <w:shd w:val="clear" w:color="auto" w:fill="386294"/>
            <w:vAlign w:val="center"/>
          </w:tcPr>
          <w:p w14:paraId="1B0D29FF" w14:textId="77777777" w:rsidR="003239B8" w:rsidRPr="00F958A1" w:rsidRDefault="003239B8" w:rsidP="008D2290">
            <w:pPr>
              <w:jc w:val="center"/>
              <w:rPr>
                <w:rFonts w:ascii="Cambria" w:hAnsi="Cambria"/>
                <w:b/>
                <w:bCs/>
                <w:i/>
                <w:color w:val="FFFFFF" w:themeColor="background1"/>
                <w:sz w:val="20"/>
                <w:szCs w:val="20"/>
              </w:rPr>
            </w:pPr>
            <w:r w:rsidRPr="00F958A1">
              <w:rPr>
                <w:rFonts w:ascii="Cambria" w:hAnsi="Cambria"/>
                <w:b/>
                <w:bCs/>
                <w:color w:val="FFFFFF" w:themeColor="background1"/>
                <w:sz w:val="20"/>
                <w:szCs w:val="20"/>
              </w:rPr>
              <w:t>Derechos declarados admisibles</w:t>
            </w:r>
            <w:r w:rsidRPr="00F958A1">
              <w:rPr>
                <w:rFonts w:ascii="Cambria" w:hAnsi="Cambria"/>
                <w:b/>
                <w:bCs/>
                <w:i/>
                <w:color w:val="FFFFFF" w:themeColor="background1"/>
                <w:sz w:val="20"/>
                <w:szCs w:val="20"/>
              </w:rPr>
              <w:t>:</w:t>
            </w:r>
          </w:p>
        </w:tc>
        <w:tc>
          <w:tcPr>
            <w:tcW w:w="5771" w:type="dxa"/>
            <w:vAlign w:val="center"/>
          </w:tcPr>
          <w:p w14:paraId="6310C8F7" w14:textId="290400EE" w:rsidR="003239B8" w:rsidRPr="00F958A1" w:rsidRDefault="00E14A18" w:rsidP="008D2290">
            <w:pPr>
              <w:jc w:val="both"/>
              <w:rPr>
                <w:rFonts w:ascii="Cambria" w:hAnsi="Cambria"/>
                <w:bCs/>
                <w:sz w:val="20"/>
                <w:szCs w:val="20"/>
              </w:rPr>
            </w:pPr>
            <w:r w:rsidRPr="00F958A1">
              <w:rPr>
                <w:rFonts w:ascii="Cambria" w:hAnsi="Cambria"/>
                <w:bCs/>
                <w:sz w:val="20"/>
                <w:szCs w:val="20"/>
              </w:rPr>
              <w:t>N/</w:t>
            </w:r>
            <w:r w:rsidR="007E3027" w:rsidRPr="00F958A1">
              <w:rPr>
                <w:rFonts w:ascii="Cambria" w:hAnsi="Cambria"/>
                <w:bCs/>
                <w:sz w:val="20"/>
                <w:szCs w:val="20"/>
              </w:rPr>
              <w:t>A</w:t>
            </w:r>
          </w:p>
        </w:tc>
      </w:tr>
      <w:tr w:rsidR="003239B8" w:rsidRPr="000D3E32" w14:paraId="4EFD141E" w14:textId="77777777" w:rsidTr="007E3027">
        <w:trPr>
          <w:cantSplit/>
        </w:trPr>
        <w:tc>
          <w:tcPr>
            <w:tcW w:w="3566" w:type="dxa"/>
            <w:tcBorders>
              <w:top w:val="single" w:sz="6" w:space="0" w:color="auto"/>
              <w:bottom w:val="single" w:sz="6" w:space="0" w:color="auto"/>
            </w:tcBorders>
            <w:shd w:val="clear" w:color="auto" w:fill="386294"/>
            <w:vAlign w:val="center"/>
          </w:tcPr>
          <w:p w14:paraId="4C04A89C" w14:textId="77777777" w:rsidR="003239B8" w:rsidRPr="00F958A1" w:rsidRDefault="003239B8" w:rsidP="008D2290">
            <w:pPr>
              <w:jc w:val="center"/>
              <w:rPr>
                <w:rFonts w:ascii="Cambria" w:hAnsi="Cambria"/>
                <w:b/>
                <w:bCs/>
                <w:color w:val="FFFFFF" w:themeColor="background1"/>
                <w:sz w:val="20"/>
                <w:szCs w:val="20"/>
                <w:lang w:val="es-ES"/>
              </w:rPr>
            </w:pPr>
            <w:r w:rsidRPr="00F958A1">
              <w:rPr>
                <w:rFonts w:ascii="Cambria" w:hAnsi="Cambria"/>
                <w:b/>
                <w:bCs/>
                <w:color w:val="FFFFFF" w:themeColor="background1"/>
                <w:sz w:val="20"/>
                <w:szCs w:val="20"/>
                <w:lang w:val="es-ES"/>
              </w:rPr>
              <w:t>Agotamiento de recursos internos</w:t>
            </w:r>
            <w:r w:rsidR="00EE00E9" w:rsidRPr="00F958A1">
              <w:rPr>
                <w:rFonts w:ascii="Cambria" w:hAnsi="Cambria"/>
                <w:b/>
                <w:bCs/>
                <w:color w:val="FFFFFF" w:themeColor="background1"/>
                <w:sz w:val="20"/>
                <w:szCs w:val="20"/>
                <w:lang w:val="es-ES"/>
              </w:rPr>
              <w:t xml:space="preserve"> o procedencia de una excepción</w:t>
            </w:r>
            <w:r w:rsidRPr="00F958A1">
              <w:rPr>
                <w:rFonts w:ascii="Cambria" w:hAnsi="Cambria"/>
                <w:b/>
                <w:bCs/>
                <w:color w:val="FFFFFF" w:themeColor="background1"/>
                <w:sz w:val="20"/>
                <w:szCs w:val="20"/>
                <w:lang w:val="es-ES"/>
              </w:rPr>
              <w:t>:</w:t>
            </w:r>
          </w:p>
        </w:tc>
        <w:tc>
          <w:tcPr>
            <w:tcW w:w="5771" w:type="dxa"/>
            <w:vAlign w:val="center"/>
          </w:tcPr>
          <w:p w14:paraId="69C53E8A" w14:textId="4D722101" w:rsidR="003239B8" w:rsidRPr="00F958A1" w:rsidRDefault="00AA6013" w:rsidP="008D2290">
            <w:pPr>
              <w:rPr>
                <w:rFonts w:ascii="Cambria" w:hAnsi="Cambria"/>
                <w:bCs/>
                <w:sz w:val="20"/>
                <w:szCs w:val="20"/>
                <w:lang w:val="es-ES"/>
              </w:rPr>
            </w:pPr>
            <w:r w:rsidRPr="00F958A1">
              <w:rPr>
                <w:rFonts w:ascii="Cambria" w:hAnsi="Cambria"/>
                <w:bCs/>
                <w:sz w:val="20"/>
                <w:szCs w:val="20"/>
                <w:lang w:val="es-ES"/>
              </w:rPr>
              <w:t>Sí, en los términos de la sección VI</w:t>
            </w:r>
          </w:p>
        </w:tc>
      </w:tr>
      <w:tr w:rsidR="003239B8" w:rsidRPr="000D3E32" w14:paraId="52B5BA17" w14:textId="77777777" w:rsidTr="007E3027">
        <w:trPr>
          <w:cantSplit/>
        </w:trPr>
        <w:tc>
          <w:tcPr>
            <w:tcW w:w="3566" w:type="dxa"/>
            <w:tcBorders>
              <w:top w:val="single" w:sz="6" w:space="0" w:color="auto"/>
              <w:bottom w:val="single" w:sz="6" w:space="0" w:color="auto"/>
            </w:tcBorders>
            <w:shd w:val="clear" w:color="auto" w:fill="386294"/>
            <w:vAlign w:val="center"/>
          </w:tcPr>
          <w:p w14:paraId="5DF99086" w14:textId="77777777" w:rsidR="003239B8" w:rsidRPr="00F958A1" w:rsidRDefault="003239B8" w:rsidP="008D2290">
            <w:pPr>
              <w:jc w:val="center"/>
              <w:rPr>
                <w:rFonts w:ascii="Cambria" w:hAnsi="Cambria"/>
                <w:b/>
                <w:bCs/>
                <w:color w:val="FFFFFF" w:themeColor="background1"/>
                <w:sz w:val="20"/>
                <w:szCs w:val="20"/>
              </w:rPr>
            </w:pPr>
            <w:r w:rsidRPr="00F958A1">
              <w:rPr>
                <w:rFonts w:ascii="Cambria" w:hAnsi="Cambria"/>
                <w:b/>
                <w:bCs/>
                <w:color w:val="FFFFFF" w:themeColor="background1"/>
                <w:sz w:val="20"/>
                <w:szCs w:val="20"/>
              </w:rPr>
              <w:t>Presentación dentro de plazo:</w:t>
            </w:r>
          </w:p>
        </w:tc>
        <w:tc>
          <w:tcPr>
            <w:tcW w:w="5771" w:type="dxa"/>
            <w:vAlign w:val="center"/>
          </w:tcPr>
          <w:p w14:paraId="4A2A4569" w14:textId="776A77DA" w:rsidR="003239B8" w:rsidRPr="00F958A1" w:rsidRDefault="00AA6013" w:rsidP="008D2290">
            <w:pPr>
              <w:rPr>
                <w:rFonts w:ascii="Cambria" w:hAnsi="Cambria"/>
                <w:bCs/>
                <w:sz w:val="20"/>
                <w:szCs w:val="20"/>
                <w:lang w:val="es-PE"/>
              </w:rPr>
            </w:pPr>
            <w:r w:rsidRPr="00F958A1">
              <w:rPr>
                <w:rFonts w:ascii="Cambria" w:hAnsi="Cambria"/>
                <w:bCs/>
                <w:sz w:val="20"/>
                <w:szCs w:val="20"/>
                <w:lang w:val="es-PE"/>
              </w:rPr>
              <w:t>Sí, en los términos de la sección VI</w:t>
            </w:r>
          </w:p>
        </w:tc>
      </w:tr>
    </w:tbl>
    <w:p w14:paraId="18E6423B" w14:textId="0107F3A7" w:rsidR="003239B8" w:rsidRPr="00F958A1" w:rsidRDefault="00223A29" w:rsidP="00EF76F5">
      <w:pPr>
        <w:spacing w:before="240" w:after="240"/>
        <w:ind w:firstLine="720"/>
        <w:jc w:val="both"/>
        <w:rPr>
          <w:rFonts w:asciiTheme="majorHAnsi" w:hAnsiTheme="majorHAnsi"/>
          <w:b/>
          <w:sz w:val="20"/>
          <w:szCs w:val="20"/>
          <w:lang w:val="es-UY"/>
        </w:rPr>
      </w:pPr>
      <w:r w:rsidRPr="00F958A1">
        <w:rPr>
          <w:rFonts w:asciiTheme="majorHAnsi" w:hAnsiTheme="majorHAnsi"/>
          <w:b/>
          <w:sz w:val="20"/>
          <w:szCs w:val="20"/>
          <w:lang w:val="es-UY"/>
        </w:rPr>
        <w:t xml:space="preserve">V. </w:t>
      </w:r>
      <w:r w:rsidRPr="00F958A1">
        <w:rPr>
          <w:rFonts w:asciiTheme="majorHAnsi" w:hAnsiTheme="majorHAnsi"/>
          <w:b/>
          <w:sz w:val="20"/>
          <w:szCs w:val="20"/>
          <w:lang w:val="es-UY"/>
        </w:rPr>
        <w:tab/>
      </w:r>
      <w:r w:rsidR="00867314" w:rsidRPr="00F958A1">
        <w:rPr>
          <w:rFonts w:asciiTheme="majorHAnsi" w:hAnsiTheme="majorHAnsi"/>
          <w:b/>
          <w:sz w:val="20"/>
          <w:szCs w:val="20"/>
          <w:lang w:val="es-UY"/>
        </w:rPr>
        <w:t>POSICIÓN DE LAS PARTES</w:t>
      </w:r>
    </w:p>
    <w:p w14:paraId="16FB6418" w14:textId="3D2E1D6C" w:rsidR="0083100C" w:rsidRPr="00F958A1" w:rsidRDefault="00BD1C7B" w:rsidP="00EF76F5">
      <w:pPr>
        <w:spacing w:before="240" w:after="240"/>
        <w:ind w:firstLine="720"/>
        <w:jc w:val="both"/>
        <w:rPr>
          <w:rFonts w:asciiTheme="majorHAnsi" w:hAnsiTheme="majorHAnsi"/>
          <w:b/>
          <w:sz w:val="20"/>
          <w:szCs w:val="20"/>
          <w:lang w:val="es-UY"/>
        </w:rPr>
      </w:pPr>
      <w:r w:rsidRPr="00F958A1">
        <w:rPr>
          <w:rFonts w:asciiTheme="majorHAnsi" w:hAnsiTheme="majorHAnsi"/>
          <w:b/>
          <w:sz w:val="20"/>
          <w:szCs w:val="20"/>
          <w:lang w:val="es-UY"/>
        </w:rPr>
        <w:t>L</w:t>
      </w:r>
      <w:r w:rsidR="0083100C" w:rsidRPr="00F958A1">
        <w:rPr>
          <w:rFonts w:asciiTheme="majorHAnsi" w:hAnsiTheme="majorHAnsi"/>
          <w:b/>
          <w:sz w:val="20"/>
          <w:szCs w:val="20"/>
          <w:lang w:val="es-UY"/>
        </w:rPr>
        <w:t>a parte peticionaria</w:t>
      </w:r>
    </w:p>
    <w:p w14:paraId="368B5A16" w14:textId="3C46F6DF" w:rsidR="00CB1CEA" w:rsidRPr="00F958A1" w:rsidRDefault="00CB1CEA" w:rsidP="004E3F2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F958A1">
        <w:rPr>
          <w:rFonts w:ascii="Cambria" w:hAnsi="Cambria"/>
          <w:sz w:val="20"/>
          <w:szCs w:val="20"/>
          <w:lang w:val="es-UY"/>
        </w:rPr>
        <w:t>El señor</w:t>
      </w:r>
      <w:r w:rsidRPr="00F958A1">
        <w:rPr>
          <w:rFonts w:ascii="Cambria" w:hAnsi="Cambria"/>
          <w:sz w:val="20"/>
          <w:szCs w:val="20"/>
          <w:lang w:val="es-AR"/>
        </w:rPr>
        <w:t xml:space="preserve">, Adrián Esteban Bustos, en su condición de presunta víctima y </w:t>
      </w:r>
      <w:r w:rsidR="004E1974" w:rsidRPr="00F958A1">
        <w:rPr>
          <w:rFonts w:ascii="Cambria" w:hAnsi="Cambria"/>
          <w:sz w:val="20"/>
          <w:szCs w:val="20"/>
          <w:lang w:val="es-AR"/>
        </w:rPr>
        <w:t>peticionario</w:t>
      </w:r>
      <w:r w:rsidRPr="00F958A1">
        <w:rPr>
          <w:rFonts w:ascii="Cambria" w:hAnsi="Cambria"/>
          <w:sz w:val="20"/>
          <w:szCs w:val="20"/>
          <w:lang w:val="es-AR"/>
        </w:rPr>
        <w:t xml:space="preserve">, alega que el Estado argentino es internacionalmente responsable por una serie de violaciones a sus derechos humanos ocurridas en el marco del proceso penal que culminó con su condena a prisión perpetua, </w:t>
      </w:r>
      <w:r w:rsidR="004E3F29" w:rsidRPr="00F958A1">
        <w:rPr>
          <w:rFonts w:ascii="Cambria" w:hAnsi="Cambria"/>
          <w:sz w:val="20"/>
          <w:szCs w:val="20"/>
          <w:lang w:val="es-AR"/>
        </w:rPr>
        <w:t>la cual lo mantiene actualmente privado de libertad en el Complejo Penitenciario Federal N° 2 de Marcos Paz</w:t>
      </w:r>
      <w:r w:rsidRPr="00F958A1">
        <w:rPr>
          <w:rFonts w:ascii="Cambria" w:hAnsi="Cambria"/>
          <w:sz w:val="20"/>
          <w:szCs w:val="20"/>
          <w:lang w:val="es-AR"/>
        </w:rPr>
        <w:t>. Sostiene que fue juzgado dos veces por el mismo hecho</w:t>
      </w:r>
      <w:r w:rsidR="007E3027" w:rsidRPr="00F958A1">
        <w:rPr>
          <w:rFonts w:ascii="Cambria" w:hAnsi="Cambria"/>
          <w:sz w:val="20"/>
          <w:szCs w:val="20"/>
          <w:lang w:val="es-AR"/>
        </w:rPr>
        <w:t>;</w:t>
      </w:r>
      <w:r w:rsidRPr="00F958A1">
        <w:rPr>
          <w:rFonts w:ascii="Cambria" w:hAnsi="Cambria"/>
          <w:sz w:val="20"/>
          <w:szCs w:val="20"/>
          <w:lang w:val="es-AR"/>
        </w:rPr>
        <w:t xml:space="preserve"> que no tuvo una defensa técnica efectiva</w:t>
      </w:r>
      <w:r w:rsidR="007E3027" w:rsidRPr="00F958A1">
        <w:rPr>
          <w:rFonts w:ascii="Cambria" w:hAnsi="Cambria"/>
          <w:sz w:val="20"/>
          <w:szCs w:val="20"/>
          <w:lang w:val="es-AR"/>
        </w:rPr>
        <w:t>;</w:t>
      </w:r>
      <w:r w:rsidRPr="00F958A1">
        <w:rPr>
          <w:rFonts w:ascii="Cambria" w:hAnsi="Cambria"/>
          <w:sz w:val="20"/>
          <w:szCs w:val="20"/>
          <w:lang w:val="es-AR"/>
        </w:rPr>
        <w:t xml:space="preserve"> que no se valoraron </w:t>
      </w:r>
      <w:r w:rsidRPr="00F958A1">
        <w:rPr>
          <w:rFonts w:ascii="Cambria" w:hAnsi="Cambria"/>
          <w:sz w:val="20"/>
          <w:szCs w:val="20"/>
          <w:lang w:val="es-AR"/>
        </w:rPr>
        <w:lastRenderedPageBreak/>
        <w:t>debidamente elementos de prueba relevantes, y que no se garantizó adecuadamente su derecho a recurrir la sentencia condenatoria, todo lo cual habría derivado en una condena arbitraria.</w:t>
      </w:r>
    </w:p>
    <w:p w14:paraId="2E7AEFA2" w14:textId="4D9574FC" w:rsidR="004E3F29" w:rsidRPr="00F958A1" w:rsidRDefault="005B1793" w:rsidP="004E3F2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i/>
          <w:iCs/>
          <w:sz w:val="20"/>
          <w:szCs w:val="20"/>
          <w:lang w:val="es-AR"/>
        </w:rPr>
      </w:pPr>
      <w:r w:rsidRPr="00F958A1">
        <w:rPr>
          <w:rFonts w:ascii="Cambria" w:hAnsi="Cambria"/>
          <w:i/>
          <w:iCs/>
          <w:sz w:val="20"/>
          <w:szCs w:val="20"/>
          <w:lang w:val="es-AR"/>
        </w:rPr>
        <w:t>Hechos atribuidos y sentencia condenatoria</w:t>
      </w:r>
    </w:p>
    <w:p w14:paraId="78223BF7" w14:textId="46BE8F56" w:rsidR="00A432FD" w:rsidRPr="00F958A1" w:rsidRDefault="007E3027" w:rsidP="00A432F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PE"/>
        </w:rPr>
      </w:pPr>
      <w:r w:rsidRPr="00F958A1">
        <w:rPr>
          <w:rFonts w:ascii="Cambria" w:hAnsi="Cambria"/>
          <w:sz w:val="20"/>
          <w:szCs w:val="20"/>
          <w:lang w:val="es-PE"/>
        </w:rPr>
        <w:t>El peticionario s</w:t>
      </w:r>
      <w:r w:rsidR="00A432FD" w:rsidRPr="00F958A1">
        <w:rPr>
          <w:rFonts w:ascii="Cambria" w:hAnsi="Cambria"/>
          <w:sz w:val="20"/>
          <w:szCs w:val="20"/>
          <w:lang w:val="es-PE"/>
        </w:rPr>
        <w:t xml:space="preserve">eñala que se desempeñaba como cabo de la Policía Federal Argentina y que el Ministerio Público Fiscal inició una investigación en su contra y </w:t>
      </w:r>
      <w:r w:rsidRPr="00F958A1">
        <w:rPr>
          <w:rFonts w:ascii="Cambria" w:hAnsi="Cambria"/>
          <w:sz w:val="20"/>
          <w:szCs w:val="20"/>
          <w:lang w:val="es-PE"/>
        </w:rPr>
        <w:t xml:space="preserve">en contra de </w:t>
      </w:r>
      <w:r w:rsidR="00A432FD" w:rsidRPr="00F958A1">
        <w:rPr>
          <w:rFonts w:ascii="Cambria" w:hAnsi="Cambria"/>
          <w:sz w:val="20"/>
          <w:szCs w:val="20"/>
          <w:lang w:val="es-PE"/>
        </w:rPr>
        <w:t xml:space="preserve">otros dos colegas por hechos ocurridos el 1 de abril de 2005 en Villa Lugano, </w:t>
      </w:r>
      <w:r w:rsidRPr="00F958A1">
        <w:rPr>
          <w:rFonts w:ascii="Cambria" w:hAnsi="Cambria"/>
          <w:sz w:val="20"/>
          <w:szCs w:val="20"/>
          <w:lang w:val="es-PE"/>
        </w:rPr>
        <w:t>c</w:t>
      </w:r>
      <w:r w:rsidR="00A432FD" w:rsidRPr="00F958A1">
        <w:rPr>
          <w:rFonts w:ascii="Cambria" w:hAnsi="Cambria"/>
          <w:sz w:val="20"/>
          <w:szCs w:val="20"/>
          <w:lang w:val="es-PE"/>
        </w:rPr>
        <w:t>iudad de Buenos Aires. Según la acusación, habría causado la muerte de una adolescente de catorce años, embarazada, así como lesiones en el rostro de otro adolescente. Al respecto, la fiscal a cargo sostuvo que él y sus compañeros se encontraban ese día brindando resguardo a un grupo familiar, por encargo de la Fiscalía Nacional en lo Correccional N.º 4. En ese contexto, indicó que habría interceptado a un grupo de jóvenes</w:t>
      </w:r>
      <w:r w:rsidRPr="00F958A1">
        <w:rPr>
          <w:rFonts w:ascii="Cambria" w:hAnsi="Cambria"/>
          <w:sz w:val="20"/>
          <w:szCs w:val="20"/>
          <w:lang w:val="es-PE"/>
        </w:rPr>
        <w:t>,</w:t>
      </w:r>
      <w:r w:rsidR="00A432FD" w:rsidRPr="00F958A1">
        <w:rPr>
          <w:rFonts w:ascii="Cambria" w:hAnsi="Cambria"/>
          <w:sz w:val="20"/>
          <w:szCs w:val="20"/>
          <w:lang w:val="es-PE"/>
        </w:rPr>
        <w:t xml:space="preserve"> y</w:t>
      </w:r>
      <w:r w:rsidRPr="00F958A1">
        <w:rPr>
          <w:rFonts w:ascii="Cambria" w:hAnsi="Cambria"/>
          <w:sz w:val="20"/>
          <w:szCs w:val="20"/>
          <w:lang w:val="es-PE"/>
        </w:rPr>
        <w:t xml:space="preserve"> que </w:t>
      </w:r>
      <w:r w:rsidR="00A432FD" w:rsidRPr="00F958A1">
        <w:rPr>
          <w:rFonts w:ascii="Cambria" w:hAnsi="Cambria"/>
          <w:sz w:val="20"/>
          <w:szCs w:val="20"/>
          <w:lang w:val="es-PE"/>
        </w:rPr>
        <w:t>tras el intento de estos por huir, les disparó, provocando las consecuencias referidas.</w:t>
      </w:r>
    </w:p>
    <w:p w14:paraId="148E053B" w14:textId="2B94B4A2" w:rsidR="00A432FD" w:rsidRPr="00F958A1" w:rsidRDefault="007E3027" w:rsidP="00A432F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PE"/>
        </w:rPr>
      </w:pPr>
      <w:r w:rsidRPr="00F958A1">
        <w:rPr>
          <w:rFonts w:ascii="Cambria" w:hAnsi="Cambria"/>
          <w:sz w:val="20"/>
          <w:szCs w:val="20"/>
          <w:lang w:val="es-PE"/>
        </w:rPr>
        <w:t>C</w:t>
      </w:r>
      <w:r w:rsidR="00A432FD" w:rsidRPr="00F958A1">
        <w:rPr>
          <w:rFonts w:ascii="Cambria" w:hAnsi="Cambria"/>
          <w:sz w:val="20"/>
          <w:szCs w:val="20"/>
          <w:lang w:val="es-PE"/>
        </w:rPr>
        <w:t xml:space="preserve">omo resultado de estos hechos, el 17 de abril de 2006 el Tribunal Oral en lo Criminal N.º 10 de la </w:t>
      </w:r>
      <w:r w:rsidRPr="00F958A1">
        <w:rPr>
          <w:rFonts w:ascii="Cambria" w:hAnsi="Cambria"/>
          <w:sz w:val="20"/>
          <w:szCs w:val="20"/>
          <w:lang w:val="es-PE"/>
        </w:rPr>
        <w:t>c</w:t>
      </w:r>
      <w:r w:rsidR="00A432FD" w:rsidRPr="00F958A1">
        <w:rPr>
          <w:rFonts w:ascii="Cambria" w:hAnsi="Cambria"/>
          <w:sz w:val="20"/>
          <w:szCs w:val="20"/>
          <w:lang w:val="es-PE"/>
        </w:rPr>
        <w:t>iudad de Buenos Aires lo condenó a la pena de prisión perpetua, en calidad de autor del delito de homicidio calificado, en concurso real con privación ilegítima de la libertad y lesiones leves. No obstante, el 3 de octubre de 2007 la Sala IV de la Cámara Nacional de Casación Penal anuló la sentencia por no contar con la opinión de dos de los tres magistrados que integraban el tribunal. Como consecuencia de dicha nulidad, y sin que su defensa objetara la celebración de un nuevo juicio oral, el caso fue reasignado al Tribunal Oral en lo Criminal N.º 4, que el 9 de mayo de 2008 dictó una nueva sentencia condenatoria, imponiéndole nuevamente la pena de prisión perpetua.</w:t>
      </w:r>
    </w:p>
    <w:p w14:paraId="1B5D37B9" w14:textId="36337E39" w:rsidR="00782BA3" w:rsidRPr="00F958A1" w:rsidRDefault="00ED4222" w:rsidP="00701A7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PE"/>
        </w:rPr>
      </w:pPr>
      <w:r w:rsidRPr="00F958A1">
        <w:rPr>
          <w:rFonts w:ascii="Cambria" w:hAnsi="Cambria"/>
          <w:sz w:val="20"/>
          <w:szCs w:val="20"/>
          <w:lang w:val="es-PE"/>
        </w:rPr>
        <w:t xml:space="preserve"> </w:t>
      </w:r>
      <w:r w:rsidR="00701A77" w:rsidRPr="00F958A1">
        <w:rPr>
          <w:rFonts w:ascii="Cambria" w:hAnsi="Cambria"/>
          <w:sz w:val="20"/>
          <w:szCs w:val="20"/>
          <w:lang w:val="es-PE"/>
        </w:rPr>
        <w:tab/>
      </w:r>
      <w:r w:rsidR="00782BA3" w:rsidRPr="00F958A1">
        <w:rPr>
          <w:rFonts w:ascii="Cambria" w:hAnsi="Cambria"/>
          <w:i/>
          <w:iCs/>
          <w:sz w:val="20"/>
          <w:szCs w:val="20"/>
          <w:lang w:val="es-AR"/>
        </w:rPr>
        <w:t xml:space="preserve">Cuestionamientos al </w:t>
      </w:r>
      <w:r w:rsidR="00116C13" w:rsidRPr="00F958A1">
        <w:rPr>
          <w:rFonts w:ascii="Cambria" w:hAnsi="Cambria"/>
          <w:i/>
          <w:iCs/>
          <w:sz w:val="20"/>
          <w:szCs w:val="20"/>
          <w:lang w:val="es-AR"/>
        </w:rPr>
        <w:t xml:space="preserve">proceso y </w:t>
      </w:r>
      <w:r w:rsidR="00782BA3" w:rsidRPr="00F958A1">
        <w:rPr>
          <w:rFonts w:ascii="Cambria" w:hAnsi="Cambria"/>
          <w:i/>
          <w:iCs/>
          <w:sz w:val="20"/>
          <w:szCs w:val="20"/>
          <w:lang w:val="es-AR"/>
        </w:rPr>
        <w:t>fallo</w:t>
      </w:r>
      <w:r w:rsidR="00116C13" w:rsidRPr="00F958A1">
        <w:rPr>
          <w:rFonts w:ascii="Cambria" w:hAnsi="Cambria"/>
          <w:i/>
          <w:iCs/>
          <w:sz w:val="20"/>
          <w:szCs w:val="20"/>
          <w:lang w:val="es-AR"/>
        </w:rPr>
        <w:t xml:space="preserve"> de primera instancia</w:t>
      </w:r>
    </w:p>
    <w:p w14:paraId="5DEB48C6" w14:textId="67DEF9BB" w:rsidR="00872E60" w:rsidRPr="00F958A1" w:rsidRDefault="00CB1CEA" w:rsidP="00782BA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F958A1">
        <w:rPr>
          <w:rFonts w:ascii="Cambria" w:hAnsi="Cambria"/>
          <w:sz w:val="20"/>
          <w:szCs w:val="20"/>
          <w:lang w:val="es-AR"/>
        </w:rPr>
        <w:t xml:space="preserve">El peticionario alega que antes del nuevo juicio el Tribunal Oral N° 4 rechazó incorporar un peritaje balístico producido por un perito de parte, el cual consideraba fundamental para su defensa, ya que refutaba la hipótesis de cargo. Sostiene que esta exclusión fue arbitraria y afectó de manera grave el desarrollo del debate oral. </w:t>
      </w:r>
    </w:p>
    <w:p w14:paraId="3A2C42D2" w14:textId="3677DF51" w:rsidR="00BE0098" w:rsidRPr="00F958A1" w:rsidRDefault="00CB1CEA" w:rsidP="00BE009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F958A1">
        <w:rPr>
          <w:rFonts w:ascii="Cambria" w:hAnsi="Cambria"/>
          <w:sz w:val="20"/>
          <w:szCs w:val="20"/>
          <w:lang w:val="es-AR"/>
        </w:rPr>
        <w:t>Asimismo, alega que la sentencia carece de motivación suficiente y que se dictó sin elementos probatorios que acreditaran de manera concluyente su autoría en el hecho. Refiere que no se secuestró el arma que se le atribuyó, que las vainas halladas en la escena del crimen no coincidían con el lugar del disparo mortal, que los testigos describieron al autor como una persona rubia y con barba, mientras que él es trigueño y de cabello oscuro, y que la descripción coincidía con la del coimputado Miguel Ángel Almirón, quien, además habría intentado encubrir el hecho. También plantea que la trayectoria balística y la altura de la víctima no se correspondían con su complexión física</w:t>
      </w:r>
      <w:r w:rsidR="007E3027" w:rsidRPr="00F958A1">
        <w:rPr>
          <w:rFonts w:ascii="Cambria" w:hAnsi="Cambria"/>
          <w:sz w:val="20"/>
          <w:szCs w:val="20"/>
          <w:lang w:val="es-AR"/>
        </w:rPr>
        <w:t>;</w:t>
      </w:r>
      <w:r w:rsidRPr="00F958A1">
        <w:rPr>
          <w:rFonts w:ascii="Cambria" w:hAnsi="Cambria"/>
          <w:sz w:val="20"/>
          <w:szCs w:val="20"/>
          <w:lang w:val="es-AR"/>
        </w:rPr>
        <w:t xml:space="preserve"> y que el tipo de arma utilizada no coincidía con la descripta por los peritos.</w:t>
      </w:r>
    </w:p>
    <w:p w14:paraId="271BF0CA" w14:textId="1F8A929C" w:rsidR="00BE0098" w:rsidRPr="00F958A1" w:rsidRDefault="00BE0098" w:rsidP="00BE0098">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sz w:val="20"/>
          <w:szCs w:val="20"/>
          <w:lang w:val="es-AR"/>
        </w:rPr>
      </w:pPr>
      <w:r w:rsidRPr="00F958A1">
        <w:rPr>
          <w:i/>
          <w:iCs/>
          <w:sz w:val="20"/>
          <w:szCs w:val="20"/>
          <w:lang w:val="es-AR"/>
        </w:rPr>
        <w:t>Recurso de casación y sentencia de segunda instancia</w:t>
      </w:r>
    </w:p>
    <w:p w14:paraId="65CCA796" w14:textId="1B1D7DCD" w:rsidR="001A55D1" w:rsidRPr="00F958A1" w:rsidRDefault="007E3027" w:rsidP="001A55D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F958A1">
        <w:rPr>
          <w:rFonts w:ascii="Cambria" w:hAnsi="Cambria"/>
          <w:sz w:val="20"/>
          <w:szCs w:val="20"/>
          <w:lang w:val="es-AR"/>
        </w:rPr>
        <w:t>El peticionario indica</w:t>
      </w:r>
      <w:r w:rsidR="00BE0098" w:rsidRPr="00F958A1">
        <w:rPr>
          <w:rFonts w:ascii="Cambria" w:hAnsi="Cambria"/>
          <w:sz w:val="20"/>
          <w:szCs w:val="20"/>
          <w:lang w:val="es-AR"/>
        </w:rPr>
        <w:t xml:space="preserve"> que</w:t>
      </w:r>
      <w:r w:rsidR="00CB1CEA" w:rsidRPr="00F958A1">
        <w:rPr>
          <w:rFonts w:ascii="Cambria" w:hAnsi="Cambria"/>
          <w:sz w:val="20"/>
          <w:szCs w:val="20"/>
          <w:lang w:val="es-AR"/>
        </w:rPr>
        <w:t xml:space="preserve"> </w:t>
      </w:r>
      <w:r w:rsidR="00BE0098" w:rsidRPr="00F958A1">
        <w:rPr>
          <w:rFonts w:ascii="Cambria" w:hAnsi="Cambria"/>
          <w:sz w:val="20"/>
          <w:szCs w:val="20"/>
          <w:lang w:val="es-AR"/>
        </w:rPr>
        <w:t>su</w:t>
      </w:r>
      <w:r w:rsidR="00CB1CEA" w:rsidRPr="00F958A1">
        <w:rPr>
          <w:rFonts w:ascii="Cambria" w:hAnsi="Cambria"/>
          <w:sz w:val="20"/>
          <w:szCs w:val="20"/>
          <w:lang w:val="es-AR"/>
        </w:rPr>
        <w:t xml:space="preserve"> defensor particular interpuso </w:t>
      </w:r>
      <w:r w:rsidR="00BE0098" w:rsidRPr="00F958A1">
        <w:rPr>
          <w:rFonts w:ascii="Cambria" w:hAnsi="Cambria"/>
          <w:sz w:val="20"/>
          <w:szCs w:val="20"/>
          <w:lang w:val="es-AR"/>
        </w:rPr>
        <w:t xml:space="preserve">un </w:t>
      </w:r>
      <w:r w:rsidR="00CB1CEA" w:rsidRPr="00F958A1">
        <w:rPr>
          <w:rFonts w:ascii="Cambria" w:hAnsi="Cambria"/>
          <w:sz w:val="20"/>
          <w:szCs w:val="20"/>
          <w:lang w:val="es-AR"/>
        </w:rPr>
        <w:t xml:space="preserve">recurso de casación, planteando todos los vicios anteriormente señalados, pero </w:t>
      </w:r>
      <w:r w:rsidR="001A55D1" w:rsidRPr="00F958A1">
        <w:rPr>
          <w:rFonts w:ascii="Cambria" w:hAnsi="Cambria"/>
          <w:sz w:val="20"/>
          <w:szCs w:val="20"/>
          <w:lang w:val="es-AR"/>
        </w:rPr>
        <w:t>el 17 de marzo de 2010</w:t>
      </w:r>
      <w:r w:rsidR="00CB1CEA" w:rsidRPr="00F958A1">
        <w:rPr>
          <w:rFonts w:ascii="Cambria" w:hAnsi="Cambria"/>
          <w:sz w:val="20"/>
          <w:szCs w:val="20"/>
          <w:lang w:val="es-AR"/>
        </w:rPr>
        <w:t xml:space="preserve"> la Sala IV de la Cámara Nacional de Casación Penal</w:t>
      </w:r>
      <w:r w:rsidR="001A55D1" w:rsidRPr="00F958A1">
        <w:rPr>
          <w:rFonts w:ascii="Cambria" w:hAnsi="Cambria"/>
          <w:sz w:val="20"/>
          <w:szCs w:val="20"/>
          <w:lang w:val="es-AR"/>
        </w:rPr>
        <w:t xml:space="preserve"> lo rechazó. S</w:t>
      </w:r>
      <w:r w:rsidR="00CB1CEA" w:rsidRPr="00F958A1">
        <w:rPr>
          <w:rFonts w:ascii="Cambria" w:hAnsi="Cambria"/>
          <w:sz w:val="20"/>
          <w:szCs w:val="20"/>
          <w:lang w:val="es-AR"/>
        </w:rPr>
        <w:t xml:space="preserve">egún alega, </w:t>
      </w:r>
      <w:r w:rsidR="001A55D1" w:rsidRPr="00F958A1">
        <w:rPr>
          <w:rFonts w:ascii="Cambria" w:hAnsi="Cambria"/>
          <w:sz w:val="20"/>
          <w:szCs w:val="20"/>
          <w:lang w:val="es-AR"/>
        </w:rPr>
        <w:t xml:space="preserve">esta decisión </w:t>
      </w:r>
      <w:r w:rsidR="00CB1CEA" w:rsidRPr="00F958A1">
        <w:rPr>
          <w:rFonts w:ascii="Cambria" w:hAnsi="Cambria"/>
          <w:sz w:val="20"/>
          <w:szCs w:val="20"/>
          <w:lang w:val="es-AR"/>
        </w:rPr>
        <w:t xml:space="preserve">no respondió a los argumentos de </w:t>
      </w:r>
      <w:r w:rsidR="001A55D1" w:rsidRPr="00F958A1">
        <w:rPr>
          <w:rFonts w:ascii="Cambria" w:hAnsi="Cambria"/>
          <w:sz w:val="20"/>
          <w:szCs w:val="20"/>
          <w:lang w:val="es-AR"/>
        </w:rPr>
        <w:t>su</w:t>
      </w:r>
      <w:r w:rsidR="00CB1CEA" w:rsidRPr="00F958A1">
        <w:rPr>
          <w:rFonts w:ascii="Cambria" w:hAnsi="Cambria"/>
          <w:sz w:val="20"/>
          <w:szCs w:val="20"/>
          <w:lang w:val="es-AR"/>
        </w:rPr>
        <w:t xml:space="preserve"> defensa</w:t>
      </w:r>
      <w:r w:rsidR="001A55D1" w:rsidRPr="00F958A1">
        <w:rPr>
          <w:rFonts w:ascii="Cambria" w:hAnsi="Cambria"/>
          <w:sz w:val="20"/>
          <w:szCs w:val="20"/>
          <w:lang w:val="es-AR"/>
        </w:rPr>
        <w:t xml:space="preserve"> y no realizó una revisión integral de su condena</w:t>
      </w:r>
      <w:r w:rsidR="00CB1CEA" w:rsidRPr="00F958A1">
        <w:rPr>
          <w:rFonts w:ascii="Cambria" w:hAnsi="Cambria"/>
          <w:sz w:val="20"/>
          <w:szCs w:val="20"/>
          <w:lang w:val="es-AR"/>
        </w:rPr>
        <w:t xml:space="preserve">. </w:t>
      </w:r>
    </w:p>
    <w:p w14:paraId="476737B2" w14:textId="0EEB6247" w:rsidR="00CB1CEA" w:rsidRPr="00F958A1" w:rsidRDefault="00CB1CEA" w:rsidP="001A55D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F958A1">
        <w:rPr>
          <w:rFonts w:ascii="Cambria" w:hAnsi="Cambria"/>
          <w:sz w:val="20"/>
          <w:szCs w:val="20"/>
          <w:lang w:val="es-AR"/>
        </w:rPr>
        <w:t>Posteriormente, su Defensora Oficial presentó recurso extraordinario federal, que también fue desestimado por inadmisibilidad. Finalmente, se interpuso recurso de queja ante la Corte Suprema de Justicia de la Nación, el cual fue denegado el 6 de noviembre de 2012. No obstante, el peticionario destaca que dos jueces de la Corte (Lorenzetti y Zaffaroni) emitieron votos disidentes, considerando que la Cámara de Casación no había garantizado una revisión adecuada de la condena, en línea con el precedente “Casal”.</w:t>
      </w:r>
      <w:r w:rsidR="00D64D36" w:rsidRPr="00F958A1">
        <w:rPr>
          <w:rFonts w:ascii="Cambria" w:hAnsi="Cambria"/>
          <w:sz w:val="20"/>
          <w:szCs w:val="20"/>
          <w:lang w:val="es-AR"/>
        </w:rPr>
        <w:t xml:space="preserve"> Afirma que esta última decisión se notificó el 9 de noviembre de 20</w:t>
      </w:r>
      <w:r w:rsidR="002D5D76" w:rsidRPr="00F958A1">
        <w:rPr>
          <w:rFonts w:ascii="Cambria" w:hAnsi="Cambria"/>
          <w:sz w:val="20"/>
          <w:szCs w:val="20"/>
          <w:lang w:val="es-AR"/>
        </w:rPr>
        <w:t>12.</w:t>
      </w:r>
    </w:p>
    <w:p w14:paraId="4099654F" w14:textId="77777777" w:rsidR="007E3027" w:rsidRPr="00F958A1" w:rsidRDefault="007E3027" w:rsidP="00BC61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i/>
          <w:iCs/>
          <w:sz w:val="20"/>
          <w:szCs w:val="20"/>
          <w:lang w:val="es-AR"/>
        </w:rPr>
      </w:pPr>
    </w:p>
    <w:p w14:paraId="3B184686" w14:textId="556FE462" w:rsidR="00BC61C8" w:rsidRPr="00F958A1" w:rsidRDefault="00BC61C8" w:rsidP="00BC61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i/>
          <w:iCs/>
          <w:sz w:val="20"/>
          <w:szCs w:val="20"/>
          <w:lang w:val="es-AR"/>
        </w:rPr>
      </w:pPr>
      <w:r w:rsidRPr="00F958A1">
        <w:rPr>
          <w:rFonts w:ascii="Cambria" w:hAnsi="Cambria"/>
          <w:i/>
          <w:iCs/>
          <w:sz w:val="20"/>
          <w:szCs w:val="20"/>
          <w:lang w:val="es-AR"/>
        </w:rPr>
        <w:lastRenderedPageBreak/>
        <w:t>Alegatos finales</w:t>
      </w:r>
    </w:p>
    <w:p w14:paraId="12A3B260" w14:textId="7F04E62F" w:rsidR="00CB1CEA" w:rsidRPr="00F958A1" w:rsidRDefault="001A55D1" w:rsidP="00BD1C7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F958A1">
        <w:rPr>
          <w:rFonts w:ascii="Cambria" w:hAnsi="Cambria"/>
          <w:sz w:val="20"/>
          <w:szCs w:val="20"/>
          <w:lang w:val="es-AR"/>
        </w:rPr>
        <w:t>Con base en las consideraciones de hecho previamente expuestas</w:t>
      </w:r>
      <w:r w:rsidR="00CB1CEA" w:rsidRPr="00F958A1">
        <w:rPr>
          <w:rFonts w:ascii="Cambria" w:hAnsi="Cambria"/>
          <w:sz w:val="20"/>
          <w:szCs w:val="20"/>
          <w:lang w:val="es-AR"/>
        </w:rPr>
        <w:t>, el peticionario considera que fue condenado sin que se garantizara el principio de presunción de inocencia</w:t>
      </w:r>
      <w:r w:rsidR="00BD1E86" w:rsidRPr="00F958A1">
        <w:rPr>
          <w:rFonts w:ascii="Cambria" w:hAnsi="Cambria"/>
          <w:sz w:val="20"/>
          <w:szCs w:val="20"/>
          <w:lang w:val="es-AR"/>
        </w:rPr>
        <w:t>;</w:t>
      </w:r>
      <w:r w:rsidR="00CB1CEA" w:rsidRPr="00F958A1">
        <w:rPr>
          <w:rFonts w:ascii="Cambria" w:hAnsi="Cambria"/>
          <w:sz w:val="20"/>
          <w:szCs w:val="20"/>
          <w:lang w:val="es-AR"/>
        </w:rPr>
        <w:t xml:space="preserve"> sin acceso efectivo a los medios de defensa</w:t>
      </w:r>
      <w:r w:rsidR="00BD1E86" w:rsidRPr="00F958A1">
        <w:rPr>
          <w:rFonts w:ascii="Cambria" w:hAnsi="Cambria"/>
          <w:sz w:val="20"/>
          <w:szCs w:val="20"/>
          <w:lang w:val="es-AR"/>
        </w:rPr>
        <w:t>;</w:t>
      </w:r>
      <w:r w:rsidR="00CB1CEA" w:rsidRPr="00F958A1">
        <w:rPr>
          <w:rFonts w:ascii="Cambria" w:hAnsi="Cambria"/>
          <w:sz w:val="20"/>
          <w:szCs w:val="20"/>
          <w:lang w:val="es-AR"/>
        </w:rPr>
        <w:t xml:space="preserve"> y sin contar con un recurso judicial adecuado que permitiera revisar integralmente la condena, lo que representa una violación de las garantías del debido proceso y de protección judicial. Añade que haber sido sometido a dos juicios por el mismo hecho configura una violación del principio </w:t>
      </w:r>
      <w:r w:rsidR="00CB1CEA" w:rsidRPr="00F958A1">
        <w:rPr>
          <w:rFonts w:ascii="Cambria" w:hAnsi="Cambria"/>
          <w:i/>
          <w:iCs/>
          <w:sz w:val="20"/>
          <w:szCs w:val="20"/>
          <w:lang w:val="es-AR"/>
        </w:rPr>
        <w:t>non bis in idem</w:t>
      </w:r>
      <w:r w:rsidR="00CB1CEA" w:rsidRPr="00F958A1">
        <w:rPr>
          <w:rFonts w:ascii="Cambria" w:hAnsi="Cambria"/>
          <w:sz w:val="20"/>
          <w:szCs w:val="20"/>
          <w:lang w:val="es-AR"/>
        </w:rPr>
        <w:t>, y que la pena de prisión perpetua impuesta en condiciones arbitrarias afecta su derecho a la vida, a la integridad personal y a la dignidad humana.</w:t>
      </w:r>
    </w:p>
    <w:p w14:paraId="129AF6A6" w14:textId="536FB489" w:rsidR="00EF76F5" w:rsidRPr="00F958A1" w:rsidRDefault="00BD1C7B" w:rsidP="00CB1CE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b/>
          <w:bCs/>
          <w:sz w:val="20"/>
          <w:szCs w:val="20"/>
          <w:lang w:val="es-AR"/>
        </w:rPr>
      </w:pPr>
      <w:r w:rsidRPr="00F958A1">
        <w:rPr>
          <w:rFonts w:ascii="Cambria" w:hAnsi="Cambria"/>
          <w:b/>
          <w:bCs/>
          <w:sz w:val="20"/>
          <w:szCs w:val="20"/>
          <w:lang w:val="es-AR"/>
        </w:rPr>
        <w:t>El Estado argentino</w:t>
      </w:r>
    </w:p>
    <w:p w14:paraId="0C6F30F7" w14:textId="77777777" w:rsidR="00C007EC" w:rsidRPr="00F958A1" w:rsidRDefault="00A807BE" w:rsidP="00C007E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F958A1">
        <w:rPr>
          <w:rFonts w:ascii="Cambria" w:hAnsi="Cambria"/>
          <w:sz w:val="20"/>
          <w:szCs w:val="20"/>
          <w:lang w:val="es-AR"/>
        </w:rPr>
        <w:t>Por su parte, el Estado</w:t>
      </w:r>
      <w:r w:rsidRPr="00F958A1">
        <w:rPr>
          <w:rFonts w:ascii="Cambria" w:hAnsi="Cambria"/>
          <w:sz w:val="20"/>
          <w:szCs w:val="20"/>
          <w:lang w:val="es-PE"/>
        </w:rPr>
        <w:t xml:space="preserve"> replica que la petición </w:t>
      </w:r>
      <w:r w:rsidR="00CA5B41" w:rsidRPr="00F958A1">
        <w:rPr>
          <w:rFonts w:ascii="Cambria" w:hAnsi="Cambria"/>
          <w:sz w:val="20"/>
          <w:szCs w:val="20"/>
          <w:lang w:val="es-PE"/>
        </w:rPr>
        <w:t>constituye un supuesto de “cuarta instancia”, toda vez que el peticionario se limita a manifestar su disconformidad con las decisiones adoptadas por los tribunales nacionales, las cuales fueron dictadas por autoridades judiciales competentes, en el marco de un proceso penal regular. Alega que el sistema interamericano no tiene la función de revisar decisiones judiciales internas cuando estas han sido adoptadas conforme al debido proceso legal</w:t>
      </w:r>
      <w:r w:rsidR="0058689F" w:rsidRPr="00F958A1">
        <w:rPr>
          <w:rFonts w:ascii="Cambria" w:hAnsi="Cambria"/>
          <w:sz w:val="20"/>
          <w:szCs w:val="20"/>
          <w:lang w:val="es-PE"/>
        </w:rPr>
        <w:t xml:space="preserve"> y por </w:t>
      </w:r>
      <w:r w:rsidR="00CA5B41" w:rsidRPr="00F958A1">
        <w:rPr>
          <w:rFonts w:ascii="Cambria" w:hAnsi="Cambria"/>
          <w:sz w:val="20"/>
          <w:szCs w:val="20"/>
          <w:lang w:val="es-PE"/>
        </w:rPr>
        <w:t>tanto la solicitud del peticionario excede el ámbito de competencia de la Comisión.</w:t>
      </w:r>
    </w:p>
    <w:p w14:paraId="3A390651" w14:textId="77777777" w:rsidR="00B06D23" w:rsidRPr="00F958A1" w:rsidRDefault="00C007EC" w:rsidP="00B06D2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F958A1">
        <w:rPr>
          <w:rFonts w:ascii="Cambria" w:hAnsi="Cambria"/>
          <w:sz w:val="20"/>
          <w:szCs w:val="20"/>
          <w:lang w:val="es-PE"/>
        </w:rPr>
        <w:t>Añade</w:t>
      </w:r>
      <w:r w:rsidR="00CA5B41" w:rsidRPr="00F958A1">
        <w:rPr>
          <w:rFonts w:ascii="Cambria" w:hAnsi="Cambria"/>
          <w:sz w:val="20"/>
          <w:szCs w:val="20"/>
          <w:lang w:val="es-PE"/>
        </w:rPr>
        <w:t xml:space="preserve"> que durante todo el proceso judicial interno, el señor Bustos gozó de una defensa técnica efectiva, tanto pública como privada, y que las garantías del debido proceso fueron debidamente observadas. Señala que su defensa intervino activamente en la nulidad del primer juicio, presentó recursos de casación, interpuso recurso extraordinario y formuló recurso de queja ante la Corte Suprema, lo que demuestra la existencia de recursos adecuados y eficaces, y el respeto al derecho de defensa. Respecto al peritaje balístico cuya exclusión alega el peticionario, el Estado sostiene que su exclusión no puede considerarse una violación sustancial, ya que el tribunal valoró múltiples elementos probatorios y se ofreció plena posibilidad de producir prueba durante el segundo juicio</w:t>
      </w:r>
      <w:r w:rsidR="00B06D23" w:rsidRPr="00F958A1">
        <w:rPr>
          <w:rFonts w:ascii="Cambria" w:hAnsi="Cambria"/>
          <w:sz w:val="20"/>
          <w:szCs w:val="20"/>
          <w:lang w:val="es-PE"/>
        </w:rPr>
        <w:t>.</w:t>
      </w:r>
    </w:p>
    <w:p w14:paraId="1C765EDB" w14:textId="20B1AEB5" w:rsidR="00F27D83" w:rsidRPr="00F958A1" w:rsidRDefault="00CA5B41" w:rsidP="00F27D8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F958A1">
        <w:rPr>
          <w:rFonts w:ascii="Cambria" w:hAnsi="Cambria"/>
          <w:sz w:val="20"/>
          <w:szCs w:val="20"/>
          <w:lang w:val="es-PE"/>
        </w:rPr>
        <w:t>Asimismo, el Estado rechaza la alegación de violación al derecho a recurrir el fallo, consagrado en el artículo 8.2.h</w:t>
      </w:r>
      <w:r w:rsidR="0056666F" w:rsidRPr="00F958A1">
        <w:rPr>
          <w:rFonts w:ascii="Cambria" w:hAnsi="Cambria"/>
          <w:sz w:val="20"/>
          <w:szCs w:val="20"/>
          <w:lang w:val="es-PE"/>
        </w:rPr>
        <w:t>)</w:t>
      </w:r>
      <w:r w:rsidRPr="00F958A1">
        <w:rPr>
          <w:rFonts w:ascii="Cambria" w:hAnsi="Cambria"/>
          <w:sz w:val="20"/>
          <w:szCs w:val="20"/>
          <w:lang w:val="es-PE"/>
        </w:rPr>
        <w:t xml:space="preserve"> de la Convención Americana. Afirma que el señor Bustos tuvo a su disposición mecanismos efectivos para impugnar la sentencia condenatoria, y que hizo uso de ellos, al presentar recurso de casación, recurso extraordinario federal y recurso de queja ante la Corte Suprema. Sostiene que el hecho de que los recursos hayan sido desestimados </w:t>
      </w:r>
      <w:r w:rsidR="00D531C1" w:rsidRPr="00F958A1">
        <w:rPr>
          <w:rFonts w:ascii="Cambria" w:hAnsi="Cambria"/>
          <w:sz w:val="20"/>
          <w:szCs w:val="20"/>
          <w:lang w:val="es-PE"/>
        </w:rPr>
        <w:t>–</w:t>
      </w:r>
      <w:r w:rsidRPr="00F958A1">
        <w:rPr>
          <w:rFonts w:ascii="Cambria" w:hAnsi="Cambria"/>
          <w:sz w:val="20"/>
          <w:szCs w:val="20"/>
          <w:lang w:val="es-PE"/>
        </w:rPr>
        <w:t>incluso mediante la aplicación del artículo 280 del Código Procesal Civil y Comercial</w:t>
      </w:r>
      <w:r w:rsidR="004E1A57" w:rsidRPr="00F958A1">
        <w:rPr>
          <w:rFonts w:ascii="Cambria" w:hAnsi="Cambria"/>
          <w:sz w:val="20"/>
          <w:szCs w:val="20"/>
          <w:lang w:val="es-PE"/>
        </w:rPr>
        <w:t>–</w:t>
      </w:r>
      <w:r w:rsidRPr="00F958A1">
        <w:rPr>
          <w:rFonts w:ascii="Cambria" w:hAnsi="Cambria"/>
          <w:sz w:val="20"/>
          <w:szCs w:val="20"/>
          <w:lang w:val="es-PE"/>
        </w:rPr>
        <w:t xml:space="preserve"> no implica una denegación del derecho a recurrir, ya que la revisión judicial estuvo formalmente disponible y fue ejercida. En consecuencia, considera que no existió limitación arbitraria alguna, y que el peticionario tuvo acceso efectivo a los recursos previstos por la legislación nacional, conforme al estándar interamericano.</w:t>
      </w:r>
    </w:p>
    <w:p w14:paraId="204DA2B4" w14:textId="501B75B2" w:rsidR="00F27D83" w:rsidRPr="00F958A1" w:rsidRDefault="00CA5B41" w:rsidP="00F27D8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F958A1">
        <w:rPr>
          <w:rFonts w:ascii="Cambria" w:hAnsi="Cambria"/>
          <w:sz w:val="20"/>
          <w:szCs w:val="20"/>
          <w:lang w:val="es-PE"/>
        </w:rPr>
        <w:t xml:space="preserve">En cuanto </w:t>
      </w:r>
      <w:r w:rsidR="004E1A57" w:rsidRPr="00F958A1">
        <w:rPr>
          <w:rFonts w:ascii="Cambria" w:hAnsi="Cambria"/>
          <w:sz w:val="20"/>
          <w:szCs w:val="20"/>
          <w:lang w:val="es-PE"/>
        </w:rPr>
        <w:t>al alegato</w:t>
      </w:r>
      <w:r w:rsidRPr="00F958A1">
        <w:rPr>
          <w:rFonts w:ascii="Cambria" w:hAnsi="Cambria"/>
          <w:sz w:val="20"/>
          <w:szCs w:val="20"/>
          <w:lang w:val="es-PE"/>
        </w:rPr>
        <w:t xml:space="preserve"> de violación del principio de </w:t>
      </w:r>
      <w:r w:rsidRPr="00F958A1">
        <w:rPr>
          <w:rFonts w:ascii="Cambria" w:hAnsi="Cambria"/>
          <w:i/>
          <w:iCs/>
          <w:sz w:val="20"/>
          <w:szCs w:val="20"/>
          <w:lang w:val="es-PE"/>
        </w:rPr>
        <w:t>non bis in idem</w:t>
      </w:r>
      <w:r w:rsidRPr="00F958A1">
        <w:rPr>
          <w:rFonts w:ascii="Cambria" w:hAnsi="Cambria"/>
          <w:sz w:val="20"/>
          <w:szCs w:val="20"/>
          <w:lang w:val="es-PE"/>
        </w:rPr>
        <w:t xml:space="preserve"> el Estado afirma que no hubo doble juzgamiento. Explica que la primera sentencia dictada en 2006 fue anulada por vicios procesales graves </w:t>
      </w:r>
      <w:r w:rsidR="00ED3A56" w:rsidRPr="00F958A1">
        <w:rPr>
          <w:rFonts w:ascii="Cambria" w:hAnsi="Cambria"/>
          <w:sz w:val="20"/>
          <w:szCs w:val="20"/>
          <w:lang w:val="es-PE"/>
        </w:rPr>
        <w:t>–</w:t>
      </w:r>
      <w:r w:rsidRPr="00F958A1">
        <w:rPr>
          <w:rFonts w:ascii="Cambria" w:hAnsi="Cambria"/>
          <w:sz w:val="20"/>
          <w:szCs w:val="20"/>
          <w:lang w:val="es-PE"/>
        </w:rPr>
        <w:t>concretamente, la ausencia de la opinión de dos de los jueces del tribunal</w:t>
      </w:r>
      <w:r w:rsidR="00AC5D4F" w:rsidRPr="00F958A1">
        <w:rPr>
          <w:rFonts w:ascii="Cambria" w:hAnsi="Cambria"/>
          <w:sz w:val="20"/>
          <w:szCs w:val="20"/>
          <w:lang w:val="es-PE"/>
        </w:rPr>
        <w:t>–</w:t>
      </w:r>
      <w:r w:rsidRPr="00F958A1">
        <w:rPr>
          <w:rFonts w:ascii="Cambria" w:hAnsi="Cambria"/>
          <w:sz w:val="20"/>
          <w:szCs w:val="20"/>
          <w:lang w:val="es-PE"/>
        </w:rPr>
        <w:t>, lo que implicó la nulidad total del juicio. Dado que la condena no había adquirido firmeza, el señor Bustos no perdió su condición de procesado, y por tanto no se encontraba amparado por la cosa juzgada. Cita jurisprudencia de la Corte Interamericana (como el caso Mohamed vs. Argentina), donde se ha establecido que el artículo 8.4 de la Convención solo se activa cuando existe una sentencia firme dictada en un proceso regular.</w:t>
      </w:r>
    </w:p>
    <w:p w14:paraId="1462C886" w14:textId="77777777" w:rsidR="00F27D83" w:rsidRPr="00F958A1" w:rsidRDefault="00F27D83" w:rsidP="00F27D8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F958A1">
        <w:rPr>
          <w:rFonts w:ascii="Cambria" w:hAnsi="Cambria"/>
          <w:sz w:val="20"/>
          <w:szCs w:val="20"/>
          <w:lang w:val="es-PE"/>
        </w:rPr>
        <w:t xml:space="preserve">El </w:t>
      </w:r>
      <w:r w:rsidR="00CA5B41" w:rsidRPr="00F958A1">
        <w:rPr>
          <w:rFonts w:ascii="Cambria" w:hAnsi="Cambria"/>
          <w:sz w:val="20"/>
          <w:szCs w:val="20"/>
          <w:lang w:val="es-PE"/>
        </w:rPr>
        <w:t>Estado también rechaza que se haya vulnerado la presunción de inocencia. Señala que la condena del peticionario se basó en pruebas suficientes, producidas y valoradas por el tribunal oral competente, en el marco de audiencias públicas, con presencia de testigos y posibilidad de contradicción. Destaca que se realizaron inspecciones oculares, se presentó prueba testimonial abundante, y se elaboró un croquis del lugar de los hechos, lo que permitió a los jueces reconstruir los hechos con base en criterios objetivos y razonables. Considera que la afirmación del peticionario sobre su inocencia no basta, por sí sola, para comprometer la responsabilidad internacional del Estado.</w:t>
      </w:r>
    </w:p>
    <w:p w14:paraId="642D36C6" w14:textId="73BC284B" w:rsidR="00CA5B41" w:rsidRPr="00F958A1" w:rsidRDefault="00CA5B41" w:rsidP="00F27D8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F958A1">
        <w:rPr>
          <w:rFonts w:ascii="Cambria" w:hAnsi="Cambria"/>
          <w:sz w:val="20"/>
          <w:szCs w:val="20"/>
          <w:lang w:val="es-PE"/>
        </w:rPr>
        <w:lastRenderedPageBreak/>
        <w:t>Finalmente, en relación con los artículos 4 y 5.2 de la Convención, el Estado sostiene que la pena de prisión perpetua impuesta al peticionario no constituye una violación del derecho a la vida ni implica trato cruel, inhumano o degradante. Argumenta que la condena fue impuesta por un tribunal competente, con base en los hechos probados y conforme a la ley penal vigente para delitos graves como el homicidio calificado. Aclara que la prisión perpetua es una sanción prevista legalmente en Argentina y que su aplicación no es per se contraria a la Convención, siempre que se imponga en el marco del debido proceso.</w:t>
      </w:r>
    </w:p>
    <w:p w14:paraId="6F4D4171" w14:textId="61F41104" w:rsidR="003239B8" w:rsidRPr="00F958A1" w:rsidRDefault="003239B8" w:rsidP="003239B8">
      <w:pPr>
        <w:spacing w:before="240" w:after="240"/>
        <w:ind w:firstLine="720"/>
        <w:jc w:val="both"/>
        <w:rPr>
          <w:rFonts w:ascii="Cambria" w:hAnsi="Cambria"/>
          <w:sz w:val="20"/>
          <w:szCs w:val="20"/>
          <w:lang w:val="es-UY"/>
        </w:rPr>
      </w:pPr>
      <w:r w:rsidRPr="00F958A1">
        <w:rPr>
          <w:rFonts w:asciiTheme="majorHAnsi" w:eastAsia="Cambria" w:hAnsiTheme="majorHAnsi" w:cs="Cambria"/>
          <w:b/>
          <w:bCs/>
          <w:color w:val="000000"/>
          <w:sz w:val="20"/>
          <w:szCs w:val="20"/>
          <w:u w:color="000000"/>
          <w:lang w:val="es-ES" w:eastAsia="es-ES"/>
        </w:rPr>
        <w:t>VI.</w:t>
      </w:r>
      <w:r w:rsidRPr="00F958A1">
        <w:rPr>
          <w:rFonts w:asciiTheme="majorHAnsi" w:eastAsia="Cambria" w:hAnsiTheme="majorHAnsi" w:cs="Cambria"/>
          <w:b/>
          <w:bCs/>
          <w:color w:val="000000"/>
          <w:sz w:val="20"/>
          <w:szCs w:val="20"/>
          <w:u w:color="000000"/>
          <w:lang w:val="es-ES" w:eastAsia="es-ES"/>
        </w:rPr>
        <w:tab/>
      </w:r>
      <w:r w:rsidR="004A6A54" w:rsidRPr="00F958A1">
        <w:rPr>
          <w:rFonts w:asciiTheme="majorHAnsi" w:hAnsiTheme="majorHAnsi"/>
          <w:b/>
          <w:bCs/>
          <w:sz w:val="20"/>
          <w:szCs w:val="20"/>
          <w:lang w:val="es-ES_tradnl"/>
        </w:rPr>
        <w:t xml:space="preserve">ANÁLISIS DE </w:t>
      </w:r>
      <w:r w:rsidR="00C21FEF" w:rsidRPr="00F958A1">
        <w:rPr>
          <w:rFonts w:asciiTheme="majorHAnsi" w:hAnsiTheme="majorHAnsi"/>
          <w:b/>
          <w:sz w:val="20"/>
          <w:szCs w:val="20"/>
          <w:lang w:val="es-ES"/>
        </w:rPr>
        <w:t>AGOTAMIENTO DE LOS RECURSOS INTERNOS Y PLAZO DE PRESENTACIÓN</w:t>
      </w:r>
      <w:r w:rsidR="00C21FEF" w:rsidRPr="00F958A1">
        <w:rPr>
          <w:rFonts w:asciiTheme="majorHAnsi" w:eastAsia="Cambria" w:hAnsiTheme="majorHAnsi" w:cs="Cambria"/>
          <w:b/>
          <w:bCs/>
          <w:color w:val="000000"/>
          <w:sz w:val="20"/>
          <w:szCs w:val="20"/>
          <w:u w:color="000000"/>
          <w:lang w:val="es-ES" w:eastAsia="es-ES"/>
        </w:rPr>
        <w:t xml:space="preserve"> </w:t>
      </w:r>
    </w:p>
    <w:p w14:paraId="46EB461D" w14:textId="59D72C61" w:rsidR="00251FAC" w:rsidRPr="00F958A1" w:rsidRDefault="00251FAC" w:rsidP="00251FA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PE"/>
        </w:rPr>
      </w:pPr>
      <w:r w:rsidRPr="00F958A1">
        <w:rPr>
          <w:rFonts w:asciiTheme="majorHAnsi" w:hAnsiTheme="majorHAnsi"/>
          <w:sz w:val="20"/>
          <w:szCs w:val="20"/>
          <w:lang w:val="es-PE"/>
        </w:rPr>
        <w:t xml:space="preserve">De acuerdo con los alegatos de la parte peticionaria, el reclamo principal del señor Roncero Ortiz consiste en impugnar su condena penal. Según el peticionario, él agotó los recursos internos tras la sentencia emitida </w:t>
      </w:r>
      <w:r w:rsidR="00975DC7" w:rsidRPr="00F958A1">
        <w:rPr>
          <w:rFonts w:ascii="Cambria" w:hAnsi="Cambria"/>
          <w:sz w:val="20"/>
          <w:szCs w:val="20"/>
          <w:lang w:val="es-AR"/>
        </w:rPr>
        <w:t>por la Corte Suprema de Justicia de la Nación</w:t>
      </w:r>
      <w:r w:rsidR="002D5D76" w:rsidRPr="00F958A1">
        <w:rPr>
          <w:rFonts w:ascii="Cambria" w:hAnsi="Cambria"/>
          <w:sz w:val="20"/>
          <w:szCs w:val="20"/>
          <w:lang w:val="es-AR"/>
        </w:rPr>
        <w:t>, notificada el 9 de noviembre de 2012</w:t>
      </w:r>
      <w:r w:rsidRPr="00F958A1">
        <w:rPr>
          <w:rFonts w:asciiTheme="majorHAnsi" w:hAnsiTheme="majorHAnsi"/>
          <w:sz w:val="20"/>
          <w:szCs w:val="20"/>
          <w:lang w:val="es-PE"/>
        </w:rPr>
        <w:t>. Por su parte, el Estado no ha presentado argumentos para controvertir el agotamiento de los recursos domésticos ni ha hecho referencias al plazo de presentación de la petición.</w:t>
      </w:r>
    </w:p>
    <w:p w14:paraId="0BA2CC49" w14:textId="3B3E7FBB" w:rsidR="00476484" w:rsidRPr="00F958A1" w:rsidRDefault="00476484" w:rsidP="0047648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PE"/>
        </w:rPr>
      </w:pPr>
      <w:r w:rsidRPr="00F958A1">
        <w:rPr>
          <w:rFonts w:asciiTheme="majorHAnsi" w:hAnsiTheme="majorHAnsi"/>
          <w:sz w:val="20"/>
          <w:szCs w:val="20"/>
          <w:lang w:val="es-PE"/>
        </w:rPr>
        <w:t xml:space="preserve">En atención a lo anterior y con base en la información contenida en el expediente, la Comisión concluye que el presente reclamo cumple con el requisito establecido en el artículo 46.1.a) de la Convención Americana. Asimismo, dado que el peticionario presentó esta solicitud el </w:t>
      </w:r>
      <w:r w:rsidRPr="00F958A1">
        <w:rPr>
          <w:rFonts w:ascii="Cambria" w:hAnsi="Cambria"/>
          <w:bCs/>
          <w:sz w:val="20"/>
          <w:szCs w:val="20"/>
          <w:lang w:val="es-ES"/>
        </w:rPr>
        <w:t>9 de mayo de 2013</w:t>
      </w:r>
      <w:r w:rsidRPr="00F958A1">
        <w:rPr>
          <w:rFonts w:asciiTheme="majorHAnsi" w:hAnsiTheme="majorHAnsi"/>
          <w:sz w:val="20"/>
          <w:szCs w:val="20"/>
          <w:lang w:val="es-PE"/>
        </w:rPr>
        <w:t>, también se satisface el requisito de plazo previsto en el artículo 46.1.b) de la Convención.</w:t>
      </w:r>
    </w:p>
    <w:p w14:paraId="4FFBE378" w14:textId="64322DE9" w:rsidR="003239B8" w:rsidRPr="00F958A1" w:rsidRDefault="003239B8" w:rsidP="003239B8">
      <w:pPr>
        <w:pStyle w:val="ListParagraph"/>
        <w:spacing w:before="240" w:after="240"/>
        <w:jc w:val="both"/>
        <w:rPr>
          <w:rFonts w:asciiTheme="majorHAnsi" w:hAnsiTheme="majorHAnsi"/>
          <w:b/>
          <w:sz w:val="20"/>
          <w:szCs w:val="20"/>
          <w:lang w:val="es-ES"/>
        </w:rPr>
      </w:pPr>
      <w:r w:rsidRPr="00F958A1">
        <w:rPr>
          <w:rFonts w:asciiTheme="majorHAnsi" w:hAnsiTheme="majorHAnsi"/>
          <w:b/>
          <w:bCs/>
          <w:sz w:val="20"/>
          <w:szCs w:val="20"/>
          <w:lang w:val="es-ES"/>
        </w:rPr>
        <w:t>VII.</w:t>
      </w:r>
      <w:r w:rsidRPr="00F958A1">
        <w:rPr>
          <w:rFonts w:asciiTheme="majorHAnsi" w:hAnsiTheme="majorHAnsi"/>
          <w:b/>
          <w:bCs/>
          <w:sz w:val="20"/>
          <w:szCs w:val="20"/>
          <w:lang w:val="es-ES"/>
        </w:rPr>
        <w:tab/>
      </w:r>
      <w:r w:rsidR="004A6A54" w:rsidRPr="00F958A1">
        <w:rPr>
          <w:rFonts w:asciiTheme="majorHAnsi" w:hAnsiTheme="majorHAnsi"/>
          <w:b/>
          <w:bCs/>
          <w:sz w:val="20"/>
          <w:szCs w:val="20"/>
          <w:lang w:val="es-ES_tradnl"/>
        </w:rPr>
        <w:t xml:space="preserve">ANÁLISIS DE </w:t>
      </w:r>
      <w:r w:rsidR="00C21FEF" w:rsidRPr="00F958A1">
        <w:rPr>
          <w:rFonts w:asciiTheme="majorHAnsi" w:hAnsiTheme="majorHAnsi"/>
          <w:b/>
          <w:bCs/>
          <w:sz w:val="20"/>
          <w:szCs w:val="20"/>
          <w:lang w:val="es-ES"/>
        </w:rPr>
        <w:t xml:space="preserve">CARACTERIZACIÓN </w:t>
      </w:r>
      <w:r w:rsidR="00C21FEF" w:rsidRPr="00F958A1">
        <w:rPr>
          <w:rFonts w:asciiTheme="majorHAnsi" w:hAnsiTheme="majorHAnsi"/>
          <w:b/>
          <w:bCs/>
          <w:sz w:val="20"/>
          <w:szCs w:val="20"/>
          <w:lang w:val="es-UY"/>
        </w:rPr>
        <w:t>DE LOS HECHOS ALEGADOS</w:t>
      </w:r>
    </w:p>
    <w:p w14:paraId="5A76F00B" w14:textId="1FAE3282" w:rsidR="00A04900" w:rsidRPr="00F958A1" w:rsidRDefault="00D76525" w:rsidP="00A04900">
      <w:pPr>
        <w:pStyle w:val="ListParagraph"/>
        <w:numPr>
          <w:ilvl w:val="0"/>
          <w:numId w:val="103"/>
        </w:numPr>
        <w:suppressAutoHyphens/>
        <w:spacing w:before="240" w:after="240"/>
        <w:jc w:val="both"/>
        <w:rPr>
          <w:sz w:val="20"/>
          <w:szCs w:val="20"/>
          <w:lang w:val="es-ES_tradnl"/>
        </w:rPr>
      </w:pPr>
      <w:r w:rsidRPr="00F958A1">
        <w:rPr>
          <w:sz w:val="20"/>
          <w:szCs w:val="20"/>
          <w:lang w:val="es-ES"/>
        </w:rPr>
        <w:t>En primer lugar</w:t>
      </w:r>
      <w:r w:rsidR="00A04900" w:rsidRPr="00F958A1">
        <w:rPr>
          <w:sz w:val="20"/>
          <w:szCs w:val="20"/>
          <w:lang w:val="es-ES"/>
        </w:rPr>
        <w:t xml:space="preserve">, </w:t>
      </w:r>
      <w:r w:rsidR="00A04900" w:rsidRPr="00F958A1">
        <w:rPr>
          <w:sz w:val="20"/>
          <w:szCs w:val="20"/>
          <w:lang w:val="es-ES_tradnl"/>
        </w:rPr>
        <w:t xml:space="preserve">la Comisión reitera que el criterio de evaluación de la fase de admisibilidad difiere del que se utiliza para pronunciarse sobre el fondo de una petición; la CIDH debe realizar en esta etapa una evaluación </w:t>
      </w:r>
      <w:r w:rsidR="00A04900" w:rsidRPr="00F958A1">
        <w:rPr>
          <w:i/>
          <w:iCs/>
          <w:sz w:val="20"/>
          <w:szCs w:val="20"/>
          <w:lang w:val="es-ES_tradnl"/>
        </w:rPr>
        <w:t>prima facie</w:t>
      </w:r>
      <w:r w:rsidR="00A04900" w:rsidRPr="00F958A1">
        <w:rPr>
          <w:sz w:val="20"/>
          <w:szCs w:val="20"/>
          <w:lang w:val="es-ES_tradnl"/>
        </w:rPr>
        <w:t xml:space="preserve"> para definir si la petición identifica el fundamento de la violación, posible o potencial, de un derecho garantizado por la Convención, pero no para establecer </w:t>
      </w:r>
      <w:r w:rsidR="00A04900" w:rsidRPr="00F958A1">
        <w:rPr>
          <w:rFonts w:ascii="Aptos Display" w:hAnsi="Aptos Display"/>
          <w:sz w:val="20"/>
          <w:szCs w:val="20"/>
          <w:lang w:val="es-ES_tradnl"/>
        </w:rPr>
        <w:t>la</w:t>
      </w:r>
      <w:r w:rsidR="00A04900" w:rsidRPr="00F958A1">
        <w:rPr>
          <w:sz w:val="20"/>
          <w:szCs w:val="20"/>
          <w:lang w:val="es-ES_tradnl"/>
        </w:rPr>
        <w:t xml:space="preserve">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6A13F251" w14:textId="45489CB8" w:rsidR="00873D73" w:rsidRPr="00F958A1" w:rsidRDefault="00873D73" w:rsidP="00A04900">
      <w:pPr>
        <w:pStyle w:val="ListParagraph"/>
        <w:numPr>
          <w:ilvl w:val="0"/>
          <w:numId w:val="103"/>
        </w:numPr>
        <w:suppressAutoHyphens/>
        <w:spacing w:before="240" w:after="240"/>
        <w:jc w:val="both"/>
        <w:rPr>
          <w:sz w:val="20"/>
          <w:szCs w:val="20"/>
          <w:lang w:val="es-ES_tradnl"/>
        </w:rPr>
      </w:pPr>
      <w:r w:rsidRPr="00F958A1">
        <w:rPr>
          <w:sz w:val="20"/>
          <w:szCs w:val="20"/>
          <w:lang w:val="es-PE"/>
        </w:rPr>
        <w:t xml:space="preserve">En relación con la condena impuesta al señor Adrián Esteban Bustos, la Comisión identifica que la parte peticionaria cuestiona tres puntos centrales: i) la afectación del derecho a recurrir el fallo; ii) </w:t>
      </w:r>
      <w:r w:rsidR="00825423" w:rsidRPr="00F958A1">
        <w:rPr>
          <w:sz w:val="20"/>
          <w:szCs w:val="20"/>
          <w:lang w:val="es-PE"/>
        </w:rPr>
        <w:t xml:space="preserve">violación al principio </w:t>
      </w:r>
      <w:r w:rsidR="00825423" w:rsidRPr="00F958A1">
        <w:rPr>
          <w:i/>
          <w:iCs/>
          <w:sz w:val="20"/>
          <w:szCs w:val="20"/>
          <w:lang w:val="es-PE"/>
        </w:rPr>
        <w:t>non bis in idem</w:t>
      </w:r>
      <w:r w:rsidR="00D20908" w:rsidRPr="00F958A1">
        <w:rPr>
          <w:sz w:val="20"/>
          <w:szCs w:val="20"/>
          <w:lang w:val="es-PE"/>
        </w:rPr>
        <w:t xml:space="preserve">; </w:t>
      </w:r>
      <w:r w:rsidRPr="00F958A1">
        <w:rPr>
          <w:sz w:val="20"/>
          <w:szCs w:val="20"/>
          <w:lang w:val="es-PE"/>
        </w:rPr>
        <w:t xml:space="preserve">iii) </w:t>
      </w:r>
      <w:r w:rsidR="00D20908" w:rsidRPr="00F958A1">
        <w:rPr>
          <w:sz w:val="20"/>
          <w:szCs w:val="20"/>
          <w:lang w:val="es-PE"/>
        </w:rPr>
        <w:t>la ausencia de una debida motivación y la vulneración del derecho a las garantías judiciales, las cuales afectaron su presunción de inocencia</w:t>
      </w:r>
      <w:r w:rsidR="003A7341" w:rsidRPr="00F958A1">
        <w:rPr>
          <w:sz w:val="20"/>
          <w:szCs w:val="20"/>
          <w:lang w:val="es-PE"/>
        </w:rPr>
        <w:t xml:space="preserve">; y iv) la imposición de una pena </w:t>
      </w:r>
      <w:r w:rsidR="00901DD7" w:rsidRPr="00F958A1">
        <w:rPr>
          <w:sz w:val="20"/>
          <w:szCs w:val="20"/>
          <w:lang w:val="es-PE"/>
        </w:rPr>
        <w:t>perpetua</w:t>
      </w:r>
      <w:r w:rsidR="00D20908" w:rsidRPr="00F958A1">
        <w:rPr>
          <w:sz w:val="20"/>
          <w:szCs w:val="20"/>
          <w:lang w:val="es-PE"/>
        </w:rPr>
        <w:t xml:space="preserve">. </w:t>
      </w:r>
    </w:p>
    <w:p w14:paraId="6F880AFE" w14:textId="77777777" w:rsidR="00D84C3D" w:rsidRPr="00F958A1" w:rsidRDefault="00D84C3D" w:rsidP="00D84C3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lang w:val="es-AR"/>
        </w:rPr>
      </w:pPr>
      <w:r w:rsidRPr="00F958A1">
        <w:rPr>
          <w:rFonts w:asciiTheme="majorHAnsi" w:hAnsiTheme="majorHAnsi"/>
          <w:sz w:val="20"/>
          <w:szCs w:val="20"/>
          <w:lang w:val="es-AR"/>
        </w:rPr>
        <w:t>Sobre el primer aspecto, la Comisión recuerda que el derecho a recurrir el fallo ante un juez o tribunal distinto y de superior jerarquía es una de las garantías mínimas que tiene toda persona sometida a una investigación y proceso penal. Su finalidad es asegurar la revisión de una sentencia adversa de manera tal que se tenga la posibilidad de corregir decisiones judiciales contrarias a derecho y evitar que una decisión injusta adquiera calidad de cosa juzgada</w:t>
      </w:r>
      <w:r w:rsidRPr="00F958A1">
        <w:rPr>
          <w:rFonts w:asciiTheme="majorHAnsi" w:hAnsiTheme="majorHAnsi"/>
          <w:sz w:val="20"/>
          <w:szCs w:val="20"/>
          <w:vertAlign w:val="superscript"/>
          <w:lang w:val="es-AR"/>
        </w:rPr>
        <w:footnoteReference w:id="5"/>
      </w:r>
      <w:r w:rsidRPr="00F958A1">
        <w:rPr>
          <w:rFonts w:asciiTheme="majorHAnsi" w:hAnsiTheme="majorHAnsi"/>
          <w:sz w:val="20"/>
          <w:szCs w:val="20"/>
          <w:lang w:val="es-AR"/>
        </w:rPr>
        <w:t>. En esa línea, la Comisión reitera que resulta irrelevante para el derecho internacional de los derechos humanos la denominación o el nombre con el que se designe el recurso disponible</w:t>
      </w:r>
      <w:r w:rsidRPr="00F958A1">
        <w:rPr>
          <w:rFonts w:asciiTheme="majorHAnsi" w:hAnsiTheme="majorHAnsi"/>
          <w:sz w:val="20"/>
          <w:szCs w:val="20"/>
          <w:vertAlign w:val="superscript"/>
          <w:lang w:val="es-AR"/>
        </w:rPr>
        <w:footnoteReference w:id="6"/>
      </w:r>
      <w:r w:rsidRPr="00F958A1">
        <w:rPr>
          <w:rFonts w:asciiTheme="majorHAnsi" w:hAnsiTheme="majorHAnsi"/>
          <w:sz w:val="20"/>
          <w:szCs w:val="20"/>
          <w:lang w:val="es-AR"/>
        </w:rPr>
        <w:t xml:space="preserve">. Lo importante es que el recurso contemplado en la normativa interna satisfaga una serie de </w:t>
      </w:r>
      <w:r w:rsidRPr="00F958A1">
        <w:rPr>
          <w:rFonts w:asciiTheme="majorHAnsi" w:hAnsiTheme="majorHAnsi"/>
          <w:sz w:val="20"/>
          <w:szCs w:val="20"/>
          <w:lang w:val="es-AR"/>
        </w:rPr>
        <w:lastRenderedPageBreak/>
        <w:t>estándares y, en tal sentido, cumpla con ser oportuno</w:t>
      </w:r>
      <w:r w:rsidRPr="00F958A1">
        <w:rPr>
          <w:rStyle w:val="FootnoteReference"/>
          <w:rFonts w:asciiTheme="majorHAnsi" w:hAnsiTheme="majorHAnsi"/>
          <w:sz w:val="20"/>
          <w:szCs w:val="20"/>
          <w:lang w:val="es-AR"/>
        </w:rPr>
        <w:footnoteReference w:id="7"/>
      </w:r>
      <w:r w:rsidRPr="00F958A1">
        <w:rPr>
          <w:rFonts w:asciiTheme="majorHAnsi" w:hAnsiTheme="majorHAnsi"/>
          <w:sz w:val="20"/>
          <w:szCs w:val="20"/>
          <w:lang w:val="es-AR"/>
        </w:rPr>
        <w:t>, accesible</w:t>
      </w:r>
      <w:r w:rsidRPr="00F958A1">
        <w:rPr>
          <w:rStyle w:val="FootnoteReference"/>
          <w:rFonts w:asciiTheme="majorHAnsi" w:hAnsiTheme="majorHAnsi"/>
          <w:sz w:val="20"/>
          <w:szCs w:val="20"/>
          <w:lang w:val="es-AR"/>
        </w:rPr>
        <w:footnoteReference w:id="8"/>
      </w:r>
      <w:r w:rsidRPr="00F958A1">
        <w:rPr>
          <w:rFonts w:asciiTheme="majorHAnsi" w:hAnsiTheme="majorHAnsi"/>
          <w:sz w:val="20"/>
          <w:szCs w:val="20"/>
          <w:lang w:val="es-AR"/>
        </w:rPr>
        <w:t>, eficaz</w:t>
      </w:r>
      <w:r w:rsidRPr="00F958A1">
        <w:rPr>
          <w:rStyle w:val="FootnoteReference"/>
          <w:rFonts w:asciiTheme="majorHAnsi" w:hAnsiTheme="majorHAnsi"/>
          <w:sz w:val="20"/>
          <w:szCs w:val="20"/>
          <w:lang w:val="es-AR"/>
        </w:rPr>
        <w:footnoteReference w:id="9"/>
      </w:r>
      <w:r w:rsidRPr="00F958A1">
        <w:rPr>
          <w:rFonts w:asciiTheme="majorHAnsi" w:hAnsiTheme="majorHAnsi"/>
          <w:sz w:val="20"/>
          <w:szCs w:val="20"/>
          <w:lang w:val="es-AR"/>
        </w:rPr>
        <w:t xml:space="preserve"> y, en particular, que permita la revisión integral de la condena</w:t>
      </w:r>
      <w:r w:rsidRPr="00F958A1">
        <w:rPr>
          <w:rStyle w:val="FootnoteReference"/>
          <w:rFonts w:asciiTheme="majorHAnsi" w:hAnsiTheme="majorHAnsi"/>
          <w:sz w:val="20"/>
          <w:szCs w:val="20"/>
          <w:lang w:val="es-AR"/>
        </w:rPr>
        <w:footnoteReference w:id="10"/>
      </w:r>
      <w:r w:rsidRPr="00F958A1">
        <w:rPr>
          <w:rFonts w:asciiTheme="majorHAnsi" w:hAnsiTheme="majorHAnsi"/>
          <w:sz w:val="20"/>
          <w:szCs w:val="20"/>
          <w:lang w:val="es-AR"/>
        </w:rPr>
        <w:t>.</w:t>
      </w:r>
    </w:p>
    <w:p w14:paraId="68C53B84" w14:textId="77777777" w:rsidR="006E7EE8" w:rsidRPr="00F958A1" w:rsidRDefault="006E7EE8" w:rsidP="006E7EE8">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lang w:val="es-AR"/>
        </w:rPr>
      </w:pPr>
    </w:p>
    <w:p w14:paraId="48AC5F9E" w14:textId="416EE593" w:rsidR="00431F89" w:rsidRPr="00F958A1" w:rsidRDefault="002B3E73" w:rsidP="00431F89">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lang w:val="es-AR"/>
        </w:rPr>
      </w:pPr>
      <w:r w:rsidRPr="00F958A1">
        <w:rPr>
          <w:rFonts w:asciiTheme="majorHAnsi" w:hAnsiTheme="majorHAnsi"/>
          <w:sz w:val="20"/>
          <w:szCs w:val="20"/>
          <w:lang w:val="es-AR"/>
        </w:rPr>
        <w:t xml:space="preserve">En el presente asunto, la Comisión observa que el 17 de marzo de 2010 la Sala IV de la Cámara Nacional de Casación Penal </w:t>
      </w:r>
      <w:r w:rsidR="00D31416" w:rsidRPr="00F958A1">
        <w:rPr>
          <w:rFonts w:asciiTheme="majorHAnsi" w:hAnsiTheme="majorHAnsi"/>
          <w:sz w:val="20"/>
          <w:szCs w:val="20"/>
          <w:lang w:val="es-AR"/>
        </w:rPr>
        <w:t xml:space="preserve">confirmó la condena de la presunta víctima. </w:t>
      </w:r>
      <w:r w:rsidR="001C0A4C" w:rsidRPr="00F958A1">
        <w:rPr>
          <w:rFonts w:asciiTheme="majorHAnsi" w:hAnsiTheme="majorHAnsi"/>
          <w:sz w:val="20"/>
          <w:szCs w:val="20"/>
          <w:lang w:val="es-AR"/>
        </w:rPr>
        <w:t xml:space="preserve">Respecto de tal decisión, conforme a la información aportada por el Estado, la Comisión nota que la Corte Suprema de Justicia realizó un reexamen de la manera en que el tribunal de primera instancia valoró el plexo probatorio existente en la causa, y por ende, habría realizado un examen autónomo e independiente del grado de convicción asignado a cada uno de los elementos utilizados para sustentar la condena del señor </w:t>
      </w:r>
      <w:r w:rsidR="00431F89" w:rsidRPr="00F958A1">
        <w:rPr>
          <w:rFonts w:asciiTheme="majorHAnsi" w:hAnsiTheme="majorHAnsi"/>
          <w:sz w:val="20"/>
          <w:szCs w:val="20"/>
          <w:lang w:val="es-AR"/>
        </w:rPr>
        <w:t>Adrián Esteban Bustos</w:t>
      </w:r>
      <w:r w:rsidR="001C0A4C" w:rsidRPr="00F958A1">
        <w:rPr>
          <w:rFonts w:asciiTheme="majorHAnsi" w:hAnsiTheme="majorHAnsi"/>
          <w:sz w:val="20"/>
          <w:szCs w:val="20"/>
          <w:lang w:val="es-AR"/>
        </w:rPr>
        <w:t>. Asimismo, la Comisión nota que la parte peticionaria no aporta alegatos o argumentos concretos que contradigan esta situación.</w:t>
      </w:r>
      <w:r w:rsidR="00431F89" w:rsidRPr="00F958A1">
        <w:rPr>
          <w:rFonts w:asciiTheme="majorHAnsi" w:hAnsiTheme="majorHAnsi"/>
          <w:sz w:val="20"/>
          <w:szCs w:val="20"/>
          <w:lang w:val="es-AR"/>
        </w:rPr>
        <w:t xml:space="preserve"> Por las citadas razones, la Comisión considera que no existen elementos </w:t>
      </w:r>
      <w:r w:rsidR="00431F89" w:rsidRPr="00F958A1">
        <w:rPr>
          <w:rFonts w:asciiTheme="majorHAnsi" w:hAnsiTheme="majorHAnsi"/>
          <w:i/>
          <w:iCs/>
          <w:sz w:val="20"/>
          <w:szCs w:val="20"/>
          <w:lang w:val="es-AR"/>
        </w:rPr>
        <w:t>prima facie</w:t>
      </w:r>
      <w:r w:rsidR="00431F89" w:rsidRPr="00F958A1">
        <w:rPr>
          <w:rFonts w:asciiTheme="majorHAnsi" w:hAnsiTheme="majorHAnsi"/>
          <w:sz w:val="20"/>
          <w:szCs w:val="20"/>
          <w:lang w:val="es-AR"/>
        </w:rPr>
        <w:t>, en los términos</w:t>
      </w:r>
      <w:r w:rsidR="00431F89" w:rsidRPr="00F958A1">
        <w:rPr>
          <w:rFonts w:asciiTheme="majorHAnsi" w:hAnsiTheme="majorHAnsi"/>
          <w:sz w:val="20"/>
          <w:szCs w:val="20"/>
          <w:lang w:val="es-PE"/>
        </w:rPr>
        <w:t xml:space="preserve"> del artículo 47 de la Convención Americana,</w:t>
      </w:r>
      <w:r w:rsidR="00431F89" w:rsidRPr="00F958A1">
        <w:rPr>
          <w:rFonts w:asciiTheme="majorHAnsi" w:hAnsiTheme="majorHAnsi"/>
          <w:sz w:val="20"/>
          <w:szCs w:val="20"/>
          <w:lang w:val="es-AR"/>
        </w:rPr>
        <w:t xml:space="preserve"> para establecer una posible vulneración del artículo 8.2.h) de ese tratado. </w:t>
      </w:r>
    </w:p>
    <w:p w14:paraId="611BE001" w14:textId="77777777" w:rsidR="00431F89" w:rsidRPr="00F958A1" w:rsidRDefault="00431F89" w:rsidP="00431F89">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lang w:val="es-AR"/>
        </w:rPr>
      </w:pPr>
    </w:p>
    <w:p w14:paraId="380626EE" w14:textId="36DF8DD3" w:rsidR="00D06D4A" w:rsidRPr="00F958A1" w:rsidRDefault="00E45589" w:rsidP="006E7EE8">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lang w:val="es-AR"/>
        </w:rPr>
      </w:pPr>
      <w:r w:rsidRPr="00F958A1">
        <w:rPr>
          <w:rFonts w:asciiTheme="majorHAnsi" w:hAnsiTheme="majorHAnsi"/>
          <w:sz w:val="20"/>
          <w:szCs w:val="20"/>
          <w:lang w:val="es-AR"/>
        </w:rPr>
        <w:t>Con r</w:t>
      </w:r>
      <w:r w:rsidR="003D038E" w:rsidRPr="00F958A1">
        <w:rPr>
          <w:rFonts w:asciiTheme="majorHAnsi" w:hAnsiTheme="majorHAnsi"/>
          <w:sz w:val="20"/>
          <w:szCs w:val="20"/>
          <w:lang w:val="es-AR"/>
        </w:rPr>
        <w:t xml:space="preserve">especto al segundo punto, la Comisión </w:t>
      </w:r>
      <w:r w:rsidR="00390A38" w:rsidRPr="00F958A1">
        <w:rPr>
          <w:rFonts w:asciiTheme="majorHAnsi" w:hAnsiTheme="majorHAnsi"/>
          <w:sz w:val="20"/>
          <w:szCs w:val="20"/>
          <w:lang w:val="es-AR"/>
        </w:rPr>
        <w:t>recuerda que para que se configur</w:t>
      </w:r>
      <w:r w:rsidR="002F1ACE" w:rsidRPr="00F958A1">
        <w:rPr>
          <w:rFonts w:asciiTheme="majorHAnsi" w:hAnsiTheme="majorHAnsi"/>
          <w:sz w:val="20"/>
          <w:szCs w:val="20"/>
          <w:lang w:val="es-AR"/>
        </w:rPr>
        <w:t>e</w:t>
      </w:r>
      <w:r w:rsidR="00390A38" w:rsidRPr="00F958A1">
        <w:rPr>
          <w:rFonts w:asciiTheme="majorHAnsi" w:hAnsiTheme="majorHAnsi"/>
          <w:sz w:val="20"/>
          <w:szCs w:val="20"/>
          <w:lang w:val="es-AR"/>
        </w:rPr>
        <w:t xml:space="preserve"> una violación al principio </w:t>
      </w:r>
      <w:r w:rsidR="00390A38" w:rsidRPr="00F958A1">
        <w:rPr>
          <w:rFonts w:asciiTheme="majorHAnsi" w:hAnsiTheme="majorHAnsi"/>
          <w:i/>
          <w:iCs/>
          <w:sz w:val="20"/>
          <w:szCs w:val="20"/>
          <w:lang w:val="es-AR"/>
        </w:rPr>
        <w:t>non bis in idem</w:t>
      </w:r>
      <w:r w:rsidR="00390A38" w:rsidRPr="00F958A1">
        <w:rPr>
          <w:rFonts w:asciiTheme="majorHAnsi" w:hAnsiTheme="majorHAnsi"/>
          <w:sz w:val="20"/>
          <w:szCs w:val="20"/>
          <w:lang w:val="es-AR"/>
        </w:rPr>
        <w:t xml:space="preserve"> o prohibición de doble juzgamiento, se requiere que exista una sentencia firme. </w:t>
      </w:r>
      <w:r w:rsidR="00417818" w:rsidRPr="00F958A1">
        <w:rPr>
          <w:rFonts w:asciiTheme="majorHAnsi" w:hAnsiTheme="majorHAnsi"/>
          <w:sz w:val="20"/>
          <w:szCs w:val="20"/>
          <w:lang w:val="es-AR"/>
        </w:rPr>
        <w:t xml:space="preserve">En el presente asunto, las pruebas aportadas muestran que la primera sentencia emitida contra la presunta víctima no tenía calidad y por ello </w:t>
      </w:r>
      <w:r w:rsidR="00417818" w:rsidRPr="00F958A1">
        <w:rPr>
          <w:sz w:val="20"/>
          <w:szCs w:val="20"/>
          <w:lang w:val="es-PE"/>
        </w:rPr>
        <w:t>la Sala IV de la Cámara Nacional de Casación Penal podía anularla y ordena la emisión de una nueva decisión. Por lo expuesto, la Comisión tampoco aprecia que se configure preliminarmente una afectación a tal derecho.</w:t>
      </w:r>
    </w:p>
    <w:p w14:paraId="1B60DF5A" w14:textId="77777777" w:rsidR="00417818" w:rsidRPr="00F958A1" w:rsidRDefault="00417818" w:rsidP="00417818">
      <w:pPr>
        <w:pStyle w:val="ListParagraph"/>
        <w:rPr>
          <w:rFonts w:asciiTheme="majorHAnsi" w:hAnsiTheme="majorHAnsi"/>
          <w:sz w:val="20"/>
          <w:szCs w:val="20"/>
          <w:lang w:val="es-AR"/>
        </w:rPr>
      </w:pPr>
    </w:p>
    <w:p w14:paraId="62FCE818" w14:textId="04054D34" w:rsidR="00417818" w:rsidRPr="00F958A1" w:rsidRDefault="00417818" w:rsidP="006E7EE8">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lang w:val="es-AR"/>
        </w:rPr>
      </w:pPr>
      <w:r w:rsidRPr="00F958A1">
        <w:rPr>
          <w:rFonts w:asciiTheme="majorHAnsi" w:hAnsiTheme="majorHAnsi"/>
          <w:sz w:val="20"/>
          <w:szCs w:val="20"/>
          <w:lang w:val="es-AR"/>
        </w:rPr>
        <w:t xml:space="preserve">En </w:t>
      </w:r>
      <w:r w:rsidR="00C333F6" w:rsidRPr="00F958A1">
        <w:rPr>
          <w:rFonts w:asciiTheme="majorHAnsi" w:hAnsiTheme="majorHAnsi"/>
          <w:sz w:val="20"/>
          <w:szCs w:val="20"/>
          <w:lang w:val="es-AR"/>
        </w:rPr>
        <w:t>lo relativo</w:t>
      </w:r>
      <w:r w:rsidRPr="00F958A1">
        <w:rPr>
          <w:rFonts w:asciiTheme="majorHAnsi" w:hAnsiTheme="majorHAnsi"/>
          <w:sz w:val="20"/>
          <w:szCs w:val="20"/>
          <w:lang w:val="es-AR"/>
        </w:rPr>
        <w:t xml:space="preserve"> </w:t>
      </w:r>
      <w:r w:rsidR="00C333F6" w:rsidRPr="00F958A1">
        <w:rPr>
          <w:rFonts w:asciiTheme="majorHAnsi" w:hAnsiTheme="majorHAnsi"/>
          <w:sz w:val="20"/>
          <w:szCs w:val="20"/>
          <w:lang w:val="es-AR"/>
        </w:rPr>
        <w:t>a</w:t>
      </w:r>
      <w:r w:rsidRPr="00F958A1">
        <w:rPr>
          <w:rFonts w:asciiTheme="majorHAnsi" w:hAnsiTheme="majorHAnsi"/>
          <w:sz w:val="20"/>
          <w:szCs w:val="20"/>
          <w:lang w:val="es-AR"/>
        </w:rPr>
        <w:t xml:space="preserve">l tercer punto, la CIDH aprecia que las sentencias que condenaron y confirmaron la condena de la presunta víctima valoraron integralmente las pruebas aportadas al proceso y adoptaron una decisión </w:t>
      </w:r>
      <w:r w:rsidR="00600E59" w:rsidRPr="00F958A1">
        <w:rPr>
          <w:rFonts w:asciiTheme="majorHAnsi" w:hAnsiTheme="majorHAnsi"/>
          <w:sz w:val="20"/>
          <w:szCs w:val="20"/>
          <w:lang w:val="es-AR"/>
        </w:rPr>
        <w:t xml:space="preserve">fundamentada. Si </w:t>
      </w:r>
      <w:r w:rsidR="00FF3394" w:rsidRPr="00F958A1">
        <w:rPr>
          <w:rFonts w:asciiTheme="majorHAnsi" w:hAnsiTheme="majorHAnsi"/>
          <w:sz w:val="20"/>
          <w:szCs w:val="20"/>
          <w:lang w:val="es-AR"/>
        </w:rPr>
        <w:t>bien el señor Adrián Esteban Bustos</w:t>
      </w:r>
      <w:r w:rsidR="00600E59" w:rsidRPr="00F958A1">
        <w:rPr>
          <w:rFonts w:asciiTheme="majorHAnsi" w:hAnsiTheme="majorHAnsi"/>
          <w:sz w:val="20"/>
          <w:szCs w:val="20"/>
          <w:lang w:val="es-AR"/>
        </w:rPr>
        <w:t xml:space="preserve"> cuestiona que no se tomó en consideración un determinado peritaje, </w:t>
      </w:r>
      <w:r w:rsidR="00FF3394" w:rsidRPr="00F958A1">
        <w:rPr>
          <w:rFonts w:asciiTheme="majorHAnsi" w:hAnsiTheme="majorHAnsi"/>
          <w:sz w:val="20"/>
          <w:szCs w:val="20"/>
          <w:lang w:val="es-AR"/>
        </w:rPr>
        <w:t>su</w:t>
      </w:r>
      <w:r w:rsidR="00614B8A" w:rsidRPr="00F958A1">
        <w:rPr>
          <w:rFonts w:asciiTheme="majorHAnsi" w:hAnsiTheme="majorHAnsi"/>
          <w:sz w:val="20"/>
          <w:szCs w:val="20"/>
          <w:lang w:val="es-AR"/>
        </w:rPr>
        <w:t xml:space="preserve"> defensa </w:t>
      </w:r>
      <w:r w:rsidR="00887D9D" w:rsidRPr="00F958A1">
        <w:rPr>
          <w:rFonts w:asciiTheme="majorHAnsi" w:hAnsiTheme="majorHAnsi"/>
          <w:sz w:val="20"/>
          <w:szCs w:val="20"/>
          <w:lang w:val="es-AR"/>
        </w:rPr>
        <w:t>sí</w:t>
      </w:r>
      <w:r w:rsidR="00614B8A" w:rsidRPr="00F958A1">
        <w:rPr>
          <w:rFonts w:asciiTheme="majorHAnsi" w:hAnsiTheme="majorHAnsi"/>
          <w:sz w:val="20"/>
          <w:szCs w:val="20"/>
          <w:lang w:val="es-AR"/>
        </w:rPr>
        <w:t xml:space="preserve"> </w:t>
      </w:r>
      <w:r w:rsidR="00600E59" w:rsidRPr="00F958A1">
        <w:rPr>
          <w:rFonts w:asciiTheme="majorHAnsi" w:hAnsiTheme="majorHAnsi"/>
          <w:sz w:val="20"/>
          <w:szCs w:val="20"/>
          <w:lang w:val="es-AR"/>
        </w:rPr>
        <w:t xml:space="preserve">tuvo la posibilidad de actuar tal prueba en segunda instancia. Además, </w:t>
      </w:r>
      <w:r w:rsidR="004526CB" w:rsidRPr="00F958A1">
        <w:rPr>
          <w:rFonts w:asciiTheme="majorHAnsi" w:hAnsiTheme="majorHAnsi"/>
          <w:sz w:val="20"/>
          <w:szCs w:val="20"/>
          <w:lang w:val="es-AR"/>
        </w:rPr>
        <w:t>aquel</w:t>
      </w:r>
      <w:r w:rsidR="00EC6BB6" w:rsidRPr="00F958A1">
        <w:rPr>
          <w:rFonts w:asciiTheme="majorHAnsi" w:hAnsiTheme="majorHAnsi"/>
          <w:sz w:val="20"/>
          <w:szCs w:val="20"/>
          <w:lang w:val="es-AR"/>
        </w:rPr>
        <w:t xml:space="preserve"> no explica por qué la ausencia de tal elemento haya sido determinante para su sanción, dad</w:t>
      </w:r>
      <w:r w:rsidR="00AF01F6" w:rsidRPr="00F958A1">
        <w:rPr>
          <w:rFonts w:asciiTheme="majorHAnsi" w:hAnsiTheme="majorHAnsi"/>
          <w:sz w:val="20"/>
          <w:szCs w:val="20"/>
          <w:lang w:val="es-AR"/>
        </w:rPr>
        <w:t>o</w:t>
      </w:r>
      <w:r w:rsidR="00EC6BB6" w:rsidRPr="00F958A1">
        <w:rPr>
          <w:rFonts w:asciiTheme="majorHAnsi" w:hAnsiTheme="majorHAnsi"/>
          <w:sz w:val="20"/>
          <w:szCs w:val="20"/>
          <w:lang w:val="es-AR"/>
        </w:rPr>
        <w:t xml:space="preserve">s </w:t>
      </w:r>
      <w:r w:rsidR="00614B8A" w:rsidRPr="00F958A1">
        <w:rPr>
          <w:rFonts w:asciiTheme="majorHAnsi" w:hAnsiTheme="majorHAnsi"/>
          <w:sz w:val="20"/>
          <w:szCs w:val="20"/>
          <w:lang w:val="es-AR"/>
        </w:rPr>
        <w:t xml:space="preserve">los otros medios pruebas obrantes en el expediente. </w:t>
      </w:r>
    </w:p>
    <w:p w14:paraId="5F103B5F" w14:textId="77777777" w:rsidR="00D06D4A" w:rsidRPr="00F958A1" w:rsidRDefault="00D06D4A" w:rsidP="00D06D4A">
      <w:pPr>
        <w:pStyle w:val="ListParagraph"/>
        <w:rPr>
          <w:rFonts w:asciiTheme="majorHAnsi" w:hAnsiTheme="majorHAnsi"/>
          <w:sz w:val="20"/>
          <w:szCs w:val="20"/>
          <w:lang w:val="es-AR"/>
        </w:rPr>
      </w:pPr>
    </w:p>
    <w:p w14:paraId="6A18C8A1" w14:textId="27DA4460" w:rsidR="006E7EE8" w:rsidRPr="00F958A1" w:rsidRDefault="006E7EE8" w:rsidP="006E7EE8">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lang w:val="es-AR"/>
        </w:rPr>
      </w:pPr>
      <w:r w:rsidRPr="00F958A1">
        <w:rPr>
          <w:rFonts w:asciiTheme="majorHAnsi" w:hAnsiTheme="majorHAnsi"/>
          <w:sz w:val="20"/>
          <w:szCs w:val="20"/>
          <w:lang w:val="es-AR"/>
        </w:rPr>
        <w:t xml:space="preserve">Por último, respecto a la imposición de la pena </w:t>
      </w:r>
      <w:r w:rsidR="004526CB" w:rsidRPr="00F958A1">
        <w:rPr>
          <w:rFonts w:asciiTheme="majorHAnsi" w:hAnsiTheme="majorHAnsi"/>
          <w:sz w:val="20"/>
          <w:szCs w:val="20"/>
          <w:lang w:val="es-AR"/>
        </w:rPr>
        <w:t xml:space="preserve">de prisión </w:t>
      </w:r>
      <w:r w:rsidRPr="00F958A1">
        <w:rPr>
          <w:rFonts w:asciiTheme="majorHAnsi" w:hAnsiTheme="majorHAnsi"/>
          <w:sz w:val="20"/>
          <w:szCs w:val="20"/>
          <w:lang w:val="es-AR"/>
        </w:rPr>
        <w:t>perpetua, la Comisión recuerda, siguiendo la jurisprudencia comparada,</w:t>
      </w:r>
      <w:r w:rsidR="00F36F3A" w:rsidRPr="00F958A1">
        <w:rPr>
          <w:rFonts w:asciiTheme="majorHAnsi" w:hAnsiTheme="majorHAnsi"/>
          <w:sz w:val="20"/>
          <w:szCs w:val="20"/>
          <w:lang w:val="es-AR"/>
        </w:rPr>
        <w:t xml:space="preserve"> que</w:t>
      </w:r>
      <w:r w:rsidRPr="00F958A1">
        <w:rPr>
          <w:rFonts w:asciiTheme="majorHAnsi" w:hAnsiTheme="majorHAnsi"/>
          <w:sz w:val="20"/>
          <w:szCs w:val="20"/>
          <w:lang w:val="es-AR"/>
        </w:rPr>
        <w:t xml:space="preserve"> </w:t>
      </w:r>
      <w:r w:rsidR="005010C2" w:rsidRPr="00F958A1">
        <w:rPr>
          <w:rFonts w:asciiTheme="majorHAnsi" w:hAnsiTheme="majorHAnsi"/>
          <w:sz w:val="20"/>
          <w:szCs w:val="20"/>
          <w:lang w:val="es-AR"/>
        </w:rPr>
        <w:t xml:space="preserve">en principio, </w:t>
      </w:r>
      <w:r w:rsidRPr="00F958A1">
        <w:rPr>
          <w:rFonts w:asciiTheme="majorHAnsi" w:hAnsiTheme="majorHAnsi"/>
          <w:sz w:val="20"/>
          <w:szCs w:val="20"/>
          <w:lang w:val="es-AR"/>
        </w:rPr>
        <w:t xml:space="preserve">la citada sanción no resulta necesariamente incompatible con la Convención Americana cuando es aplicada para delitos </w:t>
      </w:r>
      <w:r w:rsidR="001D4E13" w:rsidRPr="00F958A1">
        <w:rPr>
          <w:rFonts w:asciiTheme="majorHAnsi" w:hAnsiTheme="majorHAnsi"/>
          <w:sz w:val="20"/>
          <w:szCs w:val="20"/>
          <w:lang w:val="es-AR"/>
        </w:rPr>
        <w:t>pa</w:t>
      </w:r>
      <w:r w:rsidR="00C407DC" w:rsidRPr="00F958A1">
        <w:rPr>
          <w:rFonts w:asciiTheme="majorHAnsi" w:hAnsiTheme="majorHAnsi"/>
          <w:sz w:val="20"/>
          <w:szCs w:val="20"/>
          <w:lang w:val="es-AR"/>
        </w:rPr>
        <w:t>rticularmente</w:t>
      </w:r>
      <w:r w:rsidRPr="00F958A1">
        <w:rPr>
          <w:rFonts w:asciiTheme="majorHAnsi" w:hAnsiTheme="majorHAnsi"/>
          <w:sz w:val="20"/>
          <w:szCs w:val="20"/>
          <w:lang w:val="es-AR"/>
        </w:rPr>
        <w:t xml:space="preserve"> graves. </w:t>
      </w:r>
      <w:r w:rsidR="00C407DC" w:rsidRPr="00F958A1">
        <w:rPr>
          <w:rFonts w:asciiTheme="majorHAnsi" w:hAnsiTheme="majorHAnsi"/>
          <w:sz w:val="20"/>
          <w:szCs w:val="20"/>
          <w:lang w:val="es-AR"/>
        </w:rPr>
        <w:t>Además</w:t>
      </w:r>
      <w:r w:rsidRPr="00F958A1">
        <w:rPr>
          <w:rFonts w:asciiTheme="majorHAnsi" w:hAnsiTheme="majorHAnsi"/>
          <w:sz w:val="20"/>
          <w:szCs w:val="20"/>
          <w:lang w:val="es-AR"/>
        </w:rPr>
        <w:t xml:space="preserve">, </w:t>
      </w:r>
      <w:r w:rsidR="00C407DC" w:rsidRPr="00F958A1">
        <w:rPr>
          <w:rFonts w:asciiTheme="majorHAnsi" w:hAnsiTheme="majorHAnsi"/>
          <w:sz w:val="20"/>
          <w:szCs w:val="20"/>
          <w:lang w:val="es-AR"/>
        </w:rPr>
        <w:t>es</w:t>
      </w:r>
      <w:r w:rsidRPr="00F958A1">
        <w:rPr>
          <w:rFonts w:asciiTheme="majorHAnsi" w:hAnsiTheme="majorHAnsi"/>
          <w:sz w:val="20"/>
          <w:szCs w:val="20"/>
          <w:lang w:val="es-AR"/>
        </w:rPr>
        <w:t xml:space="preserve"> necesario que la persona condenada tenga la expectativa de ser puesto en libertad y que cuente con la posibilidad que su pena sea revisada en un plazo adecuado</w:t>
      </w:r>
      <w:r w:rsidRPr="00F958A1">
        <w:rPr>
          <w:rStyle w:val="FootnoteReference"/>
          <w:sz w:val="20"/>
          <w:szCs w:val="20"/>
        </w:rPr>
        <w:footnoteReference w:id="11"/>
      </w:r>
      <w:r w:rsidRPr="00F958A1">
        <w:rPr>
          <w:rFonts w:asciiTheme="majorHAnsi" w:hAnsiTheme="majorHAnsi"/>
          <w:sz w:val="20"/>
          <w:szCs w:val="20"/>
          <w:lang w:val="es-AR"/>
        </w:rPr>
        <w:t xml:space="preserve">. Con base en ello, la Comisión considera que la parte peticionaria no brinda información </w:t>
      </w:r>
      <w:r w:rsidR="00B63D8D" w:rsidRPr="00F958A1">
        <w:rPr>
          <w:rFonts w:asciiTheme="majorHAnsi" w:hAnsiTheme="majorHAnsi"/>
          <w:sz w:val="20"/>
          <w:szCs w:val="20"/>
          <w:lang w:val="es-AR"/>
        </w:rPr>
        <w:t xml:space="preserve">o argumentos </w:t>
      </w:r>
      <w:r w:rsidRPr="00F958A1">
        <w:rPr>
          <w:rFonts w:asciiTheme="majorHAnsi" w:hAnsiTheme="majorHAnsi"/>
          <w:sz w:val="20"/>
          <w:szCs w:val="20"/>
          <w:lang w:val="es-AR"/>
        </w:rPr>
        <w:t>que permita</w:t>
      </w:r>
      <w:r w:rsidR="00B63D8D" w:rsidRPr="00F958A1">
        <w:rPr>
          <w:rFonts w:asciiTheme="majorHAnsi" w:hAnsiTheme="majorHAnsi"/>
          <w:sz w:val="20"/>
          <w:szCs w:val="20"/>
          <w:lang w:val="es-AR"/>
        </w:rPr>
        <w:t>n</w:t>
      </w:r>
      <w:r w:rsidR="00D24514" w:rsidRPr="00F958A1">
        <w:rPr>
          <w:rFonts w:asciiTheme="majorHAnsi" w:hAnsiTheme="majorHAnsi"/>
          <w:sz w:val="20"/>
          <w:szCs w:val="20"/>
          <w:lang w:val="es-AR"/>
        </w:rPr>
        <w:t xml:space="preserve"> establecer</w:t>
      </w:r>
      <w:r w:rsidRPr="00F958A1">
        <w:rPr>
          <w:rFonts w:asciiTheme="majorHAnsi" w:hAnsiTheme="majorHAnsi"/>
          <w:sz w:val="20"/>
          <w:szCs w:val="20"/>
          <w:lang w:val="es-AR"/>
        </w:rPr>
        <w:t xml:space="preserve"> </w:t>
      </w:r>
      <w:r w:rsidRPr="00F958A1">
        <w:rPr>
          <w:rFonts w:asciiTheme="majorHAnsi" w:hAnsiTheme="majorHAnsi"/>
          <w:i/>
          <w:iCs/>
          <w:sz w:val="20"/>
          <w:szCs w:val="20"/>
          <w:lang w:val="es-AR"/>
        </w:rPr>
        <w:t>prima facie</w:t>
      </w:r>
      <w:r w:rsidRPr="00F958A1">
        <w:rPr>
          <w:rFonts w:asciiTheme="majorHAnsi" w:hAnsiTheme="majorHAnsi"/>
          <w:sz w:val="20"/>
          <w:szCs w:val="20"/>
          <w:lang w:val="es-AR"/>
        </w:rPr>
        <w:t xml:space="preserve"> que el Estado haya incumplido con alguno de los citados parámetros en el presente caso. </w:t>
      </w:r>
    </w:p>
    <w:p w14:paraId="1B9A1AB5" w14:textId="77777777" w:rsidR="00D06D4A" w:rsidRPr="00F958A1" w:rsidRDefault="00D06D4A" w:rsidP="00D06D4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lang w:val="es-AR"/>
        </w:rPr>
      </w:pPr>
    </w:p>
    <w:p w14:paraId="0919EBE2" w14:textId="2FC6BA6A" w:rsidR="002B3E73" w:rsidRPr="00F958A1" w:rsidRDefault="00D06D4A" w:rsidP="00D06D4A">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F958A1">
        <w:rPr>
          <w:rFonts w:asciiTheme="majorHAnsi" w:hAnsiTheme="majorHAnsi"/>
          <w:bCs/>
          <w:sz w:val="20"/>
          <w:szCs w:val="20"/>
          <w:lang w:val="es-UY"/>
        </w:rPr>
        <w:t xml:space="preserve">Por las citadas razones, la Comisión concluye que los hechos expuestos por la parte peticionaria no muestran, </w:t>
      </w:r>
      <w:r w:rsidRPr="00F958A1">
        <w:rPr>
          <w:rFonts w:asciiTheme="majorHAnsi" w:hAnsiTheme="majorHAnsi"/>
          <w:bCs/>
          <w:i/>
          <w:iCs/>
          <w:sz w:val="20"/>
          <w:szCs w:val="20"/>
          <w:lang w:val="es-UY"/>
        </w:rPr>
        <w:t>prima facie</w:t>
      </w:r>
      <w:r w:rsidRPr="00F958A1">
        <w:rPr>
          <w:rFonts w:asciiTheme="majorHAnsi" w:hAnsiTheme="majorHAnsi"/>
          <w:bCs/>
          <w:sz w:val="20"/>
          <w:szCs w:val="20"/>
          <w:lang w:val="es-UY"/>
        </w:rPr>
        <w:t xml:space="preserve">, una posible vulneración de derechos y, en consecuencia, con base en </w:t>
      </w:r>
      <w:r w:rsidRPr="00F958A1">
        <w:rPr>
          <w:rFonts w:asciiTheme="majorHAnsi" w:hAnsiTheme="majorHAnsi"/>
          <w:sz w:val="20"/>
          <w:szCs w:val="20"/>
          <w:lang w:val="es-ES"/>
        </w:rPr>
        <w:t xml:space="preserve">el artículo 47.b) de la Convención, corresponde declarar la inadmisibilidad de este asunto. </w:t>
      </w:r>
    </w:p>
    <w:p w14:paraId="29BB41F5" w14:textId="77777777" w:rsidR="003239B8" w:rsidRPr="00F958A1" w:rsidRDefault="003239B8" w:rsidP="003239B8">
      <w:pPr>
        <w:pStyle w:val="ListParagraph"/>
        <w:spacing w:before="240" w:after="240"/>
        <w:jc w:val="both"/>
        <w:rPr>
          <w:rFonts w:asciiTheme="majorHAnsi" w:hAnsiTheme="majorHAnsi"/>
          <w:b/>
          <w:bCs/>
          <w:sz w:val="20"/>
          <w:szCs w:val="20"/>
          <w:lang w:val="es-ES"/>
        </w:rPr>
      </w:pPr>
      <w:r w:rsidRPr="00F958A1">
        <w:rPr>
          <w:rFonts w:asciiTheme="majorHAnsi" w:hAnsiTheme="majorHAnsi"/>
          <w:b/>
          <w:bCs/>
          <w:sz w:val="20"/>
          <w:szCs w:val="20"/>
          <w:lang w:val="es-ES"/>
        </w:rPr>
        <w:t xml:space="preserve">VIII. </w:t>
      </w:r>
      <w:r w:rsidRPr="00F958A1">
        <w:rPr>
          <w:rFonts w:asciiTheme="majorHAnsi" w:hAnsiTheme="majorHAnsi"/>
          <w:b/>
          <w:bCs/>
          <w:sz w:val="20"/>
          <w:szCs w:val="20"/>
          <w:lang w:val="es-ES"/>
        </w:rPr>
        <w:tab/>
        <w:t>DECISIÓN</w:t>
      </w:r>
    </w:p>
    <w:p w14:paraId="570DA61C" w14:textId="553F2328" w:rsidR="000419AD" w:rsidRPr="00F958A1" w:rsidRDefault="000419AD" w:rsidP="000419AD">
      <w:pPr>
        <w:pStyle w:val="ListParagraph"/>
        <w:numPr>
          <w:ilvl w:val="0"/>
          <w:numId w:val="109"/>
        </w:numPr>
        <w:rPr>
          <w:rFonts w:eastAsia="Arial Unicode MS" w:cs="Times New Roman"/>
          <w:color w:val="auto"/>
          <w:sz w:val="20"/>
          <w:szCs w:val="20"/>
          <w:lang w:val="es-ES" w:eastAsia="en-US"/>
        </w:rPr>
      </w:pPr>
      <w:r w:rsidRPr="00F958A1">
        <w:rPr>
          <w:rFonts w:eastAsia="Arial Unicode MS" w:cs="Times New Roman"/>
          <w:color w:val="auto"/>
          <w:sz w:val="20"/>
          <w:szCs w:val="20"/>
          <w:lang w:val="es-ES" w:eastAsia="en-US"/>
        </w:rPr>
        <w:t>Declarar inadmisible la presente petición</w:t>
      </w:r>
      <w:r w:rsidR="00A758AA" w:rsidRPr="00F958A1">
        <w:rPr>
          <w:rFonts w:eastAsia="Arial Unicode MS" w:cs="Times New Roman"/>
          <w:color w:val="auto"/>
          <w:sz w:val="20"/>
          <w:szCs w:val="20"/>
          <w:lang w:val="es-ES" w:eastAsia="en-US"/>
        </w:rPr>
        <w:t>;</w:t>
      </w:r>
      <w:r w:rsidR="004A6A54" w:rsidRPr="00F958A1">
        <w:rPr>
          <w:rFonts w:eastAsia="Arial Unicode MS" w:cs="Times New Roman"/>
          <w:color w:val="auto"/>
          <w:sz w:val="20"/>
          <w:szCs w:val="20"/>
          <w:lang w:val="es-ES" w:eastAsia="en-US"/>
        </w:rPr>
        <w:t xml:space="preserve"> y</w:t>
      </w:r>
    </w:p>
    <w:p w14:paraId="41AA5BF6" w14:textId="77777777" w:rsidR="000419AD" w:rsidRPr="00F958A1" w:rsidRDefault="000419AD" w:rsidP="000419AD">
      <w:pPr>
        <w:pStyle w:val="ListParagraph"/>
        <w:rPr>
          <w:rFonts w:eastAsia="Arial Unicode MS" w:cs="Times New Roman"/>
          <w:color w:val="auto"/>
          <w:sz w:val="20"/>
          <w:szCs w:val="20"/>
          <w:lang w:val="es-ES" w:eastAsia="en-US"/>
        </w:rPr>
      </w:pPr>
    </w:p>
    <w:p w14:paraId="6AC80CA6" w14:textId="1391BC3F" w:rsidR="00722C9F" w:rsidRPr="00F958A1" w:rsidRDefault="004A6A54" w:rsidP="00974491">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F958A1">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3B8765F6" w14:textId="77777777" w:rsidR="00E16310" w:rsidRPr="00F958A1" w:rsidRDefault="00E16310" w:rsidP="00E16310">
      <w:pPr>
        <w:pStyle w:val="ListParagraph"/>
        <w:rPr>
          <w:rFonts w:asciiTheme="majorHAnsi" w:hAnsiTheme="majorHAnsi"/>
          <w:sz w:val="20"/>
          <w:szCs w:val="20"/>
          <w:lang w:val="es-ES"/>
        </w:rPr>
      </w:pPr>
    </w:p>
    <w:p w14:paraId="3A5DCCD2" w14:textId="7532CE81" w:rsidR="00E16310" w:rsidRPr="00950A34" w:rsidRDefault="00E16310" w:rsidP="00950A34">
      <w:pPr>
        <w:suppressAutoHyphens/>
        <w:ind w:firstLine="720"/>
        <w:jc w:val="both"/>
        <w:rPr>
          <w:rFonts w:ascii="Segoe UI" w:hAnsi="Segoe UI" w:cs="Segoe UI"/>
          <w:sz w:val="18"/>
          <w:szCs w:val="18"/>
          <w:lang w:val="es-ES"/>
        </w:rPr>
      </w:pPr>
      <w:r w:rsidRPr="00F958A1">
        <w:rPr>
          <w:rStyle w:val="normaltextrun"/>
          <w:rFonts w:ascii="Cambria" w:hAnsi="Cambria" w:cs="Segoe UI"/>
          <w:sz w:val="20"/>
          <w:szCs w:val="20"/>
          <w:lang w:val="es-CL"/>
        </w:rPr>
        <w:t xml:space="preserve">Aprobado por la Comisión Interamericana de Derechos Humanos a los </w:t>
      </w:r>
      <w:r w:rsidR="005C3DC1" w:rsidRPr="00F958A1">
        <w:rPr>
          <w:rStyle w:val="normaltextrun"/>
          <w:rFonts w:ascii="Cambria" w:hAnsi="Cambria" w:cs="Segoe UI"/>
          <w:sz w:val="20"/>
          <w:szCs w:val="20"/>
          <w:lang w:val="es-CL"/>
        </w:rPr>
        <w:t>15</w:t>
      </w:r>
      <w:r w:rsidRPr="00F958A1">
        <w:rPr>
          <w:rStyle w:val="normaltextrun"/>
          <w:rFonts w:ascii="Cambria" w:hAnsi="Cambria" w:cs="Segoe UI"/>
          <w:sz w:val="20"/>
          <w:szCs w:val="20"/>
          <w:lang w:val="es-CL"/>
        </w:rPr>
        <w:t xml:space="preserve"> días del mes de </w:t>
      </w:r>
      <w:r w:rsidR="005C3DC1" w:rsidRPr="00F958A1">
        <w:rPr>
          <w:rStyle w:val="normaltextrun"/>
          <w:rFonts w:ascii="Cambria" w:hAnsi="Cambria" w:cs="Segoe UI"/>
          <w:sz w:val="20"/>
          <w:szCs w:val="20"/>
          <w:lang w:val="es-CL"/>
        </w:rPr>
        <w:t>julio</w:t>
      </w:r>
      <w:r w:rsidRPr="00F958A1">
        <w:rPr>
          <w:rStyle w:val="normaltextrun"/>
          <w:rFonts w:ascii="Cambria" w:hAnsi="Cambria" w:cs="Segoe UI"/>
          <w:sz w:val="20"/>
          <w:szCs w:val="20"/>
          <w:lang w:val="es-CL"/>
        </w:rPr>
        <w:t xml:space="preserve"> de 20</w:t>
      </w:r>
      <w:r w:rsidR="00B84B24">
        <w:rPr>
          <w:rStyle w:val="normaltextrun"/>
          <w:rFonts w:ascii="Cambria" w:hAnsi="Cambria" w:cs="Segoe UI"/>
          <w:sz w:val="20"/>
          <w:szCs w:val="20"/>
          <w:lang w:val="es-CL"/>
        </w:rPr>
        <w:t>25</w:t>
      </w:r>
      <w:r w:rsidRPr="00F958A1">
        <w:rPr>
          <w:rStyle w:val="normaltextrun"/>
          <w:rFonts w:ascii="Cambria" w:hAnsi="Cambria" w:cs="Segoe UI"/>
          <w:sz w:val="20"/>
          <w:szCs w:val="20"/>
          <w:lang w:val="es-CL"/>
        </w:rPr>
        <w:t xml:space="preserve">.  (Firmado): Arif Bulkan, Segundo Vicepresidente; Edgar Stuardo Ralón Orellana, Roberta Clarke y Gloria Monique de Mees, </w:t>
      </w:r>
      <w:r w:rsidR="00D617B8">
        <w:rPr>
          <w:rStyle w:val="normaltextrun"/>
          <w:rFonts w:ascii="Cambria" w:hAnsi="Cambria" w:cs="Segoe UI"/>
          <w:sz w:val="20"/>
          <w:szCs w:val="20"/>
          <w:lang w:val="es-CL"/>
        </w:rPr>
        <w:t>m</w:t>
      </w:r>
      <w:r w:rsidRPr="00F958A1">
        <w:rPr>
          <w:rStyle w:val="normaltextrun"/>
          <w:rFonts w:ascii="Cambria" w:hAnsi="Cambria" w:cs="Segoe UI"/>
          <w:sz w:val="20"/>
          <w:szCs w:val="20"/>
          <w:lang w:val="es-CL"/>
        </w:rPr>
        <w:t>iembros de la Comisión.</w:t>
      </w:r>
    </w:p>
    <w:sectPr w:rsidR="00E16310" w:rsidRPr="00950A34"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2811A" w14:textId="77777777" w:rsidR="00DA5A9A" w:rsidRDefault="00DA5A9A">
      <w:r>
        <w:separator/>
      </w:r>
    </w:p>
  </w:endnote>
  <w:endnote w:type="continuationSeparator" w:id="0">
    <w:p w14:paraId="760AD6DA" w14:textId="77777777" w:rsidR="00DA5A9A" w:rsidRDefault="00DA5A9A">
      <w:r>
        <w:continuationSeparator/>
      </w:r>
    </w:p>
  </w:endnote>
  <w:endnote w:type="continuationNotice" w:id="1">
    <w:p w14:paraId="1BA65398" w14:textId="77777777" w:rsidR="00DA5A9A" w:rsidRDefault="00DA5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B6B7" w14:textId="77777777" w:rsidR="00DA5A9A" w:rsidRPr="000F35ED" w:rsidRDefault="00DA5A9A">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1C4F50A" w14:textId="77777777" w:rsidR="00DA5A9A" w:rsidRPr="000F35ED" w:rsidRDefault="00DA5A9A" w:rsidP="000F35ED">
      <w:pPr>
        <w:rPr>
          <w:rFonts w:asciiTheme="majorHAnsi" w:hAnsiTheme="majorHAnsi"/>
          <w:sz w:val="16"/>
          <w:szCs w:val="16"/>
        </w:rPr>
      </w:pPr>
      <w:r w:rsidRPr="000F35ED">
        <w:rPr>
          <w:rFonts w:asciiTheme="majorHAnsi" w:hAnsiTheme="majorHAnsi"/>
          <w:sz w:val="16"/>
          <w:szCs w:val="16"/>
        </w:rPr>
        <w:separator/>
      </w:r>
    </w:p>
    <w:p w14:paraId="0BF95215" w14:textId="77777777" w:rsidR="00DA5A9A" w:rsidRPr="000F35ED" w:rsidRDefault="00DA5A9A"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72E0971F" w14:textId="77777777" w:rsidR="00DA5A9A" w:rsidRPr="000F35ED" w:rsidRDefault="00DA5A9A"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0E392425" w14:textId="26C309C4" w:rsidR="0032040B" w:rsidRPr="00CF02F2" w:rsidRDefault="0032040B" w:rsidP="00F958A1">
      <w:pPr>
        <w:pStyle w:val="FootnoteText"/>
        <w:ind w:firstLine="720"/>
        <w:jc w:val="both"/>
        <w:rPr>
          <w:rFonts w:asciiTheme="majorHAnsi" w:hAnsiTheme="majorHAnsi"/>
          <w:sz w:val="16"/>
          <w:szCs w:val="16"/>
          <w:lang w:val="es-ES"/>
        </w:rPr>
      </w:pPr>
      <w:r w:rsidRPr="000B6CF7">
        <w:rPr>
          <w:rStyle w:val="FootnoteReference"/>
          <w:rFonts w:asciiTheme="majorHAnsi" w:hAnsiTheme="majorHAnsi"/>
          <w:sz w:val="16"/>
          <w:szCs w:val="16"/>
        </w:rPr>
        <w:footnoteRef/>
      </w:r>
      <w:r w:rsidRPr="000B6CF7">
        <w:rPr>
          <w:rFonts w:asciiTheme="majorHAnsi" w:hAnsiTheme="majorHAnsi"/>
          <w:sz w:val="16"/>
          <w:szCs w:val="16"/>
          <w:lang w:val="es-ES"/>
        </w:rPr>
        <w:t xml:space="preserve"> Conforme a lo dispuesto en el artículo 17.2.a del Reglamento de la Comisión, </w:t>
      </w:r>
      <w:r>
        <w:rPr>
          <w:rFonts w:asciiTheme="majorHAnsi" w:hAnsiTheme="majorHAnsi"/>
          <w:sz w:val="16"/>
          <w:szCs w:val="16"/>
          <w:lang w:val="es-ES"/>
        </w:rPr>
        <w:t>la Comisionada</w:t>
      </w:r>
      <w:r w:rsidRPr="009D4060">
        <w:rPr>
          <w:rFonts w:asciiTheme="majorHAnsi" w:hAnsiTheme="majorHAnsi"/>
          <w:sz w:val="16"/>
          <w:szCs w:val="16"/>
          <w:lang w:val="es-ES"/>
        </w:rPr>
        <w:t xml:space="preserve"> </w:t>
      </w:r>
      <w:r>
        <w:rPr>
          <w:rFonts w:asciiTheme="majorHAnsi" w:hAnsiTheme="majorHAnsi"/>
          <w:sz w:val="16"/>
          <w:szCs w:val="16"/>
          <w:lang w:val="es-ES"/>
        </w:rPr>
        <w:t>Andrea Pochak</w:t>
      </w:r>
      <w:r w:rsidRPr="009D4060">
        <w:rPr>
          <w:rFonts w:asciiTheme="majorHAnsi" w:hAnsiTheme="majorHAnsi"/>
          <w:sz w:val="16"/>
          <w:szCs w:val="16"/>
          <w:lang w:val="es-ES"/>
        </w:rPr>
        <w:t xml:space="preserve">, de nacionalidad </w:t>
      </w:r>
      <w:r>
        <w:rPr>
          <w:rFonts w:asciiTheme="majorHAnsi" w:hAnsiTheme="majorHAnsi"/>
          <w:sz w:val="16"/>
          <w:szCs w:val="16"/>
          <w:lang w:val="es-ES"/>
        </w:rPr>
        <w:t>argentina</w:t>
      </w:r>
      <w:r w:rsidRPr="009D4060">
        <w:rPr>
          <w:rFonts w:asciiTheme="majorHAnsi" w:hAnsiTheme="majorHAnsi"/>
          <w:sz w:val="16"/>
          <w:szCs w:val="16"/>
          <w:lang w:val="es-ES"/>
        </w:rPr>
        <w:t>,</w:t>
      </w:r>
      <w:r w:rsidRPr="000B6CF7">
        <w:rPr>
          <w:rFonts w:asciiTheme="majorHAnsi" w:hAnsiTheme="majorHAnsi"/>
          <w:sz w:val="16"/>
          <w:szCs w:val="16"/>
          <w:lang w:val="es-ES"/>
        </w:rPr>
        <w:t xml:space="preserve"> no participó en el debate ni en la decisión del presente asunto.</w:t>
      </w:r>
    </w:p>
  </w:footnote>
  <w:footnote w:id="3">
    <w:p w14:paraId="79FBBE5C" w14:textId="77777777" w:rsidR="0032040B" w:rsidRPr="00E16652" w:rsidRDefault="0032040B" w:rsidP="00F958A1">
      <w:pPr>
        <w:pStyle w:val="FootnoteText"/>
        <w:ind w:firstLine="720"/>
        <w:jc w:val="both"/>
        <w:rPr>
          <w:rFonts w:asciiTheme="majorHAnsi" w:hAnsiTheme="majorHAnsi"/>
          <w:sz w:val="16"/>
          <w:szCs w:val="16"/>
          <w:lang w:val="es-BO"/>
        </w:rPr>
      </w:pPr>
      <w:r w:rsidRPr="00E16652">
        <w:rPr>
          <w:rStyle w:val="FootnoteReference"/>
          <w:rFonts w:asciiTheme="majorHAnsi" w:hAnsiTheme="majorHAnsi"/>
          <w:sz w:val="16"/>
          <w:szCs w:val="16"/>
        </w:rPr>
        <w:footnoteRef/>
      </w:r>
      <w:r w:rsidRPr="00E16652">
        <w:rPr>
          <w:rFonts w:asciiTheme="majorHAnsi" w:hAnsiTheme="majorHAnsi"/>
          <w:sz w:val="16"/>
          <w:szCs w:val="16"/>
          <w:lang w:val="es-BO"/>
        </w:rPr>
        <w:t xml:space="preserve"> En adelante “La Convención” o “Convención Americana”.</w:t>
      </w:r>
    </w:p>
  </w:footnote>
  <w:footnote w:id="4">
    <w:p w14:paraId="79F07139" w14:textId="77777777" w:rsidR="008E3BFE" w:rsidRPr="00537490" w:rsidRDefault="008E3BFE" w:rsidP="00F958A1">
      <w:pPr>
        <w:pStyle w:val="FootnoteText"/>
        <w:spacing w:after="120"/>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5">
    <w:p w14:paraId="511A9DDF" w14:textId="77777777" w:rsidR="00D84C3D" w:rsidRDefault="00D84C3D" w:rsidP="00F958A1">
      <w:pPr>
        <w:ind w:firstLine="720"/>
        <w:jc w:val="both"/>
        <w:rPr>
          <w:rFonts w:asciiTheme="majorHAnsi" w:hAnsiTheme="majorHAnsi"/>
          <w:sz w:val="16"/>
          <w:szCs w:val="16"/>
          <w:lang w:val="es-PE"/>
        </w:rPr>
      </w:pPr>
      <w:r>
        <w:rPr>
          <w:rStyle w:val="FootnoteReference"/>
          <w:rFonts w:asciiTheme="majorHAnsi" w:hAnsiTheme="majorHAnsi"/>
          <w:sz w:val="16"/>
          <w:szCs w:val="16"/>
          <w:lang w:val="es-PE"/>
        </w:rPr>
        <w:footnoteRef/>
      </w:r>
      <w:r>
        <w:rPr>
          <w:rFonts w:asciiTheme="majorHAnsi" w:hAnsiTheme="majorHAnsi"/>
          <w:sz w:val="16"/>
          <w:szCs w:val="16"/>
          <w:lang w:val="pt-BR"/>
        </w:rPr>
        <w:t xml:space="preserve"> </w:t>
      </w:r>
      <w:r>
        <w:rPr>
          <w:rFonts w:asciiTheme="majorHAnsi" w:hAnsiTheme="majorHAnsi"/>
          <w:bCs/>
          <w:sz w:val="16"/>
          <w:szCs w:val="16"/>
          <w:shd w:val="clear" w:color="auto" w:fill="FFFFFF"/>
          <w:lang w:val="pt-BR"/>
        </w:rPr>
        <w:t xml:space="preserve">Corte IDH. Caso Herrera Ulloa Vs. </w:t>
      </w:r>
      <w:r>
        <w:rPr>
          <w:rFonts w:asciiTheme="majorHAnsi" w:hAnsiTheme="majorHAnsi"/>
          <w:bCs/>
          <w:sz w:val="16"/>
          <w:szCs w:val="16"/>
          <w:shd w:val="clear" w:color="auto" w:fill="FFFFFF"/>
          <w:lang w:val="es-PE"/>
        </w:rPr>
        <w:t xml:space="preserve">Costa Rica. Excepciones Preliminares, Fondo, Reparaciones y Costas. Sentencia de 2 de julio de 2004. Serie C No. 107. Párr. 158 a 161; Corte IDH. Caso Mendoza y otros Vs. Argentina. Excepciones Preliminares, Fondo y Reparaciones. Sentencia de 14 de mayo de 2013. Serie C No. 260. Párr. 242. </w:t>
      </w:r>
      <w:r>
        <w:rPr>
          <w:rFonts w:asciiTheme="majorHAnsi" w:hAnsiTheme="majorHAnsi"/>
          <w:sz w:val="16"/>
          <w:szCs w:val="16"/>
          <w:lang w:val="es-PE"/>
        </w:rPr>
        <w:t xml:space="preserve"> </w:t>
      </w:r>
    </w:p>
  </w:footnote>
  <w:footnote w:id="6">
    <w:p w14:paraId="05274790" w14:textId="77777777" w:rsidR="00D84C3D" w:rsidRDefault="00D84C3D" w:rsidP="00F958A1">
      <w:pPr>
        <w:pStyle w:val="NormalWeb"/>
        <w:spacing w:before="0" w:beforeAutospacing="0" w:after="0" w:afterAutospacing="0"/>
        <w:ind w:firstLine="720"/>
        <w:jc w:val="both"/>
        <w:rPr>
          <w:rFonts w:asciiTheme="majorHAnsi" w:hAnsiTheme="majorHAnsi"/>
          <w:sz w:val="16"/>
          <w:szCs w:val="16"/>
          <w:lang w:val="es-PE"/>
        </w:rPr>
      </w:pPr>
      <w:r>
        <w:rPr>
          <w:rStyle w:val="FootnoteReference"/>
          <w:rFonts w:asciiTheme="majorHAnsi" w:eastAsia="Trebuchet MS" w:hAnsiTheme="majorHAnsi"/>
          <w:sz w:val="16"/>
          <w:szCs w:val="16"/>
          <w:lang w:val="es-PE"/>
        </w:rPr>
        <w:footnoteRef/>
      </w:r>
      <w:r>
        <w:rPr>
          <w:rFonts w:asciiTheme="majorHAnsi" w:hAnsiTheme="majorHAnsi"/>
          <w:sz w:val="16"/>
          <w:szCs w:val="16"/>
          <w:lang w:val="es-PE"/>
        </w:rPr>
        <w:t xml:space="preserve"> </w:t>
      </w:r>
      <w:r>
        <w:rPr>
          <w:rFonts w:asciiTheme="majorHAnsi" w:hAnsiTheme="majorHAnsi" w:cs="Calibri"/>
          <w:sz w:val="16"/>
          <w:szCs w:val="16"/>
          <w:lang w:val="es-PE"/>
        </w:rPr>
        <w:t xml:space="preserve">Corte IDH., </w:t>
      </w:r>
      <w:r>
        <w:rPr>
          <w:rFonts w:asciiTheme="majorHAnsi" w:hAnsiTheme="majorHAnsi" w:cs="Calibri"/>
          <w:iCs/>
          <w:sz w:val="16"/>
          <w:szCs w:val="16"/>
          <w:lang w:val="es-PE"/>
        </w:rPr>
        <w:t>Caso Herrera Ulloa Vs. Costa Rica</w:t>
      </w:r>
      <w:r>
        <w:rPr>
          <w:rFonts w:asciiTheme="majorHAnsi" w:hAnsiTheme="majorHAnsi" w:cs="Calibri"/>
          <w:sz w:val="16"/>
          <w:szCs w:val="16"/>
          <w:lang w:val="es-PE"/>
        </w:rPr>
        <w:t xml:space="preserve">. Sentencia de Excepciones Preliminares, Fondo, Reparaciones y Costas. 2 de julio de 2004. Serie C No. 107, párr. 165; ONU, Comité́ de Derechos Humanos. </w:t>
      </w:r>
      <w:r>
        <w:rPr>
          <w:rFonts w:asciiTheme="majorHAnsi" w:hAnsiTheme="majorHAnsi" w:cs="Calibri"/>
          <w:iCs/>
          <w:sz w:val="16"/>
          <w:szCs w:val="16"/>
          <w:lang w:val="es-PE"/>
        </w:rPr>
        <w:t>Gómez Vázquez v. España</w:t>
      </w:r>
      <w:r>
        <w:rPr>
          <w:rFonts w:asciiTheme="majorHAnsi" w:hAnsiTheme="majorHAnsi" w:cs="Calibri"/>
          <w:sz w:val="16"/>
          <w:szCs w:val="16"/>
          <w:lang w:val="es-PE"/>
        </w:rPr>
        <w:t xml:space="preserve">. Comunicación No. 701/1996. Decisión de 11 de agosto de 2000, párr. 11.1. </w:t>
      </w:r>
    </w:p>
  </w:footnote>
  <w:footnote w:id="7">
    <w:p w14:paraId="4EF100BB" w14:textId="77777777" w:rsidR="00D84C3D" w:rsidRDefault="00D84C3D" w:rsidP="00F958A1">
      <w:pPr>
        <w:pStyle w:val="FootnoteText"/>
        <w:ind w:firstLine="720"/>
        <w:jc w:val="both"/>
        <w:rPr>
          <w:rFonts w:asciiTheme="majorHAnsi" w:hAnsiTheme="majorHAnsi"/>
          <w:sz w:val="16"/>
          <w:szCs w:val="16"/>
          <w:lang w:val="es-PE"/>
        </w:rPr>
      </w:pPr>
      <w:r>
        <w:rPr>
          <w:rStyle w:val="FootnoteReference"/>
          <w:rFonts w:asciiTheme="majorHAnsi" w:hAnsiTheme="majorHAnsi"/>
          <w:sz w:val="16"/>
          <w:szCs w:val="16"/>
          <w:lang w:val="es-PE"/>
        </w:rPr>
        <w:footnoteRef/>
      </w:r>
      <w:r w:rsidRPr="000D3E32">
        <w:rPr>
          <w:rFonts w:asciiTheme="majorHAnsi" w:hAnsiTheme="majorHAnsi"/>
          <w:sz w:val="16"/>
          <w:szCs w:val="16"/>
          <w:lang w:val="pt-PT"/>
        </w:rPr>
        <w:t xml:space="preserve"> Corte IDH., </w:t>
      </w:r>
      <w:r w:rsidRPr="000D3E32">
        <w:rPr>
          <w:rFonts w:asciiTheme="majorHAnsi" w:hAnsiTheme="majorHAnsi"/>
          <w:iCs/>
          <w:sz w:val="16"/>
          <w:szCs w:val="16"/>
          <w:lang w:val="pt-PT"/>
        </w:rPr>
        <w:t xml:space="preserve">Caso Herrera Ulloa Vs. </w:t>
      </w:r>
      <w:r>
        <w:rPr>
          <w:rFonts w:asciiTheme="majorHAnsi" w:hAnsiTheme="majorHAnsi"/>
          <w:iCs/>
          <w:sz w:val="16"/>
          <w:szCs w:val="16"/>
          <w:lang w:val="es-PE"/>
        </w:rPr>
        <w:t>Costa Rica</w:t>
      </w:r>
      <w:r>
        <w:rPr>
          <w:rFonts w:asciiTheme="majorHAnsi" w:hAnsiTheme="majorHAnsi"/>
          <w:sz w:val="16"/>
          <w:szCs w:val="16"/>
          <w:lang w:val="es-PE"/>
        </w:rPr>
        <w:t>. Sentencia de Excepciones Preliminares, Fondo, Reparaciones y Costas. 2 de julio de 2004. Serie C No. 107, párr. 158</w:t>
      </w:r>
    </w:p>
  </w:footnote>
  <w:footnote w:id="8">
    <w:p w14:paraId="0EB5E03A" w14:textId="77777777" w:rsidR="00D84C3D" w:rsidRDefault="00D84C3D" w:rsidP="00F958A1">
      <w:pPr>
        <w:pStyle w:val="FootnoteText"/>
        <w:ind w:firstLine="720"/>
        <w:jc w:val="both"/>
        <w:rPr>
          <w:rFonts w:asciiTheme="majorHAnsi" w:hAnsiTheme="majorHAnsi"/>
          <w:sz w:val="16"/>
          <w:szCs w:val="16"/>
          <w:lang w:val="es-PE"/>
        </w:rPr>
      </w:pPr>
      <w:r>
        <w:rPr>
          <w:rStyle w:val="FootnoteReference"/>
          <w:rFonts w:asciiTheme="majorHAnsi" w:hAnsiTheme="majorHAnsi"/>
          <w:sz w:val="16"/>
          <w:szCs w:val="16"/>
          <w:lang w:val="es-PE"/>
        </w:rPr>
        <w:footnoteRef/>
      </w:r>
      <w:r w:rsidRPr="000D3E32">
        <w:rPr>
          <w:rFonts w:asciiTheme="majorHAnsi" w:hAnsiTheme="majorHAnsi"/>
          <w:sz w:val="16"/>
          <w:szCs w:val="16"/>
          <w:lang w:val="pt-PT"/>
        </w:rPr>
        <w:t xml:space="preserve"> Corte IDH. </w:t>
      </w:r>
      <w:r w:rsidRPr="000D3E32">
        <w:rPr>
          <w:rFonts w:asciiTheme="majorHAnsi" w:hAnsiTheme="majorHAnsi"/>
          <w:iCs/>
          <w:sz w:val="16"/>
          <w:szCs w:val="16"/>
          <w:lang w:val="pt-PT"/>
        </w:rPr>
        <w:t xml:space="preserve">Caso Barreto Leiva Vs. </w:t>
      </w:r>
      <w:r>
        <w:rPr>
          <w:rFonts w:asciiTheme="majorHAnsi" w:hAnsiTheme="majorHAnsi"/>
          <w:iCs/>
          <w:sz w:val="16"/>
          <w:szCs w:val="16"/>
          <w:lang w:val="es-PE"/>
        </w:rPr>
        <w:t xml:space="preserve">Venezuela. </w:t>
      </w:r>
      <w:r>
        <w:rPr>
          <w:rFonts w:asciiTheme="majorHAnsi" w:hAnsiTheme="majorHAnsi"/>
          <w:sz w:val="16"/>
          <w:szCs w:val="16"/>
          <w:lang w:val="es-PE"/>
        </w:rPr>
        <w:t>Sentencia de Fondo, Reparaciones y Costas 17 de noviembre de 2009. Serie C No. 206</w:t>
      </w:r>
      <w:r>
        <w:rPr>
          <w:rFonts w:asciiTheme="majorHAnsi" w:hAnsiTheme="majorHAnsi"/>
          <w:iCs/>
          <w:sz w:val="16"/>
          <w:szCs w:val="16"/>
          <w:lang w:val="es-PE"/>
        </w:rPr>
        <w:t xml:space="preserve">, </w:t>
      </w:r>
      <w:r>
        <w:rPr>
          <w:rFonts w:asciiTheme="majorHAnsi" w:hAnsiTheme="majorHAnsi"/>
          <w:sz w:val="16"/>
          <w:szCs w:val="16"/>
          <w:lang w:val="es-PE"/>
        </w:rPr>
        <w:t>párr. 90.</w:t>
      </w:r>
    </w:p>
  </w:footnote>
  <w:footnote w:id="9">
    <w:p w14:paraId="7267BFD3" w14:textId="77777777" w:rsidR="00D84C3D" w:rsidRDefault="00D84C3D" w:rsidP="00F958A1">
      <w:pPr>
        <w:pStyle w:val="FootnoteText"/>
        <w:ind w:firstLine="720"/>
        <w:jc w:val="both"/>
        <w:rPr>
          <w:rFonts w:asciiTheme="majorHAnsi" w:hAnsiTheme="majorHAnsi"/>
          <w:sz w:val="16"/>
          <w:szCs w:val="16"/>
          <w:lang w:val="es-PE"/>
        </w:rPr>
      </w:pPr>
      <w:r>
        <w:rPr>
          <w:rStyle w:val="FootnoteReference"/>
          <w:rFonts w:asciiTheme="majorHAnsi" w:hAnsiTheme="majorHAnsi"/>
          <w:sz w:val="16"/>
          <w:szCs w:val="16"/>
          <w:lang w:val="es-PE"/>
        </w:rPr>
        <w:footnoteRef/>
      </w:r>
      <w:r>
        <w:rPr>
          <w:rFonts w:asciiTheme="majorHAnsi" w:hAnsiTheme="majorHAnsi"/>
          <w:sz w:val="16"/>
          <w:szCs w:val="16"/>
          <w:lang w:val="es-PE"/>
        </w:rPr>
        <w:t xml:space="preserve"> </w:t>
      </w:r>
      <w:r w:rsidRPr="00D84C3D">
        <w:rPr>
          <w:rStyle w:val="Strong"/>
          <w:rFonts w:asciiTheme="majorHAnsi" w:eastAsia="Cambria" w:hAnsiTheme="majorHAnsi"/>
          <w:b w:val="0"/>
          <w:bCs w:val="0"/>
          <w:sz w:val="16"/>
          <w:szCs w:val="16"/>
          <w:shd w:val="clear" w:color="auto" w:fill="FFFFFF"/>
          <w:lang w:val="es-PE"/>
        </w:rPr>
        <w:t>Corte IDH.</w:t>
      </w:r>
      <w:r>
        <w:rPr>
          <w:rStyle w:val="Strong"/>
          <w:rFonts w:asciiTheme="majorHAnsi" w:eastAsia="Cambria" w:hAnsiTheme="majorHAnsi"/>
          <w:sz w:val="16"/>
          <w:szCs w:val="16"/>
          <w:shd w:val="clear" w:color="auto" w:fill="FFFFFF"/>
          <w:lang w:val="es-PE"/>
        </w:rPr>
        <w:t xml:space="preserve"> </w:t>
      </w:r>
      <w:r>
        <w:rPr>
          <w:rFonts w:asciiTheme="majorHAnsi" w:hAnsiTheme="majorHAnsi"/>
          <w:sz w:val="16"/>
          <w:szCs w:val="16"/>
          <w:shd w:val="clear" w:color="auto" w:fill="FFFFFF"/>
          <w:lang w:val="es-PE"/>
        </w:rPr>
        <w:t>Caso Amrhein y otros Vs. Costa Rica. Excepciones Preliminares, Fondo, Reparaciones y Costas. Sentencia de 25 de abril de 2018. Serie C No. 354. Párr. 272 a 274.</w:t>
      </w:r>
    </w:p>
  </w:footnote>
  <w:footnote w:id="10">
    <w:p w14:paraId="1136E8AF" w14:textId="77777777" w:rsidR="00D84C3D" w:rsidRDefault="00D84C3D" w:rsidP="00F958A1">
      <w:pPr>
        <w:pStyle w:val="FootnoteText"/>
        <w:ind w:firstLine="720"/>
        <w:jc w:val="both"/>
        <w:rPr>
          <w:lang w:val="es-US"/>
        </w:rPr>
      </w:pPr>
      <w:r>
        <w:rPr>
          <w:rStyle w:val="FootnoteReference"/>
          <w:rFonts w:asciiTheme="majorHAnsi" w:hAnsiTheme="majorHAnsi"/>
          <w:sz w:val="16"/>
          <w:szCs w:val="16"/>
          <w:lang w:val="es-PE"/>
        </w:rPr>
        <w:footnoteRef/>
      </w:r>
      <w:r>
        <w:rPr>
          <w:rFonts w:asciiTheme="majorHAnsi" w:hAnsiTheme="majorHAnsi"/>
          <w:sz w:val="16"/>
          <w:szCs w:val="16"/>
          <w:lang w:val="es-PE"/>
        </w:rPr>
        <w:t xml:space="preserve"> </w:t>
      </w:r>
      <w:r w:rsidRPr="00D84C3D">
        <w:rPr>
          <w:rStyle w:val="Strong"/>
          <w:rFonts w:asciiTheme="majorHAnsi" w:eastAsia="Cambria" w:hAnsiTheme="majorHAnsi"/>
          <w:b w:val="0"/>
          <w:bCs w:val="0"/>
          <w:sz w:val="16"/>
          <w:szCs w:val="16"/>
          <w:shd w:val="clear" w:color="auto" w:fill="FFFFFF"/>
          <w:lang w:val="es-PE"/>
        </w:rPr>
        <w:t>Corte IDH. Caso Norín Catrimán y otros (Dirigentes, Miembros y Activista del Pueblo Indígena Mapuche) Vs. Chile. Fondo, Reparaciones y Costas. Sentencia de 29 de mayo de 2014. Serie C No. 279. Párr. 270.</w:t>
      </w:r>
      <w:r>
        <w:rPr>
          <w:rStyle w:val="Strong"/>
          <w:rFonts w:asciiTheme="majorHAnsi" w:eastAsia="Cambria" w:hAnsiTheme="majorHAnsi"/>
          <w:sz w:val="16"/>
          <w:szCs w:val="16"/>
          <w:shd w:val="clear" w:color="auto" w:fill="FFFFFF"/>
          <w:lang w:val="es-PE"/>
        </w:rPr>
        <w:t xml:space="preserve"> </w:t>
      </w:r>
      <w:r>
        <w:rPr>
          <w:rFonts w:asciiTheme="majorHAnsi" w:hAnsiTheme="majorHAnsi"/>
          <w:sz w:val="16"/>
          <w:szCs w:val="16"/>
          <w:lang w:val="es-PE"/>
        </w:rPr>
        <w:t xml:space="preserve">  </w:t>
      </w:r>
    </w:p>
  </w:footnote>
  <w:footnote w:id="11">
    <w:p w14:paraId="53D5BDD3" w14:textId="77777777" w:rsidR="006E7EE8" w:rsidRDefault="006E7EE8" w:rsidP="00F958A1">
      <w:pPr>
        <w:pStyle w:val="FootnoteText"/>
        <w:ind w:firstLine="720"/>
        <w:jc w:val="both"/>
        <w:rPr>
          <w:rFonts w:asciiTheme="majorHAnsi" w:hAnsiTheme="majorHAnsi"/>
          <w:sz w:val="16"/>
          <w:szCs w:val="16"/>
          <w:lang w:val="es-ES"/>
        </w:rPr>
      </w:pPr>
      <w:r>
        <w:rPr>
          <w:rStyle w:val="FootnoteReference"/>
          <w:rFonts w:asciiTheme="majorHAnsi" w:hAnsiTheme="majorHAnsi"/>
          <w:sz w:val="16"/>
          <w:szCs w:val="16"/>
        </w:rPr>
        <w:footnoteRef/>
      </w:r>
      <w:r>
        <w:rPr>
          <w:rFonts w:asciiTheme="majorHAnsi" w:hAnsiTheme="majorHAnsi"/>
          <w:sz w:val="16"/>
          <w:szCs w:val="16"/>
          <w:lang w:val="es-ES"/>
        </w:rPr>
        <w:t xml:space="preserve"> TEDH. Caso Vinter y otros vs. Reino Unido. Demandas nos </w:t>
      </w:r>
      <w:hyperlink r:id="rId1" w:anchor="{%22appno%22:[%2266069/09%22]}" w:tgtFrame="_blank" w:history="1">
        <w:r>
          <w:rPr>
            <w:rStyle w:val="Hyperlink"/>
            <w:rFonts w:asciiTheme="majorHAnsi" w:hAnsiTheme="majorHAnsi"/>
            <w:sz w:val="16"/>
            <w:szCs w:val="16"/>
            <w:u w:val="none"/>
            <w:lang w:val="es-ES"/>
          </w:rPr>
          <w:t>66069/09</w:t>
        </w:r>
      </w:hyperlink>
      <w:r>
        <w:rPr>
          <w:rFonts w:asciiTheme="majorHAnsi" w:hAnsiTheme="majorHAnsi"/>
          <w:sz w:val="16"/>
          <w:szCs w:val="16"/>
          <w:lang w:val="es-ES"/>
        </w:rPr>
        <w:t>, </w:t>
      </w:r>
      <w:hyperlink r:id="rId2" w:anchor="{%22appno%22:[%22130/10%22]}" w:tgtFrame="_blank" w:history="1">
        <w:r>
          <w:rPr>
            <w:rStyle w:val="Hyperlink"/>
            <w:rFonts w:asciiTheme="majorHAnsi" w:hAnsiTheme="majorHAnsi"/>
            <w:sz w:val="16"/>
            <w:szCs w:val="16"/>
            <w:u w:val="none"/>
            <w:lang w:val="es-ES"/>
          </w:rPr>
          <w:t>130/10</w:t>
        </w:r>
      </w:hyperlink>
      <w:r>
        <w:rPr>
          <w:rFonts w:asciiTheme="majorHAnsi" w:hAnsiTheme="majorHAnsi"/>
          <w:sz w:val="16"/>
          <w:szCs w:val="16"/>
          <w:lang w:val="es-ES"/>
        </w:rPr>
        <w:t> y </w:t>
      </w:r>
      <w:hyperlink r:id="rId3" w:anchor="{%22appno%22:[%223896/10%22]}" w:tgtFrame="_blank" w:history="1">
        <w:r>
          <w:rPr>
            <w:rStyle w:val="Hyperlink"/>
            <w:rFonts w:asciiTheme="majorHAnsi" w:hAnsiTheme="majorHAnsi"/>
            <w:sz w:val="16"/>
            <w:szCs w:val="16"/>
            <w:u w:val="none"/>
            <w:lang w:val="es-ES"/>
          </w:rPr>
          <w:t>3896/10</w:t>
        </w:r>
      </w:hyperlink>
      <w:r>
        <w:rPr>
          <w:rFonts w:asciiTheme="majorHAnsi" w:hAnsiTheme="majorHAnsi"/>
          <w:sz w:val="16"/>
          <w:szCs w:val="16"/>
          <w:lang w:val="es-ES"/>
        </w:rPr>
        <w:t>. Sentencia. 9 de Julio 9 de 2013, párr.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6A4E58" w:rsidP="00A50FCF">
    <w:pPr>
      <w:pStyle w:val="Header"/>
      <w:tabs>
        <w:tab w:val="clear" w:pos="4320"/>
        <w:tab w:val="clear" w:pos="8640"/>
      </w:tabs>
      <w:jc w:val="center"/>
      <w:rPr>
        <w:sz w:val="22"/>
        <w:szCs w:val="22"/>
      </w:rPr>
    </w:pPr>
    <w:r>
      <w:rPr>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4A121338"/>
    <w:lvl w:ilvl="0" w:tplc="A9FEF18C">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2"/>
  </w:num>
  <w:num w:numId="91" w16cid:durableId="908535618">
    <w:abstractNumId w:val="63"/>
  </w:num>
  <w:num w:numId="92" w16cid:durableId="825898735">
    <w:abstractNumId w:val="64"/>
  </w:num>
  <w:num w:numId="93" w16cid:durableId="49690932">
    <w:abstractNumId w:val="66"/>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5"/>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 w:numId="110" w16cid:durableId="2066366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788C"/>
    <w:rsid w:val="000337EF"/>
    <w:rsid w:val="00040C3A"/>
    <w:rsid w:val="000419AD"/>
    <w:rsid w:val="000433C9"/>
    <w:rsid w:val="000702A8"/>
    <w:rsid w:val="000716C5"/>
    <w:rsid w:val="00075E23"/>
    <w:rsid w:val="00087417"/>
    <w:rsid w:val="0009344A"/>
    <w:rsid w:val="000949CF"/>
    <w:rsid w:val="0009745A"/>
    <w:rsid w:val="000A1974"/>
    <w:rsid w:val="000A392E"/>
    <w:rsid w:val="000A575F"/>
    <w:rsid w:val="000B062C"/>
    <w:rsid w:val="000C7DE5"/>
    <w:rsid w:val="000D05CB"/>
    <w:rsid w:val="000D10DB"/>
    <w:rsid w:val="000D3E32"/>
    <w:rsid w:val="000E5EB5"/>
    <w:rsid w:val="000F35ED"/>
    <w:rsid w:val="00107131"/>
    <w:rsid w:val="0010736F"/>
    <w:rsid w:val="00113F73"/>
    <w:rsid w:val="00116C13"/>
    <w:rsid w:val="00121CC2"/>
    <w:rsid w:val="00131425"/>
    <w:rsid w:val="00133EE5"/>
    <w:rsid w:val="00167A34"/>
    <w:rsid w:val="0019566B"/>
    <w:rsid w:val="001A55D1"/>
    <w:rsid w:val="001A7870"/>
    <w:rsid w:val="001B3A00"/>
    <w:rsid w:val="001C0A4C"/>
    <w:rsid w:val="001C1B41"/>
    <w:rsid w:val="001D4E13"/>
    <w:rsid w:val="001D65EF"/>
    <w:rsid w:val="001D7945"/>
    <w:rsid w:val="001E49E7"/>
    <w:rsid w:val="001F7201"/>
    <w:rsid w:val="00223A29"/>
    <w:rsid w:val="002250A3"/>
    <w:rsid w:val="00235217"/>
    <w:rsid w:val="00244867"/>
    <w:rsid w:val="002469D2"/>
    <w:rsid w:val="00246D1F"/>
    <w:rsid w:val="00247403"/>
    <w:rsid w:val="00247542"/>
    <w:rsid w:val="00251FAC"/>
    <w:rsid w:val="0026020D"/>
    <w:rsid w:val="00266B61"/>
    <w:rsid w:val="0026712A"/>
    <w:rsid w:val="002704DB"/>
    <w:rsid w:val="00296FBC"/>
    <w:rsid w:val="002A0AAE"/>
    <w:rsid w:val="002A5820"/>
    <w:rsid w:val="002B1FA3"/>
    <w:rsid w:val="002B219A"/>
    <w:rsid w:val="002B3E73"/>
    <w:rsid w:val="002B4B34"/>
    <w:rsid w:val="002D2B26"/>
    <w:rsid w:val="002D5D76"/>
    <w:rsid w:val="002D7EA2"/>
    <w:rsid w:val="002E187C"/>
    <w:rsid w:val="002F1ACE"/>
    <w:rsid w:val="00302733"/>
    <w:rsid w:val="00304259"/>
    <w:rsid w:val="00305B05"/>
    <w:rsid w:val="00314078"/>
    <w:rsid w:val="0031535D"/>
    <w:rsid w:val="0032040B"/>
    <w:rsid w:val="003239B8"/>
    <w:rsid w:val="0033169F"/>
    <w:rsid w:val="00344977"/>
    <w:rsid w:val="00346C95"/>
    <w:rsid w:val="00356185"/>
    <w:rsid w:val="00360380"/>
    <w:rsid w:val="0037519E"/>
    <w:rsid w:val="00386CF0"/>
    <w:rsid w:val="00390A38"/>
    <w:rsid w:val="003A7341"/>
    <w:rsid w:val="003B1B44"/>
    <w:rsid w:val="003B70FB"/>
    <w:rsid w:val="003C2239"/>
    <w:rsid w:val="003C676B"/>
    <w:rsid w:val="003C67F6"/>
    <w:rsid w:val="003D038E"/>
    <w:rsid w:val="003D3BC2"/>
    <w:rsid w:val="003E6CA1"/>
    <w:rsid w:val="00405F9C"/>
    <w:rsid w:val="004065A8"/>
    <w:rsid w:val="004165C2"/>
    <w:rsid w:val="00417818"/>
    <w:rsid w:val="004204D1"/>
    <w:rsid w:val="00431F89"/>
    <w:rsid w:val="00436B39"/>
    <w:rsid w:val="00441492"/>
    <w:rsid w:val="00441524"/>
    <w:rsid w:val="00441E0D"/>
    <w:rsid w:val="00441ECB"/>
    <w:rsid w:val="00445193"/>
    <w:rsid w:val="004526CB"/>
    <w:rsid w:val="00462C1B"/>
    <w:rsid w:val="00467B7E"/>
    <w:rsid w:val="00473BB4"/>
    <w:rsid w:val="00476484"/>
    <w:rsid w:val="00477592"/>
    <w:rsid w:val="00486F1C"/>
    <w:rsid w:val="0049419D"/>
    <w:rsid w:val="004A6A54"/>
    <w:rsid w:val="004C20D2"/>
    <w:rsid w:val="004C2312"/>
    <w:rsid w:val="004C4B62"/>
    <w:rsid w:val="004C54C9"/>
    <w:rsid w:val="004D4ABA"/>
    <w:rsid w:val="004D6025"/>
    <w:rsid w:val="004E1974"/>
    <w:rsid w:val="004E1A57"/>
    <w:rsid w:val="004E2649"/>
    <w:rsid w:val="004E2B68"/>
    <w:rsid w:val="004E3F29"/>
    <w:rsid w:val="004F626F"/>
    <w:rsid w:val="005010C2"/>
    <w:rsid w:val="00501399"/>
    <w:rsid w:val="0050633D"/>
    <w:rsid w:val="00507BC4"/>
    <w:rsid w:val="00510470"/>
    <w:rsid w:val="0051224A"/>
    <w:rsid w:val="005128E4"/>
    <w:rsid w:val="005133DB"/>
    <w:rsid w:val="00514504"/>
    <w:rsid w:val="0052527A"/>
    <w:rsid w:val="00525560"/>
    <w:rsid w:val="00544C49"/>
    <w:rsid w:val="005516A1"/>
    <w:rsid w:val="005559EF"/>
    <w:rsid w:val="005564B7"/>
    <w:rsid w:val="00563557"/>
    <w:rsid w:val="0056666F"/>
    <w:rsid w:val="0057402A"/>
    <w:rsid w:val="005771D0"/>
    <w:rsid w:val="0058689F"/>
    <w:rsid w:val="0059191A"/>
    <w:rsid w:val="005921FF"/>
    <w:rsid w:val="005A24ED"/>
    <w:rsid w:val="005A254F"/>
    <w:rsid w:val="005A6D0E"/>
    <w:rsid w:val="005B1793"/>
    <w:rsid w:val="005B52B0"/>
    <w:rsid w:val="005B6806"/>
    <w:rsid w:val="005C3DC1"/>
    <w:rsid w:val="005C4225"/>
    <w:rsid w:val="005D38F9"/>
    <w:rsid w:val="005E2F92"/>
    <w:rsid w:val="005F0DAD"/>
    <w:rsid w:val="005F0F33"/>
    <w:rsid w:val="00600DEB"/>
    <w:rsid w:val="00600E59"/>
    <w:rsid w:val="00614B8A"/>
    <w:rsid w:val="00625166"/>
    <w:rsid w:val="00627C9F"/>
    <w:rsid w:val="006311E9"/>
    <w:rsid w:val="00632354"/>
    <w:rsid w:val="00635421"/>
    <w:rsid w:val="00642810"/>
    <w:rsid w:val="00652333"/>
    <w:rsid w:val="0068009E"/>
    <w:rsid w:val="00683FBB"/>
    <w:rsid w:val="00692219"/>
    <w:rsid w:val="006A05B8"/>
    <w:rsid w:val="006A17D2"/>
    <w:rsid w:val="006A4E58"/>
    <w:rsid w:val="006A73E6"/>
    <w:rsid w:val="006B2D5C"/>
    <w:rsid w:val="006C4EB1"/>
    <w:rsid w:val="006D5B19"/>
    <w:rsid w:val="006E0166"/>
    <w:rsid w:val="006E2FFB"/>
    <w:rsid w:val="006E5FED"/>
    <w:rsid w:val="006E7B34"/>
    <w:rsid w:val="006E7EE8"/>
    <w:rsid w:val="00701A77"/>
    <w:rsid w:val="0070697F"/>
    <w:rsid w:val="0072199C"/>
    <w:rsid w:val="00722C9F"/>
    <w:rsid w:val="007253B8"/>
    <w:rsid w:val="0073741F"/>
    <w:rsid w:val="0076643F"/>
    <w:rsid w:val="00777F63"/>
    <w:rsid w:val="00782BA3"/>
    <w:rsid w:val="00782CEE"/>
    <w:rsid w:val="007A3706"/>
    <w:rsid w:val="007A5817"/>
    <w:rsid w:val="007B05C4"/>
    <w:rsid w:val="007B60E9"/>
    <w:rsid w:val="007B6CC3"/>
    <w:rsid w:val="007B76D3"/>
    <w:rsid w:val="007C3334"/>
    <w:rsid w:val="007C7E8C"/>
    <w:rsid w:val="007D2B98"/>
    <w:rsid w:val="007E21BC"/>
    <w:rsid w:val="007E3027"/>
    <w:rsid w:val="007E7C82"/>
    <w:rsid w:val="007F2AA1"/>
    <w:rsid w:val="007F588D"/>
    <w:rsid w:val="00803F1C"/>
    <w:rsid w:val="0080600E"/>
    <w:rsid w:val="00814688"/>
    <w:rsid w:val="00817612"/>
    <w:rsid w:val="00825423"/>
    <w:rsid w:val="0083100C"/>
    <w:rsid w:val="008338A4"/>
    <w:rsid w:val="00834D49"/>
    <w:rsid w:val="00837C45"/>
    <w:rsid w:val="00844730"/>
    <w:rsid w:val="008457C2"/>
    <w:rsid w:val="00854F07"/>
    <w:rsid w:val="00857A82"/>
    <w:rsid w:val="00867314"/>
    <w:rsid w:val="00872E60"/>
    <w:rsid w:val="00873836"/>
    <w:rsid w:val="00873D73"/>
    <w:rsid w:val="008760ED"/>
    <w:rsid w:val="00885737"/>
    <w:rsid w:val="00887D9D"/>
    <w:rsid w:val="00890650"/>
    <w:rsid w:val="00897E12"/>
    <w:rsid w:val="008A7E0F"/>
    <w:rsid w:val="008B12F5"/>
    <w:rsid w:val="008C5E2D"/>
    <w:rsid w:val="008D768D"/>
    <w:rsid w:val="008E3759"/>
    <w:rsid w:val="008E3BFE"/>
    <w:rsid w:val="008F1912"/>
    <w:rsid w:val="00901DD7"/>
    <w:rsid w:val="0090270B"/>
    <w:rsid w:val="009041DC"/>
    <w:rsid w:val="00911E16"/>
    <w:rsid w:val="00917B5A"/>
    <w:rsid w:val="00920A58"/>
    <w:rsid w:val="00920A8C"/>
    <w:rsid w:val="00934A2C"/>
    <w:rsid w:val="00940060"/>
    <w:rsid w:val="00950A34"/>
    <w:rsid w:val="00955CCE"/>
    <w:rsid w:val="0096706E"/>
    <w:rsid w:val="00974491"/>
    <w:rsid w:val="00975C4E"/>
    <w:rsid w:val="00975DC7"/>
    <w:rsid w:val="00981FBA"/>
    <w:rsid w:val="0099018F"/>
    <w:rsid w:val="00997BC5"/>
    <w:rsid w:val="009A4F41"/>
    <w:rsid w:val="009B381B"/>
    <w:rsid w:val="009D1753"/>
    <w:rsid w:val="009D7611"/>
    <w:rsid w:val="009E0B61"/>
    <w:rsid w:val="009E53DE"/>
    <w:rsid w:val="00A04900"/>
    <w:rsid w:val="00A11212"/>
    <w:rsid w:val="00A11E44"/>
    <w:rsid w:val="00A23907"/>
    <w:rsid w:val="00A2510F"/>
    <w:rsid w:val="00A30100"/>
    <w:rsid w:val="00A328B3"/>
    <w:rsid w:val="00A432FD"/>
    <w:rsid w:val="00A46E9F"/>
    <w:rsid w:val="00A50FCF"/>
    <w:rsid w:val="00A528D1"/>
    <w:rsid w:val="00A610CD"/>
    <w:rsid w:val="00A676F8"/>
    <w:rsid w:val="00A758AA"/>
    <w:rsid w:val="00A807BE"/>
    <w:rsid w:val="00AA09A2"/>
    <w:rsid w:val="00AA52AC"/>
    <w:rsid w:val="00AA6013"/>
    <w:rsid w:val="00AA7996"/>
    <w:rsid w:val="00AC19CB"/>
    <w:rsid w:val="00AC5D4F"/>
    <w:rsid w:val="00AD59F0"/>
    <w:rsid w:val="00AE5488"/>
    <w:rsid w:val="00AE6F91"/>
    <w:rsid w:val="00AF01F6"/>
    <w:rsid w:val="00AF5571"/>
    <w:rsid w:val="00B06D23"/>
    <w:rsid w:val="00B06EFC"/>
    <w:rsid w:val="00B07341"/>
    <w:rsid w:val="00B11747"/>
    <w:rsid w:val="00B30539"/>
    <w:rsid w:val="00B314DB"/>
    <w:rsid w:val="00B361F2"/>
    <w:rsid w:val="00B3718B"/>
    <w:rsid w:val="00B3745F"/>
    <w:rsid w:val="00B42A88"/>
    <w:rsid w:val="00B4632A"/>
    <w:rsid w:val="00B5021B"/>
    <w:rsid w:val="00B530F1"/>
    <w:rsid w:val="00B563AE"/>
    <w:rsid w:val="00B63D8D"/>
    <w:rsid w:val="00B84B24"/>
    <w:rsid w:val="00B95335"/>
    <w:rsid w:val="00BA276C"/>
    <w:rsid w:val="00BB306F"/>
    <w:rsid w:val="00BB4B52"/>
    <w:rsid w:val="00BC295A"/>
    <w:rsid w:val="00BC61C8"/>
    <w:rsid w:val="00BD1C7B"/>
    <w:rsid w:val="00BD1E86"/>
    <w:rsid w:val="00BD4B89"/>
    <w:rsid w:val="00BD5922"/>
    <w:rsid w:val="00BE0098"/>
    <w:rsid w:val="00BE1D6A"/>
    <w:rsid w:val="00BF02CB"/>
    <w:rsid w:val="00BF26A6"/>
    <w:rsid w:val="00BF6FD8"/>
    <w:rsid w:val="00C007EC"/>
    <w:rsid w:val="00C03680"/>
    <w:rsid w:val="00C054DF"/>
    <w:rsid w:val="00C209A6"/>
    <w:rsid w:val="00C21762"/>
    <w:rsid w:val="00C21FEF"/>
    <w:rsid w:val="00C23BA4"/>
    <w:rsid w:val="00C24543"/>
    <w:rsid w:val="00C256A2"/>
    <w:rsid w:val="00C25ADB"/>
    <w:rsid w:val="00C333F6"/>
    <w:rsid w:val="00C407DC"/>
    <w:rsid w:val="00C51515"/>
    <w:rsid w:val="00C5660B"/>
    <w:rsid w:val="00C66B72"/>
    <w:rsid w:val="00C741C1"/>
    <w:rsid w:val="00C87AC4"/>
    <w:rsid w:val="00C9567A"/>
    <w:rsid w:val="00CA1618"/>
    <w:rsid w:val="00CA5B41"/>
    <w:rsid w:val="00CB051E"/>
    <w:rsid w:val="00CB1CEA"/>
    <w:rsid w:val="00CB212D"/>
    <w:rsid w:val="00CB2660"/>
    <w:rsid w:val="00CC442D"/>
    <w:rsid w:val="00CC5E90"/>
    <w:rsid w:val="00CD046C"/>
    <w:rsid w:val="00CD640B"/>
    <w:rsid w:val="00CE076C"/>
    <w:rsid w:val="00CE13B3"/>
    <w:rsid w:val="00CE5199"/>
    <w:rsid w:val="00CE66D5"/>
    <w:rsid w:val="00CF637A"/>
    <w:rsid w:val="00D059DE"/>
    <w:rsid w:val="00D05ABD"/>
    <w:rsid w:val="00D06D4A"/>
    <w:rsid w:val="00D13530"/>
    <w:rsid w:val="00D13FCE"/>
    <w:rsid w:val="00D20908"/>
    <w:rsid w:val="00D24514"/>
    <w:rsid w:val="00D306D1"/>
    <w:rsid w:val="00D30800"/>
    <w:rsid w:val="00D31416"/>
    <w:rsid w:val="00D34786"/>
    <w:rsid w:val="00D37BFC"/>
    <w:rsid w:val="00D47A8E"/>
    <w:rsid w:val="00D52D14"/>
    <w:rsid w:val="00D531C1"/>
    <w:rsid w:val="00D617B8"/>
    <w:rsid w:val="00D64D36"/>
    <w:rsid w:val="00D712D3"/>
    <w:rsid w:val="00D71422"/>
    <w:rsid w:val="00D72DC6"/>
    <w:rsid w:val="00D74C0A"/>
    <w:rsid w:val="00D7558D"/>
    <w:rsid w:val="00D76525"/>
    <w:rsid w:val="00D81D92"/>
    <w:rsid w:val="00D839AA"/>
    <w:rsid w:val="00D84C3D"/>
    <w:rsid w:val="00D876F9"/>
    <w:rsid w:val="00DA5A9A"/>
    <w:rsid w:val="00DA7B5F"/>
    <w:rsid w:val="00DB2483"/>
    <w:rsid w:val="00DC11E7"/>
    <w:rsid w:val="00DC24E3"/>
    <w:rsid w:val="00DC7023"/>
    <w:rsid w:val="00DC769A"/>
    <w:rsid w:val="00DD3D86"/>
    <w:rsid w:val="00DD4AD2"/>
    <w:rsid w:val="00DF1EC4"/>
    <w:rsid w:val="00E0340B"/>
    <w:rsid w:val="00E04A90"/>
    <w:rsid w:val="00E0551F"/>
    <w:rsid w:val="00E14A18"/>
    <w:rsid w:val="00E16310"/>
    <w:rsid w:val="00E219C7"/>
    <w:rsid w:val="00E33A67"/>
    <w:rsid w:val="00E4118C"/>
    <w:rsid w:val="00E43157"/>
    <w:rsid w:val="00E45589"/>
    <w:rsid w:val="00E461CE"/>
    <w:rsid w:val="00E54D28"/>
    <w:rsid w:val="00E573E4"/>
    <w:rsid w:val="00E64C3D"/>
    <w:rsid w:val="00E67C67"/>
    <w:rsid w:val="00E720CA"/>
    <w:rsid w:val="00E8158C"/>
    <w:rsid w:val="00E818DF"/>
    <w:rsid w:val="00E82DDC"/>
    <w:rsid w:val="00E84EB5"/>
    <w:rsid w:val="00E85662"/>
    <w:rsid w:val="00E8789F"/>
    <w:rsid w:val="00E95CDD"/>
    <w:rsid w:val="00E969BF"/>
    <w:rsid w:val="00E97B71"/>
    <w:rsid w:val="00EA3D34"/>
    <w:rsid w:val="00EB197F"/>
    <w:rsid w:val="00EB454D"/>
    <w:rsid w:val="00EC6BB6"/>
    <w:rsid w:val="00ED3A56"/>
    <w:rsid w:val="00ED4222"/>
    <w:rsid w:val="00ED549D"/>
    <w:rsid w:val="00ED76BE"/>
    <w:rsid w:val="00EE00E9"/>
    <w:rsid w:val="00EF1AAA"/>
    <w:rsid w:val="00EF619B"/>
    <w:rsid w:val="00EF76F5"/>
    <w:rsid w:val="00F00B55"/>
    <w:rsid w:val="00F02AD1"/>
    <w:rsid w:val="00F0459E"/>
    <w:rsid w:val="00F253CC"/>
    <w:rsid w:val="00F27D83"/>
    <w:rsid w:val="00F31BF5"/>
    <w:rsid w:val="00F36F3A"/>
    <w:rsid w:val="00F37106"/>
    <w:rsid w:val="00F44E25"/>
    <w:rsid w:val="00F519CF"/>
    <w:rsid w:val="00F56BA5"/>
    <w:rsid w:val="00F60E22"/>
    <w:rsid w:val="00F81395"/>
    <w:rsid w:val="00F81BB8"/>
    <w:rsid w:val="00F90C64"/>
    <w:rsid w:val="00F917D1"/>
    <w:rsid w:val="00F958A1"/>
    <w:rsid w:val="00F9653B"/>
    <w:rsid w:val="00FA323C"/>
    <w:rsid w:val="00FA5347"/>
    <w:rsid w:val="00FB62CF"/>
    <w:rsid w:val="00FD3C3B"/>
    <w:rsid w:val="00FE07DD"/>
    <w:rsid w:val="00FE6B45"/>
    <w:rsid w:val="00FF3394"/>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32040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A04900"/>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D84C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qFormat/>
    <w:rsid w:val="00D84C3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styleId="Strong">
    <w:name w:val="Strong"/>
    <w:basedOn w:val="DefaultParagraphFont"/>
    <w:uiPriority w:val="22"/>
    <w:qFormat/>
    <w:rsid w:val="00D84C3D"/>
    <w:rPr>
      <w:b/>
      <w:bCs/>
    </w:rPr>
  </w:style>
  <w:style w:type="paragraph" w:customStyle="1" w:styleId="paragraph">
    <w:name w:val="paragraph"/>
    <w:basedOn w:val="Normal"/>
    <w:rsid w:val="00E1631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E16310"/>
  </w:style>
  <w:style w:type="character" w:customStyle="1" w:styleId="eop">
    <w:name w:val="eop"/>
    <w:basedOn w:val="DefaultParagraphFont"/>
    <w:rsid w:val="00E16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1311">
      <w:bodyDiv w:val="1"/>
      <w:marLeft w:val="0"/>
      <w:marRight w:val="0"/>
      <w:marTop w:val="0"/>
      <w:marBottom w:val="0"/>
      <w:divBdr>
        <w:top w:val="none" w:sz="0" w:space="0" w:color="auto"/>
        <w:left w:val="none" w:sz="0" w:space="0" w:color="auto"/>
        <w:bottom w:val="none" w:sz="0" w:space="0" w:color="auto"/>
        <w:right w:val="none" w:sz="0" w:space="0" w:color="auto"/>
      </w:divBdr>
    </w:div>
    <w:div w:id="197621617">
      <w:bodyDiv w:val="1"/>
      <w:marLeft w:val="0"/>
      <w:marRight w:val="0"/>
      <w:marTop w:val="0"/>
      <w:marBottom w:val="0"/>
      <w:divBdr>
        <w:top w:val="none" w:sz="0" w:space="0" w:color="auto"/>
        <w:left w:val="none" w:sz="0" w:space="0" w:color="auto"/>
        <w:bottom w:val="none" w:sz="0" w:space="0" w:color="auto"/>
        <w:right w:val="none" w:sz="0" w:space="0" w:color="auto"/>
      </w:divBdr>
    </w:div>
    <w:div w:id="311446422">
      <w:bodyDiv w:val="1"/>
      <w:marLeft w:val="0"/>
      <w:marRight w:val="0"/>
      <w:marTop w:val="0"/>
      <w:marBottom w:val="0"/>
      <w:divBdr>
        <w:top w:val="none" w:sz="0" w:space="0" w:color="auto"/>
        <w:left w:val="none" w:sz="0" w:space="0" w:color="auto"/>
        <w:bottom w:val="none" w:sz="0" w:space="0" w:color="auto"/>
        <w:right w:val="none" w:sz="0" w:space="0" w:color="auto"/>
      </w:divBdr>
    </w:div>
    <w:div w:id="329797332">
      <w:bodyDiv w:val="1"/>
      <w:marLeft w:val="0"/>
      <w:marRight w:val="0"/>
      <w:marTop w:val="0"/>
      <w:marBottom w:val="0"/>
      <w:divBdr>
        <w:top w:val="none" w:sz="0" w:space="0" w:color="auto"/>
        <w:left w:val="none" w:sz="0" w:space="0" w:color="auto"/>
        <w:bottom w:val="none" w:sz="0" w:space="0" w:color="auto"/>
        <w:right w:val="none" w:sz="0" w:space="0" w:color="auto"/>
      </w:divBdr>
    </w:div>
    <w:div w:id="502429378">
      <w:bodyDiv w:val="1"/>
      <w:marLeft w:val="0"/>
      <w:marRight w:val="0"/>
      <w:marTop w:val="0"/>
      <w:marBottom w:val="0"/>
      <w:divBdr>
        <w:top w:val="none" w:sz="0" w:space="0" w:color="auto"/>
        <w:left w:val="none" w:sz="0" w:space="0" w:color="auto"/>
        <w:bottom w:val="none" w:sz="0" w:space="0" w:color="auto"/>
        <w:right w:val="none" w:sz="0" w:space="0" w:color="auto"/>
      </w:divBdr>
    </w:div>
    <w:div w:id="536814065">
      <w:bodyDiv w:val="1"/>
      <w:marLeft w:val="0"/>
      <w:marRight w:val="0"/>
      <w:marTop w:val="0"/>
      <w:marBottom w:val="0"/>
      <w:divBdr>
        <w:top w:val="none" w:sz="0" w:space="0" w:color="auto"/>
        <w:left w:val="none" w:sz="0" w:space="0" w:color="auto"/>
        <w:bottom w:val="none" w:sz="0" w:space="0" w:color="auto"/>
        <w:right w:val="none" w:sz="0" w:space="0" w:color="auto"/>
      </w:divBdr>
    </w:div>
    <w:div w:id="588000010">
      <w:bodyDiv w:val="1"/>
      <w:marLeft w:val="0"/>
      <w:marRight w:val="0"/>
      <w:marTop w:val="0"/>
      <w:marBottom w:val="0"/>
      <w:divBdr>
        <w:top w:val="none" w:sz="0" w:space="0" w:color="auto"/>
        <w:left w:val="none" w:sz="0" w:space="0" w:color="auto"/>
        <w:bottom w:val="none" w:sz="0" w:space="0" w:color="auto"/>
        <w:right w:val="none" w:sz="0" w:space="0" w:color="auto"/>
      </w:divBdr>
    </w:div>
    <w:div w:id="766342785">
      <w:bodyDiv w:val="1"/>
      <w:marLeft w:val="0"/>
      <w:marRight w:val="0"/>
      <w:marTop w:val="0"/>
      <w:marBottom w:val="0"/>
      <w:divBdr>
        <w:top w:val="none" w:sz="0" w:space="0" w:color="auto"/>
        <w:left w:val="none" w:sz="0" w:space="0" w:color="auto"/>
        <w:bottom w:val="none" w:sz="0" w:space="0" w:color="auto"/>
        <w:right w:val="none" w:sz="0" w:space="0" w:color="auto"/>
      </w:divBdr>
    </w:div>
    <w:div w:id="874737910">
      <w:bodyDiv w:val="1"/>
      <w:marLeft w:val="0"/>
      <w:marRight w:val="0"/>
      <w:marTop w:val="0"/>
      <w:marBottom w:val="0"/>
      <w:divBdr>
        <w:top w:val="none" w:sz="0" w:space="0" w:color="auto"/>
        <w:left w:val="none" w:sz="0" w:space="0" w:color="auto"/>
        <w:bottom w:val="none" w:sz="0" w:space="0" w:color="auto"/>
        <w:right w:val="none" w:sz="0" w:space="0" w:color="auto"/>
      </w:divBdr>
    </w:div>
    <w:div w:id="920598865">
      <w:bodyDiv w:val="1"/>
      <w:marLeft w:val="0"/>
      <w:marRight w:val="0"/>
      <w:marTop w:val="0"/>
      <w:marBottom w:val="0"/>
      <w:divBdr>
        <w:top w:val="none" w:sz="0" w:space="0" w:color="auto"/>
        <w:left w:val="none" w:sz="0" w:space="0" w:color="auto"/>
        <w:bottom w:val="none" w:sz="0" w:space="0" w:color="auto"/>
        <w:right w:val="none" w:sz="0" w:space="0" w:color="auto"/>
      </w:divBdr>
    </w:div>
    <w:div w:id="962493007">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358505510">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673951978">
      <w:bodyDiv w:val="1"/>
      <w:marLeft w:val="0"/>
      <w:marRight w:val="0"/>
      <w:marTop w:val="0"/>
      <w:marBottom w:val="0"/>
      <w:divBdr>
        <w:top w:val="none" w:sz="0" w:space="0" w:color="auto"/>
        <w:left w:val="none" w:sz="0" w:space="0" w:color="auto"/>
        <w:bottom w:val="none" w:sz="0" w:space="0" w:color="auto"/>
        <w:right w:val="none" w:sz="0" w:space="0" w:color="auto"/>
      </w:divBdr>
    </w:div>
    <w:div w:id="168875239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 TargetMode="External"/><Relationship Id="rId2" Type="http://schemas.openxmlformats.org/officeDocument/2006/relationships/hyperlink" Target="https://hudoc.echr.coe.int/eng" TargetMode="External"/><Relationship Id="rId1" Type="http://schemas.openxmlformats.org/officeDocument/2006/relationships/hyperlink" Target="https://hudoc.echr.coe.int/e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36030"/>
    <w:rsid w:val="001B68CE"/>
    <w:rsid w:val="00200821"/>
    <w:rsid w:val="00201CE6"/>
    <w:rsid w:val="00244867"/>
    <w:rsid w:val="0025245B"/>
    <w:rsid w:val="002A3923"/>
    <w:rsid w:val="00394049"/>
    <w:rsid w:val="003E4EFC"/>
    <w:rsid w:val="004B5BBB"/>
    <w:rsid w:val="004F2DF8"/>
    <w:rsid w:val="00561C7A"/>
    <w:rsid w:val="00627DF7"/>
    <w:rsid w:val="006F24A1"/>
    <w:rsid w:val="00787C63"/>
    <w:rsid w:val="00904A20"/>
    <w:rsid w:val="00911E16"/>
    <w:rsid w:val="009A261B"/>
    <w:rsid w:val="009C3CB6"/>
    <w:rsid w:val="00A2510F"/>
    <w:rsid w:val="00A4418E"/>
    <w:rsid w:val="00A46E9F"/>
    <w:rsid w:val="00AA2E17"/>
    <w:rsid w:val="00AC15A4"/>
    <w:rsid w:val="00B0336C"/>
    <w:rsid w:val="00B06EFC"/>
    <w:rsid w:val="00B30277"/>
    <w:rsid w:val="00C1712B"/>
    <w:rsid w:val="00D241E9"/>
    <w:rsid w:val="00D74C0A"/>
    <w:rsid w:val="00D7750D"/>
    <w:rsid w:val="00E969BF"/>
    <w:rsid w:val="00EE63C9"/>
    <w:rsid w:val="00F00D2F"/>
    <w:rsid w:val="00F128DF"/>
    <w:rsid w:val="00FA3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D62CEEAA-1CE7-44BF-AB92-16D7A202801A}">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06CFCDB6-B68A-4B1E-82CB-E4B264210937}">
  <ds:schemaRefs>
    <ds:schemaRef ds:uri="http://schemas.microsoft.com/sharepoint/v3/contenttype/forms"/>
  </ds:schemaRefs>
</ds:datastoreItem>
</file>

<file path=customXml/itemProps4.xml><?xml version="1.0" encoding="utf-8"?>
<ds:datastoreItem xmlns:ds="http://schemas.openxmlformats.org/officeDocument/2006/customXml" ds:itemID="{72C96B75-0470-4CA2-88FA-32CCA2672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2643</Words>
  <Characters>15068</Characters>
  <Application>Microsoft Office Word</Application>
  <DocSecurity>0</DocSecurity>
  <Lines>125</Lines>
  <Paragraphs>35</Paragraphs>
  <ScaleCrop>false</ScaleCrop>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2025-09-25T21:05:00Z</dcterms:created>
  <dcterms:modified xsi:type="dcterms:W3CDTF">2025-09-25T21:05:00Z</dcterms:modified>
</cp:coreProperties>
</file>