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D8771"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691E6DF7" w:rsidR="005B52B0" w:rsidRPr="002B453F"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CA2CDB">
                              <w:rPr>
                                <w:rFonts w:asciiTheme="majorHAnsi" w:hAnsiTheme="majorHAnsi" w:cs="Arial"/>
                                <w:b/>
                                <w:bCs/>
                                <w:color w:val="0D0D0D" w:themeColor="text1" w:themeTint="F2"/>
                                <w:sz w:val="36"/>
                                <w:szCs w:val="22"/>
                                <w:lang w:val="es-ES_tradnl"/>
                              </w:rPr>
                              <w:t>153</w:t>
                            </w:r>
                            <w:r w:rsidR="007B05C4">
                              <w:rPr>
                                <w:rFonts w:asciiTheme="majorHAnsi" w:hAnsiTheme="majorHAnsi" w:cs="Arial"/>
                                <w:b/>
                                <w:bCs/>
                                <w:color w:val="0D0D0D" w:themeColor="text1" w:themeTint="F2"/>
                                <w:sz w:val="36"/>
                                <w:szCs w:val="22"/>
                                <w:lang w:val="es-ES_tradnl"/>
                              </w:rPr>
                              <w:t>/</w:t>
                            </w:r>
                            <w:r w:rsidR="00B11747" w:rsidRPr="002B453F">
                              <w:rPr>
                                <w:rFonts w:asciiTheme="majorHAnsi" w:hAnsiTheme="majorHAnsi" w:cs="Arial"/>
                                <w:b/>
                                <w:bCs/>
                                <w:color w:val="0D0D0D" w:themeColor="text1" w:themeTint="F2"/>
                                <w:sz w:val="36"/>
                                <w:szCs w:val="22"/>
                                <w:lang w:val="es-ES_tradnl"/>
                              </w:rPr>
                              <w:t>25</w:t>
                            </w:r>
                          </w:p>
                          <w:p w14:paraId="09C54AB3" w14:textId="66165F78" w:rsidR="007B05C4" w:rsidRDefault="005B52B0" w:rsidP="00997BC5">
                            <w:pPr>
                              <w:spacing w:line="276" w:lineRule="auto"/>
                              <w:rPr>
                                <w:rFonts w:asciiTheme="majorHAnsi" w:hAnsiTheme="majorHAnsi" w:cs="Arial"/>
                                <w:b/>
                                <w:color w:val="0D0D0D" w:themeColor="text1" w:themeTint="F2"/>
                                <w:sz w:val="36"/>
                                <w:szCs w:val="22"/>
                                <w:lang w:val="es-ES_tradnl"/>
                              </w:rPr>
                            </w:pPr>
                            <w:r w:rsidRPr="002B453F">
                              <w:rPr>
                                <w:rFonts w:asciiTheme="majorHAnsi" w:hAnsiTheme="majorHAnsi" w:cs="Arial"/>
                                <w:b/>
                                <w:color w:val="0D0D0D" w:themeColor="text1" w:themeTint="F2"/>
                                <w:sz w:val="36"/>
                                <w:szCs w:val="22"/>
                                <w:lang w:val="es-ES_tradnl"/>
                              </w:rPr>
                              <w:t xml:space="preserve">PETICIÓN </w:t>
                            </w:r>
                            <w:r w:rsidR="002B453F" w:rsidRPr="002B453F">
                              <w:rPr>
                                <w:rFonts w:asciiTheme="majorHAnsi" w:hAnsiTheme="majorHAnsi" w:cs="Arial"/>
                                <w:b/>
                                <w:color w:val="0D0D0D" w:themeColor="text1" w:themeTint="F2"/>
                                <w:sz w:val="36"/>
                                <w:szCs w:val="22"/>
                                <w:lang w:val="es-ES_tradnl"/>
                              </w:rPr>
                              <w:t>796</w:t>
                            </w:r>
                            <w:r w:rsidR="00B11747" w:rsidRPr="002B453F">
                              <w:rPr>
                                <w:rFonts w:asciiTheme="majorHAnsi" w:hAnsiTheme="majorHAnsi" w:cs="Arial"/>
                                <w:b/>
                                <w:color w:val="0D0D0D" w:themeColor="text1" w:themeTint="F2"/>
                                <w:sz w:val="36"/>
                                <w:szCs w:val="22"/>
                                <w:lang w:val="es-ES_tradnl"/>
                              </w:rPr>
                              <w:t>-</w:t>
                            </w:r>
                            <w:r w:rsidR="002B453F" w:rsidRPr="002B453F">
                              <w:rPr>
                                <w:rFonts w:asciiTheme="majorHAnsi" w:hAnsiTheme="majorHAnsi" w:cs="Arial"/>
                                <w:b/>
                                <w:color w:val="0D0D0D" w:themeColor="text1" w:themeTint="F2"/>
                                <w:sz w:val="36"/>
                                <w:szCs w:val="22"/>
                                <w:lang w:val="es-ES_tradnl"/>
                              </w:rPr>
                              <w:t>15</w:t>
                            </w:r>
                          </w:p>
                          <w:p w14:paraId="70CF6833" w14:textId="5A1BA08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72DD120F" w:rsidR="00EB197F" w:rsidRPr="002B453F" w:rsidRDefault="002B453F" w:rsidP="00997BC5">
                            <w:pPr>
                              <w:spacing w:line="276" w:lineRule="auto"/>
                              <w:rPr>
                                <w:rFonts w:asciiTheme="majorHAnsi" w:hAnsiTheme="majorHAnsi" w:cs="Arial"/>
                                <w:color w:val="0D0D0D" w:themeColor="text1" w:themeTint="F2"/>
                                <w:szCs w:val="22"/>
                                <w:lang w:val="es-ES_tradnl"/>
                              </w:rPr>
                            </w:pPr>
                            <w:r w:rsidRPr="002B453F">
                              <w:rPr>
                                <w:rFonts w:asciiTheme="majorHAnsi" w:hAnsiTheme="majorHAnsi" w:cs="Arial"/>
                                <w:color w:val="0D0D0D" w:themeColor="text1" w:themeTint="F2"/>
                                <w:szCs w:val="22"/>
                                <w:lang w:val="es-ES_tradnl"/>
                              </w:rPr>
                              <w:t>ENZO</w:t>
                            </w:r>
                            <w:r>
                              <w:rPr>
                                <w:rFonts w:asciiTheme="majorHAnsi" w:hAnsiTheme="majorHAnsi" w:cs="Arial"/>
                                <w:color w:val="0D0D0D" w:themeColor="text1" w:themeTint="F2"/>
                                <w:szCs w:val="22"/>
                                <w:lang w:val="es-ES_tradnl"/>
                              </w:rPr>
                              <w:t xml:space="preserve"> FABIÁN ÁLVAREZ</w:t>
                            </w:r>
                          </w:p>
                          <w:p w14:paraId="575DFD52" w14:textId="0AD1EF0C" w:rsidR="005B52B0" w:rsidRPr="00EB197F" w:rsidRDefault="002B453F" w:rsidP="007A5817">
                            <w:pPr>
                              <w:rPr>
                                <w:color w:val="0D0D0D" w:themeColor="text1" w:themeTint="F2"/>
                                <w:lang w:val="es-PE"/>
                              </w:rPr>
                            </w:pPr>
                            <w:r>
                              <w:rPr>
                                <w:rFonts w:asciiTheme="majorHAnsi" w:hAnsiTheme="majorHAnsi" w:cs="Arial"/>
                                <w:color w:val="0D0D0D" w:themeColor="text1" w:themeTint="F2"/>
                                <w:szCs w:val="22"/>
                                <w:lang w:val="es-P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691E6DF7" w:rsidR="005B52B0" w:rsidRPr="002B453F"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CA2CDB">
                        <w:rPr>
                          <w:rFonts w:asciiTheme="majorHAnsi" w:hAnsiTheme="majorHAnsi" w:cs="Arial"/>
                          <w:b/>
                          <w:bCs/>
                          <w:color w:val="0D0D0D" w:themeColor="text1" w:themeTint="F2"/>
                          <w:sz w:val="36"/>
                          <w:szCs w:val="22"/>
                          <w:lang w:val="es-ES_tradnl"/>
                        </w:rPr>
                        <w:t>153</w:t>
                      </w:r>
                      <w:r w:rsidR="007B05C4">
                        <w:rPr>
                          <w:rFonts w:asciiTheme="majorHAnsi" w:hAnsiTheme="majorHAnsi" w:cs="Arial"/>
                          <w:b/>
                          <w:bCs/>
                          <w:color w:val="0D0D0D" w:themeColor="text1" w:themeTint="F2"/>
                          <w:sz w:val="36"/>
                          <w:szCs w:val="22"/>
                          <w:lang w:val="es-ES_tradnl"/>
                        </w:rPr>
                        <w:t>/</w:t>
                      </w:r>
                      <w:r w:rsidR="00B11747" w:rsidRPr="002B453F">
                        <w:rPr>
                          <w:rFonts w:asciiTheme="majorHAnsi" w:hAnsiTheme="majorHAnsi" w:cs="Arial"/>
                          <w:b/>
                          <w:bCs/>
                          <w:color w:val="0D0D0D" w:themeColor="text1" w:themeTint="F2"/>
                          <w:sz w:val="36"/>
                          <w:szCs w:val="22"/>
                          <w:lang w:val="es-ES_tradnl"/>
                        </w:rPr>
                        <w:t>25</w:t>
                      </w:r>
                    </w:p>
                    <w:p w14:paraId="09C54AB3" w14:textId="66165F78" w:rsidR="007B05C4" w:rsidRDefault="005B52B0" w:rsidP="00997BC5">
                      <w:pPr>
                        <w:spacing w:line="276" w:lineRule="auto"/>
                        <w:rPr>
                          <w:rFonts w:asciiTheme="majorHAnsi" w:hAnsiTheme="majorHAnsi" w:cs="Arial"/>
                          <w:b/>
                          <w:color w:val="0D0D0D" w:themeColor="text1" w:themeTint="F2"/>
                          <w:sz w:val="36"/>
                          <w:szCs w:val="22"/>
                          <w:lang w:val="es-ES_tradnl"/>
                        </w:rPr>
                      </w:pPr>
                      <w:r w:rsidRPr="002B453F">
                        <w:rPr>
                          <w:rFonts w:asciiTheme="majorHAnsi" w:hAnsiTheme="majorHAnsi" w:cs="Arial"/>
                          <w:b/>
                          <w:color w:val="0D0D0D" w:themeColor="text1" w:themeTint="F2"/>
                          <w:sz w:val="36"/>
                          <w:szCs w:val="22"/>
                          <w:lang w:val="es-ES_tradnl"/>
                        </w:rPr>
                        <w:t xml:space="preserve">PETICIÓN </w:t>
                      </w:r>
                      <w:r w:rsidR="002B453F" w:rsidRPr="002B453F">
                        <w:rPr>
                          <w:rFonts w:asciiTheme="majorHAnsi" w:hAnsiTheme="majorHAnsi" w:cs="Arial"/>
                          <w:b/>
                          <w:color w:val="0D0D0D" w:themeColor="text1" w:themeTint="F2"/>
                          <w:sz w:val="36"/>
                          <w:szCs w:val="22"/>
                          <w:lang w:val="es-ES_tradnl"/>
                        </w:rPr>
                        <w:t>796</w:t>
                      </w:r>
                      <w:r w:rsidR="00B11747" w:rsidRPr="002B453F">
                        <w:rPr>
                          <w:rFonts w:asciiTheme="majorHAnsi" w:hAnsiTheme="majorHAnsi" w:cs="Arial"/>
                          <w:b/>
                          <w:color w:val="0D0D0D" w:themeColor="text1" w:themeTint="F2"/>
                          <w:sz w:val="36"/>
                          <w:szCs w:val="22"/>
                          <w:lang w:val="es-ES_tradnl"/>
                        </w:rPr>
                        <w:t>-</w:t>
                      </w:r>
                      <w:r w:rsidR="002B453F" w:rsidRPr="002B453F">
                        <w:rPr>
                          <w:rFonts w:asciiTheme="majorHAnsi" w:hAnsiTheme="majorHAnsi" w:cs="Arial"/>
                          <w:b/>
                          <w:color w:val="0D0D0D" w:themeColor="text1" w:themeTint="F2"/>
                          <w:sz w:val="36"/>
                          <w:szCs w:val="22"/>
                          <w:lang w:val="es-ES_tradnl"/>
                        </w:rPr>
                        <w:t>15</w:t>
                      </w:r>
                    </w:p>
                    <w:p w14:paraId="70CF6833" w14:textId="5A1BA08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72DD120F" w:rsidR="00EB197F" w:rsidRPr="002B453F" w:rsidRDefault="002B453F" w:rsidP="00997BC5">
                      <w:pPr>
                        <w:spacing w:line="276" w:lineRule="auto"/>
                        <w:rPr>
                          <w:rFonts w:asciiTheme="majorHAnsi" w:hAnsiTheme="majorHAnsi" w:cs="Arial"/>
                          <w:color w:val="0D0D0D" w:themeColor="text1" w:themeTint="F2"/>
                          <w:szCs w:val="22"/>
                          <w:lang w:val="es-ES_tradnl"/>
                        </w:rPr>
                      </w:pPr>
                      <w:r w:rsidRPr="002B453F">
                        <w:rPr>
                          <w:rFonts w:asciiTheme="majorHAnsi" w:hAnsiTheme="majorHAnsi" w:cs="Arial"/>
                          <w:color w:val="0D0D0D" w:themeColor="text1" w:themeTint="F2"/>
                          <w:szCs w:val="22"/>
                          <w:lang w:val="es-ES_tradnl"/>
                        </w:rPr>
                        <w:t>ENZO</w:t>
                      </w:r>
                      <w:r>
                        <w:rPr>
                          <w:rFonts w:asciiTheme="majorHAnsi" w:hAnsiTheme="majorHAnsi" w:cs="Arial"/>
                          <w:color w:val="0D0D0D" w:themeColor="text1" w:themeTint="F2"/>
                          <w:szCs w:val="22"/>
                          <w:lang w:val="es-ES_tradnl"/>
                        </w:rPr>
                        <w:t xml:space="preserve"> FABIÁN ÁLVAREZ</w:t>
                      </w:r>
                    </w:p>
                    <w:p w14:paraId="575DFD52" w14:textId="0AD1EF0C" w:rsidR="005B52B0" w:rsidRPr="00EB197F" w:rsidRDefault="002B453F" w:rsidP="007A5817">
                      <w:pPr>
                        <w:rPr>
                          <w:color w:val="0D0D0D" w:themeColor="text1" w:themeTint="F2"/>
                          <w:lang w:val="es-PE"/>
                        </w:rPr>
                      </w:pPr>
                      <w:r>
                        <w:rPr>
                          <w:rFonts w:asciiTheme="majorHAnsi" w:hAnsiTheme="majorHAnsi" w:cs="Arial"/>
                          <w:color w:val="0D0D0D" w:themeColor="text1" w:themeTint="F2"/>
                          <w:szCs w:val="22"/>
                          <w:lang w:val="es-PE"/>
                        </w:rPr>
                        <w:t>ARGENTINA</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4F6D99A3"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4CF44263"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CA2CDB">
                              <w:rPr>
                                <w:rFonts w:asciiTheme="minorHAnsi" w:hAnsiTheme="minorHAnsi"/>
                                <w:color w:val="FFFFFF" w:themeColor="background1"/>
                                <w:sz w:val="22"/>
                                <w:lang w:val="pt-BR"/>
                              </w:rPr>
                              <w:t>164</w:t>
                            </w:r>
                          </w:p>
                          <w:p w14:paraId="69373ED2" w14:textId="23062C16" w:rsidR="00627C9F" w:rsidRPr="00BD2A80" w:rsidRDefault="00CA2CDB" w:rsidP="007A5817">
                            <w:pPr>
                              <w:spacing w:line="276" w:lineRule="auto"/>
                              <w:jc w:val="right"/>
                              <w:rPr>
                                <w:rFonts w:asciiTheme="minorHAnsi" w:hAnsiTheme="minorHAnsi"/>
                                <w:color w:val="FFFFFF" w:themeColor="background1"/>
                                <w:sz w:val="22"/>
                                <w:lang w:val="pt-PT"/>
                              </w:rPr>
                            </w:pPr>
                            <w:r w:rsidRPr="00BD2A80">
                              <w:rPr>
                                <w:rFonts w:asciiTheme="minorHAnsi" w:hAnsiTheme="minorHAnsi"/>
                                <w:color w:val="FFFFFF" w:themeColor="background1"/>
                                <w:sz w:val="22"/>
                                <w:lang w:val="pt-PT"/>
                              </w:rPr>
                              <w:t>20 agosto</w:t>
                            </w:r>
                            <w:r w:rsidR="007B05C4" w:rsidRPr="00BD2A80">
                              <w:rPr>
                                <w:rFonts w:asciiTheme="minorHAnsi" w:hAnsiTheme="minorHAnsi"/>
                                <w:color w:val="FFFFFF" w:themeColor="background1"/>
                                <w:sz w:val="22"/>
                                <w:lang w:val="pt-PT"/>
                              </w:rPr>
                              <w:t xml:space="preserve"> </w:t>
                            </w:r>
                            <w:r w:rsidR="00627C9F" w:rsidRPr="00BD2A80">
                              <w:rPr>
                                <w:rFonts w:asciiTheme="minorHAnsi" w:hAnsiTheme="minorHAnsi"/>
                                <w:color w:val="FFFFFF" w:themeColor="background1"/>
                                <w:sz w:val="22"/>
                                <w:lang w:val="pt-PT"/>
                              </w:rPr>
                              <w:t>20</w:t>
                            </w:r>
                            <w:r w:rsidR="00C23BA4" w:rsidRPr="00BD2A80">
                              <w:rPr>
                                <w:rFonts w:asciiTheme="minorHAnsi" w:hAnsiTheme="minorHAnsi"/>
                                <w:color w:val="FFFFFF" w:themeColor="background1"/>
                                <w:sz w:val="22"/>
                                <w:lang w:val="pt-PT"/>
                              </w:rPr>
                              <w:t>2</w:t>
                            </w:r>
                            <w:r w:rsidR="00B11747" w:rsidRPr="00BD2A80">
                              <w:rPr>
                                <w:rFonts w:asciiTheme="minorHAnsi" w:hAnsiTheme="minorHAnsi"/>
                                <w:color w:val="FFFFFF" w:themeColor="background1"/>
                                <w:sz w:val="22"/>
                                <w:lang w:val="pt-PT"/>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4F6D99A3"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6A41611B" w14:textId="4CF44263"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CA2CDB">
                        <w:rPr>
                          <w:rFonts w:asciiTheme="minorHAnsi" w:hAnsiTheme="minorHAnsi"/>
                          <w:color w:val="FFFFFF" w:themeColor="background1"/>
                          <w:sz w:val="22"/>
                          <w:lang w:val="pt-BR"/>
                        </w:rPr>
                        <w:t>164</w:t>
                      </w:r>
                    </w:p>
                    <w:p w14:paraId="69373ED2" w14:textId="23062C16" w:rsidR="00627C9F" w:rsidRPr="00BD2A80" w:rsidRDefault="00CA2CDB" w:rsidP="007A5817">
                      <w:pPr>
                        <w:spacing w:line="276" w:lineRule="auto"/>
                        <w:jc w:val="right"/>
                        <w:rPr>
                          <w:rFonts w:asciiTheme="minorHAnsi" w:hAnsiTheme="minorHAnsi"/>
                          <w:color w:val="FFFFFF" w:themeColor="background1"/>
                          <w:sz w:val="22"/>
                          <w:lang w:val="pt-PT"/>
                        </w:rPr>
                      </w:pPr>
                      <w:r w:rsidRPr="00BD2A80">
                        <w:rPr>
                          <w:rFonts w:asciiTheme="minorHAnsi" w:hAnsiTheme="minorHAnsi"/>
                          <w:color w:val="FFFFFF" w:themeColor="background1"/>
                          <w:sz w:val="22"/>
                          <w:lang w:val="pt-PT"/>
                        </w:rPr>
                        <w:t>20 agosto</w:t>
                      </w:r>
                      <w:r w:rsidR="007B05C4" w:rsidRPr="00BD2A80">
                        <w:rPr>
                          <w:rFonts w:asciiTheme="minorHAnsi" w:hAnsiTheme="minorHAnsi"/>
                          <w:color w:val="FFFFFF" w:themeColor="background1"/>
                          <w:sz w:val="22"/>
                          <w:lang w:val="pt-PT"/>
                        </w:rPr>
                        <w:t xml:space="preserve"> </w:t>
                      </w:r>
                      <w:r w:rsidR="00627C9F" w:rsidRPr="00BD2A80">
                        <w:rPr>
                          <w:rFonts w:asciiTheme="minorHAnsi" w:hAnsiTheme="minorHAnsi"/>
                          <w:color w:val="FFFFFF" w:themeColor="background1"/>
                          <w:sz w:val="22"/>
                          <w:lang w:val="pt-PT"/>
                        </w:rPr>
                        <w:t>20</w:t>
                      </w:r>
                      <w:r w:rsidR="00C23BA4" w:rsidRPr="00BD2A80">
                        <w:rPr>
                          <w:rFonts w:asciiTheme="minorHAnsi" w:hAnsiTheme="minorHAnsi"/>
                          <w:color w:val="FFFFFF" w:themeColor="background1"/>
                          <w:sz w:val="22"/>
                          <w:lang w:val="pt-PT"/>
                        </w:rPr>
                        <w:t>2</w:t>
                      </w:r>
                      <w:r w:rsidR="00B11747" w:rsidRPr="00BD2A80">
                        <w:rPr>
                          <w:rFonts w:asciiTheme="minorHAnsi" w:hAnsiTheme="minorHAnsi"/>
                          <w:color w:val="FFFFFF" w:themeColor="background1"/>
                          <w:sz w:val="22"/>
                          <w:lang w:val="pt-PT"/>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5D9B2161"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7E68B6">
                              <w:rPr>
                                <w:rFonts w:asciiTheme="majorHAnsi" w:hAnsiTheme="majorHAnsi"/>
                                <w:color w:val="0D0D0D" w:themeColor="text1" w:themeTint="F2"/>
                                <w:sz w:val="18"/>
                                <w:szCs w:val="22"/>
                                <w:lang w:val="es-ES"/>
                              </w:rPr>
                              <w:t>20</w:t>
                            </w:r>
                            <w:r w:rsidRPr="00890650">
                              <w:rPr>
                                <w:rFonts w:asciiTheme="majorHAnsi" w:hAnsiTheme="majorHAnsi"/>
                                <w:color w:val="0D0D0D" w:themeColor="text1" w:themeTint="F2"/>
                                <w:sz w:val="18"/>
                                <w:szCs w:val="22"/>
                                <w:lang w:val="es-ES"/>
                              </w:rPr>
                              <w:t xml:space="preserve"> de </w:t>
                            </w:r>
                            <w:r w:rsidR="004F5F90">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4F5F9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5D9B2161"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7E68B6">
                        <w:rPr>
                          <w:rFonts w:asciiTheme="majorHAnsi" w:hAnsiTheme="majorHAnsi"/>
                          <w:color w:val="0D0D0D" w:themeColor="text1" w:themeTint="F2"/>
                          <w:sz w:val="18"/>
                          <w:szCs w:val="22"/>
                          <w:lang w:val="es-ES"/>
                        </w:rPr>
                        <w:t>20</w:t>
                      </w:r>
                      <w:r w:rsidRPr="00890650">
                        <w:rPr>
                          <w:rFonts w:asciiTheme="majorHAnsi" w:hAnsiTheme="majorHAnsi"/>
                          <w:color w:val="0D0D0D" w:themeColor="text1" w:themeTint="F2"/>
                          <w:sz w:val="18"/>
                          <w:szCs w:val="22"/>
                          <w:lang w:val="es-ES"/>
                        </w:rPr>
                        <w:t xml:space="preserve"> de </w:t>
                      </w:r>
                      <w:r w:rsidR="004F5F90">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4F5F90">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22CF" w14:textId="702DA3DB"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7E68B6" w:rsidRPr="007E68B6">
                              <w:rPr>
                                <w:rFonts w:asciiTheme="majorHAnsi" w:hAnsiTheme="majorHAnsi"/>
                                <w:color w:val="595959" w:themeColor="text1" w:themeTint="A6"/>
                                <w:sz w:val="18"/>
                                <w:szCs w:val="18"/>
                                <w:lang w:val="pt-BR"/>
                              </w:rPr>
                              <w:t>153</w:t>
                            </w:r>
                            <w:r w:rsidR="007B05C4" w:rsidRPr="007E68B6">
                              <w:rPr>
                                <w:rFonts w:asciiTheme="majorHAnsi" w:hAnsiTheme="majorHAnsi"/>
                                <w:color w:val="595959" w:themeColor="text1" w:themeTint="A6"/>
                                <w:sz w:val="18"/>
                                <w:szCs w:val="18"/>
                                <w:lang w:val="pt-BR"/>
                              </w:rPr>
                              <w:t>/</w:t>
                            </w:r>
                            <w:r w:rsidR="007E68B6" w:rsidRPr="007E68B6">
                              <w:rPr>
                                <w:rFonts w:asciiTheme="majorHAnsi" w:hAnsiTheme="majorHAnsi"/>
                                <w:color w:val="595959" w:themeColor="text1" w:themeTint="A6"/>
                                <w:sz w:val="18"/>
                                <w:szCs w:val="18"/>
                                <w:lang w:val="pt-BR"/>
                              </w:rPr>
                              <w:t>25</w:t>
                            </w:r>
                            <w:r w:rsidRPr="007E68B6">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2B453F">
                              <w:rPr>
                                <w:rFonts w:asciiTheme="majorHAnsi" w:hAnsiTheme="majorHAnsi"/>
                                <w:color w:val="595959" w:themeColor="text1" w:themeTint="A6"/>
                                <w:sz w:val="18"/>
                                <w:szCs w:val="18"/>
                                <w:lang w:val="es-ES"/>
                              </w:rPr>
                              <w:t xml:space="preserve"> 796-15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sidR="000A5E48">
                              <w:rPr>
                                <w:rFonts w:asciiTheme="majorHAnsi" w:hAnsiTheme="majorHAnsi"/>
                                <w:color w:val="595959" w:themeColor="text1" w:themeTint="A6"/>
                                <w:sz w:val="18"/>
                                <w:szCs w:val="18"/>
                                <w:lang w:val="es-ES_tradnl"/>
                              </w:rPr>
                              <w:t>Enzo Fabián Álvarez</w:t>
                            </w:r>
                            <w:r w:rsidRPr="00890650">
                              <w:rPr>
                                <w:rFonts w:asciiTheme="majorHAnsi" w:hAnsiTheme="majorHAnsi"/>
                                <w:color w:val="595959" w:themeColor="text1" w:themeTint="A6"/>
                                <w:sz w:val="18"/>
                                <w:szCs w:val="18"/>
                                <w:lang w:val="es-ES_tradnl"/>
                              </w:rPr>
                              <w:t xml:space="preserve">. </w:t>
                            </w:r>
                            <w:r w:rsidR="000A5E48">
                              <w:rPr>
                                <w:rFonts w:asciiTheme="majorHAnsi" w:hAnsiTheme="majorHAnsi"/>
                                <w:color w:val="595959" w:themeColor="text1" w:themeTint="A6"/>
                                <w:sz w:val="18"/>
                                <w:szCs w:val="18"/>
                                <w:lang w:val="es-ES_tradnl"/>
                              </w:rPr>
                              <w:t>Argentina</w:t>
                            </w:r>
                            <w:r w:rsidRPr="00890650">
                              <w:rPr>
                                <w:rFonts w:asciiTheme="majorHAnsi" w:hAnsiTheme="majorHAnsi"/>
                                <w:color w:val="595959" w:themeColor="text1" w:themeTint="A6"/>
                                <w:sz w:val="18"/>
                                <w:szCs w:val="18"/>
                                <w:lang w:val="es-ES_tradnl"/>
                              </w:rPr>
                              <w:t xml:space="preserve">. </w:t>
                            </w:r>
                            <w:r w:rsidR="007E68B6">
                              <w:rPr>
                                <w:rFonts w:asciiTheme="majorHAnsi" w:hAnsiTheme="majorHAnsi"/>
                                <w:color w:val="595959" w:themeColor="text1" w:themeTint="A6"/>
                                <w:sz w:val="18"/>
                                <w:szCs w:val="18"/>
                                <w:lang w:val="es-ES"/>
                              </w:rPr>
                              <w:t>20 de agosto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1B22CF" w14:textId="702DA3DB"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7E68B6" w:rsidRPr="007E68B6">
                        <w:rPr>
                          <w:rFonts w:asciiTheme="majorHAnsi" w:hAnsiTheme="majorHAnsi"/>
                          <w:color w:val="595959" w:themeColor="text1" w:themeTint="A6"/>
                          <w:sz w:val="18"/>
                          <w:szCs w:val="18"/>
                          <w:lang w:val="pt-BR"/>
                        </w:rPr>
                        <w:t>153</w:t>
                      </w:r>
                      <w:r w:rsidR="007B05C4" w:rsidRPr="007E68B6">
                        <w:rPr>
                          <w:rFonts w:asciiTheme="majorHAnsi" w:hAnsiTheme="majorHAnsi"/>
                          <w:color w:val="595959" w:themeColor="text1" w:themeTint="A6"/>
                          <w:sz w:val="18"/>
                          <w:szCs w:val="18"/>
                          <w:lang w:val="pt-BR"/>
                        </w:rPr>
                        <w:t>/</w:t>
                      </w:r>
                      <w:r w:rsidR="007E68B6" w:rsidRPr="007E68B6">
                        <w:rPr>
                          <w:rFonts w:asciiTheme="majorHAnsi" w:hAnsiTheme="majorHAnsi"/>
                          <w:color w:val="595959" w:themeColor="text1" w:themeTint="A6"/>
                          <w:sz w:val="18"/>
                          <w:szCs w:val="18"/>
                          <w:lang w:val="pt-BR"/>
                        </w:rPr>
                        <w:t>25</w:t>
                      </w:r>
                      <w:r w:rsidRPr="007E68B6">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2B453F">
                        <w:rPr>
                          <w:rFonts w:asciiTheme="majorHAnsi" w:hAnsiTheme="majorHAnsi"/>
                          <w:color w:val="595959" w:themeColor="text1" w:themeTint="A6"/>
                          <w:sz w:val="18"/>
                          <w:szCs w:val="18"/>
                          <w:lang w:val="es-ES"/>
                        </w:rPr>
                        <w:t xml:space="preserve"> 796-15</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r w:rsidR="000A5E48">
                        <w:rPr>
                          <w:rFonts w:asciiTheme="majorHAnsi" w:hAnsiTheme="majorHAnsi"/>
                          <w:color w:val="595959" w:themeColor="text1" w:themeTint="A6"/>
                          <w:sz w:val="18"/>
                          <w:szCs w:val="18"/>
                          <w:lang w:val="es-ES_tradnl"/>
                        </w:rPr>
                        <w:t>Enzo Fabián Álvarez</w:t>
                      </w:r>
                      <w:r w:rsidRPr="00890650">
                        <w:rPr>
                          <w:rFonts w:asciiTheme="majorHAnsi" w:hAnsiTheme="majorHAnsi"/>
                          <w:color w:val="595959" w:themeColor="text1" w:themeTint="A6"/>
                          <w:sz w:val="18"/>
                          <w:szCs w:val="18"/>
                          <w:lang w:val="es-ES_tradnl"/>
                        </w:rPr>
                        <w:t xml:space="preserve">. </w:t>
                      </w:r>
                      <w:r w:rsidR="000A5E48">
                        <w:rPr>
                          <w:rFonts w:asciiTheme="majorHAnsi" w:hAnsiTheme="majorHAnsi"/>
                          <w:color w:val="595959" w:themeColor="text1" w:themeTint="A6"/>
                          <w:sz w:val="18"/>
                          <w:szCs w:val="18"/>
                          <w:lang w:val="es-ES_tradnl"/>
                        </w:rPr>
                        <w:t>Argentina</w:t>
                      </w:r>
                      <w:r w:rsidRPr="00890650">
                        <w:rPr>
                          <w:rFonts w:asciiTheme="majorHAnsi" w:hAnsiTheme="majorHAnsi"/>
                          <w:color w:val="595959" w:themeColor="text1" w:themeTint="A6"/>
                          <w:sz w:val="18"/>
                          <w:szCs w:val="18"/>
                          <w:lang w:val="es-ES_tradnl"/>
                        </w:rPr>
                        <w:t xml:space="preserve">. </w:t>
                      </w:r>
                      <w:r w:rsidR="007E68B6">
                        <w:rPr>
                          <w:rFonts w:asciiTheme="majorHAnsi" w:hAnsiTheme="majorHAnsi"/>
                          <w:color w:val="595959" w:themeColor="text1" w:themeTint="A6"/>
                          <w:sz w:val="18"/>
                          <w:szCs w:val="18"/>
                          <w:lang w:val="es-ES"/>
                        </w:rPr>
                        <w:t>20 de agosto de 2025</w:t>
                      </w:r>
                      <w:r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81B96CF"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158FD700">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5575717E" w:rsidR="0070697F" w:rsidRDefault="008E302B"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408A2208">
                <wp:simplePos x="0" y="0"/>
                <wp:positionH relativeFrom="column">
                  <wp:posOffset>1271905</wp:posOffset>
                </wp:positionH>
                <wp:positionV relativeFrom="paragraph">
                  <wp:posOffset>519761</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1EE9BC7E" w:rsidR="00D72DC6" w:rsidRPr="00D72DC6" w:rsidRDefault="008E302B"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07F0F915" wp14:editId="138569E2">
                                  <wp:extent cx="1836752" cy="502749"/>
                                  <wp:effectExtent l="0" t="0" r="0" b="0"/>
                                  <wp:docPr id="1331997598" name="Imagem 133199759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97598" name="Imagem 1331997598" descr="A close-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920182" cy="5255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0.15pt;margin-top:40.9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" fillcolor="white [3201]" stroked="f" strokeweight=".5pt">
                <v:textbox>
                  <w:txbxContent>
                    <w:p w14:paraId="2A1ECD3C" w14:textId="1EE9BC7E" w:rsidR="00D72DC6" w:rsidRPr="00D72DC6" w:rsidRDefault="008E302B" w:rsidP="00F02AD1">
                      <w:pPr>
                        <w:rPr>
                          <w:color w:val="FFFFFF" w:themeColor="background1"/>
                          <w14:textFill>
                            <w14:noFill/>
                          </w14:textFill>
                        </w:rPr>
                      </w:pPr>
                      <w:r w:rsidRPr="00D72DC6">
                        <w:rPr>
                          <w:noProof/>
                          <w:color w:val="FFFFFF" w:themeColor="background1"/>
                          <w14:textFill>
                            <w14:noFill/>
                          </w14:textFill>
                        </w:rPr>
                        <w:drawing>
                          <wp:inline distT="0" distB="0" distL="0" distR="0" wp14:anchorId="07F0F915" wp14:editId="138569E2">
                            <wp:extent cx="1836752" cy="502749"/>
                            <wp:effectExtent l="0" t="0" r="0" b="0"/>
                            <wp:docPr id="1331997598" name="Imagem 133199759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97598" name="Imagem 1331997598" descr="A close-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920182" cy="525585"/>
                                    </a:xfrm>
                                    <a:prstGeom prst="rect">
                                      <a:avLst/>
                                    </a:prstGeom>
                                    <a:noFill/>
                                    <a:ln>
                                      <a:noFill/>
                                    </a:ln>
                                  </pic:spPr>
                                </pic:pic>
                              </a:graphicData>
                            </a:graphic>
                          </wp:inline>
                        </w:drawing>
                      </w:r>
                    </w:p>
                  </w:txbxContent>
                </v:textbox>
              </v:shape>
            </w:pict>
          </mc:Fallback>
        </mc:AlternateContent>
      </w:r>
      <w:r w:rsidR="004A6A54">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7BE2F7D4" w:rsidR="003239B8" w:rsidRPr="00D13530" w:rsidRDefault="00A07D1C" w:rsidP="00D13530">
            <w:pPr>
              <w:jc w:val="both"/>
              <w:rPr>
                <w:rFonts w:ascii="Cambria" w:hAnsi="Cambria"/>
                <w:bCs/>
                <w:sz w:val="20"/>
                <w:szCs w:val="20"/>
                <w:lang w:val="es-PE"/>
              </w:rPr>
            </w:pPr>
            <w:r>
              <w:rPr>
                <w:rFonts w:ascii="Cambria" w:hAnsi="Cambria"/>
                <w:bCs/>
                <w:sz w:val="20"/>
                <w:szCs w:val="20"/>
                <w:lang w:val="es-PE"/>
              </w:rPr>
              <w:t>Estudio jurídico Arditi</w:t>
            </w:r>
            <w:r>
              <w:rPr>
                <w:rStyle w:val="FootnoteReference"/>
                <w:rFonts w:ascii="Cambria" w:hAnsi="Cambria"/>
                <w:bCs/>
                <w:sz w:val="20"/>
                <w:szCs w:val="20"/>
                <w:lang w:val="es-PE"/>
              </w:rPr>
              <w:footnoteReference w:id="2"/>
            </w:r>
          </w:p>
        </w:tc>
      </w:tr>
      <w:tr w:rsidR="003239B8" w:rsidRPr="007C7E8C"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98486C"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4D500C11" w:rsidR="003239B8" w:rsidRPr="000D05CB" w:rsidRDefault="002B453F" w:rsidP="008D2290">
            <w:pPr>
              <w:jc w:val="both"/>
              <w:rPr>
                <w:rFonts w:ascii="Cambria" w:hAnsi="Cambria"/>
                <w:bCs/>
                <w:sz w:val="20"/>
                <w:szCs w:val="20"/>
                <w:lang w:val="es-ES"/>
              </w:rPr>
            </w:pPr>
            <w:r>
              <w:rPr>
                <w:rFonts w:ascii="Cambria" w:hAnsi="Cambria"/>
                <w:bCs/>
                <w:sz w:val="20"/>
                <w:szCs w:val="20"/>
                <w:lang w:val="es-ES"/>
              </w:rPr>
              <w:t>Enzo Fabián Álvarez</w:t>
            </w:r>
          </w:p>
        </w:tc>
      </w:tr>
      <w:tr w:rsidR="005C7C2C"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5C7C2C" w:rsidRPr="000D05CB" w:rsidRDefault="005C7C2C" w:rsidP="005C7C2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613B8B91" w:rsidR="005C7C2C" w:rsidRPr="000D05CB" w:rsidRDefault="005C7C2C" w:rsidP="005C7C2C">
            <w:pPr>
              <w:jc w:val="both"/>
              <w:rPr>
                <w:rFonts w:ascii="Cambria" w:hAnsi="Cambria"/>
                <w:bCs/>
                <w:sz w:val="20"/>
                <w:szCs w:val="20"/>
              </w:rPr>
            </w:pPr>
            <w:r>
              <w:rPr>
                <w:rFonts w:ascii="Cambria" w:hAnsi="Cambria"/>
                <w:bCs/>
                <w:sz w:val="20"/>
                <w:szCs w:val="20"/>
              </w:rPr>
              <w:t>Argentina</w:t>
            </w:r>
            <w:r w:rsidRPr="000D05CB">
              <w:rPr>
                <w:rStyle w:val="FootnoteReference"/>
                <w:rFonts w:ascii="Cambria" w:hAnsi="Cambria"/>
                <w:bCs/>
                <w:sz w:val="20"/>
                <w:szCs w:val="20"/>
              </w:rPr>
              <w:footnoteReference w:id="3"/>
            </w:r>
          </w:p>
        </w:tc>
      </w:tr>
      <w:tr w:rsidR="005C7C2C" w:rsidRPr="00BD2A80"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5C7C2C" w:rsidRPr="000D05CB" w:rsidRDefault="005C7C2C" w:rsidP="005C7C2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Derechos invocados:</w:t>
            </w:r>
          </w:p>
        </w:tc>
        <w:tc>
          <w:tcPr>
            <w:tcW w:w="5760" w:type="dxa"/>
            <w:vAlign w:val="center"/>
          </w:tcPr>
          <w:p w14:paraId="6DEE1EEB" w14:textId="20244015" w:rsidR="005C7C2C" w:rsidRPr="00D57AEE" w:rsidRDefault="005074EF" w:rsidP="005C7C2C">
            <w:pPr>
              <w:jc w:val="both"/>
              <w:rPr>
                <w:rFonts w:ascii="Cambria" w:hAnsi="Cambria"/>
                <w:bCs/>
                <w:sz w:val="20"/>
                <w:szCs w:val="20"/>
                <w:lang w:val="es-MX"/>
              </w:rPr>
            </w:pPr>
            <w:r>
              <w:rPr>
                <w:rFonts w:ascii="Cambria" w:hAnsi="Cambria"/>
                <w:bCs/>
                <w:sz w:val="20"/>
                <w:szCs w:val="20"/>
                <w:lang w:val="es-PE"/>
              </w:rPr>
              <w:t xml:space="preserve">Artículos </w:t>
            </w:r>
            <w:r w:rsidR="00FF521B">
              <w:rPr>
                <w:rFonts w:ascii="Cambria" w:hAnsi="Cambria"/>
                <w:bCs/>
                <w:sz w:val="20"/>
                <w:szCs w:val="20"/>
                <w:lang w:val="es-PE"/>
              </w:rPr>
              <w:t>5</w:t>
            </w:r>
            <w:r w:rsidR="00787611">
              <w:rPr>
                <w:rFonts w:ascii="Cambria" w:hAnsi="Cambria"/>
                <w:bCs/>
                <w:sz w:val="20"/>
                <w:szCs w:val="20"/>
                <w:lang w:val="es-PE"/>
              </w:rPr>
              <w:t xml:space="preserve"> (integridad personal)</w:t>
            </w:r>
            <w:r w:rsidR="00FF521B">
              <w:rPr>
                <w:rFonts w:ascii="Cambria" w:hAnsi="Cambria"/>
                <w:bCs/>
                <w:sz w:val="20"/>
                <w:szCs w:val="20"/>
                <w:lang w:val="es-PE"/>
              </w:rPr>
              <w:t>, 8</w:t>
            </w:r>
            <w:r w:rsidR="00787611">
              <w:rPr>
                <w:rFonts w:ascii="Cambria" w:hAnsi="Cambria"/>
                <w:bCs/>
                <w:sz w:val="20"/>
                <w:szCs w:val="20"/>
                <w:lang w:val="es-PE"/>
              </w:rPr>
              <w:t xml:space="preserve"> (garantías judiciales)</w:t>
            </w:r>
            <w:r w:rsidR="00FF521B">
              <w:rPr>
                <w:rFonts w:ascii="Cambria" w:hAnsi="Cambria"/>
                <w:bCs/>
                <w:sz w:val="20"/>
                <w:szCs w:val="20"/>
                <w:lang w:val="es-PE"/>
              </w:rPr>
              <w:t>, 11</w:t>
            </w:r>
            <w:r w:rsidR="00787611">
              <w:rPr>
                <w:rFonts w:ascii="Cambria" w:hAnsi="Cambria"/>
                <w:bCs/>
                <w:sz w:val="20"/>
                <w:szCs w:val="20"/>
                <w:lang w:val="es-PE"/>
              </w:rPr>
              <w:t xml:space="preserve"> (protección de la honra y de la dignidad)</w:t>
            </w:r>
            <w:r w:rsidR="00FF521B">
              <w:rPr>
                <w:rFonts w:ascii="Cambria" w:hAnsi="Cambria"/>
                <w:bCs/>
                <w:sz w:val="20"/>
                <w:szCs w:val="20"/>
                <w:lang w:val="es-PE"/>
              </w:rPr>
              <w:t>,</w:t>
            </w:r>
            <w:r w:rsidR="000D4ECC">
              <w:rPr>
                <w:rFonts w:ascii="Cambria" w:hAnsi="Cambria"/>
                <w:bCs/>
                <w:sz w:val="20"/>
                <w:szCs w:val="20"/>
                <w:lang w:val="es-PE"/>
              </w:rPr>
              <w:t xml:space="preserve"> 24</w:t>
            </w:r>
            <w:r w:rsidR="00787611">
              <w:rPr>
                <w:rFonts w:ascii="Cambria" w:hAnsi="Cambria"/>
                <w:bCs/>
                <w:sz w:val="20"/>
                <w:szCs w:val="20"/>
                <w:lang w:val="es-PE"/>
              </w:rPr>
              <w:t xml:space="preserve"> (igualdad ante la ley)</w:t>
            </w:r>
            <w:r w:rsidR="000D4ECC">
              <w:rPr>
                <w:rFonts w:ascii="Cambria" w:hAnsi="Cambria"/>
                <w:bCs/>
                <w:sz w:val="20"/>
                <w:szCs w:val="20"/>
                <w:lang w:val="es-PE"/>
              </w:rPr>
              <w:t xml:space="preserve"> y 25</w:t>
            </w:r>
            <w:r w:rsidR="00787611">
              <w:rPr>
                <w:rFonts w:ascii="Cambria" w:hAnsi="Cambria"/>
                <w:bCs/>
                <w:sz w:val="20"/>
                <w:szCs w:val="20"/>
                <w:lang w:val="es-PE"/>
              </w:rPr>
              <w:t xml:space="preserve"> (protección judicial)</w:t>
            </w:r>
            <w:r w:rsidR="00FF521B">
              <w:rPr>
                <w:rFonts w:ascii="Cambria" w:hAnsi="Cambria"/>
                <w:bCs/>
                <w:sz w:val="20"/>
                <w:szCs w:val="20"/>
                <w:lang w:val="es-PE"/>
              </w:rPr>
              <w:t xml:space="preserve"> </w:t>
            </w:r>
            <w:r w:rsidR="00D57AEE" w:rsidRPr="00CB1CEA">
              <w:rPr>
                <w:rFonts w:ascii="Cambria" w:hAnsi="Cambria"/>
                <w:sz w:val="20"/>
                <w:szCs w:val="20"/>
                <w:lang w:val="es-AR"/>
              </w:rPr>
              <w:t>de la Convención Americana sobre Derechos Humanos</w:t>
            </w:r>
            <w:r w:rsidR="00D57AEE" w:rsidRPr="00DF4403">
              <w:rPr>
                <w:rStyle w:val="FootnoteReference"/>
                <w:rFonts w:ascii="Cambria" w:hAnsi="Cambria"/>
                <w:bCs/>
                <w:sz w:val="20"/>
                <w:szCs w:val="20"/>
                <w:lang w:val="es-MX"/>
              </w:rPr>
              <w:footnoteReference w:id="4"/>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815A17" w:rsidRDefault="004A6A54" w:rsidP="004A6A54">
            <w:pPr>
              <w:jc w:val="center"/>
              <w:rPr>
                <w:rFonts w:ascii="Cambria" w:hAnsi="Cambria"/>
                <w:b/>
                <w:bCs/>
                <w:color w:val="FFFFFF" w:themeColor="background1"/>
                <w:sz w:val="20"/>
                <w:szCs w:val="20"/>
                <w:lang w:val="es-PE"/>
              </w:rPr>
            </w:pPr>
            <w:r w:rsidRPr="00815A17">
              <w:rPr>
                <w:rFonts w:ascii="Cambria" w:hAnsi="Cambria"/>
                <w:b/>
                <w:bCs/>
                <w:color w:val="FFFFFF" w:themeColor="background1"/>
                <w:sz w:val="20"/>
                <w:szCs w:val="20"/>
                <w:lang w:val="es-PE"/>
              </w:rPr>
              <w:t>P</w:t>
            </w:r>
            <w:r w:rsidR="004C2312" w:rsidRPr="00815A17">
              <w:rPr>
                <w:rFonts w:ascii="Cambria" w:hAnsi="Cambria"/>
                <w:b/>
                <w:bCs/>
                <w:color w:val="FFFFFF" w:themeColor="background1"/>
                <w:sz w:val="20"/>
                <w:szCs w:val="20"/>
                <w:lang w:val="es-PE"/>
              </w:rPr>
              <w:t>resentación de la petición:</w:t>
            </w:r>
          </w:p>
        </w:tc>
        <w:tc>
          <w:tcPr>
            <w:tcW w:w="5760" w:type="dxa"/>
            <w:vAlign w:val="center"/>
          </w:tcPr>
          <w:p w14:paraId="6E579153" w14:textId="0F6B7201" w:rsidR="004C2312" w:rsidRPr="00815A17" w:rsidRDefault="00932F9B" w:rsidP="002625EA">
            <w:pPr>
              <w:jc w:val="both"/>
              <w:rPr>
                <w:rFonts w:ascii="Cambria" w:hAnsi="Cambria"/>
                <w:bCs/>
                <w:sz w:val="20"/>
                <w:szCs w:val="20"/>
                <w:lang w:val="es-PE"/>
              </w:rPr>
            </w:pPr>
            <w:r w:rsidRPr="00815A17">
              <w:rPr>
                <w:rFonts w:ascii="Cambria" w:hAnsi="Cambria"/>
                <w:bCs/>
                <w:sz w:val="20"/>
                <w:szCs w:val="20"/>
                <w:lang w:val="es-PE"/>
              </w:rPr>
              <w:t>11 de marzo de 2015</w:t>
            </w:r>
          </w:p>
        </w:tc>
      </w:tr>
      <w:tr w:rsidR="00131425" w:rsidRPr="002B453F"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815A17" w:rsidRDefault="00131425" w:rsidP="004A6A54">
            <w:pPr>
              <w:jc w:val="center"/>
              <w:rPr>
                <w:rFonts w:ascii="Cambria" w:hAnsi="Cambria"/>
                <w:b/>
                <w:bCs/>
                <w:color w:val="FFFFFF" w:themeColor="background1"/>
                <w:sz w:val="20"/>
                <w:szCs w:val="20"/>
                <w:lang w:val="es-PE"/>
              </w:rPr>
            </w:pPr>
            <w:r w:rsidRPr="00815A17">
              <w:rPr>
                <w:rFonts w:ascii="Cambria" w:hAnsi="Cambria"/>
                <w:b/>
                <w:bCs/>
                <w:color w:val="FFFFFF" w:themeColor="background1"/>
                <w:sz w:val="20"/>
                <w:szCs w:val="20"/>
                <w:lang w:val="es-PE"/>
              </w:rPr>
              <w:t>Información adicional recibida durante la etapa de estudio:</w:t>
            </w:r>
          </w:p>
        </w:tc>
        <w:tc>
          <w:tcPr>
            <w:tcW w:w="5760" w:type="dxa"/>
            <w:vAlign w:val="center"/>
          </w:tcPr>
          <w:p w14:paraId="30151270" w14:textId="33842925" w:rsidR="00131425" w:rsidRPr="00815A17" w:rsidRDefault="00F26CAF" w:rsidP="002625EA">
            <w:pPr>
              <w:jc w:val="both"/>
              <w:rPr>
                <w:rFonts w:ascii="Cambria" w:hAnsi="Cambria"/>
                <w:bCs/>
                <w:sz w:val="20"/>
                <w:szCs w:val="20"/>
                <w:lang w:val="es-PE"/>
              </w:rPr>
            </w:pPr>
            <w:r w:rsidRPr="00815A17">
              <w:rPr>
                <w:rFonts w:ascii="Cambria" w:hAnsi="Cambria"/>
                <w:bCs/>
                <w:sz w:val="20"/>
                <w:szCs w:val="20"/>
                <w:lang w:val="es-PE"/>
              </w:rPr>
              <w:t>21 de marzo de 2019</w:t>
            </w:r>
            <w:r w:rsidR="003F6DEF" w:rsidRPr="00815A17">
              <w:rPr>
                <w:rFonts w:ascii="Cambria" w:hAnsi="Cambria"/>
                <w:bCs/>
                <w:sz w:val="20"/>
                <w:szCs w:val="20"/>
                <w:lang w:val="es-PE"/>
              </w:rPr>
              <w:t xml:space="preserve"> </w:t>
            </w:r>
          </w:p>
        </w:tc>
      </w:tr>
      <w:tr w:rsidR="004C2312" w:rsidRPr="002B453F"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815A17" w:rsidRDefault="004A6A54" w:rsidP="004A6A54">
            <w:pPr>
              <w:jc w:val="center"/>
              <w:rPr>
                <w:rFonts w:ascii="Cambria" w:hAnsi="Cambria"/>
                <w:b/>
                <w:bCs/>
                <w:color w:val="FFFFFF" w:themeColor="background1"/>
                <w:sz w:val="20"/>
                <w:szCs w:val="20"/>
                <w:lang w:val="es-PE"/>
              </w:rPr>
            </w:pPr>
            <w:r w:rsidRPr="00815A17">
              <w:rPr>
                <w:rFonts w:ascii="Cambria" w:hAnsi="Cambria"/>
                <w:b/>
                <w:color w:val="FFFFFF" w:themeColor="background1"/>
                <w:sz w:val="20"/>
                <w:szCs w:val="20"/>
                <w:lang w:val="es-PE"/>
              </w:rPr>
              <w:t>N</w:t>
            </w:r>
            <w:r w:rsidR="004C2312" w:rsidRPr="00815A17">
              <w:rPr>
                <w:rFonts w:ascii="Cambria" w:hAnsi="Cambria"/>
                <w:b/>
                <w:color w:val="FFFFFF" w:themeColor="background1"/>
                <w:sz w:val="20"/>
                <w:szCs w:val="20"/>
                <w:lang w:val="es-PE"/>
              </w:rPr>
              <w:t>otificación de la petición al Estado:</w:t>
            </w:r>
          </w:p>
        </w:tc>
        <w:tc>
          <w:tcPr>
            <w:tcW w:w="5760" w:type="dxa"/>
            <w:vAlign w:val="center"/>
          </w:tcPr>
          <w:p w14:paraId="1519DA6A" w14:textId="75E7D491" w:rsidR="004C2312" w:rsidRPr="00815A17" w:rsidRDefault="003F6DEF" w:rsidP="008D2290">
            <w:pPr>
              <w:jc w:val="both"/>
              <w:rPr>
                <w:rFonts w:ascii="Cambria" w:hAnsi="Cambria"/>
                <w:bCs/>
                <w:sz w:val="20"/>
                <w:szCs w:val="20"/>
                <w:lang w:val="es-PE"/>
              </w:rPr>
            </w:pPr>
            <w:r w:rsidRPr="00815A17">
              <w:rPr>
                <w:rFonts w:ascii="Cambria" w:hAnsi="Cambria"/>
                <w:bCs/>
                <w:sz w:val="20"/>
                <w:szCs w:val="20"/>
                <w:lang w:val="es-PE"/>
              </w:rPr>
              <w:t>27 de febrero de 2020</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815A17" w:rsidRDefault="004A6A54" w:rsidP="004A6A54">
            <w:pPr>
              <w:jc w:val="center"/>
              <w:rPr>
                <w:rFonts w:ascii="Cambria" w:hAnsi="Cambria"/>
                <w:b/>
                <w:bCs/>
                <w:color w:val="FFFFFF" w:themeColor="background1"/>
                <w:sz w:val="20"/>
                <w:szCs w:val="20"/>
                <w:lang w:val="es-PE"/>
              </w:rPr>
            </w:pPr>
            <w:r w:rsidRPr="00815A17">
              <w:rPr>
                <w:rFonts w:ascii="Cambria" w:hAnsi="Cambria"/>
                <w:b/>
                <w:color w:val="FFFFFF" w:themeColor="background1"/>
                <w:sz w:val="20"/>
                <w:szCs w:val="20"/>
                <w:lang w:val="es-PE"/>
              </w:rPr>
              <w:t>P</w:t>
            </w:r>
            <w:r w:rsidR="004C2312" w:rsidRPr="00815A17">
              <w:rPr>
                <w:rFonts w:ascii="Cambria" w:hAnsi="Cambria"/>
                <w:b/>
                <w:color w:val="FFFFFF" w:themeColor="background1"/>
                <w:sz w:val="20"/>
                <w:szCs w:val="20"/>
                <w:lang w:val="es-PE"/>
              </w:rPr>
              <w:t>rimera respuesta del Estado:</w:t>
            </w:r>
          </w:p>
        </w:tc>
        <w:tc>
          <w:tcPr>
            <w:tcW w:w="5760" w:type="dxa"/>
            <w:vAlign w:val="center"/>
          </w:tcPr>
          <w:p w14:paraId="1972B99E" w14:textId="71418C31" w:rsidR="004C2312" w:rsidRPr="00815A17" w:rsidRDefault="003F6DEF" w:rsidP="008D2290">
            <w:pPr>
              <w:jc w:val="both"/>
              <w:rPr>
                <w:rFonts w:ascii="Cambria" w:hAnsi="Cambria"/>
                <w:bCs/>
                <w:sz w:val="20"/>
                <w:szCs w:val="20"/>
                <w:lang w:val="es-PE"/>
              </w:rPr>
            </w:pPr>
            <w:r w:rsidRPr="00815A17">
              <w:rPr>
                <w:rFonts w:ascii="Cambria" w:hAnsi="Cambria"/>
                <w:bCs/>
                <w:sz w:val="20"/>
                <w:szCs w:val="20"/>
                <w:lang w:val="es-PE"/>
              </w:rPr>
              <w:t>18 de diciembre de 2020</w:t>
            </w:r>
          </w:p>
        </w:tc>
      </w:tr>
      <w:tr w:rsidR="004C2312" w:rsidRPr="002B453F"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815A17" w:rsidRDefault="008E3BFE" w:rsidP="008E3BFE">
            <w:pPr>
              <w:jc w:val="center"/>
              <w:rPr>
                <w:rFonts w:ascii="Cambria" w:hAnsi="Cambria"/>
                <w:b/>
                <w:bCs/>
                <w:color w:val="FFFFFF" w:themeColor="background1"/>
                <w:sz w:val="20"/>
                <w:szCs w:val="20"/>
                <w:lang w:val="es-PE"/>
              </w:rPr>
            </w:pPr>
            <w:r w:rsidRPr="00815A17">
              <w:rPr>
                <w:rFonts w:ascii="Cambria" w:hAnsi="Cambria"/>
                <w:b/>
                <w:bCs/>
                <w:color w:val="FFFFFF" w:themeColor="background1"/>
                <w:sz w:val="20"/>
                <w:szCs w:val="20"/>
                <w:lang w:val="es-PE"/>
              </w:rPr>
              <w:t>Observaciones adicionales de la parte peticionaria:</w:t>
            </w:r>
          </w:p>
        </w:tc>
        <w:tc>
          <w:tcPr>
            <w:tcW w:w="5760" w:type="dxa"/>
            <w:vAlign w:val="center"/>
          </w:tcPr>
          <w:p w14:paraId="41D8B862" w14:textId="43615476" w:rsidR="004C2312" w:rsidRPr="00815A17" w:rsidRDefault="000B464E" w:rsidP="008D2290">
            <w:pPr>
              <w:jc w:val="both"/>
              <w:rPr>
                <w:rFonts w:ascii="Cambria" w:hAnsi="Cambria"/>
                <w:bCs/>
                <w:sz w:val="20"/>
                <w:szCs w:val="20"/>
                <w:lang w:val="es-PE"/>
              </w:rPr>
            </w:pPr>
            <w:r w:rsidRPr="00815A17">
              <w:rPr>
                <w:rFonts w:ascii="Cambria" w:hAnsi="Cambria"/>
                <w:bCs/>
                <w:sz w:val="20"/>
                <w:szCs w:val="20"/>
                <w:lang w:val="es-PE"/>
              </w:rPr>
              <w:t>3 de marzo de 2021</w:t>
            </w:r>
          </w:p>
        </w:tc>
      </w:tr>
      <w:tr w:rsidR="004C2312" w:rsidRPr="009111EC" w14:paraId="291ACE7A" w14:textId="77777777" w:rsidTr="004A6A54">
        <w:tc>
          <w:tcPr>
            <w:tcW w:w="3600" w:type="dxa"/>
            <w:tcBorders>
              <w:top w:val="single" w:sz="6" w:space="0" w:color="auto"/>
              <w:bottom w:val="single" w:sz="6" w:space="0" w:color="auto"/>
            </w:tcBorders>
            <w:shd w:val="clear" w:color="auto" w:fill="386294"/>
            <w:vAlign w:val="center"/>
          </w:tcPr>
          <w:p w14:paraId="068BD12F" w14:textId="77777777" w:rsidR="004C2312" w:rsidRPr="00815A17" w:rsidRDefault="004C2312" w:rsidP="008E3BFE">
            <w:pPr>
              <w:jc w:val="center"/>
              <w:rPr>
                <w:rFonts w:ascii="Cambria" w:hAnsi="Cambria"/>
                <w:b/>
                <w:bCs/>
                <w:color w:val="FFFFFF" w:themeColor="background1"/>
                <w:sz w:val="20"/>
                <w:szCs w:val="20"/>
                <w:lang w:val="es-PE"/>
              </w:rPr>
            </w:pPr>
            <w:r w:rsidRPr="00815A17">
              <w:rPr>
                <w:rFonts w:ascii="Cambria" w:hAnsi="Cambria"/>
                <w:b/>
                <w:bCs/>
                <w:color w:val="FFFFFF" w:themeColor="background1"/>
                <w:sz w:val="20"/>
                <w:szCs w:val="20"/>
                <w:lang w:val="es-PE"/>
              </w:rPr>
              <w:t>Observaciones adicionales del Estado:</w:t>
            </w:r>
          </w:p>
        </w:tc>
        <w:tc>
          <w:tcPr>
            <w:tcW w:w="5760" w:type="dxa"/>
            <w:vAlign w:val="center"/>
          </w:tcPr>
          <w:p w14:paraId="3CE49AFE" w14:textId="008D3389" w:rsidR="004C2312" w:rsidRPr="00815A17" w:rsidRDefault="00CA19AF" w:rsidP="008D2290">
            <w:pPr>
              <w:jc w:val="both"/>
              <w:rPr>
                <w:rFonts w:ascii="Cambria" w:hAnsi="Cambria"/>
                <w:bCs/>
                <w:sz w:val="20"/>
                <w:szCs w:val="20"/>
                <w:lang w:val="es-PE"/>
              </w:rPr>
            </w:pPr>
            <w:r w:rsidRPr="00815A17">
              <w:rPr>
                <w:rFonts w:ascii="Cambria" w:hAnsi="Cambria"/>
                <w:bCs/>
                <w:sz w:val="20"/>
                <w:szCs w:val="20"/>
                <w:lang w:val="es-PE"/>
              </w:rPr>
              <w:t>8 de julio 2021</w:t>
            </w:r>
          </w:p>
        </w:tc>
      </w:tr>
      <w:tr w:rsidR="001E49E7" w:rsidRPr="007B76D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815A17" w:rsidRDefault="004A6A54" w:rsidP="00DD4AD2">
            <w:pPr>
              <w:jc w:val="center"/>
              <w:rPr>
                <w:rFonts w:ascii="Cambria" w:hAnsi="Cambria"/>
                <w:b/>
                <w:bCs/>
                <w:color w:val="FFFFFF" w:themeColor="background1"/>
                <w:sz w:val="20"/>
                <w:szCs w:val="20"/>
                <w:lang w:val="es-PE"/>
              </w:rPr>
            </w:pPr>
            <w:r w:rsidRPr="00815A17">
              <w:rPr>
                <w:rFonts w:ascii="Cambria" w:hAnsi="Cambria"/>
                <w:b/>
                <w:bCs/>
                <w:color w:val="FFFFFF" w:themeColor="background1"/>
                <w:sz w:val="20"/>
                <w:szCs w:val="20"/>
                <w:lang w:val="es-PE"/>
              </w:rPr>
              <w:t>A</w:t>
            </w:r>
            <w:r w:rsidR="001E49E7" w:rsidRPr="00815A17">
              <w:rPr>
                <w:rFonts w:ascii="Cambria" w:hAnsi="Cambria"/>
                <w:b/>
                <w:bCs/>
                <w:color w:val="FFFFFF" w:themeColor="background1"/>
                <w:sz w:val="20"/>
                <w:szCs w:val="20"/>
                <w:lang w:val="es-PE"/>
              </w:rPr>
              <w:t>dvertencia sobre posible archivo:</w:t>
            </w:r>
          </w:p>
        </w:tc>
        <w:tc>
          <w:tcPr>
            <w:tcW w:w="5760" w:type="dxa"/>
            <w:vAlign w:val="center"/>
          </w:tcPr>
          <w:p w14:paraId="5500808B" w14:textId="215306DC" w:rsidR="001E49E7" w:rsidRPr="00815A17" w:rsidRDefault="00CA19AF" w:rsidP="002625EA">
            <w:pPr>
              <w:jc w:val="both"/>
              <w:rPr>
                <w:rFonts w:ascii="Cambria" w:hAnsi="Cambria"/>
                <w:bCs/>
                <w:sz w:val="20"/>
                <w:szCs w:val="20"/>
                <w:lang w:val="es-PE"/>
              </w:rPr>
            </w:pPr>
            <w:r w:rsidRPr="00815A17">
              <w:rPr>
                <w:rFonts w:ascii="Cambria" w:hAnsi="Cambria"/>
                <w:bCs/>
                <w:sz w:val="20"/>
                <w:szCs w:val="20"/>
                <w:lang w:val="es-PE"/>
              </w:rPr>
              <w:t>16 de abril de 2024</w:t>
            </w:r>
          </w:p>
        </w:tc>
      </w:tr>
      <w:tr w:rsidR="001E49E7" w:rsidRPr="00BD2A80"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815A17" w:rsidRDefault="004A6A54" w:rsidP="004A6A54">
            <w:pPr>
              <w:jc w:val="center"/>
              <w:rPr>
                <w:rFonts w:ascii="Cambria" w:hAnsi="Cambria"/>
                <w:b/>
                <w:bCs/>
                <w:color w:val="FFFFFF" w:themeColor="background1"/>
                <w:sz w:val="20"/>
                <w:szCs w:val="20"/>
                <w:lang w:val="es-PE"/>
              </w:rPr>
            </w:pPr>
            <w:r w:rsidRPr="00815A17">
              <w:rPr>
                <w:rFonts w:ascii="Cambria" w:hAnsi="Cambria"/>
                <w:b/>
                <w:bCs/>
                <w:color w:val="FFFFFF" w:themeColor="background1"/>
                <w:sz w:val="20"/>
                <w:szCs w:val="20"/>
                <w:lang w:val="es-PE"/>
              </w:rPr>
              <w:t>R</w:t>
            </w:r>
            <w:r w:rsidR="001E49E7" w:rsidRPr="00815A17">
              <w:rPr>
                <w:rFonts w:ascii="Cambria" w:hAnsi="Cambria"/>
                <w:b/>
                <w:bCs/>
                <w:color w:val="FFFFFF" w:themeColor="background1"/>
                <w:sz w:val="20"/>
                <w:szCs w:val="20"/>
                <w:lang w:val="es-PE"/>
              </w:rPr>
              <w:t xml:space="preserve">espuesta de la parte peticionaria ante advertencia </w:t>
            </w:r>
            <w:r w:rsidR="00DD4AD2" w:rsidRPr="00815A17">
              <w:rPr>
                <w:rFonts w:ascii="Cambria" w:hAnsi="Cambria"/>
                <w:b/>
                <w:bCs/>
                <w:color w:val="FFFFFF" w:themeColor="background1"/>
                <w:sz w:val="20"/>
                <w:szCs w:val="20"/>
                <w:lang w:val="es-PE"/>
              </w:rPr>
              <w:t xml:space="preserve">de </w:t>
            </w:r>
            <w:r w:rsidR="001E49E7" w:rsidRPr="00815A17">
              <w:rPr>
                <w:rFonts w:ascii="Cambria" w:hAnsi="Cambria"/>
                <w:b/>
                <w:bCs/>
                <w:color w:val="FFFFFF" w:themeColor="background1"/>
                <w:sz w:val="20"/>
                <w:szCs w:val="20"/>
                <w:lang w:val="es-PE"/>
              </w:rPr>
              <w:t>posible archivo:</w:t>
            </w:r>
          </w:p>
        </w:tc>
        <w:tc>
          <w:tcPr>
            <w:tcW w:w="5760" w:type="dxa"/>
            <w:vAlign w:val="center"/>
          </w:tcPr>
          <w:p w14:paraId="24E176E2" w14:textId="2F7B7B13" w:rsidR="001E49E7" w:rsidRPr="00815A17" w:rsidRDefault="00CA19AF" w:rsidP="002625EA">
            <w:pPr>
              <w:jc w:val="both"/>
              <w:rPr>
                <w:rFonts w:ascii="Cambria" w:hAnsi="Cambria"/>
                <w:bCs/>
                <w:sz w:val="20"/>
                <w:szCs w:val="20"/>
                <w:lang w:val="es-PE"/>
              </w:rPr>
            </w:pPr>
            <w:r w:rsidRPr="00815A17">
              <w:rPr>
                <w:rFonts w:ascii="Cambria" w:hAnsi="Cambria"/>
                <w:bCs/>
                <w:sz w:val="20"/>
                <w:szCs w:val="20"/>
                <w:lang w:val="es-PE"/>
              </w:rPr>
              <w:t>15 de mayo de 2024 y 13 de marzo de 2025</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7"/>
        <w:gridCol w:w="5770"/>
      </w:tblGrid>
      <w:tr w:rsidR="003239B8" w:rsidRPr="00540F17" w14:paraId="072532AD" w14:textId="77777777" w:rsidTr="002C4423">
        <w:trPr>
          <w:cantSplit/>
        </w:trPr>
        <w:tc>
          <w:tcPr>
            <w:tcW w:w="3567"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0" w:type="dxa"/>
            <w:vAlign w:val="center"/>
          </w:tcPr>
          <w:p w14:paraId="7707F3E9" w14:textId="228F9714" w:rsidR="003239B8" w:rsidRPr="00B3745F" w:rsidRDefault="005074EF"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2C4423">
        <w:trPr>
          <w:cantSplit/>
        </w:trPr>
        <w:tc>
          <w:tcPr>
            <w:tcW w:w="3567"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0" w:type="dxa"/>
            <w:vAlign w:val="center"/>
          </w:tcPr>
          <w:p w14:paraId="12C931CB" w14:textId="13A0F6C4" w:rsidR="003239B8" w:rsidRPr="00B3745F" w:rsidRDefault="005074EF"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2C4423">
        <w:trPr>
          <w:cantSplit/>
        </w:trPr>
        <w:tc>
          <w:tcPr>
            <w:tcW w:w="3567"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0" w:type="dxa"/>
            <w:vAlign w:val="center"/>
          </w:tcPr>
          <w:p w14:paraId="6F8B059B" w14:textId="028A8455" w:rsidR="003239B8" w:rsidRPr="00B3745F" w:rsidRDefault="005074EF" w:rsidP="008D2290">
            <w:pPr>
              <w:rPr>
                <w:rFonts w:ascii="Cambria" w:hAnsi="Cambria"/>
                <w:bCs/>
                <w:sz w:val="20"/>
                <w:szCs w:val="20"/>
              </w:rPr>
            </w:pPr>
            <w:r>
              <w:rPr>
                <w:rFonts w:ascii="Cambria" w:hAnsi="Cambria"/>
                <w:bCs/>
                <w:sz w:val="20"/>
                <w:szCs w:val="20"/>
              </w:rPr>
              <w:t>Sí</w:t>
            </w:r>
          </w:p>
        </w:tc>
      </w:tr>
      <w:tr w:rsidR="005074EF" w:rsidRPr="00BD2A80" w14:paraId="30ABEC3E" w14:textId="77777777" w:rsidTr="002C4423">
        <w:trPr>
          <w:cantSplit/>
        </w:trPr>
        <w:tc>
          <w:tcPr>
            <w:tcW w:w="3567" w:type="dxa"/>
            <w:tcBorders>
              <w:top w:val="single" w:sz="6" w:space="0" w:color="auto"/>
              <w:bottom w:val="single" w:sz="6" w:space="0" w:color="auto"/>
            </w:tcBorders>
            <w:shd w:val="clear" w:color="auto" w:fill="386294"/>
            <w:vAlign w:val="center"/>
          </w:tcPr>
          <w:p w14:paraId="47B529D2" w14:textId="77777777" w:rsidR="005074EF" w:rsidRPr="00B3745F" w:rsidRDefault="005074EF" w:rsidP="005074EF">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materiae</w:t>
            </w:r>
            <w:r w:rsidRPr="00B3745F">
              <w:rPr>
                <w:rFonts w:ascii="Cambria" w:hAnsi="Cambria"/>
                <w:b/>
                <w:bCs/>
                <w:color w:val="FFFFFF" w:themeColor="background1"/>
                <w:sz w:val="20"/>
                <w:szCs w:val="20"/>
              </w:rPr>
              <w:t>:</w:t>
            </w:r>
          </w:p>
        </w:tc>
        <w:tc>
          <w:tcPr>
            <w:tcW w:w="5770" w:type="dxa"/>
            <w:vAlign w:val="center"/>
          </w:tcPr>
          <w:p w14:paraId="0C122F44" w14:textId="54FFD709" w:rsidR="005074EF" w:rsidRPr="00B3745F" w:rsidRDefault="005074EF" w:rsidP="005074EF">
            <w:pPr>
              <w:jc w:val="both"/>
              <w:rPr>
                <w:rFonts w:ascii="Cambria" w:hAnsi="Cambria"/>
                <w:bCs/>
                <w:sz w:val="20"/>
                <w:szCs w:val="20"/>
                <w:lang w:val="es-ES"/>
              </w:rPr>
            </w:pPr>
            <w:r>
              <w:rPr>
                <w:rFonts w:ascii="Cambria" w:hAnsi="Cambria"/>
                <w:bCs/>
                <w:sz w:val="20"/>
                <w:szCs w:val="20"/>
                <w:lang w:val="es-ES"/>
              </w:rPr>
              <w:t>Sí, Convención Americana (depósito del instrumento de ratificación realizado 5 de septiembre de 1984)</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5D2931" w14:paraId="1231C988" w14:textId="77777777" w:rsidTr="001E5DE0">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71F25D31" w:rsidR="00EE00E9" w:rsidRPr="00DC24E3" w:rsidRDefault="004B6F65"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15FAA7D1" w14:textId="77777777" w:rsidTr="001E5DE0">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1" w:type="dxa"/>
            <w:vAlign w:val="center"/>
          </w:tcPr>
          <w:p w14:paraId="6310C8F7" w14:textId="58AF4B00" w:rsidR="003239B8" w:rsidRPr="00DC24E3" w:rsidRDefault="00CD6C78" w:rsidP="008D2290">
            <w:pPr>
              <w:jc w:val="both"/>
              <w:rPr>
                <w:rFonts w:ascii="Cambria" w:hAnsi="Cambria"/>
                <w:bCs/>
                <w:sz w:val="20"/>
                <w:szCs w:val="20"/>
              </w:rPr>
            </w:pPr>
            <w:r>
              <w:rPr>
                <w:rFonts w:ascii="Cambria" w:hAnsi="Cambria"/>
                <w:bCs/>
                <w:sz w:val="20"/>
                <w:szCs w:val="20"/>
              </w:rPr>
              <w:t>Ninguno</w:t>
            </w:r>
          </w:p>
        </w:tc>
      </w:tr>
      <w:tr w:rsidR="003239B8" w:rsidRPr="00BD2A80" w14:paraId="4EFD141E" w14:textId="77777777" w:rsidTr="001E5DE0">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1" w:type="dxa"/>
            <w:vAlign w:val="center"/>
          </w:tcPr>
          <w:p w14:paraId="69C53E8A" w14:textId="3C7B3A3E" w:rsidR="003239B8" w:rsidRPr="00DC24E3" w:rsidRDefault="004B6F65" w:rsidP="008D2290">
            <w:pPr>
              <w:rPr>
                <w:rFonts w:ascii="Cambria" w:hAnsi="Cambria"/>
                <w:bCs/>
                <w:sz w:val="20"/>
                <w:szCs w:val="20"/>
                <w:lang w:val="es-ES"/>
              </w:rPr>
            </w:pPr>
            <w:r>
              <w:rPr>
                <w:rFonts w:ascii="Cambria" w:hAnsi="Cambria"/>
                <w:bCs/>
                <w:sz w:val="20"/>
                <w:szCs w:val="20"/>
                <w:lang w:val="es-ES"/>
              </w:rPr>
              <w:t>Sí, en los términos de la sección VI</w:t>
            </w:r>
          </w:p>
        </w:tc>
      </w:tr>
      <w:tr w:rsidR="003239B8" w:rsidRPr="00BD2A80" w14:paraId="52B5BA17" w14:textId="77777777" w:rsidTr="001E5DE0">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71" w:type="dxa"/>
            <w:vAlign w:val="center"/>
          </w:tcPr>
          <w:p w14:paraId="4A2A4569" w14:textId="1468B6B2" w:rsidR="003239B8" w:rsidRPr="004B6F65" w:rsidRDefault="004B6F65" w:rsidP="008D2290">
            <w:pPr>
              <w:rPr>
                <w:rFonts w:ascii="Cambria" w:hAnsi="Cambria"/>
                <w:bCs/>
                <w:sz w:val="20"/>
                <w:szCs w:val="20"/>
                <w:lang w:val="es-PE"/>
              </w:rPr>
            </w:pPr>
            <w:r w:rsidRPr="004B6F65">
              <w:rPr>
                <w:rFonts w:ascii="Cambria" w:hAnsi="Cambria"/>
                <w:bCs/>
                <w:sz w:val="20"/>
                <w:szCs w:val="20"/>
                <w:lang w:val="es-PE"/>
              </w:rPr>
              <w:t>Sí, en los términos d</w:t>
            </w:r>
            <w:r>
              <w:rPr>
                <w:rFonts w:ascii="Cambria" w:hAnsi="Cambria"/>
                <w:bCs/>
                <w:sz w:val="20"/>
                <w:szCs w:val="20"/>
                <w:lang w:val="es-PE"/>
              </w:rPr>
              <w:t>e la sección VI</w:t>
            </w:r>
          </w:p>
        </w:tc>
      </w:tr>
    </w:tbl>
    <w:p w14:paraId="26517A68" w14:textId="77777777" w:rsidR="001E5DE0" w:rsidRDefault="001E5DE0" w:rsidP="00EF76F5">
      <w:pPr>
        <w:spacing w:before="240" w:after="240"/>
        <w:ind w:firstLine="720"/>
        <w:jc w:val="both"/>
        <w:rPr>
          <w:rFonts w:asciiTheme="majorHAnsi" w:hAnsiTheme="majorHAnsi"/>
          <w:b/>
          <w:sz w:val="20"/>
          <w:szCs w:val="20"/>
          <w:lang w:val="es-UY"/>
        </w:rPr>
      </w:pPr>
    </w:p>
    <w:p w14:paraId="18E6423B" w14:textId="24EE632C" w:rsidR="003239B8" w:rsidRDefault="00223A29" w:rsidP="00EF76F5">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867314">
        <w:rPr>
          <w:rFonts w:asciiTheme="majorHAnsi" w:hAnsiTheme="majorHAnsi"/>
          <w:b/>
          <w:sz w:val="20"/>
          <w:szCs w:val="20"/>
          <w:lang w:val="es-UY"/>
        </w:rPr>
        <w:t>POSICIÓN DE LAS PARTES</w:t>
      </w:r>
    </w:p>
    <w:p w14:paraId="16FB6418" w14:textId="45AB42FB" w:rsidR="0083100C" w:rsidRPr="00952ABB" w:rsidRDefault="00850058" w:rsidP="00EF76F5">
      <w:pPr>
        <w:spacing w:before="240" w:after="240"/>
        <w:ind w:firstLine="720"/>
        <w:jc w:val="both"/>
        <w:rPr>
          <w:rFonts w:asciiTheme="majorHAnsi" w:hAnsiTheme="majorHAnsi"/>
          <w:b/>
          <w:sz w:val="20"/>
          <w:szCs w:val="20"/>
          <w:lang w:val="es-UY"/>
        </w:rPr>
      </w:pPr>
      <w:r w:rsidRPr="004B04E5">
        <w:rPr>
          <w:rFonts w:asciiTheme="majorHAnsi" w:hAnsiTheme="majorHAnsi"/>
          <w:b/>
          <w:sz w:val="20"/>
          <w:szCs w:val="20"/>
          <w:lang w:val="es-UY"/>
        </w:rPr>
        <w:t>L</w:t>
      </w:r>
      <w:r w:rsidR="0083100C" w:rsidRPr="004B04E5">
        <w:rPr>
          <w:rFonts w:asciiTheme="majorHAnsi" w:hAnsiTheme="majorHAnsi"/>
          <w:b/>
          <w:sz w:val="20"/>
          <w:szCs w:val="20"/>
          <w:lang w:val="es-UY"/>
        </w:rPr>
        <w:t>a parte</w:t>
      </w:r>
      <w:r w:rsidR="0083100C" w:rsidRPr="00952ABB">
        <w:rPr>
          <w:rFonts w:asciiTheme="majorHAnsi" w:hAnsiTheme="majorHAnsi"/>
          <w:b/>
          <w:sz w:val="20"/>
          <w:szCs w:val="20"/>
          <w:lang w:val="es-UY"/>
        </w:rPr>
        <w:t xml:space="preserve"> peticionaria</w:t>
      </w:r>
    </w:p>
    <w:p w14:paraId="74E42DBA" w14:textId="14DBB071" w:rsidR="009E5A46" w:rsidRPr="009E5A46" w:rsidRDefault="00952ABB" w:rsidP="009E5A4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952ABB">
        <w:rPr>
          <w:rFonts w:ascii="Cambria" w:hAnsi="Cambria"/>
          <w:sz w:val="20"/>
          <w:szCs w:val="20"/>
          <w:lang w:val="es-AR"/>
        </w:rPr>
        <w:t>El peticionario alega</w:t>
      </w:r>
      <w:r w:rsidR="009E5A46">
        <w:rPr>
          <w:rFonts w:ascii="Cambria" w:hAnsi="Cambria"/>
          <w:sz w:val="20"/>
          <w:szCs w:val="20"/>
          <w:lang w:val="es-AR"/>
        </w:rPr>
        <w:t xml:space="preserve"> </w:t>
      </w:r>
      <w:r w:rsidR="009E5A46" w:rsidRPr="009E5A46">
        <w:rPr>
          <w:rFonts w:ascii="Cambria" w:hAnsi="Cambria"/>
          <w:sz w:val="20"/>
          <w:szCs w:val="20"/>
          <w:lang w:val="es-AR"/>
        </w:rPr>
        <w:t xml:space="preserve">que el Estado incurrió en una violación al derecho a un juicio imparcial y al principio de igualdad procesal en </w:t>
      </w:r>
      <w:r w:rsidR="005F6ECE">
        <w:rPr>
          <w:rFonts w:ascii="Cambria" w:hAnsi="Cambria"/>
          <w:sz w:val="20"/>
          <w:szCs w:val="20"/>
          <w:lang w:val="es-AR"/>
        </w:rPr>
        <w:t>un</w:t>
      </w:r>
      <w:r w:rsidR="009E5A46" w:rsidRPr="009E5A46">
        <w:rPr>
          <w:rFonts w:ascii="Cambria" w:hAnsi="Cambria"/>
          <w:sz w:val="20"/>
          <w:szCs w:val="20"/>
          <w:lang w:val="es-AR"/>
        </w:rPr>
        <w:t xml:space="preserve"> proceso penal seguido contra Enzo Fabián Álvarez, oficial de la Policía Metropolitana, que derivó en su condena a prisión perpetua.</w:t>
      </w:r>
    </w:p>
    <w:p w14:paraId="7FC2EED3" w14:textId="0C853B1E" w:rsidR="0094262A" w:rsidRDefault="00952ABB" w:rsidP="0094262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b/>
          <w:bCs/>
          <w:sz w:val="20"/>
          <w:szCs w:val="20"/>
          <w:lang w:val="es-AR"/>
        </w:rPr>
      </w:pPr>
      <w:r w:rsidRPr="00952ABB">
        <w:rPr>
          <w:rFonts w:ascii="Cambria" w:hAnsi="Cambria"/>
          <w:sz w:val="20"/>
          <w:szCs w:val="20"/>
          <w:lang w:val="es-AR"/>
        </w:rPr>
        <w:t>Según expone,</w:t>
      </w:r>
      <w:r w:rsidR="0094262A">
        <w:rPr>
          <w:rFonts w:ascii="Cambria" w:hAnsi="Cambria"/>
          <w:b/>
          <w:bCs/>
          <w:sz w:val="20"/>
          <w:szCs w:val="20"/>
          <w:lang w:val="es-AR"/>
        </w:rPr>
        <w:t xml:space="preserve"> </w:t>
      </w:r>
      <w:r w:rsidR="0094262A" w:rsidRPr="0094262A">
        <w:rPr>
          <w:rFonts w:ascii="Cambria" w:hAnsi="Cambria"/>
          <w:sz w:val="20"/>
          <w:szCs w:val="20"/>
          <w:lang w:val="es-AR"/>
        </w:rPr>
        <w:t>la Fiscalía inició una investigación contra la presunta víctima por hechos ocurridos el 8 de septiembre de 2011, cuando habría disparado mortalmente a una persona con su arma reglamentaria mientras esta se encontraba reducida y bajo control policial, luego de cometer un robo. Desde un inicio el señor Álvarez negó los cargos alegando que el disparo fue accidental durante un forcejeo.</w:t>
      </w:r>
    </w:p>
    <w:p w14:paraId="4FFFA5AE" w14:textId="77777777" w:rsidR="00E97798" w:rsidRPr="00E97798" w:rsidRDefault="0094262A" w:rsidP="0094262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b/>
          <w:bCs/>
          <w:sz w:val="20"/>
          <w:szCs w:val="20"/>
          <w:lang w:val="es-AR"/>
        </w:rPr>
      </w:pPr>
      <w:r w:rsidRPr="0094262A">
        <w:rPr>
          <w:rFonts w:ascii="Cambria" w:hAnsi="Cambria"/>
          <w:sz w:val="20"/>
          <w:szCs w:val="20"/>
          <w:lang w:val="es-AR"/>
        </w:rPr>
        <w:t xml:space="preserve">El peticionario aduce que el caso fue politizado por tratarse de un agente de la Policía Metropolitana, fuerza recientemente creada por la Ciudad Autónoma de Buenos Aires, en un contexto de tensiones con el gobierno nacional. Alega que esta carga política se reflejó en la intervención indebida de la Secretaría de Derechos Humanos de la Nación como parte querellante, representada por el Subsecretario de Protección de Derechos Humanos. </w:t>
      </w:r>
    </w:p>
    <w:p w14:paraId="5647D2AA" w14:textId="05013BEB" w:rsidR="00E97798" w:rsidRDefault="007C69FB" w:rsidP="00E9779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b/>
          <w:bCs/>
          <w:sz w:val="20"/>
          <w:szCs w:val="20"/>
          <w:lang w:val="es-AR"/>
        </w:rPr>
      </w:pPr>
      <w:r>
        <w:rPr>
          <w:rFonts w:ascii="Cambria" w:hAnsi="Cambria"/>
          <w:sz w:val="20"/>
          <w:szCs w:val="20"/>
          <w:lang w:val="es-AR"/>
        </w:rPr>
        <w:t>La</w:t>
      </w:r>
      <w:r w:rsidR="0094262A" w:rsidRPr="0094262A">
        <w:rPr>
          <w:rFonts w:ascii="Cambria" w:hAnsi="Cambria"/>
          <w:sz w:val="20"/>
          <w:szCs w:val="20"/>
          <w:lang w:val="es-AR"/>
        </w:rPr>
        <w:t xml:space="preserve"> Secretaría </w:t>
      </w:r>
      <w:r>
        <w:rPr>
          <w:rFonts w:ascii="Cambria" w:hAnsi="Cambria"/>
          <w:sz w:val="20"/>
          <w:szCs w:val="20"/>
          <w:lang w:val="es-AR"/>
        </w:rPr>
        <w:t xml:space="preserve">de Derechos Humanos </w:t>
      </w:r>
      <w:r w:rsidR="0094262A" w:rsidRPr="0094262A">
        <w:rPr>
          <w:rFonts w:ascii="Cambria" w:hAnsi="Cambria"/>
          <w:sz w:val="20"/>
          <w:szCs w:val="20"/>
          <w:lang w:val="es-AR"/>
        </w:rPr>
        <w:t>solicitó intervenir desde el 1 de noviembre de 2011, invocando la existencia de una grave violación de derechos humanos. Esta solicitud fue inicialmente rechazada por el Juzgado de Instrucción N.º 33 el 3 de noviembre de 2011 y por la Sala V de la Cámara Criminal el 15 de marzo de 2012, al concluir que no se trataba de un crimen de lesa humanidad ni se comprometían intereses estatales.</w:t>
      </w:r>
    </w:p>
    <w:p w14:paraId="0B475B01" w14:textId="1B45A8DE" w:rsidR="0094262A" w:rsidRPr="00E97798" w:rsidRDefault="0094262A" w:rsidP="00E9779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b/>
          <w:bCs/>
          <w:sz w:val="20"/>
          <w:szCs w:val="20"/>
          <w:lang w:val="es-AR"/>
        </w:rPr>
      </w:pPr>
      <w:r w:rsidRPr="00E97798">
        <w:rPr>
          <w:rFonts w:ascii="Cambria" w:hAnsi="Cambria"/>
          <w:sz w:val="20"/>
          <w:szCs w:val="20"/>
          <w:lang w:val="es-AR"/>
        </w:rPr>
        <w:t xml:space="preserve">No obstante, la Sala IV de la Cámara Nacional de Casación Penal, mediante fallo del 8 de marzo de 2013, revocó dicha decisión y habilitó a la Subsecretaría como querellante, considerando que tenía legitimación para representar intereses difusos en materia de derechos humanos. Esta decisión fue impugnada mediante recurso extraordinario federal el 27 de marzo de 2013, </w:t>
      </w:r>
      <w:r w:rsidR="000A6766">
        <w:rPr>
          <w:rFonts w:ascii="Cambria" w:hAnsi="Cambria"/>
          <w:sz w:val="20"/>
          <w:szCs w:val="20"/>
          <w:lang w:val="es-AR"/>
        </w:rPr>
        <w:t xml:space="preserve">y </w:t>
      </w:r>
      <w:r w:rsidRPr="00E97798">
        <w:rPr>
          <w:rFonts w:ascii="Cambria" w:hAnsi="Cambria"/>
          <w:sz w:val="20"/>
          <w:szCs w:val="20"/>
          <w:lang w:val="es-AR"/>
        </w:rPr>
        <w:t xml:space="preserve">denegado por la Cámara el 12 de febrero de 2014. Ante ello, la defensa interpuso </w:t>
      </w:r>
      <w:r w:rsidR="009A5B42">
        <w:rPr>
          <w:rFonts w:ascii="Cambria" w:hAnsi="Cambria"/>
          <w:sz w:val="20"/>
          <w:szCs w:val="20"/>
          <w:lang w:val="es-AR"/>
        </w:rPr>
        <w:t xml:space="preserve">un </w:t>
      </w:r>
      <w:r w:rsidRPr="00E97798">
        <w:rPr>
          <w:rFonts w:ascii="Cambria" w:hAnsi="Cambria"/>
          <w:sz w:val="20"/>
          <w:szCs w:val="20"/>
          <w:lang w:val="es-AR"/>
        </w:rPr>
        <w:t xml:space="preserve">recurso de queja ante la Corte Suprema </w:t>
      </w:r>
      <w:r w:rsidR="009A5B42">
        <w:rPr>
          <w:rFonts w:ascii="Cambria" w:hAnsi="Cambria"/>
          <w:sz w:val="20"/>
          <w:szCs w:val="20"/>
          <w:lang w:val="es-AR"/>
        </w:rPr>
        <w:t xml:space="preserve">de la Nación </w:t>
      </w:r>
      <w:r w:rsidRPr="00E97798">
        <w:rPr>
          <w:rFonts w:ascii="Cambria" w:hAnsi="Cambria"/>
          <w:sz w:val="20"/>
          <w:szCs w:val="20"/>
          <w:lang w:val="es-AR"/>
        </w:rPr>
        <w:t xml:space="preserve">el 27 de febrero de 2014, </w:t>
      </w:r>
      <w:r w:rsidR="009A5B42">
        <w:rPr>
          <w:rFonts w:ascii="Cambria" w:hAnsi="Cambria"/>
          <w:sz w:val="20"/>
          <w:szCs w:val="20"/>
          <w:lang w:val="es-AR"/>
        </w:rPr>
        <w:t>el cual</w:t>
      </w:r>
      <w:r w:rsidRPr="00E97798">
        <w:rPr>
          <w:rFonts w:ascii="Cambria" w:hAnsi="Cambria"/>
          <w:sz w:val="20"/>
          <w:szCs w:val="20"/>
          <w:lang w:val="es-AR"/>
        </w:rPr>
        <w:t xml:space="preserve"> fue declarado inadmisible el 4 de noviembre de 2014, </w:t>
      </w:r>
      <w:r w:rsidR="009643AE" w:rsidRPr="00E64D14">
        <w:rPr>
          <w:rFonts w:ascii="Cambria" w:hAnsi="Cambria"/>
          <w:sz w:val="20"/>
          <w:szCs w:val="20"/>
          <w:lang w:val="es-AR"/>
        </w:rPr>
        <w:t>indicado que el escrito “</w:t>
      </w:r>
      <w:r w:rsidR="009643AE" w:rsidRPr="00917F35">
        <w:rPr>
          <w:rFonts w:ascii="Cambria" w:hAnsi="Cambria"/>
          <w:i/>
          <w:iCs/>
          <w:sz w:val="20"/>
          <w:szCs w:val="20"/>
          <w:lang w:val="es-AR"/>
        </w:rPr>
        <w:t>no cumple con los requisitos vinculados a la cantidad de páginas y al acompañamiento de copias establecidas en los artículos 4 y 7, inciso c, del reglamento aprobado por la acordada 3/2007</w:t>
      </w:r>
      <w:r w:rsidR="009643AE" w:rsidRPr="00E64D14">
        <w:rPr>
          <w:rFonts w:ascii="Cambria" w:hAnsi="Cambria"/>
          <w:sz w:val="20"/>
          <w:szCs w:val="20"/>
          <w:lang w:val="es-AR"/>
        </w:rPr>
        <w:t>”</w:t>
      </w:r>
      <w:r w:rsidRPr="00E97798">
        <w:rPr>
          <w:rFonts w:ascii="Cambria" w:hAnsi="Cambria"/>
          <w:sz w:val="20"/>
          <w:szCs w:val="20"/>
          <w:lang w:val="es-AR"/>
        </w:rPr>
        <w:t>.</w:t>
      </w:r>
    </w:p>
    <w:p w14:paraId="76D805F9" w14:textId="656171E6" w:rsidR="0094262A" w:rsidRPr="00CD6C78" w:rsidRDefault="004825D2" w:rsidP="0094262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b/>
          <w:bCs/>
          <w:sz w:val="20"/>
          <w:szCs w:val="20"/>
          <w:lang w:val="es-AR"/>
        </w:rPr>
      </w:pPr>
      <w:r w:rsidRPr="00CD6C78">
        <w:rPr>
          <w:rFonts w:ascii="Cambria" w:hAnsi="Cambria"/>
          <w:sz w:val="20"/>
          <w:szCs w:val="20"/>
          <w:lang w:val="es-AR"/>
        </w:rPr>
        <w:t>Adicionalmente</w:t>
      </w:r>
      <w:r w:rsidR="0094262A" w:rsidRPr="00CD6C78">
        <w:rPr>
          <w:rFonts w:ascii="Cambria" w:hAnsi="Cambria"/>
          <w:sz w:val="20"/>
          <w:szCs w:val="20"/>
          <w:lang w:val="es-AR"/>
        </w:rPr>
        <w:t xml:space="preserve">, </w:t>
      </w:r>
      <w:r w:rsidR="00F743F7" w:rsidRPr="00CD6C78">
        <w:rPr>
          <w:rFonts w:ascii="Cambria" w:hAnsi="Cambria"/>
          <w:sz w:val="20"/>
          <w:szCs w:val="20"/>
          <w:lang w:val="es-AR"/>
        </w:rPr>
        <w:t>reclama</w:t>
      </w:r>
      <w:r w:rsidR="0094262A" w:rsidRPr="00CD6C78">
        <w:rPr>
          <w:rFonts w:ascii="Cambria" w:hAnsi="Cambria"/>
          <w:sz w:val="20"/>
          <w:szCs w:val="20"/>
          <w:lang w:val="es-AR"/>
        </w:rPr>
        <w:t xml:space="preserve"> que durante la instrucción</w:t>
      </w:r>
      <w:r w:rsidRPr="00CD6C78">
        <w:rPr>
          <w:rFonts w:ascii="Cambria" w:hAnsi="Cambria"/>
          <w:sz w:val="20"/>
          <w:szCs w:val="20"/>
          <w:lang w:val="es-AR"/>
        </w:rPr>
        <w:t xml:space="preserve"> penal</w:t>
      </w:r>
      <w:r w:rsidR="0094262A" w:rsidRPr="00CD6C78">
        <w:rPr>
          <w:rFonts w:ascii="Cambria" w:hAnsi="Cambria"/>
          <w:sz w:val="20"/>
          <w:szCs w:val="20"/>
          <w:lang w:val="es-AR"/>
        </w:rPr>
        <w:t xml:space="preserve"> se produjeron irregularidades procesales</w:t>
      </w:r>
      <w:r w:rsidRPr="00CD6C78">
        <w:rPr>
          <w:rFonts w:ascii="Cambria" w:hAnsi="Cambria"/>
          <w:sz w:val="20"/>
          <w:szCs w:val="20"/>
          <w:lang w:val="es-AR"/>
        </w:rPr>
        <w:t xml:space="preserve"> en perjuicio de la presunta</w:t>
      </w:r>
      <w:r w:rsidR="004A538E" w:rsidRPr="00CD6C78">
        <w:rPr>
          <w:rFonts w:ascii="Cambria" w:hAnsi="Cambria"/>
          <w:sz w:val="20"/>
          <w:szCs w:val="20"/>
          <w:lang w:val="es-AR"/>
        </w:rPr>
        <w:t xml:space="preserve"> víctima</w:t>
      </w:r>
      <w:r w:rsidR="0094262A" w:rsidRPr="00CD6C78">
        <w:rPr>
          <w:rFonts w:ascii="Cambria" w:hAnsi="Cambria"/>
          <w:sz w:val="20"/>
          <w:szCs w:val="20"/>
          <w:lang w:val="es-AR"/>
        </w:rPr>
        <w:t>, como la negativa a interrogar testigos clave, pese a reiteradas solicitudes</w:t>
      </w:r>
      <w:r w:rsidR="003C1D6B" w:rsidRPr="00CD6C78">
        <w:rPr>
          <w:rFonts w:ascii="Cambria" w:hAnsi="Cambria"/>
          <w:sz w:val="20"/>
          <w:szCs w:val="20"/>
          <w:lang w:val="es-AR"/>
        </w:rPr>
        <w:t>,</w:t>
      </w:r>
      <w:r w:rsidR="004A538E" w:rsidRPr="00CD6C78">
        <w:rPr>
          <w:rFonts w:ascii="Cambria" w:hAnsi="Cambria"/>
          <w:sz w:val="20"/>
          <w:szCs w:val="20"/>
          <w:lang w:val="es-AR"/>
        </w:rPr>
        <w:t xml:space="preserve"> </w:t>
      </w:r>
      <w:r w:rsidR="003C1D6B" w:rsidRPr="00CD6C78">
        <w:rPr>
          <w:rFonts w:ascii="Cambria" w:hAnsi="Cambria"/>
          <w:sz w:val="20"/>
          <w:szCs w:val="20"/>
          <w:lang w:val="es-AR"/>
        </w:rPr>
        <w:t>a pesar de lo cual</w:t>
      </w:r>
      <w:r w:rsidR="0094262A" w:rsidRPr="00CD6C78">
        <w:rPr>
          <w:rFonts w:ascii="Cambria" w:hAnsi="Cambria"/>
          <w:sz w:val="20"/>
          <w:szCs w:val="20"/>
          <w:lang w:val="es-AR"/>
        </w:rPr>
        <w:t xml:space="preserve"> la causa fue elevada a juicio sin permitir control de la</w:t>
      </w:r>
      <w:r w:rsidR="003638C0" w:rsidRPr="00CD6C78">
        <w:rPr>
          <w:rFonts w:ascii="Cambria" w:hAnsi="Cambria"/>
          <w:sz w:val="20"/>
          <w:szCs w:val="20"/>
          <w:lang w:val="es-AR"/>
        </w:rPr>
        <w:t>s</w:t>
      </w:r>
      <w:r w:rsidR="0094262A" w:rsidRPr="00CD6C78">
        <w:rPr>
          <w:rFonts w:ascii="Cambria" w:hAnsi="Cambria"/>
          <w:sz w:val="20"/>
          <w:szCs w:val="20"/>
          <w:lang w:val="es-AR"/>
        </w:rPr>
        <w:t xml:space="preserve"> prueba</w:t>
      </w:r>
      <w:r w:rsidR="003638C0" w:rsidRPr="00CD6C78">
        <w:rPr>
          <w:rFonts w:ascii="Cambria" w:hAnsi="Cambria"/>
          <w:sz w:val="20"/>
          <w:szCs w:val="20"/>
          <w:lang w:val="es-AR"/>
        </w:rPr>
        <w:t>s</w:t>
      </w:r>
      <w:r w:rsidR="0094262A" w:rsidRPr="00CD6C78">
        <w:rPr>
          <w:rFonts w:ascii="Cambria" w:hAnsi="Cambria"/>
          <w:sz w:val="20"/>
          <w:szCs w:val="20"/>
          <w:lang w:val="es-AR"/>
        </w:rPr>
        <w:t xml:space="preserve">. </w:t>
      </w:r>
      <w:r w:rsidR="003804F9" w:rsidRPr="00CD6C78">
        <w:rPr>
          <w:rFonts w:ascii="Cambria" w:hAnsi="Cambria"/>
          <w:sz w:val="20"/>
          <w:szCs w:val="20"/>
          <w:lang w:val="es-AR"/>
        </w:rPr>
        <w:t>C</w:t>
      </w:r>
      <w:r w:rsidR="0094262A" w:rsidRPr="00CD6C78">
        <w:rPr>
          <w:rFonts w:ascii="Cambria" w:hAnsi="Cambria"/>
          <w:sz w:val="20"/>
          <w:szCs w:val="20"/>
          <w:lang w:val="es-AR"/>
        </w:rPr>
        <w:t>omo resultado, el 29 de mayo de 2015 el Tribunal Oral en lo Criminal N.º 22 condenó a</w:t>
      </w:r>
      <w:r w:rsidR="00F556E8" w:rsidRPr="00CD6C78">
        <w:rPr>
          <w:rFonts w:ascii="Cambria" w:hAnsi="Cambria"/>
          <w:sz w:val="20"/>
          <w:szCs w:val="20"/>
          <w:lang w:val="es-AR"/>
        </w:rPr>
        <w:t>l señor Álvarez</w:t>
      </w:r>
      <w:r w:rsidR="0094262A" w:rsidRPr="00CD6C78">
        <w:rPr>
          <w:rFonts w:ascii="Cambria" w:hAnsi="Cambria"/>
          <w:sz w:val="20"/>
          <w:szCs w:val="20"/>
          <w:lang w:val="es-AR"/>
        </w:rPr>
        <w:t xml:space="preserve"> </w:t>
      </w:r>
      <w:r w:rsidR="004B057E" w:rsidRPr="00CD6C78">
        <w:rPr>
          <w:rFonts w:ascii="Cambria" w:hAnsi="Cambria"/>
          <w:sz w:val="20"/>
          <w:szCs w:val="20"/>
          <w:lang w:val="es-AR"/>
        </w:rPr>
        <w:t xml:space="preserve">a </w:t>
      </w:r>
      <w:r w:rsidR="0094262A" w:rsidRPr="00CD6C78">
        <w:rPr>
          <w:rFonts w:ascii="Cambria" w:hAnsi="Cambria"/>
          <w:sz w:val="20"/>
          <w:szCs w:val="20"/>
          <w:lang w:val="es-AR"/>
        </w:rPr>
        <w:t>prisión perpetua por el delito de homicidio agravado por su condición de funcionario policial. Esta decisión fue confirmada por la Sala II de la Cámara Nacional de Casación el 17 de mayo de 2016. En su comunicación</w:t>
      </w:r>
      <w:r w:rsidR="00CD6C78" w:rsidRPr="00CD6C78">
        <w:rPr>
          <w:rFonts w:ascii="Cambria" w:hAnsi="Cambria"/>
          <w:sz w:val="20"/>
          <w:szCs w:val="20"/>
          <w:lang w:val="es-AR"/>
        </w:rPr>
        <w:t xml:space="preserve"> del </w:t>
      </w:r>
      <w:r w:rsidR="00CD6C78" w:rsidRPr="00CD6C78">
        <w:rPr>
          <w:rFonts w:ascii="Cambria" w:hAnsi="Cambria"/>
          <w:bCs/>
          <w:sz w:val="20"/>
          <w:szCs w:val="20"/>
          <w:lang w:val="es-PE"/>
        </w:rPr>
        <w:t>15 de mayo de 2024</w:t>
      </w:r>
      <w:r w:rsidR="0094262A" w:rsidRPr="00CD6C78">
        <w:rPr>
          <w:rFonts w:ascii="Cambria" w:hAnsi="Cambria"/>
          <w:sz w:val="20"/>
          <w:szCs w:val="20"/>
          <w:lang w:val="es-AR"/>
        </w:rPr>
        <w:t xml:space="preserve">, el peticionario informó que </w:t>
      </w:r>
      <w:r w:rsidR="00F556E8" w:rsidRPr="00CD6C78">
        <w:rPr>
          <w:rFonts w:ascii="Cambria" w:hAnsi="Cambria"/>
          <w:sz w:val="20"/>
          <w:szCs w:val="20"/>
          <w:lang w:val="es-AR"/>
        </w:rPr>
        <w:t>la presunta víctima</w:t>
      </w:r>
      <w:r w:rsidR="0094262A" w:rsidRPr="00CD6C78">
        <w:rPr>
          <w:rFonts w:ascii="Cambria" w:hAnsi="Cambria"/>
          <w:sz w:val="20"/>
          <w:szCs w:val="20"/>
          <w:lang w:val="es-AR"/>
        </w:rPr>
        <w:t xml:space="preserve"> continúa privad</w:t>
      </w:r>
      <w:r w:rsidR="00F556E8" w:rsidRPr="00CD6C78">
        <w:rPr>
          <w:rFonts w:ascii="Cambria" w:hAnsi="Cambria"/>
          <w:sz w:val="20"/>
          <w:szCs w:val="20"/>
          <w:lang w:val="es-AR"/>
        </w:rPr>
        <w:t>a</w:t>
      </w:r>
      <w:r w:rsidR="0094262A" w:rsidRPr="00CD6C78">
        <w:rPr>
          <w:rFonts w:ascii="Cambria" w:hAnsi="Cambria"/>
          <w:sz w:val="20"/>
          <w:szCs w:val="20"/>
          <w:lang w:val="es-AR"/>
        </w:rPr>
        <w:t xml:space="preserve"> de libertad cumpliendo dicha condena.</w:t>
      </w:r>
    </w:p>
    <w:p w14:paraId="04B3D6EC" w14:textId="66B8754A" w:rsidR="0094262A" w:rsidRDefault="00F556E8" w:rsidP="0094262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b/>
          <w:bCs/>
          <w:sz w:val="20"/>
          <w:szCs w:val="20"/>
          <w:lang w:val="es-AR"/>
        </w:rPr>
      </w:pPr>
      <w:r>
        <w:rPr>
          <w:rFonts w:ascii="Cambria" w:hAnsi="Cambria"/>
          <w:sz w:val="20"/>
          <w:szCs w:val="20"/>
          <w:lang w:val="es-AR"/>
        </w:rPr>
        <w:t xml:space="preserve">Con base en </w:t>
      </w:r>
      <w:r w:rsidR="0053286F">
        <w:rPr>
          <w:rFonts w:ascii="Cambria" w:hAnsi="Cambria"/>
          <w:sz w:val="20"/>
          <w:szCs w:val="20"/>
          <w:lang w:val="es-AR"/>
        </w:rPr>
        <w:t>estos</w:t>
      </w:r>
      <w:r>
        <w:rPr>
          <w:rFonts w:ascii="Cambria" w:hAnsi="Cambria"/>
          <w:sz w:val="20"/>
          <w:szCs w:val="20"/>
          <w:lang w:val="es-AR"/>
        </w:rPr>
        <w:t xml:space="preserve"> hecho</w:t>
      </w:r>
      <w:r w:rsidR="0053286F">
        <w:rPr>
          <w:rFonts w:ascii="Cambria" w:hAnsi="Cambria"/>
          <w:sz w:val="20"/>
          <w:szCs w:val="20"/>
          <w:lang w:val="es-AR"/>
        </w:rPr>
        <w:t>s</w:t>
      </w:r>
      <w:r w:rsidR="0094262A" w:rsidRPr="0094262A">
        <w:rPr>
          <w:rFonts w:ascii="Cambria" w:hAnsi="Cambria"/>
          <w:sz w:val="20"/>
          <w:szCs w:val="20"/>
          <w:lang w:val="es-AR"/>
        </w:rPr>
        <w:t xml:space="preserve"> el peticionario alega que la admisión de la Secretaría </w:t>
      </w:r>
      <w:r w:rsidR="00DC0647">
        <w:rPr>
          <w:rFonts w:ascii="Cambria" w:hAnsi="Cambria"/>
          <w:sz w:val="20"/>
          <w:szCs w:val="20"/>
          <w:lang w:val="es-AR"/>
        </w:rPr>
        <w:t xml:space="preserve">de Derechos Humanos de la Nación </w:t>
      </w:r>
      <w:r w:rsidR="0094262A" w:rsidRPr="0094262A">
        <w:rPr>
          <w:rFonts w:ascii="Cambria" w:hAnsi="Cambria"/>
          <w:sz w:val="20"/>
          <w:szCs w:val="20"/>
          <w:lang w:val="es-AR"/>
        </w:rPr>
        <w:t xml:space="preserve">como querellante vulneró el principio de igualdad procesal, al permitir al Poder Ejecutivo intervenir como parte acusadora </w:t>
      </w:r>
      <w:r w:rsidR="00A11C09">
        <w:rPr>
          <w:rFonts w:ascii="Cambria" w:hAnsi="Cambria"/>
          <w:sz w:val="20"/>
          <w:szCs w:val="20"/>
          <w:lang w:val="es-AR"/>
        </w:rPr>
        <w:t>en una causa que no configuraba una grave violación de derechos humanos</w:t>
      </w:r>
      <w:r w:rsidR="0094262A" w:rsidRPr="0094262A">
        <w:rPr>
          <w:rFonts w:ascii="Cambria" w:hAnsi="Cambria"/>
          <w:sz w:val="20"/>
          <w:szCs w:val="20"/>
          <w:lang w:val="es-AR"/>
        </w:rPr>
        <w:t xml:space="preserve">. </w:t>
      </w:r>
      <w:r w:rsidR="00A22096">
        <w:rPr>
          <w:rFonts w:ascii="Cambria" w:hAnsi="Cambria"/>
          <w:sz w:val="20"/>
          <w:szCs w:val="20"/>
          <w:lang w:val="es-AR"/>
        </w:rPr>
        <w:t>En esa línea, a</w:t>
      </w:r>
      <w:r w:rsidR="0094262A" w:rsidRPr="0094262A">
        <w:rPr>
          <w:rFonts w:ascii="Cambria" w:hAnsi="Cambria"/>
          <w:sz w:val="20"/>
          <w:szCs w:val="20"/>
          <w:lang w:val="es-AR"/>
        </w:rPr>
        <w:t>firma que no existe norma legal que autorice su actuación como querellante en un proceso penal ordinario.</w:t>
      </w:r>
    </w:p>
    <w:p w14:paraId="57D50A5D" w14:textId="5389A61F" w:rsidR="0094262A" w:rsidRPr="00082AC0" w:rsidRDefault="0094262A" w:rsidP="0094262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b/>
          <w:bCs/>
          <w:sz w:val="20"/>
          <w:szCs w:val="20"/>
          <w:lang w:val="es-AR"/>
        </w:rPr>
      </w:pPr>
      <w:r w:rsidRPr="00082AC0">
        <w:rPr>
          <w:rFonts w:ascii="Cambria" w:hAnsi="Cambria"/>
          <w:sz w:val="20"/>
          <w:szCs w:val="20"/>
          <w:lang w:val="es-AR"/>
        </w:rPr>
        <w:t>También denuncia la influencia política y mediática sobre el caso, citando publicaciones del C</w:t>
      </w:r>
      <w:r w:rsidR="00EA7BED" w:rsidRPr="00082AC0">
        <w:rPr>
          <w:rFonts w:ascii="Cambria" w:hAnsi="Cambria"/>
          <w:sz w:val="20"/>
          <w:szCs w:val="20"/>
          <w:lang w:val="es-AR"/>
        </w:rPr>
        <w:t>entro de Estudios Legales y Sociales</w:t>
      </w:r>
      <w:r w:rsidR="000661E1" w:rsidRPr="00082AC0">
        <w:rPr>
          <w:rFonts w:ascii="Cambria" w:hAnsi="Cambria"/>
          <w:sz w:val="20"/>
          <w:szCs w:val="20"/>
          <w:lang w:val="es-AR"/>
        </w:rPr>
        <w:t xml:space="preserve"> (CELS)</w:t>
      </w:r>
      <w:r w:rsidRPr="00082AC0">
        <w:rPr>
          <w:rFonts w:ascii="Cambria" w:hAnsi="Cambria"/>
          <w:sz w:val="20"/>
          <w:szCs w:val="20"/>
          <w:lang w:val="es-AR"/>
        </w:rPr>
        <w:t xml:space="preserve"> y de</w:t>
      </w:r>
      <w:r w:rsidR="00A22096" w:rsidRPr="00082AC0">
        <w:rPr>
          <w:rFonts w:ascii="Cambria" w:hAnsi="Cambria"/>
          <w:sz w:val="20"/>
          <w:szCs w:val="20"/>
          <w:lang w:val="es-AR"/>
        </w:rPr>
        <w:t xml:space="preserve"> otras organizaciones</w:t>
      </w:r>
      <w:r w:rsidRPr="00082AC0">
        <w:rPr>
          <w:rFonts w:ascii="Cambria" w:hAnsi="Cambria"/>
          <w:sz w:val="20"/>
          <w:szCs w:val="20"/>
          <w:lang w:val="es-AR"/>
        </w:rPr>
        <w:t xml:space="preserve"> que habrían creado un entorno de condena anticipada. </w:t>
      </w:r>
      <w:r w:rsidR="00057BA7" w:rsidRPr="00082AC0">
        <w:rPr>
          <w:rFonts w:ascii="Cambria" w:hAnsi="Cambria"/>
          <w:sz w:val="20"/>
          <w:szCs w:val="20"/>
          <w:lang w:val="es-AR"/>
        </w:rPr>
        <w:t>En tal sentido, s</w:t>
      </w:r>
      <w:r w:rsidRPr="00082AC0">
        <w:rPr>
          <w:rFonts w:ascii="Cambria" w:hAnsi="Cambria"/>
          <w:sz w:val="20"/>
          <w:szCs w:val="20"/>
          <w:lang w:val="es-AR"/>
        </w:rPr>
        <w:t>ostiene que la calificación del caso</w:t>
      </w:r>
      <w:r w:rsidR="00057BA7" w:rsidRPr="00082AC0">
        <w:rPr>
          <w:rFonts w:ascii="Cambria" w:hAnsi="Cambria"/>
          <w:sz w:val="20"/>
          <w:szCs w:val="20"/>
          <w:lang w:val="es-AR"/>
        </w:rPr>
        <w:t xml:space="preserve"> </w:t>
      </w:r>
      <w:r w:rsidRPr="00082AC0">
        <w:rPr>
          <w:rFonts w:ascii="Cambria" w:hAnsi="Cambria"/>
          <w:sz w:val="20"/>
          <w:szCs w:val="20"/>
          <w:lang w:val="es-AR"/>
        </w:rPr>
        <w:t>como una grave violación de derechos humanos fue una construcción política sin sustento probatorio en el expediente judicial. Aduce que la causa fue utilizada como herramienta de presión institucional contra la Policía Metropolitana y que la actuación simultánea de la Secretaría de Derechos Humanos desnaturalizó el rol del Ministerio Público Fiscal y afectó el equilibrio procesal y la igualdad de armas.</w:t>
      </w:r>
    </w:p>
    <w:p w14:paraId="77C05C4B" w14:textId="11598305" w:rsidR="0094262A" w:rsidRPr="00891955" w:rsidRDefault="0094262A" w:rsidP="0094262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b/>
          <w:bCs/>
          <w:sz w:val="20"/>
          <w:szCs w:val="20"/>
          <w:lang w:val="es-AR"/>
        </w:rPr>
      </w:pPr>
      <w:r w:rsidRPr="0094262A">
        <w:rPr>
          <w:rFonts w:ascii="Cambria" w:hAnsi="Cambria"/>
          <w:sz w:val="20"/>
          <w:szCs w:val="20"/>
          <w:lang w:val="es-AR"/>
        </w:rPr>
        <w:lastRenderedPageBreak/>
        <w:t>En suma, el peticionario sostiene que el proceso seguido contra Enzo Fabián Álvarez careció de imparcialidad, fue instrumentalizado políticamente y se desarrolló en condiciones procesales irregulares, afectando sus derechos al debido proceso, a la defensa, a la igualdad ante la ley y a una tutela judicial efectiva, en violación de los artículos 8, 24 y 25 de la Convención Americana, en relación con su artículo 1.1. Solicita que la Comisión valore integralmente los hechos y declare la responsabilidad internacional del Estado argentino.</w:t>
      </w:r>
    </w:p>
    <w:p w14:paraId="129AF6A6" w14:textId="51A5D54A" w:rsidR="00EF76F5" w:rsidRPr="00FE12AF" w:rsidRDefault="00377D78" w:rsidP="0094262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b/>
          <w:bCs/>
          <w:sz w:val="20"/>
          <w:szCs w:val="20"/>
          <w:lang w:val="es-AR"/>
        </w:rPr>
      </w:pPr>
      <w:r w:rsidRPr="00AA4AF7">
        <w:rPr>
          <w:rFonts w:ascii="Cambria" w:hAnsi="Cambria"/>
          <w:b/>
          <w:bCs/>
          <w:sz w:val="20"/>
          <w:szCs w:val="20"/>
          <w:lang w:val="es-AR"/>
        </w:rPr>
        <w:t>E</w:t>
      </w:r>
      <w:r w:rsidR="00EF76F5" w:rsidRPr="00AA4AF7">
        <w:rPr>
          <w:rFonts w:ascii="Cambria" w:hAnsi="Cambria"/>
          <w:b/>
          <w:bCs/>
          <w:sz w:val="20"/>
          <w:szCs w:val="20"/>
          <w:lang w:val="es-AR"/>
        </w:rPr>
        <w:t>l E</w:t>
      </w:r>
      <w:r w:rsidR="00EF76F5" w:rsidRPr="00FE12AF">
        <w:rPr>
          <w:rFonts w:ascii="Cambria" w:hAnsi="Cambria"/>
          <w:b/>
          <w:bCs/>
          <w:sz w:val="20"/>
          <w:szCs w:val="20"/>
          <w:lang w:val="es-AR"/>
        </w:rPr>
        <w:t>stado</w:t>
      </w:r>
      <w:r w:rsidR="00FE12AF">
        <w:rPr>
          <w:rFonts w:ascii="Cambria" w:hAnsi="Cambria"/>
          <w:b/>
          <w:bCs/>
          <w:sz w:val="20"/>
          <w:szCs w:val="20"/>
          <w:lang w:val="es-AR"/>
        </w:rPr>
        <w:t xml:space="preserve"> argentino</w:t>
      </w:r>
    </w:p>
    <w:p w14:paraId="751A4E53" w14:textId="471E8D8F" w:rsidR="00FE12AF" w:rsidRPr="00FE12AF" w:rsidRDefault="00FE12AF" w:rsidP="00FE12A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FE12AF">
        <w:rPr>
          <w:rFonts w:ascii="Cambria" w:hAnsi="Cambria"/>
          <w:sz w:val="20"/>
          <w:szCs w:val="20"/>
          <w:lang w:val="es-PE"/>
        </w:rPr>
        <w:t>Por su parte, el Estado replica que no se agotaron adecuadamente los recursos internos, ya que los recursos extraordinarios federales y de queja interpuestos por la defensa de</w:t>
      </w:r>
      <w:r w:rsidR="00E5148D">
        <w:rPr>
          <w:rFonts w:ascii="Cambria" w:hAnsi="Cambria"/>
          <w:sz w:val="20"/>
          <w:szCs w:val="20"/>
          <w:lang w:val="es-PE"/>
        </w:rPr>
        <w:t>l Sr.</w:t>
      </w:r>
      <w:r w:rsidRPr="00FE12AF">
        <w:rPr>
          <w:rFonts w:ascii="Cambria" w:hAnsi="Cambria"/>
          <w:sz w:val="20"/>
          <w:szCs w:val="20"/>
          <w:lang w:val="es-PE"/>
        </w:rPr>
        <w:t xml:space="preserve"> Álvarez fueron rechazados por incumplimiento de los requisitos formales establecidos en las Acordadas 4/2007 y 38/2011 de la Corte Suprema de Justicia. Señala que, conforme a la jurisprudencia del sistema interamericano, los recursos deben interponerse en debida forma, y que el incumplimiento de esos requisitos impide que se tenga por satisfecho el principio de subsidiariedad del sistema interamericano.</w:t>
      </w:r>
    </w:p>
    <w:p w14:paraId="6E7879AB" w14:textId="589A3F8C" w:rsidR="00B16A8C" w:rsidRDefault="001364CD" w:rsidP="00B16A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PE"/>
        </w:rPr>
      </w:pPr>
      <w:r w:rsidRPr="009E02CF">
        <w:rPr>
          <w:rFonts w:ascii="Cambria" w:hAnsi="Cambria"/>
          <w:sz w:val="20"/>
          <w:szCs w:val="20"/>
          <w:lang w:val="es-ES_tradnl"/>
        </w:rPr>
        <w:t>Sin perjuicio de lo anterior, en caso la Comisión considere que el peticionario agotó correctamente la jurisdicción, Argentina considera que la petición seguiría siendo inadmisible, pues l</w:t>
      </w:r>
      <w:r w:rsidR="00726FC3">
        <w:rPr>
          <w:rFonts w:ascii="Cambria" w:hAnsi="Cambria"/>
          <w:sz w:val="20"/>
          <w:szCs w:val="20"/>
          <w:lang w:val="es-ES_tradnl"/>
        </w:rPr>
        <w:t>o</w:t>
      </w:r>
      <w:r w:rsidRPr="009E02CF">
        <w:rPr>
          <w:rFonts w:ascii="Cambria" w:hAnsi="Cambria"/>
          <w:sz w:val="20"/>
          <w:szCs w:val="20"/>
          <w:lang w:val="es-ES_tradnl"/>
        </w:rPr>
        <w:t>s alega</w:t>
      </w:r>
      <w:r w:rsidR="00726FC3">
        <w:rPr>
          <w:rFonts w:ascii="Cambria" w:hAnsi="Cambria"/>
          <w:sz w:val="20"/>
          <w:szCs w:val="20"/>
          <w:lang w:val="es-ES_tradnl"/>
        </w:rPr>
        <w:t>to</w:t>
      </w:r>
      <w:r w:rsidRPr="009E02CF">
        <w:rPr>
          <w:rFonts w:ascii="Cambria" w:hAnsi="Cambria"/>
          <w:sz w:val="20"/>
          <w:szCs w:val="20"/>
          <w:lang w:val="es-ES_tradnl"/>
        </w:rPr>
        <w:t xml:space="preserve">s del peticionario carecen de sustento suficiente para caracterizar una posible violación de los derechos humanos establecidos en la Convención. </w:t>
      </w:r>
    </w:p>
    <w:p w14:paraId="256B6164" w14:textId="3174BF61" w:rsidR="00FE12AF" w:rsidRPr="00FE12AF" w:rsidRDefault="00FE12AF" w:rsidP="00B16A8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PE"/>
        </w:rPr>
      </w:pPr>
      <w:r w:rsidRPr="00FE12AF">
        <w:rPr>
          <w:rFonts w:ascii="Cambria" w:hAnsi="Cambria"/>
          <w:sz w:val="20"/>
          <w:szCs w:val="20"/>
          <w:lang w:val="es-PE"/>
        </w:rPr>
        <w:t xml:space="preserve">Señala que el hecho por el cual fue condenado el señor Álvarez </w:t>
      </w:r>
      <w:r w:rsidR="00A4431A" w:rsidRPr="00A4431A">
        <w:rPr>
          <w:rFonts w:ascii="Cambria" w:hAnsi="Cambria"/>
          <w:sz w:val="20"/>
          <w:szCs w:val="20"/>
          <w:lang w:val="es-PE"/>
        </w:rPr>
        <w:t>–</w:t>
      </w:r>
      <w:r w:rsidRPr="00FE12AF">
        <w:rPr>
          <w:rFonts w:ascii="Cambria" w:hAnsi="Cambria"/>
          <w:sz w:val="20"/>
          <w:szCs w:val="20"/>
          <w:lang w:val="es-PE"/>
        </w:rPr>
        <w:t xml:space="preserve">el homicidio con arma reglamentaria de </w:t>
      </w:r>
      <w:r w:rsidR="00D7412B">
        <w:rPr>
          <w:rFonts w:ascii="Cambria" w:hAnsi="Cambria"/>
          <w:sz w:val="20"/>
          <w:szCs w:val="20"/>
          <w:lang w:val="es-PE"/>
        </w:rPr>
        <w:t>un detenido</w:t>
      </w:r>
      <w:r w:rsidRPr="00FE12AF">
        <w:rPr>
          <w:rFonts w:ascii="Cambria" w:hAnsi="Cambria"/>
          <w:sz w:val="20"/>
          <w:szCs w:val="20"/>
          <w:lang w:val="es-PE"/>
        </w:rPr>
        <w:t xml:space="preserve"> mientras este se hallaba reducido en el suelo</w:t>
      </w:r>
      <w:r w:rsidR="00A4431A" w:rsidRPr="00A4431A">
        <w:rPr>
          <w:rFonts w:ascii="Cambria" w:hAnsi="Cambria"/>
          <w:sz w:val="20"/>
          <w:szCs w:val="20"/>
          <w:lang w:val="es-PE"/>
        </w:rPr>
        <w:t>– </w:t>
      </w:r>
      <w:r w:rsidRPr="00FE12AF">
        <w:rPr>
          <w:rFonts w:ascii="Cambria" w:hAnsi="Cambria"/>
          <w:sz w:val="20"/>
          <w:szCs w:val="20"/>
          <w:lang w:val="es-PE"/>
        </w:rPr>
        <w:t>constituyó una grave violación a los derechos humanos, y que el Estado tiene la obligación jurídica de investigarlo, juzgarlo y sancionar a los responsables. En este sentido, se sostiene que la intervención de la Secretaría de Derechos Humanos como querellante fue legítima y necesaria para cumplir con el deber reforzado de investigación y sanción frente a ejecuciones extrajudiciales cometidas por agentes estatales.</w:t>
      </w:r>
    </w:p>
    <w:p w14:paraId="1A6292E1" w14:textId="77777777" w:rsidR="00FE12AF" w:rsidRPr="00FE12AF" w:rsidRDefault="00FE12AF" w:rsidP="00FE12A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FE12AF">
        <w:rPr>
          <w:rFonts w:ascii="Cambria" w:hAnsi="Cambria"/>
          <w:sz w:val="20"/>
          <w:szCs w:val="20"/>
          <w:lang w:val="es-PE"/>
        </w:rPr>
        <w:t>Asimismo, el Estado argumenta que la participación de la Secretaría de Derechos Humanos se realizó conforme al Decreto N.º 1755/2008 y la Ley de Ministerios, los cuales le asignan la facultad de intervenir judicialmente en casos que constituyan graves violaciones de derechos humanos. Sostiene que la Cámara Nacional de Casación Penal consideró válidamente que el agente policial se encontraba en “estado policial” al momento de los hechos, y que utilizó su arma reglamentaria, lo que justificaba su encuadre como un caso de interés estatal. Añade que esta participación no suplanta al Ministerio Público Fiscal ni vulnera el principio de imparcialidad, sino que responde al deber de prevención y no repetición de violaciones graves.</w:t>
      </w:r>
    </w:p>
    <w:p w14:paraId="62CBBCE6" w14:textId="080CA631" w:rsidR="00FE12AF" w:rsidRPr="00FE12AF" w:rsidRDefault="00FE12AF" w:rsidP="00FE12A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sidRPr="00FE12AF">
        <w:rPr>
          <w:rFonts w:ascii="Cambria" w:hAnsi="Cambria"/>
          <w:sz w:val="20"/>
          <w:szCs w:val="20"/>
          <w:lang w:val="es-PE"/>
        </w:rPr>
        <w:t xml:space="preserve">En cuanto a la alegada violación al derecho de defensa por negativa a interrogar testigos, </w:t>
      </w:r>
      <w:r w:rsidR="00C466A2">
        <w:rPr>
          <w:rFonts w:ascii="Cambria" w:hAnsi="Cambria"/>
          <w:sz w:val="20"/>
          <w:szCs w:val="20"/>
          <w:lang w:val="es-PE"/>
        </w:rPr>
        <w:t>Argentina</w:t>
      </w:r>
      <w:r w:rsidRPr="00FE12AF">
        <w:rPr>
          <w:rFonts w:ascii="Cambria" w:hAnsi="Cambria"/>
          <w:sz w:val="20"/>
          <w:szCs w:val="20"/>
          <w:lang w:val="es-PE"/>
        </w:rPr>
        <w:t xml:space="preserve"> subraya que el </w:t>
      </w:r>
      <w:r w:rsidR="00DE6882">
        <w:rPr>
          <w:rFonts w:ascii="Cambria" w:hAnsi="Cambria"/>
          <w:sz w:val="20"/>
          <w:szCs w:val="20"/>
          <w:lang w:val="es-PE"/>
        </w:rPr>
        <w:t>señor</w:t>
      </w:r>
      <w:r w:rsidRPr="00FE12AF">
        <w:rPr>
          <w:rFonts w:ascii="Cambria" w:hAnsi="Cambria"/>
          <w:sz w:val="20"/>
          <w:szCs w:val="20"/>
          <w:lang w:val="es-PE"/>
        </w:rPr>
        <w:t xml:space="preserve"> Álvarez sí tuvo oportunidad de ejercer plenamente su defensa en juicio oral, donde pudo ofrecer pruebas, prestar declaración, interrogar testigos y peritos, y presentar alegatos. Esto fue confirmado por la Cámara Nacional de Casación Penal el 17 de mayo de 2016, que ratificó la sentencia condenatoria del 29 de mayo de 2015, mediante la cual el Tribunal Oral en lo Criminal N.º 22 lo condenó a prisión perpetua por homicidio agravado por abuso de función policial. La Corte Suprema rechazó la queja presentada por la defensa el 27 de febrero de 2018, quedando firme la condena.</w:t>
      </w:r>
    </w:p>
    <w:p w14:paraId="65687ED2" w14:textId="220651E4" w:rsidR="00CE34C7" w:rsidRDefault="000E49F1" w:rsidP="00CE34C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r>
        <w:rPr>
          <w:rFonts w:ascii="Cambria" w:hAnsi="Cambria"/>
          <w:sz w:val="20"/>
          <w:szCs w:val="20"/>
          <w:lang w:val="es-PE"/>
        </w:rPr>
        <w:t>Asimismo,</w:t>
      </w:r>
      <w:r w:rsidR="00FE12AF" w:rsidRPr="00FE12AF">
        <w:rPr>
          <w:rFonts w:ascii="Cambria" w:hAnsi="Cambria"/>
          <w:sz w:val="20"/>
          <w:szCs w:val="20"/>
          <w:lang w:val="es-PE"/>
        </w:rPr>
        <w:t xml:space="preserve"> el Estado plantea que la petición ha perdido objeto, dado que las violaciones alegadas por el peticionario (como la supuesta falta de control de testigos) se referían a la etapa de instrucción, pero luego fueron reparadas plenamente durante el juicio oral. Además, insiste en que no existen indicios de persecución, desviación de poder o desequilibrio procesal, sino que el procedimiento penal se desarrolló respetando las garantías del debido proceso. Por ello, solicita que la Comisión proceda al archivo de la petición o, en su defecto, declare su inadmisibilidad, en aplicación de los artículos 46.1.a</w:t>
      </w:r>
      <w:r w:rsidR="000029A7">
        <w:rPr>
          <w:rFonts w:ascii="Cambria" w:hAnsi="Cambria"/>
          <w:sz w:val="20"/>
          <w:szCs w:val="20"/>
          <w:lang w:val="es-PE"/>
        </w:rPr>
        <w:t>)</w:t>
      </w:r>
      <w:r w:rsidR="00FE12AF" w:rsidRPr="00FE12AF">
        <w:rPr>
          <w:rFonts w:ascii="Cambria" w:hAnsi="Cambria"/>
          <w:sz w:val="20"/>
          <w:szCs w:val="20"/>
          <w:lang w:val="es-PE"/>
        </w:rPr>
        <w:t>, 47.b</w:t>
      </w:r>
      <w:r w:rsidR="000029A7">
        <w:rPr>
          <w:rFonts w:ascii="Cambria" w:hAnsi="Cambria"/>
          <w:sz w:val="20"/>
          <w:szCs w:val="20"/>
          <w:lang w:val="es-PE"/>
        </w:rPr>
        <w:t>)</w:t>
      </w:r>
      <w:r w:rsidR="00FE12AF" w:rsidRPr="00FE12AF">
        <w:rPr>
          <w:rFonts w:ascii="Cambria" w:hAnsi="Cambria"/>
          <w:sz w:val="20"/>
          <w:szCs w:val="20"/>
          <w:lang w:val="es-PE"/>
        </w:rPr>
        <w:t xml:space="preserve"> y 48.1.b</w:t>
      </w:r>
      <w:r w:rsidR="000029A7">
        <w:rPr>
          <w:rFonts w:ascii="Cambria" w:hAnsi="Cambria"/>
          <w:sz w:val="20"/>
          <w:szCs w:val="20"/>
          <w:lang w:val="es-PE"/>
        </w:rPr>
        <w:t>)</w:t>
      </w:r>
      <w:r w:rsidR="00FE12AF" w:rsidRPr="00FE12AF">
        <w:rPr>
          <w:rFonts w:ascii="Cambria" w:hAnsi="Cambria"/>
          <w:sz w:val="20"/>
          <w:szCs w:val="20"/>
          <w:lang w:val="es-PE"/>
        </w:rPr>
        <w:t xml:space="preserve"> de la Convención Americana sobre Derechos Humanos.</w:t>
      </w:r>
    </w:p>
    <w:p w14:paraId="35D064E8" w14:textId="77777777" w:rsidR="004A5CB8" w:rsidRDefault="004A5CB8" w:rsidP="004A5CB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p>
    <w:p w14:paraId="419AF413" w14:textId="77777777" w:rsidR="004A5CB8" w:rsidRDefault="004A5CB8" w:rsidP="004A5CB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PE"/>
        </w:rPr>
      </w:pPr>
    </w:p>
    <w:p w14:paraId="1DA3B3B2" w14:textId="2624A3E7" w:rsidR="007B5A23" w:rsidRPr="00CE34C7" w:rsidRDefault="007B5A23" w:rsidP="00CE34C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PE"/>
        </w:rPr>
      </w:pPr>
      <w:r w:rsidRPr="00CE34C7">
        <w:rPr>
          <w:rFonts w:asciiTheme="majorHAnsi" w:hAnsiTheme="majorHAnsi"/>
          <w:sz w:val="20"/>
          <w:szCs w:val="20"/>
          <w:lang w:val="es-PE"/>
        </w:rPr>
        <w:lastRenderedPageBreak/>
        <w:t xml:space="preserve">Finalmente, el Estado plantea lo que denomina “el traslado extemporáneo de la petición”. Afirma que, a pesar de que el </w:t>
      </w:r>
      <w:r w:rsidR="00CE34C7" w:rsidRPr="00CE34C7">
        <w:rPr>
          <w:rFonts w:asciiTheme="majorHAnsi" w:hAnsiTheme="majorHAnsi"/>
          <w:bCs/>
          <w:sz w:val="20"/>
          <w:szCs w:val="20"/>
          <w:lang w:val="es-PE"/>
        </w:rPr>
        <w:t>11 de marzo de 2015</w:t>
      </w:r>
      <w:r w:rsidR="00CE34C7" w:rsidRPr="00CE34C7">
        <w:rPr>
          <w:rFonts w:asciiTheme="majorHAnsi" w:hAnsiTheme="majorHAnsi"/>
          <w:sz w:val="20"/>
          <w:szCs w:val="20"/>
          <w:lang w:val="es-PE"/>
        </w:rPr>
        <w:t xml:space="preserve"> </w:t>
      </w:r>
      <w:r w:rsidRPr="00CE34C7">
        <w:rPr>
          <w:rFonts w:asciiTheme="majorHAnsi" w:hAnsiTheme="majorHAnsi"/>
          <w:sz w:val="20"/>
          <w:szCs w:val="20"/>
          <w:lang w:val="es-PE"/>
        </w:rPr>
        <w:t xml:space="preserve">la Secretaría Ejecutiva de la CIDH recibió la petición, el traslado de dicho documento recién se realizó el </w:t>
      </w:r>
      <w:r w:rsidR="00CE34C7" w:rsidRPr="00815A17">
        <w:rPr>
          <w:rFonts w:ascii="Cambria" w:hAnsi="Cambria"/>
          <w:bCs/>
          <w:sz w:val="20"/>
          <w:szCs w:val="20"/>
          <w:lang w:val="es-PE"/>
        </w:rPr>
        <w:t>27 de febrero de 2020</w:t>
      </w:r>
      <w:r w:rsidRPr="00CE34C7">
        <w:rPr>
          <w:rFonts w:asciiTheme="majorHAnsi" w:hAnsiTheme="majorHAnsi"/>
          <w:sz w:val="20"/>
          <w:szCs w:val="20"/>
          <w:lang w:val="es-PE"/>
        </w:rPr>
        <w:t>. A juicio del Estado, la demora en tramitar la petición genera una grave problemática que afecta el adecuado ejercicio de su derecho a la defensa.</w:t>
      </w:r>
    </w:p>
    <w:p w14:paraId="6F4D4171" w14:textId="0077AE1B" w:rsidR="003239B8" w:rsidRPr="00E64C3D" w:rsidRDefault="003239B8" w:rsidP="003239B8">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1F1D63A1" w14:textId="45BF6E5A" w:rsidR="00855519" w:rsidRPr="00855519" w:rsidRDefault="00855519" w:rsidP="003239B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4182B">
        <w:rPr>
          <w:rFonts w:asciiTheme="majorHAnsi" w:hAnsiTheme="majorHAnsi"/>
          <w:sz w:val="20"/>
          <w:szCs w:val="20"/>
          <w:lang w:val="es-PE"/>
        </w:rPr>
        <w:t xml:space="preserve">De acuerdo con los alegatos de la parte peticionaria, </w:t>
      </w:r>
      <w:r w:rsidR="00D7341A">
        <w:rPr>
          <w:rFonts w:asciiTheme="majorHAnsi" w:hAnsiTheme="majorHAnsi"/>
          <w:sz w:val="20"/>
          <w:szCs w:val="20"/>
          <w:lang w:val="es-PE"/>
        </w:rPr>
        <w:t>su</w:t>
      </w:r>
      <w:r w:rsidRPr="00F4182B">
        <w:rPr>
          <w:rFonts w:asciiTheme="majorHAnsi" w:hAnsiTheme="majorHAnsi"/>
          <w:sz w:val="20"/>
          <w:szCs w:val="20"/>
          <w:lang w:val="es-PE"/>
        </w:rPr>
        <w:t xml:space="preserve"> reclamo principal</w:t>
      </w:r>
      <w:r w:rsidR="00D7341A">
        <w:rPr>
          <w:rFonts w:asciiTheme="majorHAnsi" w:hAnsiTheme="majorHAnsi"/>
          <w:sz w:val="20"/>
          <w:szCs w:val="20"/>
          <w:lang w:val="es-PE"/>
        </w:rPr>
        <w:t xml:space="preserve"> </w:t>
      </w:r>
      <w:r w:rsidRPr="00F4182B">
        <w:rPr>
          <w:rFonts w:asciiTheme="majorHAnsi" w:hAnsiTheme="majorHAnsi"/>
          <w:sz w:val="20"/>
          <w:szCs w:val="20"/>
          <w:lang w:val="es-PE"/>
        </w:rPr>
        <w:t xml:space="preserve">consiste en </w:t>
      </w:r>
      <w:r>
        <w:rPr>
          <w:rFonts w:asciiTheme="majorHAnsi" w:hAnsiTheme="majorHAnsi"/>
          <w:sz w:val="20"/>
          <w:szCs w:val="20"/>
          <w:lang w:val="es-PE"/>
        </w:rPr>
        <w:t xml:space="preserve">cuestionar </w:t>
      </w:r>
      <w:r w:rsidR="00E93E7B">
        <w:rPr>
          <w:rFonts w:asciiTheme="majorHAnsi" w:hAnsiTheme="majorHAnsi"/>
          <w:sz w:val="20"/>
          <w:szCs w:val="20"/>
          <w:lang w:val="es-PE"/>
        </w:rPr>
        <w:t xml:space="preserve">i) </w:t>
      </w:r>
      <w:r>
        <w:rPr>
          <w:rFonts w:asciiTheme="majorHAnsi" w:hAnsiTheme="majorHAnsi"/>
          <w:sz w:val="20"/>
          <w:szCs w:val="20"/>
          <w:lang w:val="es-PE"/>
        </w:rPr>
        <w:t xml:space="preserve">la forma cómo se tramitó </w:t>
      </w:r>
      <w:r w:rsidR="00D7341A">
        <w:rPr>
          <w:rFonts w:asciiTheme="majorHAnsi" w:hAnsiTheme="majorHAnsi"/>
          <w:sz w:val="20"/>
          <w:szCs w:val="20"/>
          <w:lang w:val="es-PE"/>
        </w:rPr>
        <w:t>la</w:t>
      </w:r>
      <w:r>
        <w:rPr>
          <w:rFonts w:asciiTheme="majorHAnsi" w:hAnsiTheme="majorHAnsi"/>
          <w:sz w:val="20"/>
          <w:szCs w:val="20"/>
          <w:lang w:val="es-PE"/>
        </w:rPr>
        <w:t xml:space="preserve"> causa penal</w:t>
      </w:r>
      <w:r w:rsidR="00D7341A">
        <w:rPr>
          <w:rFonts w:asciiTheme="majorHAnsi" w:hAnsiTheme="majorHAnsi"/>
          <w:sz w:val="20"/>
          <w:szCs w:val="20"/>
          <w:lang w:val="es-PE"/>
        </w:rPr>
        <w:t xml:space="preserve"> del señor Álvarez</w:t>
      </w:r>
      <w:r w:rsidR="00E93E7B">
        <w:rPr>
          <w:rFonts w:asciiTheme="majorHAnsi" w:hAnsiTheme="majorHAnsi"/>
          <w:sz w:val="20"/>
          <w:szCs w:val="20"/>
          <w:lang w:val="es-PE"/>
        </w:rPr>
        <w:t xml:space="preserve"> y</w:t>
      </w:r>
      <w:r>
        <w:rPr>
          <w:rFonts w:asciiTheme="majorHAnsi" w:hAnsiTheme="majorHAnsi"/>
          <w:sz w:val="20"/>
          <w:szCs w:val="20"/>
          <w:lang w:val="es-PE"/>
        </w:rPr>
        <w:t xml:space="preserve"> </w:t>
      </w:r>
      <w:r w:rsidR="00E93E7B">
        <w:rPr>
          <w:rFonts w:asciiTheme="majorHAnsi" w:hAnsiTheme="majorHAnsi"/>
          <w:sz w:val="20"/>
          <w:szCs w:val="20"/>
          <w:lang w:val="es-PE"/>
        </w:rPr>
        <w:t xml:space="preserve">ii) </w:t>
      </w:r>
      <w:r w:rsidR="00D7341A">
        <w:rPr>
          <w:rFonts w:asciiTheme="majorHAnsi" w:hAnsiTheme="majorHAnsi"/>
          <w:sz w:val="20"/>
          <w:szCs w:val="20"/>
          <w:lang w:val="es-PE"/>
        </w:rPr>
        <w:t xml:space="preserve">su condena a prisión perpetua. </w:t>
      </w:r>
      <w:r w:rsidR="00F87E78">
        <w:rPr>
          <w:rFonts w:asciiTheme="majorHAnsi" w:hAnsiTheme="majorHAnsi"/>
          <w:sz w:val="20"/>
          <w:szCs w:val="20"/>
          <w:lang w:val="es-PE"/>
        </w:rPr>
        <w:t xml:space="preserve">A su criterio, se cumplió la regla del previo agotamiento de los recursos internos, pues </w:t>
      </w:r>
      <w:r w:rsidR="00E97798">
        <w:rPr>
          <w:rFonts w:asciiTheme="majorHAnsi" w:hAnsiTheme="majorHAnsi"/>
          <w:sz w:val="20"/>
          <w:szCs w:val="20"/>
          <w:lang w:val="es-PE"/>
        </w:rPr>
        <w:t xml:space="preserve">cuestionó a nivel judicial </w:t>
      </w:r>
      <w:r w:rsidR="007742B6">
        <w:rPr>
          <w:rFonts w:asciiTheme="majorHAnsi" w:hAnsiTheme="majorHAnsi"/>
          <w:sz w:val="20"/>
          <w:szCs w:val="20"/>
          <w:lang w:val="es-PE"/>
        </w:rPr>
        <w:t>ambos aspectos.</w:t>
      </w:r>
    </w:p>
    <w:p w14:paraId="244AC38D" w14:textId="61C9381C" w:rsidR="00CE01D4" w:rsidRPr="00CE01D4" w:rsidRDefault="00CE01D4" w:rsidP="00CE01D4">
      <w:pPr>
        <w:pStyle w:val="ListParagraph"/>
        <w:numPr>
          <w:ilvl w:val="0"/>
          <w:numId w:val="103"/>
        </w:numPr>
        <w:spacing w:before="240" w:after="240"/>
        <w:jc w:val="both"/>
        <w:rPr>
          <w:rFonts w:asciiTheme="majorHAnsi" w:hAnsiTheme="majorHAnsi"/>
          <w:b/>
          <w:sz w:val="20"/>
          <w:szCs w:val="20"/>
          <w:lang w:val="es-ES"/>
        </w:rPr>
      </w:pPr>
      <w:r w:rsidRPr="00CE01D4">
        <w:rPr>
          <w:rFonts w:asciiTheme="majorHAnsi" w:hAnsiTheme="majorHAnsi"/>
          <w:sz w:val="20"/>
          <w:szCs w:val="20"/>
          <w:lang w:val="es-PE"/>
        </w:rPr>
        <w:t xml:space="preserve">En este escenario, el Estado </w:t>
      </w:r>
      <w:r w:rsidR="007742B6">
        <w:rPr>
          <w:rFonts w:asciiTheme="majorHAnsi" w:hAnsiTheme="majorHAnsi"/>
          <w:sz w:val="20"/>
          <w:szCs w:val="20"/>
          <w:lang w:val="es-PE"/>
        </w:rPr>
        <w:t>replica</w:t>
      </w:r>
      <w:r w:rsidRPr="00CE01D4">
        <w:rPr>
          <w:rFonts w:asciiTheme="majorHAnsi" w:hAnsiTheme="majorHAnsi"/>
          <w:sz w:val="20"/>
          <w:szCs w:val="20"/>
          <w:lang w:val="es-PE"/>
        </w:rPr>
        <w:t xml:space="preserve"> que la presunta víctima no agotó los recursos de la jurisdicción interna correctamente</w:t>
      </w:r>
      <w:r w:rsidR="007A5D4F">
        <w:rPr>
          <w:rFonts w:asciiTheme="majorHAnsi" w:hAnsiTheme="majorHAnsi"/>
          <w:sz w:val="20"/>
          <w:szCs w:val="20"/>
          <w:lang w:val="es-PE"/>
        </w:rPr>
        <w:t xml:space="preserve"> respecto a la pretensión i)</w:t>
      </w:r>
      <w:r w:rsidRPr="00CE01D4">
        <w:rPr>
          <w:rFonts w:asciiTheme="majorHAnsi" w:hAnsiTheme="majorHAnsi"/>
          <w:sz w:val="20"/>
          <w:szCs w:val="20"/>
          <w:lang w:val="es-PE"/>
        </w:rPr>
        <w:t xml:space="preserve">, pues </w:t>
      </w:r>
      <w:r>
        <w:rPr>
          <w:rFonts w:asciiTheme="majorHAnsi" w:hAnsiTheme="majorHAnsi"/>
          <w:sz w:val="20"/>
          <w:szCs w:val="20"/>
          <w:lang w:val="es-PE"/>
        </w:rPr>
        <w:t xml:space="preserve">aunque interpuso un recurso extraordinario federal y luego uno de queja para controvertir la participación de </w:t>
      </w:r>
      <w:r w:rsidR="007A5D4F" w:rsidRPr="0094262A">
        <w:rPr>
          <w:sz w:val="20"/>
          <w:szCs w:val="20"/>
          <w:lang w:val="es-AR"/>
        </w:rPr>
        <w:t>Secretaría de Derechos Humanos de la Nación como parte querellante</w:t>
      </w:r>
      <w:r>
        <w:rPr>
          <w:rFonts w:asciiTheme="majorHAnsi" w:hAnsiTheme="majorHAnsi"/>
          <w:sz w:val="20"/>
          <w:szCs w:val="20"/>
          <w:lang w:val="es-PE"/>
        </w:rPr>
        <w:t xml:space="preserve">, sus escritos </w:t>
      </w:r>
      <w:r w:rsidRPr="00CE01D4">
        <w:rPr>
          <w:rFonts w:asciiTheme="majorHAnsi" w:hAnsiTheme="majorHAnsi"/>
          <w:sz w:val="20"/>
          <w:szCs w:val="20"/>
          <w:lang w:val="es-PE"/>
        </w:rPr>
        <w:t xml:space="preserve">no cumplieron con los requisitos procesales exigidos por la legislación interna. </w:t>
      </w:r>
    </w:p>
    <w:p w14:paraId="71CE7661" w14:textId="556FC258" w:rsidR="0011257D" w:rsidRPr="0011257D" w:rsidRDefault="0011257D" w:rsidP="00082AC0">
      <w:pPr>
        <w:pStyle w:val="ListParagraph"/>
        <w:numPr>
          <w:ilvl w:val="0"/>
          <w:numId w:val="103"/>
        </w:numPr>
        <w:jc w:val="both"/>
        <w:rPr>
          <w:rFonts w:eastAsia="Arial Unicode MS" w:cs="Times New Roman"/>
          <w:color w:val="auto"/>
          <w:sz w:val="20"/>
          <w:szCs w:val="20"/>
          <w:lang w:val="es-ES" w:eastAsia="en-US"/>
        </w:rPr>
      </w:pPr>
      <w:r w:rsidRPr="00932EBC">
        <w:rPr>
          <w:sz w:val="20"/>
          <w:szCs w:val="20"/>
          <w:lang w:val="es-PE"/>
        </w:rPr>
        <w:t xml:space="preserve">A pesar de lo expuesto por Argentina, la Comisión advierte que el Estado no aporta información o argumentos más exhaustivos que permitan corroborar que efectivamente </w:t>
      </w:r>
      <w:r>
        <w:rPr>
          <w:sz w:val="20"/>
          <w:szCs w:val="20"/>
          <w:lang w:val="es-PE"/>
        </w:rPr>
        <w:t>haya existido un uso indebido de la jurisdicción interna</w:t>
      </w:r>
      <w:r w:rsidR="00A55CB3">
        <w:rPr>
          <w:sz w:val="20"/>
          <w:szCs w:val="20"/>
          <w:lang w:val="es-PE"/>
        </w:rPr>
        <w:t xml:space="preserve"> respecto al citado punto</w:t>
      </w:r>
      <w:r>
        <w:rPr>
          <w:sz w:val="20"/>
          <w:szCs w:val="20"/>
          <w:lang w:val="es-PE"/>
        </w:rPr>
        <w:t xml:space="preserve">. En relación con el recurso extraordinario federal, aprecia que </w:t>
      </w:r>
      <w:r>
        <w:rPr>
          <w:sz w:val="20"/>
          <w:szCs w:val="20"/>
          <w:lang w:val="es-AR"/>
        </w:rPr>
        <w:t>la</w:t>
      </w:r>
      <w:r w:rsidRPr="00D76D56">
        <w:rPr>
          <w:sz w:val="20"/>
          <w:szCs w:val="20"/>
          <w:lang w:val="es-AR"/>
        </w:rPr>
        <w:t xml:space="preserve"> Cámara Nacional de Apelaciones en lo Contencioso Administrativo Federal</w:t>
      </w:r>
      <w:r>
        <w:rPr>
          <w:sz w:val="20"/>
          <w:szCs w:val="20"/>
          <w:lang w:val="es-AR"/>
        </w:rPr>
        <w:t xml:space="preserve"> </w:t>
      </w:r>
      <w:r w:rsidR="00082AC0">
        <w:rPr>
          <w:sz w:val="20"/>
          <w:szCs w:val="20"/>
          <w:lang w:val="es-AR"/>
        </w:rPr>
        <w:t>no lo rechazo por incumplir las reglas procesales o por un indebido uso de los recursos internos, sino</w:t>
      </w:r>
      <w:r>
        <w:rPr>
          <w:sz w:val="20"/>
          <w:szCs w:val="20"/>
          <w:lang w:val="es-AR"/>
        </w:rPr>
        <w:t xml:space="preserve"> por cuestiones sustantivas, reiterando los argumentos empleados por las instancias previas.</w:t>
      </w:r>
      <w:r w:rsidR="00082AC0">
        <w:rPr>
          <w:sz w:val="20"/>
          <w:szCs w:val="20"/>
          <w:lang w:val="es-AR"/>
        </w:rPr>
        <w:t xml:space="preserve"> </w:t>
      </w:r>
    </w:p>
    <w:p w14:paraId="2DB53658" w14:textId="77777777" w:rsidR="002B5729" w:rsidRPr="002B5729" w:rsidRDefault="0011257D" w:rsidP="002B5729">
      <w:pPr>
        <w:pStyle w:val="ListParagraph"/>
        <w:numPr>
          <w:ilvl w:val="0"/>
          <w:numId w:val="103"/>
        </w:numPr>
        <w:spacing w:before="240" w:after="240"/>
        <w:jc w:val="both"/>
        <w:rPr>
          <w:rFonts w:asciiTheme="majorHAnsi" w:hAnsiTheme="majorHAnsi"/>
          <w:b/>
          <w:sz w:val="20"/>
          <w:szCs w:val="20"/>
          <w:lang w:val="es-ES"/>
        </w:rPr>
      </w:pPr>
      <w:r>
        <w:rPr>
          <w:rFonts w:eastAsia="Arial Unicode MS" w:cs="Times New Roman"/>
          <w:color w:val="auto"/>
          <w:sz w:val="20"/>
          <w:szCs w:val="20"/>
          <w:lang w:val="es-ES" w:eastAsia="en-US"/>
        </w:rPr>
        <w:t xml:space="preserve">En cuanto al recuro de queja, la Comisión aprecia que la Corte Suprema de Justicia lo desestimó por un formalismo referido al número de páginas del escrito y la cantidad de copias. </w:t>
      </w:r>
      <w:r w:rsidRPr="00000DEA">
        <w:rPr>
          <w:rFonts w:eastAsia="Arial Unicode MS" w:cs="Times New Roman"/>
          <w:color w:val="auto"/>
          <w:sz w:val="20"/>
          <w:szCs w:val="20"/>
          <w:lang w:val="es-PE" w:eastAsia="en-US"/>
        </w:rPr>
        <w:t>La CIDH ha establecido anteriormente que “</w:t>
      </w:r>
      <w:r w:rsidRPr="00000DEA">
        <w:rPr>
          <w:rFonts w:eastAsia="Arial Unicode MS" w:cs="Times New Roman"/>
          <w:i/>
          <w:iCs/>
          <w:color w:val="auto"/>
          <w:sz w:val="20"/>
          <w:szCs w:val="20"/>
          <w:lang w:val="es-PE" w:eastAsia="en-US"/>
        </w:rPr>
        <w:t>no puede considerar que el peticionario ha cumplido debidamente con el requisito del agotamiento previo de los recursos internos si los mismos han sido rechazados con fundamentos procesales razonables y no arbitrarios</w:t>
      </w:r>
      <w:r w:rsidRPr="00000DEA">
        <w:rPr>
          <w:rFonts w:eastAsia="Arial Unicode MS" w:cs="Times New Roman"/>
          <w:color w:val="auto"/>
          <w:sz w:val="20"/>
          <w:szCs w:val="20"/>
          <w:lang w:val="es-PE" w:eastAsia="en-US"/>
        </w:rPr>
        <w:t>”</w:t>
      </w:r>
      <w:r>
        <w:rPr>
          <w:rStyle w:val="FootnoteReference"/>
          <w:rFonts w:eastAsia="Arial Unicode MS" w:cs="Times New Roman"/>
          <w:color w:val="auto"/>
          <w:sz w:val="20"/>
          <w:szCs w:val="20"/>
          <w:lang w:val="es-PE" w:eastAsia="en-US"/>
        </w:rPr>
        <w:footnoteReference w:id="6"/>
      </w:r>
      <w:r>
        <w:rPr>
          <w:rFonts w:eastAsia="Arial Unicode MS" w:cs="Times New Roman"/>
          <w:color w:val="auto"/>
          <w:sz w:val="20"/>
          <w:szCs w:val="20"/>
          <w:lang w:val="es-PE" w:eastAsia="en-US"/>
        </w:rPr>
        <w:t xml:space="preserve">. </w:t>
      </w:r>
      <w:r w:rsidRPr="00000DEA">
        <w:rPr>
          <w:rFonts w:eastAsia="Arial Unicode MS" w:cs="Times New Roman"/>
          <w:color w:val="auto"/>
          <w:sz w:val="20"/>
          <w:szCs w:val="20"/>
          <w:lang w:val="es-PE" w:eastAsia="en-US"/>
        </w:rPr>
        <w:t xml:space="preserve">En el presente asunto, la Comisión Interamericana nota </w:t>
      </w:r>
      <w:r w:rsidR="00BC1D61">
        <w:rPr>
          <w:rFonts w:eastAsia="Arial Unicode MS" w:cs="Times New Roman"/>
          <w:color w:val="auto"/>
          <w:sz w:val="20"/>
          <w:szCs w:val="20"/>
          <w:lang w:val="es-PE" w:eastAsia="en-US"/>
        </w:rPr>
        <w:t xml:space="preserve">de acuerdo con sus precedentes </w:t>
      </w:r>
      <w:r w:rsidRPr="00000DEA">
        <w:rPr>
          <w:rFonts w:eastAsia="Arial Unicode MS" w:cs="Times New Roman"/>
          <w:color w:val="auto"/>
          <w:sz w:val="20"/>
          <w:szCs w:val="20"/>
          <w:lang w:val="es-PE" w:eastAsia="en-US"/>
        </w:rPr>
        <w:t xml:space="preserve">la información no resulta suficiente para desacreditar </w:t>
      </w:r>
      <w:r>
        <w:rPr>
          <w:rFonts w:eastAsia="Arial Unicode MS" w:cs="Times New Roman"/>
          <w:color w:val="auto"/>
          <w:sz w:val="20"/>
          <w:szCs w:val="20"/>
          <w:lang w:val="es-PE" w:eastAsia="en-US"/>
        </w:rPr>
        <w:t>la</w:t>
      </w:r>
      <w:r w:rsidRPr="00000DEA">
        <w:rPr>
          <w:rFonts w:eastAsia="Arial Unicode MS" w:cs="Times New Roman"/>
          <w:color w:val="auto"/>
          <w:sz w:val="20"/>
          <w:szCs w:val="20"/>
          <w:lang w:val="es-PE" w:eastAsia="en-US"/>
        </w:rPr>
        <w:t xml:space="preserve"> interposición de</w:t>
      </w:r>
      <w:r>
        <w:rPr>
          <w:rFonts w:eastAsia="Arial Unicode MS" w:cs="Times New Roman"/>
          <w:color w:val="auto"/>
          <w:sz w:val="20"/>
          <w:szCs w:val="20"/>
          <w:lang w:val="es-PE" w:eastAsia="en-US"/>
        </w:rPr>
        <w:t>l</w:t>
      </w:r>
      <w:r w:rsidRPr="00000DEA">
        <w:rPr>
          <w:rFonts w:eastAsia="Arial Unicode MS" w:cs="Times New Roman"/>
          <w:color w:val="auto"/>
          <w:sz w:val="20"/>
          <w:szCs w:val="20"/>
          <w:lang w:val="es-PE" w:eastAsia="en-US"/>
        </w:rPr>
        <w:t xml:space="preserve"> recurso de queja como </w:t>
      </w:r>
      <w:r>
        <w:rPr>
          <w:rFonts w:eastAsia="Arial Unicode MS" w:cs="Times New Roman"/>
          <w:color w:val="auto"/>
          <w:sz w:val="20"/>
          <w:szCs w:val="20"/>
          <w:lang w:val="es-PE" w:eastAsia="en-US"/>
        </w:rPr>
        <w:t>una vía</w:t>
      </w:r>
      <w:r w:rsidRPr="00000DEA">
        <w:rPr>
          <w:rFonts w:eastAsia="Arial Unicode MS" w:cs="Times New Roman"/>
          <w:color w:val="auto"/>
          <w:sz w:val="20"/>
          <w:szCs w:val="20"/>
          <w:lang w:val="es-PE" w:eastAsia="en-US"/>
        </w:rPr>
        <w:t xml:space="preserve"> válidamente agotad</w:t>
      </w:r>
      <w:r w:rsidR="00614E9F">
        <w:rPr>
          <w:rFonts w:eastAsia="Arial Unicode MS" w:cs="Times New Roman"/>
          <w:color w:val="auto"/>
          <w:sz w:val="20"/>
          <w:szCs w:val="20"/>
          <w:lang w:val="es-PE" w:eastAsia="en-US"/>
        </w:rPr>
        <w:t>a</w:t>
      </w:r>
      <w:r w:rsidR="00306BDC">
        <w:rPr>
          <w:rFonts w:eastAsia="Arial Unicode MS" w:cs="Times New Roman"/>
          <w:color w:val="auto"/>
          <w:sz w:val="20"/>
          <w:szCs w:val="20"/>
          <w:lang w:val="es-PE" w:eastAsia="en-US"/>
        </w:rPr>
        <w:t>,</w:t>
      </w:r>
      <w:r w:rsidR="00614E9F">
        <w:rPr>
          <w:rFonts w:eastAsia="Arial Unicode MS" w:cs="Times New Roman"/>
          <w:color w:val="auto"/>
          <w:sz w:val="20"/>
          <w:szCs w:val="20"/>
          <w:lang w:val="es-PE" w:eastAsia="en-US"/>
        </w:rPr>
        <w:t xml:space="preserve"> </w:t>
      </w:r>
      <w:r w:rsidR="00BC1D61">
        <w:rPr>
          <w:rFonts w:eastAsia="Arial Unicode MS" w:cs="Times New Roman"/>
          <w:color w:val="auto"/>
          <w:sz w:val="20"/>
          <w:szCs w:val="20"/>
          <w:lang w:val="es-PE" w:eastAsia="en-US"/>
        </w:rPr>
        <w:t>toda vez que está en controversia la compatibilidad del citado formalismo con las normas de la Convención Americana</w:t>
      </w:r>
      <w:r w:rsidR="00F66B7E">
        <w:rPr>
          <w:rStyle w:val="FootnoteReference"/>
          <w:sz w:val="20"/>
          <w:szCs w:val="20"/>
          <w:lang w:val="es-PE"/>
        </w:rPr>
        <w:footnoteReference w:id="7"/>
      </w:r>
      <w:r w:rsidR="00BC1D61">
        <w:rPr>
          <w:rFonts w:eastAsia="Arial Unicode MS" w:cs="Times New Roman"/>
          <w:color w:val="auto"/>
          <w:sz w:val="20"/>
          <w:szCs w:val="20"/>
          <w:lang w:val="es-PE" w:eastAsia="en-US"/>
        </w:rPr>
        <w:t xml:space="preserve">. </w:t>
      </w:r>
    </w:p>
    <w:p w14:paraId="52ED52D3" w14:textId="175B0FC2" w:rsidR="002B5729" w:rsidRPr="002B5729" w:rsidRDefault="002B5729" w:rsidP="002B5729">
      <w:pPr>
        <w:pStyle w:val="ListParagraph"/>
        <w:numPr>
          <w:ilvl w:val="0"/>
          <w:numId w:val="103"/>
        </w:numPr>
        <w:spacing w:before="240" w:after="240"/>
        <w:jc w:val="both"/>
        <w:rPr>
          <w:rFonts w:asciiTheme="majorHAnsi" w:hAnsiTheme="majorHAnsi"/>
          <w:b/>
          <w:sz w:val="20"/>
          <w:szCs w:val="20"/>
          <w:lang w:val="es-ES"/>
        </w:rPr>
      </w:pPr>
      <w:r w:rsidRPr="002B5729">
        <w:rPr>
          <w:sz w:val="20"/>
          <w:szCs w:val="20"/>
          <w:lang w:val="es-PE"/>
        </w:rPr>
        <w:t xml:space="preserve">Por las razones expuestas, la Comisión considera que el presente extremo de la petición cumple el requisito previsto en el artículo 46.1.a) de la Convención Americana. Asimismo, dado que la petición se presentó el </w:t>
      </w:r>
      <w:r w:rsidRPr="002B5729">
        <w:rPr>
          <w:bCs/>
          <w:sz w:val="20"/>
          <w:szCs w:val="20"/>
          <w:lang w:val="es-PE"/>
        </w:rPr>
        <w:t>11 de marzo de 2015</w:t>
      </w:r>
      <w:r w:rsidRPr="002B5729">
        <w:rPr>
          <w:sz w:val="20"/>
          <w:szCs w:val="20"/>
          <w:lang w:val="es-PE"/>
        </w:rPr>
        <w:t xml:space="preserve">, y que la sentencia de la Corte Suprema de Justicia que rechazó el recurso de queja se emitió el </w:t>
      </w:r>
      <w:r w:rsidRPr="002B5729">
        <w:rPr>
          <w:sz w:val="20"/>
          <w:szCs w:val="20"/>
          <w:lang w:val="es-AR"/>
        </w:rPr>
        <w:t>4 de noviembre de 2014, esta petición también satisface la regla de</w:t>
      </w:r>
      <w:r w:rsidR="006E7A00">
        <w:rPr>
          <w:sz w:val="20"/>
          <w:szCs w:val="20"/>
          <w:lang w:val="es-AR"/>
        </w:rPr>
        <w:t>l</w:t>
      </w:r>
      <w:r w:rsidRPr="002B5729">
        <w:rPr>
          <w:sz w:val="20"/>
          <w:szCs w:val="20"/>
          <w:lang w:val="es-AR"/>
        </w:rPr>
        <w:t xml:space="preserve"> plazo</w:t>
      </w:r>
      <w:r w:rsidR="006E7A00">
        <w:rPr>
          <w:sz w:val="20"/>
          <w:szCs w:val="20"/>
          <w:lang w:val="es-AR"/>
        </w:rPr>
        <w:t xml:space="preserve"> de </w:t>
      </w:r>
      <w:r w:rsidR="00082AC0">
        <w:rPr>
          <w:sz w:val="20"/>
          <w:szCs w:val="20"/>
          <w:lang w:val="es-AR"/>
        </w:rPr>
        <w:t xml:space="preserve">presentación </w:t>
      </w:r>
      <w:r w:rsidR="00082AC0" w:rsidRPr="002B5729">
        <w:rPr>
          <w:sz w:val="20"/>
          <w:szCs w:val="20"/>
          <w:lang w:val="es-AR"/>
        </w:rPr>
        <w:t>contemplado</w:t>
      </w:r>
      <w:r w:rsidRPr="002B5729">
        <w:rPr>
          <w:sz w:val="20"/>
          <w:szCs w:val="20"/>
          <w:lang w:val="es-AR"/>
        </w:rPr>
        <w:t xml:space="preserve"> en la disposición 46.1.b) del mismo tratado.  </w:t>
      </w:r>
    </w:p>
    <w:p w14:paraId="22EE8A79" w14:textId="3C32AE0B" w:rsidR="002B5729" w:rsidRPr="001261E1" w:rsidRDefault="002B5729" w:rsidP="002B5729">
      <w:pPr>
        <w:pStyle w:val="ListParagraph"/>
        <w:numPr>
          <w:ilvl w:val="0"/>
          <w:numId w:val="103"/>
        </w:numPr>
        <w:jc w:val="both"/>
        <w:rPr>
          <w:sz w:val="20"/>
          <w:szCs w:val="20"/>
          <w:lang w:val="es-PE"/>
        </w:rPr>
      </w:pPr>
      <w:r>
        <w:rPr>
          <w:sz w:val="20"/>
          <w:szCs w:val="20"/>
          <w:lang w:val="es-AR"/>
        </w:rPr>
        <w:t>En cuanto a los cuestionamientos hacia</w:t>
      </w:r>
      <w:r w:rsidR="00C612AD">
        <w:rPr>
          <w:sz w:val="20"/>
          <w:szCs w:val="20"/>
          <w:lang w:val="es-AR"/>
        </w:rPr>
        <w:t xml:space="preserve"> (</w:t>
      </w:r>
      <w:r w:rsidR="00A55CB3">
        <w:rPr>
          <w:sz w:val="20"/>
          <w:szCs w:val="20"/>
          <w:lang w:val="es-AR"/>
        </w:rPr>
        <w:t xml:space="preserve">ii) </w:t>
      </w:r>
      <w:r>
        <w:rPr>
          <w:sz w:val="20"/>
          <w:szCs w:val="20"/>
          <w:lang w:val="es-AR"/>
        </w:rPr>
        <w:t xml:space="preserve">la condena a prisión perpetua del señor Álvarez, la Comisión también nota que la presunta víctima cumplió con controvertir tal determinación judicialmente, mientras la presente petición estaba bajo estudio de admisibilidad. Tomando en cuenta </w:t>
      </w:r>
      <w:r w:rsidR="00DD36ED">
        <w:rPr>
          <w:sz w:val="20"/>
          <w:szCs w:val="20"/>
          <w:lang w:val="es-AR"/>
        </w:rPr>
        <w:t xml:space="preserve">además </w:t>
      </w:r>
      <w:r>
        <w:rPr>
          <w:sz w:val="20"/>
          <w:szCs w:val="20"/>
          <w:lang w:val="es-AR"/>
        </w:rPr>
        <w:t xml:space="preserve">que el Estado no presenta contrargumentos sobre este punto, la Comisión también concluye que este punto también los requisitos previstos en los artículos 46.1.a) y b) de la Convención Americana. </w:t>
      </w:r>
    </w:p>
    <w:p w14:paraId="090C1CDA" w14:textId="77777777" w:rsidR="001261E1" w:rsidRDefault="001261E1" w:rsidP="001261E1">
      <w:pPr>
        <w:jc w:val="both"/>
        <w:rPr>
          <w:sz w:val="20"/>
          <w:szCs w:val="20"/>
          <w:lang w:val="es-PE"/>
        </w:rPr>
      </w:pPr>
    </w:p>
    <w:p w14:paraId="5D673399" w14:textId="77777777" w:rsidR="001261E1" w:rsidRDefault="001261E1" w:rsidP="001261E1">
      <w:pPr>
        <w:jc w:val="both"/>
        <w:rPr>
          <w:sz w:val="20"/>
          <w:szCs w:val="20"/>
          <w:lang w:val="es-PE"/>
        </w:rPr>
      </w:pPr>
    </w:p>
    <w:p w14:paraId="5D1A56F6" w14:textId="77777777" w:rsidR="001261E1" w:rsidRDefault="001261E1" w:rsidP="001261E1">
      <w:pPr>
        <w:jc w:val="both"/>
        <w:rPr>
          <w:sz w:val="20"/>
          <w:szCs w:val="20"/>
          <w:lang w:val="es-PE"/>
        </w:rPr>
      </w:pPr>
    </w:p>
    <w:p w14:paraId="151785CC" w14:textId="77777777" w:rsidR="001261E1" w:rsidRDefault="001261E1" w:rsidP="001261E1">
      <w:pPr>
        <w:jc w:val="both"/>
        <w:rPr>
          <w:sz w:val="20"/>
          <w:szCs w:val="20"/>
          <w:lang w:val="es-PE"/>
        </w:rPr>
      </w:pPr>
    </w:p>
    <w:p w14:paraId="0D856CE2" w14:textId="77777777" w:rsidR="001261E1" w:rsidRDefault="001261E1" w:rsidP="001261E1">
      <w:pPr>
        <w:jc w:val="both"/>
        <w:rPr>
          <w:sz w:val="20"/>
          <w:szCs w:val="20"/>
          <w:lang w:val="es-PE"/>
        </w:rPr>
      </w:pPr>
    </w:p>
    <w:p w14:paraId="1878C846" w14:textId="77777777" w:rsidR="001261E1" w:rsidRDefault="001261E1" w:rsidP="001261E1">
      <w:pPr>
        <w:jc w:val="both"/>
        <w:rPr>
          <w:sz w:val="20"/>
          <w:szCs w:val="20"/>
          <w:lang w:val="es-PE"/>
        </w:rPr>
      </w:pPr>
    </w:p>
    <w:p w14:paraId="6524C9ED" w14:textId="6CB95A93" w:rsidR="009B0386" w:rsidRPr="00092946" w:rsidRDefault="009B0386" w:rsidP="009B0386">
      <w:pPr>
        <w:pStyle w:val="ListParagraph"/>
        <w:numPr>
          <w:ilvl w:val="0"/>
          <w:numId w:val="103"/>
        </w:numPr>
        <w:jc w:val="both"/>
        <w:rPr>
          <w:rFonts w:eastAsia="Arial Unicode MS" w:cs="Times New Roman"/>
          <w:color w:val="auto"/>
          <w:sz w:val="20"/>
          <w:szCs w:val="20"/>
          <w:lang w:val="es-PE" w:eastAsia="en-US"/>
        </w:rPr>
      </w:pPr>
      <w:r>
        <w:rPr>
          <w:sz w:val="20"/>
          <w:szCs w:val="20"/>
          <w:lang w:val="es-PE"/>
        </w:rPr>
        <w:lastRenderedPageBreak/>
        <w:t xml:space="preserve">Por último, </w:t>
      </w:r>
      <w:r>
        <w:rPr>
          <w:sz w:val="20"/>
          <w:szCs w:val="20"/>
          <w:lang w:val="es-ES_tradnl"/>
        </w:rPr>
        <w:t>la</w:t>
      </w:r>
      <w:r w:rsidRPr="00092946">
        <w:rPr>
          <w:sz w:val="20"/>
          <w:szCs w:val="20"/>
          <w:lang w:val="es-ES_tradnl"/>
        </w:rPr>
        <w:t xml:space="preserve"> Comisión toma nota del reclamo del Estado sobre la supuesta extemporaneidad en el traslado de la petición. La CIDH señala al respecto que ni la Convención Americana ni el Reglamento de la Comisión establecen un plazo para el traslado de una petición al Estado a partir de su recepción y que los plazos establecidos en el Reglamento y en la Convención para otras etapas del trámite no son aplicables por analogía</w:t>
      </w:r>
      <w:r w:rsidRPr="00A11B3B">
        <w:rPr>
          <w:vertAlign w:val="superscript"/>
        </w:rPr>
        <w:footnoteReference w:id="8"/>
      </w:r>
      <w:r w:rsidRPr="00092946">
        <w:rPr>
          <w:sz w:val="20"/>
          <w:szCs w:val="20"/>
          <w:lang w:val="es-ES_tradnl"/>
        </w:rPr>
        <w:t>. Asimismo, la CIDH en su Informe de Admisibilidad No. 79/08</w:t>
      </w:r>
      <w:r w:rsidRPr="00A11B3B">
        <w:rPr>
          <w:rStyle w:val="FootnoteReference"/>
          <w:sz w:val="20"/>
          <w:szCs w:val="20"/>
          <w:lang w:val="es-ES_tradnl"/>
        </w:rPr>
        <w:footnoteReference w:id="9"/>
      </w:r>
      <w:r w:rsidRPr="00092946">
        <w:rPr>
          <w:sz w:val="20"/>
          <w:szCs w:val="20"/>
          <w:lang w:val="es-ES_tradnl"/>
        </w:rPr>
        <w:t>, aclaró que:</w:t>
      </w:r>
    </w:p>
    <w:p w14:paraId="4F6381F5" w14:textId="77777777" w:rsidR="009B0386" w:rsidRDefault="009B0386" w:rsidP="009B0386">
      <w:pPr>
        <w:jc w:val="both"/>
        <w:rPr>
          <w:sz w:val="20"/>
          <w:szCs w:val="20"/>
          <w:lang w:val="es-PE"/>
        </w:rPr>
      </w:pPr>
    </w:p>
    <w:p w14:paraId="377D6D52" w14:textId="77777777" w:rsidR="009B0386" w:rsidRPr="00092946" w:rsidRDefault="009B0386" w:rsidP="00390CCF">
      <w:pPr>
        <w:ind w:left="720" w:right="720"/>
        <w:jc w:val="both"/>
        <w:rPr>
          <w:sz w:val="18"/>
          <w:szCs w:val="18"/>
          <w:lang w:val="es-PE"/>
        </w:rPr>
      </w:pPr>
      <w:r w:rsidRPr="00092946">
        <w:rPr>
          <w:rFonts w:ascii="Cambria" w:hAnsi="Cambria"/>
          <w:sz w:val="18"/>
          <w:szCs w:val="18"/>
          <w:lang w:val="es-ES_tradnl"/>
        </w:rPr>
        <w:t>el tiempo transcurrido desde que la Comisión recibe una denuncia hasta que la traslada al Estado, de acuerdo con las normas del sistema interamericano de derechos humanos, no es, por sí solo, motivo para que se decida archivar la petición. Como ha señalado esta Comisión, “</w:t>
      </w:r>
      <w:r w:rsidRPr="00092946">
        <w:rPr>
          <w:rFonts w:ascii="Cambria" w:hAnsi="Cambria"/>
          <w:i/>
          <w:iCs/>
          <w:sz w:val="18"/>
          <w:szCs w:val="18"/>
          <w:lang w:val="es-ES_tradnl"/>
        </w:rPr>
        <w:t>en la tramitación de casos individuales ante la Comisión, no existe el concepto de caducidad de instancia como una medida ipso jure, por el mero transcurso del tiempo</w:t>
      </w:r>
      <w:r w:rsidRPr="00092946">
        <w:rPr>
          <w:rFonts w:ascii="Cambria" w:hAnsi="Cambria"/>
          <w:sz w:val="18"/>
          <w:szCs w:val="18"/>
          <w:lang w:val="es-ES_tradnl"/>
        </w:rPr>
        <w:t xml:space="preserve">” </w:t>
      </w:r>
    </w:p>
    <w:p w14:paraId="61D7AA0B" w14:textId="77777777" w:rsidR="009B0386" w:rsidRPr="00092946" w:rsidRDefault="009B0386" w:rsidP="009B0386">
      <w:pPr>
        <w:jc w:val="both"/>
        <w:rPr>
          <w:sz w:val="20"/>
          <w:szCs w:val="20"/>
          <w:lang w:val="es-PE"/>
        </w:rPr>
      </w:pPr>
    </w:p>
    <w:p w14:paraId="29A35E3C" w14:textId="77777777" w:rsidR="009B0386" w:rsidRPr="00092946" w:rsidRDefault="009B0386" w:rsidP="009B0386">
      <w:pPr>
        <w:pStyle w:val="ListParagraph"/>
        <w:numPr>
          <w:ilvl w:val="0"/>
          <w:numId w:val="103"/>
        </w:numPr>
        <w:jc w:val="both"/>
        <w:rPr>
          <w:rFonts w:eastAsia="Arial Unicode MS" w:cs="Times New Roman"/>
          <w:color w:val="auto"/>
          <w:sz w:val="20"/>
          <w:szCs w:val="20"/>
          <w:lang w:val="es-PE" w:eastAsia="en-US"/>
        </w:rPr>
      </w:pPr>
      <w:r w:rsidRPr="00092946">
        <w:rPr>
          <w:sz w:val="20"/>
          <w:szCs w:val="20"/>
          <w:lang w:val="es-US"/>
        </w:rPr>
        <w:t>Asimismo, en refuerzo de lo anterior, la Corte Interamericana de Derechos Humanos ha establecido precisamente respecto a este punto que:</w:t>
      </w:r>
    </w:p>
    <w:p w14:paraId="7B62EF65" w14:textId="77777777" w:rsidR="009B0386" w:rsidRPr="00092946" w:rsidRDefault="009B0386" w:rsidP="00390CCF">
      <w:pPr>
        <w:suppressAutoHyphens/>
        <w:spacing w:before="240" w:after="240"/>
        <w:ind w:left="720" w:right="720"/>
        <w:jc w:val="both"/>
        <w:rPr>
          <w:rFonts w:ascii="Cambria" w:hAnsi="Cambria"/>
          <w:sz w:val="18"/>
          <w:szCs w:val="18"/>
          <w:lang w:val="es-US"/>
        </w:rPr>
      </w:pPr>
      <w:r w:rsidRPr="00092946">
        <w:rPr>
          <w:rFonts w:ascii="Cambria" w:hAnsi="Cambria"/>
          <w:sz w:val="18"/>
          <w:szCs w:val="18"/>
          <w:lang w:val="es-US"/>
        </w:rPr>
        <w:t>Esta Corte considera que el criterio de razonabilidad, con base al cual se deben aplicar las normas procedimentales, implica que un plazo como el que propone el Estado tendría que estar dispuesto claramente en las normas que rigen el procedimiento. Esto es particularmente así considerando que se estaría poniendo en juego el derecho de petición de las presuntas víctimas, establecido en el artículo 44 de la Convención, por acciones u omisiones de la Comisión Interamericana sobre las cuales las presuntas víctimas no tienen ningún tipo de control</w:t>
      </w:r>
      <w:r w:rsidRPr="00092946">
        <w:rPr>
          <w:rStyle w:val="FootnoteReference"/>
          <w:rFonts w:ascii="Cambria" w:hAnsi="Cambria"/>
          <w:sz w:val="18"/>
          <w:szCs w:val="18"/>
          <w:lang w:val="es-US"/>
        </w:rPr>
        <w:footnoteReference w:id="10"/>
      </w:r>
      <w:r w:rsidRPr="00092946">
        <w:rPr>
          <w:rFonts w:ascii="Cambria" w:hAnsi="Cambria"/>
          <w:sz w:val="18"/>
          <w:szCs w:val="18"/>
          <w:lang w:val="es-US"/>
        </w:rPr>
        <w:t>.</w:t>
      </w:r>
    </w:p>
    <w:p w14:paraId="0F30FB49" w14:textId="090B5DF8" w:rsidR="009B0386" w:rsidRPr="009B0386" w:rsidRDefault="009B0386" w:rsidP="009B0386">
      <w:pPr>
        <w:pStyle w:val="ListParagraph"/>
        <w:numPr>
          <w:ilvl w:val="0"/>
          <w:numId w:val="103"/>
        </w:numPr>
        <w:jc w:val="both"/>
        <w:rPr>
          <w:rFonts w:eastAsia="Arial Unicode MS" w:cs="Times New Roman"/>
          <w:color w:val="auto"/>
          <w:sz w:val="20"/>
          <w:szCs w:val="20"/>
          <w:lang w:val="es-PE" w:eastAsia="en-US"/>
        </w:rPr>
      </w:pPr>
      <w:r w:rsidRPr="00A11B3B">
        <w:rPr>
          <w:sz w:val="20"/>
          <w:szCs w:val="20"/>
          <w:lang w:val="es-US"/>
        </w:rPr>
        <w:t>En este sentido, la Comisión Interamericana reitera su compromiso con las víctimas, en función del cual realiza constantes esfuerzos para garantizar en todo momento la razonabilidad de los plazos en la tramitación de sus procesos; y el adecuado equilibrio entre la justicia y la seguridad jurídica.</w:t>
      </w:r>
    </w:p>
    <w:p w14:paraId="4FFBE378" w14:textId="6FA4E74F" w:rsidR="003239B8" w:rsidRPr="00CE01D4" w:rsidRDefault="003239B8" w:rsidP="00CE01D4">
      <w:pPr>
        <w:pStyle w:val="ListParagraph"/>
        <w:spacing w:before="240" w:after="240"/>
        <w:jc w:val="both"/>
        <w:rPr>
          <w:rFonts w:asciiTheme="majorHAnsi" w:hAnsiTheme="majorHAnsi"/>
          <w:b/>
          <w:sz w:val="20"/>
          <w:szCs w:val="20"/>
          <w:lang w:val="es-ES"/>
        </w:rPr>
      </w:pPr>
      <w:r w:rsidRPr="00CE01D4">
        <w:rPr>
          <w:rFonts w:asciiTheme="majorHAnsi" w:hAnsiTheme="majorHAnsi"/>
          <w:b/>
          <w:bCs/>
          <w:sz w:val="20"/>
          <w:szCs w:val="20"/>
          <w:lang w:val="es-ES"/>
        </w:rPr>
        <w:t>VII.</w:t>
      </w:r>
      <w:r w:rsidRPr="00CE01D4">
        <w:rPr>
          <w:rFonts w:asciiTheme="majorHAnsi" w:hAnsiTheme="majorHAnsi"/>
          <w:b/>
          <w:bCs/>
          <w:sz w:val="20"/>
          <w:szCs w:val="20"/>
          <w:lang w:val="es-ES"/>
        </w:rPr>
        <w:tab/>
      </w:r>
      <w:r w:rsidR="004A6A54" w:rsidRPr="00CE01D4">
        <w:rPr>
          <w:rFonts w:asciiTheme="majorHAnsi" w:hAnsiTheme="majorHAnsi"/>
          <w:b/>
          <w:bCs/>
          <w:sz w:val="20"/>
          <w:szCs w:val="20"/>
          <w:lang w:val="es-ES_tradnl"/>
        </w:rPr>
        <w:t xml:space="preserve">ANÁLISIS DE </w:t>
      </w:r>
      <w:r w:rsidR="00C21FEF" w:rsidRPr="00CE01D4">
        <w:rPr>
          <w:rFonts w:asciiTheme="majorHAnsi" w:hAnsiTheme="majorHAnsi"/>
          <w:b/>
          <w:bCs/>
          <w:sz w:val="20"/>
          <w:szCs w:val="20"/>
          <w:lang w:val="es-ES"/>
        </w:rPr>
        <w:t xml:space="preserve">CARACTERIZACIÓN </w:t>
      </w:r>
      <w:r w:rsidR="00C21FEF" w:rsidRPr="00CE01D4">
        <w:rPr>
          <w:rFonts w:asciiTheme="majorHAnsi" w:hAnsiTheme="majorHAnsi"/>
          <w:b/>
          <w:bCs/>
          <w:sz w:val="20"/>
          <w:szCs w:val="20"/>
          <w:lang w:val="es-UY"/>
        </w:rPr>
        <w:t>DE LOS HECHOS ALEGADOS</w:t>
      </w:r>
    </w:p>
    <w:p w14:paraId="01CF0079" w14:textId="1585878C" w:rsidR="00E1420C" w:rsidRDefault="005224BE" w:rsidP="00E1420C">
      <w:pPr>
        <w:pStyle w:val="ListParagraph"/>
        <w:numPr>
          <w:ilvl w:val="0"/>
          <w:numId w:val="103"/>
        </w:numPr>
        <w:jc w:val="both"/>
        <w:rPr>
          <w:rFonts w:asciiTheme="majorHAnsi" w:hAnsiTheme="majorHAnsi"/>
          <w:sz w:val="20"/>
          <w:szCs w:val="20"/>
          <w:lang w:val="es-PE"/>
        </w:rPr>
      </w:pPr>
      <w:r w:rsidRPr="00EB2791">
        <w:rPr>
          <w:rFonts w:asciiTheme="majorHAnsi" w:hAnsiTheme="majorHAnsi"/>
          <w:sz w:val="20"/>
          <w:szCs w:val="20"/>
          <w:lang w:val="es-ES_tradnl"/>
        </w:rPr>
        <w:t xml:space="preserve">A los efectos de la admisibilidad, la Comisión debe decidir si los hechos alegados pueden caracterizar una violación de </w:t>
      </w:r>
      <w:r w:rsidRPr="00EB2791">
        <w:rPr>
          <w:rFonts w:asciiTheme="majorHAnsi" w:hAnsiTheme="majorHAnsi"/>
          <w:sz w:val="20"/>
          <w:szCs w:val="20"/>
          <w:lang w:val="es-PE"/>
        </w:rPr>
        <w:t xml:space="preserve">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 análisis </w:t>
      </w:r>
      <w:r w:rsidRPr="00EB2791">
        <w:rPr>
          <w:rFonts w:asciiTheme="majorHAnsi" w:hAnsiTheme="majorHAnsi"/>
          <w:i/>
          <w:iCs/>
          <w:sz w:val="20"/>
          <w:szCs w:val="20"/>
          <w:lang w:val="es-PE"/>
        </w:rPr>
        <w:t>prima facie</w:t>
      </w:r>
      <w:r w:rsidRPr="00EB2791">
        <w:rPr>
          <w:rFonts w:asciiTheme="majorHAnsi" w:hAnsiTheme="majorHAnsi"/>
          <w:sz w:val="20"/>
          <w:szCs w:val="20"/>
          <w:lang w:val="es-PE"/>
        </w:rPr>
        <w:t xml:space="preserve"> para determinar si la petición establece el fundamento de la violación, posible o potencial, de un derecho garantizado por la Convención, pero no para establecer la existencia de una vulneración de derechos. </w:t>
      </w:r>
    </w:p>
    <w:p w14:paraId="72AF90BA" w14:textId="77777777" w:rsidR="00E1420C" w:rsidRDefault="00E1420C" w:rsidP="00E1420C">
      <w:pPr>
        <w:pStyle w:val="ListParagraph"/>
        <w:jc w:val="both"/>
        <w:rPr>
          <w:rFonts w:asciiTheme="majorHAnsi" w:hAnsiTheme="majorHAnsi"/>
          <w:sz w:val="20"/>
          <w:szCs w:val="20"/>
          <w:lang w:val="es-PE"/>
        </w:rPr>
      </w:pPr>
    </w:p>
    <w:p w14:paraId="2841BA36" w14:textId="57516C19" w:rsidR="00E1420C" w:rsidRDefault="00E1420C" w:rsidP="00E1420C">
      <w:pPr>
        <w:pStyle w:val="ListParagraph"/>
        <w:numPr>
          <w:ilvl w:val="0"/>
          <w:numId w:val="103"/>
        </w:numPr>
        <w:jc w:val="both"/>
        <w:rPr>
          <w:rFonts w:asciiTheme="majorHAnsi" w:hAnsiTheme="majorHAnsi"/>
          <w:sz w:val="20"/>
          <w:szCs w:val="20"/>
          <w:lang w:val="es-PE"/>
        </w:rPr>
      </w:pPr>
      <w:r>
        <w:rPr>
          <w:rFonts w:asciiTheme="majorHAnsi" w:hAnsiTheme="majorHAnsi"/>
          <w:sz w:val="20"/>
          <w:szCs w:val="20"/>
          <w:lang w:val="es-PE"/>
        </w:rPr>
        <w:t>En el presente asunto, la Comisión</w:t>
      </w:r>
      <w:r w:rsidR="003752FD">
        <w:rPr>
          <w:rFonts w:asciiTheme="majorHAnsi" w:hAnsiTheme="majorHAnsi"/>
          <w:sz w:val="20"/>
          <w:szCs w:val="20"/>
          <w:lang w:val="es-PE"/>
        </w:rPr>
        <w:t xml:space="preserve"> nota </w:t>
      </w:r>
      <w:r w:rsidR="003834DC">
        <w:rPr>
          <w:rFonts w:asciiTheme="majorHAnsi" w:hAnsiTheme="majorHAnsi"/>
          <w:sz w:val="20"/>
          <w:szCs w:val="20"/>
          <w:lang w:val="es-PE"/>
        </w:rPr>
        <w:t>que</w:t>
      </w:r>
      <w:r w:rsidR="003752FD">
        <w:rPr>
          <w:rFonts w:asciiTheme="majorHAnsi" w:hAnsiTheme="majorHAnsi"/>
          <w:sz w:val="20"/>
          <w:szCs w:val="20"/>
          <w:lang w:val="es-PE"/>
        </w:rPr>
        <w:t xml:space="preserve"> el reclamo principal </w:t>
      </w:r>
      <w:r w:rsidR="003834DC">
        <w:rPr>
          <w:rFonts w:asciiTheme="majorHAnsi" w:hAnsiTheme="majorHAnsi"/>
          <w:sz w:val="20"/>
          <w:szCs w:val="20"/>
          <w:lang w:val="es-PE"/>
        </w:rPr>
        <w:t xml:space="preserve">dirigido </w:t>
      </w:r>
      <w:r w:rsidR="007914FA">
        <w:rPr>
          <w:rFonts w:asciiTheme="majorHAnsi" w:hAnsiTheme="majorHAnsi"/>
          <w:sz w:val="20"/>
          <w:szCs w:val="20"/>
          <w:lang w:val="es-PE"/>
        </w:rPr>
        <w:t>a la causa</w:t>
      </w:r>
      <w:r w:rsidR="003834DC">
        <w:rPr>
          <w:rFonts w:asciiTheme="majorHAnsi" w:hAnsiTheme="majorHAnsi"/>
          <w:sz w:val="20"/>
          <w:szCs w:val="20"/>
          <w:lang w:val="es-PE"/>
        </w:rPr>
        <w:t xml:space="preserve"> penal </w:t>
      </w:r>
      <w:r w:rsidR="00B53DB9">
        <w:rPr>
          <w:rFonts w:asciiTheme="majorHAnsi" w:hAnsiTheme="majorHAnsi"/>
          <w:sz w:val="20"/>
          <w:szCs w:val="20"/>
          <w:lang w:val="es-PE"/>
        </w:rPr>
        <w:t>s</w:t>
      </w:r>
      <w:r w:rsidR="003D1E0A" w:rsidRPr="003D1E0A">
        <w:rPr>
          <w:rFonts w:asciiTheme="majorHAnsi" w:hAnsiTheme="majorHAnsi"/>
          <w:sz w:val="20"/>
          <w:szCs w:val="20"/>
          <w:lang w:val="es-PE"/>
        </w:rPr>
        <w:t>e centra en la intervención de la Secretaría de Derechos Humanos de la Nación como querellante</w:t>
      </w:r>
      <w:r w:rsidR="00453FA0">
        <w:rPr>
          <w:rFonts w:asciiTheme="majorHAnsi" w:hAnsiTheme="majorHAnsi"/>
          <w:sz w:val="20"/>
          <w:szCs w:val="20"/>
          <w:lang w:val="es-PE"/>
        </w:rPr>
        <w:t>;</w:t>
      </w:r>
      <w:r w:rsidR="003D1E0A" w:rsidRPr="003D1E0A">
        <w:rPr>
          <w:rFonts w:asciiTheme="majorHAnsi" w:hAnsiTheme="majorHAnsi"/>
          <w:sz w:val="20"/>
          <w:szCs w:val="20"/>
          <w:lang w:val="es-PE"/>
        </w:rPr>
        <w:t xml:space="preserve"> y en alegadas afectaciones a la igualdad procesal e imparcialidad judicial.</w:t>
      </w:r>
      <w:r w:rsidR="00B53DB9">
        <w:rPr>
          <w:rFonts w:asciiTheme="majorHAnsi" w:hAnsiTheme="majorHAnsi"/>
          <w:sz w:val="20"/>
          <w:szCs w:val="20"/>
          <w:lang w:val="es-PE"/>
        </w:rPr>
        <w:t xml:space="preserve"> No obstante, las pruebas aportadas muestran que </w:t>
      </w:r>
      <w:r w:rsidR="00446F8F">
        <w:rPr>
          <w:rFonts w:asciiTheme="majorHAnsi" w:hAnsiTheme="majorHAnsi"/>
          <w:sz w:val="20"/>
          <w:szCs w:val="20"/>
          <w:lang w:val="es-PE"/>
        </w:rPr>
        <w:t>l</w:t>
      </w:r>
      <w:r w:rsidR="00446F8F" w:rsidRPr="00446F8F">
        <w:rPr>
          <w:rFonts w:asciiTheme="majorHAnsi" w:hAnsiTheme="majorHAnsi"/>
          <w:sz w:val="20"/>
          <w:szCs w:val="20"/>
          <w:lang w:val="es-PE"/>
        </w:rPr>
        <w:t xml:space="preserve">a participación de la Secretaría de Derechos Humanos fue autorizada expresamente por la Cámara Nacional de Casación Penal, en el entendimiento de que los hechos investigados –la muerte de una persona bajo custodia policial por un disparo efectuado con arma reglamentaria– constituían una situación que habilitaba la actuación </w:t>
      </w:r>
      <w:r w:rsidR="00453FA0">
        <w:rPr>
          <w:rFonts w:asciiTheme="majorHAnsi" w:hAnsiTheme="majorHAnsi"/>
          <w:sz w:val="20"/>
          <w:szCs w:val="20"/>
          <w:lang w:val="es-PE"/>
        </w:rPr>
        <w:t xml:space="preserve">de esta institución </w:t>
      </w:r>
      <w:r w:rsidR="00446F8F" w:rsidRPr="00446F8F">
        <w:rPr>
          <w:rFonts w:asciiTheme="majorHAnsi" w:hAnsiTheme="majorHAnsi"/>
          <w:sz w:val="20"/>
          <w:szCs w:val="20"/>
          <w:lang w:val="es-PE"/>
        </w:rPr>
        <w:t xml:space="preserve">en resguardo del interés público. Lejos de configurarse una actuación arbitraria o sorpresiva, </w:t>
      </w:r>
      <w:r w:rsidR="00446F8F">
        <w:rPr>
          <w:rFonts w:asciiTheme="majorHAnsi" w:hAnsiTheme="majorHAnsi"/>
          <w:sz w:val="20"/>
          <w:szCs w:val="20"/>
          <w:lang w:val="es-PE"/>
        </w:rPr>
        <w:t xml:space="preserve">la Comisión entiende que </w:t>
      </w:r>
      <w:r w:rsidR="00446F8F" w:rsidRPr="00446F8F">
        <w:rPr>
          <w:rFonts w:asciiTheme="majorHAnsi" w:hAnsiTheme="majorHAnsi"/>
          <w:sz w:val="20"/>
          <w:szCs w:val="20"/>
          <w:lang w:val="es-PE"/>
        </w:rPr>
        <w:t xml:space="preserve">la intervención fue objeto de control judicial amplio, incluido por la Corte Suprema, y se produjo en ejercicio de facultades reconocidas por el derecho interno. Aun cuando </w:t>
      </w:r>
      <w:r w:rsidR="00446F8F">
        <w:rPr>
          <w:rFonts w:asciiTheme="majorHAnsi" w:hAnsiTheme="majorHAnsi"/>
          <w:sz w:val="20"/>
          <w:szCs w:val="20"/>
          <w:lang w:val="es-PE"/>
        </w:rPr>
        <w:t xml:space="preserve">la parte peticionaria discrepe </w:t>
      </w:r>
      <w:r w:rsidR="00446F8F" w:rsidRPr="00446F8F">
        <w:rPr>
          <w:rFonts w:asciiTheme="majorHAnsi" w:hAnsiTheme="majorHAnsi"/>
          <w:sz w:val="20"/>
          <w:szCs w:val="20"/>
          <w:lang w:val="es-PE"/>
        </w:rPr>
        <w:t>de la interpretación judicial, la sola divergencia en la aplicación del derecho interno no habilita por sí misma la intervención del sistema interamericano, en ausencia de un elemento manifiesto de arbitrariedad, desviación de poder o falta de tutela.</w:t>
      </w:r>
    </w:p>
    <w:p w14:paraId="7503E0E7" w14:textId="77777777" w:rsidR="00EF57C7" w:rsidRDefault="00EF57C7" w:rsidP="00EF57C7">
      <w:pPr>
        <w:pStyle w:val="ListParagraph"/>
        <w:jc w:val="both"/>
        <w:rPr>
          <w:rFonts w:asciiTheme="majorHAnsi" w:hAnsiTheme="majorHAnsi"/>
          <w:sz w:val="20"/>
          <w:szCs w:val="20"/>
          <w:lang w:val="es-PE"/>
        </w:rPr>
      </w:pPr>
    </w:p>
    <w:p w14:paraId="478CD6E7" w14:textId="433B3337" w:rsidR="00EF57C7" w:rsidRDefault="00EF57C7" w:rsidP="00E1420C">
      <w:pPr>
        <w:pStyle w:val="ListParagraph"/>
        <w:numPr>
          <w:ilvl w:val="0"/>
          <w:numId w:val="103"/>
        </w:numPr>
        <w:jc w:val="both"/>
        <w:rPr>
          <w:rFonts w:asciiTheme="majorHAnsi" w:hAnsiTheme="majorHAnsi"/>
          <w:sz w:val="20"/>
          <w:szCs w:val="20"/>
          <w:lang w:val="es-PE"/>
        </w:rPr>
      </w:pPr>
      <w:r w:rsidRPr="00EF57C7">
        <w:rPr>
          <w:rFonts w:asciiTheme="majorHAnsi" w:hAnsiTheme="majorHAnsi"/>
          <w:sz w:val="20"/>
          <w:szCs w:val="20"/>
          <w:lang w:val="es-PE"/>
        </w:rPr>
        <w:lastRenderedPageBreak/>
        <w:t>Por otro lado, el argumento según el cual la actuación conjunta del Ministerio Público</w:t>
      </w:r>
      <w:r>
        <w:rPr>
          <w:rFonts w:asciiTheme="majorHAnsi" w:hAnsiTheme="majorHAnsi"/>
          <w:sz w:val="20"/>
          <w:szCs w:val="20"/>
          <w:lang w:val="es-PE"/>
        </w:rPr>
        <w:t xml:space="preserve"> y</w:t>
      </w:r>
      <w:r w:rsidRPr="00EF57C7">
        <w:rPr>
          <w:rFonts w:asciiTheme="majorHAnsi" w:hAnsiTheme="majorHAnsi"/>
          <w:sz w:val="20"/>
          <w:szCs w:val="20"/>
          <w:lang w:val="es-PE"/>
        </w:rPr>
        <w:t xml:space="preserve"> la Secretaría de Derechos Humanos habría afectado el equilibrio procesal carece de sustento concreto. </w:t>
      </w:r>
      <w:r>
        <w:rPr>
          <w:rFonts w:asciiTheme="majorHAnsi" w:hAnsiTheme="majorHAnsi"/>
          <w:sz w:val="20"/>
          <w:szCs w:val="20"/>
          <w:lang w:val="es-PE"/>
        </w:rPr>
        <w:t xml:space="preserve">Al respecto, la Comisión no identifica elementos de prueba que muestren </w:t>
      </w:r>
      <w:r>
        <w:rPr>
          <w:rFonts w:asciiTheme="majorHAnsi" w:hAnsiTheme="majorHAnsi"/>
          <w:i/>
          <w:iCs/>
          <w:sz w:val="20"/>
          <w:szCs w:val="20"/>
          <w:lang w:val="es-PE"/>
        </w:rPr>
        <w:t xml:space="preserve">prima facie </w:t>
      </w:r>
      <w:r>
        <w:rPr>
          <w:rFonts w:asciiTheme="majorHAnsi" w:hAnsiTheme="majorHAnsi"/>
          <w:sz w:val="20"/>
          <w:szCs w:val="20"/>
          <w:lang w:val="es-PE"/>
        </w:rPr>
        <w:t>que a la presunta víctima se la limitado su</w:t>
      </w:r>
      <w:r w:rsidRPr="00EF57C7">
        <w:rPr>
          <w:rFonts w:asciiTheme="majorHAnsi" w:hAnsiTheme="majorHAnsi"/>
          <w:sz w:val="20"/>
          <w:szCs w:val="20"/>
          <w:lang w:val="es-PE"/>
        </w:rPr>
        <w:t xml:space="preserve"> derecho a </w:t>
      </w:r>
      <w:r>
        <w:rPr>
          <w:rFonts w:asciiTheme="majorHAnsi" w:hAnsiTheme="majorHAnsi"/>
          <w:sz w:val="20"/>
          <w:szCs w:val="20"/>
          <w:lang w:val="es-PE"/>
        </w:rPr>
        <w:t>defenderse</w:t>
      </w:r>
      <w:r w:rsidRPr="00EF57C7">
        <w:rPr>
          <w:rFonts w:asciiTheme="majorHAnsi" w:hAnsiTheme="majorHAnsi"/>
          <w:sz w:val="20"/>
          <w:szCs w:val="20"/>
          <w:lang w:val="es-PE"/>
        </w:rPr>
        <w:t>, a presentar prueba, a ser oído por un juez imparcial ni a impugnar las decisiones en instancias superiores, garantías todas que fueron observadas en el presente caso. De hecho, el peticionario tuvo oportunidad de impugnar cada una de las decisiones procesales cuestionadas, tanto en sede ordinaria como extraordinaria, accediendo incluso al máximo tribunal nacional.</w:t>
      </w:r>
    </w:p>
    <w:p w14:paraId="4A4F0155" w14:textId="77777777" w:rsidR="00DA64C8" w:rsidRPr="00DA64C8" w:rsidRDefault="00DA64C8" w:rsidP="00DA64C8">
      <w:pPr>
        <w:pStyle w:val="ListParagraph"/>
        <w:rPr>
          <w:rFonts w:asciiTheme="majorHAnsi" w:hAnsiTheme="majorHAnsi"/>
          <w:sz w:val="20"/>
          <w:szCs w:val="20"/>
          <w:lang w:val="es-PE"/>
        </w:rPr>
      </w:pPr>
    </w:p>
    <w:p w14:paraId="470C9F7B" w14:textId="4BA3DB15" w:rsidR="00DA64C8" w:rsidRDefault="00DA64C8" w:rsidP="00E1420C">
      <w:pPr>
        <w:pStyle w:val="ListParagraph"/>
        <w:numPr>
          <w:ilvl w:val="0"/>
          <w:numId w:val="103"/>
        </w:numPr>
        <w:jc w:val="both"/>
        <w:rPr>
          <w:rFonts w:asciiTheme="majorHAnsi" w:hAnsiTheme="majorHAnsi"/>
          <w:sz w:val="20"/>
          <w:szCs w:val="20"/>
          <w:lang w:val="es-PE"/>
        </w:rPr>
      </w:pPr>
      <w:r w:rsidRPr="00DA64C8">
        <w:rPr>
          <w:rFonts w:asciiTheme="majorHAnsi" w:hAnsiTheme="majorHAnsi"/>
          <w:sz w:val="20"/>
          <w:szCs w:val="20"/>
          <w:lang w:val="es-PE"/>
        </w:rPr>
        <w:t xml:space="preserve">En relación con la alegada imposibilidad de interrogar testigos clave durante la etapa de instrucción, es importante destacar que la parte </w:t>
      </w:r>
      <w:r w:rsidR="00C00840">
        <w:rPr>
          <w:rFonts w:asciiTheme="majorHAnsi" w:hAnsiTheme="majorHAnsi"/>
          <w:sz w:val="20"/>
          <w:szCs w:val="20"/>
          <w:lang w:val="es-PE"/>
        </w:rPr>
        <w:t>no sustenta</w:t>
      </w:r>
      <w:r w:rsidRPr="00DA64C8">
        <w:rPr>
          <w:rFonts w:asciiTheme="majorHAnsi" w:hAnsiTheme="majorHAnsi"/>
          <w:sz w:val="20"/>
          <w:szCs w:val="20"/>
          <w:lang w:val="es-PE"/>
        </w:rPr>
        <w:t xml:space="preserve"> que dicha limitación haya tenido un impacto real o determinante en su derecho de defensa, ni que dicha prueba haya sido introducida de forma unilateral en el juicio sin posibilidad de contradicción. Por el contrario, el propio escrito reconoce que tales testigos fueron efectivamente examinados en el juicio oral, instancia central del proceso penal y en la que rige con plenitud el principio de inmediación.</w:t>
      </w:r>
    </w:p>
    <w:p w14:paraId="6FDF94EE" w14:textId="77777777" w:rsidR="000E63D4" w:rsidRPr="000E63D4" w:rsidRDefault="000E63D4" w:rsidP="000E63D4">
      <w:pPr>
        <w:pStyle w:val="ListParagraph"/>
        <w:rPr>
          <w:rFonts w:asciiTheme="majorHAnsi" w:hAnsiTheme="majorHAnsi"/>
          <w:sz w:val="20"/>
          <w:szCs w:val="20"/>
          <w:lang w:val="es-PE"/>
        </w:rPr>
      </w:pPr>
    </w:p>
    <w:p w14:paraId="181D817F" w14:textId="410A8DBD" w:rsidR="000E63D4" w:rsidRPr="00DA64C8" w:rsidRDefault="00807D61" w:rsidP="000E63D4">
      <w:pPr>
        <w:pStyle w:val="ListParagraph"/>
        <w:numPr>
          <w:ilvl w:val="0"/>
          <w:numId w:val="103"/>
        </w:numPr>
        <w:jc w:val="both"/>
        <w:rPr>
          <w:rFonts w:asciiTheme="majorHAnsi" w:hAnsiTheme="majorHAnsi"/>
          <w:sz w:val="20"/>
          <w:szCs w:val="20"/>
          <w:lang w:val="es-PE"/>
        </w:rPr>
      </w:pPr>
      <w:r>
        <w:rPr>
          <w:rFonts w:asciiTheme="majorHAnsi" w:hAnsiTheme="majorHAnsi"/>
          <w:sz w:val="20"/>
          <w:szCs w:val="20"/>
          <w:lang w:val="es-PE"/>
        </w:rPr>
        <w:t>Asimismo, t</w:t>
      </w:r>
      <w:r w:rsidR="000E63D4" w:rsidRPr="000E63D4">
        <w:rPr>
          <w:rFonts w:asciiTheme="majorHAnsi" w:hAnsiTheme="majorHAnsi"/>
          <w:sz w:val="20"/>
          <w:szCs w:val="20"/>
          <w:lang w:val="es-PE"/>
        </w:rPr>
        <w:t xml:space="preserve">ampoco se han alegado ni demostrado actos de coacción, fabricación de prueba o parcialidad manifiesta del tribunal sentenciante. Por el contrario, el peticionario fue juzgado y condenado conforme a un procedimiento ordinario, con respeto de las garantías procesales básicas, y el hecho que dio origen al proceso </w:t>
      </w:r>
      <w:r w:rsidR="000E63D4" w:rsidRPr="00446F8F">
        <w:rPr>
          <w:rFonts w:asciiTheme="majorHAnsi" w:hAnsiTheme="majorHAnsi"/>
          <w:sz w:val="20"/>
          <w:szCs w:val="20"/>
          <w:lang w:val="es-PE"/>
        </w:rPr>
        <w:t>–</w:t>
      </w:r>
      <w:r w:rsidR="000E63D4" w:rsidRPr="000E63D4">
        <w:rPr>
          <w:rFonts w:asciiTheme="majorHAnsi" w:hAnsiTheme="majorHAnsi"/>
          <w:sz w:val="20"/>
          <w:szCs w:val="20"/>
          <w:lang w:val="es-PE"/>
        </w:rPr>
        <w:t>la muerte de una persona bajo custodia estatal</w:t>
      </w:r>
      <w:r w:rsidR="000E63D4" w:rsidRPr="00446F8F">
        <w:rPr>
          <w:rFonts w:asciiTheme="majorHAnsi" w:hAnsiTheme="majorHAnsi"/>
          <w:sz w:val="20"/>
          <w:szCs w:val="20"/>
          <w:lang w:val="es-PE"/>
        </w:rPr>
        <w:t>–</w:t>
      </w:r>
      <w:r w:rsidR="000E63D4" w:rsidRPr="000E63D4">
        <w:rPr>
          <w:rFonts w:asciiTheme="majorHAnsi" w:hAnsiTheme="majorHAnsi"/>
          <w:sz w:val="20"/>
          <w:szCs w:val="20"/>
          <w:lang w:val="es-PE"/>
        </w:rPr>
        <w:t xml:space="preserve"> sí configura, en principio, un hecho de interés público cuya investigación reforzada no resulta incompatible con la Convención.</w:t>
      </w:r>
    </w:p>
    <w:p w14:paraId="089F6F6E" w14:textId="22631B10" w:rsidR="00795B52" w:rsidRPr="00795B52" w:rsidRDefault="00795B52" w:rsidP="00795B52">
      <w:pPr>
        <w:pStyle w:val="ListParagraph"/>
        <w:numPr>
          <w:ilvl w:val="0"/>
          <w:numId w:val="103"/>
        </w:numPr>
        <w:spacing w:before="240" w:after="240"/>
        <w:jc w:val="both"/>
        <w:rPr>
          <w:rFonts w:asciiTheme="majorHAnsi" w:hAnsiTheme="majorHAnsi"/>
          <w:b/>
          <w:bCs/>
          <w:sz w:val="20"/>
          <w:szCs w:val="20"/>
          <w:lang w:val="es-ES"/>
        </w:rPr>
      </w:pPr>
      <w:r>
        <w:rPr>
          <w:rFonts w:asciiTheme="majorHAnsi" w:hAnsiTheme="majorHAnsi"/>
          <w:sz w:val="20"/>
          <w:szCs w:val="20"/>
          <w:lang w:val="es-PE"/>
        </w:rPr>
        <w:t>Además, c</w:t>
      </w:r>
      <w:r w:rsidR="001E3D90" w:rsidRPr="001E3D90">
        <w:rPr>
          <w:rFonts w:asciiTheme="majorHAnsi" w:hAnsiTheme="majorHAnsi"/>
          <w:sz w:val="20"/>
          <w:szCs w:val="20"/>
          <w:lang w:val="es-PE"/>
        </w:rPr>
        <w:t xml:space="preserve">abe señalar que la parte peticionaria tampoco ha formulado argumentos orientados a impugnar la validez jurídica o probatoria de la condena penal impuesta al señor Enzo Fabián Álvarez. En efecto, la petición no controvierte los hechos establecidos en la sentencia, ni alega que la prueba haya sido obtenida de forma ilícita, manipulada o valorada arbitrariamente. Tampoco afirma que se haya producido una condena sin prueba, por responsabilidad objetiva o con desconocimiento de estándares de legalidad penal. Por el contrario, el centro del planteamiento radica en aspectos formales del proceso, pero sin cuestionar el contenido sustantivo del fallo ni el razonamiento empleado por el tribunal para establecer la responsabilidad penal del condenado. </w:t>
      </w:r>
      <w:r w:rsidRPr="00795B52">
        <w:rPr>
          <w:rFonts w:asciiTheme="majorHAnsi" w:hAnsiTheme="majorHAnsi"/>
          <w:sz w:val="20"/>
          <w:szCs w:val="20"/>
          <w:lang w:val="es-PE"/>
        </w:rPr>
        <w:t>Finalmente, la Comisión</w:t>
      </w:r>
      <w:r>
        <w:rPr>
          <w:rFonts w:asciiTheme="majorHAnsi" w:hAnsiTheme="majorHAnsi"/>
          <w:sz w:val="20"/>
          <w:szCs w:val="20"/>
          <w:lang w:val="es-PE"/>
        </w:rPr>
        <w:t xml:space="preserve"> advierte que la parte peticionaria tampoco ha cuestionado </w:t>
      </w:r>
      <w:r w:rsidR="00A9153E">
        <w:rPr>
          <w:rFonts w:asciiTheme="majorHAnsi" w:hAnsiTheme="majorHAnsi"/>
          <w:sz w:val="20"/>
          <w:szCs w:val="20"/>
          <w:lang w:val="es-PE"/>
        </w:rPr>
        <w:t xml:space="preserve">la naturaleza perpetua de condena en su petición inicial, como tampoco ante los órganos de justicia argentinos. </w:t>
      </w:r>
    </w:p>
    <w:p w14:paraId="7E1ABA59" w14:textId="6CF3C8F6" w:rsidR="001E3D90" w:rsidRPr="00BD06E2" w:rsidRDefault="00BD06E2" w:rsidP="00BD06E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Pr>
          <w:rFonts w:asciiTheme="majorHAnsi" w:hAnsiTheme="majorHAnsi"/>
          <w:bCs/>
          <w:sz w:val="20"/>
          <w:szCs w:val="20"/>
          <w:lang w:val="es-UY"/>
        </w:rPr>
        <w:t xml:space="preserve">Por las citadas razones, la Comisión concluye que los hechos expuestos por la parte peticionaria no muestran, </w:t>
      </w:r>
      <w:r>
        <w:rPr>
          <w:rFonts w:asciiTheme="majorHAnsi" w:hAnsiTheme="majorHAnsi"/>
          <w:bCs/>
          <w:i/>
          <w:iCs/>
          <w:sz w:val="20"/>
          <w:szCs w:val="20"/>
          <w:lang w:val="es-UY"/>
        </w:rPr>
        <w:t>prima facie</w:t>
      </w:r>
      <w:r>
        <w:rPr>
          <w:rFonts w:asciiTheme="majorHAnsi" w:hAnsiTheme="majorHAnsi"/>
          <w:bCs/>
          <w:sz w:val="20"/>
          <w:szCs w:val="20"/>
          <w:lang w:val="es-UY"/>
        </w:rPr>
        <w:t xml:space="preserve">, una posible vulneración de derechos y, en consecuencia, con base en </w:t>
      </w:r>
      <w:r>
        <w:rPr>
          <w:rFonts w:asciiTheme="majorHAnsi" w:hAnsiTheme="majorHAnsi"/>
          <w:sz w:val="20"/>
          <w:szCs w:val="20"/>
          <w:lang w:val="es-ES"/>
        </w:rPr>
        <w:t xml:space="preserve">el artículo 47.b) de la Convención, corresponde declarar la inadmisibilidad de este asunto. </w:t>
      </w:r>
    </w:p>
    <w:p w14:paraId="29BB41F5" w14:textId="60790431" w:rsidR="003239B8" w:rsidRPr="001E3D90" w:rsidRDefault="003239B8" w:rsidP="001E3D90">
      <w:pPr>
        <w:spacing w:before="240" w:after="240"/>
        <w:ind w:firstLine="720"/>
        <w:jc w:val="both"/>
        <w:rPr>
          <w:rFonts w:asciiTheme="majorHAnsi" w:hAnsiTheme="majorHAnsi"/>
          <w:b/>
          <w:bCs/>
          <w:sz w:val="20"/>
          <w:szCs w:val="20"/>
          <w:lang w:val="es-ES"/>
        </w:rPr>
      </w:pPr>
      <w:r w:rsidRPr="001E3D90">
        <w:rPr>
          <w:rFonts w:asciiTheme="majorHAnsi" w:hAnsiTheme="majorHAnsi"/>
          <w:b/>
          <w:bCs/>
          <w:sz w:val="20"/>
          <w:szCs w:val="20"/>
          <w:lang w:val="es-ES"/>
        </w:rPr>
        <w:t xml:space="preserve">VIII. </w:t>
      </w:r>
      <w:r w:rsidRPr="001E3D90">
        <w:rPr>
          <w:rFonts w:asciiTheme="majorHAnsi" w:hAnsiTheme="majorHAnsi"/>
          <w:b/>
          <w:bCs/>
          <w:sz w:val="20"/>
          <w:szCs w:val="20"/>
          <w:lang w:val="es-ES"/>
        </w:rPr>
        <w:tab/>
        <w:t>DECISIÓN</w:t>
      </w:r>
    </w:p>
    <w:p w14:paraId="570DA61C" w14:textId="08A35FD9" w:rsidR="000419AD" w:rsidRDefault="000419AD" w:rsidP="000419AD">
      <w:pPr>
        <w:pStyle w:val="ListParagraph"/>
        <w:numPr>
          <w:ilvl w:val="0"/>
          <w:numId w:val="109"/>
        </w:numPr>
        <w:rPr>
          <w:rFonts w:eastAsia="Arial Unicode MS" w:cs="Times New Roman"/>
          <w:color w:val="auto"/>
          <w:sz w:val="20"/>
          <w:szCs w:val="20"/>
          <w:lang w:val="es-ES" w:eastAsia="en-US"/>
        </w:rPr>
      </w:pPr>
      <w:r w:rsidRPr="000419AD">
        <w:rPr>
          <w:rFonts w:eastAsia="Arial Unicode MS" w:cs="Times New Roman"/>
          <w:color w:val="auto"/>
          <w:sz w:val="20"/>
          <w:szCs w:val="20"/>
          <w:lang w:val="es-ES" w:eastAsia="en-US"/>
        </w:rPr>
        <w:t>Decl</w:t>
      </w:r>
      <w:r w:rsidRPr="00974A96">
        <w:rPr>
          <w:rFonts w:eastAsia="Arial Unicode MS" w:cs="Times New Roman"/>
          <w:color w:val="000000" w:themeColor="text1"/>
          <w:sz w:val="20"/>
          <w:szCs w:val="20"/>
          <w:lang w:val="es-ES" w:eastAsia="en-US"/>
        </w:rPr>
        <w:t xml:space="preserve">arar inadmisible la </w:t>
      </w:r>
      <w:r w:rsidRPr="000419AD">
        <w:rPr>
          <w:rFonts w:eastAsia="Arial Unicode MS" w:cs="Times New Roman"/>
          <w:color w:val="auto"/>
          <w:sz w:val="20"/>
          <w:szCs w:val="20"/>
          <w:lang w:val="es-ES" w:eastAsia="en-US"/>
        </w:rPr>
        <w:t>presente petición</w:t>
      </w:r>
      <w:r w:rsidR="00A758AA">
        <w:rPr>
          <w:rFonts w:eastAsia="Arial Unicode MS" w:cs="Times New Roman"/>
          <w:color w:val="auto"/>
          <w:sz w:val="20"/>
          <w:szCs w:val="20"/>
          <w:lang w:val="es-ES" w:eastAsia="en-US"/>
        </w:rPr>
        <w:t>;</w:t>
      </w:r>
      <w:r w:rsidR="004A6A54">
        <w:rPr>
          <w:rFonts w:eastAsia="Arial Unicode MS" w:cs="Times New Roman"/>
          <w:color w:val="auto"/>
          <w:sz w:val="20"/>
          <w:szCs w:val="20"/>
          <w:lang w:val="es-ES" w:eastAsia="en-US"/>
        </w:rPr>
        <w:t xml:space="preserve"> y</w:t>
      </w:r>
    </w:p>
    <w:p w14:paraId="41AA5BF6" w14:textId="77777777" w:rsidR="000419AD" w:rsidRPr="000419AD" w:rsidRDefault="000419AD" w:rsidP="000419AD">
      <w:pPr>
        <w:pStyle w:val="ListParagraph"/>
        <w:rPr>
          <w:rFonts w:eastAsia="Arial Unicode MS" w:cs="Times New Roman"/>
          <w:color w:val="auto"/>
          <w:sz w:val="20"/>
          <w:szCs w:val="20"/>
          <w:lang w:val="es-ES" w:eastAsia="en-US"/>
        </w:rPr>
      </w:pPr>
    </w:p>
    <w:p w14:paraId="12A7002C" w14:textId="4B4455E7" w:rsidR="004A6A54" w:rsidRDefault="004A6A54" w:rsidP="004A6A54">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B7794">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7CD4DFBD" w14:textId="72D2C10B" w:rsidR="003239B8" w:rsidRPr="0098021A" w:rsidRDefault="00B62C70" w:rsidP="0098021A">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Humanos a l</w:t>
      </w:r>
      <w:r w:rsidRPr="000B7A79">
        <w:rPr>
          <w:rStyle w:val="normaltextrun"/>
          <w:rFonts w:ascii="Cambria" w:hAnsi="Cambria" w:cs="Segoe UI"/>
          <w:color w:val="000000" w:themeColor="text1"/>
          <w:sz w:val="20"/>
          <w:szCs w:val="20"/>
          <w:lang w:val="es-CL"/>
        </w:rPr>
        <w:t xml:space="preserve">os </w:t>
      </w:r>
      <w:r w:rsidR="00BD5530" w:rsidRPr="000B7A79">
        <w:rPr>
          <w:rStyle w:val="normaltextrun"/>
          <w:rFonts w:ascii="Cambria" w:hAnsi="Cambria" w:cs="Segoe UI"/>
          <w:color w:val="000000" w:themeColor="text1"/>
          <w:sz w:val="20"/>
          <w:szCs w:val="20"/>
          <w:lang w:val="es-CL"/>
        </w:rPr>
        <w:t>20</w:t>
      </w:r>
      <w:r w:rsidRPr="000B7A79">
        <w:rPr>
          <w:rStyle w:val="normaltextrun"/>
          <w:rFonts w:ascii="Cambria" w:hAnsi="Cambria" w:cs="Segoe UI"/>
          <w:color w:val="000000" w:themeColor="text1"/>
          <w:sz w:val="20"/>
          <w:szCs w:val="20"/>
          <w:lang w:val="es-CL"/>
        </w:rPr>
        <w:t xml:space="preserve"> días del mes de </w:t>
      </w:r>
      <w:r w:rsidR="00BD5530" w:rsidRPr="000B7A79">
        <w:rPr>
          <w:rStyle w:val="normaltextrun"/>
          <w:rFonts w:ascii="Cambria" w:hAnsi="Cambria" w:cs="Segoe UI"/>
          <w:color w:val="000000" w:themeColor="text1"/>
          <w:sz w:val="20"/>
          <w:szCs w:val="20"/>
          <w:lang w:val="es-CL"/>
        </w:rPr>
        <w:t>agosto</w:t>
      </w:r>
      <w:r w:rsidRPr="000B7A79">
        <w:rPr>
          <w:rStyle w:val="normaltextrun"/>
          <w:rFonts w:ascii="Cambria" w:hAnsi="Cambria" w:cs="Segoe UI"/>
          <w:color w:val="000000" w:themeColor="text1"/>
          <w:sz w:val="20"/>
          <w:szCs w:val="20"/>
          <w:lang w:val="es-CL"/>
        </w:rPr>
        <w:t xml:space="preserve"> de 20</w:t>
      </w:r>
      <w:r w:rsidR="00BD5530" w:rsidRPr="000B7A79">
        <w:rPr>
          <w:rStyle w:val="normaltextrun"/>
          <w:rFonts w:ascii="Cambria" w:hAnsi="Cambria" w:cs="Segoe UI"/>
          <w:color w:val="000000" w:themeColor="text1"/>
          <w:sz w:val="20"/>
          <w:szCs w:val="20"/>
          <w:lang w:val="es-CL"/>
        </w:rPr>
        <w:t>25</w:t>
      </w:r>
      <w:r w:rsidRPr="000B7A79">
        <w:rPr>
          <w:rStyle w:val="normaltextrun"/>
          <w:rFonts w:ascii="Cambria" w:hAnsi="Cambria" w:cs="Segoe UI"/>
          <w:color w:val="000000" w:themeColor="text1"/>
          <w:sz w:val="20"/>
          <w:szCs w:val="20"/>
          <w:lang w:val="es-CL"/>
        </w:rPr>
        <w:t xml:space="preserve">.  (Firmado): José Luis Caballero Ochoa, Presidente; Arif Bulkan, Segundo Vicepresidente; Edgar Stuardo Ralón Orellana, Roberta Clarke y Gloria Monique de Mees, </w:t>
      </w:r>
      <w:r w:rsidR="00E97B0B">
        <w:rPr>
          <w:rStyle w:val="normaltextrun"/>
          <w:rFonts w:ascii="Cambria" w:hAnsi="Cambria" w:cs="Segoe UI"/>
          <w:color w:val="000000" w:themeColor="text1"/>
          <w:sz w:val="20"/>
          <w:szCs w:val="20"/>
          <w:lang w:val="es-CL"/>
        </w:rPr>
        <w:t>m</w:t>
      </w:r>
      <w:r w:rsidRPr="000B7A79">
        <w:rPr>
          <w:rStyle w:val="normaltextrun"/>
          <w:rFonts w:ascii="Cambria" w:hAnsi="Cambria" w:cs="Segoe UI"/>
          <w:color w:val="000000" w:themeColor="text1"/>
          <w:sz w:val="20"/>
          <w:szCs w:val="20"/>
          <w:lang w:val="es-CL"/>
        </w:rPr>
        <w:t>iembros de la Comisión.</w:t>
      </w:r>
    </w:p>
    <w:p w14:paraId="0D98495A" w14:textId="77777777" w:rsidR="008D768D" w:rsidRPr="003239B8" w:rsidRDefault="008D768D" w:rsidP="001D65EF">
      <w:pPr>
        <w:tabs>
          <w:tab w:val="center" w:pos="5400"/>
        </w:tabs>
        <w:suppressAutoHyphens/>
        <w:spacing w:line="276" w:lineRule="auto"/>
        <w:rPr>
          <w:rFonts w:asciiTheme="majorHAnsi" w:hAnsiTheme="majorHAnsi"/>
          <w:sz w:val="20"/>
          <w:szCs w:val="20"/>
          <w:lang w:val="es-ES"/>
        </w:rPr>
      </w:pPr>
    </w:p>
    <w:p w14:paraId="2642C68E" w14:textId="77777777" w:rsidR="008D768D" w:rsidRPr="007253B8" w:rsidRDefault="008D768D" w:rsidP="001D65EF">
      <w:pPr>
        <w:tabs>
          <w:tab w:val="center" w:pos="5400"/>
        </w:tabs>
        <w:suppressAutoHyphens/>
        <w:spacing w:line="276" w:lineRule="auto"/>
        <w:rPr>
          <w:rFonts w:asciiTheme="majorHAnsi" w:hAnsiTheme="majorHAnsi"/>
          <w:sz w:val="20"/>
          <w:szCs w:val="20"/>
          <w:lang w:val="es-ES_tradnl"/>
        </w:rPr>
      </w:pPr>
    </w:p>
    <w:p w14:paraId="6AC80CA6" w14:textId="77777777" w:rsidR="00722C9F" w:rsidRPr="00974491" w:rsidRDefault="00722C9F" w:rsidP="00974491">
      <w:pPr>
        <w:rPr>
          <w:rFonts w:ascii="Cambria" w:hAnsi="Cambria" w:cs="Calibri"/>
          <w:sz w:val="20"/>
          <w:szCs w:val="20"/>
          <w:lang w:val="es-ES"/>
        </w:rPr>
      </w:pPr>
    </w:p>
    <w:sectPr w:rsidR="00722C9F" w:rsidRPr="00974491"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9392" w14:textId="77777777" w:rsidR="004976DC" w:rsidRDefault="004976DC">
      <w:r>
        <w:separator/>
      </w:r>
    </w:p>
  </w:endnote>
  <w:endnote w:type="continuationSeparator" w:id="0">
    <w:p w14:paraId="64170C0B" w14:textId="77777777" w:rsidR="004976DC" w:rsidRDefault="004976DC">
      <w:r>
        <w:continuationSeparator/>
      </w:r>
    </w:p>
  </w:endnote>
  <w:endnote w:type="continuationNotice" w:id="1">
    <w:p w14:paraId="25AC81FE" w14:textId="77777777" w:rsidR="004976DC" w:rsidRDefault="00497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9E7B" w14:textId="77777777" w:rsidR="004976DC" w:rsidRPr="000F35ED" w:rsidRDefault="004976DC">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8F1EC8A" w14:textId="77777777" w:rsidR="004976DC" w:rsidRPr="000F35ED" w:rsidRDefault="004976DC" w:rsidP="000F35ED">
      <w:pPr>
        <w:rPr>
          <w:rFonts w:asciiTheme="majorHAnsi" w:hAnsiTheme="majorHAnsi"/>
          <w:sz w:val="16"/>
          <w:szCs w:val="16"/>
        </w:rPr>
      </w:pPr>
      <w:r w:rsidRPr="000F35ED">
        <w:rPr>
          <w:rFonts w:asciiTheme="majorHAnsi" w:hAnsiTheme="majorHAnsi"/>
          <w:sz w:val="16"/>
          <w:szCs w:val="16"/>
        </w:rPr>
        <w:separator/>
      </w:r>
    </w:p>
    <w:p w14:paraId="440C0DE0" w14:textId="77777777" w:rsidR="004976DC" w:rsidRPr="000F35ED" w:rsidRDefault="004976DC"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2D51B51" w14:textId="77777777" w:rsidR="004976DC" w:rsidRPr="000F35ED" w:rsidRDefault="004976DC"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4D4A78A6" w14:textId="76C19457" w:rsidR="00A07D1C" w:rsidRPr="00A07D1C" w:rsidRDefault="00A07D1C" w:rsidP="00FE347E">
      <w:pPr>
        <w:pStyle w:val="FootnoteText"/>
        <w:ind w:firstLine="720"/>
        <w:jc w:val="both"/>
        <w:rPr>
          <w:rFonts w:asciiTheme="majorHAnsi" w:hAnsiTheme="majorHAnsi"/>
          <w:sz w:val="16"/>
          <w:szCs w:val="16"/>
          <w:lang w:val="es-PE"/>
        </w:rPr>
      </w:pPr>
      <w:r w:rsidRPr="00A07D1C">
        <w:rPr>
          <w:rStyle w:val="FootnoteReference"/>
          <w:rFonts w:asciiTheme="majorHAnsi" w:hAnsiTheme="majorHAnsi"/>
          <w:sz w:val="16"/>
          <w:szCs w:val="16"/>
        </w:rPr>
        <w:footnoteRef/>
      </w:r>
      <w:r w:rsidRPr="00A07D1C">
        <w:rPr>
          <w:rFonts w:asciiTheme="majorHAnsi" w:hAnsiTheme="majorHAnsi"/>
          <w:sz w:val="16"/>
          <w:szCs w:val="16"/>
          <w:lang w:val="es-PE"/>
        </w:rPr>
        <w:t xml:space="preserve"> </w:t>
      </w:r>
      <w:r w:rsidR="00A865A9">
        <w:rPr>
          <w:rFonts w:asciiTheme="majorHAnsi" w:hAnsiTheme="majorHAnsi"/>
          <w:sz w:val="16"/>
          <w:szCs w:val="16"/>
          <w:lang w:val="es-PE"/>
        </w:rPr>
        <w:t xml:space="preserve">El </w:t>
      </w:r>
      <w:r w:rsidR="00AC4441">
        <w:rPr>
          <w:rFonts w:asciiTheme="majorHAnsi" w:hAnsiTheme="majorHAnsi"/>
          <w:sz w:val="16"/>
          <w:szCs w:val="16"/>
          <w:lang w:val="es-PE"/>
        </w:rPr>
        <w:t>15 de mayo de 2025 la parte peticionaria solicitó a la Comisión que se comunique directamente con la presunta víctima, pues</w:t>
      </w:r>
      <w:r w:rsidR="00FE347E">
        <w:rPr>
          <w:rFonts w:asciiTheme="majorHAnsi" w:hAnsiTheme="majorHAnsi"/>
          <w:sz w:val="16"/>
          <w:szCs w:val="16"/>
          <w:lang w:val="es-PE"/>
        </w:rPr>
        <w:t xml:space="preserve"> ya </w:t>
      </w:r>
      <w:r w:rsidR="004D41BA">
        <w:rPr>
          <w:rFonts w:asciiTheme="majorHAnsi" w:hAnsiTheme="majorHAnsi"/>
          <w:sz w:val="16"/>
          <w:szCs w:val="16"/>
          <w:lang w:val="es-PE"/>
        </w:rPr>
        <w:t xml:space="preserve">no </w:t>
      </w:r>
      <w:r w:rsidR="00FE347E">
        <w:rPr>
          <w:rFonts w:asciiTheme="majorHAnsi" w:hAnsiTheme="majorHAnsi"/>
          <w:sz w:val="16"/>
          <w:szCs w:val="16"/>
          <w:lang w:val="es-PE"/>
        </w:rPr>
        <w:t xml:space="preserve">lo representaba. No obstante, </w:t>
      </w:r>
      <w:r w:rsidR="004D41BA">
        <w:rPr>
          <w:rFonts w:asciiTheme="majorHAnsi" w:hAnsiTheme="majorHAnsi"/>
          <w:sz w:val="16"/>
          <w:szCs w:val="16"/>
          <w:lang w:val="es-PE"/>
        </w:rPr>
        <w:t xml:space="preserve">dado que </w:t>
      </w:r>
      <w:r w:rsidR="008D538D">
        <w:rPr>
          <w:rFonts w:asciiTheme="majorHAnsi" w:hAnsiTheme="majorHAnsi"/>
          <w:sz w:val="16"/>
          <w:szCs w:val="16"/>
          <w:lang w:val="es-PE"/>
        </w:rPr>
        <w:t xml:space="preserve">formulo </w:t>
      </w:r>
      <w:r w:rsidR="004D41BA">
        <w:rPr>
          <w:rFonts w:asciiTheme="majorHAnsi" w:hAnsiTheme="majorHAnsi"/>
          <w:sz w:val="16"/>
          <w:szCs w:val="16"/>
          <w:lang w:val="es-PE"/>
        </w:rPr>
        <w:t>la petición</w:t>
      </w:r>
      <w:r w:rsidR="008D538D">
        <w:rPr>
          <w:rFonts w:asciiTheme="majorHAnsi" w:hAnsiTheme="majorHAnsi"/>
          <w:sz w:val="16"/>
          <w:szCs w:val="16"/>
          <w:lang w:val="es-PE"/>
        </w:rPr>
        <w:t xml:space="preserve"> inicial</w:t>
      </w:r>
      <w:r w:rsidR="004D41BA">
        <w:rPr>
          <w:rFonts w:asciiTheme="majorHAnsi" w:hAnsiTheme="majorHAnsi"/>
          <w:sz w:val="16"/>
          <w:szCs w:val="16"/>
          <w:lang w:val="es-PE"/>
        </w:rPr>
        <w:t xml:space="preserve"> y </w:t>
      </w:r>
      <w:r w:rsidR="008D538D">
        <w:rPr>
          <w:rFonts w:asciiTheme="majorHAnsi" w:hAnsiTheme="majorHAnsi"/>
          <w:sz w:val="16"/>
          <w:szCs w:val="16"/>
          <w:lang w:val="es-PE"/>
        </w:rPr>
        <w:t xml:space="preserve">redactó </w:t>
      </w:r>
      <w:r w:rsidR="004D41BA">
        <w:rPr>
          <w:rFonts w:asciiTheme="majorHAnsi" w:hAnsiTheme="majorHAnsi"/>
          <w:sz w:val="16"/>
          <w:szCs w:val="16"/>
          <w:lang w:val="es-PE"/>
        </w:rPr>
        <w:t xml:space="preserve">los escritos de respuesta, se deja constancia de su participación. </w:t>
      </w:r>
    </w:p>
  </w:footnote>
  <w:footnote w:id="3">
    <w:p w14:paraId="44662D4A" w14:textId="77777777" w:rsidR="005C7C2C" w:rsidRPr="00CF02F2" w:rsidRDefault="005C7C2C" w:rsidP="0032040B">
      <w:pPr>
        <w:pStyle w:val="FootnoteText"/>
        <w:ind w:firstLine="720"/>
        <w:jc w:val="both"/>
        <w:rPr>
          <w:rFonts w:asciiTheme="majorHAnsi" w:hAnsiTheme="majorHAnsi"/>
          <w:sz w:val="16"/>
          <w:szCs w:val="16"/>
          <w:lang w:val="es-ES"/>
        </w:rPr>
      </w:pPr>
      <w:r w:rsidRPr="000B6CF7">
        <w:rPr>
          <w:rStyle w:val="FootnoteReference"/>
          <w:rFonts w:asciiTheme="majorHAnsi" w:hAnsiTheme="majorHAnsi"/>
          <w:sz w:val="16"/>
          <w:szCs w:val="16"/>
        </w:rPr>
        <w:footnoteRef/>
      </w:r>
      <w:r w:rsidRPr="000B6CF7">
        <w:rPr>
          <w:rFonts w:asciiTheme="majorHAnsi" w:hAnsiTheme="majorHAnsi"/>
          <w:sz w:val="16"/>
          <w:szCs w:val="16"/>
          <w:lang w:val="es-ES"/>
        </w:rPr>
        <w:t xml:space="preserve"> Conforme a lo dispuesto en el artículo 17.2.a del Reglamento de la Comisión, </w:t>
      </w:r>
      <w:r>
        <w:rPr>
          <w:rFonts w:asciiTheme="majorHAnsi" w:hAnsiTheme="majorHAnsi"/>
          <w:sz w:val="16"/>
          <w:szCs w:val="16"/>
          <w:lang w:val="es-ES"/>
        </w:rPr>
        <w:t>la Comisionada</w:t>
      </w:r>
      <w:r w:rsidRPr="009D4060">
        <w:rPr>
          <w:rFonts w:asciiTheme="majorHAnsi" w:hAnsiTheme="majorHAnsi"/>
          <w:sz w:val="16"/>
          <w:szCs w:val="16"/>
          <w:lang w:val="es-ES"/>
        </w:rPr>
        <w:t xml:space="preserve"> </w:t>
      </w:r>
      <w:r>
        <w:rPr>
          <w:rFonts w:asciiTheme="majorHAnsi" w:hAnsiTheme="majorHAnsi"/>
          <w:sz w:val="16"/>
          <w:szCs w:val="16"/>
          <w:lang w:val="es-ES"/>
        </w:rPr>
        <w:t>Andrea Pochak</w:t>
      </w:r>
      <w:r w:rsidRPr="009D4060">
        <w:rPr>
          <w:rFonts w:asciiTheme="majorHAnsi" w:hAnsiTheme="majorHAnsi"/>
          <w:sz w:val="16"/>
          <w:szCs w:val="16"/>
          <w:lang w:val="es-ES"/>
        </w:rPr>
        <w:t xml:space="preserve">, de nacionalidad </w:t>
      </w:r>
      <w:r>
        <w:rPr>
          <w:rFonts w:asciiTheme="majorHAnsi" w:hAnsiTheme="majorHAnsi"/>
          <w:sz w:val="16"/>
          <w:szCs w:val="16"/>
          <w:lang w:val="es-ES"/>
        </w:rPr>
        <w:t>argentina</w:t>
      </w:r>
      <w:r w:rsidRPr="009D4060">
        <w:rPr>
          <w:rFonts w:asciiTheme="majorHAnsi" w:hAnsiTheme="majorHAnsi"/>
          <w:sz w:val="16"/>
          <w:szCs w:val="16"/>
          <w:lang w:val="es-ES"/>
        </w:rPr>
        <w:t>,</w:t>
      </w:r>
      <w:r w:rsidRPr="000B6CF7">
        <w:rPr>
          <w:rFonts w:asciiTheme="majorHAnsi" w:hAnsiTheme="majorHAnsi"/>
          <w:sz w:val="16"/>
          <w:szCs w:val="16"/>
          <w:lang w:val="es-ES"/>
        </w:rPr>
        <w:t xml:space="preserve"> no participó en el debate ni en la decisión del presente asunto.</w:t>
      </w:r>
    </w:p>
  </w:footnote>
  <w:footnote w:id="4">
    <w:p w14:paraId="29406379" w14:textId="77777777" w:rsidR="00D57AEE" w:rsidRPr="00E16652" w:rsidRDefault="00D57AEE" w:rsidP="00175FFA">
      <w:pPr>
        <w:pStyle w:val="FootnoteText"/>
        <w:ind w:firstLine="720"/>
        <w:rPr>
          <w:rFonts w:asciiTheme="majorHAnsi" w:hAnsiTheme="majorHAnsi"/>
          <w:sz w:val="16"/>
          <w:szCs w:val="16"/>
          <w:lang w:val="es-BO"/>
        </w:rPr>
      </w:pPr>
      <w:r w:rsidRPr="00E16652">
        <w:rPr>
          <w:rStyle w:val="FootnoteReference"/>
          <w:rFonts w:asciiTheme="majorHAnsi" w:hAnsiTheme="majorHAnsi"/>
          <w:sz w:val="16"/>
          <w:szCs w:val="16"/>
        </w:rPr>
        <w:footnoteRef/>
      </w:r>
      <w:r w:rsidRPr="00E16652">
        <w:rPr>
          <w:rFonts w:asciiTheme="majorHAnsi" w:hAnsiTheme="majorHAnsi"/>
          <w:sz w:val="16"/>
          <w:szCs w:val="16"/>
          <w:lang w:val="es-BO"/>
        </w:rPr>
        <w:t xml:space="preserve"> En adelante “La Convención” o “Convención Americana”.</w:t>
      </w:r>
    </w:p>
  </w:footnote>
  <w:footnote w:id="5">
    <w:p w14:paraId="79F07139" w14:textId="77777777" w:rsidR="008E3BFE" w:rsidRPr="00537490" w:rsidRDefault="008E3BFE" w:rsidP="000337EF">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6">
    <w:p w14:paraId="5A03EA85" w14:textId="77777777" w:rsidR="0011257D" w:rsidRPr="001D4CBE" w:rsidRDefault="0011257D" w:rsidP="0011257D">
      <w:pPr>
        <w:pStyle w:val="FootnoteText"/>
        <w:ind w:firstLine="720"/>
        <w:rPr>
          <w:rFonts w:asciiTheme="majorHAnsi" w:hAnsiTheme="majorHAnsi"/>
          <w:sz w:val="16"/>
          <w:szCs w:val="16"/>
          <w:lang w:val="es-US"/>
        </w:rPr>
      </w:pPr>
      <w:r w:rsidRPr="001D4CBE">
        <w:rPr>
          <w:rStyle w:val="FootnoteReference"/>
          <w:rFonts w:asciiTheme="majorHAnsi" w:hAnsiTheme="majorHAnsi"/>
          <w:sz w:val="16"/>
          <w:szCs w:val="16"/>
        </w:rPr>
        <w:footnoteRef/>
      </w:r>
      <w:r w:rsidRPr="001D4CBE">
        <w:rPr>
          <w:rFonts w:asciiTheme="majorHAnsi" w:hAnsiTheme="majorHAnsi"/>
          <w:sz w:val="16"/>
          <w:szCs w:val="16"/>
          <w:lang w:val="es-PE"/>
        </w:rPr>
        <w:t xml:space="preserve"> CIDH, Informe No. 90/03, Petición 0581/1999. Inadmisibilidad. Gustavo Trujillo González. Perú. 22 de octubre de 2003, párr. </w:t>
      </w:r>
      <w:r w:rsidRPr="00A223A6">
        <w:rPr>
          <w:rFonts w:asciiTheme="majorHAnsi" w:hAnsiTheme="majorHAnsi"/>
          <w:sz w:val="16"/>
          <w:szCs w:val="16"/>
          <w:lang w:val="es-PE"/>
        </w:rPr>
        <w:t>32.</w:t>
      </w:r>
    </w:p>
  </w:footnote>
  <w:footnote w:id="7">
    <w:p w14:paraId="5EE8811E" w14:textId="77777777" w:rsidR="00F66B7E" w:rsidRPr="00E1420C" w:rsidRDefault="00F66B7E" w:rsidP="00F66B7E">
      <w:pPr>
        <w:pStyle w:val="FootnoteText"/>
        <w:ind w:firstLine="720"/>
        <w:jc w:val="both"/>
        <w:rPr>
          <w:rFonts w:asciiTheme="majorHAnsi" w:hAnsiTheme="majorHAnsi"/>
          <w:sz w:val="16"/>
          <w:szCs w:val="16"/>
          <w:lang w:val="es-PE"/>
        </w:rPr>
      </w:pPr>
      <w:r w:rsidRPr="00E072C3">
        <w:rPr>
          <w:rStyle w:val="FootnoteReference"/>
          <w:rFonts w:asciiTheme="majorHAnsi" w:hAnsiTheme="majorHAnsi"/>
          <w:sz w:val="16"/>
          <w:szCs w:val="16"/>
        </w:rPr>
        <w:footnoteRef/>
      </w:r>
      <w:r w:rsidRPr="00E1420C">
        <w:rPr>
          <w:rFonts w:asciiTheme="majorHAnsi" w:hAnsiTheme="majorHAnsi"/>
          <w:sz w:val="16"/>
          <w:szCs w:val="16"/>
          <w:lang w:val="es-PE"/>
        </w:rPr>
        <w:t xml:space="preserve"> CIDH, Informe No. 180/20, Petición 270-11. Admisibilidad. Mateo Amelia Griselda. Argentina. 6 de julio de 2020, párrafos 6, 10, 13.</w:t>
      </w:r>
    </w:p>
  </w:footnote>
  <w:footnote w:id="8">
    <w:p w14:paraId="5F2971A0" w14:textId="77777777" w:rsidR="009B0386" w:rsidRPr="00126C9E" w:rsidRDefault="009B0386" w:rsidP="009B0386">
      <w:pPr>
        <w:pStyle w:val="FootnoteText"/>
        <w:ind w:firstLine="720"/>
        <w:jc w:val="both"/>
        <w:rPr>
          <w:rFonts w:asciiTheme="majorHAnsi" w:hAnsiTheme="majorHAnsi"/>
          <w:color w:val="auto"/>
          <w:sz w:val="16"/>
          <w:szCs w:val="16"/>
          <w:lang w:val="es-ES"/>
        </w:rPr>
      </w:pPr>
      <w:r w:rsidRPr="00126C9E">
        <w:rPr>
          <w:rStyle w:val="FootnoteReference"/>
          <w:rFonts w:asciiTheme="majorHAnsi" w:hAnsiTheme="majorHAnsi"/>
          <w:color w:val="auto"/>
          <w:sz w:val="16"/>
          <w:szCs w:val="16"/>
        </w:rPr>
        <w:footnoteRef/>
      </w:r>
      <w:r w:rsidRPr="00126C9E">
        <w:rPr>
          <w:rFonts w:asciiTheme="majorHAnsi" w:hAnsiTheme="majorHAnsi"/>
          <w:color w:val="auto"/>
          <w:sz w:val="16"/>
          <w:szCs w:val="16"/>
          <w:lang w:val="es-ES"/>
        </w:rPr>
        <w:t xml:space="preserve"> Véase por ejemplo CIDH, Informe No. 56/16. </w:t>
      </w:r>
      <w:r w:rsidRPr="00126C9E">
        <w:rPr>
          <w:rFonts w:asciiTheme="majorHAnsi" w:hAnsiTheme="majorHAnsi"/>
          <w:color w:val="auto"/>
          <w:sz w:val="16"/>
          <w:szCs w:val="16"/>
          <w:lang w:val="es-ES_tradnl"/>
        </w:rPr>
        <w:t xml:space="preserve">Petición 666-03. Admisibilidad. Luis Alberto Leiva. Argentina. </w:t>
      </w:r>
      <w:r w:rsidRPr="00126C9E">
        <w:rPr>
          <w:rFonts w:asciiTheme="majorHAnsi" w:hAnsiTheme="majorHAnsi"/>
          <w:color w:val="auto"/>
          <w:sz w:val="16"/>
          <w:szCs w:val="16"/>
          <w:lang w:val="es-ES"/>
        </w:rPr>
        <w:t xml:space="preserve">6 de diciembre de 2016, párr. 25. </w:t>
      </w:r>
      <w:bookmarkStart w:id="2" w:name="_Hlk113360759"/>
    </w:p>
    <w:bookmarkEnd w:id="2"/>
  </w:footnote>
  <w:footnote w:id="9">
    <w:p w14:paraId="53F90142" w14:textId="77777777" w:rsidR="009B0386" w:rsidRPr="00126C9E" w:rsidRDefault="009B0386" w:rsidP="009B0386">
      <w:pPr>
        <w:pStyle w:val="FootnoteText"/>
        <w:ind w:firstLine="720"/>
        <w:jc w:val="both"/>
        <w:rPr>
          <w:rFonts w:asciiTheme="majorHAnsi" w:hAnsiTheme="majorHAnsi"/>
          <w:sz w:val="16"/>
          <w:szCs w:val="16"/>
          <w:lang w:val="es-US"/>
        </w:rPr>
      </w:pPr>
      <w:r w:rsidRPr="00126C9E">
        <w:rPr>
          <w:rStyle w:val="FootnoteReference"/>
          <w:rFonts w:asciiTheme="majorHAnsi" w:hAnsiTheme="majorHAnsi"/>
          <w:sz w:val="16"/>
          <w:szCs w:val="16"/>
        </w:rPr>
        <w:footnoteRef/>
      </w:r>
      <w:r w:rsidRPr="00126C9E">
        <w:rPr>
          <w:rFonts w:asciiTheme="majorHAnsi" w:hAnsiTheme="majorHAnsi"/>
          <w:sz w:val="16"/>
          <w:szCs w:val="16"/>
          <w:lang w:val="es-US"/>
        </w:rPr>
        <w:t xml:space="preserve"> CIDH, Informe No. 79/08, Petición 95-01. Admisibilidad. Marcos Alejandro Martin. Argentina. 17 de octubre de 2008, párr. 27.</w:t>
      </w:r>
    </w:p>
  </w:footnote>
  <w:footnote w:id="10">
    <w:p w14:paraId="12B21DAA" w14:textId="77777777" w:rsidR="009B0386" w:rsidRPr="00B10BE6" w:rsidRDefault="009B0386" w:rsidP="009B0386">
      <w:pPr>
        <w:pStyle w:val="FootnoteText"/>
        <w:ind w:firstLine="720"/>
        <w:jc w:val="both"/>
        <w:rPr>
          <w:rFonts w:asciiTheme="majorHAnsi" w:hAnsiTheme="majorHAnsi"/>
          <w:sz w:val="16"/>
          <w:szCs w:val="16"/>
          <w:lang w:val="es-US"/>
        </w:rPr>
      </w:pPr>
      <w:r w:rsidRPr="00B10BE6">
        <w:rPr>
          <w:rStyle w:val="FootnoteReference"/>
          <w:rFonts w:asciiTheme="majorHAnsi" w:hAnsiTheme="majorHAnsi"/>
          <w:sz w:val="16"/>
          <w:szCs w:val="16"/>
        </w:rPr>
        <w:footnoteRef/>
      </w:r>
      <w:r w:rsidRPr="00CA2CDB">
        <w:rPr>
          <w:rFonts w:asciiTheme="majorHAnsi" w:hAnsiTheme="majorHAnsi"/>
          <w:sz w:val="16"/>
          <w:szCs w:val="16"/>
          <w:lang w:val="pt-BR"/>
        </w:rPr>
        <w:t xml:space="preserve"> </w:t>
      </w:r>
      <w:r w:rsidRPr="00CA2CDB">
        <w:rPr>
          <w:rFonts w:asciiTheme="majorHAnsi" w:hAnsiTheme="majorHAnsi"/>
          <w:color w:val="auto"/>
          <w:sz w:val="16"/>
          <w:szCs w:val="16"/>
          <w:lang w:val="pt-BR"/>
        </w:rPr>
        <w:t xml:space="preserve">Corte IDH, </w:t>
      </w:r>
      <w:r w:rsidRPr="00CA2CDB">
        <w:rPr>
          <w:rFonts w:asciiTheme="majorHAnsi" w:hAnsiTheme="majorHAnsi"/>
          <w:i/>
          <w:color w:val="auto"/>
          <w:sz w:val="16"/>
          <w:szCs w:val="16"/>
          <w:lang w:val="pt-BR"/>
        </w:rPr>
        <w:t xml:space="preserve">Caso Mémoli vs. Argentina. </w:t>
      </w:r>
      <w:r w:rsidRPr="00B10BE6">
        <w:rPr>
          <w:rFonts w:asciiTheme="majorHAnsi" w:hAnsiTheme="majorHAnsi"/>
          <w:color w:val="auto"/>
          <w:sz w:val="16"/>
          <w:szCs w:val="16"/>
          <w:lang w:val="es-ES"/>
        </w:rPr>
        <w:t xml:space="preserve">Excepciones Preliminares, </w:t>
      </w:r>
      <w:r w:rsidRPr="00B10BE6">
        <w:rPr>
          <w:rFonts w:asciiTheme="majorHAnsi" w:hAnsiTheme="majorHAnsi"/>
          <w:color w:val="auto"/>
          <w:sz w:val="16"/>
          <w:szCs w:val="16"/>
          <w:lang w:val="es-CO"/>
        </w:rPr>
        <w:t>Fondo, Reparaciones y Costas. Sentencia de 22 de agosto de 2013</w:t>
      </w:r>
      <w:r>
        <w:rPr>
          <w:rFonts w:asciiTheme="majorHAnsi" w:hAnsiTheme="majorHAnsi"/>
          <w:color w:val="auto"/>
          <w:sz w:val="16"/>
          <w:szCs w:val="16"/>
          <w:lang w:val="es-CO"/>
        </w:rPr>
        <w:t>,</w:t>
      </w:r>
      <w:r w:rsidRPr="00B10BE6">
        <w:rPr>
          <w:rFonts w:asciiTheme="majorHAnsi" w:hAnsiTheme="majorHAnsi"/>
          <w:color w:val="auto"/>
          <w:sz w:val="16"/>
          <w:szCs w:val="16"/>
          <w:lang w:val="es-CO"/>
        </w:rPr>
        <w:t xml:space="preserve"> Serie C No. 295, </w:t>
      </w:r>
      <w:r w:rsidRPr="00B10BE6">
        <w:rPr>
          <w:rFonts w:asciiTheme="majorHAnsi" w:hAnsiTheme="majorHAnsi"/>
          <w:color w:val="auto"/>
          <w:sz w:val="16"/>
          <w:szCs w:val="16"/>
          <w:lang w:val="es-AR"/>
        </w:rPr>
        <w:t>p</w:t>
      </w:r>
      <w:r w:rsidRPr="00B10BE6">
        <w:rPr>
          <w:rFonts w:asciiTheme="majorHAnsi" w:hAnsiTheme="majorHAnsi"/>
          <w:color w:val="auto"/>
          <w:sz w:val="16"/>
          <w:szCs w:val="16"/>
          <w:lang w:val="es-ES_tradnl"/>
        </w:rPr>
        <w:t>árr.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98486C"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EB0851EA"/>
    <w:lvl w:ilvl="0" w:tplc="D518AAB2">
      <w:start w:val="1"/>
      <w:numFmt w:val="decimal"/>
      <w:lvlText w:val="%1."/>
      <w:lvlJc w:val="left"/>
      <w:pPr>
        <w:tabs>
          <w:tab w:val="num" w:pos="720"/>
        </w:tabs>
        <w:ind w:left="0" w:firstLine="720"/>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4"/>
  </w:num>
  <w:num w:numId="93" w16cid:durableId="49690932">
    <w:abstractNumId w:val="66"/>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5"/>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29A7"/>
    <w:rsid w:val="00006E1F"/>
    <w:rsid w:val="000070D7"/>
    <w:rsid w:val="0001788C"/>
    <w:rsid w:val="000337EF"/>
    <w:rsid w:val="00040C3A"/>
    <w:rsid w:val="000419AD"/>
    <w:rsid w:val="000433C9"/>
    <w:rsid w:val="00057BA7"/>
    <w:rsid w:val="000661E1"/>
    <w:rsid w:val="000716C5"/>
    <w:rsid w:val="00072E5F"/>
    <w:rsid w:val="00075E23"/>
    <w:rsid w:val="00082AC0"/>
    <w:rsid w:val="0009344A"/>
    <w:rsid w:val="000A1974"/>
    <w:rsid w:val="000A30E4"/>
    <w:rsid w:val="000A392E"/>
    <w:rsid w:val="000A575F"/>
    <w:rsid w:val="000A5E48"/>
    <w:rsid w:val="000A6766"/>
    <w:rsid w:val="000B062C"/>
    <w:rsid w:val="000B464E"/>
    <w:rsid w:val="000B7A79"/>
    <w:rsid w:val="000D05CB"/>
    <w:rsid w:val="000D10DB"/>
    <w:rsid w:val="000D4ECC"/>
    <w:rsid w:val="000E49F1"/>
    <w:rsid w:val="000E5EB5"/>
    <w:rsid w:val="000E63D4"/>
    <w:rsid w:val="000F35ED"/>
    <w:rsid w:val="00107131"/>
    <w:rsid w:val="0010736F"/>
    <w:rsid w:val="0011257D"/>
    <w:rsid w:val="00113F73"/>
    <w:rsid w:val="00121CC2"/>
    <w:rsid w:val="001261E1"/>
    <w:rsid w:val="00131425"/>
    <w:rsid w:val="00133EE5"/>
    <w:rsid w:val="001364CD"/>
    <w:rsid w:val="00144D5C"/>
    <w:rsid w:val="001459FB"/>
    <w:rsid w:val="001668B5"/>
    <w:rsid w:val="00166B84"/>
    <w:rsid w:val="00167A34"/>
    <w:rsid w:val="00175181"/>
    <w:rsid w:val="00175FFA"/>
    <w:rsid w:val="0019566B"/>
    <w:rsid w:val="001A7870"/>
    <w:rsid w:val="001B3A00"/>
    <w:rsid w:val="001C1B41"/>
    <w:rsid w:val="001D2288"/>
    <w:rsid w:val="001D65EF"/>
    <w:rsid w:val="001D7945"/>
    <w:rsid w:val="001E3D90"/>
    <w:rsid w:val="001E49E7"/>
    <w:rsid w:val="001E5DE0"/>
    <w:rsid w:val="001F7201"/>
    <w:rsid w:val="0021677F"/>
    <w:rsid w:val="00223A29"/>
    <w:rsid w:val="002250A3"/>
    <w:rsid w:val="00233B0B"/>
    <w:rsid w:val="00233B29"/>
    <w:rsid w:val="00235217"/>
    <w:rsid w:val="002469D2"/>
    <w:rsid w:val="00246D1F"/>
    <w:rsid w:val="00247403"/>
    <w:rsid w:val="00247542"/>
    <w:rsid w:val="00250E0C"/>
    <w:rsid w:val="0026020D"/>
    <w:rsid w:val="00266B61"/>
    <w:rsid w:val="0026712A"/>
    <w:rsid w:val="002704DB"/>
    <w:rsid w:val="002A0AAE"/>
    <w:rsid w:val="002A5820"/>
    <w:rsid w:val="002B453F"/>
    <w:rsid w:val="002B4B34"/>
    <w:rsid w:val="002B5729"/>
    <w:rsid w:val="002C4423"/>
    <w:rsid w:val="002D2B26"/>
    <w:rsid w:val="002D7EA2"/>
    <w:rsid w:val="002E187C"/>
    <w:rsid w:val="0030077E"/>
    <w:rsid w:val="00302733"/>
    <w:rsid w:val="00306BDC"/>
    <w:rsid w:val="00314078"/>
    <w:rsid w:val="0031535D"/>
    <w:rsid w:val="003239B8"/>
    <w:rsid w:val="0033169F"/>
    <w:rsid w:val="00331A2E"/>
    <w:rsid w:val="00344977"/>
    <w:rsid w:val="00346C95"/>
    <w:rsid w:val="00354DD7"/>
    <w:rsid w:val="00356185"/>
    <w:rsid w:val="00360380"/>
    <w:rsid w:val="00361A7C"/>
    <w:rsid w:val="003638C0"/>
    <w:rsid w:val="00366BE1"/>
    <w:rsid w:val="00371447"/>
    <w:rsid w:val="0037519E"/>
    <w:rsid w:val="003752FD"/>
    <w:rsid w:val="00376BDB"/>
    <w:rsid w:val="00377D78"/>
    <w:rsid w:val="003804F9"/>
    <w:rsid w:val="003834DC"/>
    <w:rsid w:val="00384B50"/>
    <w:rsid w:val="00386CF0"/>
    <w:rsid w:val="00390CCF"/>
    <w:rsid w:val="003B1B44"/>
    <w:rsid w:val="003B3716"/>
    <w:rsid w:val="003B70FB"/>
    <w:rsid w:val="003C1D6B"/>
    <w:rsid w:val="003C2239"/>
    <w:rsid w:val="003C676B"/>
    <w:rsid w:val="003D1E0A"/>
    <w:rsid w:val="003D3BC2"/>
    <w:rsid w:val="003E1339"/>
    <w:rsid w:val="003E6CA1"/>
    <w:rsid w:val="003F6DEF"/>
    <w:rsid w:val="004035CF"/>
    <w:rsid w:val="00405F9C"/>
    <w:rsid w:val="004065A8"/>
    <w:rsid w:val="004165C2"/>
    <w:rsid w:val="004166F8"/>
    <w:rsid w:val="00436B39"/>
    <w:rsid w:val="00441524"/>
    <w:rsid w:val="00441E0D"/>
    <w:rsid w:val="00441ECB"/>
    <w:rsid w:val="00445193"/>
    <w:rsid w:val="00446F8F"/>
    <w:rsid w:val="00451127"/>
    <w:rsid w:val="00453FA0"/>
    <w:rsid w:val="00462C1B"/>
    <w:rsid w:val="00463B68"/>
    <w:rsid w:val="00467B7E"/>
    <w:rsid w:val="00473BB4"/>
    <w:rsid w:val="00477592"/>
    <w:rsid w:val="004825D2"/>
    <w:rsid w:val="004853E7"/>
    <w:rsid w:val="00486F1C"/>
    <w:rsid w:val="0049419D"/>
    <w:rsid w:val="004976DC"/>
    <w:rsid w:val="004A0023"/>
    <w:rsid w:val="004A538E"/>
    <w:rsid w:val="004A5CB8"/>
    <w:rsid w:val="004A6A54"/>
    <w:rsid w:val="004B04E5"/>
    <w:rsid w:val="004B057E"/>
    <w:rsid w:val="004B6F65"/>
    <w:rsid w:val="004B76F4"/>
    <w:rsid w:val="004C10B9"/>
    <w:rsid w:val="004C20D2"/>
    <w:rsid w:val="004C2312"/>
    <w:rsid w:val="004C4B62"/>
    <w:rsid w:val="004C54C9"/>
    <w:rsid w:val="004D0ADB"/>
    <w:rsid w:val="004D41BA"/>
    <w:rsid w:val="004D4ABA"/>
    <w:rsid w:val="004D6025"/>
    <w:rsid w:val="004E2649"/>
    <w:rsid w:val="004F5F90"/>
    <w:rsid w:val="004F626F"/>
    <w:rsid w:val="00501399"/>
    <w:rsid w:val="0050633D"/>
    <w:rsid w:val="005074EF"/>
    <w:rsid w:val="00507BC4"/>
    <w:rsid w:val="005128E4"/>
    <w:rsid w:val="005133DB"/>
    <w:rsid w:val="00514504"/>
    <w:rsid w:val="005224BE"/>
    <w:rsid w:val="0052527A"/>
    <w:rsid w:val="00525560"/>
    <w:rsid w:val="0053286F"/>
    <w:rsid w:val="00544C49"/>
    <w:rsid w:val="005516A1"/>
    <w:rsid w:val="005559EF"/>
    <w:rsid w:val="005564B7"/>
    <w:rsid w:val="00563557"/>
    <w:rsid w:val="00573144"/>
    <w:rsid w:val="0057402A"/>
    <w:rsid w:val="005771D0"/>
    <w:rsid w:val="005774A5"/>
    <w:rsid w:val="0059191A"/>
    <w:rsid w:val="005921FF"/>
    <w:rsid w:val="005A24ED"/>
    <w:rsid w:val="005A254F"/>
    <w:rsid w:val="005A6D0E"/>
    <w:rsid w:val="005B52B0"/>
    <w:rsid w:val="005B6806"/>
    <w:rsid w:val="005C4225"/>
    <w:rsid w:val="005C7C2C"/>
    <w:rsid w:val="005D10B0"/>
    <w:rsid w:val="005D2931"/>
    <w:rsid w:val="005D38F9"/>
    <w:rsid w:val="005E7030"/>
    <w:rsid w:val="005F0DAD"/>
    <w:rsid w:val="005F0F33"/>
    <w:rsid w:val="005F6ECE"/>
    <w:rsid w:val="00600DEB"/>
    <w:rsid w:val="00614E9F"/>
    <w:rsid w:val="00627C9F"/>
    <w:rsid w:val="006311E9"/>
    <w:rsid w:val="00632354"/>
    <w:rsid w:val="00635421"/>
    <w:rsid w:val="00642810"/>
    <w:rsid w:val="00643B64"/>
    <w:rsid w:val="00652333"/>
    <w:rsid w:val="0066541C"/>
    <w:rsid w:val="0068009E"/>
    <w:rsid w:val="00692219"/>
    <w:rsid w:val="006A05B8"/>
    <w:rsid w:val="006A17D2"/>
    <w:rsid w:val="006A73E6"/>
    <w:rsid w:val="006B2D5C"/>
    <w:rsid w:val="006C4EB1"/>
    <w:rsid w:val="006D4167"/>
    <w:rsid w:val="006D5468"/>
    <w:rsid w:val="006D5B19"/>
    <w:rsid w:val="006E0166"/>
    <w:rsid w:val="006E2FFB"/>
    <w:rsid w:val="006E7A00"/>
    <w:rsid w:val="006E7B34"/>
    <w:rsid w:val="006F14E6"/>
    <w:rsid w:val="0070697F"/>
    <w:rsid w:val="00710044"/>
    <w:rsid w:val="0072199C"/>
    <w:rsid w:val="00722C9F"/>
    <w:rsid w:val="007253B8"/>
    <w:rsid w:val="00726FC3"/>
    <w:rsid w:val="0073741F"/>
    <w:rsid w:val="00756835"/>
    <w:rsid w:val="0076643F"/>
    <w:rsid w:val="00770AF7"/>
    <w:rsid w:val="007742B6"/>
    <w:rsid w:val="00777F63"/>
    <w:rsid w:val="00781632"/>
    <w:rsid w:val="00787611"/>
    <w:rsid w:val="007914FA"/>
    <w:rsid w:val="00795B52"/>
    <w:rsid w:val="007A5817"/>
    <w:rsid w:val="007A5D4F"/>
    <w:rsid w:val="007B05C4"/>
    <w:rsid w:val="007B3F83"/>
    <w:rsid w:val="007B5A23"/>
    <w:rsid w:val="007B60E9"/>
    <w:rsid w:val="007B6CC3"/>
    <w:rsid w:val="007B76D3"/>
    <w:rsid w:val="007C3334"/>
    <w:rsid w:val="007C4838"/>
    <w:rsid w:val="007C69FB"/>
    <w:rsid w:val="007C7E8C"/>
    <w:rsid w:val="007D2B98"/>
    <w:rsid w:val="007E21BC"/>
    <w:rsid w:val="007E68B6"/>
    <w:rsid w:val="007E7C82"/>
    <w:rsid w:val="007F2AA1"/>
    <w:rsid w:val="007F4A6C"/>
    <w:rsid w:val="007F588D"/>
    <w:rsid w:val="00803F1C"/>
    <w:rsid w:val="0080600E"/>
    <w:rsid w:val="00807D61"/>
    <w:rsid w:val="008122A2"/>
    <w:rsid w:val="00813027"/>
    <w:rsid w:val="00814688"/>
    <w:rsid w:val="00815A17"/>
    <w:rsid w:val="00817612"/>
    <w:rsid w:val="00817B10"/>
    <w:rsid w:val="0083100C"/>
    <w:rsid w:val="008338A4"/>
    <w:rsid w:val="00834D49"/>
    <w:rsid w:val="00837C45"/>
    <w:rsid w:val="00844730"/>
    <w:rsid w:val="008457C2"/>
    <w:rsid w:val="00850058"/>
    <w:rsid w:val="00855519"/>
    <w:rsid w:val="00855678"/>
    <w:rsid w:val="00857A82"/>
    <w:rsid w:val="00867314"/>
    <w:rsid w:val="00873836"/>
    <w:rsid w:val="008818DB"/>
    <w:rsid w:val="00885737"/>
    <w:rsid w:val="00886EAC"/>
    <w:rsid w:val="00890650"/>
    <w:rsid w:val="00891955"/>
    <w:rsid w:val="00897E12"/>
    <w:rsid w:val="008A2752"/>
    <w:rsid w:val="008A5BB5"/>
    <w:rsid w:val="008A7E0F"/>
    <w:rsid w:val="008B12F5"/>
    <w:rsid w:val="008B251B"/>
    <w:rsid w:val="008C28EE"/>
    <w:rsid w:val="008C5E2D"/>
    <w:rsid w:val="008D538D"/>
    <w:rsid w:val="008D768D"/>
    <w:rsid w:val="008E302B"/>
    <w:rsid w:val="008E3759"/>
    <w:rsid w:val="008E3BFE"/>
    <w:rsid w:val="008E784E"/>
    <w:rsid w:val="008F1912"/>
    <w:rsid w:val="0090270B"/>
    <w:rsid w:val="009041DC"/>
    <w:rsid w:val="00917B5A"/>
    <w:rsid w:val="00917F35"/>
    <w:rsid w:val="00920A58"/>
    <w:rsid w:val="00920A8C"/>
    <w:rsid w:val="00932F9B"/>
    <w:rsid w:val="00934A2C"/>
    <w:rsid w:val="0094262A"/>
    <w:rsid w:val="00952ABB"/>
    <w:rsid w:val="00955CCE"/>
    <w:rsid w:val="00963C34"/>
    <w:rsid w:val="009643AE"/>
    <w:rsid w:val="0096706E"/>
    <w:rsid w:val="00974491"/>
    <w:rsid w:val="00974A96"/>
    <w:rsid w:val="00975C4E"/>
    <w:rsid w:val="0098021A"/>
    <w:rsid w:val="00981FBA"/>
    <w:rsid w:val="0098486C"/>
    <w:rsid w:val="00993787"/>
    <w:rsid w:val="00997BC5"/>
    <w:rsid w:val="009A4F41"/>
    <w:rsid w:val="009A5B42"/>
    <w:rsid w:val="009B0386"/>
    <w:rsid w:val="009B381B"/>
    <w:rsid w:val="009D1753"/>
    <w:rsid w:val="009D7611"/>
    <w:rsid w:val="009E0B61"/>
    <w:rsid w:val="009E53DE"/>
    <w:rsid w:val="009E5A46"/>
    <w:rsid w:val="00A012BA"/>
    <w:rsid w:val="00A07D1C"/>
    <w:rsid w:val="00A11212"/>
    <w:rsid w:val="00A11C09"/>
    <w:rsid w:val="00A11E44"/>
    <w:rsid w:val="00A13979"/>
    <w:rsid w:val="00A22096"/>
    <w:rsid w:val="00A223A6"/>
    <w:rsid w:val="00A23907"/>
    <w:rsid w:val="00A30100"/>
    <w:rsid w:val="00A328B3"/>
    <w:rsid w:val="00A37B27"/>
    <w:rsid w:val="00A41AF9"/>
    <w:rsid w:val="00A4431A"/>
    <w:rsid w:val="00A50FCF"/>
    <w:rsid w:val="00A528D1"/>
    <w:rsid w:val="00A52DCC"/>
    <w:rsid w:val="00A55CB3"/>
    <w:rsid w:val="00A610CD"/>
    <w:rsid w:val="00A758AA"/>
    <w:rsid w:val="00A85931"/>
    <w:rsid w:val="00A865A9"/>
    <w:rsid w:val="00A9153E"/>
    <w:rsid w:val="00AA09A2"/>
    <w:rsid w:val="00AA141A"/>
    <w:rsid w:val="00AA4AF7"/>
    <w:rsid w:val="00AA52AC"/>
    <w:rsid w:val="00AA7996"/>
    <w:rsid w:val="00AC19CB"/>
    <w:rsid w:val="00AC4441"/>
    <w:rsid w:val="00AE1463"/>
    <w:rsid w:val="00AE5488"/>
    <w:rsid w:val="00AE6F91"/>
    <w:rsid w:val="00AF5571"/>
    <w:rsid w:val="00B07341"/>
    <w:rsid w:val="00B1062B"/>
    <w:rsid w:val="00B11747"/>
    <w:rsid w:val="00B16A8C"/>
    <w:rsid w:val="00B30539"/>
    <w:rsid w:val="00B314DB"/>
    <w:rsid w:val="00B361F2"/>
    <w:rsid w:val="00B3718B"/>
    <w:rsid w:val="00B3745F"/>
    <w:rsid w:val="00B45ED7"/>
    <w:rsid w:val="00B4632A"/>
    <w:rsid w:val="00B530F1"/>
    <w:rsid w:val="00B53DB9"/>
    <w:rsid w:val="00B62C70"/>
    <w:rsid w:val="00B63149"/>
    <w:rsid w:val="00B67A44"/>
    <w:rsid w:val="00B95335"/>
    <w:rsid w:val="00BA276C"/>
    <w:rsid w:val="00BB306F"/>
    <w:rsid w:val="00BC0DD9"/>
    <w:rsid w:val="00BC1D61"/>
    <w:rsid w:val="00BD06E2"/>
    <w:rsid w:val="00BD2A80"/>
    <w:rsid w:val="00BD36D6"/>
    <w:rsid w:val="00BD3E5C"/>
    <w:rsid w:val="00BD4B89"/>
    <w:rsid w:val="00BD5530"/>
    <w:rsid w:val="00BD5922"/>
    <w:rsid w:val="00BE6889"/>
    <w:rsid w:val="00BF02CB"/>
    <w:rsid w:val="00BF26A6"/>
    <w:rsid w:val="00BF6FD8"/>
    <w:rsid w:val="00C00840"/>
    <w:rsid w:val="00C03562"/>
    <w:rsid w:val="00C03680"/>
    <w:rsid w:val="00C054DF"/>
    <w:rsid w:val="00C21762"/>
    <w:rsid w:val="00C21FEF"/>
    <w:rsid w:val="00C23BA4"/>
    <w:rsid w:val="00C24543"/>
    <w:rsid w:val="00C256A2"/>
    <w:rsid w:val="00C25ADB"/>
    <w:rsid w:val="00C41286"/>
    <w:rsid w:val="00C466A2"/>
    <w:rsid w:val="00C51515"/>
    <w:rsid w:val="00C5660B"/>
    <w:rsid w:val="00C612AD"/>
    <w:rsid w:val="00C66B72"/>
    <w:rsid w:val="00C741C1"/>
    <w:rsid w:val="00C74FBC"/>
    <w:rsid w:val="00C87AC4"/>
    <w:rsid w:val="00C87FB2"/>
    <w:rsid w:val="00C93EE5"/>
    <w:rsid w:val="00C94CA8"/>
    <w:rsid w:val="00C9567A"/>
    <w:rsid w:val="00CA19AF"/>
    <w:rsid w:val="00CA2CDB"/>
    <w:rsid w:val="00CB212D"/>
    <w:rsid w:val="00CB2660"/>
    <w:rsid w:val="00CC442D"/>
    <w:rsid w:val="00CC5E90"/>
    <w:rsid w:val="00CD046C"/>
    <w:rsid w:val="00CD0F90"/>
    <w:rsid w:val="00CD1C5B"/>
    <w:rsid w:val="00CD3C72"/>
    <w:rsid w:val="00CD6C78"/>
    <w:rsid w:val="00CE01D4"/>
    <w:rsid w:val="00CE076C"/>
    <w:rsid w:val="00CE13B3"/>
    <w:rsid w:val="00CE34C7"/>
    <w:rsid w:val="00CE5199"/>
    <w:rsid w:val="00CE66D5"/>
    <w:rsid w:val="00CF637A"/>
    <w:rsid w:val="00D03DB5"/>
    <w:rsid w:val="00D059DE"/>
    <w:rsid w:val="00D05ABD"/>
    <w:rsid w:val="00D13530"/>
    <w:rsid w:val="00D13FCE"/>
    <w:rsid w:val="00D306D1"/>
    <w:rsid w:val="00D30800"/>
    <w:rsid w:val="00D34786"/>
    <w:rsid w:val="00D37BFC"/>
    <w:rsid w:val="00D47A8E"/>
    <w:rsid w:val="00D52D14"/>
    <w:rsid w:val="00D57AEE"/>
    <w:rsid w:val="00D61BF7"/>
    <w:rsid w:val="00D712D3"/>
    <w:rsid w:val="00D71422"/>
    <w:rsid w:val="00D72DC6"/>
    <w:rsid w:val="00D7341A"/>
    <w:rsid w:val="00D7412B"/>
    <w:rsid w:val="00D74C0A"/>
    <w:rsid w:val="00D7558D"/>
    <w:rsid w:val="00D80E1F"/>
    <w:rsid w:val="00D81D92"/>
    <w:rsid w:val="00D839AA"/>
    <w:rsid w:val="00D876F9"/>
    <w:rsid w:val="00DA64C8"/>
    <w:rsid w:val="00DA7B5F"/>
    <w:rsid w:val="00DC0647"/>
    <w:rsid w:val="00DC11E7"/>
    <w:rsid w:val="00DC24E3"/>
    <w:rsid w:val="00DC7023"/>
    <w:rsid w:val="00DC769A"/>
    <w:rsid w:val="00DD36ED"/>
    <w:rsid w:val="00DD3D86"/>
    <w:rsid w:val="00DD4AD2"/>
    <w:rsid w:val="00DE3F29"/>
    <w:rsid w:val="00DE6882"/>
    <w:rsid w:val="00DF1EC4"/>
    <w:rsid w:val="00E0340B"/>
    <w:rsid w:val="00E04A90"/>
    <w:rsid w:val="00E0551F"/>
    <w:rsid w:val="00E1420C"/>
    <w:rsid w:val="00E219C7"/>
    <w:rsid w:val="00E4118C"/>
    <w:rsid w:val="00E43157"/>
    <w:rsid w:val="00E461CE"/>
    <w:rsid w:val="00E5148D"/>
    <w:rsid w:val="00E54D28"/>
    <w:rsid w:val="00E573E4"/>
    <w:rsid w:val="00E64C3D"/>
    <w:rsid w:val="00E67C67"/>
    <w:rsid w:val="00E720CA"/>
    <w:rsid w:val="00E82DDC"/>
    <w:rsid w:val="00E84EB5"/>
    <w:rsid w:val="00E85662"/>
    <w:rsid w:val="00E8789F"/>
    <w:rsid w:val="00E93E7B"/>
    <w:rsid w:val="00E95CDD"/>
    <w:rsid w:val="00E97798"/>
    <w:rsid w:val="00E97B0B"/>
    <w:rsid w:val="00E97B71"/>
    <w:rsid w:val="00EA3D34"/>
    <w:rsid w:val="00EA555A"/>
    <w:rsid w:val="00EA7BED"/>
    <w:rsid w:val="00EB197F"/>
    <w:rsid w:val="00EB454D"/>
    <w:rsid w:val="00EB669D"/>
    <w:rsid w:val="00EC46C7"/>
    <w:rsid w:val="00ED549D"/>
    <w:rsid w:val="00ED5FDA"/>
    <w:rsid w:val="00ED76BE"/>
    <w:rsid w:val="00EE00E9"/>
    <w:rsid w:val="00EF1AAA"/>
    <w:rsid w:val="00EF3350"/>
    <w:rsid w:val="00EF57C7"/>
    <w:rsid w:val="00EF619B"/>
    <w:rsid w:val="00EF76F5"/>
    <w:rsid w:val="00F00B55"/>
    <w:rsid w:val="00F02AD1"/>
    <w:rsid w:val="00F04E9C"/>
    <w:rsid w:val="00F17080"/>
    <w:rsid w:val="00F253CC"/>
    <w:rsid w:val="00F26CAF"/>
    <w:rsid w:val="00F37106"/>
    <w:rsid w:val="00F44E25"/>
    <w:rsid w:val="00F47909"/>
    <w:rsid w:val="00F519CF"/>
    <w:rsid w:val="00F556E8"/>
    <w:rsid w:val="00F56BA5"/>
    <w:rsid w:val="00F60E22"/>
    <w:rsid w:val="00F669A1"/>
    <w:rsid w:val="00F66B7E"/>
    <w:rsid w:val="00F736AA"/>
    <w:rsid w:val="00F743F7"/>
    <w:rsid w:val="00F81395"/>
    <w:rsid w:val="00F81BB8"/>
    <w:rsid w:val="00F87E78"/>
    <w:rsid w:val="00F90C64"/>
    <w:rsid w:val="00F917D1"/>
    <w:rsid w:val="00F9653B"/>
    <w:rsid w:val="00FB62CF"/>
    <w:rsid w:val="00FD3C3B"/>
    <w:rsid w:val="00FE07DD"/>
    <w:rsid w:val="00FE12AF"/>
    <w:rsid w:val="00FE1A7A"/>
    <w:rsid w:val="00FE347E"/>
    <w:rsid w:val="00FE6B45"/>
    <w:rsid w:val="00FF521B"/>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5C7C2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7B5A23"/>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BE6889"/>
    <w:rPr>
      <w:sz w:val="16"/>
      <w:szCs w:val="16"/>
    </w:rPr>
  </w:style>
  <w:style w:type="paragraph" w:styleId="CommentText">
    <w:name w:val="annotation text"/>
    <w:basedOn w:val="Normal"/>
    <w:link w:val="CommentTextChar"/>
    <w:uiPriority w:val="99"/>
    <w:unhideWhenUsed/>
    <w:rsid w:val="00BE6889"/>
    <w:rPr>
      <w:sz w:val="20"/>
      <w:szCs w:val="20"/>
    </w:rPr>
  </w:style>
  <w:style w:type="character" w:customStyle="1" w:styleId="CommentTextChar">
    <w:name w:val="Comment Text Char"/>
    <w:basedOn w:val="DefaultParagraphFont"/>
    <w:link w:val="CommentText"/>
    <w:uiPriority w:val="99"/>
    <w:rsid w:val="00BE6889"/>
    <w:rPr>
      <w:lang w:val="en-US" w:eastAsia="en-US"/>
    </w:rPr>
  </w:style>
  <w:style w:type="paragraph" w:styleId="CommentSubject">
    <w:name w:val="annotation subject"/>
    <w:basedOn w:val="CommentText"/>
    <w:next w:val="CommentText"/>
    <w:link w:val="CommentSubjectChar"/>
    <w:uiPriority w:val="99"/>
    <w:semiHidden/>
    <w:unhideWhenUsed/>
    <w:rsid w:val="00BE6889"/>
    <w:rPr>
      <w:b/>
      <w:bCs/>
    </w:rPr>
  </w:style>
  <w:style w:type="character" w:customStyle="1" w:styleId="CommentSubjectChar">
    <w:name w:val="Comment Subject Char"/>
    <w:basedOn w:val="CommentTextChar"/>
    <w:link w:val="CommentSubject"/>
    <w:uiPriority w:val="99"/>
    <w:semiHidden/>
    <w:rsid w:val="00BE6889"/>
    <w:rPr>
      <w:b/>
      <w:bCs/>
      <w:lang w:val="en-US" w:eastAsia="en-US"/>
    </w:rPr>
  </w:style>
  <w:style w:type="paragraph" w:styleId="Revision">
    <w:name w:val="Revision"/>
    <w:hidden/>
    <w:uiPriority w:val="99"/>
    <w:semiHidden/>
    <w:rsid w:val="00354DD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B62C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62C70"/>
  </w:style>
  <w:style w:type="character" w:customStyle="1" w:styleId="eop">
    <w:name w:val="eop"/>
    <w:basedOn w:val="DefaultParagraphFont"/>
    <w:rsid w:val="00B62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18356">
      <w:bodyDiv w:val="1"/>
      <w:marLeft w:val="0"/>
      <w:marRight w:val="0"/>
      <w:marTop w:val="0"/>
      <w:marBottom w:val="0"/>
      <w:divBdr>
        <w:top w:val="none" w:sz="0" w:space="0" w:color="auto"/>
        <w:left w:val="none" w:sz="0" w:space="0" w:color="auto"/>
        <w:bottom w:val="none" w:sz="0" w:space="0" w:color="auto"/>
        <w:right w:val="none" w:sz="0" w:space="0" w:color="auto"/>
      </w:divBdr>
    </w:div>
    <w:div w:id="847871081">
      <w:bodyDiv w:val="1"/>
      <w:marLeft w:val="0"/>
      <w:marRight w:val="0"/>
      <w:marTop w:val="0"/>
      <w:marBottom w:val="0"/>
      <w:divBdr>
        <w:top w:val="none" w:sz="0" w:space="0" w:color="auto"/>
        <w:left w:val="none" w:sz="0" w:space="0" w:color="auto"/>
        <w:bottom w:val="none" w:sz="0" w:space="0" w:color="auto"/>
        <w:right w:val="none" w:sz="0" w:space="0" w:color="auto"/>
      </w:divBdr>
    </w:div>
    <w:div w:id="993489022">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5840057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49970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459FB"/>
    <w:rsid w:val="00175181"/>
    <w:rsid w:val="00195CFC"/>
    <w:rsid w:val="001B68CE"/>
    <w:rsid w:val="00200821"/>
    <w:rsid w:val="00201CE6"/>
    <w:rsid w:val="0025245B"/>
    <w:rsid w:val="002A3923"/>
    <w:rsid w:val="00324BFF"/>
    <w:rsid w:val="00371447"/>
    <w:rsid w:val="0039284D"/>
    <w:rsid w:val="00394049"/>
    <w:rsid w:val="003E1339"/>
    <w:rsid w:val="003E4EFC"/>
    <w:rsid w:val="004035CF"/>
    <w:rsid w:val="00451127"/>
    <w:rsid w:val="004B5BBB"/>
    <w:rsid w:val="004F2DF8"/>
    <w:rsid w:val="00643B64"/>
    <w:rsid w:val="006E0B74"/>
    <w:rsid w:val="006F24A1"/>
    <w:rsid w:val="00787C63"/>
    <w:rsid w:val="007A271D"/>
    <w:rsid w:val="009A261B"/>
    <w:rsid w:val="009C3CB6"/>
    <w:rsid w:val="00A012BA"/>
    <w:rsid w:val="00A07903"/>
    <w:rsid w:val="00A4418E"/>
    <w:rsid w:val="00AA2E17"/>
    <w:rsid w:val="00AC15A4"/>
    <w:rsid w:val="00B0336C"/>
    <w:rsid w:val="00B30277"/>
    <w:rsid w:val="00B65AB4"/>
    <w:rsid w:val="00BD36D6"/>
    <w:rsid w:val="00CD3C72"/>
    <w:rsid w:val="00D241E9"/>
    <w:rsid w:val="00D74C0A"/>
    <w:rsid w:val="00D7750D"/>
    <w:rsid w:val="00DE3F29"/>
    <w:rsid w:val="00EB669D"/>
    <w:rsid w:val="00F00D2F"/>
    <w:rsid w:val="00F128DF"/>
    <w:rsid w:val="00F736AA"/>
    <w:rsid w:val="00F831E2"/>
    <w:rsid w:val="00FB3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C6396E34-6F06-4135-9CB7-E3C15FCC88FF}">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147A722E-A584-4879-B379-E4C273E78B40}">
  <ds:schemaRefs>
    <ds:schemaRef ds:uri="http://schemas.microsoft.com/sharepoint/v3/contenttype/forms"/>
  </ds:schemaRefs>
</ds:datastoreItem>
</file>

<file path=customXml/itemProps4.xml><?xml version="1.0" encoding="utf-8"?>
<ds:datastoreItem xmlns:ds="http://schemas.openxmlformats.org/officeDocument/2006/customXml" ds:itemID="{59B7223A-8952-46D4-8A1A-A8E83C22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3168</Words>
  <Characters>18062</Characters>
  <Application>Microsoft Office Word</Application>
  <DocSecurity>0</DocSecurity>
  <Lines>150</Lines>
  <Paragraphs>42</Paragraphs>
  <ScaleCrop>false</ScaleCrop>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2025-10-17T15:44:00Z</dcterms:created>
  <dcterms:modified xsi:type="dcterms:W3CDTF">2025-10-17T15:44:00Z</dcterms:modified>
</cp:coreProperties>
</file>