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FB3A" w14:textId="77777777" w:rsidR="007374FF" w:rsidRPr="001C445E" w:rsidRDefault="00354D5E" w:rsidP="007374FF">
      <w:pPr>
        <w:tabs>
          <w:tab w:val="left" w:pos="567"/>
        </w:tabs>
        <w:jc w:val="both"/>
        <w:rPr>
          <w:rFonts w:ascii="Cambria" w:hAnsi="Cambria" w:cs="Univers"/>
          <w:b/>
          <w:bCs/>
          <w:sz w:val="20"/>
          <w:szCs w:val="20"/>
          <w:lang w:val="es-ES_tradnl"/>
        </w:rPr>
      </w:pPr>
      <w:r w:rsidRPr="001C445E">
        <w:rPr>
          <w:rFonts w:ascii="Cambria" w:hAnsi="Cambria"/>
          <w:noProof/>
          <w:lang w:val="en-US"/>
        </w:rPr>
        <mc:AlternateContent>
          <mc:Choice Requires="wps">
            <w:drawing>
              <wp:anchor distT="0" distB="0" distL="114300" distR="114300" simplePos="0" relativeHeight="251654144" behindDoc="0" locked="0" layoutInCell="1" allowOverlap="1" wp14:anchorId="206FE792" wp14:editId="001386F0">
                <wp:simplePos x="0" y="0"/>
                <wp:positionH relativeFrom="column">
                  <wp:posOffset>1334770</wp:posOffset>
                </wp:positionH>
                <wp:positionV relativeFrom="paragraph">
                  <wp:posOffset>2437765</wp:posOffset>
                </wp:positionV>
                <wp:extent cx="3818890" cy="1875790"/>
                <wp:effectExtent l="1270" t="0" r="0" b="12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8890" cy="187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1551C7" w14:textId="01131FA1" w:rsidR="00F863D5" w:rsidRPr="00A767EE" w:rsidRDefault="00F863D5" w:rsidP="00E13A0C">
                            <w:pPr>
                              <w:spacing w:after="0" w:line="240" w:lineRule="auto"/>
                              <w:rPr>
                                <w:rFonts w:ascii="Cambria" w:hAnsi="Cambria" w:cs="Arial"/>
                                <w:b/>
                                <w:bCs/>
                                <w:color w:val="0D0D0D"/>
                                <w:sz w:val="36"/>
                                <w:lang w:val="es-ES"/>
                              </w:rPr>
                            </w:pPr>
                            <w:r w:rsidRPr="00A767EE">
                              <w:rPr>
                                <w:rFonts w:ascii="Cambria" w:hAnsi="Cambria" w:cs="Arial"/>
                                <w:b/>
                                <w:bCs/>
                                <w:color w:val="0D0D0D"/>
                                <w:sz w:val="36"/>
                                <w:lang w:val="es-ES"/>
                              </w:rPr>
                              <w:t xml:space="preserve">INFORME </w:t>
                            </w:r>
                            <w:r w:rsidRPr="00A767EE">
                              <w:rPr>
                                <w:rFonts w:ascii="Cambria" w:hAnsi="Cambria" w:cs="Arial"/>
                                <w:b/>
                                <w:bCs/>
                                <w:color w:val="0D0D0D"/>
                                <w:sz w:val="36"/>
                                <w:szCs w:val="40"/>
                                <w:lang w:val="es-ES"/>
                              </w:rPr>
                              <w:t>No.</w:t>
                            </w:r>
                            <w:r>
                              <w:rPr>
                                <w:rFonts w:ascii="Cambria" w:hAnsi="Cambria" w:cs="Arial"/>
                                <w:b/>
                                <w:bCs/>
                                <w:color w:val="0D0D0D"/>
                                <w:sz w:val="36"/>
                                <w:lang w:val="es-ES"/>
                              </w:rPr>
                              <w:t xml:space="preserve"> </w:t>
                            </w:r>
                            <w:r w:rsidR="00552DC1">
                              <w:rPr>
                                <w:rFonts w:ascii="Cambria" w:hAnsi="Cambria" w:cs="Arial"/>
                                <w:b/>
                                <w:bCs/>
                                <w:color w:val="0D0D0D"/>
                                <w:sz w:val="36"/>
                                <w:lang w:val="es-ES"/>
                              </w:rPr>
                              <w:t>109</w:t>
                            </w:r>
                            <w:r>
                              <w:rPr>
                                <w:rFonts w:ascii="Cambria" w:hAnsi="Cambria" w:cs="Arial"/>
                                <w:b/>
                                <w:bCs/>
                                <w:color w:val="0D0D0D"/>
                                <w:sz w:val="36"/>
                                <w:lang w:val="es-ES"/>
                              </w:rPr>
                              <w:t>/2</w:t>
                            </w:r>
                            <w:r w:rsidR="00A4500F">
                              <w:rPr>
                                <w:rFonts w:ascii="Cambria" w:hAnsi="Cambria" w:cs="Arial"/>
                                <w:b/>
                                <w:bCs/>
                                <w:color w:val="0D0D0D"/>
                                <w:sz w:val="36"/>
                                <w:lang w:val="es-ES"/>
                              </w:rPr>
                              <w:t>5</w:t>
                            </w:r>
                          </w:p>
                          <w:p w14:paraId="633A0440" w14:textId="77777777" w:rsidR="00F863D5" w:rsidRPr="00A767EE" w:rsidRDefault="00F863D5" w:rsidP="00754C57">
                            <w:pPr>
                              <w:shd w:val="clear" w:color="auto" w:fill="FFFFFF" w:themeFill="background1"/>
                              <w:spacing w:after="0" w:line="240" w:lineRule="auto"/>
                              <w:rPr>
                                <w:rFonts w:ascii="Cambria" w:hAnsi="Cambria" w:cs="Arial"/>
                                <w:b/>
                                <w:color w:val="0D0D0D"/>
                                <w:sz w:val="36"/>
                                <w:lang w:val="es-ES"/>
                              </w:rPr>
                            </w:pPr>
                            <w:r w:rsidRPr="00754C57">
                              <w:rPr>
                                <w:rFonts w:ascii="Cambria" w:hAnsi="Cambria" w:cs="Arial"/>
                                <w:b/>
                                <w:color w:val="0D0D0D"/>
                                <w:sz w:val="36"/>
                                <w:lang w:val="es-ES"/>
                              </w:rPr>
                              <w:t>CASO 12.692</w:t>
                            </w:r>
                          </w:p>
                          <w:p w14:paraId="24A58157" w14:textId="574007DA" w:rsidR="00F863D5" w:rsidRPr="00C82286" w:rsidRDefault="00F863D5" w:rsidP="00E13A0C">
                            <w:pPr>
                              <w:spacing w:after="0" w:line="240" w:lineRule="auto"/>
                              <w:rPr>
                                <w:rFonts w:ascii="Cambria" w:hAnsi="Cambria" w:cs="Arial"/>
                                <w:color w:val="0D0D0D"/>
                                <w:sz w:val="24"/>
                                <w:szCs w:val="24"/>
                                <w:lang w:val="es-ES_tradnl"/>
                              </w:rPr>
                            </w:pPr>
                            <w:r w:rsidRPr="00C82286">
                              <w:rPr>
                                <w:rFonts w:ascii="Cambria" w:hAnsi="Cambria" w:cs="Arial"/>
                                <w:color w:val="0D0D0D"/>
                                <w:sz w:val="24"/>
                                <w:szCs w:val="24"/>
                                <w:lang w:val="es-ES_tradnl"/>
                              </w:rPr>
                              <w:t>INFORME DE FONDO</w:t>
                            </w:r>
                            <w:r w:rsidR="00A4500F">
                              <w:rPr>
                                <w:rFonts w:ascii="Cambria" w:hAnsi="Cambria" w:cs="Arial"/>
                                <w:color w:val="0D0D0D"/>
                                <w:sz w:val="24"/>
                                <w:szCs w:val="24"/>
                                <w:lang w:val="es-ES_tradnl"/>
                              </w:rPr>
                              <w:t xml:space="preserve"> </w:t>
                            </w:r>
                            <w:r w:rsidR="00A4500F" w:rsidRPr="00A104FE">
                              <w:rPr>
                                <w:rFonts w:ascii="Cambria" w:hAnsi="Cambria" w:cs="Arial"/>
                                <w:color w:val="0D0D0D"/>
                                <w:sz w:val="24"/>
                                <w:szCs w:val="24"/>
                                <w:lang w:val="es-ES_tradnl"/>
                              </w:rPr>
                              <w:t>(</w:t>
                            </w:r>
                            <w:r w:rsidR="0078239F" w:rsidRPr="00345400">
                              <w:rPr>
                                <w:rFonts w:ascii="Cambria" w:hAnsi="Cambria" w:cs="Arial"/>
                                <w:color w:val="0D0D0D"/>
                                <w:sz w:val="24"/>
                                <w:szCs w:val="24"/>
                                <w:lang w:val="es-ES_tradnl"/>
                              </w:rPr>
                              <w:t>PUBLICACIÓN</w:t>
                            </w:r>
                            <w:r w:rsidR="00A4500F" w:rsidRPr="00A104FE">
                              <w:rPr>
                                <w:rFonts w:ascii="Cambria" w:hAnsi="Cambria" w:cs="Arial"/>
                                <w:color w:val="0D0D0D"/>
                                <w:sz w:val="24"/>
                                <w:szCs w:val="24"/>
                                <w:lang w:val="es-ES_tradnl"/>
                              </w:rPr>
                              <w:t>)</w:t>
                            </w:r>
                          </w:p>
                          <w:p w14:paraId="672A6659" w14:textId="77777777" w:rsidR="00F863D5" w:rsidRPr="00A767EE" w:rsidRDefault="00F863D5" w:rsidP="00E13A0C">
                            <w:pPr>
                              <w:spacing w:after="0" w:line="240" w:lineRule="auto"/>
                              <w:rPr>
                                <w:rFonts w:ascii="Cambria" w:hAnsi="Cambria" w:cs="Arial"/>
                                <w:color w:val="0D0D0D"/>
                                <w:lang w:val="es-ES_tradnl"/>
                              </w:rPr>
                            </w:pPr>
                            <w:bookmarkStart w:id="0" w:name="_ftnref1"/>
                          </w:p>
                          <w:bookmarkEnd w:id="0"/>
                          <w:p w14:paraId="68739817" w14:textId="5FA2E181" w:rsidR="00F863D5" w:rsidRPr="00754C57" w:rsidRDefault="00F863D5" w:rsidP="00E13A0C">
                            <w:pPr>
                              <w:spacing w:after="0" w:line="240" w:lineRule="auto"/>
                              <w:rPr>
                                <w:rFonts w:ascii="Cambria" w:hAnsi="Cambria" w:cs="Arial"/>
                                <w:color w:val="0D0D0D"/>
                                <w:sz w:val="24"/>
                                <w:szCs w:val="24"/>
                                <w:lang w:val="es-VE"/>
                              </w:rPr>
                            </w:pPr>
                            <w:r w:rsidRPr="00754C57">
                              <w:rPr>
                                <w:rFonts w:ascii="Cambria" w:hAnsi="Cambria"/>
                                <w:sz w:val="24"/>
                                <w:szCs w:val="24"/>
                                <w:lang w:val="es-ES"/>
                              </w:rPr>
                              <w:t>M</w:t>
                            </w:r>
                            <w:r w:rsidR="00A4500F">
                              <w:rPr>
                                <w:rFonts w:ascii="Cambria" w:hAnsi="Cambria"/>
                                <w:sz w:val="24"/>
                                <w:szCs w:val="24"/>
                                <w:lang w:val="es-ES"/>
                              </w:rPr>
                              <w:t>.E.F</w:t>
                            </w:r>
                            <w:r w:rsidR="002162DF">
                              <w:rPr>
                                <w:rFonts w:ascii="Cambria" w:hAnsi="Cambria"/>
                                <w:sz w:val="24"/>
                                <w:szCs w:val="24"/>
                                <w:lang w:val="es-ES"/>
                              </w:rPr>
                              <w:t>.</w:t>
                            </w:r>
                          </w:p>
                          <w:p w14:paraId="2088143F" w14:textId="77777777" w:rsidR="00F863D5" w:rsidRPr="00C82286" w:rsidRDefault="00F863D5" w:rsidP="00E13A0C">
                            <w:pPr>
                              <w:spacing w:after="0" w:line="240" w:lineRule="auto"/>
                              <w:rPr>
                                <w:rFonts w:ascii="Cambria" w:hAnsi="Cambria" w:cs="Arial"/>
                                <w:color w:val="0D0D0D"/>
                                <w:sz w:val="24"/>
                                <w:szCs w:val="24"/>
                                <w:lang w:val="es-ES"/>
                              </w:rPr>
                            </w:pPr>
                            <w:r>
                              <w:rPr>
                                <w:rFonts w:ascii="Cambria" w:hAnsi="Cambria" w:cs="Arial"/>
                                <w:color w:val="0D0D0D"/>
                                <w:sz w:val="24"/>
                                <w:szCs w:val="24"/>
                                <w:lang w:val="es-ES"/>
                              </w:rPr>
                              <w:t>ARGENTINA</w:t>
                            </w:r>
                          </w:p>
                          <w:p w14:paraId="0A37501D" w14:textId="77777777" w:rsidR="00F863D5" w:rsidRPr="00A767EE" w:rsidRDefault="00F863D5" w:rsidP="007374FF">
                            <w:pPr>
                              <w:rPr>
                                <w:rFonts w:ascii="Times New Roman" w:hAnsi="Times New Roman"/>
                                <w:color w:val="0D0D0D"/>
                                <w:szCs w:val="24"/>
                                <w:lang w:val="es-ES_tradnl"/>
                              </w:rPr>
                            </w:pPr>
                          </w:p>
                          <w:p w14:paraId="5DAB6C7B" w14:textId="77777777" w:rsidR="00F863D5" w:rsidRPr="00A767EE" w:rsidRDefault="00F863D5" w:rsidP="007374FF">
                            <w:pPr>
                              <w:rPr>
                                <w:color w:val="0D0D0D"/>
                                <w:lang w:val="es-ES_tradnl"/>
                              </w:rPr>
                            </w:pPr>
                          </w:p>
                          <w:p w14:paraId="02EB378F" w14:textId="77777777" w:rsidR="00F863D5" w:rsidRPr="00A767EE" w:rsidRDefault="00F863D5" w:rsidP="007374FF">
                            <w:pPr>
                              <w:rPr>
                                <w:color w:val="0D0D0D"/>
                                <w:lang w:val="es-ES_tradnl"/>
                              </w:rPr>
                            </w:pPr>
                          </w:p>
                          <w:p w14:paraId="6A05A809" w14:textId="77777777" w:rsidR="00F863D5" w:rsidRPr="00A767EE" w:rsidRDefault="00F863D5" w:rsidP="007374FF">
                            <w:pPr>
                              <w:rPr>
                                <w:color w:val="0D0D0D"/>
                                <w:lang w:val="es-ES_tradnl"/>
                              </w:rPr>
                            </w:pPr>
                          </w:p>
                          <w:p w14:paraId="5A39BBE3" w14:textId="77777777" w:rsidR="00F863D5" w:rsidRPr="00A767EE" w:rsidRDefault="00F863D5" w:rsidP="007374FF">
                            <w:pPr>
                              <w:rPr>
                                <w:color w:val="0D0D0D"/>
                                <w:lang w:val="es-ES_tradnl"/>
                              </w:rPr>
                            </w:pPr>
                          </w:p>
                          <w:p w14:paraId="41C8F396" w14:textId="77777777" w:rsidR="00F863D5" w:rsidRPr="00A767EE" w:rsidRDefault="00F863D5" w:rsidP="007374FF">
                            <w:pPr>
                              <w:rPr>
                                <w:color w:val="0D0D0D"/>
                                <w:lang w:val="es-ES_tradnl"/>
                              </w:rPr>
                            </w:pPr>
                          </w:p>
                          <w:p w14:paraId="72A3D3EC" w14:textId="77777777" w:rsidR="00F863D5" w:rsidRPr="00A767EE" w:rsidRDefault="00F863D5" w:rsidP="007374FF">
                            <w:pPr>
                              <w:rPr>
                                <w:color w:val="0D0D0D"/>
                                <w:lang w:val="es-ES_tradnl"/>
                              </w:rPr>
                            </w:pPr>
                          </w:p>
                          <w:p w14:paraId="0D0B940D" w14:textId="77777777" w:rsidR="00F863D5" w:rsidRPr="00A767EE" w:rsidRDefault="00F863D5" w:rsidP="007374FF">
                            <w:pPr>
                              <w:rPr>
                                <w:color w:val="0D0D0D"/>
                                <w:lang w:val="es-ES_tradnl"/>
                              </w:rPr>
                            </w:pPr>
                          </w:p>
                          <w:p w14:paraId="0E27B00A" w14:textId="77777777" w:rsidR="00F863D5" w:rsidRPr="00A767EE" w:rsidRDefault="00F863D5" w:rsidP="007374FF">
                            <w:pPr>
                              <w:rPr>
                                <w:color w:val="0D0D0D"/>
                                <w:lang w:val="es-ES_tradnl"/>
                              </w:rPr>
                            </w:pPr>
                          </w:p>
                          <w:p w14:paraId="60061E4C" w14:textId="77777777" w:rsidR="00F863D5" w:rsidRPr="00A767EE" w:rsidRDefault="00F863D5" w:rsidP="007374FF">
                            <w:pPr>
                              <w:rPr>
                                <w:color w:val="0D0D0D"/>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FE792" id="_x0000_t202" coordsize="21600,21600" o:spt="202" path="m,l,21600r21600,l21600,xe">
                <v:stroke joinstyle="miter"/>
                <v:path gradientshapeok="t" o:connecttype="rect"/>
              </v:shapetype>
              <v:shape id="Text Box 5" o:spid="_x0000_s1026" type="#_x0000_t202" style="position:absolute;left:0;text-align:left;margin-left:105.1pt;margin-top:191.95pt;width:300.7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" filled="f" stroked="f" strokeweight=".5pt">
                <v:path arrowok="t"/>
                <v:textbox>
                  <w:txbxContent>
                    <w:p w14:paraId="501551C7" w14:textId="01131FA1" w:rsidR="00F863D5" w:rsidRPr="00A767EE" w:rsidRDefault="00F863D5" w:rsidP="00E13A0C">
                      <w:pPr>
                        <w:spacing w:after="0" w:line="240" w:lineRule="auto"/>
                        <w:rPr>
                          <w:rFonts w:ascii="Cambria" w:hAnsi="Cambria" w:cs="Arial"/>
                          <w:b/>
                          <w:bCs/>
                          <w:color w:val="0D0D0D"/>
                          <w:sz w:val="36"/>
                          <w:lang w:val="es-ES"/>
                        </w:rPr>
                      </w:pPr>
                      <w:r w:rsidRPr="00A767EE">
                        <w:rPr>
                          <w:rFonts w:ascii="Cambria" w:hAnsi="Cambria" w:cs="Arial"/>
                          <w:b/>
                          <w:bCs/>
                          <w:color w:val="0D0D0D"/>
                          <w:sz w:val="36"/>
                          <w:lang w:val="es-ES"/>
                        </w:rPr>
                        <w:t xml:space="preserve">INFORME </w:t>
                      </w:r>
                      <w:r w:rsidRPr="00A767EE">
                        <w:rPr>
                          <w:rFonts w:ascii="Cambria" w:hAnsi="Cambria" w:cs="Arial"/>
                          <w:b/>
                          <w:bCs/>
                          <w:color w:val="0D0D0D"/>
                          <w:sz w:val="36"/>
                          <w:szCs w:val="40"/>
                          <w:lang w:val="es-ES"/>
                        </w:rPr>
                        <w:t>No.</w:t>
                      </w:r>
                      <w:r>
                        <w:rPr>
                          <w:rFonts w:ascii="Cambria" w:hAnsi="Cambria" w:cs="Arial"/>
                          <w:b/>
                          <w:bCs/>
                          <w:color w:val="0D0D0D"/>
                          <w:sz w:val="36"/>
                          <w:lang w:val="es-ES"/>
                        </w:rPr>
                        <w:t xml:space="preserve"> </w:t>
                      </w:r>
                      <w:r w:rsidR="00552DC1">
                        <w:rPr>
                          <w:rFonts w:ascii="Cambria" w:hAnsi="Cambria" w:cs="Arial"/>
                          <w:b/>
                          <w:bCs/>
                          <w:color w:val="0D0D0D"/>
                          <w:sz w:val="36"/>
                          <w:lang w:val="es-ES"/>
                        </w:rPr>
                        <w:t>109</w:t>
                      </w:r>
                      <w:r>
                        <w:rPr>
                          <w:rFonts w:ascii="Cambria" w:hAnsi="Cambria" w:cs="Arial"/>
                          <w:b/>
                          <w:bCs/>
                          <w:color w:val="0D0D0D"/>
                          <w:sz w:val="36"/>
                          <w:lang w:val="es-ES"/>
                        </w:rPr>
                        <w:t>/2</w:t>
                      </w:r>
                      <w:r w:rsidR="00A4500F">
                        <w:rPr>
                          <w:rFonts w:ascii="Cambria" w:hAnsi="Cambria" w:cs="Arial"/>
                          <w:b/>
                          <w:bCs/>
                          <w:color w:val="0D0D0D"/>
                          <w:sz w:val="36"/>
                          <w:lang w:val="es-ES"/>
                        </w:rPr>
                        <w:t>5</w:t>
                      </w:r>
                    </w:p>
                    <w:p w14:paraId="633A0440" w14:textId="77777777" w:rsidR="00F863D5" w:rsidRPr="00A767EE" w:rsidRDefault="00F863D5" w:rsidP="00754C57">
                      <w:pPr>
                        <w:shd w:val="clear" w:color="auto" w:fill="FFFFFF" w:themeFill="background1"/>
                        <w:spacing w:after="0" w:line="240" w:lineRule="auto"/>
                        <w:rPr>
                          <w:rFonts w:ascii="Cambria" w:hAnsi="Cambria" w:cs="Arial"/>
                          <w:b/>
                          <w:color w:val="0D0D0D"/>
                          <w:sz w:val="36"/>
                          <w:lang w:val="es-ES"/>
                        </w:rPr>
                      </w:pPr>
                      <w:r w:rsidRPr="00754C57">
                        <w:rPr>
                          <w:rFonts w:ascii="Cambria" w:hAnsi="Cambria" w:cs="Arial"/>
                          <w:b/>
                          <w:color w:val="0D0D0D"/>
                          <w:sz w:val="36"/>
                          <w:lang w:val="es-ES"/>
                        </w:rPr>
                        <w:t>CASO 12.692</w:t>
                      </w:r>
                    </w:p>
                    <w:p w14:paraId="24A58157" w14:textId="574007DA" w:rsidR="00F863D5" w:rsidRPr="00C82286" w:rsidRDefault="00F863D5" w:rsidP="00E13A0C">
                      <w:pPr>
                        <w:spacing w:after="0" w:line="240" w:lineRule="auto"/>
                        <w:rPr>
                          <w:rFonts w:ascii="Cambria" w:hAnsi="Cambria" w:cs="Arial"/>
                          <w:color w:val="0D0D0D"/>
                          <w:sz w:val="24"/>
                          <w:szCs w:val="24"/>
                          <w:lang w:val="es-ES_tradnl"/>
                        </w:rPr>
                      </w:pPr>
                      <w:r w:rsidRPr="00C82286">
                        <w:rPr>
                          <w:rFonts w:ascii="Cambria" w:hAnsi="Cambria" w:cs="Arial"/>
                          <w:color w:val="0D0D0D"/>
                          <w:sz w:val="24"/>
                          <w:szCs w:val="24"/>
                          <w:lang w:val="es-ES_tradnl"/>
                        </w:rPr>
                        <w:t>INFORME DE FONDO</w:t>
                      </w:r>
                      <w:r w:rsidR="00A4500F">
                        <w:rPr>
                          <w:rFonts w:ascii="Cambria" w:hAnsi="Cambria" w:cs="Arial"/>
                          <w:color w:val="0D0D0D"/>
                          <w:sz w:val="24"/>
                          <w:szCs w:val="24"/>
                          <w:lang w:val="es-ES_tradnl"/>
                        </w:rPr>
                        <w:t xml:space="preserve"> </w:t>
                      </w:r>
                      <w:r w:rsidR="00A4500F" w:rsidRPr="00A104FE">
                        <w:rPr>
                          <w:rFonts w:ascii="Cambria" w:hAnsi="Cambria" w:cs="Arial"/>
                          <w:color w:val="0D0D0D"/>
                          <w:sz w:val="24"/>
                          <w:szCs w:val="24"/>
                          <w:lang w:val="es-ES_tradnl"/>
                        </w:rPr>
                        <w:t>(</w:t>
                      </w:r>
                      <w:r w:rsidR="0078239F" w:rsidRPr="00345400">
                        <w:rPr>
                          <w:rFonts w:ascii="Cambria" w:hAnsi="Cambria" w:cs="Arial"/>
                          <w:color w:val="0D0D0D"/>
                          <w:sz w:val="24"/>
                          <w:szCs w:val="24"/>
                          <w:lang w:val="es-ES_tradnl"/>
                        </w:rPr>
                        <w:t>PUBLICACIÓN</w:t>
                      </w:r>
                      <w:r w:rsidR="00A4500F" w:rsidRPr="00A104FE">
                        <w:rPr>
                          <w:rFonts w:ascii="Cambria" w:hAnsi="Cambria" w:cs="Arial"/>
                          <w:color w:val="0D0D0D"/>
                          <w:sz w:val="24"/>
                          <w:szCs w:val="24"/>
                          <w:lang w:val="es-ES_tradnl"/>
                        </w:rPr>
                        <w:t>)</w:t>
                      </w:r>
                    </w:p>
                    <w:p w14:paraId="672A6659" w14:textId="77777777" w:rsidR="00F863D5" w:rsidRPr="00A767EE" w:rsidRDefault="00F863D5" w:rsidP="00E13A0C">
                      <w:pPr>
                        <w:spacing w:after="0" w:line="240" w:lineRule="auto"/>
                        <w:rPr>
                          <w:rFonts w:ascii="Cambria" w:hAnsi="Cambria" w:cs="Arial"/>
                          <w:color w:val="0D0D0D"/>
                          <w:lang w:val="es-ES_tradnl"/>
                        </w:rPr>
                      </w:pPr>
                      <w:bookmarkStart w:id="1" w:name="_ftnref1"/>
                    </w:p>
                    <w:bookmarkEnd w:id="1"/>
                    <w:p w14:paraId="68739817" w14:textId="5FA2E181" w:rsidR="00F863D5" w:rsidRPr="00754C57" w:rsidRDefault="00F863D5" w:rsidP="00E13A0C">
                      <w:pPr>
                        <w:spacing w:after="0" w:line="240" w:lineRule="auto"/>
                        <w:rPr>
                          <w:rFonts w:ascii="Cambria" w:hAnsi="Cambria" w:cs="Arial"/>
                          <w:color w:val="0D0D0D"/>
                          <w:sz w:val="24"/>
                          <w:szCs w:val="24"/>
                          <w:lang w:val="es-VE"/>
                        </w:rPr>
                      </w:pPr>
                      <w:r w:rsidRPr="00754C57">
                        <w:rPr>
                          <w:rFonts w:ascii="Cambria" w:hAnsi="Cambria"/>
                          <w:sz w:val="24"/>
                          <w:szCs w:val="24"/>
                          <w:lang w:val="es-ES"/>
                        </w:rPr>
                        <w:t>M</w:t>
                      </w:r>
                      <w:r w:rsidR="00A4500F">
                        <w:rPr>
                          <w:rFonts w:ascii="Cambria" w:hAnsi="Cambria"/>
                          <w:sz w:val="24"/>
                          <w:szCs w:val="24"/>
                          <w:lang w:val="es-ES"/>
                        </w:rPr>
                        <w:t>.E.F</w:t>
                      </w:r>
                      <w:r w:rsidR="002162DF">
                        <w:rPr>
                          <w:rFonts w:ascii="Cambria" w:hAnsi="Cambria"/>
                          <w:sz w:val="24"/>
                          <w:szCs w:val="24"/>
                          <w:lang w:val="es-ES"/>
                        </w:rPr>
                        <w:t>.</w:t>
                      </w:r>
                    </w:p>
                    <w:p w14:paraId="2088143F" w14:textId="77777777" w:rsidR="00F863D5" w:rsidRPr="00C82286" w:rsidRDefault="00F863D5" w:rsidP="00E13A0C">
                      <w:pPr>
                        <w:spacing w:after="0" w:line="240" w:lineRule="auto"/>
                        <w:rPr>
                          <w:rFonts w:ascii="Cambria" w:hAnsi="Cambria" w:cs="Arial"/>
                          <w:color w:val="0D0D0D"/>
                          <w:sz w:val="24"/>
                          <w:szCs w:val="24"/>
                          <w:lang w:val="es-ES"/>
                        </w:rPr>
                      </w:pPr>
                      <w:r>
                        <w:rPr>
                          <w:rFonts w:ascii="Cambria" w:hAnsi="Cambria" w:cs="Arial"/>
                          <w:color w:val="0D0D0D"/>
                          <w:sz w:val="24"/>
                          <w:szCs w:val="24"/>
                          <w:lang w:val="es-ES"/>
                        </w:rPr>
                        <w:t>ARGENTINA</w:t>
                      </w:r>
                    </w:p>
                    <w:p w14:paraId="0A37501D" w14:textId="77777777" w:rsidR="00F863D5" w:rsidRPr="00A767EE" w:rsidRDefault="00F863D5" w:rsidP="007374FF">
                      <w:pPr>
                        <w:rPr>
                          <w:rFonts w:ascii="Times New Roman" w:hAnsi="Times New Roman"/>
                          <w:color w:val="0D0D0D"/>
                          <w:szCs w:val="24"/>
                          <w:lang w:val="es-ES_tradnl"/>
                        </w:rPr>
                      </w:pPr>
                    </w:p>
                    <w:p w14:paraId="5DAB6C7B" w14:textId="77777777" w:rsidR="00F863D5" w:rsidRPr="00A767EE" w:rsidRDefault="00F863D5" w:rsidP="007374FF">
                      <w:pPr>
                        <w:rPr>
                          <w:color w:val="0D0D0D"/>
                          <w:lang w:val="es-ES_tradnl"/>
                        </w:rPr>
                      </w:pPr>
                    </w:p>
                    <w:p w14:paraId="02EB378F" w14:textId="77777777" w:rsidR="00F863D5" w:rsidRPr="00A767EE" w:rsidRDefault="00F863D5" w:rsidP="007374FF">
                      <w:pPr>
                        <w:rPr>
                          <w:color w:val="0D0D0D"/>
                          <w:lang w:val="es-ES_tradnl"/>
                        </w:rPr>
                      </w:pPr>
                    </w:p>
                    <w:p w14:paraId="6A05A809" w14:textId="77777777" w:rsidR="00F863D5" w:rsidRPr="00A767EE" w:rsidRDefault="00F863D5" w:rsidP="007374FF">
                      <w:pPr>
                        <w:rPr>
                          <w:color w:val="0D0D0D"/>
                          <w:lang w:val="es-ES_tradnl"/>
                        </w:rPr>
                      </w:pPr>
                    </w:p>
                    <w:p w14:paraId="5A39BBE3" w14:textId="77777777" w:rsidR="00F863D5" w:rsidRPr="00A767EE" w:rsidRDefault="00F863D5" w:rsidP="007374FF">
                      <w:pPr>
                        <w:rPr>
                          <w:color w:val="0D0D0D"/>
                          <w:lang w:val="es-ES_tradnl"/>
                        </w:rPr>
                      </w:pPr>
                    </w:p>
                    <w:p w14:paraId="41C8F396" w14:textId="77777777" w:rsidR="00F863D5" w:rsidRPr="00A767EE" w:rsidRDefault="00F863D5" w:rsidP="007374FF">
                      <w:pPr>
                        <w:rPr>
                          <w:color w:val="0D0D0D"/>
                          <w:lang w:val="es-ES_tradnl"/>
                        </w:rPr>
                      </w:pPr>
                    </w:p>
                    <w:p w14:paraId="72A3D3EC" w14:textId="77777777" w:rsidR="00F863D5" w:rsidRPr="00A767EE" w:rsidRDefault="00F863D5" w:rsidP="007374FF">
                      <w:pPr>
                        <w:rPr>
                          <w:color w:val="0D0D0D"/>
                          <w:lang w:val="es-ES_tradnl"/>
                        </w:rPr>
                      </w:pPr>
                    </w:p>
                    <w:p w14:paraId="0D0B940D" w14:textId="77777777" w:rsidR="00F863D5" w:rsidRPr="00A767EE" w:rsidRDefault="00F863D5" w:rsidP="007374FF">
                      <w:pPr>
                        <w:rPr>
                          <w:color w:val="0D0D0D"/>
                          <w:lang w:val="es-ES_tradnl"/>
                        </w:rPr>
                      </w:pPr>
                    </w:p>
                    <w:p w14:paraId="0E27B00A" w14:textId="77777777" w:rsidR="00F863D5" w:rsidRPr="00A767EE" w:rsidRDefault="00F863D5" w:rsidP="007374FF">
                      <w:pPr>
                        <w:rPr>
                          <w:color w:val="0D0D0D"/>
                          <w:lang w:val="es-ES_tradnl"/>
                        </w:rPr>
                      </w:pPr>
                    </w:p>
                    <w:p w14:paraId="60061E4C" w14:textId="77777777" w:rsidR="00F863D5" w:rsidRPr="00A767EE" w:rsidRDefault="00F863D5" w:rsidP="007374FF">
                      <w:pPr>
                        <w:rPr>
                          <w:color w:val="0D0D0D"/>
                          <w:lang w:val="es-ES_tradnl"/>
                        </w:rPr>
                      </w:pPr>
                    </w:p>
                  </w:txbxContent>
                </v:textbox>
              </v:shape>
            </w:pict>
          </mc:Fallback>
        </mc:AlternateContent>
      </w:r>
      <w:r w:rsidRPr="001C445E">
        <w:rPr>
          <w:rFonts w:ascii="Cambria" w:hAnsi="Cambria"/>
          <w:noProof/>
          <w:lang w:val="en-US"/>
        </w:rPr>
        <mc:AlternateContent>
          <mc:Choice Requires="wps">
            <w:drawing>
              <wp:anchor distT="0" distB="0" distL="114300" distR="114300" simplePos="0" relativeHeight="251655168" behindDoc="0" locked="0" layoutInCell="1" allowOverlap="1" wp14:anchorId="082C4FD3" wp14:editId="26FF12B1">
                <wp:simplePos x="0" y="0"/>
                <wp:positionH relativeFrom="column">
                  <wp:posOffset>1386205</wp:posOffset>
                </wp:positionH>
                <wp:positionV relativeFrom="paragraph">
                  <wp:posOffset>6282690</wp:posOffset>
                </wp:positionV>
                <wp:extent cx="4243070" cy="571500"/>
                <wp:effectExtent l="0" t="0" r="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30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D84C62" w14:textId="2C999D08" w:rsidR="00F863D5" w:rsidRPr="00A767EE" w:rsidRDefault="00F863D5" w:rsidP="007374FF">
                            <w:pPr>
                              <w:tabs>
                                <w:tab w:val="center" w:pos="5400"/>
                              </w:tabs>
                              <w:suppressAutoHyphens/>
                              <w:spacing w:before="60"/>
                              <w:rPr>
                                <w:rFonts w:ascii="Cambria" w:hAnsi="Cambria" w:cs="Univers"/>
                                <w:color w:val="0D0D0D"/>
                                <w:sz w:val="18"/>
                                <w:szCs w:val="20"/>
                                <w:lang w:val="es-ES_tradnl"/>
                              </w:rPr>
                            </w:pPr>
                            <w:r w:rsidRPr="00A767EE">
                              <w:rPr>
                                <w:rFonts w:ascii="Cambria" w:hAnsi="Cambria"/>
                                <w:color w:val="0D0D0D"/>
                                <w:sz w:val="18"/>
                                <w:szCs w:val="20"/>
                                <w:lang w:val="es-ES"/>
                              </w:rPr>
                              <w:t xml:space="preserve">Aprobado por </w:t>
                            </w:r>
                            <w:r>
                              <w:rPr>
                                <w:rFonts w:ascii="Cambria" w:hAnsi="Cambria"/>
                                <w:color w:val="0D0D0D"/>
                                <w:sz w:val="18"/>
                                <w:szCs w:val="20"/>
                                <w:lang w:val="es-ES"/>
                              </w:rPr>
                              <w:t>la Comisión</w:t>
                            </w:r>
                            <w:r w:rsidR="00412DB1">
                              <w:rPr>
                                <w:rFonts w:ascii="Cambria" w:hAnsi="Cambria"/>
                                <w:color w:val="0D0D0D"/>
                                <w:sz w:val="18"/>
                                <w:szCs w:val="20"/>
                                <w:lang w:val="es-ES"/>
                              </w:rPr>
                              <w:t xml:space="preserve"> electrónicamente</w:t>
                            </w:r>
                            <w:r>
                              <w:rPr>
                                <w:rFonts w:ascii="Cambria" w:hAnsi="Cambria"/>
                                <w:color w:val="0D0D0D"/>
                                <w:sz w:val="18"/>
                                <w:szCs w:val="20"/>
                                <w:lang w:val="es-ES"/>
                              </w:rPr>
                              <w:t xml:space="preserve"> el </w:t>
                            </w:r>
                            <w:r w:rsidR="00345400">
                              <w:rPr>
                                <w:rFonts w:ascii="Cambria" w:hAnsi="Cambria"/>
                                <w:color w:val="0D0D0D"/>
                                <w:sz w:val="18"/>
                                <w:szCs w:val="20"/>
                                <w:lang w:val="es-ES"/>
                              </w:rPr>
                              <w:t>10 de julio</w:t>
                            </w:r>
                            <w:r w:rsidR="00A104FE">
                              <w:rPr>
                                <w:rFonts w:ascii="Cambria" w:hAnsi="Cambria"/>
                                <w:color w:val="0D0D0D"/>
                                <w:sz w:val="18"/>
                                <w:szCs w:val="20"/>
                                <w:lang w:val="es-ES"/>
                              </w:rPr>
                              <w:t xml:space="preserve"> </w:t>
                            </w:r>
                            <w:r w:rsidRPr="00A767EE">
                              <w:rPr>
                                <w:rFonts w:ascii="Cambria" w:hAnsi="Cambria"/>
                                <w:color w:val="0D0D0D"/>
                                <w:sz w:val="18"/>
                                <w:szCs w:val="20"/>
                                <w:lang w:val="es-ES"/>
                              </w:rPr>
                              <w:t>de 20</w:t>
                            </w:r>
                            <w:r>
                              <w:rPr>
                                <w:rFonts w:ascii="Cambria" w:hAnsi="Cambria"/>
                                <w:color w:val="0D0D0D"/>
                                <w:sz w:val="18"/>
                                <w:szCs w:val="20"/>
                                <w:lang w:val="es-ES"/>
                              </w:rPr>
                              <w:t>2</w:t>
                            </w:r>
                            <w:r w:rsidR="00412DB1">
                              <w:rPr>
                                <w:rFonts w:ascii="Cambria" w:hAnsi="Cambria"/>
                                <w:color w:val="0D0D0D"/>
                                <w:sz w:val="18"/>
                                <w:szCs w:val="20"/>
                                <w:lang w:val="es-ES"/>
                              </w:rPr>
                              <w:t>5</w:t>
                            </w:r>
                          </w:p>
                          <w:p w14:paraId="4DDBEF00" w14:textId="77777777" w:rsidR="00F863D5" w:rsidRPr="00A767EE" w:rsidRDefault="00F863D5" w:rsidP="007374FF">
                            <w:pPr>
                              <w:tabs>
                                <w:tab w:val="center" w:pos="5400"/>
                              </w:tabs>
                              <w:suppressAutoHyphens/>
                              <w:spacing w:before="60"/>
                              <w:rPr>
                                <w:rFonts w:ascii="Cambria" w:hAnsi="Cambria" w:cs="Univers"/>
                                <w:color w:val="0D0D0D"/>
                                <w:sz w:val="18"/>
                                <w:szCs w:val="20"/>
                                <w:lang w:val="es-ES_tradnl"/>
                              </w:rPr>
                            </w:pPr>
                          </w:p>
                          <w:p w14:paraId="3461D779" w14:textId="77777777" w:rsidR="00F863D5" w:rsidRPr="00A767EE" w:rsidRDefault="00F863D5" w:rsidP="007374FF">
                            <w:pPr>
                              <w:tabs>
                                <w:tab w:val="center" w:pos="5400"/>
                              </w:tabs>
                              <w:suppressAutoHyphens/>
                              <w:spacing w:before="60"/>
                              <w:rPr>
                                <w:rFonts w:ascii="Cambria" w:hAnsi="Cambria" w:cs="Univers"/>
                                <w:color w:val="0D0D0D"/>
                                <w:sz w:val="18"/>
                                <w:szCs w:val="20"/>
                                <w:lang w:val="es-ES_tradnl"/>
                              </w:rPr>
                            </w:pPr>
                          </w:p>
                          <w:p w14:paraId="3CF2D8B6" w14:textId="77777777" w:rsidR="00F863D5" w:rsidRPr="00A767EE" w:rsidRDefault="00F863D5" w:rsidP="007374FF">
                            <w:pPr>
                              <w:tabs>
                                <w:tab w:val="center" w:pos="5400"/>
                              </w:tabs>
                              <w:suppressAutoHyphens/>
                              <w:spacing w:before="60"/>
                              <w:rPr>
                                <w:rFonts w:ascii="Cambria" w:hAnsi="Cambria" w:cs="Univers"/>
                                <w:color w:val="0D0D0D"/>
                                <w:sz w:val="18"/>
                                <w:szCs w:val="2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C4FD3" id="Text Box 7" o:spid="_x0000_s1027" type="#_x0000_t202" style="position:absolute;left:0;text-align:left;margin-left:109.15pt;margin-top:494.7pt;width:334.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" filled="f" stroked="f" strokeweight=".5pt">
                <v:path arrowok="t"/>
                <v:textbox>
                  <w:txbxContent>
                    <w:p w14:paraId="17D84C62" w14:textId="2C999D08" w:rsidR="00F863D5" w:rsidRPr="00A767EE" w:rsidRDefault="00F863D5" w:rsidP="007374FF">
                      <w:pPr>
                        <w:tabs>
                          <w:tab w:val="center" w:pos="5400"/>
                        </w:tabs>
                        <w:suppressAutoHyphens/>
                        <w:spacing w:before="60"/>
                        <w:rPr>
                          <w:rFonts w:ascii="Cambria" w:hAnsi="Cambria" w:cs="Univers"/>
                          <w:color w:val="0D0D0D"/>
                          <w:sz w:val="18"/>
                          <w:szCs w:val="20"/>
                          <w:lang w:val="es-ES_tradnl"/>
                        </w:rPr>
                      </w:pPr>
                      <w:r w:rsidRPr="00A767EE">
                        <w:rPr>
                          <w:rFonts w:ascii="Cambria" w:hAnsi="Cambria"/>
                          <w:color w:val="0D0D0D"/>
                          <w:sz w:val="18"/>
                          <w:szCs w:val="20"/>
                          <w:lang w:val="es-ES"/>
                        </w:rPr>
                        <w:t xml:space="preserve">Aprobado por </w:t>
                      </w:r>
                      <w:r>
                        <w:rPr>
                          <w:rFonts w:ascii="Cambria" w:hAnsi="Cambria"/>
                          <w:color w:val="0D0D0D"/>
                          <w:sz w:val="18"/>
                          <w:szCs w:val="20"/>
                          <w:lang w:val="es-ES"/>
                        </w:rPr>
                        <w:t>la Comisión</w:t>
                      </w:r>
                      <w:r w:rsidR="00412DB1">
                        <w:rPr>
                          <w:rFonts w:ascii="Cambria" w:hAnsi="Cambria"/>
                          <w:color w:val="0D0D0D"/>
                          <w:sz w:val="18"/>
                          <w:szCs w:val="20"/>
                          <w:lang w:val="es-ES"/>
                        </w:rPr>
                        <w:t xml:space="preserve"> electrónicamente</w:t>
                      </w:r>
                      <w:r>
                        <w:rPr>
                          <w:rFonts w:ascii="Cambria" w:hAnsi="Cambria"/>
                          <w:color w:val="0D0D0D"/>
                          <w:sz w:val="18"/>
                          <w:szCs w:val="20"/>
                          <w:lang w:val="es-ES"/>
                        </w:rPr>
                        <w:t xml:space="preserve"> el </w:t>
                      </w:r>
                      <w:r w:rsidR="00345400">
                        <w:rPr>
                          <w:rFonts w:ascii="Cambria" w:hAnsi="Cambria"/>
                          <w:color w:val="0D0D0D"/>
                          <w:sz w:val="18"/>
                          <w:szCs w:val="20"/>
                          <w:lang w:val="es-ES"/>
                        </w:rPr>
                        <w:t>10 de julio</w:t>
                      </w:r>
                      <w:r w:rsidR="00A104FE">
                        <w:rPr>
                          <w:rFonts w:ascii="Cambria" w:hAnsi="Cambria"/>
                          <w:color w:val="0D0D0D"/>
                          <w:sz w:val="18"/>
                          <w:szCs w:val="20"/>
                          <w:lang w:val="es-ES"/>
                        </w:rPr>
                        <w:t xml:space="preserve"> </w:t>
                      </w:r>
                      <w:r w:rsidRPr="00A767EE">
                        <w:rPr>
                          <w:rFonts w:ascii="Cambria" w:hAnsi="Cambria"/>
                          <w:color w:val="0D0D0D"/>
                          <w:sz w:val="18"/>
                          <w:szCs w:val="20"/>
                          <w:lang w:val="es-ES"/>
                        </w:rPr>
                        <w:t>de 20</w:t>
                      </w:r>
                      <w:r>
                        <w:rPr>
                          <w:rFonts w:ascii="Cambria" w:hAnsi="Cambria"/>
                          <w:color w:val="0D0D0D"/>
                          <w:sz w:val="18"/>
                          <w:szCs w:val="20"/>
                          <w:lang w:val="es-ES"/>
                        </w:rPr>
                        <w:t>2</w:t>
                      </w:r>
                      <w:r w:rsidR="00412DB1">
                        <w:rPr>
                          <w:rFonts w:ascii="Cambria" w:hAnsi="Cambria"/>
                          <w:color w:val="0D0D0D"/>
                          <w:sz w:val="18"/>
                          <w:szCs w:val="20"/>
                          <w:lang w:val="es-ES"/>
                        </w:rPr>
                        <w:t>5</w:t>
                      </w:r>
                    </w:p>
                    <w:p w14:paraId="4DDBEF00" w14:textId="77777777" w:rsidR="00F863D5" w:rsidRPr="00A767EE" w:rsidRDefault="00F863D5" w:rsidP="007374FF">
                      <w:pPr>
                        <w:tabs>
                          <w:tab w:val="center" w:pos="5400"/>
                        </w:tabs>
                        <w:suppressAutoHyphens/>
                        <w:spacing w:before="60"/>
                        <w:rPr>
                          <w:rFonts w:ascii="Cambria" w:hAnsi="Cambria" w:cs="Univers"/>
                          <w:color w:val="0D0D0D"/>
                          <w:sz w:val="18"/>
                          <w:szCs w:val="20"/>
                          <w:lang w:val="es-ES_tradnl"/>
                        </w:rPr>
                      </w:pPr>
                    </w:p>
                    <w:p w14:paraId="3461D779" w14:textId="77777777" w:rsidR="00F863D5" w:rsidRPr="00A767EE" w:rsidRDefault="00F863D5" w:rsidP="007374FF">
                      <w:pPr>
                        <w:tabs>
                          <w:tab w:val="center" w:pos="5400"/>
                        </w:tabs>
                        <w:suppressAutoHyphens/>
                        <w:spacing w:before="60"/>
                        <w:rPr>
                          <w:rFonts w:ascii="Cambria" w:hAnsi="Cambria" w:cs="Univers"/>
                          <w:color w:val="0D0D0D"/>
                          <w:sz w:val="18"/>
                          <w:szCs w:val="20"/>
                          <w:lang w:val="es-ES_tradnl"/>
                        </w:rPr>
                      </w:pPr>
                    </w:p>
                    <w:p w14:paraId="3CF2D8B6" w14:textId="77777777" w:rsidR="00F863D5" w:rsidRPr="00A767EE" w:rsidRDefault="00F863D5" w:rsidP="007374FF">
                      <w:pPr>
                        <w:tabs>
                          <w:tab w:val="center" w:pos="5400"/>
                        </w:tabs>
                        <w:suppressAutoHyphens/>
                        <w:spacing w:before="60"/>
                        <w:rPr>
                          <w:rFonts w:ascii="Cambria" w:hAnsi="Cambria" w:cs="Univers"/>
                          <w:color w:val="0D0D0D"/>
                          <w:sz w:val="18"/>
                          <w:szCs w:val="20"/>
                          <w:lang w:val="es-ES_tradnl"/>
                        </w:rPr>
                      </w:pPr>
                    </w:p>
                  </w:txbxContent>
                </v:textbox>
              </v:shape>
            </w:pict>
          </mc:Fallback>
        </mc:AlternateContent>
      </w:r>
      <w:r w:rsidRPr="001C445E">
        <w:rPr>
          <w:rFonts w:ascii="Cambria" w:hAnsi="Cambria"/>
          <w:noProof/>
          <w:lang w:val="en-US"/>
        </w:rPr>
        <mc:AlternateContent>
          <mc:Choice Requires="wps">
            <w:drawing>
              <wp:anchor distT="0" distB="0" distL="114300" distR="114300" simplePos="0" relativeHeight="251659264" behindDoc="0" locked="0" layoutInCell="1" allowOverlap="1" wp14:anchorId="227CEAE9" wp14:editId="2D4CAF68">
                <wp:simplePos x="0" y="0"/>
                <wp:positionH relativeFrom="column">
                  <wp:posOffset>1376045</wp:posOffset>
                </wp:positionH>
                <wp:positionV relativeFrom="paragraph">
                  <wp:posOffset>6830060</wp:posOffset>
                </wp:positionV>
                <wp:extent cx="4251325" cy="565150"/>
                <wp:effectExtent l="4445" t="635" r="190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132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A758BD" w14:textId="197C84AF" w:rsidR="00F863D5" w:rsidRPr="00A767EE" w:rsidRDefault="00F863D5" w:rsidP="00C82286">
                            <w:pPr>
                              <w:spacing w:after="0"/>
                              <w:rPr>
                                <w:rFonts w:ascii="Cambria" w:hAnsi="Cambria"/>
                                <w:color w:val="595959"/>
                                <w:sz w:val="18"/>
                                <w:szCs w:val="18"/>
                                <w:lang w:val="es-ES_tradnl"/>
                              </w:rPr>
                            </w:pPr>
                            <w:r w:rsidRPr="00361D50">
                              <w:rPr>
                                <w:rFonts w:ascii="Cambria" w:hAnsi="Cambria"/>
                                <w:b/>
                                <w:color w:val="595959"/>
                                <w:sz w:val="18"/>
                                <w:szCs w:val="18"/>
                                <w:lang w:val="pt-BR"/>
                              </w:rPr>
                              <w:t>Citar como:</w:t>
                            </w:r>
                            <w:r w:rsidRPr="00361D50">
                              <w:rPr>
                                <w:rFonts w:ascii="Cambria" w:hAnsi="Cambria"/>
                                <w:color w:val="595959"/>
                                <w:sz w:val="18"/>
                                <w:szCs w:val="18"/>
                                <w:lang w:val="pt-BR"/>
                              </w:rPr>
                              <w:t xml:space="preserve"> CIDH, Informe No. </w:t>
                            </w:r>
                            <w:r w:rsidR="00552DC1">
                              <w:rPr>
                                <w:rFonts w:ascii="Cambria" w:hAnsi="Cambria"/>
                                <w:color w:val="595959"/>
                                <w:sz w:val="18"/>
                                <w:szCs w:val="18"/>
                                <w:lang w:val="pt-BR"/>
                              </w:rPr>
                              <w:t>109/25</w:t>
                            </w:r>
                            <w:r w:rsidRPr="00361D50">
                              <w:rPr>
                                <w:rFonts w:ascii="Cambria" w:hAnsi="Cambria"/>
                                <w:color w:val="595959"/>
                                <w:sz w:val="18"/>
                                <w:szCs w:val="18"/>
                                <w:lang w:val="pt-BR"/>
                              </w:rPr>
                              <w:t xml:space="preserve">, Caso 12.692. </w:t>
                            </w:r>
                            <w:r w:rsidRPr="00754C57">
                              <w:rPr>
                                <w:rFonts w:ascii="Cambria" w:hAnsi="Cambria"/>
                                <w:color w:val="595959"/>
                                <w:sz w:val="18"/>
                                <w:szCs w:val="18"/>
                                <w:lang w:val="es-ES_tradnl"/>
                              </w:rPr>
                              <w:t>Fondo</w:t>
                            </w:r>
                            <w:r w:rsidR="00412DB1">
                              <w:rPr>
                                <w:rFonts w:ascii="Cambria" w:hAnsi="Cambria"/>
                                <w:color w:val="595959"/>
                                <w:sz w:val="18"/>
                                <w:szCs w:val="18"/>
                                <w:lang w:val="es-ES_tradnl"/>
                              </w:rPr>
                              <w:t xml:space="preserve"> (</w:t>
                            </w:r>
                            <w:r w:rsidR="0078239F">
                              <w:rPr>
                                <w:rFonts w:ascii="Cambria" w:hAnsi="Cambria"/>
                                <w:color w:val="595959"/>
                                <w:sz w:val="18"/>
                                <w:szCs w:val="18"/>
                                <w:lang w:val="es-ES_tradnl"/>
                              </w:rPr>
                              <w:t>Publicación</w:t>
                            </w:r>
                            <w:r w:rsidR="00412DB1">
                              <w:rPr>
                                <w:rFonts w:ascii="Cambria" w:hAnsi="Cambria"/>
                                <w:color w:val="595959"/>
                                <w:sz w:val="18"/>
                                <w:szCs w:val="18"/>
                                <w:lang w:val="es-ES_tradnl"/>
                              </w:rPr>
                              <w:t>)</w:t>
                            </w:r>
                            <w:r w:rsidRPr="00754C57">
                              <w:rPr>
                                <w:rFonts w:ascii="Cambria" w:hAnsi="Cambria"/>
                                <w:color w:val="595959"/>
                                <w:sz w:val="18"/>
                                <w:szCs w:val="18"/>
                                <w:lang w:val="es-ES_tradnl"/>
                              </w:rPr>
                              <w:t>. M</w:t>
                            </w:r>
                            <w:r>
                              <w:rPr>
                                <w:rFonts w:ascii="Cambria" w:hAnsi="Cambria"/>
                                <w:color w:val="595959"/>
                                <w:sz w:val="18"/>
                                <w:szCs w:val="18"/>
                                <w:lang w:val="es-ES_tradnl"/>
                              </w:rPr>
                              <w:t>.</w:t>
                            </w:r>
                            <w:r w:rsidR="001D7B30">
                              <w:rPr>
                                <w:rFonts w:ascii="Cambria" w:hAnsi="Cambria"/>
                                <w:color w:val="595959"/>
                                <w:sz w:val="18"/>
                                <w:szCs w:val="18"/>
                                <w:lang w:val="es-ES_tradnl"/>
                              </w:rPr>
                              <w:t>E.F.</w:t>
                            </w:r>
                            <w:r>
                              <w:rPr>
                                <w:rFonts w:ascii="Cambria" w:hAnsi="Cambria"/>
                                <w:color w:val="595959"/>
                                <w:sz w:val="18"/>
                                <w:szCs w:val="18"/>
                                <w:lang w:val="es-ES_tradnl"/>
                              </w:rPr>
                              <w:t xml:space="preserve"> Argentina. </w:t>
                            </w:r>
                            <w:r w:rsidR="00345400">
                              <w:rPr>
                                <w:rFonts w:ascii="Cambria" w:hAnsi="Cambria"/>
                                <w:color w:val="595959"/>
                                <w:sz w:val="18"/>
                                <w:szCs w:val="18"/>
                                <w:lang w:val="es-ES_tradnl"/>
                              </w:rPr>
                              <w:t>10 de julio</w:t>
                            </w:r>
                            <w:r w:rsidRPr="00754C57">
                              <w:rPr>
                                <w:rFonts w:ascii="Cambria" w:hAnsi="Cambria"/>
                                <w:color w:val="595959"/>
                                <w:sz w:val="18"/>
                                <w:szCs w:val="18"/>
                                <w:lang w:val="es-ES_tradnl"/>
                              </w:rPr>
                              <w:t xml:space="preserve"> de 20</w:t>
                            </w:r>
                            <w:r>
                              <w:rPr>
                                <w:rFonts w:ascii="Cambria" w:hAnsi="Cambria"/>
                                <w:color w:val="595959"/>
                                <w:sz w:val="18"/>
                                <w:szCs w:val="18"/>
                                <w:lang w:val="es-ES_tradnl"/>
                              </w:rPr>
                              <w:t>2</w:t>
                            </w:r>
                            <w:r w:rsidR="00412DB1">
                              <w:rPr>
                                <w:rFonts w:ascii="Cambria" w:hAnsi="Cambria"/>
                                <w:color w:val="595959"/>
                                <w:sz w:val="18"/>
                                <w:szCs w:val="18"/>
                                <w:lang w:val="es-ES_tradnl"/>
                              </w:rPr>
                              <w:t>5</w:t>
                            </w:r>
                            <w:r w:rsidRPr="00754C57">
                              <w:rPr>
                                <w:rFonts w:ascii="Cambria" w:hAnsi="Cambria"/>
                                <w:color w:val="595959"/>
                                <w:sz w:val="18"/>
                                <w:szCs w:val="18"/>
                                <w:lang w:val="es-ES_tradnl"/>
                              </w:rPr>
                              <w:t>.</w:t>
                            </w:r>
                          </w:p>
                          <w:p w14:paraId="34CE0A41" w14:textId="77777777" w:rsidR="00F863D5" w:rsidRPr="00A767EE" w:rsidRDefault="00F863D5" w:rsidP="00C82286">
                            <w:pPr>
                              <w:spacing w:after="0"/>
                              <w:rPr>
                                <w:rFonts w:ascii="Cambria" w:hAnsi="Cambria"/>
                                <w:color w:val="595959"/>
                                <w:sz w:val="18"/>
                                <w:szCs w:val="18"/>
                                <w:lang w:val="es-V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CEAE9" id="Text Box 10" o:spid="_x0000_s1028" type="#_x0000_t202" style="position:absolute;left:0;text-align:left;margin-left:108.35pt;margin-top:537.8pt;width:334.7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" filled="f" stroked="f" strokeweight=".5pt">
                <v:path arrowok="t"/>
                <v:textbox>
                  <w:txbxContent>
                    <w:p w14:paraId="3FA758BD" w14:textId="197C84AF" w:rsidR="00F863D5" w:rsidRPr="00A767EE" w:rsidRDefault="00F863D5" w:rsidP="00C82286">
                      <w:pPr>
                        <w:spacing w:after="0"/>
                        <w:rPr>
                          <w:rFonts w:ascii="Cambria" w:hAnsi="Cambria"/>
                          <w:color w:val="595959"/>
                          <w:sz w:val="18"/>
                          <w:szCs w:val="18"/>
                          <w:lang w:val="es-ES_tradnl"/>
                        </w:rPr>
                      </w:pPr>
                      <w:r w:rsidRPr="00361D50">
                        <w:rPr>
                          <w:rFonts w:ascii="Cambria" w:hAnsi="Cambria"/>
                          <w:b/>
                          <w:color w:val="595959"/>
                          <w:sz w:val="18"/>
                          <w:szCs w:val="18"/>
                          <w:lang w:val="pt-BR"/>
                        </w:rPr>
                        <w:t>Citar como:</w:t>
                      </w:r>
                      <w:r w:rsidRPr="00361D50">
                        <w:rPr>
                          <w:rFonts w:ascii="Cambria" w:hAnsi="Cambria"/>
                          <w:color w:val="595959"/>
                          <w:sz w:val="18"/>
                          <w:szCs w:val="18"/>
                          <w:lang w:val="pt-BR"/>
                        </w:rPr>
                        <w:t xml:space="preserve"> CIDH, Informe No. </w:t>
                      </w:r>
                      <w:r w:rsidR="00552DC1">
                        <w:rPr>
                          <w:rFonts w:ascii="Cambria" w:hAnsi="Cambria"/>
                          <w:color w:val="595959"/>
                          <w:sz w:val="18"/>
                          <w:szCs w:val="18"/>
                          <w:lang w:val="pt-BR"/>
                        </w:rPr>
                        <w:t>109/25</w:t>
                      </w:r>
                      <w:r w:rsidRPr="00361D50">
                        <w:rPr>
                          <w:rFonts w:ascii="Cambria" w:hAnsi="Cambria"/>
                          <w:color w:val="595959"/>
                          <w:sz w:val="18"/>
                          <w:szCs w:val="18"/>
                          <w:lang w:val="pt-BR"/>
                        </w:rPr>
                        <w:t xml:space="preserve">, Caso 12.692. </w:t>
                      </w:r>
                      <w:r w:rsidRPr="00754C57">
                        <w:rPr>
                          <w:rFonts w:ascii="Cambria" w:hAnsi="Cambria"/>
                          <w:color w:val="595959"/>
                          <w:sz w:val="18"/>
                          <w:szCs w:val="18"/>
                          <w:lang w:val="es-ES_tradnl"/>
                        </w:rPr>
                        <w:t>Fondo</w:t>
                      </w:r>
                      <w:r w:rsidR="00412DB1">
                        <w:rPr>
                          <w:rFonts w:ascii="Cambria" w:hAnsi="Cambria"/>
                          <w:color w:val="595959"/>
                          <w:sz w:val="18"/>
                          <w:szCs w:val="18"/>
                          <w:lang w:val="es-ES_tradnl"/>
                        </w:rPr>
                        <w:t xml:space="preserve"> (</w:t>
                      </w:r>
                      <w:r w:rsidR="0078239F">
                        <w:rPr>
                          <w:rFonts w:ascii="Cambria" w:hAnsi="Cambria"/>
                          <w:color w:val="595959"/>
                          <w:sz w:val="18"/>
                          <w:szCs w:val="18"/>
                          <w:lang w:val="es-ES_tradnl"/>
                        </w:rPr>
                        <w:t>Publicación</w:t>
                      </w:r>
                      <w:r w:rsidR="00412DB1">
                        <w:rPr>
                          <w:rFonts w:ascii="Cambria" w:hAnsi="Cambria"/>
                          <w:color w:val="595959"/>
                          <w:sz w:val="18"/>
                          <w:szCs w:val="18"/>
                          <w:lang w:val="es-ES_tradnl"/>
                        </w:rPr>
                        <w:t>)</w:t>
                      </w:r>
                      <w:r w:rsidRPr="00754C57">
                        <w:rPr>
                          <w:rFonts w:ascii="Cambria" w:hAnsi="Cambria"/>
                          <w:color w:val="595959"/>
                          <w:sz w:val="18"/>
                          <w:szCs w:val="18"/>
                          <w:lang w:val="es-ES_tradnl"/>
                        </w:rPr>
                        <w:t>. M</w:t>
                      </w:r>
                      <w:r>
                        <w:rPr>
                          <w:rFonts w:ascii="Cambria" w:hAnsi="Cambria"/>
                          <w:color w:val="595959"/>
                          <w:sz w:val="18"/>
                          <w:szCs w:val="18"/>
                          <w:lang w:val="es-ES_tradnl"/>
                        </w:rPr>
                        <w:t>.</w:t>
                      </w:r>
                      <w:r w:rsidR="001D7B30">
                        <w:rPr>
                          <w:rFonts w:ascii="Cambria" w:hAnsi="Cambria"/>
                          <w:color w:val="595959"/>
                          <w:sz w:val="18"/>
                          <w:szCs w:val="18"/>
                          <w:lang w:val="es-ES_tradnl"/>
                        </w:rPr>
                        <w:t>E.F.</w:t>
                      </w:r>
                      <w:r>
                        <w:rPr>
                          <w:rFonts w:ascii="Cambria" w:hAnsi="Cambria"/>
                          <w:color w:val="595959"/>
                          <w:sz w:val="18"/>
                          <w:szCs w:val="18"/>
                          <w:lang w:val="es-ES_tradnl"/>
                        </w:rPr>
                        <w:t xml:space="preserve"> Argentina. </w:t>
                      </w:r>
                      <w:r w:rsidR="00345400">
                        <w:rPr>
                          <w:rFonts w:ascii="Cambria" w:hAnsi="Cambria"/>
                          <w:color w:val="595959"/>
                          <w:sz w:val="18"/>
                          <w:szCs w:val="18"/>
                          <w:lang w:val="es-ES_tradnl"/>
                        </w:rPr>
                        <w:t>10 de julio</w:t>
                      </w:r>
                      <w:r w:rsidRPr="00754C57">
                        <w:rPr>
                          <w:rFonts w:ascii="Cambria" w:hAnsi="Cambria"/>
                          <w:color w:val="595959"/>
                          <w:sz w:val="18"/>
                          <w:szCs w:val="18"/>
                          <w:lang w:val="es-ES_tradnl"/>
                        </w:rPr>
                        <w:t xml:space="preserve"> de 20</w:t>
                      </w:r>
                      <w:r>
                        <w:rPr>
                          <w:rFonts w:ascii="Cambria" w:hAnsi="Cambria"/>
                          <w:color w:val="595959"/>
                          <w:sz w:val="18"/>
                          <w:szCs w:val="18"/>
                          <w:lang w:val="es-ES_tradnl"/>
                        </w:rPr>
                        <w:t>2</w:t>
                      </w:r>
                      <w:r w:rsidR="00412DB1">
                        <w:rPr>
                          <w:rFonts w:ascii="Cambria" w:hAnsi="Cambria"/>
                          <w:color w:val="595959"/>
                          <w:sz w:val="18"/>
                          <w:szCs w:val="18"/>
                          <w:lang w:val="es-ES_tradnl"/>
                        </w:rPr>
                        <w:t>5</w:t>
                      </w:r>
                      <w:r w:rsidRPr="00754C57">
                        <w:rPr>
                          <w:rFonts w:ascii="Cambria" w:hAnsi="Cambria"/>
                          <w:color w:val="595959"/>
                          <w:sz w:val="18"/>
                          <w:szCs w:val="18"/>
                          <w:lang w:val="es-ES_tradnl"/>
                        </w:rPr>
                        <w:t>.</w:t>
                      </w:r>
                    </w:p>
                    <w:p w14:paraId="34CE0A41" w14:textId="77777777" w:rsidR="00F863D5" w:rsidRPr="00A767EE" w:rsidRDefault="00F863D5" w:rsidP="00C82286">
                      <w:pPr>
                        <w:spacing w:after="0"/>
                        <w:rPr>
                          <w:rFonts w:ascii="Cambria" w:hAnsi="Cambria"/>
                          <w:color w:val="595959"/>
                          <w:sz w:val="18"/>
                          <w:szCs w:val="18"/>
                          <w:lang w:val="es-VE"/>
                        </w:rPr>
                      </w:pPr>
                    </w:p>
                  </w:txbxContent>
                </v:textbox>
              </v:shape>
            </w:pict>
          </mc:Fallback>
        </mc:AlternateContent>
      </w:r>
      <w:r w:rsidRPr="001C445E">
        <w:rPr>
          <w:rFonts w:ascii="Cambria" w:hAnsi="Cambria"/>
          <w:noProof/>
          <w:lang w:val="en-US"/>
        </w:rPr>
        <mc:AlternateContent>
          <mc:Choice Requires="wps">
            <w:drawing>
              <wp:anchor distT="0" distB="0" distL="114300" distR="114300" simplePos="0" relativeHeight="251656192" behindDoc="0" locked="0" layoutInCell="1" allowOverlap="1" wp14:anchorId="71F1FC8C" wp14:editId="6B7289E8">
                <wp:simplePos x="0" y="0"/>
                <wp:positionH relativeFrom="column">
                  <wp:posOffset>-394335</wp:posOffset>
                </wp:positionH>
                <wp:positionV relativeFrom="paragraph">
                  <wp:posOffset>-481330</wp:posOffset>
                </wp:positionV>
                <wp:extent cx="1496695" cy="8531860"/>
                <wp:effectExtent l="0" t="4445" r="254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8531860"/>
                        </a:xfrm>
                        <a:prstGeom prst="rect">
                          <a:avLst/>
                        </a:prstGeom>
                        <a:solidFill>
                          <a:srgbClr val="4A7194"/>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09DF45" id="Rectangle 1" o:spid="_x0000_s1026" style="position:absolute;margin-left:-31.05pt;margin-top:-37.9pt;width:117.85pt;height:6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" fillcolor="#4a7194" stroked="f" strokeweight="2pt">
                <v:path arrowok="t"/>
              </v:rect>
            </w:pict>
          </mc:Fallback>
        </mc:AlternateContent>
      </w:r>
      <w:r w:rsidRPr="001C445E">
        <w:rPr>
          <w:rFonts w:ascii="Cambria" w:hAnsi="Cambria"/>
          <w:noProof/>
          <w:lang w:val="en-US"/>
        </w:rPr>
        <mc:AlternateContent>
          <mc:Choice Requires="wps">
            <w:drawing>
              <wp:anchor distT="0" distB="0" distL="114300" distR="114300" simplePos="0" relativeHeight="251661312" behindDoc="0" locked="0" layoutInCell="1" allowOverlap="1" wp14:anchorId="66BB9061" wp14:editId="449EB4E0">
                <wp:simplePos x="0" y="0"/>
                <wp:positionH relativeFrom="column">
                  <wp:posOffset>-220980</wp:posOffset>
                </wp:positionH>
                <wp:positionV relativeFrom="paragraph">
                  <wp:posOffset>8077200</wp:posOffset>
                </wp:positionV>
                <wp:extent cx="1015365" cy="2857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53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B1486B" w14:textId="77777777" w:rsidR="00F863D5" w:rsidRPr="00A767EE" w:rsidRDefault="00F863D5" w:rsidP="007374FF">
                            <w:pPr>
                              <w:jc w:val="center"/>
                              <w:rPr>
                                <w:b/>
                                <w:color w:val="FFFFFF"/>
                              </w:rPr>
                            </w:pPr>
                            <w:r w:rsidRPr="00A767EE">
                              <w:rPr>
                                <w:b/>
                                <w:color w:val="FFFFFF"/>
                                <w:lang w:val="pt-BR"/>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B9061" id="Text Box 4" o:spid="_x0000_s1029" type="#_x0000_t202" style="position:absolute;left:0;text-align:left;margin-left:-17.4pt;margin-top:636pt;width:79.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" filled="f" stroked="f" strokeweight=".5pt">
                <v:path arrowok="t"/>
                <v:textbox>
                  <w:txbxContent>
                    <w:p w14:paraId="16B1486B" w14:textId="77777777" w:rsidR="00F863D5" w:rsidRPr="00A767EE" w:rsidRDefault="00F863D5" w:rsidP="007374FF">
                      <w:pPr>
                        <w:jc w:val="center"/>
                        <w:rPr>
                          <w:b/>
                          <w:color w:val="FFFFFF"/>
                        </w:rPr>
                      </w:pPr>
                      <w:r w:rsidRPr="00A767EE">
                        <w:rPr>
                          <w:b/>
                          <w:color w:val="FFFFFF"/>
                          <w:lang w:val="pt-BR"/>
                        </w:rPr>
                        <w:t>www.cidh.org</w:t>
                      </w:r>
                    </w:p>
                  </w:txbxContent>
                </v:textbox>
              </v:shape>
            </w:pict>
          </mc:Fallback>
        </mc:AlternateContent>
      </w:r>
      <w:r w:rsidRPr="001C445E">
        <w:rPr>
          <w:rFonts w:ascii="Cambria" w:hAnsi="Cambria"/>
          <w:noProof/>
          <w:lang w:val="en-US"/>
        </w:rPr>
        <mc:AlternateContent>
          <mc:Choice Requires="wps">
            <w:drawing>
              <wp:anchor distT="0" distB="0" distL="114300" distR="114300" simplePos="0" relativeHeight="251660288" behindDoc="0" locked="0" layoutInCell="1" allowOverlap="1" wp14:anchorId="178DD4D6" wp14:editId="372AD8F4">
                <wp:simplePos x="0" y="0"/>
                <wp:positionH relativeFrom="column">
                  <wp:posOffset>1699895</wp:posOffset>
                </wp:positionH>
                <wp:positionV relativeFrom="paragraph">
                  <wp:posOffset>8298180</wp:posOffset>
                </wp:positionV>
                <wp:extent cx="3522345" cy="487045"/>
                <wp:effectExtent l="4445" t="1905"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2345" cy="487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98A12B" w14:textId="77777777" w:rsidR="00F863D5" w:rsidRPr="00A767EE" w:rsidRDefault="00F863D5" w:rsidP="007374FF">
                            <w:pPr>
                              <w:rPr>
                                <w:color w:val="FFFFFF"/>
                              </w:rPr>
                            </w:pPr>
                            <w:r>
                              <w:rPr>
                                <w:noProof/>
                                <w:sz w:val="20"/>
                                <w:szCs w:val="20"/>
                                <w:lang w:val="en-US"/>
                              </w:rPr>
                              <w:drawing>
                                <wp:inline distT="0" distB="0" distL="0" distR="0" wp14:anchorId="57F0725E" wp14:editId="3E60624E">
                                  <wp:extent cx="1341755" cy="387350"/>
                                  <wp:effectExtent l="0" t="0" r="0" b="0"/>
                                  <wp:docPr id="1" name="Picture 2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ea-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387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DD4D6" id="Text Box 9" o:spid="_x0000_s1030" type="#_x0000_t202" style="position:absolute;left:0;text-align:left;margin-left:133.85pt;margin-top:653.4pt;width:277.35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" stroked="f" strokeweight=".5pt">
                <v:path arrowok="t"/>
                <v:textbox>
                  <w:txbxContent>
                    <w:p w14:paraId="6D98A12B" w14:textId="77777777" w:rsidR="00F863D5" w:rsidRPr="00A767EE" w:rsidRDefault="00F863D5" w:rsidP="007374FF">
                      <w:pPr>
                        <w:rPr>
                          <w:color w:val="FFFFFF"/>
                        </w:rPr>
                      </w:pPr>
                      <w:r>
                        <w:rPr>
                          <w:noProof/>
                          <w:sz w:val="20"/>
                          <w:szCs w:val="20"/>
                          <w:lang w:val="en-US"/>
                        </w:rPr>
                        <w:drawing>
                          <wp:inline distT="0" distB="0" distL="0" distR="0" wp14:anchorId="57F0725E" wp14:editId="3E60624E">
                            <wp:extent cx="1341755" cy="387350"/>
                            <wp:effectExtent l="0" t="0" r="0" b="0"/>
                            <wp:docPr id="1" name="Picture 2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ea-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387350"/>
                                    </a:xfrm>
                                    <a:prstGeom prst="rect">
                                      <a:avLst/>
                                    </a:prstGeom>
                                    <a:noFill/>
                                    <a:ln>
                                      <a:noFill/>
                                    </a:ln>
                                  </pic:spPr>
                                </pic:pic>
                              </a:graphicData>
                            </a:graphic>
                          </wp:inline>
                        </w:drawing>
                      </w:r>
                    </w:p>
                  </w:txbxContent>
                </v:textbox>
              </v:shape>
            </w:pict>
          </mc:Fallback>
        </mc:AlternateContent>
      </w:r>
      <w:r w:rsidRPr="001C445E">
        <w:rPr>
          <w:rFonts w:ascii="Cambria" w:hAnsi="Cambria"/>
          <w:noProof/>
          <w:lang w:val="en-US"/>
        </w:rPr>
        <mc:AlternateContent>
          <mc:Choice Requires="wps">
            <w:drawing>
              <wp:anchor distT="0" distB="0" distL="114300" distR="114300" simplePos="0" relativeHeight="251658240" behindDoc="0" locked="0" layoutInCell="1" allowOverlap="1" wp14:anchorId="01D1DFDC" wp14:editId="6B85BEE1">
                <wp:simplePos x="0" y="0"/>
                <wp:positionH relativeFrom="column">
                  <wp:posOffset>1282065</wp:posOffset>
                </wp:positionH>
                <wp:positionV relativeFrom="paragraph">
                  <wp:posOffset>-373380</wp:posOffset>
                </wp:positionV>
                <wp:extent cx="4512945" cy="77597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2945"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8553D8" w14:textId="77777777" w:rsidR="00F863D5" w:rsidRDefault="00F863D5" w:rsidP="007374FF">
                            <w:r>
                              <w:rPr>
                                <w:noProof/>
                                <w:sz w:val="20"/>
                                <w:szCs w:val="20"/>
                                <w:lang w:val="en-US"/>
                              </w:rPr>
                              <w:drawing>
                                <wp:inline distT="0" distB="0" distL="0" distR="0" wp14:anchorId="12A8223B" wp14:editId="5735E762">
                                  <wp:extent cx="2663825" cy="506730"/>
                                  <wp:effectExtent l="0" t="0" r="3175" b="7620"/>
                                  <wp:docPr id="2" name="Picture 2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506730"/>
                                          </a:xfrm>
                                          <a:prstGeom prst="rect">
                                            <a:avLst/>
                                          </a:prstGeom>
                                          <a:noFill/>
                                          <a:ln>
                                            <a:noFill/>
                                          </a:ln>
                                        </pic:spPr>
                                      </pic:pic>
                                    </a:graphicData>
                                  </a:graphic>
                                </wp:inline>
                              </w:drawing>
                            </w:r>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1DFDC" id="Text Box 11" o:spid="_x0000_s1031" type="#_x0000_t202" style="position:absolute;left:0;text-align:left;margin-left:100.95pt;margin-top:-29.4pt;width:355.35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" filled="f" stroked="f" strokeweight=".5pt">
                <v:path arrowok="t"/>
                <v:textbox>
                  <w:txbxContent>
                    <w:p w14:paraId="3D8553D8" w14:textId="77777777" w:rsidR="00F863D5" w:rsidRDefault="00F863D5" w:rsidP="007374FF">
                      <w:r>
                        <w:rPr>
                          <w:noProof/>
                          <w:sz w:val="20"/>
                          <w:szCs w:val="20"/>
                          <w:lang w:val="en-US"/>
                        </w:rPr>
                        <w:drawing>
                          <wp:inline distT="0" distB="0" distL="0" distR="0" wp14:anchorId="12A8223B" wp14:editId="5735E762">
                            <wp:extent cx="2663825" cy="506730"/>
                            <wp:effectExtent l="0" t="0" r="3175" b="7620"/>
                            <wp:docPr id="2" name="Picture 2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506730"/>
                                    </a:xfrm>
                                    <a:prstGeom prst="rect">
                                      <a:avLst/>
                                    </a:prstGeom>
                                    <a:noFill/>
                                    <a:ln>
                                      <a:noFill/>
                                    </a:ln>
                                  </pic:spPr>
                                </pic:pic>
                              </a:graphicData>
                            </a:graphic>
                          </wp:inline>
                        </w:drawing>
                      </w:r>
                      <w:r>
                        <w:tab/>
                        <w:t xml:space="preserve">                              </w:t>
                      </w:r>
                    </w:p>
                  </w:txbxContent>
                </v:textbox>
              </v:shape>
            </w:pict>
          </mc:Fallback>
        </mc:AlternateContent>
      </w:r>
      <w:r w:rsidR="00F52C1E" w:rsidRPr="001C445E">
        <w:rPr>
          <w:rFonts w:ascii="Cambria" w:hAnsi="Cambria" w:cs="Univers"/>
          <w:b/>
          <w:bCs/>
          <w:sz w:val="20"/>
          <w:szCs w:val="20"/>
          <w:lang w:val="es-ES_tradnl"/>
        </w:rPr>
        <w:t xml:space="preserve">                                                                                                                                                                                                                                                                                                                                                                                                                                                                                                                                                                                                                                            </w:t>
      </w:r>
      <w:r w:rsidR="00987A72" w:rsidRPr="001C445E">
        <w:rPr>
          <w:rFonts w:ascii="Cambria" w:hAnsi="Cambria" w:cs="Univers"/>
          <w:b/>
          <w:bCs/>
          <w:sz w:val="20"/>
          <w:szCs w:val="20"/>
          <w:lang w:val="es-ES_tradnl"/>
        </w:rPr>
        <w:t xml:space="preserve"> </w:t>
      </w:r>
    </w:p>
    <w:p w14:paraId="5997CC1D" w14:textId="77777777" w:rsidR="007374FF" w:rsidRPr="001C445E" w:rsidRDefault="007374FF" w:rsidP="007374FF">
      <w:pPr>
        <w:tabs>
          <w:tab w:val="left" w:pos="567"/>
          <w:tab w:val="center" w:pos="5400"/>
        </w:tabs>
        <w:suppressAutoHyphens/>
        <w:jc w:val="both"/>
        <w:rPr>
          <w:rFonts w:ascii="Cambria" w:hAnsi="Cambria"/>
          <w:sz w:val="20"/>
          <w:szCs w:val="20"/>
          <w:lang w:val="es-ES_tradnl"/>
        </w:rPr>
      </w:pPr>
    </w:p>
    <w:p w14:paraId="110FFD37" w14:textId="77777777" w:rsidR="007374FF" w:rsidRPr="001C445E" w:rsidRDefault="007374FF" w:rsidP="007374FF">
      <w:pPr>
        <w:tabs>
          <w:tab w:val="left" w:pos="567"/>
          <w:tab w:val="center" w:pos="5400"/>
        </w:tabs>
        <w:suppressAutoHyphens/>
        <w:jc w:val="both"/>
        <w:rPr>
          <w:rFonts w:ascii="Cambria" w:hAnsi="Cambria"/>
          <w:sz w:val="20"/>
          <w:szCs w:val="20"/>
          <w:lang w:val="es-ES_tradnl"/>
        </w:rPr>
      </w:pPr>
    </w:p>
    <w:p w14:paraId="6B699379" w14:textId="77777777" w:rsidR="007374FF" w:rsidRPr="001C445E" w:rsidRDefault="007374FF" w:rsidP="007374FF">
      <w:pPr>
        <w:tabs>
          <w:tab w:val="left" w:pos="567"/>
          <w:tab w:val="center" w:pos="5400"/>
        </w:tabs>
        <w:suppressAutoHyphens/>
        <w:rPr>
          <w:rFonts w:ascii="Cambria" w:hAnsi="Cambria"/>
          <w:sz w:val="20"/>
          <w:szCs w:val="20"/>
          <w:lang w:val="es-ES_tradnl"/>
        </w:rPr>
      </w:pPr>
    </w:p>
    <w:p w14:paraId="3FE9F23F" w14:textId="77777777" w:rsidR="007374FF" w:rsidRPr="001C445E" w:rsidRDefault="007374FF" w:rsidP="007374FF">
      <w:pPr>
        <w:tabs>
          <w:tab w:val="left" w:pos="567"/>
          <w:tab w:val="center" w:pos="5400"/>
        </w:tabs>
        <w:suppressAutoHyphens/>
        <w:rPr>
          <w:rFonts w:ascii="Cambria" w:hAnsi="Cambria"/>
          <w:sz w:val="20"/>
          <w:szCs w:val="20"/>
          <w:lang w:val="es-ES_tradnl"/>
        </w:rPr>
      </w:pPr>
    </w:p>
    <w:p w14:paraId="1F72F646" w14:textId="77777777" w:rsidR="007374FF" w:rsidRPr="001C445E" w:rsidRDefault="007374FF" w:rsidP="007374FF">
      <w:pPr>
        <w:tabs>
          <w:tab w:val="left" w:pos="567"/>
          <w:tab w:val="center" w:pos="5400"/>
        </w:tabs>
        <w:suppressAutoHyphens/>
        <w:rPr>
          <w:rFonts w:ascii="Cambria" w:hAnsi="Cambria"/>
          <w:sz w:val="20"/>
          <w:szCs w:val="20"/>
          <w:lang w:val="es-ES_tradnl"/>
        </w:rPr>
      </w:pPr>
    </w:p>
    <w:p w14:paraId="08CE6F91"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11CAA2CC" w14:textId="77777777" w:rsidR="007374FF" w:rsidRPr="001C445E" w:rsidRDefault="0018301D" w:rsidP="007374FF">
      <w:pPr>
        <w:tabs>
          <w:tab w:val="left" w:pos="567"/>
          <w:tab w:val="center" w:pos="5400"/>
        </w:tabs>
        <w:suppressAutoHyphens/>
        <w:jc w:val="center"/>
        <w:rPr>
          <w:rFonts w:ascii="Cambria" w:hAnsi="Cambria"/>
          <w:sz w:val="20"/>
          <w:szCs w:val="20"/>
          <w:lang w:val="es-ES_tradnl"/>
        </w:rPr>
      </w:pPr>
      <w:r w:rsidRPr="001C445E">
        <w:rPr>
          <w:rFonts w:ascii="Cambria" w:hAnsi="Cambria"/>
          <w:noProof/>
          <w:lang w:val="en-US"/>
        </w:rPr>
        <mc:AlternateContent>
          <mc:Choice Requires="wps">
            <w:drawing>
              <wp:anchor distT="0" distB="0" distL="114300" distR="114300" simplePos="0" relativeHeight="251657216" behindDoc="0" locked="0" layoutInCell="1" allowOverlap="1" wp14:anchorId="24217DA6" wp14:editId="33DE003A">
                <wp:simplePos x="0" y="0"/>
                <wp:positionH relativeFrom="column">
                  <wp:posOffset>-365759</wp:posOffset>
                </wp:positionH>
                <wp:positionV relativeFrom="paragraph">
                  <wp:posOffset>362712</wp:posOffset>
                </wp:positionV>
                <wp:extent cx="1261542" cy="2106778"/>
                <wp:effectExtent l="0" t="0" r="0" b="825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1542" cy="2106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2C6646" w14:textId="4B0A9D8E" w:rsidR="00F863D5" w:rsidRPr="00D55177" w:rsidRDefault="00F863D5" w:rsidP="00DD043E">
                            <w:pPr>
                              <w:spacing w:after="0" w:line="240" w:lineRule="auto"/>
                              <w:jc w:val="right"/>
                              <w:rPr>
                                <w:color w:val="FFFFFF"/>
                                <w:lang w:val="es-US"/>
                              </w:rPr>
                            </w:pPr>
                            <w:r w:rsidRPr="00D55177">
                              <w:rPr>
                                <w:color w:val="FFFFFF"/>
                                <w:lang w:val="es-US"/>
                              </w:rPr>
                              <w:t>OEA/Ser.L/V/II</w:t>
                            </w:r>
                          </w:p>
                          <w:p w14:paraId="30934C83" w14:textId="006252ED" w:rsidR="00F863D5" w:rsidRPr="00D55177" w:rsidRDefault="00F863D5" w:rsidP="00DD043E">
                            <w:pPr>
                              <w:spacing w:after="0" w:line="240" w:lineRule="auto"/>
                              <w:jc w:val="right"/>
                              <w:rPr>
                                <w:color w:val="FFFFFF"/>
                                <w:lang w:val="es-US"/>
                              </w:rPr>
                            </w:pPr>
                            <w:r w:rsidRPr="00D55177">
                              <w:rPr>
                                <w:color w:val="FFFFFF"/>
                                <w:lang w:val="es-US"/>
                              </w:rPr>
                              <w:t xml:space="preserve">Doc. </w:t>
                            </w:r>
                            <w:r w:rsidR="00552DC1">
                              <w:rPr>
                                <w:color w:val="FFFFFF"/>
                                <w:lang w:val="es-US"/>
                              </w:rPr>
                              <w:t>114</w:t>
                            </w:r>
                          </w:p>
                          <w:p w14:paraId="39493C16" w14:textId="4B004EC2" w:rsidR="00F863D5" w:rsidRPr="00D55177" w:rsidRDefault="00345400" w:rsidP="00DD043E">
                            <w:pPr>
                              <w:spacing w:after="0" w:line="240" w:lineRule="auto"/>
                              <w:jc w:val="right"/>
                              <w:rPr>
                                <w:color w:val="FFFFFF"/>
                                <w:lang w:val="es-US"/>
                              </w:rPr>
                            </w:pPr>
                            <w:r>
                              <w:rPr>
                                <w:color w:val="FFFFFF"/>
                                <w:lang w:val="es-US"/>
                              </w:rPr>
                              <w:t>10 julio</w:t>
                            </w:r>
                            <w:r w:rsidR="00F863D5" w:rsidRPr="00D55177">
                              <w:rPr>
                                <w:color w:val="FFFFFF"/>
                                <w:lang w:val="es-US"/>
                              </w:rPr>
                              <w:t xml:space="preserve"> 202</w:t>
                            </w:r>
                            <w:r w:rsidR="00A4500F" w:rsidRPr="00D55177">
                              <w:rPr>
                                <w:color w:val="FFFFFF"/>
                                <w:lang w:val="es-US"/>
                              </w:rPr>
                              <w:t>5</w:t>
                            </w:r>
                          </w:p>
                          <w:p w14:paraId="3A0E510E" w14:textId="77777777" w:rsidR="00F863D5" w:rsidRPr="00A767EE" w:rsidRDefault="00F863D5" w:rsidP="00DD043E">
                            <w:pPr>
                              <w:spacing w:after="0" w:line="240" w:lineRule="auto"/>
                              <w:jc w:val="right"/>
                              <w:rPr>
                                <w:color w:val="FFFFFF"/>
                                <w:lang w:val="es-ES"/>
                              </w:rPr>
                            </w:pPr>
                            <w:r w:rsidRPr="00243D64">
                              <w:rPr>
                                <w:color w:val="FFFFFF"/>
                                <w:lang w:val="es-ES"/>
                              </w:rPr>
                              <w:t>Original: español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17DA6" id="Text Box 8" o:spid="_x0000_s1032" type="#_x0000_t202" style="position:absolute;left:0;text-align:left;margin-left:-28.8pt;margin-top:28.55pt;width:99.35pt;height:16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" filled="f" stroked="f" strokeweight=".5pt">
                <v:path arrowok="t"/>
                <v:textbox>
                  <w:txbxContent>
                    <w:p w14:paraId="142C6646" w14:textId="4B0A9D8E" w:rsidR="00F863D5" w:rsidRPr="00D55177" w:rsidRDefault="00F863D5" w:rsidP="00DD043E">
                      <w:pPr>
                        <w:spacing w:after="0" w:line="240" w:lineRule="auto"/>
                        <w:jc w:val="right"/>
                        <w:rPr>
                          <w:color w:val="FFFFFF"/>
                          <w:lang w:val="es-US"/>
                        </w:rPr>
                      </w:pPr>
                      <w:r w:rsidRPr="00D55177">
                        <w:rPr>
                          <w:color w:val="FFFFFF"/>
                          <w:lang w:val="es-US"/>
                        </w:rPr>
                        <w:t>OEA/Ser.L/V/II</w:t>
                      </w:r>
                    </w:p>
                    <w:p w14:paraId="30934C83" w14:textId="006252ED" w:rsidR="00F863D5" w:rsidRPr="00D55177" w:rsidRDefault="00F863D5" w:rsidP="00DD043E">
                      <w:pPr>
                        <w:spacing w:after="0" w:line="240" w:lineRule="auto"/>
                        <w:jc w:val="right"/>
                        <w:rPr>
                          <w:color w:val="FFFFFF"/>
                          <w:lang w:val="es-US"/>
                        </w:rPr>
                      </w:pPr>
                      <w:r w:rsidRPr="00D55177">
                        <w:rPr>
                          <w:color w:val="FFFFFF"/>
                          <w:lang w:val="es-US"/>
                        </w:rPr>
                        <w:t xml:space="preserve">Doc. </w:t>
                      </w:r>
                      <w:r w:rsidR="00552DC1">
                        <w:rPr>
                          <w:color w:val="FFFFFF"/>
                          <w:lang w:val="es-US"/>
                        </w:rPr>
                        <w:t>114</w:t>
                      </w:r>
                    </w:p>
                    <w:p w14:paraId="39493C16" w14:textId="4B004EC2" w:rsidR="00F863D5" w:rsidRPr="00D55177" w:rsidRDefault="00345400" w:rsidP="00DD043E">
                      <w:pPr>
                        <w:spacing w:after="0" w:line="240" w:lineRule="auto"/>
                        <w:jc w:val="right"/>
                        <w:rPr>
                          <w:color w:val="FFFFFF"/>
                          <w:lang w:val="es-US"/>
                        </w:rPr>
                      </w:pPr>
                      <w:r>
                        <w:rPr>
                          <w:color w:val="FFFFFF"/>
                          <w:lang w:val="es-US"/>
                        </w:rPr>
                        <w:t>10 julio</w:t>
                      </w:r>
                      <w:r w:rsidR="00F863D5" w:rsidRPr="00D55177">
                        <w:rPr>
                          <w:color w:val="FFFFFF"/>
                          <w:lang w:val="es-US"/>
                        </w:rPr>
                        <w:t xml:space="preserve"> 202</w:t>
                      </w:r>
                      <w:r w:rsidR="00A4500F" w:rsidRPr="00D55177">
                        <w:rPr>
                          <w:color w:val="FFFFFF"/>
                          <w:lang w:val="es-US"/>
                        </w:rPr>
                        <w:t>5</w:t>
                      </w:r>
                    </w:p>
                    <w:p w14:paraId="3A0E510E" w14:textId="77777777" w:rsidR="00F863D5" w:rsidRPr="00A767EE" w:rsidRDefault="00F863D5" w:rsidP="00DD043E">
                      <w:pPr>
                        <w:spacing w:after="0" w:line="240" w:lineRule="auto"/>
                        <w:jc w:val="right"/>
                        <w:rPr>
                          <w:color w:val="FFFFFF"/>
                          <w:lang w:val="es-ES"/>
                        </w:rPr>
                      </w:pPr>
                      <w:r w:rsidRPr="00243D64">
                        <w:rPr>
                          <w:color w:val="FFFFFF"/>
                          <w:lang w:val="es-ES"/>
                        </w:rPr>
                        <w:t>Original: español</w:t>
                      </w:r>
                    </w:p>
                  </w:txbxContent>
                </v:textbox>
              </v:shape>
            </w:pict>
          </mc:Fallback>
        </mc:AlternateContent>
      </w:r>
    </w:p>
    <w:p w14:paraId="61CDCEAD"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6BB9E253"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23DE523C"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52E56223"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07547A01"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5043CB0F"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07459315"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6537F28F"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6DFB9E20"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70DF9E56" w14:textId="77777777" w:rsidR="007374FF" w:rsidRPr="001C445E" w:rsidRDefault="007374FF" w:rsidP="007374FF">
      <w:pPr>
        <w:tabs>
          <w:tab w:val="left" w:pos="567"/>
          <w:tab w:val="center" w:pos="5400"/>
        </w:tabs>
        <w:suppressAutoHyphens/>
        <w:jc w:val="center"/>
        <w:rPr>
          <w:rFonts w:ascii="Cambria" w:hAnsi="Cambria"/>
          <w:sz w:val="20"/>
          <w:szCs w:val="20"/>
          <w:lang w:val="es-VE"/>
        </w:rPr>
      </w:pPr>
    </w:p>
    <w:p w14:paraId="44E871BC" w14:textId="77777777" w:rsidR="007374FF" w:rsidRPr="001C445E" w:rsidRDefault="007374FF" w:rsidP="007374FF">
      <w:pPr>
        <w:tabs>
          <w:tab w:val="left" w:pos="567"/>
          <w:tab w:val="center" w:pos="5400"/>
        </w:tabs>
        <w:suppressAutoHyphens/>
        <w:jc w:val="center"/>
        <w:rPr>
          <w:rFonts w:ascii="Cambria" w:hAnsi="Cambria" w:cs="Arial"/>
          <w:sz w:val="20"/>
          <w:szCs w:val="20"/>
          <w:lang w:val="es-ES_tradnl"/>
        </w:rPr>
      </w:pPr>
    </w:p>
    <w:p w14:paraId="144A5D23"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738610EB"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637805D2"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463F29E8"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3B7B4B86"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3A0FF5F2" w14:textId="77777777" w:rsidR="007374FF" w:rsidRPr="001C445E" w:rsidRDefault="007374FF" w:rsidP="007374FF">
      <w:pPr>
        <w:tabs>
          <w:tab w:val="left" w:pos="567"/>
          <w:tab w:val="center" w:pos="5400"/>
        </w:tabs>
        <w:suppressAutoHyphens/>
        <w:jc w:val="center"/>
        <w:rPr>
          <w:rFonts w:ascii="Cambria" w:hAnsi="Cambria"/>
          <w:sz w:val="20"/>
          <w:szCs w:val="20"/>
          <w:lang w:val="es-ES_tradnl"/>
        </w:rPr>
      </w:pPr>
    </w:p>
    <w:p w14:paraId="5630AD66" w14:textId="77777777" w:rsidR="007374FF" w:rsidRPr="001C445E" w:rsidRDefault="007374FF" w:rsidP="007374FF">
      <w:pPr>
        <w:tabs>
          <w:tab w:val="center" w:pos="5400"/>
        </w:tabs>
        <w:suppressAutoHyphens/>
        <w:jc w:val="center"/>
        <w:rPr>
          <w:rFonts w:ascii="Cambria" w:hAnsi="Cambria"/>
          <w:sz w:val="20"/>
          <w:szCs w:val="20"/>
          <w:lang w:val="es-ES_tradnl"/>
        </w:rPr>
        <w:sectPr w:rsidR="007374FF" w:rsidRPr="001C445E" w:rsidSect="0096307E">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5D1B57C0" w14:textId="523493AA" w:rsidR="001E08BC" w:rsidRDefault="001E08BC" w:rsidP="00D33E25">
      <w:pPr>
        <w:pStyle w:val="TOC1"/>
        <w:spacing w:before="0" w:line="480" w:lineRule="auto"/>
        <w:rPr>
          <w:rFonts w:ascii="Cambria" w:hAnsi="Cambria"/>
          <w:color w:val="auto"/>
          <w:sz w:val="20"/>
          <w:szCs w:val="20"/>
        </w:rPr>
      </w:pPr>
      <w:r w:rsidRPr="00B3070A">
        <w:rPr>
          <w:rFonts w:ascii="Cambria" w:hAnsi="Cambria"/>
          <w:color w:val="auto"/>
          <w:sz w:val="20"/>
          <w:szCs w:val="20"/>
        </w:rPr>
        <w:lastRenderedPageBreak/>
        <w:t>ÍNDICE</w:t>
      </w:r>
    </w:p>
    <w:p w14:paraId="75AEA6BC" w14:textId="77777777" w:rsidR="00D33E25" w:rsidRPr="001616F7" w:rsidRDefault="00D33E25" w:rsidP="00D33E25">
      <w:pPr>
        <w:rPr>
          <w:rFonts w:ascii="Cambria" w:hAnsi="Cambria"/>
        </w:rPr>
      </w:pPr>
    </w:p>
    <w:p w14:paraId="63409CD4" w14:textId="194AAEA9" w:rsidR="001616F7" w:rsidRPr="001616F7" w:rsidRDefault="004426B1">
      <w:pPr>
        <w:pStyle w:val="TOC1"/>
        <w:rPr>
          <w:rFonts w:ascii="Cambria" w:eastAsiaTheme="minorEastAsia" w:hAnsi="Cambria" w:cstheme="minorBidi"/>
          <w:b w:val="0"/>
          <w:noProof/>
          <w:color w:val="auto"/>
          <w:kern w:val="2"/>
          <w:sz w:val="22"/>
          <w:szCs w:val="22"/>
          <w:lang w:val="en-US"/>
          <w14:ligatures w14:val="standardContextual"/>
        </w:rPr>
      </w:pPr>
      <w:r w:rsidRPr="001616F7">
        <w:rPr>
          <w:rFonts w:ascii="Cambria" w:hAnsi="Cambria"/>
          <w:color w:val="auto"/>
          <w:sz w:val="22"/>
          <w:szCs w:val="22"/>
        </w:rPr>
        <w:fldChar w:fldCharType="begin"/>
      </w:r>
      <w:r w:rsidRPr="001616F7">
        <w:rPr>
          <w:rFonts w:ascii="Cambria" w:hAnsi="Cambria"/>
          <w:color w:val="auto"/>
          <w:sz w:val="22"/>
          <w:szCs w:val="22"/>
        </w:rPr>
        <w:instrText xml:space="preserve"> TOC \o "1-3" \h \z \u </w:instrText>
      </w:r>
      <w:r w:rsidRPr="001616F7">
        <w:rPr>
          <w:rFonts w:ascii="Cambria" w:hAnsi="Cambria"/>
          <w:color w:val="auto"/>
          <w:sz w:val="22"/>
          <w:szCs w:val="22"/>
        </w:rPr>
        <w:fldChar w:fldCharType="separate"/>
      </w:r>
      <w:hyperlink w:anchor="_Toc203125551" w:history="1">
        <w:r w:rsidR="001616F7" w:rsidRPr="001616F7">
          <w:rPr>
            <w:rStyle w:val="Hyperlink"/>
            <w:rFonts w:ascii="Cambria" w:hAnsi="Cambria"/>
            <w:noProof/>
            <w:color w:val="auto"/>
            <w:sz w:val="22"/>
            <w:szCs w:val="22"/>
            <w:lang w:val="es-VE"/>
          </w:rPr>
          <w:t>I.</w:t>
        </w:r>
        <w:r w:rsidR="001616F7" w:rsidRPr="001616F7">
          <w:rPr>
            <w:rFonts w:ascii="Cambria" w:eastAsiaTheme="minorEastAsia" w:hAnsi="Cambria" w:cstheme="minorBidi"/>
            <w:b w:val="0"/>
            <w:noProof/>
            <w:color w:val="auto"/>
            <w:kern w:val="2"/>
            <w:sz w:val="22"/>
            <w:szCs w:val="22"/>
            <w:lang w:val="en-US"/>
            <w14:ligatures w14:val="standardContextual"/>
          </w:rPr>
          <w:tab/>
        </w:r>
        <w:r w:rsidR="001616F7" w:rsidRPr="001616F7">
          <w:rPr>
            <w:rStyle w:val="Hyperlink"/>
            <w:rFonts w:ascii="Cambria" w:hAnsi="Cambria"/>
            <w:noProof/>
            <w:color w:val="auto"/>
            <w:sz w:val="22"/>
            <w:szCs w:val="22"/>
          </w:rPr>
          <w:t>INTRODUCCIÓN</w:t>
        </w:r>
        <w:r w:rsidR="001616F7" w:rsidRPr="001616F7">
          <w:rPr>
            <w:rFonts w:ascii="Cambria" w:hAnsi="Cambria"/>
            <w:noProof/>
            <w:webHidden/>
            <w:color w:val="auto"/>
            <w:sz w:val="22"/>
            <w:szCs w:val="22"/>
          </w:rPr>
          <w:tab/>
        </w:r>
        <w:r w:rsidR="001616F7" w:rsidRPr="001616F7">
          <w:rPr>
            <w:rFonts w:ascii="Cambria" w:hAnsi="Cambria"/>
            <w:noProof/>
            <w:webHidden/>
            <w:color w:val="auto"/>
            <w:sz w:val="22"/>
            <w:szCs w:val="22"/>
          </w:rPr>
          <w:fldChar w:fldCharType="begin"/>
        </w:r>
        <w:r w:rsidR="001616F7" w:rsidRPr="001616F7">
          <w:rPr>
            <w:rFonts w:ascii="Cambria" w:hAnsi="Cambria"/>
            <w:noProof/>
            <w:webHidden/>
            <w:color w:val="auto"/>
            <w:sz w:val="22"/>
            <w:szCs w:val="22"/>
          </w:rPr>
          <w:instrText xml:space="preserve"> PAGEREF _Toc203125551 \h </w:instrText>
        </w:r>
        <w:r w:rsidR="001616F7" w:rsidRPr="001616F7">
          <w:rPr>
            <w:rFonts w:ascii="Cambria" w:hAnsi="Cambria"/>
            <w:noProof/>
            <w:webHidden/>
            <w:color w:val="auto"/>
            <w:sz w:val="22"/>
            <w:szCs w:val="22"/>
          </w:rPr>
        </w:r>
        <w:r w:rsidR="001616F7"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2</w:t>
        </w:r>
        <w:r w:rsidR="001616F7" w:rsidRPr="001616F7">
          <w:rPr>
            <w:rFonts w:ascii="Cambria" w:hAnsi="Cambria"/>
            <w:noProof/>
            <w:webHidden/>
            <w:color w:val="auto"/>
            <w:sz w:val="22"/>
            <w:szCs w:val="22"/>
          </w:rPr>
          <w:fldChar w:fldCharType="end"/>
        </w:r>
      </w:hyperlink>
    </w:p>
    <w:p w14:paraId="40CD58A4" w14:textId="4507EB71" w:rsidR="001616F7" w:rsidRPr="001616F7" w:rsidRDefault="001616F7">
      <w:pPr>
        <w:pStyle w:val="TOC1"/>
        <w:rPr>
          <w:rFonts w:ascii="Cambria" w:eastAsiaTheme="minorEastAsia" w:hAnsi="Cambria" w:cstheme="minorBidi"/>
          <w:b w:val="0"/>
          <w:noProof/>
          <w:color w:val="auto"/>
          <w:kern w:val="2"/>
          <w:sz w:val="22"/>
          <w:szCs w:val="22"/>
          <w:lang w:val="en-US"/>
          <w14:ligatures w14:val="standardContextual"/>
        </w:rPr>
      </w:pPr>
      <w:hyperlink w:anchor="_Toc203125552" w:history="1">
        <w:r w:rsidRPr="001616F7">
          <w:rPr>
            <w:rStyle w:val="Hyperlink"/>
            <w:rFonts w:ascii="Cambria" w:hAnsi="Cambria"/>
            <w:noProof/>
            <w:color w:val="auto"/>
            <w:sz w:val="22"/>
            <w:szCs w:val="22"/>
            <w:lang w:val="es-VE"/>
          </w:rPr>
          <w:t>II.</w:t>
        </w:r>
        <w:r w:rsidRPr="001616F7">
          <w:rPr>
            <w:rFonts w:ascii="Cambria" w:eastAsiaTheme="minorEastAsia" w:hAnsi="Cambria" w:cstheme="minorBidi"/>
            <w:b w:val="0"/>
            <w:noProof/>
            <w:color w:val="auto"/>
            <w:kern w:val="2"/>
            <w:sz w:val="22"/>
            <w:szCs w:val="22"/>
            <w:lang w:val="en-US"/>
            <w14:ligatures w14:val="standardContextual"/>
          </w:rPr>
          <w:tab/>
        </w:r>
        <w:r w:rsidRPr="001616F7">
          <w:rPr>
            <w:rStyle w:val="Hyperlink"/>
            <w:rFonts w:ascii="Cambria" w:hAnsi="Cambria"/>
            <w:noProof/>
            <w:color w:val="auto"/>
            <w:sz w:val="22"/>
            <w:szCs w:val="22"/>
          </w:rPr>
          <w:t>POSICIONES DE LAS PARTES</w:t>
        </w:r>
        <w:r w:rsidRPr="001616F7">
          <w:rPr>
            <w:rFonts w:ascii="Cambria" w:hAnsi="Cambria"/>
            <w:noProof/>
            <w:webHidden/>
            <w:color w:val="auto"/>
            <w:sz w:val="22"/>
            <w:szCs w:val="22"/>
          </w:rPr>
          <w:tab/>
        </w:r>
        <w:r w:rsidRPr="001616F7">
          <w:rPr>
            <w:rFonts w:ascii="Cambria" w:hAnsi="Cambria"/>
            <w:noProof/>
            <w:webHidden/>
            <w:color w:val="auto"/>
            <w:sz w:val="22"/>
            <w:szCs w:val="22"/>
          </w:rPr>
          <w:fldChar w:fldCharType="begin"/>
        </w:r>
        <w:r w:rsidRPr="001616F7">
          <w:rPr>
            <w:rFonts w:ascii="Cambria" w:hAnsi="Cambria"/>
            <w:noProof/>
            <w:webHidden/>
            <w:color w:val="auto"/>
            <w:sz w:val="22"/>
            <w:szCs w:val="22"/>
          </w:rPr>
          <w:instrText xml:space="preserve"> PAGEREF _Toc203125552 \h </w:instrText>
        </w:r>
        <w:r w:rsidRPr="001616F7">
          <w:rPr>
            <w:rFonts w:ascii="Cambria" w:hAnsi="Cambria"/>
            <w:noProof/>
            <w:webHidden/>
            <w:color w:val="auto"/>
            <w:sz w:val="22"/>
            <w:szCs w:val="22"/>
          </w:rPr>
        </w:r>
        <w:r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2</w:t>
        </w:r>
        <w:r w:rsidRPr="001616F7">
          <w:rPr>
            <w:rFonts w:ascii="Cambria" w:hAnsi="Cambria"/>
            <w:noProof/>
            <w:webHidden/>
            <w:color w:val="auto"/>
            <w:sz w:val="22"/>
            <w:szCs w:val="22"/>
          </w:rPr>
          <w:fldChar w:fldCharType="end"/>
        </w:r>
      </w:hyperlink>
    </w:p>
    <w:p w14:paraId="20CE6D70" w14:textId="3E7EA8FF" w:rsidR="001616F7" w:rsidRPr="001616F7" w:rsidRDefault="001616F7">
      <w:pPr>
        <w:pStyle w:val="TOC2"/>
        <w:tabs>
          <w:tab w:val="left" w:pos="440"/>
          <w:tab w:val="right" w:leader="dot" w:pos="8990"/>
        </w:tabs>
        <w:rPr>
          <w:rFonts w:eastAsiaTheme="minorEastAsia" w:cstheme="minorBidi"/>
          <w:noProof/>
          <w:kern w:val="2"/>
          <w:lang w:val="en-US"/>
          <w14:ligatures w14:val="standardContextual"/>
        </w:rPr>
      </w:pPr>
      <w:hyperlink w:anchor="_Toc203125553" w:history="1">
        <w:r w:rsidRPr="001616F7">
          <w:rPr>
            <w:rStyle w:val="Hyperlink"/>
            <w:noProof/>
          </w:rPr>
          <w:t>A.</w:t>
        </w:r>
        <w:r w:rsidRPr="001616F7">
          <w:rPr>
            <w:rFonts w:eastAsiaTheme="minorEastAsia" w:cstheme="minorBidi"/>
            <w:noProof/>
            <w:kern w:val="2"/>
            <w:lang w:val="en-US"/>
            <w14:ligatures w14:val="standardContextual"/>
          </w:rPr>
          <w:tab/>
        </w:r>
        <w:r w:rsidRPr="001616F7">
          <w:rPr>
            <w:rStyle w:val="Hyperlink"/>
            <w:noProof/>
          </w:rPr>
          <w:t>Parte peticionaria</w:t>
        </w:r>
        <w:r w:rsidRPr="001616F7">
          <w:rPr>
            <w:noProof/>
            <w:webHidden/>
          </w:rPr>
          <w:tab/>
        </w:r>
        <w:r w:rsidRPr="001616F7">
          <w:rPr>
            <w:noProof/>
            <w:webHidden/>
          </w:rPr>
          <w:fldChar w:fldCharType="begin"/>
        </w:r>
        <w:r w:rsidRPr="001616F7">
          <w:rPr>
            <w:noProof/>
            <w:webHidden/>
          </w:rPr>
          <w:instrText xml:space="preserve"> PAGEREF _Toc203125553 \h </w:instrText>
        </w:r>
        <w:r w:rsidRPr="001616F7">
          <w:rPr>
            <w:noProof/>
            <w:webHidden/>
          </w:rPr>
        </w:r>
        <w:r w:rsidRPr="001616F7">
          <w:rPr>
            <w:noProof/>
            <w:webHidden/>
          </w:rPr>
          <w:fldChar w:fldCharType="separate"/>
        </w:r>
        <w:r w:rsidR="00E1746D">
          <w:rPr>
            <w:noProof/>
            <w:webHidden/>
          </w:rPr>
          <w:t>2</w:t>
        </w:r>
        <w:r w:rsidRPr="001616F7">
          <w:rPr>
            <w:noProof/>
            <w:webHidden/>
          </w:rPr>
          <w:fldChar w:fldCharType="end"/>
        </w:r>
      </w:hyperlink>
    </w:p>
    <w:p w14:paraId="2A491DB5" w14:textId="7B6EFE89" w:rsidR="001616F7" w:rsidRPr="001616F7" w:rsidRDefault="001616F7">
      <w:pPr>
        <w:pStyle w:val="TOC2"/>
        <w:tabs>
          <w:tab w:val="left" w:pos="440"/>
          <w:tab w:val="right" w:leader="dot" w:pos="8990"/>
        </w:tabs>
        <w:rPr>
          <w:rFonts w:eastAsiaTheme="minorEastAsia" w:cstheme="minorBidi"/>
          <w:noProof/>
          <w:kern w:val="2"/>
          <w:lang w:val="en-US"/>
          <w14:ligatures w14:val="standardContextual"/>
        </w:rPr>
      </w:pPr>
      <w:hyperlink w:anchor="_Toc203125554" w:history="1">
        <w:r w:rsidRPr="001616F7">
          <w:rPr>
            <w:rStyle w:val="Hyperlink"/>
            <w:noProof/>
          </w:rPr>
          <w:t>B.</w:t>
        </w:r>
        <w:r w:rsidRPr="001616F7">
          <w:rPr>
            <w:rFonts w:eastAsiaTheme="minorEastAsia" w:cstheme="minorBidi"/>
            <w:noProof/>
            <w:kern w:val="2"/>
            <w:lang w:val="en-US"/>
            <w14:ligatures w14:val="standardContextual"/>
          </w:rPr>
          <w:tab/>
        </w:r>
        <w:r w:rsidRPr="001616F7">
          <w:rPr>
            <w:rStyle w:val="Hyperlink"/>
            <w:noProof/>
          </w:rPr>
          <w:t>Estado</w:t>
        </w:r>
        <w:r w:rsidRPr="001616F7">
          <w:rPr>
            <w:noProof/>
            <w:webHidden/>
          </w:rPr>
          <w:tab/>
        </w:r>
        <w:r w:rsidRPr="001616F7">
          <w:rPr>
            <w:noProof/>
            <w:webHidden/>
          </w:rPr>
          <w:fldChar w:fldCharType="begin"/>
        </w:r>
        <w:r w:rsidRPr="001616F7">
          <w:rPr>
            <w:noProof/>
            <w:webHidden/>
          </w:rPr>
          <w:instrText xml:space="preserve"> PAGEREF _Toc203125554 \h </w:instrText>
        </w:r>
        <w:r w:rsidRPr="001616F7">
          <w:rPr>
            <w:noProof/>
            <w:webHidden/>
          </w:rPr>
        </w:r>
        <w:r w:rsidRPr="001616F7">
          <w:rPr>
            <w:noProof/>
            <w:webHidden/>
          </w:rPr>
          <w:fldChar w:fldCharType="separate"/>
        </w:r>
        <w:r w:rsidR="00E1746D">
          <w:rPr>
            <w:noProof/>
            <w:webHidden/>
          </w:rPr>
          <w:t>3</w:t>
        </w:r>
        <w:r w:rsidRPr="001616F7">
          <w:rPr>
            <w:noProof/>
            <w:webHidden/>
          </w:rPr>
          <w:fldChar w:fldCharType="end"/>
        </w:r>
      </w:hyperlink>
    </w:p>
    <w:p w14:paraId="52056F30" w14:textId="4AAEA250" w:rsidR="001616F7" w:rsidRPr="001616F7" w:rsidRDefault="001616F7">
      <w:pPr>
        <w:pStyle w:val="TOC1"/>
        <w:tabs>
          <w:tab w:val="left" w:pos="880"/>
        </w:tabs>
        <w:rPr>
          <w:rFonts w:ascii="Cambria" w:eastAsiaTheme="minorEastAsia" w:hAnsi="Cambria" w:cstheme="minorBidi"/>
          <w:b w:val="0"/>
          <w:noProof/>
          <w:color w:val="auto"/>
          <w:kern w:val="2"/>
          <w:sz w:val="22"/>
          <w:szCs w:val="22"/>
          <w:lang w:val="en-US"/>
          <w14:ligatures w14:val="standardContextual"/>
        </w:rPr>
      </w:pPr>
      <w:hyperlink w:anchor="_Toc203125555" w:history="1">
        <w:r w:rsidRPr="001616F7">
          <w:rPr>
            <w:rStyle w:val="Hyperlink"/>
            <w:rFonts w:ascii="Cambria" w:hAnsi="Cambria"/>
            <w:noProof/>
            <w:color w:val="auto"/>
            <w:sz w:val="22"/>
            <w:szCs w:val="22"/>
            <w:lang w:val="es-VE"/>
          </w:rPr>
          <w:t>III.</w:t>
        </w:r>
        <w:r w:rsidRPr="001616F7">
          <w:rPr>
            <w:rFonts w:ascii="Cambria" w:eastAsiaTheme="minorEastAsia" w:hAnsi="Cambria" w:cstheme="minorBidi"/>
            <w:b w:val="0"/>
            <w:noProof/>
            <w:color w:val="auto"/>
            <w:kern w:val="2"/>
            <w:sz w:val="22"/>
            <w:szCs w:val="22"/>
            <w:lang w:val="en-US"/>
            <w14:ligatures w14:val="standardContextual"/>
          </w:rPr>
          <w:tab/>
        </w:r>
        <w:r w:rsidRPr="001616F7">
          <w:rPr>
            <w:rStyle w:val="Hyperlink"/>
            <w:rFonts w:ascii="Cambria" w:hAnsi="Cambria"/>
            <w:noProof/>
            <w:color w:val="auto"/>
            <w:sz w:val="22"/>
            <w:szCs w:val="22"/>
          </w:rPr>
          <w:t>DETERMINACIONES DE HECHO</w:t>
        </w:r>
        <w:r w:rsidRPr="001616F7">
          <w:rPr>
            <w:rFonts w:ascii="Cambria" w:hAnsi="Cambria"/>
            <w:noProof/>
            <w:webHidden/>
            <w:color w:val="auto"/>
            <w:sz w:val="22"/>
            <w:szCs w:val="22"/>
          </w:rPr>
          <w:tab/>
        </w:r>
        <w:r w:rsidRPr="001616F7">
          <w:rPr>
            <w:rFonts w:ascii="Cambria" w:hAnsi="Cambria"/>
            <w:noProof/>
            <w:webHidden/>
            <w:color w:val="auto"/>
            <w:sz w:val="22"/>
            <w:szCs w:val="22"/>
          </w:rPr>
          <w:fldChar w:fldCharType="begin"/>
        </w:r>
        <w:r w:rsidRPr="001616F7">
          <w:rPr>
            <w:rFonts w:ascii="Cambria" w:hAnsi="Cambria"/>
            <w:noProof/>
            <w:webHidden/>
            <w:color w:val="auto"/>
            <w:sz w:val="22"/>
            <w:szCs w:val="22"/>
          </w:rPr>
          <w:instrText xml:space="preserve"> PAGEREF _Toc203125555 \h </w:instrText>
        </w:r>
        <w:r w:rsidRPr="001616F7">
          <w:rPr>
            <w:rFonts w:ascii="Cambria" w:hAnsi="Cambria"/>
            <w:noProof/>
            <w:webHidden/>
            <w:color w:val="auto"/>
            <w:sz w:val="22"/>
            <w:szCs w:val="22"/>
          </w:rPr>
        </w:r>
        <w:r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4</w:t>
        </w:r>
        <w:r w:rsidRPr="001616F7">
          <w:rPr>
            <w:rFonts w:ascii="Cambria" w:hAnsi="Cambria"/>
            <w:noProof/>
            <w:webHidden/>
            <w:color w:val="auto"/>
            <w:sz w:val="22"/>
            <w:szCs w:val="22"/>
          </w:rPr>
          <w:fldChar w:fldCharType="end"/>
        </w:r>
      </w:hyperlink>
    </w:p>
    <w:p w14:paraId="35875463" w14:textId="14C9BBE6" w:rsidR="001616F7" w:rsidRPr="001616F7" w:rsidRDefault="001616F7">
      <w:pPr>
        <w:pStyle w:val="TOC2"/>
        <w:tabs>
          <w:tab w:val="left" w:pos="440"/>
          <w:tab w:val="right" w:leader="dot" w:pos="8990"/>
        </w:tabs>
        <w:rPr>
          <w:rFonts w:eastAsiaTheme="minorEastAsia" w:cstheme="minorBidi"/>
          <w:noProof/>
          <w:kern w:val="2"/>
          <w:lang w:val="en-US"/>
          <w14:ligatures w14:val="standardContextual"/>
        </w:rPr>
      </w:pPr>
      <w:hyperlink w:anchor="_Toc203125556" w:history="1">
        <w:r w:rsidRPr="001616F7">
          <w:rPr>
            <w:rStyle w:val="Hyperlink"/>
            <w:noProof/>
            <w:lang w:val="es-VE"/>
          </w:rPr>
          <w:t>A.</w:t>
        </w:r>
        <w:r w:rsidRPr="001616F7">
          <w:rPr>
            <w:rFonts w:eastAsiaTheme="minorEastAsia" w:cstheme="minorBidi"/>
            <w:noProof/>
            <w:kern w:val="2"/>
            <w:lang w:val="en-US"/>
            <w14:ligatures w14:val="standardContextual"/>
          </w:rPr>
          <w:tab/>
        </w:r>
        <w:r w:rsidRPr="001616F7">
          <w:rPr>
            <w:rStyle w:val="Hyperlink"/>
            <w:noProof/>
          </w:rPr>
          <w:t>Marco jurídico relevante</w:t>
        </w:r>
        <w:r w:rsidRPr="001616F7">
          <w:rPr>
            <w:noProof/>
            <w:webHidden/>
          </w:rPr>
          <w:tab/>
        </w:r>
        <w:r w:rsidRPr="001616F7">
          <w:rPr>
            <w:noProof/>
            <w:webHidden/>
          </w:rPr>
          <w:fldChar w:fldCharType="begin"/>
        </w:r>
        <w:r w:rsidRPr="001616F7">
          <w:rPr>
            <w:noProof/>
            <w:webHidden/>
          </w:rPr>
          <w:instrText xml:space="preserve"> PAGEREF _Toc203125556 \h </w:instrText>
        </w:r>
        <w:r w:rsidRPr="001616F7">
          <w:rPr>
            <w:noProof/>
            <w:webHidden/>
          </w:rPr>
        </w:r>
        <w:r w:rsidRPr="001616F7">
          <w:rPr>
            <w:noProof/>
            <w:webHidden/>
          </w:rPr>
          <w:fldChar w:fldCharType="separate"/>
        </w:r>
        <w:r w:rsidR="00E1746D">
          <w:rPr>
            <w:noProof/>
            <w:webHidden/>
          </w:rPr>
          <w:t>4</w:t>
        </w:r>
        <w:r w:rsidRPr="001616F7">
          <w:rPr>
            <w:noProof/>
            <w:webHidden/>
          </w:rPr>
          <w:fldChar w:fldCharType="end"/>
        </w:r>
      </w:hyperlink>
    </w:p>
    <w:p w14:paraId="23BD2C8A" w14:textId="43F9A013" w:rsidR="001616F7" w:rsidRPr="001616F7" w:rsidRDefault="001616F7">
      <w:pPr>
        <w:pStyle w:val="TOC2"/>
        <w:tabs>
          <w:tab w:val="left" w:pos="440"/>
          <w:tab w:val="right" w:leader="dot" w:pos="8990"/>
        </w:tabs>
        <w:rPr>
          <w:rFonts w:eastAsiaTheme="minorEastAsia" w:cstheme="minorBidi"/>
          <w:noProof/>
          <w:kern w:val="2"/>
          <w:lang w:val="en-US"/>
          <w14:ligatures w14:val="standardContextual"/>
        </w:rPr>
      </w:pPr>
      <w:hyperlink w:anchor="_Toc203125557" w:history="1">
        <w:r w:rsidRPr="001616F7">
          <w:rPr>
            <w:rStyle w:val="Hyperlink"/>
            <w:noProof/>
            <w:lang w:val="es-VE"/>
          </w:rPr>
          <w:t>B.</w:t>
        </w:r>
        <w:r w:rsidRPr="001616F7">
          <w:rPr>
            <w:rFonts w:eastAsiaTheme="minorEastAsia" w:cstheme="minorBidi"/>
            <w:noProof/>
            <w:kern w:val="2"/>
            <w:lang w:val="en-US"/>
            <w14:ligatures w14:val="standardContextual"/>
          </w:rPr>
          <w:tab/>
        </w:r>
        <w:r w:rsidRPr="001616F7">
          <w:rPr>
            <w:rStyle w:val="Hyperlink"/>
            <w:noProof/>
          </w:rPr>
          <w:t>Demanda por despido injustificado y recurso de apelación</w:t>
        </w:r>
        <w:r w:rsidRPr="001616F7">
          <w:rPr>
            <w:noProof/>
            <w:webHidden/>
          </w:rPr>
          <w:tab/>
        </w:r>
        <w:r w:rsidRPr="001616F7">
          <w:rPr>
            <w:noProof/>
            <w:webHidden/>
          </w:rPr>
          <w:fldChar w:fldCharType="begin"/>
        </w:r>
        <w:r w:rsidRPr="001616F7">
          <w:rPr>
            <w:noProof/>
            <w:webHidden/>
          </w:rPr>
          <w:instrText xml:space="preserve"> PAGEREF _Toc203125557 \h </w:instrText>
        </w:r>
        <w:r w:rsidRPr="001616F7">
          <w:rPr>
            <w:noProof/>
            <w:webHidden/>
          </w:rPr>
        </w:r>
        <w:r w:rsidRPr="001616F7">
          <w:rPr>
            <w:noProof/>
            <w:webHidden/>
          </w:rPr>
          <w:fldChar w:fldCharType="separate"/>
        </w:r>
        <w:r w:rsidR="00E1746D">
          <w:rPr>
            <w:noProof/>
            <w:webHidden/>
          </w:rPr>
          <w:t>5</w:t>
        </w:r>
        <w:r w:rsidRPr="001616F7">
          <w:rPr>
            <w:noProof/>
            <w:webHidden/>
          </w:rPr>
          <w:fldChar w:fldCharType="end"/>
        </w:r>
      </w:hyperlink>
    </w:p>
    <w:p w14:paraId="2B62640E" w14:textId="501C8109" w:rsidR="001616F7" w:rsidRPr="001616F7" w:rsidRDefault="001616F7">
      <w:pPr>
        <w:pStyle w:val="TOC2"/>
        <w:tabs>
          <w:tab w:val="left" w:pos="440"/>
          <w:tab w:val="right" w:leader="dot" w:pos="8990"/>
        </w:tabs>
        <w:rPr>
          <w:rFonts w:eastAsiaTheme="minorEastAsia" w:cstheme="minorBidi"/>
          <w:noProof/>
          <w:kern w:val="2"/>
          <w:lang w:val="en-US"/>
          <w14:ligatures w14:val="standardContextual"/>
        </w:rPr>
      </w:pPr>
      <w:hyperlink w:anchor="_Toc203125558" w:history="1">
        <w:r w:rsidRPr="001616F7">
          <w:rPr>
            <w:rStyle w:val="Hyperlink"/>
            <w:noProof/>
            <w:lang w:val="es-VE"/>
          </w:rPr>
          <w:t>C.</w:t>
        </w:r>
        <w:r w:rsidRPr="001616F7">
          <w:rPr>
            <w:rFonts w:eastAsiaTheme="minorEastAsia" w:cstheme="minorBidi"/>
            <w:noProof/>
            <w:kern w:val="2"/>
            <w:lang w:val="en-US"/>
            <w14:ligatures w14:val="standardContextual"/>
          </w:rPr>
          <w:tab/>
        </w:r>
        <w:r w:rsidRPr="001616F7">
          <w:rPr>
            <w:rStyle w:val="Hyperlink"/>
            <w:noProof/>
          </w:rPr>
          <w:t>Fase de ejecución de la sentencia y acuerdo de pago</w:t>
        </w:r>
        <w:r w:rsidRPr="001616F7">
          <w:rPr>
            <w:noProof/>
            <w:webHidden/>
          </w:rPr>
          <w:tab/>
        </w:r>
        <w:r w:rsidRPr="001616F7">
          <w:rPr>
            <w:noProof/>
            <w:webHidden/>
          </w:rPr>
          <w:fldChar w:fldCharType="begin"/>
        </w:r>
        <w:r w:rsidRPr="001616F7">
          <w:rPr>
            <w:noProof/>
            <w:webHidden/>
          </w:rPr>
          <w:instrText xml:space="preserve"> PAGEREF _Toc203125558 \h </w:instrText>
        </w:r>
        <w:r w:rsidRPr="001616F7">
          <w:rPr>
            <w:noProof/>
            <w:webHidden/>
          </w:rPr>
        </w:r>
        <w:r w:rsidRPr="001616F7">
          <w:rPr>
            <w:noProof/>
            <w:webHidden/>
          </w:rPr>
          <w:fldChar w:fldCharType="separate"/>
        </w:r>
        <w:r w:rsidR="00E1746D">
          <w:rPr>
            <w:noProof/>
            <w:webHidden/>
          </w:rPr>
          <w:t>7</w:t>
        </w:r>
        <w:r w:rsidRPr="001616F7">
          <w:rPr>
            <w:noProof/>
            <w:webHidden/>
          </w:rPr>
          <w:fldChar w:fldCharType="end"/>
        </w:r>
      </w:hyperlink>
    </w:p>
    <w:p w14:paraId="78A53038" w14:textId="3F356822" w:rsidR="001616F7" w:rsidRPr="001616F7" w:rsidRDefault="001616F7">
      <w:pPr>
        <w:pStyle w:val="TOC1"/>
        <w:tabs>
          <w:tab w:val="left" w:pos="880"/>
        </w:tabs>
        <w:rPr>
          <w:rFonts w:ascii="Cambria" w:eastAsiaTheme="minorEastAsia" w:hAnsi="Cambria" w:cstheme="minorBidi"/>
          <w:b w:val="0"/>
          <w:noProof/>
          <w:color w:val="auto"/>
          <w:kern w:val="2"/>
          <w:sz w:val="22"/>
          <w:szCs w:val="22"/>
          <w:lang w:val="en-US"/>
          <w14:ligatures w14:val="standardContextual"/>
        </w:rPr>
      </w:pPr>
      <w:hyperlink w:anchor="_Toc203125559" w:history="1">
        <w:r w:rsidRPr="001616F7">
          <w:rPr>
            <w:rStyle w:val="Hyperlink"/>
            <w:rFonts w:ascii="Cambria" w:hAnsi="Cambria"/>
            <w:noProof/>
            <w:color w:val="auto"/>
            <w:sz w:val="22"/>
            <w:szCs w:val="22"/>
            <w:lang w:val="es-VE"/>
          </w:rPr>
          <w:t>IV.</w:t>
        </w:r>
        <w:r w:rsidRPr="001616F7">
          <w:rPr>
            <w:rFonts w:ascii="Cambria" w:eastAsiaTheme="minorEastAsia" w:hAnsi="Cambria" w:cstheme="minorBidi"/>
            <w:b w:val="0"/>
            <w:noProof/>
            <w:color w:val="auto"/>
            <w:kern w:val="2"/>
            <w:sz w:val="22"/>
            <w:szCs w:val="22"/>
            <w:lang w:val="en-US"/>
            <w14:ligatures w14:val="standardContextual"/>
          </w:rPr>
          <w:tab/>
        </w:r>
        <w:r w:rsidRPr="001616F7">
          <w:rPr>
            <w:rStyle w:val="Hyperlink"/>
            <w:rFonts w:ascii="Cambria" w:hAnsi="Cambria"/>
            <w:noProof/>
            <w:color w:val="auto"/>
            <w:sz w:val="22"/>
            <w:szCs w:val="22"/>
          </w:rPr>
          <w:t>DETERMINACIONES DE DERECHO</w:t>
        </w:r>
        <w:r w:rsidRPr="001616F7">
          <w:rPr>
            <w:rFonts w:ascii="Cambria" w:hAnsi="Cambria"/>
            <w:noProof/>
            <w:webHidden/>
            <w:color w:val="auto"/>
            <w:sz w:val="22"/>
            <w:szCs w:val="22"/>
          </w:rPr>
          <w:tab/>
        </w:r>
        <w:r w:rsidRPr="001616F7">
          <w:rPr>
            <w:rFonts w:ascii="Cambria" w:hAnsi="Cambria"/>
            <w:noProof/>
            <w:webHidden/>
            <w:color w:val="auto"/>
            <w:sz w:val="22"/>
            <w:szCs w:val="22"/>
          </w:rPr>
          <w:fldChar w:fldCharType="begin"/>
        </w:r>
        <w:r w:rsidRPr="001616F7">
          <w:rPr>
            <w:rFonts w:ascii="Cambria" w:hAnsi="Cambria"/>
            <w:noProof/>
            <w:webHidden/>
            <w:color w:val="auto"/>
            <w:sz w:val="22"/>
            <w:szCs w:val="22"/>
          </w:rPr>
          <w:instrText xml:space="preserve"> PAGEREF _Toc203125559 \h </w:instrText>
        </w:r>
        <w:r w:rsidRPr="001616F7">
          <w:rPr>
            <w:rFonts w:ascii="Cambria" w:hAnsi="Cambria"/>
            <w:noProof/>
            <w:webHidden/>
            <w:color w:val="auto"/>
            <w:sz w:val="22"/>
            <w:szCs w:val="22"/>
          </w:rPr>
        </w:r>
        <w:r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9</w:t>
        </w:r>
        <w:r w:rsidRPr="001616F7">
          <w:rPr>
            <w:rFonts w:ascii="Cambria" w:hAnsi="Cambria"/>
            <w:noProof/>
            <w:webHidden/>
            <w:color w:val="auto"/>
            <w:sz w:val="22"/>
            <w:szCs w:val="22"/>
          </w:rPr>
          <w:fldChar w:fldCharType="end"/>
        </w:r>
      </w:hyperlink>
    </w:p>
    <w:p w14:paraId="7437CAF4" w14:textId="3F6450AF" w:rsidR="001616F7" w:rsidRPr="001616F7" w:rsidRDefault="001616F7">
      <w:pPr>
        <w:pStyle w:val="TOC2"/>
        <w:tabs>
          <w:tab w:val="left" w:pos="440"/>
          <w:tab w:val="right" w:leader="dot" w:pos="8990"/>
        </w:tabs>
        <w:rPr>
          <w:rFonts w:eastAsiaTheme="minorEastAsia" w:cstheme="minorBidi"/>
          <w:noProof/>
          <w:kern w:val="2"/>
          <w:lang w:val="en-US"/>
          <w14:ligatures w14:val="standardContextual"/>
        </w:rPr>
      </w:pPr>
      <w:hyperlink w:anchor="_Toc203125560" w:history="1">
        <w:r w:rsidRPr="001616F7">
          <w:rPr>
            <w:rStyle w:val="Hyperlink"/>
            <w:noProof/>
          </w:rPr>
          <w:t>A.</w:t>
        </w:r>
        <w:r w:rsidRPr="001616F7">
          <w:rPr>
            <w:rFonts w:eastAsiaTheme="minorEastAsia" w:cstheme="minorBidi"/>
            <w:noProof/>
            <w:kern w:val="2"/>
            <w:lang w:val="en-US"/>
            <w14:ligatures w14:val="standardContextual"/>
          </w:rPr>
          <w:tab/>
        </w:r>
        <w:r w:rsidRPr="001616F7">
          <w:rPr>
            <w:rStyle w:val="Hyperlink"/>
            <w:noProof/>
          </w:rPr>
          <w:t>Derecho a la protección judicial a la propiedad privada y a la igualdad y no discriminación</w:t>
        </w:r>
        <w:r w:rsidRPr="001616F7">
          <w:rPr>
            <w:noProof/>
            <w:webHidden/>
          </w:rPr>
          <w:tab/>
        </w:r>
        <w:r w:rsidRPr="001616F7">
          <w:rPr>
            <w:noProof/>
            <w:webHidden/>
          </w:rPr>
          <w:fldChar w:fldCharType="begin"/>
        </w:r>
        <w:r w:rsidRPr="001616F7">
          <w:rPr>
            <w:noProof/>
            <w:webHidden/>
          </w:rPr>
          <w:instrText xml:space="preserve"> PAGEREF _Toc203125560 \h </w:instrText>
        </w:r>
        <w:r w:rsidRPr="001616F7">
          <w:rPr>
            <w:noProof/>
            <w:webHidden/>
          </w:rPr>
        </w:r>
        <w:r w:rsidRPr="001616F7">
          <w:rPr>
            <w:noProof/>
            <w:webHidden/>
          </w:rPr>
          <w:fldChar w:fldCharType="separate"/>
        </w:r>
        <w:r w:rsidR="00E1746D">
          <w:rPr>
            <w:noProof/>
            <w:webHidden/>
          </w:rPr>
          <w:t>9</w:t>
        </w:r>
        <w:r w:rsidRPr="001616F7">
          <w:rPr>
            <w:noProof/>
            <w:webHidden/>
          </w:rPr>
          <w:fldChar w:fldCharType="end"/>
        </w:r>
      </w:hyperlink>
    </w:p>
    <w:p w14:paraId="1B71E12A" w14:textId="47B4850B" w:rsidR="001616F7" w:rsidRPr="001616F7" w:rsidRDefault="001616F7">
      <w:pPr>
        <w:pStyle w:val="TOC3"/>
        <w:tabs>
          <w:tab w:val="left" w:pos="660"/>
          <w:tab w:val="right" w:leader="dot" w:pos="8990"/>
        </w:tabs>
        <w:rPr>
          <w:rFonts w:eastAsiaTheme="minorEastAsia" w:cstheme="minorBidi"/>
          <w:i w:val="0"/>
          <w:noProof/>
          <w:kern w:val="2"/>
          <w:lang w:val="en-US"/>
          <w14:ligatures w14:val="standardContextual"/>
        </w:rPr>
      </w:pPr>
      <w:hyperlink w:anchor="_Toc203125561" w:history="1">
        <w:r w:rsidRPr="001616F7">
          <w:rPr>
            <w:rStyle w:val="Hyperlink"/>
            <w:noProof/>
            <w:lang w:val="es-ES_tradnl"/>
          </w:rPr>
          <w:t>1.</w:t>
        </w:r>
        <w:r w:rsidRPr="001616F7">
          <w:rPr>
            <w:rFonts w:eastAsiaTheme="minorEastAsia" w:cstheme="minorBidi"/>
            <w:i w:val="0"/>
            <w:noProof/>
            <w:kern w:val="2"/>
            <w:lang w:val="en-US"/>
            <w14:ligatures w14:val="standardContextual"/>
          </w:rPr>
          <w:tab/>
        </w:r>
        <w:r w:rsidRPr="001616F7">
          <w:rPr>
            <w:rStyle w:val="Hyperlink"/>
            <w:noProof/>
            <w:lang w:val="es-ES_tradnl"/>
          </w:rPr>
          <w:t>Consideraciones generales sobre el cumplimiento de fallos internos y la tutela judicial efectiva</w:t>
        </w:r>
        <w:r w:rsidRPr="001616F7">
          <w:rPr>
            <w:noProof/>
            <w:webHidden/>
          </w:rPr>
          <w:tab/>
        </w:r>
        <w:r w:rsidRPr="001616F7">
          <w:rPr>
            <w:noProof/>
            <w:webHidden/>
          </w:rPr>
          <w:fldChar w:fldCharType="begin"/>
        </w:r>
        <w:r w:rsidRPr="001616F7">
          <w:rPr>
            <w:noProof/>
            <w:webHidden/>
          </w:rPr>
          <w:instrText xml:space="preserve"> PAGEREF _Toc203125561 \h </w:instrText>
        </w:r>
        <w:r w:rsidRPr="001616F7">
          <w:rPr>
            <w:noProof/>
            <w:webHidden/>
          </w:rPr>
        </w:r>
        <w:r w:rsidRPr="001616F7">
          <w:rPr>
            <w:noProof/>
            <w:webHidden/>
          </w:rPr>
          <w:fldChar w:fldCharType="separate"/>
        </w:r>
        <w:r w:rsidR="00E1746D">
          <w:rPr>
            <w:noProof/>
            <w:webHidden/>
          </w:rPr>
          <w:t>9</w:t>
        </w:r>
        <w:r w:rsidRPr="001616F7">
          <w:rPr>
            <w:noProof/>
            <w:webHidden/>
          </w:rPr>
          <w:fldChar w:fldCharType="end"/>
        </w:r>
      </w:hyperlink>
    </w:p>
    <w:p w14:paraId="7AD7B8BC" w14:textId="66F0141D" w:rsidR="001616F7" w:rsidRPr="001616F7" w:rsidRDefault="001616F7">
      <w:pPr>
        <w:pStyle w:val="TOC3"/>
        <w:tabs>
          <w:tab w:val="left" w:pos="660"/>
          <w:tab w:val="right" w:leader="dot" w:pos="8990"/>
        </w:tabs>
        <w:rPr>
          <w:rFonts w:eastAsiaTheme="minorEastAsia" w:cstheme="minorBidi"/>
          <w:i w:val="0"/>
          <w:noProof/>
          <w:kern w:val="2"/>
          <w:lang w:val="en-US"/>
          <w14:ligatures w14:val="standardContextual"/>
        </w:rPr>
      </w:pPr>
      <w:hyperlink w:anchor="_Toc203125562" w:history="1">
        <w:r w:rsidRPr="001616F7">
          <w:rPr>
            <w:rStyle w:val="Hyperlink"/>
            <w:noProof/>
            <w:lang w:val="es-ES_tradnl"/>
          </w:rPr>
          <w:t>2.</w:t>
        </w:r>
        <w:r w:rsidRPr="001616F7">
          <w:rPr>
            <w:rFonts w:eastAsiaTheme="minorEastAsia" w:cstheme="minorBidi"/>
            <w:i w:val="0"/>
            <w:noProof/>
            <w:kern w:val="2"/>
            <w:lang w:val="en-US"/>
            <w14:ligatures w14:val="standardContextual"/>
          </w:rPr>
          <w:tab/>
        </w:r>
        <w:r w:rsidRPr="001616F7">
          <w:rPr>
            <w:rStyle w:val="Hyperlink"/>
            <w:noProof/>
            <w:lang w:val="es-ES_tradnl"/>
          </w:rPr>
          <w:t>El principio de igualdad y no discriminación y el despido por embarazo</w:t>
        </w:r>
        <w:r w:rsidRPr="001616F7">
          <w:rPr>
            <w:noProof/>
            <w:webHidden/>
          </w:rPr>
          <w:tab/>
        </w:r>
        <w:r w:rsidRPr="001616F7">
          <w:rPr>
            <w:noProof/>
            <w:webHidden/>
          </w:rPr>
          <w:fldChar w:fldCharType="begin"/>
        </w:r>
        <w:r w:rsidRPr="001616F7">
          <w:rPr>
            <w:noProof/>
            <w:webHidden/>
          </w:rPr>
          <w:instrText xml:space="preserve"> PAGEREF _Toc203125562 \h </w:instrText>
        </w:r>
        <w:r w:rsidRPr="001616F7">
          <w:rPr>
            <w:noProof/>
            <w:webHidden/>
          </w:rPr>
        </w:r>
        <w:r w:rsidRPr="001616F7">
          <w:rPr>
            <w:noProof/>
            <w:webHidden/>
          </w:rPr>
          <w:fldChar w:fldCharType="separate"/>
        </w:r>
        <w:r w:rsidR="00E1746D">
          <w:rPr>
            <w:noProof/>
            <w:webHidden/>
          </w:rPr>
          <w:t>11</w:t>
        </w:r>
        <w:r w:rsidRPr="001616F7">
          <w:rPr>
            <w:noProof/>
            <w:webHidden/>
          </w:rPr>
          <w:fldChar w:fldCharType="end"/>
        </w:r>
      </w:hyperlink>
    </w:p>
    <w:p w14:paraId="40D6F224" w14:textId="00BE50DA" w:rsidR="001616F7" w:rsidRPr="001616F7" w:rsidRDefault="001616F7">
      <w:pPr>
        <w:pStyle w:val="TOC3"/>
        <w:tabs>
          <w:tab w:val="left" w:pos="660"/>
          <w:tab w:val="right" w:leader="dot" w:pos="8990"/>
        </w:tabs>
        <w:rPr>
          <w:rFonts w:eastAsiaTheme="minorEastAsia" w:cstheme="minorBidi"/>
          <w:i w:val="0"/>
          <w:noProof/>
          <w:kern w:val="2"/>
          <w:lang w:val="en-US"/>
          <w14:ligatures w14:val="standardContextual"/>
        </w:rPr>
      </w:pPr>
      <w:hyperlink w:anchor="_Toc203125563" w:history="1">
        <w:r w:rsidRPr="001616F7">
          <w:rPr>
            <w:rStyle w:val="Hyperlink"/>
            <w:noProof/>
            <w:lang w:val="es-ES_tradnl"/>
          </w:rPr>
          <w:t>3.</w:t>
        </w:r>
        <w:r w:rsidRPr="001616F7">
          <w:rPr>
            <w:rFonts w:eastAsiaTheme="minorEastAsia" w:cstheme="minorBidi"/>
            <w:i w:val="0"/>
            <w:noProof/>
            <w:kern w:val="2"/>
            <w:lang w:val="en-US"/>
            <w14:ligatures w14:val="standardContextual"/>
          </w:rPr>
          <w:tab/>
        </w:r>
        <w:r w:rsidRPr="001616F7">
          <w:rPr>
            <w:rStyle w:val="Hyperlink"/>
            <w:noProof/>
            <w:lang w:val="es-ES_tradnl"/>
          </w:rPr>
          <w:t>Análisis del presente caso</w:t>
        </w:r>
        <w:r w:rsidRPr="001616F7">
          <w:rPr>
            <w:noProof/>
            <w:webHidden/>
          </w:rPr>
          <w:tab/>
        </w:r>
        <w:r w:rsidRPr="001616F7">
          <w:rPr>
            <w:noProof/>
            <w:webHidden/>
          </w:rPr>
          <w:fldChar w:fldCharType="begin"/>
        </w:r>
        <w:r w:rsidRPr="001616F7">
          <w:rPr>
            <w:noProof/>
            <w:webHidden/>
          </w:rPr>
          <w:instrText xml:space="preserve"> PAGEREF _Toc203125563 \h </w:instrText>
        </w:r>
        <w:r w:rsidRPr="001616F7">
          <w:rPr>
            <w:noProof/>
            <w:webHidden/>
          </w:rPr>
        </w:r>
        <w:r w:rsidRPr="001616F7">
          <w:rPr>
            <w:noProof/>
            <w:webHidden/>
          </w:rPr>
          <w:fldChar w:fldCharType="separate"/>
        </w:r>
        <w:r w:rsidR="00E1746D">
          <w:rPr>
            <w:noProof/>
            <w:webHidden/>
          </w:rPr>
          <w:t>12</w:t>
        </w:r>
        <w:r w:rsidRPr="001616F7">
          <w:rPr>
            <w:noProof/>
            <w:webHidden/>
          </w:rPr>
          <w:fldChar w:fldCharType="end"/>
        </w:r>
      </w:hyperlink>
    </w:p>
    <w:p w14:paraId="11143402" w14:textId="7F79B27A" w:rsidR="001616F7" w:rsidRPr="001616F7" w:rsidRDefault="001616F7">
      <w:pPr>
        <w:pStyle w:val="TOC1"/>
        <w:rPr>
          <w:rFonts w:ascii="Cambria" w:eastAsiaTheme="minorEastAsia" w:hAnsi="Cambria" w:cstheme="minorBidi"/>
          <w:b w:val="0"/>
          <w:noProof/>
          <w:color w:val="auto"/>
          <w:kern w:val="2"/>
          <w:sz w:val="22"/>
          <w:szCs w:val="22"/>
          <w:lang w:val="en-US"/>
          <w14:ligatures w14:val="standardContextual"/>
        </w:rPr>
      </w:pPr>
      <w:hyperlink w:anchor="_Toc203125564" w:history="1">
        <w:r w:rsidRPr="001616F7">
          <w:rPr>
            <w:rStyle w:val="Hyperlink"/>
            <w:rFonts w:ascii="Cambria" w:eastAsia="Cambria" w:hAnsi="Cambria"/>
            <w:bCs/>
            <w:noProof/>
            <w:color w:val="auto"/>
            <w:sz w:val="22"/>
            <w:szCs w:val="22"/>
            <w:lang w:val="es-VE"/>
          </w:rPr>
          <w:t>V.</w:t>
        </w:r>
        <w:r w:rsidRPr="001616F7">
          <w:rPr>
            <w:rFonts w:ascii="Cambria" w:eastAsiaTheme="minorEastAsia" w:hAnsi="Cambria" w:cstheme="minorBidi"/>
            <w:b w:val="0"/>
            <w:noProof/>
            <w:color w:val="auto"/>
            <w:kern w:val="2"/>
            <w:sz w:val="22"/>
            <w:szCs w:val="22"/>
            <w:lang w:val="en-US"/>
            <w14:ligatures w14:val="standardContextual"/>
          </w:rPr>
          <w:tab/>
        </w:r>
        <w:r w:rsidRPr="001616F7">
          <w:rPr>
            <w:rStyle w:val="Hyperlink"/>
            <w:rFonts w:ascii="Cambria" w:eastAsia="Cambria" w:hAnsi="Cambria"/>
            <w:bCs/>
            <w:noProof/>
            <w:color w:val="auto"/>
            <w:spacing w:val="-4"/>
            <w:sz w:val="22"/>
            <w:szCs w:val="22"/>
            <w:lang w:val="es-US"/>
          </w:rPr>
          <w:t>ACTUACIONES</w:t>
        </w:r>
        <w:r w:rsidRPr="001616F7">
          <w:rPr>
            <w:rStyle w:val="Hyperlink"/>
            <w:rFonts w:ascii="Cambria" w:eastAsia="Cambria" w:hAnsi="Cambria"/>
            <w:bCs/>
            <w:noProof/>
            <w:color w:val="auto"/>
            <w:sz w:val="22"/>
            <w:szCs w:val="22"/>
            <w:lang w:val="es-US"/>
          </w:rPr>
          <w:t xml:space="preserve"> POSTERIORES AL INFORME 188/20 E INFORMACIÓN SOBRE CUMPLIMIENTO</w:t>
        </w:r>
        <w:r w:rsidRPr="001616F7">
          <w:rPr>
            <w:rFonts w:ascii="Cambria" w:hAnsi="Cambria"/>
            <w:noProof/>
            <w:webHidden/>
            <w:color w:val="auto"/>
            <w:sz w:val="22"/>
            <w:szCs w:val="22"/>
          </w:rPr>
          <w:tab/>
        </w:r>
        <w:r w:rsidRPr="001616F7">
          <w:rPr>
            <w:rFonts w:ascii="Cambria" w:hAnsi="Cambria"/>
            <w:noProof/>
            <w:webHidden/>
            <w:color w:val="auto"/>
            <w:sz w:val="22"/>
            <w:szCs w:val="22"/>
          </w:rPr>
          <w:fldChar w:fldCharType="begin"/>
        </w:r>
        <w:r w:rsidRPr="001616F7">
          <w:rPr>
            <w:rFonts w:ascii="Cambria" w:hAnsi="Cambria"/>
            <w:noProof/>
            <w:webHidden/>
            <w:color w:val="auto"/>
            <w:sz w:val="22"/>
            <w:szCs w:val="22"/>
          </w:rPr>
          <w:instrText xml:space="preserve"> PAGEREF _Toc203125564 \h </w:instrText>
        </w:r>
        <w:r w:rsidRPr="001616F7">
          <w:rPr>
            <w:rFonts w:ascii="Cambria" w:hAnsi="Cambria"/>
            <w:noProof/>
            <w:webHidden/>
            <w:color w:val="auto"/>
            <w:sz w:val="22"/>
            <w:szCs w:val="22"/>
          </w:rPr>
        </w:r>
        <w:r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18</w:t>
        </w:r>
        <w:r w:rsidRPr="001616F7">
          <w:rPr>
            <w:rFonts w:ascii="Cambria" w:hAnsi="Cambria"/>
            <w:noProof/>
            <w:webHidden/>
            <w:color w:val="auto"/>
            <w:sz w:val="22"/>
            <w:szCs w:val="22"/>
          </w:rPr>
          <w:fldChar w:fldCharType="end"/>
        </w:r>
      </w:hyperlink>
    </w:p>
    <w:p w14:paraId="4F1BFDE7" w14:textId="58DE0C9C" w:rsidR="001616F7" w:rsidRPr="001616F7" w:rsidRDefault="001616F7">
      <w:pPr>
        <w:pStyle w:val="TOC1"/>
        <w:tabs>
          <w:tab w:val="left" w:pos="1320"/>
        </w:tabs>
        <w:rPr>
          <w:rFonts w:ascii="Cambria" w:eastAsiaTheme="minorEastAsia" w:hAnsi="Cambria" w:cstheme="minorBidi"/>
          <w:b w:val="0"/>
          <w:noProof/>
          <w:color w:val="auto"/>
          <w:kern w:val="2"/>
          <w:sz w:val="22"/>
          <w:szCs w:val="22"/>
          <w:lang w:val="en-US"/>
          <w14:ligatures w14:val="standardContextual"/>
        </w:rPr>
      </w:pPr>
      <w:hyperlink w:anchor="_Toc203125565" w:history="1">
        <w:r w:rsidRPr="001616F7">
          <w:rPr>
            <w:rStyle w:val="Hyperlink"/>
            <w:rFonts w:ascii="Cambria" w:hAnsi="Cambria"/>
            <w:noProof/>
            <w:color w:val="auto"/>
            <w:sz w:val="22"/>
            <w:szCs w:val="22"/>
            <w:lang w:val="es-VE"/>
          </w:rPr>
          <w:t>VI.</w:t>
        </w:r>
        <w:r w:rsidRPr="001616F7">
          <w:rPr>
            <w:rFonts w:ascii="Cambria" w:eastAsiaTheme="minorEastAsia" w:hAnsi="Cambria" w:cstheme="minorBidi"/>
            <w:b w:val="0"/>
            <w:noProof/>
            <w:color w:val="auto"/>
            <w:kern w:val="2"/>
            <w:sz w:val="22"/>
            <w:szCs w:val="22"/>
            <w:lang w:val="en-US"/>
            <w14:ligatures w14:val="standardContextual"/>
          </w:rPr>
          <w:tab/>
        </w:r>
        <w:r w:rsidRPr="001616F7">
          <w:rPr>
            <w:rStyle w:val="Hyperlink"/>
            <w:rFonts w:ascii="Cambria" w:hAnsi="Cambria"/>
            <w:noProof/>
            <w:color w:val="auto"/>
            <w:sz w:val="22"/>
            <w:szCs w:val="22"/>
            <w:lang w:val="es-VE"/>
          </w:rPr>
          <w:t>ACTUACIONES POSTERIORES AL INFORME No. 79/25 E INFORMACIÓN SOBRE CUMPLIMIENTO</w:t>
        </w:r>
        <w:r w:rsidRPr="001616F7">
          <w:rPr>
            <w:rFonts w:ascii="Cambria" w:hAnsi="Cambria"/>
            <w:noProof/>
            <w:webHidden/>
            <w:color w:val="auto"/>
            <w:sz w:val="22"/>
            <w:szCs w:val="22"/>
          </w:rPr>
          <w:tab/>
        </w:r>
        <w:r w:rsidRPr="001616F7">
          <w:rPr>
            <w:rFonts w:ascii="Cambria" w:hAnsi="Cambria"/>
            <w:noProof/>
            <w:webHidden/>
            <w:color w:val="auto"/>
            <w:sz w:val="22"/>
            <w:szCs w:val="22"/>
          </w:rPr>
          <w:fldChar w:fldCharType="begin"/>
        </w:r>
        <w:r w:rsidRPr="001616F7">
          <w:rPr>
            <w:rFonts w:ascii="Cambria" w:hAnsi="Cambria"/>
            <w:noProof/>
            <w:webHidden/>
            <w:color w:val="auto"/>
            <w:sz w:val="22"/>
            <w:szCs w:val="22"/>
          </w:rPr>
          <w:instrText xml:space="preserve"> PAGEREF _Toc203125565 \h </w:instrText>
        </w:r>
        <w:r w:rsidRPr="001616F7">
          <w:rPr>
            <w:rFonts w:ascii="Cambria" w:hAnsi="Cambria"/>
            <w:noProof/>
            <w:webHidden/>
            <w:color w:val="auto"/>
            <w:sz w:val="22"/>
            <w:szCs w:val="22"/>
          </w:rPr>
        </w:r>
        <w:r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23</w:t>
        </w:r>
        <w:r w:rsidRPr="001616F7">
          <w:rPr>
            <w:rFonts w:ascii="Cambria" w:hAnsi="Cambria"/>
            <w:noProof/>
            <w:webHidden/>
            <w:color w:val="auto"/>
            <w:sz w:val="22"/>
            <w:szCs w:val="22"/>
          </w:rPr>
          <w:fldChar w:fldCharType="end"/>
        </w:r>
      </w:hyperlink>
    </w:p>
    <w:p w14:paraId="7FE86433" w14:textId="058B3E0D" w:rsidR="001616F7" w:rsidRPr="001616F7" w:rsidRDefault="001616F7">
      <w:pPr>
        <w:pStyle w:val="TOC1"/>
        <w:tabs>
          <w:tab w:val="left" w:pos="880"/>
        </w:tabs>
        <w:rPr>
          <w:rFonts w:ascii="Cambria" w:eastAsiaTheme="minorEastAsia" w:hAnsi="Cambria" w:cstheme="minorBidi"/>
          <w:b w:val="0"/>
          <w:noProof/>
          <w:color w:val="auto"/>
          <w:kern w:val="2"/>
          <w:sz w:val="22"/>
          <w:szCs w:val="22"/>
          <w:lang w:val="en-US"/>
          <w14:ligatures w14:val="standardContextual"/>
        </w:rPr>
      </w:pPr>
      <w:hyperlink w:anchor="_Toc203125566" w:history="1">
        <w:r w:rsidRPr="001616F7">
          <w:rPr>
            <w:rStyle w:val="Hyperlink"/>
            <w:rFonts w:ascii="Cambria" w:eastAsia="Cambria" w:hAnsi="Cambria"/>
            <w:noProof/>
            <w:color w:val="auto"/>
            <w:sz w:val="22"/>
            <w:szCs w:val="22"/>
            <w:lang w:val="es-VE"/>
          </w:rPr>
          <w:t>VII.</w:t>
        </w:r>
        <w:r w:rsidRPr="001616F7">
          <w:rPr>
            <w:rFonts w:ascii="Cambria" w:eastAsiaTheme="minorEastAsia" w:hAnsi="Cambria" w:cstheme="minorBidi"/>
            <w:b w:val="0"/>
            <w:noProof/>
            <w:color w:val="auto"/>
            <w:kern w:val="2"/>
            <w:sz w:val="22"/>
            <w:szCs w:val="22"/>
            <w:lang w:val="en-US"/>
            <w14:ligatures w14:val="standardContextual"/>
          </w:rPr>
          <w:tab/>
        </w:r>
        <w:r w:rsidRPr="001616F7">
          <w:rPr>
            <w:rStyle w:val="Hyperlink"/>
            <w:rFonts w:ascii="Cambria" w:eastAsia="Cambria" w:hAnsi="Cambria"/>
            <w:bCs/>
            <w:noProof/>
            <w:color w:val="auto"/>
            <w:spacing w:val="-4"/>
            <w:sz w:val="22"/>
            <w:szCs w:val="22"/>
            <w:lang w:val="es-US"/>
          </w:rPr>
          <w:t>CONCLUSIONES</w:t>
        </w:r>
        <w:r w:rsidRPr="001616F7">
          <w:rPr>
            <w:rStyle w:val="Hyperlink"/>
            <w:rFonts w:ascii="Cambria" w:eastAsia="Cambria" w:hAnsi="Cambria"/>
            <w:bCs/>
            <w:noProof/>
            <w:color w:val="auto"/>
            <w:spacing w:val="-3"/>
            <w:sz w:val="22"/>
            <w:szCs w:val="22"/>
            <w:lang w:val="en-US"/>
          </w:rPr>
          <w:t xml:space="preserve"> </w:t>
        </w:r>
        <w:r w:rsidRPr="001616F7">
          <w:rPr>
            <w:rStyle w:val="Hyperlink"/>
            <w:rFonts w:ascii="Cambria" w:eastAsia="Cambria" w:hAnsi="Cambria"/>
            <w:bCs/>
            <w:noProof/>
            <w:color w:val="auto"/>
            <w:sz w:val="22"/>
            <w:szCs w:val="22"/>
            <w:lang w:val="en-US"/>
          </w:rPr>
          <w:t>Y</w:t>
        </w:r>
        <w:r w:rsidRPr="001616F7">
          <w:rPr>
            <w:rStyle w:val="Hyperlink"/>
            <w:rFonts w:ascii="Cambria" w:eastAsia="Cambria" w:hAnsi="Cambria"/>
            <w:bCs/>
            <w:noProof/>
            <w:color w:val="auto"/>
            <w:spacing w:val="-6"/>
            <w:sz w:val="22"/>
            <w:szCs w:val="22"/>
            <w:lang w:val="en-US"/>
          </w:rPr>
          <w:t xml:space="preserve"> </w:t>
        </w:r>
        <w:r w:rsidRPr="001616F7">
          <w:rPr>
            <w:rStyle w:val="Hyperlink"/>
            <w:rFonts w:ascii="Cambria" w:eastAsia="Cambria" w:hAnsi="Cambria"/>
            <w:bCs/>
            <w:noProof/>
            <w:color w:val="auto"/>
            <w:spacing w:val="-1"/>
            <w:sz w:val="22"/>
            <w:szCs w:val="22"/>
            <w:lang w:val="en-US"/>
          </w:rPr>
          <w:t>RECOMENDACI</w:t>
        </w:r>
        <w:r w:rsidRPr="001616F7">
          <w:rPr>
            <w:rStyle w:val="Hyperlink"/>
            <w:rFonts w:ascii="Cambria" w:eastAsia="Cambria" w:hAnsi="Cambria"/>
            <w:bCs/>
            <w:noProof/>
            <w:color w:val="auto"/>
            <w:spacing w:val="-1"/>
            <w:sz w:val="22"/>
            <w:szCs w:val="22"/>
            <w:lang w:val="es-US"/>
          </w:rPr>
          <w:t>ÓN</w:t>
        </w:r>
        <w:r w:rsidRPr="001616F7">
          <w:rPr>
            <w:rStyle w:val="Hyperlink"/>
            <w:rFonts w:ascii="Cambria" w:eastAsia="Cambria" w:hAnsi="Cambria"/>
            <w:bCs/>
            <w:noProof/>
            <w:color w:val="auto"/>
            <w:spacing w:val="-1"/>
            <w:sz w:val="22"/>
            <w:szCs w:val="22"/>
            <w:lang w:val="en-US"/>
          </w:rPr>
          <w:t xml:space="preserve"> FINAL</w:t>
        </w:r>
        <w:r w:rsidRPr="001616F7">
          <w:rPr>
            <w:rFonts w:ascii="Cambria" w:hAnsi="Cambria"/>
            <w:noProof/>
            <w:webHidden/>
            <w:color w:val="auto"/>
            <w:sz w:val="22"/>
            <w:szCs w:val="22"/>
          </w:rPr>
          <w:tab/>
        </w:r>
        <w:r w:rsidRPr="001616F7">
          <w:rPr>
            <w:rFonts w:ascii="Cambria" w:hAnsi="Cambria"/>
            <w:noProof/>
            <w:webHidden/>
            <w:color w:val="auto"/>
            <w:sz w:val="22"/>
            <w:szCs w:val="22"/>
          </w:rPr>
          <w:fldChar w:fldCharType="begin"/>
        </w:r>
        <w:r w:rsidRPr="001616F7">
          <w:rPr>
            <w:rFonts w:ascii="Cambria" w:hAnsi="Cambria"/>
            <w:noProof/>
            <w:webHidden/>
            <w:color w:val="auto"/>
            <w:sz w:val="22"/>
            <w:szCs w:val="22"/>
          </w:rPr>
          <w:instrText xml:space="preserve"> PAGEREF _Toc203125566 \h </w:instrText>
        </w:r>
        <w:r w:rsidRPr="001616F7">
          <w:rPr>
            <w:rFonts w:ascii="Cambria" w:hAnsi="Cambria"/>
            <w:noProof/>
            <w:webHidden/>
            <w:color w:val="auto"/>
            <w:sz w:val="22"/>
            <w:szCs w:val="22"/>
          </w:rPr>
        </w:r>
        <w:r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23</w:t>
        </w:r>
        <w:r w:rsidRPr="001616F7">
          <w:rPr>
            <w:rFonts w:ascii="Cambria" w:hAnsi="Cambria"/>
            <w:noProof/>
            <w:webHidden/>
            <w:color w:val="auto"/>
            <w:sz w:val="22"/>
            <w:szCs w:val="22"/>
          </w:rPr>
          <w:fldChar w:fldCharType="end"/>
        </w:r>
      </w:hyperlink>
    </w:p>
    <w:p w14:paraId="1158FE34" w14:textId="07B99475" w:rsidR="001616F7" w:rsidRPr="001616F7" w:rsidRDefault="001616F7">
      <w:pPr>
        <w:pStyle w:val="TOC1"/>
        <w:tabs>
          <w:tab w:val="left" w:pos="880"/>
        </w:tabs>
        <w:rPr>
          <w:rFonts w:ascii="Cambria" w:eastAsiaTheme="minorEastAsia" w:hAnsi="Cambria" w:cstheme="minorBidi"/>
          <w:b w:val="0"/>
          <w:noProof/>
          <w:color w:val="auto"/>
          <w:kern w:val="2"/>
          <w:sz w:val="22"/>
          <w:szCs w:val="22"/>
          <w:lang w:val="en-US"/>
          <w14:ligatures w14:val="standardContextual"/>
        </w:rPr>
      </w:pPr>
      <w:hyperlink w:anchor="_Toc203125567" w:history="1">
        <w:r w:rsidRPr="001616F7">
          <w:rPr>
            <w:rStyle w:val="Hyperlink"/>
            <w:rFonts w:ascii="Cambria" w:hAnsi="Cambria"/>
            <w:bCs/>
            <w:noProof/>
            <w:color w:val="auto"/>
            <w:sz w:val="22"/>
            <w:szCs w:val="22"/>
            <w:lang w:val="es-VE"/>
          </w:rPr>
          <w:t>VIII.</w:t>
        </w:r>
        <w:r w:rsidRPr="001616F7">
          <w:rPr>
            <w:rFonts w:ascii="Cambria" w:eastAsiaTheme="minorEastAsia" w:hAnsi="Cambria" w:cstheme="minorBidi"/>
            <w:b w:val="0"/>
            <w:noProof/>
            <w:color w:val="auto"/>
            <w:kern w:val="2"/>
            <w:sz w:val="22"/>
            <w:szCs w:val="22"/>
            <w:lang w:val="en-US"/>
            <w14:ligatures w14:val="standardContextual"/>
          </w:rPr>
          <w:tab/>
        </w:r>
        <w:r w:rsidRPr="001616F7">
          <w:rPr>
            <w:rStyle w:val="Hyperlink"/>
            <w:rFonts w:ascii="Cambria" w:eastAsia="Cambria" w:hAnsi="Cambria"/>
            <w:bCs/>
            <w:noProof/>
            <w:color w:val="auto"/>
            <w:spacing w:val="-4"/>
            <w:sz w:val="22"/>
            <w:szCs w:val="22"/>
            <w:lang w:val="es-US"/>
          </w:rPr>
          <w:t>PUBLI</w:t>
        </w:r>
        <w:r w:rsidRPr="001616F7">
          <w:rPr>
            <w:rStyle w:val="Hyperlink"/>
            <w:rFonts w:ascii="Cambria" w:hAnsi="Cambria"/>
            <w:bCs/>
            <w:noProof/>
            <w:color w:val="auto"/>
            <w:sz w:val="22"/>
            <w:szCs w:val="22"/>
            <w:lang w:val="es-US"/>
          </w:rPr>
          <w:t>CACIÓN</w:t>
        </w:r>
        <w:r w:rsidRPr="001616F7">
          <w:rPr>
            <w:rFonts w:ascii="Cambria" w:hAnsi="Cambria"/>
            <w:noProof/>
            <w:webHidden/>
            <w:color w:val="auto"/>
            <w:sz w:val="22"/>
            <w:szCs w:val="22"/>
          </w:rPr>
          <w:tab/>
        </w:r>
        <w:r w:rsidRPr="001616F7">
          <w:rPr>
            <w:rFonts w:ascii="Cambria" w:hAnsi="Cambria"/>
            <w:noProof/>
            <w:webHidden/>
            <w:color w:val="auto"/>
            <w:sz w:val="22"/>
            <w:szCs w:val="22"/>
          </w:rPr>
          <w:fldChar w:fldCharType="begin"/>
        </w:r>
        <w:r w:rsidRPr="001616F7">
          <w:rPr>
            <w:rFonts w:ascii="Cambria" w:hAnsi="Cambria"/>
            <w:noProof/>
            <w:webHidden/>
            <w:color w:val="auto"/>
            <w:sz w:val="22"/>
            <w:szCs w:val="22"/>
          </w:rPr>
          <w:instrText xml:space="preserve"> PAGEREF _Toc203125567 \h </w:instrText>
        </w:r>
        <w:r w:rsidRPr="001616F7">
          <w:rPr>
            <w:rFonts w:ascii="Cambria" w:hAnsi="Cambria"/>
            <w:noProof/>
            <w:webHidden/>
            <w:color w:val="auto"/>
            <w:sz w:val="22"/>
            <w:szCs w:val="22"/>
          </w:rPr>
        </w:r>
        <w:r w:rsidRPr="001616F7">
          <w:rPr>
            <w:rFonts w:ascii="Cambria" w:hAnsi="Cambria"/>
            <w:noProof/>
            <w:webHidden/>
            <w:color w:val="auto"/>
            <w:sz w:val="22"/>
            <w:szCs w:val="22"/>
          </w:rPr>
          <w:fldChar w:fldCharType="separate"/>
        </w:r>
        <w:r w:rsidR="00E1746D">
          <w:rPr>
            <w:rFonts w:ascii="Cambria" w:hAnsi="Cambria"/>
            <w:noProof/>
            <w:webHidden/>
            <w:color w:val="auto"/>
            <w:sz w:val="22"/>
            <w:szCs w:val="22"/>
          </w:rPr>
          <w:t>23</w:t>
        </w:r>
        <w:r w:rsidRPr="001616F7">
          <w:rPr>
            <w:rFonts w:ascii="Cambria" w:hAnsi="Cambria"/>
            <w:noProof/>
            <w:webHidden/>
            <w:color w:val="auto"/>
            <w:sz w:val="22"/>
            <w:szCs w:val="22"/>
          </w:rPr>
          <w:fldChar w:fldCharType="end"/>
        </w:r>
      </w:hyperlink>
    </w:p>
    <w:p w14:paraId="61829076" w14:textId="1E1CC62B" w:rsidR="004426B1" w:rsidRPr="00472721" w:rsidRDefault="004426B1" w:rsidP="00D33E25">
      <w:pPr>
        <w:spacing w:after="0" w:line="480" w:lineRule="auto"/>
        <w:rPr>
          <w:rFonts w:ascii="Cambria" w:hAnsi="Cambria"/>
          <w:sz w:val="20"/>
          <w:szCs w:val="20"/>
        </w:rPr>
      </w:pPr>
      <w:r w:rsidRPr="001616F7">
        <w:rPr>
          <w:rFonts w:ascii="Cambria" w:hAnsi="Cambria"/>
          <w:b/>
          <w:bCs/>
          <w:noProof/>
        </w:rPr>
        <w:fldChar w:fldCharType="end"/>
      </w:r>
    </w:p>
    <w:p w14:paraId="36FEB5B0" w14:textId="2B2D6F12" w:rsidR="00D33E25" w:rsidRDefault="00D33E25">
      <w:pPr>
        <w:spacing w:after="0" w:line="240" w:lineRule="auto"/>
        <w:rPr>
          <w:rFonts w:ascii="Cambria" w:hAnsi="Cambria"/>
          <w:b/>
          <w:sz w:val="20"/>
          <w:szCs w:val="20"/>
          <w:lang w:val="es-VE"/>
        </w:rPr>
      </w:pPr>
      <w:r>
        <w:rPr>
          <w:rFonts w:ascii="Cambria" w:hAnsi="Cambria"/>
          <w:b/>
          <w:sz w:val="20"/>
          <w:szCs w:val="20"/>
          <w:lang w:val="es-VE"/>
        </w:rPr>
        <w:br w:type="page"/>
      </w:r>
    </w:p>
    <w:p w14:paraId="7196D064" w14:textId="77777777" w:rsidR="00A7034B" w:rsidRPr="001C445E" w:rsidRDefault="00A7034B" w:rsidP="00A7034B">
      <w:pPr>
        <w:tabs>
          <w:tab w:val="left" w:pos="567"/>
        </w:tabs>
        <w:spacing w:after="0" w:line="240" w:lineRule="auto"/>
        <w:rPr>
          <w:rFonts w:ascii="Cambria" w:eastAsia="Times New Roman" w:hAnsi="Cambria"/>
          <w:sz w:val="20"/>
          <w:szCs w:val="20"/>
          <w:bdr w:val="none" w:sz="0" w:space="0" w:color="auto" w:frame="1"/>
          <w:lang w:val="es-ES_tradnl"/>
        </w:rPr>
      </w:pPr>
    </w:p>
    <w:p w14:paraId="40330075" w14:textId="4A1FF8F6" w:rsidR="000A46BD" w:rsidRPr="001C445E" w:rsidRDefault="000A46BD" w:rsidP="00181298">
      <w:pPr>
        <w:pStyle w:val="Heading1"/>
        <w:numPr>
          <w:ilvl w:val="0"/>
          <w:numId w:val="2"/>
        </w:numPr>
        <w:tabs>
          <w:tab w:val="clear" w:pos="1440"/>
          <w:tab w:val="left" w:pos="360"/>
          <w:tab w:val="num" w:pos="540"/>
          <w:tab w:val="left" w:pos="1350"/>
        </w:tabs>
        <w:ind w:hanging="1440"/>
      </w:pPr>
      <w:bookmarkStart w:id="2" w:name="_Toc536549374"/>
      <w:bookmarkStart w:id="3" w:name="_Toc3453769"/>
      <w:bookmarkStart w:id="4" w:name="_Toc4075187"/>
      <w:bookmarkStart w:id="5" w:name="_Toc203125551"/>
      <w:r w:rsidRPr="001C445E">
        <w:t>INTRODUCCIÓ</w:t>
      </w:r>
      <w:r w:rsidRPr="00B3070A">
        <w:t>N</w:t>
      </w:r>
      <w:bookmarkEnd w:id="2"/>
      <w:bookmarkEnd w:id="3"/>
      <w:bookmarkEnd w:id="4"/>
      <w:r w:rsidR="001C3AA9" w:rsidRPr="00B3070A">
        <w:rPr>
          <w:rFonts w:ascii="Calibri" w:eastAsia="Calibri" w:hAnsi="Calibri"/>
          <w:b w:val="0"/>
          <w:sz w:val="22"/>
          <w:szCs w:val="22"/>
          <w:vertAlign w:val="superscript"/>
          <w:lang w:val="en-US"/>
        </w:rPr>
        <w:footnoteReference w:id="1"/>
      </w:r>
      <w:bookmarkEnd w:id="5"/>
    </w:p>
    <w:p w14:paraId="34FF1C98" w14:textId="77777777" w:rsidR="000A46BD" w:rsidRPr="001C445E" w:rsidRDefault="000A46BD" w:rsidP="00181298">
      <w:pPr>
        <w:tabs>
          <w:tab w:val="left" w:pos="567"/>
          <w:tab w:val="left" w:pos="1440"/>
        </w:tabs>
        <w:spacing w:after="0" w:line="240" w:lineRule="auto"/>
        <w:jc w:val="both"/>
        <w:rPr>
          <w:rFonts w:ascii="Cambria" w:hAnsi="Cambria"/>
          <w:sz w:val="20"/>
          <w:szCs w:val="20"/>
          <w:lang w:val="es-VE"/>
        </w:rPr>
      </w:pPr>
    </w:p>
    <w:p w14:paraId="27B539F6" w14:textId="1D9FF49C" w:rsidR="00244EE3" w:rsidRPr="001C445E" w:rsidRDefault="00EF23BE" w:rsidP="00181298">
      <w:pPr>
        <w:pStyle w:val="parrafos"/>
        <w:numPr>
          <w:ilvl w:val="0"/>
          <w:numId w:val="3"/>
        </w:numPr>
        <w:tabs>
          <w:tab w:val="left" w:pos="360"/>
        </w:tabs>
        <w:ind w:left="0" w:firstLine="0"/>
        <w:rPr>
          <w:color w:val="auto"/>
          <w:bdr w:val="none" w:sz="0" w:space="0" w:color="auto"/>
        </w:rPr>
      </w:pPr>
      <w:r w:rsidRPr="001C445E">
        <w:rPr>
          <w:color w:val="auto"/>
          <w:bdr w:val="none" w:sz="0" w:space="0" w:color="auto"/>
        </w:rPr>
        <w:t xml:space="preserve">El </w:t>
      </w:r>
      <w:r w:rsidR="000A46BD" w:rsidRPr="001C445E">
        <w:rPr>
          <w:color w:val="auto"/>
          <w:bdr w:val="none" w:sz="0" w:space="0" w:color="auto"/>
        </w:rPr>
        <w:t>1</w:t>
      </w:r>
      <w:r w:rsidR="006A0141" w:rsidRPr="001C445E">
        <w:rPr>
          <w:color w:val="auto"/>
          <w:bdr w:val="none" w:sz="0" w:space="0" w:color="auto"/>
        </w:rPr>
        <w:t xml:space="preserve">0 de agosto </w:t>
      </w:r>
      <w:r w:rsidR="006245E3" w:rsidRPr="001C445E">
        <w:rPr>
          <w:color w:val="auto"/>
          <w:bdr w:val="none" w:sz="0" w:space="0" w:color="auto"/>
        </w:rPr>
        <w:t>de 2002</w:t>
      </w:r>
      <w:r w:rsidR="00662801" w:rsidRPr="001C445E">
        <w:rPr>
          <w:color w:val="auto"/>
          <w:bdr w:val="none" w:sz="0" w:space="0" w:color="auto"/>
        </w:rPr>
        <w:t xml:space="preserve"> </w:t>
      </w:r>
      <w:r w:rsidR="000A46BD" w:rsidRPr="001C445E">
        <w:rPr>
          <w:color w:val="auto"/>
          <w:bdr w:val="none" w:sz="0" w:space="0" w:color="auto"/>
        </w:rPr>
        <w:t xml:space="preserve">la Comisión Interamericana de Derechos Humanos (en adelante “la Comisión”, “la </w:t>
      </w:r>
      <w:r w:rsidR="000A46BD" w:rsidRPr="001C445E">
        <w:rPr>
          <w:color w:val="auto"/>
        </w:rPr>
        <w:t>Comisión</w:t>
      </w:r>
      <w:r w:rsidR="000A46BD" w:rsidRPr="001C445E">
        <w:rPr>
          <w:color w:val="auto"/>
          <w:bdr w:val="none" w:sz="0" w:space="0" w:color="auto"/>
        </w:rPr>
        <w:t xml:space="preserve"> Interamericana” o “la CIDH”) recibió una petición presentada por </w:t>
      </w:r>
      <w:r w:rsidR="006A0141" w:rsidRPr="001C445E">
        <w:rPr>
          <w:color w:val="auto"/>
          <w:bdr w:val="none" w:sz="0" w:space="0" w:color="auto"/>
        </w:rPr>
        <w:t>M</w:t>
      </w:r>
      <w:r w:rsidR="00A26718">
        <w:rPr>
          <w:color w:val="auto"/>
          <w:bdr w:val="none" w:sz="0" w:space="0" w:color="auto"/>
        </w:rPr>
        <w:t>.E.</w:t>
      </w:r>
      <w:r w:rsidR="00A26718" w:rsidRPr="00C10C01">
        <w:rPr>
          <w:color w:val="auto"/>
          <w:bdr w:val="none" w:sz="0" w:space="0" w:color="auto"/>
        </w:rPr>
        <w:t>F.</w:t>
      </w:r>
      <w:r w:rsidR="001D7B30" w:rsidRPr="00C10C01">
        <w:rPr>
          <w:rStyle w:val="FootnoteReference"/>
          <w:rFonts w:ascii="Cambria" w:hAnsi="Cambria"/>
          <w:spacing w:val="-1"/>
          <w:sz w:val="20"/>
          <w:lang w:val="es-US"/>
        </w:rPr>
        <w:footnoteReference w:id="2"/>
      </w:r>
      <w:r w:rsidR="006A0141" w:rsidRPr="00C10C01">
        <w:rPr>
          <w:color w:val="auto"/>
          <w:bdr w:val="none" w:sz="0" w:space="0" w:color="auto"/>
        </w:rPr>
        <w:t xml:space="preserve"> </w:t>
      </w:r>
      <w:r w:rsidR="000A46BD" w:rsidRPr="00C10C01">
        <w:rPr>
          <w:color w:val="auto"/>
          <w:bdr w:val="none" w:sz="0" w:space="0" w:color="auto"/>
        </w:rPr>
        <w:t>(en adelante</w:t>
      </w:r>
      <w:r w:rsidR="000A46BD" w:rsidRPr="001C445E">
        <w:rPr>
          <w:color w:val="auto"/>
          <w:bdr w:val="none" w:sz="0" w:space="0" w:color="auto"/>
        </w:rPr>
        <w:t xml:space="preserve"> “la parte peticionaria”) en la cual se alega la resp</w:t>
      </w:r>
      <w:r w:rsidRPr="001C445E">
        <w:rPr>
          <w:color w:val="auto"/>
          <w:bdr w:val="none" w:sz="0" w:space="0" w:color="auto"/>
        </w:rPr>
        <w:t xml:space="preserve">onsabilidad de la República </w:t>
      </w:r>
      <w:r w:rsidR="006A0141" w:rsidRPr="001C445E">
        <w:rPr>
          <w:color w:val="auto"/>
          <w:bdr w:val="none" w:sz="0" w:space="0" w:color="auto"/>
        </w:rPr>
        <w:t>Argentina</w:t>
      </w:r>
      <w:r w:rsidR="003267F4" w:rsidRPr="001C445E">
        <w:rPr>
          <w:color w:val="auto"/>
          <w:bdr w:val="none" w:sz="0" w:space="0" w:color="auto"/>
        </w:rPr>
        <w:t xml:space="preserve"> (en adelante “el Estado”, </w:t>
      </w:r>
      <w:r w:rsidR="000A46BD" w:rsidRPr="001C445E">
        <w:rPr>
          <w:color w:val="auto"/>
          <w:bdr w:val="none" w:sz="0" w:space="0" w:color="auto"/>
        </w:rPr>
        <w:t xml:space="preserve">“el Estado </w:t>
      </w:r>
      <w:r w:rsidR="006A0141" w:rsidRPr="001C445E">
        <w:rPr>
          <w:color w:val="auto"/>
          <w:bdr w:val="none" w:sz="0" w:space="0" w:color="auto"/>
        </w:rPr>
        <w:t>argentino</w:t>
      </w:r>
      <w:r w:rsidR="000A46BD" w:rsidRPr="001C445E">
        <w:rPr>
          <w:color w:val="auto"/>
          <w:bdr w:val="none" w:sz="0" w:space="0" w:color="auto"/>
        </w:rPr>
        <w:t>” o “</w:t>
      </w:r>
      <w:r w:rsidR="006A0141" w:rsidRPr="001C445E">
        <w:rPr>
          <w:color w:val="auto"/>
          <w:bdr w:val="none" w:sz="0" w:space="0" w:color="auto"/>
        </w:rPr>
        <w:t>Argentina</w:t>
      </w:r>
      <w:r w:rsidR="000A46BD" w:rsidRPr="001C445E">
        <w:rPr>
          <w:color w:val="auto"/>
          <w:bdr w:val="none" w:sz="0" w:space="0" w:color="auto"/>
        </w:rPr>
        <w:t xml:space="preserve">”) por la violación de varios derechos consagrados en la Convención Americana sobre Derechos Humanos (en adelante “la Convención” o “la Convención Americana”) </w:t>
      </w:r>
      <w:r w:rsidR="00DA2773" w:rsidRPr="001C445E">
        <w:rPr>
          <w:color w:val="auto"/>
          <w:bdr w:val="none" w:sz="0" w:space="0" w:color="auto"/>
        </w:rPr>
        <w:t xml:space="preserve">en su perjuicio, como consecuencia de la </w:t>
      </w:r>
      <w:r w:rsidR="006A0141" w:rsidRPr="001C445E">
        <w:rPr>
          <w:color w:val="auto"/>
          <w:bdr w:val="none" w:sz="0" w:space="0" w:color="auto"/>
        </w:rPr>
        <w:t xml:space="preserve">falta de cumplimiento de una decisión dictada en su favor por parte de los tribunales argentinos. </w:t>
      </w:r>
    </w:p>
    <w:p w14:paraId="6D072C0D" w14:textId="77777777" w:rsidR="00244EE3" w:rsidRPr="001C445E" w:rsidRDefault="00244EE3" w:rsidP="00244EE3">
      <w:pPr>
        <w:tabs>
          <w:tab w:val="left" w:pos="567"/>
          <w:tab w:val="left" w:pos="1440"/>
        </w:tabs>
        <w:spacing w:after="0" w:line="240" w:lineRule="auto"/>
        <w:jc w:val="both"/>
        <w:rPr>
          <w:rFonts w:ascii="Cambria" w:hAnsi="Cambria"/>
          <w:sz w:val="20"/>
          <w:szCs w:val="20"/>
          <w:bdr w:val="nil"/>
          <w:lang w:val="es-VE"/>
        </w:rPr>
      </w:pPr>
    </w:p>
    <w:p w14:paraId="7F173BD4" w14:textId="77777777" w:rsidR="000A46BD" w:rsidRPr="001C445E" w:rsidRDefault="000A46BD" w:rsidP="00181298">
      <w:pPr>
        <w:pStyle w:val="parrafos"/>
        <w:numPr>
          <w:ilvl w:val="0"/>
          <w:numId w:val="3"/>
        </w:numPr>
        <w:tabs>
          <w:tab w:val="left" w:pos="360"/>
        </w:tabs>
        <w:ind w:left="0" w:firstLine="0"/>
        <w:rPr>
          <w:color w:val="auto"/>
        </w:rPr>
      </w:pPr>
      <w:r w:rsidRPr="001C445E">
        <w:rPr>
          <w:color w:val="auto"/>
        </w:rPr>
        <w:t>La Comisión aprobó el In</w:t>
      </w:r>
      <w:r w:rsidR="00F202ED" w:rsidRPr="001C445E">
        <w:rPr>
          <w:color w:val="auto"/>
        </w:rPr>
        <w:t xml:space="preserve">forme de </w:t>
      </w:r>
      <w:r w:rsidR="005766F9" w:rsidRPr="001C445E">
        <w:rPr>
          <w:color w:val="auto"/>
        </w:rPr>
        <w:t xml:space="preserve">Admisibilidad </w:t>
      </w:r>
      <w:r w:rsidR="006A0141" w:rsidRPr="001C445E">
        <w:rPr>
          <w:color w:val="auto"/>
        </w:rPr>
        <w:t>No. 10</w:t>
      </w:r>
      <w:r w:rsidR="002A5A4D" w:rsidRPr="001C445E">
        <w:rPr>
          <w:color w:val="auto"/>
        </w:rPr>
        <w:t>/0</w:t>
      </w:r>
      <w:r w:rsidR="006A0141" w:rsidRPr="001C445E">
        <w:rPr>
          <w:color w:val="auto"/>
        </w:rPr>
        <w:t>9</w:t>
      </w:r>
      <w:r w:rsidR="00511991" w:rsidRPr="001C445E">
        <w:rPr>
          <w:color w:val="auto"/>
        </w:rPr>
        <w:t xml:space="preserve"> </w:t>
      </w:r>
      <w:r w:rsidR="006A0141" w:rsidRPr="001C445E">
        <w:rPr>
          <w:color w:val="auto"/>
        </w:rPr>
        <w:t>el 19</w:t>
      </w:r>
      <w:r w:rsidRPr="001C445E">
        <w:rPr>
          <w:color w:val="auto"/>
        </w:rPr>
        <w:t xml:space="preserve"> de </w:t>
      </w:r>
      <w:r w:rsidR="0058697E" w:rsidRPr="001C445E">
        <w:rPr>
          <w:color w:val="auto"/>
        </w:rPr>
        <w:t xml:space="preserve">marzo </w:t>
      </w:r>
      <w:r w:rsidR="006A0141" w:rsidRPr="001C445E">
        <w:rPr>
          <w:color w:val="auto"/>
        </w:rPr>
        <w:t>de 2009</w:t>
      </w:r>
      <w:r w:rsidRPr="001C445E">
        <w:rPr>
          <w:color w:val="auto"/>
          <w:vertAlign w:val="superscript"/>
        </w:rPr>
        <w:footnoteReference w:id="3"/>
      </w:r>
      <w:r w:rsidR="00091AA3" w:rsidRPr="001C445E">
        <w:rPr>
          <w:color w:val="auto"/>
        </w:rPr>
        <w:t>.</w:t>
      </w:r>
      <w:r w:rsidR="006A0141" w:rsidRPr="001C445E">
        <w:rPr>
          <w:color w:val="auto"/>
        </w:rPr>
        <w:t xml:space="preserve"> El 6 </w:t>
      </w:r>
      <w:r w:rsidR="00F341AC" w:rsidRPr="001C445E">
        <w:rPr>
          <w:color w:val="auto"/>
        </w:rPr>
        <w:t xml:space="preserve">de </w:t>
      </w:r>
      <w:r w:rsidR="006A0141" w:rsidRPr="001C445E">
        <w:rPr>
          <w:color w:val="auto"/>
        </w:rPr>
        <w:t>abril de 2009</w:t>
      </w:r>
      <w:r w:rsidR="00F341AC" w:rsidRPr="001C445E">
        <w:rPr>
          <w:color w:val="auto"/>
        </w:rPr>
        <w:t xml:space="preserve"> </w:t>
      </w:r>
      <w:r w:rsidRPr="001C445E">
        <w:rPr>
          <w:color w:val="auto"/>
        </w:rPr>
        <w:t xml:space="preserve">la Comisión notificó dicho informe a las partes y se puso a su disposición a fin de llegar a una solución amistosa, </w:t>
      </w:r>
      <w:r w:rsidR="00757011" w:rsidRPr="001C445E">
        <w:rPr>
          <w:color w:val="auto"/>
        </w:rPr>
        <w:t>sin que se dieran las condi</w:t>
      </w:r>
      <w:r w:rsidR="00DF334D" w:rsidRPr="001C445E">
        <w:rPr>
          <w:color w:val="auto"/>
        </w:rPr>
        <w:t xml:space="preserve">ciones para solucionar el caso </w:t>
      </w:r>
      <w:r w:rsidR="00757011" w:rsidRPr="001C445E">
        <w:rPr>
          <w:color w:val="auto"/>
        </w:rPr>
        <w:t>a través de dicho procedimiento</w:t>
      </w:r>
      <w:r w:rsidRPr="001C445E">
        <w:rPr>
          <w:color w:val="auto"/>
        </w:rPr>
        <w:t>.</w:t>
      </w:r>
      <w:r w:rsidR="00757011" w:rsidRPr="001C445E">
        <w:rPr>
          <w:color w:val="auto"/>
        </w:rPr>
        <w:t xml:space="preserve"> L</w:t>
      </w:r>
      <w:r w:rsidRPr="001C445E">
        <w:rPr>
          <w:color w:val="auto"/>
        </w:rPr>
        <w:t xml:space="preserve">as partes contaron con los plazos reglamentarios para presentar sus observaciones adicionales sobre el fondo. Toda la información recibida fue debidamente trasladada entre las partes. </w:t>
      </w:r>
      <w:bookmarkStart w:id="7" w:name="_Toc370840841"/>
      <w:bookmarkStart w:id="8" w:name="_Toc370840745"/>
    </w:p>
    <w:p w14:paraId="48A21919" w14:textId="77777777" w:rsidR="00D50A8F" w:rsidRPr="001C445E" w:rsidRDefault="00D50A8F" w:rsidP="00D50A8F">
      <w:pPr>
        <w:tabs>
          <w:tab w:val="left" w:pos="567"/>
          <w:tab w:val="left" w:pos="1440"/>
        </w:tabs>
        <w:spacing w:after="0" w:line="240" w:lineRule="auto"/>
        <w:jc w:val="both"/>
        <w:rPr>
          <w:rFonts w:ascii="Cambria" w:hAnsi="Cambria"/>
          <w:sz w:val="20"/>
          <w:szCs w:val="20"/>
          <w:bdr w:val="nil"/>
          <w:lang w:val="es-VE"/>
        </w:rPr>
      </w:pPr>
    </w:p>
    <w:p w14:paraId="699C8551" w14:textId="77777777" w:rsidR="00D50A8F" w:rsidRPr="001C445E" w:rsidRDefault="000A46BD" w:rsidP="00181298">
      <w:pPr>
        <w:pStyle w:val="Heading1"/>
        <w:numPr>
          <w:ilvl w:val="0"/>
          <w:numId w:val="2"/>
        </w:numPr>
        <w:tabs>
          <w:tab w:val="clear" w:pos="1440"/>
          <w:tab w:val="num" w:pos="360"/>
          <w:tab w:val="left" w:pos="1350"/>
        </w:tabs>
        <w:ind w:left="0" w:firstLine="0"/>
      </w:pPr>
      <w:bookmarkStart w:id="9" w:name="_Toc536549375"/>
      <w:bookmarkStart w:id="10" w:name="_Toc444958126"/>
      <w:bookmarkStart w:id="11" w:name="_Toc433115983"/>
      <w:bookmarkStart w:id="12" w:name="_Toc423514407"/>
      <w:bookmarkStart w:id="13" w:name="_Toc3453770"/>
      <w:bookmarkStart w:id="14" w:name="_Toc4075188"/>
      <w:bookmarkStart w:id="15" w:name="_Toc203125552"/>
      <w:r w:rsidRPr="001C445E">
        <w:t>POSICIONES DE LAS PARTES</w:t>
      </w:r>
      <w:bookmarkStart w:id="16" w:name="_Toc444958127"/>
      <w:bookmarkStart w:id="17" w:name="_Toc433115984"/>
      <w:bookmarkStart w:id="18" w:name="_Toc423514408"/>
      <w:bookmarkStart w:id="19" w:name="_Toc536549376"/>
      <w:bookmarkEnd w:id="7"/>
      <w:bookmarkEnd w:id="8"/>
      <w:bookmarkEnd w:id="9"/>
      <w:bookmarkEnd w:id="10"/>
      <w:bookmarkEnd w:id="11"/>
      <w:bookmarkEnd w:id="12"/>
      <w:bookmarkEnd w:id="13"/>
      <w:bookmarkEnd w:id="14"/>
      <w:bookmarkEnd w:id="15"/>
    </w:p>
    <w:p w14:paraId="6BD18F9B" w14:textId="77777777" w:rsidR="00D50A8F" w:rsidRPr="001C445E" w:rsidRDefault="00D50A8F" w:rsidP="00D50A8F">
      <w:pPr>
        <w:spacing w:after="0" w:line="240" w:lineRule="auto"/>
        <w:rPr>
          <w:rFonts w:ascii="Cambria" w:hAnsi="Cambria"/>
          <w:lang w:val="es-ES_tradnl"/>
        </w:rPr>
      </w:pPr>
    </w:p>
    <w:p w14:paraId="4AD3D3D9" w14:textId="77777777" w:rsidR="000A46BD" w:rsidRPr="001C445E" w:rsidRDefault="000A46BD" w:rsidP="00181298">
      <w:pPr>
        <w:pStyle w:val="Heading2"/>
        <w:numPr>
          <w:ilvl w:val="0"/>
          <w:numId w:val="4"/>
        </w:numPr>
        <w:tabs>
          <w:tab w:val="left" w:pos="0"/>
          <w:tab w:val="left" w:pos="360"/>
        </w:tabs>
        <w:ind w:left="0" w:firstLine="0"/>
      </w:pPr>
      <w:bookmarkStart w:id="20" w:name="_Toc3453771"/>
      <w:bookmarkStart w:id="21" w:name="_Toc4075189"/>
      <w:bookmarkStart w:id="22" w:name="_Toc203125553"/>
      <w:r w:rsidRPr="001C445E">
        <w:t>P</w:t>
      </w:r>
      <w:bookmarkEnd w:id="16"/>
      <w:bookmarkEnd w:id="17"/>
      <w:bookmarkEnd w:id="18"/>
      <w:r w:rsidRPr="001C445E">
        <w:t>arte peticionaria</w:t>
      </w:r>
      <w:bookmarkEnd w:id="19"/>
      <w:bookmarkEnd w:id="20"/>
      <w:bookmarkEnd w:id="21"/>
      <w:bookmarkEnd w:id="22"/>
    </w:p>
    <w:p w14:paraId="238601FE" w14:textId="77777777" w:rsidR="00966386" w:rsidRPr="001C445E" w:rsidRDefault="00966386" w:rsidP="00966386">
      <w:pPr>
        <w:tabs>
          <w:tab w:val="left" w:pos="567"/>
          <w:tab w:val="left" w:pos="1440"/>
        </w:tabs>
        <w:spacing w:after="0" w:line="240" w:lineRule="auto"/>
        <w:jc w:val="both"/>
        <w:rPr>
          <w:rFonts w:ascii="Cambria" w:hAnsi="Cambria"/>
          <w:sz w:val="20"/>
          <w:szCs w:val="20"/>
          <w:lang w:val="es-VE"/>
        </w:rPr>
      </w:pPr>
    </w:p>
    <w:p w14:paraId="4C804462" w14:textId="77777777" w:rsidR="00181298" w:rsidRPr="001C445E" w:rsidRDefault="007B7438" w:rsidP="00C23296">
      <w:pPr>
        <w:pStyle w:val="parrafos"/>
        <w:numPr>
          <w:ilvl w:val="0"/>
          <w:numId w:val="3"/>
        </w:numPr>
        <w:tabs>
          <w:tab w:val="left" w:pos="360"/>
        </w:tabs>
        <w:ind w:left="0" w:firstLine="0"/>
        <w:rPr>
          <w:color w:val="auto"/>
        </w:rPr>
      </w:pPr>
      <w:r w:rsidRPr="001C445E">
        <w:rPr>
          <w:color w:val="auto"/>
        </w:rPr>
        <w:t>La parte peticionaria refir</w:t>
      </w:r>
      <w:r w:rsidR="006A0141" w:rsidRPr="001C445E">
        <w:rPr>
          <w:color w:val="auto"/>
        </w:rPr>
        <w:t xml:space="preserve">ió que </w:t>
      </w:r>
      <w:r w:rsidR="00B37CD9" w:rsidRPr="001C445E">
        <w:rPr>
          <w:color w:val="auto"/>
        </w:rPr>
        <w:t>a partir d</w:t>
      </w:r>
      <w:r w:rsidR="006A0141" w:rsidRPr="001C445E">
        <w:rPr>
          <w:color w:val="auto"/>
        </w:rPr>
        <w:t>e</w:t>
      </w:r>
      <w:r w:rsidR="00651744" w:rsidRPr="001C445E">
        <w:rPr>
          <w:color w:val="auto"/>
        </w:rPr>
        <w:t>l 1 de septiembre de 1988 mantuvo</w:t>
      </w:r>
      <w:r w:rsidR="006A0141" w:rsidRPr="001C445E">
        <w:rPr>
          <w:color w:val="auto"/>
        </w:rPr>
        <w:t xml:space="preserve"> una relación de trabajo con la Embajada de Australia en la República Argentina</w:t>
      </w:r>
      <w:r w:rsidR="00D526B7" w:rsidRPr="001C445E">
        <w:rPr>
          <w:color w:val="auto"/>
        </w:rPr>
        <w:t xml:space="preserve"> </w:t>
      </w:r>
      <w:r w:rsidR="00C23296" w:rsidRPr="001C445E">
        <w:rPr>
          <w:color w:val="auto"/>
        </w:rPr>
        <w:t>en la qu</w:t>
      </w:r>
      <w:r w:rsidR="00C11870" w:rsidRPr="001C445E">
        <w:rPr>
          <w:color w:val="auto"/>
        </w:rPr>
        <w:t>e se desempeñó en el cargo de economista</w:t>
      </w:r>
      <w:r w:rsidR="006A0141" w:rsidRPr="001C445E">
        <w:rPr>
          <w:color w:val="auto"/>
        </w:rPr>
        <w:t>. Alegó que el 2 de mayo de 1997 fue despedida tras haber notificado a sus superiores sobre su estado de embarazo y luego de haber solicitado la regularización de los aportes patronales ante el seguro</w:t>
      </w:r>
      <w:r w:rsidR="00651744" w:rsidRPr="001C445E">
        <w:rPr>
          <w:color w:val="auto"/>
        </w:rPr>
        <w:t xml:space="preserve"> social</w:t>
      </w:r>
      <w:r w:rsidR="006A0141" w:rsidRPr="001C445E">
        <w:rPr>
          <w:color w:val="auto"/>
        </w:rPr>
        <w:t xml:space="preserve">, así como su inscripción dentro de los registros laborales de la Embajada. </w:t>
      </w:r>
    </w:p>
    <w:p w14:paraId="0F3CABC7" w14:textId="77777777" w:rsidR="00181298" w:rsidRPr="001C445E" w:rsidRDefault="00181298" w:rsidP="00181298">
      <w:pPr>
        <w:pStyle w:val="parrafos"/>
        <w:tabs>
          <w:tab w:val="left" w:pos="360"/>
        </w:tabs>
        <w:rPr>
          <w:color w:val="auto"/>
        </w:rPr>
      </w:pPr>
    </w:p>
    <w:p w14:paraId="1B1C60DD" w14:textId="77777777" w:rsidR="006A0141" w:rsidRPr="001C445E" w:rsidRDefault="00C62028" w:rsidP="00181298">
      <w:pPr>
        <w:pStyle w:val="parrafos"/>
        <w:numPr>
          <w:ilvl w:val="0"/>
          <w:numId w:val="3"/>
        </w:numPr>
        <w:tabs>
          <w:tab w:val="left" w:pos="360"/>
        </w:tabs>
        <w:ind w:left="0" w:firstLine="0"/>
        <w:rPr>
          <w:color w:val="auto"/>
        </w:rPr>
      </w:pPr>
      <w:r w:rsidRPr="001C445E">
        <w:rPr>
          <w:color w:val="auto"/>
        </w:rPr>
        <w:t xml:space="preserve">Informó que </w:t>
      </w:r>
      <w:r w:rsidR="00DB4707" w:rsidRPr="001C445E">
        <w:rPr>
          <w:color w:val="auto"/>
        </w:rPr>
        <w:t>luego de promover</w:t>
      </w:r>
      <w:r w:rsidR="00651744" w:rsidRPr="001C445E">
        <w:rPr>
          <w:color w:val="auto"/>
        </w:rPr>
        <w:t xml:space="preserve"> una </w:t>
      </w:r>
      <w:r w:rsidR="00F164A8" w:rsidRPr="001C445E">
        <w:rPr>
          <w:color w:val="auto"/>
        </w:rPr>
        <w:t xml:space="preserve">demanda judicial por </w:t>
      </w:r>
      <w:r w:rsidR="00DB4707" w:rsidRPr="001C445E">
        <w:rPr>
          <w:color w:val="auto"/>
        </w:rPr>
        <w:t xml:space="preserve">despido injustificado, el 28 de febrero de 2001 </w:t>
      </w:r>
      <w:r w:rsidRPr="001C445E">
        <w:rPr>
          <w:color w:val="auto"/>
        </w:rPr>
        <w:t>el Juzgado Nacional de Primera Instancia del Trabajo N°</w:t>
      </w:r>
      <w:r w:rsidR="00651744" w:rsidRPr="001C445E">
        <w:rPr>
          <w:color w:val="auto"/>
        </w:rPr>
        <w:t xml:space="preserve"> 44 condenó a la Embajada de Australia</w:t>
      </w:r>
      <w:r w:rsidR="00D526B7" w:rsidRPr="001C445E">
        <w:rPr>
          <w:color w:val="auto"/>
        </w:rPr>
        <w:t xml:space="preserve"> al pago de una indemnización por</w:t>
      </w:r>
      <w:r w:rsidR="00651744" w:rsidRPr="001C445E">
        <w:rPr>
          <w:color w:val="auto"/>
        </w:rPr>
        <w:t xml:space="preserve"> $219.924,86 pesos argentinos. Señaló que ambas partes ejercieron el recurso de apelación ante la Cámara Nacional</w:t>
      </w:r>
      <w:r w:rsidR="000D33DD" w:rsidRPr="001C445E">
        <w:rPr>
          <w:color w:val="auto"/>
        </w:rPr>
        <w:t xml:space="preserve"> de Apelaciones del Trabajo y este modificó parcialmente la sentencia de primera instancia y elevó e</w:t>
      </w:r>
      <w:r w:rsidR="00CE2421" w:rsidRPr="001C445E">
        <w:rPr>
          <w:color w:val="auto"/>
        </w:rPr>
        <w:t>l monto de la condena a $271.644,11</w:t>
      </w:r>
      <w:r w:rsidR="000D33DD" w:rsidRPr="001C445E">
        <w:rPr>
          <w:color w:val="auto"/>
        </w:rPr>
        <w:t xml:space="preserve"> pesos argentinos, sumado a los intereses y costas del juicio. Asimismo, indicó que la sentencia quedó firme en virtud de que la Embajada de Australia no interpuso el recurso extraordinario ante la Corte Suprema de Justicia de la Nación. </w:t>
      </w:r>
    </w:p>
    <w:p w14:paraId="5B08B5D1" w14:textId="77777777" w:rsidR="00181298" w:rsidRPr="001C445E" w:rsidRDefault="00181298" w:rsidP="00181298">
      <w:pPr>
        <w:pStyle w:val="parrafos"/>
        <w:tabs>
          <w:tab w:val="left" w:pos="360"/>
        </w:tabs>
        <w:rPr>
          <w:color w:val="auto"/>
        </w:rPr>
      </w:pPr>
    </w:p>
    <w:p w14:paraId="7DFE3B44" w14:textId="77777777" w:rsidR="00181298" w:rsidRPr="001C445E" w:rsidRDefault="000D33DD" w:rsidP="00181298">
      <w:pPr>
        <w:pStyle w:val="parrafos"/>
        <w:numPr>
          <w:ilvl w:val="0"/>
          <w:numId w:val="3"/>
        </w:numPr>
        <w:tabs>
          <w:tab w:val="left" w:pos="360"/>
        </w:tabs>
        <w:ind w:left="0" w:firstLine="0"/>
        <w:rPr>
          <w:color w:val="auto"/>
        </w:rPr>
      </w:pPr>
      <w:r w:rsidRPr="001C445E">
        <w:rPr>
          <w:color w:val="auto"/>
        </w:rPr>
        <w:t>Alegó que</w:t>
      </w:r>
      <w:r w:rsidR="00B37CD9" w:rsidRPr="001C445E">
        <w:rPr>
          <w:color w:val="auto"/>
        </w:rPr>
        <w:t>,</w:t>
      </w:r>
      <w:r w:rsidRPr="001C445E">
        <w:rPr>
          <w:color w:val="auto"/>
        </w:rPr>
        <w:t xml:space="preserve"> pese a encontrarse firme, hasta la fecha la Embajada no ha dado cumplimiento a la condena de forma voluntaria. Agregó que frente al requerimiento que hizo ante la justicia argentina para que se ejecutara</w:t>
      </w:r>
      <w:r w:rsidR="00B37CD9" w:rsidRPr="001C445E">
        <w:rPr>
          <w:color w:val="auto"/>
        </w:rPr>
        <w:t xml:space="preserve"> forzosamente la sentencia, el </w:t>
      </w:r>
      <w:r w:rsidRPr="001C445E">
        <w:rPr>
          <w:color w:val="auto"/>
        </w:rPr>
        <w:t>8 de febrero de 2002 el Juzgado Nacional de Primera Instancia del Trabajo N° 44 intimó a la Embajada de Australia para que diera efectivo cumplimiento a la condena. Seña</w:t>
      </w:r>
      <w:r w:rsidR="0055577C" w:rsidRPr="001C445E">
        <w:rPr>
          <w:color w:val="auto"/>
        </w:rPr>
        <w:t>ló que el 20 de febrero de 2002</w:t>
      </w:r>
      <w:r w:rsidR="00EE6691" w:rsidRPr="001C445E">
        <w:rPr>
          <w:color w:val="auto"/>
        </w:rPr>
        <w:t>,</w:t>
      </w:r>
      <w:r w:rsidRPr="001C445E">
        <w:rPr>
          <w:color w:val="auto"/>
        </w:rPr>
        <w:t xml:space="preserve"> la Embajada informó que </w:t>
      </w:r>
      <w:r w:rsidR="007C1D48" w:rsidRPr="001C445E">
        <w:rPr>
          <w:color w:val="auto"/>
        </w:rPr>
        <w:t>mantenía y no renunciaba a la inmunidad de ejecución opuesta en la contestación de la demanda, al</w:t>
      </w:r>
      <w:r w:rsidR="00882EEA" w:rsidRPr="001C445E">
        <w:rPr>
          <w:color w:val="auto"/>
        </w:rPr>
        <w:t xml:space="preserve">egatos y expresión de agravios, </w:t>
      </w:r>
      <w:r w:rsidR="00E32A02" w:rsidRPr="001C445E">
        <w:rPr>
          <w:color w:val="auto"/>
        </w:rPr>
        <w:t xml:space="preserve">privilegio que se deriva de la Convención de Viena sobre Relaciones Diplomáticas. </w:t>
      </w:r>
    </w:p>
    <w:p w14:paraId="16DEB4AB" w14:textId="77777777" w:rsidR="00181298" w:rsidRPr="001C445E" w:rsidRDefault="00181298" w:rsidP="00181298">
      <w:pPr>
        <w:pStyle w:val="parrafos"/>
        <w:tabs>
          <w:tab w:val="left" w:pos="360"/>
        </w:tabs>
        <w:rPr>
          <w:color w:val="auto"/>
        </w:rPr>
      </w:pPr>
    </w:p>
    <w:p w14:paraId="6D3F7FD3" w14:textId="77777777" w:rsidR="00C96D78" w:rsidRPr="001C445E" w:rsidRDefault="00D253F9" w:rsidP="00074B17">
      <w:pPr>
        <w:pStyle w:val="parrafos"/>
        <w:numPr>
          <w:ilvl w:val="0"/>
          <w:numId w:val="3"/>
        </w:numPr>
        <w:tabs>
          <w:tab w:val="left" w:pos="360"/>
        </w:tabs>
        <w:ind w:left="0" w:firstLine="0"/>
        <w:rPr>
          <w:color w:val="auto"/>
        </w:rPr>
      </w:pPr>
      <w:r w:rsidRPr="001C445E">
        <w:rPr>
          <w:color w:val="auto"/>
        </w:rPr>
        <w:t>Asimismo</w:t>
      </w:r>
      <w:r w:rsidR="00DB4707" w:rsidRPr="001C445E">
        <w:rPr>
          <w:color w:val="auto"/>
        </w:rPr>
        <w:t xml:space="preserve">, la </w:t>
      </w:r>
      <w:r w:rsidR="00C23296" w:rsidRPr="001C445E">
        <w:rPr>
          <w:color w:val="auto"/>
        </w:rPr>
        <w:t xml:space="preserve">parte </w:t>
      </w:r>
      <w:r w:rsidR="00DB4707" w:rsidRPr="001C445E">
        <w:rPr>
          <w:color w:val="auto"/>
        </w:rPr>
        <w:t>peticionaria informó</w:t>
      </w:r>
      <w:r w:rsidR="007C1D48" w:rsidRPr="001C445E">
        <w:rPr>
          <w:color w:val="auto"/>
        </w:rPr>
        <w:t xml:space="preserve"> que en se</w:t>
      </w:r>
      <w:r w:rsidR="0055577C" w:rsidRPr="001C445E">
        <w:rPr>
          <w:color w:val="auto"/>
        </w:rPr>
        <w:t>ptiembre de 2003</w:t>
      </w:r>
      <w:r w:rsidR="007C1D48" w:rsidRPr="001C445E">
        <w:rPr>
          <w:color w:val="auto"/>
        </w:rPr>
        <w:t xml:space="preserve"> la Embajada de Australia le ofreció pagar una suma correspondiente a menos del 50% de la deuda. Agregó que se vio ob</w:t>
      </w:r>
      <w:r w:rsidR="0055577C" w:rsidRPr="001C445E">
        <w:rPr>
          <w:color w:val="auto"/>
        </w:rPr>
        <w:t xml:space="preserve">ligada a aceptar la oferta y por tanto, firmó un acuerdo de pago que fue </w:t>
      </w:r>
      <w:r w:rsidR="007C1D48" w:rsidRPr="001C445E">
        <w:rPr>
          <w:color w:val="auto"/>
        </w:rPr>
        <w:t>homologado por la justicia argentina</w:t>
      </w:r>
      <w:r w:rsidR="0055577C" w:rsidRPr="001C445E">
        <w:rPr>
          <w:color w:val="auto"/>
        </w:rPr>
        <w:t xml:space="preserve"> e</w:t>
      </w:r>
      <w:r w:rsidR="00C23296" w:rsidRPr="001C445E">
        <w:rPr>
          <w:color w:val="auto"/>
        </w:rPr>
        <w:t>l</w:t>
      </w:r>
      <w:r w:rsidR="0055577C" w:rsidRPr="001C445E">
        <w:rPr>
          <w:color w:val="auto"/>
        </w:rPr>
        <w:t xml:space="preserve"> 25 de </w:t>
      </w:r>
      <w:r w:rsidR="0055577C" w:rsidRPr="001C445E">
        <w:rPr>
          <w:color w:val="auto"/>
        </w:rPr>
        <w:lastRenderedPageBreak/>
        <w:t>noviembre de 2003</w:t>
      </w:r>
      <w:r w:rsidR="007C1D48" w:rsidRPr="001C445E">
        <w:rPr>
          <w:color w:val="auto"/>
        </w:rPr>
        <w:t>. Alegó que</w:t>
      </w:r>
      <w:r w:rsidR="0018301D" w:rsidRPr="001C445E">
        <w:rPr>
          <w:color w:val="auto"/>
        </w:rPr>
        <w:t>,</w:t>
      </w:r>
      <w:r w:rsidR="007C1D48" w:rsidRPr="001C445E">
        <w:rPr>
          <w:color w:val="auto"/>
        </w:rPr>
        <w:t xml:space="preserve"> transcurrido el plazo respectivo, la Embajada no cumplió con su obligación de pago, por lo que ese acuerdo quedó nulo y recobró vigencia el monto establecido en la condena. </w:t>
      </w:r>
    </w:p>
    <w:p w14:paraId="61E282A5" w14:textId="77777777" w:rsidR="0032428C" w:rsidRPr="001C445E" w:rsidRDefault="007C1D48" w:rsidP="00C96D78">
      <w:pPr>
        <w:pStyle w:val="parrafos"/>
        <w:numPr>
          <w:ilvl w:val="0"/>
          <w:numId w:val="3"/>
        </w:numPr>
        <w:tabs>
          <w:tab w:val="left" w:pos="360"/>
        </w:tabs>
        <w:ind w:left="0" w:firstLine="0"/>
        <w:rPr>
          <w:color w:val="auto"/>
        </w:rPr>
      </w:pPr>
      <w:r w:rsidRPr="001C445E">
        <w:rPr>
          <w:color w:val="auto"/>
        </w:rPr>
        <w:t xml:space="preserve">Informó </w:t>
      </w:r>
      <w:r w:rsidR="00C23296" w:rsidRPr="001C445E">
        <w:rPr>
          <w:color w:val="auto"/>
        </w:rPr>
        <w:t xml:space="preserve">que se dirigió </w:t>
      </w:r>
      <w:r w:rsidRPr="001C445E">
        <w:rPr>
          <w:color w:val="auto"/>
        </w:rPr>
        <w:t>reiteradamente al Ministerio de Relaciones Exteriores, Comercio Internacional y Culto de Argentina, así como al Presidente de la Nación</w:t>
      </w:r>
      <w:r w:rsidR="00DB4707" w:rsidRPr="001C445E">
        <w:rPr>
          <w:color w:val="auto"/>
        </w:rPr>
        <w:t>,</w:t>
      </w:r>
      <w:r w:rsidRPr="001C445E">
        <w:rPr>
          <w:color w:val="auto"/>
        </w:rPr>
        <w:t xml:space="preserve"> para que intervinieran frente a la Embajada de A</w:t>
      </w:r>
      <w:r w:rsidR="00DB4707" w:rsidRPr="001C445E">
        <w:rPr>
          <w:color w:val="auto"/>
        </w:rPr>
        <w:t xml:space="preserve">ustralia, a fin de que </w:t>
      </w:r>
      <w:r w:rsidR="00CD7CA0" w:rsidRPr="001C445E">
        <w:rPr>
          <w:color w:val="auto"/>
        </w:rPr>
        <w:t>ésta</w:t>
      </w:r>
      <w:r w:rsidRPr="001C445E">
        <w:rPr>
          <w:color w:val="auto"/>
        </w:rPr>
        <w:t xml:space="preserve"> diera cumplimiento a la sentencia.</w:t>
      </w:r>
      <w:r w:rsidR="00163199" w:rsidRPr="001C445E">
        <w:rPr>
          <w:color w:val="auto"/>
        </w:rPr>
        <w:t xml:space="preserve"> Al respecto, </w:t>
      </w:r>
      <w:r w:rsidR="0018301D" w:rsidRPr="001C445E">
        <w:rPr>
          <w:color w:val="auto"/>
        </w:rPr>
        <w:t>aleg</w:t>
      </w:r>
      <w:r w:rsidR="00163199" w:rsidRPr="001C445E">
        <w:rPr>
          <w:color w:val="auto"/>
        </w:rPr>
        <w:t>ó que el Estado argentino no contestó sus notas de reclamo y que</w:t>
      </w:r>
      <w:r w:rsidR="00CD7CA0" w:rsidRPr="001C445E">
        <w:rPr>
          <w:color w:val="auto"/>
        </w:rPr>
        <w:t>,</w:t>
      </w:r>
      <w:r w:rsidR="00163199" w:rsidRPr="001C445E">
        <w:rPr>
          <w:color w:val="auto"/>
        </w:rPr>
        <w:t xml:space="preserve"> </w:t>
      </w:r>
      <w:r w:rsidR="0032428C" w:rsidRPr="001C445E">
        <w:rPr>
          <w:color w:val="auto"/>
        </w:rPr>
        <w:t xml:space="preserve">si bien la Cancillería argentina </w:t>
      </w:r>
      <w:r w:rsidR="00E32A02" w:rsidRPr="001C445E">
        <w:rPr>
          <w:color w:val="auto"/>
        </w:rPr>
        <w:t xml:space="preserve">sirvió de intermediario con la Embajada para la firma del acuerdo de pago extrajudicial, dichos esfuerzos no dieron </w:t>
      </w:r>
      <w:r w:rsidR="0032428C" w:rsidRPr="001C445E">
        <w:rPr>
          <w:color w:val="auto"/>
        </w:rPr>
        <w:t>resultado</w:t>
      </w:r>
      <w:r w:rsidR="00E32A02" w:rsidRPr="001C445E">
        <w:rPr>
          <w:color w:val="auto"/>
        </w:rPr>
        <w:t>s</w:t>
      </w:r>
      <w:r w:rsidR="0032428C" w:rsidRPr="001C445E">
        <w:rPr>
          <w:color w:val="auto"/>
        </w:rPr>
        <w:t xml:space="preserve">. </w:t>
      </w:r>
    </w:p>
    <w:p w14:paraId="0AD9C6F4" w14:textId="77777777" w:rsidR="007C1D48" w:rsidRPr="001C445E" w:rsidRDefault="007C1D48" w:rsidP="007C1D48">
      <w:pPr>
        <w:pStyle w:val="parrafos"/>
        <w:tabs>
          <w:tab w:val="left" w:pos="360"/>
        </w:tabs>
        <w:rPr>
          <w:color w:val="auto"/>
        </w:rPr>
      </w:pPr>
    </w:p>
    <w:p w14:paraId="37F4DAAC" w14:textId="77777777" w:rsidR="00181298" w:rsidRPr="001C445E" w:rsidRDefault="001862B6" w:rsidP="00181298">
      <w:pPr>
        <w:pStyle w:val="parrafos"/>
        <w:numPr>
          <w:ilvl w:val="0"/>
          <w:numId w:val="3"/>
        </w:numPr>
        <w:tabs>
          <w:tab w:val="left" w:pos="360"/>
        </w:tabs>
        <w:ind w:left="0" w:firstLine="0"/>
        <w:rPr>
          <w:color w:val="auto"/>
        </w:rPr>
      </w:pPr>
      <w:r w:rsidRPr="001C445E">
        <w:rPr>
          <w:color w:val="auto"/>
        </w:rPr>
        <w:t>Refirió que</w:t>
      </w:r>
      <w:r w:rsidR="00CD7CA0" w:rsidRPr="001C445E">
        <w:rPr>
          <w:color w:val="auto"/>
        </w:rPr>
        <w:t>,</w:t>
      </w:r>
      <w:r w:rsidRPr="001C445E">
        <w:rPr>
          <w:color w:val="auto"/>
        </w:rPr>
        <w:t xml:space="preserve"> </w:t>
      </w:r>
      <w:r w:rsidR="00163199" w:rsidRPr="001C445E">
        <w:rPr>
          <w:color w:val="auto"/>
        </w:rPr>
        <w:t xml:space="preserve">pese a que la Embajada </w:t>
      </w:r>
      <w:r w:rsidR="00591919" w:rsidRPr="001C445E">
        <w:rPr>
          <w:color w:val="auto"/>
        </w:rPr>
        <w:t xml:space="preserve">de Australia </w:t>
      </w:r>
      <w:r w:rsidR="00163199" w:rsidRPr="001C445E">
        <w:rPr>
          <w:color w:val="auto"/>
        </w:rPr>
        <w:t xml:space="preserve">fue condenada en el juicio a pagar el 100% de las costas, </w:t>
      </w:r>
      <w:r w:rsidR="00CD7CA0" w:rsidRPr="001C445E">
        <w:rPr>
          <w:color w:val="auto"/>
        </w:rPr>
        <w:t>ésta</w:t>
      </w:r>
      <w:r w:rsidR="00163199" w:rsidRPr="001C445E">
        <w:rPr>
          <w:color w:val="auto"/>
        </w:rPr>
        <w:t xml:space="preserve"> también incumplió con dicha obligación. Al respecto, señaló que de acuerdo a la legislación argentina cuando el condenado en costas no cumple deberá requerirse el pago a la otra parte, por tanto, en abril de 2005 la </w:t>
      </w:r>
      <w:r w:rsidR="00A61DC0" w:rsidRPr="001C445E">
        <w:rPr>
          <w:color w:val="auto"/>
        </w:rPr>
        <w:t xml:space="preserve">parte </w:t>
      </w:r>
      <w:r w:rsidR="00163199" w:rsidRPr="001C445E">
        <w:rPr>
          <w:color w:val="auto"/>
        </w:rPr>
        <w:t xml:space="preserve">peticionaria fue intimada judicialmente por el Juzgado Nacional de Primera Instancia del Trabajo N° 44, bajo apercibimiento de ejecución, a abonar los honorarios profesionales de los abogados y peritos regulados judicialmente. </w:t>
      </w:r>
      <w:r w:rsidR="00A61DC0" w:rsidRPr="001C445E">
        <w:rPr>
          <w:color w:val="auto"/>
        </w:rPr>
        <w:t>E</w:t>
      </w:r>
      <w:r w:rsidR="00163199" w:rsidRPr="001C445E">
        <w:rPr>
          <w:color w:val="auto"/>
        </w:rPr>
        <w:t xml:space="preserve">xpresó que, en vez de cobrar su crédito frente a la Embajada, debió endeudarse para hacerle frente a las costas procesales que </w:t>
      </w:r>
      <w:r w:rsidR="00CD7CA0" w:rsidRPr="001C445E">
        <w:rPr>
          <w:color w:val="auto"/>
        </w:rPr>
        <w:t>ésta</w:t>
      </w:r>
      <w:r w:rsidR="00163199" w:rsidRPr="001C445E">
        <w:rPr>
          <w:color w:val="auto"/>
        </w:rPr>
        <w:t xml:space="preserve"> se negó a pagar. </w:t>
      </w:r>
    </w:p>
    <w:p w14:paraId="4B1F511A" w14:textId="77777777" w:rsidR="00181298" w:rsidRPr="001C445E" w:rsidRDefault="00181298" w:rsidP="00181298">
      <w:pPr>
        <w:pStyle w:val="parrafos"/>
        <w:tabs>
          <w:tab w:val="left" w:pos="360"/>
        </w:tabs>
        <w:rPr>
          <w:color w:val="auto"/>
        </w:rPr>
      </w:pPr>
    </w:p>
    <w:p w14:paraId="07A1A668" w14:textId="77777777" w:rsidR="00DB4707" w:rsidRPr="001C445E" w:rsidRDefault="00486A3A" w:rsidP="00DB4707">
      <w:pPr>
        <w:pStyle w:val="parrafos"/>
        <w:numPr>
          <w:ilvl w:val="0"/>
          <w:numId w:val="3"/>
        </w:numPr>
        <w:tabs>
          <w:tab w:val="left" w:pos="360"/>
        </w:tabs>
        <w:ind w:left="0" w:firstLine="0"/>
        <w:rPr>
          <w:color w:val="auto"/>
        </w:rPr>
      </w:pPr>
      <w:r w:rsidRPr="001C445E">
        <w:rPr>
          <w:color w:val="auto"/>
        </w:rPr>
        <w:t xml:space="preserve">Específicamente, en cuanto al derecho, </w:t>
      </w:r>
      <w:r w:rsidR="00C92667" w:rsidRPr="001C445E">
        <w:rPr>
          <w:color w:val="auto"/>
        </w:rPr>
        <w:t xml:space="preserve">la parte peticionaria </w:t>
      </w:r>
      <w:r w:rsidR="00BE7736" w:rsidRPr="001C445E">
        <w:rPr>
          <w:color w:val="auto"/>
        </w:rPr>
        <w:t>argumentó</w:t>
      </w:r>
      <w:r w:rsidR="00000DDA" w:rsidRPr="001C445E">
        <w:rPr>
          <w:color w:val="auto"/>
        </w:rPr>
        <w:t xml:space="preserve"> la violación del </w:t>
      </w:r>
      <w:r w:rsidR="00000DDA" w:rsidRPr="001C445E">
        <w:rPr>
          <w:b/>
          <w:color w:val="auto"/>
        </w:rPr>
        <w:t>derecho</w:t>
      </w:r>
      <w:r w:rsidR="00163199" w:rsidRPr="001C445E">
        <w:rPr>
          <w:b/>
          <w:color w:val="auto"/>
        </w:rPr>
        <w:t xml:space="preserve"> a la protección judicial</w:t>
      </w:r>
      <w:r w:rsidR="00C65C9C" w:rsidRPr="001C445E">
        <w:rPr>
          <w:color w:val="auto"/>
        </w:rPr>
        <w:t>,</w:t>
      </w:r>
      <w:r w:rsidR="000C792F" w:rsidRPr="001C445E">
        <w:rPr>
          <w:color w:val="auto"/>
        </w:rPr>
        <w:t xml:space="preserve"> </w:t>
      </w:r>
      <w:r w:rsidR="00C92667" w:rsidRPr="001C445E">
        <w:rPr>
          <w:color w:val="auto"/>
        </w:rPr>
        <w:t>por estima</w:t>
      </w:r>
      <w:r w:rsidR="00203E8F" w:rsidRPr="001C445E">
        <w:rPr>
          <w:color w:val="auto"/>
        </w:rPr>
        <w:t xml:space="preserve">r que la sentencia </w:t>
      </w:r>
      <w:r w:rsidR="00C92667" w:rsidRPr="001C445E">
        <w:rPr>
          <w:color w:val="auto"/>
        </w:rPr>
        <w:t xml:space="preserve">que elevó el monto </w:t>
      </w:r>
      <w:r w:rsidR="00203E8F" w:rsidRPr="001C445E">
        <w:rPr>
          <w:color w:val="auto"/>
        </w:rPr>
        <w:t xml:space="preserve">de la condena </w:t>
      </w:r>
      <w:r w:rsidR="00C92667" w:rsidRPr="001C445E">
        <w:rPr>
          <w:color w:val="auto"/>
        </w:rPr>
        <w:t xml:space="preserve">en segunda instancia y que se encuentra firme no fue ejecutada por los tribunales argentinos. Al respecto, </w:t>
      </w:r>
      <w:r w:rsidR="00203E8F" w:rsidRPr="001C445E">
        <w:rPr>
          <w:color w:val="auto"/>
        </w:rPr>
        <w:t>señaló</w:t>
      </w:r>
      <w:r w:rsidR="00C92667" w:rsidRPr="001C445E">
        <w:rPr>
          <w:color w:val="auto"/>
        </w:rPr>
        <w:t xml:space="preserve"> que el debido proceso legal debe incluir la ejecución de las decisiones judiciales firmes</w:t>
      </w:r>
      <w:r w:rsidR="00203E8F" w:rsidRPr="001C445E">
        <w:rPr>
          <w:color w:val="auto"/>
        </w:rPr>
        <w:t xml:space="preserve"> y pasadas en autoridad de cosa juzgada. Asimismo, afirmó que la inmunidad </w:t>
      </w:r>
      <w:r w:rsidR="00A61DC0" w:rsidRPr="001C445E">
        <w:rPr>
          <w:color w:val="auto"/>
        </w:rPr>
        <w:t>absoluta de ejecución reconocida</w:t>
      </w:r>
      <w:r w:rsidR="00203E8F" w:rsidRPr="001C445E">
        <w:rPr>
          <w:color w:val="auto"/>
        </w:rPr>
        <w:t xml:space="preserve"> por el Estado </w:t>
      </w:r>
      <w:r w:rsidR="00DB4707" w:rsidRPr="001C445E">
        <w:rPr>
          <w:color w:val="auto"/>
        </w:rPr>
        <w:t>torna la protección judicial en una mera formalidad, generándose una situación de denegación de justicia, puesto que al no poder ejecutar ni la decisión judicial ni el acuerdo de pago, la efectividad del recurso se tornó ilusoria.</w:t>
      </w:r>
    </w:p>
    <w:p w14:paraId="65F9C3DC" w14:textId="77777777" w:rsidR="00181298" w:rsidRPr="001C445E" w:rsidRDefault="00181298" w:rsidP="00181298">
      <w:pPr>
        <w:pStyle w:val="parrafos"/>
        <w:tabs>
          <w:tab w:val="left" w:pos="360"/>
        </w:tabs>
        <w:rPr>
          <w:color w:val="auto"/>
        </w:rPr>
      </w:pPr>
    </w:p>
    <w:p w14:paraId="2AB46B10" w14:textId="77777777" w:rsidR="00933583" w:rsidRPr="001C445E" w:rsidRDefault="00203E8F" w:rsidP="00203E8F">
      <w:pPr>
        <w:pStyle w:val="parrafos"/>
        <w:numPr>
          <w:ilvl w:val="0"/>
          <w:numId w:val="3"/>
        </w:numPr>
        <w:tabs>
          <w:tab w:val="left" w:pos="360"/>
        </w:tabs>
        <w:ind w:left="0" w:firstLine="0"/>
        <w:rPr>
          <w:color w:val="auto"/>
        </w:rPr>
      </w:pPr>
      <w:r w:rsidRPr="001C445E">
        <w:rPr>
          <w:color w:val="auto"/>
        </w:rPr>
        <w:t>Finalmente</w:t>
      </w:r>
      <w:r w:rsidR="00FD032A" w:rsidRPr="001C445E">
        <w:rPr>
          <w:color w:val="auto"/>
        </w:rPr>
        <w:t>, argumentó la violación del</w:t>
      </w:r>
      <w:r w:rsidR="00163199" w:rsidRPr="001C445E">
        <w:rPr>
          <w:b/>
          <w:color w:val="auto"/>
        </w:rPr>
        <w:t xml:space="preserve"> derecho a la propiedad privada</w:t>
      </w:r>
      <w:r w:rsidR="00FD032A" w:rsidRPr="001C445E">
        <w:rPr>
          <w:color w:val="auto"/>
        </w:rPr>
        <w:t xml:space="preserve">, por estimar que </w:t>
      </w:r>
      <w:r w:rsidRPr="001C445E">
        <w:rPr>
          <w:color w:val="auto"/>
        </w:rPr>
        <w:t>la propiedad comprende también la titularidad de los derechos consagrados legalmente por sentencias</w:t>
      </w:r>
      <w:r w:rsidR="002F4292" w:rsidRPr="001C445E">
        <w:rPr>
          <w:color w:val="auto"/>
        </w:rPr>
        <w:t xml:space="preserve"> </w:t>
      </w:r>
      <w:r w:rsidRPr="001C445E">
        <w:rPr>
          <w:color w:val="auto"/>
        </w:rPr>
        <w:t>pasadas en autoridad de cosa juzgada. Al respecto, señaló que la inejecución de la sentencia conllevó a la privación del crédito y demás montos indemnizatorios solicitados.</w:t>
      </w:r>
    </w:p>
    <w:p w14:paraId="5023141B" w14:textId="77777777" w:rsidR="00FA3A7A" w:rsidRPr="001C445E" w:rsidRDefault="00FA3A7A" w:rsidP="00933583">
      <w:pPr>
        <w:tabs>
          <w:tab w:val="left" w:pos="567"/>
          <w:tab w:val="left" w:pos="1440"/>
        </w:tabs>
        <w:spacing w:after="0" w:line="240" w:lineRule="auto"/>
        <w:jc w:val="both"/>
        <w:rPr>
          <w:rFonts w:ascii="Cambria" w:hAnsi="Cambria"/>
          <w:sz w:val="20"/>
          <w:szCs w:val="20"/>
          <w:lang w:val="es-VE"/>
        </w:rPr>
      </w:pPr>
    </w:p>
    <w:p w14:paraId="6D36326F" w14:textId="77777777" w:rsidR="00EE5933" w:rsidRPr="001C445E" w:rsidRDefault="000A46BD" w:rsidP="00FA3A7A">
      <w:pPr>
        <w:pStyle w:val="Heading2"/>
        <w:numPr>
          <w:ilvl w:val="0"/>
          <w:numId w:val="4"/>
        </w:numPr>
        <w:tabs>
          <w:tab w:val="left" w:pos="0"/>
          <w:tab w:val="left" w:pos="360"/>
        </w:tabs>
        <w:ind w:left="0" w:firstLine="0"/>
      </w:pPr>
      <w:bookmarkStart w:id="23" w:name="_Toc3453772"/>
      <w:bookmarkStart w:id="24" w:name="_Toc4075190"/>
      <w:bookmarkStart w:id="25" w:name="_Toc203125554"/>
      <w:r w:rsidRPr="001C445E">
        <w:t>Estado</w:t>
      </w:r>
      <w:bookmarkEnd w:id="23"/>
      <w:bookmarkEnd w:id="24"/>
      <w:bookmarkEnd w:id="25"/>
    </w:p>
    <w:p w14:paraId="1F3B1409" w14:textId="77777777" w:rsidR="00C95E8C" w:rsidRPr="001C445E" w:rsidRDefault="00C95E8C" w:rsidP="00AF7C72">
      <w:pPr>
        <w:tabs>
          <w:tab w:val="left" w:pos="567"/>
          <w:tab w:val="left" w:pos="1440"/>
        </w:tabs>
        <w:spacing w:after="0" w:line="240" w:lineRule="auto"/>
        <w:jc w:val="both"/>
        <w:rPr>
          <w:rFonts w:ascii="Cambria" w:hAnsi="Cambria"/>
          <w:sz w:val="20"/>
          <w:szCs w:val="20"/>
          <w:lang w:val="es-VE"/>
        </w:rPr>
      </w:pPr>
    </w:p>
    <w:p w14:paraId="2778A0CD" w14:textId="77777777" w:rsidR="00FA3A7A" w:rsidRPr="001C445E" w:rsidRDefault="001E46F6" w:rsidP="00FA3A7A">
      <w:pPr>
        <w:pStyle w:val="parrafos"/>
        <w:numPr>
          <w:ilvl w:val="0"/>
          <w:numId w:val="3"/>
        </w:numPr>
        <w:tabs>
          <w:tab w:val="left" w:pos="360"/>
        </w:tabs>
        <w:ind w:left="0" w:firstLine="0"/>
        <w:rPr>
          <w:color w:val="auto"/>
        </w:rPr>
      </w:pPr>
      <w:r w:rsidRPr="001C445E">
        <w:rPr>
          <w:color w:val="auto"/>
        </w:rPr>
        <w:t xml:space="preserve">El Estado refirió que los tribunales argentinos acogieron la demanda laboral de la </w:t>
      </w:r>
      <w:r w:rsidR="000B1F6B" w:rsidRPr="001C445E">
        <w:rPr>
          <w:color w:val="auto"/>
        </w:rPr>
        <w:t xml:space="preserve">parte </w:t>
      </w:r>
      <w:r w:rsidRPr="001C445E">
        <w:rPr>
          <w:color w:val="auto"/>
        </w:rPr>
        <w:t xml:space="preserve">peticionaria, quien gozó de un juicio justo y equitativo, así como de una decisión favorable a su pretensión, confirmada, además, por el tribunal de alzada. Señaló que </w:t>
      </w:r>
      <w:r w:rsidR="00B47025" w:rsidRPr="001C445E">
        <w:rPr>
          <w:color w:val="auto"/>
        </w:rPr>
        <w:t>ésta</w:t>
      </w:r>
      <w:r w:rsidRPr="001C445E">
        <w:rPr>
          <w:color w:val="auto"/>
        </w:rPr>
        <w:t xml:space="preserve"> tuvo acceso expedito a la justicia y que gozó del derecho a la jurisdicción, toda vez que Australia reconoció la jurisdicción de los tribunales argentinos al contestar la demanda. </w:t>
      </w:r>
    </w:p>
    <w:p w14:paraId="562C75D1" w14:textId="77777777" w:rsidR="00FA3A7A" w:rsidRPr="001C445E" w:rsidRDefault="00FA3A7A" w:rsidP="00FA3A7A">
      <w:pPr>
        <w:pStyle w:val="parrafos"/>
        <w:tabs>
          <w:tab w:val="left" w:pos="360"/>
        </w:tabs>
        <w:rPr>
          <w:color w:val="auto"/>
        </w:rPr>
      </w:pPr>
    </w:p>
    <w:p w14:paraId="5006DE42" w14:textId="77777777" w:rsidR="001E46F6" w:rsidRPr="001C445E" w:rsidRDefault="00882EEA" w:rsidP="00882EEA">
      <w:pPr>
        <w:pStyle w:val="parrafos"/>
        <w:numPr>
          <w:ilvl w:val="0"/>
          <w:numId w:val="3"/>
        </w:numPr>
        <w:tabs>
          <w:tab w:val="left" w:pos="360"/>
        </w:tabs>
        <w:ind w:left="0" w:firstLine="0"/>
        <w:rPr>
          <w:color w:val="auto"/>
        </w:rPr>
      </w:pPr>
      <w:r w:rsidRPr="001C445E">
        <w:rPr>
          <w:color w:val="auto"/>
        </w:rPr>
        <w:t>Refirió que</w:t>
      </w:r>
      <w:r w:rsidR="00B47025" w:rsidRPr="001C445E">
        <w:rPr>
          <w:color w:val="auto"/>
        </w:rPr>
        <w:t>,</w:t>
      </w:r>
      <w:r w:rsidRPr="001C445E">
        <w:rPr>
          <w:color w:val="auto"/>
        </w:rPr>
        <w:t xml:space="preserve"> si bien Australia renunció a su inmunidad de jurisdicción prevista e</w:t>
      </w:r>
      <w:r w:rsidR="00E32A02" w:rsidRPr="001C445E">
        <w:rPr>
          <w:color w:val="auto"/>
        </w:rPr>
        <w:t xml:space="preserve">n la Convención de Viena sobre Relaciones Diplomáticas, </w:t>
      </w:r>
      <w:r w:rsidRPr="001C445E">
        <w:rPr>
          <w:color w:val="auto"/>
        </w:rPr>
        <w:t>no renunció a</w:t>
      </w:r>
      <w:r w:rsidR="00316EAF" w:rsidRPr="001C445E">
        <w:rPr>
          <w:color w:val="auto"/>
        </w:rPr>
        <w:t xml:space="preserve"> la inmunidad de ejecución y señaló</w:t>
      </w:r>
      <w:r w:rsidRPr="001C445E">
        <w:rPr>
          <w:color w:val="auto"/>
        </w:rPr>
        <w:t xml:space="preserve"> que la renuncia a la primera no supone la renuncia de la segunda</w:t>
      </w:r>
      <w:r w:rsidR="00316EAF" w:rsidRPr="001C445E">
        <w:rPr>
          <w:color w:val="auto"/>
        </w:rPr>
        <w:t>. Asimismo, a</w:t>
      </w:r>
      <w:r w:rsidRPr="001C445E">
        <w:rPr>
          <w:color w:val="auto"/>
        </w:rPr>
        <w:t xml:space="preserve">legó </w:t>
      </w:r>
      <w:r w:rsidR="007E74FD" w:rsidRPr="001C445E">
        <w:rPr>
          <w:color w:val="auto"/>
        </w:rPr>
        <w:t>que</w:t>
      </w:r>
      <w:r w:rsidR="001E46F6" w:rsidRPr="001C445E">
        <w:rPr>
          <w:color w:val="auto"/>
        </w:rPr>
        <w:t xml:space="preserve"> la posibilidad de acción del Estado argentino era decididamente extrajudicial, ya que no cabe la ejecución forzosa ante un Estado extranjero</w:t>
      </w:r>
      <w:r w:rsidR="007E74FD" w:rsidRPr="001C445E">
        <w:rPr>
          <w:color w:val="auto"/>
        </w:rPr>
        <w:t xml:space="preserve"> que opone la inmunidad de ejecución, como lo hizo en este caso Australia</w:t>
      </w:r>
      <w:r w:rsidR="001E46F6" w:rsidRPr="001C445E">
        <w:rPr>
          <w:color w:val="auto"/>
        </w:rPr>
        <w:t xml:space="preserve">. Informó que la legislación nacional no resuelve el tema de la inmunidad de ejecución, y que se trata de una cuestión no resuelta en la práctica internacional. </w:t>
      </w:r>
    </w:p>
    <w:p w14:paraId="664355AD" w14:textId="77777777" w:rsidR="001E46F6" w:rsidRPr="001C445E" w:rsidRDefault="001E46F6" w:rsidP="001E46F6">
      <w:pPr>
        <w:pStyle w:val="parrafos"/>
        <w:tabs>
          <w:tab w:val="left" w:pos="360"/>
        </w:tabs>
        <w:rPr>
          <w:color w:val="auto"/>
        </w:rPr>
      </w:pPr>
    </w:p>
    <w:p w14:paraId="726F1616" w14:textId="77777777" w:rsidR="00FA3A7A" w:rsidRPr="001C445E" w:rsidRDefault="001E46F6" w:rsidP="00FA3A7A">
      <w:pPr>
        <w:pStyle w:val="parrafos"/>
        <w:numPr>
          <w:ilvl w:val="0"/>
          <w:numId w:val="3"/>
        </w:numPr>
        <w:tabs>
          <w:tab w:val="left" w:pos="360"/>
        </w:tabs>
        <w:ind w:left="0" w:firstLine="0"/>
        <w:rPr>
          <w:color w:val="auto"/>
        </w:rPr>
      </w:pPr>
      <w:r w:rsidRPr="001C445E">
        <w:rPr>
          <w:color w:val="auto"/>
        </w:rPr>
        <w:t xml:space="preserve">Expresó que cuando la ejecución se tornó imposible por la defensa opuesta por la Embajada de Australia, el Estado argentino ejerció </w:t>
      </w:r>
      <w:r w:rsidR="00715EB3" w:rsidRPr="001C445E">
        <w:rPr>
          <w:color w:val="auto"/>
        </w:rPr>
        <w:t>sus buenos oficios para</w:t>
      </w:r>
      <w:r w:rsidR="002F4292" w:rsidRPr="001C445E">
        <w:rPr>
          <w:color w:val="auto"/>
        </w:rPr>
        <w:t xml:space="preserve"> que </w:t>
      </w:r>
      <w:r w:rsidR="00B47025" w:rsidRPr="001C445E">
        <w:rPr>
          <w:color w:val="auto"/>
        </w:rPr>
        <w:t xml:space="preserve">ésta </w:t>
      </w:r>
      <w:r w:rsidRPr="001C445E">
        <w:rPr>
          <w:color w:val="auto"/>
        </w:rPr>
        <w:t xml:space="preserve">se dispusiera a cumplir con la sentencia que imponía una indemnización en favor de la peticionaria. </w:t>
      </w:r>
      <w:r w:rsidR="007E74FD" w:rsidRPr="001C445E">
        <w:rPr>
          <w:color w:val="auto"/>
        </w:rPr>
        <w:t>Agregó que el Estado argentino coadyuvó al acuerdo de pago que fue homologado judicialmente y que la Embajada no observó</w:t>
      </w:r>
      <w:r w:rsidR="00D75580" w:rsidRPr="001C445E">
        <w:rPr>
          <w:color w:val="auto"/>
        </w:rPr>
        <w:t>,</w:t>
      </w:r>
      <w:r w:rsidR="007E74FD" w:rsidRPr="001C445E">
        <w:rPr>
          <w:color w:val="auto"/>
        </w:rPr>
        <w:t xml:space="preserve"> por mostrarse renuente a todo pago.</w:t>
      </w:r>
    </w:p>
    <w:p w14:paraId="1A965116" w14:textId="77777777" w:rsidR="00FA3A7A" w:rsidRPr="001C445E" w:rsidRDefault="00FA3A7A" w:rsidP="00FA3A7A">
      <w:pPr>
        <w:pStyle w:val="parrafos"/>
        <w:tabs>
          <w:tab w:val="left" w:pos="360"/>
        </w:tabs>
        <w:rPr>
          <w:color w:val="auto"/>
        </w:rPr>
      </w:pPr>
    </w:p>
    <w:p w14:paraId="3E54CABE" w14:textId="77777777" w:rsidR="00FA3A7A" w:rsidRDefault="00A94B17" w:rsidP="00AD072E">
      <w:pPr>
        <w:pStyle w:val="parrafos"/>
        <w:numPr>
          <w:ilvl w:val="0"/>
          <w:numId w:val="3"/>
        </w:numPr>
        <w:tabs>
          <w:tab w:val="left" w:pos="360"/>
        </w:tabs>
        <w:ind w:left="0" w:firstLine="0"/>
        <w:rPr>
          <w:color w:val="auto"/>
        </w:rPr>
      </w:pPr>
      <w:r w:rsidRPr="001C445E">
        <w:rPr>
          <w:color w:val="auto"/>
        </w:rPr>
        <w:t>Refirió</w:t>
      </w:r>
      <w:r w:rsidR="00AD072E" w:rsidRPr="001C445E">
        <w:rPr>
          <w:color w:val="auto"/>
        </w:rPr>
        <w:t xml:space="preserve"> que la </w:t>
      </w:r>
      <w:r w:rsidR="00536847" w:rsidRPr="001C445E">
        <w:rPr>
          <w:color w:val="auto"/>
        </w:rPr>
        <w:t xml:space="preserve">parte </w:t>
      </w:r>
      <w:r w:rsidR="00AD072E" w:rsidRPr="001C445E">
        <w:rPr>
          <w:color w:val="auto"/>
        </w:rPr>
        <w:t>peticionaria no se agravia por la</w:t>
      </w:r>
      <w:r w:rsidR="00536847" w:rsidRPr="001C445E">
        <w:rPr>
          <w:color w:val="auto"/>
        </w:rPr>
        <w:t>s acciones</w:t>
      </w:r>
      <w:r w:rsidR="00AD072E" w:rsidRPr="001C445E">
        <w:rPr>
          <w:color w:val="auto"/>
        </w:rPr>
        <w:t xml:space="preserve"> del Estado argentino, sino</w:t>
      </w:r>
      <w:r w:rsidR="00536847" w:rsidRPr="001C445E">
        <w:rPr>
          <w:color w:val="auto"/>
        </w:rPr>
        <w:t xml:space="preserve"> porque la Embajada de Australia opuso inmunidad de ejecución respecto de su reclamo. </w:t>
      </w:r>
      <w:r w:rsidR="00AD072E" w:rsidRPr="001C445E">
        <w:rPr>
          <w:color w:val="auto"/>
        </w:rPr>
        <w:t xml:space="preserve">Al respecto, señaló que las actitudes de la representación diplomática del Estado extranjero no pueden ser atribuidas al Estado </w:t>
      </w:r>
      <w:r w:rsidR="00AD072E" w:rsidRPr="001C445E">
        <w:rPr>
          <w:color w:val="auto"/>
        </w:rPr>
        <w:lastRenderedPageBreak/>
        <w:t xml:space="preserve">argentino. Afirmó que la pretensión de la </w:t>
      </w:r>
      <w:r w:rsidR="00A23958" w:rsidRPr="001C445E">
        <w:rPr>
          <w:color w:val="auto"/>
        </w:rPr>
        <w:t xml:space="preserve">parte </w:t>
      </w:r>
      <w:r w:rsidR="00AD072E" w:rsidRPr="001C445E">
        <w:rPr>
          <w:color w:val="auto"/>
        </w:rPr>
        <w:t xml:space="preserve">peticionaria de que el Estado argentino se haga cargo de las obligaciones de Australia no se compadece con normal legal alguna vigente en Argentina. </w:t>
      </w:r>
    </w:p>
    <w:p w14:paraId="22348C1B" w14:textId="77777777" w:rsidR="003E3CD2" w:rsidRDefault="003E3CD2" w:rsidP="003E3CD2">
      <w:pPr>
        <w:pStyle w:val="parrafos"/>
        <w:rPr>
          <w:color w:val="auto"/>
        </w:rPr>
      </w:pPr>
    </w:p>
    <w:p w14:paraId="1CD0899A" w14:textId="77777777" w:rsidR="00FA3A7A" w:rsidRPr="001C445E" w:rsidRDefault="004D4BCE" w:rsidP="00FA3A7A">
      <w:pPr>
        <w:pStyle w:val="parrafos"/>
        <w:numPr>
          <w:ilvl w:val="0"/>
          <w:numId w:val="3"/>
        </w:numPr>
        <w:tabs>
          <w:tab w:val="left" w:pos="360"/>
        </w:tabs>
        <w:ind w:left="0" w:firstLine="0"/>
        <w:rPr>
          <w:color w:val="auto"/>
        </w:rPr>
      </w:pPr>
      <w:r w:rsidRPr="001C445E">
        <w:rPr>
          <w:color w:val="auto"/>
        </w:rPr>
        <w:t>En cuanto al fondo del asunto</w:t>
      </w:r>
      <w:r w:rsidR="00FA537B" w:rsidRPr="001C445E">
        <w:rPr>
          <w:color w:val="auto"/>
        </w:rPr>
        <w:t xml:space="preserve">, el Estado </w:t>
      </w:r>
      <w:r w:rsidR="00AD072E" w:rsidRPr="001C445E">
        <w:rPr>
          <w:color w:val="auto"/>
        </w:rPr>
        <w:t>argumentó</w:t>
      </w:r>
      <w:r w:rsidR="00FA537B" w:rsidRPr="001C445E">
        <w:rPr>
          <w:color w:val="auto"/>
        </w:rPr>
        <w:t xml:space="preserve"> que </w:t>
      </w:r>
      <w:r w:rsidR="00A873FD" w:rsidRPr="001C445E">
        <w:rPr>
          <w:color w:val="auto"/>
        </w:rPr>
        <w:t>no violó ningún derecho protegido por la Convenci</w:t>
      </w:r>
      <w:r w:rsidR="006A30D7" w:rsidRPr="001C445E">
        <w:rPr>
          <w:color w:val="auto"/>
        </w:rPr>
        <w:t xml:space="preserve">ón Americana. </w:t>
      </w:r>
      <w:r w:rsidR="00A873FD" w:rsidRPr="001C445E">
        <w:rPr>
          <w:color w:val="auto"/>
        </w:rPr>
        <w:t>Específicamente con respecto</w:t>
      </w:r>
      <w:r w:rsidR="00AD072E" w:rsidRPr="001C445E">
        <w:rPr>
          <w:color w:val="auto"/>
        </w:rPr>
        <w:t xml:space="preserve"> al </w:t>
      </w:r>
      <w:r w:rsidR="00AD072E" w:rsidRPr="001C445E">
        <w:rPr>
          <w:b/>
          <w:color w:val="auto"/>
        </w:rPr>
        <w:t>derecho a la protección judicial</w:t>
      </w:r>
      <w:r w:rsidR="00BA3878" w:rsidRPr="001C445E">
        <w:rPr>
          <w:b/>
          <w:color w:val="auto"/>
        </w:rPr>
        <w:t>,</w:t>
      </w:r>
      <w:r w:rsidR="00BA3878" w:rsidRPr="001C445E">
        <w:rPr>
          <w:color w:val="auto"/>
        </w:rPr>
        <w:t xml:space="preserve"> </w:t>
      </w:r>
      <w:r w:rsidR="001345D7" w:rsidRPr="001C445E">
        <w:rPr>
          <w:color w:val="auto"/>
        </w:rPr>
        <w:t xml:space="preserve">alegó </w:t>
      </w:r>
      <w:r w:rsidR="00BA3878" w:rsidRPr="001C445E">
        <w:rPr>
          <w:color w:val="auto"/>
        </w:rPr>
        <w:t>que la pa</w:t>
      </w:r>
      <w:r w:rsidR="00715EB3" w:rsidRPr="001C445E">
        <w:rPr>
          <w:color w:val="auto"/>
        </w:rPr>
        <w:t>rte peticionaria no demostró qué</w:t>
      </w:r>
      <w:r w:rsidR="00BA3878" w:rsidRPr="001C445E">
        <w:rPr>
          <w:color w:val="auto"/>
        </w:rPr>
        <w:t xml:space="preserve"> acción u omisión de parte del</w:t>
      </w:r>
      <w:r w:rsidR="00AD072E" w:rsidRPr="001C445E">
        <w:rPr>
          <w:color w:val="auto"/>
        </w:rPr>
        <w:t xml:space="preserve"> Estado vulneró dicho derecho, y señaló que la </w:t>
      </w:r>
      <w:r w:rsidR="00A23958" w:rsidRPr="001C445E">
        <w:rPr>
          <w:color w:val="auto"/>
        </w:rPr>
        <w:t xml:space="preserve">parte </w:t>
      </w:r>
      <w:r w:rsidR="00AD072E" w:rsidRPr="001C445E">
        <w:rPr>
          <w:color w:val="auto"/>
        </w:rPr>
        <w:t xml:space="preserve">peticionaria debió accionar en la sede internacional de derechos humanos respecto del Estado que opuso la inmunidad de ejecución y no respecto del Estado de su nacionalidad que le brindó un debido proceso legal y le permitió obtener una sentencia favorable. </w:t>
      </w:r>
    </w:p>
    <w:p w14:paraId="7DF4E37C" w14:textId="77777777" w:rsidR="00FA3A7A" w:rsidRPr="001C445E" w:rsidRDefault="00FA3A7A" w:rsidP="00FA3A7A">
      <w:pPr>
        <w:pStyle w:val="parrafos"/>
        <w:tabs>
          <w:tab w:val="left" w:pos="360"/>
        </w:tabs>
        <w:rPr>
          <w:color w:val="auto"/>
        </w:rPr>
      </w:pPr>
    </w:p>
    <w:p w14:paraId="242F7A09" w14:textId="77777777" w:rsidR="00316EAF" w:rsidRPr="001C445E" w:rsidRDefault="00AD072E" w:rsidP="00316EAF">
      <w:pPr>
        <w:pStyle w:val="parrafos"/>
        <w:numPr>
          <w:ilvl w:val="0"/>
          <w:numId w:val="3"/>
        </w:numPr>
        <w:tabs>
          <w:tab w:val="left" w:pos="360"/>
        </w:tabs>
        <w:ind w:left="0" w:firstLine="0"/>
        <w:rPr>
          <w:color w:val="auto"/>
        </w:rPr>
      </w:pPr>
      <w:r w:rsidRPr="001C445E">
        <w:rPr>
          <w:color w:val="auto"/>
        </w:rPr>
        <w:t xml:space="preserve">Con respecto al </w:t>
      </w:r>
      <w:r w:rsidRPr="001C445E">
        <w:rPr>
          <w:b/>
          <w:color w:val="auto"/>
        </w:rPr>
        <w:t>derecho a la propiedad privada</w:t>
      </w:r>
      <w:r w:rsidRPr="001C445E">
        <w:rPr>
          <w:color w:val="auto"/>
        </w:rPr>
        <w:t xml:space="preserve">, el Estado reconoció que la </w:t>
      </w:r>
      <w:r w:rsidR="00A23958" w:rsidRPr="001C445E">
        <w:rPr>
          <w:color w:val="auto"/>
        </w:rPr>
        <w:t>situación de incumplimiento de sentencia emitida a favor de la parte peticionaria le generó un detrimento patrimonial, sin embargo</w:t>
      </w:r>
      <w:r w:rsidR="00316EAF" w:rsidRPr="001C445E">
        <w:rPr>
          <w:color w:val="auto"/>
        </w:rPr>
        <w:t>,</w:t>
      </w:r>
      <w:r w:rsidR="00A23958" w:rsidRPr="001C445E">
        <w:rPr>
          <w:color w:val="auto"/>
        </w:rPr>
        <w:t xml:space="preserve"> expresó que </w:t>
      </w:r>
      <w:r w:rsidR="00B47025" w:rsidRPr="001C445E">
        <w:rPr>
          <w:color w:val="auto"/>
        </w:rPr>
        <w:t>ésta</w:t>
      </w:r>
      <w:r w:rsidR="00A23958" w:rsidRPr="001C445E">
        <w:rPr>
          <w:color w:val="auto"/>
        </w:rPr>
        <w:t xml:space="preserve"> no es una cuestión en la que deba analizarse el derecho a la propiedad privada, </w:t>
      </w:r>
      <w:r w:rsidR="00316EAF" w:rsidRPr="001C445E">
        <w:rPr>
          <w:color w:val="auto"/>
        </w:rPr>
        <w:t xml:space="preserve">tomando en cuenta que el concepto de propiedad no puede ampliarse de modo que comprenda una potencial indemnización o la posibilidad de obtener un fallo favorable en litigios referentes a sumas de dinero. </w:t>
      </w:r>
    </w:p>
    <w:p w14:paraId="44FB30F8" w14:textId="77777777" w:rsidR="00316EAF" w:rsidRPr="001C445E" w:rsidRDefault="00316EAF" w:rsidP="00316EAF">
      <w:pPr>
        <w:pStyle w:val="parrafos"/>
        <w:tabs>
          <w:tab w:val="left" w:pos="360"/>
        </w:tabs>
        <w:rPr>
          <w:color w:val="auto"/>
        </w:rPr>
      </w:pPr>
    </w:p>
    <w:p w14:paraId="4B0137C5" w14:textId="77777777" w:rsidR="00A23958" w:rsidRPr="001C445E" w:rsidRDefault="00316EAF" w:rsidP="00FA3A7A">
      <w:pPr>
        <w:pStyle w:val="parrafos"/>
        <w:numPr>
          <w:ilvl w:val="0"/>
          <w:numId w:val="3"/>
        </w:numPr>
        <w:tabs>
          <w:tab w:val="left" w:pos="360"/>
        </w:tabs>
        <w:ind w:left="0" w:firstLine="0"/>
        <w:rPr>
          <w:color w:val="auto"/>
        </w:rPr>
      </w:pPr>
      <w:r w:rsidRPr="001C445E">
        <w:rPr>
          <w:color w:val="auto"/>
        </w:rPr>
        <w:t>Asimismo, alegó que la peticionaria no demostró que haya sido lesionada en el uso, goce y disfrute de un bien que le pertenece o de un interés referente a un objeto sobre el que hubiere adquirido derechos legítimos conforme a la legislación interna, ni que el Estado lo haya despojado de esos derechos.</w:t>
      </w:r>
    </w:p>
    <w:p w14:paraId="1DA6542E" w14:textId="77777777" w:rsidR="00A23958" w:rsidRPr="001C445E" w:rsidRDefault="00A23958" w:rsidP="00091AA3">
      <w:pPr>
        <w:tabs>
          <w:tab w:val="left" w:pos="567"/>
          <w:tab w:val="left" w:pos="1440"/>
        </w:tabs>
        <w:spacing w:after="0" w:line="240" w:lineRule="auto"/>
        <w:jc w:val="both"/>
        <w:rPr>
          <w:rFonts w:ascii="Cambria" w:hAnsi="Cambria"/>
          <w:sz w:val="20"/>
          <w:szCs w:val="20"/>
          <w:lang w:val="es-VE"/>
        </w:rPr>
      </w:pPr>
    </w:p>
    <w:p w14:paraId="64F36696" w14:textId="77777777" w:rsidR="00E607F8" w:rsidRPr="001C445E" w:rsidRDefault="000A46BD" w:rsidP="00FA3A7A">
      <w:pPr>
        <w:pStyle w:val="Heading1"/>
        <w:numPr>
          <w:ilvl w:val="0"/>
          <w:numId w:val="2"/>
        </w:numPr>
        <w:tabs>
          <w:tab w:val="clear" w:pos="1440"/>
          <w:tab w:val="num" w:pos="360"/>
          <w:tab w:val="left" w:pos="1350"/>
        </w:tabs>
        <w:ind w:left="0" w:firstLine="0"/>
      </w:pPr>
      <w:bookmarkStart w:id="26" w:name="_Toc3453773"/>
      <w:bookmarkStart w:id="27" w:name="_Toc4075191"/>
      <w:bookmarkStart w:id="28" w:name="_Toc203125555"/>
      <w:r w:rsidRPr="001C445E">
        <w:t>DETERMINACIONES DE HECHO</w:t>
      </w:r>
      <w:bookmarkEnd w:id="26"/>
      <w:bookmarkEnd w:id="27"/>
      <w:bookmarkEnd w:id="28"/>
    </w:p>
    <w:p w14:paraId="3041E394" w14:textId="77777777" w:rsidR="00D87A4B" w:rsidRPr="001C445E" w:rsidRDefault="00D87A4B" w:rsidP="00E44EFC">
      <w:pPr>
        <w:tabs>
          <w:tab w:val="left" w:pos="567"/>
          <w:tab w:val="left" w:pos="1440"/>
        </w:tabs>
        <w:spacing w:after="0" w:line="240" w:lineRule="auto"/>
        <w:jc w:val="both"/>
        <w:rPr>
          <w:rFonts w:ascii="Cambria" w:hAnsi="Cambria"/>
          <w:sz w:val="20"/>
          <w:szCs w:val="20"/>
          <w:lang w:val="es-VE"/>
        </w:rPr>
      </w:pPr>
    </w:p>
    <w:p w14:paraId="452536CE" w14:textId="77777777" w:rsidR="00AE61CB" w:rsidRPr="001C445E" w:rsidRDefault="00FD69E2" w:rsidP="00AE61CB">
      <w:pPr>
        <w:pStyle w:val="Heading2"/>
        <w:numPr>
          <w:ilvl w:val="0"/>
          <w:numId w:val="5"/>
        </w:numPr>
        <w:tabs>
          <w:tab w:val="left" w:pos="360"/>
        </w:tabs>
        <w:ind w:left="0" w:firstLine="0"/>
      </w:pPr>
      <w:bookmarkStart w:id="29" w:name="_Toc203125556"/>
      <w:r w:rsidRPr="001C445E">
        <w:t>Marco jurídico relevante</w:t>
      </w:r>
      <w:bookmarkEnd w:id="29"/>
      <w:r w:rsidRPr="001C445E">
        <w:t xml:space="preserve"> </w:t>
      </w:r>
    </w:p>
    <w:p w14:paraId="722B00AE" w14:textId="77777777" w:rsidR="00FD69E2" w:rsidRPr="001C445E" w:rsidRDefault="00FD69E2" w:rsidP="00FD69E2">
      <w:pPr>
        <w:pStyle w:val="parrafos"/>
        <w:tabs>
          <w:tab w:val="left" w:pos="360"/>
        </w:tabs>
        <w:rPr>
          <w:color w:val="auto"/>
        </w:rPr>
      </w:pPr>
    </w:p>
    <w:p w14:paraId="66E9B681" w14:textId="77777777" w:rsidR="00FD69E2" w:rsidRPr="001C445E" w:rsidRDefault="00FD69E2" w:rsidP="00D479FD">
      <w:pPr>
        <w:pStyle w:val="parrafos"/>
        <w:numPr>
          <w:ilvl w:val="0"/>
          <w:numId w:val="3"/>
        </w:numPr>
        <w:tabs>
          <w:tab w:val="left" w:pos="360"/>
        </w:tabs>
        <w:ind w:left="0" w:firstLine="0"/>
        <w:rPr>
          <w:color w:val="auto"/>
        </w:rPr>
      </w:pPr>
      <w:r w:rsidRPr="001C445E">
        <w:rPr>
          <w:color w:val="auto"/>
        </w:rPr>
        <w:t>La Comisión toma nota que el presente caso se relaciona con</w:t>
      </w:r>
      <w:r w:rsidR="00E554BD" w:rsidRPr="001C445E">
        <w:rPr>
          <w:color w:val="auto"/>
        </w:rPr>
        <w:t xml:space="preserve"> la ejecución de un fallo a favor de la presunta víctima contra la Embajada de Australia en Argentina. Al respecto, resultan relevantes las normas relacionadas con los privilegios e inmunidades de las </w:t>
      </w:r>
      <w:r w:rsidRPr="001C445E">
        <w:rPr>
          <w:color w:val="auto"/>
        </w:rPr>
        <w:t xml:space="preserve">misiones diplomáticas extranjeras </w:t>
      </w:r>
      <w:r w:rsidR="00754C57" w:rsidRPr="001C445E">
        <w:rPr>
          <w:color w:val="auto"/>
        </w:rPr>
        <w:t xml:space="preserve">en territorio del Estado receptor </w:t>
      </w:r>
      <w:r w:rsidR="004D4BCE" w:rsidRPr="001C445E">
        <w:rPr>
          <w:color w:val="auto"/>
        </w:rPr>
        <w:t>que están prevista</w:t>
      </w:r>
      <w:r w:rsidRPr="001C445E">
        <w:rPr>
          <w:color w:val="auto"/>
        </w:rPr>
        <w:t>s en la Convención de Viena sobre Relaciones Diplom</w:t>
      </w:r>
      <w:r w:rsidR="00754C57" w:rsidRPr="001C445E">
        <w:rPr>
          <w:color w:val="auto"/>
        </w:rPr>
        <w:t xml:space="preserve">áticas. </w:t>
      </w:r>
      <w:r w:rsidR="004D4BCE" w:rsidRPr="001C445E">
        <w:rPr>
          <w:color w:val="auto"/>
        </w:rPr>
        <w:t>Dicha norma, establece</w:t>
      </w:r>
      <w:r w:rsidRPr="001C445E">
        <w:rPr>
          <w:color w:val="auto"/>
        </w:rPr>
        <w:t xml:space="preserve"> en lo pertinente, lo siguiente:</w:t>
      </w:r>
    </w:p>
    <w:p w14:paraId="42C6D796" w14:textId="77777777" w:rsidR="00316EAF" w:rsidRPr="001C445E" w:rsidRDefault="00316EAF" w:rsidP="00316EAF">
      <w:pPr>
        <w:pStyle w:val="parrafos"/>
        <w:tabs>
          <w:tab w:val="left" w:pos="360"/>
        </w:tabs>
        <w:rPr>
          <w:color w:val="auto"/>
        </w:rPr>
      </w:pPr>
    </w:p>
    <w:p w14:paraId="47783B76" w14:textId="77777777" w:rsidR="002F4292" w:rsidRPr="001C445E" w:rsidRDefault="002F4292" w:rsidP="002F4292">
      <w:pPr>
        <w:pStyle w:val="parrafos"/>
        <w:tabs>
          <w:tab w:val="left" w:pos="360"/>
        </w:tabs>
        <w:rPr>
          <w:color w:val="auto"/>
        </w:rPr>
      </w:pPr>
      <w:r w:rsidRPr="001C445E">
        <w:rPr>
          <w:color w:val="auto"/>
        </w:rPr>
        <w:tab/>
        <w:t>Artículo 1:</w:t>
      </w:r>
    </w:p>
    <w:p w14:paraId="6E1831B3" w14:textId="77777777" w:rsidR="002F4292" w:rsidRPr="00DE1DBF" w:rsidRDefault="002F4292" w:rsidP="002F4292">
      <w:pPr>
        <w:pStyle w:val="parrafos"/>
        <w:tabs>
          <w:tab w:val="left" w:pos="360"/>
        </w:tabs>
        <w:rPr>
          <w:color w:val="auto"/>
          <w:sz w:val="10"/>
          <w:szCs w:val="10"/>
        </w:rPr>
      </w:pPr>
    </w:p>
    <w:p w14:paraId="023C0E3D" w14:textId="77777777" w:rsidR="002F4292" w:rsidRPr="001C445E" w:rsidRDefault="002F4292" w:rsidP="002F4292">
      <w:pPr>
        <w:pStyle w:val="parrafos"/>
        <w:tabs>
          <w:tab w:val="left" w:pos="360"/>
        </w:tabs>
        <w:rPr>
          <w:rFonts w:eastAsia="Times New Roman"/>
          <w:color w:val="auto"/>
        </w:rPr>
      </w:pPr>
      <w:r w:rsidRPr="001C445E">
        <w:rPr>
          <w:color w:val="auto"/>
        </w:rPr>
        <w:tab/>
      </w:r>
      <w:r w:rsidRPr="001C445E">
        <w:rPr>
          <w:rFonts w:eastAsia="Times New Roman"/>
          <w:color w:val="auto"/>
        </w:rPr>
        <w:t>A los efectos de la presente Convención:</w:t>
      </w:r>
    </w:p>
    <w:p w14:paraId="54E11D2A" w14:textId="77777777" w:rsidR="002F4292" w:rsidRPr="001C445E" w:rsidRDefault="002F4292" w:rsidP="002F4292">
      <w:pPr>
        <w:pStyle w:val="parrafos"/>
        <w:tabs>
          <w:tab w:val="left" w:pos="360"/>
        </w:tabs>
        <w:ind w:left="360"/>
        <w:rPr>
          <w:rFonts w:eastAsia="Times New Roman"/>
          <w:color w:val="auto"/>
        </w:rPr>
      </w:pPr>
    </w:p>
    <w:p w14:paraId="281211DC" w14:textId="77777777" w:rsidR="002F4292" w:rsidRPr="001C445E" w:rsidRDefault="00AC478C" w:rsidP="002F4292">
      <w:pPr>
        <w:pStyle w:val="parrafos"/>
        <w:tabs>
          <w:tab w:val="left" w:pos="360"/>
        </w:tabs>
        <w:ind w:left="360"/>
        <w:rPr>
          <w:color w:val="auto"/>
          <w:sz w:val="18"/>
        </w:rPr>
      </w:pPr>
      <w:r w:rsidRPr="001C445E">
        <w:rPr>
          <w:rFonts w:eastAsia="Times New Roman"/>
          <w:color w:val="auto"/>
          <w:sz w:val="18"/>
        </w:rPr>
        <w:t xml:space="preserve">(…) </w:t>
      </w:r>
      <w:r w:rsidR="002F4292" w:rsidRPr="001C445E">
        <w:rPr>
          <w:rFonts w:eastAsia="Times New Roman"/>
          <w:color w:val="auto"/>
          <w:sz w:val="18"/>
        </w:rPr>
        <w:t>i. por "locales de la misión", se entiende los edificios o las partes de los edificios, sea cual fuere su propietario, utilizados para las finalidades de la misión, incluyendo la residencia del jefe de la misión, así como el terreno destinado al servicio de esos edificios o de parte de ellos.</w:t>
      </w:r>
    </w:p>
    <w:p w14:paraId="31126E5D" w14:textId="77777777" w:rsidR="002F4292" w:rsidRPr="001C445E" w:rsidRDefault="002F4292" w:rsidP="00DE1DBF">
      <w:pPr>
        <w:pStyle w:val="parrafos"/>
        <w:tabs>
          <w:tab w:val="left" w:pos="360"/>
        </w:tabs>
        <w:rPr>
          <w:color w:val="auto"/>
        </w:rPr>
      </w:pPr>
    </w:p>
    <w:p w14:paraId="076E5B45" w14:textId="77777777" w:rsidR="00316EAF" w:rsidRPr="001C445E" w:rsidRDefault="00316EAF" w:rsidP="00DE1DBF">
      <w:pPr>
        <w:pStyle w:val="parrafos"/>
        <w:tabs>
          <w:tab w:val="left" w:pos="360"/>
        </w:tabs>
        <w:rPr>
          <w:color w:val="auto"/>
          <w:sz w:val="18"/>
        </w:rPr>
      </w:pPr>
      <w:r w:rsidRPr="001C445E">
        <w:rPr>
          <w:color w:val="auto"/>
          <w:sz w:val="18"/>
        </w:rPr>
        <w:tab/>
        <w:t>Artículo 22:</w:t>
      </w:r>
    </w:p>
    <w:p w14:paraId="15F5EAA3" w14:textId="77777777" w:rsidR="00316EAF" w:rsidRPr="001C445E" w:rsidRDefault="00316EAF" w:rsidP="00DE1DBF">
      <w:pPr>
        <w:spacing w:after="0" w:line="240" w:lineRule="auto"/>
        <w:ind w:left="360"/>
        <w:jc w:val="both"/>
        <w:rPr>
          <w:rFonts w:ascii="Cambria" w:eastAsia="Times New Roman" w:hAnsi="Cambria"/>
          <w:sz w:val="18"/>
          <w:szCs w:val="20"/>
          <w:lang w:val="es-VE"/>
        </w:rPr>
      </w:pPr>
      <w:r w:rsidRPr="001C445E">
        <w:rPr>
          <w:rFonts w:ascii="Cambria" w:eastAsia="Times New Roman" w:hAnsi="Cambria" w:cs="Arial"/>
          <w:sz w:val="18"/>
          <w:szCs w:val="20"/>
          <w:lang w:val="es-VE"/>
        </w:rPr>
        <w:t>1. Los locales de la misión son inviolables. Los agentes del Estado receptor no podrán penetrar en ellos sin consentimiento del jefe de la misión.</w:t>
      </w:r>
    </w:p>
    <w:p w14:paraId="2BCC62BF" w14:textId="77777777" w:rsidR="008838A9" w:rsidRPr="001C445E" w:rsidRDefault="00316EAF" w:rsidP="00DE1DBF">
      <w:pPr>
        <w:spacing w:after="0" w:line="240" w:lineRule="auto"/>
        <w:ind w:left="360"/>
        <w:jc w:val="both"/>
        <w:rPr>
          <w:rFonts w:ascii="Cambria" w:eastAsia="Times New Roman" w:hAnsi="Cambria"/>
          <w:sz w:val="18"/>
          <w:szCs w:val="20"/>
          <w:lang w:val="es-VE"/>
        </w:rPr>
      </w:pPr>
      <w:r w:rsidRPr="001C445E">
        <w:rPr>
          <w:rFonts w:ascii="Cambria" w:eastAsia="Times New Roman" w:hAnsi="Cambria" w:cs="Arial"/>
          <w:sz w:val="18"/>
          <w:szCs w:val="20"/>
          <w:lang w:val="es-VE"/>
        </w:rPr>
        <w:t>2. El Estado receptor tiene la obligación especial de adoptar todas las medidas adecuadas para proteger los locales de la misión contra toda intrusión o daño y evitar que se turbe la tranquilidad de la misión o se atente contra su dignidad.</w:t>
      </w:r>
    </w:p>
    <w:p w14:paraId="11721E86" w14:textId="77777777" w:rsidR="008838A9" w:rsidRPr="001C445E" w:rsidRDefault="00316EAF" w:rsidP="00DE1DBF">
      <w:pPr>
        <w:spacing w:after="0" w:line="240" w:lineRule="auto"/>
        <w:ind w:left="360"/>
        <w:jc w:val="both"/>
        <w:rPr>
          <w:rFonts w:ascii="Cambria" w:eastAsia="Times New Roman" w:hAnsi="Cambria"/>
          <w:sz w:val="18"/>
          <w:szCs w:val="20"/>
          <w:lang w:val="es-VE"/>
        </w:rPr>
      </w:pPr>
      <w:r w:rsidRPr="001C445E">
        <w:rPr>
          <w:rFonts w:ascii="Cambria" w:eastAsia="Times New Roman" w:hAnsi="Cambria" w:cs="Arial"/>
          <w:sz w:val="18"/>
          <w:szCs w:val="20"/>
          <w:lang w:val="es-VE"/>
        </w:rPr>
        <w:t>3. Los locales de la misión, su mobiliario y demás bienes situados en ellos, así como los medios de transporte de la misión, no podrán ser objeto de ningún registro, requisa, embargo o medida de ejecución.</w:t>
      </w:r>
    </w:p>
    <w:p w14:paraId="74B3AC1D" w14:textId="77777777" w:rsidR="008838A9" w:rsidRPr="001C445E" w:rsidRDefault="00143DE9" w:rsidP="00DE1DBF">
      <w:pPr>
        <w:spacing w:after="0" w:line="240" w:lineRule="auto"/>
        <w:ind w:firstLine="360"/>
        <w:jc w:val="both"/>
        <w:rPr>
          <w:rFonts w:ascii="Cambria" w:eastAsia="Times New Roman" w:hAnsi="Cambria" w:cs="Arial"/>
          <w:bCs/>
          <w:sz w:val="18"/>
          <w:szCs w:val="20"/>
          <w:lang w:val="es-VE"/>
        </w:rPr>
      </w:pPr>
      <w:r w:rsidRPr="001C445E">
        <w:rPr>
          <w:rFonts w:ascii="Cambria" w:eastAsia="Times New Roman" w:hAnsi="Cambria" w:cs="Arial"/>
          <w:bCs/>
          <w:sz w:val="18"/>
          <w:szCs w:val="20"/>
          <w:lang w:val="es-VE"/>
        </w:rPr>
        <w:t xml:space="preserve">Artículo 41: </w:t>
      </w:r>
    </w:p>
    <w:p w14:paraId="734D7299" w14:textId="77777777" w:rsidR="00143DE9" w:rsidRPr="001C445E" w:rsidRDefault="00143DE9" w:rsidP="00DE1DBF">
      <w:pPr>
        <w:spacing w:after="0" w:line="240" w:lineRule="auto"/>
        <w:ind w:left="360"/>
        <w:jc w:val="both"/>
        <w:rPr>
          <w:rFonts w:ascii="Cambria" w:eastAsia="Times New Roman" w:hAnsi="Cambria"/>
          <w:sz w:val="18"/>
          <w:szCs w:val="20"/>
          <w:lang w:val="es-VE"/>
        </w:rPr>
      </w:pPr>
      <w:r w:rsidRPr="001C445E">
        <w:rPr>
          <w:rFonts w:ascii="Cambria" w:eastAsia="Times New Roman" w:hAnsi="Cambria" w:cs="Arial"/>
          <w:sz w:val="18"/>
          <w:szCs w:val="20"/>
          <w:lang w:val="es-VE"/>
        </w:rPr>
        <w:t>1. Sin perjuicio de sus privilegios e inmunidades, todas las personas que gocen de esos privilegios e inmunidades deberán respetar las leyes y reglamentos del Estado receptor. También están obligados a no inmiscuirse en los asuntos internos de ese Estado.</w:t>
      </w:r>
    </w:p>
    <w:p w14:paraId="2D9E81ED" w14:textId="77777777" w:rsidR="00143DE9" w:rsidRPr="001C445E" w:rsidRDefault="00143DE9" w:rsidP="00DE1DBF">
      <w:pPr>
        <w:spacing w:after="0" w:line="240" w:lineRule="auto"/>
        <w:ind w:left="360"/>
        <w:jc w:val="both"/>
        <w:rPr>
          <w:rFonts w:ascii="Cambria" w:eastAsia="Times New Roman" w:hAnsi="Cambria"/>
          <w:sz w:val="18"/>
          <w:szCs w:val="20"/>
          <w:lang w:val="es-VE"/>
        </w:rPr>
      </w:pPr>
      <w:r w:rsidRPr="001C445E">
        <w:rPr>
          <w:rFonts w:ascii="Cambria" w:eastAsia="Times New Roman" w:hAnsi="Cambria" w:cs="Arial"/>
          <w:sz w:val="18"/>
          <w:szCs w:val="20"/>
          <w:lang w:val="es-VE"/>
        </w:rPr>
        <w:t>2. Todos los asuntos oficiales de que la misión esté encargada por el Estado acreditante han de ser tratados con el Ministerio de Relaciones Exteriores del Estado receptor por conducto de él, o con el Ministerio que se haya convenido.</w:t>
      </w:r>
    </w:p>
    <w:p w14:paraId="2AD2F1D6" w14:textId="77777777" w:rsidR="00F65796" w:rsidRDefault="00143DE9" w:rsidP="00DE1DBF">
      <w:pPr>
        <w:spacing w:after="0" w:line="240" w:lineRule="auto"/>
        <w:ind w:left="360"/>
        <w:jc w:val="both"/>
        <w:rPr>
          <w:rFonts w:ascii="Cambria" w:eastAsia="Times New Roman" w:hAnsi="Cambria" w:cs="Arial"/>
          <w:sz w:val="18"/>
          <w:szCs w:val="20"/>
          <w:lang w:val="es-VE"/>
        </w:rPr>
      </w:pPr>
      <w:r w:rsidRPr="001C445E">
        <w:rPr>
          <w:rFonts w:ascii="Cambria" w:eastAsia="Times New Roman" w:hAnsi="Cambria" w:cs="Arial"/>
          <w:sz w:val="18"/>
          <w:szCs w:val="20"/>
          <w:lang w:val="es-VE"/>
        </w:rPr>
        <w:lastRenderedPageBreak/>
        <w:t>3. Los locales de la misión no deben ser utilizados de manera incompatible con las funciones de la misión tal como están enunciadas en la presente Convención, en otras normas del derecho internacional general o en los acuerdos particulares que estén en vigor entre el Estado a</w:t>
      </w:r>
      <w:r w:rsidR="00D75A6C" w:rsidRPr="001C445E">
        <w:rPr>
          <w:rFonts w:ascii="Cambria" w:eastAsia="Times New Roman" w:hAnsi="Cambria" w:cs="Arial"/>
          <w:sz w:val="18"/>
          <w:szCs w:val="20"/>
          <w:lang w:val="es-VE"/>
        </w:rPr>
        <w:t>creditante y el Estado receptor</w:t>
      </w:r>
      <w:r w:rsidRPr="001C445E">
        <w:rPr>
          <w:rStyle w:val="FootnoteReference"/>
          <w:rFonts w:ascii="Cambria" w:eastAsia="Times New Roman" w:hAnsi="Cambria" w:cs="Arial"/>
          <w:sz w:val="20"/>
          <w:szCs w:val="20"/>
          <w:lang w:val="es-VE"/>
        </w:rPr>
        <w:footnoteReference w:id="4"/>
      </w:r>
      <w:r w:rsidR="00D75A6C" w:rsidRPr="001C445E">
        <w:rPr>
          <w:rFonts w:ascii="Cambria" w:eastAsia="Times New Roman" w:hAnsi="Cambria" w:cs="Arial"/>
          <w:sz w:val="18"/>
          <w:szCs w:val="20"/>
          <w:lang w:val="es-VE"/>
        </w:rPr>
        <w:t>.</w:t>
      </w:r>
    </w:p>
    <w:p w14:paraId="73F0E6D2" w14:textId="77777777" w:rsidR="00DE1DBF" w:rsidRPr="001C445E" w:rsidRDefault="00DE1DBF" w:rsidP="00DE1DBF">
      <w:pPr>
        <w:spacing w:after="0" w:line="240" w:lineRule="auto"/>
        <w:ind w:left="360"/>
        <w:jc w:val="both"/>
        <w:rPr>
          <w:rFonts w:ascii="Cambria" w:eastAsia="Times New Roman" w:hAnsi="Cambria" w:cs="Arial"/>
          <w:sz w:val="18"/>
          <w:szCs w:val="20"/>
          <w:lang w:val="es-VE"/>
        </w:rPr>
      </w:pPr>
    </w:p>
    <w:p w14:paraId="09C98D7C" w14:textId="77777777" w:rsidR="00792918" w:rsidRPr="001C445E" w:rsidRDefault="00792918" w:rsidP="000A0DF3">
      <w:pPr>
        <w:pStyle w:val="parrafos"/>
        <w:numPr>
          <w:ilvl w:val="0"/>
          <w:numId w:val="3"/>
        </w:numPr>
        <w:tabs>
          <w:tab w:val="left" w:pos="360"/>
        </w:tabs>
        <w:ind w:left="0" w:firstLine="0"/>
        <w:rPr>
          <w:color w:val="auto"/>
        </w:rPr>
      </w:pPr>
      <w:r w:rsidRPr="001C445E">
        <w:rPr>
          <w:color w:val="auto"/>
        </w:rPr>
        <w:t>En ese sentido, el Decreto-Ley N° 7.672 de 1963 reconoce la vigencia de la Convención de Viena sobre Relaciones Diplomáticas en la República Argentina en los siguientes términos:</w:t>
      </w:r>
    </w:p>
    <w:p w14:paraId="2DE403A5" w14:textId="77777777" w:rsidR="00792918" w:rsidRPr="001C445E" w:rsidRDefault="00792918" w:rsidP="00792918">
      <w:pPr>
        <w:pStyle w:val="parrafos"/>
        <w:rPr>
          <w:color w:val="auto"/>
        </w:rPr>
      </w:pPr>
    </w:p>
    <w:p w14:paraId="1D85B193" w14:textId="6E340C09" w:rsidR="00792918" w:rsidRPr="001C445E" w:rsidRDefault="00792918" w:rsidP="00DE1DBF">
      <w:pPr>
        <w:pStyle w:val="parrafos"/>
        <w:ind w:firstLine="315"/>
        <w:rPr>
          <w:color w:val="auto"/>
          <w:sz w:val="18"/>
          <w:szCs w:val="18"/>
        </w:rPr>
      </w:pPr>
      <w:r w:rsidRPr="001C445E">
        <w:rPr>
          <w:color w:val="auto"/>
          <w:sz w:val="18"/>
          <w:szCs w:val="18"/>
        </w:rPr>
        <w:t>Artículo 5:</w:t>
      </w:r>
    </w:p>
    <w:p w14:paraId="65CE65C9" w14:textId="77777777" w:rsidR="00792918" w:rsidRPr="001C445E" w:rsidRDefault="00792918" w:rsidP="00792918">
      <w:pPr>
        <w:pStyle w:val="parrafos"/>
        <w:ind w:left="315"/>
        <w:rPr>
          <w:color w:val="auto"/>
          <w:sz w:val="18"/>
          <w:szCs w:val="18"/>
        </w:rPr>
      </w:pPr>
      <w:r w:rsidRPr="001C445E">
        <w:rPr>
          <w:color w:val="auto"/>
          <w:sz w:val="18"/>
          <w:szCs w:val="18"/>
        </w:rPr>
        <w:t>Apruébase la Convención de Viena sobre Relaciones Diplomáticas, adoptada por la conferencia de las Naciones Unidas sobre Relaciones e Inmunidades Diplomáticas en Viena el 18 de abril de 1961 y suscrita por la República Argentina en esa misma fecha (…)</w:t>
      </w:r>
      <w:r w:rsidRPr="001C445E">
        <w:rPr>
          <w:rStyle w:val="FootnoteReference"/>
          <w:rFonts w:ascii="Cambria" w:hAnsi="Cambria"/>
          <w:color w:val="auto"/>
          <w:sz w:val="20"/>
        </w:rPr>
        <w:footnoteReference w:id="5"/>
      </w:r>
      <w:r w:rsidR="006853F7" w:rsidRPr="001C445E">
        <w:rPr>
          <w:color w:val="auto"/>
          <w:sz w:val="18"/>
          <w:szCs w:val="18"/>
        </w:rPr>
        <w:t>.</w:t>
      </w:r>
    </w:p>
    <w:p w14:paraId="49E398E2" w14:textId="77777777" w:rsidR="00792918" w:rsidRPr="001C445E" w:rsidRDefault="00792918" w:rsidP="00792918">
      <w:pPr>
        <w:pStyle w:val="parrafos"/>
        <w:rPr>
          <w:color w:val="auto"/>
          <w:sz w:val="18"/>
          <w:szCs w:val="18"/>
        </w:rPr>
      </w:pPr>
    </w:p>
    <w:p w14:paraId="3069D158" w14:textId="77777777" w:rsidR="000A0DF3" w:rsidRPr="001C445E" w:rsidRDefault="000A0DF3" w:rsidP="000A0DF3">
      <w:pPr>
        <w:pStyle w:val="parrafos"/>
        <w:numPr>
          <w:ilvl w:val="0"/>
          <w:numId w:val="3"/>
        </w:numPr>
        <w:tabs>
          <w:tab w:val="left" w:pos="360"/>
        </w:tabs>
        <w:ind w:left="0" w:firstLine="0"/>
        <w:rPr>
          <w:color w:val="auto"/>
        </w:rPr>
      </w:pPr>
      <w:r w:rsidRPr="001C445E">
        <w:rPr>
          <w:color w:val="auto"/>
        </w:rPr>
        <w:t xml:space="preserve">Por otra parte, </w:t>
      </w:r>
      <w:r w:rsidR="008838A9" w:rsidRPr="001C445E">
        <w:rPr>
          <w:color w:val="auto"/>
        </w:rPr>
        <w:t xml:space="preserve">la Ley 24.448 sobre Inmunidad Jurisdiccional de los Estados de la República </w:t>
      </w:r>
      <w:r w:rsidRPr="001C445E">
        <w:rPr>
          <w:color w:val="auto"/>
        </w:rPr>
        <w:t>Argentina establecía con respecto a la inmunidad de jurisdicción que:</w:t>
      </w:r>
    </w:p>
    <w:p w14:paraId="16287F21" w14:textId="77777777" w:rsidR="008838A9" w:rsidRPr="001C445E" w:rsidRDefault="008838A9" w:rsidP="008838A9">
      <w:pPr>
        <w:pStyle w:val="parrafos"/>
        <w:tabs>
          <w:tab w:val="left" w:pos="360"/>
        </w:tabs>
        <w:rPr>
          <w:color w:val="auto"/>
          <w:sz w:val="18"/>
          <w:szCs w:val="18"/>
        </w:rPr>
      </w:pPr>
    </w:p>
    <w:p w14:paraId="2F038D1F" w14:textId="77777777" w:rsidR="008838A9" w:rsidRPr="001C445E" w:rsidRDefault="008838A9" w:rsidP="008838A9">
      <w:pPr>
        <w:pStyle w:val="parrafos"/>
        <w:tabs>
          <w:tab w:val="left" w:pos="360"/>
        </w:tabs>
        <w:rPr>
          <w:color w:val="auto"/>
          <w:sz w:val="18"/>
          <w:szCs w:val="18"/>
        </w:rPr>
      </w:pPr>
      <w:r w:rsidRPr="001C445E">
        <w:rPr>
          <w:color w:val="auto"/>
          <w:sz w:val="18"/>
          <w:szCs w:val="18"/>
        </w:rPr>
        <w:tab/>
        <w:t>Artículo 2:</w:t>
      </w:r>
    </w:p>
    <w:p w14:paraId="736AEC92" w14:textId="77777777" w:rsidR="00DE1DBF" w:rsidRDefault="00DE1DBF" w:rsidP="008838A9">
      <w:pPr>
        <w:pStyle w:val="parrafos"/>
        <w:tabs>
          <w:tab w:val="left" w:pos="360"/>
        </w:tabs>
        <w:rPr>
          <w:color w:val="auto"/>
          <w:sz w:val="18"/>
          <w:szCs w:val="18"/>
        </w:rPr>
      </w:pPr>
    </w:p>
    <w:p w14:paraId="089E20E0" w14:textId="5DBE951A" w:rsidR="008838A9" w:rsidRPr="001C445E" w:rsidRDefault="008838A9" w:rsidP="008838A9">
      <w:pPr>
        <w:pStyle w:val="parrafos"/>
        <w:tabs>
          <w:tab w:val="left" w:pos="360"/>
        </w:tabs>
        <w:rPr>
          <w:rFonts w:eastAsia="Times New Roman"/>
          <w:color w:val="auto"/>
          <w:sz w:val="18"/>
          <w:szCs w:val="18"/>
        </w:rPr>
      </w:pPr>
      <w:r w:rsidRPr="001C445E">
        <w:rPr>
          <w:color w:val="auto"/>
          <w:sz w:val="18"/>
          <w:szCs w:val="18"/>
        </w:rPr>
        <w:tab/>
      </w:r>
      <w:r w:rsidRPr="001C445E">
        <w:rPr>
          <w:rFonts w:eastAsia="Times New Roman"/>
          <w:color w:val="auto"/>
          <w:sz w:val="18"/>
          <w:szCs w:val="18"/>
        </w:rPr>
        <w:t>Los Estados extranjeros no podrán invocar inmunidad de jurisdicción en los siguientes casos:</w:t>
      </w:r>
    </w:p>
    <w:p w14:paraId="384BA73E" w14:textId="77777777" w:rsidR="008838A9" w:rsidRPr="001C445E" w:rsidRDefault="008838A9" w:rsidP="008838A9">
      <w:pPr>
        <w:pStyle w:val="parrafos"/>
        <w:tabs>
          <w:tab w:val="left" w:pos="360"/>
        </w:tabs>
        <w:rPr>
          <w:rFonts w:eastAsia="Times New Roman"/>
          <w:color w:val="auto"/>
          <w:sz w:val="18"/>
          <w:szCs w:val="18"/>
        </w:rPr>
      </w:pPr>
    </w:p>
    <w:p w14:paraId="0196E1ED" w14:textId="77777777" w:rsidR="008838A9" w:rsidRDefault="008838A9" w:rsidP="00DE1DBF">
      <w:pPr>
        <w:pStyle w:val="parrafos"/>
        <w:tabs>
          <w:tab w:val="left" w:pos="360"/>
        </w:tabs>
        <w:ind w:left="360" w:right="630"/>
        <w:rPr>
          <w:rFonts w:eastAsia="Times New Roman"/>
          <w:color w:val="auto"/>
          <w:sz w:val="18"/>
          <w:szCs w:val="18"/>
        </w:rPr>
      </w:pPr>
      <w:r w:rsidRPr="001C445E">
        <w:rPr>
          <w:rFonts w:eastAsia="Times New Roman"/>
          <w:color w:val="auto"/>
          <w:sz w:val="18"/>
          <w:szCs w:val="18"/>
        </w:rPr>
        <w:t>a) Cuando consientan expresamente a través de un tratado internacional, de un contrato escrito o de una declaración en un caso determinado, que los tribunales argentinos ejerzan jurisdicción sobre ellos;</w:t>
      </w:r>
    </w:p>
    <w:p w14:paraId="6FDE0F37" w14:textId="77777777" w:rsidR="008838A9" w:rsidRPr="001C445E" w:rsidRDefault="008838A9" w:rsidP="00DE1DBF">
      <w:pPr>
        <w:spacing w:after="0" w:line="240" w:lineRule="auto"/>
        <w:ind w:left="360" w:right="600"/>
        <w:jc w:val="both"/>
        <w:rPr>
          <w:rFonts w:ascii="Cambria" w:eastAsia="Times New Roman" w:hAnsi="Cambria"/>
          <w:sz w:val="18"/>
          <w:szCs w:val="18"/>
          <w:lang w:val="es-VE"/>
        </w:rPr>
      </w:pPr>
      <w:r w:rsidRPr="001C445E">
        <w:rPr>
          <w:rFonts w:ascii="Cambria" w:eastAsia="Times New Roman" w:hAnsi="Cambria"/>
          <w:sz w:val="18"/>
          <w:szCs w:val="18"/>
          <w:lang w:val="es-VE"/>
        </w:rPr>
        <w:t>b) Cuando fuere objeto de una reconvención directamente ligada a la demanda principal que el Estado extranjero hubiere iniciado;</w:t>
      </w:r>
    </w:p>
    <w:p w14:paraId="7BB60884" w14:textId="3F14D83F" w:rsidR="008838A9" w:rsidRPr="001C445E" w:rsidRDefault="008838A9" w:rsidP="00DE1DBF">
      <w:pPr>
        <w:spacing w:after="0" w:line="240" w:lineRule="auto"/>
        <w:ind w:left="360" w:right="600"/>
        <w:jc w:val="both"/>
        <w:rPr>
          <w:rFonts w:ascii="Cambria" w:eastAsia="Times New Roman" w:hAnsi="Cambria"/>
          <w:sz w:val="18"/>
          <w:szCs w:val="18"/>
          <w:lang w:val="es-VE"/>
        </w:rPr>
      </w:pPr>
      <w:r w:rsidRPr="001C445E">
        <w:rPr>
          <w:rFonts w:ascii="Cambria" w:eastAsia="Times New Roman" w:hAnsi="Cambria"/>
          <w:sz w:val="18"/>
          <w:szCs w:val="18"/>
          <w:lang w:val="es-VE"/>
        </w:rPr>
        <w:t>c) Cuando la demanda versare sobre una actividad comercial o industrial llevada a cabo por el Estado extranjero y la jurisdicción de los tribunales argentinos surgiere del contrato invocado o del derecho internacional;</w:t>
      </w:r>
    </w:p>
    <w:p w14:paraId="2A490BF0" w14:textId="53BA0F40" w:rsidR="008838A9" w:rsidRPr="001C445E" w:rsidRDefault="008838A9" w:rsidP="00DE1DBF">
      <w:pPr>
        <w:spacing w:after="0" w:line="240" w:lineRule="auto"/>
        <w:ind w:left="360" w:right="600"/>
        <w:jc w:val="both"/>
        <w:rPr>
          <w:rFonts w:ascii="Cambria" w:eastAsia="Times New Roman" w:hAnsi="Cambria"/>
          <w:sz w:val="18"/>
          <w:szCs w:val="18"/>
          <w:lang w:val="es-VE"/>
        </w:rPr>
      </w:pPr>
      <w:r w:rsidRPr="001C445E">
        <w:rPr>
          <w:rFonts w:ascii="Cambria" w:eastAsia="Times New Roman" w:hAnsi="Cambria"/>
          <w:sz w:val="18"/>
          <w:szCs w:val="18"/>
          <w:lang w:val="es-VE"/>
        </w:rPr>
        <w:t>d) Cuando fueren demandados por cuestiones laborales, por nacionales argentinos o residentes en el país, derivadas de contratos celebrados en la República Argentina o en el exterior y que causaren efectos en el territorio nacional;</w:t>
      </w:r>
    </w:p>
    <w:p w14:paraId="0410B806" w14:textId="13FAA2F3" w:rsidR="008838A9" w:rsidRPr="001C445E" w:rsidRDefault="008838A9" w:rsidP="00DE1DBF">
      <w:pPr>
        <w:spacing w:after="0" w:line="240" w:lineRule="auto"/>
        <w:ind w:left="360" w:right="600"/>
        <w:jc w:val="both"/>
        <w:rPr>
          <w:rFonts w:ascii="Cambria" w:eastAsia="Times New Roman" w:hAnsi="Cambria"/>
          <w:sz w:val="18"/>
          <w:szCs w:val="18"/>
          <w:lang w:val="es-VE"/>
        </w:rPr>
      </w:pPr>
      <w:r w:rsidRPr="001C445E">
        <w:rPr>
          <w:rFonts w:ascii="Cambria" w:eastAsia="Times New Roman" w:hAnsi="Cambria"/>
          <w:sz w:val="18"/>
          <w:szCs w:val="18"/>
          <w:lang w:val="es-VE"/>
        </w:rPr>
        <w:t>e) Cuando fueren demandados por daños y perjuicios derivados de delitos o cuasidelitos cometidos en el territorio;</w:t>
      </w:r>
    </w:p>
    <w:p w14:paraId="20E55F7D" w14:textId="6072B919" w:rsidR="008838A9" w:rsidRPr="001C445E" w:rsidRDefault="008838A9" w:rsidP="00DE1DBF">
      <w:pPr>
        <w:spacing w:after="0" w:line="240" w:lineRule="auto"/>
        <w:ind w:right="600" w:firstLine="360"/>
        <w:jc w:val="both"/>
        <w:rPr>
          <w:rFonts w:ascii="Cambria" w:eastAsia="Times New Roman" w:hAnsi="Cambria"/>
          <w:sz w:val="18"/>
          <w:szCs w:val="18"/>
          <w:lang w:val="es-VE"/>
        </w:rPr>
      </w:pPr>
      <w:r w:rsidRPr="001C445E">
        <w:rPr>
          <w:rFonts w:ascii="Cambria" w:eastAsia="Times New Roman" w:hAnsi="Cambria"/>
          <w:sz w:val="18"/>
          <w:szCs w:val="18"/>
          <w:lang w:val="es-VE"/>
        </w:rPr>
        <w:t>f) Cuando se tratare de acciones sobre bienes inmuebles que se encuentren en territorio nacional;</w:t>
      </w:r>
    </w:p>
    <w:p w14:paraId="4A0C4AEB" w14:textId="5E499C0C" w:rsidR="008838A9" w:rsidRPr="001C445E" w:rsidRDefault="008838A9" w:rsidP="00DE1DBF">
      <w:pPr>
        <w:spacing w:after="0" w:line="240" w:lineRule="auto"/>
        <w:ind w:left="360" w:right="600"/>
        <w:jc w:val="both"/>
        <w:rPr>
          <w:rFonts w:ascii="Cambria" w:eastAsia="Times New Roman" w:hAnsi="Cambria"/>
          <w:sz w:val="18"/>
          <w:szCs w:val="18"/>
          <w:lang w:val="es-VE"/>
        </w:rPr>
      </w:pPr>
      <w:r w:rsidRPr="001C445E">
        <w:rPr>
          <w:rFonts w:ascii="Cambria" w:eastAsia="Times New Roman" w:hAnsi="Cambria"/>
          <w:sz w:val="18"/>
          <w:szCs w:val="18"/>
          <w:lang w:val="es-VE"/>
        </w:rPr>
        <w:t>g) Cuando se tratare de acciones basadas en la calidad del Estado extranjero como heredero o legatario de bienes que se encuentren en el territorio nacional;</w:t>
      </w:r>
    </w:p>
    <w:p w14:paraId="5DDDC2A9" w14:textId="60D416C2" w:rsidR="000A0DF3" w:rsidRDefault="008838A9" w:rsidP="00DE1DBF">
      <w:pPr>
        <w:spacing w:after="0" w:line="240" w:lineRule="auto"/>
        <w:ind w:left="360" w:right="600"/>
        <w:jc w:val="both"/>
        <w:rPr>
          <w:rFonts w:ascii="Cambria" w:eastAsia="Times New Roman" w:hAnsi="Cambria"/>
          <w:sz w:val="18"/>
          <w:szCs w:val="18"/>
          <w:lang w:val="es-VE"/>
        </w:rPr>
      </w:pPr>
      <w:r w:rsidRPr="001C445E">
        <w:rPr>
          <w:rFonts w:ascii="Cambria" w:eastAsia="Times New Roman" w:hAnsi="Cambria"/>
          <w:sz w:val="18"/>
          <w:szCs w:val="18"/>
          <w:lang w:val="es-VE"/>
        </w:rPr>
        <w:t>h) Cuando, habiendo acordado por escrito someter a arbitraje todo litigio relacionado con una transacción mercantil, pretendiere invocar la inmunidad de jurisdicción de los tribunales argentinos en un procedimiento relativo a la validez o la interpretación del convenio arbitral, del procedimiento arbitral o referida a la anulación del laudo, a menos que el convenio arbitral disponga lo contrario</w:t>
      </w:r>
      <w:r w:rsidRPr="001C445E">
        <w:rPr>
          <w:rStyle w:val="FootnoteReference"/>
          <w:rFonts w:ascii="Cambria" w:eastAsia="Times New Roman" w:hAnsi="Cambria"/>
          <w:sz w:val="20"/>
          <w:szCs w:val="20"/>
          <w:lang w:val="es-VE"/>
        </w:rPr>
        <w:footnoteReference w:id="6"/>
      </w:r>
      <w:r w:rsidRPr="001C445E">
        <w:rPr>
          <w:rFonts w:ascii="Cambria" w:eastAsia="Times New Roman" w:hAnsi="Cambria"/>
          <w:sz w:val="18"/>
          <w:szCs w:val="18"/>
          <w:lang w:val="es-VE"/>
        </w:rPr>
        <w:t>.</w:t>
      </w:r>
    </w:p>
    <w:p w14:paraId="308F2F02" w14:textId="77777777" w:rsidR="00DE1DBF" w:rsidRPr="001C445E" w:rsidRDefault="00DE1DBF" w:rsidP="00DE1DBF">
      <w:pPr>
        <w:spacing w:after="0" w:line="240" w:lineRule="auto"/>
        <w:ind w:left="360" w:right="600"/>
        <w:jc w:val="both"/>
        <w:rPr>
          <w:rFonts w:ascii="Cambria" w:eastAsia="Times New Roman" w:hAnsi="Cambria"/>
          <w:sz w:val="18"/>
          <w:szCs w:val="18"/>
          <w:lang w:val="es-VE"/>
        </w:rPr>
      </w:pPr>
    </w:p>
    <w:p w14:paraId="2322DFD2" w14:textId="77777777" w:rsidR="00A1189A" w:rsidRPr="001C445E" w:rsidRDefault="00937110" w:rsidP="00FA3A7A">
      <w:pPr>
        <w:pStyle w:val="Heading2"/>
        <w:numPr>
          <w:ilvl w:val="0"/>
          <w:numId w:val="5"/>
        </w:numPr>
        <w:tabs>
          <w:tab w:val="left" w:pos="360"/>
        </w:tabs>
        <w:ind w:left="0" w:firstLine="0"/>
      </w:pPr>
      <w:bookmarkStart w:id="30" w:name="_Toc203125557"/>
      <w:r w:rsidRPr="001C445E">
        <w:t>D</w:t>
      </w:r>
      <w:r w:rsidR="000F3605" w:rsidRPr="001C445E">
        <w:t>emanda por despido injustificado</w:t>
      </w:r>
      <w:r w:rsidRPr="001C445E">
        <w:t xml:space="preserve"> y recurso de apelación</w:t>
      </w:r>
      <w:bookmarkEnd w:id="30"/>
      <w:r w:rsidRPr="001C445E">
        <w:t xml:space="preserve"> </w:t>
      </w:r>
    </w:p>
    <w:p w14:paraId="34B3F2EB" w14:textId="77777777" w:rsidR="00937110" w:rsidRPr="001C445E" w:rsidRDefault="00937110" w:rsidP="00937110">
      <w:pPr>
        <w:pStyle w:val="parrafos"/>
        <w:tabs>
          <w:tab w:val="left" w:pos="360"/>
        </w:tabs>
        <w:rPr>
          <w:color w:val="auto"/>
        </w:rPr>
      </w:pPr>
    </w:p>
    <w:p w14:paraId="09B615C6" w14:textId="5D44DC53" w:rsidR="00407DAF" w:rsidRPr="001C445E" w:rsidRDefault="00D75A6C" w:rsidP="00407DAF">
      <w:pPr>
        <w:pStyle w:val="parrafos"/>
        <w:numPr>
          <w:ilvl w:val="0"/>
          <w:numId w:val="3"/>
        </w:numPr>
        <w:tabs>
          <w:tab w:val="left" w:pos="360"/>
        </w:tabs>
        <w:ind w:left="0" w:firstLine="0"/>
        <w:rPr>
          <w:color w:val="auto"/>
        </w:rPr>
      </w:pPr>
      <w:r w:rsidRPr="001C445E">
        <w:rPr>
          <w:color w:val="auto"/>
        </w:rPr>
        <w:t xml:space="preserve">Según información disponible, la presunta víctima, </w:t>
      </w:r>
      <w:r w:rsidR="00407DAF" w:rsidRPr="001C445E">
        <w:rPr>
          <w:color w:val="auto"/>
        </w:rPr>
        <w:t>M</w:t>
      </w:r>
      <w:r w:rsidR="00A26718">
        <w:rPr>
          <w:color w:val="auto"/>
        </w:rPr>
        <w:t>.E.F.</w:t>
      </w:r>
      <w:r w:rsidR="00407DAF" w:rsidRPr="001C445E">
        <w:rPr>
          <w:color w:val="auto"/>
        </w:rPr>
        <w:t xml:space="preserve"> de profesión economista, prestó servicios dependientes para la Embajada de Australia en la R</w:t>
      </w:r>
      <w:r w:rsidR="006307F5" w:rsidRPr="001C445E">
        <w:rPr>
          <w:color w:val="auto"/>
        </w:rPr>
        <w:t xml:space="preserve">epública Argentina </w:t>
      </w:r>
      <w:r w:rsidRPr="001C445E">
        <w:rPr>
          <w:color w:val="auto"/>
        </w:rPr>
        <w:t xml:space="preserve">a partir del </w:t>
      </w:r>
      <w:r w:rsidR="00407DAF" w:rsidRPr="001C445E">
        <w:rPr>
          <w:color w:val="auto"/>
        </w:rPr>
        <w:t xml:space="preserve">1 de septiembre de 1988, realizando tareas de investigación, análisis y preparación </w:t>
      </w:r>
      <w:r w:rsidR="00071B18" w:rsidRPr="001C445E">
        <w:rPr>
          <w:color w:val="auto"/>
        </w:rPr>
        <w:t>d</w:t>
      </w:r>
      <w:r w:rsidR="00143DE9" w:rsidRPr="001C445E">
        <w:rPr>
          <w:color w:val="auto"/>
        </w:rPr>
        <w:t>e informes económicos</w:t>
      </w:r>
      <w:r w:rsidR="00143DE9" w:rsidRPr="001C445E">
        <w:rPr>
          <w:rStyle w:val="FootnoteReference"/>
          <w:rFonts w:ascii="Cambria" w:hAnsi="Cambria"/>
          <w:color w:val="auto"/>
          <w:sz w:val="20"/>
        </w:rPr>
        <w:footnoteReference w:id="7"/>
      </w:r>
      <w:r w:rsidR="00143DE9" w:rsidRPr="001C445E">
        <w:rPr>
          <w:color w:val="auto"/>
        </w:rPr>
        <w:t>.</w:t>
      </w:r>
      <w:r w:rsidR="00407DAF" w:rsidRPr="001C445E">
        <w:rPr>
          <w:color w:val="auto"/>
        </w:rPr>
        <w:t xml:space="preserve"> </w:t>
      </w:r>
    </w:p>
    <w:p w14:paraId="7D34F5C7" w14:textId="77777777" w:rsidR="00407DAF" w:rsidRPr="001C445E" w:rsidRDefault="00407DAF" w:rsidP="00407DAF">
      <w:pPr>
        <w:pStyle w:val="parrafos"/>
        <w:tabs>
          <w:tab w:val="left" w:pos="360"/>
        </w:tabs>
        <w:rPr>
          <w:color w:val="auto"/>
        </w:rPr>
      </w:pPr>
    </w:p>
    <w:p w14:paraId="48E680E8" w14:textId="77777777" w:rsidR="00407DAF" w:rsidRPr="001C445E" w:rsidRDefault="00937110" w:rsidP="00407DAF">
      <w:pPr>
        <w:pStyle w:val="parrafos"/>
        <w:numPr>
          <w:ilvl w:val="0"/>
          <w:numId w:val="3"/>
        </w:numPr>
        <w:tabs>
          <w:tab w:val="left" w:pos="360"/>
        </w:tabs>
        <w:ind w:left="0" w:firstLine="0"/>
        <w:rPr>
          <w:color w:val="auto"/>
        </w:rPr>
      </w:pPr>
      <w:r w:rsidRPr="001C445E">
        <w:rPr>
          <w:color w:val="auto"/>
        </w:rPr>
        <w:t>E</w:t>
      </w:r>
      <w:r w:rsidR="00D75A6C" w:rsidRPr="001C445E">
        <w:rPr>
          <w:color w:val="auto"/>
        </w:rPr>
        <w:t>l</w:t>
      </w:r>
      <w:r w:rsidRPr="001C445E">
        <w:rPr>
          <w:color w:val="auto"/>
        </w:rPr>
        <w:t xml:space="preserve"> 2 de mayo de 1997 fue notificada</w:t>
      </w:r>
      <w:r w:rsidR="006307F5" w:rsidRPr="001C445E">
        <w:rPr>
          <w:color w:val="auto"/>
        </w:rPr>
        <w:t xml:space="preserve"> de su despido </w:t>
      </w:r>
      <w:r w:rsidR="00226F1A" w:rsidRPr="001C445E">
        <w:rPr>
          <w:color w:val="auto"/>
        </w:rPr>
        <w:t>cuando se encontraba en estado de embarazo</w:t>
      </w:r>
      <w:r w:rsidR="007636A4" w:rsidRPr="001C445E">
        <w:rPr>
          <w:color w:val="auto"/>
        </w:rPr>
        <w:t xml:space="preserve">. </w:t>
      </w:r>
      <w:r w:rsidR="00407DAF" w:rsidRPr="001C445E">
        <w:rPr>
          <w:color w:val="auto"/>
        </w:rPr>
        <w:t xml:space="preserve">En dicha comunicación, se argumentó </w:t>
      </w:r>
      <w:r w:rsidR="007636A4" w:rsidRPr="001C445E">
        <w:rPr>
          <w:color w:val="auto"/>
        </w:rPr>
        <w:t xml:space="preserve">la </w:t>
      </w:r>
      <w:r w:rsidR="00407DAF" w:rsidRPr="001C445E">
        <w:rPr>
          <w:color w:val="auto"/>
        </w:rPr>
        <w:t xml:space="preserve">pérdida de confianza resultante del proceder de la </w:t>
      </w:r>
      <w:r w:rsidR="00D526B7" w:rsidRPr="001C445E">
        <w:rPr>
          <w:color w:val="auto"/>
        </w:rPr>
        <w:t xml:space="preserve">parte peticionaria </w:t>
      </w:r>
      <w:r w:rsidR="007636A4" w:rsidRPr="001C445E">
        <w:rPr>
          <w:color w:val="auto"/>
        </w:rPr>
        <w:t>como causal para cesar su ac</w:t>
      </w:r>
      <w:r w:rsidR="006307F5" w:rsidRPr="001C445E">
        <w:rPr>
          <w:color w:val="auto"/>
        </w:rPr>
        <w:t>tividad laboral en la Embajada</w:t>
      </w:r>
      <w:r w:rsidR="00143DE9" w:rsidRPr="001C445E">
        <w:rPr>
          <w:rStyle w:val="FootnoteReference"/>
          <w:rFonts w:ascii="Cambria" w:hAnsi="Cambria"/>
          <w:color w:val="auto"/>
          <w:sz w:val="20"/>
        </w:rPr>
        <w:footnoteReference w:id="8"/>
      </w:r>
      <w:r w:rsidR="006307F5" w:rsidRPr="001C445E">
        <w:rPr>
          <w:color w:val="auto"/>
        </w:rPr>
        <w:t>.</w:t>
      </w:r>
    </w:p>
    <w:p w14:paraId="0B4020A7" w14:textId="77777777" w:rsidR="00407DAF" w:rsidRPr="001C445E" w:rsidRDefault="00407DAF" w:rsidP="00407DAF">
      <w:pPr>
        <w:pStyle w:val="parrafos"/>
        <w:tabs>
          <w:tab w:val="left" w:pos="360"/>
        </w:tabs>
        <w:rPr>
          <w:color w:val="auto"/>
        </w:rPr>
      </w:pPr>
    </w:p>
    <w:p w14:paraId="5A5243F1" w14:textId="77777777" w:rsidR="00071B18" w:rsidRPr="001C445E" w:rsidRDefault="000A0DF3" w:rsidP="000A0DF3">
      <w:pPr>
        <w:pStyle w:val="parrafos"/>
        <w:numPr>
          <w:ilvl w:val="0"/>
          <w:numId w:val="3"/>
        </w:numPr>
        <w:tabs>
          <w:tab w:val="left" w:pos="360"/>
        </w:tabs>
        <w:ind w:left="0" w:firstLine="0"/>
        <w:rPr>
          <w:color w:val="auto"/>
        </w:rPr>
      </w:pPr>
      <w:r w:rsidRPr="001C445E">
        <w:rPr>
          <w:color w:val="auto"/>
        </w:rPr>
        <w:lastRenderedPageBreak/>
        <w:t>E</w:t>
      </w:r>
      <w:r w:rsidR="00937110" w:rsidRPr="001C445E">
        <w:rPr>
          <w:color w:val="auto"/>
        </w:rPr>
        <w:t>l 4 de agosto de 1997 l</w:t>
      </w:r>
      <w:r w:rsidR="004D4BCE" w:rsidRPr="001C445E">
        <w:rPr>
          <w:color w:val="auto"/>
        </w:rPr>
        <w:t xml:space="preserve">a </w:t>
      </w:r>
      <w:r w:rsidRPr="001C445E">
        <w:rPr>
          <w:color w:val="auto"/>
        </w:rPr>
        <w:t xml:space="preserve">parte </w:t>
      </w:r>
      <w:r w:rsidR="00D526B7" w:rsidRPr="001C445E">
        <w:rPr>
          <w:color w:val="auto"/>
        </w:rPr>
        <w:t>peticionaria</w:t>
      </w:r>
      <w:r w:rsidR="007636A4" w:rsidRPr="001C445E">
        <w:rPr>
          <w:color w:val="auto"/>
        </w:rPr>
        <w:t xml:space="preserve"> presentó una demanda contra la Embajada de Australia ante el Juzgado Nacional de Primera Instancia del Trabajo N° 44 </w:t>
      </w:r>
      <w:r w:rsidRPr="001C445E">
        <w:rPr>
          <w:color w:val="auto"/>
        </w:rPr>
        <w:t>con el objeto de obtener créditos salariales e indemni</w:t>
      </w:r>
      <w:r w:rsidR="00190590" w:rsidRPr="001C445E">
        <w:rPr>
          <w:color w:val="auto"/>
        </w:rPr>
        <w:t>zaciones derivados de su despido</w:t>
      </w:r>
      <w:r w:rsidR="00190590" w:rsidRPr="001C445E">
        <w:rPr>
          <w:rStyle w:val="FootnoteReference"/>
          <w:rFonts w:ascii="Cambria" w:hAnsi="Cambria"/>
          <w:color w:val="auto"/>
          <w:sz w:val="20"/>
        </w:rPr>
        <w:footnoteReference w:id="9"/>
      </w:r>
      <w:r w:rsidR="00AC69C3" w:rsidRPr="001C445E">
        <w:rPr>
          <w:color w:val="auto"/>
        </w:rPr>
        <w:t xml:space="preserve">. </w:t>
      </w:r>
      <w:r w:rsidRPr="001C445E">
        <w:rPr>
          <w:color w:val="auto"/>
        </w:rPr>
        <w:t xml:space="preserve">La Embajada australiana </w:t>
      </w:r>
      <w:r w:rsidR="00071B18" w:rsidRPr="001C445E">
        <w:rPr>
          <w:color w:val="auto"/>
        </w:rPr>
        <w:t xml:space="preserve">no opuso la inmunidad de jurisdicción </w:t>
      </w:r>
      <w:r w:rsidRPr="001C445E">
        <w:rPr>
          <w:color w:val="auto"/>
        </w:rPr>
        <w:t xml:space="preserve">prevista en la </w:t>
      </w:r>
      <w:r w:rsidR="00190590" w:rsidRPr="001C445E">
        <w:rPr>
          <w:color w:val="auto"/>
        </w:rPr>
        <w:t xml:space="preserve">Convención de Viena sobre Relaciones Diplomáticas </w:t>
      </w:r>
      <w:r w:rsidR="00937110" w:rsidRPr="001C445E">
        <w:rPr>
          <w:color w:val="auto"/>
        </w:rPr>
        <w:t>en virtud de que estaba impedida de ejercer dicho privilegio al tratarse de una demanda de carácter laboral promovida por una ciudadana argentina</w:t>
      </w:r>
      <w:r w:rsidRPr="001C445E">
        <w:rPr>
          <w:color w:val="auto"/>
        </w:rPr>
        <w:t>, conforme a lo previsto en la norma nacional citada con anterioridad</w:t>
      </w:r>
      <w:r w:rsidR="00190590" w:rsidRPr="001C445E">
        <w:rPr>
          <w:color w:val="auto"/>
        </w:rPr>
        <w:t>.</w:t>
      </w:r>
      <w:r w:rsidR="00937110" w:rsidRPr="001C445E">
        <w:rPr>
          <w:color w:val="auto"/>
        </w:rPr>
        <w:t xml:space="preserve"> </w:t>
      </w:r>
    </w:p>
    <w:p w14:paraId="1D7B270A" w14:textId="77777777" w:rsidR="00071B18" w:rsidRPr="001C445E" w:rsidRDefault="00071B18" w:rsidP="00071B18">
      <w:pPr>
        <w:pStyle w:val="parrafos"/>
        <w:tabs>
          <w:tab w:val="left" w:pos="360"/>
        </w:tabs>
        <w:rPr>
          <w:color w:val="auto"/>
        </w:rPr>
      </w:pPr>
    </w:p>
    <w:p w14:paraId="25D4818B" w14:textId="77777777" w:rsidR="00E33B91" w:rsidRPr="001C445E" w:rsidRDefault="007636A4" w:rsidP="00071B18">
      <w:pPr>
        <w:pStyle w:val="parrafos"/>
        <w:numPr>
          <w:ilvl w:val="0"/>
          <w:numId w:val="3"/>
        </w:numPr>
        <w:tabs>
          <w:tab w:val="left" w:pos="360"/>
        </w:tabs>
        <w:ind w:left="0" w:firstLine="0"/>
        <w:rPr>
          <w:color w:val="auto"/>
        </w:rPr>
      </w:pPr>
      <w:r w:rsidRPr="001C445E">
        <w:rPr>
          <w:color w:val="auto"/>
        </w:rPr>
        <w:t xml:space="preserve">El 28 de febrero de 2001 </w:t>
      </w:r>
      <w:r w:rsidR="000A0DF3" w:rsidRPr="001C445E">
        <w:rPr>
          <w:color w:val="auto"/>
        </w:rPr>
        <w:t xml:space="preserve">el </w:t>
      </w:r>
      <w:r w:rsidR="0005674D" w:rsidRPr="001C445E">
        <w:rPr>
          <w:color w:val="auto"/>
        </w:rPr>
        <w:t>Juez</w:t>
      </w:r>
      <w:r w:rsidR="00190590" w:rsidRPr="001C445E">
        <w:rPr>
          <w:color w:val="auto"/>
        </w:rPr>
        <w:t xml:space="preserve"> Nacional de Primera Instancia del Trabajo N° 44 </w:t>
      </w:r>
      <w:r w:rsidR="000A0DF3" w:rsidRPr="001C445E">
        <w:rPr>
          <w:color w:val="auto"/>
        </w:rPr>
        <w:t xml:space="preserve">condenó </w:t>
      </w:r>
      <w:r w:rsidRPr="001C445E">
        <w:rPr>
          <w:color w:val="auto"/>
        </w:rPr>
        <w:t>a la Embajada</w:t>
      </w:r>
      <w:r w:rsidR="000A0DF3" w:rsidRPr="001C445E">
        <w:rPr>
          <w:color w:val="auto"/>
        </w:rPr>
        <w:t xml:space="preserve"> </w:t>
      </w:r>
      <w:r w:rsidR="00DD1B30" w:rsidRPr="001C445E">
        <w:rPr>
          <w:color w:val="auto"/>
        </w:rPr>
        <w:t>de Australia</w:t>
      </w:r>
      <w:r w:rsidRPr="001C445E">
        <w:rPr>
          <w:color w:val="auto"/>
        </w:rPr>
        <w:t xml:space="preserve"> a pagar una indemnizaci</w:t>
      </w:r>
      <w:r w:rsidR="00226F1A" w:rsidRPr="001C445E">
        <w:rPr>
          <w:color w:val="auto"/>
        </w:rPr>
        <w:t xml:space="preserve">ón </w:t>
      </w:r>
      <w:r w:rsidRPr="001C445E">
        <w:rPr>
          <w:color w:val="auto"/>
        </w:rPr>
        <w:t xml:space="preserve">en beneficio de la </w:t>
      </w:r>
      <w:r w:rsidR="00D526B7" w:rsidRPr="001C445E">
        <w:rPr>
          <w:color w:val="auto"/>
        </w:rPr>
        <w:t>parte peticionaria</w:t>
      </w:r>
      <w:r w:rsidR="00F53ECB" w:rsidRPr="001C445E">
        <w:rPr>
          <w:color w:val="auto"/>
        </w:rPr>
        <w:t xml:space="preserve"> </w:t>
      </w:r>
      <w:r w:rsidR="00226F1A" w:rsidRPr="001C445E">
        <w:rPr>
          <w:color w:val="auto"/>
        </w:rPr>
        <w:t xml:space="preserve">de $219.924,86 </w:t>
      </w:r>
      <w:r w:rsidR="00CE2421" w:rsidRPr="001C445E">
        <w:rPr>
          <w:color w:val="auto"/>
        </w:rPr>
        <w:t>pesos argentinos</w:t>
      </w:r>
      <w:r w:rsidR="000A0DF3" w:rsidRPr="001C445E">
        <w:rPr>
          <w:color w:val="auto"/>
        </w:rPr>
        <w:t xml:space="preserve">, así como </w:t>
      </w:r>
      <w:r w:rsidR="00AC478C" w:rsidRPr="001C445E">
        <w:rPr>
          <w:color w:val="auto"/>
        </w:rPr>
        <w:t xml:space="preserve">los </w:t>
      </w:r>
      <w:r w:rsidR="000A0DF3" w:rsidRPr="001C445E">
        <w:rPr>
          <w:color w:val="auto"/>
        </w:rPr>
        <w:t>intereses devengados</w:t>
      </w:r>
      <w:r w:rsidRPr="001C445E">
        <w:rPr>
          <w:color w:val="auto"/>
        </w:rPr>
        <w:t xml:space="preserve">. El juez indicó lo siguiente: </w:t>
      </w:r>
    </w:p>
    <w:p w14:paraId="4F904CB7" w14:textId="77777777" w:rsidR="00190590" w:rsidRPr="001C445E" w:rsidRDefault="00190590" w:rsidP="00190590">
      <w:pPr>
        <w:pStyle w:val="parrafos"/>
        <w:tabs>
          <w:tab w:val="left" w:pos="360"/>
        </w:tabs>
        <w:rPr>
          <w:color w:val="auto"/>
        </w:rPr>
      </w:pPr>
    </w:p>
    <w:p w14:paraId="5356FC6B" w14:textId="01EC8E12" w:rsidR="007636A4" w:rsidRPr="001C445E" w:rsidRDefault="00190590" w:rsidP="008E6515">
      <w:pPr>
        <w:pStyle w:val="parrafos"/>
        <w:tabs>
          <w:tab w:val="left" w:pos="360"/>
        </w:tabs>
        <w:ind w:left="360"/>
        <w:rPr>
          <w:color w:val="auto"/>
          <w:sz w:val="18"/>
          <w:szCs w:val="16"/>
        </w:rPr>
      </w:pPr>
      <w:r w:rsidRPr="001C445E">
        <w:rPr>
          <w:color w:val="auto"/>
          <w:sz w:val="18"/>
          <w:szCs w:val="16"/>
        </w:rPr>
        <w:t xml:space="preserve">(…) lo cierto es que las pruebas aportadas por la demandada –en definitiva- no apuntalan la tesitura del escrito de contestación en orden a que la actora “faltó a la verdad” y que –como corolario de ello- los emplazamientos efectuados por la embajada se debieron a los incumplimientos laborales de </w:t>
      </w:r>
      <w:r w:rsidR="00A26718">
        <w:rPr>
          <w:color w:val="auto"/>
          <w:sz w:val="18"/>
          <w:szCs w:val="16"/>
        </w:rPr>
        <w:t>M.E.F.</w:t>
      </w:r>
    </w:p>
    <w:p w14:paraId="06971CD3" w14:textId="77777777" w:rsidR="00190590" w:rsidRPr="001C445E" w:rsidRDefault="00190590" w:rsidP="007636A4">
      <w:pPr>
        <w:pStyle w:val="parrafos"/>
        <w:tabs>
          <w:tab w:val="left" w:pos="360"/>
        </w:tabs>
        <w:rPr>
          <w:color w:val="auto"/>
          <w:sz w:val="18"/>
          <w:szCs w:val="16"/>
        </w:rPr>
      </w:pPr>
    </w:p>
    <w:p w14:paraId="2797257B" w14:textId="77777777" w:rsidR="00190590" w:rsidRPr="001C445E" w:rsidRDefault="00190590" w:rsidP="008E6515">
      <w:pPr>
        <w:pStyle w:val="parrafos"/>
        <w:tabs>
          <w:tab w:val="left" w:pos="360"/>
        </w:tabs>
        <w:ind w:left="360"/>
        <w:rPr>
          <w:color w:val="auto"/>
          <w:sz w:val="18"/>
          <w:szCs w:val="16"/>
        </w:rPr>
      </w:pPr>
      <w:r w:rsidRPr="001C445E">
        <w:rPr>
          <w:color w:val="auto"/>
          <w:sz w:val="18"/>
          <w:szCs w:val="16"/>
        </w:rPr>
        <w:t xml:space="preserve">(…) </w:t>
      </w:r>
      <w:r w:rsidR="008E6515" w:rsidRPr="001C445E">
        <w:rPr>
          <w:color w:val="auto"/>
          <w:sz w:val="18"/>
          <w:szCs w:val="16"/>
        </w:rPr>
        <w:t xml:space="preserve">No soslayo que la “reiteración” de inconductas laborales “no graves” pueden justificar un despido, pero débese convenir que los antecedentes “disciplinarios” (falta de puntualidad) denunciados por la accionada en el responde, además de la inexistencia de un hecho actual e injurioso que actúe como detonante de la ruptura. </w:t>
      </w:r>
    </w:p>
    <w:p w14:paraId="2A1F701D" w14:textId="77777777" w:rsidR="008E6515" w:rsidRPr="001C445E" w:rsidRDefault="008E6515" w:rsidP="00DD1B30">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s-ES" w:eastAsia="es-ES"/>
        </w:rPr>
      </w:pPr>
    </w:p>
    <w:p w14:paraId="07A0ED16" w14:textId="4C6E6E9E" w:rsidR="008E6515" w:rsidRPr="001C445E" w:rsidRDefault="008E6515" w:rsidP="00DD1B30">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s-ES" w:eastAsia="es-ES"/>
        </w:rPr>
      </w:pPr>
      <w:r w:rsidRPr="001C445E">
        <w:rPr>
          <w:rFonts w:ascii="Cambria" w:eastAsia="Cambria" w:hAnsi="Cambria" w:cs="Cambria"/>
          <w:sz w:val="18"/>
          <w:szCs w:val="16"/>
          <w:u w:color="000000"/>
          <w:bdr w:val="nil"/>
          <w:lang w:val="es-ES" w:eastAsia="es-ES"/>
        </w:rPr>
        <w:t xml:space="preserve">(…) También la ex empleadora estimó injuriosa la actitud de la actora de requerir que los informes sean solicitados por escrito. En el punto aprecio que tal requerimiento no evidenció mala fe de la trabajadora pues la demandada, en definitiva, no acreditó en el pleito las denunciadas faltas de entrega de los informes en tiempo y forma. Es más, sostuvo en el responde que debido al mal desempeño de </w:t>
      </w:r>
      <w:r w:rsidR="00A26718">
        <w:rPr>
          <w:rFonts w:ascii="Cambria" w:eastAsia="Cambria" w:hAnsi="Cambria" w:cs="Cambria"/>
          <w:sz w:val="18"/>
          <w:szCs w:val="16"/>
          <w:u w:color="000000"/>
          <w:bdr w:val="nil"/>
          <w:lang w:val="es-ES" w:eastAsia="es-ES"/>
        </w:rPr>
        <w:t>M.E.F</w:t>
      </w:r>
      <w:r w:rsidR="005612B0">
        <w:rPr>
          <w:rFonts w:ascii="Cambria" w:eastAsia="Cambria" w:hAnsi="Cambria" w:cs="Cambria"/>
          <w:sz w:val="18"/>
          <w:szCs w:val="16"/>
          <w:u w:color="000000"/>
          <w:bdr w:val="nil"/>
          <w:lang w:val="es-ES" w:eastAsia="es-ES"/>
        </w:rPr>
        <w:t xml:space="preserve">. </w:t>
      </w:r>
      <w:r w:rsidRPr="001C445E">
        <w:rPr>
          <w:rFonts w:ascii="Cambria" w:eastAsia="Cambria" w:hAnsi="Cambria" w:cs="Cambria"/>
          <w:sz w:val="18"/>
          <w:szCs w:val="16"/>
          <w:u w:color="000000"/>
          <w:bdr w:val="nil"/>
          <w:lang w:val="es-ES" w:eastAsia="es-ES"/>
        </w:rPr>
        <w:t>se habría decidido no aumentarle el sueldo en el año 1997, circunstancia que quedó desvirtuada a través del recibo de sueldo obrante en sobre reservado por Secretaría (…) en el cual consta abonado como “incremento anual” la suma de $ 1.565,50.</w:t>
      </w:r>
    </w:p>
    <w:p w14:paraId="03EFCA41" w14:textId="77777777" w:rsidR="008E6515" w:rsidRPr="001C445E" w:rsidRDefault="008E6515" w:rsidP="00DD1B30">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s-ES" w:eastAsia="es-ES"/>
        </w:rPr>
      </w:pPr>
    </w:p>
    <w:p w14:paraId="46E5D453" w14:textId="77777777" w:rsidR="002A0868" w:rsidRPr="001C445E" w:rsidRDefault="00226F1A" w:rsidP="00B34471">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s-ES" w:eastAsia="es-ES"/>
        </w:rPr>
      </w:pPr>
      <w:r w:rsidRPr="001C445E">
        <w:rPr>
          <w:rFonts w:ascii="Cambria" w:eastAsia="Cambria" w:hAnsi="Cambria" w:cs="Cambria"/>
          <w:sz w:val="18"/>
          <w:szCs w:val="16"/>
          <w:u w:color="000000"/>
          <w:bdr w:val="nil"/>
          <w:lang w:val="es-ES" w:eastAsia="es-ES"/>
        </w:rPr>
        <w:t>(…) Como consecuencia de todo lo dicho, juzgo ilegítimo el despido resuelto por la demandada al no mediar incumplimiento contractual grave de la trabajadora que justifique la resolución del v</w:t>
      </w:r>
      <w:r w:rsidR="00071B18" w:rsidRPr="001C445E">
        <w:rPr>
          <w:rFonts w:ascii="Cambria" w:eastAsia="Cambria" w:hAnsi="Cambria" w:cs="Cambria"/>
          <w:sz w:val="18"/>
          <w:szCs w:val="16"/>
          <w:u w:color="000000"/>
          <w:bdr w:val="nil"/>
          <w:lang w:val="es-ES" w:eastAsia="es-ES"/>
        </w:rPr>
        <w:t>ínculo laboral.</w:t>
      </w:r>
      <w:r w:rsidR="00B34471" w:rsidRPr="001C445E">
        <w:rPr>
          <w:rFonts w:ascii="Cambria" w:eastAsia="Cambria" w:hAnsi="Cambria" w:cs="Cambria"/>
          <w:sz w:val="18"/>
          <w:szCs w:val="16"/>
          <w:u w:color="000000"/>
          <w:bdr w:val="nil"/>
          <w:lang w:val="es-ES" w:eastAsia="es-ES"/>
        </w:rPr>
        <w:t xml:space="preserve"> </w:t>
      </w:r>
      <w:r w:rsidR="00071B18" w:rsidRPr="001C445E">
        <w:rPr>
          <w:rFonts w:ascii="Cambria" w:eastAsia="Cambria" w:hAnsi="Cambria" w:cs="Cambria"/>
          <w:sz w:val="18"/>
          <w:szCs w:val="16"/>
          <w:u w:color="000000"/>
          <w:bdr w:val="nil"/>
          <w:lang w:val="es-ES" w:eastAsia="es-ES"/>
        </w:rPr>
        <w:t xml:space="preserve">(…) </w:t>
      </w:r>
      <w:r w:rsidRPr="001C445E">
        <w:rPr>
          <w:rFonts w:ascii="Cambria" w:eastAsia="Cambria" w:hAnsi="Cambria" w:cs="Cambria"/>
          <w:sz w:val="18"/>
          <w:szCs w:val="16"/>
          <w:u w:color="000000"/>
          <w:bdr w:val="nil"/>
          <w:lang w:val="es-ES" w:eastAsia="es-ES"/>
        </w:rPr>
        <w:t>Prosperarán por ende los créditos indemniza</w:t>
      </w:r>
      <w:r w:rsidR="00B34471" w:rsidRPr="001C445E">
        <w:rPr>
          <w:rFonts w:ascii="Cambria" w:eastAsia="Cambria" w:hAnsi="Cambria" w:cs="Cambria"/>
          <w:sz w:val="18"/>
          <w:szCs w:val="16"/>
          <w:u w:color="000000"/>
          <w:bdr w:val="nil"/>
          <w:lang w:val="es-ES" w:eastAsia="es-ES"/>
        </w:rPr>
        <w:t xml:space="preserve">torios emergentes del despido </w:t>
      </w:r>
      <w:r w:rsidR="00071B18" w:rsidRPr="001C445E">
        <w:rPr>
          <w:rFonts w:ascii="Cambria" w:eastAsia="Cambria" w:hAnsi="Cambria" w:cs="Cambria"/>
          <w:sz w:val="18"/>
          <w:szCs w:val="16"/>
          <w:u w:color="000000"/>
          <w:bdr w:val="nil"/>
          <w:lang w:val="es-ES" w:eastAsia="es-ES"/>
        </w:rPr>
        <w:t xml:space="preserve">(…) </w:t>
      </w:r>
      <w:r w:rsidRPr="001C445E">
        <w:rPr>
          <w:rFonts w:ascii="Cambria" w:eastAsia="Cambria" w:hAnsi="Cambria" w:cs="Cambria"/>
          <w:sz w:val="18"/>
          <w:szCs w:val="16"/>
          <w:u w:color="000000"/>
          <w:bdr w:val="nil"/>
          <w:lang w:val="es-ES" w:eastAsia="es-ES"/>
        </w:rPr>
        <w:t>Consecuentemente, dado que el despido “injustificado” se produjo dentro del plazo de protección de la maternidad (…)</w:t>
      </w:r>
      <w:r w:rsidR="00071B18" w:rsidRPr="001C445E">
        <w:rPr>
          <w:rFonts w:ascii="Cambria" w:eastAsia="Cambria" w:hAnsi="Cambria" w:cs="Cambria"/>
          <w:sz w:val="18"/>
          <w:szCs w:val="16"/>
          <w:u w:color="000000"/>
          <w:bdr w:val="nil"/>
          <w:lang w:val="es-ES" w:eastAsia="es-ES"/>
        </w:rPr>
        <w:t>, también es viable la indemnización prevista por el art. 182 de la ley laboral (…)</w:t>
      </w:r>
      <w:r w:rsidR="001C3FC6" w:rsidRPr="001C445E">
        <w:rPr>
          <w:rStyle w:val="FootnoteReference"/>
          <w:rFonts w:ascii="Cambria" w:eastAsia="Cambria" w:hAnsi="Cambria" w:cs="Cambria"/>
          <w:sz w:val="18"/>
          <w:szCs w:val="16"/>
          <w:u w:color="000000"/>
          <w:bdr w:val="nil"/>
          <w:lang w:val="es-ES" w:eastAsia="es-ES"/>
        </w:rPr>
        <w:footnoteReference w:id="10"/>
      </w:r>
      <w:r w:rsidR="00071B18" w:rsidRPr="001C445E">
        <w:rPr>
          <w:rFonts w:ascii="Cambria" w:eastAsia="Cambria" w:hAnsi="Cambria" w:cs="Cambria"/>
          <w:sz w:val="18"/>
          <w:szCs w:val="16"/>
          <w:u w:color="000000"/>
          <w:bdr w:val="nil"/>
          <w:lang w:val="es-ES" w:eastAsia="es-ES"/>
        </w:rPr>
        <w:t>.</w:t>
      </w:r>
      <w:r w:rsidR="000F3605" w:rsidRPr="001C445E">
        <w:rPr>
          <w:rFonts w:ascii="Cambria" w:hAnsi="Cambria"/>
          <w:sz w:val="18"/>
          <w:szCs w:val="16"/>
        </w:rPr>
        <w:t xml:space="preserve"> </w:t>
      </w:r>
    </w:p>
    <w:p w14:paraId="13CB595B" w14:textId="77777777" w:rsidR="00904930" w:rsidRPr="001C445E" w:rsidRDefault="00904930" w:rsidP="00C9514E">
      <w:pPr>
        <w:spacing w:after="0" w:line="240" w:lineRule="auto"/>
        <w:rPr>
          <w:rFonts w:ascii="Cambria" w:hAnsi="Cambria"/>
          <w:lang w:val="es-ES_tradnl"/>
        </w:rPr>
      </w:pPr>
    </w:p>
    <w:p w14:paraId="22504AB5" w14:textId="77777777" w:rsidR="00CE2421" w:rsidRPr="001C445E" w:rsidRDefault="008E6515" w:rsidP="0005674D">
      <w:pPr>
        <w:pStyle w:val="parrafos"/>
        <w:numPr>
          <w:ilvl w:val="0"/>
          <w:numId w:val="3"/>
        </w:numPr>
        <w:tabs>
          <w:tab w:val="left" w:pos="360"/>
        </w:tabs>
        <w:ind w:left="0" w:firstLine="0"/>
        <w:rPr>
          <w:color w:val="auto"/>
        </w:rPr>
      </w:pPr>
      <w:r w:rsidRPr="001C445E">
        <w:rPr>
          <w:color w:val="auto"/>
        </w:rPr>
        <w:t xml:space="preserve">Con posterioridad, ambas partes </w:t>
      </w:r>
      <w:r w:rsidR="00DD1B30" w:rsidRPr="001C445E">
        <w:rPr>
          <w:color w:val="auto"/>
        </w:rPr>
        <w:t xml:space="preserve">presentaron </w:t>
      </w:r>
      <w:r w:rsidR="00CE2421" w:rsidRPr="001C445E">
        <w:rPr>
          <w:color w:val="auto"/>
        </w:rPr>
        <w:t>recurso</w:t>
      </w:r>
      <w:r w:rsidR="00DD1B30" w:rsidRPr="001C445E">
        <w:rPr>
          <w:color w:val="auto"/>
        </w:rPr>
        <w:t>s</w:t>
      </w:r>
      <w:r w:rsidR="00CE2421" w:rsidRPr="001C445E">
        <w:rPr>
          <w:color w:val="auto"/>
        </w:rPr>
        <w:t xml:space="preserve"> de apelación ante la Sala X de la Cámara Nacional de Apelaciones del Trabajo</w:t>
      </w:r>
      <w:r w:rsidRPr="001C445E">
        <w:rPr>
          <w:color w:val="auto"/>
        </w:rPr>
        <w:t xml:space="preserve"> por </w:t>
      </w:r>
      <w:r w:rsidR="0005674D" w:rsidRPr="001C445E">
        <w:rPr>
          <w:color w:val="auto"/>
        </w:rPr>
        <w:t>estar en desacuerdo con la decisión, en aspectos como el monto de la indemnización. El 18 de octubre de 2001 el</w:t>
      </w:r>
      <w:r w:rsidR="00CE2421" w:rsidRPr="001C445E">
        <w:rPr>
          <w:color w:val="auto"/>
        </w:rPr>
        <w:t xml:space="preserve"> tribunal de alzada modificó parcialmente la sentencia de primera instancia y elevó el monto de la indemnización a $271.644,11 pesos argentinos. Dicho tribunal expresó lo siguiente:</w:t>
      </w:r>
    </w:p>
    <w:p w14:paraId="6D9C8D39" w14:textId="77777777" w:rsidR="00CE2421" w:rsidRPr="001C445E" w:rsidRDefault="00CE2421" w:rsidP="00CE2421">
      <w:pPr>
        <w:pStyle w:val="parrafos"/>
        <w:tabs>
          <w:tab w:val="left" w:pos="360"/>
        </w:tabs>
        <w:rPr>
          <w:color w:val="auto"/>
        </w:rPr>
      </w:pPr>
    </w:p>
    <w:p w14:paraId="758CF0F5" w14:textId="77777777" w:rsidR="00CE2421" w:rsidRDefault="00CE2421" w:rsidP="00AC478C">
      <w:pPr>
        <w:pStyle w:val="parrafos"/>
        <w:tabs>
          <w:tab w:val="left" w:pos="360"/>
        </w:tabs>
        <w:ind w:left="360"/>
        <w:rPr>
          <w:rFonts w:eastAsia="Cambria" w:cs="Cambria"/>
          <w:color w:val="auto"/>
          <w:sz w:val="18"/>
          <w:szCs w:val="24"/>
          <w:u w:color="000000"/>
          <w:lang w:val="es-ES" w:eastAsia="es-ES"/>
        </w:rPr>
      </w:pPr>
      <w:r w:rsidRPr="001C445E">
        <w:rPr>
          <w:rFonts w:eastAsia="Cambria" w:cs="Cambria"/>
          <w:color w:val="auto"/>
          <w:sz w:val="18"/>
          <w:szCs w:val="24"/>
          <w:u w:color="000000"/>
          <w:lang w:val="es-ES" w:eastAsia="es-ES"/>
        </w:rPr>
        <w:t>(…) el Tribunal RESUELVE: 1) Modificar parcialmente la sentencia apelada y, en consecuencia, elevar el monto diferido a condena a la suma de $271.644,11 (…) cifra que llevará los intereses fijados en la sede de origen; 2) Dejar sin efecto lo decidido en la instancia de grado sobre costas y honorarios (…); 3) Imponer las costas de ambas instancias a cargo de la demandada vencida (…); 4) Regular los honorarios de la representac</w:t>
      </w:r>
      <w:r w:rsidR="0005674D" w:rsidRPr="001C445E">
        <w:rPr>
          <w:rFonts w:eastAsia="Cambria" w:cs="Cambria"/>
          <w:color w:val="auto"/>
          <w:sz w:val="18"/>
          <w:szCs w:val="24"/>
          <w:u w:color="000000"/>
          <w:lang w:val="es-ES" w:eastAsia="es-ES"/>
        </w:rPr>
        <w:t xml:space="preserve">ión letrada de la parte actora </w:t>
      </w:r>
      <w:r w:rsidRPr="001C445E">
        <w:rPr>
          <w:rFonts w:eastAsia="Cambria" w:cs="Cambria"/>
          <w:color w:val="auto"/>
          <w:sz w:val="18"/>
          <w:szCs w:val="24"/>
          <w:u w:color="000000"/>
          <w:lang w:val="es-ES" w:eastAsia="es-ES"/>
        </w:rPr>
        <w:t xml:space="preserve">(…), demandada, peritos, traductora y contador </w:t>
      </w:r>
      <w:r w:rsidR="00DC0A41" w:rsidRPr="001C445E">
        <w:rPr>
          <w:rFonts w:eastAsia="Cambria" w:cs="Cambria"/>
          <w:color w:val="auto"/>
          <w:sz w:val="18"/>
          <w:szCs w:val="24"/>
          <w:u w:color="000000"/>
          <w:lang w:val="es-ES" w:eastAsia="es-ES"/>
        </w:rPr>
        <w:t>(…) en la suma de $5.000, respectivamente; 5) Regular los honorarios del Dr. Miguel A. Jorge (…) en la suma de $2.500</w:t>
      </w:r>
      <w:r w:rsidR="00333174" w:rsidRPr="001C445E">
        <w:rPr>
          <w:rFonts w:eastAsia="Cambria" w:cs="Cambria"/>
          <w:color w:val="auto"/>
          <w:sz w:val="18"/>
          <w:szCs w:val="24"/>
          <w:u w:color="000000"/>
          <w:lang w:val="es-ES" w:eastAsia="es-ES"/>
        </w:rPr>
        <w:t xml:space="preserve"> (…); 6) Confirmar la resolución recurrida en todo lo demás que ha sido objeto de recurso y agravios; 7) Regular los honorarios de los firmantes de las presentaciones (…) en el 30% y 25%, respectivamente, de lo que le corresponda percibir a la representación letrada de sus respectivas partes por su actuación en la instancia anterior (…)</w:t>
      </w:r>
      <w:r w:rsidR="001C3FC6" w:rsidRPr="001C445E">
        <w:rPr>
          <w:rStyle w:val="FootnoteReference"/>
          <w:rFonts w:ascii="Cambria" w:eastAsia="Cambria" w:hAnsi="Cambria" w:cs="Cambria"/>
          <w:color w:val="auto"/>
          <w:sz w:val="20"/>
          <w:u w:color="000000"/>
          <w:lang w:val="es-ES" w:eastAsia="es-ES"/>
        </w:rPr>
        <w:footnoteReference w:id="11"/>
      </w:r>
      <w:r w:rsidR="00333174" w:rsidRPr="001C445E">
        <w:rPr>
          <w:rFonts w:eastAsia="Cambria" w:cs="Cambria"/>
          <w:color w:val="auto"/>
          <w:sz w:val="18"/>
          <w:szCs w:val="24"/>
          <w:u w:color="000000"/>
          <w:lang w:val="es-ES" w:eastAsia="es-ES"/>
        </w:rPr>
        <w:t>.</w:t>
      </w:r>
    </w:p>
    <w:p w14:paraId="3EBCB5FB" w14:textId="77777777" w:rsidR="00D33E25" w:rsidRPr="001C445E" w:rsidRDefault="00D33E25" w:rsidP="00AC478C">
      <w:pPr>
        <w:pStyle w:val="parrafos"/>
        <w:tabs>
          <w:tab w:val="left" w:pos="360"/>
        </w:tabs>
        <w:ind w:left="360"/>
        <w:rPr>
          <w:color w:val="auto"/>
        </w:rPr>
      </w:pPr>
    </w:p>
    <w:p w14:paraId="053BE86E" w14:textId="77777777" w:rsidR="00792918" w:rsidRPr="001C445E" w:rsidRDefault="00DD1B30" w:rsidP="00792918">
      <w:pPr>
        <w:pStyle w:val="parrafos"/>
        <w:numPr>
          <w:ilvl w:val="0"/>
          <w:numId w:val="3"/>
        </w:numPr>
        <w:tabs>
          <w:tab w:val="left" w:pos="360"/>
        </w:tabs>
        <w:ind w:left="0" w:firstLine="0"/>
        <w:rPr>
          <w:color w:val="auto"/>
        </w:rPr>
      </w:pPr>
      <w:r w:rsidRPr="001C445E">
        <w:rPr>
          <w:color w:val="auto"/>
        </w:rPr>
        <w:lastRenderedPageBreak/>
        <w:t xml:space="preserve">La Comisión toma nota que la Embajada de </w:t>
      </w:r>
      <w:r w:rsidR="00757FCD" w:rsidRPr="001C445E">
        <w:rPr>
          <w:color w:val="auto"/>
        </w:rPr>
        <w:t>Aus</w:t>
      </w:r>
      <w:r w:rsidR="00D526B7" w:rsidRPr="001C445E">
        <w:rPr>
          <w:color w:val="auto"/>
        </w:rPr>
        <w:t xml:space="preserve">tralia no </w:t>
      </w:r>
      <w:r w:rsidRPr="001C445E">
        <w:rPr>
          <w:color w:val="auto"/>
        </w:rPr>
        <w:t>interpuso</w:t>
      </w:r>
      <w:r w:rsidR="00D526B7" w:rsidRPr="001C445E">
        <w:rPr>
          <w:color w:val="auto"/>
        </w:rPr>
        <w:t xml:space="preserve"> el recurso extraordinario </w:t>
      </w:r>
      <w:r w:rsidR="00757FCD" w:rsidRPr="001C445E">
        <w:rPr>
          <w:color w:val="auto"/>
        </w:rPr>
        <w:t xml:space="preserve">contra la sentencia </w:t>
      </w:r>
      <w:r w:rsidRPr="001C445E">
        <w:rPr>
          <w:color w:val="auto"/>
        </w:rPr>
        <w:t xml:space="preserve">de segunda instancia </w:t>
      </w:r>
      <w:r w:rsidR="00AC478C" w:rsidRPr="001C445E">
        <w:rPr>
          <w:color w:val="auto"/>
        </w:rPr>
        <w:t xml:space="preserve">ante la Corte Suprema de Justicia de la Nación </w:t>
      </w:r>
      <w:r w:rsidRPr="001C445E">
        <w:rPr>
          <w:color w:val="auto"/>
        </w:rPr>
        <w:t>por lo que la misma quedó firme</w:t>
      </w:r>
      <w:r w:rsidR="004D4BCE" w:rsidRPr="001C445E">
        <w:rPr>
          <w:color w:val="auto"/>
        </w:rPr>
        <w:t xml:space="preserve"> y </w:t>
      </w:r>
      <w:r w:rsidR="00757FCD" w:rsidRPr="001C445E">
        <w:rPr>
          <w:color w:val="auto"/>
        </w:rPr>
        <w:t>en autoridad de cosa juzgada en octubre de 2001</w:t>
      </w:r>
      <w:r w:rsidR="001C3FC6" w:rsidRPr="001C445E">
        <w:rPr>
          <w:rStyle w:val="FootnoteReference"/>
          <w:rFonts w:ascii="Cambria" w:hAnsi="Cambria"/>
          <w:color w:val="auto"/>
          <w:sz w:val="20"/>
        </w:rPr>
        <w:footnoteReference w:id="12"/>
      </w:r>
      <w:r w:rsidR="00757FCD" w:rsidRPr="001C445E">
        <w:rPr>
          <w:color w:val="auto"/>
        </w:rPr>
        <w:t xml:space="preserve">. </w:t>
      </w:r>
    </w:p>
    <w:p w14:paraId="2FC17F8B" w14:textId="77777777" w:rsidR="00757FCD" w:rsidRPr="001C445E" w:rsidRDefault="00757FCD" w:rsidP="00757FCD">
      <w:pPr>
        <w:pStyle w:val="parrafos"/>
        <w:tabs>
          <w:tab w:val="left" w:pos="360"/>
        </w:tabs>
        <w:rPr>
          <w:color w:val="auto"/>
        </w:rPr>
      </w:pPr>
    </w:p>
    <w:p w14:paraId="4658E71B" w14:textId="77777777" w:rsidR="00F13869" w:rsidRPr="001C445E" w:rsidRDefault="009677ED" w:rsidP="00F13869">
      <w:pPr>
        <w:pStyle w:val="Heading2"/>
        <w:numPr>
          <w:ilvl w:val="0"/>
          <w:numId w:val="5"/>
        </w:numPr>
        <w:tabs>
          <w:tab w:val="left" w:pos="360"/>
        </w:tabs>
        <w:ind w:left="0" w:firstLine="0"/>
      </w:pPr>
      <w:bookmarkStart w:id="31" w:name="_Toc203125558"/>
      <w:r w:rsidRPr="001C445E">
        <w:t>Fase de ejecución de la sentencia y acuerdo de pago</w:t>
      </w:r>
      <w:bookmarkEnd w:id="31"/>
      <w:r w:rsidRPr="001C445E">
        <w:t xml:space="preserve"> </w:t>
      </w:r>
    </w:p>
    <w:p w14:paraId="0A4F7224" w14:textId="77777777" w:rsidR="00F13869" w:rsidRPr="001C445E" w:rsidRDefault="00F13869" w:rsidP="00F13869">
      <w:pPr>
        <w:pStyle w:val="parrafos"/>
        <w:tabs>
          <w:tab w:val="left" w:pos="540"/>
          <w:tab w:val="left" w:pos="567"/>
          <w:tab w:val="left" w:pos="1440"/>
        </w:tabs>
        <w:rPr>
          <w:color w:val="auto"/>
        </w:rPr>
      </w:pPr>
    </w:p>
    <w:p w14:paraId="49C9DB56" w14:textId="77777777" w:rsidR="00CA34E9" w:rsidRPr="001C445E" w:rsidRDefault="006E2E8B" w:rsidP="00F53ECB">
      <w:pPr>
        <w:pStyle w:val="parrafos"/>
        <w:numPr>
          <w:ilvl w:val="0"/>
          <w:numId w:val="3"/>
        </w:numPr>
        <w:tabs>
          <w:tab w:val="left" w:pos="360"/>
          <w:tab w:val="left" w:pos="540"/>
          <w:tab w:val="left" w:pos="567"/>
          <w:tab w:val="left" w:pos="1440"/>
        </w:tabs>
        <w:ind w:left="0" w:firstLine="0"/>
        <w:rPr>
          <w:color w:val="auto"/>
        </w:rPr>
      </w:pPr>
      <w:r w:rsidRPr="001C445E">
        <w:rPr>
          <w:color w:val="auto"/>
        </w:rPr>
        <w:t>E</w:t>
      </w:r>
      <w:r w:rsidR="00FA4484" w:rsidRPr="001C445E">
        <w:rPr>
          <w:color w:val="auto"/>
        </w:rPr>
        <w:t xml:space="preserve">l </w:t>
      </w:r>
      <w:r w:rsidR="007B4A5A" w:rsidRPr="001C445E">
        <w:rPr>
          <w:color w:val="auto"/>
        </w:rPr>
        <w:t>8 de febrero de 2002</w:t>
      </w:r>
      <w:r w:rsidRPr="001C445E">
        <w:rPr>
          <w:color w:val="auto"/>
        </w:rPr>
        <w:t xml:space="preserve"> el Poder Judicial de la Nación a</w:t>
      </w:r>
      <w:r w:rsidR="00D526B7" w:rsidRPr="001C445E">
        <w:rPr>
          <w:color w:val="auto"/>
        </w:rPr>
        <w:t xml:space="preserve"> petición de la parte peticionaria </w:t>
      </w:r>
      <w:r w:rsidRPr="001C445E">
        <w:rPr>
          <w:color w:val="auto"/>
        </w:rPr>
        <w:t>intimó a la Embajada de Australia para que en el plazo de cinco días manifestara si se acogerí</w:t>
      </w:r>
      <w:r w:rsidR="004D4BCE" w:rsidRPr="001C445E">
        <w:rPr>
          <w:color w:val="auto"/>
        </w:rPr>
        <w:t xml:space="preserve">a a la inmunidad de ejecución </w:t>
      </w:r>
      <w:r w:rsidRPr="001C445E">
        <w:rPr>
          <w:color w:val="auto"/>
        </w:rPr>
        <w:t>o si daría efectivo cumplimie</w:t>
      </w:r>
      <w:r w:rsidR="00757FCD" w:rsidRPr="001C445E">
        <w:rPr>
          <w:color w:val="auto"/>
        </w:rPr>
        <w:t>nto a la condena</w:t>
      </w:r>
      <w:r w:rsidR="001C3FC6" w:rsidRPr="001C445E">
        <w:rPr>
          <w:rStyle w:val="FootnoteReference"/>
          <w:rFonts w:ascii="Cambria" w:hAnsi="Cambria"/>
          <w:color w:val="auto"/>
          <w:sz w:val="20"/>
        </w:rPr>
        <w:footnoteReference w:id="13"/>
      </w:r>
      <w:r w:rsidR="00757FCD" w:rsidRPr="001C445E">
        <w:rPr>
          <w:color w:val="auto"/>
        </w:rPr>
        <w:t xml:space="preserve">. </w:t>
      </w:r>
    </w:p>
    <w:p w14:paraId="5AE48A43" w14:textId="77777777" w:rsidR="002A3018" w:rsidRPr="001C445E" w:rsidRDefault="002A3018" w:rsidP="002A3018">
      <w:pPr>
        <w:pStyle w:val="parrafos"/>
        <w:tabs>
          <w:tab w:val="left" w:pos="540"/>
          <w:tab w:val="left" w:pos="567"/>
          <w:tab w:val="left" w:pos="1440"/>
        </w:tabs>
        <w:rPr>
          <w:color w:val="auto"/>
        </w:rPr>
      </w:pPr>
    </w:p>
    <w:p w14:paraId="02BDD8D5" w14:textId="77777777" w:rsidR="0071478B" w:rsidRPr="001C445E" w:rsidRDefault="003E2520" w:rsidP="0071478B">
      <w:pPr>
        <w:pStyle w:val="parrafos"/>
        <w:numPr>
          <w:ilvl w:val="0"/>
          <w:numId w:val="3"/>
        </w:numPr>
        <w:tabs>
          <w:tab w:val="left" w:pos="360"/>
          <w:tab w:val="left" w:pos="540"/>
          <w:tab w:val="left" w:pos="567"/>
          <w:tab w:val="left" w:pos="1440"/>
        </w:tabs>
        <w:ind w:left="0" w:firstLine="0"/>
        <w:rPr>
          <w:color w:val="auto"/>
        </w:rPr>
      </w:pPr>
      <w:r w:rsidRPr="001C445E">
        <w:rPr>
          <w:color w:val="auto"/>
        </w:rPr>
        <w:t>E</w:t>
      </w:r>
      <w:r w:rsidR="00FA4484" w:rsidRPr="001C445E">
        <w:rPr>
          <w:color w:val="auto"/>
        </w:rPr>
        <w:t>l</w:t>
      </w:r>
      <w:r w:rsidRPr="001C445E">
        <w:rPr>
          <w:color w:val="auto"/>
        </w:rPr>
        <w:t xml:space="preserve"> </w:t>
      </w:r>
      <w:r w:rsidR="007B4A5A" w:rsidRPr="001C445E">
        <w:rPr>
          <w:color w:val="auto"/>
        </w:rPr>
        <w:t>20 de febrero de 2002</w:t>
      </w:r>
      <w:r w:rsidRPr="001C445E">
        <w:rPr>
          <w:color w:val="auto"/>
        </w:rPr>
        <w:t xml:space="preserve"> la</w:t>
      </w:r>
      <w:r w:rsidR="007B4A5A" w:rsidRPr="001C445E">
        <w:rPr>
          <w:color w:val="auto"/>
        </w:rPr>
        <w:t xml:space="preserve"> </w:t>
      </w:r>
      <w:r w:rsidR="003C43C4" w:rsidRPr="001C445E">
        <w:rPr>
          <w:color w:val="auto"/>
        </w:rPr>
        <w:t xml:space="preserve">defensa de la </w:t>
      </w:r>
      <w:r w:rsidR="007B4A5A" w:rsidRPr="001C445E">
        <w:rPr>
          <w:color w:val="auto"/>
        </w:rPr>
        <w:t>Embajada</w:t>
      </w:r>
      <w:r w:rsidRPr="001C445E">
        <w:rPr>
          <w:color w:val="auto"/>
        </w:rPr>
        <w:t xml:space="preserve"> de Australia</w:t>
      </w:r>
      <w:r w:rsidR="00B34471" w:rsidRPr="001C445E">
        <w:rPr>
          <w:color w:val="auto"/>
        </w:rPr>
        <w:t>,</w:t>
      </w:r>
      <w:r w:rsidR="007B4A5A" w:rsidRPr="001C445E">
        <w:rPr>
          <w:color w:val="auto"/>
        </w:rPr>
        <w:t xml:space="preserve"> </w:t>
      </w:r>
      <w:r w:rsidRPr="001C445E">
        <w:rPr>
          <w:color w:val="auto"/>
        </w:rPr>
        <w:t>en respuesta a la intimación cursada por l</w:t>
      </w:r>
      <w:r w:rsidR="003C43C4" w:rsidRPr="001C445E">
        <w:rPr>
          <w:color w:val="auto"/>
        </w:rPr>
        <w:t>os tribunales argentinos, informó</w:t>
      </w:r>
      <w:r w:rsidRPr="001C445E">
        <w:rPr>
          <w:color w:val="auto"/>
        </w:rPr>
        <w:t xml:space="preserve"> que mantenía y no renunciaba a la inmunidad de ejecución </w:t>
      </w:r>
      <w:r w:rsidR="004D4BCE" w:rsidRPr="001C445E">
        <w:rPr>
          <w:color w:val="auto"/>
        </w:rPr>
        <w:t>prevista en la Convención de Viena sobre Relaciones Diplomática</w:t>
      </w:r>
      <w:r w:rsidR="00FA4484" w:rsidRPr="001C445E">
        <w:rPr>
          <w:color w:val="auto"/>
        </w:rPr>
        <w:t>s</w:t>
      </w:r>
      <w:r w:rsidR="004D4BCE" w:rsidRPr="001C445E">
        <w:rPr>
          <w:color w:val="auto"/>
        </w:rPr>
        <w:t xml:space="preserve"> y que fue </w:t>
      </w:r>
      <w:r w:rsidRPr="001C445E">
        <w:rPr>
          <w:color w:val="auto"/>
        </w:rPr>
        <w:t>opuesta en la contestación de la demanda, alegato y expresi</w:t>
      </w:r>
      <w:r w:rsidR="00757FCD" w:rsidRPr="001C445E">
        <w:rPr>
          <w:color w:val="auto"/>
        </w:rPr>
        <w:t>ón de agravios</w:t>
      </w:r>
      <w:r w:rsidR="00FA4484" w:rsidRPr="001C445E">
        <w:rPr>
          <w:color w:val="auto"/>
        </w:rPr>
        <w:t>,</w:t>
      </w:r>
      <w:r w:rsidR="00757FCD" w:rsidRPr="001C445E">
        <w:rPr>
          <w:color w:val="auto"/>
        </w:rPr>
        <w:t xml:space="preserve"> por lo que no daría cumplimiento a la condena</w:t>
      </w:r>
      <w:r w:rsidR="00A028BE" w:rsidRPr="001C445E">
        <w:rPr>
          <w:color w:val="auto"/>
        </w:rPr>
        <w:t>.</w:t>
      </w:r>
      <w:r w:rsidR="00757FCD" w:rsidRPr="001C445E">
        <w:rPr>
          <w:color w:val="auto"/>
        </w:rPr>
        <w:t xml:space="preserve"> </w:t>
      </w:r>
      <w:r w:rsidR="00A028BE" w:rsidRPr="001C445E">
        <w:rPr>
          <w:color w:val="auto"/>
        </w:rPr>
        <w:t>A</w:t>
      </w:r>
      <w:r w:rsidR="007D7351" w:rsidRPr="001C445E">
        <w:rPr>
          <w:color w:val="auto"/>
        </w:rPr>
        <w:t xml:space="preserve">l respecto, </w:t>
      </w:r>
      <w:r w:rsidR="00A028BE" w:rsidRPr="001C445E">
        <w:rPr>
          <w:color w:val="auto"/>
        </w:rPr>
        <w:t>señaló lo siguiente:</w:t>
      </w:r>
    </w:p>
    <w:p w14:paraId="50F40DEB" w14:textId="77777777" w:rsidR="003E2520" w:rsidRPr="001C445E" w:rsidRDefault="003E2520" w:rsidP="003E2520">
      <w:pPr>
        <w:pStyle w:val="parrafos"/>
        <w:tabs>
          <w:tab w:val="left" w:pos="360"/>
          <w:tab w:val="left" w:pos="540"/>
          <w:tab w:val="left" w:pos="567"/>
          <w:tab w:val="left" w:pos="1440"/>
        </w:tabs>
        <w:rPr>
          <w:color w:val="auto"/>
        </w:rPr>
      </w:pPr>
    </w:p>
    <w:p w14:paraId="059A2C25" w14:textId="77777777" w:rsidR="00A028BE" w:rsidRPr="001C445E" w:rsidRDefault="00A028BE" w:rsidP="00944D2D">
      <w:pPr>
        <w:pStyle w:val="parrafos"/>
        <w:tabs>
          <w:tab w:val="left" w:pos="360"/>
          <w:tab w:val="left" w:pos="540"/>
          <w:tab w:val="left" w:pos="567"/>
          <w:tab w:val="left" w:pos="1440"/>
        </w:tabs>
        <w:ind w:left="360"/>
        <w:rPr>
          <w:color w:val="auto"/>
          <w:sz w:val="18"/>
        </w:rPr>
      </w:pPr>
      <w:r w:rsidRPr="001C445E">
        <w:rPr>
          <w:color w:val="auto"/>
          <w:sz w:val="18"/>
        </w:rPr>
        <w:t>(…) 1. La Embajada de Australia en la República Argentina no presta conformidad para ser sometida a la ejecución de sentencia en estas actuaciones, ni renuncia a privilegios y/o inmunidades establecidas por la Convención de Viena sobre Relaciones Diplomáticas, adoptada por la Conferencia de las Naciones Unidas sobre Relaciones e Inmunidades Diplomáticas el día 18 de Abril de 1961, aprobada mediante Decreto-Ley 7672 del día 13 de Septiembre de 1963</w:t>
      </w:r>
      <w:r w:rsidRPr="001C445E">
        <w:rPr>
          <w:rStyle w:val="FootnoteReference"/>
          <w:rFonts w:ascii="Cambria" w:hAnsi="Cambria"/>
          <w:color w:val="auto"/>
          <w:sz w:val="20"/>
        </w:rPr>
        <w:footnoteReference w:id="14"/>
      </w:r>
      <w:r w:rsidRPr="001C445E">
        <w:rPr>
          <w:color w:val="auto"/>
        </w:rPr>
        <w:t>.</w:t>
      </w:r>
      <w:r w:rsidRPr="001C445E">
        <w:rPr>
          <w:color w:val="auto"/>
          <w:sz w:val="18"/>
        </w:rPr>
        <w:t xml:space="preserve"> </w:t>
      </w:r>
    </w:p>
    <w:p w14:paraId="77A52294" w14:textId="77777777" w:rsidR="00182336" w:rsidRPr="001C445E" w:rsidRDefault="00182336" w:rsidP="00944D2D">
      <w:pPr>
        <w:pStyle w:val="parrafos"/>
        <w:tabs>
          <w:tab w:val="left" w:pos="360"/>
          <w:tab w:val="left" w:pos="540"/>
          <w:tab w:val="left" w:pos="567"/>
          <w:tab w:val="left" w:pos="1440"/>
        </w:tabs>
        <w:ind w:left="360"/>
        <w:rPr>
          <w:color w:val="auto"/>
        </w:rPr>
      </w:pPr>
    </w:p>
    <w:p w14:paraId="1A81F0B1" w14:textId="6CA8897A" w:rsidR="00904930" w:rsidRPr="004952F8" w:rsidRDefault="009677ED" w:rsidP="00024FC8">
      <w:pPr>
        <w:pStyle w:val="parrafos"/>
        <w:numPr>
          <w:ilvl w:val="0"/>
          <w:numId w:val="3"/>
        </w:numPr>
        <w:tabs>
          <w:tab w:val="left" w:pos="360"/>
          <w:tab w:val="left" w:pos="540"/>
          <w:tab w:val="left" w:pos="567"/>
          <w:tab w:val="left" w:pos="1440"/>
        </w:tabs>
        <w:ind w:left="0" w:firstLine="0"/>
        <w:rPr>
          <w:color w:val="auto"/>
        </w:rPr>
      </w:pPr>
      <w:r w:rsidRPr="001C445E">
        <w:rPr>
          <w:color w:val="auto"/>
        </w:rPr>
        <w:t xml:space="preserve">El </w:t>
      </w:r>
      <w:r w:rsidR="007B4A5A" w:rsidRPr="001C445E">
        <w:rPr>
          <w:color w:val="auto"/>
        </w:rPr>
        <w:t>29 de mayo de 2002</w:t>
      </w:r>
      <w:r w:rsidR="004D4BCE" w:rsidRPr="001C445E">
        <w:rPr>
          <w:color w:val="auto"/>
        </w:rPr>
        <w:t xml:space="preserve"> la</w:t>
      </w:r>
      <w:r w:rsidR="00D526B7" w:rsidRPr="001C445E">
        <w:rPr>
          <w:color w:val="auto"/>
        </w:rPr>
        <w:t xml:space="preserve"> </w:t>
      </w:r>
      <w:r w:rsidR="00F569DF" w:rsidRPr="001C445E">
        <w:rPr>
          <w:color w:val="auto"/>
        </w:rPr>
        <w:t xml:space="preserve">parte </w:t>
      </w:r>
      <w:r w:rsidR="00D526B7" w:rsidRPr="001C445E">
        <w:rPr>
          <w:color w:val="auto"/>
        </w:rPr>
        <w:t xml:space="preserve">peticionaria </w:t>
      </w:r>
      <w:r w:rsidRPr="001C445E">
        <w:rPr>
          <w:color w:val="auto"/>
        </w:rPr>
        <w:t>dirigi</w:t>
      </w:r>
      <w:r w:rsidR="00F00936" w:rsidRPr="001C445E">
        <w:rPr>
          <w:color w:val="auto"/>
        </w:rPr>
        <w:t>ó una nota de reclamo</w:t>
      </w:r>
      <w:r w:rsidRPr="001C445E">
        <w:rPr>
          <w:color w:val="auto"/>
        </w:rPr>
        <w:t xml:space="preserve"> al Ministerio de Relaciones Exteriores, Comercio Internacional y Culto solicitando que adoptara las medidas que el derecho internacional en el ámbito de las relaciones internacionales le permitía para posibilitar el cumplimiento de la sentencia por parte de la Embajada de Australia</w:t>
      </w:r>
      <w:r w:rsidR="00484CC9" w:rsidRPr="001C445E">
        <w:rPr>
          <w:rStyle w:val="FootnoteReference"/>
          <w:rFonts w:ascii="Cambria" w:hAnsi="Cambria"/>
          <w:color w:val="auto"/>
          <w:sz w:val="20"/>
        </w:rPr>
        <w:footnoteReference w:id="15"/>
      </w:r>
      <w:r w:rsidRPr="001C445E">
        <w:rPr>
          <w:color w:val="auto"/>
        </w:rPr>
        <w:t xml:space="preserve">. </w:t>
      </w:r>
    </w:p>
    <w:p w14:paraId="717AAFBA" w14:textId="77777777" w:rsidR="00904930" w:rsidRPr="001C445E" w:rsidRDefault="00904930" w:rsidP="00024FC8">
      <w:pPr>
        <w:pStyle w:val="parrafos"/>
        <w:tabs>
          <w:tab w:val="left" w:pos="360"/>
          <w:tab w:val="left" w:pos="540"/>
          <w:tab w:val="left" w:pos="567"/>
          <w:tab w:val="left" w:pos="1440"/>
        </w:tabs>
        <w:rPr>
          <w:color w:val="auto"/>
        </w:rPr>
      </w:pPr>
    </w:p>
    <w:p w14:paraId="05FCBF5C" w14:textId="77777777" w:rsidR="007B4A5A" w:rsidRPr="001C445E" w:rsidRDefault="007D7351" w:rsidP="00EF2363">
      <w:pPr>
        <w:pStyle w:val="parrafos"/>
        <w:numPr>
          <w:ilvl w:val="0"/>
          <w:numId w:val="3"/>
        </w:numPr>
        <w:tabs>
          <w:tab w:val="left" w:pos="360"/>
          <w:tab w:val="left" w:pos="540"/>
          <w:tab w:val="left" w:pos="567"/>
          <w:tab w:val="left" w:pos="1440"/>
        </w:tabs>
        <w:ind w:left="0" w:firstLine="0"/>
        <w:rPr>
          <w:color w:val="auto"/>
        </w:rPr>
      </w:pPr>
      <w:r w:rsidRPr="001C445E">
        <w:rPr>
          <w:color w:val="auto"/>
        </w:rPr>
        <w:t>Según informó el Estado, e</w:t>
      </w:r>
      <w:r w:rsidR="00024FC8" w:rsidRPr="001C445E">
        <w:rPr>
          <w:color w:val="auto"/>
        </w:rPr>
        <w:t>l 3 de julio de 2002 la Cancillería argentina emitió una instrucción de gabinete para que se ejercieran los buenos oficios con la Embajada de Australia a los efectos de que se aviniera al cumplimiento de la sentencia que ordena</w:t>
      </w:r>
      <w:r w:rsidRPr="001C445E">
        <w:rPr>
          <w:color w:val="auto"/>
        </w:rPr>
        <w:t>ba indemnizar a la peticionaria</w:t>
      </w:r>
      <w:r w:rsidR="00024FC8" w:rsidRPr="001C445E">
        <w:rPr>
          <w:rStyle w:val="FootnoteReference"/>
          <w:rFonts w:ascii="Cambria" w:hAnsi="Cambria"/>
          <w:color w:val="auto"/>
          <w:sz w:val="20"/>
        </w:rPr>
        <w:footnoteReference w:id="16"/>
      </w:r>
      <w:r w:rsidRPr="001C445E">
        <w:rPr>
          <w:color w:val="auto"/>
        </w:rPr>
        <w:t>.</w:t>
      </w:r>
    </w:p>
    <w:p w14:paraId="56EE48EE" w14:textId="77777777" w:rsidR="00757FCD" w:rsidRPr="001C445E" w:rsidRDefault="00757FCD" w:rsidP="00757FCD">
      <w:pPr>
        <w:pStyle w:val="parrafos"/>
        <w:tabs>
          <w:tab w:val="left" w:pos="360"/>
          <w:tab w:val="left" w:pos="540"/>
          <w:tab w:val="left" w:pos="567"/>
          <w:tab w:val="left" w:pos="1440"/>
        </w:tabs>
        <w:rPr>
          <w:color w:val="auto"/>
        </w:rPr>
      </w:pPr>
    </w:p>
    <w:p w14:paraId="4E10C833" w14:textId="77777777" w:rsidR="00024FC8" w:rsidRPr="001C445E" w:rsidRDefault="005472A6" w:rsidP="00024FC8">
      <w:pPr>
        <w:pStyle w:val="parrafos"/>
        <w:numPr>
          <w:ilvl w:val="0"/>
          <w:numId w:val="3"/>
        </w:numPr>
        <w:tabs>
          <w:tab w:val="left" w:pos="360"/>
          <w:tab w:val="left" w:pos="540"/>
          <w:tab w:val="left" w:pos="567"/>
          <w:tab w:val="left" w:pos="1440"/>
        </w:tabs>
        <w:ind w:left="0" w:firstLine="0"/>
        <w:rPr>
          <w:color w:val="auto"/>
        </w:rPr>
      </w:pPr>
      <w:r w:rsidRPr="001C445E">
        <w:rPr>
          <w:color w:val="auto"/>
        </w:rPr>
        <w:t>L</w:t>
      </w:r>
      <w:r w:rsidR="00D526B7" w:rsidRPr="001C445E">
        <w:rPr>
          <w:color w:val="auto"/>
        </w:rPr>
        <w:t xml:space="preserve">a parte peticionaria </w:t>
      </w:r>
      <w:r w:rsidR="00E24957" w:rsidRPr="001C445E">
        <w:rPr>
          <w:color w:val="auto"/>
        </w:rPr>
        <w:t>dirigi</w:t>
      </w:r>
      <w:r w:rsidR="00F00936" w:rsidRPr="001C445E">
        <w:rPr>
          <w:color w:val="auto"/>
        </w:rPr>
        <w:t>ó una nueva nota de reclamo</w:t>
      </w:r>
      <w:r w:rsidR="00E24957" w:rsidRPr="001C445E">
        <w:rPr>
          <w:color w:val="auto"/>
        </w:rPr>
        <w:t xml:space="preserve"> de fecha </w:t>
      </w:r>
      <w:r w:rsidR="007B4A5A" w:rsidRPr="001C445E">
        <w:rPr>
          <w:color w:val="auto"/>
        </w:rPr>
        <w:t>4 de septiembre de 2003</w:t>
      </w:r>
      <w:r w:rsidRPr="001C445E">
        <w:rPr>
          <w:color w:val="auto"/>
        </w:rPr>
        <w:t xml:space="preserve"> a la Presidencia de la Nación y al Ministerio de Relaciones Exteriores, Comercio Internacional y Culto denunciando que la Cancillería argentina no había respondido por escrito la solicitud </w:t>
      </w:r>
      <w:r w:rsidR="004D4BCE" w:rsidRPr="001C445E">
        <w:rPr>
          <w:color w:val="auto"/>
        </w:rPr>
        <w:t xml:space="preserve">de intervención en la controversia </w:t>
      </w:r>
      <w:r w:rsidRPr="001C445E">
        <w:rPr>
          <w:color w:val="auto"/>
        </w:rPr>
        <w:t xml:space="preserve">con la Embajada de Australia que la </w:t>
      </w:r>
      <w:r w:rsidR="00D526B7" w:rsidRPr="001C445E">
        <w:rPr>
          <w:color w:val="auto"/>
        </w:rPr>
        <w:t xml:space="preserve">parte peticionaria </w:t>
      </w:r>
      <w:r w:rsidRPr="001C445E">
        <w:rPr>
          <w:color w:val="auto"/>
        </w:rPr>
        <w:t>había interpues</w:t>
      </w:r>
      <w:r w:rsidR="00757FCD" w:rsidRPr="001C445E">
        <w:rPr>
          <w:color w:val="auto"/>
        </w:rPr>
        <w:t>to e</w:t>
      </w:r>
      <w:r w:rsidR="00944D2D" w:rsidRPr="001C445E">
        <w:rPr>
          <w:color w:val="auto"/>
        </w:rPr>
        <w:t>l</w:t>
      </w:r>
      <w:r w:rsidR="00757FCD" w:rsidRPr="001C445E">
        <w:rPr>
          <w:color w:val="auto"/>
        </w:rPr>
        <w:t xml:space="preserve"> 29 de mayo de 2002</w:t>
      </w:r>
      <w:r w:rsidR="00484CC9" w:rsidRPr="001C445E">
        <w:rPr>
          <w:rStyle w:val="FootnoteReference"/>
          <w:rFonts w:ascii="Cambria" w:hAnsi="Cambria"/>
          <w:color w:val="auto"/>
          <w:sz w:val="20"/>
        </w:rPr>
        <w:footnoteReference w:id="17"/>
      </w:r>
      <w:r w:rsidR="00024FC8" w:rsidRPr="001C445E">
        <w:rPr>
          <w:color w:val="auto"/>
        </w:rPr>
        <w:t xml:space="preserve">. </w:t>
      </w:r>
    </w:p>
    <w:p w14:paraId="2908EB2C" w14:textId="77777777" w:rsidR="00024FC8" w:rsidRPr="001C445E" w:rsidRDefault="00024FC8" w:rsidP="00024FC8">
      <w:pPr>
        <w:pStyle w:val="parrafos"/>
        <w:tabs>
          <w:tab w:val="left" w:pos="360"/>
          <w:tab w:val="left" w:pos="540"/>
          <w:tab w:val="left" w:pos="567"/>
          <w:tab w:val="left" w:pos="1440"/>
        </w:tabs>
        <w:rPr>
          <w:color w:val="auto"/>
        </w:rPr>
      </w:pPr>
    </w:p>
    <w:p w14:paraId="5AA3CA3A" w14:textId="77777777" w:rsidR="00024FC8" w:rsidRPr="001C445E" w:rsidRDefault="007D7351" w:rsidP="002159EA">
      <w:pPr>
        <w:pStyle w:val="parrafos"/>
        <w:numPr>
          <w:ilvl w:val="0"/>
          <w:numId w:val="3"/>
        </w:numPr>
        <w:tabs>
          <w:tab w:val="left" w:pos="360"/>
          <w:tab w:val="left" w:pos="540"/>
          <w:tab w:val="left" w:pos="567"/>
          <w:tab w:val="left" w:pos="1440"/>
        </w:tabs>
        <w:ind w:left="0" w:firstLine="0"/>
        <w:rPr>
          <w:color w:val="auto"/>
        </w:rPr>
      </w:pPr>
      <w:r w:rsidRPr="001C445E">
        <w:rPr>
          <w:color w:val="auto"/>
        </w:rPr>
        <w:t>Conforme fue señalado por el Estado, e</w:t>
      </w:r>
      <w:r w:rsidR="00024FC8" w:rsidRPr="001C445E">
        <w:rPr>
          <w:color w:val="auto"/>
        </w:rPr>
        <w:t>l 11 de septiembre de 2003 funcionarios de la Cancillería argentina sostuvieron una reunión con el Jefe de la Misión Diplomática de Australia en Buenos Aires para emplazar a este último a que diera efectivo cumplimi</w:t>
      </w:r>
      <w:r w:rsidRPr="001C445E">
        <w:rPr>
          <w:color w:val="auto"/>
        </w:rPr>
        <w:t>ento a la sentencia en cuestión</w:t>
      </w:r>
      <w:r w:rsidR="00F532B8" w:rsidRPr="001C445E">
        <w:rPr>
          <w:rStyle w:val="FootnoteReference"/>
          <w:rFonts w:ascii="Cambria" w:hAnsi="Cambria"/>
          <w:color w:val="auto"/>
          <w:sz w:val="20"/>
        </w:rPr>
        <w:footnoteReference w:id="18"/>
      </w:r>
      <w:r w:rsidRPr="001C445E">
        <w:rPr>
          <w:color w:val="auto"/>
        </w:rPr>
        <w:t>.</w:t>
      </w:r>
    </w:p>
    <w:p w14:paraId="121FD38A" w14:textId="77777777" w:rsidR="00024FC8" w:rsidRPr="001C445E" w:rsidRDefault="00024FC8" w:rsidP="00024FC8">
      <w:pPr>
        <w:pStyle w:val="parrafos"/>
        <w:tabs>
          <w:tab w:val="left" w:pos="360"/>
          <w:tab w:val="left" w:pos="540"/>
          <w:tab w:val="left" w:pos="567"/>
          <w:tab w:val="left" w:pos="1440"/>
        </w:tabs>
        <w:rPr>
          <w:color w:val="auto"/>
        </w:rPr>
      </w:pPr>
    </w:p>
    <w:p w14:paraId="7AED470E" w14:textId="77777777" w:rsidR="007B4A5A" w:rsidRPr="001C445E" w:rsidRDefault="005472A6" w:rsidP="00EF2363">
      <w:pPr>
        <w:pStyle w:val="parrafos"/>
        <w:numPr>
          <w:ilvl w:val="0"/>
          <w:numId w:val="3"/>
        </w:numPr>
        <w:tabs>
          <w:tab w:val="left" w:pos="360"/>
          <w:tab w:val="left" w:pos="540"/>
          <w:tab w:val="left" w:pos="567"/>
          <w:tab w:val="left" w:pos="1440"/>
        </w:tabs>
        <w:ind w:left="0" w:firstLine="0"/>
        <w:rPr>
          <w:color w:val="auto"/>
        </w:rPr>
      </w:pPr>
      <w:r w:rsidRPr="001C445E">
        <w:rPr>
          <w:color w:val="auto"/>
        </w:rPr>
        <w:t>E</w:t>
      </w:r>
      <w:r w:rsidR="00F569DF" w:rsidRPr="001C445E">
        <w:rPr>
          <w:color w:val="auto"/>
        </w:rPr>
        <w:t>l</w:t>
      </w:r>
      <w:r w:rsidRPr="001C445E">
        <w:rPr>
          <w:color w:val="auto"/>
        </w:rPr>
        <w:t xml:space="preserve"> </w:t>
      </w:r>
      <w:r w:rsidR="007B4A5A" w:rsidRPr="001C445E">
        <w:rPr>
          <w:color w:val="auto"/>
        </w:rPr>
        <w:t>16 de octubre de 2003</w:t>
      </w:r>
      <w:r w:rsidRPr="001C445E">
        <w:rPr>
          <w:color w:val="auto"/>
        </w:rPr>
        <w:t xml:space="preserve"> la </w:t>
      </w:r>
      <w:r w:rsidR="00D526B7" w:rsidRPr="001C445E">
        <w:rPr>
          <w:color w:val="auto"/>
        </w:rPr>
        <w:t xml:space="preserve">parte peticionaria </w:t>
      </w:r>
      <w:r w:rsidRPr="001C445E">
        <w:rPr>
          <w:color w:val="auto"/>
        </w:rPr>
        <w:t xml:space="preserve">dirigió una comunicación al Ministerio de Relaciones Exteriores, Comercio Internacional y Culto donde denunciaba que ese organismo no había ejercido la </w:t>
      </w:r>
      <w:r w:rsidRPr="001C445E">
        <w:rPr>
          <w:color w:val="auto"/>
        </w:rPr>
        <w:lastRenderedPageBreak/>
        <w:t xml:space="preserve">suficiente presión diplomática e internacional para obligar a cumplir la condena a la Embajada de </w:t>
      </w:r>
      <w:r w:rsidR="007D7351" w:rsidRPr="001C445E">
        <w:rPr>
          <w:color w:val="auto"/>
        </w:rPr>
        <w:t>Australia, razón por la cual, solicitó</w:t>
      </w:r>
      <w:r w:rsidRPr="001C445E">
        <w:rPr>
          <w:color w:val="auto"/>
        </w:rPr>
        <w:t xml:space="preserve"> al Estado argentino a pagarle la cantidad de $</w:t>
      </w:r>
      <w:r w:rsidR="00757FCD" w:rsidRPr="001C445E">
        <w:rPr>
          <w:color w:val="auto"/>
        </w:rPr>
        <w:t xml:space="preserve"> 758.876,23 pesos argentinos</w:t>
      </w:r>
      <w:r w:rsidR="00484CC9" w:rsidRPr="001C445E">
        <w:rPr>
          <w:rStyle w:val="FootnoteReference"/>
          <w:rFonts w:ascii="Cambria" w:hAnsi="Cambria"/>
          <w:color w:val="auto"/>
          <w:sz w:val="20"/>
        </w:rPr>
        <w:footnoteReference w:id="19"/>
      </w:r>
      <w:r w:rsidR="00757FCD" w:rsidRPr="001C445E">
        <w:rPr>
          <w:color w:val="auto"/>
        </w:rPr>
        <w:t xml:space="preserve">. </w:t>
      </w:r>
    </w:p>
    <w:p w14:paraId="1FE2DD96" w14:textId="77777777" w:rsidR="007B4A5A" w:rsidRPr="001C445E" w:rsidRDefault="007B4A5A" w:rsidP="007B4A5A">
      <w:pPr>
        <w:pStyle w:val="parrafos"/>
        <w:tabs>
          <w:tab w:val="left" w:pos="360"/>
          <w:tab w:val="left" w:pos="540"/>
          <w:tab w:val="left" w:pos="567"/>
          <w:tab w:val="left" w:pos="1440"/>
        </w:tabs>
        <w:rPr>
          <w:color w:val="auto"/>
        </w:rPr>
      </w:pPr>
    </w:p>
    <w:p w14:paraId="5BA74F0A" w14:textId="77777777" w:rsidR="007B4A5A" w:rsidRPr="001C445E" w:rsidRDefault="00A028BE" w:rsidP="00092135">
      <w:pPr>
        <w:pStyle w:val="parrafos"/>
        <w:numPr>
          <w:ilvl w:val="0"/>
          <w:numId w:val="3"/>
        </w:numPr>
        <w:tabs>
          <w:tab w:val="left" w:pos="360"/>
          <w:tab w:val="left" w:pos="540"/>
          <w:tab w:val="left" w:pos="567"/>
          <w:tab w:val="left" w:pos="1440"/>
        </w:tabs>
        <w:ind w:left="0" w:firstLine="0"/>
        <w:rPr>
          <w:color w:val="auto"/>
        </w:rPr>
      </w:pPr>
      <w:r w:rsidRPr="001C445E">
        <w:rPr>
          <w:color w:val="auto"/>
        </w:rPr>
        <w:t>E</w:t>
      </w:r>
      <w:r w:rsidR="007B4A5A" w:rsidRPr="001C445E">
        <w:rPr>
          <w:color w:val="auto"/>
          <w:lang w:val="es-ES_tradnl"/>
        </w:rPr>
        <w:t>l</w:t>
      </w:r>
      <w:r w:rsidR="007B4A5A" w:rsidRPr="001C445E">
        <w:rPr>
          <w:color w:val="auto"/>
        </w:rPr>
        <w:t xml:space="preserve"> 25 de noviembre de 2003 el Juzgado Nacional de Primera Instancia del Trabajo N° 44 homologó un acuerdo </w:t>
      </w:r>
      <w:r w:rsidR="007D7351" w:rsidRPr="001C445E">
        <w:rPr>
          <w:color w:val="auto"/>
        </w:rPr>
        <w:t xml:space="preserve">extrajudicial </w:t>
      </w:r>
      <w:r w:rsidR="007B4A5A" w:rsidRPr="001C445E">
        <w:rPr>
          <w:color w:val="auto"/>
        </w:rPr>
        <w:t xml:space="preserve">firmado entre la </w:t>
      </w:r>
      <w:r w:rsidR="00D526B7" w:rsidRPr="001C445E">
        <w:rPr>
          <w:color w:val="auto"/>
        </w:rPr>
        <w:t xml:space="preserve">parte peticionaria </w:t>
      </w:r>
      <w:r w:rsidR="007B4A5A" w:rsidRPr="001C445E">
        <w:rPr>
          <w:color w:val="auto"/>
        </w:rPr>
        <w:t>y la Embajada de Australia</w:t>
      </w:r>
      <w:r w:rsidRPr="001C445E">
        <w:rPr>
          <w:color w:val="auto"/>
        </w:rPr>
        <w:t xml:space="preserve"> en la sede de la Cancillería argentina</w:t>
      </w:r>
      <w:r w:rsidR="007B4A5A" w:rsidRPr="001C445E">
        <w:rPr>
          <w:color w:val="auto"/>
        </w:rPr>
        <w:t>. Dicho acuerdo señalaba lo siguiente:</w:t>
      </w:r>
    </w:p>
    <w:p w14:paraId="27357532" w14:textId="77777777" w:rsidR="007B4A5A" w:rsidRPr="001C445E" w:rsidRDefault="007B4A5A" w:rsidP="007B4A5A">
      <w:pPr>
        <w:pStyle w:val="parrafos"/>
        <w:tabs>
          <w:tab w:val="left" w:pos="360"/>
          <w:tab w:val="left" w:pos="540"/>
          <w:tab w:val="left" w:pos="567"/>
          <w:tab w:val="left" w:pos="1440"/>
        </w:tabs>
        <w:rPr>
          <w:color w:val="auto"/>
        </w:rPr>
      </w:pPr>
    </w:p>
    <w:p w14:paraId="59C93ACF" w14:textId="77777777" w:rsidR="007B4A5A" w:rsidRPr="001C445E" w:rsidRDefault="007B4A5A" w:rsidP="007C7AB0">
      <w:pPr>
        <w:pStyle w:val="parrafos"/>
        <w:tabs>
          <w:tab w:val="left" w:pos="360"/>
          <w:tab w:val="left" w:pos="540"/>
          <w:tab w:val="left" w:pos="567"/>
          <w:tab w:val="left" w:pos="1440"/>
        </w:tabs>
        <w:ind w:left="360"/>
        <w:rPr>
          <w:color w:val="auto"/>
          <w:sz w:val="18"/>
        </w:rPr>
      </w:pPr>
      <w:r w:rsidRPr="001C445E">
        <w:rPr>
          <w:color w:val="auto"/>
        </w:rPr>
        <w:tab/>
      </w:r>
      <w:r w:rsidRPr="001C445E">
        <w:rPr>
          <w:color w:val="auto"/>
          <w:sz w:val="18"/>
        </w:rPr>
        <w:t>(…) 1. La Embajada de Australia en la República Argentina, sin renunciar a la inmunidad de ejecución y sujeta la obligación que sigue a la homologación del presente acuerdo, se obliga a pagar a la actora y profesionales intervinientes en los autos caratulados (…) la suma total de Dólares Estadounidenses Ciento Cincuenta Mil (…)</w:t>
      </w:r>
    </w:p>
    <w:p w14:paraId="07F023C8" w14:textId="77777777" w:rsidR="007B4A5A" w:rsidRPr="001C445E" w:rsidRDefault="007B4A5A" w:rsidP="007B4A5A">
      <w:pPr>
        <w:pStyle w:val="parrafos"/>
        <w:tabs>
          <w:tab w:val="left" w:pos="360"/>
          <w:tab w:val="left" w:pos="540"/>
          <w:tab w:val="left" w:pos="567"/>
          <w:tab w:val="left" w:pos="1440"/>
        </w:tabs>
        <w:rPr>
          <w:color w:val="auto"/>
          <w:sz w:val="18"/>
        </w:rPr>
      </w:pPr>
      <w:r w:rsidRPr="001C445E">
        <w:rPr>
          <w:color w:val="auto"/>
          <w:sz w:val="18"/>
        </w:rPr>
        <w:tab/>
      </w:r>
    </w:p>
    <w:p w14:paraId="4D12A981" w14:textId="77777777" w:rsidR="007B4A5A" w:rsidRPr="001C445E" w:rsidRDefault="007B4A5A" w:rsidP="007C7AB0">
      <w:pPr>
        <w:pStyle w:val="parrafos"/>
        <w:tabs>
          <w:tab w:val="left" w:pos="360"/>
          <w:tab w:val="left" w:pos="540"/>
          <w:tab w:val="left" w:pos="567"/>
          <w:tab w:val="left" w:pos="1440"/>
        </w:tabs>
        <w:ind w:left="360"/>
        <w:rPr>
          <w:color w:val="auto"/>
          <w:sz w:val="18"/>
        </w:rPr>
      </w:pPr>
      <w:r w:rsidRPr="001C445E">
        <w:rPr>
          <w:color w:val="auto"/>
          <w:sz w:val="18"/>
        </w:rPr>
        <w:tab/>
        <w:t>(…) 2. En cumplimiento del punto 1 de este acuerdo, la Embajada de Australia en la República Argentina depositará simultáneamente la suma de Dólares Estadounidenses Ciento Ocho Mil (…) y la suma de Pesos equivalente a Dólares Estadounidenses Cuarenta y Dos Mil (…) al tipo de cambio vendedor del Banco de la Nación Argentina del día inmediato posterior al de la notificación de homologación del acuerdo. Ambos montos serán depositados por la Embajada de Australia en la República Argentina a los cinco días de notificada la homologación del presente acuerdo (…)</w:t>
      </w:r>
    </w:p>
    <w:p w14:paraId="4BDB5498" w14:textId="77777777" w:rsidR="007B4A5A" w:rsidRPr="001C445E" w:rsidRDefault="007B4A5A" w:rsidP="007B4A5A">
      <w:pPr>
        <w:pStyle w:val="parrafos"/>
        <w:tabs>
          <w:tab w:val="left" w:pos="360"/>
          <w:tab w:val="left" w:pos="540"/>
          <w:tab w:val="left" w:pos="567"/>
          <w:tab w:val="left" w:pos="1440"/>
        </w:tabs>
        <w:rPr>
          <w:color w:val="auto"/>
          <w:sz w:val="18"/>
        </w:rPr>
      </w:pPr>
    </w:p>
    <w:p w14:paraId="3C9ECDA4" w14:textId="1B76B3ED" w:rsidR="007B4A5A" w:rsidRPr="001C445E" w:rsidRDefault="007B4A5A" w:rsidP="007C7AB0">
      <w:pPr>
        <w:pStyle w:val="parrafos"/>
        <w:tabs>
          <w:tab w:val="left" w:pos="360"/>
          <w:tab w:val="left" w:pos="540"/>
          <w:tab w:val="left" w:pos="567"/>
          <w:tab w:val="left" w:pos="1440"/>
        </w:tabs>
        <w:ind w:left="360"/>
        <w:rPr>
          <w:color w:val="auto"/>
          <w:sz w:val="18"/>
        </w:rPr>
      </w:pPr>
      <w:r w:rsidRPr="001C445E">
        <w:rPr>
          <w:color w:val="auto"/>
          <w:sz w:val="18"/>
        </w:rPr>
        <w:t xml:space="preserve">(…) 10. En caso de no efectivizarse el pago en los términos y condiciones pactados, este acuerdo quedará nulo, sin efecto, retrotrayéndose el proceso judicial a la situación anterior al presente acuerdo. Asimismo, si este acuerdo no pudiera efectivizarse dentro de los veinte (20) días hábiles a partir de la firma del presente acuerdo, la actora </w:t>
      </w:r>
      <w:r w:rsidR="005612B0">
        <w:rPr>
          <w:color w:val="auto"/>
          <w:sz w:val="18"/>
        </w:rPr>
        <w:t>(…)</w:t>
      </w:r>
      <w:r w:rsidR="00864D3B">
        <w:rPr>
          <w:color w:val="auto"/>
          <w:sz w:val="18"/>
        </w:rPr>
        <w:t xml:space="preserve"> </w:t>
      </w:r>
      <w:r w:rsidRPr="001C445E">
        <w:rPr>
          <w:color w:val="auto"/>
          <w:sz w:val="18"/>
        </w:rPr>
        <w:t>podrá declarar la nulidad del acuerdo, retrotrayéndose también en ese caso el proceso judicial a la situación anterior al presente acuerdo (…)</w:t>
      </w:r>
      <w:r w:rsidR="00223E6B" w:rsidRPr="001C445E">
        <w:rPr>
          <w:rStyle w:val="FootnoteReference"/>
          <w:rFonts w:ascii="Cambria" w:hAnsi="Cambria"/>
          <w:color w:val="auto"/>
          <w:sz w:val="20"/>
        </w:rPr>
        <w:footnoteReference w:id="20"/>
      </w:r>
      <w:r w:rsidRPr="001C445E">
        <w:rPr>
          <w:color w:val="auto"/>
          <w:sz w:val="18"/>
        </w:rPr>
        <w:t>.</w:t>
      </w:r>
    </w:p>
    <w:p w14:paraId="2916C19D" w14:textId="77777777" w:rsidR="007B4A5A" w:rsidRPr="001C445E" w:rsidRDefault="007B4A5A" w:rsidP="007B4A5A">
      <w:pPr>
        <w:pStyle w:val="parrafos"/>
        <w:tabs>
          <w:tab w:val="left" w:pos="360"/>
          <w:tab w:val="left" w:pos="540"/>
          <w:tab w:val="left" w:pos="567"/>
          <w:tab w:val="left" w:pos="1440"/>
        </w:tabs>
        <w:rPr>
          <w:color w:val="auto"/>
          <w:sz w:val="18"/>
        </w:rPr>
      </w:pPr>
    </w:p>
    <w:p w14:paraId="1975F470" w14:textId="77777777" w:rsidR="007B4A5A" w:rsidRPr="001C445E" w:rsidRDefault="007B4A5A" w:rsidP="007C7AB0">
      <w:pPr>
        <w:pStyle w:val="parrafos"/>
        <w:numPr>
          <w:ilvl w:val="0"/>
          <w:numId w:val="3"/>
        </w:numPr>
        <w:tabs>
          <w:tab w:val="left" w:pos="360"/>
        </w:tabs>
        <w:ind w:left="0" w:firstLine="0"/>
        <w:rPr>
          <w:color w:val="auto"/>
        </w:rPr>
      </w:pPr>
      <w:r w:rsidRPr="001C445E">
        <w:rPr>
          <w:color w:val="auto"/>
        </w:rPr>
        <w:t xml:space="preserve">El 18 de diciembre de 2003 la </w:t>
      </w:r>
      <w:r w:rsidR="00D526B7" w:rsidRPr="001C445E">
        <w:rPr>
          <w:color w:val="auto"/>
        </w:rPr>
        <w:t xml:space="preserve">parte peticionaria </w:t>
      </w:r>
      <w:r w:rsidR="00F00936" w:rsidRPr="001C445E">
        <w:rPr>
          <w:color w:val="auto"/>
        </w:rPr>
        <w:t xml:space="preserve">dirigió una nota </w:t>
      </w:r>
      <w:r w:rsidRPr="001C445E">
        <w:rPr>
          <w:color w:val="auto"/>
        </w:rPr>
        <w:t xml:space="preserve">al Ministerio de Relaciones Exteriores, Comercio Internacional y Culto </w:t>
      </w:r>
      <w:r w:rsidR="004F28A4" w:rsidRPr="001C445E">
        <w:rPr>
          <w:color w:val="auto"/>
        </w:rPr>
        <w:t>informando</w:t>
      </w:r>
      <w:r w:rsidRPr="001C445E">
        <w:rPr>
          <w:color w:val="auto"/>
        </w:rPr>
        <w:t xml:space="preserve"> del incumplimiento por parte de la Embajada de Austra</w:t>
      </w:r>
      <w:r w:rsidR="004F28A4" w:rsidRPr="001C445E">
        <w:rPr>
          <w:color w:val="auto"/>
        </w:rPr>
        <w:t>lia del acuerdo de pago firmado</w:t>
      </w:r>
      <w:r w:rsidR="00223E6B" w:rsidRPr="001C445E">
        <w:rPr>
          <w:rStyle w:val="FootnoteReference"/>
          <w:rFonts w:ascii="Cambria" w:hAnsi="Cambria"/>
          <w:color w:val="auto"/>
          <w:sz w:val="20"/>
        </w:rPr>
        <w:footnoteReference w:id="21"/>
      </w:r>
      <w:r w:rsidR="004F28A4" w:rsidRPr="001C445E">
        <w:rPr>
          <w:color w:val="auto"/>
        </w:rPr>
        <w:t xml:space="preserve">. </w:t>
      </w:r>
    </w:p>
    <w:p w14:paraId="46ABBD8F" w14:textId="77777777" w:rsidR="00904930" w:rsidRPr="001C445E" w:rsidRDefault="00904930" w:rsidP="004F28A4">
      <w:pPr>
        <w:pStyle w:val="parrafos"/>
        <w:tabs>
          <w:tab w:val="left" w:pos="360"/>
        </w:tabs>
        <w:rPr>
          <w:color w:val="auto"/>
        </w:rPr>
      </w:pPr>
    </w:p>
    <w:p w14:paraId="4CDFDECD" w14:textId="77777777" w:rsidR="004F28A4" w:rsidRPr="001C445E" w:rsidRDefault="00AE1B92" w:rsidP="0058309D">
      <w:pPr>
        <w:pStyle w:val="parrafos"/>
        <w:numPr>
          <w:ilvl w:val="0"/>
          <w:numId w:val="3"/>
        </w:numPr>
        <w:tabs>
          <w:tab w:val="left" w:pos="360"/>
        </w:tabs>
        <w:ind w:left="0" w:firstLine="0"/>
        <w:rPr>
          <w:color w:val="auto"/>
        </w:rPr>
      </w:pPr>
      <w:r w:rsidRPr="001C445E">
        <w:rPr>
          <w:color w:val="auto"/>
        </w:rPr>
        <w:t xml:space="preserve">El </w:t>
      </w:r>
      <w:r w:rsidR="00F532B8" w:rsidRPr="001C445E">
        <w:rPr>
          <w:color w:val="auto"/>
        </w:rPr>
        <w:t>12 de julio de 2005</w:t>
      </w:r>
      <w:r w:rsidRPr="001C445E">
        <w:rPr>
          <w:color w:val="auto"/>
        </w:rPr>
        <w:t xml:space="preserve">, tomando en cuenta el incumplimiento del acuerdo de pago, </w:t>
      </w:r>
      <w:r w:rsidR="0058309D" w:rsidRPr="001C445E">
        <w:rPr>
          <w:color w:val="auto"/>
        </w:rPr>
        <w:t xml:space="preserve">los abogados que representaron a la parte peticionaria durante el proceso, presentaron una denuncia </w:t>
      </w:r>
      <w:r w:rsidR="00944D2D" w:rsidRPr="001C445E">
        <w:rPr>
          <w:color w:val="auto"/>
        </w:rPr>
        <w:t>a</w:t>
      </w:r>
      <w:r w:rsidR="004F28A4" w:rsidRPr="001C445E">
        <w:rPr>
          <w:color w:val="auto"/>
        </w:rPr>
        <w:t>l Juzgado Nacional de Primera Instancia del Trabajo N° 44 para que se</w:t>
      </w:r>
      <w:r w:rsidR="0081008B" w:rsidRPr="001C445E">
        <w:rPr>
          <w:color w:val="auto"/>
        </w:rPr>
        <w:t xml:space="preserve"> intimara a ésta</w:t>
      </w:r>
      <w:r w:rsidR="00D526B7" w:rsidRPr="001C445E">
        <w:rPr>
          <w:color w:val="auto"/>
        </w:rPr>
        <w:t xml:space="preserve"> </w:t>
      </w:r>
      <w:r w:rsidR="004F28A4" w:rsidRPr="001C445E">
        <w:rPr>
          <w:color w:val="auto"/>
        </w:rPr>
        <w:t>al pago de sus honorarios</w:t>
      </w:r>
      <w:r w:rsidR="00223E6B" w:rsidRPr="001C445E">
        <w:rPr>
          <w:rStyle w:val="FootnoteReference"/>
          <w:rFonts w:ascii="Cambria" w:hAnsi="Cambria"/>
          <w:color w:val="auto"/>
          <w:sz w:val="20"/>
        </w:rPr>
        <w:footnoteReference w:id="22"/>
      </w:r>
      <w:r w:rsidR="004F28A4" w:rsidRPr="001C445E">
        <w:rPr>
          <w:color w:val="auto"/>
        </w:rPr>
        <w:t xml:space="preserve">. </w:t>
      </w:r>
      <w:r w:rsidR="0058309D" w:rsidRPr="001C445E">
        <w:rPr>
          <w:color w:val="auto"/>
        </w:rPr>
        <w:t xml:space="preserve">El </w:t>
      </w:r>
      <w:r w:rsidR="004F28A4" w:rsidRPr="001C445E">
        <w:rPr>
          <w:color w:val="auto"/>
        </w:rPr>
        <w:t xml:space="preserve">26 de abril de 2005 este tribunal notificó a la </w:t>
      </w:r>
      <w:r w:rsidR="00D526B7" w:rsidRPr="001C445E">
        <w:rPr>
          <w:color w:val="auto"/>
        </w:rPr>
        <w:t xml:space="preserve">parte peticionaria </w:t>
      </w:r>
      <w:r w:rsidR="004F28A4" w:rsidRPr="001C445E">
        <w:rPr>
          <w:color w:val="auto"/>
        </w:rPr>
        <w:t>que tenía un plazo de treinta días para acreditar el depósito adeudado</w:t>
      </w:r>
      <w:r w:rsidR="00223E6B" w:rsidRPr="001C445E">
        <w:rPr>
          <w:rStyle w:val="FootnoteReference"/>
          <w:rFonts w:ascii="Cambria" w:hAnsi="Cambria"/>
          <w:color w:val="auto"/>
          <w:sz w:val="20"/>
        </w:rPr>
        <w:footnoteReference w:id="23"/>
      </w:r>
      <w:r w:rsidR="004F28A4" w:rsidRPr="001C445E">
        <w:rPr>
          <w:color w:val="auto"/>
        </w:rPr>
        <w:t xml:space="preserve">. </w:t>
      </w:r>
    </w:p>
    <w:p w14:paraId="06BBA33E" w14:textId="77777777" w:rsidR="007B4A5A" w:rsidRPr="001C445E" w:rsidRDefault="007B4A5A" w:rsidP="007B4A5A">
      <w:pPr>
        <w:pStyle w:val="parrafos"/>
        <w:tabs>
          <w:tab w:val="left" w:pos="360"/>
        </w:tabs>
        <w:rPr>
          <w:color w:val="auto"/>
          <w:sz w:val="18"/>
        </w:rPr>
      </w:pPr>
    </w:p>
    <w:p w14:paraId="72F6918D" w14:textId="77777777" w:rsidR="008C3992" w:rsidRPr="001C445E" w:rsidRDefault="004F28A4" w:rsidP="008C3992">
      <w:pPr>
        <w:pStyle w:val="parrafos"/>
        <w:numPr>
          <w:ilvl w:val="0"/>
          <w:numId w:val="3"/>
        </w:numPr>
        <w:tabs>
          <w:tab w:val="left" w:pos="360"/>
          <w:tab w:val="left" w:pos="540"/>
          <w:tab w:val="left" w:pos="567"/>
          <w:tab w:val="left" w:pos="1440"/>
        </w:tabs>
        <w:ind w:left="0" w:firstLine="0"/>
        <w:rPr>
          <w:color w:val="auto"/>
        </w:rPr>
      </w:pPr>
      <w:r w:rsidRPr="001C445E">
        <w:rPr>
          <w:color w:val="auto"/>
        </w:rPr>
        <w:t xml:space="preserve">El </w:t>
      </w:r>
      <w:r w:rsidR="006E2E8B" w:rsidRPr="001C445E">
        <w:rPr>
          <w:color w:val="auto"/>
        </w:rPr>
        <w:t>15 de julio de 20</w:t>
      </w:r>
      <w:r w:rsidRPr="001C445E">
        <w:rPr>
          <w:color w:val="auto"/>
        </w:rPr>
        <w:t xml:space="preserve">05 la </w:t>
      </w:r>
      <w:r w:rsidR="00D526B7" w:rsidRPr="001C445E">
        <w:rPr>
          <w:color w:val="auto"/>
        </w:rPr>
        <w:t xml:space="preserve">parte peticionaria </w:t>
      </w:r>
      <w:r w:rsidRPr="001C445E">
        <w:rPr>
          <w:color w:val="auto"/>
        </w:rPr>
        <w:t>suscribió un acuerdo de pag</w:t>
      </w:r>
      <w:r w:rsidR="008C3992" w:rsidRPr="001C445E">
        <w:rPr>
          <w:color w:val="auto"/>
        </w:rPr>
        <w:t>o de honorarios con sus abogados por los servicios profesionales prestados por el monto de $4.400 pesos argentinos. Al res</w:t>
      </w:r>
      <w:r w:rsidR="004D4BCE" w:rsidRPr="001C445E">
        <w:rPr>
          <w:color w:val="auto"/>
        </w:rPr>
        <w:t xml:space="preserve">pecto, dicho acuerdo se originó </w:t>
      </w:r>
      <w:r w:rsidR="008C3992" w:rsidRPr="001C445E">
        <w:rPr>
          <w:color w:val="auto"/>
        </w:rPr>
        <w:t>por el incumplimiento de la Embajada de Australia res</w:t>
      </w:r>
      <w:r w:rsidR="00FD69E2" w:rsidRPr="001C445E">
        <w:rPr>
          <w:color w:val="auto"/>
        </w:rPr>
        <w:t xml:space="preserve">pecto de las costas del proceso </w:t>
      </w:r>
      <w:r w:rsidR="008C3992" w:rsidRPr="001C445E">
        <w:rPr>
          <w:color w:val="auto"/>
        </w:rPr>
        <w:t>y por mandato de la ley adjetiva argentina que establece el supuesto que en caso de que la parte condenada en costas no pague, los profesionales podrán reclamar el pago al cliente</w:t>
      </w:r>
      <w:r w:rsidR="00223E6B" w:rsidRPr="001C445E">
        <w:rPr>
          <w:rStyle w:val="FootnoteReference"/>
          <w:rFonts w:ascii="Cambria" w:hAnsi="Cambria"/>
          <w:color w:val="auto"/>
          <w:sz w:val="20"/>
        </w:rPr>
        <w:footnoteReference w:id="24"/>
      </w:r>
      <w:r w:rsidR="008C3992" w:rsidRPr="001C445E">
        <w:rPr>
          <w:color w:val="auto"/>
        </w:rPr>
        <w:t xml:space="preserve">. </w:t>
      </w:r>
    </w:p>
    <w:p w14:paraId="464FCBC1" w14:textId="77777777" w:rsidR="008C3992" w:rsidRPr="001C445E" w:rsidRDefault="008C3992" w:rsidP="008C3992">
      <w:pPr>
        <w:pStyle w:val="parrafos"/>
        <w:tabs>
          <w:tab w:val="left" w:pos="360"/>
          <w:tab w:val="left" w:pos="540"/>
          <w:tab w:val="left" w:pos="567"/>
          <w:tab w:val="left" w:pos="1440"/>
        </w:tabs>
        <w:rPr>
          <w:color w:val="auto"/>
        </w:rPr>
      </w:pPr>
    </w:p>
    <w:p w14:paraId="23C62CE7" w14:textId="77777777" w:rsidR="008F0C3F" w:rsidRPr="001C445E" w:rsidRDefault="0058309D" w:rsidP="008F0C3F">
      <w:pPr>
        <w:pStyle w:val="parrafos"/>
        <w:numPr>
          <w:ilvl w:val="0"/>
          <w:numId w:val="3"/>
        </w:numPr>
        <w:tabs>
          <w:tab w:val="left" w:pos="360"/>
          <w:tab w:val="left" w:pos="540"/>
          <w:tab w:val="left" w:pos="567"/>
          <w:tab w:val="left" w:pos="1440"/>
        </w:tabs>
        <w:ind w:left="0" w:firstLine="0"/>
        <w:rPr>
          <w:color w:val="auto"/>
        </w:rPr>
      </w:pPr>
      <w:r w:rsidRPr="001C445E">
        <w:rPr>
          <w:color w:val="auto"/>
        </w:rPr>
        <w:t xml:space="preserve">El </w:t>
      </w:r>
      <w:r w:rsidR="00B65DA1" w:rsidRPr="001C445E">
        <w:rPr>
          <w:color w:val="auto"/>
        </w:rPr>
        <w:t xml:space="preserve">26 de julio de 2005 el Juzgado Nacional de Primera Instancia del Trabajo N°44 intimó a la </w:t>
      </w:r>
      <w:r w:rsidR="00D526B7" w:rsidRPr="001C445E">
        <w:rPr>
          <w:color w:val="auto"/>
        </w:rPr>
        <w:t xml:space="preserve">parte peticionaria </w:t>
      </w:r>
      <w:r w:rsidR="00B65DA1" w:rsidRPr="001C445E">
        <w:rPr>
          <w:color w:val="auto"/>
        </w:rPr>
        <w:t xml:space="preserve">al pago de honorarios profesionales del perito contador ante el incumplimiento por parte de la Embajada de Australia del pago de </w:t>
      </w:r>
      <w:r w:rsidR="004D4BCE" w:rsidRPr="001C445E">
        <w:rPr>
          <w:color w:val="auto"/>
        </w:rPr>
        <w:t xml:space="preserve">las </w:t>
      </w:r>
      <w:r w:rsidR="00B65DA1" w:rsidRPr="001C445E">
        <w:rPr>
          <w:color w:val="auto"/>
        </w:rPr>
        <w:t>costas procesales</w:t>
      </w:r>
      <w:r w:rsidR="00B65DA1" w:rsidRPr="001C445E">
        <w:rPr>
          <w:rStyle w:val="FootnoteReference"/>
          <w:rFonts w:ascii="Cambria" w:hAnsi="Cambria"/>
          <w:color w:val="auto"/>
          <w:sz w:val="20"/>
        </w:rPr>
        <w:footnoteReference w:id="25"/>
      </w:r>
      <w:r w:rsidR="00B65DA1" w:rsidRPr="001C445E">
        <w:rPr>
          <w:color w:val="auto"/>
        </w:rPr>
        <w:t xml:space="preserve">. </w:t>
      </w:r>
      <w:r w:rsidRPr="001C445E">
        <w:rPr>
          <w:color w:val="auto"/>
        </w:rPr>
        <w:t xml:space="preserve">El </w:t>
      </w:r>
      <w:r w:rsidR="006E2E8B" w:rsidRPr="001C445E">
        <w:rPr>
          <w:color w:val="auto"/>
        </w:rPr>
        <w:t xml:space="preserve">24 de agosto de 2005 </w:t>
      </w:r>
      <w:r w:rsidR="008C3992" w:rsidRPr="001C445E">
        <w:rPr>
          <w:color w:val="auto"/>
        </w:rPr>
        <w:t xml:space="preserve">la </w:t>
      </w:r>
      <w:r w:rsidR="00D526B7" w:rsidRPr="001C445E">
        <w:rPr>
          <w:color w:val="auto"/>
        </w:rPr>
        <w:t>parte peticionaria</w:t>
      </w:r>
      <w:r w:rsidR="008C3992" w:rsidRPr="001C445E">
        <w:rPr>
          <w:color w:val="auto"/>
        </w:rPr>
        <w:t xml:space="preserve"> </w:t>
      </w:r>
      <w:r w:rsidR="008C3992" w:rsidRPr="001C445E">
        <w:rPr>
          <w:color w:val="auto"/>
        </w:rPr>
        <w:lastRenderedPageBreak/>
        <w:t xml:space="preserve">suscribió un acuerdo de pago con el perito </w:t>
      </w:r>
      <w:r w:rsidR="00FD69E2" w:rsidRPr="001C445E">
        <w:rPr>
          <w:color w:val="auto"/>
        </w:rPr>
        <w:t>contador por un monto de 990 pesos argentinos</w:t>
      </w:r>
      <w:r w:rsidR="00B65DA1" w:rsidRPr="001C445E">
        <w:rPr>
          <w:rStyle w:val="FootnoteReference"/>
          <w:rFonts w:ascii="Cambria" w:hAnsi="Cambria"/>
          <w:color w:val="auto"/>
          <w:sz w:val="20"/>
        </w:rPr>
        <w:footnoteReference w:id="26"/>
      </w:r>
      <w:r w:rsidR="00B65DA1" w:rsidRPr="001C445E">
        <w:rPr>
          <w:color w:val="auto"/>
        </w:rPr>
        <w:t xml:space="preserve"> y con el intérprete público por 2.000 pesos argentinos</w:t>
      </w:r>
      <w:r w:rsidR="00B65DA1" w:rsidRPr="001C445E">
        <w:rPr>
          <w:rStyle w:val="FootnoteReference"/>
          <w:rFonts w:ascii="Cambria" w:hAnsi="Cambria"/>
          <w:color w:val="auto"/>
          <w:sz w:val="20"/>
        </w:rPr>
        <w:footnoteReference w:id="27"/>
      </w:r>
      <w:r w:rsidR="00B65DA1" w:rsidRPr="001C445E">
        <w:rPr>
          <w:color w:val="auto"/>
        </w:rPr>
        <w:t xml:space="preserve">. </w:t>
      </w:r>
    </w:p>
    <w:p w14:paraId="5C8C6B09" w14:textId="77777777" w:rsidR="008F0C3F" w:rsidRPr="001C445E" w:rsidRDefault="008F0C3F" w:rsidP="008F0C3F">
      <w:pPr>
        <w:pStyle w:val="parrafos"/>
        <w:tabs>
          <w:tab w:val="left" w:pos="360"/>
          <w:tab w:val="left" w:pos="540"/>
          <w:tab w:val="left" w:pos="567"/>
          <w:tab w:val="left" w:pos="1440"/>
        </w:tabs>
        <w:rPr>
          <w:color w:val="auto"/>
        </w:rPr>
      </w:pPr>
    </w:p>
    <w:p w14:paraId="61F92886" w14:textId="77777777" w:rsidR="003D5A46" w:rsidRPr="001C445E" w:rsidRDefault="008F0C3F" w:rsidP="003D5A46">
      <w:pPr>
        <w:pStyle w:val="parrafos"/>
        <w:numPr>
          <w:ilvl w:val="0"/>
          <w:numId w:val="3"/>
        </w:numPr>
        <w:tabs>
          <w:tab w:val="left" w:pos="360"/>
          <w:tab w:val="left" w:pos="540"/>
          <w:tab w:val="left" w:pos="567"/>
          <w:tab w:val="left" w:pos="1440"/>
        </w:tabs>
        <w:ind w:left="0" w:firstLine="0"/>
        <w:rPr>
          <w:color w:val="auto"/>
        </w:rPr>
      </w:pPr>
      <w:r w:rsidRPr="001C445E">
        <w:rPr>
          <w:color w:val="auto"/>
        </w:rPr>
        <w:t xml:space="preserve">A la fecha, la Embajada de Australia no ha efectuado ningún pago derivado de la sentencia que quedó en firme en 2001 o del acuerdo de pago suscrito con la parte peticionaria en 2003. </w:t>
      </w:r>
    </w:p>
    <w:p w14:paraId="3382A365" w14:textId="77777777" w:rsidR="00AA1C02" w:rsidRPr="001C445E" w:rsidRDefault="00AA1C02" w:rsidP="00AA1C02">
      <w:pPr>
        <w:pStyle w:val="parrafos"/>
        <w:tabs>
          <w:tab w:val="left" w:pos="360"/>
          <w:tab w:val="left" w:pos="540"/>
          <w:tab w:val="left" w:pos="567"/>
          <w:tab w:val="left" w:pos="1440"/>
        </w:tabs>
        <w:rPr>
          <w:color w:val="auto"/>
          <w:lang w:val="es-CO"/>
        </w:rPr>
      </w:pPr>
    </w:p>
    <w:p w14:paraId="69D799FD" w14:textId="77777777" w:rsidR="009439F2" w:rsidRPr="001C445E" w:rsidRDefault="00AA1C02" w:rsidP="009439F2">
      <w:pPr>
        <w:pStyle w:val="Heading1"/>
        <w:numPr>
          <w:ilvl w:val="0"/>
          <w:numId w:val="2"/>
        </w:numPr>
        <w:tabs>
          <w:tab w:val="clear" w:pos="1440"/>
          <w:tab w:val="num" w:pos="540"/>
        </w:tabs>
        <w:ind w:hanging="1440"/>
        <w:jc w:val="both"/>
      </w:pPr>
      <w:bookmarkStart w:id="32" w:name="_Toc4595238"/>
      <w:bookmarkStart w:id="33" w:name="_Toc10456642"/>
      <w:bookmarkStart w:id="34" w:name="_Toc203125559"/>
      <w:r w:rsidRPr="001C445E">
        <w:t>DETERMINACIONES DE DERECH</w:t>
      </w:r>
      <w:bookmarkEnd w:id="32"/>
      <w:bookmarkEnd w:id="33"/>
      <w:r w:rsidR="00D87A88" w:rsidRPr="001C445E">
        <w:t>O</w:t>
      </w:r>
      <w:bookmarkEnd w:id="34"/>
    </w:p>
    <w:p w14:paraId="5C71F136" w14:textId="77777777" w:rsidR="009439F2" w:rsidRPr="001C445E" w:rsidRDefault="009439F2" w:rsidP="009439F2">
      <w:pPr>
        <w:spacing w:after="0"/>
        <w:rPr>
          <w:lang w:val="es-ES_tradnl"/>
        </w:rPr>
      </w:pPr>
    </w:p>
    <w:p w14:paraId="11208CA6" w14:textId="77777777" w:rsidR="00AA1C02" w:rsidRPr="001C445E" w:rsidRDefault="00AA1C02" w:rsidP="00CD2FEB">
      <w:pPr>
        <w:pStyle w:val="Heading2"/>
        <w:numPr>
          <w:ilvl w:val="0"/>
          <w:numId w:val="6"/>
        </w:numPr>
        <w:tabs>
          <w:tab w:val="left" w:pos="540"/>
          <w:tab w:val="left" w:pos="1440"/>
        </w:tabs>
        <w:ind w:left="0" w:firstLine="0"/>
      </w:pPr>
      <w:bookmarkStart w:id="35" w:name="_Toc203125560"/>
      <w:r w:rsidRPr="001C445E">
        <w:t>Derecho a la protección judicial</w:t>
      </w:r>
      <w:r w:rsidR="001A30CF" w:rsidRPr="001C445E">
        <w:rPr>
          <w:rStyle w:val="FootnoteReference"/>
          <w:rFonts w:ascii="Cambria" w:hAnsi="Cambria"/>
          <w:sz w:val="20"/>
        </w:rPr>
        <w:footnoteReference w:id="28"/>
      </w:r>
      <w:r w:rsidR="00C578CC" w:rsidRPr="001C445E">
        <w:t xml:space="preserve"> a la propiedad privada</w:t>
      </w:r>
      <w:r w:rsidR="001A30CF" w:rsidRPr="001C445E">
        <w:rPr>
          <w:rStyle w:val="FootnoteReference"/>
          <w:rFonts w:ascii="Cambria" w:hAnsi="Cambria"/>
          <w:sz w:val="20"/>
        </w:rPr>
        <w:footnoteReference w:id="29"/>
      </w:r>
      <w:r w:rsidR="00C578CC" w:rsidRPr="001C445E">
        <w:t xml:space="preserve"> </w:t>
      </w:r>
      <w:r w:rsidR="00704EEB" w:rsidRPr="001C445E">
        <w:t>y a la igualdad y no discriminación</w:t>
      </w:r>
      <w:r w:rsidR="000977EE" w:rsidRPr="001C445E">
        <w:rPr>
          <w:rStyle w:val="FootnoteReference"/>
          <w:rFonts w:ascii="Cambria" w:hAnsi="Cambria"/>
          <w:sz w:val="20"/>
          <w:lang w:val="es-ES"/>
        </w:rPr>
        <w:footnoteReference w:id="30"/>
      </w:r>
      <w:bookmarkEnd w:id="35"/>
      <w:r w:rsidR="00704EEB" w:rsidRPr="001C445E">
        <w:t xml:space="preserve"> </w:t>
      </w:r>
    </w:p>
    <w:p w14:paraId="62199465" w14:textId="77777777" w:rsidR="00AA1C02" w:rsidRPr="001C445E" w:rsidRDefault="00AA1C02" w:rsidP="00AB371B">
      <w:pPr>
        <w:spacing w:after="0" w:line="240" w:lineRule="auto"/>
        <w:jc w:val="both"/>
        <w:rPr>
          <w:rFonts w:ascii="Cambria" w:hAnsi="Cambria"/>
          <w:lang w:val="es-ES_tradnl"/>
        </w:rPr>
      </w:pPr>
    </w:p>
    <w:p w14:paraId="736D4C60" w14:textId="77777777" w:rsidR="000D71ED" w:rsidRPr="001C445E" w:rsidRDefault="00C578CC" w:rsidP="00AB371B">
      <w:pPr>
        <w:pStyle w:val="Heading3"/>
        <w:numPr>
          <w:ilvl w:val="3"/>
          <w:numId w:val="3"/>
        </w:numPr>
        <w:tabs>
          <w:tab w:val="left" w:pos="540"/>
        </w:tabs>
        <w:spacing w:before="0" w:after="0" w:line="240" w:lineRule="auto"/>
        <w:ind w:left="0" w:firstLine="0"/>
        <w:jc w:val="both"/>
        <w:rPr>
          <w:sz w:val="20"/>
          <w:szCs w:val="20"/>
          <w:lang w:val="es-ES_tradnl"/>
        </w:rPr>
      </w:pPr>
      <w:bookmarkStart w:id="36" w:name="_Toc203125561"/>
      <w:r w:rsidRPr="001C445E">
        <w:rPr>
          <w:sz w:val="20"/>
          <w:szCs w:val="20"/>
          <w:lang w:val="es-ES_tradnl"/>
        </w:rPr>
        <w:t>Consideraciones generales sobre</w:t>
      </w:r>
      <w:r w:rsidR="001A108A" w:rsidRPr="001C445E">
        <w:rPr>
          <w:sz w:val="20"/>
          <w:szCs w:val="20"/>
          <w:lang w:val="es-ES_tradnl"/>
        </w:rPr>
        <w:t xml:space="preserve"> el cumplimiento de fallos internos y</w:t>
      </w:r>
      <w:r w:rsidRPr="001C445E">
        <w:rPr>
          <w:sz w:val="20"/>
          <w:szCs w:val="20"/>
          <w:lang w:val="es-ES_tradnl"/>
        </w:rPr>
        <w:t xml:space="preserve"> la tutela judicial efectiva</w:t>
      </w:r>
      <w:bookmarkEnd w:id="36"/>
      <w:r w:rsidRPr="001C445E">
        <w:rPr>
          <w:sz w:val="20"/>
          <w:szCs w:val="20"/>
          <w:lang w:val="es-ES_tradnl"/>
        </w:rPr>
        <w:t xml:space="preserve"> </w:t>
      </w:r>
    </w:p>
    <w:p w14:paraId="0DA123B1" w14:textId="77777777" w:rsidR="00704EEB" w:rsidRPr="001C445E" w:rsidRDefault="00704EEB" w:rsidP="00704EEB">
      <w:pPr>
        <w:pStyle w:val="parrafos"/>
        <w:tabs>
          <w:tab w:val="left" w:pos="540"/>
          <w:tab w:val="left" w:pos="567"/>
          <w:tab w:val="left" w:pos="1440"/>
        </w:tabs>
        <w:rPr>
          <w:color w:val="auto"/>
        </w:rPr>
      </w:pPr>
    </w:p>
    <w:p w14:paraId="24903246" w14:textId="77777777" w:rsidR="00CA3903" w:rsidRPr="001C445E" w:rsidRDefault="00796792" w:rsidP="00796792">
      <w:pPr>
        <w:pStyle w:val="parrafos"/>
        <w:numPr>
          <w:ilvl w:val="0"/>
          <w:numId w:val="3"/>
        </w:numPr>
        <w:tabs>
          <w:tab w:val="left" w:pos="360"/>
          <w:tab w:val="left" w:pos="540"/>
          <w:tab w:val="left" w:pos="567"/>
          <w:tab w:val="left" w:pos="1440"/>
        </w:tabs>
        <w:ind w:left="0" w:firstLine="0"/>
        <w:rPr>
          <w:color w:val="auto"/>
        </w:rPr>
      </w:pPr>
      <w:r w:rsidRPr="001C445E">
        <w:rPr>
          <w:color w:val="auto"/>
        </w:rPr>
        <w:t>El artículo 25.2 c) establece que los Estados deben “garantizar el cumplimiento por las autoridades competentes, de toda decisión en que se haya estimado procedente el recurso.</w:t>
      </w:r>
      <w:r w:rsidR="00444EEB" w:rsidRPr="001C445E">
        <w:rPr>
          <w:color w:val="auto"/>
        </w:rPr>
        <w:t xml:space="preserve"> En este sentido, l</w:t>
      </w:r>
      <w:r w:rsidR="00CA3903" w:rsidRPr="001C445E">
        <w:rPr>
          <w:color w:val="auto"/>
        </w:rPr>
        <w:t xml:space="preserve">a Corte Interamericana ha sostenido </w:t>
      </w:r>
      <w:r w:rsidR="00854E1D" w:rsidRPr="001C445E">
        <w:rPr>
          <w:color w:val="auto"/>
        </w:rPr>
        <w:t xml:space="preserve">que uno de los componentes del derecho a la protección judicial, establecido en el artículo 25 de la Convención Americana es </w:t>
      </w:r>
      <w:r w:rsidR="001D3EE2" w:rsidRPr="001C445E">
        <w:rPr>
          <w:color w:val="auto"/>
        </w:rPr>
        <w:t xml:space="preserve">precisamente </w:t>
      </w:r>
      <w:r w:rsidR="00854E1D" w:rsidRPr="001C445E">
        <w:rPr>
          <w:color w:val="auto"/>
        </w:rPr>
        <w:t>que los Estados “garanti</w:t>
      </w:r>
      <w:r w:rsidR="00854E1D" w:rsidRPr="001C445E">
        <w:rPr>
          <w:rFonts w:cs="Arial"/>
          <w:color w:val="auto"/>
          <w:shd w:val="clear" w:color="auto" w:fill="FFFFFF"/>
        </w:rPr>
        <w:t>[cen]</w:t>
      </w:r>
      <w:r w:rsidR="00CA3903" w:rsidRPr="001C445E">
        <w:rPr>
          <w:color w:val="auto"/>
        </w:rPr>
        <w:t xml:space="preserve"> los medios para ejecutar las respectivas decisiones y sentencias</w:t>
      </w:r>
      <w:r w:rsidR="00854E1D" w:rsidRPr="001C445E">
        <w:rPr>
          <w:color w:val="auto"/>
        </w:rPr>
        <w:t xml:space="preserve"> definitivas emitidas por (…) </w:t>
      </w:r>
      <w:r w:rsidR="00CA3903" w:rsidRPr="001C445E">
        <w:rPr>
          <w:color w:val="auto"/>
        </w:rPr>
        <w:t>autoridades competentes, de manera que se protejan efectivamente los derechos declarados o reconocidos. Esto último, debido a que una sentencia con carácter de cosa juzgada otorga certeza sobre el derecho o controversia discutida en el caso concreto y por ende, tiene como uno de sus efectos la obligatorie</w:t>
      </w:r>
      <w:r w:rsidR="00F16824" w:rsidRPr="001C445E">
        <w:rPr>
          <w:color w:val="auto"/>
        </w:rPr>
        <w:t>dad o necesidad de cumplimiento”</w:t>
      </w:r>
      <w:r w:rsidR="00F16824" w:rsidRPr="001C445E">
        <w:rPr>
          <w:rStyle w:val="FootnoteReference"/>
          <w:rFonts w:ascii="Cambria" w:hAnsi="Cambria"/>
          <w:color w:val="auto"/>
          <w:sz w:val="20"/>
        </w:rPr>
        <w:footnoteReference w:id="31"/>
      </w:r>
      <w:r w:rsidR="00F16824" w:rsidRPr="001C445E">
        <w:rPr>
          <w:color w:val="auto"/>
        </w:rPr>
        <w:t>.</w:t>
      </w:r>
      <w:r w:rsidR="00CA3903" w:rsidRPr="001C445E">
        <w:rPr>
          <w:color w:val="auto"/>
        </w:rPr>
        <w:t xml:space="preserve"> </w:t>
      </w:r>
    </w:p>
    <w:p w14:paraId="4C4CEA3D" w14:textId="77777777" w:rsidR="0057141B" w:rsidRPr="001C445E" w:rsidRDefault="0057141B" w:rsidP="0057141B">
      <w:pPr>
        <w:pStyle w:val="parrafos"/>
        <w:tabs>
          <w:tab w:val="left" w:pos="540"/>
          <w:tab w:val="left" w:pos="567"/>
          <w:tab w:val="left" w:pos="1440"/>
        </w:tabs>
        <w:rPr>
          <w:color w:val="auto"/>
        </w:rPr>
      </w:pPr>
    </w:p>
    <w:p w14:paraId="4602241D" w14:textId="4B643BAE" w:rsidR="002A3018" w:rsidRPr="001C445E" w:rsidRDefault="00CA3903" w:rsidP="0081008B">
      <w:pPr>
        <w:pStyle w:val="parrafos"/>
        <w:numPr>
          <w:ilvl w:val="0"/>
          <w:numId w:val="3"/>
        </w:numPr>
        <w:tabs>
          <w:tab w:val="left" w:pos="360"/>
          <w:tab w:val="left" w:pos="540"/>
          <w:tab w:val="left" w:pos="567"/>
          <w:tab w:val="left" w:pos="1440"/>
        </w:tabs>
        <w:ind w:left="0" w:firstLine="0"/>
        <w:rPr>
          <w:color w:val="auto"/>
        </w:rPr>
      </w:pPr>
      <w:r w:rsidRPr="001C445E">
        <w:rPr>
          <w:color w:val="auto"/>
        </w:rPr>
        <w:t>Asimismo, la Corte</w:t>
      </w:r>
      <w:r w:rsidR="000D71ED" w:rsidRPr="001C445E">
        <w:rPr>
          <w:color w:val="auto"/>
        </w:rPr>
        <w:t xml:space="preserve"> ha señalado que el Estado está en la obligación de ejecutar toda decisión en que se haya estimado procedente el recurso</w:t>
      </w:r>
      <w:r w:rsidR="00A1455D" w:rsidRPr="001C445E">
        <w:rPr>
          <w:vertAlign w:val="superscript"/>
        </w:rPr>
        <w:footnoteReference w:id="32"/>
      </w:r>
      <w:r w:rsidR="000D71ED" w:rsidRPr="001C445E">
        <w:rPr>
          <w:color w:val="auto"/>
        </w:rPr>
        <w:t xml:space="preserve">. </w:t>
      </w:r>
      <w:r w:rsidR="0081008B" w:rsidRPr="001C445E">
        <w:rPr>
          <w:color w:val="auto"/>
        </w:rPr>
        <w:t>Ello presupone la garantía de medidas adecuadas y eficaces de coerción, para que, de ser necesario, las autoridades que dicten las decisiones o sentencias puedan ejecutarlas y con ello lograr</w:t>
      </w:r>
      <w:r w:rsidR="002A3018" w:rsidRPr="001C445E">
        <w:rPr>
          <w:color w:val="auto"/>
        </w:rPr>
        <w:t xml:space="preserve"> la materialización de la protección del </w:t>
      </w:r>
      <w:r w:rsidR="0023589B">
        <w:rPr>
          <w:color w:val="auto"/>
        </w:rPr>
        <w:t xml:space="preserve">derecho </w:t>
      </w:r>
      <w:r w:rsidR="002A3018" w:rsidRPr="001C445E">
        <w:rPr>
          <w:color w:val="auto"/>
        </w:rPr>
        <w:t>reconocido en el pronunciamiento definitivo</w:t>
      </w:r>
      <w:r w:rsidR="002A3018" w:rsidRPr="001C445E">
        <w:rPr>
          <w:vertAlign w:val="superscript"/>
        </w:rPr>
        <w:footnoteReference w:id="33"/>
      </w:r>
      <w:r w:rsidR="002A3018" w:rsidRPr="001C445E">
        <w:rPr>
          <w:color w:val="auto"/>
        </w:rPr>
        <w:t>.</w:t>
      </w:r>
    </w:p>
    <w:p w14:paraId="50895670" w14:textId="77777777" w:rsidR="0081008B" w:rsidRPr="001C445E" w:rsidRDefault="0081008B" w:rsidP="00AB371B">
      <w:pPr>
        <w:pStyle w:val="parrafos"/>
        <w:tabs>
          <w:tab w:val="left" w:pos="360"/>
          <w:tab w:val="left" w:pos="540"/>
          <w:tab w:val="left" w:pos="567"/>
          <w:tab w:val="left" w:pos="1440"/>
        </w:tabs>
        <w:rPr>
          <w:color w:val="auto"/>
        </w:rPr>
      </w:pPr>
    </w:p>
    <w:p w14:paraId="3E9C7A96" w14:textId="77777777" w:rsidR="00EC4502" w:rsidRPr="001C445E" w:rsidRDefault="00854E1D" w:rsidP="00AB371B">
      <w:pPr>
        <w:pStyle w:val="parrafos"/>
        <w:numPr>
          <w:ilvl w:val="0"/>
          <w:numId w:val="3"/>
        </w:numPr>
        <w:tabs>
          <w:tab w:val="left" w:pos="360"/>
          <w:tab w:val="left" w:pos="540"/>
          <w:tab w:val="left" w:pos="567"/>
          <w:tab w:val="left" w:pos="1440"/>
        </w:tabs>
        <w:ind w:left="0" w:firstLine="0"/>
        <w:rPr>
          <w:color w:val="auto"/>
        </w:rPr>
      </w:pPr>
      <w:r w:rsidRPr="001C445E">
        <w:rPr>
          <w:color w:val="auto"/>
        </w:rPr>
        <w:t>Al respecto</w:t>
      </w:r>
      <w:r w:rsidR="000D71ED" w:rsidRPr="001C445E">
        <w:rPr>
          <w:color w:val="auto"/>
        </w:rPr>
        <w:t>, la efectividad de las sentencias depende de su ejecución. Lo contrario supone la negación misma del derecho involucrado</w:t>
      </w:r>
      <w:r w:rsidR="00A1455D" w:rsidRPr="001C445E">
        <w:rPr>
          <w:rStyle w:val="FootnoteReference"/>
          <w:rFonts w:ascii="Cambria" w:hAnsi="Cambria"/>
          <w:color w:val="auto"/>
          <w:sz w:val="20"/>
        </w:rPr>
        <w:footnoteReference w:id="34"/>
      </w:r>
      <w:r w:rsidR="00EB376A" w:rsidRPr="001C445E">
        <w:rPr>
          <w:color w:val="auto"/>
        </w:rPr>
        <w:t xml:space="preserve">. </w:t>
      </w:r>
      <w:r w:rsidR="000D71ED" w:rsidRPr="001C445E">
        <w:rPr>
          <w:color w:val="auto"/>
        </w:rPr>
        <w:t>La CIDH ha sostenido que las decisiones judiciales deben ser cumplidas, ya sea de forma voluntaria o de manera coercitiva de ser necesario</w:t>
      </w:r>
      <w:r w:rsidR="00A1455D" w:rsidRPr="001C445E">
        <w:rPr>
          <w:rStyle w:val="FootnoteReference"/>
          <w:rFonts w:ascii="Cambria" w:hAnsi="Cambria"/>
          <w:color w:val="auto"/>
          <w:sz w:val="20"/>
        </w:rPr>
        <w:footnoteReference w:id="35"/>
      </w:r>
      <w:r w:rsidR="000D71ED" w:rsidRPr="001C445E">
        <w:rPr>
          <w:color w:val="auto"/>
        </w:rPr>
        <w:t xml:space="preserve">. </w:t>
      </w:r>
      <w:r w:rsidR="00EC4502" w:rsidRPr="001C445E">
        <w:rPr>
          <w:color w:val="auto"/>
        </w:rPr>
        <w:t>Asimismo, la Corte</w:t>
      </w:r>
      <w:r w:rsidRPr="001C445E">
        <w:rPr>
          <w:color w:val="auto"/>
        </w:rPr>
        <w:t xml:space="preserve"> Interamericana</w:t>
      </w:r>
      <w:r w:rsidR="00EC4502" w:rsidRPr="001C445E">
        <w:rPr>
          <w:color w:val="auto"/>
        </w:rPr>
        <w:t xml:space="preserve"> ha resaltado que la ejecución de las sentencias debe ser regida por aquellos estándares específicos que </w:t>
      </w:r>
      <w:r w:rsidR="00EC4502" w:rsidRPr="001C445E">
        <w:rPr>
          <w:color w:val="auto"/>
        </w:rPr>
        <w:lastRenderedPageBreak/>
        <w:t xml:space="preserve">permitan hacer efectivos los principios, </w:t>
      </w:r>
      <w:r w:rsidR="00EC4502" w:rsidRPr="001C445E">
        <w:rPr>
          <w:i/>
          <w:color w:val="auto"/>
        </w:rPr>
        <w:t>inter alia</w:t>
      </w:r>
      <w:r w:rsidR="00EC4502" w:rsidRPr="001C445E">
        <w:rPr>
          <w:color w:val="auto"/>
        </w:rPr>
        <w:t>, de tutela judicial, debido proceso, seguridad jurí</w:t>
      </w:r>
      <w:r w:rsidRPr="001C445E">
        <w:rPr>
          <w:color w:val="auto"/>
        </w:rPr>
        <w:t>dica, independencia judicial y E</w:t>
      </w:r>
      <w:r w:rsidR="00EC4502" w:rsidRPr="001C445E">
        <w:rPr>
          <w:color w:val="auto"/>
        </w:rPr>
        <w:t>stado de derecho</w:t>
      </w:r>
      <w:r w:rsidR="00F16824" w:rsidRPr="001C445E">
        <w:rPr>
          <w:rStyle w:val="FootnoteReference"/>
          <w:rFonts w:ascii="Cambria" w:hAnsi="Cambria"/>
          <w:color w:val="auto"/>
          <w:sz w:val="20"/>
        </w:rPr>
        <w:footnoteReference w:id="36"/>
      </w:r>
      <w:r w:rsidR="00EC4502" w:rsidRPr="001C445E">
        <w:rPr>
          <w:color w:val="auto"/>
        </w:rPr>
        <w:t xml:space="preserve">. </w:t>
      </w:r>
    </w:p>
    <w:p w14:paraId="38C1F859" w14:textId="77777777" w:rsidR="00EC4502" w:rsidRPr="001C445E" w:rsidRDefault="00EC4502" w:rsidP="00AB371B">
      <w:pPr>
        <w:pStyle w:val="parrafos"/>
        <w:tabs>
          <w:tab w:val="left" w:pos="360"/>
          <w:tab w:val="left" w:pos="540"/>
          <w:tab w:val="left" w:pos="567"/>
          <w:tab w:val="left" w:pos="1440"/>
        </w:tabs>
        <w:rPr>
          <w:color w:val="auto"/>
        </w:rPr>
      </w:pPr>
    </w:p>
    <w:p w14:paraId="080129CA" w14:textId="77777777" w:rsidR="00854E1D" w:rsidRPr="001C445E" w:rsidRDefault="00C02C83" w:rsidP="00AB371B">
      <w:pPr>
        <w:pStyle w:val="parrafos"/>
        <w:numPr>
          <w:ilvl w:val="0"/>
          <w:numId w:val="3"/>
        </w:numPr>
        <w:tabs>
          <w:tab w:val="left" w:pos="360"/>
          <w:tab w:val="left" w:pos="540"/>
          <w:tab w:val="left" w:pos="567"/>
          <w:tab w:val="left" w:pos="1440"/>
        </w:tabs>
        <w:ind w:left="0" w:firstLine="0"/>
        <w:rPr>
          <w:color w:val="auto"/>
        </w:rPr>
      </w:pPr>
      <w:r w:rsidRPr="001C445E">
        <w:rPr>
          <w:color w:val="auto"/>
        </w:rPr>
        <w:t>Por su parte, el Tribunal</w:t>
      </w:r>
      <w:r w:rsidR="00854E1D" w:rsidRPr="001C445E">
        <w:rPr>
          <w:color w:val="auto"/>
        </w:rPr>
        <w:t xml:space="preserve"> Europeo ha sostenido que para lograr plenamente la efectividad de la sentencia, la ejecución debe ser completa, perfecta, integral</w:t>
      </w:r>
      <w:r w:rsidRPr="001C445E">
        <w:rPr>
          <w:rStyle w:val="FootnoteReference"/>
          <w:rFonts w:ascii="Cambria" w:hAnsi="Cambria"/>
          <w:color w:val="auto"/>
          <w:sz w:val="20"/>
        </w:rPr>
        <w:footnoteReference w:id="37"/>
      </w:r>
      <w:r w:rsidR="00854E1D" w:rsidRPr="001C445E">
        <w:rPr>
          <w:color w:val="auto"/>
        </w:rPr>
        <w:t xml:space="preserve"> y sin demora</w:t>
      </w:r>
      <w:r w:rsidRPr="001C445E">
        <w:rPr>
          <w:rStyle w:val="FootnoteReference"/>
          <w:rFonts w:ascii="Cambria" w:hAnsi="Cambria"/>
          <w:color w:val="auto"/>
          <w:sz w:val="20"/>
        </w:rPr>
        <w:footnoteReference w:id="38"/>
      </w:r>
      <w:r w:rsidRPr="001C445E">
        <w:rPr>
          <w:color w:val="auto"/>
        </w:rPr>
        <w:t>.</w:t>
      </w:r>
      <w:r w:rsidR="00854E1D" w:rsidRPr="001C445E">
        <w:rPr>
          <w:color w:val="auto"/>
        </w:rPr>
        <w:t xml:space="preserve"> Asimismo,</w:t>
      </w:r>
      <w:r w:rsidR="00EC4502" w:rsidRPr="001C445E">
        <w:rPr>
          <w:color w:val="auto"/>
        </w:rPr>
        <w:t xml:space="preserve"> ha señalado que el derecho a un juicio justo sería ilusorio si el ordenamiento jur</w:t>
      </w:r>
      <w:r w:rsidR="00854E1D" w:rsidRPr="001C445E">
        <w:rPr>
          <w:color w:val="auto"/>
        </w:rPr>
        <w:t>ídico interno</w:t>
      </w:r>
      <w:r w:rsidR="00EC4502" w:rsidRPr="001C445E">
        <w:rPr>
          <w:color w:val="auto"/>
        </w:rPr>
        <w:t xml:space="preserve"> del E</w:t>
      </w:r>
      <w:r w:rsidR="00854E1D" w:rsidRPr="001C445E">
        <w:rPr>
          <w:color w:val="auto"/>
        </w:rPr>
        <w:t>stado</w:t>
      </w:r>
      <w:r w:rsidR="00EC4502" w:rsidRPr="001C445E">
        <w:rPr>
          <w:color w:val="auto"/>
        </w:rPr>
        <w:t xml:space="preserve"> permite que una decisión judicial final y obligatoria permanezca inoperante en detrimento de una de </w:t>
      </w:r>
      <w:r w:rsidR="0081008B" w:rsidRPr="001C445E">
        <w:rPr>
          <w:color w:val="auto"/>
        </w:rPr>
        <w:t>las partes</w:t>
      </w:r>
      <w:r w:rsidR="00EC4502" w:rsidRPr="001C445E">
        <w:rPr>
          <w:color w:val="auto"/>
        </w:rPr>
        <w:t xml:space="preserve">. Al respecto, </w:t>
      </w:r>
      <w:r w:rsidR="00854E1D" w:rsidRPr="001C445E">
        <w:rPr>
          <w:color w:val="auto"/>
        </w:rPr>
        <w:t xml:space="preserve">ese Tribunal ha sostenido que </w:t>
      </w:r>
      <w:r w:rsidR="00EC4502" w:rsidRPr="001C445E">
        <w:rPr>
          <w:color w:val="auto"/>
        </w:rPr>
        <w:t>la ejecución de las sentencias emitidas por los tribunales debe ser considerada como parte integrante del juicio</w:t>
      </w:r>
      <w:r w:rsidRPr="001C445E">
        <w:rPr>
          <w:rStyle w:val="FootnoteReference"/>
          <w:rFonts w:ascii="Cambria" w:hAnsi="Cambria"/>
          <w:color w:val="auto"/>
          <w:sz w:val="20"/>
        </w:rPr>
        <w:footnoteReference w:id="39"/>
      </w:r>
      <w:r w:rsidR="00EC4502" w:rsidRPr="001C445E">
        <w:rPr>
          <w:color w:val="auto"/>
        </w:rPr>
        <w:t xml:space="preserve">. </w:t>
      </w:r>
    </w:p>
    <w:p w14:paraId="0C8FE7CE" w14:textId="77777777" w:rsidR="00854E1D" w:rsidRPr="001C445E" w:rsidRDefault="00854E1D" w:rsidP="00AB371B">
      <w:pPr>
        <w:pStyle w:val="parrafos"/>
        <w:tabs>
          <w:tab w:val="left" w:pos="360"/>
          <w:tab w:val="left" w:pos="540"/>
          <w:tab w:val="left" w:pos="567"/>
          <w:tab w:val="left" w:pos="1440"/>
        </w:tabs>
        <w:rPr>
          <w:color w:val="auto"/>
        </w:rPr>
      </w:pPr>
    </w:p>
    <w:p w14:paraId="0651969E" w14:textId="77777777" w:rsidR="00AA1C02" w:rsidRPr="001C445E" w:rsidRDefault="00854E1D" w:rsidP="00AB371B">
      <w:pPr>
        <w:pStyle w:val="parrafos"/>
        <w:numPr>
          <w:ilvl w:val="0"/>
          <w:numId w:val="3"/>
        </w:numPr>
        <w:tabs>
          <w:tab w:val="left" w:pos="360"/>
          <w:tab w:val="left" w:pos="540"/>
          <w:tab w:val="left" w:pos="567"/>
          <w:tab w:val="left" w:pos="1440"/>
        </w:tabs>
        <w:ind w:left="0" w:firstLine="0"/>
        <w:rPr>
          <w:color w:val="auto"/>
        </w:rPr>
      </w:pPr>
      <w:r w:rsidRPr="001C445E">
        <w:rPr>
          <w:color w:val="auto"/>
        </w:rPr>
        <w:t>La Corte Interamericana ha sostenido que en un ordenamiento basado sobre el principio del Estado de derecho todas las autoridades públicas, dentro del marco de su competencia, deben atender las decisiones judiciales, así como dar impulso y ejecución a las mismas</w:t>
      </w:r>
      <w:r w:rsidR="00C02C83" w:rsidRPr="001C445E">
        <w:rPr>
          <w:rStyle w:val="FootnoteReference"/>
          <w:rFonts w:ascii="Cambria" w:hAnsi="Cambria"/>
          <w:color w:val="auto"/>
          <w:sz w:val="20"/>
        </w:rPr>
        <w:footnoteReference w:id="40"/>
      </w:r>
      <w:r w:rsidRPr="001C445E">
        <w:rPr>
          <w:color w:val="auto"/>
        </w:rPr>
        <w:t>. En el mismo sentido, la CIDH ha resaltado que “lograr la ejecución de las sentencias judiciales constituye un aspecto fundamental a la esencia misma del Estado de derecho”</w:t>
      </w:r>
      <w:r w:rsidR="00C02C83" w:rsidRPr="001C445E">
        <w:rPr>
          <w:rStyle w:val="FootnoteReference"/>
          <w:rFonts w:ascii="Cambria" w:hAnsi="Cambria"/>
          <w:color w:val="auto"/>
          <w:sz w:val="20"/>
        </w:rPr>
        <w:footnoteReference w:id="41"/>
      </w:r>
      <w:r w:rsidRPr="001C445E">
        <w:rPr>
          <w:color w:val="auto"/>
        </w:rPr>
        <w:t>.</w:t>
      </w:r>
    </w:p>
    <w:p w14:paraId="41004F19" w14:textId="77777777" w:rsidR="003E4C99" w:rsidRPr="001C445E" w:rsidRDefault="003E4C99" w:rsidP="003E4C99">
      <w:pPr>
        <w:pStyle w:val="parrafos"/>
        <w:tabs>
          <w:tab w:val="left" w:pos="360"/>
        </w:tabs>
        <w:rPr>
          <w:color w:val="auto"/>
          <w:lang w:val="es-ES_tradnl"/>
        </w:rPr>
      </w:pPr>
      <w:bookmarkStart w:id="37" w:name="_Toc4595244"/>
    </w:p>
    <w:p w14:paraId="5CE1488D" w14:textId="77777777" w:rsidR="0057141B" w:rsidRPr="001C445E" w:rsidRDefault="0057141B" w:rsidP="0057141B">
      <w:pPr>
        <w:pStyle w:val="parrafos"/>
        <w:numPr>
          <w:ilvl w:val="0"/>
          <w:numId w:val="3"/>
        </w:numPr>
        <w:tabs>
          <w:tab w:val="left" w:pos="360"/>
        </w:tabs>
        <w:ind w:left="0" w:firstLine="0"/>
        <w:rPr>
          <w:color w:val="auto"/>
        </w:rPr>
      </w:pPr>
      <w:r w:rsidRPr="001C445E">
        <w:rPr>
          <w:color w:val="auto"/>
          <w:lang w:val="es-ES_tradnl"/>
        </w:rPr>
        <w:t>Por otra parte, en casos relacionados con la ejecución de fallos tanto la Comisión como la Corte se han referido al d</w:t>
      </w:r>
      <w:r w:rsidR="006853F7" w:rsidRPr="001C445E">
        <w:rPr>
          <w:color w:val="auto"/>
          <w:lang w:val="es-ES_tradnl"/>
        </w:rPr>
        <w:t xml:space="preserve">erecho a la propiedad privada. </w:t>
      </w:r>
      <w:r w:rsidRPr="001C445E">
        <w:rPr>
          <w:color w:val="auto"/>
          <w:lang w:val="es-ES_tradnl"/>
        </w:rPr>
        <w:t xml:space="preserve">Al respecto, han señalado que en el Sistema Interamericano existe un concepto amplio de propiedad que </w:t>
      </w:r>
      <w:r w:rsidRPr="001C445E">
        <w:rPr>
          <w:color w:val="auto"/>
        </w:rPr>
        <w:t>abarca, entre otros, el uso y goce de los bienes, definidos como cosas materiales apropiables, así como todo derecho que pueda formar parte del patrimonio de una persona. Asimismo, la Corte ha protegido a través del derecho a la propiedad los derechos adquiridos, entendidos como derechos que se han incorporado al patrimonio de las personas. La Comisión recuerda que el derecho a la propiedad no es absoluto y, en ese sentido, puede ser objeto de restricciones y limitaciones, siempre y cuando estas se realicen por la vía legal adecuada y de conformidad con los parámetros establecidos en el artículo 21 de la Convención Americana</w:t>
      </w:r>
      <w:r w:rsidRPr="001C445E">
        <w:rPr>
          <w:rStyle w:val="FootnoteReference"/>
          <w:rFonts w:ascii="Cambria" w:hAnsi="Cambria"/>
          <w:color w:val="auto"/>
          <w:sz w:val="20"/>
        </w:rPr>
        <w:footnoteReference w:id="42"/>
      </w:r>
      <w:r w:rsidRPr="001C445E">
        <w:rPr>
          <w:color w:val="auto"/>
        </w:rPr>
        <w:t xml:space="preserve">. </w:t>
      </w:r>
    </w:p>
    <w:p w14:paraId="67C0C651" w14:textId="77777777" w:rsidR="0057141B" w:rsidRPr="001C445E" w:rsidRDefault="0057141B" w:rsidP="0057141B">
      <w:pPr>
        <w:pStyle w:val="parrafos"/>
        <w:tabs>
          <w:tab w:val="left" w:pos="360"/>
        </w:tabs>
        <w:rPr>
          <w:color w:val="auto"/>
        </w:rPr>
      </w:pPr>
    </w:p>
    <w:p w14:paraId="6E527077" w14:textId="77777777" w:rsidR="0057141B" w:rsidRPr="001C445E" w:rsidRDefault="0057141B" w:rsidP="0057141B">
      <w:pPr>
        <w:pStyle w:val="parrafos"/>
        <w:numPr>
          <w:ilvl w:val="0"/>
          <w:numId w:val="3"/>
        </w:numPr>
        <w:tabs>
          <w:tab w:val="left" w:pos="360"/>
        </w:tabs>
        <w:ind w:left="0" w:firstLine="0"/>
        <w:rPr>
          <w:color w:val="auto"/>
        </w:rPr>
      </w:pPr>
      <w:r w:rsidRPr="001C445E">
        <w:rPr>
          <w:color w:val="auto"/>
        </w:rPr>
        <w:t xml:space="preserve">En los casos </w:t>
      </w:r>
      <w:r w:rsidRPr="001C445E">
        <w:rPr>
          <w:i/>
          <w:color w:val="auto"/>
        </w:rPr>
        <w:t>Cinco Pensionistas y Acevedo Buendía contra Perú</w:t>
      </w:r>
      <w:r w:rsidRPr="001C445E">
        <w:rPr>
          <w:color w:val="auto"/>
        </w:rPr>
        <w:t xml:space="preserve">, la Corte declaró la violación del derecho a la propiedad por la afectación patrimonial causada por el incumplimiento de sentencias que pretendían proteger el derecho a una pensión, el cual había sido adquirido por las víctimas, de conformidad con la normativa interna. En </w:t>
      </w:r>
      <w:r w:rsidR="00C83D8A" w:rsidRPr="001C445E">
        <w:rPr>
          <w:color w:val="auto"/>
        </w:rPr>
        <w:t>dicho</w:t>
      </w:r>
      <w:r w:rsidRPr="001C445E">
        <w:rPr>
          <w:color w:val="auto"/>
        </w:rPr>
        <w:t xml:space="preserve"> </w:t>
      </w:r>
      <w:r w:rsidR="00C83D8A" w:rsidRPr="001C445E">
        <w:rPr>
          <w:color w:val="auto"/>
        </w:rPr>
        <w:t>caso</w:t>
      </w:r>
      <w:r w:rsidRPr="001C445E">
        <w:rPr>
          <w:color w:val="auto"/>
        </w:rPr>
        <w:t>, la Corte señaló que, desde el momento en que un pensionista paga sus contribuciones a un fondo de pensiones y deja de prestar servicios a la institución concernida para acogerse al régimen de jubilaciones previsto en la ley, adquiere el derecho a que su pensión se rija en los términos y condiciones previstas en dicha ley. Asimismo, en el caso Acevedo Buendía, declaró que el derecho a la pensión que adquiere dicha persona tiene “efectos patrimoniales”, los cuales están protegidos bajo el artículo 21 de la Convención.</w:t>
      </w:r>
      <w:r w:rsidRPr="001C445E">
        <w:rPr>
          <w:rStyle w:val="FootnoteReference"/>
          <w:rFonts w:ascii="Cambria" w:hAnsi="Cambria"/>
          <w:color w:val="auto"/>
          <w:sz w:val="20"/>
        </w:rPr>
        <w:footnoteReference w:id="43"/>
      </w:r>
    </w:p>
    <w:p w14:paraId="308D56CC" w14:textId="77777777" w:rsidR="0057141B" w:rsidRPr="001C445E" w:rsidRDefault="0057141B" w:rsidP="0057141B">
      <w:pPr>
        <w:pStyle w:val="parrafos"/>
        <w:tabs>
          <w:tab w:val="left" w:pos="360"/>
        </w:tabs>
        <w:rPr>
          <w:color w:val="auto"/>
        </w:rPr>
      </w:pPr>
    </w:p>
    <w:p w14:paraId="71751A1A" w14:textId="77777777" w:rsidR="00DC3ED7" w:rsidRPr="001C445E" w:rsidRDefault="0057141B" w:rsidP="00DC3ED7">
      <w:pPr>
        <w:pStyle w:val="parrafos"/>
        <w:numPr>
          <w:ilvl w:val="0"/>
          <w:numId w:val="3"/>
        </w:numPr>
        <w:tabs>
          <w:tab w:val="left" w:pos="360"/>
        </w:tabs>
        <w:ind w:left="0" w:firstLine="0"/>
        <w:rPr>
          <w:color w:val="auto"/>
        </w:rPr>
      </w:pPr>
      <w:r w:rsidRPr="001C445E">
        <w:rPr>
          <w:color w:val="auto"/>
        </w:rPr>
        <w:t xml:space="preserve">De igual forma, en la sentencia del caso </w:t>
      </w:r>
      <w:r w:rsidRPr="001C445E">
        <w:rPr>
          <w:i/>
          <w:color w:val="auto"/>
        </w:rPr>
        <w:t>Muelle Flores respecto de Perú</w:t>
      </w:r>
      <w:r w:rsidRPr="001C445E">
        <w:rPr>
          <w:color w:val="auto"/>
        </w:rPr>
        <w:t xml:space="preserve"> la Corte declaró que “los beneficios que se derivan de la seguridad social, incluido el derecho a una pensión de vejez, forman parte del derecho de propiedad y por tanto deben estar protegidos contra la interferencia arbitraria del Estado. El derecho a la propiedad puede cubrir aún las expectativas legítimas del titular del derecho, en particular cuando haya efectuado aportes en un sistema contributivo. Con muchísima más razón, cubre los derechos </w:t>
      </w:r>
      <w:r w:rsidRPr="001C445E">
        <w:rPr>
          <w:color w:val="auto"/>
        </w:rPr>
        <w:lastRenderedPageBreak/>
        <w:t>adquiridos una vez perfeccionadas las condiciones para obtener un beneficio como la pensión de vejez, más aún cuando ese derecho ha sido reconocido a través de una sentencia judicial</w:t>
      </w:r>
      <w:r w:rsidR="00BA2E00" w:rsidRPr="001C445E">
        <w:rPr>
          <w:color w:val="auto"/>
        </w:rPr>
        <w:t>”</w:t>
      </w:r>
      <w:r w:rsidRPr="001C445E">
        <w:rPr>
          <w:rStyle w:val="FootnoteReference"/>
          <w:rFonts w:ascii="Cambria" w:hAnsi="Cambria"/>
          <w:color w:val="auto"/>
          <w:sz w:val="20"/>
        </w:rPr>
        <w:footnoteReference w:id="44"/>
      </w:r>
      <w:r w:rsidRPr="001C445E">
        <w:rPr>
          <w:color w:val="auto"/>
        </w:rPr>
        <w:t xml:space="preserve">. </w:t>
      </w:r>
    </w:p>
    <w:p w14:paraId="797E50C6" w14:textId="77777777" w:rsidR="00DC3ED7" w:rsidRPr="001C445E" w:rsidRDefault="00DC3ED7" w:rsidP="00DC3ED7">
      <w:pPr>
        <w:pStyle w:val="parrafos"/>
        <w:tabs>
          <w:tab w:val="left" w:pos="360"/>
        </w:tabs>
        <w:rPr>
          <w:color w:val="auto"/>
          <w:lang w:val="es-ES_tradnl"/>
        </w:rPr>
      </w:pPr>
    </w:p>
    <w:p w14:paraId="028CA397" w14:textId="2754171E" w:rsidR="00DC3ED7" w:rsidRPr="001C445E" w:rsidRDefault="00DC3ED7" w:rsidP="00DC3ED7">
      <w:pPr>
        <w:pStyle w:val="parrafos"/>
        <w:numPr>
          <w:ilvl w:val="0"/>
          <w:numId w:val="3"/>
        </w:numPr>
        <w:tabs>
          <w:tab w:val="left" w:pos="360"/>
        </w:tabs>
        <w:ind w:left="0" w:firstLine="0"/>
        <w:rPr>
          <w:color w:val="auto"/>
          <w:lang w:val="es-ES_tradnl"/>
        </w:rPr>
      </w:pPr>
      <w:r w:rsidRPr="001C445E">
        <w:rPr>
          <w:lang w:val="es-ES"/>
        </w:rPr>
        <w:t xml:space="preserve">Finalmente la CIDH subraya que de acuerdo a la obligación de garantizar los derechos humanos, ambos órganos del sistema interamericano han indicado </w:t>
      </w:r>
      <w:r w:rsidRPr="001C445E">
        <w:rPr>
          <w:lang w:val="es-PE"/>
        </w:rPr>
        <w:t>que en determinadas circunstancias la responsabilidad internacional estatal puede generarse también por actos de particulares en principio no atribuibles directamente al Estado; esto debido a la falta de debida diligencia estatal para prevenir, investigar y sancionar toda violación de los derechos reconocidos por la Convención o la ausencia de acciones para  restituir, si es posible, tal derecho. Asimismo, en cuanto a esta obligación, la Corte IDH señaló que la misma implica el deber de los Estados Parte de organizar todo el aparato gubernamental y, en general, todas las estructuras a través de las cuales se manifiesta el ejercicio del poder público, de manera tal que sean capaces de asegurar jurídicamente el libre y pleno ejercicio de los derechos humanos</w:t>
      </w:r>
      <w:r w:rsidRPr="001C445E">
        <w:rPr>
          <w:rStyle w:val="FootnoteReference"/>
          <w:rFonts w:ascii="Cambria" w:hAnsi="Cambria"/>
          <w:sz w:val="20"/>
          <w:lang w:val="es-PE"/>
        </w:rPr>
        <w:footnoteReference w:id="45"/>
      </w:r>
      <w:r w:rsidRPr="001C445E">
        <w:rPr>
          <w:lang w:val="es-PE"/>
        </w:rPr>
        <w:t>. A efectos de determinar la responsabilidad internacional del Estado, lo decisivo es dilucidar si una determinada violación a los derechos humanos reconocidos por la Convención ha tenido lugar con el apoyo o la tolerancia del poder público o si éste ha actuado de manera que la trasgresión se haya cumplido en defecto de toda prevención o impunemente</w:t>
      </w:r>
      <w:r w:rsidRPr="001C445E">
        <w:rPr>
          <w:rStyle w:val="FootnoteReference"/>
          <w:rFonts w:ascii="Cambria" w:hAnsi="Cambria"/>
          <w:sz w:val="20"/>
          <w:lang w:val="es-PE"/>
        </w:rPr>
        <w:footnoteReference w:id="46"/>
      </w:r>
      <w:r w:rsidRPr="001C445E">
        <w:rPr>
          <w:lang w:val="es-PE"/>
        </w:rPr>
        <w:t>.</w:t>
      </w:r>
    </w:p>
    <w:p w14:paraId="7B04FA47" w14:textId="77777777" w:rsidR="00622A16" w:rsidRPr="001C445E" w:rsidRDefault="00622A16" w:rsidP="00E27674">
      <w:pPr>
        <w:pStyle w:val="parrafos"/>
        <w:tabs>
          <w:tab w:val="left" w:pos="360"/>
        </w:tabs>
        <w:rPr>
          <w:color w:val="auto"/>
          <w:lang w:val="es-ES_tradnl"/>
        </w:rPr>
      </w:pPr>
    </w:p>
    <w:p w14:paraId="2810DF9C" w14:textId="77777777" w:rsidR="00622A16" w:rsidRPr="001C445E" w:rsidRDefault="00622A16" w:rsidP="00CD2FEB">
      <w:pPr>
        <w:pStyle w:val="Heading3"/>
        <w:numPr>
          <w:ilvl w:val="0"/>
          <w:numId w:val="7"/>
        </w:numPr>
        <w:tabs>
          <w:tab w:val="left" w:pos="0"/>
        </w:tabs>
        <w:spacing w:before="0" w:after="0" w:line="240" w:lineRule="auto"/>
        <w:ind w:left="360"/>
        <w:jc w:val="both"/>
        <w:rPr>
          <w:sz w:val="20"/>
          <w:szCs w:val="20"/>
          <w:lang w:val="es-ES_tradnl"/>
        </w:rPr>
      </w:pPr>
      <w:bookmarkStart w:id="38" w:name="_Toc203125562"/>
      <w:r w:rsidRPr="001C445E">
        <w:rPr>
          <w:sz w:val="20"/>
          <w:szCs w:val="20"/>
          <w:lang w:val="es-ES_tradnl"/>
        </w:rPr>
        <w:t>El principio de igualdad y no discriminación y el despido por embarazo</w:t>
      </w:r>
      <w:bookmarkEnd w:id="38"/>
    </w:p>
    <w:p w14:paraId="568C698B" w14:textId="77777777" w:rsidR="00622A16" w:rsidRPr="001C445E" w:rsidRDefault="00622A16" w:rsidP="00622A16">
      <w:pPr>
        <w:pStyle w:val="parrafos"/>
        <w:rPr>
          <w:color w:val="auto"/>
          <w:lang w:val="es-ES_tradnl"/>
        </w:rPr>
      </w:pPr>
    </w:p>
    <w:p w14:paraId="1D8C85A5" w14:textId="77777777" w:rsidR="00E57734" w:rsidRPr="001C445E" w:rsidRDefault="00622A16" w:rsidP="00E57734">
      <w:pPr>
        <w:pStyle w:val="parrafos"/>
        <w:numPr>
          <w:ilvl w:val="0"/>
          <w:numId w:val="3"/>
        </w:numPr>
        <w:tabs>
          <w:tab w:val="left" w:pos="360"/>
        </w:tabs>
        <w:ind w:left="0" w:firstLine="0"/>
        <w:rPr>
          <w:color w:val="auto"/>
          <w:lang w:val="es-ES_tradnl"/>
        </w:rPr>
      </w:pPr>
      <w:r w:rsidRPr="001C445E">
        <w:rPr>
          <w:color w:val="auto"/>
          <w:lang w:val="es-ES_tradnl"/>
        </w:rPr>
        <w:t xml:space="preserve">Por otra parte, la CIDH recuerda que </w:t>
      </w:r>
      <w:r w:rsidR="00E57734" w:rsidRPr="001C445E">
        <w:rPr>
          <w:lang w:val="es-ES"/>
        </w:rPr>
        <w:t>l</w:t>
      </w:r>
      <w:r w:rsidR="00E57734" w:rsidRPr="001C445E">
        <w:rPr>
          <w:lang w:val="es-US"/>
        </w:rPr>
        <w:t xml:space="preserve">a Corte Interamericana ha señalado que la noción de igualdad se desprende directamente de la unidad de </w:t>
      </w:r>
      <w:r w:rsidR="00E57734" w:rsidRPr="001C445E">
        <w:rPr>
          <w:lang w:val="es-CL"/>
        </w:rPr>
        <w:t>naturaleza</w:t>
      </w:r>
      <w:r w:rsidR="00E57734" w:rsidRPr="001C445E">
        <w:rPr>
          <w:lang w:val="es-US"/>
        </w:rPr>
        <w:t xml:space="preserve">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w:t>
      </w:r>
      <w:r w:rsidR="00E57734" w:rsidRPr="001C445E">
        <w:t>discrimine</w:t>
      </w:r>
      <w:r w:rsidR="00E57734" w:rsidRPr="001C445E">
        <w:rPr>
          <w:lang w:val="es-US"/>
        </w:rPr>
        <w:t xml:space="preserve"> del goce de derechos que sí se reconocen a quienes no se consideran incursos en tal situación. La jurisprudencia de la Corte ha indicado que, en la actual etapa de la evolución del derecho internacional, el principio fundamental de igualdad y no discriminación ha ingresado en el dominio del </w:t>
      </w:r>
      <w:r w:rsidR="00E57734" w:rsidRPr="001C445E">
        <w:rPr>
          <w:i/>
          <w:lang w:val="es-US"/>
        </w:rPr>
        <w:t>ius cogens</w:t>
      </w:r>
      <w:r w:rsidR="00E57734" w:rsidRPr="001C445E">
        <w:rPr>
          <w:lang w:val="es-US"/>
        </w:rPr>
        <w:t>.</w:t>
      </w:r>
      <w:r w:rsidR="00E57734" w:rsidRPr="001C445E">
        <w:rPr>
          <w:i/>
          <w:lang w:val="es-US"/>
        </w:rPr>
        <w:t xml:space="preserve"> </w:t>
      </w:r>
      <w:r w:rsidR="00E57734" w:rsidRPr="001C445E">
        <w:t>Sobre él descansa el andamiaje jurídico del orden público nacional e internacional y permea todo el ordenamiento jurídico</w:t>
      </w:r>
      <w:r w:rsidR="00E57734" w:rsidRPr="001C445E">
        <w:rPr>
          <w:rStyle w:val="FootnoteReference"/>
          <w:rFonts w:ascii="Cambria" w:hAnsi="Cambria"/>
          <w:sz w:val="20"/>
        </w:rPr>
        <w:footnoteReference w:id="47"/>
      </w:r>
      <w:r w:rsidR="00E57734" w:rsidRPr="001C445E">
        <w:t>.</w:t>
      </w:r>
    </w:p>
    <w:p w14:paraId="1A939487" w14:textId="77777777" w:rsidR="00E57734" w:rsidRPr="001C445E" w:rsidRDefault="00E57734" w:rsidP="00E57734">
      <w:pPr>
        <w:pStyle w:val="parrafos"/>
        <w:rPr>
          <w:color w:val="auto"/>
          <w:lang w:val="es-ES_tradnl"/>
        </w:rPr>
      </w:pPr>
    </w:p>
    <w:p w14:paraId="31384987" w14:textId="77777777" w:rsidR="00AD3C1E" w:rsidRPr="001C445E" w:rsidRDefault="00E57734" w:rsidP="00AD3C1E">
      <w:pPr>
        <w:pStyle w:val="parrafos"/>
        <w:numPr>
          <w:ilvl w:val="0"/>
          <w:numId w:val="3"/>
        </w:numPr>
        <w:tabs>
          <w:tab w:val="left" w:pos="360"/>
        </w:tabs>
        <w:ind w:left="0" w:firstLine="0"/>
        <w:rPr>
          <w:color w:val="auto"/>
          <w:lang w:val="es-ES_tradnl"/>
        </w:rPr>
      </w:pPr>
      <w:r w:rsidRPr="001C445E">
        <w:rPr>
          <w:color w:val="auto"/>
          <w:lang w:val="es-ES"/>
        </w:rPr>
        <w:t>El sistema interamericano no sólo recoge una noción formal de igualdad, limitada a exigir criterios de distinción objetivos y razonables y, por lo tanto, a prohibir diferencias de trato irrazonables, caprichosas o arbitrarias, sino que avanza hacia un concepto de igualdad material o estructural que parte del reconocimiento de que ciertos sectores de la población requieren la adopción de medidas afirmativas de equiparación. Ello implica la necesidad de trato diferenciado cuando, debido a las circunstancias que afectan a un grupo desventajado, la igualdad de trato suponga suspender o limitar el acceso a un servicio, bien o el ejercicio de un derecho</w:t>
      </w:r>
      <w:r w:rsidRPr="001C445E">
        <w:rPr>
          <w:rStyle w:val="FootnoteReference"/>
          <w:rFonts w:ascii="Cambria" w:hAnsi="Cambria"/>
          <w:color w:val="auto"/>
          <w:sz w:val="20"/>
          <w:lang w:val="es-ES"/>
        </w:rPr>
        <w:footnoteReference w:id="48"/>
      </w:r>
      <w:r w:rsidRPr="001C445E">
        <w:rPr>
          <w:color w:val="auto"/>
          <w:lang w:val="es-ES"/>
        </w:rPr>
        <w:t xml:space="preserve">. </w:t>
      </w:r>
    </w:p>
    <w:p w14:paraId="6AA258D8" w14:textId="77777777" w:rsidR="00AD3C1E" w:rsidRPr="001C445E" w:rsidRDefault="00AD3C1E" w:rsidP="00AD3C1E">
      <w:pPr>
        <w:pStyle w:val="parrafos"/>
        <w:tabs>
          <w:tab w:val="left" w:pos="360"/>
        </w:tabs>
        <w:rPr>
          <w:color w:val="auto"/>
          <w:lang w:val="es-ES_tradnl"/>
        </w:rPr>
      </w:pPr>
    </w:p>
    <w:p w14:paraId="663B6B6E" w14:textId="77777777" w:rsidR="007D3548" w:rsidRPr="001C445E" w:rsidRDefault="00AD3C1E" w:rsidP="007D3548">
      <w:pPr>
        <w:pStyle w:val="parrafos"/>
        <w:numPr>
          <w:ilvl w:val="0"/>
          <w:numId w:val="3"/>
        </w:numPr>
        <w:tabs>
          <w:tab w:val="left" w:pos="360"/>
        </w:tabs>
        <w:ind w:left="0" w:firstLine="0"/>
        <w:rPr>
          <w:color w:val="auto"/>
          <w:lang w:val="es-ES_tradnl"/>
        </w:rPr>
      </w:pPr>
      <w:r w:rsidRPr="001C445E">
        <w:rPr>
          <w:color w:val="auto"/>
          <w:lang w:val="es-ES_tradnl"/>
        </w:rPr>
        <w:t xml:space="preserve">La Comisión subraya que distintos organismos nacionales e internacionales han sostenido que despedir a una mujer por encontrarse en estado de embarazo vulnera el principio de igualdad y no discriminación. Al respecto, </w:t>
      </w:r>
      <w:r w:rsidR="00DC3ED7" w:rsidRPr="001C445E">
        <w:rPr>
          <w:color w:val="auto"/>
          <w:lang w:val="es-ES_tradnl"/>
        </w:rPr>
        <w:t>en su Informe sobre el trabajo, la educación y los recursos de las mujeres, la CIDH</w:t>
      </w:r>
      <w:r w:rsidR="003749E5" w:rsidRPr="001C445E">
        <w:rPr>
          <w:color w:val="auto"/>
          <w:lang w:val="es-ES_tradnl"/>
        </w:rPr>
        <w:t>,</w:t>
      </w:r>
      <w:r w:rsidR="00DC3ED7" w:rsidRPr="001C445E">
        <w:rPr>
          <w:color w:val="auto"/>
          <w:lang w:val="es-ES_tradnl"/>
        </w:rPr>
        <w:t xml:space="preserve"> recordando el Convenio 183 de la OIT subrayó que los Estados deben adoptar medidas para garantizar </w:t>
      </w:r>
      <w:r w:rsidR="00DC3ED7" w:rsidRPr="001C445E">
        <w:t>que la maternidad no constituya una causa de discriminación en el empleo y en el acceso al mismo, incluyendo la prohibición expresa de que se exija a una mujer que aplica a un empleo la presentación de una prueba de embarazo</w:t>
      </w:r>
      <w:r w:rsidR="003749E5" w:rsidRPr="001C445E">
        <w:rPr>
          <w:rStyle w:val="FootnoteReference"/>
          <w:rFonts w:ascii="Cambria" w:hAnsi="Cambria"/>
          <w:sz w:val="20"/>
        </w:rPr>
        <w:footnoteReference w:id="49"/>
      </w:r>
      <w:r w:rsidR="00DC3ED7" w:rsidRPr="001C445E">
        <w:t xml:space="preserve">. </w:t>
      </w:r>
    </w:p>
    <w:p w14:paraId="6FFBD3EC" w14:textId="77777777" w:rsidR="007D3548" w:rsidRPr="001C445E" w:rsidRDefault="007D3548" w:rsidP="007D3548">
      <w:pPr>
        <w:pStyle w:val="parrafos"/>
        <w:tabs>
          <w:tab w:val="left" w:pos="360"/>
        </w:tabs>
        <w:rPr>
          <w:color w:val="auto"/>
          <w:lang w:val="es-ES_tradnl"/>
        </w:rPr>
      </w:pPr>
    </w:p>
    <w:p w14:paraId="229CA74F" w14:textId="77777777" w:rsidR="001F2AC5" w:rsidRPr="001C445E" w:rsidRDefault="001F2AC5" w:rsidP="001F2AC5">
      <w:pPr>
        <w:pStyle w:val="parrafos"/>
        <w:numPr>
          <w:ilvl w:val="0"/>
          <w:numId w:val="3"/>
        </w:numPr>
        <w:tabs>
          <w:tab w:val="left" w:pos="360"/>
        </w:tabs>
        <w:ind w:left="0" w:firstLine="0"/>
        <w:rPr>
          <w:rFonts w:cs="Arial"/>
          <w:color w:val="auto"/>
          <w:shd w:val="clear" w:color="auto" w:fill="FFFFFF"/>
          <w:lang w:val="es-ES"/>
        </w:rPr>
      </w:pPr>
      <w:r w:rsidRPr="001C445E">
        <w:rPr>
          <w:color w:val="auto"/>
          <w:lang w:val="es-ES_tradnl"/>
        </w:rPr>
        <w:lastRenderedPageBreak/>
        <w:t>La Comisión recuerda que</w:t>
      </w:r>
      <w:r w:rsidRPr="001C445E">
        <w:rPr>
          <w:rFonts w:cs="Arial"/>
          <w:color w:val="auto"/>
          <w:shd w:val="clear" w:color="auto" w:fill="FFFFFF"/>
          <w:lang w:val="es-ES"/>
        </w:rPr>
        <w:t xml:space="preserve"> desde la recomendación sobre 95 sobre la protección de la maternidad, la Conferencia General de la Organización Internacional del Trabajo subrayó que: </w:t>
      </w:r>
    </w:p>
    <w:p w14:paraId="30DCCCAD" w14:textId="77777777" w:rsidR="001F2AC5" w:rsidRPr="001C445E" w:rsidRDefault="001F2AC5" w:rsidP="001F2AC5">
      <w:pPr>
        <w:pStyle w:val="parrafos"/>
        <w:tabs>
          <w:tab w:val="left" w:pos="360"/>
        </w:tabs>
        <w:rPr>
          <w:rFonts w:cs="Arial"/>
          <w:color w:val="auto"/>
          <w:shd w:val="clear" w:color="auto" w:fill="FFFFFF"/>
          <w:lang w:val="es-ES"/>
        </w:rPr>
      </w:pPr>
    </w:p>
    <w:p w14:paraId="2CE6C9CD" w14:textId="77777777" w:rsidR="001F2AC5" w:rsidRPr="001C445E" w:rsidRDefault="001F2AC5" w:rsidP="00F863D5">
      <w:pPr>
        <w:pStyle w:val="parrafos"/>
        <w:tabs>
          <w:tab w:val="left" w:pos="360"/>
        </w:tabs>
        <w:ind w:left="360"/>
        <w:rPr>
          <w:rFonts w:eastAsia="Times New Roman"/>
          <w:color w:val="auto"/>
          <w:sz w:val="18"/>
          <w:szCs w:val="18"/>
          <w:lang w:val="es-ES"/>
        </w:rPr>
      </w:pPr>
      <w:r w:rsidRPr="001C445E">
        <w:rPr>
          <w:rFonts w:eastAsia="Times New Roman"/>
          <w:color w:val="auto"/>
          <w:sz w:val="18"/>
          <w:szCs w:val="18"/>
          <w:lang w:val="es-ES"/>
        </w:rPr>
        <w:t>(1) Siempre que sea posible, el período antes y después del parto durante el cual sea ilegal para el empleador despedir a una mujer en virtud del artículo 6 del Convenio sobre la protección de la maternidad (revisado), 1952, debería comenzar a contarse a partir del día en que el empleador haya sido notificado, por medio de un certificado médico, del embarazo de esa mujer, y debería ser prolongado por lo menos hasta un mes después de la terminación del período de descanso de maternidad previsto en el artículo 3 de dicho Convenio (2) Motivos tales como una falta grave de la mujer empleada, la cesación de las actividades de la empresa donde esté ocupada o la terminación de su contrato de trabajo podrán ser considerados, por la legislación nacional, como causas justas para el despido, durante el período en el que la mujer esté protegida. Cuando existan consejos de empresa, sería conveniente consultarlos con respecto a tales despidos</w:t>
      </w:r>
      <w:r w:rsidRPr="001C445E">
        <w:rPr>
          <w:rStyle w:val="FootnoteReference"/>
          <w:rFonts w:ascii="Cambria" w:eastAsia="Times New Roman" w:hAnsi="Cambria"/>
          <w:sz w:val="18"/>
          <w:szCs w:val="18"/>
          <w:lang w:val="es-ES"/>
        </w:rPr>
        <w:footnoteReference w:id="50"/>
      </w:r>
      <w:r w:rsidRPr="001C445E">
        <w:rPr>
          <w:rFonts w:eastAsia="Times New Roman"/>
          <w:color w:val="auto"/>
          <w:sz w:val="18"/>
          <w:szCs w:val="18"/>
          <w:lang w:val="es-ES"/>
        </w:rPr>
        <w:t>.</w:t>
      </w:r>
    </w:p>
    <w:p w14:paraId="36AF6883" w14:textId="77777777" w:rsidR="00F863D5" w:rsidRPr="001C445E" w:rsidRDefault="00F863D5" w:rsidP="00F863D5">
      <w:pPr>
        <w:pStyle w:val="parrafos"/>
        <w:tabs>
          <w:tab w:val="left" w:pos="360"/>
        </w:tabs>
        <w:ind w:left="360"/>
        <w:rPr>
          <w:rFonts w:cs="Arial"/>
          <w:color w:val="auto"/>
          <w:shd w:val="clear" w:color="auto" w:fill="FFFFFF"/>
          <w:lang w:val="es-ES"/>
        </w:rPr>
      </w:pPr>
    </w:p>
    <w:p w14:paraId="5349AF3E" w14:textId="77777777" w:rsidR="007615C9" w:rsidRPr="001C445E" w:rsidRDefault="007615C9" w:rsidP="007615C9">
      <w:pPr>
        <w:pStyle w:val="parrafos"/>
        <w:numPr>
          <w:ilvl w:val="0"/>
          <w:numId w:val="3"/>
        </w:numPr>
        <w:tabs>
          <w:tab w:val="left" w:pos="360"/>
        </w:tabs>
        <w:ind w:left="0" w:firstLine="0"/>
        <w:rPr>
          <w:color w:val="auto"/>
          <w:lang w:val="es-ES_tradnl"/>
        </w:rPr>
      </w:pPr>
      <w:r w:rsidRPr="001C445E">
        <w:rPr>
          <w:color w:val="auto"/>
          <w:lang w:val="es-ES_tradnl"/>
        </w:rPr>
        <w:t>Igualmente, el Convenio 158 de la OIT sobre la terminación de la relación de trabajo estipula que entre los motivos que no constituirán causa justificada para la terminación de la relación de trabajo figura el embarazo</w:t>
      </w:r>
      <w:r w:rsidRPr="001C445E">
        <w:rPr>
          <w:rStyle w:val="FootnoteReference"/>
          <w:rFonts w:ascii="Cambria" w:hAnsi="Cambria"/>
          <w:color w:val="auto"/>
          <w:sz w:val="20"/>
          <w:lang w:val="es-ES_tradnl"/>
        </w:rPr>
        <w:footnoteReference w:id="51"/>
      </w:r>
      <w:r w:rsidRPr="001C445E">
        <w:rPr>
          <w:color w:val="auto"/>
          <w:lang w:val="es-ES_tradnl"/>
        </w:rPr>
        <w:t>.</w:t>
      </w:r>
    </w:p>
    <w:p w14:paraId="54C529ED" w14:textId="77777777" w:rsidR="007615C9" w:rsidRPr="001C445E" w:rsidRDefault="007615C9" w:rsidP="007615C9">
      <w:pPr>
        <w:pStyle w:val="parrafos"/>
        <w:rPr>
          <w:color w:val="auto"/>
          <w:lang w:val="es-ES_tradnl"/>
        </w:rPr>
      </w:pPr>
    </w:p>
    <w:p w14:paraId="64F77ED2" w14:textId="7C5B016B" w:rsidR="00423C86" w:rsidRPr="001C445E" w:rsidRDefault="00C25872" w:rsidP="00423C86">
      <w:pPr>
        <w:pStyle w:val="parrafos"/>
        <w:numPr>
          <w:ilvl w:val="0"/>
          <w:numId w:val="3"/>
        </w:numPr>
        <w:tabs>
          <w:tab w:val="left" w:pos="360"/>
        </w:tabs>
        <w:ind w:left="0" w:firstLine="0"/>
        <w:rPr>
          <w:color w:val="auto"/>
          <w:lang w:val="es-ES_tradnl"/>
        </w:rPr>
      </w:pPr>
      <w:r w:rsidRPr="001C445E">
        <w:rPr>
          <w:color w:val="auto"/>
          <w:lang w:val="es-ES_tradnl"/>
        </w:rPr>
        <w:t>Por su parte, el artículo 11 de la Convención sobre la eliminación de todas las formas de discriminación contra la mujer establece como una medida apropiada para eliminar la discriminación contra la mujer en la esfera del empleo “</w:t>
      </w:r>
      <w:r w:rsidRPr="001C445E">
        <w:rPr>
          <w:shd w:val="clear" w:color="auto" w:fill="FFFFFF"/>
        </w:rPr>
        <w:t>a) Prohibir, bajo pena de sanciones, el despido por motivo de embarazo o licencia de maternidad y la discriminación en los despidos sobre la base del estado civil”</w:t>
      </w:r>
      <w:r w:rsidRPr="001C445E">
        <w:rPr>
          <w:rStyle w:val="FootnoteReference"/>
          <w:rFonts w:ascii="Cambria" w:hAnsi="Cambria"/>
          <w:sz w:val="20"/>
          <w:shd w:val="clear" w:color="auto" w:fill="FFFFFF"/>
        </w:rPr>
        <w:footnoteReference w:id="52"/>
      </w:r>
      <w:r w:rsidR="00423C86" w:rsidRPr="001C445E">
        <w:rPr>
          <w:shd w:val="clear" w:color="auto" w:fill="FFFFFF"/>
        </w:rPr>
        <w:t>.</w:t>
      </w:r>
    </w:p>
    <w:p w14:paraId="1C0157D6" w14:textId="77777777" w:rsidR="00423C86" w:rsidRPr="001C445E" w:rsidRDefault="00423C86" w:rsidP="00423C86">
      <w:pPr>
        <w:pStyle w:val="parrafos"/>
        <w:tabs>
          <w:tab w:val="left" w:pos="360"/>
        </w:tabs>
        <w:rPr>
          <w:color w:val="auto"/>
          <w:lang w:val="es-ES_tradnl"/>
        </w:rPr>
      </w:pPr>
    </w:p>
    <w:p w14:paraId="7CF1092B" w14:textId="77777777" w:rsidR="00423C86" w:rsidRPr="001C445E" w:rsidRDefault="00423C86" w:rsidP="00DD3509">
      <w:pPr>
        <w:pStyle w:val="parrafos"/>
        <w:numPr>
          <w:ilvl w:val="0"/>
          <w:numId w:val="3"/>
        </w:numPr>
        <w:tabs>
          <w:tab w:val="left" w:pos="360"/>
        </w:tabs>
        <w:ind w:left="0" w:firstLine="0"/>
        <w:rPr>
          <w:color w:val="auto"/>
          <w:lang w:val="es-ES_tradnl"/>
        </w:rPr>
      </w:pPr>
      <w:r w:rsidRPr="001C445E">
        <w:rPr>
          <w:color w:val="auto"/>
          <w:lang w:val="es-ES_tradnl"/>
        </w:rPr>
        <w:t xml:space="preserve">El Tribunal de Justicia de la Unión Europea ha indicado que </w:t>
      </w:r>
      <w:r w:rsidR="00CC0A23" w:rsidRPr="001C445E">
        <w:rPr>
          <w:color w:val="auto"/>
          <w:lang w:val="es-ES_tradnl"/>
        </w:rPr>
        <w:t xml:space="preserve">la destitución de una trabajadora por razón de embarazo o por una </w:t>
      </w:r>
      <w:r w:rsidRPr="001C445E">
        <w:rPr>
          <w:color w:val="auto"/>
          <w:lang w:val="es-ES_tradnl"/>
        </w:rPr>
        <w:t>causa basada esencialmente en ese estado</w:t>
      </w:r>
      <w:r w:rsidR="00CC0A23" w:rsidRPr="001C445E">
        <w:rPr>
          <w:color w:val="auto"/>
          <w:lang w:val="es-ES_tradnl"/>
        </w:rPr>
        <w:t xml:space="preserve">, </w:t>
      </w:r>
      <w:r w:rsidRPr="001C445E">
        <w:rPr>
          <w:color w:val="auto"/>
          <w:lang w:val="es-ES_tradnl"/>
        </w:rPr>
        <w:t>supone una discriminación directa por razón de sexo, contraria a los artículos 2, apartados 1 y 7, y 3, apartado 1, letra c), de la Directiva 76/207/CEE del Consejo, de 9 de febrero de 1976, relativa a la aplicación del principio de igualdad de trato entre hombres y mujeres en lo que se refiere al acceso al empleo, a la formación y a la promoción profesionales, y a</w:t>
      </w:r>
      <w:r w:rsidR="00CC0A23" w:rsidRPr="001C445E">
        <w:rPr>
          <w:color w:val="auto"/>
          <w:lang w:val="es-ES_tradnl"/>
        </w:rPr>
        <w:t xml:space="preserve"> las condiciones de trabajo</w:t>
      </w:r>
      <w:r w:rsidR="00CC0A23" w:rsidRPr="001C445E">
        <w:rPr>
          <w:rStyle w:val="FootnoteReference"/>
          <w:rFonts w:ascii="Cambria" w:hAnsi="Cambria"/>
          <w:color w:val="auto"/>
          <w:sz w:val="20"/>
          <w:lang w:val="es-ES_tradnl"/>
        </w:rPr>
        <w:footnoteReference w:id="53"/>
      </w:r>
      <w:r w:rsidR="00CC0A23" w:rsidRPr="001C445E">
        <w:rPr>
          <w:color w:val="auto"/>
          <w:lang w:val="es-ES_tradnl"/>
        </w:rPr>
        <w:t>.</w:t>
      </w:r>
    </w:p>
    <w:p w14:paraId="3691E7B2" w14:textId="77777777" w:rsidR="00423C86" w:rsidRPr="001C445E" w:rsidRDefault="00423C86" w:rsidP="00C25872">
      <w:pPr>
        <w:pStyle w:val="parrafos"/>
        <w:rPr>
          <w:color w:val="auto"/>
          <w:lang w:val="es-ES_tradnl"/>
        </w:rPr>
      </w:pPr>
    </w:p>
    <w:p w14:paraId="69E20325" w14:textId="77777777" w:rsidR="00A55880" w:rsidRPr="001C445E" w:rsidRDefault="00CC0A23" w:rsidP="2BF8E3BE">
      <w:pPr>
        <w:pStyle w:val="parrafos"/>
        <w:numPr>
          <w:ilvl w:val="0"/>
          <w:numId w:val="3"/>
        </w:numPr>
        <w:tabs>
          <w:tab w:val="left" w:pos="360"/>
        </w:tabs>
        <w:ind w:left="0" w:firstLine="0"/>
        <w:rPr>
          <w:color w:val="auto"/>
          <w:lang w:val="es-ES"/>
        </w:rPr>
      </w:pPr>
      <w:r w:rsidRPr="2BF8E3BE">
        <w:rPr>
          <w:color w:val="auto"/>
          <w:lang w:val="es-ES"/>
        </w:rPr>
        <w:t>Por otra</w:t>
      </w:r>
      <w:r w:rsidR="00F863D5" w:rsidRPr="2BF8E3BE">
        <w:rPr>
          <w:color w:val="auto"/>
          <w:lang w:val="es-ES"/>
        </w:rPr>
        <w:t xml:space="preserve"> parte,</w:t>
      </w:r>
      <w:r w:rsidRPr="2BF8E3BE">
        <w:rPr>
          <w:color w:val="auto"/>
          <w:lang w:val="es-ES"/>
        </w:rPr>
        <w:t xml:space="preserve"> tribunales nacionales como</w:t>
      </w:r>
      <w:r w:rsidR="00F863D5" w:rsidRPr="2BF8E3BE">
        <w:rPr>
          <w:color w:val="auto"/>
          <w:lang w:val="es-ES"/>
        </w:rPr>
        <w:t xml:space="preserve"> la Corte Constitucional colombiana ha</w:t>
      </w:r>
      <w:r w:rsidRPr="2BF8E3BE">
        <w:rPr>
          <w:color w:val="auto"/>
          <w:lang w:val="es-ES"/>
        </w:rPr>
        <w:t>n</w:t>
      </w:r>
      <w:r w:rsidR="00F863D5" w:rsidRPr="2BF8E3BE">
        <w:rPr>
          <w:color w:val="auto"/>
          <w:lang w:val="es-ES"/>
        </w:rPr>
        <w:t xml:space="preserve"> sostenido que </w:t>
      </w:r>
      <w:r w:rsidR="002A07A4" w:rsidRPr="2BF8E3BE">
        <w:rPr>
          <w:color w:val="auto"/>
          <w:lang w:val="es-ES"/>
        </w:rPr>
        <w:t>el fin de la protección de la mujer embarazada o lactante en el ámbito laboral consiste en “</w:t>
      </w:r>
      <w:r w:rsidR="00F863D5" w:rsidRPr="2BF8E3BE">
        <w:rPr>
          <w:color w:val="auto"/>
          <w:lang w:val="es-ES"/>
        </w:rPr>
        <w:t>impedir la discriminación que, a raíz del embarazo, pueda sufrir la mujer, específicamente la terminación o la no renovación del contrato por causa o con ocasión de esa condición o de la lactancia. De este modo, el fuero de maternidad, encuentra también su sustento en la cláusula general de igualdad de la Constitución</w:t>
      </w:r>
      <w:r w:rsidR="002A07A4" w:rsidRPr="2BF8E3BE">
        <w:rPr>
          <w:color w:val="auto"/>
          <w:lang w:val="es-ES"/>
        </w:rPr>
        <w:t xml:space="preserve"> </w:t>
      </w:r>
      <w:r w:rsidR="00F863D5" w:rsidRPr="2BF8E3BE">
        <w:rPr>
          <w:color w:val="auto"/>
          <w:lang w:val="es-ES"/>
        </w:rPr>
        <w:t>que proscribe la discriminación por razones de sexo, así como en el ya mencionado artículo 43 Superior, que dispone la igualdad de derechos y oportunidades entre hombres y mujeres</w:t>
      </w:r>
      <w:r w:rsidR="002A07A4" w:rsidRPr="2BF8E3BE">
        <w:rPr>
          <w:color w:val="auto"/>
          <w:lang w:val="es-ES"/>
        </w:rPr>
        <w:t>”</w:t>
      </w:r>
      <w:r w:rsidR="002A07A4" w:rsidRPr="2BF8E3BE">
        <w:rPr>
          <w:rStyle w:val="FootnoteReference"/>
          <w:rFonts w:ascii="Cambria" w:hAnsi="Cambria"/>
          <w:color w:val="auto"/>
          <w:sz w:val="20"/>
          <w:lang w:val="es-ES"/>
        </w:rPr>
        <w:footnoteReference w:id="54"/>
      </w:r>
      <w:r w:rsidR="00F863D5" w:rsidRPr="2BF8E3BE">
        <w:rPr>
          <w:color w:val="auto"/>
          <w:lang w:val="es-ES"/>
        </w:rPr>
        <w:t>.</w:t>
      </w:r>
    </w:p>
    <w:p w14:paraId="526770CE" w14:textId="77777777" w:rsidR="001C445E" w:rsidRPr="001C445E" w:rsidRDefault="001C445E" w:rsidP="001C445E">
      <w:pPr>
        <w:pStyle w:val="parrafos"/>
        <w:tabs>
          <w:tab w:val="left" w:pos="360"/>
        </w:tabs>
        <w:rPr>
          <w:color w:val="auto"/>
          <w:lang w:val="es-ES_tradnl"/>
        </w:rPr>
      </w:pPr>
    </w:p>
    <w:p w14:paraId="6547A288" w14:textId="77777777" w:rsidR="00F118A5" w:rsidRPr="001C445E" w:rsidRDefault="00F118A5" w:rsidP="00CD2FEB">
      <w:pPr>
        <w:pStyle w:val="Heading3"/>
        <w:numPr>
          <w:ilvl w:val="0"/>
          <w:numId w:val="7"/>
        </w:numPr>
        <w:tabs>
          <w:tab w:val="left" w:pos="0"/>
        </w:tabs>
        <w:spacing w:before="0" w:after="0" w:line="240" w:lineRule="auto"/>
        <w:ind w:left="360"/>
        <w:jc w:val="both"/>
        <w:rPr>
          <w:sz w:val="20"/>
          <w:szCs w:val="20"/>
          <w:lang w:val="es-ES_tradnl"/>
        </w:rPr>
      </w:pPr>
      <w:bookmarkStart w:id="39" w:name="_Toc203125563"/>
      <w:r w:rsidRPr="001C445E">
        <w:rPr>
          <w:sz w:val="20"/>
          <w:szCs w:val="20"/>
          <w:lang w:val="es-ES_tradnl"/>
        </w:rPr>
        <w:t>Análisis del presente caso</w:t>
      </w:r>
      <w:bookmarkEnd w:id="39"/>
      <w:r w:rsidRPr="001C445E">
        <w:rPr>
          <w:sz w:val="20"/>
          <w:szCs w:val="20"/>
          <w:lang w:val="es-ES_tradnl"/>
        </w:rPr>
        <w:t xml:space="preserve"> </w:t>
      </w:r>
    </w:p>
    <w:p w14:paraId="7CBEED82" w14:textId="77777777" w:rsidR="00607A4C" w:rsidRPr="001C445E" w:rsidRDefault="00607A4C" w:rsidP="00423424">
      <w:pPr>
        <w:pStyle w:val="parrafos"/>
        <w:rPr>
          <w:color w:val="auto"/>
          <w:lang w:val="es-ES_tradnl"/>
        </w:rPr>
      </w:pPr>
    </w:p>
    <w:p w14:paraId="5C20154C" w14:textId="77777777" w:rsidR="0076472A" w:rsidRPr="001C445E" w:rsidRDefault="00E27674" w:rsidP="00E27674">
      <w:pPr>
        <w:pStyle w:val="parrafos"/>
        <w:numPr>
          <w:ilvl w:val="0"/>
          <w:numId w:val="3"/>
        </w:numPr>
        <w:tabs>
          <w:tab w:val="left" w:pos="360"/>
        </w:tabs>
        <w:ind w:left="0" w:firstLine="0"/>
        <w:rPr>
          <w:color w:val="auto"/>
          <w:lang w:val="es-ES_tradnl"/>
        </w:rPr>
      </w:pPr>
      <w:r w:rsidRPr="001C445E">
        <w:rPr>
          <w:color w:val="auto"/>
          <w:lang w:val="es-ES_tradnl"/>
        </w:rPr>
        <w:t>En el presente caso no se encuentra en controversia que los organismos jurisdiccionales reconocieron que la parte peticionaria haya sido</w:t>
      </w:r>
      <w:r w:rsidR="004C351F" w:rsidRPr="001C445E">
        <w:rPr>
          <w:color w:val="auto"/>
          <w:lang w:val="es-ES_tradnl"/>
        </w:rPr>
        <w:t xml:space="preserve"> despedida injustificadamente por la Embajada de Australia en Argentina. </w:t>
      </w:r>
      <w:r w:rsidR="0087010D" w:rsidRPr="001C445E">
        <w:rPr>
          <w:color w:val="auto"/>
          <w:lang w:val="es-ES_tradnl"/>
        </w:rPr>
        <w:t>En efecto, e</w:t>
      </w:r>
      <w:r w:rsidR="00D67BA3" w:rsidRPr="001C445E">
        <w:rPr>
          <w:color w:val="auto"/>
          <w:lang w:val="es-ES_tradnl"/>
        </w:rPr>
        <w:t xml:space="preserve">l </w:t>
      </w:r>
      <w:r w:rsidR="00D67BA3" w:rsidRPr="001C445E">
        <w:rPr>
          <w:color w:val="auto"/>
        </w:rPr>
        <w:t xml:space="preserve">28 de febrero de 2001 </w:t>
      </w:r>
      <w:r w:rsidR="00D67BA3" w:rsidRPr="001C445E">
        <w:rPr>
          <w:color w:val="auto"/>
          <w:lang w:val="es-ES_tradnl"/>
        </w:rPr>
        <w:t>el Juzgado Nacional de Primera Instancia N° 44 dictó con lugar la demanda presentada por la peticionaria y ord</w:t>
      </w:r>
      <w:r w:rsidR="0087010D" w:rsidRPr="001C445E">
        <w:rPr>
          <w:color w:val="auto"/>
          <w:lang w:val="es-ES_tradnl"/>
        </w:rPr>
        <w:t>enó a la Embajada de Australia a</w:t>
      </w:r>
      <w:r w:rsidR="00D67BA3" w:rsidRPr="001C445E">
        <w:rPr>
          <w:color w:val="auto"/>
          <w:lang w:val="es-ES_tradnl"/>
        </w:rPr>
        <w:t xml:space="preserve">l pago de una indemnización. </w:t>
      </w:r>
    </w:p>
    <w:p w14:paraId="6E36661F" w14:textId="77777777" w:rsidR="0087010D" w:rsidRPr="001C445E" w:rsidRDefault="0087010D" w:rsidP="0087010D">
      <w:pPr>
        <w:pStyle w:val="parrafos"/>
        <w:rPr>
          <w:color w:val="auto"/>
          <w:lang w:val="es-ES_tradnl"/>
        </w:rPr>
      </w:pPr>
    </w:p>
    <w:p w14:paraId="6666D6CF" w14:textId="77777777" w:rsidR="00176D42" w:rsidRPr="001C445E" w:rsidRDefault="0087010D" w:rsidP="2BF8E3BE">
      <w:pPr>
        <w:pStyle w:val="parrafos"/>
        <w:numPr>
          <w:ilvl w:val="0"/>
          <w:numId w:val="3"/>
        </w:numPr>
        <w:tabs>
          <w:tab w:val="left" w:pos="360"/>
        </w:tabs>
        <w:ind w:left="0" w:firstLine="0"/>
        <w:rPr>
          <w:color w:val="auto"/>
          <w:lang w:val="es-ES"/>
        </w:rPr>
      </w:pPr>
      <w:r w:rsidRPr="2BF8E3BE">
        <w:rPr>
          <w:color w:val="auto"/>
          <w:lang w:val="es-ES"/>
        </w:rPr>
        <w:t>Dicha decisión fue apelada por ambas partes ante la Sala X de la Cámara Naciona</w:t>
      </w:r>
      <w:r w:rsidR="008E0BB9" w:rsidRPr="2BF8E3BE">
        <w:rPr>
          <w:color w:val="auto"/>
          <w:lang w:val="es-ES"/>
        </w:rPr>
        <w:t>l de Apelaciones del Trabajo y el 18 de octubre de 2001 este tribunal modificó</w:t>
      </w:r>
      <w:r w:rsidRPr="2BF8E3BE">
        <w:rPr>
          <w:color w:val="auto"/>
          <w:lang w:val="es-ES"/>
        </w:rPr>
        <w:t xml:space="preserve"> parcialmente la sentencia y elevó el monto de la condena. </w:t>
      </w:r>
      <w:r w:rsidR="0022182D" w:rsidRPr="2BF8E3BE">
        <w:rPr>
          <w:color w:val="auto"/>
          <w:lang w:val="es-ES"/>
        </w:rPr>
        <w:t>La embajada australiana</w:t>
      </w:r>
      <w:r w:rsidR="008E0BB9" w:rsidRPr="2BF8E3BE">
        <w:rPr>
          <w:color w:val="auto"/>
          <w:lang w:val="es-ES"/>
        </w:rPr>
        <w:t xml:space="preserve"> no ejerció ningún recurso adicional respecto de esta decisión, por lo que la misma qued</w:t>
      </w:r>
      <w:r w:rsidR="00176D42" w:rsidRPr="2BF8E3BE">
        <w:rPr>
          <w:color w:val="auto"/>
          <w:lang w:val="es-ES"/>
        </w:rPr>
        <w:t xml:space="preserve">ó firme en octubre de 2001 y fue remitida al juez de instancia para proceder a la ejecución del fallo condenatorio. </w:t>
      </w:r>
    </w:p>
    <w:p w14:paraId="38645DC7" w14:textId="77777777" w:rsidR="00176D42" w:rsidRPr="001C445E" w:rsidRDefault="00176D42" w:rsidP="00176D42">
      <w:pPr>
        <w:pStyle w:val="parrafos"/>
        <w:tabs>
          <w:tab w:val="left" w:pos="360"/>
        </w:tabs>
        <w:rPr>
          <w:color w:val="auto"/>
          <w:lang w:val="es-ES_tradnl"/>
        </w:rPr>
      </w:pPr>
    </w:p>
    <w:p w14:paraId="44D301DE" w14:textId="77777777" w:rsidR="00C7429F" w:rsidRPr="001C445E" w:rsidRDefault="00176D42" w:rsidP="002D4D73">
      <w:pPr>
        <w:pStyle w:val="parrafos"/>
        <w:numPr>
          <w:ilvl w:val="0"/>
          <w:numId w:val="3"/>
        </w:numPr>
        <w:tabs>
          <w:tab w:val="left" w:pos="360"/>
        </w:tabs>
        <w:ind w:left="0" w:firstLine="0"/>
        <w:rPr>
          <w:color w:val="auto"/>
        </w:rPr>
      </w:pPr>
      <w:r w:rsidRPr="001C445E">
        <w:rPr>
          <w:color w:val="auto"/>
          <w:lang w:val="es-ES_tradnl"/>
        </w:rPr>
        <w:t>La Comisión toma nota que</w:t>
      </w:r>
      <w:r w:rsidR="002D4D73" w:rsidRPr="001C445E">
        <w:rPr>
          <w:color w:val="auto"/>
          <w:lang w:val="es-ES_tradnl"/>
        </w:rPr>
        <w:t>,</w:t>
      </w:r>
      <w:r w:rsidRPr="001C445E">
        <w:rPr>
          <w:color w:val="auto"/>
          <w:lang w:val="es-ES_tradnl"/>
        </w:rPr>
        <w:t xml:space="preserve"> en esta última fase, el 8 de febrero de 2002 el</w:t>
      </w:r>
      <w:r w:rsidR="0022182D" w:rsidRPr="001C445E">
        <w:rPr>
          <w:color w:val="auto"/>
        </w:rPr>
        <w:t xml:space="preserve"> </w:t>
      </w:r>
      <w:r w:rsidR="0022182D" w:rsidRPr="001C445E">
        <w:rPr>
          <w:color w:val="auto"/>
          <w:lang w:val="es-ES_tradnl"/>
        </w:rPr>
        <w:t>Juzgado Nacional de Primera Instancia N° 44</w:t>
      </w:r>
      <w:r w:rsidR="002D4D73" w:rsidRPr="001C445E">
        <w:rPr>
          <w:color w:val="auto"/>
          <w:lang w:val="es-ES_tradnl"/>
        </w:rPr>
        <w:t xml:space="preserve"> intimó a la Embajada de Australia a cumplir el fallo o en su defecto, ratificar la inmunidad de ejecución que había planteado con anterioridad. </w:t>
      </w:r>
      <w:r w:rsidR="0022182D" w:rsidRPr="001C445E">
        <w:rPr>
          <w:color w:val="auto"/>
          <w:lang w:val="es-ES_tradnl"/>
        </w:rPr>
        <w:t xml:space="preserve">El </w:t>
      </w:r>
      <w:r w:rsidR="0022182D" w:rsidRPr="001C445E">
        <w:rPr>
          <w:color w:val="auto"/>
        </w:rPr>
        <w:t>20 de febrero de 2002 la defensa jurídica de la Embajada contestó al tribunal que ratificaba la inmunidad de ejecución interpuesta desde el momento de la contestación de la demanda, argumento y expresión de agravios y por tanto no daba efectivo cumplimiento a la condena.</w:t>
      </w:r>
    </w:p>
    <w:p w14:paraId="135E58C4" w14:textId="77777777" w:rsidR="000B0215" w:rsidRPr="001C445E" w:rsidRDefault="000B0215" w:rsidP="00B86017">
      <w:pPr>
        <w:pStyle w:val="parrafos"/>
        <w:rPr>
          <w:rFonts w:eastAsia="Batang"/>
          <w:color w:val="auto"/>
          <w:sz w:val="22"/>
          <w:szCs w:val="22"/>
          <w:bdr w:val="none" w:sz="0" w:space="0" w:color="auto"/>
          <w:lang w:val="es-CO"/>
        </w:rPr>
      </w:pPr>
    </w:p>
    <w:p w14:paraId="2036EC98" w14:textId="755E1C78" w:rsidR="0047592B" w:rsidRPr="001C445E" w:rsidRDefault="00B86017" w:rsidP="2BF8E3BE">
      <w:pPr>
        <w:pStyle w:val="parrafos"/>
        <w:numPr>
          <w:ilvl w:val="0"/>
          <w:numId w:val="3"/>
        </w:numPr>
        <w:tabs>
          <w:tab w:val="left" w:pos="360"/>
        </w:tabs>
        <w:ind w:left="0" w:firstLine="0"/>
        <w:rPr>
          <w:color w:val="auto"/>
          <w:lang w:val="es-ES"/>
        </w:rPr>
      </w:pPr>
      <w:r w:rsidRPr="2BF8E3BE">
        <w:rPr>
          <w:color w:val="auto"/>
          <w:lang w:val="es-ES"/>
        </w:rPr>
        <w:t xml:space="preserve">La CIDH </w:t>
      </w:r>
      <w:r w:rsidR="005C72F2" w:rsidRPr="2BF8E3BE">
        <w:rPr>
          <w:color w:val="auto"/>
          <w:lang w:val="es-ES"/>
        </w:rPr>
        <w:t xml:space="preserve">subraya que el Juez a cargo del cumplimiento de la decisión se limitó a aceptar la respuesta del Estado informando que ejercía su derecho a la inmunidad de </w:t>
      </w:r>
      <w:r w:rsidR="00444EEB" w:rsidRPr="2BF8E3BE">
        <w:rPr>
          <w:color w:val="auto"/>
          <w:lang w:val="es-ES"/>
        </w:rPr>
        <w:t>ejecución, y al acogerse el Estado a dicha inmunidad, no realizó medida alguna para procurar la ejecución del fallo</w:t>
      </w:r>
      <w:r w:rsidR="005C72F2" w:rsidRPr="2BF8E3BE">
        <w:rPr>
          <w:color w:val="auto"/>
          <w:lang w:val="es-ES"/>
        </w:rPr>
        <w:t xml:space="preserve">. </w:t>
      </w:r>
      <w:r w:rsidR="00444EEB" w:rsidRPr="2BF8E3BE">
        <w:rPr>
          <w:color w:val="auto"/>
          <w:lang w:val="es-ES"/>
        </w:rPr>
        <w:t>En estas circunstancias, l</w:t>
      </w:r>
      <w:r w:rsidR="005C72F2" w:rsidRPr="2BF8E3BE">
        <w:rPr>
          <w:color w:val="auto"/>
          <w:lang w:val="es-ES"/>
        </w:rPr>
        <w:t xml:space="preserve">a Comisión </w:t>
      </w:r>
      <w:r w:rsidR="00444EEB" w:rsidRPr="2BF8E3BE">
        <w:rPr>
          <w:color w:val="auto"/>
          <w:lang w:val="es-ES"/>
        </w:rPr>
        <w:t xml:space="preserve">nota </w:t>
      </w:r>
      <w:r w:rsidR="005C72F2" w:rsidRPr="2BF8E3BE">
        <w:rPr>
          <w:color w:val="auto"/>
          <w:lang w:val="es-ES"/>
        </w:rPr>
        <w:t xml:space="preserve">que la omisión del Juzgado Nacional de Primera Instancia de verificar si era posible el cumplimiento del fallo y tomar las medidas adecuadas para ejecutar una decisión </w:t>
      </w:r>
      <w:r w:rsidRPr="2BF8E3BE">
        <w:rPr>
          <w:color w:val="auto"/>
          <w:lang w:val="es-ES"/>
        </w:rPr>
        <w:t>judicial pasada en autoridad de cosa juzgada constituy</w:t>
      </w:r>
      <w:r w:rsidR="00EE43D0" w:rsidRPr="2BF8E3BE">
        <w:rPr>
          <w:color w:val="auto"/>
          <w:lang w:val="es-ES"/>
        </w:rPr>
        <w:t>ó</w:t>
      </w:r>
      <w:r w:rsidRPr="2BF8E3BE">
        <w:rPr>
          <w:color w:val="auto"/>
          <w:lang w:val="es-ES"/>
        </w:rPr>
        <w:t xml:space="preserve"> </w:t>
      </w:r>
      <w:r w:rsidR="00EE43D0" w:rsidRPr="2BF8E3BE">
        <w:rPr>
          <w:color w:val="auto"/>
          <w:lang w:val="es-ES"/>
        </w:rPr>
        <w:t>en el presente caso</w:t>
      </w:r>
      <w:r w:rsidR="005C72F2" w:rsidRPr="2BF8E3BE">
        <w:rPr>
          <w:color w:val="auto"/>
          <w:lang w:val="es-ES"/>
        </w:rPr>
        <w:t xml:space="preserve"> una</w:t>
      </w:r>
      <w:r w:rsidR="00EE43D0" w:rsidRPr="2BF8E3BE">
        <w:rPr>
          <w:color w:val="auto"/>
          <w:lang w:val="es-ES"/>
        </w:rPr>
        <w:t xml:space="preserve"> </w:t>
      </w:r>
      <w:r w:rsidR="006E255D" w:rsidRPr="2BF8E3BE">
        <w:rPr>
          <w:color w:val="auto"/>
          <w:lang w:val="es-ES"/>
        </w:rPr>
        <w:t>limitación</w:t>
      </w:r>
      <w:r w:rsidRPr="2BF8E3BE">
        <w:rPr>
          <w:color w:val="auto"/>
          <w:lang w:val="es-ES"/>
        </w:rPr>
        <w:t xml:space="preserve"> al derecho a la protección judicial </w:t>
      </w:r>
      <w:r w:rsidR="00EE43D0" w:rsidRPr="2BF8E3BE">
        <w:rPr>
          <w:color w:val="auto"/>
          <w:lang w:val="es-ES"/>
        </w:rPr>
        <w:t>de la señora M</w:t>
      </w:r>
      <w:r w:rsidR="00864D3B">
        <w:rPr>
          <w:color w:val="auto"/>
          <w:lang w:val="es-ES"/>
        </w:rPr>
        <w:t>.E.F.</w:t>
      </w:r>
      <w:r w:rsidR="00EE43D0" w:rsidRPr="2BF8E3BE">
        <w:rPr>
          <w:color w:val="auto"/>
          <w:lang w:val="es-ES"/>
        </w:rPr>
        <w:t xml:space="preserve"> </w:t>
      </w:r>
      <w:r w:rsidRPr="2BF8E3BE">
        <w:rPr>
          <w:color w:val="auto"/>
          <w:lang w:val="es-ES"/>
        </w:rPr>
        <w:t>en la medida en que se vieron limitados eleme</w:t>
      </w:r>
      <w:r w:rsidR="001B5861" w:rsidRPr="2BF8E3BE">
        <w:rPr>
          <w:color w:val="auto"/>
          <w:lang w:val="es-ES"/>
        </w:rPr>
        <w:t>ntos y atributos de ese derecho</w:t>
      </w:r>
      <w:r w:rsidR="00EE43D0" w:rsidRPr="2BF8E3BE">
        <w:rPr>
          <w:color w:val="auto"/>
          <w:lang w:val="es-ES"/>
        </w:rPr>
        <w:t>. Como se ha indicado, el artículo 25.2 c) específicamente requiere que un Estado “garantice el cumplimiento” cuando se haya estimado procedente un recurso.</w:t>
      </w:r>
      <w:r w:rsidRPr="2BF8E3BE">
        <w:rPr>
          <w:color w:val="auto"/>
          <w:lang w:val="es-ES"/>
        </w:rPr>
        <w:t xml:space="preserve"> </w:t>
      </w:r>
      <w:r w:rsidR="00444EEB" w:rsidRPr="2BF8E3BE">
        <w:rPr>
          <w:color w:val="auto"/>
          <w:lang w:val="es-ES"/>
        </w:rPr>
        <w:t xml:space="preserve"> </w:t>
      </w:r>
    </w:p>
    <w:p w14:paraId="62EBF9A1" w14:textId="77777777" w:rsidR="003749E5" w:rsidRPr="001C445E" w:rsidRDefault="003749E5" w:rsidP="003749E5">
      <w:pPr>
        <w:pStyle w:val="parrafos"/>
        <w:tabs>
          <w:tab w:val="left" w:pos="360"/>
        </w:tabs>
        <w:rPr>
          <w:color w:val="auto"/>
          <w:lang w:val="es-ES_tradnl"/>
        </w:rPr>
      </w:pPr>
    </w:p>
    <w:p w14:paraId="1124401F" w14:textId="77777777" w:rsidR="004B5228" w:rsidRPr="001C445E" w:rsidRDefault="007413F3" w:rsidP="00444EEB">
      <w:pPr>
        <w:pStyle w:val="parrafos"/>
        <w:numPr>
          <w:ilvl w:val="0"/>
          <w:numId w:val="3"/>
        </w:numPr>
        <w:tabs>
          <w:tab w:val="left" w:pos="360"/>
        </w:tabs>
        <w:ind w:left="0" w:firstLine="0"/>
        <w:rPr>
          <w:color w:val="auto"/>
          <w:lang w:val="es-ES_tradnl"/>
        </w:rPr>
      </w:pPr>
      <w:r w:rsidRPr="001C445E">
        <w:rPr>
          <w:color w:val="auto"/>
          <w:lang w:val="es-ES_tradnl"/>
        </w:rPr>
        <w:t>En consecuencia, l</w:t>
      </w:r>
      <w:r w:rsidR="00B86017" w:rsidRPr="001C445E">
        <w:rPr>
          <w:color w:val="auto"/>
          <w:lang w:val="es-ES_tradnl"/>
        </w:rPr>
        <w:t xml:space="preserve">a Comisión </w:t>
      </w:r>
      <w:r w:rsidRPr="001C445E">
        <w:rPr>
          <w:color w:val="auto"/>
          <w:lang w:val="es-ES_tradnl"/>
        </w:rPr>
        <w:t>considera pertinente analizar</w:t>
      </w:r>
      <w:r w:rsidR="00B86017" w:rsidRPr="001C445E">
        <w:rPr>
          <w:color w:val="auto"/>
          <w:lang w:val="es-ES_tradnl"/>
        </w:rPr>
        <w:t xml:space="preserve"> a continuación si </w:t>
      </w:r>
      <w:r w:rsidR="00444EEB" w:rsidRPr="001C445E">
        <w:rPr>
          <w:color w:val="auto"/>
          <w:lang w:val="es-ES_tradnl"/>
        </w:rPr>
        <w:t xml:space="preserve">tal omisión </w:t>
      </w:r>
      <w:r w:rsidR="00083242" w:rsidRPr="001C445E">
        <w:rPr>
          <w:color w:val="auto"/>
          <w:lang w:val="es-ES_tradnl"/>
        </w:rPr>
        <w:t xml:space="preserve">y conducta </w:t>
      </w:r>
      <w:r w:rsidR="00444EEB" w:rsidRPr="001C445E">
        <w:rPr>
          <w:color w:val="auto"/>
          <w:lang w:val="es-ES_tradnl"/>
        </w:rPr>
        <w:t xml:space="preserve">por parte del juez </w:t>
      </w:r>
      <w:r w:rsidR="00253872" w:rsidRPr="001C445E">
        <w:rPr>
          <w:color w:val="auto"/>
          <w:lang w:val="es-ES_tradnl"/>
        </w:rPr>
        <w:t>resulta compatible con los criterios exigidos por la Convención Americana</w:t>
      </w:r>
      <w:r w:rsidR="00277508" w:rsidRPr="001C445E">
        <w:rPr>
          <w:rStyle w:val="FootnoteReference"/>
          <w:rFonts w:ascii="Cambria" w:hAnsi="Cambria"/>
          <w:color w:val="auto"/>
          <w:sz w:val="20"/>
          <w:lang w:val="es-ES_tradnl"/>
        </w:rPr>
        <w:footnoteReference w:id="55"/>
      </w:r>
      <w:r w:rsidR="001B5861" w:rsidRPr="001C445E">
        <w:rPr>
          <w:color w:val="auto"/>
          <w:lang w:val="es-ES_tradnl"/>
        </w:rPr>
        <w:t xml:space="preserve">. </w:t>
      </w:r>
    </w:p>
    <w:p w14:paraId="0C6C2CD5" w14:textId="77777777" w:rsidR="00444EEB" w:rsidRPr="001C445E" w:rsidRDefault="00444EEB" w:rsidP="00444EEB">
      <w:pPr>
        <w:pStyle w:val="parrafos"/>
        <w:rPr>
          <w:color w:val="auto"/>
        </w:rPr>
      </w:pPr>
    </w:p>
    <w:p w14:paraId="7FB1020F" w14:textId="77777777" w:rsidR="003E3344" w:rsidRPr="001C445E" w:rsidRDefault="005C72F2" w:rsidP="007413F3">
      <w:pPr>
        <w:pStyle w:val="parrafos"/>
        <w:numPr>
          <w:ilvl w:val="0"/>
          <w:numId w:val="3"/>
        </w:numPr>
        <w:tabs>
          <w:tab w:val="left" w:pos="360"/>
        </w:tabs>
        <w:ind w:left="0" w:firstLine="0"/>
        <w:rPr>
          <w:lang w:val="es-ES_tradnl"/>
        </w:rPr>
      </w:pPr>
      <w:r w:rsidRPr="001C445E">
        <w:rPr>
          <w:color w:val="auto"/>
          <w:lang w:val="es-ES_tradnl"/>
        </w:rPr>
        <w:t>La CIDH subraya, por una parte</w:t>
      </w:r>
      <w:r w:rsidR="006C3B3A" w:rsidRPr="001C445E">
        <w:rPr>
          <w:color w:val="auto"/>
          <w:lang w:val="es-ES_tradnl"/>
        </w:rPr>
        <w:t>,</w:t>
      </w:r>
      <w:r w:rsidRPr="001C445E">
        <w:rPr>
          <w:color w:val="auto"/>
          <w:lang w:val="es-ES_tradnl"/>
        </w:rPr>
        <w:t xml:space="preserve"> </w:t>
      </w:r>
      <w:r w:rsidR="007413F3" w:rsidRPr="001C445E">
        <w:rPr>
          <w:color w:val="auto"/>
          <w:lang w:val="es-ES_tradnl"/>
        </w:rPr>
        <w:t xml:space="preserve">que </w:t>
      </w:r>
      <w:r w:rsidR="004B5228" w:rsidRPr="001C445E">
        <w:rPr>
          <w:lang w:val="es-ES_tradnl"/>
        </w:rPr>
        <w:t xml:space="preserve">el Estado argentino aprobó la Convención de Viena sobre Relaciones Diplomáticas, la cual contempla </w:t>
      </w:r>
      <w:r w:rsidR="004B5228" w:rsidRPr="001C445E">
        <w:rPr>
          <w:color w:val="auto"/>
          <w:lang w:val="es-ES_tradnl"/>
        </w:rPr>
        <w:t>la imposibilidad de que los locales de la misión diplomática, su mobiliario y demás bienes situados en ella, así como los medios de transporte con los que cuente, sean objeto de una medida de ejecución.</w:t>
      </w:r>
      <w:r w:rsidR="002D4D73" w:rsidRPr="001C445E">
        <w:rPr>
          <w:color w:val="auto"/>
          <w:lang w:val="es-ES_tradnl"/>
        </w:rPr>
        <w:t xml:space="preserve"> En este sentido, </w:t>
      </w:r>
      <w:r w:rsidR="007413F3" w:rsidRPr="001C445E">
        <w:rPr>
          <w:color w:val="auto"/>
          <w:lang w:val="es-ES_tradnl"/>
        </w:rPr>
        <w:t xml:space="preserve">si bien la inmunidad de ejecución y sus requisitos de procedencia no se encuentran regulados expresamente en la legislación argentina, la norma vigente </w:t>
      </w:r>
      <w:r w:rsidR="002D4D73" w:rsidRPr="001C445E">
        <w:rPr>
          <w:color w:val="auto"/>
          <w:lang w:val="es-ES_tradnl"/>
        </w:rPr>
        <w:t xml:space="preserve">establece determinada categoría de bienes que no son susceptibles de una medida de ejecución de una sentencia judicial. </w:t>
      </w:r>
      <w:r w:rsidR="007413F3" w:rsidRPr="001C445E">
        <w:rPr>
          <w:lang w:val="es-ES_tradnl"/>
        </w:rPr>
        <w:t xml:space="preserve"> L</w:t>
      </w:r>
      <w:r w:rsidR="006C3B3A" w:rsidRPr="001C445E">
        <w:rPr>
          <w:lang w:val="es-ES_tradnl"/>
        </w:rPr>
        <w:t xml:space="preserve">a Comisión estima </w:t>
      </w:r>
      <w:r w:rsidR="007413F3" w:rsidRPr="001C445E">
        <w:rPr>
          <w:lang w:val="es-ES_tradnl"/>
        </w:rPr>
        <w:t xml:space="preserve">además </w:t>
      </w:r>
      <w:r w:rsidR="006C3B3A" w:rsidRPr="001C445E">
        <w:rPr>
          <w:lang w:val="es-ES_tradnl"/>
        </w:rPr>
        <w:t xml:space="preserve">que atendiendo al principio de igualdad entre los Estados se justifica que </w:t>
      </w:r>
      <w:r w:rsidR="002D4D73" w:rsidRPr="001C445E">
        <w:rPr>
          <w:color w:val="auto"/>
          <w:lang w:val="es-ES_tradnl"/>
        </w:rPr>
        <w:t xml:space="preserve">los </w:t>
      </w:r>
      <w:r w:rsidR="00B86017" w:rsidRPr="001C445E">
        <w:rPr>
          <w:color w:val="auto"/>
          <w:lang w:val="es-ES_tradnl"/>
        </w:rPr>
        <w:t>Estados extranjeros no puedan ser objeto de medidas de ejecución sobre</w:t>
      </w:r>
      <w:r w:rsidR="002D4D73" w:rsidRPr="001C445E">
        <w:rPr>
          <w:color w:val="auto"/>
          <w:lang w:val="es-ES_tradnl"/>
        </w:rPr>
        <w:t xml:space="preserve"> determinados tipos de bienes, es decir, aquellos que estén destinados a realizar una actividad estatal p</w:t>
      </w:r>
      <w:r w:rsidR="0047592B" w:rsidRPr="001C445E">
        <w:rPr>
          <w:color w:val="auto"/>
          <w:lang w:val="es-ES_tradnl"/>
        </w:rPr>
        <w:t>or parte de un Estado receptor y que, l</w:t>
      </w:r>
      <w:r w:rsidR="003E3344" w:rsidRPr="001C445E">
        <w:rPr>
          <w:color w:val="auto"/>
          <w:lang w:val="es-ES_tradnl"/>
        </w:rPr>
        <w:t>a imposibilidad de que los tribunales del Estado receptor dicten medidas de ejecución sobre bienes de uso oficial o el patrimonio de un Estado extranjero contribuye busca garantizar el desempeño de las funciones de las oficinas consulares y diplomáticas en nombre de sus Estados respectivos.</w:t>
      </w:r>
    </w:p>
    <w:p w14:paraId="709E88E4" w14:textId="77777777" w:rsidR="003E3344" w:rsidRPr="001C445E" w:rsidRDefault="003E3344" w:rsidP="003E3344">
      <w:pPr>
        <w:pStyle w:val="parrafos"/>
        <w:tabs>
          <w:tab w:val="left" w:pos="360"/>
        </w:tabs>
        <w:rPr>
          <w:lang w:val="es-ES_tradnl"/>
        </w:rPr>
      </w:pPr>
    </w:p>
    <w:p w14:paraId="49675397" w14:textId="77777777" w:rsidR="00787852" w:rsidRPr="001C445E" w:rsidRDefault="0047592B" w:rsidP="00787852">
      <w:pPr>
        <w:pStyle w:val="parrafos"/>
        <w:numPr>
          <w:ilvl w:val="0"/>
          <w:numId w:val="3"/>
        </w:numPr>
        <w:tabs>
          <w:tab w:val="left" w:pos="360"/>
        </w:tabs>
        <w:ind w:left="0" w:firstLine="0"/>
        <w:rPr>
          <w:color w:val="auto"/>
          <w:lang w:val="es-ES_tradnl"/>
        </w:rPr>
      </w:pPr>
      <w:r w:rsidRPr="001C445E">
        <w:rPr>
          <w:lang w:val="es-ES_tradnl"/>
        </w:rPr>
        <w:t>Pese a lo anterior, l</w:t>
      </w:r>
      <w:r w:rsidR="006C3B3A" w:rsidRPr="001C445E">
        <w:rPr>
          <w:lang w:val="es-ES_tradnl"/>
        </w:rPr>
        <w:t>a Comisión estima que corresponde</w:t>
      </w:r>
      <w:r w:rsidRPr="001C445E">
        <w:rPr>
          <w:lang w:val="es-ES_tradnl"/>
        </w:rPr>
        <w:t xml:space="preserve"> particularmente</w:t>
      </w:r>
      <w:r w:rsidR="006C3B3A" w:rsidRPr="001C445E">
        <w:rPr>
          <w:lang w:val="es-ES_tradnl"/>
        </w:rPr>
        <w:t xml:space="preserve"> e</w:t>
      </w:r>
      <w:r w:rsidRPr="001C445E">
        <w:rPr>
          <w:lang w:val="es-ES_tradnl"/>
        </w:rPr>
        <w:t xml:space="preserve">n este caso determinar </w:t>
      </w:r>
      <w:r w:rsidR="006C3B3A" w:rsidRPr="001C445E">
        <w:rPr>
          <w:lang w:val="es-ES_tradnl"/>
        </w:rPr>
        <w:t xml:space="preserve"> </w:t>
      </w:r>
      <w:r w:rsidRPr="001C445E">
        <w:rPr>
          <w:lang w:val="es-ES_tradnl"/>
        </w:rPr>
        <w:t>si la total omisión del juez para ejecutar el fallo, limitándose a acoger la respuesta del Estado oponiendo inmunidad de ejecución resultó convencionalmente aceptable, para lo cual es necesario verificar si podría haber adoptado otro tipo de medidas que tuviera un menor impacto en el derecho de la presunta víctima para procurar el cumplimiento del fallo ejecutoriado y salvaguardar</w:t>
      </w:r>
      <w:r w:rsidR="006C3B3A" w:rsidRPr="001C445E">
        <w:rPr>
          <w:lang w:val="es-ES_tradnl"/>
        </w:rPr>
        <w:t xml:space="preserve"> el principio de soberanía de los Estados que sustenta </w:t>
      </w:r>
      <w:r w:rsidR="003E3344" w:rsidRPr="001C445E">
        <w:rPr>
          <w:lang w:val="es-ES_tradnl"/>
        </w:rPr>
        <w:t>la inmunidad de ejecución</w:t>
      </w:r>
      <w:r w:rsidR="00787852" w:rsidRPr="001C445E">
        <w:rPr>
          <w:lang w:val="es-ES_tradnl"/>
        </w:rPr>
        <w:t xml:space="preserve">. </w:t>
      </w:r>
    </w:p>
    <w:p w14:paraId="508C98E9" w14:textId="77777777" w:rsidR="00787852" w:rsidRPr="001C445E" w:rsidRDefault="00787852" w:rsidP="00787852">
      <w:pPr>
        <w:pStyle w:val="parrafos"/>
        <w:tabs>
          <w:tab w:val="left" w:pos="360"/>
        </w:tabs>
        <w:rPr>
          <w:color w:val="auto"/>
          <w:lang w:val="es-ES_tradnl"/>
        </w:rPr>
      </w:pPr>
    </w:p>
    <w:p w14:paraId="5D819920" w14:textId="77777777" w:rsidR="002502F6" w:rsidRPr="001C445E" w:rsidRDefault="00B86017" w:rsidP="00F52767">
      <w:pPr>
        <w:pStyle w:val="parrafos"/>
        <w:numPr>
          <w:ilvl w:val="0"/>
          <w:numId w:val="3"/>
        </w:numPr>
        <w:tabs>
          <w:tab w:val="left" w:pos="360"/>
        </w:tabs>
        <w:ind w:left="0" w:firstLine="0"/>
        <w:rPr>
          <w:color w:val="auto"/>
          <w:lang w:val="es-ES_tradnl"/>
        </w:rPr>
      </w:pPr>
      <w:r w:rsidRPr="001C445E">
        <w:rPr>
          <w:color w:val="auto"/>
          <w:lang w:val="es-ES_tradnl"/>
        </w:rPr>
        <w:t xml:space="preserve">Al respecto, la CIDH </w:t>
      </w:r>
      <w:r w:rsidR="00B41402" w:rsidRPr="001C445E">
        <w:rPr>
          <w:color w:val="auto"/>
          <w:lang w:val="es-ES_tradnl"/>
        </w:rPr>
        <w:t>observa que varios tribunales nacionales e internacionales han interpretado la inmunidad de ejecución con un carácter relativo y no absoluto. L</w:t>
      </w:r>
      <w:r w:rsidR="001D4492" w:rsidRPr="001C445E">
        <w:rPr>
          <w:color w:val="auto"/>
          <w:lang w:val="es-ES_tradnl"/>
        </w:rPr>
        <w:t xml:space="preserve">a anterior noción, ha posibilitado que </w:t>
      </w:r>
      <w:r w:rsidR="00AC287B" w:rsidRPr="001C445E">
        <w:rPr>
          <w:color w:val="auto"/>
          <w:lang w:val="es-ES_tradnl"/>
        </w:rPr>
        <w:t xml:space="preserve">pueda dirigirse la ejecución forzosa en contra de un Estado respecto de bienes que se utilizan para fines distintos de los fines oficiales no comerciales, sin que ello afecte el principio de soberanía entre Estados. </w:t>
      </w:r>
    </w:p>
    <w:p w14:paraId="779F8E76" w14:textId="77777777" w:rsidR="001D4492" w:rsidRPr="001C445E" w:rsidRDefault="001D4492" w:rsidP="00F52767">
      <w:pPr>
        <w:pStyle w:val="parrafos"/>
        <w:rPr>
          <w:color w:val="auto"/>
          <w:lang w:val="es-ES_tradnl"/>
        </w:rPr>
      </w:pPr>
    </w:p>
    <w:p w14:paraId="55076EB5" w14:textId="77777777" w:rsidR="001D4492" w:rsidRPr="001C445E" w:rsidRDefault="001D4492" w:rsidP="00F52767">
      <w:pPr>
        <w:pStyle w:val="parrafos"/>
        <w:numPr>
          <w:ilvl w:val="0"/>
          <w:numId w:val="3"/>
        </w:numPr>
        <w:tabs>
          <w:tab w:val="left" w:pos="360"/>
        </w:tabs>
        <w:ind w:left="0" w:firstLine="0"/>
        <w:rPr>
          <w:color w:val="auto"/>
          <w:lang w:val="es-ES_tradnl"/>
        </w:rPr>
      </w:pPr>
      <w:r w:rsidRPr="001C445E">
        <w:rPr>
          <w:color w:val="auto"/>
          <w:lang w:val="es-ES_tradnl"/>
        </w:rPr>
        <w:t xml:space="preserve">Así, por ejemplo, </w:t>
      </w:r>
      <w:r w:rsidR="00D44FCA" w:rsidRPr="001C445E">
        <w:rPr>
          <w:color w:val="auto"/>
          <w:lang w:val="es-ES_tradnl"/>
        </w:rPr>
        <w:t>e</w:t>
      </w:r>
      <w:r w:rsidRPr="001C445E">
        <w:rPr>
          <w:color w:val="auto"/>
        </w:rPr>
        <w:t xml:space="preserve">n el caso </w:t>
      </w:r>
      <w:r w:rsidRPr="001C445E">
        <w:rPr>
          <w:i/>
          <w:color w:val="auto"/>
        </w:rPr>
        <w:t xml:space="preserve">Alemania vs. Italia, </w:t>
      </w:r>
      <w:r w:rsidRPr="001C445E">
        <w:rPr>
          <w:color w:val="auto"/>
        </w:rPr>
        <w:t xml:space="preserve">la Corte Internacional de Justicia a propósito de un análisis de la Convención de las Naciones Unidas sobre las Inmunidades Jurisdiccionales de los Estados y de sus Bienes (2004) reconoció que la inmunidad de ejecución si bien es un privilegio contemplado por el derecho internacional consuetudinario no reviste carácter absoluto, razón por la cual determinados bienes </w:t>
      </w:r>
      <w:r w:rsidRPr="001C445E">
        <w:rPr>
          <w:color w:val="auto"/>
        </w:rPr>
        <w:lastRenderedPageBreak/>
        <w:t xml:space="preserve">propiedad del Estado pueden ser ejecutados por un Estado extranjero siempre que </w:t>
      </w:r>
      <w:r w:rsidR="0094056E" w:rsidRPr="001C445E">
        <w:rPr>
          <w:color w:val="auto"/>
        </w:rPr>
        <w:t>éstos</w:t>
      </w:r>
      <w:r w:rsidRPr="001C445E">
        <w:rPr>
          <w:color w:val="auto"/>
        </w:rPr>
        <w:t xml:space="preserve"> sean utilizados para desempeñar una actividad que no derive de las funciones de soberanía. El tribunal expresó lo siguiente:</w:t>
      </w:r>
    </w:p>
    <w:p w14:paraId="7818863E" w14:textId="77777777" w:rsidR="001D4492" w:rsidRPr="001C445E" w:rsidRDefault="001D4492" w:rsidP="001D4492">
      <w:pPr>
        <w:pStyle w:val="parrafos"/>
        <w:tabs>
          <w:tab w:val="left" w:pos="360"/>
        </w:tabs>
        <w:rPr>
          <w:rFonts w:eastAsia="Batang"/>
          <w:color w:val="auto"/>
          <w:sz w:val="22"/>
          <w:szCs w:val="22"/>
          <w:bdr w:val="none" w:sz="0" w:space="0" w:color="auto"/>
          <w:lang w:val="es-CO"/>
        </w:rPr>
      </w:pPr>
    </w:p>
    <w:p w14:paraId="25553A45"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r w:rsidRPr="001C445E">
        <w:rPr>
          <w:rFonts w:eastAsia="Batang"/>
          <w:color w:val="auto"/>
          <w:sz w:val="18"/>
          <w:szCs w:val="22"/>
          <w:bdr w:val="none" w:sz="0" w:space="0" w:color="auto"/>
          <w:lang w:val="es-CO"/>
        </w:rPr>
        <w:t xml:space="preserve">(…) la inmunidad de ejecución de la que gozan los Estados en lo relativo a sus bienes situados en territorio extranjero va más allá de la inmunidad de jurisdicción que tienen esos mismos Estados ante los tribunales extranjeros. Aún si un fallo ha sido emitido de forma regular en contra de un Estado extranjero en circunstancias tales que este último no podía prevalerse de la inmunidad de jurisdicción, no surge </w:t>
      </w:r>
      <w:r w:rsidRPr="001C445E">
        <w:rPr>
          <w:rFonts w:eastAsia="Batang"/>
          <w:i/>
          <w:color w:val="auto"/>
          <w:sz w:val="18"/>
          <w:szCs w:val="22"/>
          <w:bdr w:val="none" w:sz="0" w:space="0" w:color="auto"/>
          <w:lang w:val="es-CO"/>
        </w:rPr>
        <w:t xml:space="preserve">ipso facto </w:t>
      </w:r>
      <w:r w:rsidRPr="001C445E">
        <w:rPr>
          <w:rFonts w:eastAsia="Batang"/>
          <w:color w:val="auto"/>
          <w:sz w:val="18"/>
          <w:szCs w:val="22"/>
          <w:bdr w:val="none" w:sz="0" w:space="0" w:color="auto"/>
          <w:lang w:val="es-CO"/>
        </w:rPr>
        <w:t>que el Estado condenado pueda ser objeto de medidas de fuerza, sobre el territorio del Estado de la jurisdicción o en aquel de un tercer Estado, en aras de hacer ejecutar el fallo en causa. Igualmente</w:t>
      </w:r>
      <w:r w:rsidR="0094056E" w:rsidRPr="001C445E">
        <w:rPr>
          <w:rFonts w:eastAsia="Batang"/>
          <w:color w:val="auto"/>
          <w:sz w:val="18"/>
          <w:szCs w:val="22"/>
          <w:bdr w:val="none" w:sz="0" w:space="0" w:color="auto"/>
          <w:lang w:val="es-CO"/>
        </w:rPr>
        <w:t>,</w:t>
      </w:r>
      <w:r w:rsidRPr="001C445E">
        <w:rPr>
          <w:rFonts w:eastAsia="Batang"/>
          <w:color w:val="auto"/>
          <w:sz w:val="18"/>
          <w:szCs w:val="22"/>
          <w:bdr w:val="none" w:sz="0" w:space="0" w:color="auto"/>
          <w:lang w:val="es-CO"/>
        </w:rPr>
        <w:t xml:space="preserve"> la eventual renuncia de un Estado a su inmunidad de jurisdicción ante un tribunal extranjero no es válida </w:t>
      </w:r>
      <w:r w:rsidRPr="001C445E">
        <w:rPr>
          <w:rFonts w:eastAsia="Batang"/>
          <w:i/>
          <w:color w:val="auto"/>
          <w:sz w:val="18"/>
          <w:szCs w:val="22"/>
          <w:bdr w:val="none" w:sz="0" w:space="0" w:color="auto"/>
          <w:lang w:val="es-CO"/>
        </w:rPr>
        <w:t xml:space="preserve">per se </w:t>
      </w:r>
      <w:r w:rsidRPr="001C445E">
        <w:rPr>
          <w:rFonts w:eastAsia="Batang"/>
          <w:color w:val="auto"/>
          <w:sz w:val="18"/>
          <w:szCs w:val="22"/>
          <w:bdr w:val="none" w:sz="0" w:space="0" w:color="auto"/>
          <w:lang w:val="es-CO"/>
        </w:rPr>
        <w:t xml:space="preserve">cómo renuncia a la inmunidad de ejecución con relación a los bienes que le pertenecen y que se encuentran en territorio extranjero. </w:t>
      </w:r>
    </w:p>
    <w:p w14:paraId="44F69B9A" w14:textId="77777777" w:rsidR="001D4492" w:rsidRPr="001C445E" w:rsidRDefault="001D4492" w:rsidP="001D4492">
      <w:pPr>
        <w:pStyle w:val="parrafos"/>
        <w:tabs>
          <w:tab w:val="left" w:pos="360"/>
        </w:tabs>
        <w:rPr>
          <w:rFonts w:eastAsia="Batang"/>
          <w:color w:val="auto"/>
          <w:sz w:val="18"/>
          <w:szCs w:val="22"/>
          <w:bdr w:val="none" w:sz="0" w:space="0" w:color="auto"/>
          <w:lang w:val="es-CO"/>
        </w:rPr>
      </w:pPr>
      <w:r w:rsidRPr="001C445E">
        <w:rPr>
          <w:rFonts w:eastAsia="Batang"/>
          <w:color w:val="auto"/>
          <w:sz w:val="18"/>
          <w:szCs w:val="22"/>
          <w:bdr w:val="none" w:sz="0" w:space="0" w:color="auto"/>
          <w:lang w:val="es-CO"/>
        </w:rPr>
        <w:tab/>
      </w:r>
    </w:p>
    <w:p w14:paraId="7322DE6E"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r w:rsidRPr="001C445E">
        <w:rPr>
          <w:rFonts w:eastAsia="Batang"/>
          <w:color w:val="auto"/>
          <w:sz w:val="18"/>
          <w:szCs w:val="22"/>
          <w:bdr w:val="none" w:sz="0" w:space="0" w:color="auto"/>
          <w:lang w:val="es-CO"/>
        </w:rPr>
        <w:t xml:space="preserve">(…) Las reglas de derecho internacional consuetudinario relativas a la inmunidad de ejecución y aquellas que gobiernan la inmunidad de jurisdicción (entendida </w:t>
      </w:r>
      <w:r w:rsidRPr="001C445E">
        <w:rPr>
          <w:rFonts w:eastAsia="Batang"/>
          <w:i/>
          <w:color w:val="auto"/>
          <w:sz w:val="18"/>
          <w:szCs w:val="22"/>
          <w:bdr w:val="none" w:sz="0" w:space="0" w:color="auto"/>
          <w:lang w:val="es-CO"/>
        </w:rPr>
        <w:t>stricto sensu</w:t>
      </w:r>
      <w:r w:rsidRPr="001C445E">
        <w:rPr>
          <w:rFonts w:eastAsia="Batang"/>
          <w:color w:val="auto"/>
          <w:sz w:val="18"/>
          <w:szCs w:val="22"/>
          <w:bdr w:val="none" w:sz="0" w:space="0" w:color="auto"/>
          <w:lang w:val="es-CO"/>
        </w:rPr>
        <w:t xml:space="preserve"> como el derecho de un Estado de no ser sometido a un proceso judicial ante los Tribunales de otro Estado) son distintas y deben ser objeto de una aplicación separada.</w:t>
      </w:r>
    </w:p>
    <w:p w14:paraId="5F07D11E"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p>
    <w:p w14:paraId="7C4A4D3D"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r w:rsidRPr="001C445E">
        <w:rPr>
          <w:rFonts w:eastAsia="Batang"/>
          <w:color w:val="auto"/>
          <w:sz w:val="18"/>
          <w:szCs w:val="22"/>
          <w:bdr w:val="none" w:sz="0" w:space="0" w:color="auto"/>
          <w:lang w:val="es-CO"/>
        </w:rPr>
        <w:t xml:space="preserve">(…) En efecto, le basta constatar que existe al menos una condición que debe ser llenada para que una medida de fuerza pueda ser tomada frente a un bien perteneciente a un Estado extranjero: que el bien en causa sea utilizado para las necesidades de una actividad que no persiga fines de servicio público no comerciales, o que el Estado propietario haya consentido expresamente en la aplicación de una medida de fuerza, o también que este Estado haya destinado el bien en causa a la satisfacción de una demanda judicial. </w:t>
      </w:r>
    </w:p>
    <w:p w14:paraId="41508A3C"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p>
    <w:p w14:paraId="17020DEE"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r w:rsidRPr="001C445E">
        <w:rPr>
          <w:rFonts w:eastAsia="Batang"/>
          <w:color w:val="auto"/>
          <w:sz w:val="18"/>
          <w:szCs w:val="22"/>
          <w:bdr w:val="none" w:sz="0" w:space="0" w:color="auto"/>
          <w:lang w:val="es-CO"/>
        </w:rPr>
        <w:t xml:space="preserve">(…) A pesar de lo anterior, es claro en el presente caso que el bien objeto de la medida de fuerza litigiosa es utilizado para las necesidades de una actividad de servicio público desprovista de carácter comercial, es decir, una actividad proveniente de las funciones de soberanía de Alemania. </w:t>
      </w:r>
    </w:p>
    <w:p w14:paraId="43D6B1D6"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p>
    <w:p w14:paraId="2F073445" w14:textId="77777777" w:rsidR="001D4492" w:rsidRPr="001C445E" w:rsidRDefault="001D4492" w:rsidP="001D4492">
      <w:pPr>
        <w:pStyle w:val="parrafos"/>
        <w:tabs>
          <w:tab w:val="left" w:pos="360"/>
        </w:tabs>
        <w:ind w:left="360"/>
        <w:rPr>
          <w:rFonts w:eastAsia="Batang"/>
          <w:color w:val="auto"/>
          <w:sz w:val="18"/>
          <w:szCs w:val="22"/>
          <w:bdr w:val="none" w:sz="0" w:space="0" w:color="auto"/>
          <w:lang w:val="es-CO"/>
        </w:rPr>
      </w:pPr>
      <w:r w:rsidRPr="001C445E">
        <w:rPr>
          <w:rFonts w:eastAsia="Batang"/>
          <w:color w:val="auto"/>
          <w:sz w:val="18"/>
          <w:szCs w:val="22"/>
          <w:bdr w:val="none" w:sz="0" w:space="0" w:color="auto"/>
          <w:lang w:val="es-CO"/>
        </w:rPr>
        <w:t>(…) En estas condiciones, la Corte concluye que la inscripción de un embargo judicial sobre la Villa Vigoni constituye una violación por parte de Italia de su obligación de re</w:t>
      </w:r>
      <w:r w:rsidR="00CD28F7" w:rsidRPr="001C445E">
        <w:rPr>
          <w:rFonts w:eastAsia="Batang"/>
          <w:color w:val="auto"/>
          <w:sz w:val="18"/>
          <w:szCs w:val="22"/>
          <w:bdr w:val="none" w:sz="0" w:space="0" w:color="auto"/>
          <w:lang w:val="es-CO"/>
        </w:rPr>
        <w:t>spetar la inmunidad de Alemania</w:t>
      </w:r>
      <w:r w:rsidRPr="001C445E">
        <w:rPr>
          <w:rStyle w:val="FootnoteReference"/>
          <w:rFonts w:ascii="Cambria" w:hAnsi="Cambria"/>
          <w:i/>
          <w:color w:val="auto"/>
          <w:sz w:val="20"/>
        </w:rPr>
        <w:footnoteReference w:id="56"/>
      </w:r>
      <w:r w:rsidRPr="001C445E">
        <w:rPr>
          <w:rFonts w:eastAsia="Batang"/>
          <w:color w:val="auto"/>
          <w:sz w:val="18"/>
          <w:szCs w:val="22"/>
          <w:bdr w:val="none" w:sz="0" w:space="0" w:color="auto"/>
          <w:lang w:val="es-CO"/>
        </w:rPr>
        <w:t xml:space="preserve">. </w:t>
      </w:r>
    </w:p>
    <w:p w14:paraId="17DBC151" w14:textId="77777777" w:rsidR="001D4492" w:rsidRPr="001C445E" w:rsidRDefault="001D4492" w:rsidP="001D4492">
      <w:pPr>
        <w:pStyle w:val="parrafos"/>
        <w:tabs>
          <w:tab w:val="left" w:pos="360"/>
        </w:tabs>
        <w:rPr>
          <w:rFonts w:eastAsia="Batang"/>
          <w:color w:val="auto"/>
          <w:sz w:val="18"/>
          <w:szCs w:val="22"/>
          <w:bdr w:val="none" w:sz="0" w:space="0" w:color="auto"/>
          <w:lang w:val="es-CO"/>
        </w:rPr>
      </w:pPr>
    </w:p>
    <w:p w14:paraId="12190BEB" w14:textId="77777777" w:rsidR="001D4492" w:rsidRPr="001C445E" w:rsidRDefault="001D4492" w:rsidP="001D4492">
      <w:pPr>
        <w:pStyle w:val="parrafos"/>
        <w:numPr>
          <w:ilvl w:val="0"/>
          <w:numId w:val="3"/>
        </w:numPr>
        <w:tabs>
          <w:tab w:val="left" w:pos="360"/>
        </w:tabs>
        <w:ind w:left="0" w:firstLine="0"/>
        <w:rPr>
          <w:color w:val="auto"/>
        </w:rPr>
      </w:pPr>
      <w:r w:rsidRPr="001C445E">
        <w:rPr>
          <w:color w:val="auto"/>
        </w:rPr>
        <w:t xml:space="preserve">Por su parte, el Tribunal Europeo de Derechos Humanos en el caso </w:t>
      </w:r>
      <w:r w:rsidRPr="001C445E">
        <w:rPr>
          <w:i/>
          <w:color w:val="auto"/>
        </w:rPr>
        <w:t xml:space="preserve">Wallishauser Vs. Austria </w:t>
      </w:r>
      <w:r w:rsidRPr="001C445E">
        <w:rPr>
          <w:color w:val="auto"/>
        </w:rPr>
        <w:t>refirió que las inmunidades jurisdiccionales del Estado se rigen por el derecho internacional consuetudinario, y expresó que la codificación de dichas costumbres está en la Convención de las Naciones Unidas sobre las Inmunidades Jurisdiccionales de los Estados y de sus Bienes (2004) independientemente de su escaso nivel de ratificaciones. Igualmente subrayó que:</w:t>
      </w:r>
    </w:p>
    <w:p w14:paraId="6F8BD81B" w14:textId="77777777" w:rsidR="001D4492" w:rsidRPr="001C445E" w:rsidRDefault="001D4492" w:rsidP="001D4492">
      <w:pPr>
        <w:pStyle w:val="parrafos"/>
        <w:rPr>
          <w:color w:val="auto"/>
        </w:rPr>
      </w:pPr>
    </w:p>
    <w:p w14:paraId="44AA5245" w14:textId="70CDB9A4" w:rsidR="001D4492" w:rsidRPr="001C445E" w:rsidRDefault="001D4492" w:rsidP="001D4492">
      <w:pPr>
        <w:pStyle w:val="parrafos"/>
        <w:tabs>
          <w:tab w:val="left" w:pos="360"/>
        </w:tabs>
        <w:ind w:left="360"/>
        <w:rPr>
          <w:color w:val="auto"/>
        </w:rPr>
      </w:pPr>
      <w:r w:rsidRPr="001C445E">
        <w:rPr>
          <w:rFonts w:eastAsia="Batang"/>
          <w:color w:val="auto"/>
          <w:sz w:val="18"/>
          <w:szCs w:val="22"/>
          <w:bdr w:val="none" w:sz="0" w:space="0" w:color="auto"/>
          <w:lang w:val="es-CO"/>
        </w:rPr>
        <w:t>(…) hay un desarrollo en el derecho internacional hacia la limitación de la inmunidad jurisdiccional con respecto a las disputas relacionadas con el empleo: ese desarrollo se refleja en el Artículo 5 del Convenio Europeo de 1972 sobre la inmunidad del Estado y en el Artículo 11 del Proyecto de Artículos de 1991 de la Comisión de Derecho Internacional, y ahora está consagrado en el artículo 11 de la Convención de 2004 (…)</w:t>
      </w:r>
      <w:r w:rsidRPr="001C445E">
        <w:rPr>
          <w:rStyle w:val="FootnoteReference"/>
          <w:rFonts w:ascii="Cambria" w:hAnsi="Cambria"/>
          <w:color w:val="auto"/>
          <w:sz w:val="18"/>
          <w:szCs w:val="18"/>
        </w:rPr>
        <w:footnoteReference w:id="57"/>
      </w:r>
    </w:p>
    <w:p w14:paraId="2613E9C1" w14:textId="77777777" w:rsidR="001D4492" w:rsidRPr="001C445E" w:rsidRDefault="001D4492" w:rsidP="001D4492">
      <w:pPr>
        <w:pStyle w:val="parrafos"/>
        <w:tabs>
          <w:tab w:val="left" w:pos="360"/>
        </w:tabs>
        <w:rPr>
          <w:color w:val="auto"/>
        </w:rPr>
      </w:pPr>
    </w:p>
    <w:p w14:paraId="300ACE12" w14:textId="77777777" w:rsidR="001D4492" w:rsidRPr="001C445E" w:rsidRDefault="001D4492" w:rsidP="001D4492">
      <w:pPr>
        <w:pStyle w:val="parrafos"/>
        <w:numPr>
          <w:ilvl w:val="0"/>
          <w:numId w:val="3"/>
        </w:numPr>
        <w:tabs>
          <w:tab w:val="left" w:pos="360"/>
        </w:tabs>
        <w:ind w:left="0" w:firstLine="0"/>
        <w:rPr>
          <w:color w:val="auto"/>
        </w:rPr>
      </w:pPr>
      <w:r w:rsidRPr="001C445E">
        <w:rPr>
          <w:color w:val="auto"/>
        </w:rPr>
        <w:t>La Comisión hace notar que la Convención de Naciones Unidas sobre Inmunidades Jurisdiccionales de los Estados y sus bienes de 2</w:t>
      </w:r>
      <w:r w:rsidR="007B73CC" w:rsidRPr="001C445E">
        <w:rPr>
          <w:color w:val="auto"/>
        </w:rPr>
        <w:t>004, establece en su artículo 19</w:t>
      </w:r>
      <w:r w:rsidRPr="001C445E">
        <w:rPr>
          <w:color w:val="auto"/>
        </w:rPr>
        <w:t xml:space="preserve"> lo siguiente:</w:t>
      </w:r>
    </w:p>
    <w:p w14:paraId="1037B8A3" w14:textId="77777777" w:rsidR="0094056E" w:rsidRPr="001C445E" w:rsidRDefault="0094056E" w:rsidP="0094056E">
      <w:pPr>
        <w:pStyle w:val="parrafos"/>
        <w:tabs>
          <w:tab w:val="left" w:pos="360"/>
        </w:tabs>
        <w:rPr>
          <w:color w:val="auto"/>
        </w:rPr>
      </w:pPr>
    </w:p>
    <w:p w14:paraId="53E71E5C" w14:textId="77777777" w:rsidR="001D4492" w:rsidRPr="001C445E" w:rsidRDefault="007B73CC" w:rsidP="00D33E25">
      <w:pPr>
        <w:pStyle w:val="ListParagraph"/>
        <w:spacing w:after="0" w:line="240" w:lineRule="auto"/>
        <w:ind w:left="360"/>
        <w:jc w:val="both"/>
        <w:rPr>
          <w:rFonts w:ascii="Cambria" w:hAnsi="Cambria"/>
          <w:sz w:val="18"/>
          <w:szCs w:val="18"/>
        </w:rPr>
      </w:pPr>
      <w:r w:rsidRPr="001C445E">
        <w:rPr>
          <w:rFonts w:ascii="Cambria" w:hAnsi="Cambria"/>
          <w:sz w:val="18"/>
          <w:szCs w:val="18"/>
        </w:rPr>
        <w:t>Artículo 19</w:t>
      </w:r>
      <w:r w:rsidR="001D4492" w:rsidRPr="001C445E">
        <w:rPr>
          <w:rFonts w:ascii="Cambria" w:hAnsi="Cambria"/>
          <w:sz w:val="18"/>
          <w:szCs w:val="18"/>
        </w:rPr>
        <w:t>.</w:t>
      </w:r>
    </w:p>
    <w:p w14:paraId="53DC56E8" w14:textId="77777777" w:rsidR="001D4492" w:rsidRPr="001C445E" w:rsidRDefault="001D4492" w:rsidP="00D33E25">
      <w:pPr>
        <w:pStyle w:val="ListParagraph"/>
        <w:spacing w:after="0" w:line="240" w:lineRule="auto"/>
        <w:ind w:left="360"/>
        <w:jc w:val="both"/>
        <w:rPr>
          <w:rFonts w:ascii="Cambria" w:hAnsi="Cambria"/>
          <w:sz w:val="18"/>
          <w:szCs w:val="18"/>
        </w:rPr>
      </w:pPr>
      <w:r w:rsidRPr="001C445E">
        <w:rPr>
          <w:rFonts w:ascii="Cambria" w:hAnsi="Cambria"/>
          <w:sz w:val="18"/>
          <w:szCs w:val="18"/>
        </w:rPr>
        <w:t xml:space="preserve">No podrán adoptarse contra bienes de un Estado, en relación con un proceso ante un tribunal de otro Estado, medidas coercitivas posteriores al fallo como el embargo y la ejecución, sino en los casos y dentro de los límites siguientes: </w:t>
      </w:r>
    </w:p>
    <w:p w14:paraId="21182417" w14:textId="77777777" w:rsidR="001D4492" w:rsidRPr="00E32926" w:rsidRDefault="001D4492" w:rsidP="00D33E25">
      <w:pPr>
        <w:pStyle w:val="ListParagraph"/>
        <w:spacing w:after="0" w:line="240" w:lineRule="auto"/>
        <w:ind w:left="360"/>
        <w:jc w:val="both"/>
        <w:rPr>
          <w:rFonts w:ascii="Cambria" w:hAnsi="Cambria"/>
          <w:sz w:val="18"/>
          <w:szCs w:val="18"/>
          <w:lang w:val="es-US"/>
        </w:rPr>
      </w:pPr>
      <w:r w:rsidRPr="001C445E">
        <w:rPr>
          <w:rFonts w:ascii="Cambria" w:hAnsi="Cambria"/>
          <w:sz w:val="18"/>
          <w:szCs w:val="18"/>
        </w:rPr>
        <w:t>a) cuando el Estado haya consentido expresamente en la adopción de tales medidas, en los términos indicados: i) por acuerdo internacional;</w:t>
      </w:r>
    </w:p>
    <w:p w14:paraId="10584B5B" w14:textId="77777777" w:rsidR="001D4492" w:rsidRPr="001C445E" w:rsidRDefault="001D4492" w:rsidP="00D33E25">
      <w:pPr>
        <w:pStyle w:val="ListParagraph"/>
        <w:spacing w:after="0" w:line="240" w:lineRule="auto"/>
        <w:ind w:left="360"/>
        <w:jc w:val="both"/>
        <w:rPr>
          <w:rFonts w:ascii="Cambria" w:hAnsi="Cambria"/>
          <w:sz w:val="18"/>
          <w:szCs w:val="18"/>
        </w:rPr>
      </w:pPr>
      <w:r w:rsidRPr="001C445E">
        <w:rPr>
          <w:rFonts w:ascii="Cambria" w:hAnsi="Cambria"/>
          <w:sz w:val="18"/>
          <w:szCs w:val="18"/>
        </w:rPr>
        <w:t xml:space="preserve">ii)por un acuerdo de arbitraje o en un contrato escrito; o </w:t>
      </w:r>
    </w:p>
    <w:p w14:paraId="62E50000" w14:textId="77777777" w:rsidR="001D4492" w:rsidRPr="001C445E" w:rsidRDefault="001D4492" w:rsidP="00D33E25">
      <w:pPr>
        <w:pStyle w:val="ListParagraph"/>
        <w:spacing w:after="0" w:line="240" w:lineRule="auto"/>
        <w:ind w:left="360"/>
        <w:jc w:val="both"/>
        <w:rPr>
          <w:rFonts w:ascii="Cambria" w:hAnsi="Cambria"/>
          <w:sz w:val="18"/>
          <w:szCs w:val="18"/>
        </w:rPr>
      </w:pPr>
      <w:r w:rsidRPr="001C445E">
        <w:rPr>
          <w:rFonts w:ascii="Cambria" w:hAnsi="Cambria"/>
          <w:sz w:val="18"/>
          <w:szCs w:val="18"/>
        </w:rPr>
        <w:t xml:space="preserve">iii) por una declaración ante el tribunal o por una comunicación escrita después de haber surgido una controversia entre las partes; o </w:t>
      </w:r>
    </w:p>
    <w:p w14:paraId="1C78DCFE" w14:textId="77777777" w:rsidR="001D4492" w:rsidRPr="001C445E" w:rsidRDefault="001D4492" w:rsidP="00D33E25">
      <w:pPr>
        <w:pStyle w:val="ListParagraph"/>
        <w:spacing w:after="0" w:line="240" w:lineRule="auto"/>
        <w:ind w:left="360"/>
        <w:jc w:val="both"/>
        <w:rPr>
          <w:rFonts w:ascii="Cambria" w:hAnsi="Cambria"/>
          <w:sz w:val="18"/>
          <w:szCs w:val="18"/>
        </w:rPr>
      </w:pPr>
      <w:r w:rsidRPr="001C445E">
        <w:rPr>
          <w:rFonts w:ascii="Cambria" w:hAnsi="Cambria"/>
          <w:sz w:val="18"/>
          <w:szCs w:val="18"/>
        </w:rPr>
        <w:t xml:space="preserve">b) cuando el Estado haya asignado o destinado bienes a la satisfacción de la demanda objeto de ese proceso; o </w:t>
      </w:r>
    </w:p>
    <w:p w14:paraId="22A59FDE" w14:textId="77777777" w:rsidR="001D4492" w:rsidRDefault="001D4492" w:rsidP="00D33E25">
      <w:pPr>
        <w:pStyle w:val="ListParagraph"/>
        <w:spacing w:after="0" w:line="240" w:lineRule="auto"/>
        <w:ind w:left="360"/>
        <w:jc w:val="both"/>
        <w:rPr>
          <w:rFonts w:ascii="Cambria" w:hAnsi="Cambria"/>
          <w:sz w:val="18"/>
          <w:szCs w:val="18"/>
        </w:rPr>
      </w:pPr>
      <w:r w:rsidRPr="001C445E">
        <w:rPr>
          <w:rFonts w:ascii="Cambria" w:hAnsi="Cambria"/>
          <w:sz w:val="18"/>
          <w:szCs w:val="18"/>
        </w:rPr>
        <w:lastRenderedPageBreak/>
        <w:t>c) cuando se ha determinado que los bienes se utilizan específicamente o se destinan a su utilización por el Estado para fines distintos de los fines oficiales no comerciales y que se encuentran en el territorio del Estado del foro, si bien únicamente podrán tomarse medidas coercitivas posteriores al fallo contra bienes que tengan un nexo con la entidad contra la cual se haya incoado el proceso</w:t>
      </w:r>
      <w:r w:rsidRPr="001C445E">
        <w:rPr>
          <w:rStyle w:val="FootnoteReference"/>
          <w:rFonts w:ascii="Cambria" w:hAnsi="Cambria"/>
          <w:sz w:val="20"/>
          <w:szCs w:val="20"/>
        </w:rPr>
        <w:footnoteReference w:id="58"/>
      </w:r>
    </w:p>
    <w:p w14:paraId="204EC151" w14:textId="77777777" w:rsidR="00D33E25" w:rsidRPr="00D33E25" w:rsidRDefault="00D33E25" w:rsidP="00D33E25">
      <w:pPr>
        <w:spacing w:after="0" w:line="240" w:lineRule="auto"/>
        <w:jc w:val="both"/>
        <w:rPr>
          <w:rFonts w:ascii="Cambria" w:hAnsi="Cambria"/>
          <w:sz w:val="18"/>
          <w:szCs w:val="18"/>
        </w:rPr>
      </w:pPr>
    </w:p>
    <w:p w14:paraId="646A82B6" w14:textId="77777777" w:rsidR="001D4492" w:rsidRPr="001C445E" w:rsidRDefault="001D4492" w:rsidP="001D4492">
      <w:pPr>
        <w:pStyle w:val="parrafos"/>
        <w:numPr>
          <w:ilvl w:val="0"/>
          <w:numId w:val="3"/>
        </w:numPr>
        <w:tabs>
          <w:tab w:val="left" w:pos="360"/>
        </w:tabs>
        <w:ind w:left="0" w:firstLine="0"/>
        <w:rPr>
          <w:i/>
          <w:color w:val="auto"/>
        </w:rPr>
      </w:pPr>
      <w:r w:rsidRPr="001C445E">
        <w:rPr>
          <w:color w:val="auto"/>
          <w:lang w:val="es-CO"/>
        </w:rPr>
        <w:t xml:space="preserve">Asimismo, en el caso </w:t>
      </w:r>
      <w:r w:rsidRPr="001C445E">
        <w:rPr>
          <w:i/>
          <w:color w:val="auto"/>
        </w:rPr>
        <w:t>Hirschhorn vs. Rumania</w:t>
      </w:r>
      <w:r w:rsidRPr="001C445E">
        <w:rPr>
          <w:color w:val="auto"/>
        </w:rPr>
        <w:t xml:space="preserve"> el Tribunal Europeo señaló que el Estado vulneró el derecho a un debido proceso y el derecho a la propiedad del demandante al no ejecutar una sentencia relativa a un bien inmueble</w:t>
      </w:r>
      <w:r w:rsidR="0094056E" w:rsidRPr="001C445E">
        <w:rPr>
          <w:color w:val="auto"/>
        </w:rPr>
        <w:t>,</w:t>
      </w:r>
      <w:r w:rsidRPr="001C445E">
        <w:rPr>
          <w:color w:val="auto"/>
        </w:rPr>
        <w:t xml:space="preserve"> propiedad del gobierno rumano que estaba en arrendamiento del gobierno de los Estados Unidos a través de sus </w:t>
      </w:r>
      <w:r w:rsidRPr="001C445E">
        <w:rPr>
          <w:i/>
          <w:color w:val="auto"/>
        </w:rPr>
        <w:t>Peace Corps</w:t>
      </w:r>
      <w:r w:rsidRPr="001C445E">
        <w:rPr>
          <w:color w:val="auto"/>
        </w:rPr>
        <w:t>. Específicamente, el Tribunal subrayó:</w:t>
      </w:r>
    </w:p>
    <w:p w14:paraId="687C6DE0" w14:textId="77777777" w:rsidR="001D4492" w:rsidRPr="001C445E" w:rsidRDefault="001D4492" w:rsidP="001D4492">
      <w:pPr>
        <w:pStyle w:val="parrafos"/>
        <w:rPr>
          <w:rFonts w:eastAsia="Batang"/>
          <w:color w:val="auto"/>
          <w:sz w:val="22"/>
          <w:szCs w:val="22"/>
          <w:bdr w:val="none" w:sz="0" w:space="0" w:color="auto"/>
          <w:lang w:val="es-CO"/>
        </w:rPr>
      </w:pPr>
    </w:p>
    <w:p w14:paraId="2F4EB915" w14:textId="77777777" w:rsidR="001D4492" w:rsidRPr="001C445E" w:rsidRDefault="001D4492" w:rsidP="001D4492">
      <w:pPr>
        <w:pStyle w:val="NoSpacing"/>
        <w:ind w:left="360"/>
        <w:jc w:val="both"/>
        <w:rPr>
          <w:rFonts w:ascii="Cambria" w:hAnsi="Cambria"/>
          <w:sz w:val="18"/>
        </w:rPr>
      </w:pPr>
      <w:r w:rsidRPr="001C445E">
        <w:rPr>
          <w:rFonts w:ascii="Cambria" w:hAnsi="Cambria"/>
          <w:sz w:val="18"/>
        </w:rPr>
        <w:t>(…) 58. Tampoco el Tribunal está convencido por el argumento del Estado de que el Cuerpo de Paz de los Estados Unidos goza de inmunidad de jurisdicción y que, por lo tanto, la sentencia del 24 de junio de 1999 no puede ejecutarse.</w:t>
      </w:r>
    </w:p>
    <w:p w14:paraId="5B2F9378" w14:textId="77777777" w:rsidR="001D4492" w:rsidRPr="001C445E" w:rsidRDefault="001D4492" w:rsidP="001D4492">
      <w:pPr>
        <w:pStyle w:val="NoSpacing"/>
        <w:jc w:val="both"/>
        <w:rPr>
          <w:rFonts w:ascii="Cambria" w:hAnsi="Cambria"/>
          <w:sz w:val="18"/>
        </w:rPr>
      </w:pPr>
    </w:p>
    <w:p w14:paraId="7F15D4C1" w14:textId="77777777" w:rsidR="001D4492" w:rsidRPr="001C445E" w:rsidRDefault="001D4492" w:rsidP="001D4492">
      <w:pPr>
        <w:pStyle w:val="NoSpacing"/>
        <w:ind w:left="360"/>
        <w:jc w:val="both"/>
        <w:rPr>
          <w:rFonts w:ascii="Cambria" w:hAnsi="Cambria"/>
          <w:sz w:val="18"/>
        </w:rPr>
      </w:pPr>
      <w:r w:rsidRPr="001C445E">
        <w:rPr>
          <w:rFonts w:ascii="Cambria" w:hAnsi="Cambria"/>
          <w:sz w:val="18"/>
        </w:rPr>
        <w:t>59. El Tribunal observa que este argumento se planteó por primera vez en las observaciones del Estado. En los procedimientos que terminaron en la sentencia del Tribunal de Apelación de Bucarest de fecha 12 de marzo de 2002, los tribunales nacionales, al desestimar las demandas del solicitante, basaron sus decisiones únicamente en la interpretación de las disposiciones de derecho civil relativas a los arrendamientos, sin referirse a la supuesta inmunidad del Cuerpo de Paz de los Estados Unidos.</w:t>
      </w:r>
    </w:p>
    <w:p w14:paraId="58E6DD4E" w14:textId="77777777" w:rsidR="001D4492" w:rsidRPr="001C445E" w:rsidRDefault="001D4492" w:rsidP="001D4492">
      <w:pPr>
        <w:pStyle w:val="NoSpacing"/>
        <w:ind w:left="360"/>
        <w:jc w:val="both"/>
        <w:rPr>
          <w:rFonts w:ascii="Cambria" w:hAnsi="Cambria"/>
          <w:sz w:val="18"/>
        </w:rPr>
      </w:pPr>
    </w:p>
    <w:p w14:paraId="2698B0D6" w14:textId="77777777" w:rsidR="001D4492" w:rsidRPr="001C445E" w:rsidRDefault="001D4492" w:rsidP="001D4492">
      <w:pPr>
        <w:pStyle w:val="NoSpacing"/>
        <w:ind w:left="360"/>
        <w:jc w:val="both"/>
        <w:rPr>
          <w:rFonts w:ascii="Cambria" w:hAnsi="Cambria"/>
          <w:sz w:val="18"/>
        </w:rPr>
      </w:pPr>
      <w:r w:rsidRPr="001C445E">
        <w:rPr>
          <w:rFonts w:ascii="Cambria" w:hAnsi="Cambria"/>
          <w:sz w:val="18"/>
        </w:rPr>
        <w:t>61. En cuanto a las alegaciones del Gobierno de que la validez del título del solicitante sobre la propiedad podría depender del resultado de las acciones presentadas después de la sentencia final del 24 de junio de 1999, el Tribunal observa que esas acciones simplemente representaron intentos del solicitante para garantizar el cumplimiento de la decisión por parte de las autoridades. En consecuencia, no podrían tener ninguna relación con la validez de su título de propiedad. En cualquier caso, el Tribunal ya sostuvo que sería excesivo exigir a un solicitante que haya obtenido una decisión judicial definitiva contra el Estado que inicie nuevos procedimientos contra las autoridades nacionales para garantizar el cumplimiento de la obligación en cuestión.</w:t>
      </w:r>
    </w:p>
    <w:p w14:paraId="7D3BEE8F" w14:textId="77777777" w:rsidR="001D4492" w:rsidRPr="001C445E" w:rsidRDefault="001D4492" w:rsidP="001D4492">
      <w:pPr>
        <w:pStyle w:val="NoSpacing"/>
        <w:jc w:val="both"/>
        <w:rPr>
          <w:rFonts w:ascii="Cambria" w:hAnsi="Cambria"/>
          <w:sz w:val="18"/>
        </w:rPr>
      </w:pPr>
    </w:p>
    <w:p w14:paraId="0CC44EFC" w14:textId="77777777" w:rsidR="001D4492" w:rsidRPr="001C445E" w:rsidRDefault="001D4492" w:rsidP="001D4492">
      <w:pPr>
        <w:pStyle w:val="NoSpacing"/>
        <w:ind w:left="360"/>
        <w:jc w:val="both"/>
        <w:rPr>
          <w:rFonts w:ascii="Cambria" w:hAnsi="Cambria"/>
          <w:sz w:val="18"/>
        </w:rPr>
      </w:pPr>
      <w:r w:rsidRPr="001C445E">
        <w:rPr>
          <w:rFonts w:ascii="Cambria" w:hAnsi="Cambria"/>
          <w:sz w:val="18"/>
        </w:rPr>
        <w:t>(…) 62. Estas consideraciones son suficientes para que el Tribunal concluya que al negarse a cumplir con la sentencia final que ordena la devolución del edificio al solicitante, las autoridades nacionales lo privaron del acceso efectivo a un tribunal”</w:t>
      </w:r>
      <w:r w:rsidRPr="001C445E">
        <w:rPr>
          <w:rStyle w:val="FootnoteReference"/>
          <w:rFonts w:ascii="Cambria" w:hAnsi="Cambria"/>
          <w:sz w:val="18"/>
          <w:szCs w:val="18"/>
        </w:rPr>
        <w:footnoteReference w:id="59"/>
      </w:r>
      <w:r w:rsidRPr="001C445E">
        <w:rPr>
          <w:rFonts w:ascii="Cambria" w:hAnsi="Cambria"/>
          <w:sz w:val="18"/>
        </w:rPr>
        <w:t>.</w:t>
      </w:r>
      <w:r w:rsidRPr="001C445E">
        <w:rPr>
          <w:rStyle w:val="FootnoteReference"/>
          <w:rFonts w:ascii="Cambria" w:hAnsi="Cambria"/>
        </w:rPr>
        <w:t xml:space="preserve"> </w:t>
      </w:r>
    </w:p>
    <w:p w14:paraId="3B88899E" w14:textId="77777777" w:rsidR="001D4492" w:rsidRPr="001C445E" w:rsidRDefault="001D4492" w:rsidP="001D4492">
      <w:pPr>
        <w:pStyle w:val="NoSpacing"/>
        <w:ind w:left="360"/>
        <w:jc w:val="both"/>
        <w:rPr>
          <w:rFonts w:ascii="Cambria" w:hAnsi="Cambria"/>
          <w:sz w:val="18"/>
        </w:rPr>
      </w:pPr>
    </w:p>
    <w:p w14:paraId="5E87F829" w14:textId="77777777" w:rsidR="001D4492" w:rsidRPr="001C445E" w:rsidRDefault="001D4492" w:rsidP="001D4492">
      <w:pPr>
        <w:pStyle w:val="parrafos"/>
        <w:numPr>
          <w:ilvl w:val="0"/>
          <w:numId w:val="3"/>
        </w:numPr>
        <w:tabs>
          <w:tab w:val="left" w:pos="360"/>
        </w:tabs>
        <w:ind w:left="0" w:firstLine="0"/>
        <w:rPr>
          <w:color w:val="auto"/>
        </w:rPr>
      </w:pPr>
      <w:r w:rsidRPr="001C445E">
        <w:rPr>
          <w:color w:val="auto"/>
          <w:lang w:val="es-ES_tradnl"/>
        </w:rPr>
        <w:t xml:space="preserve">Asimismo, el Tribunal Constitucional de España en el caso </w:t>
      </w:r>
      <w:r w:rsidRPr="001C445E">
        <w:rPr>
          <w:i/>
          <w:color w:val="auto"/>
          <w:lang w:val="es-ES_tradnl"/>
        </w:rPr>
        <w:t>107/1992</w:t>
      </w:r>
      <w:r w:rsidRPr="001C445E">
        <w:rPr>
          <w:color w:val="auto"/>
          <w:lang w:val="es-ES_tradnl"/>
        </w:rPr>
        <w:t xml:space="preserve"> concluyó que el derecho internacional público no impone una inmunidad absoluta de ejecución, sino que permite que los tribunales nacionales dirijan la ejecución forzosa frente a un Estado extranjero solo respecto de determinados bienes, debido a que una interpretación distinta vulneraría el derecho a la tutela judicial efectiva por restringir sin causa legal el derecho a la ejecución. Asimismo,</w:t>
      </w:r>
      <w:r w:rsidRPr="001C445E">
        <w:rPr>
          <w:color w:val="auto"/>
        </w:rPr>
        <w:t xml:space="preserve"> resaltó que correspondía a los jueces de instancia determinar cuáles de los bienes del Estado extranjero en territorio del Estado receptor están destinados a actividades económicas en las cuales el Estado, sin hacer uso de su potestad de imperio, se comporta como un particular para dar efectiva ejecución de los mismos. </w:t>
      </w:r>
      <w:r w:rsidRPr="001C445E">
        <w:rPr>
          <w:color w:val="auto"/>
          <w:lang w:val="es-ES_tradnl"/>
        </w:rPr>
        <w:t>El Tribunal señaló:</w:t>
      </w:r>
    </w:p>
    <w:p w14:paraId="69E2BB2B" w14:textId="77777777" w:rsidR="001D4492" w:rsidRPr="001C445E" w:rsidRDefault="001D4492" w:rsidP="001D4492">
      <w:pPr>
        <w:pStyle w:val="parrafos"/>
        <w:rPr>
          <w:color w:val="auto"/>
        </w:rPr>
      </w:pPr>
    </w:p>
    <w:p w14:paraId="7A36368C" w14:textId="77777777" w:rsidR="001D4492" w:rsidRPr="001C445E" w:rsidRDefault="001D4492" w:rsidP="001D4492">
      <w:pPr>
        <w:pStyle w:val="parrafos"/>
        <w:tabs>
          <w:tab w:val="left" w:pos="360"/>
        </w:tabs>
        <w:ind w:left="360"/>
        <w:rPr>
          <w:rFonts w:eastAsia="Batang"/>
          <w:color w:val="auto"/>
          <w:sz w:val="16"/>
          <w:szCs w:val="18"/>
          <w:bdr w:val="none" w:sz="0" w:space="0" w:color="auto"/>
          <w:lang w:val="es-CO"/>
        </w:rPr>
      </w:pPr>
      <w:r w:rsidRPr="001C445E">
        <w:rPr>
          <w:rFonts w:cs="Lucida Sans Unicode"/>
          <w:color w:val="auto"/>
          <w:sz w:val="18"/>
          <w:shd w:val="clear" w:color="auto" w:fill="FFFFFF"/>
        </w:rPr>
        <w:t>(…) A la vista de los datos aportados por la realidad jurídica internacional no cabe sino concluir que el art. 21.2 L.O.P.J., al remitir al Derecho internacional público, no impone una regla de inmunidad absoluta de ejecución de los Estados extranjeros. Antes al contrario, permite afirmar la relatividad de dicha inmunidad. El art. 24.1 C.E., aunque como ha quedado dicho no impone, sí coadyuva a entender en un sentido limitado la inmunidad de ejecución, sobre todo si se tiene en cuenta que la ratio de las inmunidades de los Estados extranjeros no es el de otorgar a éstos una protección indiscriminada, sino la de salvaguardar la integridad de su soberanía. Por ello, con carácter general, cuando en una determinada actividad o cuando en la afectación de determinados bienes no esté empeñada la soberanía del Estado extranjero, tanto el ordenamiento internacional como, por remisión, el o</w:t>
      </w:r>
      <w:r w:rsidR="00904930">
        <w:rPr>
          <w:rFonts w:cs="Lucida Sans Unicode"/>
          <w:color w:val="auto"/>
          <w:sz w:val="18"/>
          <w:shd w:val="clear" w:color="auto" w:fill="FFFFFF"/>
        </w:rPr>
        <w:t>rdenamiento interno desautoriza</w:t>
      </w:r>
      <w:r w:rsidRPr="001C445E">
        <w:rPr>
          <w:rFonts w:cs="Lucida Sans Unicode"/>
          <w:color w:val="auto"/>
          <w:sz w:val="18"/>
          <w:shd w:val="clear" w:color="auto" w:fill="FFFFFF"/>
        </w:rPr>
        <w:t xml:space="preserve"> que se inejecute una sentencia y, en consecuencia, una decisión de inejecución supone una vulneración del art. 24.1 C.E.</w:t>
      </w:r>
    </w:p>
    <w:p w14:paraId="57C0D796" w14:textId="77777777" w:rsidR="001D4492" w:rsidRPr="001C445E" w:rsidRDefault="001D4492" w:rsidP="001D4492">
      <w:pPr>
        <w:pStyle w:val="parrafos"/>
        <w:tabs>
          <w:tab w:val="left" w:pos="360"/>
        </w:tabs>
        <w:ind w:left="360"/>
        <w:rPr>
          <w:rFonts w:eastAsia="Batang"/>
          <w:color w:val="auto"/>
          <w:sz w:val="18"/>
          <w:szCs w:val="18"/>
          <w:bdr w:val="none" w:sz="0" w:space="0" w:color="auto"/>
          <w:lang w:val="es-CO"/>
        </w:rPr>
      </w:pPr>
    </w:p>
    <w:p w14:paraId="66A9F933" w14:textId="77777777" w:rsidR="001D4492" w:rsidRPr="001C445E" w:rsidRDefault="001D4492" w:rsidP="001D4492">
      <w:pPr>
        <w:pStyle w:val="parrafos"/>
        <w:tabs>
          <w:tab w:val="left" w:pos="360"/>
        </w:tabs>
        <w:ind w:left="360"/>
        <w:rPr>
          <w:rFonts w:cs="Lucida Sans Unicode"/>
          <w:color w:val="auto"/>
          <w:sz w:val="18"/>
          <w:szCs w:val="18"/>
          <w:shd w:val="clear" w:color="auto" w:fill="FFFFFF"/>
        </w:rPr>
      </w:pPr>
      <w:r w:rsidRPr="001C445E">
        <w:rPr>
          <w:rFonts w:eastAsia="Batang"/>
          <w:color w:val="auto"/>
          <w:sz w:val="18"/>
          <w:szCs w:val="18"/>
          <w:bdr w:val="none" w:sz="0" w:space="0" w:color="auto"/>
          <w:lang w:val="es-CO"/>
        </w:rPr>
        <w:t>(…)</w:t>
      </w:r>
      <w:r w:rsidRPr="001C445E">
        <w:rPr>
          <w:rFonts w:cs="Lucida Sans Unicode"/>
          <w:color w:val="auto"/>
          <w:sz w:val="18"/>
          <w:szCs w:val="18"/>
          <w:shd w:val="clear" w:color="auto" w:fill="FFFFFF"/>
        </w:rPr>
        <w:t>Si de la inmunidad de jurisdicción pasamos a la inmunidad de ejecución, cabe apreciar mayores cautelas a la hora de sentar excepciones a la regl</w:t>
      </w:r>
      <w:r w:rsidR="007C1174" w:rsidRPr="001C445E">
        <w:rPr>
          <w:rFonts w:cs="Lucida Sans Unicode"/>
          <w:color w:val="auto"/>
          <w:sz w:val="18"/>
          <w:szCs w:val="18"/>
          <w:shd w:val="clear" w:color="auto" w:fill="FFFFFF"/>
        </w:rPr>
        <w:t>a de la inmunidad, má</w:t>
      </w:r>
      <w:r w:rsidRPr="001C445E">
        <w:rPr>
          <w:rFonts w:cs="Lucida Sans Unicode"/>
          <w:color w:val="auto"/>
          <w:sz w:val="18"/>
          <w:szCs w:val="18"/>
          <w:shd w:val="clear" w:color="auto" w:fill="FFFFFF"/>
        </w:rPr>
        <w:t xml:space="preserve">s sin que quepa negar que dichas excepciones se van abriendo paso en la práctica de numerosos Estados. Dichas excepciones siguen la huella del criterio sentado para la inmunidad de jurisdicción, es decir, se considera incontrovertible que un tribunal interno no puede adoptar </w:t>
      </w:r>
      <w:r w:rsidRPr="001C445E">
        <w:rPr>
          <w:rFonts w:cs="Lucida Sans Unicode"/>
          <w:color w:val="auto"/>
          <w:sz w:val="18"/>
          <w:szCs w:val="18"/>
          <w:shd w:val="clear" w:color="auto" w:fill="FFFFFF"/>
        </w:rPr>
        <w:lastRenderedPageBreak/>
        <w:t xml:space="preserve">medidas de ejecución (o cautelares) sobre bienes de un Estado extranjero en el territorio del Estado del foro que sean destinados por aquél al sostenimiento de actividades soberanas o de imperio. Este sería el contenido claro de la inmunidad de ejecución en el momento presente. A partir de aquí, la aceptación de la no inmunidad de ejecución de los bienes que el Estado extranjero destine en el Estado del foro a actividades </w:t>
      </w:r>
      <w:r w:rsidRPr="001C445E">
        <w:rPr>
          <w:rFonts w:cs="Lucida Sans Unicode"/>
          <w:i/>
          <w:color w:val="auto"/>
          <w:sz w:val="18"/>
          <w:szCs w:val="18"/>
          <w:shd w:val="clear" w:color="auto" w:fill="FFFFFF"/>
        </w:rPr>
        <w:t>iure gestionis</w:t>
      </w:r>
      <w:r w:rsidRPr="001C445E">
        <w:rPr>
          <w:rFonts w:cs="Lucida Sans Unicode"/>
          <w:color w:val="auto"/>
          <w:sz w:val="18"/>
          <w:szCs w:val="18"/>
          <w:shd w:val="clear" w:color="auto" w:fill="FFFFFF"/>
        </w:rPr>
        <w:t xml:space="preserve"> o de inequívoca naturaleza privada o comercial varía, moviéndose entre la no aceptación de la más mínima excepción a la inmunidad de ejecución hasta posturas ciertamente avanzadas que exigen una inequívoca afectación de los bienes a actividades </w:t>
      </w:r>
      <w:r w:rsidRPr="001C445E">
        <w:rPr>
          <w:rFonts w:cs="Lucida Sans Unicode"/>
          <w:i/>
          <w:color w:val="auto"/>
          <w:sz w:val="18"/>
          <w:szCs w:val="18"/>
          <w:shd w:val="clear" w:color="auto" w:fill="FFFFFF"/>
        </w:rPr>
        <w:t>iure imperii</w:t>
      </w:r>
      <w:r w:rsidRPr="001C445E">
        <w:rPr>
          <w:rFonts w:cs="Lucida Sans Unicode"/>
          <w:color w:val="auto"/>
          <w:sz w:val="18"/>
          <w:szCs w:val="18"/>
          <w:shd w:val="clear" w:color="auto" w:fill="FFFFFF"/>
        </w:rPr>
        <w:t xml:space="preserve">. </w:t>
      </w:r>
    </w:p>
    <w:p w14:paraId="0D142F6F" w14:textId="77777777" w:rsidR="001D4492" w:rsidRPr="001C445E" w:rsidRDefault="001D4492" w:rsidP="001D4492">
      <w:pPr>
        <w:pStyle w:val="parrafos"/>
        <w:tabs>
          <w:tab w:val="left" w:pos="360"/>
        </w:tabs>
        <w:ind w:left="360"/>
        <w:rPr>
          <w:rFonts w:eastAsia="Batang"/>
          <w:color w:val="auto"/>
          <w:sz w:val="18"/>
          <w:szCs w:val="18"/>
          <w:bdr w:val="none" w:sz="0" w:space="0" w:color="auto"/>
          <w:lang w:val="es-CO"/>
        </w:rPr>
      </w:pPr>
    </w:p>
    <w:p w14:paraId="2807080F" w14:textId="77777777" w:rsidR="001D4492" w:rsidRPr="001C445E" w:rsidRDefault="001D4492" w:rsidP="001D4492">
      <w:pPr>
        <w:tabs>
          <w:tab w:val="left" w:pos="567"/>
          <w:tab w:val="left" w:pos="1440"/>
        </w:tabs>
        <w:spacing w:after="0" w:line="240" w:lineRule="auto"/>
        <w:ind w:left="360"/>
        <w:jc w:val="both"/>
        <w:rPr>
          <w:rFonts w:ascii="Cambria" w:hAnsi="Cambria" w:cs="Lucida Sans Unicode"/>
          <w:sz w:val="18"/>
          <w:szCs w:val="18"/>
          <w:shd w:val="clear" w:color="auto" w:fill="FFFFFF"/>
          <w:lang w:val="es-MX"/>
        </w:rPr>
      </w:pPr>
      <w:r w:rsidRPr="001C445E">
        <w:rPr>
          <w:rFonts w:ascii="Cambria" w:hAnsi="Cambria" w:cs="Lucida Sans Unicode"/>
          <w:sz w:val="18"/>
          <w:szCs w:val="18"/>
          <w:shd w:val="clear" w:color="auto" w:fill="FFFFFF"/>
          <w:lang w:val="es-MX"/>
        </w:rPr>
        <w:t>(…) Sentado que en la actualidad el Derecho internacional público no impone una inmunidad absoluta de ejecución, sino que permite que los Tribunales nacionales dirijan la ejecución forzosa frente a un Estado extranjero y que, en consecuencia, una interpretación distinta (…) debe considerarse vulneradora del art. 24.1 C.E. por restringir sin causa legal el derecho a la ejecución, queda por determinar con qué amplitud o, si se quiere, con qué limites puede un tribunal español ejecutar una sentencia sobre bienes de un Estado extranjero en nuestro territorio.</w:t>
      </w:r>
    </w:p>
    <w:p w14:paraId="4475AD14" w14:textId="77777777" w:rsidR="001D4492" w:rsidRPr="001C445E" w:rsidRDefault="001D4492" w:rsidP="001D4492">
      <w:pPr>
        <w:tabs>
          <w:tab w:val="left" w:pos="567"/>
          <w:tab w:val="left" w:pos="1440"/>
        </w:tabs>
        <w:spacing w:after="0" w:line="240" w:lineRule="auto"/>
        <w:jc w:val="both"/>
        <w:rPr>
          <w:rFonts w:ascii="Cambria" w:hAnsi="Cambria" w:cs="Lucida Sans Unicode"/>
          <w:sz w:val="18"/>
          <w:szCs w:val="18"/>
          <w:shd w:val="clear" w:color="auto" w:fill="FFFFFF"/>
          <w:lang w:val="es-MX"/>
        </w:rPr>
      </w:pPr>
    </w:p>
    <w:p w14:paraId="79E003BC" w14:textId="77777777" w:rsidR="001D4492" w:rsidRPr="001C445E" w:rsidRDefault="001D4492" w:rsidP="007E0B9F">
      <w:pPr>
        <w:tabs>
          <w:tab w:val="left" w:pos="567"/>
          <w:tab w:val="left" w:pos="1440"/>
        </w:tabs>
        <w:spacing w:after="0" w:line="240" w:lineRule="auto"/>
        <w:ind w:left="360"/>
        <w:jc w:val="both"/>
        <w:rPr>
          <w:rFonts w:ascii="Cambria" w:hAnsi="Cambria" w:cs="Lucida Sans Unicode"/>
          <w:sz w:val="18"/>
          <w:szCs w:val="18"/>
          <w:shd w:val="clear" w:color="auto" w:fill="FFFFFF"/>
          <w:lang w:val="es-MX"/>
        </w:rPr>
      </w:pPr>
      <w:r w:rsidRPr="001C445E">
        <w:rPr>
          <w:rFonts w:ascii="Cambria" w:hAnsi="Cambria" w:cs="Lucida Sans Unicode"/>
          <w:sz w:val="18"/>
          <w:szCs w:val="18"/>
          <w:shd w:val="clear" w:color="auto" w:fill="FFFFFF"/>
          <w:lang w:val="es-MX"/>
        </w:rPr>
        <w:t>(…) Puede suceder, que al margen de los bienes inembargables porque efectiva o presumiblemente estén destinados al desenvolvimiento de la actividad de las misiones diplomáticas o consulares, el Estado extranjero (…) objeto de ejecución, sea titular de otros bienes en nuestro país.</w:t>
      </w:r>
    </w:p>
    <w:p w14:paraId="120C4E94" w14:textId="77777777" w:rsidR="00FE733F" w:rsidRPr="001C445E" w:rsidRDefault="00FE733F" w:rsidP="007E0B9F">
      <w:pPr>
        <w:tabs>
          <w:tab w:val="left" w:pos="567"/>
          <w:tab w:val="left" w:pos="1440"/>
        </w:tabs>
        <w:spacing w:after="0" w:line="240" w:lineRule="auto"/>
        <w:ind w:left="360"/>
        <w:jc w:val="both"/>
        <w:rPr>
          <w:rFonts w:ascii="Cambria" w:hAnsi="Cambria" w:cs="Lucida Sans Unicode"/>
          <w:sz w:val="18"/>
          <w:szCs w:val="18"/>
          <w:shd w:val="clear" w:color="auto" w:fill="FFFFFF"/>
          <w:lang w:val="es-MX"/>
        </w:rPr>
      </w:pPr>
    </w:p>
    <w:p w14:paraId="65D2F849" w14:textId="77777777" w:rsidR="001D4492" w:rsidRPr="001C445E" w:rsidRDefault="001D4492" w:rsidP="001D4492">
      <w:pPr>
        <w:tabs>
          <w:tab w:val="left" w:pos="567"/>
          <w:tab w:val="left" w:pos="1440"/>
        </w:tabs>
        <w:spacing w:after="0" w:line="240" w:lineRule="auto"/>
        <w:ind w:left="360"/>
        <w:jc w:val="both"/>
        <w:rPr>
          <w:rFonts w:ascii="Cambria" w:hAnsi="Cambria" w:cs="Lucida Sans Unicode"/>
          <w:sz w:val="18"/>
          <w:szCs w:val="18"/>
          <w:shd w:val="clear" w:color="auto" w:fill="FFFFFF"/>
          <w:lang w:val="es-MX"/>
        </w:rPr>
      </w:pPr>
      <w:r w:rsidRPr="001C445E">
        <w:rPr>
          <w:rFonts w:ascii="Cambria" w:hAnsi="Cambria" w:cs="Lucida Sans Unicode"/>
          <w:sz w:val="18"/>
          <w:szCs w:val="18"/>
          <w:shd w:val="clear" w:color="auto" w:fill="FFFFFF"/>
          <w:lang w:val="es-MX"/>
        </w:rPr>
        <w:t xml:space="preserve">(…) Respecto de estos bienes, si existen, la inmunidad de ejecución garantizada por el ordenamiento internacional y, por remisión, por el art. 21.2 L.O.P.J., sólo alcanza a aquéllos que estén destinados a la realización de actos </w:t>
      </w:r>
      <w:r w:rsidRPr="001C445E">
        <w:rPr>
          <w:rFonts w:ascii="Cambria" w:hAnsi="Cambria" w:cs="Lucida Sans Unicode"/>
          <w:i/>
          <w:sz w:val="18"/>
          <w:szCs w:val="18"/>
          <w:shd w:val="clear" w:color="auto" w:fill="FFFFFF"/>
          <w:lang w:val="es-MX"/>
        </w:rPr>
        <w:t>iure imperii</w:t>
      </w:r>
      <w:r w:rsidRPr="001C445E">
        <w:rPr>
          <w:rFonts w:ascii="Cambria" w:hAnsi="Cambria" w:cs="Lucida Sans Unicode"/>
          <w:sz w:val="18"/>
          <w:szCs w:val="18"/>
          <w:shd w:val="clear" w:color="auto" w:fill="FFFFFF"/>
          <w:lang w:val="es-MX"/>
        </w:rPr>
        <w:t xml:space="preserve">, pero no a aquellos destinados la realización de actividades </w:t>
      </w:r>
      <w:r w:rsidRPr="001C445E">
        <w:rPr>
          <w:rFonts w:ascii="Cambria" w:hAnsi="Cambria" w:cs="Lucida Sans Unicode"/>
          <w:i/>
          <w:sz w:val="18"/>
          <w:szCs w:val="18"/>
          <w:shd w:val="clear" w:color="auto" w:fill="FFFFFF"/>
          <w:lang w:val="es-MX"/>
        </w:rPr>
        <w:t>iure</w:t>
      </w:r>
      <w:r w:rsidRPr="001C445E">
        <w:rPr>
          <w:rFonts w:ascii="Cambria" w:hAnsi="Cambria" w:cs="Lucida Sans Unicode"/>
          <w:sz w:val="18"/>
          <w:szCs w:val="18"/>
          <w:shd w:val="clear" w:color="auto" w:fill="FFFFFF"/>
          <w:lang w:val="es-MX"/>
        </w:rPr>
        <w:t xml:space="preserve"> </w:t>
      </w:r>
      <w:r w:rsidRPr="001C445E">
        <w:rPr>
          <w:rFonts w:ascii="Cambria" w:hAnsi="Cambria" w:cs="Lucida Sans Unicode"/>
          <w:i/>
          <w:sz w:val="18"/>
          <w:szCs w:val="18"/>
          <w:shd w:val="clear" w:color="auto" w:fill="FFFFFF"/>
          <w:lang w:val="es-MX"/>
        </w:rPr>
        <w:t>gestionis</w:t>
      </w:r>
      <w:r w:rsidRPr="001C445E">
        <w:rPr>
          <w:rFonts w:ascii="Cambria" w:hAnsi="Cambria" w:cs="Lucida Sans Unicode"/>
          <w:sz w:val="18"/>
          <w:szCs w:val="18"/>
          <w:shd w:val="clear" w:color="auto" w:fill="FFFFFF"/>
          <w:lang w:val="es-MX"/>
        </w:rPr>
        <w:t xml:space="preserve">. </w:t>
      </w:r>
    </w:p>
    <w:p w14:paraId="42AFC42D" w14:textId="77777777" w:rsidR="001D4492" w:rsidRPr="001C445E" w:rsidRDefault="001D4492" w:rsidP="001D4492">
      <w:pPr>
        <w:tabs>
          <w:tab w:val="left" w:pos="567"/>
          <w:tab w:val="left" w:pos="1440"/>
        </w:tabs>
        <w:spacing w:after="0" w:line="240" w:lineRule="auto"/>
        <w:ind w:left="360"/>
        <w:jc w:val="both"/>
        <w:rPr>
          <w:rFonts w:ascii="Cambria" w:hAnsi="Cambria" w:cs="Lucida Sans Unicode"/>
          <w:sz w:val="18"/>
          <w:szCs w:val="18"/>
          <w:shd w:val="clear" w:color="auto" w:fill="FFFFFF"/>
          <w:lang w:val="es-MX"/>
        </w:rPr>
      </w:pPr>
    </w:p>
    <w:p w14:paraId="320AB7CC" w14:textId="77777777" w:rsidR="001D4492" w:rsidRPr="001C445E" w:rsidRDefault="001D4492" w:rsidP="001D4492">
      <w:pPr>
        <w:tabs>
          <w:tab w:val="left" w:pos="567"/>
          <w:tab w:val="left" w:pos="1440"/>
        </w:tabs>
        <w:spacing w:after="0" w:line="240" w:lineRule="auto"/>
        <w:ind w:left="360"/>
        <w:jc w:val="both"/>
        <w:rPr>
          <w:rFonts w:ascii="Cambria" w:hAnsi="Cambria" w:cs="Lucida Sans Unicode"/>
          <w:sz w:val="18"/>
          <w:szCs w:val="18"/>
          <w:shd w:val="clear" w:color="auto" w:fill="FFFFFF"/>
          <w:lang w:val="es-MX"/>
        </w:rPr>
      </w:pPr>
      <w:r w:rsidRPr="001C445E">
        <w:rPr>
          <w:rFonts w:ascii="Cambria" w:hAnsi="Cambria" w:cs="Lucida Sans Unicode"/>
          <w:sz w:val="18"/>
          <w:szCs w:val="18"/>
          <w:shd w:val="clear" w:color="auto" w:fill="FFFFFF"/>
          <w:lang w:val="es-MX"/>
        </w:rPr>
        <w:t xml:space="preserve">(…) De este modo, los Tribunales ordinarios, para satisfacer el derecho a la ejecución de Sentencias, están habilitados para dirigir la actividad de ejecución forzosa frente a aquellos bienes que estén inequívocamente destinados por el Estado extranjero al desenvolvimiento de actividades industriales y comerciales en las que no esté empeñada su potestad soberana por actuar conforme a las reglas del tráfico jurídico-privado. </w:t>
      </w:r>
    </w:p>
    <w:p w14:paraId="271CA723" w14:textId="77777777" w:rsidR="001D4492" w:rsidRPr="001C445E" w:rsidRDefault="001D4492" w:rsidP="001D4492">
      <w:pPr>
        <w:tabs>
          <w:tab w:val="left" w:pos="567"/>
          <w:tab w:val="left" w:pos="1440"/>
        </w:tabs>
        <w:spacing w:after="0" w:line="240" w:lineRule="auto"/>
        <w:ind w:left="360"/>
        <w:jc w:val="both"/>
        <w:rPr>
          <w:rFonts w:ascii="Cambria" w:hAnsi="Cambria" w:cs="Lucida Sans Unicode"/>
          <w:sz w:val="18"/>
          <w:szCs w:val="18"/>
          <w:shd w:val="clear" w:color="auto" w:fill="FFFFFF"/>
          <w:lang w:val="es-MX"/>
        </w:rPr>
      </w:pPr>
    </w:p>
    <w:p w14:paraId="670F168F" w14:textId="77777777" w:rsidR="001D4492" w:rsidRPr="001C445E" w:rsidRDefault="001D4492" w:rsidP="001D4492">
      <w:pPr>
        <w:tabs>
          <w:tab w:val="left" w:pos="567"/>
          <w:tab w:val="left" w:pos="1440"/>
        </w:tabs>
        <w:spacing w:after="0" w:line="240" w:lineRule="auto"/>
        <w:ind w:left="360"/>
        <w:jc w:val="both"/>
        <w:rPr>
          <w:rFonts w:ascii="Cambria" w:hAnsi="Cambria"/>
          <w:b/>
          <w:sz w:val="20"/>
          <w:szCs w:val="20"/>
          <w:lang w:val="es-MX"/>
        </w:rPr>
      </w:pPr>
      <w:r w:rsidRPr="001C445E">
        <w:rPr>
          <w:rFonts w:ascii="Cambria" w:hAnsi="Cambria" w:cs="Lucida Sans Unicode"/>
          <w:sz w:val="18"/>
          <w:szCs w:val="18"/>
          <w:shd w:val="clear" w:color="auto" w:fill="FFFFFF"/>
          <w:lang w:val="es-MX"/>
        </w:rPr>
        <w:t xml:space="preserve">(…) Corresponde en cada caso al Juez ejecutor determinar, conforme a nuestro ordenamiento, de entre los bienes de los que sea titular específicamente el Estado extranjero en nuestro territorio, cuáles están inequívocamente destinados al desenvolvimiento de actividades económicas en las que dicho Estado, sin hacer uso de su potestad de imperio, actúa de la misma manera que un particular. Sin que, por lo demás, cumplida esta circunstancia, sea necesario que los bienes objeto de la ejecución estén destinados a la misma actividad </w:t>
      </w:r>
      <w:r w:rsidRPr="001C445E">
        <w:rPr>
          <w:rFonts w:ascii="Cambria" w:hAnsi="Cambria" w:cs="Lucida Sans Unicode"/>
          <w:i/>
          <w:sz w:val="18"/>
          <w:szCs w:val="18"/>
          <w:shd w:val="clear" w:color="auto" w:fill="FFFFFF"/>
          <w:lang w:val="es-MX"/>
        </w:rPr>
        <w:t xml:space="preserve">iure gestionis </w:t>
      </w:r>
      <w:r w:rsidRPr="001C445E">
        <w:rPr>
          <w:rFonts w:ascii="Cambria" w:hAnsi="Cambria" w:cs="Lucida Sans Unicode"/>
          <w:sz w:val="18"/>
          <w:szCs w:val="18"/>
          <w:shd w:val="clear" w:color="auto" w:fill="FFFFFF"/>
          <w:lang w:val="es-MX"/>
        </w:rPr>
        <w:t>que provocó el litigio, pues otra cosa haría ilusoria la ejecución en casos como el presente en que, al tratarse del despido de una trabajadora de una Embajada, y admitido que dichos litigios quedan al margen de la inmunidad de jurisdicción del Estado extranjero, ningún bien quedaría sustraído a la inmunidad de ejecución, ya que sólo los bienes de la Embajada estarían en conexión con la actividad que provocó el litigio”</w:t>
      </w:r>
      <w:r w:rsidRPr="001C445E">
        <w:rPr>
          <w:rStyle w:val="FootnoteReference"/>
          <w:rFonts w:ascii="Cambria" w:hAnsi="Cambria" w:cs="Lucida Sans Unicode"/>
          <w:sz w:val="20"/>
          <w:szCs w:val="20"/>
          <w:shd w:val="clear" w:color="auto" w:fill="FFFFFF"/>
        </w:rPr>
        <w:footnoteReference w:id="60"/>
      </w:r>
      <w:r w:rsidRPr="001C445E">
        <w:rPr>
          <w:rFonts w:ascii="Cambria" w:hAnsi="Cambria" w:cs="Lucida Sans Unicode"/>
          <w:sz w:val="18"/>
          <w:szCs w:val="18"/>
          <w:shd w:val="clear" w:color="auto" w:fill="FFFFFF"/>
          <w:lang w:val="es-MX"/>
        </w:rPr>
        <w:t>.</w:t>
      </w:r>
    </w:p>
    <w:p w14:paraId="75FBE423" w14:textId="77777777" w:rsidR="001D4492" w:rsidRPr="001C445E" w:rsidRDefault="001D4492" w:rsidP="001D4492">
      <w:pPr>
        <w:tabs>
          <w:tab w:val="left" w:pos="567"/>
          <w:tab w:val="left" w:pos="1440"/>
        </w:tabs>
        <w:spacing w:after="0" w:line="240" w:lineRule="auto"/>
        <w:jc w:val="both"/>
        <w:rPr>
          <w:rFonts w:ascii="Cambria" w:hAnsi="Cambria"/>
          <w:sz w:val="20"/>
          <w:szCs w:val="20"/>
          <w:lang w:val="es-ES_tradnl"/>
        </w:rPr>
      </w:pPr>
    </w:p>
    <w:p w14:paraId="2F645A73" w14:textId="77777777" w:rsidR="001D4492" w:rsidRPr="001C445E" w:rsidRDefault="001D4492" w:rsidP="001D4492">
      <w:pPr>
        <w:pStyle w:val="parrafos"/>
        <w:numPr>
          <w:ilvl w:val="0"/>
          <w:numId w:val="3"/>
        </w:numPr>
        <w:tabs>
          <w:tab w:val="left" w:pos="360"/>
        </w:tabs>
        <w:ind w:left="0" w:firstLine="0"/>
        <w:rPr>
          <w:color w:val="auto"/>
        </w:rPr>
      </w:pPr>
      <w:r w:rsidRPr="001C445E">
        <w:rPr>
          <w:color w:val="auto"/>
        </w:rPr>
        <w:t>Dicho criterio ha sido ratificado y consolidado en posteriores decisiones</w:t>
      </w:r>
      <w:r w:rsidRPr="001C445E">
        <w:rPr>
          <w:rStyle w:val="FootnoteReference"/>
          <w:rFonts w:ascii="Cambria" w:hAnsi="Cambria"/>
          <w:color w:val="auto"/>
          <w:sz w:val="20"/>
          <w:lang w:val="es-ES_tradnl"/>
        </w:rPr>
        <w:footnoteReference w:id="61"/>
      </w:r>
      <w:r w:rsidRPr="001C445E">
        <w:rPr>
          <w:color w:val="auto"/>
        </w:rPr>
        <w:t xml:space="preserve"> en las que se ha determinado que corresponde al juez ejecutor determinar los bienes de un Estado extranjero que estarían protegidos </w:t>
      </w:r>
      <w:r w:rsidR="00AC287B" w:rsidRPr="001C445E">
        <w:rPr>
          <w:color w:val="auto"/>
        </w:rPr>
        <w:t xml:space="preserve">por la inmunidad de ejecución. </w:t>
      </w:r>
      <w:r w:rsidRPr="001C445E">
        <w:rPr>
          <w:color w:val="auto"/>
        </w:rPr>
        <w:t>Por ejemplo, en la Sentencia 176/2001 el Tribunal Constitucional español resolvió que unas plazas de garaje propiedad del Consulado de Francia en Bilbao tenían carácter inembargable por estar afectadas a la actividad propia del consulado</w:t>
      </w:r>
      <w:r w:rsidRPr="001C445E">
        <w:rPr>
          <w:rStyle w:val="FootnoteReference"/>
          <w:rFonts w:ascii="Cambria" w:hAnsi="Cambria"/>
          <w:color w:val="auto"/>
          <w:sz w:val="20"/>
        </w:rPr>
        <w:footnoteReference w:id="62"/>
      </w:r>
      <w:r w:rsidRPr="001C445E">
        <w:rPr>
          <w:color w:val="auto"/>
        </w:rPr>
        <w:t>. Asimismo, en la Sentencia 112/2002 el mismo tribunal estimó que las cantidades correspondientes a la devolución del IVA del gobierno de Estados Unidos sí podían ejecutarse por considerar que esos fondos provenían tanto de actividades públicas como de actividades comerciales y de cooperación, no estando protegidas de ejecución estas últimas</w:t>
      </w:r>
      <w:r w:rsidRPr="001C445E">
        <w:rPr>
          <w:rStyle w:val="FootnoteReference"/>
          <w:rFonts w:ascii="Cambria" w:hAnsi="Cambria"/>
          <w:color w:val="auto"/>
          <w:sz w:val="20"/>
        </w:rPr>
        <w:footnoteReference w:id="63"/>
      </w:r>
      <w:r w:rsidRPr="001C445E">
        <w:rPr>
          <w:color w:val="auto"/>
        </w:rPr>
        <w:t>.</w:t>
      </w:r>
    </w:p>
    <w:p w14:paraId="2D3F0BEC" w14:textId="77777777" w:rsidR="001D4492" w:rsidRPr="001C445E" w:rsidRDefault="001D4492" w:rsidP="001D4492">
      <w:pPr>
        <w:pStyle w:val="parrafos"/>
        <w:rPr>
          <w:color w:val="auto"/>
        </w:rPr>
      </w:pPr>
    </w:p>
    <w:p w14:paraId="33141CDB" w14:textId="77777777" w:rsidR="001D4492" w:rsidRPr="001C445E" w:rsidRDefault="001D4492" w:rsidP="001D4492">
      <w:pPr>
        <w:pStyle w:val="parrafos"/>
        <w:numPr>
          <w:ilvl w:val="0"/>
          <w:numId w:val="3"/>
        </w:numPr>
        <w:tabs>
          <w:tab w:val="left" w:pos="360"/>
        </w:tabs>
        <w:ind w:left="0" w:firstLine="0"/>
        <w:rPr>
          <w:color w:val="auto"/>
        </w:rPr>
      </w:pPr>
      <w:r w:rsidRPr="001C445E">
        <w:rPr>
          <w:color w:val="auto"/>
        </w:rPr>
        <w:t xml:space="preserve">Asimismo, el 10 de abril de 2002 el Juzgado de lo Social de Madrid al resolver lo relativo a la ejecución de una sentencia contra Italia, determinó que un centro educativo asociado a la Embajada italiana es ajena </w:t>
      </w:r>
      <w:r w:rsidRPr="001C445E">
        <w:rPr>
          <w:color w:val="auto"/>
        </w:rPr>
        <w:lastRenderedPageBreak/>
        <w:t xml:space="preserve">a toda manifestación de poder estatal extranjero soberano, por lo que no puede invocarse el </w:t>
      </w:r>
      <w:r w:rsidRPr="001C445E">
        <w:rPr>
          <w:i/>
          <w:color w:val="auto"/>
        </w:rPr>
        <w:t>ius imperii</w:t>
      </w:r>
      <w:r w:rsidRPr="001C445E">
        <w:rPr>
          <w:rStyle w:val="FootnoteReference"/>
          <w:rFonts w:ascii="Cambria" w:hAnsi="Cambria"/>
          <w:color w:val="auto"/>
          <w:sz w:val="20"/>
        </w:rPr>
        <w:footnoteReference w:id="64"/>
      </w:r>
      <w:r w:rsidRPr="001C445E">
        <w:rPr>
          <w:color w:val="auto"/>
        </w:rPr>
        <w:t>. Por su parte, la Audiencia Provincial de Cádiz en Auto 42/2004 declaró nulo el embargo de la cuenta corriente de la sucursal de un banco español situado en una base naval de los Estados Unidos, pues tales fondos son públicos, son dirigidos al personal militar y las cuentas las controla el Departamento de Defensa de ese país, por lo que los bienes no eran susceptibles de medidas de ejecución</w:t>
      </w:r>
      <w:r w:rsidRPr="001C445E">
        <w:rPr>
          <w:rStyle w:val="FootnoteReference"/>
          <w:rFonts w:ascii="Cambria" w:hAnsi="Cambria"/>
          <w:color w:val="auto"/>
          <w:sz w:val="20"/>
        </w:rPr>
        <w:footnoteReference w:id="65"/>
      </w:r>
      <w:r w:rsidRPr="001C445E">
        <w:rPr>
          <w:color w:val="auto"/>
        </w:rPr>
        <w:t>. Finalmente, la Sala de lo Social del Tribunal Supremo de España en sentencia 2012/9582 determinó la inembargabilidad de las cuentas corrientes de las embajadas por considerar que estas eran inviolables en aplicación de la Convención de Viena sobre Relaciones Diplomáticas</w:t>
      </w:r>
      <w:r w:rsidRPr="001C445E">
        <w:rPr>
          <w:rStyle w:val="FootnoteReference"/>
          <w:rFonts w:ascii="Cambria" w:hAnsi="Cambria"/>
          <w:color w:val="auto"/>
          <w:sz w:val="20"/>
        </w:rPr>
        <w:footnoteReference w:id="66"/>
      </w:r>
      <w:r w:rsidRPr="001C445E">
        <w:rPr>
          <w:color w:val="auto"/>
        </w:rPr>
        <w:t xml:space="preserve">. </w:t>
      </w:r>
    </w:p>
    <w:p w14:paraId="75CF4315" w14:textId="77777777" w:rsidR="001D4492" w:rsidRPr="001C445E" w:rsidRDefault="001D4492" w:rsidP="001D4492">
      <w:pPr>
        <w:pStyle w:val="parrafos"/>
        <w:rPr>
          <w:color w:val="auto"/>
        </w:rPr>
      </w:pPr>
    </w:p>
    <w:p w14:paraId="0C178E9E" w14:textId="5D1BABEA" w:rsidR="00904930" w:rsidRPr="000C75B5" w:rsidRDefault="001D4492" w:rsidP="00FE733F">
      <w:pPr>
        <w:pStyle w:val="parrafos"/>
        <w:numPr>
          <w:ilvl w:val="0"/>
          <w:numId w:val="3"/>
        </w:numPr>
        <w:tabs>
          <w:tab w:val="left" w:pos="360"/>
        </w:tabs>
        <w:ind w:left="0" w:firstLine="0"/>
        <w:rPr>
          <w:color w:val="auto"/>
          <w:lang w:val="es-ES"/>
        </w:rPr>
      </w:pPr>
      <w:r w:rsidRPr="2BF8E3BE">
        <w:rPr>
          <w:color w:val="auto"/>
          <w:lang w:val="es-ES"/>
        </w:rPr>
        <w:t>La Corte Suprema de Justicia de la Nación Argentina en el caso Blasson contra la Embajada de Eslovaquia declaró sin efectos el embargo preventivo impuesto a una cuenta bancaria propiedad de dicha Embajada por considerar que esa medida afectaba gravemente la soberanía del Estado extranjero y reconoció la tesis de inmunidad de ejecución relativa. Al respecto refirió que “es inadmisible la ejecución forzada de la propiedad de un Estado extranjero sin el consentimiento de este, si aquella propiedad sirve a fines soberanos de aquel”</w:t>
      </w:r>
      <w:r w:rsidRPr="2BF8E3BE">
        <w:rPr>
          <w:rStyle w:val="FootnoteReference"/>
          <w:rFonts w:ascii="Cambria" w:hAnsi="Cambria"/>
          <w:color w:val="auto"/>
          <w:sz w:val="20"/>
          <w:lang w:val="es-ES"/>
        </w:rPr>
        <w:footnoteReference w:id="67"/>
      </w:r>
      <w:r w:rsidRPr="2BF8E3BE">
        <w:rPr>
          <w:color w:val="auto"/>
          <w:lang w:val="es-ES"/>
        </w:rPr>
        <w:t xml:space="preserve">. </w:t>
      </w:r>
    </w:p>
    <w:p w14:paraId="3C0395D3" w14:textId="77777777" w:rsidR="00904930" w:rsidRPr="001C445E" w:rsidRDefault="00904930" w:rsidP="00FE733F">
      <w:pPr>
        <w:pStyle w:val="parrafos"/>
        <w:rPr>
          <w:color w:val="auto"/>
          <w:lang w:val="es-ES"/>
        </w:rPr>
      </w:pPr>
    </w:p>
    <w:p w14:paraId="31291B19" w14:textId="77777777" w:rsidR="001D4492" w:rsidRPr="001C445E" w:rsidRDefault="001D4492" w:rsidP="00F52767">
      <w:pPr>
        <w:pStyle w:val="parrafos"/>
        <w:numPr>
          <w:ilvl w:val="0"/>
          <w:numId w:val="3"/>
        </w:numPr>
        <w:tabs>
          <w:tab w:val="left" w:pos="360"/>
        </w:tabs>
        <w:ind w:left="0" w:firstLine="0"/>
        <w:rPr>
          <w:color w:val="auto"/>
          <w:lang w:val="es-ES_tradnl"/>
        </w:rPr>
      </w:pPr>
      <w:r w:rsidRPr="001C445E">
        <w:rPr>
          <w:color w:val="auto"/>
          <w:lang w:val="es-ES_tradnl"/>
        </w:rPr>
        <w:t xml:space="preserve">Por otra parte, </w:t>
      </w:r>
      <w:r w:rsidR="00D44FCA" w:rsidRPr="001C445E">
        <w:rPr>
          <w:color w:val="auto"/>
          <w:lang w:val="es-ES_tradnl"/>
        </w:rPr>
        <w:t xml:space="preserve">la Comisión nota que </w:t>
      </w:r>
      <w:r w:rsidRPr="001C445E">
        <w:rPr>
          <w:color w:val="auto"/>
          <w:lang w:val="es-ES_tradnl"/>
        </w:rPr>
        <w:t>c</w:t>
      </w:r>
      <w:r w:rsidR="00D44FCA" w:rsidRPr="001C445E">
        <w:rPr>
          <w:color w:val="auto"/>
          <w:lang w:val="es-ES_tradnl"/>
        </w:rPr>
        <w:t xml:space="preserve">iertas legislaciones también </w:t>
      </w:r>
      <w:r w:rsidRPr="001C445E">
        <w:rPr>
          <w:color w:val="auto"/>
          <w:lang w:val="es-ES_tradnl"/>
        </w:rPr>
        <w:t>reconoce</w:t>
      </w:r>
      <w:r w:rsidR="00D44FCA" w:rsidRPr="001C445E">
        <w:rPr>
          <w:color w:val="auto"/>
          <w:lang w:val="es-ES_tradnl"/>
        </w:rPr>
        <w:t>n</w:t>
      </w:r>
      <w:r w:rsidRPr="001C445E">
        <w:rPr>
          <w:color w:val="auto"/>
          <w:lang w:val="es-ES_tradnl"/>
        </w:rPr>
        <w:t xml:space="preserve"> el principio de inmunidad de ejecución</w:t>
      </w:r>
      <w:r w:rsidR="007C1174" w:rsidRPr="001C445E">
        <w:rPr>
          <w:color w:val="auto"/>
          <w:lang w:val="es-ES_tradnl"/>
        </w:rPr>
        <w:t>,</w:t>
      </w:r>
      <w:r w:rsidRPr="001C445E">
        <w:rPr>
          <w:color w:val="auto"/>
          <w:lang w:val="es-ES_tradnl"/>
        </w:rPr>
        <w:t xml:space="preserve"> pero se prevén excepciones a la misma sobre todo respecto de bienes utilizados para actividades comerciales en el Estado receptor. </w:t>
      </w:r>
      <w:r w:rsidRPr="001C445E">
        <w:rPr>
          <w:color w:val="auto"/>
        </w:rPr>
        <w:t xml:space="preserve">Así, por ejemplo, </w:t>
      </w:r>
      <w:r w:rsidR="00D44FCA" w:rsidRPr="001C445E">
        <w:rPr>
          <w:color w:val="auto"/>
          <w:lang w:val="es-ES_tradnl"/>
        </w:rPr>
        <w:t>l</w:t>
      </w:r>
      <w:r w:rsidRPr="001C445E">
        <w:rPr>
          <w:color w:val="auto"/>
        </w:rPr>
        <w:t xml:space="preserve">a </w:t>
      </w:r>
      <w:r w:rsidRPr="001C445E">
        <w:rPr>
          <w:i/>
          <w:color w:val="auto"/>
        </w:rPr>
        <w:t xml:space="preserve">Foreign Sovereign Immunities Act (1976) </w:t>
      </w:r>
      <w:r w:rsidRPr="001C445E">
        <w:rPr>
          <w:color w:val="auto"/>
        </w:rPr>
        <w:t>excluye la inmunidad de los bienes de un Estado extranjero usados para una actividad comercial en los Estados Unidos, siempre que dichos bienes sean o hayan sido usados para la actividad comercial de la que derivó el litigio</w:t>
      </w:r>
      <w:r w:rsidRPr="001C445E">
        <w:rPr>
          <w:rStyle w:val="FootnoteReference"/>
          <w:rFonts w:ascii="Cambria" w:hAnsi="Cambria"/>
          <w:color w:val="auto"/>
          <w:sz w:val="20"/>
        </w:rPr>
        <w:footnoteReference w:id="68"/>
      </w:r>
      <w:r w:rsidRPr="001C445E">
        <w:rPr>
          <w:color w:val="auto"/>
        </w:rPr>
        <w:t xml:space="preserve">. Igualmente, la </w:t>
      </w:r>
      <w:r w:rsidRPr="001C445E">
        <w:rPr>
          <w:i/>
          <w:color w:val="auto"/>
        </w:rPr>
        <w:t>State Immunity Act (1978)</w:t>
      </w:r>
      <w:r w:rsidRPr="001C445E">
        <w:rPr>
          <w:color w:val="auto"/>
        </w:rPr>
        <w:t xml:space="preserve"> británica</w:t>
      </w:r>
      <w:r w:rsidRPr="00777088">
        <w:rPr>
          <w:rStyle w:val="FootnoteReference"/>
          <w:rFonts w:ascii="Cambria" w:hAnsi="Cambria"/>
          <w:iCs/>
          <w:color w:val="auto"/>
          <w:sz w:val="20"/>
        </w:rPr>
        <w:footnoteReference w:id="69"/>
      </w:r>
      <w:r w:rsidRPr="001C445E">
        <w:rPr>
          <w:color w:val="auto"/>
        </w:rPr>
        <w:t xml:space="preserve"> y la </w:t>
      </w:r>
      <w:r w:rsidRPr="001C445E">
        <w:rPr>
          <w:i/>
          <w:color w:val="auto"/>
        </w:rPr>
        <w:t xml:space="preserve">State Immunity Act (1985) </w:t>
      </w:r>
      <w:r w:rsidRPr="001C445E">
        <w:rPr>
          <w:color w:val="auto"/>
        </w:rPr>
        <w:t>canadiense</w:t>
      </w:r>
      <w:r w:rsidRPr="00777088">
        <w:rPr>
          <w:rStyle w:val="FootnoteReference"/>
          <w:rFonts w:ascii="Cambria" w:hAnsi="Cambria"/>
          <w:iCs/>
          <w:color w:val="auto"/>
          <w:sz w:val="20"/>
        </w:rPr>
        <w:footnoteReference w:id="70"/>
      </w:r>
      <w:r w:rsidRPr="001C445E">
        <w:rPr>
          <w:i/>
          <w:color w:val="auto"/>
        </w:rPr>
        <w:t xml:space="preserve"> </w:t>
      </w:r>
      <w:r w:rsidRPr="001C445E">
        <w:rPr>
          <w:color w:val="auto"/>
        </w:rPr>
        <w:t xml:space="preserve">excluyen con carácter general la inmunidad de ejecución de aquellos bienes del Estado extranjero que en el momento de la misma se utilicen o se pretendan utilizar para fines comerciales. Asimismo, la </w:t>
      </w:r>
      <w:r w:rsidRPr="001C445E">
        <w:rPr>
          <w:i/>
          <w:color w:val="auto"/>
        </w:rPr>
        <w:t xml:space="preserve">Foreign States Immunities Act (1985) </w:t>
      </w:r>
      <w:r w:rsidRPr="001C445E">
        <w:rPr>
          <w:color w:val="auto"/>
        </w:rPr>
        <w:t>australiana</w:t>
      </w:r>
      <w:r w:rsidRPr="001C445E">
        <w:rPr>
          <w:rStyle w:val="FootnoteReference"/>
          <w:rFonts w:ascii="Cambria" w:hAnsi="Cambria"/>
          <w:i/>
          <w:color w:val="auto"/>
          <w:sz w:val="20"/>
        </w:rPr>
        <w:footnoteReference w:id="71"/>
      </w:r>
      <w:r w:rsidRPr="001C445E">
        <w:rPr>
          <w:color w:val="auto"/>
        </w:rPr>
        <w:t xml:space="preserve"> excluye de la inmunidad de ejecución aquellos bienes destinados a actividades comerciales, y si bien excluye de tal consideración a la propiedad diplomática, exige simplemente que los bienes estén destinados sustancialmente a actividades comerciales para poder ser ejecutados. </w:t>
      </w:r>
    </w:p>
    <w:p w14:paraId="3254BC2F" w14:textId="77777777" w:rsidR="00D44FCA" w:rsidRPr="001C445E" w:rsidRDefault="00D44FCA" w:rsidP="00F52767">
      <w:pPr>
        <w:pStyle w:val="parrafos"/>
        <w:rPr>
          <w:color w:val="auto"/>
          <w:lang w:val="es-ES_tradnl"/>
        </w:rPr>
      </w:pPr>
    </w:p>
    <w:p w14:paraId="20462F11" w14:textId="77777777" w:rsidR="009B68E9" w:rsidRPr="001C445E" w:rsidRDefault="00D44FCA" w:rsidP="009B68E9">
      <w:pPr>
        <w:pStyle w:val="parrafos"/>
        <w:numPr>
          <w:ilvl w:val="0"/>
          <w:numId w:val="3"/>
        </w:numPr>
        <w:tabs>
          <w:tab w:val="left" w:pos="360"/>
        </w:tabs>
        <w:ind w:left="0" w:firstLine="0"/>
        <w:rPr>
          <w:color w:val="auto"/>
          <w:lang w:val="es-ES_tradnl"/>
        </w:rPr>
      </w:pPr>
      <w:r w:rsidRPr="001C445E">
        <w:rPr>
          <w:color w:val="auto"/>
        </w:rPr>
        <w:t xml:space="preserve">En vista de lo anterior, la Comisión observa que de acuerdo con las decisiones judiciales y legislaciones antes mencionadas, </w:t>
      </w:r>
      <w:r w:rsidR="00BF72E9" w:rsidRPr="001C445E">
        <w:rPr>
          <w:color w:val="auto"/>
        </w:rPr>
        <w:t>bajo el entendimiento de una noción de inmunidad relativa, es posible que al mismo tiempo en que son respetados los bienes q</w:t>
      </w:r>
      <w:r w:rsidR="00974A20" w:rsidRPr="001C445E">
        <w:rPr>
          <w:color w:val="auto"/>
        </w:rPr>
        <w:t>ue no tienen fines comerciales -</w:t>
      </w:r>
      <w:r w:rsidR="00A06ADF" w:rsidRPr="001C445E">
        <w:rPr>
          <w:color w:val="auto"/>
        </w:rPr>
        <w:t xml:space="preserve">y que son </w:t>
      </w:r>
      <w:r w:rsidR="00BF72E9" w:rsidRPr="001C445E">
        <w:rPr>
          <w:color w:val="auto"/>
        </w:rPr>
        <w:t>requeridos para que un Es</w:t>
      </w:r>
      <w:r w:rsidR="005A502C" w:rsidRPr="001C445E">
        <w:rPr>
          <w:color w:val="auto"/>
        </w:rPr>
        <w:t>tado realice de manera adecuada</w:t>
      </w:r>
      <w:r w:rsidR="00A06ADF" w:rsidRPr="001C445E">
        <w:rPr>
          <w:color w:val="auto"/>
        </w:rPr>
        <w:t xml:space="preserve"> </w:t>
      </w:r>
      <w:r w:rsidR="00BF72E9" w:rsidRPr="001C445E">
        <w:rPr>
          <w:color w:val="auto"/>
        </w:rPr>
        <w:t>el desempeño de sus funciones diplomáticas y consulares</w:t>
      </w:r>
      <w:r w:rsidR="00AC287B" w:rsidRPr="001C445E">
        <w:rPr>
          <w:color w:val="auto"/>
        </w:rPr>
        <w:t xml:space="preserve"> en ejercicio de su soberanía-</w:t>
      </w:r>
      <w:r w:rsidR="00974A20" w:rsidRPr="001C445E">
        <w:rPr>
          <w:color w:val="auto"/>
        </w:rPr>
        <w:t xml:space="preserve"> </w:t>
      </w:r>
      <w:r w:rsidR="00A06ADF" w:rsidRPr="001C445E">
        <w:rPr>
          <w:color w:val="auto"/>
        </w:rPr>
        <w:t>puedan ser afectados otros tipos de bienes que pueden tener naturaleza comercial</w:t>
      </w:r>
      <w:r w:rsidR="00974A20" w:rsidRPr="001C445E">
        <w:rPr>
          <w:color w:val="auto"/>
        </w:rPr>
        <w:t xml:space="preserve"> con el fin de ejecutar una sentencia</w:t>
      </w:r>
      <w:r w:rsidR="00A06ADF" w:rsidRPr="001C445E">
        <w:rPr>
          <w:color w:val="auto"/>
        </w:rPr>
        <w:t xml:space="preserve">. </w:t>
      </w:r>
    </w:p>
    <w:p w14:paraId="651E9592" w14:textId="77777777" w:rsidR="009B68E9" w:rsidRPr="001C445E" w:rsidRDefault="009B68E9" w:rsidP="009B68E9">
      <w:pPr>
        <w:pStyle w:val="parrafos"/>
        <w:tabs>
          <w:tab w:val="left" w:pos="360"/>
        </w:tabs>
        <w:rPr>
          <w:color w:val="auto"/>
          <w:lang w:val="es-ES_tradnl"/>
        </w:rPr>
      </w:pPr>
    </w:p>
    <w:p w14:paraId="1BA0841E" w14:textId="02024174" w:rsidR="00224A16" w:rsidRPr="001C445E" w:rsidRDefault="0068411A" w:rsidP="2BF8E3BE">
      <w:pPr>
        <w:pStyle w:val="parrafos"/>
        <w:numPr>
          <w:ilvl w:val="0"/>
          <w:numId w:val="3"/>
        </w:numPr>
        <w:tabs>
          <w:tab w:val="left" w:pos="360"/>
        </w:tabs>
        <w:ind w:left="0" w:firstLine="0"/>
        <w:rPr>
          <w:color w:val="auto"/>
          <w:lang w:val="es-ES"/>
        </w:rPr>
      </w:pPr>
      <w:r w:rsidRPr="2BF8E3BE">
        <w:rPr>
          <w:color w:val="auto"/>
          <w:lang w:val="es-ES"/>
        </w:rPr>
        <w:t xml:space="preserve">En el presente caso, la Comisión </w:t>
      </w:r>
      <w:r w:rsidR="00974A20" w:rsidRPr="2BF8E3BE">
        <w:rPr>
          <w:color w:val="auto"/>
          <w:lang w:val="es-ES"/>
        </w:rPr>
        <w:t xml:space="preserve">nota </w:t>
      </w:r>
      <w:r w:rsidRPr="2BF8E3BE">
        <w:rPr>
          <w:color w:val="auto"/>
          <w:lang w:val="es-ES"/>
        </w:rPr>
        <w:t xml:space="preserve">que </w:t>
      </w:r>
      <w:r w:rsidR="00AF7A61" w:rsidRPr="2BF8E3BE">
        <w:rPr>
          <w:color w:val="auto"/>
          <w:lang w:val="es-ES"/>
        </w:rPr>
        <w:t>las autoridad judiciales</w:t>
      </w:r>
      <w:r w:rsidR="001B5861" w:rsidRPr="2BF8E3BE">
        <w:rPr>
          <w:color w:val="auto"/>
          <w:lang w:val="es-ES"/>
        </w:rPr>
        <w:t xml:space="preserve"> argentina</w:t>
      </w:r>
      <w:r w:rsidR="00AF7A61" w:rsidRPr="2BF8E3BE">
        <w:rPr>
          <w:color w:val="auto"/>
          <w:lang w:val="es-ES"/>
        </w:rPr>
        <w:t>s</w:t>
      </w:r>
      <w:r w:rsidR="001B5861" w:rsidRPr="2BF8E3BE">
        <w:rPr>
          <w:color w:val="auto"/>
          <w:lang w:val="es-ES"/>
        </w:rPr>
        <w:t xml:space="preserve"> </w:t>
      </w:r>
      <w:r w:rsidR="009B68E9" w:rsidRPr="2BF8E3BE">
        <w:rPr>
          <w:color w:val="auto"/>
          <w:lang w:val="es-ES"/>
        </w:rPr>
        <w:t xml:space="preserve">a cargo del proceso de ejecución se limitaron a acoger la respuesta del Estado de Australia que oponía inmunidad de ejecución al cumplimiento del fallo a favor de la presunta víctima, </w:t>
      </w:r>
      <w:r w:rsidR="00AF7A61" w:rsidRPr="2BF8E3BE">
        <w:rPr>
          <w:color w:val="auto"/>
          <w:lang w:val="es-ES"/>
        </w:rPr>
        <w:t>entendiendo que ello imposibilitaba de manera</w:t>
      </w:r>
      <w:r w:rsidR="009B68E9" w:rsidRPr="2BF8E3BE">
        <w:rPr>
          <w:color w:val="auto"/>
          <w:lang w:val="es-ES"/>
        </w:rPr>
        <w:t xml:space="preserve"> absoluta </w:t>
      </w:r>
      <w:r w:rsidR="00AF7A61" w:rsidRPr="2BF8E3BE">
        <w:rPr>
          <w:color w:val="auto"/>
          <w:lang w:val="es-ES"/>
        </w:rPr>
        <w:t xml:space="preserve">la ejecución, </w:t>
      </w:r>
      <w:r w:rsidR="009B68E9" w:rsidRPr="2BF8E3BE">
        <w:rPr>
          <w:color w:val="auto"/>
          <w:lang w:val="es-ES"/>
        </w:rPr>
        <w:t xml:space="preserve">limitando con ello uno de </w:t>
      </w:r>
      <w:r w:rsidRPr="2BF8E3BE">
        <w:rPr>
          <w:color w:val="auto"/>
          <w:lang w:val="es-ES"/>
        </w:rPr>
        <w:t xml:space="preserve">los componentes esenciales del derecho a la protección judicial, que consiste en la ejecución del fallo, aspecto específicamente protegido por el artículo 25.2 c) de la Convención Americana. </w:t>
      </w:r>
      <w:r w:rsidR="009B68E9" w:rsidRPr="2BF8E3BE">
        <w:rPr>
          <w:color w:val="auto"/>
          <w:lang w:val="es-ES"/>
        </w:rPr>
        <w:t xml:space="preserve">La Comisión estima que la omisión del </w:t>
      </w:r>
      <w:r w:rsidR="005C0A7F" w:rsidRPr="2BF8E3BE">
        <w:rPr>
          <w:color w:val="auto"/>
          <w:lang w:val="es-ES"/>
        </w:rPr>
        <w:t>juez a cargo del proceso para conducir la ejecución del fallo c</w:t>
      </w:r>
      <w:r w:rsidR="00AF7A61" w:rsidRPr="2BF8E3BE">
        <w:rPr>
          <w:color w:val="auto"/>
          <w:lang w:val="es-ES"/>
        </w:rPr>
        <w:t xml:space="preserve">ontra la Embajada de Australia y, </w:t>
      </w:r>
      <w:r w:rsidR="005C0A7F" w:rsidRPr="2BF8E3BE">
        <w:rPr>
          <w:color w:val="auto"/>
          <w:lang w:val="es-ES"/>
        </w:rPr>
        <w:t>en particular</w:t>
      </w:r>
      <w:r w:rsidR="00AF7A61" w:rsidRPr="2BF8E3BE">
        <w:rPr>
          <w:color w:val="auto"/>
          <w:lang w:val="es-ES"/>
        </w:rPr>
        <w:t xml:space="preserve">, debido a que, como se ha explicado, existen otros medios para lograrlo en respeto de la inmunidad de ejecución -como lo es mediante la </w:t>
      </w:r>
      <w:r w:rsidR="005C0A7F" w:rsidRPr="2BF8E3BE">
        <w:rPr>
          <w:color w:val="auto"/>
          <w:lang w:val="es-ES"/>
        </w:rPr>
        <w:t xml:space="preserve"> verificación sobre los bienes que estarían destinados a una actividad comercial o que podrían ser objeto de </w:t>
      </w:r>
      <w:r w:rsidR="005C0A7F" w:rsidRPr="2BF8E3BE">
        <w:rPr>
          <w:color w:val="auto"/>
          <w:lang w:val="es-ES"/>
        </w:rPr>
        <w:lastRenderedPageBreak/>
        <w:t>ejecución forzosa, conforme a</w:t>
      </w:r>
      <w:r w:rsidR="00AF7A61" w:rsidRPr="2BF8E3BE">
        <w:rPr>
          <w:color w:val="auto"/>
          <w:lang w:val="es-ES"/>
        </w:rPr>
        <w:t xml:space="preserve"> los parámetros antes descritos-</w:t>
      </w:r>
      <w:r w:rsidR="005C0A7F" w:rsidRPr="2BF8E3BE">
        <w:rPr>
          <w:color w:val="auto"/>
          <w:lang w:val="es-ES"/>
        </w:rPr>
        <w:t xml:space="preserve"> constituyó una </w:t>
      </w:r>
      <w:r w:rsidR="00AF7A61" w:rsidRPr="2BF8E3BE">
        <w:rPr>
          <w:color w:val="auto"/>
          <w:lang w:val="es-ES"/>
        </w:rPr>
        <w:t xml:space="preserve">afectación </w:t>
      </w:r>
      <w:r w:rsidR="005C0A7F" w:rsidRPr="2BF8E3BE">
        <w:rPr>
          <w:color w:val="auto"/>
          <w:lang w:val="es-ES"/>
        </w:rPr>
        <w:t>desproporcionada al derecho a la protección judicial de la señora M</w:t>
      </w:r>
      <w:r w:rsidR="00864D3B">
        <w:rPr>
          <w:color w:val="auto"/>
          <w:lang w:val="es-ES"/>
        </w:rPr>
        <w:t>.E.F.</w:t>
      </w:r>
      <w:r w:rsidR="00D369AB">
        <w:rPr>
          <w:color w:val="auto"/>
          <w:lang w:val="es-ES"/>
        </w:rPr>
        <w:t>.</w:t>
      </w:r>
    </w:p>
    <w:p w14:paraId="269E314A" w14:textId="77777777" w:rsidR="00224A16" w:rsidRPr="001C445E" w:rsidRDefault="00224A16" w:rsidP="00224A16">
      <w:pPr>
        <w:pStyle w:val="parrafos"/>
        <w:tabs>
          <w:tab w:val="left" w:pos="360"/>
        </w:tabs>
        <w:rPr>
          <w:color w:val="auto"/>
          <w:lang w:val="es-ES_tradnl"/>
        </w:rPr>
      </w:pPr>
    </w:p>
    <w:p w14:paraId="0F6768E5" w14:textId="2A3BDD0F" w:rsidR="00C602A5" w:rsidRPr="001C445E" w:rsidRDefault="00224A16" w:rsidP="2BF8E3BE">
      <w:pPr>
        <w:pStyle w:val="parrafos"/>
        <w:numPr>
          <w:ilvl w:val="0"/>
          <w:numId w:val="3"/>
        </w:numPr>
        <w:tabs>
          <w:tab w:val="left" w:pos="360"/>
        </w:tabs>
        <w:ind w:left="0" w:firstLine="0"/>
        <w:rPr>
          <w:color w:val="auto"/>
          <w:lang w:val="es-ES"/>
        </w:rPr>
      </w:pPr>
      <w:r w:rsidRPr="2BF8E3BE">
        <w:rPr>
          <w:color w:val="auto"/>
          <w:lang w:val="es-ES"/>
        </w:rPr>
        <w:t>Por otra parte, la CIDH recuerda que la presunta víctima alegó que su despido fue consecuencia de haber notificado a sus superiores sobre su estado de embarazo y haber solicitado la regularización de los aportes patronales ante el seguro social, así como su inscripción dentro de los registros laborales de la Embajada. En la misma decisión de 28 de febrero de 2001 del Juez Nacional de Primera Instancia se hizo constar que “dado que el despido “injustificado”</w:t>
      </w:r>
      <w:r w:rsidR="002C10AD" w:rsidRPr="2BF8E3BE">
        <w:rPr>
          <w:color w:val="auto"/>
          <w:lang w:val="es-ES"/>
        </w:rPr>
        <w:t xml:space="preserve"> </w:t>
      </w:r>
      <w:r w:rsidRPr="2BF8E3BE">
        <w:rPr>
          <w:color w:val="auto"/>
          <w:lang w:val="es-ES"/>
        </w:rPr>
        <w:t xml:space="preserve">se produjo dentro del plazo de protección de la maternidad (…) también es viable la indemnización prevista por el art. 182 de la ley laboral”. </w:t>
      </w:r>
      <w:r w:rsidR="002C10AD" w:rsidRPr="2BF8E3BE">
        <w:rPr>
          <w:color w:val="auto"/>
          <w:lang w:val="es-ES"/>
        </w:rPr>
        <w:t>La Comisión estima que la omisión del juez a cargo de la ejecución del fallo en este caso</w:t>
      </w:r>
      <w:r w:rsidR="00DC1A5A">
        <w:rPr>
          <w:color w:val="auto"/>
          <w:lang w:val="es-ES"/>
        </w:rPr>
        <w:t>,</w:t>
      </w:r>
      <w:r w:rsidR="00D31819">
        <w:rPr>
          <w:color w:val="auto"/>
          <w:lang w:val="es-ES"/>
        </w:rPr>
        <w:t xml:space="preserve"> </w:t>
      </w:r>
      <w:r w:rsidR="002C10AD" w:rsidRPr="2BF8E3BE">
        <w:rPr>
          <w:color w:val="auto"/>
          <w:lang w:val="es-ES"/>
        </w:rPr>
        <w:t>resultó no solo en la limitación de los componentes esenciales del derecho a la protección judicial, sino en los componentes sustantivos que el recurso protegía. En particular, la Comisión estima que la respuesta de las autoridades judiciales resultó en la convalidación de las razones del despido de la presunta víctima, el cual como se indicó incumplió con el plazo de protección de la maternidad, por lo que</w:t>
      </w:r>
      <w:r w:rsidR="003E3E23" w:rsidRPr="2BF8E3BE">
        <w:rPr>
          <w:color w:val="auto"/>
          <w:lang w:val="es-ES"/>
        </w:rPr>
        <w:t>,</w:t>
      </w:r>
      <w:r w:rsidR="002C10AD" w:rsidRPr="2BF8E3BE">
        <w:rPr>
          <w:color w:val="auto"/>
          <w:lang w:val="es-ES"/>
        </w:rPr>
        <w:t xml:space="preserve"> conforme a los estándares indicados con anterioridad, se produjo también una violación del principio de igualdad y no discriminación. </w:t>
      </w:r>
    </w:p>
    <w:p w14:paraId="2093CA67" w14:textId="77777777" w:rsidR="00904930" w:rsidRPr="001C445E" w:rsidRDefault="00904930" w:rsidP="00C7429F">
      <w:pPr>
        <w:pStyle w:val="parrafos"/>
        <w:tabs>
          <w:tab w:val="left" w:pos="360"/>
        </w:tabs>
        <w:rPr>
          <w:color w:val="auto"/>
          <w:lang w:val="es-ES_tradnl"/>
        </w:rPr>
      </w:pPr>
    </w:p>
    <w:p w14:paraId="64C1051A" w14:textId="67667555" w:rsidR="003C08C7" w:rsidRDefault="00C578CC" w:rsidP="2BF8E3BE">
      <w:pPr>
        <w:pStyle w:val="parrafos"/>
        <w:numPr>
          <w:ilvl w:val="0"/>
          <w:numId w:val="3"/>
        </w:numPr>
        <w:tabs>
          <w:tab w:val="left" w:pos="360"/>
        </w:tabs>
        <w:ind w:left="0" w:firstLine="0"/>
        <w:rPr>
          <w:color w:val="auto"/>
          <w:lang w:val="es-ES"/>
        </w:rPr>
      </w:pPr>
      <w:r w:rsidRPr="2BF8E3BE">
        <w:rPr>
          <w:color w:val="auto"/>
          <w:lang w:val="es-ES"/>
        </w:rPr>
        <w:t xml:space="preserve">En consecuencia, la Comisión concluye </w:t>
      </w:r>
      <w:r w:rsidR="003C08C7" w:rsidRPr="2BF8E3BE">
        <w:rPr>
          <w:color w:val="auto"/>
          <w:lang w:val="es-ES"/>
        </w:rPr>
        <w:t>que el Estado argentino es responsable por la violación de los derechos establecidos en los artículo</w:t>
      </w:r>
      <w:r w:rsidR="00BA2E00" w:rsidRPr="2BF8E3BE">
        <w:rPr>
          <w:color w:val="auto"/>
          <w:lang w:val="es-ES"/>
        </w:rPr>
        <w:t xml:space="preserve">s 21, </w:t>
      </w:r>
      <w:r w:rsidR="003E3E23" w:rsidRPr="2BF8E3BE">
        <w:rPr>
          <w:color w:val="auto"/>
          <w:lang w:val="es-ES"/>
        </w:rPr>
        <w:t xml:space="preserve">24, </w:t>
      </w:r>
      <w:r w:rsidR="003C08C7" w:rsidRPr="2BF8E3BE">
        <w:rPr>
          <w:color w:val="auto"/>
          <w:lang w:val="es-ES"/>
        </w:rPr>
        <w:t>25.1 y 25.2 c) de la Convención Americana en relación con las obligaciones establecidas en el artículo 1.1 y 2 del mismo instrumento internacional en perjuicio de M</w:t>
      </w:r>
      <w:r w:rsidR="00864D3B">
        <w:rPr>
          <w:color w:val="auto"/>
          <w:lang w:val="es-ES"/>
        </w:rPr>
        <w:t>.E.F.</w:t>
      </w:r>
      <w:r w:rsidR="003C08C7" w:rsidRPr="2BF8E3BE">
        <w:rPr>
          <w:color w:val="auto"/>
          <w:lang w:val="es-ES"/>
        </w:rPr>
        <w:t xml:space="preserve"> </w:t>
      </w:r>
    </w:p>
    <w:p w14:paraId="1AB6CFD3" w14:textId="77777777" w:rsidR="006F1E6E" w:rsidRPr="001C445E" w:rsidRDefault="006F1E6E" w:rsidP="006F1E6E">
      <w:pPr>
        <w:pStyle w:val="parrafos"/>
        <w:rPr>
          <w:color w:val="auto"/>
          <w:lang w:val="es-ES"/>
        </w:rPr>
      </w:pPr>
    </w:p>
    <w:p w14:paraId="574B8564" w14:textId="77777777" w:rsidR="006F1E6E" w:rsidRPr="00034C0A" w:rsidRDefault="006F1E6E" w:rsidP="00CD2FEB">
      <w:pPr>
        <w:pStyle w:val="Heading1"/>
        <w:numPr>
          <w:ilvl w:val="0"/>
          <w:numId w:val="2"/>
        </w:numPr>
        <w:tabs>
          <w:tab w:val="clear" w:pos="1440"/>
          <w:tab w:val="num" w:pos="540"/>
        </w:tabs>
        <w:ind w:hanging="1440"/>
        <w:jc w:val="both"/>
        <w:rPr>
          <w:rFonts w:eastAsia="Cambria"/>
          <w:bCs/>
          <w:lang w:val="es-US"/>
        </w:rPr>
      </w:pPr>
      <w:bookmarkStart w:id="40" w:name="_Toc195697671"/>
      <w:bookmarkStart w:id="41" w:name="_Toc195780752"/>
      <w:bookmarkStart w:id="42" w:name="_Toc198216760"/>
      <w:bookmarkStart w:id="43" w:name="_Toc203125564"/>
      <w:r w:rsidRPr="00034C0A">
        <w:rPr>
          <w:rFonts w:eastAsia="Cambria"/>
          <w:bCs/>
          <w:spacing w:val="-4"/>
          <w:lang w:val="es-US"/>
        </w:rPr>
        <w:t>ACTUACIONES</w:t>
      </w:r>
      <w:r w:rsidRPr="00034C0A">
        <w:rPr>
          <w:rFonts w:eastAsia="Cambria"/>
          <w:bCs/>
          <w:lang w:val="es-US"/>
        </w:rPr>
        <w:t xml:space="preserve"> POSTERIORES AL INFORME 188/20 E INFORMACIÓN SOBRE CUMPLIMIENTO</w:t>
      </w:r>
      <w:bookmarkEnd w:id="40"/>
      <w:bookmarkEnd w:id="41"/>
      <w:bookmarkEnd w:id="42"/>
      <w:bookmarkEnd w:id="43"/>
    </w:p>
    <w:p w14:paraId="074936AE" w14:textId="77777777" w:rsidR="006F1E6E" w:rsidRPr="00034C0A" w:rsidRDefault="006F1E6E" w:rsidP="006F1E6E">
      <w:pPr>
        <w:widowControl w:val="0"/>
        <w:spacing w:after="0" w:line="240" w:lineRule="auto"/>
        <w:rPr>
          <w:rFonts w:eastAsia="Times New Roman"/>
          <w:sz w:val="20"/>
          <w:szCs w:val="20"/>
          <w:lang w:val="es-ES_tradnl"/>
        </w:rPr>
      </w:pPr>
    </w:p>
    <w:p w14:paraId="1EC37386" w14:textId="200D1AFD" w:rsidR="006F1E6E" w:rsidRPr="00034C0A" w:rsidRDefault="006F1E6E" w:rsidP="006F1E6E">
      <w:pPr>
        <w:pStyle w:val="parrafos"/>
        <w:numPr>
          <w:ilvl w:val="0"/>
          <w:numId w:val="3"/>
        </w:numPr>
        <w:tabs>
          <w:tab w:val="left" w:pos="360"/>
        </w:tabs>
        <w:ind w:left="0" w:firstLine="0"/>
        <w:rPr>
          <w:rFonts w:eastAsia="Times New Roman"/>
          <w:lang w:val="es-419"/>
        </w:rPr>
      </w:pPr>
      <w:r w:rsidRPr="00034C0A">
        <w:rPr>
          <w:color w:val="auto"/>
          <w:lang w:val="es-ES"/>
        </w:rPr>
        <w:t>La</w:t>
      </w:r>
      <w:r w:rsidRPr="00034C0A">
        <w:rPr>
          <w:rFonts w:eastAsia="Times New Roman"/>
          <w:lang w:val="es-419"/>
        </w:rPr>
        <w:t xml:space="preserve"> Comisión adoptó el informe de fondo No. 188/20 el 14 de julio de 2020 que comprende los párrafos 1 a 77 </w:t>
      </w:r>
      <w:r w:rsidRPr="00034C0A">
        <w:rPr>
          <w:rFonts w:eastAsia="Times New Roman"/>
          <w:i/>
          <w:iCs/>
          <w:lang w:val="es-419"/>
        </w:rPr>
        <w:t>supra</w:t>
      </w:r>
      <w:r w:rsidRPr="00034C0A">
        <w:rPr>
          <w:rFonts w:eastAsia="Times New Roman"/>
          <w:lang w:val="es-419"/>
        </w:rPr>
        <w:t xml:space="preserve"> y lo transmitió al Estado el </w:t>
      </w:r>
      <w:r w:rsidR="00705B60" w:rsidRPr="00034C0A">
        <w:rPr>
          <w:rFonts w:eastAsia="Times New Roman"/>
          <w:lang w:val="es-419"/>
        </w:rPr>
        <w:t>3</w:t>
      </w:r>
      <w:r w:rsidRPr="00034C0A">
        <w:rPr>
          <w:rFonts w:eastAsia="Times New Roman"/>
          <w:lang w:val="es-419"/>
        </w:rPr>
        <w:t xml:space="preserve"> de </w:t>
      </w:r>
      <w:r w:rsidR="00705B60" w:rsidRPr="00034C0A">
        <w:rPr>
          <w:rFonts w:eastAsia="Times New Roman"/>
          <w:lang w:val="es-419"/>
        </w:rPr>
        <w:t>noviembre</w:t>
      </w:r>
      <w:r w:rsidRPr="00034C0A">
        <w:rPr>
          <w:rFonts w:eastAsia="Times New Roman"/>
          <w:lang w:val="es-419"/>
        </w:rPr>
        <w:t xml:space="preserve"> de 20</w:t>
      </w:r>
      <w:r w:rsidR="00705B60" w:rsidRPr="00034C0A">
        <w:rPr>
          <w:rFonts w:eastAsia="Times New Roman"/>
          <w:lang w:val="es-419"/>
        </w:rPr>
        <w:t>20</w:t>
      </w:r>
      <w:r w:rsidRPr="00034C0A">
        <w:rPr>
          <w:rFonts w:eastAsia="Times New Roman"/>
          <w:lang w:val="es-419"/>
        </w:rPr>
        <w:t>. En dicho informe la Comisión recomend</w:t>
      </w:r>
      <w:r w:rsidRPr="00034C0A">
        <w:rPr>
          <w:rFonts w:eastAsia="Cambria"/>
          <w:lang w:val="es-ES_tradnl"/>
        </w:rPr>
        <w:t>ó:</w:t>
      </w:r>
    </w:p>
    <w:p w14:paraId="4B33AC01" w14:textId="77777777" w:rsidR="006F1E6E" w:rsidRPr="00034C0A" w:rsidRDefault="006F1E6E" w:rsidP="006F1E6E">
      <w:pPr>
        <w:widowControl w:val="0"/>
        <w:spacing w:before="3" w:after="0" w:line="240" w:lineRule="auto"/>
        <w:ind w:right="580"/>
        <w:rPr>
          <w:rFonts w:ascii="Cambria" w:eastAsia="Cambria" w:hAnsi="Cambria" w:cs="Cambria"/>
          <w:b/>
          <w:bCs/>
          <w:sz w:val="20"/>
          <w:szCs w:val="20"/>
          <w:lang w:val="es-US"/>
        </w:rPr>
      </w:pPr>
    </w:p>
    <w:p w14:paraId="185A716A" w14:textId="77777777" w:rsidR="006F1E6E" w:rsidRPr="00034C0A" w:rsidRDefault="006F1E6E" w:rsidP="00CD2FEB">
      <w:pPr>
        <w:widowControl w:val="0"/>
        <w:numPr>
          <w:ilvl w:val="0"/>
          <w:numId w:val="8"/>
        </w:numPr>
        <w:tabs>
          <w:tab w:val="left" w:pos="461"/>
        </w:tabs>
        <w:spacing w:after="0" w:line="238" w:lineRule="auto"/>
        <w:ind w:left="180" w:right="580" w:firstLine="0"/>
        <w:jc w:val="both"/>
        <w:rPr>
          <w:rFonts w:ascii="Cambria" w:eastAsia="Cambria" w:hAnsi="Cambria"/>
          <w:sz w:val="20"/>
          <w:szCs w:val="20"/>
          <w:lang w:val="es-US"/>
        </w:rPr>
      </w:pPr>
      <w:r w:rsidRPr="00034C0A">
        <w:rPr>
          <w:rFonts w:ascii="Cambria" w:eastAsia="Cambria" w:hAnsi="Cambria"/>
          <w:spacing w:val="-1"/>
          <w:sz w:val="20"/>
          <w:szCs w:val="20"/>
          <w:lang w:val="es-US"/>
        </w:rPr>
        <w:t>Tomar</w:t>
      </w:r>
      <w:r w:rsidRPr="00034C0A">
        <w:rPr>
          <w:rFonts w:ascii="Cambria" w:eastAsia="Cambria" w:hAnsi="Cambria"/>
          <w:sz w:val="20"/>
          <w:szCs w:val="20"/>
          <w:lang w:val="es-US"/>
        </w:rPr>
        <w:t xml:space="preserve"> las</w:t>
      </w:r>
      <w:r w:rsidRPr="00034C0A">
        <w:rPr>
          <w:rFonts w:ascii="Cambria" w:eastAsia="Cambria" w:hAnsi="Cambria"/>
          <w:spacing w:val="-3"/>
          <w:sz w:val="20"/>
          <w:szCs w:val="20"/>
          <w:lang w:val="es-US"/>
        </w:rPr>
        <w:t xml:space="preserve"> </w:t>
      </w:r>
      <w:r w:rsidRPr="00034C0A">
        <w:rPr>
          <w:rFonts w:ascii="Cambria" w:eastAsia="Cambria" w:hAnsi="Cambria"/>
          <w:spacing w:val="-1"/>
          <w:sz w:val="20"/>
          <w:szCs w:val="20"/>
          <w:lang w:val="es-US"/>
        </w:rPr>
        <w:t>medidas necesarias,</w:t>
      </w:r>
      <w:r w:rsidRPr="00034C0A">
        <w:rPr>
          <w:rFonts w:ascii="Cambria" w:eastAsia="Cambria" w:hAnsi="Cambria"/>
          <w:spacing w:val="-2"/>
          <w:sz w:val="20"/>
          <w:szCs w:val="20"/>
          <w:lang w:val="es-US"/>
        </w:rPr>
        <w:t xml:space="preserve"> </w:t>
      </w:r>
      <w:r w:rsidRPr="00034C0A">
        <w:rPr>
          <w:rFonts w:ascii="Cambria" w:eastAsia="Cambria" w:hAnsi="Cambria"/>
          <w:spacing w:val="-1"/>
          <w:sz w:val="20"/>
          <w:szCs w:val="20"/>
          <w:lang w:val="es-US"/>
        </w:rPr>
        <w:t>incluyendo</w:t>
      </w:r>
      <w:r w:rsidRPr="00034C0A">
        <w:rPr>
          <w:rFonts w:ascii="Cambria" w:eastAsia="Cambria" w:hAnsi="Cambria"/>
          <w:spacing w:val="-2"/>
          <w:sz w:val="20"/>
          <w:szCs w:val="20"/>
          <w:lang w:val="es-US"/>
        </w:rPr>
        <w:t xml:space="preserve"> </w:t>
      </w:r>
      <w:r w:rsidRPr="00034C0A">
        <w:rPr>
          <w:rFonts w:ascii="Cambria" w:eastAsia="Cambria" w:hAnsi="Cambria"/>
          <w:spacing w:val="-1"/>
          <w:sz w:val="20"/>
          <w:szCs w:val="20"/>
          <w:lang w:val="es-US"/>
        </w:rPr>
        <w:t>aquellas judiciales</w:t>
      </w:r>
      <w:r w:rsidRPr="00034C0A">
        <w:rPr>
          <w:rFonts w:ascii="Cambria" w:eastAsia="Cambria" w:hAnsi="Cambria"/>
          <w:spacing w:val="-2"/>
          <w:sz w:val="20"/>
          <w:szCs w:val="20"/>
          <w:lang w:val="es-US"/>
        </w:rPr>
        <w:t xml:space="preserve"> </w:t>
      </w:r>
      <w:r w:rsidRPr="00034C0A">
        <w:rPr>
          <w:rFonts w:ascii="Cambria" w:eastAsia="Cambria" w:hAnsi="Cambria"/>
          <w:sz w:val="20"/>
          <w:szCs w:val="20"/>
          <w:lang w:val="es-US"/>
        </w:rPr>
        <w:t>o</w:t>
      </w:r>
      <w:r w:rsidRPr="00034C0A">
        <w:rPr>
          <w:rFonts w:ascii="Cambria" w:eastAsia="Cambria" w:hAnsi="Cambria"/>
          <w:spacing w:val="-4"/>
          <w:sz w:val="20"/>
          <w:szCs w:val="20"/>
          <w:lang w:val="es-US"/>
        </w:rPr>
        <w:t xml:space="preserve"> </w:t>
      </w:r>
      <w:r w:rsidRPr="00034C0A">
        <w:rPr>
          <w:rFonts w:ascii="Cambria" w:eastAsia="Cambria" w:hAnsi="Cambria"/>
          <w:sz w:val="20"/>
          <w:szCs w:val="20"/>
          <w:lang w:val="es-US"/>
        </w:rPr>
        <w:t>diplomáticas</w:t>
      </w:r>
      <w:r w:rsidRPr="00034C0A">
        <w:rPr>
          <w:rFonts w:ascii="Cambria" w:eastAsia="Cambria" w:hAnsi="Cambria"/>
          <w:spacing w:val="-1"/>
          <w:sz w:val="20"/>
          <w:szCs w:val="20"/>
          <w:lang w:val="es-US"/>
        </w:rPr>
        <w:t xml:space="preserve"> </w:t>
      </w:r>
      <w:r w:rsidRPr="00034C0A">
        <w:rPr>
          <w:rFonts w:ascii="Cambria" w:eastAsia="Cambria" w:hAnsi="Cambria"/>
          <w:spacing w:val="1"/>
          <w:sz w:val="20"/>
          <w:szCs w:val="20"/>
          <w:lang w:val="es-US"/>
        </w:rPr>
        <w:t>al</w:t>
      </w:r>
      <w:r w:rsidRPr="00034C0A">
        <w:rPr>
          <w:rFonts w:ascii="Cambria" w:eastAsia="Cambria" w:hAnsi="Cambria"/>
          <w:spacing w:val="-2"/>
          <w:sz w:val="20"/>
          <w:szCs w:val="20"/>
          <w:lang w:val="es-US"/>
        </w:rPr>
        <w:t xml:space="preserve"> </w:t>
      </w:r>
      <w:r w:rsidRPr="00034C0A">
        <w:rPr>
          <w:rFonts w:ascii="Cambria" w:eastAsia="Cambria" w:hAnsi="Cambria"/>
          <w:sz w:val="20"/>
          <w:szCs w:val="20"/>
          <w:lang w:val="es-US"/>
        </w:rPr>
        <w:t>más</w:t>
      </w:r>
      <w:r w:rsidRPr="00034C0A">
        <w:rPr>
          <w:rFonts w:ascii="Cambria" w:eastAsia="Cambria" w:hAnsi="Cambria"/>
          <w:spacing w:val="-3"/>
          <w:sz w:val="20"/>
          <w:szCs w:val="20"/>
          <w:lang w:val="es-US"/>
        </w:rPr>
        <w:t xml:space="preserve"> </w:t>
      </w:r>
      <w:r w:rsidRPr="00034C0A">
        <w:rPr>
          <w:rFonts w:ascii="Cambria" w:eastAsia="Cambria" w:hAnsi="Cambria"/>
          <w:spacing w:val="-1"/>
          <w:sz w:val="20"/>
          <w:szCs w:val="20"/>
          <w:lang w:val="es-US"/>
        </w:rPr>
        <w:t>alto</w:t>
      </w:r>
      <w:r w:rsidRPr="00034C0A">
        <w:rPr>
          <w:rFonts w:ascii="Cambria" w:eastAsia="Cambria" w:hAnsi="Cambria"/>
          <w:spacing w:val="-2"/>
          <w:sz w:val="20"/>
          <w:szCs w:val="20"/>
          <w:lang w:val="es-US"/>
        </w:rPr>
        <w:t xml:space="preserve"> </w:t>
      </w:r>
      <w:r w:rsidRPr="00034C0A">
        <w:rPr>
          <w:rFonts w:ascii="Cambria" w:eastAsia="Cambria" w:hAnsi="Cambria"/>
          <w:spacing w:val="-1"/>
          <w:sz w:val="20"/>
          <w:szCs w:val="20"/>
          <w:lang w:val="es-US"/>
        </w:rPr>
        <w:t>nivel</w:t>
      </w:r>
      <w:r w:rsidRPr="00034C0A">
        <w:rPr>
          <w:rFonts w:ascii="Cambria" w:eastAsia="Cambria" w:hAnsi="Cambria"/>
          <w:spacing w:val="-2"/>
          <w:sz w:val="20"/>
          <w:szCs w:val="20"/>
          <w:lang w:val="es-US"/>
        </w:rPr>
        <w:t xml:space="preserve"> </w:t>
      </w:r>
      <w:r w:rsidRPr="00034C0A">
        <w:rPr>
          <w:rFonts w:ascii="Cambria" w:eastAsia="Cambria" w:hAnsi="Cambria"/>
          <w:spacing w:val="-1"/>
          <w:sz w:val="20"/>
          <w:szCs w:val="20"/>
          <w:lang w:val="es-US"/>
        </w:rPr>
        <w:t>posible,</w:t>
      </w:r>
      <w:r w:rsidRPr="00034C0A">
        <w:rPr>
          <w:rFonts w:ascii="Cambria" w:eastAsia="Cambria" w:hAnsi="Cambria"/>
          <w:spacing w:val="99"/>
          <w:sz w:val="20"/>
          <w:szCs w:val="20"/>
          <w:lang w:val="es-US"/>
        </w:rPr>
        <w:t xml:space="preserve"> </w:t>
      </w:r>
      <w:r w:rsidRPr="00034C0A">
        <w:rPr>
          <w:rFonts w:ascii="Cambria" w:eastAsia="Cambria" w:hAnsi="Cambria"/>
          <w:sz w:val="20"/>
          <w:szCs w:val="20"/>
          <w:lang w:val="es-US"/>
        </w:rPr>
        <w:t>tendientes</w:t>
      </w:r>
      <w:r w:rsidRPr="00034C0A">
        <w:rPr>
          <w:rFonts w:ascii="Cambria" w:eastAsia="Cambria" w:hAnsi="Cambria"/>
          <w:spacing w:val="32"/>
          <w:sz w:val="20"/>
          <w:szCs w:val="20"/>
          <w:lang w:val="es-US"/>
        </w:rPr>
        <w:t xml:space="preserve"> </w:t>
      </w:r>
      <w:r w:rsidRPr="00034C0A">
        <w:rPr>
          <w:rFonts w:ascii="Cambria" w:eastAsia="Cambria" w:hAnsi="Cambria"/>
          <w:sz w:val="20"/>
          <w:szCs w:val="20"/>
          <w:lang w:val="es-US"/>
        </w:rPr>
        <w:t>a</w:t>
      </w:r>
      <w:r w:rsidRPr="00034C0A">
        <w:rPr>
          <w:rFonts w:ascii="Cambria" w:eastAsia="Cambria" w:hAnsi="Cambria"/>
          <w:spacing w:val="36"/>
          <w:sz w:val="20"/>
          <w:szCs w:val="20"/>
          <w:lang w:val="es-US"/>
        </w:rPr>
        <w:t xml:space="preserve"> </w:t>
      </w:r>
      <w:r w:rsidRPr="00034C0A">
        <w:rPr>
          <w:rFonts w:ascii="Cambria" w:eastAsia="Cambria" w:hAnsi="Cambria"/>
          <w:spacing w:val="-1"/>
          <w:sz w:val="20"/>
          <w:szCs w:val="20"/>
          <w:lang w:val="es-US"/>
        </w:rPr>
        <w:t>lograr</w:t>
      </w:r>
      <w:r w:rsidRPr="00034C0A">
        <w:rPr>
          <w:rFonts w:ascii="Cambria" w:eastAsia="Cambria" w:hAnsi="Cambria"/>
          <w:spacing w:val="36"/>
          <w:sz w:val="20"/>
          <w:szCs w:val="20"/>
          <w:lang w:val="es-US"/>
        </w:rPr>
        <w:t xml:space="preserve"> </w:t>
      </w:r>
      <w:r w:rsidRPr="00034C0A">
        <w:rPr>
          <w:rFonts w:ascii="Cambria" w:eastAsia="Cambria" w:hAnsi="Cambria"/>
          <w:spacing w:val="1"/>
          <w:sz w:val="20"/>
          <w:szCs w:val="20"/>
          <w:lang w:val="es-US"/>
        </w:rPr>
        <w:t>el</w:t>
      </w:r>
      <w:r w:rsidRPr="00034C0A">
        <w:rPr>
          <w:rFonts w:ascii="Cambria" w:eastAsia="Cambria" w:hAnsi="Cambria"/>
          <w:spacing w:val="34"/>
          <w:sz w:val="20"/>
          <w:szCs w:val="20"/>
          <w:lang w:val="es-US"/>
        </w:rPr>
        <w:t xml:space="preserve"> </w:t>
      </w:r>
      <w:r w:rsidRPr="00034C0A">
        <w:rPr>
          <w:rFonts w:ascii="Cambria" w:eastAsia="Cambria" w:hAnsi="Cambria"/>
          <w:spacing w:val="-1"/>
          <w:sz w:val="20"/>
          <w:szCs w:val="20"/>
          <w:lang w:val="es-US"/>
        </w:rPr>
        <w:t>cumplimiento</w:t>
      </w:r>
      <w:r w:rsidRPr="00034C0A">
        <w:rPr>
          <w:rFonts w:ascii="Cambria" w:eastAsia="Cambria" w:hAnsi="Cambria"/>
          <w:spacing w:val="38"/>
          <w:sz w:val="20"/>
          <w:szCs w:val="20"/>
          <w:lang w:val="es-US"/>
        </w:rPr>
        <w:t xml:space="preserve"> </w:t>
      </w:r>
      <w:r w:rsidRPr="00034C0A">
        <w:rPr>
          <w:rFonts w:ascii="Cambria" w:eastAsia="Cambria" w:hAnsi="Cambria"/>
          <w:spacing w:val="-1"/>
          <w:sz w:val="20"/>
          <w:szCs w:val="20"/>
          <w:lang w:val="es-US"/>
        </w:rPr>
        <w:t>de</w:t>
      </w:r>
      <w:r w:rsidRPr="00034C0A">
        <w:rPr>
          <w:rFonts w:ascii="Cambria" w:eastAsia="Cambria" w:hAnsi="Cambria"/>
          <w:spacing w:val="40"/>
          <w:sz w:val="20"/>
          <w:szCs w:val="20"/>
          <w:lang w:val="es-US"/>
        </w:rPr>
        <w:t xml:space="preserve"> </w:t>
      </w:r>
      <w:r w:rsidRPr="00034C0A">
        <w:rPr>
          <w:rFonts w:ascii="Cambria" w:eastAsia="Cambria" w:hAnsi="Cambria"/>
          <w:spacing w:val="-3"/>
          <w:sz w:val="20"/>
          <w:szCs w:val="20"/>
          <w:lang w:val="es-US"/>
        </w:rPr>
        <w:t>la</w:t>
      </w:r>
      <w:r w:rsidRPr="00034C0A">
        <w:rPr>
          <w:rFonts w:ascii="Cambria" w:eastAsia="Cambria" w:hAnsi="Cambria"/>
          <w:spacing w:val="41"/>
          <w:sz w:val="20"/>
          <w:szCs w:val="20"/>
          <w:lang w:val="es-US"/>
        </w:rPr>
        <w:t xml:space="preserve"> </w:t>
      </w:r>
      <w:r w:rsidRPr="00034C0A">
        <w:rPr>
          <w:rFonts w:ascii="Cambria" w:eastAsia="Cambria" w:hAnsi="Cambria"/>
          <w:spacing w:val="-1"/>
          <w:sz w:val="20"/>
          <w:szCs w:val="20"/>
          <w:lang w:val="es-US"/>
        </w:rPr>
        <w:t>decisión</w:t>
      </w:r>
      <w:r w:rsidRPr="00034C0A">
        <w:rPr>
          <w:rFonts w:ascii="Cambria" w:eastAsia="Cambria" w:hAnsi="Cambria"/>
          <w:spacing w:val="36"/>
          <w:sz w:val="20"/>
          <w:szCs w:val="20"/>
          <w:lang w:val="es-US"/>
        </w:rPr>
        <w:t xml:space="preserve"> </w:t>
      </w:r>
      <w:r w:rsidRPr="00034C0A">
        <w:rPr>
          <w:rFonts w:ascii="Cambria" w:eastAsia="Cambria" w:hAnsi="Cambria"/>
          <w:spacing w:val="-1"/>
          <w:sz w:val="20"/>
          <w:szCs w:val="20"/>
          <w:lang w:val="es-US"/>
        </w:rPr>
        <w:t>emitida</w:t>
      </w:r>
      <w:r w:rsidRPr="00034C0A">
        <w:rPr>
          <w:rFonts w:ascii="Cambria" w:eastAsia="Cambria" w:hAnsi="Cambria"/>
          <w:spacing w:val="42"/>
          <w:sz w:val="20"/>
          <w:szCs w:val="20"/>
          <w:lang w:val="es-US"/>
        </w:rPr>
        <w:t xml:space="preserve"> </w:t>
      </w:r>
      <w:r w:rsidRPr="00034C0A">
        <w:rPr>
          <w:rFonts w:ascii="Cambria" w:eastAsia="Cambria" w:hAnsi="Cambria"/>
          <w:spacing w:val="1"/>
          <w:sz w:val="20"/>
          <w:szCs w:val="20"/>
          <w:lang w:val="es-US"/>
        </w:rPr>
        <w:t>el</w:t>
      </w:r>
      <w:r w:rsidRPr="00034C0A">
        <w:rPr>
          <w:rFonts w:ascii="Cambria" w:eastAsia="Cambria" w:hAnsi="Cambria"/>
          <w:spacing w:val="33"/>
          <w:sz w:val="20"/>
          <w:szCs w:val="20"/>
          <w:lang w:val="es-US"/>
        </w:rPr>
        <w:t xml:space="preserve"> </w:t>
      </w:r>
      <w:r w:rsidRPr="00034C0A">
        <w:rPr>
          <w:rFonts w:ascii="Cambria" w:eastAsia="Cambria" w:hAnsi="Cambria"/>
          <w:spacing w:val="-1"/>
          <w:sz w:val="20"/>
          <w:szCs w:val="20"/>
          <w:lang w:val="es-US"/>
        </w:rPr>
        <w:t>18</w:t>
      </w:r>
      <w:r w:rsidRPr="00034C0A">
        <w:rPr>
          <w:rFonts w:ascii="Cambria" w:eastAsia="Cambria" w:hAnsi="Cambria"/>
          <w:spacing w:val="38"/>
          <w:sz w:val="20"/>
          <w:szCs w:val="20"/>
          <w:lang w:val="es-US"/>
        </w:rPr>
        <w:t xml:space="preserve"> </w:t>
      </w:r>
      <w:r w:rsidRPr="00034C0A">
        <w:rPr>
          <w:rFonts w:ascii="Cambria" w:eastAsia="Cambria" w:hAnsi="Cambria"/>
          <w:spacing w:val="-1"/>
          <w:sz w:val="20"/>
          <w:szCs w:val="20"/>
          <w:lang w:val="es-US"/>
        </w:rPr>
        <w:t>de</w:t>
      </w:r>
      <w:r w:rsidRPr="00034C0A">
        <w:rPr>
          <w:rFonts w:ascii="Cambria" w:eastAsia="Cambria" w:hAnsi="Cambria"/>
          <w:spacing w:val="40"/>
          <w:sz w:val="20"/>
          <w:szCs w:val="20"/>
          <w:lang w:val="es-US"/>
        </w:rPr>
        <w:t xml:space="preserve"> </w:t>
      </w:r>
      <w:r w:rsidRPr="00034C0A">
        <w:rPr>
          <w:rFonts w:ascii="Cambria" w:eastAsia="Cambria" w:hAnsi="Cambria"/>
          <w:spacing w:val="-2"/>
          <w:sz w:val="20"/>
          <w:szCs w:val="20"/>
          <w:lang w:val="es-US"/>
        </w:rPr>
        <w:t>octubre</w:t>
      </w:r>
      <w:r w:rsidRPr="00034C0A">
        <w:rPr>
          <w:rFonts w:ascii="Cambria" w:eastAsia="Cambria" w:hAnsi="Cambria"/>
          <w:spacing w:val="41"/>
          <w:sz w:val="20"/>
          <w:szCs w:val="20"/>
          <w:lang w:val="es-US"/>
        </w:rPr>
        <w:t xml:space="preserve"> </w:t>
      </w:r>
      <w:r w:rsidRPr="00034C0A">
        <w:rPr>
          <w:rFonts w:ascii="Cambria" w:eastAsia="Cambria" w:hAnsi="Cambria"/>
          <w:spacing w:val="-1"/>
          <w:sz w:val="20"/>
          <w:szCs w:val="20"/>
          <w:lang w:val="es-US"/>
        </w:rPr>
        <w:t>de</w:t>
      </w:r>
      <w:r w:rsidRPr="00034C0A">
        <w:rPr>
          <w:rFonts w:ascii="Cambria" w:eastAsia="Cambria" w:hAnsi="Cambria"/>
          <w:spacing w:val="36"/>
          <w:sz w:val="20"/>
          <w:szCs w:val="20"/>
          <w:lang w:val="es-US"/>
        </w:rPr>
        <w:t xml:space="preserve"> </w:t>
      </w:r>
      <w:r w:rsidRPr="00034C0A">
        <w:rPr>
          <w:rFonts w:ascii="Cambria" w:eastAsia="Cambria" w:hAnsi="Cambria"/>
          <w:spacing w:val="-1"/>
          <w:sz w:val="20"/>
          <w:szCs w:val="20"/>
          <w:lang w:val="es-US"/>
        </w:rPr>
        <w:t>2001</w:t>
      </w:r>
      <w:r w:rsidRPr="00034C0A">
        <w:rPr>
          <w:rFonts w:ascii="Cambria" w:eastAsia="Cambria" w:hAnsi="Cambria"/>
          <w:spacing w:val="37"/>
          <w:sz w:val="20"/>
          <w:szCs w:val="20"/>
          <w:lang w:val="es-US"/>
        </w:rPr>
        <w:t xml:space="preserve"> </w:t>
      </w:r>
      <w:r w:rsidRPr="00034C0A">
        <w:rPr>
          <w:rFonts w:ascii="Cambria" w:eastAsia="Cambria" w:hAnsi="Cambria"/>
          <w:sz w:val="20"/>
          <w:szCs w:val="20"/>
          <w:lang w:val="es-US"/>
        </w:rPr>
        <w:t>respecto</w:t>
      </w:r>
      <w:r w:rsidRPr="00034C0A">
        <w:rPr>
          <w:rFonts w:ascii="Cambria" w:eastAsia="Cambria" w:hAnsi="Cambria"/>
          <w:spacing w:val="38"/>
          <w:sz w:val="20"/>
          <w:szCs w:val="20"/>
          <w:lang w:val="es-US"/>
        </w:rPr>
        <w:t xml:space="preserve"> </w:t>
      </w:r>
      <w:r w:rsidRPr="00034C0A">
        <w:rPr>
          <w:rFonts w:ascii="Cambria" w:eastAsia="Cambria" w:hAnsi="Cambria"/>
          <w:spacing w:val="-3"/>
          <w:sz w:val="20"/>
          <w:szCs w:val="20"/>
          <w:lang w:val="es-US"/>
        </w:rPr>
        <w:t>de</w:t>
      </w:r>
      <w:r w:rsidRPr="00034C0A">
        <w:rPr>
          <w:rFonts w:ascii="Cambria" w:eastAsia="Cambria" w:hAnsi="Cambria"/>
          <w:spacing w:val="40"/>
          <w:sz w:val="20"/>
          <w:szCs w:val="20"/>
          <w:lang w:val="es-US"/>
        </w:rPr>
        <w:t xml:space="preserve"> </w:t>
      </w:r>
      <w:r w:rsidRPr="00034C0A">
        <w:rPr>
          <w:rFonts w:ascii="Cambria" w:eastAsia="Cambria" w:hAnsi="Cambria"/>
          <w:spacing w:val="-5"/>
          <w:sz w:val="20"/>
          <w:szCs w:val="20"/>
          <w:lang w:val="es-US"/>
        </w:rPr>
        <w:t>la</w:t>
      </w:r>
      <w:r w:rsidRPr="00034C0A">
        <w:rPr>
          <w:rFonts w:ascii="Cambria" w:eastAsia="Cambria" w:hAnsi="Cambria"/>
          <w:spacing w:val="64"/>
          <w:sz w:val="20"/>
          <w:szCs w:val="20"/>
          <w:lang w:val="es-US"/>
        </w:rPr>
        <w:t xml:space="preserve"> </w:t>
      </w:r>
      <w:r w:rsidRPr="00034C0A">
        <w:rPr>
          <w:rFonts w:ascii="Cambria" w:eastAsia="Cambria" w:hAnsi="Cambria"/>
          <w:sz w:val="20"/>
          <w:szCs w:val="20"/>
          <w:lang w:val="es-US"/>
        </w:rPr>
        <w:t>Embajada</w:t>
      </w:r>
      <w:r w:rsidRPr="00034C0A">
        <w:rPr>
          <w:rFonts w:ascii="Cambria" w:eastAsia="Cambria" w:hAnsi="Cambria"/>
          <w:spacing w:val="-5"/>
          <w:sz w:val="20"/>
          <w:szCs w:val="20"/>
          <w:lang w:val="es-US"/>
        </w:rPr>
        <w:t xml:space="preserve"> </w:t>
      </w:r>
      <w:r w:rsidRPr="00034C0A">
        <w:rPr>
          <w:rFonts w:ascii="Cambria" w:eastAsia="Cambria" w:hAnsi="Cambria"/>
          <w:spacing w:val="-1"/>
          <w:sz w:val="20"/>
          <w:szCs w:val="20"/>
          <w:lang w:val="es-US"/>
        </w:rPr>
        <w:t>de Australia.</w:t>
      </w:r>
    </w:p>
    <w:p w14:paraId="60BDBB2F" w14:textId="77777777" w:rsidR="006F1E6E" w:rsidRPr="00034C0A" w:rsidRDefault="006F1E6E" w:rsidP="006F1E6E">
      <w:pPr>
        <w:widowControl w:val="0"/>
        <w:spacing w:before="1" w:after="0" w:line="240" w:lineRule="auto"/>
        <w:ind w:right="580"/>
        <w:rPr>
          <w:rFonts w:ascii="Cambria" w:eastAsia="Cambria" w:hAnsi="Cambria" w:cs="Cambria"/>
          <w:sz w:val="20"/>
          <w:szCs w:val="20"/>
          <w:lang w:val="es-US"/>
        </w:rPr>
      </w:pPr>
    </w:p>
    <w:p w14:paraId="69C2E572" w14:textId="77777777" w:rsidR="006F1E6E" w:rsidRPr="00034C0A" w:rsidRDefault="006F1E6E" w:rsidP="00CD2FEB">
      <w:pPr>
        <w:widowControl w:val="0"/>
        <w:numPr>
          <w:ilvl w:val="0"/>
          <w:numId w:val="8"/>
        </w:numPr>
        <w:tabs>
          <w:tab w:val="left" w:pos="461"/>
        </w:tabs>
        <w:spacing w:after="0" w:line="238" w:lineRule="auto"/>
        <w:ind w:left="180" w:right="580" w:firstLine="0"/>
        <w:jc w:val="both"/>
        <w:rPr>
          <w:rFonts w:ascii="Cambria" w:eastAsia="Cambria" w:hAnsi="Cambria"/>
          <w:sz w:val="20"/>
          <w:szCs w:val="20"/>
          <w:lang w:val="es-US"/>
        </w:rPr>
      </w:pPr>
      <w:r w:rsidRPr="00034C0A">
        <w:rPr>
          <w:rFonts w:ascii="Cambria" w:eastAsia="Cambria" w:hAnsi="Cambria"/>
          <w:spacing w:val="-1"/>
          <w:sz w:val="20"/>
          <w:szCs w:val="20"/>
          <w:lang w:val="es-US"/>
        </w:rPr>
        <w:t>Adoptar</w:t>
      </w:r>
      <w:r w:rsidRPr="00034C0A">
        <w:rPr>
          <w:rFonts w:ascii="Cambria" w:eastAsia="Cambria" w:hAnsi="Cambria"/>
          <w:spacing w:val="5"/>
          <w:sz w:val="20"/>
          <w:szCs w:val="20"/>
          <w:lang w:val="es-US"/>
        </w:rPr>
        <w:t xml:space="preserve"> </w:t>
      </w:r>
      <w:r w:rsidRPr="00034C0A">
        <w:rPr>
          <w:rFonts w:ascii="Cambria" w:eastAsia="Cambria" w:hAnsi="Cambria"/>
          <w:spacing w:val="1"/>
          <w:sz w:val="20"/>
          <w:szCs w:val="20"/>
          <w:lang w:val="es-US"/>
        </w:rPr>
        <w:t>el</w:t>
      </w:r>
      <w:r w:rsidRPr="00034C0A">
        <w:rPr>
          <w:rFonts w:ascii="Cambria" w:eastAsia="Cambria" w:hAnsi="Cambria"/>
          <w:spacing w:val="3"/>
          <w:sz w:val="20"/>
          <w:szCs w:val="20"/>
          <w:lang w:val="es-US"/>
        </w:rPr>
        <w:t xml:space="preserve"> </w:t>
      </w:r>
      <w:r w:rsidRPr="00034C0A">
        <w:rPr>
          <w:rFonts w:ascii="Cambria" w:eastAsia="Cambria" w:hAnsi="Cambria"/>
          <w:spacing w:val="-2"/>
          <w:sz w:val="20"/>
          <w:szCs w:val="20"/>
          <w:lang w:val="es-US"/>
        </w:rPr>
        <w:t>pago</w:t>
      </w:r>
      <w:r w:rsidRPr="00034C0A">
        <w:rPr>
          <w:rFonts w:ascii="Cambria" w:eastAsia="Cambria" w:hAnsi="Cambria"/>
          <w:spacing w:val="2"/>
          <w:sz w:val="20"/>
          <w:szCs w:val="20"/>
          <w:lang w:val="es-US"/>
        </w:rPr>
        <w:t xml:space="preserve"> </w:t>
      </w:r>
      <w:r w:rsidRPr="00034C0A">
        <w:rPr>
          <w:rFonts w:ascii="Cambria" w:eastAsia="Cambria" w:hAnsi="Cambria"/>
          <w:spacing w:val="-1"/>
          <w:sz w:val="20"/>
          <w:szCs w:val="20"/>
          <w:lang w:val="es-US"/>
        </w:rPr>
        <w:t>de</w:t>
      </w:r>
      <w:r w:rsidRPr="00034C0A">
        <w:rPr>
          <w:rFonts w:ascii="Cambria" w:eastAsia="Cambria" w:hAnsi="Cambria"/>
          <w:spacing w:val="5"/>
          <w:sz w:val="20"/>
          <w:szCs w:val="20"/>
          <w:lang w:val="es-US"/>
        </w:rPr>
        <w:t xml:space="preserve"> </w:t>
      </w:r>
      <w:r w:rsidRPr="00034C0A">
        <w:rPr>
          <w:rFonts w:ascii="Cambria" w:eastAsia="Cambria" w:hAnsi="Cambria"/>
          <w:spacing w:val="-2"/>
          <w:sz w:val="20"/>
          <w:szCs w:val="20"/>
          <w:lang w:val="es-US"/>
        </w:rPr>
        <w:t>una</w:t>
      </w:r>
      <w:r w:rsidRPr="00034C0A">
        <w:rPr>
          <w:rFonts w:ascii="Cambria" w:eastAsia="Cambria" w:hAnsi="Cambria"/>
          <w:spacing w:val="6"/>
          <w:sz w:val="20"/>
          <w:szCs w:val="20"/>
          <w:lang w:val="es-US"/>
        </w:rPr>
        <w:t xml:space="preserve"> </w:t>
      </w:r>
      <w:r w:rsidRPr="00034C0A">
        <w:rPr>
          <w:rFonts w:ascii="Cambria" w:eastAsia="Cambria" w:hAnsi="Cambria"/>
          <w:spacing w:val="-1"/>
          <w:sz w:val="20"/>
          <w:szCs w:val="20"/>
          <w:lang w:val="es-US"/>
        </w:rPr>
        <w:t>indemnización</w:t>
      </w:r>
      <w:r w:rsidRPr="00034C0A">
        <w:rPr>
          <w:rFonts w:ascii="Cambria" w:eastAsia="Cambria" w:hAnsi="Cambria"/>
          <w:spacing w:val="2"/>
          <w:sz w:val="20"/>
          <w:szCs w:val="20"/>
          <w:lang w:val="es-US"/>
        </w:rPr>
        <w:t xml:space="preserve"> </w:t>
      </w:r>
      <w:r w:rsidRPr="00034C0A">
        <w:rPr>
          <w:rFonts w:ascii="Cambria" w:eastAsia="Cambria" w:hAnsi="Cambria"/>
          <w:sz w:val="20"/>
          <w:szCs w:val="20"/>
          <w:lang w:val="es-US"/>
        </w:rPr>
        <w:t>a</w:t>
      </w:r>
      <w:r w:rsidRPr="00034C0A">
        <w:rPr>
          <w:rFonts w:ascii="Cambria" w:eastAsia="Cambria" w:hAnsi="Cambria"/>
          <w:spacing w:val="5"/>
          <w:sz w:val="20"/>
          <w:szCs w:val="20"/>
          <w:lang w:val="es-US"/>
        </w:rPr>
        <w:t xml:space="preserve"> </w:t>
      </w:r>
      <w:r w:rsidRPr="00034C0A">
        <w:rPr>
          <w:rFonts w:ascii="Cambria" w:eastAsia="Cambria" w:hAnsi="Cambria"/>
          <w:sz w:val="20"/>
          <w:szCs w:val="20"/>
          <w:lang w:val="es-US"/>
        </w:rPr>
        <w:t>la</w:t>
      </w:r>
      <w:r w:rsidRPr="00034C0A">
        <w:rPr>
          <w:rFonts w:ascii="Cambria" w:eastAsia="Cambria" w:hAnsi="Cambria"/>
          <w:spacing w:val="5"/>
          <w:sz w:val="20"/>
          <w:szCs w:val="20"/>
          <w:lang w:val="es-US"/>
        </w:rPr>
        <w:t xml:space="preserve"> </w:t>
      </w:r>
      <w:r w:rsidRPr="00034C0A">
        <w:rPr>
          <w:rFonts w:ascii="Cambria" w:eastAsia="Cambria" w:hAnsi="Cambria"/>
          <w:sz w:val="20"/>
          <w:szCs w:val="20"/>
          <w:lang w:val="es-US"/>
        </w:rPr>
        <w:t>víctima</w:t>
      </w:r>
      <w:r w:rsidRPr="00034C0A">
        <w:rPr>
          <w:rFonts w:ascii="Cambria" w:eastAsia="Cambria" w:hAnsi="Cambria"/>
          <w:spacing w:val="5"/>
          <w:sz w:val="20"/>
          <w:szCs w:val="20"/>
          <w:lang w:val="es-US"/>
        </w:rPr>
        <w:t xml:space="preserve"> </w:t>
      </w:r>
      <w:r w:rsidRPr="00034C0A">
        <w:rPr>
          <w:rFonts w:ascii="Cambria" w:eastAsia="Cambria" w:hAnsi="Cambria"/>
          <w:spacing w:val="-2"/>
          <w:sz w:val="20"/>
          <w:szCs w:val="20"/>
          <w:lang w:val="es-US"/>
        </w:rPr>
        <w:t>por</w:t>
      </w:r>
      <w:r w:rsidRPr="00034C0A">
        <w:rPr>
          <w:rFonts w:ascii="Cambria" w:eastAsia="Cambria" w:hAnsi="Cambria"/>
          <w:spacing w:val="5"/>
          <w:sz w:val="20"/>
          <w:szCs w:val="20"/>
          <w:lang w:val="es-US"/>
        </w:rPr>
        <w:t xml:space="preserve"> </w:t>
      </w:r>
      <w:r w:rsidRPr="00034C0A">
        <w:rPr>
          <w:rFonts w:ascii="Cambria" w:eastAsia="Cambria" w:hAnsi="Cambria"/>
          <w:spacing w:val="-3"/>
          <w:sz w:val="20"/>
          <w:szCs w:val="20"/>
          <w:lang w:val="es-US"/>
        </w:rPr>
        <w:t>la</w:t>
      </w:r>
      <w:r w:rsidRPr="00034C0A">
        <w:rPr>
          <w:rFonts w:ascii="Cambria" w:eastAsia="Cambria" w:hAnsi="Cambria"/>
          <w:spacing w:val="6"/>
          <w:sz w:val="20"/>
          <w:szCs w:val="20"/>
          <w:lang w:val="es-US"/>
        </w:rPr>
        <w:t xml:space="preserve"> </w:t>
      </w:r>
      <w:r w:rsidRPr="00034C0A">
        <w:rPr>
          <w:rFonts w:ascii="Cambria" w:eastAsia="Cambria" w:hAnsi="Cambria"/>
          <w:spacing w:val="-1"/>
          <w:sz w:val="20"/>
          <w:szCs w:val="20"/>
          <w:lang w:val="es-US"/>
        </w:rPr>
        <w:t>violación</w:t>
      </w:r>
      <w:r w:rsidRPr="00034C0A">
        <w:rPr>
          <w:rFonts w:ascii="Cambria" w:eastAsia="Cambria" w:hAnsi="Cambria"/>
          <w:spacing w:val="1"/>
          <w:sz w:val="20"/>
          <w:szCs w:val="20"/>
          <w:lang w:val="es-US"/>
        </w:rPr>
        <w:t xml:space="preserve"> </w:t>
      </w:r>
      <w:r w:rsidRPr="00034C0A">
        <w:rPr>
          <w:rFonts w:ascii="Cambria" w:eastAsia="Cambria" w:hAnsi="Cambria"/>
          <w:spacing w:val="-1"/>
          <w:sz w:val="20"/>
          <w:szCs w:val="20"/>
          <w:lang w:val="es-US"/>
        </w:rPr>
        <w:t>declarada</w:t>
      </w:r>
      <w:r w:rsidRPr="00034C0A">
        <w:rPr>
          <w:rFonts w:ascii="Cambria" w:eastAsia="Cambria" w:hAnsi="Cambria"/>
          <w:spacing w:val="6"/>
          <w:sz w:val="20"/>
          <w:szCs w:val="20"/>
          <w:lang w:val="es-US"/>
        </w:rPr>
        <w:t xml:space="preserve"> </w:t>
      </w:r>
      <w:r w:rsidRPr="00034C0A">
        <w:rPr>
          <w:rFonts w:ascii="Cambria" w:eastAsia="Cambria" w:hAnsi="Cambria"/>
          <w:spacing w:val="1"/>
          <w:sz w:val="20"/>
          <w:szCs w:val="20"/>
          <w:lang w:val="es-US"/>
        </w:rPr>
        <w:t>en el</w:t>
      </w:r>
      <w:r w:rsidRPr="00034C0A">
        <w:rPr>
          <w:rFonts w:ascii="Cambria" w:eastAsia="Cambria" w:hAnsi="Cambria"/>
          <w:spacing w:val="4"/>
          <w:sz w:val="20"/>
          <w:szCs w:val="20"/>
          <w:lang w:val="es-US"/>
        </w:rPr>
        <w:t xml:space="preserve"> </w:t>
      </w:r>
      <w:r w:rsidRPr="00034C0A">
        <w:rPr>
          <w:rFonts w:ascii="Cambria" w:eastAsia="Cambria" w:hAnsi="Cambria"/>
          <w:spacing w:val="-1"/>
          <w:sz w:val="20"/>
          <w:szCs w:val="20"/>
          <w:lang w:val="es-US"/>
        </w:rPr>
        <w:t>presente</w:t>
      </w:r>
      <w:r w:rsidRPr="00034C0A">
        <w:rPr>
          <w:rFonts w:ascii="Cambria" w:eastAsia="Cambria" w:hAnsi="Cambria"/>
          <w:spacing w:val="6"/>
          <w:sz w:val="20"/>
          <w:szCs w:val="20"/>
          <w:lang w:val="es-US"/>
        </w:rPr>
        <w:t xml:space="preserve"> </w:t>
      </w:r>
      <w:r w:rsidRPr="00034C0A">
        <w:rPr>
          <w:rFonts w:ascii="Cambria" w:eastAsia="Cambria" w:hAnsi="Cambria"/>
          <w:spacing w:val="-1"/>
          <w:sz w:val="20"/>
          <w:szCs w:val="20"/>
          <w:lang w:val="es-US"/>
        </w:rPr>
        <w:t>informe,</w:t>
      </w:r>
      <w:r w:rsidRPr="00034C0A">
        <w:rPr>
          <w:rFonts w:ascii="Cambria" w:eastAsia="Cambria" w:hAnsi="Cambria"/>
          <w:spacing w:val="69"/>
          <w:sz w:val="20"/>
          <w:szCs w:val="20"/>
          <w:lang w:val="es-US"/>
        </w:rPr>
        <w:t xml:space="preserve"> </w:t>
      </w:r>
      <w:r w:rsidRPr="00034C0A">
        <w:rPr>
          <w:rFonts w:ascii="Cambria" w:eastAsia="Cambria" w:hAnsi="Cambria"/>
          <w:sz w:val="20"/>
          <w:szCs w:val="20"/>
          <w:lang w:val="es-US"/>
        </w:rPr>
        <w:t>específicamente,</w:t>
      </w:r>
      <w:r w:rsidRPr="00034C0A">
        <w:rPr>
          <w:rFonts w:ascii="Cambria" w:eastAsia="Cambria" w:hAnsi="Cambria"/>
          <w:spacing w:val="-11"/>
          <w:sz w:val="20"/>
          <w:szCs w:val="20"/>
          <w:lang w:val="es-US"/>
        </w:rPr>
        <w:t xml:space="preserve"> </w:t>
      </w:r>
      <w:r w:rsidRPr="00034C0A">
        <w:rPr>
          <w:rFonts w:ascii="Cambria" w:eastAsia="Cambria" w:hAnsi="Cambria"/>
          <w:sz w:val="20"/>
          <w:szCs w:val="20"/>
          <w:lang w:val="es-US"/>
        </w:rPr>
        <w:t>la</w:t>
      </w:r>
      <w:r w:rsidRPr="00034C0A">
        <w:rPr>
          <w:rFonts w:ascii="Cambria" w:eastAsia="Cambria" w:hAnsi="Cambria"/>
          <w:spacing w:val="-6"/>
          <w:sz w:val="20"/>
          <w:szCs w:val="20"/>
          <w:lang w:val="es-US"/>
        </w:rPr>
        <w:t xml:space="preserve"> </w:t>
      </w:r>
      <w:r w:rsidRPr="00034C0A">
        <w:rPr>
          <w:rFonts w:ascii="Cambria" w:eastAsia="Cambria" w:hAnsi="Cambria"/>
          <w:spacing w:val="-2"/>
          <w:sz w:val="20"/>
          <w:szCs w:val="20"/>
          <w:lang w:val="es-US"/>
        </w:rPr>
        <w:t>omisión</w:t>
      </w:r>
      <w:r w:rsidRPr="00034C0A">
        <w:rPr>
          <w:rFonts w:ascii="Cambria" w:eastAsia="Cambria" w:hAnsi="Cambria"/>
          <w:spacing w:val="-9"/>
          <w:sz w:val="20"/>
          <w:szCs w:val="20"/>
          <w:lang w:val="es-US"/>
        </w:rPr>
        <w:t xml:space="preserve"> </w:t>
      </w:r>
      <w:r w:rsidRPr="00034C0A">
        <w:rPr>
          <w:rFonts w:ascii="Cambria" w:eastAsia="Cambria" w:hAnsi="Cambria"/>
          <w:spacing w:val="-1"/>
          <w:sz w:val="20"/>
          <w:szCs w:val="20"/>
          <w:lang w:val="es-US"/>
        </w:rPr>
        <w:t>de</w:t>
      </w:r>
      <w:r w:rsidRPr="00034C0A">
        <w:rPr>
          <w:rFonts w:ascii="Cambria" w:eastAsia="Cambria" w:hAnsi="Cambria"/>
          <w:spacing w:val="-5"/>
          <w:sz w:val="20"/>
          <w:szCs w:val="20"/>
          <w:lang w:val="es-US"/>
        </w:rPr>
        <w:t xml:space="preserve"> </w:t>
      </w:r>
      <w:r w:rsidRPr="00034C0A">
        <w:rPr>
          <w:rFonts w:ascii="Cambria" w:eastAsia="Cambria" w:hAnsi="Cambria"/>
          <w:spacing w:val="-1"/>
          <w:sz w:val="20"/>
          <w:szCs w:val="20"/>
          <w:lang w:val="es-US"/>
        </w:rPr>
        <w:t>adoptar</w:t>
      </w:r>
      <w:r w:rsidRPr="00034C0A">
        <w:rPr>
          <w:rFonts w:ascii="Cambria" w:eastAsia="Cambria" w:hAnsi="Cambria"/>
          <w:spacing w:val="-9"/>
          <w:sz w:val="20"/>
          <w:szCs w:val="20"/>
          <w:lang w:val="es-US"/>
        </w:rPr>
        <w:t xml:space="preserve"> </w:t>
      </w:r>
      <w:r w:rsidRPr="00034C0A">
        <w:rPr>
          <w:rFonts w:ascii="Cambria" w:eastAsia="Cambria" w:hAnsi="Cambria"/>
          <w:spacing w:val="-1"/>
          <w:sz w:val="20"/>
          <w:szCs w:val="20"/>
          <w:lang w:val="es-US"/>
        </w:rPr>
        <w:t>medidas</w:t>
      </w:r>
      <w:r w:rsidRPr="00034C0A">
        <w:rPr>
          <w:rFonts w:ascii="Cambria" w:eastAsia="Cambria" w:hAnsi="Cambria"/>
          <w:spacing w:val="-7"/>
          <w:sz w:val="20"/>
          <w:szCs w:val="20"/>
          <w:lang w:val="es-US"/>
        </w:rPr>
        <w:t xml:space="preserve"> </w:t>
      </w:r>
      <w:r w:rsidRPr="00034C0A">
        <w:rPr>
          <w:rFonts w:ascii="Cambria" w:eastAsia="Cambria" w:hAnsi="Cambria"/>
          <w:spacing w:val="-1"/>
          <w:sz w:val="20"/>
          <w:szCs w:val="20"/>
          <w:lang w:val="es-US"/>
        </w:rPr>
        <w:t>adecuadas</w:t>
      </w:r>
      <w:r w:rsidRPr="00034C0A">
        <w:rPr>
          <w:rFonts w:ascii="Cambria" w:eastAsia="Cambria" w:hAnsi="Cambria"/>
          <w:spacing w:val="-12"/>
          <w:sz w:val="20"/>
          <w:szCs w:val="20"/>
          <w:lang w:val="es-US"/>
        </w:rPr>
        <w:t xml:space="preserve"> </w:t>
      </w:r>
      <w:r w:rsidRPr="00034C0A">
        <w:rPr>
          <w:rFonts w:ascii="Cambria" w:eastAsia="Cambria" w:hAnsi="Cambria"/>
          <w:sz w:val="20"/>
          <w:szCs w:val="20"/>
          <w:lang w:val="es-US"/>
        </w:rPr>
        <w:t>para</w:t>
      </w:r>
      <w:r w:rsidRPr="00034C0A">
        <w:rPr>
          <w:rFonts w:ascii="Cambria" w:eastAsia="Cambria" w:hAnsi="Cambria"/>
          <w:spacing w:val="-9"/>
          <w:sz w:val="20"/>
          <w:szCs w:val="20"/>
          <w:lang w:val="es-US"/>
        </w:rPr>
        <w:t xml:space="preserve"> </w:t>
      </w:r>
      <w:r w:rsidRPr="00034C0A">
        <w:rPr>
          <w:rFonts w:ascii="Cambria" w:eastAsia="Cambria" w:hAnsi="Cambria"/>
          <w:spacing w:val="-1"/>
          <w:sz w:val="20"/>
          <w:szCs w:val="20"/>
          <w:lang w:val="es-US"/>
        </w:rPr>
        <w:t>garantizar</w:t>
      </w:r>
      <w:r w:rsidRPr="00034C0A">
        <w:rPr>
          <w:rFonts w:ascii="Cambria" w:eastAsia="Cambria" w:hAnsi="Cambria"/>
          <w:spacing w:val="-4"/>
          <w:sz w:val="20"/>
          <w:szCs w:val="20"/>
          <w:lang w:val="es-US"/>
        </w:rPr>
        <w:t xml:space="preserve"> </w:t>
      </w:r>
      <w:r w:rsidRPr="00034C0A">
        <w:rPr>
          <w:rFonts w:ascii="Cambria" w:eastAsia="Cambria" w:hAnsi="Cambria"/>
          <w:spacing w:val="-3"/>
          <w:sz w:val="20"/>
          <w:szCs w:val="20"/>
          <w:lang w:val="es-US"/>
        </w:rPr>
        <w:t>la</w:t>
      </w:r>
      <w:r w:rsidRPr="00034C0A">
        <w:rPr>
          <w:rFonts w:ascii="Cambria" w:eastAsia="Cambria" w:hAnsi="Cambria"/>
          <w:spacing w:val="-10"/>
          <w:sz w:val="20"/>
          <w:szCs w:val="20"/>
          <w:lang w:val="es-US"/>
        </w:rPr>
        <w:t xml:space="preserve"> </w:t>
      </w:r>
      <w:r w:rsidRPr="00034C0A">
        <w:rPr>
          <w:rFonts w:ascii="Cambria" w:eastAsia="Cambria" w:hAnsi="Cambria"/>
          <w:spacing w:val="-1"/>
          <w:sz w:val="20"/>
          <w:szCs w:val="20"/>
          <w:lang w:val="es-US"/>
        </w:rPr>
        <w:t>ejecución</w:t>
      </w:r>
      <w:r w:rsidRPr="00034C0A">
        <w:rPr>
          <w:rFonts w:ascii="Cambria" w:eastAsia="Cambria" w:hAnsi="Cambria"/>
          <w:spacing w:val="-8"/>
          <w:sz w:val="20"/>
          <w:szCs w:val="20"/>
          <w:lang w:val="es-US"/>
        </w:rPr>
        <w:t xml:space="preserve"> </w:t>
      </w:r>
      <w:r w:rsidRPr="00034C0A">
        <w:rPr>
          <w:rFonts w:ascii="Cambria" w:eastAsia="Cambria" w:hAnsi="Cambria"/>
          <w:spacing w:val="-1"/>
          <w:sz w:val="20"/>
          <w:szCs w:val="20"/>
          <w:lang w:val="es-US"/>
        </w:rPr>
        <w:t>de</w:t>
      </w:r>
      <w:r w:rsidRPr="00034C0A">
        <w:rPr>
          <w:rFonts w:ascii="Cambria" w:eastAsia="Cambria" w:hAnsi="Cambria"/>
          <w:spacing w:val="-9"/>
          <w:sz w:val="20"/>
          <w:szCs w:val="20"/>
          <w:lang w:val="es-US"/>
        </w:rPr>
        <w:t xml:space="preserve"> </w:t>
      </w:r>
      <w:r w:rsidRPr="00034C0A">
        <w:rPr>
          <w:rFonts w:ascii="Cambria" w:eastAsia="Cambria" w:hAnsi="Cambria"/>
          <w:spacing w:val="-1"/>
          <w:sz w:val="20"/>
          <w:szCs w:val="20"/>
          <w:lang w:val="es-US"/>
        </w:rPr>
        <w:t>un</w:t>
      </w:r>
      <w:r w:rsidRPr="00034C0A">
        <w:rPr>
          <w:rFonts w:ascii="Cambria" w:eastAsia="Cambria" w:hAnsi="Cambria"/>
          <w:spacing w:val="-9"/>
          <w:sz w:val="20"/>
          <w:szCs w:val="20"/>
          <w:lang w:val="es-US"/>
        </w:rPr>
        <w:t xml:space="preserve"> </w:t>
      </w:r>
      <w:r w:rsidRPr="00034C0A">
        <w:rPr>
          <w:rFonts w:ascii="Cambria" w:eastAsia="Cambria" w:hAnsi="Cambria"/>
          <w:sz w:val="20"/>
          <w:szCs w:val="20"/>
          <w:lang w:val="es-US"/>
        </w:rPr>
        <w:t>fallo</w:t>
      </w:r>
      <w:r w:rsidRPr="00034C0A">
        <w:rPr>
          <w:rFonts w:ascii="Cambria" w:eastAsia="Cambria" w:hAnsi="Cambria"/>
          <w:spacing w:val="-13"/>
          <w:sz w:val="20"/>
          <w:szCs w:val="20"/>
          <w:lang w:val="es-US"/>
        </w:rPr>
        <w:t xml:space="preserve"> </w:t>
      </w:r>
      <w:r w:rsidRPr="00034C0A">
        <w:rPr>
          <w:rFonts w:ascii="Cambria" w:eastAsia="Cambria" w:hAnsi="Cambria"/>
          <w:sz w:val="20"/>
          <w:szCs w:val="20"/>
          <w:lang w:val="es-US"/>
        </w:rPr>
        <w:t>judicial.</w:t>
      </w:r>
    </w:p>
    <w:p w14:paraId="74E92B6A" w14:textId="77777777" w:rsidR="006F1E6E" w:rsidRPr="00034C0A" w:rsidRDefault="006F1E6E" w:rsidP="006F1E6E">
      <w:pPr>
        <w:widowControl w:val="0"/>
        <w:spacing w:before="1" w:after="0" w:line="240" w:lineRule="auto"/>
        <w:ind w:right="580"/>
        <w:rPr>
          <w:rFonts w:ascii="Cambria" w:eastAsia="Cambria" w:hAnsi="Cambria" w:cs="Cambria"/>
          <w:sz w:val="20"/>
          <w:szCs w:val="20"/>
          <w:lang w:val="es-US"/>
        </w:rPr>
      </w:pPr>
    </w:p>
    <w:p w14:paraId="30337C04" w14:textId="77777777" w:rsidR="006F1E6E" w:rsidRPr="00034C0A" w:rsidRDefault="006F1E6E" w:rsidP="006F1E6E">
      <w:pPr>
        <w:pStyle w:val="parrafos"/>
        <w:numPr>
          <w:ilvl w:val="0"/>
          <w:numId w:val="3"/>
        </w:numPr>
        <w:tabs>
          <w:tab w:val="left" w:pos="360"/>
        </w:tabs>
        <w:ind w:left="0" w:firstLine="0"/>
        <w:rPr>
          <w:rFonts w:eastAsia="Cambria"/>
          <w:lang w:val="es-419"/>
        </w:rPr>
      </w:pPr>
      <w:r w:rsidRPr="00034C0A">
        <w:rPr>
          <w:rFonts w:eastAsia="Cambria"/>
          <w:shd w:val="clear" w:color="auto" w:fill="FFFFFF"/>
        </w:rPr>
        <w:t>La</w:t>
      </w:r>
      <w:r w:rsidRPr="00034C0A">
        <w:rPr>
          <w:rFonts w:eastAsia="Cambria"/>
          <w:lang w:val="es-419"/>
        </w:rPr>
        <w:t xml:space="preserve"> Comisión recibió informes del Estado sobre el cumplimiento de las recomendaciones establecidas y observaciones de la parte peticionaria. Durante este período la Comisión otorgó once prórrogas al Estado para la suspensión del plazo previsto en el artículo 51 de la Convención Americana. Asimismo, el Estado, reiteró su voluntad de cumplir con las recomendaciones y renunció expresamente a interponer excepciones preliminares respecto del cumplimiento del plazo previsto por el mencionado artículo, de conformidad con lo dispuesto en el artículo 46 del Reglamento de la Comisión.</w:t>
      </w:r>
    </w:p>
    <w:p w14:paraId="42297EB1" w14:textId="77777777" w:rsidR="006F1E6E" w:rsidRPr="00034C0A" w:rsidRDefault="006F1E6E" w:rsidP="006F1E6E">
      <w:pPr>
        <w:widowControl w:val="0"/>
        <w:tabs>
          <w:tab w:val="left" w:pos="0"/>
          <w:tab w:val="left" w:pos="567"/>
        </w:tabs>
        <w:spacing w:after="0" w:line="240" w:lineRule="auto"/>
        <w:jc w:val="both"/>
        <w:rPr>
          <w:rFonts w:ascii="Cambria" w:eastAsia="Calibri" w:hAnsi="Cambria"/>
          <w:sz w:val="20"/>
          <w:szCs w:val="20"/>
          <w:lang w:val="es-419"/>
        </w:rPr>
      </w:pPr>
    </w:p>
    <w:p w14:paraId="4CEE32F4" w14:textId="77777777" w:rsidR="006F1E6E" w:rsidRPr="00034C0A" w:rsidRDefault="006F1E6E" w:rsidP="006F1E6E">
      <w:pPr>
        <w:pStyle w:val="parrafos"/>
        <w:numPr>
          <w:ilvl w:val="0"/>
          <w:numId w:val="3"/>
        </w:numPr>
        <w:tabs>
          <w:tab w:val="left" w:pos="360"/>
        </w:tabs>
        <w:ind w:left="0" w:firstLine="0"/>
        <w:rPr>
          <w:rFonts w:eastAsia="Cambria"/>
          <w:spacing w:val="-1"/>
          <w:lang w:val="es-US"/>
        </w:rPr>
      </w:pPr>
      <w:r w:rsidRPr="00034C0A">
        <w:rPr>
          <w:rFonts w:eastAsia="Cambria"/>
          <w:lang w:val="es-419"/>
        </w:rPr>
        <w:t>Con</w:t>
      </w:r>
      <w:r w:rsidRPr="00034C0A">
        <w:rPr>
          <w:rFonts w:eastAsia="Cambria"/>
          <w:shd w:val="clear" w:color="auto" w:fill="FFFFFF"/>
        </w:rPr>
        <w:t xml:space="preserve"> relación a la primera recomendación, sobre </w:t>
      </w:r>
      <w:r w:rsidRPr="00034C0A">
        <w:rPr>
          <w:rFonts w:eastAsia="Cambria"/>
          <w:spacing w:val="-1"/>
          <w:lang w:val="es-US"/>
        </w:rPr>
        <w:t>tomar</w:t>
      </w:r>
      <w:r w:rsidRPr="00034C0A">
        <w:rPr>
          <w:rFonts w:eastAsia="Cambria"/>
          <w:lang w:val="es-US"/>
        </w:rPr>
        <w:t xml:space="preserve"> las</w:t>
      </w:r>
      <w:r w:rsidRPr="00034C0A">
        <w:rPr>
          <w:rFonts w:eastAsia="Cambria"/>
          <w:spacing w:val="-3"/>
          <w:lang w:val="es-US"/>
        </w:rPr>
        <w:t xml:space="preserve"> </w:t>
      </w:r>
      <w:r w:rsidRPr="00034C0A">
        <w:rPr>
          <w:rFonts w:eastAsia="Cambria"/>
          <w:spacing w:val="-1"/>
          <w:lang w:val="es-US"/>
        </w:rPr>
        <w:t xml:space="preserve">medidas necesarias </w:t>
      </w:r>
      <w:r w:rsidRPr="00034C0A">
        <w:rPr>
          <w:rFonts w:eastAsia="Cambria"/>
          <w:lang w:val="es-US"/>
        </w:rPr>
        <w:t>tendientes</w:t>
      </w:r>
      <w:r w:rsidRPr="00034C0A">
        <w:rPr>
          <w:rFonts w:eastAsia="Cambria"/>
          <w:spacing w:val="32"/>
          <w:lang w:val="es-US"/>
        </w:rPr>
        <w:t xml:space="preserve"> </w:t>
      </w:r>
      <w:r w:rsidRPr="00034C0A">
        <w:rPr>
          <w:rFonts w:eastAsia="Cambria"/>
          <w:lang w:val="es-US"/>
        </w:rPr>
        <w:t>a</w:t>
      </w:r>
      <w:r w:rsidRPr="00034C0A">
        <w:rPr>
          <w:rFonts w:eastAsia="Cambria"/>
          <w:spacing w:val="36"/>
          <w:lang w:val="es-US"/>
        </w:rPr>
        <w:t xml:space="preserve"> </w:t>
      </w:r>
      <w:r w:rsidRPr="00034C0A">
        <w:rPr>
          <w:rFonts w:eastAsia="Cambria"/>
          <w:spacing w:val="-1"/>
          <w:lang w:val="es-US"/>
        </w:rPr>
        <w:t>lograr</w:t>
      </w:r>
      <w:r w:rsidRPr="00034C0A">
        <w:rPr>
          <w:rFonts w:eastAsia="Cambria"/>
          <w:spacing w:val="36"/>
          <w:lang w:val="es-US"/>
        </w:rPr>
        <w:t xml:space="preserve"> </w:t>
      </w:r>
      <w:r w:rsidRPr="00034C0A">
        <w:rPr>
          <w:rFonts w:eastAsia="Cambria"/>
          <w:spacing w:val="1"/>
          <w:lang w:val="es-US"/>
        </w:rPr>
        <w:t>el</w:t>
      </w:r>
      <w:r w:rsidRPr="00034C0A">
        <w:rPr>
          <w:rFonts w:eastAsia="Cambria"/>
          <w:spacing w:val="34"/>
          <w:lang w:val="es-US"/>
        </w:rPr>
        <w:t xml:space="preserve"> </w:t>
      </w:r>
      <w:r w:rsidRPr="00034C0A">
        <w:rPr>
          <w:rFonts w:eastAsia="Cambria"/>
          <w:spacing w:val="-1"/>
          <w:lang w:val="es-US"/>
        </w:rPr>
        <w:t>cumplimiento</w:t>
      </w:r>
      <w:r w:rsidRPr="00034C0A">
        <w:rPr>
          <w:rFonts w:eastAsia="Cambria"/>
          <w:spacing w:val="38"/>
          <w:lang w:val="es-US"/>
        </w:rPr>
        <w:t xml:space="preserve"> </w:t>
      </w:r>
      <w:r w:rsidRPr="00034C0A">
        <w:rPr>
          <w:rFonts w:eastAsia="Cambria"/>
          <w:spacing w:val="-1"/>
          <w:lang w:val="es-US"/>
        </w:rPr>
        <w:t>de</w:t>
      </w:r>
      <w:r w:rsidRPr="00034C0A">
        <w:rPr>
          <w:rFonts w:eastAsia="Cambria"/>
          <w:spacing w:val="40"/>
          <w:lang w:val="es-US"/>
        </w:rPr>
        <w:t xml:space="preserve"> </w:t>
      </w:r>
      <w:r w:rsidRPr="00034C0A">
        <w:rPr>
          <w:rFonts w:eastAsia="Cambria"/>
          <w:spacing w:val="-3"/>
          <w:lang w:val="es-US"/>
        </w:rPr>
        <w:t>la</w:t>
      </w:r>
      <w:r w:rsidRPr="00034C0A">
        <w:rPr>
          <w:rFonts w:eastAsia="Cambria"/>
          <w:spacing w:val="41"/>
          <w:lang w:val="es-US"/>
        </w:rPr>
        <w:t xml:space="preserve"> </w:t>
      </w:r>
      <w:r w:rsidRPr="00034C0A">
        <w:rPr>
          <w:rFonts w:eastAsia="Cambria"/>
          <w:spacing w:val="-1"/>
          <w:lang w:val="es-US"/>
        </w:rPr>
        <w:t>decisión</w:t>
      </w:r>
      <w:r w:rsidRPr="00034C0A">
        <w:rPr>
          <w:rFonts w:eastAsia="Cambria"/>
          <w:spacing w:val="36"/>
          <w:lang w:val="es-US"/>
        </w:rPr>
        <w:t xml:space="preserve"> </w:t>
      </w:r>
      <w:r w:rsidRPr="00034C0A">
        <w:rPr>
          <w:rFonts w:eastAsia="Cambria"/>
          <w:spacing w:val="-1"/>
          <w:lang w:val="es-US"/>
        </w:rPr>
        <w:t>de</w:t>
      </w:r>
      <w:r w:rsidRPr="00034C0A">
        <w:rPr>
          <w:rFonts w:eastAsia="Cambria"/>
          <w:spacing w:val="33"/>
          <w:lang w:val="es-US"/>
        </w:rPr>
        <w:t xml:space="preserve"> </w:t>
      </w:r>
      <w:r w:rsidRPr="00034C0A">
        <w:rPr>
          <w:rFonts w:eastAsia="Cambria"/>
          <w:spacing w:val="-1"/>
          <w:lang w:val="es-US"/>
        </w:rPr>
        <w:t>18</w:t>
      </w:r>
      <w:r w:rsidRPr="00034C0A">
        <w:rPr>
          <w:rFonts w:eastAsia="Cambria"/>
          <w:spacing w:val="38"/>
          <w:lang w:val="es-US"/>
        </w:rPr>
        <w:t xml:space="preserve"> </w:t>
      </w:r>
      <w:r w:rsidRPr="00034C0A">
        <w:rPr>
          <w:rFonts w:eastAsia="Cambria"/>
          <w:spacing w:val="-1"/>
          <w:lang w:val="es-US"/>
        </w:rPr>
        <w:t>de</w:t>
      </w:r>
      <w:r w:rsidRPr="00034C0A">
        <w:rPr>
          <w:rFonts w:eastAsia="Cambria"/>
          <w:spacing w:val="40"/>
          <w:lang w:val="es-US"/>
        </w:rPr>
        <w:t xml:space="preserve"> </w:t>
      </w:r>
      <w:r w:rsidRPr="00034C0A">
        <w:rPr>
          <w:rFonts w:eastAsia="Cambria"/>
          <w:spacing w:val="-2"/>
          <w:lang w:val="es-US"/>
        </w:rPr>
        <w:t>octubre</w:t>
      </w:r>
      <w:r w:rsidRPr="00034C0A">
        <w:rPr>
          <w:rFonts w:eastAsia="Cambria"/>
          <w:spacing w:val="41"/>
          <w:lang w:val="es-US"/>
        </w:rPr>
        <w:t xml:space="preserve"> </w:t>
      </w:r>
      <w:r w:rsidRPr="00034C0A">
        <w:rPr>
          <w:rFonts w:eastAsia="Cambria"/>
          <w:spacing w:val="-1"/>
          <w:lang w:val="es-US"/>
        </w:rPr>
        <w:t>de</w:t>
      </w:r>
      <w:r w:rsidRPr="00034C0A">
        <w:rPr>
          <w:rFonts w:eastAsia="Cambria"/>
          <w:spacing w:val="36"/>
          <w:lang w:val="es-US"/>
        </w:rPr>
        <w:t xml:space="preserve"> </w:t>
      </w:r>
      <w:r w:rsidRPr="00034C0A">
        <w:rPr>
          <w:rFonts w:eastAsia="Cambria"/>
          <w:spacing w:val="-1"/>
          <w:lang w:val="es-US"/>
        </w:rPr>
        <w:t>2001</w:t>
      </w:r>
      <w:r w:rsidRPr="00034C0A">
        <w:rPr>
          <w:rFonts w:eastAsia="Cambria"/>
          <w:spacing w:val="37"/>
          <w:lang w:val="es-US"/>
        </w:rPr>
        <w:t xml:space="preserve"> </w:t>
      </w:r>
      <w:r w:rsidRPr="00034C0A">
        <w:rPr>
          <w:rFonts w:eastAsia="Cambria"/>
          <w:lang w:val="es-US"/>
        </w:rPr>
        <w:t>respecto</w:t>
      </w:r>
      <w:r w:rsidRPr="00034C0A">
        <w:rPr>
          <w:rFonts w:eastAsia="Cambria"/>
          <w:spacing w:val="38"/>
          <w:lang w:val="es-US"/>
        </w:rPr>
        <w:t xml:space="preserve"> </w:t>
      </w:r>
      <w:r w:rsidRPr="00034C0A">
        <w:rPr>
          <w:rFonts w:eastAsia="Cambria"/>
          <w:spacing w:val="-3"/>
          <w:lang w:val="es-US"/>
        </w:rPr>
        <w:t>de</w:t>
      </w:r>
      <w:r w:rsidRPr="00034C0A">
        <w:rPr>
          <w:rFonts w:eastAsia="Cambria"/>
          <w:spacing w:val="40"/>
          <w:lang w:val="es-US"/>
        </w:rPr>
        <w:t xml:space="preserve"> </w:t>
      </w:r>
      <w:r w:rsidRPr="00034C0A">
        <w:rPr>
          <w:rFonts w:eastAsia="Cambria"/>
          <w:spacing w:val="-5"/>
          <w:lang w:val="es-US"/>
        </w:rPr>
        <w:t>la</w:t>
      </w:r>
      <w:r w:rsidRPr="00034C0A">
        <w:rPr>
          <w:rFonts w:eastAsia="Cambria"/>
          <w:spacing w:val="64"/>
          <w:lang w:val="es-US"/>
        </w:rPr>
        <w:t xml:space="preserve"> </w:t>
      </w:r>
      <w:r w:rsidRPr="00034C0A">
        <w:rPr>
          <w:rFonts w:eastAsia="Cambria"/>
          <w:lang w:val="es-US"/>
        </w:rPr>
        <w:t>Embajada</w:t>
      </w:r>
      <w:r w:rsidRPr="00034C0A">
        <w:rPr>
          <w:rFonts w:eastAsia="Cambria"/>
          <w:spacing w:val="-5"/>
          <w:lang w:val="es-US"/>
        </w:rPr>
        <w:t xml:space="preserve"> </w:t>
      </w:r>
      <w:r w:rsidRPr="00034C0A">
        <w:rPr>
          <w:rFonts w:eastAsia="Cambria"/>
          <w:spacing w:val="-1"/>
          <w:lang w:val="es-US"/>
        </w:rPr>
        <w:t>de Australia, el Estado informó que el 29 de diciembre de 2020 el Estado dirigió un oficio al Primer Secretario de la División para Europa y América Latina de la Cancillería australiana, mediante el cual el Embajador de Argentina en Australia remitió el Informe de Fondo y solicita la cooperación del gobierno australiano para el cumplimiento de la presente recomendación. El Estado consideró que con ello “la Cancillería Argentina realizó las gestiones sugeridas ante el Estado de Australia, razón por la cual debe darse por cumplida la citada recomendación”.</w:t>
      </w:r>
    </w:p>
    <w:p w14:paraId="69258EA2" w14:textId="77777777" w:rsidR="006F1E6E" w:rsidRPr="00034C0A" w:rsidRDefault="006F1E6E" w:rsidP="006F1E6E">
      <w:pPr>
        <w:widowControl w:val="0"/>
        <w:tabs>
          <w:tab w:val="left" w:pos="461"/>
        </w:tabs>
        <w:spacing w:after="0" w:line="239" w:lineRule="auto"/>
        <w:ind w:left="100" w:right="107"/>
        <w:jc w:val="both"/>
        <w:rPr>
          <w:rFonts w:ascii="Cambria" w:eastAsia="Cambria" w:hAnsi="Cambria"/>
          <w:spacing w:val="-1"/>
          <w:sz w:val="20"/>
          <w:szCs w:val="20"/>
          <w:lang w:val="es-US"/>
        </w:rPr>
      </w:pPr>
    </w:p>
    <w:p w14:paraId="60DDCE71" w14:textId="77777777" w:rsidR="006F1E6E" w:rsidRPr="00034C0A" w:rsidRDefault="006F1E6E" w:rsidP="006F1E6E">
      <w:pPr>
        <w:pStyle w:val="parrafos"/>
        <w:numPr>
          <w:ilvl w:val="0"/>
          <w:numId w:val="3"/>
        </w:numPr>
        <w:tabs>
          <w:tab w:val="left" w:pos="360"/>
        </w:tabs>
        <w:ind w:left="0" w:firstLine="0"/>
        <w:rPr>
          <w:rFonts w:eastAsia="Cambria"/>
          <w:spacing w:val="-1"/>
          <w:lang w:val="es-US"/>
        </w:rPr>
      </w:pPr>
      <w:r w:rsidRPr="00034C0A">
        <w:rPr>
          <w:rFonts w:eastAsia="Cambria"/>
          <w:lang w:val="es-419"/>
        </w:rPr>
        <w:t>La</w:t>
      </w:r>
      <w:r w:rsidRPr="00034C0A">
        <w:rPr>
          <w:rFonts w:eastAsia="Cambria"/>
          <w:spacing w:val="-1"/>
          <w:lang w:val="es-US"/>
        </w:rPr>
        <w:t xml:space="preserve"> señora M.E.F., por su parte, consideró que esta era una medida incompleta por varias razones. Señaló, por un lado, que la nota no iba dirigida al máximo nivel diplomático que era el Canciller. Por otra parte, consideró que los reclamos a Australia que debe efectuar el Gobierno de Argentina deben incluir no sólo las indemnizaciones por el despido sin causa de una ciudadana argentina, que se encontraba embarazada; sino también los salarios adeudados, astreintes, intereses y actualizaciones, el certificado de trabajo a los efectos </w:t>
      </w:r>
      <w:r w:rsidRPr="00034C0A">
        <w:rPr>
          <w:rFonts w:eastAsia="Cambria"/>
          <w:spacing w:val="-1"/>
          <w:lang w:val="es-US"/>
        </w:rPr>
        <w:lastRenderedPageBreak/>
        <w:t>laborales y previsionales y la deuda por aportes y contribuciones previsionales adeudados por Australia a la ANSES.</w:t>
      </w:r>
    </w:p>
    <w:p w14:paraId="3845ACFA" w14:textId="77777777" w:rsidR="006F1E6E" w:rsidRPr="00034C0A" w:rsidRDefault="006F1E6E" w:rsidP="006F1E6E">
      <w:pPr>
        <w:widowControl w:val="0"/>
        <w:tabs>
          <w:tab w:val="left" w:pos="461"/>
        </w:tabs>
        <w:spacing w:after="0" w:line="239" w:lineRule="auto"/>
        <w:ind w:right="107"/>
        <w:jc w:val="both"/>
        <w:rPr>
          <w:rFonts w:ascii="Cambria" w:eastAsia="Cambria" w:hAnsi="Cambria"/>
          <w:spacing w:val="-1"/>
          <w:sz w:val="20"/>
          <w:szCs w:val="20"/>
          <w:lang w:val="es-US"/>
        </w:rPr>
      </w:pPr>
    </w:p>
    <w:p w14:paraId="6409CA2F" w14:textId="77777777" w:rsidR="006F1E6E" w:rsidRPr="00034C0A" w:rsidRDefault="006F1E6E" w:rsidP="006F1E6E">
      <w:pPr>
        <w:pStyle w:val="parrafos"/>
        <w:numPr>
          <w:ilvl w:val="0"/>
          <w:numId w:val="3"/>
        </w:numPr>
        <w:tabs>
          <w:tab w:val="left" w:pos="360"/>
        </w:tabs>
        <w:ind w:left="0" w:firstLine="0"/>
        <w:rPr>
          <w:rFonts w:eastAsia="Cambria"/>
          <w:spacing w:val="-1"/>
          <w:lang w:val="es-US"/>
        </w:rPr>
      </w:pPr>
      <w:r w:rsidRPr="00034C0A">
        <w:rPr>
          <w:rFonts w:eastAsia="Cambria"/>
          <w:spacing w:val="-1"/>
          <w:lang w:val="es-US"/>
        </w:rPr>
        <w:t xml:space="preserve">El </w:t>
      </w:r>
      <w:r w:rsidRPr="00034C0A">
        <w:rPr>
          <w:rFonts w:eastAsia="Cambria"/>
          <w:lang w:val="es-419"/>
        </w:rPr>
        <w:t>Estado</w:t>
      </w:r>
      <w:r w:rsidRPr="00034C0A">
        <w:rPr>
          <w:rFonts w:eastAsia="Cambria"/>
          <w:spacing w:val="-1"/>
          <w:lang w:val="es-US"/>
        </w:rPr>
        <w:t xml:space="preserve"> informó que el 19 de julio de 2021 se llevó a cabo una reunión con la señora M.E.F., en la cual se le informó que Australia manifestó voluntad de abonarle cierto monto, de conformidad con el acuerdo judicial al que arribaron oportunamente. </w:t>
      </w:r>
    </w:p>
    <w:p w14:paraId="669E6555" w14:textId="77777777" w:rsidR="006F1E6E" w:rsidRPr="00034C0A" w:rsidRDefault="006F1E6E" w:rsidP="006F1E6E">
      <w:pPr>
        <w:widowControl w:val="0"/>
        <w:tabs>
          <w:tab w:val="left" w:pos="461"/>
        </w:tabs>
        <w:spacing w:after="0" w:line="239" w:lineRule="auto"/>
        <w:ind w:left="100" w:right="107"/>
        <w:jc w:val="both"/>
        <w:rPr>
          <w:rFonts w:ascii="Cambria" w:eastAsia="Cambria" w:hAnsi="Cambria"/>
          <w:spacing w:val="-1"/>
          <w:sz w:val="20"/>
          <w:szCs w:val="20"/>
          <w:lang w:val="es-US"/>
        </w:rPr>
      </w:pPr>
    </w:p>
    <w:p w14:paraId="65A25C2C" w14:textId="77777777" w:rsidR="006F1E6E" w:rsidRPr="00034C0A" w:rsidRDefault="006F1E6E" w:rsidP="00AE53EF">
      <w:pPr>
        <w:pStyle w:val="parrafos"/>
        <w:numPr>
          <w:ilvl w:val="0"/>
          <w:numId w:val="3"/>
        </w:numPr>
        <w:tabs>
          <w:tab w:val="left" w:pos="360"/>
        </w:tabs>
        <w:ind w:left="0" w:firstLine="0"/>
        <w:rPr>
          <w:rFonts w:eastAsia="Cambria"/>
          <w:spacing w:val="-1"/>
          <w:lang w:val="es-US"/>
        </w:rPr>
      </w:pPr>
      <w:r w:rsidRPr="00034C0A">
        <w:rPr>
          <w:rFonts w:eastAsia="Cambria"/>
          <w:spacing w:val="-1"/>
          <w:lang w:val="es-US"/>
        </w:rPr>
        <w:t>Posteriormente, la señora M.E.F., por su parte, indicó que, el monto ofrecido por Australia representaba apenas un 13,4% del monto que se le adeuda. Señaló además que el mismo no incluye las astreintes por la falta de entrega del certificado de trabajo durante todos estos largos años. Al respecto, indicó que la sentencia obligaba a Australia a entregarle el certificado de trabajo a los efectos laborales y previsionales bajo apercibimiento de astreintes. Consideró que, no obstante, Australia se negó sistemáticamente a entregárselo, ignorando sus innumerables reclamos, siendo que la entrega de dicho certificado era una obligación de todo empleador.</w:t>
      </w:r>
    </w:p>
    <w:p w14:paraId="20B6EC36" w14:textId="77777777" w:rsidR="006F1E6E" w:rsidRPr="00034C0A" w:rsidRDefault="006F1E6E" w:rsidP="006F1E6E">
      <w:pPr>
        <w:widowControl w:val="0"/>
        <w:tabs>
          <w:tab w:val="left" w:pos="461"/>
        </w:tabs>
        <w:spacing w:after="0" w:line="239" w:lineRule="auto"/>
        <w:ind w:right="107"/>
        <w:jc w:val="both"/>
        <w:rPr>
          <w:rFonts w:ascii="Cambria" w:eastAsia="Cambria" w:hAnsi="Cambria"/>
          <w:spacing w:val="-1"/>
          <w:sz w:val="20"/>
          <w:szCs w:val="20"/>
          <w:lang w:val="es-US"/>
        </w:rPr>
      </w:pPr>
    </w:p>
    <w:p w14:paraId="2490A07F" w14:textId="77777777" w:rsidR="006F1E6E" w:rsidRPr="00034C0A" w:rsidRDefault="006F1E6E" w:rsidP="00AE53EF">
      <w:pPr>
        <w:pStyle w:val="parrafos"/>
        <w:numPr>
          <w:ilvl w:val="0"/>
          <w:numId w:val="3"/>
        </w:numPr>
        <w:tabs>
          <w:tab w:val="left" w:pos="360"/>
        </w:tabs>
        <w:ind w:left="0" w:firstLine="0"/>
        <w:rPr>
          <w:rFonts w:eastAsia="Cambria"/>
          <w:spacing w:val="-1"/>
          <w:lang w:val="es-US"/>
        </w:rPr>
      </w:pPr>
      <w:r w:rsidRPr="00034C0A">
        <w:rPr>
          <w:rFonts w:eastAsia="Cambria"/>
          <w:spacing w:val="-1"/>
          <w:lang w:val="es-US"/>
        </w:rPr>
        <w:t xml:space="preserve">La señora M.E.F. indicó que ante la sugerencia del Estado argentino de aceptar el monto ofrecido por Australia, estaba dispuesta a aceptar la oferta, bajo ciertas condiciones que incluían: que el pago sea efectivizado antes del 15 de setiembre de 2021; que Australia le entregue, al momento de la firma de un eventual Acuerdo de Pago, la certificación de sus remuneraciones; y que oportunamente determinará en un eventual Acuerdo de Pago con Australia a qué rubros va a imputar el monto a percibir. </w:t>
      </w:r>
    </w:p>
    <w:p w14:paraId="5B69E98C" w14:textId="77777777" w:rsidR="006F1E6E" w:rsidRPr="00034C0A" w:rsidRDefault="006F1E6E" w:rsidP="006F1E6E">
      <w:pPr>
        <w:widowControl w:val="0"/>
        <w:tabs>
          <w:tab w:val="left" w:pos="461"/>
        </w:tabs>
        <w:spacing w:after="0" w:line="239" w:lineRule="auto"/>
        <w:ind w:left="100" w:right="107"/>
        <w:jc w:val="both"/>
        <w:rPr>
          <w:rFonts w:ascii="Cambria" w:eastAsia="Cambria" w:hAnsi="Cambria"/>
          <w:spacing w:val="-1"/>
          <w:sz w:val="20"/>
          <w:szCs w:val="20"/>
          <w:lang w:val="es-US"/>
        </w:rPr>
      </w:pPr>
    </w:p>
    <w:p w14:paraId="09318FA8" w14:textId="4DD32049" w:rsidR="006F1E6E" w:rsidRPr="00034C0A" w:rsidRDefault="006F1E6E" w:rsidP="00AE53EF">
      <w:pPr>
        <w:pStyle w:val="parrafos"/>
        <w:numPr>
          <w:ilvl w:val="0"/>
          <w:numId w:val="3"/>
        </w:numPr>
        <w:tabs>
          <w:tab w:val="left" w:pos="360"/>
        </w:tabs>
        <w:ind w:left="0" w:firstLine="0"/>
        <w:rPr>
          <w:rFonts w:eastAsia="Cambria"/>
          <w:spacing w:val="-1"/>
          <w:lang w:val="es-US"/>
        </w:rPr>
      </w:pPr>
      <w:r w:rsidRPr="00034C0A">
        <w:rPr>
          <w:rFonts w:eastAsia="Cambria"/>
          <w:spacing w:val="-1"/>
          <w:lang w:val="es-US"/>
        </w:rPr>
        <w:t>Entre 2021 y 2023 el Estado informó a la CIDH sobre las gestiones y negociaciones que sostuvo con las autoridades australianas para instrumentar jurídicamente la consignación del monto y lograr que se cumpla con esta recomendación. Asimismo, el Estado sostuvo reuniones con la señora M.E.F.</w:t>
      </w:r>
    </w:p>
    <w:p w14:paraId="4D60D3CE" w14:textId="77777777" w:rsidR="006F1E6E" w:rsidRPr="00034C0A" w:rsidRDefault="006F1E6E" w:rsidP="006F1E6E">
      <w:pPr>
        <w:widowControl w:val="0"/>
        <w:tabs>
          <w:tab w:val="left" w:pos="461"/>
        </w:tabs>
        <w:spacing w:after="0" w:line="239" w:lineRule="auto"/>
        <w:ind w:right="107"/>
        <w:jc w:val="both"/>
        <w:rPr>
          <w:rFonts w:ascii="Cambria" w:eastAsia="Cambria" w:hAnsi="Cambria"/>
          <w:spacing w:val="-1"/>
          <w:sz w:val="20"/>
          <w:szCs w:val="20"/>
          <w:lang w:val="es-US"/>
        </w:rPr>
      </w:pPr>
    </w:p>
    <w:p w14:paraId="16AA7362" w14:textId="77777777" w:rsidR="006F1E6E" w:rsidRPr="00034C0A" w:rsidRDefault="006F1E6E" w:rsidP="00AE53EF">
      <w:pPr>
        <w:pStyle w:val="parrafos"/>
        <w:numPr>
          <w:ilvl w:val="0"/>
          <w:numId w:val="3"/>
        </w:numPr>
        <w:tabs>
          <w:tab w:val="left" w:pos="360"/>
        </w:tabs>
        <w:ind w:left="0" w:firstLine="0"/>
        <w:rPr>
          <w:rFonts w:eastAsia="Cambria"/>
          <w:spacing w:val="-1"/>
          <w:lang w:val="es-US"/>
        </w:rPr>
      </w:pPr>
      <w:r w:rsidRPr="00034C0A">
        <w:rPr>
          <w:rFonts w:eastAsia="Cambria"/>
          <w:spacing w:val="-1"/>
          <w:lang w:val="es-US"/>
        </w:rPr>
        <w:t xml:space="preserve">Entre dichas gestiones el 18 de abril de 2022 se elaboró un proyecto preliminar de Acuerdo entre Argentina y Australia que brindaría un marco jurídico para una transferencia de fondos de parte de Australia. El Estado, en atención a lo solicitado por la parte peticionaria, antes de remitirle a Australia el proyecto de acuerdo, buscó que las autoridades australianas puedan tratar directamente con la peticionaria y suscribir un acuerdo con ella. </w:t>
      </w:r>
    </w:p>
    <w:p w14:paraId="24193F82" w14:textId="77777777" w:rsidR="006F1E6E" w:rsidRPr="00034C0A" w:rsidRDefault="006F1E6E" w:rsidP="006F1E6E">
      <w:pPr>
        <w:widowControl w:val="0"/>
        <w:spacing w:after="0" w:line="240" w:lineRule="auto"/>
        <w:rPr>
          <w:rFonts w:eastAsia="Calibri"/>
          <w:lang w:val="es-US"/>
        </w:rPr>
      </w:pPr>
    </w:p>
    <w:p w14:paraId="77A62DF2"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El 28 de julio de 2023, la parte peticionaria informó que firmó con la Embajada de Australia un Acuerdo de Partes recibiendo directamente de la Embajada la suma ofrecida en concepto de indemnización por despido injustificado agravado por maternidad sin ningún tipo de colaboración por parte del Estado argentino para concretar este Acuerdo. La parte peticionaria consideró que, por el contrario, las contradicciones y trabas instaladas por el Estado argentino, en particular durante los últimos dos años, fueron causa de dilaciones innecesarias y le han originado cuantiosos daños y perjuicios materiales y moral, incluyendo el gran desgaste emocional que supone tener que litigar durante décadas, primero en Argentina y luego internacionalmente, para que sean respetados sus derechos. La parte peticionaria indicó que la firma de este Acuerdo pone fin a un litigio de más de 26 años de duración con la Embajada de Australia.</w:t>
      </w:r>
    </w:p>
    <w:p w14:paraId="3D3DA74F" w14:textId="77777777" w:rsidR="006F1E6E" w:rsidRPr="00034C0A" w:rsidRDefault="006F1E6E" w:rsidP="006F1E6E">
      <w:pPr>
        <w:widowControl w:val="0"/>
        <w:tabs>
          <w:tab w:val="left" w:pos="461"/>
        </w:tabs>
        <w:spacing w:after="0" w:line="239" w:lineRule="auto"/>
        <w:ind w:left="120" w:right="107"/>
        <w:jc w:val="both"/>
        <w:rPr>
          <w:rFonts w:ascii="Cambria" w:eastAsia="Cambria" w:hAnsi="Cambria"/>
          <w:sz w:val="20"/>
          <w:szCs w:val="20"/>
          <w:lang w:val="es-US"/>
        </w:rPr>
      </w:pPr>
    </w:p>
    <w:p w14:paraId="01484810"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El 10 de octubre de 2023, el Estado confirmó que el 20 de julio la Embajada de Australia en la República Argentina y la señora M.E.F. firmaron un acuerdo, en virtud del cual el Gobierno australiano aceptó abonarle a la peticionaria la suma ofrecida con el fin de indemnizarla por los daños y perjuicios resultantes del despido ocurrido cuando se encontraba en el periodo de protección de la maternidad.</w:t>
      </w:r>
    </w:p>
    <w:p w14:paraId="4D01306E" w14:textId="77777777" w:rsidR="006F1E6E" w:rsidRPr="00034C0A" w:rsidRDefault="006F1E6E" w:rsidP="006F1E6E">
      <w:pPr>
        <w:widowControl w:val="0"/>
        <w:tabs>
          <w:tab w:val="left" w:pos="461"/>
        </w:tabs>
        <w:spacing w:after="0" w:line="239" w:lineRule="auto"/>
        <w:ind w:left="120" w:right="107"/>
        <w:jc w:val="both"/>
        <w:rPr>
          <w:rFonts w:ascii="Cambria" w:eastAsia="Cambria" w:hAnsi="Cambria"/>
          <w:sz w:val="20"/>
          <w:szCs w:val="20"/>
          <w:lang w:val="es-US"/>
        </w:rPr>
      </w:pPr>
    </w:p>
    <w:p w14:paraId="41ABC2A8"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 xml:space="preserve">El Estado consideró que las gestiones realizadas por su parte fueron decisivas para que se alcanzara el acuerdo entre la peticionaria y la Embajada australiana. Como ejemplo de esto, el Estado informó que el 28 de julio de 2023, recibió un correo del Consejero Legal de la Embajada australiana, en el cual se agradeció al Estado argentino el haber hecho de conocimiento de la Embajada el trámite del caso ante la CIDH así como su aporte para lograr llegar a un acuerdo. </w:t>
      </w:r>
    </w:p>
    <w:p w14:paraId="75576C0A" w14:textId="77777777" w:rsidR="006F1E6E" w:rsidRPr="00034C0A" w:rsidRDefault="006F1E6E" w:rsidP="006F1E6E">
      <w:pPr>
        <w:widowControl w:val="0"/>
        <w:tabs>
          <w:tab w:val="left" w:pos="461"/>
        </w:tabs>
        <w:spacing w:after="0" w:line="239" w:lineRule="auto"/>
        <w:ind w:left="120" w:right="107"/>
        <w:jc w:val="both"/>
        <w:rPr>
          <w:rFonts w:ascii="Cambria" w:eastAsia="Cambria" w:hAnsi="Cambria"/>
          <w:sz w:val="20"/>
          <w:szCs w:val="20"/>
          <w:lang w:val="es-US"/>
        </w:rPr>
      </w:pPr>
    </w:p>
    <w:p w14:paraId="35D8A0A3"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 xml:space="preserve">Adicionalmente, el Estado indicó que el Informe de Fondo y en particular esta recomendación ayudó al Gobierno argentino a justificar la reactivación de las gestiones ante las autoridades australianas y facilitó </w:t>
      </w:r>
      <w:r w:rsidRPr="00034C0A">
        <w:rPr>
          <w:rFonts w:eastAsia="Cambria"/>
          <w:lang w:val="es-US"/>
        </w:rPr>
        <w:lastRenderedPageBreak/>
        <w:t>que el Gobierno australiano comprendiera la importancia que tenía para la República Argentina que Australia cumpliera con el pago al que fue condenada.</w:t>
      </w:r>
    </w:p>
    <w:p w14:paraId="5297615C" w14:textId="77777777" w:rsidR="006F1E6E" w:rsidRPr="00034C0A" w:rsidRDefault="006F1E6E" w:rsidP="006F1E6E">
      <w:pPr>
        <w:widowControl w:val="0"/>
        <w:tabs>
          <w:tab w:val="left" w:pos="461"/>
        </w:tabs>
        <w:spacing w:after="0" w:line="239" w:lineRule="auto"/>
        <w:ind w:left="120" w:right="107"/>
        <w:jc w:val="both"/>
        <w:rPr>
          <w:rFonts w:ascii="Cambria" w:eastAsia="Cambria" w:hAnsi="Cambria"/>
          <w:sz w:val="20"/>
          <w:szCs w:val="20"/>
          <w:lang w:val="es-US"/>
        </w:rPr>
      </w:pPr>
    </w:p>
    <w:p w14:paraId="147EDF97"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El Estado señaló que hizo todo lo posible, dentro de lo que permite el Derecho internacional, para que el Gobierno australiano cumpliera con lo dispuesto por la Justicia argentina y que el hecho de que el Gobierno australiano aceptara retomar las negociaciones con la peticionaria y reunirse con ella, como así también el propio acuerdo que se alcanzó, son el fruto de dichas gestiones.</w:t>
      </w:r>
    </w:p>
    <w:p w14:paraId="62545D2D" w14:textId="77777777" w:rsidR="006F1E6E" w:rsidRPr="00034C0A" w:rsidRDefault="006F1E6E" w:rsidP="006F1E6E">
      <w:pPr>
        <w:widowControl w:val="0"/>
        <w:tabs>
          <w:tab w:val="left" w:pos="461"/>
        </w:tabs>
        <w:spacing w:after="0" w:line="239" w:lineRule="auto"/>
        <w:ind w:left="120" w:right="107"/>
        <w:jc w:val="both"/>
        <w:rPr>
          <w:rFonts w:ascii="Cambria" w:eastAsia="Cambria" w:hAnsi="Cambria"/>
          <w:sz w:val="20"/>
          <w:szCs w:val="20"/>
          <w:lang w:val="es-US"/>
        </w:rPr>
      </w:pPr>
    </w:p>
    <w:p w14:paraId="59875F76"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 xml:space="preserve">El 30 de octubre de 2023, la parte peticionaria reiteró la firma de acuerdo con el gobierno australiano e indicó que como surge del Acuerdo de Pago, Australia le había abonado una indemnización por los daños y perjuicios resultantes del despido injustificado. Asimismo, indicó que el monto abonado por Australia representa menos de un 20 por ciento del valor actual que debió abonar Australia hacía 22 años. </w:t>
      </w:r>
    </w:p>
    <w:p w14:paraId="39662316" w14:textId="77777777" w:rsidR="006F1E6E" w:rsidRPr="00034C0A" w:rsidRDefault="006F1E6E" w:rsidP="006F1E6E">
      <w:pPr>
        <w:widowControl w:val="0"/>
        <w:tabs>
          <w:tab w:val="left" w:pos="461"/>
        </w:tabs>
        <w:spacing w:after="0" w:line="239" w:lineRule="auto"/>
        <w:ind w:left="120" w:right="107"/>
        <w:jc w:val="both"/>
        <w:rPr>
          <w:rFonts w:ascii="Cambria" w:eastAsia="Cambria" w:hAnsi="Cambria"/>
          <w:sz w:val="20"/>
          <w:szCs w:val="20"/>
          <w:lang w:val="es-US"/>
        </w:rPr>
      </w:pPr>
    </w:p>
    <w:p w14:paraId="1E5CC814"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Con respecto a los derechos previsionales, la peticionaria indicó que, Australia sólo le entregó una certificación de salarios percibidos, pero se negó a entregarle el certificado de trabajo art. 80 a los efectos laborales y previsionales requerido por la Administración Nacional de Seguridad Social (Anses) donde deben constar y certificar los aportes y contribuciones patronales a la Anses.</w:t>
      </w:r>
    </w:p>
    <w:p w14:paraId="68746CDF" w14:textId="77777777" w:rsidR="006F1E6E" w:rsidRPr="00034C0A" w:rsidRDefault="006F1E6E" w:rsidP="006F1E6E">
      <w:pPr>
        <w:widowControl w:val="0"/>
        <w:tabs>
          <w:tab w:val="left" w:pos="461"/>
        </w:tabs>
        <w:spacing w:after="0" w:line="239" w:lineRule="auto"/>
        <w:ind w:left="120" w:right="107"/>
        <w:jc w:val="both"/>
        <w:rPr>
          <w:rFonts w:ascii="Cambria" w:eastAsia="Cambria" w:hAnsi="Cambria"/>
          <w:sz w:val="20"/>
          <w:szCs w:val="20"/>
          <w:lang w:val="es-US"/>
        </w:rPr>
      </w:pPr>
    </w:p>
    <w:p w14:paraId="55819D66" w14:textId="08A768B9"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spacing w:val="-2"/>
          <w:lang w:val="es-US"/>
        </w:rPr>
        <w:t>L</w:t>
      </w:r>
      <w:r w:rsidRPr="00034C0A">
        <w:rPr>
          <w:rFonts w:eastAsia="Cambria"/>
          <w:lang w:val="es-US"/>
        </w:rPr>
        <w:t>a peticionaria indicó que no estaba de acuerdo con que la intervención de la Cancillería argentina haya logrado una "reparación integral" del despido injustificado ni que haya contribuido decisivamente a la satisfacción de las pretensiones pecuniarias de la denunciante, incluyendo aquellas vinculadas con los aportes previsionales derivados de su relación laboral con la Embajada de Australia en Buenos Aires".</w:t>
      </w:r>
    </w:p>
    <w:p w14:paraId="68802B98" w14:textId="77777777" w:rsidR="006F1E6E" w:rsidRPr="00034C0A" w:rsidRDefault="006F1E6E" w:rsidP="006F1E6E">
      <w:pPr>
        <w:widowControl w:val="0"/>
        <w:tabs>
          <w:tab w:val="left" w:pos="461"/>
        </w:tabs>
        <w:spacing w:after="0" w:line="239" w:lineRule="auto"/>
        <w:ind w:left="100" w:right="107"/>
        <w:jc w:val="both"/>
        <w:rPr>
          <w:rFonts w:ascii="Cambria" w:eastAsia="Cambria" w:hAnsi="Cambria"/>
          <w:spacing w:val="-2"/>
          <w:sz w:val="20"/>
          <w:szCs w:val="20"/>
          <w:lang w:val="es-US"/>
        </w:rPr>
      </w:pPr>
    </w:p>
    <w:p w14:paraId="18154262"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lang w:val="es-US"/>
        </w:rPr>
        <w:t xml:space="preserve">En </w:t>
      </w:r>
      <w:r w:rsidRPr="00034C0A">
        <w:rPr>
          <w:rFonts w:eastAsia="Cambria"/>
          <w:spacing w:val="-2"/>
          <w:lang w:val="es-US"/>
        </w:rPr>
        <w:t>relación</w:t>
      </w:r>
      <w:r w:rsidRPr="00034C0A">
        <w:rPr>
          <w:rFonts w:eastAsia="Cambria"/>
          <w:lang w:val="es-US"/>
        </w:rPr>
        <w:t xml:space="preserve"> con la segunda recomendación, relativa a la indemnización, el Estado informó su voluntad de iniciar un proceso de diálogo con la parte peticionaria a fin de suscribir un acuerdo y dar cumplimiento a esta recomendación a través de un Tribunal Arbitral Ad Hoc. La parte peticionaria, por su parte, señaló que ha tenido varias reuniones “con funcionarios de Derechos Humanos y la Cancillería argentina” para llevar adelante la creación de un Tribunal Ad-Hoc para determinar la suma líquida que corresponde en derecho abonar al Estado. Informó además que le enviaron información sobre Tribunales Arbitrales y su reglamento. Refirió que a instancias de los funcionarios argentinos ha trabajado para designar un árbitro y un abogado que pudiera seguir el proceso arbitral. </w:t>
      </w:r>
    </w:p>
    <w:p w14:paraId="02A06D1E" w14:textId="77777777" w:rsidR="006F1E6E" w:rsidRPr="00034C0A" w:rsidRDefault="006F1E6E" w:rsidP="006F1E6E">
      <w:pPr>
        <w:widowControl w:val="0"/>
        <w:tabs>
          <w:tab w:val="left" w:pos="461"/>
        </w:tabs>
        <w:spacing w:after="0" w:line="239" w:lineRule="auto"/>
        <w:ind w:right="107"/>
        <w:jc w:val="both"/>
        <w:rPr>
          <w:rFonts w:ascii="Cambria" w:eastAsia="Cambria" w:hAnsi="Cambria" w:cs="Cambria"/>
          <w:position w:val="-1"/>
          <w:sz w:val="20"/>
          <w:szCs w:val="20"/>
          <w:lang w:val="es-US"/>
        </w:rPr>
      </w:pPr>
    </w:p>
    <w:p w14:paraId="5F86BE43" w14:textId="77777777" w:rsidR="006F1E6E" w:rsidRPr="00034C0A" w:rsidRDefault="006F1E6E" w:rsidP="00AE53EF">
      <w:pPr>
        <w:pStyle w:val="parrafos"/>
        <w:numPr>
          <w:ilvl w:val="0"/>
          <w:numId w:val="3"/>
        </w:numPr>
        <w:tabs>
          <w:tab w:val="left" w:pos="360"/>
        </w:tabs>
        <w:ind w:left="0" w:firstLine="0"/>
        <w:rPr>
          <w:rFonts w:eastAsia="Cambria" w:cs="Cambria"/>
          <w:position w:val="-1"/>
          <w:lang w:val="es-US"/>
        </w:rPr>
      </w:pPr>
      <w:r w:rsidRPr="00034C0A">
        <w:rPr>
          <w:rFonts w:eastAsia="Cambria"/>
          <w:spacing w:val="-2"/>
          <w:lang w:val="es-US"/>
        </w:rPr>
        <w:t>Posteriormente</w:t>
      </w:r>
      <w:r w:rsidRPr="00034C0A">
        <w:rPr>
          <w:rFonts w:eastAsia="Cambria" w:cs="Cambria"/>
          <w:position w:val="-1"/>
          <w:lang w:val="es-US"/>
        </w:rPr>
        <w:t xml:space="preserve"> el Estado alegó que la inmunidad de ejecución solo cede ante la renuncia expresa y específica del Estado extranjero, cuando se trata de bienes que no están afectados a una función estatal. Por lo cual, en el presente caso, el Estado argentino afirmó que Australia no ha renunciado a su inmunidad de ejecución y no habiendo la peticionaria identificado, en el proceso judicial, bienes de ese país que no estén afectados a la función estatal, esa inmunidad no ha perdido su carácter absoluto en el presente caso. </w:t>
      </w:r>
    </w:p>
    <w:p w14:paraId="4F3DEA2E" w14:textId="77777777" w:rsidR="006F1E6E" w:rsidRPr="00034C0A" w:rsidRDefault="006F1E6E" w:rsidP="006F1E6E">
      <w:pPr>
        <w:widowControl w:val="0"/>
        <w:tabs>
          <w:tab w:val="left" w:pos="461"/>
        </w:tabs>
        <w:spacing w:after="0" w:line="239" w:lineRule="auto"/>
        <w:ind w:left="100" w:right="107"/>
        <w:jc w:val="both"/>
        <w:textDirection w:val="btLr"/>
        <w:rPr>
          <w:rFonts w:ascii="Cambria" w:eastAsia="Cambria" w:hAnsi="Cambria" w:cs="Cambria"/>
          <w:position w:val="-1"/>
          <w:sz w:val="20"/>
          <w:szCs w:val="20"/>
          <w:lang w:val="es-US"/>
        </w:rPr>
      </w:pPr>
    </w:p>
    <w:p w14:paraId="154DCF64" w14:textId="77777777" w:rsidR="006F1E6E" w:rsidRPr="00034C0A" w:rsidRDefault="006F1E6E" w:rsidP="00AE53EF">
      <w:pPr>
        <w:pStyle w:val="parrafos"/>
        <w:numPr>
          <w:ilvl w:val="0"/>
          <w:numId w:val="3"/>
        </w:numPr>
        <w:tabs>
          <w:tab w:val="left" w:pos="360"/>
        </w:tabs>
        <w:ind w:left="0" w:firstLine="0"/>
        <w:textDirection w:val="btLr"/>
        <w:rPr>
          <w:rFonts w:eastAsia="Cambria" w:cs="Cambria"/>
          <w:position w:val="-1"/>
          <w:lang w:val="es-US"/>
        </w:rPr>
      </w:pPr>
      <w:r w:rsidRPr="00034C0A">
        <w:rPr>
          <w:rFonts w:eastAsia="Cambria" w:cs="Cambria"/>
          <w:position w:val="-1"/>
          <w:lang w:val="es-US"/>
        </w:rPr>
        <w:t xml:space="preserve">En este sentido, alegó que el respeto debido a la inmunidad de ejecución de la que goza el Gobierno australiano y con ello señala que, concluidas las coordinaciones necesarias para la primera recomendación, posteriormente asentará una posición sobre la cuestión. </w:t>
      </w:r>
    </w:p>
    <w:p w14:paraId="6519D949" w14:textId="77777777" w:rsidR="006F1E6E" w:rsidRPr="00034C0A" w:rsidRDefault="006F1E6E" w:rsidP="006F1E6E">
      <w:pPr>
        <w:widowControl w:val="0"/>
        <w:tabs>
          <w:tab w:val="left" w:pos="461"/>
        </w:tabs>
        <w:spacing w:after="0" w:line="239" w:lineRule="auto"/>
        <w:ind w:left="100" w:right="107"/>
        <w:jc w:val="both"/>
        <w:rPr>
          <w:rFonts w:ascii="Cambria" w:eastAsia="Cambria" w:hAnsi="Cambria" w:cs="Cambria"/>
          <w:position w:val="-1"/>
          <w:sz w:val="20"/>
          <w:szCs w:val="20"/>
          <w:lang w:val="es-US"/>
        </w:rPr>
      </w:pPr>
    </w:p>
    <w:p w14:paraId="2BB1BAEF" w14:textId="77777777" w:rsidR="006F1E6E" w:rsidRPr="00034C0A" w:rsidRDefault="006F1E6E" w:rsidP="00AE53EF">
      <w:pPr>
        <w:pStyle w:val="parrafos"/>
        <w:numPr>
          <w:ilvl w:val="0"/>
          <w:numId w:val="3"/>
        </w:numPr>
        <w:tabs>
          <w:tab w:val="left" w:pos="360"/>
        </w:tabs>
        <w:ind w:left="0" w:firstLine="0"/>
        <w:rPr>
          <w:rFonts w:eastAsia="Cambria"/>
          <w:spacing w:val="-2"/>
          <w:lang w:val="es-US"/>
        </w:rPr>
      </w:pPr>
      <w:r w:rsidRPr="00034C0A">
        <w:rPr>
          <w:rFonts w:eastAsia="Cambria" w:cs="Cambria"/>
          <w:position w:val="-1"/>
          <w:lang w:val="es-US"/>
        </w:rPr>
        <w:t>La</w:t>
      </w:r>
      <w:r w:rsidRPr="00034C0A">
        <w:rPr>
          <w:rFonts w:eastAsia="Cambria"/>
          <w:spacing w:val="-2"/>
          <w:lang w:val="es-US"/>
        </w:rPr>
        <w:t xml:space="preserve"> parte peticionaria indicó que mantuvo al inicio reuniones con Cancillería para la conformación de dicho tribunal, pero luego de los acercamientos del Estado argentino con el australiano, Argentina decidió suspender el diálogo. Reiteró su solicitud de que se confirme un tribunal arbitral para determinar la indemnización correspondiente.</w:t>
      </w:r>
    </w:p>
    <w:p w14:paraId="5C5D2E80" w14:textId="77777777" w:rsidR="006F1E6E" w:rsidRPr="00034C0A" w:rsidRDefault="006F1E6E" w:rsidP="006F1E6E">
      <w:pPr>
        <w:widowControl w:val="0"/>
        <w:tabs>
          <w:tab w:val="left" w:pos="461"/>
        </w:tabs>
        <w:spacing w:after="0" w:line="239" w:lineRule="auto"/>
        <w:ind w:right="107"/>
        <w:jc w:val="both"/>
        <w:rPr>
          <w:rFonts w:ascii="Cambria" w:eastAsia="Cambria" w:hAnsi="Cambria"/>
          <w:spacing w:val="-2"/>
          <w:sz w:val="20"/>
          <w:szCs w:val="20"/>
          <w:lang w:val="es-US"/>
        </w:rPr>
      </w:pPr>
    </w:p>
    <w:p w14:paraId="7DCDCFDE" w14:textId="77777777" w:rsidR="006F1E6E" w:rsidRPr="00034C0A" w:rsidRDefault="006F1E6E" w:rsidP="00AE53EF">
      <w:pPr>
        <w:pStyle w:val="parrafos"/>
        <w:numPr>
          <w:ilvl w:val="0"/>
          <w:numId w:val="3"/>
        </w:numPr>
        <w:tabs>
          <w:tab w:val="left" w:pos="360"/>
        </w:tabs>
        <w:ind w:left="0" w:firstLine="0"/>
        <w:rPr>
          <w:rFonts w:eastAsia="Cambria"/>
        </w:rPr>
      </w:pPr>
      <w:r w:rsidRPr="00034C0A">
        <w:rPr>
          <w:rFonts w:eastAsia="Cambria"/>
        </w:rPr>
        <w:t xml:space="preserve">El </w:t>
      </w:r>
      <w:r w:rsidRPr="00034C0A">
        <w:rPr>
          <w:rFonts w:eastAsia="Cambria"/>
          <w:spacing w:val="-2"/>
          <w:lang w:val="es-US"/>
        </w:rPr>
        <w:t>Estado</w:t>
      </w:r>
      <w:r w:rsidRPr="00034C0A">
        <w:rPr>
          <w:rFonts w:eastAsia="Cambria"/>
        </w:rPr>
        <w:t xml:space="preserve"> indicó que entiende que, habiéndose llegado a un acuerdo satisfactorio entre la peticionaria y su deudor, el Estado de Australia, debería darse por cerrado el presente caso, en tanto la parte peticionaria ya ha percibido efectivamente la indemnización antes mencionada – cuya falta de pago por parte de Australia era la causa que dio origen al presente reclamo internacional – e incluso ha encontrado satisfacción al reconocimiento de periodos de aportes jubilatorios que ella venía reclamando – reconocimiento que tendrá un impacto relevante en el monto de los haberes que la señora M.E.F. recibirá como jubilada. </w:t>
      </w:r>
    </w:p>
    <w:p w14:paraId="5BAC8304" w14:textId="77777777" w:rsidR="006F1E6E" w:rsidRPr="00034C0A" w:rsidRDefault="006F1E6E" w:rsidP="006F1E6E">
      <w:pPr>
        <w:widowControl w:val="0"/>
        <w:spacing w:after="0" w:line="240" w:lineRule="auto"/>
        <w:jc w:val="both"/>
        <w:rPr>
          <w:rFonts w:ascii="Cambria" w:eastAsia="Calibri" w:hAnsi="Cambria"/>
          <w:sz w:val="20"/>
          <w:szCs w:val="20"/>
        </w:rPr>
      </w:pPr>
    </w:p>
    <w:p w14:paraId="042B049A" w14:textId="77777777" w:rsidR="006F1E6E" w:rsidRPr="00034C0A" w:rsidRDefault="006F1E6E" w:rsidP="00AE53EF">
      <w:pPr>
        <w:pStyle w:val="parrafos"/>
        <w:numPr>
          <w:ilvl w:val="0"/>
          <w:numId w:val="3"/>
        </w:numPr>
        <w:tabs>
          <w:tab w:val="left" w:pos="360"/>
        </w:tabs>
        <w:ind w:left="0" w:firstLine="0"/>
        <w:rPr>
          <w:rFonts w:eastAsia="Cambria"/>
        </w:rPr>
      </w:pPr>
      <w:r w:rsidRPr="00034C0A">
        <w:rPr>
          <w:rFonts w:eastAsia="Cambria" w:cs="Cambria"/>
        </w:rPr>
        <w:lastRenderedPageBreak/>
        <w:t xml:space="preserve">El 30 de octubre de 2023, la parte peticionaria indicó que </w:t>
      </w:r>
      <w:r w:rsidRPr="00034C0A">
        <w:rPr>
          <w:rFonts w:eastAsia="Cambria"/>
        </w:rPr>
        <w:t xml:space="preserve">el acuerdo firmado con la Embajada de Australia no implicaba su renuncia a las reparaciones que corresponda en derecho abonar al Estado de Argentina para dar cumplimiento a la segunda recomendación del Informe de Fondo. Asimismo, reiteró que anteriormente, el Estado manifestó su voluntad de cumplir con esta recomendación a través de un tribunal arbitral y que ella había aceptado dicha propuesta. </w:t>
      </w:r>
    </w:p>
    <w:p w14:paraId="015C3AC0" w14:textId="77777777" w:rsidR="006F1E6E" w:rsidRPr="00034C0A" w:rsidRDefault="006F1E6E" w:rsidP="006F1E6E">
      <w:pPr>
        <w:widowControl w:val="0"/>
        <w:spacing w:after="0" w:line="240" w:lineRule="auto"/>
        <w:rPr>
          <w:rFonts w:eastAsia="Calibri"/>
        </w:rPr>
      </w:pPr>
    </w:p>
    <w:p w14:paraId="4A469112" w14:textId="77777777" w:rsidR="006F1E6E" w:rsidRPr="00034C0A" w:rsidRDefault="006F1E6E" w:rsidP="00AE53EF">
      <w:pPr>
        <w:pStyle w:val="parrafos"/>
        <w:numPr>
          <w:ilvl w:val="0"/>
          <w:numId w:val="3"/>
        </w:numPr>
        <w:tabs>
          <w:tab w:val="left" w:pos="360"/>
        </w:tabs>
        <w:ind w:left="0" w:firstLine="0"/>
        <w:rPr>
          <w:rFonts w:eastAsia="Cambria"/>
          <w:lang w:val="es-AR"/>
        </w:rPr>
      </w:pPr>
      <w:r w:rsidRPr="00034C0A">
        <w:rPr>
          <w:rFonts w:eastAsia="Cambria" w:cs="Cambria"/>
        </w:rPr>
        <w:t>Tras</w:t>
      </w:r>
      <w:r w:rsidRPr="00034C0A">
        <w:rPr>
          <w:rFonts w:eastAsia="Cambria"/>
          <w:lang w:val="es-US"/>
        </w:rPr>
        <w:t xml:space="preserve"> evaluar la información sobre el estado de cumplimiento de las recomendaciones, el 3 de noviembre de 2023, la Comisión decidió no enviar el caso a la Corte Interamericana y proceder hacia</w:t>
      </w:r>
      <w:r w:rsidRPr="00034C0A">
        <w:rPr>
          <w:rFonts w:eastAsia="Cambria"/>
          <w:lang w:val="es-AR"/>
        </w:rPr>
        <w:t xml:space="preserve"> la publicación del Informe, en concordancia con lo establecido en los artículos 51 de la Convención Americana y 47 del Reglamento de la CIDH. </w:t>
      </w:r>
    </w:p>
    <w:p w14:paraId="103837A9" w14:textId="77777777" w:rsidR="006F1E6E" w:rsidRPr="00034C0A" w:rsidRDefault="006F1E6E" w:rsidP="006F1E6E">
      <w:pPr>
        <w:widowControl w:val="0"/>
        <w:spacing w:after="0" w:line="240" w:lineRule="auto"/>
        <w:rPr>
          <w:rFonts w:eastAsia="Calibri"/>
          <w:lang w:val="es-AR"/>
        </w:rPr>
      </w:pPr>
    </w:p>
    <w:p w14:paraId="57BBFE59" w14:textId="77777777" w:rsidR="006F1E6E" w:rsidRPr="00034C0A" w:rsidRDefault="006F1E6E" w:rsidP="00AE53EF">
      <w:pPr>
        <w:pStyle w:val="parrafos"/>
        <w:numPr>
          <w:ilvl w:val="0"/>
          <w:numId w:val="3"/>
        </w:numPr>
        <w:tabs>
          <w:tab w:val="left" w:pos="360"/>
        </w:tabs>
        <w:ind w:left="0" w:firstLine="0"/>
        <w:rPr>
          <w:rFonts w:eastAsia="Cambria"/>
        </w:rPr>
      </w:pPr>
      <w:r w:rsidRPr="00034C0A">
        <w:rPr>
          <w:rFonts w:eastAsia="Cambria"/>
        </w:rPr>
        <w:t xml:space="preserve">La </w:t>
      </w:r>
      <w:r w:rsidRPr="00034C0A">
        <w:rPr>
          <w:rFonts w:eastAsia="Cambria" w:cs="Cambria"/>
        </w:rPr>
        <w:t>CIDH</w:t>
      </w:r>
      <w:r w:rsidRPr="00034C0A">
        <w:rPr>
          <w:rFonts w:eastAsia="Cambria"/>
        </w:rPr>
        <w:t xml:space="preserve"> indicó a ambas partes que al examinar el caso:</w:t>
      </w:r>
    </w:p>
    <w:p w14:paraId="62197FC3" w14:textId="77777777" w:rsidR="006F1E6E" w:rsidRPr="00034C0A" w:rsidRDefault="006F1E6E" w:rsidP="006F1E6E">
      <w:pPr>
        <w:widowControl w:val="0"/>
        <w:spacing w:after="0" w:line="240" w:lineRule="auto"/>
        <w:ind w:left="600" w:right="580"/>
        <w:rPr>
          <w:rFonts w:eastAsia="Calibri"/>
          <w:sz w:val="18"/>
          <w:szCs w:val="18"/>
        </w:rPr>
      </w:pPr>
    </w:p>
    <w:p w14:paraId="0747371B" w14:textId="77777777" w:rsidR="006F1E6E" w:rsidRPr="00034C0A" w:rsidRDefault="006F1E6E" w:rsidP="006F1E6E">
      <w:pPr>
        <w:widowControl w:val="0"/>
        <w:tabs>
          <w:tab w:val="left" w:pos="461"/>
        </w:tabs>
        <w:spacing w:after="0" w:line="239" w:lineRule="auto"/>
        <w:ind w:left="700" w:right="580"/>
        <w:jc w:val="both"/>
        <w:rPr>
          <w:rFonts w:ascii="Cambria" w:eastAsia="Cambria" w:hAnsi="Cambria"/>
          <w:sz w:val="18"/>
          <w:szCs w:val="18"/>
          <w:lang w:val="es-US"/>
        </w:rPr>
      </w:pPr>
      <w:r w:rsidRPr="00034C0A">
        <w:rPr>
          <w:rFonts w:ascii="Cambria" w:eastAsia="Cambria" w:hAnsi="Cambria"/>
          <w:sz w:val="18"/>
          <w:szCs w:val="18"/>
          <w:lang w:val="es-US"/>
        </w:rPr>
        <w:t xml:space="preserve">evaluó los avances sustantivos en el cumplimiento de las recomendaciones del Informe de Fondo. En particular, la Comisión notó que el Estado tomó las medidas necesarias, incluyendo medidas diplomáticas al más alto nivel, tendientes a lograr el cumplimiento de la decisión emitida el 18 de octubre de 2001 respecto de la Embajada de Australia y que se logró el pago […] en concepto de indemnización por parte del gobierno australiano. </w:t>
      </w:r>
    </w:p>
    <w:p w14:paraId="5219C36D" w14:textId="77777777" w:rsidR="006F1E6E" w:rsidRPr="00034C0A" w:rsidRDefault="006F1E6E" w:rsidP="006F1E6E">
      <w:pPr>
        <w:widowControl w:val="0"/>
        <w:tabs>
          <w:tab w:val="left" w:pos="461"/>
        </w:tabs>
        <w:spacing w:after="0" w:line="239" w:lineRule="auto"/>
        <w:ind w:left="700" w:right="580"/>
        <w:jc w:val="both"/>
        <w:rPr>
          <w:rFonts w:ascii="Cambria" w:eastAsia="Cambria" w:hAnsi="Cambria"/>
          <w:sz w:val="18"/>
          <w:szCs w:val="18"/>
          <w:lang w:val="es-US"/>
        </w:rPr>
      </w:pPr>
      <w:r w:rsidRPr="00034C0A">
        <w:rPr>
          <w:rFonts w:ascii="Cambria" w:eastAsia="Cambria" w:hAnsi="Cambria"/>
          <w:sz w:val="18"/>
          <w:szCs w:val="18"/>
          <w:lang w:val="es-US"/>
        </w:rPr>
        <w:t xml:space="preserve">La Comisión realizará el seguimiento correspondiente a la segunda recomendación, referida a la adopción del pago de una indemnización a la víctima por la violación declarada en el informe, específicamente, la omisión de adoptar medidas adecuadas para garantizar la ejecución de un fallo judicial. </w:t>
      </w:r>
    </w:p>
    <w:p w14:paraId="416B046A" w14:textId="77777777" w:rsidR="006F1E6E" w:rsidRPr="00034C0A" w:rsidRDefault="006F1E6E" w:rsidP="006F1E6E">
      <w:pPr>
        <w:widowControl w:val="0"/>
        <w:tabs>
          <w:tab w:val="left" w:pos="461"/>
        </w:tabs>
        <w:spacing w:after="0" w:line="239" w:lineRule="auto"/>
        <w:ind w:left="700" w:right="580"/>
        <w:jc w:val="both"/>
        <w:rPr>
          <w:rFonts w:ascii="Cambria" w:eastAsia="Cambria" w:hAnsi="Cambria"/>
          <w:sz w:val="18"/>
          <w:szCs w:val="18"/>
          <w:lang w:val="es-US"/>
        </w:rPr>
      </w:pPr>
    </w:p>
    <w:p w14:paraId="41952BDA" w14:textId="77777777" w:rsidR="006F1E6E" w:rsidRPr="00034C0A" w:rsidRDefault="006F1E6E" w:rsidP="00AE53EF">
      <w:pPr>
        <w:pStyle w:val="parrafos"/>
        <w:numPr>
          <w:ilvl w:val="0"/>
          <w:numId w:val="3"/>
        </w:numPr>
        <w:tabs>
          <w:tab w:val="left" w:pos="360"/>
        </w:tabs>
        <w:ind w:left="0" w:firstLine="0"/>
        <w:rPr>
          <w:rFonts w:eastAsia="Cambria"/>
        </w:rPr>
      </w:pPr>
      <w:r w:rsidRPr="00034C0A">
        <w:rPr>
          <w:rFonts w:eastAsia="Cambria" w:cs="Cambria"/>
        </w:rPr>
        <w:t>El</w:t>
      </w:r>
      <w:r w:rsidRPr="00034C0A">
        <w:rPr>
          <w:rFonts w:eastAsia="Cambria"/>
        </w:rPr>
        <w:t xml:space="preserve"> 4 de diciembre de 2023 la parte peticionaria informó que no había sido contactada por el Estado a fin de avanzar a la suscripción del acuerdo para dar cumplimiento a la segunda recomendación a través del citado Tribunal Ad Hoc.</w:t>
      </w:r>
    </w:p>
    <w:p w14:paraId="12C01FC4" w14:textId="77777777" w:rsidR="006F1E6E" w:rsidRPr="00034C0A" w:rsidRDefault="006F1E6E" w:rsidP="006F1E6E">
      <w:pPr>
        <w:widowControl w:val="0"/>
        <w:tabs>
          <w:tab w:val="left" w:pos="461"/>
        </w:tabs>
        <w:spacing w:after="0" w:line="239" w:lineRule="auto"/>
        <w:ind w:left="100" w:right="107"/>
        <w:jc w:val="both"/>
        <w:rPr>
          <w:rFonts w:ascii="Cambria" w:eastAsia="Cambria" w:hAnsi="Cambria"/>
          <w:sz w:val="20"/>
          <w:szCs w:val="20"/>
        </w:rPr>
      </w:pPr>
    </w:p>
    <w:p w14:paraId="6F8F664F" w14:textId="77777777" w:rsidR="006F1E6E" w:rsidRPr="00034C0A" w:rsidRDefault="006F1E6E" w:rsidP="00AE53EF">
      <w:pPr>
        <w:pStyle w:val="parrafos"/>
        <w:numPr>
          <w:ilvl w:val="0"/>
          <w:numId w:val="3"/>
        </w:numPr>
        <w:tabs>
          <w:tab w:val="left" w:pos="360"/>
        </w:tabs>
        <w:ind w:left="0" w:firstLine="0"/>
        <w:rPr>
          <w:rFonts w:eastAsia="Cambria" w:cs="Cambria"/>
          <w:lang w:val="es-US"/>
        </w:rPr>
      </w:pPr>
      <w:r w:rsidRPr="00034C0A">
        <w:rPr>
          <w:rFonts w:eastAsia="Cambria"/>
          <w:lang w:val="es-US"/>
        </w:rPr>
        <w:t xml:space="preserve">El 16 de julio de 2024, en relación a la segunda recomendación, relativa a la indemnización por la violación por la omisión de adoptar medidas adecuadas para garantizar la ejecución de un fallo judicial, el Estado reiteró que “para el Gobierno argentino, el debido respeto a la inmunidad de ejecución de la que goza el Gobierno australiano conforme al Derecho Internacional no puede entrañar como consecuencia la responsabilidad patrimonial de la República Argentina”. </w:t>
      </w:r>
    </w:p>
    <w:p w14:paraId="6B54E92C" w14:textId="77777777" w:rsidR="006F1E6E" w:rsidRPr="00034C0A" w:rsidRDefault="006F1E6E" w:rsidP="006F1E6E">
      <w:pPr>
        <w:widowControl w:val="0"/>
        <w:spacing w:after="0" w:line="240" w:lineRule="auto"/>
        <w:rPr>
          <w:rFonts w:eastAsia="Calibri" w:cs="Cambria"/>
          <w:lang w:val="es-US"/>
        </w:rPr>
      </w:pPr>
    </w:p>
    <w:p w14:paraId="33821C38" w14:textId="77777777" w:rsidR="006F1E6E" w:rsidRPr="00034C0A" w:rsidRDefault="006F1E6E" w:rsidP="00AE53EF">
      <w:pPr>
        <w:pStyle w:val="parrafos"/>
        <w:numPr>
          <w:ilvl w:val="0"/>
          <w:numId w:val="3"/>
        </w:numPr>
        <w:tabs>
          <w:tab w:val="left" w:pos="360"/>
        </w:tabs>
        <w:ind w:left="0" w:firstLine="0"/>
        <w:rPr>
          <w:rFonts w:eastAsia="Cambria" w:cs="Cambria"/>
          <w:lang w:val="es-US"/>
        </w:rPr>
      </w:pPr>
      <w:r w:rsidRPr="00034C0A">
        <w:rPr>
          <w:rFonts w:eastAsia="Cambria" w:cs="Cambria"/>
          <w:lang w:val="es-US"/>
        </w:rPr>
        <w:t xml:space="preserve">El </w:t>
      </w:r>
      <w:r w:rsidRPr="00034C0A">
        <w:rPr>
          <w:rFonts w:eastAsia="Cambria"/>
          <w:lang w:val="es-US"/>
        </w:rPr>
        <w:t>Estado</w:t>
      </w:r>
      <w:r w:rsidRPr="00034C0A">
        <w:rPr>
          <w:rFonts w:eastAsia="Cambria" w:cs="Cambria"/>
          <w:lang w:val="es-US"/>
        </w:rPr>
        <w:t xml:space="preserve"> solicitó que se deje constancia expresa en este Informe de su posición respecto a que no existió de su parte una “omisión de adoptar medidas adecuadas para garantizar la ejecución de un fallo judicial” o, cuanto menos, no existió una omisión jurídicamente reprochable a la luz de la normativa interna e internacional vigente. Considera que:</w:t>
      </w:r>
    </w:p>
    <w:p w14:paraId="21816517" w14:textId="77777777" w:rsidR="006F1E6E" w:rsidRPr="00034C0A" w:rsidRDefault="006F1E6E" w:rsidP="006F1E6E">
      <w:pPr>
        <w:widowControl w:val="0"/>
        <w:tabs>
          <w:tab w:val="left" w:pos="461"/>
        </w:tabs>
        <w:spacing w:before="1" w:after="0" w:line="239" w:lineRule="auto"/>
        <w:ind w:left="100" w:right="107"/>
        <w:jc w:val="both"/>
        <w:rPr>
          <w:rFonts w:ascii="Cambria" w:eastAsia="Cambria" w:hAnsi="Cambria" w:cs="Cambria"/>
          <w:sz w:val="20"/>
          <w:szCs w:val="20"/>
          <w:lang w:val="es-US"/>
        </w:rPr>
      </w:pPr>
    </w:p>
    <w:p w14:paraId="7C0FE789" w14:textId="77777777" w:rsidR="006F1E6E" w:rsidRPr="00034C0A" w:rsidRDefault="006F1E6E" w:rsidP="006F1E6E">
      <w:pPr>
        <w:widowControl w:val="0"/>
        <w:tabs>
          <w:tab w:val="left" w:pos="461"/>
        </w:tabs>
        <w:spacing w:after="0" w:line="239" w:lineRule="auto"/>
        <w:ind w:left="700" w:right="580"/>
        <w:jc w:val="both"/>
        <w:rPr>
          <w:rFonts w:ascii="Cambria" w:eastAsia="Cambria" w:hAnsi="Cambria" w:cs="Cambria"/>
          <w:sz w:val="18"/>
          <w:szCs w:val="18"/>
          <w:lang w:val="es-US"/>
        </w:rPr>
      </w:pPr>
      <w:r w:rsidRPr="00034C0A">
        <w:rPr>
          <w:rFonts w:ascii="Cambria" w:eastAsia="Cambria" w:hAnsi="Cambria" w:cs="Cambria"/>
          <w:sz w:val="18"/>
          <w:szCs w:val="18"/>
          <w:lang w:val="es-US"/>
        </w:rPr>
        <w:t>al no haber renunciado Australia a su inmunidad de ejecución, y no habiendo en su momento la peticionaria identificado bienes de ese país que no estuvieran afectados a la función estatal, esa inmunidad no había perdido su carácter absoluto. […] Por consiguiente, le hubiera correspondido en todo caso a la interesada identificar bienes de Australia en la Argentina que no estuvieran afectados a la función estatal o, cuanto menos, solicitar al juzgado el dictado de medidas para identificarlos. Si no lo hizo, el Juez no podía, en virtud del derecho vigente, hacerlo motu proprio. Y, en cualquier caso,</w:t>
      </w:r>
      <w:r w:rsidRPr="00034C0A">
        <w:rPr>
          <w:rFonts w:eastAsia="Calibri"/>
          <w:sz w:val="18"/>
          <w:szCs w:val="18"/>
          <w:lang w:val="es-US"/>
        </w:rPr>
        <w:t xml:space="preserve"> </w:t>
      </w:r>
      <w:r w:rsidRPr="00034C0A">
        <w:rPr>
          <w:rFonts w:ascii="Cambria" w:eastAsia="Cambria" w:hAnsi="Cambria" w:cs="Cambria"/>
          <w:sz w:val="18"/>
          <w:szCs w:val="18"/>
          <w:lang w:val="es-US"/>
        </w:rPr>
        <w:t>aun cuando el Juez hubiese procedido de oficio, contraviniendo lo dispuesto en los Códigos de Procedimiento vigentes, nada sugiere que se hubiesen podido identificar bienes del Estado australiano en territorio argentino no afectados a uso oficial. En ese sentido, el Estado argentino reitera su posición de que no puede afirmarse que en el presente caso se haya incurrido, por acción u omisión, en algún tipo de responsabilidad que justifique el pago por el Estado argentino de una indemnización a la peticionaria, adicional a la ya recibida por ésta del Estado de Australia. Desde tal perspectiva, abonar una indemnización como la pretendida significaría ir en contra de la posición constante sostenida por la Argentina en materia de inmunidad de</w:t>
      </w:r>
      <w:r w:rsidRPr="00034C0A">
        <w:rPr>
          <w:rFonts w:eastAsia="Calibri"/>
          <w:sz w:val="18"/>
          <w:szCs w:val="18"/>
          <w:lang w:val="es-US"/>
        </w:rPr>
        <w:t xml:space="preserve"> </w:t>
      </w:r>
      <w:r w:rsidRPr="00034C0A">
        <w:rPr>
          <w:rFonts w:ascii="Cambria" w:eastAsia="Cambria" w:hAnsi="Cambria" w:cs="Cambria"/>
          <w:sz w:val="18"/>
          <w:szCs w:val="18"/>
          <w:lang w:val="es-US"/>
        </w:rPr>
        <w:t>ejecución ante tribunales extranjeros e internacionales, pues implicaría admitir que respetar la inmunidad de ejecución de un Estado extranjero y el principio dispositivo en materia procesal puede constituir un accionar internacionalmente ilícito que da lugar a una necesidad de reparación, tesis que la República Argentina rechaza.</w:t>
      </w:r>
    </w:p>
    <w:p w14:paraId="09327E37" w14:textId="77777777" w:rsidR="006F1E6E" w:rsidRPr="00034C0A" w:rsidRDefault="006F1E6E" w:rsidP="006F1E6E">
      <w:pPr>
        <w:widowControl w:val="0"/>
        <w:tabs>
          <w:tab w:val="left" w:pos="461"/>
        </w:tabs>
        <w:spacing w:after="0" w:line="239" w:lineRule="auto"/>
        <w:ind w:left="700" w:right="580"/>
        <w:jc w:val="both"/>
        <w:rPr>
          <w:rFonts w:ascii="Cambria" w:eastAsia="Cambria" w:hAnsi="Cambria" w:cs="Cambria"/>
          <w:sz w:val="18"/>
          <w:szCs w:val="18"/>
          <w:lang w:val="es-US"/>
        </w:rPr>
      </w:pPr>
    </w:p>
    <w:p w14:paraId="7120B8CD" w14:textId="77777777" w:rsidR="006F1E6E" w:rsidRPr="00034C0A" w:rsidRDefault="006F1E6E" w:rsidP="00AE53EF">
      <w:pPr>
        <w:pStyle w:val="parrafos"/>
        <w:numPr>
          <w:ilvl w:val="0"/>
          <w:numId w:val="3"/>
        </w:numPr>
        <w:tabs>
          <w:tab w:val="left" w:pos="360"/>
        </w:tabs>
        <w:ind w:left="0" w:firstLine="0"/>
        <w:rPr>
          <w:rFonts w:eastAsia="Cambria" w:cs="Cambria"/>
          <w:lang w:val="es-US"/>
        </w:rPr>
      </w:pPr>
      <w:r w:rsidRPr="00034C0A">
        <w:rPr>
          <w:rFonts w:eastAsia="Cambria" w:cs="Cambria"/>
          <w:lang w:val="es-US"/>
        </w:rPr>
        <w:lastRenderedPageBreak/>
        <w:t xml:space="preserve">El </w:t>
      </w:r>
      <w:r w:rsidRPr="00034C0A">
        <w:rPr>
          <w:rFonts w:eastAsia="Cambria"/>
          <w:lang w:val="es-US"/>
        </w:rPr>
        <w:t>13</w:t>
      </w:r>
      <w:r w:rsidRPr="00034C0A">
        <w:rPr>
          <w:rFonts w:eastAsia="Cambria" w:cs="Cambria"/>
          <w:lang w:val="es-US"/>
        </w:rPr>
        <w:t xml:space="preserve"> de noviembre de 2024 la parte peticionaria respondió que no cree que la indemnización que pagó Australia sea fruto de un "denodado esfuerzo" realizado por el Estado argentino. Reiteró que, por el contrario, “el Estado argentino con sus acciones, omisiones y dilaciones ha tolerado y convalidado por más de un cuarto de siglo la conducta de Australia en Argentina en mi perjuicio”. Considera que el Estado no ha reclamado hasta hoy a Australia la deuda por aportes y contribuciones al sistema de seguridad social siendo el Estado argentino el único legitimado para efectuar tal reclamo, que afecta sus intereses.</w:t>
      </w:r>
    </w:p>
    <w:p w14:paraId="0F5E92DA" w14:textId="77777777" w:rsidR="006F1E6E" w:rsidRPr="00034C0A" w:rsidRDefault="006F1E6E" w:rsidP="006F1E6E">
      <w:pPr>
        <w:widowControl w:val="0"/>
        <w:tabs>
          <w:tab w:val="left" w:pos="461"/>
        </w:tabs>
        <w:spacing w:before="1" w:after="0" w:line="239" w:lineRule="auto"/>
        <w:ind w:left="100" w:right="107"/>
        <w:jc w:val="both"/>
        <w:rPr>
          <w:rFonts w:ascii="Cambria" w:eastAsia="Cambria" w:hAnsi="Cambria" w:cs="Cambria"/>
          <w:sz w:val="20"/>
          <w:szCs w:val="20"/>
          <w:lang w:val="es-US"/>
        </w:rPr>
      </w:pPr>
    </w:p>
    <w:p w14:paraId="3A346AC5" w14:textId="77777777" w:rsidR="006F1E6E" w:rsidRPr="00034C0A" w:rsidRDefault="006F1E6E" w:rsidP="00AE53EF">
      <w:pPr>
        <w:pStyle w:val="parrafos"/>
        <w:numPr>
          <w:ilvl w:val="0"/>
          <w:numId w:val="3"/>
        </w:numPr>
        <w:tabs>
          <w:tab w:val="left" w:pos="360"/>
        </w:tabs>
        <w:ind w:left="0" w:firstLine="0"/>
        <w:rPr>
          <w:rFonts w:eastAsia="Cambria" w:cs="Cambria"/>
          <w:lang w:val="es-US"/>
        </w:rPr>
      </w:pPr>
      <w:r w:rsidRPr="00034C0A">
        <w:rPr>
          <w:rFonts w:eastAsia="Cambria"/>
          <w:lang w:val="es-US"/>
        </w:rPr>
        <w:t>La</w:t>
      </w:r>
      <w:r w:rsidRPr="00034C0A">
        <w:rPr>
          <w:rFonts w:eastAsia="Cambria" w:cs="Cambria"/>
          <w:lang w:val="es-US"/>
        </w:rPr>
        <w:t xml:space="preserve"> parte peticionaria solicitó a la CIDH que inste nuevamente al Estado a continuar el diálogo ya iniciado para poder avanzar en la suscripción de un acuerdo para la constitución de un Tribunal Arbitral Ad Hoc para la determinación de la indemnización que le adeuda.</w:t>
      </w:r>
    </w:p>
    <w:p w14:paraId="07F0DC8A" w14:textId="77777777" w:rsidR="006F1E6E" w:rsidRPr="00034C0A" w:rsidRDefault="006F1E6E" w:rsidP="006F1E6E">
      <w:pPr>
        <w:widowControl w:val="0"/>
        <w:tabs>
          <w:tab w:val="left" w:pos="461"/>
        </w:tabs>
        <w:spacing w:before="1" w:after="0" w:line="239" w:lineRule="auto"/>
        <w:ind w:left="100" w:right="107"/>
        <w:jc w:val="both"/>
        <w:rPr>
          <w:rFonts w:ascii="Cambria" w:eastAsia="Cambria" w:hAnsi="Cambria" w:cs="Cambria"/>
          <w:sz w:val="20"/>
          <w:szCs w:val="20"/>
          <w:lang w:val="es-US"/>
        </w:rPr>
      </w:pPr>
    </w:p>
    <w:p w14:paraId="3E494CDC" w14:textId="77777777" w:rsidR="006F1E6E" w:rsidRPr="00034C0A" w:rsidRDefault="006F1E6E" w:rsidP="00AE53EF">
      <w:pPr>
        <w:pStyle w:val="parrafos"/>
        <w:numPr>
          <w:ilvl w:val="0"/>
          <w:numId w:val="3"/>
        </w:numPr>
        <w:tabs>
          <w:tab w:val="left" w:pos="360"/>
        </w:tabs>
        <w:ind w:left="0" w:firstLine="0"/>
        <w:rPr>
          <w:rFonts w:eastAsia="Cambria" w:cs="Cambria"/>
          <w:lang w:val="es-US"/>
        </w:rPr>
      </w:pPr>
      <w:r w:rsidRPr="00034C0A">
        <w:rPr>
          <w:rFonts w:eastAsia="Cambria" w:cs="Cambria"/>
          <w:lang w:val="es-US"/>
        </w:rPr>
        <w:t xml:space="preserve">Con </w:t>
      </w:r>
      <w:r w:rsidRPr="00034C0A">
        <w:rPr>
          <w:rFonts w:eastAsia="Cambria"/>
          <w:lang w:val="es-US"/>
        </w:rPr>
        <w:t>respecto</w:t>
      </w:r>
      <w:r w:rsidRPr="00034C0A">
        <w:rPr>
          <w:rFonts w:eastAsia="Cambria" w:cs="Cambria"/>
          <w:lang w:val="es-US"/>
        </w:rPr>
        <w:t xml:space="preserve"> a la </w:t>
      </w:r>
      <w:r w:rsidRPr="00034C0A">
        <w:rPr>
          <w:rFonts w:eastAsia="Cambria" w:cs="Cambria"/>
          <w:b/>
          <w:bCs/>
          <w:lang w:val="es-US"/>
        </w:rPr>
        <w:t>primera recomendación</w:t>
      </w:r>
      <w:r w:rsidRPr="00034C0A">
        <w:rPr>
          <w:rFonts w:eastAsia="Cambria" w:cs="Cambria"/>
          <w:lang w:val="es-US"/>
        </w:rPr>
        <w:t xml:space="preserve">, relativa a la adopción de medidas necesarias, tendientes a lograr el cumplimiento de la decisión emitida el 18 de octubre de 2001 respecto de la Embajada de Australia, la Comisión observa que, </w:t>
      </w:r>
      <w:r w:rsidRPr="00034C0A">
        <w:rPr>
          <w:rFonts w:eastAsia="Cambria" w:cs="Cambria"/>
          <w:position w:val="-1"/>
          <w:lang w:val="es-US"/>
        </w:rPr>
        <w:t xml:space="preserve">durante los tres años desde la notificación del Informe de Fondo el Estado llevó a cabo numerosas gestiones para lograr el cumplimiento del pago por parte del gobierno australiano. Las gestiones realizadas por el Estado argentino fueron esenciales para la firma del acuerdo entre Australia y la peticionaria, tanto al hacer de conocimiento del gobierno australiano la recomendación de la CIDH en su Informe de Fondo, como solicitando que se realizara un diálogo directo con la víctima y siguiendo el diálogo de forma periódica. La Comisión nota que fue a </w:t>
      </w:r>
      <w:r w:rsidRPr="00034C0A">
        <w:rPr>
          <w:rFonts w:eastAsia="Cambria" w:cs="Cambria"/>
          <w:lang w:val="es-US"/>
        </w:rPr>
        <w:t>raíz de estas gestiones, que la peticionaria llegó a un acuerdo con el gobierno australiano y que la indemnización ofrecida fue pagada. Por lo tanto, la Comisión concluye que la primera recomendación se encuentra totalmente cumplida.</w:t>
      </w:r>
    </w:p>
    <w:p w14:paraId="1D166CA4" w14:textId="77777777" w:rsidR="006F1E6E" w:rsidRPr="00034C0A" w:rsidRDefault="006F1E6E" w:rsidP="006F1E6E">
      <w:pPr>
        <w:widowControl w:val="0"/>
        <w:spacing w:after="0" w:line="240" w:lineRule="auto"/>
        <w:rPr>
          <w:rFonts w:eastAsia="Calibri" w:cs="Cambria"/>
          <w:lang w:val="es-US"/>
        </w:rPr>
      </w:pPr>
    </w:p>
    <w:p w14:paraId="00528575" w14:textId="77777777" w:rsidR="006F1E6E" w:rsidRPr="00034C0A" w:rsidRDefault="006F1E6E" w:rsidP="00AE53EF">
      <w:pPr>
        <w:pStyle w:val="parrafos"/>
        <w:numPr>
          <w:ilvl w:val="0"/>
          <w:numId w:val="3"/>
        </w:numPr>
        <w:tabs>
          <w:tab w:val="left" w:pos="360"/>
        </w:tabs>
        <w:ind w:left="0" w:firstLine="0"/>
        <w:rPr>
          <w:rFonts w:eastAsia="Cambria" w:cs="Cambria"/>
          <w:lang w:val="es-US"/>
        </w:rPr>
      </w:pPr>
      <w:r w:rsidRPr="00034C0A">
        <w:rPr>
          <w:rFonts w:eastAsia="Cambria"/>
          <w:lang w:val="es-US"/>
        </w:rPr>
        <w:t>Con</w:t>
      </w:r>
      <w:r w:rsidRPr="00034C0A">
        <w:rPr>
          <w:rFonts w:eastAsia="Cambria" w:cs="Cambria"/>
          <w:lang w:val="es-US"/>
        </w:rPr>
        <w:t xml:space="preserve"> respecto a la </w:t>
      </w:r>
      <w:r w:rsidRPr="00034C0A">
        <w:rPr>
          <w:rFonts w:eastAsia="Cambria" w:cs="Cambria"/>
          <w:b/>
          <w:bCs/>
          <w:lang w:val="es-US"/>
        </w:rPr>
        <w:t>segunda recomendación</w:t>
      </w:r>
      <w:r w:rsidRPr="00034C0A">
        <w:rPr>
          <w:rFonts w:eastAsia="Cambria" w:cs="Cambria"/>
          <w:lang w:val="es-US"/>
        </w:rPr>
        <w:t xml:space="preserve">, relativa </w:t>
      </w:r>
      <w:r w:rsidRPr="00034C0A">
        <w:rPr>
          <w:rFonts w:eastAsia="Cambria"/>
          <w:spacing w:val="1"/>
          <w:lang w:val="es-US"/>
        </w:rPr>
        <w:t>al</w:t>
      </w:r>
      <w:r w:rsidRPr="00034C0A">
        <w:rPr>
          <w:rFonts w:eastAsia="Cambria"/>
          <w:spacing w:val="3"/>
          <w:lang w:val="es-US"/>
        </w:rPr>
        <w:t xml:space="preserve"> </w:t>
      </w:r>
      <w:r w:rsidRPr="00034C0A">
        <w:rPr>
          <w:rFonts w:eastAsia="Cambria"/>
          <w:spacing w:val="-2"/>
          <w:lang w:val="es-US"/>
        </w:rPr>
        <w:t>pago</w:t>
      </w:r>
      <w:r w:rsidRPr="00034C0A">
        <w:rPr>
          <w:rFonts w:eastAsia="Cambria"/>
          <w:spacing w:val="2"/>
          <w:lang w:val="es-US"/>
        </w:rPr>
        <w:t xml:space="preserve"> </w:t>
      </w:r>
      <w:r w:rsidRPr="00034C0A">
        <w:rPr>
          <w:rFonts w:eastAsia="Cambria"/>
          <w:spacing w:val="-1"/>
          <w:lang w:val="es-US"/>
        </w:rPr>
        <w:t>de</w:t>
      </w:r>
      <w:r w:rsidRPr="00034C0A">
        <w:rPr>
          <w:rFonts w:eastAsia="Cambria"/>
          <w:spacing w:val="5"/>
          <w:lang w:val="es-US"/>
        </w:rPr>
        <w:t xml:space="preserve"> </w:t>
      </w:r>
      <w:r w:rsidRPr="00034C0A">
        <w:rPr>
          <w:rFonts w:eastAsia="Cambria"/>
          <w:spacing w:val="-2"/>
          <w:lang w:val="es-US"/>
        </w:rPr>
        <w:t>una</w:t>
      </w:r>
      <w:r w:rsidRPr="00034C0A">
        <w:rPr>
          <w:rFonts w:eastAsia="Cambria"/>
          <w:spacing w:val="6"/>
          <w:lang w:val="es-US"/>
        </w:rPr>
        <w:t xml:space="preserve"> </w:t>
      </w:r>
      <w:r w:rsidRPr="00034C0A">
        <w:rPr>
          <w:rFonts w:eastAsia="Cambria"/>
          <w:spacing w:val="-1"/>
          <w:lang w:val="es-US"/>
        </w:rPr>
        <w:t>indemnización</w:t>
      </w:r>
      <w:r w:rsidRPr="00034C0A">
        <w:rPr>
          <w:rFonts w:eastAsia="Cambria"/>
          <w:spacing w:val="2"/>
          <w:lang w:val="es-US"/>
        </w:rPr>
        <w:t xml:space="preserve"> </w:t>
      </w:r>
      <w:r w:rsidRPr="00034C0A">
        <w:rPr>
          <w:rFonts w:eastAsia="Cambria"/>
          <w:lang w:val="es-US"/>
        </w:rPr>
        <w:t>a</w:t>
      </w:r>
      <w:r w:rsidRPr="00034C0A">
        <w:rPr>
          <w:rFonts w:eastAsia="Cambria"/>
          <w:spacing w:val="5"/>
          <w:lang w:val="es-US"/>
        </w:rPr>
        <w:t xml:space="preserve"> </w:t>
      </w:r>
      <w:r w:rsidRPr="00034C0A">
        <w:rPr>
          <w:rFonts w:eastAsia="Cambria"/>
          <w:lang w:val="es-US"/>
        </w:rPr>
        <w:t>la</w:t>
      </w:r>
      <w:r w:rsidRPr="00034C0A">
        <w:rPr>
          <w:rFonts w:eastAsia="Cambria"/>
          <w:spacing w:val="5"/>
          <w:lang w:val="es-US"/>
        </w:rPr>
        <w:t xml:space="preserve"> </w:t>
      </w:r>
      <w:r w:rsidRPr="00034C0A">
        <w:rPr>
          <w:rFonts w:eastAsia="Cambria"/>
          <w:lang w:val="es-US"/>
        </w:rPr>
        <w:t>víctima</w:t>
      </w:r>
      <w:r w:rsidRPr="00034C0A">
        <w:rPr>
          <w:rFonts w:eastAsia="Cambria"/>
          <w:spacing w:val="5"/>
          <w:lang w:val="es-US"/>
        </w:rPr>
        <w:t xml:space="preserve"> </w:t>
      </w:r>
      <w:r w:rsidRPr="00034C0A">
        <w:rPr>
          <w:rFonts w:eastAsia="Cambria"/>
          <w:spacing w:val="-2"/>
          <w:lang w:val="es-US"/>
        </w:rPr>
        <w:t>por</w:t>
      </w:r>
      <w:r w:rsidRPr="00034C0A">
        <w:rPr>
          <w:rFonts w:eastAsia="Cambria"/>
          <w:spacing w:val="5"/>
          <w:lang w:val="es-US"/>
        </w:rPr>
        <w:t xml:space="preserve"> </w:t>
      </w:r>
      <w:r w:rsidRPr="00034C0A">
        <w:rPr>
          <w:rFonts w:eastAsia="Cambria"/>
          <w:lang w:val="es-US"/>
        </w:rPr>
        <w:t>la</w:t>
      </w:r>
      <w:r w:rsidRPr="00034C0A">
        <w:rPr>
          <w:rFonts w:eastAsia="Cambria"/>
          <w:spacing w:val="-6"/>
          <w:lang w:val="es-US"/>
        </w:rPr>
        <w:t xml:space="preserve"> </w:t>
      </w:r>
      <w:r w:rsidRPr="00034C0A">
        <w:rPr>
          <w:rFonts w:eastAsia="Cambria"/>
          <w:spacing w:val="-2"/>
          <w:lang w:val="es-US"/>
        </w:rPr>
        <w:t>omisión</w:t>
      </w:r>
      <w:r w:rsidRPr="00034C0A">
        <w:rPr>
          <w:rFonts w:eastAsia="Cambria"/>
          <w:spacing w:val="-9"/>
          <w:lang w:val="es-US"/>
        </w:rPr>
        <w:t xml:space="preserve"> </w:t>
      </w:r>
      <w:r w:rsidRPr="00034C0A">
        <w:rPr>
          <w:rFonts w:eastAsia="Cambria"/>
          <w:spacing w:val="-1"/>
          <w:lang w:val="es-US"/>
        </w:rPr>
        <w:t>de</w:t>
      </w:r>
      <w:r w:rsidRPr="00034C0A">
        <w:rPr>
          <w:rFonts w:eastAsia="Cambria"/>
          <w:spacing w:val="-5"/>
          <w:lang w:val="es-US"/>
        </w:rPr>
        <w:t xml:space="preserve"> </w:t>
      </w:r>
      <w:r w:rsidRPr="00034C0A">
        <w:rPr>
          <w:rFonts w:eastAsia="Cambria"/>
          <w:spacing w:val="-1"/>
          <w:lang w:val="es-US"/>
        </w:rPr>
        <w:t>adoptar</w:t>
      </w:r>
      <w:r w:rsidRPr="00034C0A">
        <w:rPr>
          <w:rFonts w:eastAsia="Cambria"/>
          <w:spacing w:val="-9"/>
          <w:lang w:val="es-US"/>
        </w:rPr>
        <w:t xml:space="preserve"> </w:t>
      </w:r>
      <w:r w:rsidRPr="00034C0A">
        <w:rPr>
          <w:rFonts w:eastAsia="Cambria"/>
          <w:spacing w:val="-1"/>
          <w:lang w:val="es-US"/>
        </w:rPr>
        <w:t>medidas</w:t>
      </w:r>
      <w:r w:rsidRPr="00034C0A">
        <w:rPr>
          <w:rFonts w:eastAsia="Cambria"/>
          <w:spacing w:val="-7"/>
          <w:lang w:val="es-US"/>
        </w:rPr>
        <w:t xml:space="preserve"> </w:t>
      </w:r>
      <w:r w:rsidRPr="00034C0A">
        <w:rPr>
          <w:rFonts w:eastAsia="Cambria"/>
          <w:spacing w:val="-1"/>
          <w:lang w:val="es-US"/>
        </w:rPr>
        <w:t>adecuadas</w:t>
      </w:r>
      <w:r w:rsidRPr="00034C0A">
        <w:rPr>
          <w:rFonts w:eastAsia="Cambria"/>
          <w:spacing w:val="-12"/>
          <w:lang w:val="es-US"/>
        </w:rPr>
        <w:t xml:space="preserve"> </w:t>
      </w:r>
      <w:r w:rsidRPr="00034C0A">
        <w:rPr>
          <w:rFonts w:eastAsia="Cambria"/>
          <w:lang w:val="es-US"/>
        </w:rPr>
        <w:t>para</w:t>
      </w:r>
      <w:r w:rsidRPr="00034C0A">
        <w:rPr>
          <w:rFonts w:eastAsia="Cambria"/>
          <w:spacing w:val="-9"/>
          <w:lang w:val="es-US"/>
        </w:rPr>
        <w:t xml:space="preserve"> </w:t>
      </w:r>
      <w:r w:rsidRPr="00034C0A">
        <w:rPr>
          <w:rFonts w:eastAsia="Cambria"/>
          <w:spacing w:val="-1"/>
          <w:lang w:val="es-US"/>
        </w:rPr>
        <w:t>garantizar</w:t>
      </w:r>
      <w:r w:rsidRPr="00034C0A">
        <w:rPr>
          <w:rFonts w:eastAsia="Cambria"/>
          <w:spacing w:val="-4"/>
          <w:lang w:val="es-US"/>
        </w:rPr>
        <w:t xml:space="preserve"> </w:t>
      </w:r>
      <w:r w:rsidRPr="00034C0A">
        <w:rPr>
          <w:rFonts w:eastAsia="Cambria"/>
          <w:spacing w:val="-3"/>
          <w:lang w:val="es-US"/>
        </w:rPr>
        <w:t>la</w:t>
      </w:r>
      <w:r w:rsidRPr="00034C0A">
        <w:rPr>
          <w:rFonts w:eastAsia="Cambria"/>
          <w:spacing w:val="-10"/>
          <w:lang w:val="es-US"/>
        </w:rPr>
        <w:t xml:space="preserve"> </w:t>
      </w:r>
      <w:r w:rsidRPr="00034C0A">
        <w:rPr>
          <w:rFonts w:eastAsia="Cambria"/>
          <w:spacing w:val="-1"/>
          <w:lang w:val="es-US"/>
        </w:rPr>
        <w:t>ejecución</w:t>
      </w:r>
      <w:r w:rsidRPr="00034C0A">
        <w:rPr>
          <w:rFonts w:eastAsia="Cambria"/>
          <w:spacing w:val="-8"/>
          <w:lang w:val="es-US"/>
        </w:rPr>
        <w:t xml:space="preserve"> </w:t>
      </w:r>
      <w:r w:rsidRPr="00034C0A">
        <w:rPr>
          <w:rFonts w:eastAsia="Cambria"/>
          <w:spacing w:val="-1"/>
          <w:lang w:val="es-US"/>
        </w:rPr>
        <w:t>de</w:t>
      </w:r>
      <w:r w:rsidRPr="00034C0A">
        <w:rPr>
          <w:rFonts w:eastAsia="Cambria"/>
          <w:spacing w:val="-9"/>
          <w:lang w:val="es-US"/>
        </w:rPr>
        <w:t xml:space="preserve"> </w:t>
      </w:r>
      <w:r w:rsidRPr="00034C0A">
        <w:rPr>
          <w:rFonts w:eastAsia="Cambria"/>
          <w:spacing w:val="-1"/>
          <w:lang w:val="es-US"/>
        </w:rPr>
        <w:t>un</w:t>
      </w:r>
      <w:r w:rsidRPr="00034C0A">
        <w:rPr>
          <w:rFonts w:eastAsia="Cambria"/>
          <w:spacing w:val="-9"/>
          <w:lang w:val="es-US"/>
        </w:rPr>
        <w:t xml:space="preserve"> </w:t>
      </w:r>
      <w:r w:rsidRPr="00034C0A">
        <w:rPr>
          <w:rFonts w:eastAsia="Cambria"/>
          <w:lang w:val="es-US"/>
        </w:rPr>
        <w:t>fallo</w:t>
      </w:r>
      <w:r w:rsidRPr="00034C0A">
        <w:rPr>
          <w:rFonts w:eastAsia="Cambria"/>
          <w:spacing w:val="-13"/>
          <w:lang w:val="es-US"/>
        </w:rPr>
        <w:t xml:space="preserve"> </w:t>
      </w:r>
      <w:r w:rsidRPr="00034C0A">
        <w:rPr>
          <w:rFonts w:eastAsia="Cambria"/>
          <w:lang w:val="es-US"/>
        </w:rPr>
        <w:t xml:space="preserve">judicial, la Comisión nota el ofrecimiento del Estado de firmar un acuerdo de cumplimiento para conformar un Tribunal Ad Hoc que determine el monto de la indemnización, el cual fue aceptado por la parte peticionaria. Sin embargo, posteriormente, el Estado consideró pronunciarse al respecto una vez cumplida la primera recomendación. </w:t>
      </w:r>
    </w:p>
    <w:p w14:paraId="78D67D9E" w14:textId="77777777" w:rsidR="006F1E6E" w:rsidRPr="00034C0A" w:rsidRDefault="006F1E6E" w:rsidP="006F1E6E">
      <w:pPr>
        <w:widowControl w:val="0"/>
        <w:spacing w:after="0" w:line="240" w:lineRule="auto"/>
        <w:rPr>
          <w:rFonts w:eastAsia="Calibri"/>
          <w:lang w:val="es-US"/>
        </w:rPr>
      </w:pPr>
    </w:p>
    <w:p w14:paraId="579E055E" w14:textId="77777777" w:rsidR="006F1E6E" w:rsidRPr="00034C0A" w:rsidRDefault="006F1E6E" w:rsidP="00AE53EF">
      <w:pPr>
        <w:pStyle w:val="parrafos"/>
        <w:numPr>
          <w:ilvl w:val="0"/>
          <w:numId w:val="3"/>
        </w:numPr>
        <w:tabs>
          <w:tab w:val="left" w:pos="360"/>
        </w:tabs>
        <w:ind w:left="0" w:firstLine="0"/>
        <w:rPr>
          <w:rFonts w:eastAsia="Cambria" w:cs="Cambria"/>
          <w:lang w:val="es-US"/>
        </w:rPr>
      </w:pPr>
      <w:r w:rsidRPr="00034C0A">
        <w:rPr>
          <w:rFonts w:eastAsia="Cambria"/>
          <w:lang w:val="es-US"/>
        </w:rPr>
        <w:t xml:space="preserve">Luego de firmado el acuerdo de pago entre la peticionaria y Australia el Estado argentino </w:t>
      </w:r>
      <w:r w:rsidRPr="00034C0A">
        <w:rPr>
          <w:rFonts w:eastAsia="Cambria"/>
        </w:rPr>
        <w:t>entendió que, habiéndose llegado a un acuerdo satisfactorio entre la peticionaria y su deudor, el Estado de Australia, debería darse por cerrado el presente caso, en tanto la parte peticionaria ya ha percibido efectivamente la indemnización antes mencionada, cuya falta de pago por parte de Australia era la causa que dio origen al presente reclamo internacional. El Estado mantiene esta posición.</w:t>
      </w:r>
    </w:p>
    <w:p w14:paraId="6440CFD2" w14:textId="77777777" w:rsidR="006F1E6E" w:rsidRPr="00034C0A" w:rsidRDefault="006F1E6E" w:rsidP="006F1E6E">
      <w:pPr>
        <w:widowControl w:val="0"/>
        <w:spacing w:after="0" w:line="240" w:lineRule="auto"/>
        <w:rPr>
          <w:rFonts w:eastAsia="Calibri" w:cs="Cambria"/>
          <w:lang w:val="es-US"/>
        </w:rPr>
      </w:pPr>
    </w:p>
    <w:p w14:paraId="2571A1FA" w14:textId="77777777" w:rsidR="006F1E6E" w:rsidRPr="00034C0A" w:rsidRDefault="006F1E6E" w:rsidP="00AE53EF">
      <w:pPr>
        <w:pStyle w:val="parrafos"/>
        <w:numPr>
          <w:ilvl w:val="0"/>
          <w:numId w:val="3"/>
        </w:numPr>
        <w:tabs>
          <w:tab w:val="left" w:pos="360"/>
        </w:tabs>
        <w:ind w:left="0" w:firstLine="0"/>
        <w:rPr>
          <w:rFonts w:eastAsia="Cambria"/>
          <w:lang w:val="es-US"/>
        </w:rPr>
      </w:pPr>
      <w:r w:rsidRPr="00034C0A">
        <w:rPr>
          <w:rFonts w:eastAsia="Cambria" w:cs="Cambria"/>
          <w:lang w:val="es-US"/>
        </w:rPr>
        <w:t xml:space="preserve">Al </w:t>
      </w:r>
      <w:r w:rsidRPr="00034C0A">
        <w:rPr>
          <w:rFonts w:eastAsia="Cambria"/>
          <w:lang w:val="es-US"/>
        </w:rPr>
        <w:t>respecto</w:t>
      </w:r>
      <w:r w:rsidRPr="00034C0A">
        <w:rPr>
          <w:rFonts w:eastAsia="Cambria" w:cs="Cambria"/>
          <w:lang w:val="es-US"/>
        </w:rPr>
        <w:t xml:space="preserve">, la Comisión recuerda al Estado argentino que la indemnización establecida en la segunda recomendación de su Informe de Fondo resulta de la violación por ella determinada, con base en el análisis realizado en los párrafos 57-77 </w:t>
      </w:r>
      <w:r w:rsidRPr="00034C0A">
        <w:rPr>
          <w:rFonts w:eastAsia="Cambria" w:cs="Cambria"/>
          <w:i/>
          <w:iCs/>
          <w:lang w:val="es-US"/>
        </w:rPr>
        <w:t>supra</w:t>
      </w:r>
      <w:r w:rsidRPr="00034C0A">
        <w:rPr>
          <w:rFonts w:eastAsia="Cambria" w:cs="Cambria"/>
          <w:lang w:val="es-US"/>
        </w:rPr>
        <w:t xml:space="preserve">. La Comisión resalta los párrafos 74-77 </w:t>
      </w:r>
      <w:r w:rsidRPr="00034C0A">
        <w:rPr>
          <w:rFonts w:eastAsia="Cambria" w:cs="Cambria"/>
          <w:i/>
          <w:iCs/>
          <w:lang w:val="es-US"/>
        </w:rPr>
        <w:t>supra</w:t>
      </w:r>
      <w:r w:rsidRPr="00034C0A">
        <w:rPr>
          <w:rFonts w:eastAsia="Cambria" w:cs="Cambria"/>
          <w:lang w:val="es-US"/>
        </w:rPr>
        <w:t xml:space="preserve"> y reitera que:</w:t>
      </w:r>
    </w:p>
    <w:p w14:paraId="135FC2DF" w14:textId="77777777" w:rsidR="006F1E6E" w:rsidRPr="00034C0A" w:rsidRDefault="006F1E6E" w:rsidP="006F1E6E">
      <w:pPr>
        <w:widowControl w:val="0"/>
        <w:tabs>
          <w:tab w:val="left" w:pos="461"/>
        </w:tabs>
        <w:spacing w:after="0" w:line="239" w:lineRule="auto"/>
        <w:ind w:left="700" w:right="580"/>
        <w:jc w:val="both"/>
        <w:rPr>
          <w:rFonts w:ascii="Cambria" w:eastAsia="Cambria" w:hAnsi="Cambria" w:cs="Cambria"/>
          <w:sz w:val="18"/>
          <w:szCs w:val="18"/>
          <w:lang w:val="es-US"/>
        </w:rPr>
      </w:pPr>
    </w:p>
    <w:p w14:paraId="5BC3B0B0" w14:textId="77777777" w:rsidR="006F1E6E" w:rsidRPr="00034C0A" w:rsidRDefault="006F1E6E" w:rsidP="006F1E6E">
      <w:pPr>
        <w:widowControl w:val="0"/>
        <w:tabs>
          <w:tab w:val="left" w:pos="481"/>
        </w:tabs>
        <w:spacing w:after="0" w:line="239" w:lineRule="auto"/>
        <w:ind w:left="700" w:right="580"/>
        <w:jc w:val="both"/>
        <w:rPr>
          <w:rFonts w:ascii="Cambria" w:eastAsia="Cambria" w:hAnsi="Cambria" w:cs="Cambria"/>
          <w:sz w:val="18"/>
          <w:szCs w:val="18"/>
          <w:lang w:val="es-US"/>
        </w:rPr>
      </w:pPr>
      <w:r w:rsidRPr="00034C0A">
        <w:rPr>
          <w:rFonts w:ascii="Cambria" w:eastAsia="Cambria" w:hAnsi="Cambria" w:cs="Cambria"/>
          <w:sz w:val="18"/>
          <w:szCs w:val="18"/>
          <w:lang w:val="es-US"/>
        </w:rPr>
        <w:t>la omisión del juez a cargo del proceso para conducir la ejecución del fallo contra la Embajada de Australia y, en particular, debido a que, como se ha explicado, existen otros medios para lograrlo en respeto de la inmunidad de ejecución -como lo es mediante la verificación sobre los bienes que estarían destinados a una actividad comercial o que podrían ser objeto de ejecución forzosa, conforme a los parámetros antes descritos- constituyó una afectación desproporcionada al derecho a la protección judicial de la señora M.E.F..</w:t>
      </w:r>
    </w:p>
    <w:p w14:paraId="7D5E3B4E" w14:textId="77777777" w:rsidR="006F1E6E" w:rsidRPr="00034C0A" w:rsidRDefault="006F1E6E" w:rsidP="006F1E6E">
      <w:pPr>
        <w:widowControl w:val="0"/>
        <w:tabs>
          <w:tab w:val="left" w:pos="481"/>
        </w:tabs>
        <w:spacing w:after="0" w:line="240" w:lineRule="auto"/>
        <w:ind w:left="120" w:right="106"/>
        <w:jc w:val="both"/>
        <w:rPr>
          <w:rFonts w:ascii="Cambria" w:eastAsia="Cambria" w:hAnsi="Cambria"/>
          <w:sz w:val="20"/>
          <w:szCs w:val="20"/>
          <w:lang w:val="es-US"/>
        </w:rPr>
      </w:pPr>
    </w:p>
    <w:p w14:paraId="23162AB4" w14:textId="77777777" w:rsidR="006F1E6E" w:rsidRPr="00034C0A" w:rsidRDefault="006F1E6E" w:rsidP="00AE53EF">
      <w:pPr>
        <w:pStyle w:val="parrafos"/>
        <w:numPr>
          <w:ilvl w:val="0"/>
          <w:numId w:val="3"/>
        </w:numPr>
        <w:tabs>
          <w:tab w:val="left" w:pos="360"/>
        </w:tabs>
        <w:ind w:left="0" w:firstLine="0"/>
        <w:rPr>
          <w:rFonts w:eastAsia="Cambria" w:cs="Cambria"/>
          <w:sz w:val="18"/>
          <w:szCs w:val="18"/>
          <w:lang w:val="es-US"/>
        </w:rPr>
      </w:pPr>
      <w:r w:rsidRPr="00034C0A">
        <w:rPr>
          <w:rFonts w:eastAsia="Cambria" w:cs="Cambria"/>
          <w:lang w:val="es-US"/>
        </w:rPr>
        <w:t xml:space="preserve">La </w:t>
      </w:r>
      <w:r w:rsidRPr="00034C0A">
        <w:rPr>
          <w:rFonts w:eastAsia="Cambria"/>
          <w:lang w:val="es-US"/>
        </w:rPr>
        <w:t>Comisión</w:t>
      </w:r>
      <w:r w:rsidRPr="00034C0A">
        <w:rPr>
          <w:rFonts w:eastAsia="Cambria" w:cs="Cambria"/>
          <w:lang w:val="es-US"/>
        </w:rPr>
        <w:t xml:space="preserve"> observa que, el Estado mantiene que no existió una omisión jurídicamente reprochable a la luz de la normativa interna e internacional vigente, sosteniendo una posición de incumplimiento de la segunda recomendación de su Informe de Fondo. Por lo tanto, la Comisión concluye que la segunda recomendación se encuentra incumplida. </w:t>
      </w:r>
    </w:p>
    <w:p w14:paraId="24710F89" w14:textId="77777777" w:rsidR="006F1E6E" w:rsidRDefault="006F1E6E" w:rsidP="006F1E6E">
      <w:pPr>
        <w:widowControl w:val="0"/>
        <w:tabs>
          <w:tab w:val="left" w:pos="461"/>
        </w:tabs>
        <w:spacing w:before="1" w:after="0" w:line="239" w:lineRule="auto"/>
        <w:ind w:left="100" w:right="107"/>
        <w:jc w:val="both"/>
        <w:rPr>
          <w:rFonts w:ascii="Cambria" w:eastAsia="Cambria" w:hAnsi="Cambria" w:cs="Cambria"/>
          <w:sz w:val="18"/>
          <w:szCs w:val="18"/>
          <w:lang w:val="es-US"/>
        </w:rPr>
      </w:pPr>
    </w:p>
    <w:p w14:paraId="5123BB17" w14:textId="77777777" w:rsidR="00D33E25" w:rsidRDefault="00D33E25" w:rsidP="006F1E6E">
      <w:pPr>
        <w:widowControl w:val="0"/>
        <w:tabs>
          <w:tab w:val="left" w:pos="461"/>
        </w:tabs>
        <w:spacing w:before="1" w:after="0" w:line="239" w:lineRule="auto"/>
        <w:ind w:left="100" w:right="107"/>
        <w:jc w:val="both"/>
        <w:rPr>
          <w:rFonts w:ascii="Cambria" w:eastAsia="Cambria" w:hAnsi="Cambria" w:cs="Cambria"/>
          <w:sz w:val="18"/>
          <w:szCs w:val="18"/>
          <w:lang w:val="es-US"/>
        </w:rPr>
      </w:pPr>
    </w:p>
    <w:p w14:paraId="7969FC0B" w14:textId="77777777" w:rsidR="00D33E25" w:rsidRDefault="00D33E25" w:rsidP="006F1E6E">
      <w:pPr>
        <w:widowControl w:val="0"/>
        <w:tabs>
          <w:tab w:val="left" w:pos="461"/>
        </w:tabs>
        <w:spacing w:before="1" w:after="0" w:line="239" w:lineRule="auto"/>
        <w:ind w:left="100" w:right="107"/>
        <w:jc w:val="both"/>
        <w:rPr>
          <w:rFonts w:ascii="Cambria" w:eastAsia="Cambria" w:hAnsi="Cambria" w:cs="Cambria"/>
          <w:sz w:val="18"/>
          <w:szCs w:val="18"/>
          <w:lang w:val="es-US"/>
        </w:rPr>
      </w:pPr>
    </w:p>
    <w:p w14:paraId="749D63F9" w14:textId="77777777" w:rsidR="00D33E25" w:rsidRDefault="00D33E25" w:rsidP="006F1E6E">
      <w:pPr>
        <w:widowControl w:val="0"/>
        <w:tabs>
          <w:tab w:val="left" w:pos="461"/>
        </w:tabs>
        <w:spacing w:before="1" w:after="0" w:line="239" w:lineRule="auto"/>
        <w:ind w:left="100" w:right="107"/>
        <w:jc w:val="both"/>
        <w:rPr>
          <w:rFonts w:ascii="Cambria" w:eastAsia="Cambria" w:hAnsi="Cambria" w:cs="Cambria"/>
          <w:sz w:val="18"/>
          <w:szCs w:val="18"/>
          <w:lang w:val="es-US"/>
        </w:rPr>
      </w:pPr>
    </w:p>
    <w:p w14:paraId="4A63B8ED" w14:textId="77777777" w:rsidR="00D33E25" w:rsidRDefault="00D33E25" w:rsidP="006F1E6E">
      <w:pPr>
        <w:widowControl w:val="0"/>
        <w:tabs>
          <w:tab w:val="left" w:pos="461"/>
        </w:tabs>
        <w:spacing w:before="1" w:after="0" w:line="239" w:lineRule="auto"/>
        <w:ind w:left="100" w:right="107"/>
        <w:jc w:val="both"/>
        <w:rPr>
          <w:rFonts w:ascii="Cambria" w:eastAsia="Cambria" w:hAnsi="Cambria" w:cs="Cambria"/>
          <w:sz w:val="18"/>
          <w:szCs w:val="18"/>
          <w:lang w:val="es-US"/>
        </w:rPr>
      </w:pPr>
    </w:p>
    <w:p w14:paraId="000CC7E9" w14:textId="77777777" w:rsidR="00D33E25" w:rsidRDefault="00D33E25" w:rsidP="006F1E6E">
      <w:pPr>
        <w:widowControl w:val="0"/>
        <w:tabs>
          <w:tab w:val="left" w:pos="461"/>
        </w:tabs>
        <w:spacing w:before="1" w:after="0" w:line="239" w:lineRule="auto"/>
        <w:ind w:left="100" w:right="107"/>
        <w:jc w:val="both"/>
        <w:rPr>
          <w:rFonts w:ascii="Cambria" w:eastAsia="Cambria" w:hAnsi="Cambria" w:cs="Cambria"/>
          <w:sz w:val="18"/>
          <w:szCs w:val="18"/>
          <w:lang w:val="es-US"/>
        </w:rPr>
      </w:pPr>
    </w:p>
    <w:p w14:paraId="4065AEFB" w14:textId="77777777" w:rsidR="00B172C1" w:rsidRPr="001C7829" w:rsidRDefault="00B172C1" w:rsidP="00B172C1">
      <w:pPr>
        <w:pStyle w:val="ListParagraph"/>
        <w:rPr>
          <w:rFonts w:eastAsia="Arial Unicode MS" w:cs="Verdana"/>
          <w:sz w:val="20"/>
          <w:szCs w:val="20"/>
          <w:lang w:val="es-US" w:bidi="en-US"/>
        </w:rPr>
      </w:pPr>
    </w:p>
    <w:p w14:paraId="17F6A562" w14:textId="566C2C65" w:rsidR="00B172C1" w:rsidRPr="009B437D" w:rsidRDefault="00B172C1" w:rsidP="00B172C1">
      <w:pPr>
        <w:pStyle w:val="Heading1"/>
        <w:numPr>
          <w:ilvl w:val="0"/>
          <w:numId w:val="2"/>
        </w:numPr>
        <w:tabs>
          <w:tab w:val="clear" w:pos="1440"/>
          <w:tab w:val="num" w:pos="540"/>
        </w:tabs>
        <w:ind w:hanging="1440"/>
        <w:jc w:val="both"/>
        <w:rPr>
          <w:lang w:val="es-VE"/>
        </w:rPr>
      </w:pPr>
      <w:bookmarkStart w:id="44" w:name="_Toc83747595"/>
      <w:bookmarkStart w:id="45" w:name="_Toc194050570"/>
      <w:bookmarkStart w:id="46" w:name="_Toc203125565"/>
      <w:r w:rsidRPr="009B437D">
        <w:rPr>
          <w:lang w:val="es-VE"/>
        </w:rPr>
        <w:t>ACTUACIONES POSTERIORES AL INFORME No. 7</w:t>
      </w:r>
      <w:r w:rsidR="00661E29" w:rsidRPr="009B437D">
        <w:rPr>
          <w:lang w:val="es-VE"/>
        </w:rPr>
        <w:t>9</w:t>
      </w:r>
      <w:r w:rsidRPr="009B437D">
        <w:rPr>
          <w:lang w:val="es-VE"/>
        </w:rPr>
        <w:t>/25 E INFORMACIÓN SOBRE CUMPLIMIENTO</w:t>
      </w:r>
      <w:bookmarkEnd w:id="44"/>
      <w:bookmarkEnd w:id="45"/>
      <w:bookmarkEnd w:id="46"/>
    </w:p>
    <w:p w14:paraId="6C335E0A" w14:textId="77777777" w:rsidR="00B172C1" w:rsidRPr="009B437D" w:rsidRDefault="00B172C1" w:rsidP="00B172C1">
      <w:pPr>
        <w:pStyle w:val="BodyTextIndent"/>
        <w:ind w:left="720" w:firstLine="0"/>
        <w:jc w:val="both"/>
        <w:rPr>
          <w:rFonts w:ascii="Cambria" w:hAnsi="Cambria"/>
          <w:sz w:val="20"/>
          <w:szCs w:val="20"/>
        </w:rPr>
      </w:pPr>
    </w:p>
    <w:p w14:paraId="09ABA3BE" w14:textId="130CFB46" w:rsidR="00B172C1" w:rsidRPr="009B437D" w:rsidRDefault="00B172C1" w:rsidP="00B172C1">
      <w:pPr>
        <w:pStyle w:val="parrafos"/>
        <w:numPr>
          <w:ilvl w:val="0"/>
          <w:numId w:val="3"/>
        </w:numPr>
        <w:tabs>
          <w:tab w:val="left" w:pos="360"/>
        </w:tabs>
        <w:ind w:left="0" w:firstLine="0"/>
        <w:rPr>
          <w:rFonts w:cs="Verdana"/>
          <w:lang w:val="es-US" w:bidi="en-US"/>
        </w:rPr>
      </w:pPr>
      <w:r w:rsidRPr="009B437D">
        <w:rPr>
          <w:lang w:val="es-419"/>
        </w:rPr>
        <w:t>El</w:t>
      </w:r>
      <w:r w:rsidRPr="009B437D">
        <w:rPr>
          <w:rFonts w:cs="Verdana"/>
          <w:lang w:val="es-US" w:bidi="en-US"/>
        </w:rPr>
        <w:t xml:space="preserve"> </w:t>
      </w:r>
      <w:r w:rsidR="00661E29" w:rsidRPr="009B437D">
        <w:rPr>
          <w:rFonts w:cs="Verdana"/>
          <w:lang w:val="es-US" w:bidi="en-US"/>
        </w:rPr>
        <w:t>28</w:t>
      </w:r>
      <w:r w:rsidRPr="009B437D">
        <w:rPr>
          <w:rFonts w:cs="Verdana"/>
          <w:lang w:val="es-US" w:bidi="en-US"/>
        </w:rPr>
        <w:t xml:space="preserve"> de mayo de 2025 </w:t>
      </w:r>
      <w:r w:rsidRPr="009B437D">
        <w:t>la</w:t>
      </w:r>
      <w:r w:rsidRPr="009B437D">
        <w:rPr>
          <w:rFonts w:cs="Verdana"/>
          <w:lang w:val="es-US" w:bidi="en-US"/>
        </w:rPr>
        <w:t xml:space="preserve"> Comisión adoptó el Informe de Fondo No. 7</w:t>
      </w:r>
      <w:r w:rsidR="00661E29" w:rsidRPr="009B437D">
        <w:rPr>
          <w:rFonts w:cs="Verdana"/>
          <w:lang w:val="es-US" w:bidi="en-US"/>
        </w:rPr>
        <w:t>9</w:t>
      </w:r>
      <w:r w:rsidRPr="009B437D">
        <w:t>/</w:t>
      </w:r>
      <w:r w:rsidRPr="009B437D">
        <w:rPr>
          <w:rFonts w:cs="Verdana"/>
          <w:lang w:val="es-US" w:bidi="en-US"/>
        </w:rPr>
        <w:t xml:space="preserve">25 </w:t>
      </w:r>
      <w:r w:rsidRPr="009B437D">
        <w:rPr>
          <w:lang w:val="es-ES"/>
        </w:rPr>
        <w:t>que incluye los párrafos 1 a 1</w:t>
      </w:r>
      <w:r w:rsidR="00661E29" w:rsidRPr="009B437D">
        <w:rPr>
          <w:lang w:val="es-ES"/>
        </w:rPr>
        <w:t>12</w:t>
      </w:r>
      <w:r w:rsidRPr="009B437D">
        <w:rPr>
          <w:lang w:val="es-ES"/>
        </w:rPr>
        <w:t xml:space="preserve"> </w:t>
      </w:r>
      <w:r w:rsidRPr="009B437D">
        <w:rPr>
          <w:i/>
          <w:iCs/>
          <w:lang w:val="es-ES"/>
        </w:rPr>
        <w:t>supra</w:t>
      </w:r>
      <w:r w:rsidRPr="009B437D">
        <w:rPr>
          <w:lang w:val="es-ES"/>
        </w:rPr>
        <w:t xml:space="preserve">, y </w:t>
      </w:r>
      <w:r w:rsidRPr="009B437D">
        <w:rPr>
          <w:rFonts w:eastAsia="Cambria"/>
          <w:spacing w:val="1"/>
          <w:lang w:val="es-US"/>
        </w:rPr>
        <w:t>emitió su</w:t>
      </w:r>
      <w:r w:rsidR="00EB0B72" w:rsidRPr="009B437D">
        <w:rPr>
          <w:rFonts w:eastAsia="Cambria"/>
          <w:spacing w:val="1"/>
          <w:lang w:val="es-US"/>
        </w:rPr>
        <w:t xml:space="preserve">s conclusiones </w:t>
      </w:r>
      <w:r w:rsidRPr="009B437D">
        <w:rPr>
          <w:rFonts w:eastAsia="Cambria"/>
          <w:spacing w:val="1"/>
          <w:lang w:val="es-US"/>
        </w:rPr>
        <w:t>y recomendaci</w:t>
      </w:r>
      <w:r w:rsidR="00EB0B72" w:rsidRPr="009B437D">
        <w:rPr>
          <w:rFonts w:eastAsia="Cambria"/>
          <w:spacing w:val="1"/>
          <w:lang w:val="es-US"/>
        </w:rPr>
        <w:t xml:space="preserve">ón </w:t>
      </w:r>
      <w:r w:rsidRPr="009B437D">
        <w:rPr>
          <w:rFonts w:eastAsia="Cambria"/>
          <w:spacing w:val="1"/>
          <w:lang w:val="es-US"/>
        </w:rPr>
        <w:t xml:space="preserve">final al Estado. El </w:t>
      </w:r>
      <w:r w:rsidR="00BC3E93" w:rsidRPr="009B437D">
        <w:rPr>
          <w:rFonts w:eastAsia="Cambria"/>
          <w:spacing w:val="1"/>
          <w:lang w:val="es-US"/>
        </w:rPr>
        <w:t>30</w:t>
      </w:r>
      <w:r w:rsidRPr="009B437D">
        <w:rPr>
          <w:rFonts w:eastAsia="Cambria"/>
          <w:spacing w:val="1"/>
          <w:lang w:val="es-US"/>
        </w:rPr>
        <w:t xml:space="preserve"> de mayo del mismo año lo transmitió al Estado y a la parte peticionaria otorgándoles el plazo de dos semanas para informar a la CIDH sobre las medidas adoptadas para el cumplimiento de su recomendaci</w:t>
      </w:r>
      <w:r w:rsidR="00905457" w:rsidRPr="009B437D">
        <w:rPr>
          <w:rFonts w:eastAsia="Cambria"/>
          <w:spacing w:val="1"/>
          <w:lang w:val="es-US"/>
        </w:rPr>
        <w:t>ón</w:t>
      </w:r>
      <w:r w:rsidRPr="009B437D">
        <w:rPr>
          <w:rFonts w:eastAsia="Cambria"/>
          <w:spacing w:val="1"/>
          <w:lang w:val="es-US"/>
        </w:rPr>
        <w:t>. Hasta la fecha la Comisión no ha recibido respuesta del Estado argentino con respecto al Informe No. 7</w:t>
      </w:r>
      <w:r w:rsidR="00661E29" w:rsidRPr="009B437D">
        <w:rPr>
          <w:rFonts w:eastAsia="Cambria"/>
          <w:spacing w:val="1"/>
          <w:lang w:val="es-US"/>
        </w:rPr>
        <w:t>9</w:t>
      </w:r>
      <w:r w:rsidRPr="009B437D">
        <w:rPr>
          <w:rFonts w:eastAsia="Cambria"/>
          <w:spacing w:val="1"/>
          <w:lang w:val="es-US"/>
        </w:rPr>
        <w:t>/25.</w:t>
      </w:r>
    </w:p>
    <w:p w14:paraId="574BE830" w14:textId="77777777" w:rsidR="00D33E25" w:rsidRPr="009B437D" w:rsidRDefault="00D33E25" w:rsidP="006F1E6E">
      <w:pPr>
        <w:widowControl w:val="0"/>
        <w:tabs>
          <w:tab w:val="left" w:pos="461"/>
        </w:tabs>
        <w:spacing w:before="1" w:after="0" w:line="239" w:lineRule="auto"/>
        <w:ind w:left="100" w:right="107"/>
        <w:jc w:val="both"/>
        <w:rPr>
          <w:rFonts w:ascii="Cambria" w:eastAsia="Cambria" w:hAnsi="Cambria" w:cs="Cambria"/>
          <w:sz w:val="18"/>
          <w:szCs w:val="18"/>
          <w:lang w:val="es-US"/>
        </w:rPr>
      </w:pPr>
    </w:p>
    <w:p w14:paraId="206DD3F0" w14:textId="77777777" w:rsidR="006F1E6E" w:rsidRPr="009B437D" w:rsidRDefault="006F1E6E" w:rsidP="00CD2FEB">
      <w:pPr>
        <w:pStyle w:val="Heading1"/>
        <w:numPr>
          <w:ilvl w:val="0"/>
          <w:numId w:val="2"/>
        </w:numPr>
        <w:tabs>
          <w:tab w:val="clear" w:pos="1440"/>
          <w:tab w:val="num" w:pos="540"/>
        </w:tabs>
        <w:ind w:hanging="1440"/>
        <w:jc w:val="both"/>
        <w:rPr>
          <w:rFonts w:eastAsia="Cambria"/>
          <w:lang w:val="en-US"/>
        </w:rPr>
      </w:pPr>
      <w:bookmarkStart w:id="47" w:name="V._CONCLUSIONES_Y_RECOMENDACIONES"/>
      <w:bookmarkStart w:id="48" w:name="_bookmark12"/>
      <w:bookmarkStart w:id="49" w:name="_Toc198216761"/>
      <w:bookmarkStart w:id="50" w:name="_Toc203125566"/>
      <w:bookmarkEnd w:id="47"/>
      <w:bookmarkEnd w:id="48"/>
      <w:r w:rsidRPr="009B437D">
        <w:rPr>
          <w:rFonts w:eastAsia="Cambria"/>
          <w:bCs/>
          <w:spacing w:val="-4"/>
          <w:lang w:val="es-US"/>
        </w:rPr>
        <w:t>CONCLUSIONES</w:t>
      </w:r>
      <w:r w:rsidRPr="009B437D">
        <w:rPr>
          <w:rFonts w:eastAsia="Cambria"/>
          <w:bCs/>
          <w:spacing w:val="-3"/>
          <w:lang w:val="en-US"/>
        </w:rPr>
        <w:t xml:space="preserve"> </w:t>
      </w:r>
      <w:r w:rsidRPr="009B437D">
        <w:rPr>
          <w:rFonts w:eastAsia="Cambria"/>
          <w:bCs/>
          <w:lang w:val="en-US"/>
        </w:rPr>
        <w:t>Y</w:t>
      </w:r>
      <w:r w:rsidRPr="009B437D">
        <w:rPr>
          <w:rFonts w:eastAsia="Cambria"/>
          <w:bCs/>
          <w:spacing w:val="-6"/>
          <w:lang w:val="en-US"/>
        </w:rPr>
        <w:t xml:space="preserve"> </w:t>
      </w:r>
      <w:r w:rsidRPr="009B437D">
        <w:rPr>
          <w:rFonts w:eastAsia="Cambria"/>
          <w:bCs/>
          <w:spacing w:val="-1"/>
          <w:lang w:val="en-US"/>
        </w:rPr>
        <w:t>RECOMENDACI</w:t>
      </w:r>
      <w:r w:rsidRPr="009B437D">
        <w:rPr>
          <w:rFonts w:eastAsia="Cambria"/>
          <w:bCs/>
          <w:spacing w:val="-1"/>
          <w:lang w:val="es-US"/>
        </w:rPr>
        <w:t>ÓN</w:t>
      </w:r>
      <w:r w:rsidRPr="009B437D">
        <w:rPr>
          <w:rFonts w:eastAsia="Cambria"/>
          <w:bCs/>
          <w:spacing w:val="-1"/>
          <w:lang w:val="en-US"/>
        </w:rPr>
        <w:t xml:space="preserve"> FINAL</w:t>
      </w:r>
      <w:bookmarkEnd w:id="49"/>
      <w:bookmarkEnd w:id="50"/>
    </w:p>
    <w:p w14:paraId="30685782" w14:textId="77777777" w:rsidR="006F1E6E" w:rsidRPr="009B437D" w:rsidRDefault="006F1E6E" w:rsidP="006F1E6E">
      <w:pPr>
        <w:widowControl w:val="0"/>
        <w:spacing w:before="3" w:after="0" w:line="240" w:lineRule="auto"/>
        <w:rPr>
          <w:rFonts w:ascii="Cambria" w:eastAsia="Cambria" w:hAnsi="Cambria" w:cs="Cambria"/>
          <w:b/>
          <w:bCs/>
          <w:lang w:val="en-US"/>
        </w:rPr>
      </w:pPr>
    </w:p>
    <w:p w14:paraId="2DF1EE58" w14:textId="77777777" w:rsidR="006F1E6E" w:rsidRPr="009B437D" w:rsidRDefault="006F1E6E" w:rsidP="00AE53EF">
      <w:pPr>
        <w:pStyle w:val="parrafos"/>
        <w:numPr>
          <w:ilvl w:val="0"/>
          <w:numId w:val="3"/>
        </w:numPr>
        <w:tabs>
          <w:tab w:val="left" w:pos="360"/>
        </w:tabs>
        <w:ind w:left="0" w:firstLine="0"/>
        <w:rPr>
          <w:rFonts w:eastAsia="Cambria"/>
          <w:lang w:val="es-US"/>
        </w:rPr>
      </w:pPr>
      <w:r w:rsidRPr="009B437D">
        <w:rPr>
          <w:rFonts w:eastAsia="Cambria"/>
          <w:spacing w:val="-2"/>
          <w:lang w:val="es-US"/>
        </w:rPr>
        <w:t>La</w:t>
      </w:r>
      <w:r w:rsidRPr="009B437D">
        <w:rPr>
          <w:rFonts w:eastAsia="Cambria"/>
          <w:spacing w:val="5"/>
          <w:lang w:val="es-US"/>
        </w:rPr>
        <w:t xml:space="preserve"> </w:t>
      </w:r>
      <w:r w:rsidRPr="009B437D">
        <w:rPr>
          <w:rFonts w:eastAsia="Cambria" w:cs="Cambria"/>
          <w:lang w:val="es-US"/>
        </w:rPr>
        <w:t>Comisión</w:t>
      </w:r>
      <w:r w:rsidRPr="009B437D">
        <w:rPr>
          <w:rFonts w:eastAsia="Cambria"/>
          <w:spacing w:val="3"/>
          <w:lang w:val="es-US"/>
        </w:rPr>
        <w:t xml:space="preserve"> </w:t>
      </w:r>
      <w:r w:rsidRPr="009B437D">
        <w:rPr>
          <w:rFonts w:eastAsia="Cambria"/>
          <w:spacing w:val="-1"/>
          <w:lang w:val="es-US"/>
        </w:rPr>
        <w:t>concluye</w:t>
      </w:r>
      <w:r w:rsidRPr="009B437D">
        <w:rPr>
          <w:rFonts w:eastAsia="Cambria"/>
          <w:spacing w:val="7"/>
          <w:lang w:val="es-US"/>
        </w:rPr>
        <w:t xml:space="preserve"> </w:t>
      </w:r>
      <w:r w:rsidRPr="009B437D">
        <w:rPr>
          <w:rFonts w:eastAsia="Cambria"/>
          <w:spacing w:val="-1"/>
          <w:lang w:val="es-US"/>
        </w:rPr>
        <w:t>que</w:t>
      </w:r>
      <w:r w:rsidRPr="009B437D">
        <w:rPr>
          <w:rFonts w:eastAsia="Cambria"/>
          <w:spacing w:val="1"/>
          <w:lang w:val="es-US"/>
        </w:rPr>
        <w:t xml:space="preserve"> el</w:t>
      </w:r>
      <w:r w:rsidRPr="009B437D">
        <w:rPr>
          <w:rFonts w:eastAsia="Cambria"/>
          <w:spacing w:val="4"/>
          <w:lang w:val="es-US"/>
        </w:rPr>
        <w:t xml:space="preserve"> </w:t>
      </w:r>
      <w:r w:rsidRPr="009B437D">
        <w:rPr>
          <w:rFonts w:eastAsia="Cambria"/>
          <w:spacing w:val="-1"/>
          <w:lang w:val="es-US"/>
        </w:rPr>
        <w:t>Estado</w:t>
      </w:r>
      <w:r w:rsidRPr="009B437D">
        <w:rPr>
          <w:rFonts w:eastAsia="Cambria"/>
          <w:spacing w:val="3"/>
          <w:lang w:val="es-US"/>
        </w:rPr>
        <w:t xml:space="preserve"> </w:t>
      </w:r>
      <w:r w:rsidRPr="009B437D">
        <w:rPr>
          <w:rFonts w:eastAsia="Cambria"/>
          <w:spacing w:val="-1"/>
          <w:lang w:val="es-US"/>
        </w:rPr>
        <w:t>argentino</w:t>
      </w:r>
      <w:r w:rsidRPr="009B437D">
        <w:rPr>
          <w:rFonts w:eastAsia="Cambria"/>
          <w:spacing w:val="3"/>
          <w:lang w:val="es-US"/>
        </w:rPr>
        <w:t xml:space="preserve"> </w:t>
      </w:r>
      <w:r w:rsidRPr="009B437D">
        <w:rPr>
          <w:rFonts w:eastAsia="Cambria"/>
          <w:spacing w:val="1"/>
          <w:lang w:val="es-US"/>
        </w:rPr>
        <w:t>es</w:t>
      </w:r>
      <w:r w:rsidRPr="009B437D">
        <w:rPr>
          <w:rFonts w:eastAsia="Cambria"/>
          <w:spacing w:val="3"/>
          <w:lang w:val="es-US"/>
        </w:rPr>
        <w:t xml:space="preserve"> </w:t>
      </w:r>
      <w:r w:rsidRPr="009B437D">
        <w:rPr>
          <w:rFonts w:eastAsia="Cambria"/>
          <w:spacing w:val="-1"/>
          <w:lang w:val="es-US"/>
        </w:rPr>
        <w:t>responsable</w:t>
      </w:r>
      <w:r w:rsidRPr="009B437D">
        <w:rPr>
          <w:rFonts w:eastAsia="Cambria"/>
          <w:spacing w:val="7"/>
          <w:lang w:val="es-US"/>
        </w:rPr>
        <w:t xml:space="preserve"> </w:t>
      </w:r>
      <w:r w:rsidRPr="009B437D">
        <w:rPr>
          <w:rFonts w:eastAsia="Cambria"/>
          <w:spacing w:val="-2"/>
          <w:lang w:val="es-US"/>
        </w:rPr>
        <w:t>por</w:t>
      </w:r>
      <w:r w:rsidRPr="009B437D">
        <w:rPr>
          <w:rFonts w:eastAsia="Cambria"/>
          <w:spacing w:val="6"/>
          <w:lang w:val="es-US"/>
        </w:rPr>
        <w:t xml:space="preserve"> </w:t>
      </w:r>
      <w:r w:rsidRPr="009B437D">
        <w:rPr>
          <w:rFonts w:eastAsia="Cambria"/>
          <w:spacing w:val="-3"/>
          <w:lang w:val="es-US"/>
        </w:rPr>
        <w:t>la</w:t>
      </w:r>
      <w:r w:rsidRPr="009B437D">
        <w:rPr>
          <w:rFonts w:eastAsia="Cambria"/>
          <w:spacing w:val="5"/>
          <w:lang w:val="es-US"/>
        </w:rPr>
        <w:t xml:space="preserve"> </w:t>
      </w:r>
      <w:r w:rsidRPr="009B437D">
        <w:rPr>
          <w:rFonts w:eastAsia="Cambria"/>
          <w:spacing w:val="-1"/>
          <w:lang w:val="es-US"/>
        </w:rPr>
        <w:t>violación</w:t>
      </w:r>
      <w:r w:rsidRPr="009B437D">
        <w:rPr>
          <w:rFonts w:eastAsia="Cambria"/>
          <w:spacing w:val="3"/>
          <w:lang w:val="es-US"/>
        </w:rPr>
        <w:t xml:space="preserve"> </w:t>
      </w:r>
      <w:r w:rsidRPr="009B437D">
        <w:rPr>
          <w:rFonts w:eastAsia="Cambria"/>
          <w:spacing w:val="-1"/>
          <w:lang w:val="es-US"/>
        </w:rPr>
        <w:t>de</w:t>
      </w:r>
      <w:r w:rsidRPr="009B437D">
        <w:rPr>
          <w:rFonts w:eastAsia="Cambria"/>
          <w:spacing w:val="6"/>
          <w:lang w:val="es-US"/>
        </w:rPr>
        <w:t xml:space="preserve"> </w:t>
      </w:r>
      <w:r w:rsidRPr="009B437D">
        <w:rPr>
          <w:rFonts w:eastAsia="Cambria"/>
          <w:spacing w:val="-1"/>
          <w:lang w:val="es-US"/>
        </w:rPr>
        <w:t>los</w:t>
      </w:r>
      <w:r w:rsidRPr="009B437D">
        <w:rPr>
          <w:rFonts w:eastAsia="Cambria"/>
          <w:spacing w:val="3"/>
          <w:lang w:val="es-US"/>
        </w:rPr>
        <w:t xml:space="preserve"> </w:t>
      </w:r>
      <w:r w:rsidRPr="009B437D">
        <w:rPr>
          <w:rFonts w:eastAsia="Cambria"/>
          <w:spacing w:val="-1"/>
          <w:lang w:val="es-US"/>
        </w:rPr>
        <w:t>derechos</w:t>
      </w:r>
      <w:r w:rsidRPr="009B437D">
        <w:rPr>
          <w:rFonts w:eastAsia="Cambria"/>
          <w:spacing w:val="61"/>
          <w:w w:val="99"/>
          <w:lang w:val="es-US"/>
        </w:rPr>
        <w:t xml:space="preserve"> </w:t>
      </w:r>
      <w:r w:rsidRPr="009B437D">
        <w:rPr>
          <w:rFonts w:eastAsia="Cambria"/>
          <w:spacing w:val="-1"/>
          <w:lang w:val="es-US"/>
        </w:rPr>
        <w:t>establecidos</w:t>
      </w:r>
      <w:r w:rsidRPr="009B437D">
        <w:rPr>
          <w:rFonts w:eastAsia="Cambria"/>
          <w:spacing w:val="4"/>
          <w:lang w:val="es-US"/>
        </w:rPr>
        <w:t xml:space="preserve"> </w:t>
      </w:r>
      <w:r w:rsidRPr="009B437D">
        <w:rPr>
          <w:rFonts w:eastAsia="Cambria"/>
          <w:spacing w:val="1"/>
          <w:lang w:val="es-US"/>
        </w:rPr>
        <w:t>en</w:t>
      </w:r>
      <w:r w:rsidRPr="009B437D">
        <w:rPr>
          <w:rFonts w:eastAsia="Cambria"/>
          <w:spacing w:val="3"/>
          <w:lang w:val="es-US"/>
        </w:rPr>
        <w:t xml:space="preserve"> </w:t>
      </w:r>
      <w:r w:rsidRPr="009B437D">
        <w:rPr>
          <w:rFonts w:eastAsia="Cambria"/>
          <w:spacing w:val="-1"/>
          <w:lang w:val="es-US"/>
        </w:rPr>
        <w:t>los artículos</w:t>
      </w:r>
      <w:r w:rsidRPr="009B437D">
        <w:rPr>
          <w:rFonts w:eastAsia="Cambria"/>
          <w:spacing w:val="4"/>
          <w:lang w:val="es-US"/>
        </w:rPr>
        <w:t xml:space="preserve"> </w:t>
      </w:r>
      <w:r w:rsidRPr="009B437D">
        <w:rPr>
          <w:rFonts w:eastAsia="Cambria"/>
          <w:spacing w:val="-1"/>
          <w:lang w:val="es-US"/>
        </w:rPr>
        <w:t>25.1</w:t>
      </w:r>
      <w:r w:rsidRPr="009B437D">
        <w:rPr>
          <w:rFonts w:eastAsia="Cambria"/>
          <w:spacing w:val="90"/>
          <w:w w:val="99"/>
          <w:lang w:val="es-US"/>
        </w:rPr>
        <w:t xml:space="preserve"> </w:t>
      </w:r>
      <w:r w:rsidRPr="009B437D">
        <w:rPr>
          <w:rFonts w:eastAsia="Cambria"/>
          <w:lang w:val="es-US"/>
        </w:rPr>
        <w:t>y</w:t>
      </w:r>
      <w:r w:rsidRPr="009B437D">
        <w:rPr>
          <w:rFonts w:eastAsia="Cambria"/>
          <w:spacing w:val="6"/>
          <w:lang w:val="es-US"/>
        </w:rPr>
        <w:t xml:space="preserve"> </w:t>
      </w:r>
      <w:r w:rsidRPr="009B437D">
        <w:rPr>
          <w:rFonts w:eastAsia="Cambria"/>
          <w:spacing w:val="-1"/>
          <w:lang w:val="es-US"/>
        </w:rPr>
        <w:t>25.2</w:t>
      </w:r>
      <w:r w:rsidRPr="009B437D">
        <w:rPr>
          <w:rFonts w:eastAsia="Cambria"/>
          <w:spacing w:val="7"/>
          <w:lang w:val="es-US"/>
        </w:rPr>
        <w:t xml:space="preserve"> </w:t>
      </w:r>
      <w:r w:rsidRPr="009B437D">
        <w:rPr>
          <w:rFonts w:eastAsia="Cambria"/>
          <w:lang w:val="es-US"/>
        </w:rPr>
        <w:t>c)</w:t>
      </w:r>
      <w:r w:rsidRPr="009B437D">
        <w:rPr>
          <w:rFonts w:eastAsia="Cambria"/>
          <w:spacing w:val="6"/>
          <w:lang w:val="es-US"/>
        </w:rPr>
        <w:t xml:space="preserve"> </w:t>
      </w:r>
      <w:r w:rsidRPr="009B437D">
        <w:rPr>
          <w:rFonts w:eastAsia="Cambria"/>
          <w:spacing w:val="-1"/>
          <w:lang w:val="es-US"/>
        </w:rPr>
        <w:t>(protección</w:t>
      </w:r>
      <w:r w:rsidRPr="009B437D">
        <w:rPr>
          <w:rFonts w:eastAsia="Cambria"/>
          <w:spacing w:val="7"/>
          <w:lang w:val="es-US"/>
        </w:rPr>
        <w:t xml:space="preserve"> </w:t>
      </w:r>
      <w:r w:rsidRPr="009B437D">
        <w:rPr>
          <w:rFonts w:eastAsia="Cambria"/>
          <w:lang w:val="es-US"/>
        </w:rPr>
        <w:t>judicial)</w:t>
      </w:r>
      <w:r w:rsidRPr="009B437D">
        <w:rPr>
          <w:rFonts w:eastAsia="Cambria"/>
          <w:spacing w:val="7"/>
          <w:lang w:val="es-US"/>
        </w:rPr>
        <w:t xml:space="preserve"> </w:t>
      </w:r>
      <w:r w:rsidRPr="009B437D">
        <w:rPr>
          <w:rFonts w:eastAsia="Cambria"/>
          <w:spacing w:val="-3"/>
          <w:lang w:val="es-US"/>
        </w:rPr>
        <w:t>de</w:t>
      </w:r>
      <w:r w:rsidRPr="009B437D">
        <w:rPr>
          <w:rFonts w:eastAsia="Cambria"/>
          <w:spacing w:val="10"/>
          <w:lang w:val="es-US"/>
        </w:rPr>
        <w:t xml:space="preserve"> </w:t>
      </w:r>
      <w:r w:rsidRPr="009B437D">
        <w:rPr>
          <w:rFonts w:eastAsia="Cambria"/>
          <w:spacing w:val="-3"/>
          <w:lang w:val="es-US"/>
        </w:rPr>
        <w:t>la</w:t>
      </w:r>
      <w:r w:rsidRPr="009B437D">
        <w:rPr>
          <w:rFonts w:eastAsia="Cambria"/>
          <w:spacing w:val="5"/>
          <w:lang w:val="es-US"/>
        </w:rPr>
        <w:t xml:space="preserve"> </w:t>
      </w:r>
      <w:r w:rsidRPr="009B437D">
        <w:rPr>
          <w:rFonts w:eastAsia="Cambria"/>
          <w:spacing w:val="-1"/>
          <w:lang w:val="es-US"/>
        </w:rPr>
        <w:t>Convención</w:t>
      </w:r>
      <w:r w:rsidRPr="009B437D">
        <w:rPr>
          <w:rFonts w:eastAsia="Cambria"/>
          <w:spacing w:val="7"/>
          <w:lang w:val="es-US"/>
        </w:rPr>
        <w:t xml:space="preserve"> </w:t>
      </w:r>
      <w:r w:rsidRPr="009B437D">
        <w:rPr>
          <w:rFonts w:eastAsia="Cambria"/>
          <w:spacing w:val="-1"/>
          <w:lang w:val="es-US"/>
        </w:rPr>
        <w:t>Americana</w:t>
      </w:r>
      <w:r w:rsidRPr="009B437D">
        <w:rPr>
          <w:rFonts w:eastAsia="Cambria"/>
          <w:spacing w:val="6"/>
          <w:lang w:val="es-US"/>
        </w:rPr>
        <w:t xml:space="preserve"> </w:t>
      </w:r>
      <w:r w:rsidRPr="009B437D">
        <w:rPr>
          <w:rFonts w:eastAsia="Cambria"/>
          <w:spacing w:val="-1"/>
          <w:lang w:val="es-US"/>
        </w:rPr>
        <w:t>sobre</w:t>
      </w:r>
      <w:r w:rsidRPr="009B437D">
        <w:rPr>
          <w:rFonts w:eastAsia="Cambria"/>
          <w:spacing w:val="10"/>
          <w:lang w:val="es-US"/>
        </w:rPr>
        <w:t xml:space="preserve"> </w:t>
      </w:r>
      <w:r w:rsidRPr="009B437D">
        <w:rPr>
          <w:rFonts w:eastAsia="Cambria"/>
          <w:spacing w:val="-1"/>
          <w:lang w:val="es-US"/>
        </w:rPr>
        <w:t>Derechos</w:t>
      </w:r>
      <w:r w:rsidRPr="009B437D">
        <w:rPr>
          <w:rFonts w:eastAsia="Cambria"/>
          <w:spacing w:val="8"/>
          <w:lang w:val="es-US"/>
        </w:rPr>
        <w:t xml:space="preserve"> </w:t>
      </w:r>
      <w:r w:rsidRPr="009B437D">
        <w:rPr>
          <w:rFonts w:eastAsia="Cambria"/>
          <w:spacing w:val="-2"/>
          <w:lang w:val="es-US"/>
        </w:rPr>
        <w:t>Humanos,</w:t>
      </w:r>
      <w:r w:rsidRPr="009B437D">
        <w:rPr>
          <w:rFonts w:eastAsia="Cambria"/>
          <w:spacing w:val="7"/>
          <w:lang w:val="es-US"/>
        </w:rPr>
        <w:t xml:space="preserve"> </w:t>
      </w:r>
      <w:r w:rsidRPr="009B437D">
        <w:rPr>
          <w:rFonts w:eastAsia="Cambria"/>
          <w:spacing w:val="1"/>
          <w:lang w:val="es-US"/>
        </w:rPr>
        <w:t>en</w:t>
      </w:r>
      <w:r w:rsidRPr="009B437D">
        <w:rPr>
          <w:rFonts w:eastAsia="Cambria"/>
          <w:spacing w:val="6"/>
          <w:lang w:val="es-US"/>
        </w:rPr>
        <w:t xml:space="preserve"> </w:t>
      </w:r>
      <w:r w:rsidRPr="009B437D">
        <w:rPr>
          <w:rFonts w:eastAsia="Cambria"/>
          <w:spacing w:val="-1"/>
          <w:lang w:val="es-US"/>
        </w:rPr>
        <w:t>relación</w:t>
      </w:r>
      <w:r w:rsidRPr="009B437D">
        <w:rPr>
          <w:rFonts w:eastAsia="Cambria"/>
          <w:spacing w:val="6"/>
          <w:lang w:val="es-US"/>
        </w:rPr>
        <w:t xml:space="preserve"> </w:t>
      </w:r>
      <w:r w:rsidRPr="009B437D">
        <w:rPr>
          <w:rFonts w:eastAsia="Cambria"/>
          <w:spacing w:val="-1"/>
          <w:lang w:val="es-US"/>
        </w:rPr>
        <w:t>con</w:t>
      </w:r>
      <w:r w:rsidRPr="009B437D">
        <w:rPr>
          <w:rFonts w:eastAsia="Cambria"/>
          <w:spacing w:val="7"/>
          <w:lang w:val="es-US"/>
        </w:rPr>
        <w:t xml:space="preserve"> </w:t>
      </w:r>
      <w:r w:rsidRPr="009B437D">
        <w:rPr>
          <w:rFonts w:eastAsia="Cambria"/>
          <w:lang w:val="es-US"/>
        </w:rPr>
        <w:t>las</w:t>
      </w:r>
      <w:r w:rsidRPr="009B437D">
        <w:rPr>
          <w:rFonts w:eastAsia="Cambria"/>
          <w:spacing w:val="93"/>
          <w:w w:val="99"/>
          <w:lang w:val="es-US"/>
        </w:rPr>
        <w:t xml:space="preserve"> </w:t>
      </w:r>
      <w:r w:rsidRPr="009B437D">
        <w:rPr>
          <w:rFonts w:eastAsia="Cambria"/>
          <w:spacing w:val="-1"/>
          <w:lang w:val="es-US"/>
        </w:rPr>
        <w:t>obligaciones</w:t>
      </w:r>
      <w:r w:rsidRPr="009B437D">
        <w:rPr>
          <w:rFonts w:eastAsia="Cambria"/>
          <w:spacing w:val="-3"/>
          <w:lang w:val="es-US"/>
        </w:rPr>
        <w:t xml:space="preserve"> </w:t>
      </w:r>
      <w:r w:rsidRPr="009B437D">
        <w:rPr>
          <w:rFonts w:eastAsia="Cambria"/>
          <w:spacing w:val="-1"/>
          <w:lang w:val="es-US"/>
        </w:rPr>
        <w:t>establecidas</w:t>
      </w:r>
      <w:r w:rsidRPr="009B437D">
        <w:rPr>
          <w:rFonts w:eastAsia="Cambria"/>
          <w:spacing w:val="-9"/>
          <w:lang w:val="es-US"/>
        </w:rPr>
        <w:t xml:space="preserve"> </w:t>
      </w:r>
      <w:r w:rsidRPr="009B437D">
        <w:rPr>
          <w:rFonts w:eastAsia="Cambria"/>
          <w:spacing w:val="1"/>
          <w:lang w:val="es-US"/>
        </w:rPr>
        <w:t>en</w:t>
      </w:r>
      <w:r w:rsidRPr="009B437D">
        <w:rPr>
          <w:rFonts w:eastAsia="Cambria"/>
          <w:spacing w:val="-5"/>
          <w:lang w:val="es-US"/>
        </w:rPr>
        <w:t xml:space="preserve"> </w:t>
      </w:r>
      <w:r w:rsidRPr="009B437D">
        <w:rPr>
          <w:rFonts w:eastAsia="Cambria"/>
          <w:spacing w:val="1"/>
          <w:lang w:val="es-US"/>
        </w:rPr>
        <w:t>el</w:t>
      </w:r>
      <w:r w:rsidRPr="009B437D">
        <w:rPr>
          <w:rFonts w:eastAsia="Cambria"/>
          <w:spacing w:val="-7"/>
          <w:lang w:val="es-US"/>
        </w:rPr>
        <w:t xml:space="preserve"> </w:t>
      </w:r>
      <w:r w:rsidRPr="009B437D">
        <w:rPr>
          <w:rFonts w:eastAsia="Cambria"/>
          <w:lang w:val="es-US"/>
        </w:rPr>
        <w:t>artículo</w:t>
      </w:r>
      <w:r w:rsidRPr="009B437D">
        <w:rPr>
          <w:rFonts w:eastAsia="Cambria"/>
          <w:spacing w:val="-3"/>
          <w:lang w:val="es-US"/>
        </w:rPr>
        <w:t xml:space="preserve"> </w:t>
      </w:r>
      <w:r w:rsidRPr="009B437D">
        <w:rPr>
          <w:rFonts w:eastAsia="Cambria"/>
          <w:spacing w:val="-1"/>
          <w:lang w:val="es-US"/>
        </w:rPr>
        <w:t>1.1</w:t>
      </w:r>
      <w:r w:rsidRPr="009B437D">
        <w:rPr>
          <w:rFonts w:eastAsia="Cambria"/>
          <w:spacing w:val="-4"/>
          <w:lang w:val="es-US"/>
        </w:rPr>
        <w:t xml:space="preserve"> </w:t>
      </w:r>
      <w:r w:rsidRPr="009B437D">
        <w:rPr>
          <w:rFonts w:eastAsia="Cambria"/>
          <w:lang w:val="es-US"/>
        </w:rPr>
        <w:t>del</w:t>
      </w:r>
      <w:r w:rsidRPr="009B437D">
        <w:rPr>
          <w:rFonts w:eastAsia="Cambria"/>
          <w:spacing w:val="-2"/>
          <w:lang w:val="es-US"/>
        </w:rPr>
        <w:t xml:space="preserve"> mismo</w:t>
      </w:r>
      <w:r w:rsidRPr="009B437D">
        <w:rPr>
          <w:rFonts w:eastAsia="Cambria"/>
          <w:spacing w:val="-5"/>
          <w:lang w:val="es-US"/>
        </w:rPr>
        <w:t xml:space="preserve"> </w:t>
      </w:r>
      <w:r w:rsidRPr="009B437D">
        <w:rPr>
          <w:rFonts w:eastAsia="Cambria"/>
          <w:spacing w:val="-1"/>
          <w:lang w:val="es-US"/>
        </w:rPr>
        <w:t>instrumento.</w:t>
      </w:r>
    </w:p>
    <w:p w14:paraId="355170D3" w14:textId="77777777" w:rsidR="006F1E6E" w:rsidRPr="009B437D" w:rsidRDefault="006F1E6E" w:rsidP="006F1E6E">
      <w:pPr>
        <w:widowControl w:val="0"/>
        <w:spacing w:before="1" w:after="0" w:line="240" w:lineRule="auto"/>
        <w:rPr>
          <w:rFonts w:ascii="Cambria" w:eastAsia="Cambria" w:hAnsi="Cambria" w:cs="Cambria"/>
          <w:sz w:val="20"/>
          <w:szCs w:val="20"/>
          <w:lang w:val="es-US"/>
        </w:rPr>
      </w:pPr>
    </w:p>
    <w:p w14:paraId="106213BD" w14:textId="77777777" w:rsidR="006F1E6E" w:rsidRPr="009B437D" w:rsidRDefault="006F1E6E" w:rsidP="00AE53EF">
      <w:pPr>
        <w:pStyle w:val="parrafos"/>
        <w:numPr>
          <w:ilvl w:val="0"/>
          <w:numId w:val="3"/>
        </w:numPr>
        <w:tabs>
          <w:tab w:val="left" w:pos="360"/>
        </w:tabs>
        <w:ind w:left="0" w:firstLine="0"/>
        <w:rPr>
          <w:rFonts w:eastAsia="Cambria"/>
          <w:lang w:val="es-US"/>
        </w:rPr>
      </w:pPr>
      <w:r w:rsidRPr="009B437D">
        <w:rPr>
          <w:rFonts w:eastAsia="Cambria" w:cs="Cambria"/>
          <w:lang w:val="es-US"/>
        </w:rPr>
        <w:t>Con</w:t>
      </w:r>
      <w:r w:rsidRPr="009B437D">
        <w:rPr>
          <w:rFonts w:eastAsia="Cambria"/>
          <w:spacing w:val="-5"/>
          <w:lang w:val="es-US"/>
        </w:rPr>
        <w:t xml:space="preserve"> </w:t>
      </w:r>
      <w:r w:rsidRPr="009B437D">
        <w:rPr>
          <w:rFonts w:eastAsia="Cambria"/>
          <w:spacing w:val="-1"/>
          <w:lang w:val="es-US"/>
        </w:rPr>
        <w:t>fundamento</w:t>
      </w:r>
      <w:r w:rsidRPr="009B437D">
        <w:rPr>
          <w:rFonts w:eastAsia="Cambria"/>
          <w:spacing w:val="-2"/>
          <w:lang w:val="es-US"/>
        </w:rPr>
        <w:t xml:space="preserve"> </w:t>
      </w:r>
      <w:r w:rsidRPr="009B437D">
        <w:rPr>
          <w:rFonts w:eastAsia="Cambria"/>
          <w:spacing w:val="1"/>
          <w:lang w:val="es-US"/>
        </w:rPr>
        <w:t>en</w:t>
      </w:r>
      <w:r w:rsidRPr="009B437D">
        <w:rPr>
          <w:rFonts w:eastAsia="Cambria"/>
          <w:spacing w:val="-5"/>
          <w:lang w:val="es-US"/>
        </w:rPr>
        <w:t xml:space="preserve"> </w:t>
      </w:r>
      <w:r w:rsidRPr="009B437D">
        <w:rPr>
          <w:rFonts w:eastAsia="Cambria"/>
          <w:spacing w:val="1"/>
          <w:lang w:val="es-US"/>
        </w:rPr>
        <w:t>el</w:t>
      </w:r>
      <w:r w:rsidRPr="009B437D">
        <w:rPr>
          <w:rFonts w:eastAsia="Cambria"/>
          <w:spacing w:val="-7"/>
          <w:lang w:val="es-US"/>
        </w:rPr>
        <w:t xml:space="preserve"> </w:t>
      </w:r>
      <w:r w:rsidRPr="009B437D">
        <w:rPr>
          <w:rFonts w:eastAsia="Cambria"/>
          <w:lang w:val="es-US"/>
        </w:rPr>
        <w:t>análisis</w:t>
      </w:r>
      <w:r w:rsidRPr="009B437D">
        <w:rPr>
          <w:rFonts w:eastAsia="Cambria"/>
          <w:spacing w:val="-3"/>
          <w:lang w:val="es-US"/>
        </w:rPr>
        <w:t xml:space="preserve"> </w:t>
      </w:r>
      <w:r w:rsidRPr="009B437D">
        <w:rPr>
          <w:rFonts w:eastAsia="Cambria"/>
          <w:lang w:val="es-US"/>
        </w:rPr>
        <w:t>y</w:t>
      </w:r>
      <w:r w:rsidRPr="009B437D">
        <w:rPr>
          <w:rFonts w:eastAsia="Cambria"/>
          <w:spacing w:val="-4"/>
          <w:lang w:val="es-US"/>
        </w:rPr>
        <w:t xml:space="preserve"> </w:t>
      </w:r>
      <w:r w:rsidRPr="009B437D">
        <w:rPr>
          <w:rFonts w:eastAsia="Cambria"/>
          <w:lang w:val="es-US"/>
        </w:rPr>
        <w:t>las</w:t>
      </w:r>
      <w:r w:rsidRPr="009B437D">
        <w:rPr>
          <w:rFonts w:eastAsia="Cambria"/>
          <w:spacing w:val="-8"/>
          <w:lang w:val="es-US"/>
        </w:rPr>
        <w:t xml:space="preserve"> </w:t>
      </w:r>
      <w:r w:rsidRPr="009B437D">
        <w:rPr>
          <w:rFonts w:eastAsia="Cambria"/>
          <w:spacing w:val="-1"/>
          <w:lang w:val="es-US"/>
        </w:rPr>
        <w:t>conclusiones</w:t>
      </w:r>
      <w:r w:rsidRPr="009B437D">
        <w:rPr>
          <w:rFonts w:eastAsia="Cambria"/>
          <w:spacing w:val="-2"/>
          <w:lang w:val="es-US"/>
        </w:rPr>
        <w:t xml:space="preserve"> </w:t>
      </w:r>
      <w:r w:rsidRPr="009B437D">
        <w:rPr>
          <w:rFonts w:eastAsia="Cambria"/>
          <w:lang w:val="es-US"/>
        </w:rPr>
        <w:t>del</w:t>
      </w:r>
      <w:r w:rsidRPr="009B437D">
        <w:rPr>
          <w:rFonts w:eastAsia="Cambria"/>
          <w:spacing w:val="-3"/>
          <w:lang w:val="es-US"/>
        </w:rPr>
        <w:t xml:space="preserve"> </w:t>
      </w:r>
      <w:r w:rsidRPr="009B437D">
        <w:rPr>
          <w:rFonts w:eastAsia="Cambria"/>
          <w:spacing w:val="-1"/>
          <w:lang w:val="es-US"/>
        </w:rPr>
        <w:t>presente</w:t>
      </w:r>
      <w:r w:rsidRPr="009B437D">
        <w:rPr>
          <w:rFonts w:eastAsia="Cambria"/>
          <w:spacing w:val="1"/>
          <w:lang w:val="es-US"/>
        </w:rPr>
        <w:t xml:space="preserve"> </w:t>
      </w:r>
      <w:r w:rsidRPr="009B437D">
        <w:rPr>
          <w:rFonts w:eastAsia="Cambria"/>
          <w:spacing w:val="-1"/>
          <w:lang w:val="es-US"/>
        </w:rPr>
        <w:t>informe,</w:t>
      </w:r>
    </w:p>
    <w:p w14:paraId="1D9BFF45" w14:textId="77777777" w:rsidR="006F1E6E" w:rsidRPr="009B437D" w:rsidRDefault="006F1E6E" w:rsidP="006F1E6E">
      <w:pPr>
        <w:widowControl w:val="0"/>
        <w:spacing w:before="1" w:after="0" w:line="240" w:lineRule="auto"/>
        <w:rPr>
          <w:rFonts w:ascii="Cambria" w:eastAsia="Cambria" w:hAnsi="Cambria" w:cs="Cambria"/>
          <w:sz w:val="20"/>
          <w:szCs w:val="20"/>
          <w:lang w:val="es-US"/>
        </w:rPr>
      </w:pPr>
    </w:p>
    <w:p w14:paraId="049CCA18" w14:textId="12A7B34B" w:rsidR="006F1E6E" w:rsidRPr="009B437D" w:rsidRDefault="006F1E6E" w:rsidP="006F1E6E">
      <w:pPr>
        <w:widowControl w:val="0"/>
        <w:spacing w:after="0" w:line="240" w:lineRule="auto"/>
        <w:rPr>
          <w:rFonts w:ascii="Cambria" w:eastAsia="Calibri" w:hAnsi="Cambria"/>
          <w:b/>
          <w:bCs/>
          <w:sz w:val="20"/>
          <w:szCs w:val="20"/>
          <w:lang w:val="es-US"/>
        </w:rPr>
      </w:pPr>
      <w:r w:rsidRPr="009B437D">
        <w:rPr>
          <w:rFonts w:ascii="Cambria" w:eastAsia="Calibri" w:hAnsi="Cambria"/>
          <w:b/>
          <w:bCs/>
          <w:sz w:val="20"/>
          <w:szCs w:val="20"/>
          <w:lang w:val="es-US"/>
        </w:rPr>
        <w:t>LA</w:t>
      </w:r>
      <w:r w:rsidRPr="009B437D">
        <w:rPr>
          <w:rFonts w:ascii="Cambria" w:eastAsia="Calibri" w:hAnsi="Cambria"/>
          <w:b/>
          <w:bCs/>
          <w:spacing w:val="17"/>
          <w:sz w:val="20"/>
          <w:szCs w:val="20"/>
          <w:lang w:val="es-US"/>
        </w:rPr>
        <w:t xml:space="preserve"> </w:t>
      </w:r>
      <w:r w:rsidRPr="009B437D">
        <w:rPr>
          <w:rFonts w:ascii="Cambria" w:eastAsia="Calibri" w:hAnsi="Cambria"/>
          <w:b/>
          <w:bCs/>
          <w:sz w:val="20"/>
          <w:szCs w:val="20"/>
          <w:lang w:val="es-US"/>
        </w:rPr>
        <w:t>COMISIÓN</w:t>
      </w:r>
      <w:r w:rsidRPr="009B437D">
        <w:rPr>
          <w:rFonts w:ascii="Cambria" w:eastAsia="Calibri" w:hAnsi="Cambria"/>
          <w:b/>
          <w:bCs/>
          <w:spacing w:val="12"/>
          <w:sz w:val="20"/>
          <w:szCs w:val="20"/>
          <w:lang w:val="es-US"/>
        </w:rPr>
        <w:t xml:space="preserve"> </w:t>
      </w:r>
      <w:r w:rsidRPr="009B437D">
        <w:rPr>
          <w:rFonts w:ascii="Cambria" w:eastAsia="Calibri" w:hAnsi="Cambria"/>
          <w:b/>
          <w:bCs/>
          <w:sz w:val="20"/>
          <w:szCs w:val="20"/>
          <w:lang w:val="es-US"/>
        </w:rPr>
        <w:t>INTERAMERICANA</w:t>
      </w:r>
      <w:r w:rsidRPr="009B437D">
        <w:rPr>
          <w:rFonts w:ascii="Cambria" w:eastAsia="Calibri" w:hAnsi="Cambria"/>
          <w:b/>
          <w:bCs/>
          <w:spacing w:val="18"/>
          <w:sz w:val="20"/>
          <w:szCs w:val="20"/>
          <w:lang w:val="es-US"/>
        </w:rPr>
        <w:t xml:space="preserve"> </w:t>
      </w:r>
      <w:r w:rsidRPr="009B437D">
        <w:rPr>
          <w:rFonts w:ascii="Cambria" w:eastAsia="Calibri" w:hAnsi="Cambria"/>
          <w:b/>
          <w:bCs/>
          <w:sz w:val="20"/>
          <w:szCs w:val="20"/>
          <w:lang w:val="es-US"/>
        </w:rPr>
        <w:t>DE</w:t>
      </w:r>
      <w:r w:rsidRPr="009B437D">
        <w:rPr>
          <w:rFonts w:ascii="Cambria" w:eastAsia="Calibri" w:hAnsi="Cambria"/>
          <w:b/>
          <w:bCs/>
          <w:spacing w:val="17"/>
          <w:sz w:val="20"/>
          <w:szCs w:val="20"/>
          <w:lang w:val="es-US"/>
        </w:rPr>
        <w:t xml:space="preserve"> </w:t>
      </w:r>
      <w:r w:rsidRPr="009B437D">
        <w:rPr>
          <w:rFonts w:ascii="Cambria" w:eastAsia="Calibri" w:hAnsi="Cambria"/>
          <w:b/>
          <w:bCs/>
          <w:sz w:val="20"/>
          <w:szCs w:val="20"/>
          <w:lang w:val="es-US"/>
        </w:rPr>
        <w:t>DERECHOS</w:t>
      </w:r>
      <w:r w:rsidRPr="009B437D">
        <w:rPr>
          <w:rFonts w:ascii="Cambria" w:eastAsia="Calibri" w:hAnsi="Cambria"/>
          <w:b/>
          <w:bCs/>
          <w:spacing w:val="21"/>
          <w:sz w:val="20"/>
          <w:szCs w:val="20"/>
          <w:lang w:val="es-US"/>
        </w:rPr>
        <w:t xml:space="preserve"> </w:t>
      </w:r>
      <w:r w:rsidRPr="009B437D">
        <w:rPr>
          <w:rFonts w:ascii="Cambria" w:eastAsia="Calibri" w:hAnsi="Cambria"/>
          <w:b/>
          <w:bCs/>
          <w:spacing w:val="-2"/>
          <w:sz w:val="20"/>
          <w:szCs w:val="20"/>
          <w:lang w:val="es-US"/>
        </w:rPr>
        <w:t>HUMANOS</w:t>
      </w:r>
      <w:r w:rsidRPr="009B437D">
        <w:rPr>
          <w:rFonts w:ascii="Cambria" w:eastAsia="Calibri" w:hAnsi="Cambria"/>
          <w:b/>
          <w:bCs/>
          <w:spacing w:val="21"/>
          <w:sz w:val="20"/>
          <w:szCs w:val="20"/>
          <w:lang w:val="es-US"/>
        </w:rPr>
        <w:t xml:space="preserve"> </w:t>
      </w:r>
      <w:r w:rsidRPr="009B437D">
        <w:rPr>
          <w:rFonts w:ascii="Cambria" w:eastAsia="Calibri" w:hAnsi="Cambria"/>
          <w:b/>
          <w:bCs/>
          <w:sz w:val="20"/>
          <w:szCs w:val="20"/>
          <w:lang w:val="es-US"/>
        </w:rPr>
        <w:t>RE</w:t>
      </w:r>
      <w:r w:rsidR="00111489" w:rsidRPr="009B437D">
        <w:rPr>
          <w:rFonts w:ascii="Cambria" w:eastAsia="Calibri" w:hAnsi="Cambria"/>
          <w:b/>
          <w:bCs/>
          <w:sz w:val="20"/>
          <w:szCs w:val="20"/>
          <w:lang w:val="es-US"/>
        </w:rPr>
        <w:t>ITERA</w:t>
      </w:r>
      <w:r w:rsidRPr="009B437D">
        <w:rPr>
          <w:rFonts w:ascii="Cambria" w:eastAsia="Calibri" w:hAnsi="Cambria"/>
          <w:b/>
          <w:bCs/>
          <w:spacing w:val="18"/>
          <w:sz w:val="20"/>
          <w:szCs w:val="20"/>
          <w:lang w:val="es-US"/>
        </w:rPr>
        <w:t xml:space="preserve"> </w:t>
      </w:r>
      <w:r w:rsidRPr="009B437D">
        <w:rPr>
          <w:rFonts w:ascii="Cambria" w:eastAsia="Calibri" w:hAnsi="Cambria"/>
          <w:b/>
          <w:bCs/>
          <w:sz w:val="20"/>
          <w:szCs w:val="20"/>
          <w:lang w:val="es-US"/>
        </w:rPr>
        <w:t>AL</w:t>
      </w:r>
      <w:r w:rsidRPr="009B437D">
        <w:rPr>
          <w:rFonts w:ascii="Cambria" w:eastAsia="Calibri" w:hAnsi="Cambria"/>
          <w:b/>
          <w:bCs/>
          <w:spacing w:val="17"/>
          <w:sz w:val="20"/>
          <w:szCs w:val="20"/>
          <w:lang w:val="es-US"/>
        </w:rPr>
        <w:t xml:space="preserve"> </w:t>
      </w:r>
      <w:r w:rsidRPr="009B437D">
        <w:rPr>
          <w:rFonts w:ascii="Cambria" w:eastAsia="Calibri" w:hAnsi="Cambria"/>
          <w:b/>
          <w:bCs/>
          <w:sz w:val="20"/>
          <w:szCs w:val="20"/>
          <w:lang w:val="es-US"/>
        </w:rPr>
        <w:t>ESTADO</w:t>
      </w:r>
      <w:r w:rsidRPr="009B437D">
        <w:rPr>
          <w:rFonts w:ascii="Cambria" w:eastAsia="Calibri" w:hAnsi="Cambria"/>
          <w:b/>
          <w:bCs/>
          <w:spacing w:val="19"/>
          <w:sz w:val="20"/>
          <w:szCs w:val="20"/>
          <w:lang w:val="es-US"/>
        </w:rPr>
        <w:t xml:space="preserve"> </w:t>
      </w:r>
      <w:r w:rsidRPr="009B437D">
        <w:rPr>
          <w:rFonts w:ascii="Cambria" w:eastAsia="Calibri" w:hAnsi="Cambria"/>
          <w:b/>
          <w:bCs/>
          <w:sz w:val="20"/>
          <w:szCs w:val="20"/>
          <w:lang w:val="es-US"/>
        </w:rPr>
        <w:t>DE</w:t>
      </w:r>
      <w:r w:rsidRPr="009B437D">
        <w:rPr>
          <w:rFonts w:ascii="Cambria" w:eastAsia="Calibri" w:hAnsi="Cambria"/>
          <w:b/>
          <w:bCs/>
          <w:spacing w:val="44"/>
          <w:w w:val="99"/>
          <w:sz w:val="20"/>
          <w:szCs w:val="20"/>
          <w:lang w:val="es-US"/>
        </w:rPr>
        <w:t xml:space="preserve"> </w:t>
      </w:r>
      <w:r w:rsidRPr="009B437D">
        <w:rPr>
          <w:rFonts w:ascii="Cambria" w:eastAsia="Calibri" w:hAnsi="Cambria"/>
          <w:b/>
          <w:bCs/>
          <w:sz w:val="20"/>
          <w:szCs w:val="20"/>
          <w:lang w:val="es-US"/>
        </w:rPr>
        <w:t>ARGENTINA:</w:t>
      </w:r>
    </w:p>
    <w:p w14:paraId="0E01ADE6" w14:textId="77777777" w:rsidR="006F1E6E" w:rsidRPr="009B437D" w:rsidRDefault="006F1E6E" w:rsidP="006F1E6E">
      <w:pPr>
        <w:widowControl w:val="0"/>
        <w:spacing w:before="1" w:after="0" w:line="240" w:lineRule="auto"/>
        <w:rPr>
          <w:rFonts w:ascii="Cambria" w:eastAsia="Cambria" w:hAnsi="Cambria" w:cs="Cambria"/>
          <w:sz w:val="20"/>
          <w:szCs w:val="20"/>
          <w:lang w:val="es-US"/>
        </w:rPr>
      </w:pPr>
    </w:p>
    <w:p w14:paraId="7179065A" w14:textId="77777777" w:rsidR="006F1E6E" w:rsidRPr="009B437D" w:rsidRDefault="006F1E6E" w:rsidP="00CD2FEB">
      <w:pPr>
        <w:widowControl w:val="0"/>
        <w:numPr>
          <w:ilvl w:val="0"/>
          <w:numId w:val="9"/>
        </w:numPr>
        <w:tabs>
          <w:tab w:val="left" w:pos="461"/>
        </w:tabs>
        <w:spacing w:after="0" w:line="240" w:lineRule="auto"/>
        <w:ind w:right="107" w:firstLine="0"/>
        <w:jc w:val="both"/>
        <w:rPr>
          <w:rFonts w:ascii="Cambria" w:eastAsia="Cambria" w:hAnsi="Cambria"/>
          <w:sz w:val="20"/>
          <w:szCs w:val="20"/>
          <w:lang w:val="es-US"/>
        </w:rPr>
      </w:pPr>
      <w:r w:rsidRPr="009B437D">
        <w:rPr>
          <w:rFonts w:ascii="Cambria" w:eastAsia="Cambria" w:hAnsi="Cambria"/>
          <w:spacing w:val="-1"/>
          <w:sz w:val="20"/>
          <w:szCs w:val="20"/>
          <w:lang w:val="es-US"/>
        </w:rPr>
        <w:t>Adoptar</w:t>
      </w:r>
      <w:r w:rsidRPr="009B437D">
        <w:rPr>
          <w:rFonts w:ascii="Cambria" w:eastAsia="Cambria" w:hAnsi="Cambria"/>
          <w:spacing w:val="5"/>
          <w:sz w:val="20"/>
          <w:szCs w:val="20"/>
          <w:lang w:val="es-US"/>
        </w:rPr>
        <w:t xml:space="preserve"> </w:t>
      </w:r>
      <w:r w:rsidRPr="009B437D">
        <w:rPr>
          <w:rFonts w:ascii="Cambria" w:eastAsia="Cambria" w:hAnsi="Cambria"/>
          <w:spacing w:val="1"/>
          <w:sz w:val="20"/>
          <w:szCs w:val="20"/>
          <w:lang w:val="es-US"/>
        </w:rPr>
        <w:t>el</w:t>
      </w:r>
      <w:r w:rsidRPr="009B437D">
        <w:rPr>
          <w:rFonts w:ascii="Cambria" w:eastAsia="Cambria" w:hAnsi="Cambria"/>
          <w:spacing w:val="3"/>
          <w:sz w:val="20"/>
          <w:szCs w:val="20"/>
          <w:lang w:val="es-US"/>
        </w:rPr>
        <w:t xml:space="preserve"> </w:t>
      </w:r>
      <w:r w:rsidRPr="009B437D">
        <w:rPr>
          <w:rFonts w:ascii="Cambria" w:eastAsia="Cambria" w:hAnsi="Cambria"/>
          <w:spacing w:val="-2"/>
          <w:sz w:val="20"/>
          <w:szCs w:val="20"/>
          <w:lang w:val="es-US"/>
        </w:rPr>
        <w:t>pago</w:t>
      </w:r>
      <w:r w:rsidRPr="009B437D">
        <w:rPr>
          <w:rFonts w:ascii="Cambria" w:eastAsia="Cambria" w:hAnsi="Cambria"/>
          <w:spacing w:val="2"/>
          <w:sz w:val="20"/>
          <w:szCs w:val="20"/>
          <w:lang w:val="es-US"/>
        </w:rPr>
        <w:t xml:space="preserve"> </w:t>
      </w:r>
      <w:r w:rsidRPr="009B437D">
        <w:rPr>
          <w:rFonts w:ascii="Cambria" w:eastAsia="Cambria" w:hAnsi="Cambria"/>
          <w:spacing w:val="-1"/>
          <w:sz w:val="20"/>
          <w:szCs w:val="20"/>
          <w:lang w:val="es-US"/>
        </w:rPr>
        <w:t>de</w:t>
      </w:r>
      <w:r w:rsidRPr="009B437D">
        <w:rPr>
          <w:rFonts w:ascii="Cambria" w:eastAsia="Cambria" w:hAnsi="Cambria"/>
          <w:spacing w:val="5"/>
          <w:sz w:val="20"/>
          <w:szCs w:val="20"/>
          <w:lang w:val="es-US"/>
        </w:rPr>
        <w:t xml:space="preserve"> </w:t>
      </w:r>
      <w:r w:rsidRPr="009B437D">
        <w:rPr>
          <w:rFonts w:ascii="Cambria" w:eastAsia="Cambria" w:hAnsi="Cambria"/>
          <w:spacing w:val="-2"/>
          <w:sz w:val="20"/>
          <w:szCs w:val="20"/>
          <w:lang w:val="es-US"/>
        </w:rPr>
        <w:t>una</w:t>
      </w:r>
      <w:r w:rsidRPr="009B437D">
        <w:rPr>
          <w:rFonts w:ascii="Cambria" w:eastAsia="Cambria" w:hAnsi="Cambria"/>
          <w:spacing w:val="6"/>
          <w:sz w:val="20"/>
          <w:szCs w:val="20"/>
          <w:lang w:val="es-US"/>
        </w:rPr>
        <w:t xml:space="preserve"> </w:t>
      </w:r>
      <w:r w:rsidRPr="009B437D">
        <w:rPr>
          <w:rFonts w:ascii="Cambria" w:eastAsia="Cambria" w:hAnsi="Cambria"/>
          <w:spacing w:val="-1"/>
          <w:sz w:val="20"/>
          <w:szCs w:val="20"/>
          <w:lang w:val="es-US"/>
        </w:rPr>
        <w:t>indemnización</w:t>
      </w:r>
      <w:r w:rsidRPr="009B437D">
        <w:rPr>
          <w:rFonts w:ascii="Cambria" w:eastAsia="Cambria" w:hAnsi="Cambria"/>
          <w:spacing w:val="2"/>
          <w:sz w:val="20"/>
          <w:szCs w:val="20"/>
          <w:lang w:val="es-US"/>
        </w:rPr>
        <w:t xml:space="preserve"> </w:t>
      </w:r>
      <w:r w:rsidRPr="009B437D">
        <w:rPr>
          <w:rFonts w:ascii="Cambria" w:eastAsia="Cambria" w:hAnsi="Cambria"/>
          <w:sz w:val="20"/>
          <w:szCs w:val="20"/>
          <w:lang w:val="es-US"/>
        </w:rPr>
        <w:t>a</w:t>
      </w:r>
      <w:r w:rsidRPr="009B437D">
        <w:rPr>
          <w:rFonts w:ascii="Cambria" w:eastAsia="Cambria" w:hAnsi="Cambria"/>
          <w:spacing w:val="5"/>
          <w:sz w:val="20"/>
          <w:szCs w:val="20"/>
          <w:lang w:val="es-US"/>
        </w:rPr>
        <w:t xml:space="preserve"> </w:t>
      </w:r>
      <w:r w:rsidRPr="009B437D">
        <w:rPr>
          <w:rFonts w:ascii="Cambria" w:eastAsia="Cambria" w:hAnsi="Cambria"/>
          <w:sz w:val="20"/>
          <w:szCs w:val="20"/>
          <w:lang w:val="es-US"/>
        </w:rPr>
        <w:t>la</w:t>
      </w:r>
      <w:r w:rsidRPr="009B437D">
        <w:rPr>
          <w:rFonts w:ascii="Cambria" w:eastAsia="Cambria" w:hAnsi="Cambria"/>
          <w:spacing w:val="5"/>
          <w:sz w:val="20"/>
          <w:szCs w:val="20"/>
          <w:lang w:val="es-US"/>
        </w:rPr>
        <w:t xml:space="preserve"> </w:t>
      </w:r>
      <w:r w:rsidRPr="009B437D">
        <w:rPr>
          <w:rFonts w:ascii="Cambria" w:eastAsia="Cambria" w:hAnsi="Cambria"/>
          <w:sz w:val="20"/>
          <w:szCs w:val="20"/>
          <w:lang w:val="es-US"/>
        </w:rPr>
        <w:t>víctima</w:t>
      </w:r>
      <w:r w:rsidRPr="009B437D">
        <w:rPr>
          <w:rFonts w:ascii="Cambria" w:eastAsia="Cambria" w:hAnsi="Cambria"/>
          <w:spacing w:val="5"/>
          <w:sz w:val="20"/>
          <w:szCs w:val="20"/>
          <w:lang w:val="es-US"/>
        </w:rPr>
        <w:t xml:space="preserve"> </w:t>
      </w:r>
      <w:r w:rsidRPr="009B437D">
        <w:rPr>
          <w:rFonts w:ascii="Cambria" w:eastAsia="Cambria" w:hAnsi="Cambria"/>
          <w:spacing w:val="-2"/>
          <w:sz w:val="20"/>
          <w:szCs w:val="20"/>
          <w:lang w:val="es-US"/>
        </w:rPr>
        <w:t>por</w:t>
      </w:r>
      <w:r w:rsidRPr="009B437D">
        <w:rPr>
          <w:rFonts w:ascii="Cambria" w:eastAsia="Cambria" w:hAnsi="Cambria"/>
          <w:spacing w:val="5"/>
          <w:sz w:val="20"/>
          <w:szCs w:val="20"/>
          <w:lang w:val="es-US"/>
        </w:rPr>
        <w:t xml:space="preserve"> </w:t>
      </w:r>
      <w:r w:rsidRPr="009B437D">
        <w:rPr>
          <w:rFonts w:ascii="Cambria" w:eastAsia="Cambria" w:hAnsi="Cambria"/>
          <w:spacing w:val="-3"/>
          <w:sz w:val="20"/>
          <w:szCs w:val="20"/>
          <w:lang w:val="es-US"/>
        </w:rPr>
        <w:t>la</w:t>
      </w:r>
      <w:r w:rsidRPr="009B437D">
        <w:rPr>
          <w:rFonts w:ascii="Cambria" w:eastAsia="Cambria" w:hAnsi="Cambria"/>
          <w:spacing w:val="6"/>
          <w:sz w:val="20"/>
          <w:szCs w:val="20"/>
          <w:lang w:val="es-US"/>
        </w:rPr>
        <w:t xml:space="preserve"> </w:t>
      </w:r>
      <w:r w:rsidRPr="009B437D">
        <w:rPr>
          <w:rFonts w:ascii="Cambria" w:eastAsia="Cambria" w:hAnsi="Cambria"/>
          <w:spacing w:val="-1"/>
          <w:sz w:val="20"/>
          <w:szCs w:val="20"/>
          <w:lang w:val="es-US"/>
        </w:rPr>
        <w:t>violación</w:t>
      </w:r>
      <w:r w:rsidRPr="009B437D">
        <w:rPr>
          <w:rFonts w:ascii="Cambria" w:eastAsia="Cambria" w:hAnsi="Cambria"/>
          <w:spacing w:val="1"/>
          <w:sz w:val="20"/>
          <w:szCs w:val="20"/>
          <w:lang w:val="es-US"/>
        </w:rPr>
        <w:t xml:space="preserve"> </w:t>
      </w:r>
      <w:r w:rsidRPr="009B437D">
        <w:rPr>
          <w:rFonts w:ascii="Cambria" w:eastAsia="Cambria" w:hAnsi="Cambria"/>
          <w:spacing w:val="-1"/>
          <w:sz w:val="20"/>
          <w:szCs w:val="20"/>
          <w:lang w:val="es-US"/>
        </w:rPr>
        <w:t>declarada</w:t>
      </w:r>
      <w:r w:rsidRPr="009B437D">
        <w:rPr>
          <w:rFonts w:ascii="Cambria" w:eastAsia="Cambria" w:hAnsi="Cambria"/>
          <w:spacing w:val="6"/>
          <w:sz w:val="20"/>
          <w:szCs w:val="20"/>
          <w:lang w:val="es-US"/>
        </w:rPr>
        <w:t xml:space="preserve"> </w:t>
      </w:r>
      <w:r w:rsidRPr="009B437D">
        <w:rPr>
          <w:rFonts w:ascii="Cambria" w:eastAsia="Cambria" w:hAnsi="Cambria"/>
          <w:spacing w:val="1"/>
          <w:sz w:val="20"/>
          <w:szCs w:val="20"/>
          <w:lang w:val="es-US"/>
        </w:rPr>
        <w:t>en el</w:t>
      </w:r>
      <w:r w:rsidRPr="009B437D">
        <w:rPr>
          <w:rFonts w:ascii="Cambria" w:eastAsia="Cambria" w:hAnsi="Cambria"/>
          <w:spacing w:val="4"/>
          <w:sz w:val="20"/>
          <w:szCs w:val="20"/>
          <w:lang w:val="es-US"/>
        </w:rPr>
        <w:t xml:space="preserve"> </w:t>
      </w:r>
      <w:r w:rsidRPr="009B437D">
        <w:rPr>
          <w:rFonts w:ascii="Cambria" w:eastAsia="Cambria" w:hAnsi="Cambria"/>
          <w:spacing w:val="-1"/>
          <w:sz w:val="20"/>
          <w:szCs w:val="20"/>
          <w:lang w:val="es-US"/>
        </w:rPr>
        <w:t>presente</w:t>
      </w:r>
      <w:r w:rsidRPr="009B437D">
        <w:rPr>
          <w:rFonts w:ascii="Cambria" w:eastAsia="Cambria" w:hAnsi="Cambria"/>
          <w:spacing w:val="6"/>
          <w:sz w:val="20"/>
          <w:szCs w:val="20"/>
          <w:lang w:val="es-US"/>
        </w:rPr>
        <w:t xml:space="preserve"> </w:t>
      </w:r>
      <w:r w:rsidRPr="009B437D">
        <w:rPr>
          <w:rFonts w:ascii="Cambria" w:eastAsia="Cambria" w:hAnsi="Cambria"/>
          <w:spacing w:val="-1"/>
          <w:sz w:val="20"/>
          <w:szCs w:val="20"/>
          <w:lang w:val="es-US"/>
        </w:rPr>
        <w:t>informe,</w:t>
      </w:r>
      <w:r w:rsidRPr="009B437D">
        <w:rPr>
          <w:rFonts w:ascii="Cambria" w:eastAsia="Cambria" w:hAnsi="Cambria"/>
          <w:spacing w:val="69"/>
          <w:sz w:val="20"/>
          <w:szCs w:val="20"/>
          <w:lang w:val="es-US"/>
        </w:rPr>
        <w:t xml:space="preserve"> </w:t>
      </w:r>
      <w:r w:rsidRPr="009B437D">
        <w:rPr>
          <w:rFonts w:ascii="Cambria" w:eastAsia="Cambria" w:hAnsi="Cambria"/>
          <w:sz w:val="20"/>
          <w:szCs w:val="20"/>
          <w:lang w:val="es-US"/>
        </w:rPr>
        <w:t>específicamente,</w:t>
      </w:r>
      <w:r w:rsidRPr="009B437D">
        <w:rPr>
          <w:rFonts w:ascii="Cambria" w:eastAsia="Cambria" w:hAnsi="Cambria"/>
          <w:spacing w:val="-11"/>
          <w:sz w:val="20"/>
          <w:szCs w:val="20"/>
          <w:lang w:val="es-US"/>
        </w:rPr>
        <w:t xml:space="preserve"> </w:t>
      </w:r>
      <w:r w:rsidRPr="009B437D">
        <w:rPr>
          <w:rFonts w:ascii="Cambria" w:eastAsia="Cambria" w:hAnsi="Cambria"/>
          <w:sz w:val="20"/>
          <w:szCs w:val="20"/>
          <w:lang w:val="es-US"/>
        </w:rPr>
        <w:t>la</w:t>
      </w:r>
      <w:r w:rsidRPr="009B437D">
        <w:rPr>
          <w:rFonts w:ascii="Cambria" w:eastAsia="Cambria" w:hAnsi="Cambria"/>
          <w:spacing w:val="-6"/>
          <w:sz w:val="20"/>
          <w:szCs w:val="20"/>
          <w:lang w:val="es-US"/>
        </w:rPr>
        <w:t xml:space="preserve"> </w:t>
      </w:r>
      <w:r w:rsidRPr="009B437D">
        <w:rPr>
          <w:rFonts w:ascii="Cambria" w:eastAsia="Cambria" w:hAnsi="Cambria"/>
          <w:spacing w:val="-2"/>
          <w:sz w:val="20"/>
          <w:szCs w:val="20"/>
          <w:lang w:val="es-US"/>
        </w:rPr>
        <w:t>omisión</w:t>
      </w:r>
      <w:r w:rsidRPr="009B437D">
        <w:rPr>
          <w:rFonts w:ascii="Cambria" w:eastAsia="Cambria" w:hAnsi="Cambria"/>
          <w:spacing w:val="-9"/>
          <w:sz w:val="20"/>
          <w:szCs w:val="20"/>
          <w:lang w:val="es-US"/>
        </w:rPr>
        <w:t xml:space="preserve"> </w:t>
      </w:r>
      <w:r w:rsidRPr="009B437D">
        <w:rPr>
          <w:rFonts w:ascii="Cambria" w:eastAsia="Cambria" w:hAnsi="Cambria"/>
          <w:spacing w:val="-1"/>
          <w:sz w:val="20"/>
          <w:szCs w:val="20"/>
          <w:lang w:val="es-US"/>
        </w:rPr>
        <w:t>de</w:t>
      </w:r>
      <w:r w:rsidRPr="009B437D">
        <w:rPr>
          <w:rFonts w:ascii="Cambria" w:eastAsia="Cambria" w:hAnsi="Cambria"/>
          <w:spacing w:val="-5"/>
          <w:sz w:val="20"/>
          <w:szCs w:val="20"/>
          <w:lang w:val="es-US"/>
        </w:rPr>
        <w:t xml:space="preserve"> </w:t>
      </w:r>
      <w:r w:rsidRPr="009B437D">
        <w:rPr>
          <w:rFonts w:ascii="Cambria" w:eastAsia="Cambria" w:hAnsi="Cambria"/>
          <w:spacing w:val="-1"/>
          <w:sz w:val="20"/>
          <w:szCs w:val="20"/>
          <w:lang w:val="es-US"/>
        </w:rPr>
        <w:t>adoptar</w:t>
      </w:r>
      <w:r w:rsidRPr="009B437D">
        <w:rPr>
          <w:rFonts w:ascii="Cambria" w:eastAsia="Cambria" w:hAnsi="Cambria"/>
          <w:spacing w:val="-9"/>
          <w:sz w:val="20"/>
          <w:szCs w:val="20"/>
          <w:lang w:val="es-US"/>
        </w:rPr>
        <w:t xml:space="preserve"> </w:t>
      </w:r>
      <w:r w:rsidRPr="009B437D">
        <w:rPr>
          <w:rFonts w:ascii="Cambria" w:eastAsia="Cambria" w:hAnsi="Cambria"/>
          <w:spacing w:val="-1"/>
          <w:sz w:val="20"/>
          <w:szCs w:val="20"/>
          <w:lang w:val="es-US"/>
        </w:rPr>
        <w:t>medidas</w:t>
      </w:r>
      <w:r w:rsidRPr="009B437D">
        <w:rPr>
          <w:rFonts w:ascii="Cambria" w:eastAsia="Cambria" w:hAnsi="Cambria"/>
          <w:spacing w:val="-7"/>
          <w:sz w:val="20"/>
          <w:szCs w:val="20"/>
          <w:lang w:val="es-US"/>
        </w:rPr>
        <w:t xml:space="preserve"> </w:t>
      </w:r>
      <w:r w:rsidRPr="009B437D">
        <w:rPr>
          <w:rFonts w:ascii="Cambria" w:eastAsia="Cambria" w:hAnsi="Cambria"/>
          <w:spacing w:val="-1"/>
          <w:sz w:val="20"/>
          <w:szCs w:val="20"/>
          <w:lang w:val="es-US"/>
        </w:rPr>
        <w:t>adecuadas</w:t>
      </w:r>
      <w:r w:rsidRPr="009B437D">
        <w:rPr>
          <w:rFonts w:ascii="Cambria" w:eastAsia="Cambria" w:hAnsi="Cambria"/>
          <w:spacing w:val="-12"/>
          <w:sz w:val="20"/>
          <w:szCs w:val="20"/>
          <w:lang w:val="es-US"/>
        </w:rPr>
        <w:t xml:space="preserve"> </w:t>
      </w:r>
      <w:r w:rsidRPr="009B437D">
        <w:rPr>
          <w:rFonts w:ascii="Cambria" w:eastAsia="Cambria" w:hAnsi="Cambria"/>
          <w:sz w:val="20"/>
          <w:szCs w:val="20"/>
          <w:lang w:val="es-US"/>
        </w:rPr>
        <w:t>para</w:t>
      </w:r>
      <w:r w:rsidRPr="009B437D">
        <w:rPr>
          <w:rFonts w:ascii="Cambria" w:eastAsia="Cambria" w:hAnsi="Cambria"/>
          <w:spacing w:val="-9"/>
          <w:sz w:val="20"/>
          <w:szCs w:val="20"/>
          <w:lang w:val="es-US"/>
        </w:rPr>
        <w:t xml:space="preserve"> </w:t>
      </w:r>
      <w:r w:rsidRPr="009B437D">
        <w:rPr>
          <w:rFonts w:ascii="Cambria" w:eastAsia="Cambria" w:hAnsi="Cambria"/>
          <w:spacing w:val="-1"/>
          <w:sz w:val="20"/>
          <w:szCs w:val="20"/>
          <w:lang w:val="es-US"/>
        </w:rPr>
        <w:t>garantizar</w:t>
      </w:r>
      <w:r w:rsidRPr="009B437D">
        <w:rPr>
          <w:rFonts w:ascii="Cambria" w:eastAsia="Cambria" w:hAnsi="Cambria"/>
          <w:spacing w:val="-4"/>
          <w:sz w:val="20"/>
          <w:szCs w:val="20"/>
          <w:lang w:val="es-US"/>
        </w:rPr>
        <w:t xml:space="preserve"> </w:t>
      </w:r>
      <w:r w:rsidRPr="009B437D">
        <w:rPr>
          <w:rFonts w:ascii="Cambria" w:eastAsia="Cambria" w:hAnsi="Cambria"/>
          <w:spacing w:val="-3"/>
          <w:sz w:val="20"/>
          <w:szCs w:val="20"/>
          <w:lang w:val="es-US"/>
        </w:rPr>
        <w:t>la</w:t>
      </w:r>
      <w:r w:rsidRPr="009B437D">
        <w:rPr>
          <w:rFonts w:ascii="Cambria" w:eastAsia="Cambria" w:hAnsi="Cambria"/>
          <w:spacing w:val="-10"/>
          <w:sz w:val="20"/>
          <w:szCs w:val="20"/>
          <w:lang w:val="es-US"/>
        </w:rPr>
        <w:t xml:space="preserve"> </w:t>
      </w:r>
      <w:r w:rsidRPr="009B437D">
        <w:rPr>
          <w:rFonts w:ascii="Cambria" w:eastAsia="Cambria" w:hAnsi="Cambria"/>
          <w:spacing w:val="-1"/>
          <w:sz w:val="20"/>
          <w:szCs w:val="20"/>
          <w:lang w:val="es-US"/>
        </w:rPr>
        <w:t>ejecución</w:t>
      </w:r>
      <w:r w:rsidRPr="009B437D">
        <w:rPr>
          <w:rFonts w:ascii="Cambria" w:eastAsia="Cambria" w:hAnsi="Cambria"/>
          <w:spacing w:val="-8"/>
          <w:sz w:val="20"/>
          <w:szCs w:val="20"/>
          <w:lang w:val="es-US"/>
        </w:rPr>
        <w:t xml:space="preserve"> </w:t>
      </w:r>
      <w:r w:rsidRPr="009B437D">
        <w:rPr>
          <w:rFonts w:ascii="Cambria" w:eastAsia="Cambria" w:hAnsi="Cambria"/>
          <w:spacing w:val="-1"/>
          <w:sz w:val="20"/>
          <w:szCs w:val="20"/>
          <w:lang w:val="es-US"/>
        </w:rPr>
        <w:t>de</w:t>
      </w:r>
      <w:r w:rsidRPr="009B437D">
        <w:rPr>
          <w:rFonts w:ascii="Cambria" w:eastAsia="Cambria" w:hAnsi="Cambria"/>
          <w:spacing w:val="-9"/>
          <w:sz w:val="20"/>
          <w:szCs w:val="20"/>
          <w:lang w:val="es-US"/>
        </w:rPr>
        <w:t xml:space="preserve"> </w:t>
      </w:r>
      <w:r w:rsidRPr="009B437D">
        <w:rPr>
          <w:rFonts w:ascii="Cambria" w:eastAsia="Cambria" w:hAnsi="Cambria"/>
          <w:spacing w:val="-1"/>
          <w:sz w:val="20"/>
          <w:szCs w:val="20"/>
          <w:lang w:val="es-US"/>
        </w:rPr>
        <w:t>un</w:t>
      </w:r>
      <w:r w:rsidRPr="009B437D">
        <w:rPr>
          <w:rFonts w:ascii="Cambria" w:eastAsia="Cambria" w:hAnsi="Cambria"/>
          <w:spacing w:val="-9"/>
          <w:sz w:val="20"/>
          <w:szCs w:val="20"/>
          <w:lang w:val="es-US"/>
        </w:rPr>
        <w:t xml:space="preserve"> </w:t>
      </w:r>
      <w:r w:rsidRPr="009B437D">
        <w:rPr>
          <w:rFonts w:ascii="Cambria" w:eastAsia="Cambria" w:hAnsi="Cambria"/>
          <w:sz w:val="20"/>
          <w:szCs w:val="20"/>
          <w:lang w:val="es-US"/>
        </w:rPr>
        <w:t>fallo</w:t>
      </w:r>
      <w:r w:rsidRPr="009B437D">
        <w:rPr>
          <w:rFonts w:ascii="Cambria" w:eastAsia="Cambria" w:hAnsi="Cambria"/>
          <w:spacing w:val="-13"/>
          <w:sz w:val="20"/>
          <w:szCs w:val="20"/>
          <w:lang w:val="es-US"/>
        </w:rPr>
        <w:t xml:space="preserve"> </w:t>
      </w:r>
      <w:r w:rsidRPr="009B437D">
        <w:rPr>
          <w:rFonts w:ascii="Cambria" w:eastAsia="Cambria" w:hAnsi="Cambria"/>
          <w:sz w:val="20"/>
          <w:szCs w:val="20"/>
          <w:lang w:val="es-US"/>
        </w:rPr>
        <w:t>judicial.</w:t>
      </w:r>
    </w:p>
    <w:p w14:paraId="4AF59492" w14:textId="77777777" w:rsidR="006F1E6E" w:rsidRPr="009B437D" w:rsidRDefault="006F1E6E" w:rsidP="006F1E6E">
      <w:pPr>
        <w:widowControl w:val="0"/>
        <w:spacing w:after="0" w:line="240" w:lineRule="auto"/>
        <w:outlineLvl w:val="0"/>
        <w:rPr>
          <w:rFonts w:ascii="Cambria" w:eastAsia="Cambria" w:hAnsi="Cambria"/>
          <w:b/>
          <w:bCs/>
          <w:spacing w:val="-4"/>
          <w:sz w:val="20"/>
          <w:szCs w:val="20"/>
          <w:lang w:val="es-US"/>
        </w:rPr>
      </w:pPr>
    </w:p>
    <w:p w14:paraId="4A5171D7" w14:textId="3C89AC5B" w:rsidR="006F1E6E" w:rsidRPr="009B437D" w:rsidRDefault="006A527D" w:rsidP="00CD2FEB">
      <w:pPr>
        <w:pStyle w:val="Heading1"/>
        <w:numPr>
          <w:ilvl w:val="0"/>
          <w:numId w:val="2"/>
        </w:numPr>
        <w:tabs>
          <w:tab w:val="clear" w:pos="1440"/>
          <w:tab w:val="num" w:pos="540"/>
        </w:tabs>
        <w:ind w:hanging="1440"/>
        <w:jc w:val="both"/>
        <w:rPr>
          <w:bCs/>
          <w:lang w:val="es-US"/>
        </w:rPr>
      </w:pPr>
      <w:bookmarkStart w:id="51" w:name="_Toc11052104"/>
      <w:bookmarkStart w:id="52" w:name="_Toc11060948"/>
      <w:bookmarkStart w:id="53" w:name="_Toc133832931"/>
      <w:bookmarkStart w:id="54" w:name="_Toc195697673"/>
      <w:bookmarkStart w:id="55" w:name="_Toc198216762"/>
      <w:bookmarkStart w:id="56" w:name="_Toc203125567"/>
      <w:r w:rsidRPr="009B437D">
        <w:rPr>
          <w:rFonts w:eastAsia="Cambria"/>
          <w:bCs/>
          <w:spacing w:val="-4"/>
          <w:lang w:val="es-US"/>
        </w:rPr>
        <w:t>PUBLI</w:t>
      </w:r>
      <w:r w:rsidR="006F1E6E" w:rsidRPr="009B437D">
        <w:rPr>
          <w:bCs/>
          <w:lang w:val="es-US"/>
        </w:rPr>
        <w:t>CACIÓN</w:t>
      </w:r>
      <w:bookmarkEnd w:id="51"/>
      <w:bookmarkEnd w:id="52"/>
      <w:bookmarkEnd w:id="53"/>
      <w:bookmarkEnd w:id="54"/>
      <w:bookmarkEnd w:id="55"/>
      <w:bookmarkEnd w:id="56"/>
    </w:p>
    <w:p w14:paraId="7E66F12A" w14:textId="77777777" w:rsidR="00793783" w:rsidRPr="009B437D" w:rsidRDefault="00793783" w:rsidP="00793783">
      <w:pPr>
        <w:pStyle w:val="parrafos"/>
        <w:tabs>
          <w:tab w:val="left" w:pos="360"/>
        </w:tabs>
        <w:rPr>
          <w:rFonts w:eastAsia="Cambria" w:cs="Cambria"/>
          <w:lang w:val="es-US"/>
        </w:rPr>
      </w:pPr>
    </w:p>
    <w:p w14:paraId="0120811C" w14:textId="653819D0" w:rsidR="00793783" w:rsidRPr="009B437D" w:rsidRDefault="00793783" w:rsidP="00793783">
      <w:pPr>
        <w:pStyle w:val="parrafos"/>
        <w:numPr>
          <w:ilvl w:val="0"/>
          <w:numId w:val="3"/>
        </w:numPr>
        <w:tabs>
          <w:tab w:val="left" w:pos="360"/>
        </w:tabs>
        <w:ind w:left="0" w:firstLine="0"/>
        <w:rPr>
          <w:rFonts w:eastAsia="Cambria" w:cs="Cambria"/>
          <w:lang w:val="es-US"/>
        </w:rPr>
      </w:pPr>
      <w:r w:rsidRPr="009B437D">
        <w:rPr>
          <w:rFonts w:eastAsia="Cambria" w:cs="Cambria"/>
          <w:lang w:val="es-US"/>
        </w:rPr>
        <w:t>De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con las normas establecidas en los instrumentos que regulan su mandato, continuará evaluando que el Estado de Argentina repare integralmente a la víctima de acuerdo con lo establecido en la recomendación arriba señalada, hasta que determine que se le ha dado un total cumplimiento.</w:t>
      </w:r>
    </w:p>
    <w:p w14:paraId="318925EA" w14:textId="77777777" w:rsidR="006F1E6E" w:rsidRDefault="006F1E6E" w:rsidP="006F1E6E">
      <w:pPr>
        <w:spacing w:after="0" w:line="240" w:lineRule="auto"/>
        <w:jc w:val="both"/>
        <w:rPr>
          <w:lang w:val="es-ES_tradnl"/>
        </w:rPr>
      </w:pPr>
    </w:p>
    <w:p w14:paraId="5B723B20" w14:textId="566A80E4" w:rsidR="00901633" w:rsidRDefault="00901633" w:rsidP="00901633">
      <w:pPr>
        <w:pStyle w:val="parrafos"/>
        <w:ind w:firstLine="708"/>
      </w:pPr>
      <w:r w:rsidRPr="00917B35">
        <w:t xml:space="preserve">Aprobado por la Comisión Interamericana de Derechos Humanos a los </w:t>
      </w:r>
      <w:r>
        <w:t>10</w:t>
      </w:r>
      <w:r w:rsidRPr="00917B35">
        <w:t xml:space="preserve"> días del mes de </w:t>
      </w:r>
      <w:r>
        <w:t>julio</w:t>
      </w:r>
      <w:r w:rsidRPr="00917B35">
        <w:t xml:space="preserve"> de 202</w:t>
      </w:r>
      <w:r>
        <w:t>5</w:t>
      </w:r>
      <w:r w:rsidRPr="00917B35">
        <w:t>. (Firmado): José Luis Caballero Ochoa</w:t>
      </w:r>
      <w:r>
        <w:t xml:space="preserve">, Presidente, </w:t>
      </w:r>
      <w:r w:rsidRPr="00917B35">
        <w:t>Arif Bulkan</w:t>
      </w:r>
      <w:r>
        <w:t xml:space="preserve">, Segundo Vicepresidente, </w:t>
      </w:r>
      <w:r w:rsidRPr="00917B35">
        <w:t>Roberta Clarke; Carlos Bernal Pulido</w:t>
      </w:r>
      <w:r>
        <w:t xml:space="preserve"> </w:t>
      </w:r>
      <w:r w:rsidRPr="00917B35">
        <w:t xml:space="preserve">y Gloria Monique de Mees, </w:t>
      </w:r>
      <w:r>
        <w:t>M</w:t>
      </w:r>
      <w:r w:rsidRPr="00917B35">
        <w:t>iembros de la Comisión</w:t>
      </w:r>
      <w:r>
        <w:t>.</w:t>
      </w:r>
    </w:p>
    <w:p w14:paraId="3C74D6BF" w14:textId="77777777" w:rsidR="00552DC1" w:rsidRPr="005E5F21" w:rsidRDefault="00901633" w:rsidP="00552DC1">
      <w:pPr>
        <w:spacing w:after="0" w:line="240" w:lineRule="auto"/>
        <w:jc w:val="both"/>
        <w:rPr>
          <w:rFonts w:ascii="Cambria" w:hAnsi="Cambria"/>
          <w:color w:val="000000"/>
          <w:sz w:val="20"/>
          <w:szCs w:val="20"/>
          <w:bdr w:val="none" w:sz="0" w:space="0" w:color="auto" w:frame="1"/>
          <w:shd w:val="clear" w:color="auto" w:fill="FFFFFF"/>
        </w:rPr>
      </w:pPr>
      <w:r>
        <w:rPr>
          <w:rFonts w:ascii="Cambria" w:hAnsi="Cambria"/>
          <w:sz w:val="20"/>
          <w:szCs w:val="20"/>
        </w:rPr>
        <w:tab/>
      </w:r>
      <w:bookmarkStart w:id="57" w:name="_Hlk197422485"/>
      <w:bookmarkStart w:id="58" w:name="_Hlk199498034"/>
      <w:bookmarkEnd w:id="37"/>
    </w:p>
    <w:bookmarkEnd w:id="57"/>
    <w:bookmarkEnd w:id="58"/>
    <w:p w14:paraId="476A1972" w14:textId="77777777" w:rsidR="00552DC1" w:rsidRDefault="00552DC1" w:rsidP="00552DC1">
      <w:pPr>
        <w:spacing w:after="0" w:line="240" w:lineRule="auto"/>
        <w:jc w:val="center"/>
        <w:rPr>
          <w:rFonts w:cstheme="minorHAnsi"/>
          <w:lang w:val="es-US"/>
        </w:rPr>
      </w:pPr>
    </w:p>
    <w:sectPr w:rsidR="00552DC1" w:rsidSect="00D75A6C">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6BCC" w14:textId="77777777" w:rsidR="001B22A3" w:rsidRDefault="001B22A3" w:rsidP="007374FF">
      <w:pPr>
        <w:spacing w:after="0" w:line="240" w:lineRule="auto"/>
      </w:pPr>
      <w:r>
        <w:separator/>
      </w:r>
    </w:p>
  </w:endnote>
  <w:endnote w:type="continuationSeparator" w:id="0">
    <w:p w14:paraId="72F5F599" w14:textId="77777777" w:rsidR="001B22A3" w:rsidRDefault="001B22A3" w:rsidP="0073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59B0" w14:textId="77777777" w:rsidR="00F863D5" w:rsidRPr="00934A2C" w:rsidRDefault="00F863D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52E49">
      <w:rPr>
        <w:noProof/>
        <w:sz w:val="16"/>
        <w:szCs w:val="22"/>
      </w:rPr>
      <w:t>19</w:t>
    </w:r>
    <w:r w:rsidRPr="00934A2C">
      <w:rPr>
        <w:noProof/>
        <w:sz w:val="16"/>
        <w:szCs w:val="22"/>
      </w:rPr>
      <w:fldChar w:fldCharType="end"/>
    </w:r>
  </w:p>
  <w:p w14:paraId="61C988F9" w14:textId="77777777" w:rsidR="00F863D5" w:rsidRDefault="00F86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36F5" w14:textId="77777777" w:rsidR="00F863D5" w:rsidRPr="00934A2C" w:rsidRDefault="00F863D5">
    <w:pPr>
      <w:pStyle w:val="Footer"/>
      <w:jc w:val="center"/>
      <w:rPr>
        <w:sz w:val="16"/>
        <w:szCs w:val="22"/>
      </w:rPr>
    </w:pPr>
  </w:p>
  <w:p w14:paraId="7BC1BAF2" w14:textId="77777777" w:rsidR="00F863D5" w:rsidRDefault="00F8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7EBC" w14:textId="77777777" w:rsidR="001B22A3" w:rsidRDefault="001B22A3" w:rsidP="007374FF">
      <w:pPr>
        <w:spacing w:after="0" w:line="240" w:lineRule="auto"/>
      </w:pPr>
      <w:r>
        <w:separator/>
      </w:r>
    </w:p>
  </w:footnote>
  <w:footnote w:type="continuationSeparator" w:id="0">
    <w:p w14:paraId="6D128CE7" w14:textId="77777777" w:rsidR="001B22A3" w:rsidRDefault="001B22A3" w:rsidP="007374FF">
      <w:pPr>
        <w:spacing w:after="0" w:line="240" w:lineRule="auto"/>
      </w:pPr>
      <w:r>
        <w:continuationSeparator/>
      </w:r>
    </w:p>
  </w:footnote>
  <w:footnote w:id="1">
    <w:p w14:paraId="479ECE9B" w14:textId="77777777" w:rsidR="001C3AA9" w:rsidRPr="00B3070A" w:rsidRDefault="001C3AA9" w:rsidP="001C3AA9">
      <w:pPr>
        <w:pStyle w:val="FootnoteText"/>
        <w:jc w:val="both"/>
        <w:rPr>
          <w:lang w:val="es-MX"/>
        </w:rPr>
      </w:pPr>
      <w:r w:rsidRPr="00B3070A">
        <w:rPr>
          <w:rStyle w:val="FootnoteReference"/>
          <w:rFonts w:ascii="Cambria" w:hAnsi="Cambria"/>
          <w:sz w:val="16"/>
          <w:szCs w:val="16"/>
        </w:rPr>
        <w:footnoteRef/>
      </w:r>
      <w:r w:rsidRPr="00B3070A">
        <w:rPr>
          <w:lang w:val="es-US"/>
        </w:rPr>
        <w:t xml:space="preserve"> </w:t>
      </w:r>
      <w:r w:rsidRPr="00B3070A">
        <w:rPr>
          <w:rFonts w:ascii="Cambria" w:hAnsi="Cambria"/>
          <w:color w:val="auto"/>
          <w:sz w:val="16"/>
          <w:szCs w:val="16"/>
          <w:lang w:val="es-ES"/>
        </w:rPr>
        <w:t xml:space="preserve">Conforme a lo dispuesto en el artículo 17.2 del Reglamento de la Comisión, la Comisionada </w:t>
      </w:r>
      <w:bookmarkStart w:id="6" w:name="LuisVargas"/>
      <w:bookmarkEnd w:id="6"/>
      <w:r w:rsidRPr="00B3070A">
        <w:rPr>
          <w:rFonts w:ascii="Cambria" w:hAnsi="Cambria"/>
          <w:color w:val="auto"/>
          <w:sz w:val="16"/>
          <w:szCs w:val="16"/>
          <w:lang w:val="es-ES"/>
        </w:rPr>
        <w:t>Andrea Pochak, de nacionalidad argentina, no participó en el debate ni en la decisión del presente caso.</w:t>
      </w:r>
      <w:r w:rsidRPr="00B3070A">
        <w:rPr>
          <w:lang w:val="es-MX"/>
        </w:rPr>
        <w:t xml:space="preserve"> </w:t>
      </w:r>
    </w:p>
  </w:footnote>
  <w:footnote w:id="2">
    <w:p w14:paraId="0D6034C4" w14:textId="4FA74AB3" w:rsidR="001D7B30" w:rsidRPr="0094232F" w:rsidRDefault="001D7B30" w:rsidP="001D7B30">
      <w:pPr>
        <w:pStyle w:val="FootnoteText"/>
        <w:jc w:val="both"/>
        <w:rPr>
          <w:lang w:val="es-US"/>
        </w:rPr>
      </w:pPr>
      <w:r w:rsidRPr="00B3070A">
        <w:rPr>
          <w:rStyle w:val="FootnoteReference"/>
          <w:rFonts w:ascii="Cambria" w:hAnsi="Cambria"/>
          <w:sz w:val="16"/>
          <w:szCs w:val="16"/>
        </w:rPr>
        <w:footnoteRef/>
      </w:r>
      <w:r w:rsidRPr="00B3070A">
        <w:rPr>
          <w:lang w:val="es-US"/>
        </w:rPr>
        <w:t xml:space="preserve"> </w:t>
      </w:r>
      <w:r w:rsidRPr="00B3070A">
        <w:rPr>
          <w:rFonts w:ascii="Cambria" w:hAnsi="Cambria"/>
          <w:color w:val="auto"/>
          <w:sz w:val="16"/>
          <w:szCs w:val="16"/>
          <w:lang w:val="es-ES"/>
        </w:rPr>
        <w:t xml:space="preserve">Ante la solicitud de la peticionaria </w:t>
      </w:r>
      <w:r w:rsidR="004C10FF" w:rsidRPr="00B3070A">
        <w:rPr>
          <w:rFonts w:ascii="Cambria" w:hAnsi="Cambria"/>
          <w:color w:val="auto"/>
          <w:sz w:val="16"/>
          <w:szCs w:val="16"/>
          <w:lang w:val="es-ES"/>
        </w:rPr>
        <w:t xml:space="preserve">de 11 de noviembre de 2023 </w:t>
      </w:r>
      <w:r w:rsidRPr="00B3070A">
        <w:rPr>
          <w:rFonts w:ascii="Cambria" w:hAnsi="Cambria"/>
          <w:color w:val="auto"/>
          <w:sz w:val="16"/>
          <w:szCs w:val="16"/>
          <w:lang w:val="es-ES"/>
        </w:rPr>
        <w:t>de que se reserve su nombre para resguardar su privacidad, su seguridad y la de su familia</w:t>
      </w:r>
      <w:r w:rsidR="00BC74D4" w:rsidRPr="00B3070A">
        <w:rPr>
          <w:rFonts w:ascii="Cambria" w:hAnsi="Cambria"/>
          <w:color w:val="auto"/>
          <w:sz w:val="16"/>
          <w:szCs w:val="16"/>
          <w:lang w:val="es-ES"/>
        </w:rPr>
        <w:t>,</w:t>
      </w:r>
      <w:r w:rsidRPr="00B3070A">
        <w:rPr>
          <w:rFonts w:ascii="Cambria" w:hAnsi="Cambria"/>
          <w:color w:val="auto"/>
          <w:sz w:val="16"/>
          <w:szCs w:val="16"/>
          <w:lang w:val="es-ES"/>
        </w:rPr>
        <w:t xml:space="preserve"> la Comisión utilizará M.E.F. para identificarla.</w:t>
      </w:r>
    </w:p>
  </w:footnote>
  <w:footnote w:id="3">
    <w:p w14:paraId="22F860BB" w14:textId="48E0C03E" w:rsidR="00904930" w:rsidRPr="00277508" w:rsidRDefault="00F863D5" w:rsidP="00792918">
      <w:pPr>
        <w:pStyle w:val="FootnoteText"/>
        <w:jc w:val="both"/>
        <w:rPr>
          <w:rFonts w:ascii="Cambria" w:hAnsi="Cambria"/>
          <w:color w:val="auto"/>
          <w:sz w:val="16"/>
          <w:szCs w:val="16"/>
          <w:lang w:val="es-CO"/>
        </w:rPr>
      </w:pPr>
      <w:r w:rsidRPr="00277508">
        <w:rPr>
          <w:rStyle w:val="FootnoteReference"/>
          <w:rFonts w:ascii="Cambria" w:hAnsi="Cambria"/>
          <w:color w:val="auto"/>
          <w:sz w:val="16"/>
          <w:szCs w:val="16"/>
        </w:rPr>
        <w:footnoteRef/>
      </w:r>
      <w:r w:rsidRPr="00277508">
        <w:rPr>
          <w:rFonts w:ascii="Cambria" w:hAnsi="Cambria"/>
          <w:color w:val="auto"/>
          <w:sz w:val="16"/>
          <w:szCs w:val="16"/>
          <w:lang w:val="es-ES"/>
        </w:rPr>
        <w:t xml:space="preserve"> CIDH, Informe No. 10/09, Petición 4071-02. Admisibilidad</w:t>
      </w:r>
      <w:r w:rsidR="00864D3B">
        <w:rPr>
          <w:rFonts w:ascii="Cambria" w:hAnsi="Cambria"/>
          <w:color w:val="auto"/>
          <w:sz w:val="16"/>
          <w:szCs w:val="16"/>
          <w:lang w:val="es-ES"/>
        </w:rPr>
        <w:t>.</w:t>
      </w:r>
      <w:r w:rsidRPr="00277508">
        <w:rPr>
          <w:rFonts w:ascii="Cambria" w:hAnsi="Cambria"/>
          <w:color w:val="auto"/>
          <w:sz w:val="16"/>
          <w:szCs w:val="16"/>
          <w:lang w:val="es-ES"/>
        </w:rPr>
        <w:t xml:space="preserve"> Argentina, 19 de marzo de 2009.</w:t>
      </w:r>
      <w:r w:rsidRPr="00277508">
        <w:rPr>
          <w:rFonts w:ascii="Cambria" w:hAnsi="Cambria"/>
          <w:color w:val="auto"/>
          <w:sz w:val="16"/>
          <w:szCs w:val="16"/>
          <w:lang w:val="es-CO"/>
        </w:rPr>
        <w:t xml:space="preserve"> En dicho informe la Comisión declaró la petición admisible frente a la posible violación de los derechos reconocidos en los artículos 21 y 25 de la Convención Americana, en relación con los artículos 1.1 y 2 de dicho instrumento. Igualmente, la CIDH declaró inadmisibles los alegatos referidos a los artículos 17.1, 24, 26 y 29 de la Convención Americana. </w:t>
      </w:r>
    </w:p>
  </w:footnote>
  <w:footnote w:id="4">
    <w:p w14:paraId="526C9253"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sidRPr="00277508">
        <w:rPr>
          <w:rFonts w:ascii="Cambria" w:hAnsi="Cambria"/>
          <w:color w:val="auto"/>
          <w:sz w:val="16"/>
          <w:szCs w:val="16"/>
          <w:lang w:val="es-VE"/>
        </w:rPr>
        <w:t xml:space="preserve"> Convención de Viena sobre Relaciones Diplomáticas, citada por la parte peticionaria en su escrito de observaciones de 26 de mayo de 2004. </w:t>
      </w:r>
    </w:p>
  </w:footnote>
  <w:footnote w:id="5">
    <w:p w14:paraId="547969FD"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Decreto-Ley N° 7.672 sobre Acuerdos Internacionales dictado por el Ministerio de Relaciones Exteriores y Culto de la República Argentina en fecha 14 de septiembre de 1963.</w:t>
      </w:r>
    </w:p>
  </w:footnote>
  <w:footnote w:id="6">
    <w:p w14:paraId="72CA78B0"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sidRPr="00277508">
        <w:rPr>
          <w:rFonts w:ascii="Cambria" w:hAnsi="Cambria"/>
          <w:color w:val="auto"/>
          <w:sz w:val="16"/>
          <w:szCs w:val="16"/>
          <w:lang w:val="es-VE"/>
        </w:rPr>
        <w:t xml:space="preserve"> Ley 24.448 sobre Inmunidad Jurisdiccional de los Estados de la República Argentina, citada por el Estado en su escrito de 12 de febrero de 2007. </w:t>
      </w:r>
    </w:p>
  </w:footnote>
  <w:footnote w:id="7">
    <w:p w14:paraId="47A1BA14"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w:t>
      </w:r>
      <w:r w:rsidRPr="00277508">
        <w:rPr>
          <w:rFonts w:ascii="Cambria" w:hAnsi="Cambria"/>
          <w:color w:val="auto"/>
          <w:sz w:val="16"/>
          <w:szCs w:val="16"/>
          <w:lang w:val="es-VE"/>
        </w:rPr>
        <w:t>. Decisión del Juzgado Nacional de Primera Instancia del Trabajo N° 44 de 28 de febrero de 2001. Anexo al escrito de observaciones de la parte peticionaria de 26 de mayo de 2005.</w:t>
      </w:r>
    </w:p>
  </w:footnote>
  <w:footnote w:id="8">
    <w:p w14:paraId="3E708889"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w:t>
      </w:r>
      <w:r w:rsidRPr="00277508">
        <w:rPr>
          <w:rFonts w:ascii="Cambria" w:hAnsi="Cambria"/>
          <w:color w:val="auto"/>
          <w:sz w:val="16"/>
          <w:szCs w:val="16"/>
          <w:lang w:val="es-VE"/>
        </w:rPr>
        <w:t>. Decisión del Juzgado Nacional de Primera Instancia del Trabajo N° 44 de 28 de febrero de 2001. Anexo al escrito de observaciones de la parte peticionaria de 26 de mayo de 2005.</w:t>
      </w:r>
    </w:p>
  </w:footnote>
  <w:footnote w:id="9">
    <w:p w14:paraId="136988D9"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w:t>
      </w:r>
      <w:r w:rsidRPr="00277508">
        <w:rPr>
          <w:rFonts w:ascii="Cambria" w:hAnsi="Cambria"/>
          <w:color w:val="auto"/>
          <w:sz w:val="16"/>
          <w:szCs w:val="16"/>
          <w:lang w:val="es-VE"/>
        </w:rPr>
        <w:t>. Decisión del Juzgado Nacional de Primera Instancia del Trabajo N° 44 de 28 de febrero de 2001. Anexo al escrito de observaciones de la parte peticionaria de 26 de mayo de 2005.</w:t>
      </w:r>
    </w:p>
  </w:footnote>
  <w:footnote w:id="10">
    <w:p w14:paraId="3DC090FC"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w:t>
      </w:r>
      <w:r w:rsidRPr="00277508">
        <w:rPr>
          <w:rFonts w:ascii="Cambria" w:hAnsi="Cambria"/>
          <w:color w:val="auto"/>
          <w:sz w:val="16"/>
          <w:szCs w:val="16"/>
          <w:lang w:val="es-VE"/>
        </w:rPr>
        <w:t>. Decisión del Juzgado Nacional de Primera Instancia del Trabajo N° 44 de 28 de febrero de 2001. Anexo al escrito de observaciones de la parte peticionaria de 26 de mayo de 2005.</w:t>
      </w:r>
    </w:p>
  </w:footnote>
  <w:footnote w:id="11">
    <w:p w14:paraId="55133BCD"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2</w:t>
      </w:r>
      <w:r w:rsidRPr="00277508">
        <w:rPr>
          <w:rFonts w:ascii="Cambria" w:hAnsi="Cambria"/>
          <w:color w:val="auto"/>
          <w:sz w:val="16"/>
          <w:szCs w:val="16"/>
          <w:lang w:val="es-VE"/>
        </w:rPr>
        <w:t>. Decisión de la Sala X de la Cámara Nacional de Apelaciones del Trabajo de 18 de octubre de 2001. Anexo al escrito de observaciones de la parte peticionaria de 26 de mayo de 2004.</w:t>
      </w:r>
    </w:p>
  </w:footnote>
  <w:footnote w:id="12">
    <w:p w14:paraId="79576952"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3</w:t>
      </w:r>
      <w:r w:rsidRPr="00277508">
        <w:rPr>
          <w:rFonts w:ascii="Cambria" w:hAnsi="Cambria"/>
          <w:color w:val="auto"/>
          <w:sz w:val="16"/>
          <w:szCs w:val="16"/>
          <w:lang w:val="es-VE"/>
        </w:rPr>
        <w:t>. Dictamen del Ministerio de Justicia y Derechos Humanos de la República Argentina de 12 de febrero de 2007. Anexo al escrito de observaciones del Estado de 18 de agosto de 2011.</w:t>
      </w:r>
    </w:p>
  </w:footnote>
  <w:footnote w:id="13">
    <w:p w14:paraId="66965AF1" w14:textId="56FB3D30"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4</w:t>
      </w:r>
      <w:r w:rsidRPr="00277508">
        <w:rPr>
          <w:rFonts w:ascii="Cambria" w:hAnsi="Cambria"/>
          <w:color w:val="auto"/>
          <w:sz w:val="16"/>
          <w:szCs w:val="16"/>
          <w:lang w:val="es-VE"/>
        </w:rPr>
        <w:t>. Intimación del Poder Judicial de la Nación Argentina a M</w:t>
      </w:r>
      <w:r w:rsidR="00864D3B">
        <w:rPr>
          <w:rFonts w:ascii="Cambria" w:hAnsi="Cambria"/>
          <w:color w:val="auto"/>
          <w:sz w:val="16"/>
          <w:szCs w:val="16"/>
          <w:lang w:val="es-VE"/>
        </w:rPr>
        <w:t>.E.F.</w:t>
      </w:r>
      <w:r w:rsidRPr="00277508">
        <w:rPr>
          <w:rFonts w:ascii="Cambria" w:hAnsi="Cambria"/>
          <w:color w:val="auto"/>
          <w:sz w:val="16"/>
          <w:szCs w:val="16"/>
          <w:lang w:val="es-VE"/>
        </w:rPr>
        <w:t xml:space="preserve"> de 8 de febrero de 2002. Anexo al escrito de observaciones de la parte peticionaria de 10 de noviembre de 2006. </w:t>
      </w:r>
    </w:p>
  </w:footnote>
  <w:footnote w:id="14">
    <w:p w14:paraId="15DE1315"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5</w:t>
      </w:r>
      <w:r w:rsidRPr="00277508">
        <w:rPr>
          <w:rFonts w:ascii="Cambria" w:hAnsi="Cambria"/>
          <w:color w:val="auto"/>
          <w:sz w:val="16"/>
          <w:szCs w:val="16"/>
          <w:lang w:val="es-VE"/>
        </w:rPr>
        <w:t xml:space="preserve">. Ratificación de la oposición de la inmunidad de ejecución por parte de la Embajada de Australia de 20 de febrero de 2002. Anexo al Escrito de la parte peticionaria de 10 de noviembre de 2006. </w:t>
      </w:r>
    </w:p>
  </w:footnote>
  <w:footnote w:id="15">
    <w:p w14:paraId="48CFE053"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6</w:t>
      </w:r>
      <w:r w:rsidRPr="00277508">
        <w:rPr>
          <w:rFonts w:ascii="Cambria" w:hAnsi="Cambria"/>
          <w:color w:val="auto"/>
          <w:sz w:val="16"/>
          <w:szCs w:val="16"/>
          <w:lang w:val="es-VE"/>
        </w:rPr>
        <w:t>. Nota de reclamo al ex canciller de Argentina Carlos Ruckauf de 29 de mayo de 2002. Anexo al escrito de observaciones de la parte peticionaria de 26 de mayo de 2004.</w:t>
      </w:r>
    </w:p>
  </w:footnote>
  <w:footnote w:id="16">
    <w:p w14:paraId="07720FCE"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sidRPr="00277508">
        <w:rPr>
          <w:rFonts w:ascii="Cambria" w:hAnsi="Cambria"/>
          <w:color w:val="auto"/>
          <w:sz w:val="16"/>
          <w:szCs w:val="16"/>
          <w:lang w:val="es-VE"/>
        </w:rPr>
        <w:t xml:space="preserve"> Señalado en el Escrito del Estado de 29 de abril de 2005.</w:t>
      </w:r>
    </w:p>
  </w:footnote>
  <w:footnote w:id="17">
    <w:p w14:paraId="5C1F7D87"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7</w:t>
      </w:r>
      <w:r w:rsidRPr="00277508">
        <w:rPr>
          <w:rFonts w:ascii="Cambria" w:hAnsi="Cambria"/>
          <w:color w:val="auto"/>
          <w:sz w:val="16"/>
          <w:szCs w:val="16"/>
          <w:lang w:val="es-VE"/>
        </w:rPr>
        <w:t>. Nota de reclamo al expresidente de Argentina Néstor Kirchner y al ex canciller de Argentina Rafael Bielsa de 4 de septiembre de 2003. Anexos al escrito de observaciones de la parte peticionaria de 26 de mayo de 2004.</w:t>
      </w:r>
    </w:p>
  </w:footnote>
  <w:footnote w:id="18">
    <w:p w14:paraId="654D1842"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sidRPr="00277508">
        <w:rPr>
          <w:rFonts w:ascii="Cambria" w:hAnsi="Cambria"/>
          <w:color w:val="auto"/>
          <w:sz w:val="16"/>
          <w:szCs w:val="16"/>
          <w:lang w:val="es-VE"/>
        </w:rPr>
        <w:t xml:space="preserve"> Señalado en el Escrito del Estado de 29 de abril de 2005.</w:t>
      </w:r>
    </w:p>
  </w:footnote>
  <w:footnote w:id="19">
    <w:p w14:paraId="12D84483"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8</w:t>
      </w:r>
      <w:r w:rsidRPr="00277508">
        <w:rPr>
          <w:rFonts w:ascii="Cambria" w:hAnsi="Cambria"/>
          <w:color w:val="auto"/>
          <w:sz w:val="16"/>
          <w:szCs w:val="16"/>
          <w:lang w:val="es-VE"/>
        </w:rPr>
        <w:t>. Nota de reclamo al ex canciller de Argentina Rafael Bielsa de 16 de octubre de 2003. Anexo al escrito de observaciones de la parte peticionaria de 26 de mayo de 2004.</w:t>
      </w:r>
    </w:p>
  </w:footnote>
  <w:footnote w:id="20">
    <w:p w14:paraId="0F7435C1"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9</w:t>
      </w:r>
      <w:r w:rsidRPr="00277508">
        <w:rPr>
          <w:rFonts w:ascii="Cambria" w:hAnsi="Cambria"/>
          <w:color w:val="auto"/>
          <w:sz w:val="16"/>
          <w:szCs w:val="16"/>
          <w:lang w:val="es-VE"/>
        </w:rPr>
        <w:t>. Acuerdo de pago homologado por el Juzgado Nacional de Primera Instancia del Trabajo N°44 de 25 de noviembre de 2003. Anexo al escrito de observaciones de la parte peticionaria de 26 de mayo de 2004.</w:t>
      </w:r>
    </w:p>
  </w:footnote>
  <w:footnote w:id="21">
    <w:p w14:paraId="3D0C0377"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10</w:t>
      </w:r>
      <w:r w:rsidRPr="00277508">
        <w:rPr>
          <w:rFonts w:ascii="Cambria" w:hAnsi="Cambria"/>
          <w:color w:val="auto"/>
          <w:sz w:val="16"/>
          <w:szCs w:val="16"/>
          <w:lang w:val="es-VE"/>
        </w:rPr>
        <w:t>. Nota de reclamo al ex canciller de Argentina Rafael Bielsa de 18 de diciembre de 2003. Anexo al escrito de observaciones de la parte peticionaria de 26 de mayo de 2004.</w:t>
      </w:r>
    </w:p>
  </w:footnote>
  <w:footnote w:id="22">
    <w:p w14:paraId="6CD92768" w14:textId="77777777"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11</w:t>
      </w:r>
      <w:r w:rsidRPr="00277508">
        <w:rPr>
          <w:rFonts w:ascii="Cambria" w:hAnsi="Cambria"/>
          <w:color w:val="auto"/>
          <w:sz w:val="16"/>
          <w:szCs w:val="16"/>
          <w:lang w:val="es-VE"/>
        </w:rPr>
        <w:t xml:space="preserve">. Denuncia de Miguel Jorge y Juan Martín Canedo para pago de honorarios profesionales ante el Juzgado Nacional de Primera Instancia del Trabajo N°44. Anexo al escrito de observaciones de la parte peticionaria de 11 de julio de 2005. </w:t>
      </w:r>
    </w:p>
  </w:footnote>
  <w:footnote w:id="23">
    <w:p w14:paraId="0411AFAD" w14:textId="3BFF0010"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12</w:t>
      </w:r>
      <w:r w:rsidRPr="00277508">
        <w:rPr>
          <w:rFonts w:ascii="Cambria" w:hAnsi="Cambria"/>
          <w:color w:val="auto"/>
          <w:sz w:val="16"/>
          <w:szCs w:val="16"/>
          <w:lang w:val="es-VE"/>
        </w:rPr>
        <w:t>. Intimación al pago de honorarios profesionales de abogados a M</w:t>
      </w:r>
      <w:r w:rsidR="00864D3B">
        <w:rPr>
          <w:rFonts w:ascii="Cambria" w:hAnsi="Cambria"/>
          <w:color w:val="auto"/>
          <w:sz w:val="16"/>
          <w:szCs w:val="16"/>
          <w:lang w:val="es-VE"/>
        </w:rPr>
        <w:t>.E.F.</w:t>
      </w:r>
      <w:r w:rsidRPr="00277508">
        <w:rPr>
          <w:rFonts w:ascii="Cambria" w:hAnsi="Cambria"/>
          <w:color w:val="auto"/>
          <w:sz w:val="16"/>
          <w:szCs w:val="16"/>
          <w:lang w:val="es-VE"/>
        </w:rPr>
        <w:t xml:space="preserve"> por el Juzgado Nacional de Primera Instancia del Trabajo N°44 de fecha 26 de abril de 2005. Anexo al escrito de observaciones de la parte peticionaria de 11 de julio de 2005.</w:t>
      </w:r>
    </w:p>
  </w:footnote>
  <w:footnote w:id="24">
    <w:p w14:paraId="56F9816F" w14:textId="67240C64"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13</w:t>
      </w:r>
      <w:r w:rsidRPr="00277508">
        <w:rPr>
          <w:rFonts w:ascii="Cambria" w:hAnsi="Cambria"/>
          <w:color w:val="auto"/>
          <w:sz w:val="16"/>
          <w:szCs w:val="16"/>
          <w:lang w:val="es-VE"/>
        </w:rPr>
        <w:t>. Acuerdo de pago de honorarios entre M</w:t>
      </w:r>
      <w:r w:rsidR="00864D3B">
        <w:rPr>
          <w:rFonts w:ascii="Cambria" w:hAnsi="Cambria"/>
          <w:color w:val="auto"/>
          <w:sz w:val="16"/>
          <w:szCs w:val="16"/>
          <w:lang w:val="es-VE"/>
        </w:rPr>
        <w:t>.E.F.</w:t>
      </w:r>
      <w:r w:rsidRPr="00277508">
        <w:rPr>
          <w:rFonts w:ascii="Cambria" w:hAnsi="Cambria"/>
          <w:color w:val="auto"/>
          <w:sz w:val="16"/>
          <w:szCs w:val="16"/>
          <w:lang w:val="es-VE"/>
        </w:rPr>
        <w:t xml:space="preserve">, Miguel Jorge y Juan Martín Canedo de 15 de julio de 2005. Anexo al escrito de observaciones de la parte peticionaria de 10 de noviembre de 2006. </w:t>
      </w:r>
    </w:p>
  </w:footnote>
  <w:footnote w:id="25">
    <w:p w14:paraId="24706A47" w14:textId="0AC80834"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Pr>
          <w:rFonts w:ascii="Cambria" w:hAnsi="Cambria"/>
          <w:color w:val="auto"/>
          <w:sz w:val="16"/>
          <w:szCs w:val="16"/>
          <w:lang w:val="es-VE"/>
        </w:rPr>
        <w:t xml:space="preserve"> Anexo 14</w:t>
      </w:r>
      <w:r w:rsidRPr="00277508">
        <w:rPr>
          <w:rFonts w:ascii="Cambria" w:hAnsi="Cambria"/>
          <w:color w:val="auto"/>
          <w:sz w:val="16"/>
          <w:szCs w:val="16"/>
          <w:lang w:val="es-VE"/>
        </w:rPr>
        <w:t xml:space="preserve">. Intimación al pago de honorarios profesionales de perito contador a </w:t>
      </w:r>
      <w:r w:rsidR="00A4500F">
        <w:rPr>
          <w:rFonts w:ascii="Cambria" w:hAnsi="Cambria"/>
          <w:color w:val="auto"/>
          <w:sz w:val="16"/>
          <w:szCs w:val="16"/>
          <w:lang w:val="es-VE"/>
        </w:rPr>
        <w:t>M</w:t>
      </w:r>
      <w:r w:rsidR="00864D3B">
        <w:rPr>
          <w:rFonts w:ascii="Cambria" w:hAnsi="Cambria"/>
          <w:color w:val="auto"/>
          <w:sz w:val="16"/>
          <w:szCs w:val="16"/>
          <w:lang w:val="es-VE"/>
        </w:rPr>
        <w:t>.E.F.</w:t>
      </w:r>
      <w:r w:rsidRPr="00277508">
        <w:rPr>
          <w:rFonts w:ascii="Cambria" w:hAnsi="Cambria"/>
          <w:color w:val="auto"/>
          <w:sz w:val="16"/>
          <w:szCs w:val="16"/>
          <w:lang w:val="es-VE"/>
        </w:rPr>
        <w:t xml:space="preserve"> por el Juzgado Nacional de Primera Instancia del Trabajo N°44 de fecha 26 de abril de 2005. Anexo al escrito de observaciones de la parte peticionaria de 10 de noviembre de 2006. </w:t>
      </w:r>
    </w:p>
  </w:footnote>
  <w:footnote w:id="26">
    <w:p w14:paraId="3143736E" w14:textId="15628FFC" w:rsidR="00F863D5" w:rsidRPr="00277508" w:rsidRDefault="00F863D5" w:rsidP="00792918">
      <w:pPr>
        <w:pStyle w:val="FootnoteText"/>
        <w:jc w:val="both"/>
        <w:rPr>
          <w:rFonts w:ascii="Cambria" w:hAnsi="Cambria"/>
          <w:color w:val="auto"/>
          <w:sz w:val="16"/>
          <w:szCs w:val="16"/>
          <w:lang w:val="es-VE"/>
        </w:rPr>
      </w:pPr>
      <w:r w:rsidRPr="00277508">
        <w:rPr>
          <w:rStyle w:val="FootnoteReference"/>
          <w:rFonts w:ascii="Cambria" w:hAnsi="Cambria"/>
          <w:color w:val="auto"/>
          <w:sz w:val="16"/>
          <w:szCs w:val="16"/>
        </w:rPr>
        <w:footnoteRef/>
      </w:r>
      <w:r w:rsidRPr="00277508">
        <w:rPr>
          <w:rFonts w:ascii="Cambria" w:hAnsi="Cambria"/>
          <w:color w:val="auto"/>
          <w:sz w:val="16"/>
          <w:szCs w:val="16"/>
          <w:lang w:val="es-VE"/>
        </w:rPr>
        <w:t xml:space="preserve"> Anex</w:t>
      </w:r>
      <w:r>
        <w:rPr>
          <w:rFonts w:ascii="Cambria" w:hAnsi="Cambria"/>
          <w:color w:val="auto"/>
          <w:sz w:val="16"/>
          <w:szCs w:val="16"/>
          <w:lang w:val="es-VE"/>
        </w:rPr>
        <w:t>o 15</w:t>
      </w:r>
      <w:r w:rsidRPr="00277508">
        <w:rPr>
          <w:rFonts w:ascii="Cambria" w:hAnsi="Cambria"/>
          <w:color w:val="auto"/>
          <w:sz w:val="16"/>
          <w:szCs w:val="16"/>
          <w:lang w:val="es-VE"/>
        </w:rPr>
        <w:t>. Acuerdo de pago de honorarios entre M</w:t>
      </w:r>
      <w:r w:rsidR="00A4500F">
        <w:rPr>
          <w:rFonts w:ascii="Cambria" w:hAnsi="Cambria"/>
          <w:color w:val="auto"/>
          <w:sz w:val="16"/>
          <w:szCs w:val="16"/>
          <w:lang w:val="es-VE"/>
        </w:rPr>
        <w:t>.E.F.</w:t>
      </w:r>
      <w:r w:rsidRPr="00277508">
        <w:rPr>
          <w:rFonts w:ascii="Cambria" w:hAnsi="Cambria"/>
          <w:color w:val="auto"/>
          <w:sz w:val="16"/>
          <w:szCs w:val="16"/>
          <w:lang w:val="es-VE"/>
        </w:rPr>
        <w:t xml:space="preserve"> y el perito contador de 24 de agosto de 2005. Anexo al escrito de observaciones de la parte peticionaria de 10 de noviembre de 2006.</w:t>
      </w:r>
    </w:p>
  </w:footnote>
  <w:footnote w:id="27">
    <w:p w14:paraId="03A5C55F" w14:textId="2CB4CDD9"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color w:val="auto"/>
          <w:sz w:val="16"/>
          <w:szCs w:val="16"/>
        </w:rPr>
        <w:footnoteRef/>
      </w:r>
      <w:r w:rsidRPr="00277508">
        <w:rPr>
          <w:rFonts w:ascii="Cambria" w:hAnsi="Cambria"/>
          <w:color w:val="auto"/>
          <w:sz w:val="16"/>
          <w:szCs w:val="16"/>
          <w:lang w:val="es-VE"/>
        </w:rPr>
        <w:t xml:space="preserve"> Anexo </w:t>
      </w:r>
      <w:r>
        <w:rPr>
          <w:rFonts w:ascii="Cambria" w:hAnsi="Cambria"/>
          <w:color w:val="auto"/>
          <w:sz w:val="16"/>
          <w:szCs w:val="16"/>
          <w:lang w:val="es-VE"/>
        </w:rPr>
        <w:t xml:space="preserve">16. </w:t>
      </w:r>
      <w:r w:rsidRPr="00277508">
        <w:rPr>
          <w:rFonts w:ascii="Cambria" w:hAnsi="Cambria"/>
          <w:color w:val="auto"/>
          <w:sz w:val="16"/>
          <w:szCs w:val="16"/>
          <w:lang w:val="es-VE"/>
        </w:rPr>
        <w:t>Acuerdo de pago de honorarios entre M</w:t>
      </w:r>
      <w:r w:rsidR="00A4500F">
        <w:rPr>
          <w:rFonts w:ascii="Cambria" w:hAnsi="Cambria"/>
          <w:color w:val="auto"/>
          <w:sz w:val="16"/>
          <w:szCs w:val="16"/>
          <w:lang w:val="es-VE"/>
        </w:rPr>
        <w:t>.E.F.</w:t>
      </w:r>
      <w:r w:rsidRPr="00277508">
        <w:rPr>
          <w:rFonts w:ascii="Cambria" w:hAnsi="Cambria"/>
          <w:color w:val="auto"/>
          <w:sz w:val="16"/>
          <w:szCs w:val="16"/>
          <w:lang w:val="es-VE"/>
        </w:rPr>
        <w:t xml:space="preserve"> y la intérprete pública de 17 de octubre de 2005. Anexo al escrito de observaciones de la parte peticionaria de 10 de noviembre de 2006.</w:t>
      </w:r>
    </w:p>
  </w:footnote>
  <w:footnote w:id="28">
    <w:p w14:paraId="00902601"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El artículo 25 de la Convención Americana establece en sus partes pertinentes que:</w:t>
      </w:r>
      <w:r w:rsidRPr="00277508">
        <w:rPr>
          <w:rFonts w:ascii="Cambria" w:hAnsi="Cambria" w:cs="Tahoma"/>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 2. Los Estados partes se comprometen: (…) c) a garantizar el cumplimiento, por las autoridades competentes, de toda decisión en que se haya estimado procedente el recurso.</w:t>
      </w:r>
    </w:p>
  </w:footnote>
  <w:footnote w:id="29">
    <w:p w14:paraId="7A27FD11" w14:textId="77777777" w:rsidR="00F863D5" w:rsidRPr="00277508" w:rsidRDefault="00F863D5" w:rsidP="00792918">
      <w:pPr>
        <w:pStyle w:val="NormalWeb"/>
        <w:spacing w:before="0" w:beforeAutospacing="0" w:after="0" w:afterAutospacing="0"/>
        <w:jc w:val="both"/>
        <w:rPr>
          <w:rFonts w:ascii="Cambria" w:hAnsi="Cambria" w:cs="Tahoma"/>
          <w:color w:val="000000"/>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w:t>
      </w:r>
      <w:r w:rsidRPr="00277508">
        <w:rPr>
          <w:rFonts w:ascii="Cambria" w:hAnsi="Cambria" w:cs="Tahoma"/>
          <w:color w:val="000000"/>
          <w:sz w:val="16"/>
          <w:szCs w:val="16"/>
          <w:lang w:val="es-VE"/>
        </w:rPr>
        <w:t>El artículo 21 de la Convención Americana establece que:1. Toda persona tiene derecho al uso y goce de sus bienes. La ley puede subordinar tal uso y goce al interés social; 2. Ninguna persona puede ser privada de sus bienes, excepto mediante el pago de indemnización justa, por razones de utilidad pública o de interés social y en los casos y según las formas establecidas por la ley.3. Tanto la usura como cualquier otra forma de explotación del hombre por el hombre, deben ser prohibidas por la ley.</w:t>
      </w:r>
    </w:p>
  </w:footnote>
  <w:footnote w:id="30">
    <w:p w14:paraId="7ACBBA28" w14:textId="77777777" w:rsidR="00F863D5" w:rsidRPr="00EA5B10" w:rsidRDefault="00F863D5" w:rsidP="000977EE">
      <w:pPr>
        <w:pStyle w:val="FootnoteText"/>
        <w:jc w:val="both"/>
        <w:rPr>
          <w:rFonts w:ascii="Cambria" w:hAnsi="Cambria"/>
          <w:color w:val="auto"/>
          <w:sz w:val="16"/>
          <w:szCs w:val="16"/>
          <w:lang w:val="es-ES"/>
        </w:rPr>
      </w:pPr>
      <w:r w:rsidRPr="00EA5B10">
        <w:rPr>
          <w:rStyle w:val="FootnoteReference"/>
          <w:rFonts w:ascii="Cambria" w:hAnsi="Cambria"/>
          <w:color w:val="auto"/>
          <w:sz w:val="16"/>
          <w:szCs w:val="16"/>
          <w:lang w:val="es-ES"/>
        </w:rPr>
        <w:footnoteRef/>
      </w:r>
      <w:r w:rsidRPr="00EA5B10">
        <w:rPr>
          <w:rFonts w:ascii="Cambria" w:hAnsi="Cambria"/>
          <w:color w:val="auto"/>
          <w:sz w:val="16"/>
          <w:szCs w:val="16"/>
          <w:lang w:val="es-ES"/>
        </w:rPr>
        <w:t xml:space="preserve"> Artículo 24. </w:t>
      </w:r>
      <w:r w:rsidRPr="00EA5B10">
        <w:rPr>
          <w:rFonts w:ascii="Cambria" w:hAnsi="Cambria" w:cs="Tahoma"/>
          <w:color w:val="auto"/>
          <w:sz w:val="16"/>
          <w:szCs w:val="16"/>
          <w:lang w:val="es-ES"/>
        </w:rPr>
        <w:t>Todas las personas son iguales ante la ley.  En consecuencia, tienen derecho, sin discriminación, a igual protección de la ley.</w:t>
      </w:r>
    </w:p>
  </w:footnote>
  <w:footnote w:id="31">
    <w:p w14:paraId="338B5166"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pt-BR"/>
        </w:rPr>
        <w:t xml:space="preserve"> Corte IDH. Caso Suárez Rosero Vs. </w:t>
      </w:r>
      <w:r w:rsidRPr="00277508">
        <w:rPr>
          <w:rFonts w:ascii="Cambria" w:hAnsi="Cambria"/>
          <w:sz w:val="16"/>
          <w:szCs w:val="16"/>
          <w:lang w:val="es-VE"/>
        </w:rPr>
        <w:t xml:space="preserve">Ecuador. Fondo. Sentencia de 12 de noviembre de 1997. Serie C No. 35, párr. 65; Caso Flores Vs. Perú. Excepciones Preliminares, Fondo, Reparaciones y Costas. Sentencia de 6 de marzo de 2019. Serie C No. 375, párr. 128. </w:t>
      </w:r>
    </w:p>
  </w:footnote>
  <w:footnote w:id="32">
    <w:p w14:paraId="1723641B"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Caso Flores Vs. Perú. Excepciones Preliminares, Fondo, Reparaciones y Costas, </w:t>
      </w:r>
      <w:r w:rsidRPr="00277508">
        <w:rPr>
          <w:rFonts w:ascii="Cambria" w:hAnsi="Cambria"/>
          <w:i/>
          <w:sz w:val="16"/>
          <w:szCs w:val="16"/>
          <w:lang w:val="es-VE"/>
        </w:rPr>
        <w:t>supra</w:t>
      </w:r>
      <w:r w:rsidRPr="00277508">
        <w:rPr>
          <w:rFonts w:ascii="Cambria" w:hAnsi="Cambria"/>
          <w:sz w:val="16"/>
          <w:szCs w:val="16"/>
          <w:lang w:val="es-VE"/>
        </w:rPr>
        <w:t>, párr. 128.</w:t>
      </w:r>
    </w:p>
  </w:footnote>
  <w:footnote w:id="33">
    <w:p w14:paraId="1A505CED" w14:textId="77777777" w:rsidR="00F863D5" w:rsidRPr="00277508" w:rsidRDefault="00F863D5" w:rsidP="002A30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Ídem, párr. 128. </w:t>
      </w:r>
    </w:p>
  </w:footnote>
  <w:footnote w:id="34">
    <w:p w14:paraId="3F42033C"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A104FE">
        <w:rPr>
          <w:rFonts w:ascii="Cambria" w:hAnsi="Cambria"/>
          <w:sz w:val="16"/>
          <w:szCs w:val="16"/>
          <w:lang w:val="es-US"/>
        </w:rPr>
        <w:t xml:space="preserve"> Corte IDH, Caso Acevedo Jaramillo Vs. </w:t>
      </w:r>
      <w:r w:rsidRPr="00277508">
        <w:rPr>
          <w:rFonts w:ascii="Cambria" w:hAnsi="Cambria"/>
          <w:sz w:val="16"/>
          <w:szCs w:val="16"/>
          <w:lang w:val="es-VE"/>
        </w:rPr>
        <w:t>Perú, Excepciones Preliminares, Fondo, Reparaciones y Costas. Sentencia de 7 de febrero de 2006, párr. 220.</w:t>
      </w:r>
    </w:p>
  </w:footnote>
  <w:footnote w:id="35">
    <w:p w14:paraId="57BAD24E"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CIDH. Caso 12.357, Demanda ante la Corte IDH, Integrantes de la Asociación de Cesantes y Jubilados de la Contraloría General de la República, Perú, 1 de abril de 2008, párr. 53.</w:t>
      </w:r>
    </w:p>
  </w:footnote>
  <w:footnote w:id="36">
    <w:p w14:paraId="0CEB1570"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D55177">
        <w:rPr>
          <w:rFonts w:ascii="Cambria" w:hAnsi="Cambria"/>
          <w:sz w:val="16"/>
          <w:szCs w:val="16"/>
          <w:lang w:val="es-US"/>
        </w:rPr>
        <w:t xml:space="preserve"> Corte IDH. Caso Mejía Idrovo Vs. </w:t>
      </w:r>
      <w:r w:rsidRPr="00277508">
        <w:rPr>
          <w:rFonts w:ascii="Cambria" w:hAnsi="Cambria"/>
          <w:sz w:val="16"/>
          <w:szCs w:val="16"/>
          <w:lang w:val="es-VE"/>
        </w:rPr>
        <w:t>Ecuador. Excepciones Preliminares, Fondo, Reparaciones y Costas. Sentencia de 5 de julio de 2011. Serie C No. 228, párr. 105, y Caso Comunidad Garífuna de Punta Piedra y sus miembros Vs. Honduras. Excepciones Preliminares, Fondo, Reparaciones y Costas. Sentencia de 8 de octubre de 2015. Serie C No. 304, párr. 244.</w:t>
      </w:r>
    </w:p>
  </w:footnote>
  <w:footnote w:id="37">
    <w:p w14:paraId="23F9DBAD"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TEDH, Caso Matheus Vs. Francia. Sentencia del 31 de marzo de 2005, párr. 58; y Caso Sabin Popescu Vs. Romania. Sentencia del 2 de marzo de 2004, párrs. 68 y ss.</w:t>
      </w:r>
    </w:p>
  </w:footnote>
  <w:footnote w:id="38">
    <w:p w14:paraId="4E8DD9D5"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TEDH, Caso Cocchiarella Vs. Italia. Sentencia de 29 de marzo de 2006, párr. 89.</w:t>
      </w:r>
    </w:p>
  </w:footnote>
  <w:footnote w:id="39">
    <w:p w14:paraId="3F0DDEDF"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TEDH. Caso Hornsby Vs. Grecia. Sentencia de 19 de marzo de 1997, párr. 27. </w:t>
      </w:r>
    </w:p>
  </w:footnote>
  <w:footnote w:id="40">
    <w:p w14:paraId="48BDDB55"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A104FE">
        <w:rPr>
          <w:rFonts w:ascii="Cambria" w:hAnsi="Cambria"/>
          <w:sz w:val="16"/>
          <w:szCs w:val="16"/>
          <w:lang w:val="es-VE"/>
        </w:rPr>
        <w:t xml:space="preserve"> Corte IDH. </w:t>
      </w:r>
      <w:r w:rsidRPr="00A104FE">
        <w:rPr>
          <w:rFonts w:ascii="Cambria" w:hAnsi="Cambria"/>
          <w:sz w:val="16"/>
          <w:szCs w:val="16"/>
          <w:lang w:val="es-US"/>
        </w:rPr>
        <w:t xml:space="preserve">Caso Mejía Idrovo Vs. </w:t>
      </w:r>
      <w:r w:rsidRPr="00277508">
        <w:rPr>
          <w:rFonts w:ascii="Cambria" w:hAnsi="Cambria"/>
          <w:sz w:val="16"/>
          <w:szCs w:val="16"/>
          <w:lang w:val="es-VE"/>
        </w:rPr>
        <w:t xml:space="preserve">Ecuador, </w:t>
      </w:r>
      <w:r w:rsidRPr="00277508">
        <w:rPr>
          <w:rFonts w:ascii="Cambria" w:hAnsi="Cambria"/>
          <w:i/>
          <w:sz w:val="16"/>
          <w:szCs w:val="16"/>
          <w:lang w:val="es-VE"/>
        </w:rPr>
        <w:t>supra</w:t>
      </w:r>
      <w:r w:rsidRPr="00277508">
        <w:rPr>
          <w:rFonts w:ascii="Cambria" w:hAnsi="Cambria"/>
          <w:sz w:val="16"/>
          <w:szCs w:val="16"/>
          <w:lang w:val="es-VE"/>
        </w:rPr>
        <w:t>, párr. 106.</w:t>
      </w:r>
    </w:p>
  </w:footnote>
  <w:footnote w:id="41">
    <w:p w14:paraId="5FB26468" w14:textId="77777777" w:rsidR="00F863D5" w:rsidRPr="00277508" w:rsidRDefault="00F863D5" w:rsidP="00792918">
      <w:pPr>
        <w:pStyle w:val="FootnoteText"/>
        <w:jc w:val="both"/>
        <w:rPr>
          <w:rFonts w:ascii="Cambria" w:hAnsi="Cambria"/>
          <w:sz w:val="16"/>
          <w:szCs w:val="16"/>
          <w:lang w:val="es-VE"/>
        </w:rPr>
      </w:pPr>
      <w:r w:rsidRPr="00277508">
        <w:rPr>
          <w:rStyle w:val="FootnoteReference"/>
          <w:rFonts w:ascii="Cambria" w:hAnsi="Cambria"/>
          <w:sz w:val="16"/>
          <w:szCs w:val="16"/>
        </w:rPr>
        <w:footnoteRef/>
      </w:r>
      <w:r w:rsidRPr="00277508">
        <w:rPr>
          <w:rFonts w:ascii="Cambria" w:hAnsi="Cambria"/>
          <w:sz w:val="16"/>
          <w:szCs w:val="16"/>
          <w:lang w:val="es-VE"/>
        </w:rPr>
        <w:t xml:space="preserve"> CIDH, Caso 12.357, Demanda ante la Corte IDH, Integrantes de la Asociación de Cesantes y Jubilados de la Contraloría General de la República, Perú, 1 de abril de 2008, párr. 54.</w:t>
      </w:r>
    </w:p>
  </w:footnote>
  <w:footnote w:id="42">
    <w:p w14:paraId="69154735" w14:textId="77777777" w:rsidR="00F863D5" w:rsidRPr="00F52767" w:rsidRDefault="00F863D5" w:rsidP="00792918">
      <w:pPr>
        <w:shd w:val="clear" w:color="auto" w:fill="FFFFFF"/>
        <w:spacing w:after="0" w:line="240" w:lineRule="auto"/>
        <w:jc w:val="both"/>
        <w:rPr>
          <w:rFonts w:ascii="Cambria" w:eastAsia="Times New Roman" w:hAnsi="Cambria"/>
          <w:sz w:val="16"/>
          <w:szCs w:val="16"/>
          <w:lang w:val="es-VE"/>
        </w:rPr>
      </w:pPr>
      <w:r w:rsidRPr="00F52767">
        <w:rPr>
          <w:rStyle w:val="FootnoteReference"/>
          <w:rFonts w:ascii="Cambria" w:hAnsi="Cambria"/>
          <w:sz w:val="16"/>
          <w:szCs w:val="16"/>
        </w:rPr>
        <w:footnoteRef/>
      </w:r>
      <w:r w:rsidRPr="00D55177">
        <w:rPr>
          <w:rFonts w:ascii="Cambria" w:hAnsi="Cambria"/>
          <w:sz w:val="16"/>
          <w:szCs w:val="16"/>
          <w:lang w:val="es-US"/>
        </w:rPr>
        <w:t xml:space="preserve"> </w:t>
      </w:r>
      <w:r w:rsidRPr="00D55177">
        <w:rPr>
          <w:rFonts w:ascii="Cambria" w:eastAsia="Times New Roman" w:hAnsi="Cambria" w:cs="Arial"/>
          <w:sz w:val="16"/>
          <w:szCs w:val="16"/>
          <w:lang w:val="es-US"/>
        </w:rPr>
        <w:t xml:space="preserve">Corte IDH. Caso Salvador Chiriboga Vs. </w:t>
      </w:r>
      <w:r w:rsidRPr="00F52767">
        <w:rPr>
          <w:rFonts w:ascii="Cambria" w:eastAsia="Times New Roman" w:hAnsi="Cambria" w:cs="Arial"/>
          <w:sz w:val="16"/>
          <w:szCs w:val="16"/>
          <w:lang w:val="es-VE"/>
        </w:rPr>
        <w:t>Ecuador. Excepción Preliminar y Fondo. Sentencia de 6 de mayo de 2008. Serie C No. 179, párr. 54.</w:t>
      </w:r>
    </w:p>
  </w:footnote>
  <w:footnote w:id="43">
    <w:p w14:paraId="19081DF3" w14:textId="77777777" w:rsidR="00F863D5" w:rsidRPr="00F52767" w:rsidRDefault="00F863D5" w:rsidP="00F52767">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Corte IDH, Caso Muelle Flores Vs. Perú. Excepciones Preliminares, Fondo, Reparaciones y Costas. Sentencia de 6 de marzo de 2019. Serie C no. 375, párr. 213.</w:t>
      </w:r>
    </w:p>
  </w:footnote>
  <w:footnote w:id="44">
    <w:p w14:paraId="5BC8588B" w14:textId="77777777" w:rsidR="00F863D5" w:rsidRPr="00F52767" w:rsidRDefault="00F863D5" w:rsidP="00F52767">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Corte IDH, Caso Muelle Flores Vs. Perú. Excepciones Preliminares, Fondo, Reparaciones y Costas. Sentencia de 6 de marzo de 2019. Serie C no. 375, párr. 214.</w:t>
      </w:r>
    </w:p>
  </w:footnote>
  <w:footnote w:id="45">
    <w:p w14:paraId="68C7EC17" w14:textId="77777777" w:rsidR="00F863D5" w:rsidRPr="00CB24E7" w:rsidRDefault="00F863D5" w:rsidP="00DC3ED7">
      <w:pPr>
        <w:pStyle w:val="FootnoteText"/>
        <w:jc w:val="both"/>
        <w:rPr>
          <w:rFonts w:ascii="Cambria" w:hAnsi="Cambria"/>
          <w:color w:val="auto"/>
          <w:sz w:val="16"/>
          <w:szCs w:val="16"/>
          <w:lang w:val="es-PE"/>
        </w:rPr>
      </w:pPr>
      <w:r w:rsidRPr="00CB24E7">
        <w:rPr>
          <w:rStyle w:val="FootnoteReference"/>
          <w:rFonts w:ascii="Cambria" w:hAnsi="Cambria"/>
          <w:color w:val="auto"/>
          <w:sz w:val="16"/>
          <w:szCs w:val="16"/>
        </w:rPr>
        <w:footnoteRef/>
      </w:r>
      <w:r w:rsidRPr="00CB24E7">
        <w:rPr>
          <w:rFonts w:ascii="Cambria" w:hAnsi="Cambria"/>
          <w:color w:val="auto"/>
          <w:sz w:val="16"/>
          <w:szCs w:val="16"/>
          <w:lang w:val="es-PE"/>
        </w:rPr>
        <w:t xml:space="preserve"> Corte IDH. Caso Velásquez Rodríguez Vs. Honduras. Fondo. Sentencia de 29 de julio de 1988. Serie C No. 4. Párr. 166.</w:t>
      </w:r>
    </w:p>
  </w:footnote>
  <w:footnote w:id="46">
    <w:p w14:paraId="19F14024" w14:textId="77777777" w:rsidR="00F863D5" w:rsidRPr="00A104FE" w:rsidRDefault="00F863D5" w:rsidP="00DC3ED7">
      <w:pPr>
        <w:pStyle w:val="FootnoteText"/>
        <w:jc w:val="both"/>
        <w:rPr>
          <w:rFonts w:ascii="Cambria" w:hAnsi="Cambria"/>
          <w:color w:val="auto"/>
          <w:sz w:val="16"/>
          <w:szCs w:val="16"/>
          <w:lang w:val="pt-BR"/>
        </w:rPr>
      </w:pPr>
      <w:r w:rsidRPr="00CB24E7">
        <w:rPr>
          <w:rStyle w:val="FootnoteReference"/>
          <w:rFonts w:ascii="Cambria" w:hAnsi="Cambria"/>
          <w:color w:val="auto"/>
          <w:sz w:val="16"/>
          <w:szCs w:val="16"/>
        </w:rPr>
        <w:footnoteRef/>
      </w:r>
      <w:r w:rsidRPr="00CB24E7">
        <w:rPr>
          <w:rFonts w:ascii="Cambria" w:hAnsi="Cambria"/>
          <w:color w:val="auto"/>
          <w:sz w:val="16"/>
          <w:szCs w:val="16"/>
          <w:lang w:val="es-PE"/>
        </w:rPr>
        <w:t xml:space="preserve"> Corte IDH. Caso Velásquez Rodríguez Vs. Honduras. Fondo. Sentencia de 29 de julio de 1988. </w:t>
      </w:r>
      <w:r w:rsidRPr="00A104FE">
        <w:rPr>
          <w:rFonts w:ascii="Cambria" w:hAnsi="Cambria"/>
          <w:color w:val="auto"/>
          <w:sz w:val="16"/>
          <w:szCs w:val="16"/>
          <w:lang w:val="pt-BR"/>
        </w:rPr>
        <w:t>Serie C No. 4. Párr. 173.</w:t>
      </w:r>
    </w:p>
  </w:footnote>
  <w:footnote w:id="47">
    <w:p w14:paraId="13109A57" w14:textId="77777777" w:rsidR="00F863D5" w:rsidRPr="00EA5B10" w:rsidRDefault="00F863D5" w:rsidP="00E57734">
      <w:pPr>
        <w:spacing w:after="0"/>
        <w:jc w:val="both"/>
        <w:rPr>
          <w:rFonts w:ascii="Cambria" w:hAnsi="Cambria"/>
          <w:b/>
          <w:bCs/>
          <w:sz w:val="16"/>
          <w:szCs w:val="16"/>
        </w:rPr>
      </w:pPr>
      <w:r w:rsidRPr="00EA5B10">
        <w:rPr>
          <w:rStyle w:val="FootnoteReference"/>
          <w:rFonts w:ascii="Cambria" w:hAnsi="Cambria"/>
          <w:b/>
          <w:sz w:val="16"/>
          <w:szCs w:val="16"/>
        </w:rPr>
        <w:footnoteRef/>
      </w:r>
      <w:r w:rsidRPr="00A104FE">
        <w:rPr>
          <w:rFonts w:ascii="Cambria" w:hAnsi="Cambria"/>
          <w:b/>
          <w:sz w:val="16"/>
          <w:szCs w:val="16"/>
          <w:lang w:val="pt-BR"/>
        </w:rPr>
        <w:t xml:space="preserve"> </w:t>
      </w:r>
      <w:r w:rsidRPr="00A104FE">
        <w:rPr>
          <w:rStyle w:val="Strong"/>
          <w:rFonts w:ascii="Cambria" w:hAnsi="Cambria"/>
          <w:b w:val="0"/>
          <w:sz w:val="16"/>
          <w:szCs w:val="16"/>
          <w:lang w:val="pt-BR"/>
        </w:rPr>
        <w:t xml:space="preserve">Corte IDH. Caso Flor Freire Vs. </w:t>
      </w:r>
      <w:r w:rsidRPr="00EA5B10">
        <w:rPr>
          <w:rStyle w:val="Strong"/>
          <w:rFonts w:ascii="Cambria" w:hAnsi="Cambria"/>
          <w:b w:val="0"/>
          <w:sz w:val="16"/>
          <w:szCs w:val="16"/>
        </w:rPr>
        <w:t xml:space="preserve">Ecuador. Excepción Preliminar, Fondo, Reparaciones y Costas. Sentencia de 31 de agosto de 2016. Serie C No. 315. Párr. 109. </w:t>
      </w:r>
    </w:p>
  </w:footnote>
  <w:footnote w:id="48">
    <w:p w14:paraId="2D7C51A5" w14:textId="70B74FFB" w:rsidR="00F863D5" w:rsidRPr="007615C9" w:rsidRDefault="00F863D5" w:rsidP="007615C9">
      <w:pPr>
        <w:pStyle w:val="FootnoteText"/>
        <w:jc w:val="both"/>
        <w:rPr>
          <w:rFonts w:ascii="Cambria" w:hAnsi="Cambria"/>
          <w:sz w:val="16"/>
          <w:szCs w:val="16"/>
          <w:lang w:val="es-PE"/>
        </w:rPr>
      </w:pPr>
      <w:r w:rsidRPr="007615C9">
        <w:rPr>
          <w:rStyle w:val="FootnoteReference"/>
          <w:rFonts w:ascii="Cambria" w:hAnsi="Cambria"/>
          <w:sz w:val="16"/>
          <w:szCs w:val="16"/>
        </w:rPr>
        <w:footnoteRef/>
      </w:r>
      <w:r w:rsidRPr="007615C9">
        <w:rPr>
          <w:rFonts w:ascii="Cambria" w:hAnsi="Cambria"/>
          <w:sz w:val="16"/>
          <w:szCs w:val="16"/>
          <w:lang w:val="es-PE"/>
        </w:rPr>
        <w:t xml:space="preserve"> </w:t>
      </w:r>
      <w:r w:rsidRPr="007615C9">
        <w:rPr>
          <w:rFonts w:ascii="Cambria" w:hAnsi="Cambria"/>
          <w:sz w:val="16"/>
          <w:szCs w:val="16"/>
          <w:lang w:val="es-ES"/>
        </w:rPr>
        <w:t>CIDH. Informe sobre Pobreza y Derechos Humanos en las Américas, 7 de septiembre de 2017, párr. 160</w:t>
      </w:r>
      <w:r w:rsidR="000C75B5">
        <w:rPr>
          <w:rFonts w:ascii="Cambria" w:hAnsi="Cambria"/>
          <w:sz w:val="16"/>
          <w:szCs w:val="16"/>
          <w:lang w:val="es-ES"/>
        </w:rPr>
        <w:t>.</w:t>
      </w:r>
    </w:p>
  </w:footnote>
  <w:footnote w:id="49">
    <w:p w14:paraId="0765F999" w14:textId="77777777" w:rsidR="00F863D5" w:rsidRPr="007615C9" w:rsidRDefault="00F863D5" w:rsidP="007615C9">
      <w:pPr>
        <w:pStyle w:val="FootnoteText"/>
        <w:jc w:val="both"/>
        <w:rPr>
          <w:rFonts w:ascii="Cambria" w:hAnsi="Cambria"/>
          <w:sz w:val="16"/>
          <w:szCs w:val="16"/>
          <w:lang w:val="es-ES"/>
        </w:rPr>
      </w:pPr>
      <w:r w:rsidRPr="007615C9">
        <w:rPr>
          <w:rStyle w:val="FootnoteReference"/>
          <w:rFonts w:ascii="Cambria" w:hAnsi="Cambria"/>
          <w:sz w:val="16"/>
          <w:szCs w:val="16"/>
        </w:rPr>
        <w:footnoteRef/>
      </w:r>
      <w:r w:rsidRPr="007615C9">
        <w:rPr>
          <w:rFonts w:ascii="Cambria" w:hAnsi="Cambria"/>
          <w:sz w:val="16"/>
          <w:szCs w:val="16"/>
          <w:lang w:val="es-ES"/>
        </w:rPr>
        <w:t xml:space="preserve"> CIDH. El trabajo, la educación y los recursos de las mujeres: La ruta hacia la igualdad en la garantía de los derechos eco</w:t>
      </w:r>
      <w:r w:rsidR="002A07A4" w:rsidRPr="007615C9">
        <w:rPr>
          <w:rFonts w:ascii="Cambria" w:hAnsi="Cambria"/>
          <w:sz w:val="16"/>
          <w:szCs w:val="16"/>
          <w:lang w:val="es-ES"/>
        </w:rPr>
        <w:t>nómicos, sociales y culturales,</w:t>
      </w:r>
      <w:r w:rsidRPr="007615C9">
        <w:rPr>
          <w:rFonts w:ascii="Cambria" w:hAnsi="Cambria"/>
          <w:sz w:val="16"/>
          <w:szCs w:val="16"/>
          <w:lang w:val="es-ES"/>
        </w:rPr>
        <w:t xml:space="preserve"> 3 de noviembre de 2011, párr.106. </w:t>
      </w:r>
    </w:p>
  </w:footnote>
  <w:footnote w:id="50">
    <w:p w14:paraId="3CF943CB" w14:textId="064DC626" w:rsidR="00F863D5" w:rsidRPr="007615C9" w:rsidRDefault="00F863D5" w:rsidP="007615C9">
      <w:pPr>
        <w:pStyle w:val="FootnoteText"/>
        <w:jc w:val="both"/>
        <w:rPr>
          <w:rFonts w:ascii="Cambria" w:hAnsi="Cambria"/>
          <w:sz w:val="16"/>
          <w:szCs w:val="16"/>
          <w:lang w:val="es-ES"/>
        </w:rPr>
      </w:pPr>
      <w:r w:rsidRPr="007615C9">
        <w:rPr>
          <w:rStyle w:val="FootnoteReference"/>
          <w:rFonts w:ascii="Cambria" w:hAnsi="Cambria"/>
          <w:sz w:val="16"/>
          <w:szCs w:val="16"/>
        </w:rPr>
        <w:footnoteRef/>
      </w:r>
      <w:r w:rsidRPr="007615C9">
        <w:rPr>
          <w:rFonts w:ascii="Cambria" w:hAnsi="Cambria"/>
          <w:sz w:val="16"/>
          <w:szCs w:val="16"/>
          <w:lang w:val="es-ES"/>
        </w:rPr>
        <w:t xml:space="preserve"> OIT, Recomendación sobre la protección de la maternidad, 1952 (núm.95)</w:t>
      </w:r>
      <w:r w:rsidR="000C75B5">
        <w:rPr>
          <w:rFonts w:ascii="Cambria" w:hAnsi="Cambria"/>
          <w:sz w:val="16"/>
          <w:szCs w:val="16"/>
          <w:lang w:val="es-ES"/>
        </w:rPr>
        <w:t>.</w:t>
      </w:r>
    </w:p>
  </w:footnote>
  <w:footnote w:id="51">
    <w:p w14:paraId="714D02E6" w14:textId="77777777" w:rsidR="007615C9" w:rsidRPr="007615C9" w:rsidRDefault="007615C9" w:rsidP="007615C9">
      <w:pPr>
        <w:pStyle w:val="FootnoteText"/>
        <w:jc w:val="both"/>
        <w:rPr>
          <w:rFonts w:ascii="Cambria" w:hAnsi="Cambria"/>
          <w:sz w:val="16"/>
          <w:szCs w:val="16"/>
          <w:lang w:val="es-ES"/>
        </w:rPr>
      </w:pPr>
      <w:r w:rsidRPr="007615C9">
        <w:rPr>
          <w:rStyle w:val="FootnoteReference"/>
          <w:rFonts w:ascii="Cambria" w:hAnsi="Cambria"/>
          <w:sz w:val="16"/>
          <w:szCs w:val="16"/>
        </w:rPr>
        <w:footnoteRef/>
      </w:r>
      <w:r w:rsidRPr="007615C9">
        <w:rPr>
          <w:rFonts w:ascii="Cambria" w:hAnsi="Cambria"/>
          <w:sz w:val="16"/>
          <w:szCs w:val="16"/>
          <w:lang w:val="es-ES"/>
        </w:rPr>
        <w:t xml:space="preserve"> Convenio 158 sobre la terminación de la relación de trabajo, 1982. </w:t>
      </w:r>
    </w:p>
  </w:footnote>
  <w:footnote w:id="52">
    <w:p w14:paraId="2EEB36BB" w14:textId="77777777" w:rsidR="00C25872" w:rsidRPr="007615C9" w:rsidRDefault="00C25872" w:rsidP="007615C9">
      <w:pPr>
        <w:pStyle w:val="FootnoteText"/>
        <w:jc w:val="both"/>
        <w:rPr>
          <w:rFonts w:ascii="Cambria" w:hAnsi="Cambria"/>
          <w:sz w:val="16"/>
          <w:szCs w:val="16"/>
          <w:lang w:val="es-ES"/>
        </w:rPr>
      </w:pPr>
      <w:r w:rsidRPr="007615C9">
        <w:rPr>
          <w:rStyle w:val="FootnoteReference"/>
          <w:rFonts w:ascii="Cambria" w:hAnsi="Cambria"/>
          <w:sz w:val="16"/>
          <w:szCs w:val="16"/>
        </w:rPr>
        <w:footnoteRef/>
      </w:r>
      <w:r w:rsidRPr="007615C9">
        <w:rPr>
          <w:rFonts w:ascii="Cambria" w:hAnsi="Cambria"/>
          <w:sz w:val="16"/>
          <w:szCs w:val="16"/>
          <w:lang w:val="es-ES"/>
        </w:rPr>
        <w:t xml:space="preserve"> Convención sobre la eliminación de todas las formas de discriminación contra la mujer. </w:t>
      </w:r>
    </w:p>
  </w:footnote>
  <w:footnote w:id="53">
    <w:p w14:paraId="7003E8F1" w14:textId="33A2180B" w:rsidR="00CC0A23" w:rsidRPr="00CC0A23" w:rsidRDefault="00CC0A23" w:rsidP="00CC0A23">
      <w:pPr>
        <w:pStyle w:val="FootnoteText"/>
        <w:jc w:val="both"/>
        <w:rPr>
          <w:rFonts w:ascii="Cambria" w:hAnsi="Cambria"/>
          <w:sz w:val="16"/>
          <w:szCs w:val="16"/>
          <w:lang w:val="es-ES"/>
        </w:rPr>
      </w:pPr>
      <w:r w:rsidRPr="00CC0A23">
        <w:rPr>
          <w:rStyle w:val="FootnoteReference"/>
          <w:rFonts w:ascii="Cambria" w:hAnsi="Cambria"/>
          <w:sz w:val="16"/>
          <w:szCs w:val="16"/>
        </w:rPr>
        <w:footnoteRef/>
      </w:r>
      <w:r w:rsidRPr="00CC0A23">
        <w:rPr>
          <w:rFonts w:ascii="Cambria" w:hAnsi="Cambria"/>
          <w:sz w:val="16"/>
          <w:szCs w:val="16"/>
          <w:lang w:val="es-ES"/>
        </w:rPr>
        <w:t xml:space="preserve"> Sentencia del Tribunal de Justicia (Sala Segunda) de 11 de noviembre de 2010 (petición de decisión prejudicial planteada por el Augstākās Tiesas Senāts — República de Letonia) — Dita Danosa/LKB Līzings SIA</w:t>
      </w:r>
      <w:r w:rsidR="00902C4A">
        <w:rPr>
          <w:rFonts w:ascii="Cambria" w:hAnsi="Cambria"/>
          <w:sz w:val="16"/>
          <w:szCs w:val="16"/>
          <w:lang w:val="es-ES"/>
        </w:rPr>
        <w:t>.</w:t>
      </w:r>
    </w:p>
  </w:footnote>
  <w:footnote w:id="54">
    <w:p w14:paraId="606C1158" w14:textId="77777777" w:rsidR="002A07A4" w:rsidRPr="002A07A4" w:rsidRDefault="002A07A4" w:rsidP="007615C9">
      <w:pPr>
        <w:pStyle w:val="FootnoteText"/>
        <w:jc w:val="both"/>
        <w:rPr>
          <w:lang w:val="es-ES"/>
        </w:rPr>
      </w:pPr>
      <w:r w:rsidRPr="007615C9">
        <w:rPr>
          <w:rStyle w:val="FootnoteReference"/>
          <w:rFonts w:ascii="Cambria" w:hAnsi="Cambria"/>
          <w:sz w:val="16"/>
          <w:szCs w:val="16"/>
        </w:rPr>
        <w:footnoteRef/>
      </w:r>
      <w:r w:rsidRPr="007615C9">
        <w:rPr>
          <w:rFonts w:ascii="Cambria" w:hAnsi="Cambria"/>
          <w:sz w:val="16"/>
          <w:szCs w:val="16"/>
          <w:lang w:val="es-ES"/>
        </w:rPr>
        <w:t xml:space="preserve"> Corte Constitucional de Colombia, Sentencia SU-075 de 2018.</w:t>
      </w:r>
      <w:r>
        <w:rPr>
          <w:lang w:val="es-ES"/>
        </w:rPr>
        <w:t xml:space="preserve"> </w:t>
      </w:r>
    </w:p>
  </w:footnote>
  <w:footnote w:id="55">
    <w:p w14:paraId="6B3D9E5F" w14:textId="77777777" w:rsidR="00F863D5" w:rsidRPr="00F52767" w:rsidRDefault="00F863D5" w:rsidP="00F52767">
      <w:pPr>
        <w:pStyle w:val="FootnoteText"/>
        <w:jc w:val="both"/>
        <w:rPr>
          <w:rFonts w:ascii="Cambria" w:hAnsi="Cambria"/>
          <w:sz w:val="16"/>
          <w:szCs w:val="16"/>
          <w:lang w:val="es-MX"/>
        </w:rPr>
      </w:pPr>
      <w:r w:rsidRPr="00F52767">
        <w:rPr>
          <w:rStyle w:val="FootnoteReference"/>
          <w:rFonts w:ascii="Cambria" w:hAnsi="Cambria"/>
          <w:sz w:val="16"/>
          <w:szCs w:val="16"/>
        </w:rPr>
        <w:footnoteRef/>
      </w:r>
      <w:r w:rsidRPr="00F52767">
        <w:rPr>
          <w:rFonts w:ascii="Cambria" w:hAnsi="Cambria"/>
          <w:sz w:val="16"/>
          <w:szCs w:val="16"/>
          <w:lang w:val="es-MX"/>
        </w:rPr>
        <w:t xml:space="preserve"> De conformidad con el artículo 30 de la Convención </w:t>
      </w:r>
      <w:r>
        <w:rPr>
          <w:rFonts w:ascii="Cambria" w:hAnsi="Cambria"/>
          <w:sz w:val="16"/>
          <w:szCs w:val="16"/>
          <w:lang w:val="es-MX"/>
        </w:rPr>
        <w:t>l</w:t>
      </w:r>
      <w:r w:rsidRPr="00F52767">
        <w:rPr>
          <w:rFonts w:ascii="Cambria" w:hAnsi="Cambria"/>
          <w:sz w:val="16"/>
          <w:szCs w:val="16"/>
          <w:lang w:val="es-MX"/>
        </w:rPr>
        <w:t>as restricciones permitidas, de acuerdo con esta Convención, al goce y</w:t>
      </w:r>
      <w:r>
        <w:rPr>
          <w:rFonts w:ascii="Cambria" w:hAnsi="Cambria"/>
          <w:sz w:val="16"/>
          <w:szCs w:val="16"/>
          <w:lang w:val="es-MX"/>
        </w:rPr>
        <w:t xml:space="preserve"> </w:t>
      </w:r>
      <w:r w:rsidRPr="00F52767">
        <w:rPr>
          <w:rFonts w:ascii="Cambria" w:hAnsi="Cambria"/>
          <w:sz w:val="16"/>
          <w:szCs w:val="16"/>
          <w:lang w:val="es-MX"/>
        </w:rPr>
        <w:t>ejercicio de los derechos y libertades reconocidas en la misma, no pueden ser aplicadas sino conforme a leyes que se dictaren por razones de interés general y con el propósito para el cual han sido establecidas.</w:t>
      </w:r>
    </w:p>
  </w:footnote>
  <w:footnote w:id="56">
    <w:p w14:paraId="4BB68B46"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CIJ. Caso Inmunidades Jurisdiccionales del Estado (Alemania Vs. Italia). Sentencia de 3 de febrero de 2012, párrs. 113-120. </w:t>
      </w:r>
    </w:p>
  </w:footnote>
  <w:footnote w:id="57">
    <w:p w14:paraId="3869BF68"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TEDH. Caso Wallishauser Vs. Austria No. 2. Sentencia de 20 de junio de 2013, párrs. 39 y 69.</w:t>
      </w:r>
    </w:p>
  </w:footnote>
  <w:footnote w:id="58">
    <w:p w14:paraId="730DA5FD" w14:textId="77777777" w:rsidR="00F863D5" w:rsidRPr="00F52767" w:rsidRDefault="00F863D5" w:rsidP="001D4492">
      <w:pPr>
        <w:pStyle w:val="FootnoteText"/>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Convención sobre las inmunidades jurisdiccionales de los Estados y de sus bienes, 30 de noviembre de 2004, A/59/508</w:t>
      </w:r>
    </w:p>
  </w:footnote>
  <w:footnote w:id="59">
    <w:p w14:paraId="03BF4CDD" w14:textId="77777777" w:rsidR="00F863D5" w:rsidRPr="00D55177" w:rsidRDefault="00F863D5" w:rsidP="001D4492">
      <w:pPr>
        <w:pStyle w:val="FootnoteText"/>
        <w:jc w:val="both"/>
        <w:rPr>
          <w:rFonts w:ascii="Cambria" w:hAnsi="Cambria"/>
          <w:sz w:val="16"/>
          <w:szCs w:val="16"/>
        </w:rPr>
      </w:pPr>
      <w:r w:rsidRPr="00F52767">
        <w:rPr>
          <w:rStyle w:val="FootnoteReference"/>
          <w:rFonts w:ascii="Cambria" w:hAnsi="Cambria"/>
          <w:sz w:val="16"/>
          <w:szCs w:val="16"/>
        </w:rPr>
        <w:footnoteRef/>
      </w:r>
      <w:r w:rsidRPr="00D55177">
        <w:rPr>
          <w:rFonts w:ascii="Cambria" w:hAnsi="Cambria"/>
          <w:sz w:val="16"/>
          <w:szCs w:val="16"/>
        </w:rPr>
        <w:t xml:space="preserve"> TEDH. Caso Hirschhorn Vs. Rumania. Sentencia de 26 de julio de 2007, párrs. 58-62.</w:t>
      </w:r>
    </w:p>
  </w:footnote>
  <w:footnote w:id="60">
    <w:p w14:paraId="6C722947"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D55177">
        <w:rPr>
          <w:rFonts w:ascii="Cambria" w:hAnsi="Cambria"/>
          <w:sz w:val="16"/>
          <w:szCs w:val="16"/>
        </w:rPr>
        <w:t xml:space="preserve"> TCE. Sentencia 107/1992 Caso Diana Gayle Abbott Vs. República de Sudáfrica. </w:t>
      </w:r>
      <w:r w:rsidRPr="00DD043E">
        <w:rPr>
          <w:rFonts w:ascii="Cambria" w:hAnsi="Cambria"/>
          <w:sz w:val="16"/>
          <w:szCs w:val="16"/>
        </w:rPr>
        <w:t xml:space="preserve">Sentencia de 1 de julio de 1992, Fundamentos Jurídicos 1, 2, 3, 4, 5 y 6. </w:t>
      </w:r>
      <w:r w:rsidRPr="00F52767">
        <w:rPr>
          <w:rFonts w:ascii="Cambria" w:hAnsi="Cambria" w:cs="Lucida Sans Unicode"/>
          <w:color w:val="222222"/>
          <w:sz w:val="16"/>
          <w:szCs w:val="16"/>
          <w:shd w:val="clear" w:color="auto" w:fill="FFFFFF"/>
          <w:lang w:val="es-VE"/>
        </w:rPr>
        <w:t>ECLI:ES:TC:1992:107.</w:t>
      </w:r>
    </w:p>
  </w:footnote>
  <w:footnote w:id="61">
    <w:p w14:paraId="4A3E6E56" w14:textId="3FC193AC"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TCE. Sentencia </w:t>
      </w:r>
      <w:r w:rsidRPr="00F52767">
        <w:rPr>
          <w:rFonts w:ascii="Cambria" w:hAnsi="Cambria" w:cs="Verdana"/>
          <w:sz w:val="16"/>
          <w:szCs w:val="16"/>
          <w:lang w:val="es-VE"/>
        </w:rPr>
        <w:t>292/1994 Caso Esperanza Jequier Beteta de 27 de octubre de 1994</w:t>
      </w:r>
      <w:r w:rsidRPr="00F52767">
        <w:rPr>
          <w:rFonts w:ascii="Cambria" w:hAnsi="Cambria" w:cs="Lucida Sans Unicode"/>
          <w:color w:val="222222"/>
          <w:sz w:val="16"/>
          <w:szCs w:val="16"/>
          <w:shd w:val="clear" w:color="auto" w:fill="FFFFFF"/>
          <w:lang w:val="es-VE"/>
        </w:rPr>
        <w:t xml:space="preserve"> ECLI: ES: TC: 1994:292</w:t>
      </w:r>
      <w:r w:rsidRPr="00F52767">
        <w:rPr>
          <w:rFonts w:ascii="Cambria" w:hAnsi="Cambria" w:cs="Verdana"/>
          <w:sz w:val="16"/>
          <w:szCs w:val="16"/>
          <w:lang w:val="es-VE"/>
        </w:rPr>
        <w:t xml:space="preserve">. Sentencia 18/1997 Caso Emilio Blanco Montero de 10 de febrero de 1997. </w:t>
      </w:r>
      <w:r w:rsidRPr="00F52767">
        <w:rPr>
          <w:rFonts w:ascii="Cambria" w:hAnsi="Cambria" w:cs="Lucida Sans Unicode"/>
          <w:color w:val="222222"/>
          <w:sz w:val="16"/>
          <w:szCs w:val="16"/>
          <w:shd w:val="clear" w:color="auto" w:fill="FFFFFF"/>
          <w:lang w:val="es-VE"/>
        </w:rPr>
        <w:t>ECLI:ES:TC:1997:18</w:t>
      </w:r>
      <w:r w:rsidR="00777088">
        <w:rPr>
          <w:rFonts w:ascii="Cambria" w:hAnsi="Cambria" w:cs="Lucida Sans Unicode"/>
          <w:color w:val="222222"/>
          <w:sz w:val="16"/>
          <w:szCs w:val="16"/>
          <w:shd w:val="clear" w:color="auto" w:fill="FFFFFF"/>
          <w:lang w:val="es-VE"/>
        </w:rPr>
        <w:t>.</w:t>
      </w:r>
    </w:p>
  </w:footnote>
  <w:footnote w:id="62">
    <w:p w14:paraId="30426074"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TCE. Sentencia 107/1992 Caso Maite González Zarandona Vs. Consulado de la República de Francia en España. Sentencia de 17 de septiembre de 2001, Fundamentos Jurídicos 1, 2, 3 y 4. </w:t>
      </w:r>
      <w:r w:rsidRPr="00F52767">
        <w:rPr>
          <w:rFonts w:ascii="Cambria" w:hAnsi="Cambria" w:cs="Lucida Sans Unicode"/>
          <w:color w:val="222222"/>
          <w:sz w:val="16"/>
          <w:szCs w:val="16"/>
          <w:shd w:val="clear" w:color="auto" w:fill="FFFFFF"/>
          <w:lang w:val="es-VE"/>
        </w:rPr>
        <w:t>ECLI: ES: TC: 1992:107.</w:t>
      </w:r>
    </w:p>
  </w:footnote>
  <w:footnote w:id="63">
    <w:p w14:paraId="09BF19DE"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TCE. Sentencia 112/2002 Caso Brígida y Marcos Vs. Estados Unidos de América. Sentencia de 1 de julio de 2002, Fundamentos Jurídicos 1, 2, 3, 4, 5, 6, 7 y 8. </w:t>
      </w:r>
      <w:r w:rsidRPr="00F52767">
        <w:rPr>
          <w:rFonts w:ascii="Cambria" w:hAnsi="Cambria" w:cs="Verdana"/>
          <w:sz w:val="16"/>
          <w:szCs w:val="16"/>
          <w:lang w:val="es-VE"/>
        </w:rPr>
        <w:t>RTC/2002/112 AUTO.</w:t>
      </w:r>
    </w:p>
  </w:footnote>
  <w:footnote w:id="64">
    <w:p w14:paraId="3AC5152D"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Juzgado de lo Social de Madrid. Auto de 10 de abril de 2002, JUR/2002/216230. </w:t>
      </w:r>
    </w:p>
  </w:footnote>
  <w:footnote w:id="65">
    <w:p w14:paraId="5B94BED1"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Audiencia Provincial de Cádiz. Auto N° 42/2004 de 8 de noviembre de 2004. JUR/2005/78178.</w:t>
      </w:r>
    </w:p>
  </w:footnote>
  <w:footnote w:id="66">
    <w:p w14:paraId="177563D3" w14:textId="77777777" w:rsidR="00F863D5" w:rsidRPr="00F5276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Sala de lo Social del Tribunal Supremo de España. Sentencia de 25 de junio de 2012. JUR/2012/9582.</w:t>
      </w:r>
    </w:p>
  </w:footnote>
  <w:footnote w:id="67">
    <w:p w14:paraId="419F705F" w14:textId="77777777" w:rsidR="00F863D5" w:rsidRPr="00D55177" w:rsidRDefault="00F863D5" w:rsidP="001D4492">
      <w:pPr>
        <w:pStyle w:val="FootnoteText"/>
        <w:jc w:val="both"/>
        <w:rPr>
          <w:rFonts w:ascii="Cambria" w:hAnsi="Cambria"/>
          <w:sz w:val="16"/>
          <w:szCs w:val="16"/>
          <w:lang w:val="es-VE"/>
        </w:rPr>
      </w:pPr>
      <w:r w:rsidRPr="00F52767">
        <w:rPr>
          <w:rStyle w:val="FootnoteReference"/>
          <w:rFonts w:ascii="Cambria" w:hAnsi="Cambria"/>
          <w:sz w:val="16"/>
          <w:szCs w:val="16"/>
        </w:rPr>
        <w:footnoteRef/>
      </w:r>
      <w:r w:rsidRPr="00F52767">
        <w:rPr>
          <w:rFonts w:ascii="Cambria" w:hAnsi="Cambria"/>
          <w:sz w:val="16"/>
          <w:szCs w:val="16"/>
          <w:lang w:val="es-VE"/>
        </w:rPr>
        <w:t xml:space="preserve"> CSJN. Sentencia Caso Beatriz Blasson Vs. Embajada de la República Eslovaca. </w:t>
      </w:r>
      <w:r w:rsidRPr="00D55177">
        <w:rPr>
          <w:rFonts w:ascii="Cambria" w:hAnsi="Cambria"/>
          <w:sz w:val="16"/>
          <w:szCs w:val="16"/>
          <w:lang w:val="es-VE"/>
        </w:rPr>
        <w:t xml:space="preserve">Sentencia de 6 de octubre de 1999. </w:t>
      </w:r>
    </w:p>
  </w:footnote>
  <w:footnote w:id="68">
    <w:p w14:paraId="0FE2E403" w14:textId="77777777" w:rsidR="00F863D5" w:rsidRPr="00F52767" w:rsidRDefault="00F863D5" w:rsidP="001D4492">
      <w:pPr>
        <w:pStyle w:val="FootnoteText"/>
        <w:jc w:val="both"/>
        <w:rPr>
          <w:rFonts w:ascii="Cambria" w:hAnsi="Cambria"/>
          <w:sz w:val="16"/>
          <w:szCs w:val="16"/>
        </w:rPr>
      </w:pPr>
      <w:r w:rsidRPr="00F52767">
        <w:rPr>
          <w:rStyle w:val="FootnoteReference"/>
          <w:rFonts w:ascii="Cambria" w:hAnsi="Cambria"/>
          <w:sz w:val="16"/>
          <w:szCs w:val="16"/>
        </w:rPr>
        <w:footnoteRef/>
      </w:r>
      <w:r w:rsidRPr="00D55177">
        <w:rPr>
          <w:rFonts w:ascii="Cambria" w:hAnsi="Cambria"/>
          <w:sz w:val="16"/>
          <w:szCs w:val="16"/>
          <w:lang w:val="es-VE"/>
        </w:rPr>
        <w:t xml:space="preserve"> Foreign Sovereign Immunities Act (1976) of the United States of America. </w:t>
      </w:r>
      <w:r w:rsidRPr="00F52767">
        <w:rPr>
          <w:rFonts w:ascii="Cambria" w:hAnsi="Cambria"/>
          <w:sz w:val="16"/>
          <w:szCs w:val="16"/>
        </w:rPr>
        <w:t xml:space="preserve">U.S. Code Section 1610 (a.2). Exceptions to the immunity from attachment or execution. </w:t>
      </w:r>
    </w:p>
  </w:footnote>
  <w:footnote w:id="69">
    <w:p w14:paraId="40FC0FEC" w14:textId="77777777" w:rsidR="00F863D5" w:rsidRPr="00F52767" w:rsidRDefault="00F863D5" w:rsidP="001D4492">
      <w:pPr>
        <w:pStyle w:val="FootnoteText"/>
        <w:jc w:val="both"/>
        <w:rPr>
          <w:rFonts w:ascii="Cambria" w:hAnsi="Cambria"/>
          <w:sz w:val="16"/>
          <w:szCs w:val="16"/>
        </w:rPr>
      </w:pPr>
      <w:r w:rsidRPr="00F52767">
        <w:rPr>
          <w:rStyle w:val="FootnoteReference"/>
          <w:rFonts w:ascii="Cambria" w:hAnsi="Cambria"/>
          <w:sz w:val="16"/>
          <w:szCs w:val="16"/>
        </w:rPr>
        <w:footnoteRef/>
      </w:r>
      <w:r w:rsidRPr="00F52767">
        <w:rPr>
          <w:rFonts w:ascii="Cambria" w:hAnsi="Cambria"/>
          <w:sz w:val="16"/>
          <w:szCs w:val="16"/>
        </w:rPr>
        <w:t xml:space="preserve"> State Immunity Act (1978) of the United Kingdom. Section 6 (1.b) and Section 16 (1.b). Ownership, possession and use of property and Excluded matters. </w:t>
      </w:r>
    </w:p>
  </w:footnote>
  <w:footnote w:id="70">
    <w:p w14:paraId="2499BBC5" w14:textId="77777777" w:rsidR="00F863D5" w:rsidRPr="00F52767" w:rsidRDefault="00F863D5" w:rsidP="001D4492">
      <w:pPr>
        <w:pStyle w:val="FootnoteText"/>
        <w:jc w:val="both"/>
        <w:rPr>
          <w:rFonts w:ascii="Cambria" w:hAnsi="Cambria"/>
          <w:sz w:val="16"/>
          <w:szCs w:val="16"/>
        </w:rPr>
      </w:pPr>
      <w:r w:rsidRPr="00F52767">
        <w:rPr>
          <w:rStyle w:val="FootnoteReference"/>
          <w:rFonts w:ascii="Cambria" w:hAnsi="Cambria"/>
          <w:sz w:val="16"/>
          <w:szCs w:val="16"/>
        </w:rPr>
        <w:footnoteRef/>
      </w:r>
      <w:r w:rsidRPr="00F52767">
        <w:rPr>
          <w:rFonts w:ascii="Cambria" w:hAnsi="Cambria"/>
          <w:sz w:val="16"/>
          <w:szCs w:val="16"/>
        </w:rPr>
        <w:t xml:space="preserve"> State Immunity Act (1985) of Canada. Section 5. Commercial activity. </w:t>
      </w:r>
    </w:p>
  </w:footnote>
  <w:footnote w:id="71">
    <w:p w14:paraId="3504185C" w14:textId="77777777" w:rsidR="00F863D5" w:rsidRPr="00F52767" w:rsidRDefault="00F863D5" w:rsidP="001D4492">
      <w:pPr>
        <w:pStyle w:val="FootnoteText"/>
        <w:jc w:val="both"/>
        <w:rPr>
          <w:rFonts w:ascii="Cambria" w:hAnsi="Cambria"/>
          <w:sz w:val="16"/>
          <w:szCs w:val="16"/>
        </w:rPr>
      </w:pPr>
      <w:r w:rsidRPr="00F52767">
        <w:rPr>
          <w:rStyle w:val="FootnoteReference"/>
          <w:rFonts w:ascii="Cambria" w:hAnsi="Cambria"/>
          <w:sz w:val="16"/>
          <w:szCs w:val="16"/>
        </w:rPr>
        <w:footnoteRef/>
      </w:r>
      <w:r w:rsidRPr="00F52767">
        <w:rPr>
          <w:rFonts w:ascii="Cambria" w:hAnsi="Cambria"/>
          <w:sz w:val="16"/>
          <w:szCs w:val="16"/>
        </w:rPr>
        <w:t xml:space="preserve"> Foreign States Immunities Act (1985) of Australia. Section 32 (1). Execution against commercial property.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863D5" w:rsidRDefault="00F863D5" w:rsidP="0096307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A76422" w14:textId="77777777" w:rsidR="00F863D5" w:rsidRDefault="00F86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5231" w14:textId="77777777" w:rsidR="00F863D5" w:rsidRDefault="00F863D5" w:rsidP="0096307E">
    <w:pPr>
      <w:pStyle w:val="Header"/>
      <w:tabs>
        <w:tab w:val="clear" w:pos="4320"/>
        <w:tab w:val="clear" w:pos="8640"/>
      </w:tabs>
      <w:jc w:val="center"/>
      <w:rPr>
        <w:sz w:val="22"/>
        <w:szCs w:val="22"/>
      </w:rPr>
    </w:pPr>
    <w:r w:rsidRPr="0079623D">
      <w:rPr>
        <w:noProof/>
        <w:sz w:val="22"/>
        <w:szCs w:val="22"/>
      </w:rPr>
      <w:drawing>
        <wp:inline distT="0" distB="0" distL="0" distR="0" wp14:anchorId="0A1BAE28" wp14:editId="62F4E888">
          <wp:extent cx="1967865" cy="99695"/>
          <wp:effectExtent l="0" t="0" r="0" b="0"/>
          <wp:docPr id="4"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65" cy="99695"/>
                  </a:xfrm>
                  <a:prstGeom prst="rect">
                    <a:avLst/>
                  </a:prstGeom>
                  <a:noFill/>
                  <a:ln>
                    <a:noFill/>
                  </a:ln>
                </pic:spPr>
              </pic:pic>
            </a:graphicData>
          </a:graphic>
        </wp:inline>
      </w:drawing>
    </w:r>
  </w:p>
  <w:p w14:paraId="5A25747A" w14:textId="77777777" w:rsidR="00F863D5" w:rsidRPr="00EC7D62" w:rsidRDefault="00E1746D" w:rsidP="0096307E">
    <w:pPr>
      <w:pStyle w:val="Header"/>
      <w:tabs>
        <w:tab w:val="clear" w:pos="4320"/>
        <w:tab w:val="clear" w:pos="8640"/>
      </w:tabs>
      <w:jc w:val="center"/>
      <w:rPr>
        <w:sz w:val="22"/>
        <w:szCs w:val="22"/>
      </w:rPr>
    </w:pPr>
    <w:r>
      <w:rPr>
        <w:noProof/>
        <w:sz w:val="22"/>
        <w:szCs w:val="22"/>
      </w:rPr>
      <w:pict w14:anchorId="6889857E">
        <v:rect id="_x0000_i1025" style="width:458.85pt;height:.05pt" o:hrpct="99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DDF"/>
    <w:multiLevelType w:val="hybridMultilevel"/>
    <w:tmpl w:val="898C4A2C"/>
    <w:lvl w:ilvl="0" w:tplc="05A4E08A">
      <w:start w:val="1"/>
      <w:numFmt w:val="decimal"/>
      <w:lvlText w:val="%1."/>
      <w:lvlJc w:val="left"/>
      <w:pPr>
        <w:ind w:left="720" w:hanging="360"/>
      </w:pPr>
      <w:rPr>
        <w:rFonts w:hint="default"/>
        <w:b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8E4036"/>
    <w:multiLevelType w:val="hybridMultilevel"/>
    <w:tmpl w:val="86CEEB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56070"/>
    <w:multiLevelType w:val="hybridMultilevel"/>
    <w:tmpl w:val="DAB2939C"/>
    <w:lvl w:ilvl="0" w:tplc="63FAF4C6">
      <w:start w:val="1"/>
      <w:numFmt w:val="decimal"/>
      <w:lvlText w:val="%1."/>
      <w:lvlJc w:val="left"/>
      <w:pPr>
        <w:ind w:left="100" w:hanging="361"/>
      </w:pPr>
      <w:rPr>
        <w:rFonts w:ascii="Cambria" w:eastAsia="Cambria" w:hAnsi="Cambria" w:hint="default"/>
        <w:spacing w:val="-1"/>
        <w:w w:val="99"/>
        <w:sz w:val="20"/>
        <w:szCs w:val="20"/>
      </w:rPr>
    </w:lvl>
    <w:lvl w:ilvl="1" w:tplc="11E83BC4">
      <w:start w:val="1"/>
      <w:numFmt w:val="bullet"/>
      <w:lvlText w:val="•"/>
      <w:lvlJc w:val="left"/>
      <w:pPr>
        <w:ind w:left="1012" w:hanging="361"/>
      </w:pPr>
      <w:rPr>
        <w:rFonts w:hint="default"/>
      </w:rPr>
    </w:lvl>
    <w:lvl w:ilvl="2" w:tplc="5F2A6032">
      <w:start w:val="1"/>
      <w:numFmt w:val="bullet"/>
      <w:lvlText w:val="•"/>
      <w:lvlJc w:val="left"/>
      <w:pPr>
        <w:ind w:left="1924" w:hanging="361"/>
      </w:pPr>
      <w:rPr>
        <w:rFonts w:hint="default"/>
      </w:rPr>
    </w:lvl>
    <w:lvl w:ilvl="3" w:tplc="C20496EE">
      <w:start w:val="1"/>
      <w:numFmt w:val="bullet"/>
      <w:lvlText w:val="•"/>
      <w:lvlJc w:val="left"/>
      <w:pPr>
        <w:ind w:left="2836" w:hanging="361"/>
      </w:pPr>
      <w:rPr>
        <w:rFonts w:hint="default"/>
      </w:rPr>
    </w:lvl>
    <w:lvl w:ilvl="4" w:tplc="D6E6B08E">
      <w:start w:val="1"/>
      <w:numFmt w:val="bullet"/>
      <w:lvlText w:val="•"/>
      <w:lvlJc w:val="left"/>
      <w:pPr>
        <w:ind w:left="3748" w:hanging="361"/>
      </w:pPr>
      <w:rPr>
        <w:rFonts w:hint="default"/>
      </w:rPr>
    </w:lvl>
    <w:lvl w:ilvl="5" w:tplc="DB8AED26">
      <w:start w:val="1"/>
      <w:numFmt w:val="bullet"/>
      <w:lvlText w:val="•"/>
      <w:lvlJc w:val="left"/>
      <w:pPr>
        <w:ind w:left="4660" w:hanging="361"/>
      </w:pPr>
      <w:rPr>
        <w:rFonts w:hint="default"/>
      </w:rPr>
    </w:lvl>
    <w:lvl w:ilvl="6" w:tplc="59241DF4">
      <w:start w:val="1"/>
      <w:numFmt w:val="bullet"/>
      <w:lvlText w:val="•"/>
      <w:lvlJc w:val="left"/>
      <w:pPr>
        <w:ind w:left="5572" w:hanging="361"/>
      </w:pPr>
      <w:rPr>
        <w:rFonts w:hint="default"/>
      </w:rPr>
    </w:lvl>
    <w:lvl w:ilvl="7" w:tplc="5E7E97F8">
      <w:start w:val="1"/>
      <w:numFmt w:val="bullet"/>
      <w:lvlText w:val="•"/>
      <w:lvlJc w:val="left"/>
      <w:pPr>
        <w:ind w:left="6484" w:hanging="361"/>
      </w:pPr>
      <w:rPr>
        <w:rFonts w:hint="default"/>
      </w:rPr>
    </w:lvl>
    <w:lvl w:ilvl="8" w:tplc="8A5C66E0">
      <w:start w:val="1"/>
      <w:numFmt w:val="bullet"/>
      <w:lvlText w:val="•"/>
      <w:lvlJc w:val="left"/>
      <w:pPr>
        <w:ind w:left="7396" w:hanging="361"/>
      </w:pPr>
      <w:rPr>
        <w:rFonts w:hint="default"/>
      </w:rPr>
    </w:lvl>
  </w:abstractNum>
  <w:abstractNum w:abstractNumId="3" w15:restartNumberingAfterBreak="0">
    <w:nsid w:val="3C430424"/>
    <w:multiLevelType w:val="hybridMultilevel"/>
    <w:tmpl w:val="28EC4CF0"/>
    <w:lvl w:ilvl="0" w:tplc="16B68AC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DC61D90"/>
    <w:multiLevelType w:val="hybridMultilevel"/>
    <w:tmpl w:val="E8165508"/>
    <w:lvl w:ilvl="0" w:tplc="A30C7810">
      <w:start w:val="1"/>
      <w:numFmt w:val="decimal"/>
      <w:lvlText w:val="%1."/>
      <w:lvlJc w:val="left"/>
      <w:pPr>
        <w:tabs>
          <w:tab w:val="num" w:pos="360"/>
        </w:tabs>
        <w:ind w:left="360" w:hanging="360"/>
      </w:pPr>
      <w:rPr>
        <w:rFonts w:ascii="Cambria" w:hAnsi="Cambria" w:cs="Times New Roman" w:hint="default"/>
        <w:b w:val="0"/>
        <w:i w:val="0"/>
        <w:sz w:val="20"/>
        <w:szCs w:val="20"/>
        <w:lang w:val="es-ES_tradnl"/>
      </w:rPr>
    </w:lvl>
    <w:lvl w:ilvl="1" w:tplc="41189D3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151612"/>
    <w:multiLevelType w:val="hybridMultilevel"/>
    <w:tmpl w:val="F46EA048"/>
    <w:lvl w:ilvl="0" w:tplc="A334B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D377CA"/>
    <w:multiLevelType w:val="hybridMultilevel"/>
    <w:tmpl w:val="C70477F6"/>
    <w:lvl w:ilvl="0" w:tplc="5B3C74DC">
      <w:start w:val="1"/>
      <w:numFmt w:val="decimal"/>
      <w:lvlText w:val="%1."/>
      <w:lvlJc w:val="left"/>
      <w:pPr>
        <w:ind w:left="100" w:hanging="361"/>
      </w:pPr>
      <w:rPr>
        <w:rFonts w:ascii="Cambria" w:eastAsia="Cambria" w:hAnsi="Cambria"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B63B5"/>
    <w:multiLevelType w:val="hybridMultilevel"/>
    <w:tmpl w:val="89F4C518"/>
    <w:lvl w:ilvl="0" w:tplc="C43A80A0">
      <w:start w:val="1"/>
      <w:numFmt w:val="upperRoman"/>
      <w:pStyle w:val="Heading1"/>
      <w:lvlText w:val="%1."/>
      <w:lvlJc w:val="left"/>
      <w:pPr>
        <w:tabs>
          <w:tab w:val="num" w:pos="1080"/>
        </w:tabs>
        <w:ind w:left="1080" w:hanging="720"/>
      </w:pPr>
    </w:lvl>
    <w:lvl w:ilvl="1" w:tplc="736A0FE4">
      <w:start w:val="2"/>
      <w:numFmt w:val="upperLetter"/>
      <w:lvlText w:val="%2."/>
      <w:lvlJc w:val="left"/>
      <w:pPr>
        <w:tabs>
          <w:tab w:val="num" w:pos="2520"/>
        </w:tabs>
        <w:ind w:left="2520" w:hanging="14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6DB558C"/>
    <w:multiLevelType w:val="hybridMultilevel"/>
    <w:tmpl w:val="9FBEDD9A"/>
    <w:lvl w:ilvl="0" w:tplc="99C6A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101BB"/>
    <w:multiLevelType w:val="hybridMultilevel"/>
    <w:tmpl w:val="B2F4B498"/>
    <w:lvl w:ilvl="0" w:tplc="C7360626">
      <w:start w:val="1"/>
      <w:numFmt w:val="upperRoman"/>
      <w:lvlText w:val="%1."/>
      <w:lvlJc w:val="left"/>
      <w:pPr>
        <w:tabs>
          <w:tab w:val="num" w:pos="1440"/>
        </w:tabs>
        <w:ind w:left="1440" w:hanging="720"/>
      </w:pPr>
      <w:rPr>
        <w:rFonts w:cs="Times New Roman"/>
        <w:b/>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6BCF3E89"/>
    <w:multiLevelType w:val="hybridMultilevel"/>
    <w:tmpl w:val="3514B9F2"/>
    <w:lvl w:ilvl="0" w:tplc="1A92C91A">
      <w:start w:val="1"/>
      <w:numFmt w:val="upperLetter"/>
      <w:lvlText w:val="%1."/>
      <w:lvlJc w:val="left"/>
      <w:pPr>
        <w:ind w:left="1080" w:hanging="360"/>
      </w:pPr>
      <w:rPr>
        <w:rFonts w:hint="default"/>
        <w:lang w:val="es-V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33707800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1592693">
    <w:abstractNumId w:val="9"/>
  </w:num>
  <w:num w:numId="3" w16cid:durableId="860242226">
    <w:abstractNumId w:val="4"/>
  </w:num>
  <w:num w:numId="4" w16cid:durableId="1318535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471319">
    <w:abstractNumId w:val="10"/>
  </w:num>
  <w:num w:numId="6" w16cid:durableId="1133403768">
    <w:abstractNumId w:val="5"/>
  </w:num>
  <w:num w:numId="7" w16cid:durableId="1690905901">
    <w:abstractNumId w:val="1"/>
  </w:num>
  <w:num w:numId="8" w16cid:durableId="2100905211">
    <w:abstractNumId w:val="2"/>
  </w:num>
  <w:num w:numId="9" w16cid:durableId="1226457370">
    <w:abstractNumId w:val="6"/>
  </w:num>
  <w:num w:numId="10" w16cid:durableId="2140175689">
    <w:abstractNumId w:val="0"/>
  </w:num>
  <w:num w:numId="11" w16cid:durableId="1326393823">
    <w:abstractNumId w:val="8"/>
  </w:num>
  <w:num w:numId="12" w16cid:durableId="135955154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FF"/>
    <w:rsid w:val="00000DDA"/>
    <w:rsid w:val="000010F8"/>
    <w:rsid w:val="00001C48"/>
    <w:rsid w:val="00001E9E"/>
    <w:rsid w:val="00003D23"/>
    <w:rsid w:val="00003FA9"/>
    <w:rsid w:val="00003FAF"/>
    <w:rsid w:val="00005689"/>
    <w:rsid w:val="00005C1C"/>
    <w:rsid w:val="000066AB"/>
    <w:rsid w:val="000118B5"/>
    <w:rsid w:val="0001191F"/>
    <w:rsid w:val="0001201B"/>
    <w:rsid w:val="000121BB"/>
    <w:rsid w:val="00013A9B"/>
    <w:rsid w:val="00013E9D"/>
    <w:rsid w:val="000144B1"/>
    <w:rsid w:val="00014710"/>
    <w:rsid w:val="00014A2E"/>
    <w:rsid w:val="000156A0"/>
    <w:rsid w:val="000161D5"/>
    <w:rsid w:val="0001647B"/>
    <w:rsid w:val="00017825"/>
    <w:rsid w:val="000213F4"/>
    <w:rsid w:val="00021770"/>
    <w:rsid w:val="00021888"/>
    <w:rsid w:val="00023624"/>
    <w:rsid w:val="0002447C"/>
    <w:rsid w:val="0002468B"/>
    <w:rsid w:val="00024FC8"/>
    <w:rsid w:val="000273FA"/>
    <w:rsid w:val="000310C2"/>
    <w:rsid w:val="00031C56"/>
    <w:rsid w:val="00033385"/>
    <w:rsid w:val="00034C0A"/>
    <w:rsid w:val="00037DDD"/>
    <w:rsid w:val="000408DF"/>
    <w:rsid w:val="00041235"/>
    <w:rsid w:val="00042CE0"/>
    <w:rsid w:val="00042E0D"/>
    <w:rsid w:val="00044A86"/>
    <w:rsid w:val="00044B8B"/>
    <w:rsid w:val="00047B31"/>
    <w:rsid w:val="000506A3"/>
    <w:rsid w:val="00052A23"/>
    <w:rsid w:val="0005579B"/>
    <w:rsid w:val="0005609E"/>
    <w:rsid w:val="000565A3"/>
    <w:rsid w:val="0005674D"/>
    <w:rsid w:val="00056A0D"/>
    <w:rsid w:val="00057D4F"/>
    <w:rsid w:val="00062BEB"/>
    <w:rsid w:val="00062C5F"/>
    <w:rsid w:val="00064157"/>
    <w:rsid w:val="00064319"/>
    <w:rsid w:val="0006438F"/>
    <w:rsid w:val="00065215"/>
    <w:rsid w:val="0006653E"/>
    <w:rsid w:val="000700D3"/>
    <w:rsid w:val="00071B18"/>
    <w:rsid w:val="00074B17"/>
    <w:rsid w:val="0007585E"/>
    <w:rsid w:val="000760A2"/>
    <w:rsid w:val="000770DA"/>
    <w:rsid w:val="000808FA"/>
    <w:rsid w:val="00080931"/>
    <w:rsid w:val="00082E42"/>
    <w:rsid w:val="00083242"/>
    <w:rsid w:val="00083B09"/>
    <w:rsid w:val="00084D69"/>
    <w:rsid w:val="0008541C"/>
    <w:rsid w:val="000854FF"/>
    <w:rsid w:val="00086BE4"/>
    <w:rsid w:val="00087023"/>
    <w:rsid w:val="0009018C"/>
    <w:rsid w:val="000903D4"/>
    <w:rsid w:val="00090E3A"/>
    <w:rsid w:val="00090FC3"/>
    <w:rsid w:val="0009148B"/>
    <w:rsid w:val="00091AA3"/>
    <w:rsid w:val="00091AB3"/>
    <w:rsid w:val="00092135"/>
    <w:rsid w:val="0009363E"/>
    <w:rsid w:val="000948D8"/>
    <w:rsid w:val="000957C4"/>
    <w:rsid w:val="000961EF"/>
    <w:rsid w:val="000977EE"/>
    <w:rsid w:val="000A033F"/>
    <w:rsid w:val="000A0A32"/>
    <w:rsid w:val="000A0DF3"/>
    <w:rsid w:val="000A11BF"/>
    <w:rsid w:val="000A123C"/>
    <w:rsid w:val="000A1BB6"/>
    <w:rsid w:val="000A289A"/>
    <w:rsid w:val="000A3422"/>
    <w:rsid w:val="000A46BD"/>
    <w:rsid w:val="000A5477"/>
    <w:rsid w:val="000A6594"/>
    <w:rsid w:val="000A773A"/>
    <w:rsid w:val="000B0215"/>
    <w:rsid w:val="000B0B07"/>
    <w:rsid w:val="000B10F1"/>
    <w:rsid w:val="000B1E93"/>
    <w:rsid w:val="000B1F6B"/>
    <w:rsid w:val="000B466E"/>
    <w:rsid w:val="000B563D"/>
    <w:rsid w:val="000B6577"/>
    <w:rsid w:val="000B779E"/>
    <w:rsid w:val="000C09DE"/>
    <w:rsid w:val="000C19B6"/>
    <w:rsid w:val="000C1ED8"/>
    <w:rsid w:val="000C2992"/>
    <w:rsid w:val="000C37FC"/>
    <w:rsid w:val="000C3859"/>
    <w:rsid w:val="000C409A"/>
    <w:rsid w:val="000C4186"/>
    <w:rsid w:val="000C5859"/>
    <w:rsid w:val="000C5924"/>
    <w:rsid w:val="000C66A4"/>
    <w:rsid w:val="000C75B5"/>
    <w:rsid w:val="000C792F"/>
    <w:rsid w:val="000D0BA0"/>
    <w:rsid w:val="000D33DD"/>
    <w:rsid w:val="000D439C"/>
    <w:rsid w:val="000D499F"/>
    <w:rsid w:val="000D49D9"/>
    <w:rsid w:val="000D4F49"/>
    <w:rsid w:val="000D6644"/>
    <w:rsid w:val="000D71ED"/>
    <w:rsid w:val="000D7A43"/>
    <w:rsid w:val="000E061C"/>
    <w:rsid w:val="000E0DB2"/>
    <w:rsid w:val="000E1B0F"/>
    <w:rsid w:val="000E26A2"/>
    <w:rsid w:val="000E4D30"/>
    <w:rsid w:val="000E6C61"/>
    <w:rsid w:val="000E6FCC"/>
    <w:rsid w:val="000E7B68"/>
    <w:rsid w:val="000E7EF2"/>
    <w:rsid w:val="000F03D3"/>
    <w:rsid w:val="000F1851"/>
    <w:rsid w:val="000F1B1D"/>
    <w:rsid w:val="000F1C7F"/>
    <w:rsid w:val="000F2EB8"/>
    <w:rsid w:val="000F3605"/>
    <w:rsid w:val="000F50C1"/>
    <w:rsid w:val="000F611A"/>
    <w:rsid w:val="000F69F4"/>
    <w:rsid w:val="00100593"/>
    <w:rsid w:val="00100FA3"/>
    <w:rsid w:val="00103613"/>
    <w:rsid w:val="0010364D"/>
    <w:rsid w:val="001039CA"/>
    <w:rsid w:val="001047E6"/>
    <w:rsid w:val="001056B8"/>
    <w:rsid w:val="00110DFA"/>
    <w:rsid w:val="0011132E"/>
    <w:rsid w:val="00111489"/>
    <w:rsid w:val="0011228C"/>
    <w:rsid w:val="00113DD5"/>
    <w:rsid w:val="001140EC"/>
    <w:rsid w:val="00114302"/>
    <w:rsid w:val="00114A86"/>
    <w:rsid w:val="00115057"/>
    <w:rsid w:val="0011509B"/>
    <w:rsid w:val="0011633E"/>
    <w:rsid w:val="00117B1D"/>
    <w:rsid w:val="001223D8"/>
    <w:rsid w:val="00122C97"/>
    <w:rsid w:val="00122D48"/>
    <w:rsid w:val="00124566"/>
    <w:rsid w:val="001246C7"/>
    <w:rsid w:val="00124B8E"/>
    <w:rsid w:val="001260B6"/>
    <w:rsid w:val="001275E2"/>
    <w:rsid w:val="00127C95"/>
    <w:rsid w:val="00130275"/>
    <w:rsid w:val="0013034A"/>
    <w:rsid w:val="001315E8"/>
    <w:rsid w:val="00131FAB"/>
    <w:rsid w:val="001327E0"/>
    <w:rsid w:val="00132B9C"/>
    <w:rsid w:val="0013354F"/>
    <w:rsid w:val="001341B1"/>
    <w:rsid w:val="001345D7"/>
    <w:rsid w:val="00134B3F"/>
    <w:rsid w:val="00135195"/>
    <w:rsid w:val="0014103C"/>
    <w:rsid w:val="00141765"/>
    <w:rsid w:val="00141FD8"/>
    <w:rsid w:val="0014215E"/>
    <w:rsid w:val="0014277B"/>
    <w:rsid w:val="00143DE9"/>
    <w:rsid w:val="0014460A"/>
    <w:rsid w:val="0014493C"/>
    <w:rsid w:val="00145F5C"/>
    <w:rsid w:val="00147A7C"/>
    <w:rsid w:val="00150D09"/>
    <w:rsid w:val="00151B82"/>
    <w:rsid w:val="00151E2F"/>
    <w:rsid w:val="001522E8"/>
    <w:rsid w:val="00153E0D"/>
    <w:rsid w:val="00155373"/>
    <w:rsid w:val="0015590C"/>
    <w:rsid w:val="00157A41"/>
    <w:rsid w:val="0016036E"/>
    <w:rsid w:val="001612C7"/>
    <w:rsid w:val="001616F7"/>
    <w:rsid w:val="00161FB4"/>
    <w:rsid w:val="00163199"/>
    <w:rsid w:val="00163C13"/>
    <w:rsid w:val="00163E7D"/>
    <w:rsid w:val="001651E9"/>
    <w:rsid w:val="00165D20"/>
    <w:rsid w:val="00167380"/>
    <w:rsid w:val="00172650"/>
    <w:rsid w:val="00173C1D"/>
    <w:rsid w:val="00174584"/>
    <w:rsid w:val="001749A2"/>
    <w:rsid w:val="0017583C"/>
    <w:rsid w:val="00176D42"/>
    <w:rsid w:val="001774A5"/>
    <w:rsid w:val="00181244"/>
    <w:rsid w:val="00181298"/>
    <w:rsid w:val="001818F3"/>
    <w:rsid w:val="00181CED"/>
    <w:rsid w:val="0018225C"/>
    <w:rsid w:val="00182336"/>
    <w:rsid w:val="0018301D"/>
    <w:rsid w:val="00183077"/>
    <w:rsid w:val="00183D2C"/>
    <w:rsid w:val="00183E50"/>
    <w:rsid w:val="00184F0D"/>
    <w:rsid w:val="00185A59"/>
    <w:rsid w:val="001862B6"/>
    <w:rsid w:val="00187D7E"/>
    <w:rsid w:val="001900BB"/>
    <w:rsid w:val="00190590"/>
    <w:rsid w:val="00190B39"/>
    <w:rsid w:val="00190DA7"/>
    <w:rsid w:val="00190E31"/>
    <w:rsid w:val="001919AE"/>
    <w:rsid w:val="00191D7C"/>
    <w:rsid w:val="00192349"/>
    <w:rsid w:val="00192A52"/>
    <w:rsid w:val="00192C99"/>
    <w:rsid w:val="0019557C"/>
    <w:rsid w:val="0019690E"/>
    <w:rsid w:val="001969F4"/>
    <w:rsid w:val="00197634"/>
    <w:rsid w:val="001A108A"/>
    <w:rsid w:val="001A110B"/>
    <w:rsid w:val="001A27CE"/>
    <w:rsid w:val="001A30CF"/>
    <w:rsid w:val="001A3677"/>
    <w:rsid w:val="001A4224"/>
    <w:rsid w:val="001A4379"/>
    <w:rsid w:val="001A4C9A"/>
    <w:rsid w:val="001A50AE"/>
    <w:rsid w:val="001A5D20"/>
    <w:rsid w:val="001A5EE4"/>
    <w:rsid w:val="001A667F"/>
    <w:rsid w:val="001A74DC"/>
    <w:rsid w:val="001A763F"/>
    <w:rsid w:val="001B0731"/>
    <w:rsid w:val="001B1E3F"/>
    <w:rsid w:val="001B22A3"/>
    <w:rsid w:val="001B3394"/>
    <w:rsid w:val="001B376A"/>
    <w:rsid w:val="001B3D4A"/>
    <w:rsid w:val="001B5861"/>
    <w:rsid w:val="001B69F1"/>
    <w:rsid w:val="001B7C06"/>
    <w:rsid w:val="001C15C2"/>
    <w:rsid w:val="001C15ED"/>
    <w:rsid w:val="001C1B1B"/>
    <w:rsid w:val="001C20D4"/>
    <w:rsid w:val="001C21EA"/>
    <w:rsid w:val="001C38BD"/>
    <w:rsid w:val="001C3A44"/>
    <w:rsid w:val="001C3AA9"/>
    <w:rsid w:val="001C3E98"/>
    <w:rsid w:val="001C3FC6"/>
    <w:rsid w:val="001C445E"/>
    <w:rsid w:val="001C5339"/>
    <w:rsid w:val="001C67CC"/>
    <w:rsid w:val="001C6BE3"/>
    <w:rsid w:val="001D0E06"/>
    <w:rsid w:val="001D1556"/>
    <w:rsid w:val="001D23F2"/>
    <w:rsid w:val="001D3294"/>
    <w:rsid w:val="001D3EE2"/>
    <w:rsid w:val="001D3F36"/>
    <w:rsid w:val="001D4444"/>
    <w:rsid w:val="001D4492"/>
    <w:rsid w:val="001D4637"/>
    <w:rsid w:val="001D5A94"/>
    <w:rsid w:val="001D677C"/>
    <w:rsid w:val="001D699B"/>
    <w:rsid w:val="001D6D44"/>
    <w:rsid w:val="001D728D"/>
    <w:rsid w:val="001D7B30"/>
    <w:rsid w:val="001E08BC"/>
    <w:rsid w:val="001E172C"/>
    <w:rsid w:val="001E3486"/>
    <w:rsid w:val="001E45EB"/>
    <w:rsid w:val="001E466D"/>
    <w:rsid w:val="001E46F6"/>
    <w:rsid w:val="001E6334"/>
    <w:rsid w:val="001E7C6A"/>
    <w:rsid w:val="001F2AC5"/>
    <w:rsid w:val="001F2FA2"/>
    <w:rsid w:val="001F4390"/>
    <w:rsid w:val="001F5B71"/>
    <w:rsid w:val="001F7526"/>
    <w:rsid w:val="002007D2"/>
    <w:rsid w:val="00200E34"/>
    <w:rsid w:val="00201C74"/>
    <w:rsid w:val="00202ECD"/>
    <w:rsid w:val="00203DFF"/>
    <w:rsid w:val="00203E3B"/>
    <w:rsid w:val="00203E8F"/>
    <w:rsid w:val="00204F15"/>
    <w:rsid w:val="00204F58"/>
    <w:rsid w:val="00205270"/>
    <w:rsid w:val="0020546A"/>
    <w:rsid w:val="00205F09"/>
    <w:rsid w:val="00206534"/>
    <w:rsid w:val="002074EE"/>
    <w:rsid w:val="00210782"/>
    <w:rsid w:val="00211679"/>
    <w:rsid w:val="00212A2E"/>
    <w:rsid w:val="00213FF5"/>
    <w:rsid w:val="00214B7E"/>
    <w:rsid w:val="002159EA"/>
    <w:rsid w:val="00215C06"/>
    <w:rsid w:val="0021623A"/>
    <w:rsid w:val="002162DF"/>
    <w:rsid w:val="00216E6A"/>
    <w:rsid w:val="00220BE2"/>
    <w:rsid w:val="00220E4C"/>
    <w:rsid w:val="0022105B"/>
    <w:rsid w:val="00221525"/>
    <w:rsid w:val="0022182D"/>
    <w:rsid w:val="00222F90"/>
    <w:rsid w:val="00223318"/>
    <w:rsid w:val="00223E6B"/>
    <w:rsid w:val="00224540"/>
    <w:rsid w:val="00224A16"/>
    <w:rsid w:val="00225F22"/>
    <w:rsid w:val="00226345"/>
    <w:rsid w:val="002265EB"/>
    <w:rsid w:val="00226F1A"/>
    <w:rsid w:val="0022741E"/>
    <w:rsid w:val="002279BD"/>
    <w:rsid w:val="002305F5"/>
    <w:rsid w:val="002315E2"/>
    <w:rsid w:val="00232976"/>
    <w:rsid w:val="00232BA2"/>
    <w:rsid w:val="002333AE"/>
    <w:rsid w:val="00233ADF"/>
    <w:rsid w:val="0023498B"/>
    <w:rsid w:val="00234E3A"/>
    <w:rsid w:val="00234ED2"/>
    <w:rsid w:val="0023548D"/>
    <w:rsid w:val="0023589B"/>
    <w:rsid w:val="00235A1E"/>
    <w:rsid w:val="00235A37"/>
    <w:rsid w:val="00235E28"/>
    <w:rsid w:val="00235FEA"/>
    <w:rsid w:val="002363E8"/>
    <w:rsid w:val="002405FB"/>
    <w:rsid w:val="00242A33"/>
    <w:rsid w:val="0024322E"/>
    <w:rsid w:val="002434EF"/>
    <w:rsid w:val="00243A33"/>
    <w:rsid w:val="00243D64"/>
    <w:rsid w:val="002444CA"/>
    <w:rsid w:val="00244EE3"/>
    <w:rsid w:val="00245A6D"/>
    <w:rsid w:val="00246B0C"/>
    <w:rsid w:val="00246E07"/>
    <w:rsid w:val="0024763D"/>
    <w:rsid w:val="00247D27"/>
    <w:rsid w:val="00247FD3"/>
    <w:rsid w:val="002502F6"/>
    <w:rsid w:val="00250F57"/>
    <w:rsid w:val="00252E49"/>
    <w:rsid w:val="00253872"/>
    <w:rsid w:val="00253E78"/>
    <w:rsid w:val="00253F26"/>
    <w:rsid w:val="00253F87"/>
    <w:rsid w:val="0025624A"/>
    <w:rsid w:val="00257F35"/>
    <w:rsid w:val="002604D6"/>
    <w:rsid w:val="002608B9"/>
    <w:rsid w:val="00263790"/>
    <w:rsid w:val="00263F07"/>
    <w:rsid w:val="00265110"/>
    <w:rsid w:val="00265166"/>
    <w:rsid w:val="00270FA0"/>
    <w:rsid w:val="00271016"/>
    <w:rsid w:val="00275641"/>
    <w:rsid w:val="002770D9"/>
    <w:rsid w:val="00277508"/>
    <w:rsid w:val="00280BD3"/>
    <w:rsid w:val="00280FC8"/>
    <w:rsid w:val="00281F6E"/>
    <w:rsid w:val="00284250"/>
    <w:rsid w:val="00284A61"/>
    <w:rsid w:val="00284F67"/>
    <w:rsid w:val="00285B78"/>
    <w:rsid w:val="0028653C"/>
    <w:rsid w:val="00287A70"/>
    <w:rsid w:val="00287BDC"/>
    <w:rsid w:val="00287C5D"/>
    <w:rsid w:val="00287CF6"/>
    <w:rsid w:val="00290287"/>
    <w:rsid w:val="002911FE"/>
    <w:rsid w:val="0029124C"/>
    <w:rsid w:val="00291BA6"/>
    <w:rsid w:val="00292E37"/>
    <w:rsid w:val="00295C40"/>
    <w:rsid w:val="00296B54"/>
    <w:rsid w:val="0029739B"/>
    <w:rsid w:val="002A07A4"/>
    <w:rsid w:val="002A0868"/>
    <w:rsid w:val="002A0EA5"/>
    <w:rsid w:val="002A173E"/>
    <w:rsid w:val="002A24A9"/>
    <w:rsid w:val="002A2E72"/>
    <w:rsid w:val="002A3018"/>
    <w:rsid w:val="002A57A4"/>
    <w:rsid w:val="002A5A4D"/>
    <w:rsid w:val="002A7855"/>
    <w:rsid w:val="002B06A6"/>
    <w:rsid w:val="002B0F01"/>
    <w:rsid w:val="002B1288"/>
    <w:rsid w:val="002B3C87"/>
    <w:rsid w:val="002B3EE9"/>
    <w:rsid w:val="002B4705"/>
    <w:rsid w:val="002B7E29"/>
    <w:rsid w:val="002C0D8F"/>
    <w:rsid w:val="002C10AD"/>
    <w:rsid w:val="002C15C3"/>
    <w:rsid w:val="002C1689"/>
    <w:rsid w:val="002C5377"/>
    <w:rsid w:val="002C6477"/>
    <w:rsid w:val="002D08C9"/>
    <w:rsid w:val="002D1040"/>
    <w:rsid w:val="002D4D73"/>
    <w:rsid w:val="002D4F29"/>
    <w:rsid w:val="002D50A6"/>
    <w:rsid w:val="002D5D96"/>
    <w:rsid w:val="002D666E"/>
    <w:rsid w:val="002D6695"/>
    <w:rsid w:val="002E08C2"/>
    <w:rsid w:val="002E318A"/>
    <w:rsid w:val="002E4BF9"/>
    <w:rsid w:val="002E7FB6"/>
    <w:rsid w:val="002F185C"/>
    <w:rsid w:val="002F281B"/>
    <w:rsid w:val="002F4292"/>
    <w:rsid w:val="002F5390"/>
    <w:rsid w:val="002F55A0"/>
    <w:rsid w:val="002F7B57"/>
    <w:rsid w:val="00300EA9"/>
    <w:rsid w:val="0030105A"/>
    <w:rsid w:val="00301657"/>
    <w:rsid w:val="00302311"/>
    <w:rsid w:val="0030271C"/>
    <w:rsid w:val="0030373A"/>
    <w:rsid w:val="0030476A"/>
    <w:rsid w:val="003058E5"/>
    <w:rsid w:val="0030704D"/>
    <w:rsid w:val="00307A75"/>
    <w:rsid w:val="00311C00"/>
    <w:rsid w:val="00313D14"/>
    <w:rsid w:val="0031453E"/>
    <w:rsid w:val="00314B17"/>
    <w:rsid w:val="00314D19"/>
    <w:rsid w:val="003152A2"/>
    <w:rsid w:val="00316EAF"/>
    <w:rsid w:val="00317120"/>
    <w:rsid w:val="00320599"/>
    <w:rsid w:val="00321029"/>
    <w:rsid w:val="003228BE"/>
    <w:rsid w:val="0032428C"/>
    <w:rsid w:val="0032559D"/>
    <w:rsid w:val="003267F4"/>
    <w:rsid w:val="0032731E"/>
    <w:rsid w:val="003324F7"/>
    <w:rsid w:val="00333174"/>
    <w:rsid w:val="00333A3D"/>
    <w:rsid w:val="00335E7E"/>
    <w:rsid w:val="00336441"/>
    <w:rsid w:val="00337DF3"/>
    <w:rsid w:val="003401E9"/>
    <w:rsid w:val="003405B4"/>
    <w:rsid w:val="00341BF0"/>
    <w:rsid w:val="00342FA3"/>
    <w:rsid w:val="00345400"/>
    <w:rsid w:val="003468B9"/>
    <w:rsid w:val="0034732A"/>
    <w:rsid w:val="00347A67"/>
    <w:rsid w:val="00350C85"/>
    <w:rsid w:val="003510EF"/>
    <w:rsid w:val="0035121C"/>
    <w:rsid w:val="00351675"/>
    <w:rsid w:val="00352121"/>
    <w:rsid w:val="0035477B"/>
    <w:rsid w:val="00354D5E"/>
    <w:rsid w:val="00356A3A"/>
    <w:rsid w:val="00357644"/>
    <w:rsid w:val="00360F89"/>
    <w:rsid w:val="00361D50"/>
    <w:rsid w:val="00362BA9"/>
    <w:rsid w:val="003648C0"/>
    <w:rsid w:val="00365C2F"/>
    <w:rsid w:val="00365D0D"/>
    <w:rsid w:val="003664CE"/>
    <w:rsid w:val="0036724C"/>
    <w:rsid w:val="00370493"/>
    <w:rsid w:val="00371595"/>
    <w:rsid w:val="0037347D"/>
    <w:rsid w:val="003739FD"/>
    <w:rsid w:val="00374359"/>
    <w:rsid w:val="003745BA"/>
    <w:rsid w:val="003749E5"/>
    <w:rsid w:val="00375496"/>
    <w:rsid w:val="0037555E"/>
    <w:rsid w:val="003760F3"/>
    <w:rsid w:val="00376677"/>
    <w:rsid w:val="00376832"/>
    <w:rsid w:val="00377257"/>
    <w:rsid w:val="00377CCF"/>
    <w:rsid w:val="00380349"/>
    <w:rsid w:val="003815E7"/>
    <w:rsid w:val="0038275C"/>
    <w:rsid w:val="003827B2"/>
    <w:rsid w:val="003839BD"/>
    <w:rsid w:val="00383EF5"/>
    <w:rsid w:val="003858A6"/>
    <w:rsid w:val="003870D6"/>
    <w:rsid w:val="0038751E"/>
    <w:rsid w:val="003878D9"/>
    <w:rsid w:val="00390E2A"/>
    <w:rsid w:val="00390F1B"/>
    <w:rsid w:val="003915E3"/>
    <w:rsid w:val="00392466"/>
    <w:rsid w:val="00392581"/>
    <w:rsid w:val="003928F7"/>
    <w:rsid w:val="003939DA"/>
    <w:rsid w:val="00393B26"/>
    <w:rsid w:val="00395654"/>
    <w:rsid w:val="003A14A6"/>
    <w:rsid w:val="003A23BF"/>
    <w:rsid w:val="003A2D4A"/>
    <w:rsid w:val="003A3DF3"/>
    <w:rsid w:val="003A44D2"/>
    <w:rsid w:val="003A49D8"/>
    <w:rsid w:val="003A4B0D"/>
    <w:rsid w:val="003A4D11"/>
    <w:rsid w:val="003A5687"/>
    <w:rsid w:val="003A5A3D"/>
    <w:rsid w:val="003A6DC4"/>
    <w:rsid w:val="003A7CAB"/>
    <w:rsid w:val="003B1566"/>
    <w:rsid w:val="003B1B45"/>
    <w:rsid w:val="003B3654"/>
    <w:rsid w:val="003B4B8E"/>
    <w:rsid w:val="003B543C"/>
    <w:rsid w:val="003B70D6"/>
    <w:rsid w:val="003B740F"/>
    <w:rsid w:val="003B7D2F"/>
    <w:rsid w:val="003C08C7"/>
    <w:rsid w:val="003C092C"/>
    <w:rsid w:val="003C1CAC"/>
    <w:rsid w:val="003C2255"/>
    <w:rsid w:val="003C3CA5"/>
    <w:rsid w:val="003C3CD2"/>
    <w:rsid w:val="003C43C4"/>
    <w:rsid w:val="003C58AF"/>
    <w:rsid w:val="003D06B1"/>
    <w:rsid w:val="003D19F9"/>
    <w:rsid w:val="003D1EE5"/>
    <w:rsid w:val="003D23E4"/>
    <w:rsid w:val="003D2D8A"/>
    <w:rsid w:val="003D5A46"/>
    <w:rsid w:val="003D75DF"/>
    <w:rsid w:val="003D7620"/>
    <w:rsid w:val="003D79DE"/>
    <w:rsid w:val="003E00FC"/>
    <w:rsid w:val="003E2520"/>
    <w:rsid w:val="003E2E86"/>
    <w:rsid w:val="003E3156"/>
    <w:rsid w:val="003E3344"/>
    <w:rsid w:val="003E3CD2"/>
    <w:rsid w:val="003E3E23"/>
    <w:rsid w:val="003E43FE"/>
    <w:rsid w:val="003E4C99"/>
    <w:rsid w:val="003E50CE"/>
    <w:rsid w:val="003E5E36"/>
    <w:rsid w:val="003E683D"/>
    <w:rsid w:val="003E68C5"/>
    <w:rsid w:val="003E7BC9"/>
    <w:rsid w:val="003E7D8C"/>
    <w:rsid w:val="003F09B2"/>
    <w:rsid w:val="003F1630"/>
    <w:rsid w:val="003F174C"/>
    <w:rsid w:val="003F1C99"/>
    <w:rsid w:val="003F54D3"/>
    <w:rsid w:val="003F5C80"/>
    <w:rsid w:val="003F6D07"/>
    <w:rsid w:val="003F6F3B"/>
    <w:rsid w:val="00401044"/>
    <w:rsid w:val="00403709"/>
    <w:rsid w:val="00403C7F"/>
    <w:rsid w:val="004047E3"/>
    <w:rsid w:val="0040538A"/>
    <w:rsid w:val="00406CAB"/>
    <w:rsid w:val="00406D78"/>
    <w:rsid w:val="00407DAF"/>
    <w:rsid w:val="00410798"/>
    <w:rsid w:val="004107D9"/>
    <w:rsid w:val="00411335"/>
    <w:rsid w:val="00412DB1"/>
    <w:rsid w:val="00412FB1"/>
    <w:rsid w:val="0041308D"/>
    <w:rsid w:val="00414A16"/>
    <w:rsid w:val="00416DEE"/>
    <w:rsid w:val="00417355"/>
    <w:rsid w:val="00417A59"/>
    <w:rsid w:val="00417B4A"/>
    <w:rsid w:val="00417D5F"/>
    <w:rsid w:val="00421843"/>
    <w:rsid w:val="00421C97"/>
    <w:rsid w:val="00421EF0"/>
    <w:rsid w:val="00423424"/>
    <w:rsid w:val="00423706"/>
    <w:rsid w:val="00423C86"/>
    <w:rsid w:val="00424A16"/>
    <w:rsid w:val="00426070"/>
    <w:rsid w:val="00427380"/>
    <w:rsid w:val="00430A84"/>
    <w:rsid w:val="00431279"/>
    <w:rsid w:val="004333F1"/>
    <w:rsid w:val="00433C5E"/>
    <w:rsid w:val="00434D97"/>
    <w:rsid w:val="00434DE7"/>
    <w:rsid w:val="004352BA"/>
    <w:rsid w:val="0043587B"/>
    <w:rsid w:val="00435F3C"/>
    <w:rsid w:val="004364E3"/>
    <w:rsid w:val="0043683C"/>
    <w:rsid w:val="00436CB9"/>
    <w:rsid w:val="00437152"/>
    <w:rsid w:val="004408FA"/>
    <w:rsid w:val="00440AAD"/>
    <w:rsid w:val="00440ABF"/>
    <w:rsid w:val="004411D8"/>
    <w:rsid w:val="00441EE2"/>
    <w:rsid w:val="004426B1"/>
    <w:rsid w:val="004427EB"/>
    <w:rsid w:val="00442DFC"/>
    <w:rsid w:val="00443A3E"/>
    <w:rsid w:val="00443DCC"/>
    <w:rsid w:val="004446AE"/>
    <w:rsid w:val="00444EEB"/>
    <w:rsid w:val="00445614"/>
    <w:rsid w:val="004463D8"/>
    <w:rsid w:val="00446D04"/>
    <w:rsid w:val="00447612"/>
    <w:rsid w:val="0044772B"/>
    <w:rsid w:val="004479EF"/>
    <w:rsid w:val="00454107"/>
    <w:rsid w:val="004553BC"/>
    <w:rsid w:val="00456271"/>
    <w:rsid w:val="00457BEB"/>
    <w:rsid w:val="00457DEA"/>
    <w:rsid w:val="00457F4F"/>
    <w:rsid w:val="00460B21"/>
    <w:rsid w:val="0046159C"/>
    <w:rsid w:val="00464542"/>
    <w:rsid w:val="004645B8"/>
    <w:rsid w:val="00464DBC"/>
    <w:rsid w:val="00465859"/>
    <w:rsid w:val="00467D72"/>
    <w:rsid w:val="004705A3"/>
    <w:rsid w:val="004713D8"/>
    <w:rsid w:val="00472721"/>
    <w:rsid w:val="00472B1F"/>
    <w:rsid w:val="0047592B"/>
    <w:rsid w:val="00475C77"/>
    <w:rsid w:val="00475DC3"/>
    <w:rsid w:val="00475E15"/>
    <w:rsid w:val="00480437"/>
    <w:rsid w:val="0048043A"/>
    <w:rsid w:val="004815F8"/>
    <w:rsid w:val="00484949"/>
    <w:rsid w:val="00484CC9"/>
    <w:rsid w:val="00484FD8"/>
    <w:rsid w:val="00486A3A"/>
    <w:rsid w:val="00487DA1"/>
    <w:rsid w:val="0049099D"/>
    <w:rsid w:val="004920FA"/>
    <w:rsid w:val="004927F3"/>
    <w:rsid w:val="00493ADE"/>
    <w:rsid w:val="00493E19"/>
    <w:rsid w:val="00493F23"/>
    <w:rsid w:val="004946CF"/>
    <w:rsid w:val="004952F8"/>
    <w:rsid w:val="0049787C"/>
    <w:rsid w:val="00497D9D"/>
    <w:rsid w:val="004A2055"/>
    <w:rsid w:val="004A2443"/>
    <w:rsid w:val="004A3574"/>
    <w:rsid w:val="004A36FB"/>
    <w:rsid w:val="004A50C6"/>
    <w:rsid w:val="004A5D8D"/>
    <w:rsid w:val="004A5EA1"/>
    <w:rsid w:val="004A6BEF"/>
    <w:rsid w:val="004A714E"/>
    <w:rsid w:val="004B0049"/>
    <w:rsid w:val="004B0175"/>
    <w:rsid w:val="004B0BF2"/>
    <w:rsid w:val="004B1B1E"/>
    <w:rsid w:val="004B28C2"/>
    <w:rsid w:val="004B42A2"/>
    <w:rsid w:val="004B4877"/>
    <w:rsid w:val="004B5228"/>
    <w:rsid w:val="004B631B"/>
    <w:rsid w:val="004B718F"/>
    <w:rsid w:val="004C10FF"/>
    <w:rsid w:val="004C297A"/>
    <w:rsid w:val="004C351F"/>
    <w:rsid w:val="004C4CBD"/>
    <w:rsid w:val="004C6669"/>
    <w:rsid w:val="004C6822"/>
    <w:rsid w:val="004D067B"/>
    <w:rsid w:val="004D11F8"/>
    <w:rsid w:val="004D41CC"/>
    <w:rsid w:val="004D4BCE"/>
    <w:rsid w:val="004D5ABE"/>
    <w:rsid w:val="004D642C"/>
    <w:rsid w:val="004D6A12"/>
    <w:rsid w:val="004D6F8A"/>
    <w:rsid w:val="004D7116"/>
    <w:rsid w:val="004D7235"/>
    <w:rsid w:val="004E0414"/>
    <w:rsid w:val="004E1A07"/>
    <w:rsid w:val="004E2596"/>
    <w:rsid w:val="004E2CA9"/>
    <w:rsid w:val="004E322E"/>
    <w:rsid w:val="004E35AD"/>
    <w:rsid w:val="004E3901"/>
    <w:rsid w:val="004E4B85"/>
    <w:rsid w:val="004E5209"/>
    <w:rsid w:val="004E5B03"/>
    <w:rsid w:val="004E5F3E"/>
    <w:rsid w:val="004E6005"/>
    <w:rsid w:val="004E60EB"/>
    <w:rsid w:val="004F04B8"/>
    <w:rsid w:val="004F05C2"/>
    <w:rsid w:val="004F28A4"/>
    <w:rsid w:val="004F40BB"/>
    <w:rsid w:val="004F4EB7"/>
    <w:rsid w:val="004F73B9"/>
    <w:rsid w:val="00500762"/>
    <w:rsid w:val="00500916"/>
    <w:rsid w:val="005014F7"/>
    <w:rsid w:val="00502262"/>
    <w:rsid w:val="00502843"/>
    <w:rsid w:val="005029B5"/>
    <w:rsid w:val="00502A82"/>
    <w:rsid w:val="005037AA"/>
    <w:rsid w:val="00504104"/>
    <w:rsid w:val="00506868"/>
    <w:rsid w:val="005109D9"/>
    <w:rsid w:val="00511991"/>
    <w:rsid w:val="005121D7"/>
    <w:rsid w:val="00514103"/>
    <w:rsid w:val="00514198"/>
    <w:rsid w:val="005153B2"/>
    <w:rsid w:val="00515CE8"/>
    <w:rsid w:val="00516F75"/>
    <w:rsid w:val="00520814"/>
    <w:rsid w:val="00521261"/>
    <w:rsid w:val="00521A29"/>
    <w:rsid w:val="005240D3"/>
    <w:rsid w:val="00524102"/>
    <w:rsid w:val="00524679"/>
    <w:rsid w:val="00524832"/>
    <w:rsid w:val="005254A2"/>
    <w:rsid w:val="005255C0"/>
    <w:rsid w:val="00525E52"/>
    <w:rsid w:val="00532B5E"/>
    <w:rsid w:val="005338C4"/>
    <w:rsid w:val="00536649"/>
    <w:rsid w:val="00536847"/>
    <w:rsid w:val="00540C9D"/>
    <w:rsid w:val="00541AF3"/>
    <w:rsid w:val="005422F2"/>
    <w:rsid w:val="0054379A"/>
    <w:rsid w:val="005445DE"/>
    <w:rsid w:val="00545680"/>
    <w:rsid w:val="00545F99"/>
    <w:rsid w:val="0054635E"/>
    <w:rsid w:val="005472A6"/>
    <w:rsid w:val="00550C61"/>
    <w:rsid w:val="00552DC1"/>
    <w:rsid w:val="0055548B"/>
    <w:rsid w:val="0055577C"/>
    <w:rsid w:val="005579FA"/>
    <w:rsid w:val="00557BCA"/>
    <w:rsid w:val="005601EE"/>
    <w:rsid w:val="005604A0"/>
    <w:rsid w:val="005612B0"/>
    <w:rsid w:val="00561FAE"/>
    <w:rsid w:val="005640F9"/>
    <w:rsid w:val="00566332"/>
    <w:rsid w:val="005670F2"/>
    <w:rsid w:val="00567BDE"/>
    <w:rsid w:val="00571252"/>
    <w:rsid w:val="0057141B"/>
    <w:rsid w:val="00573F23"/>
    <w:rsid w:val="00574974"/>
    <w:rsid w:val="00574A27"/>
    <w:rsid w:val="00575FE8"/>
    <w:rsid w:val="0057636D"/>
    <w:rsid w:val="005766F9"/>
    <w:rsid w:val="00576895"/>
    <w:rsid w:val="00577273"/>
    <w:rsid w:val="00577A71"/>
    <w:rsid w:val="0058017D"/>
    <w:rsid w:val="005804CD"/>
    <w:rsid w:val="0058059D"/>
    <w:rsid w:val="00580D12"/>
    <w:rsid w:val="00581429"/>
    <w:rsid w:val="00581F95"/>
    <w:rsid w:val="0058309D"/>
    <w:rsid w:val="0058386C"/>
    <w:rsid w:val="005838B8"/>
    <w:rsid w:val="005843A3"/>
    <w:rsid w:val="00584A8B"/>
    <w:rsid w:val="00585660"/>
    <w:rsid w:val="005868D3"/>
    <w:rsid w:val="0058697E"/>
    <w:rsid w:val="00591899"/>
    <w:rsid w:val="00591919"/>
    <w:rsid w:val="0059195C"/>
    <w:rsid w:val="00593B88"/>
    <w:rsid w:val="005950D9"/>
    <w:rsid w:val="005955CC"/>
    <w:rsid w:val="005957AE"/>
    <w:rsid w:val="005967CB"/>
    <w:rsid w:val="005977BF"/>
    <w:rsid w:val="005A0ACA"/>
    <w:rsid w:val="005A1116"/>
    <w:rsid w:val="005A22B2"/>
    <w:rsid w:val="005A25B4"/>
    <w:rsid w:val="005A431E"/>
    <w:rsid w:val="005A4804"/>
    <w:rsid w:val="005A502C"/>
    <w:rsid w:val="005A6045"/>
    <w:rsid w:val="005A7C43"/>
    <w:rsid w:val="005B2055"/>
    <w:rsid w:val="005B2D18"/>
    <w:rsid w:val="005B3772"/>
    <w:rsid w:val="005B64AB"/>
    <w:rsid w:val="005C09BA"/>
    <w:rsid w:val="005C0A7F"/>
    <w:rsid w:val="005C0AA7"/>
    <w:rsid w:val="005C0FA2"/>
    <w:rsid w:val="005C1063"/>
    <w:rsid w:val="005C3F74"/>
    <w:rsid w:val="005C41E2"/>
    <w:rsid w:val="005C443A"/>
    <w:rsid w:val="005C514C"/>
    <w:rsid w:val="005C55DA"/>
    <w:rsid w:val="005C5DF1"/>
    <w:rsid w:val="005C6D61"/>
    <w:rsid w:val="005C72F2"/>
    <w:rsid w:val="005D0148"/>
    <w:rsid w:val="005D084C"/>
    <w:rsid w:val="005D0DDD"/>
    <w:rsid w:val="005D1682"/>
    <w:rsid w:val="005D1DC3"/>
    <w:rsid w:val="005D214F"/>
    <w:rsid w:val="005D377B"/>
    <w:rsid w:val="005D46A9"/>
    <w:rsid w:val="005D50E9"/>
    <w:rsid w:val="005D7CD0"/>
    <w:rsid w:val="005E0FFF"/>
    <w:rsid w:val="005E23D8"/>
    <w:rsid w:val="005E27E2"/>
    <w:rsid w:val="005E4698"/>
    <w:rsid w:val="005E68FA"/>
    <w:rsid w:val="005E77AF"/>
    <w:rsid w:val="005F0B2F"/>
    <w:rsid w:val="005F3D8E"/>
    <w:rsid w:val="005F4C36"/>
    <w:rsid w:val="005F4FC0"/>
    <w:rsid w:val="006002C0"/>
    <w:rsid w:val="00601750"/>
    <w:rsid w:val="0060260F"/>
    <w:rsid w:val="0060680E"/>
    <w:rsid w:val="00607056"/>
    <w:rsid w:val="00607A4C"/>
    <w:rsid w:val="006107C8"/>
    <w:rsid w:val="00610CF1"/>
    <w:rsid w:val="00612D81"/>
    <w:rsid w:val="00613CD3"/>
    <w:rsid w:val="00613F1E"/>
    <w:rsid w:val="00614C12"/>
    <w:rsid w:val="00615A60"/>
    <w:rsid w:val="0061742C"/>
    <w:rsid w:val="00622A13"/>
    <w:rsid w:val="00622A16"/>
    <w:rsid w:val="00622CCE"/>
    <w:rsid w:val="00623160"/>
    <w:rsid w:val="006235B2"/>
    <w:rsid w:val="00623FDA"/>
    <w:rsid w:val="006245E3"/>
    <w:rsid w:val="006249F3"/>
    <w:rsid w:val="00625638"/>
    <w:rsid w:val="00625968"/>
    <w:rsid w:val="0062714D"/>
    <w:rsid w:val="006272FD"/>
    <w:rsid w:val="006307F5"/>
    <w:rsid w:val="0063114C"/>
    <w:rsid w:val="00633AD1"/>
    <w:rsid w:val="00633E9F"/>
    <w:rsid w:val="00635CF5"/>
    <w:rsid w:val="00635F28"/>
    <w:rsid w:val="0063708C"/>
    <w:rsid w:val="006401D4"/>
    <w:rsid w:val="006410C8"/>
    <w:rsid w:val="006418B0"/>
    <w:rsid w:val="006419CF"/>
    <w:rsid w:val="00641A55"/>
    <w:rsid w:val="00641C8D"/>
    <w:rsid w:val="00644883"/>
    <w:rsid w:val="00644BE4"/>
    <w:rsid w:val="00646BC5"/>
    <w:rsid w:val="00646C5A"/>
    <w:rsid w:val="00646D3D"/>
    <w:rsid w:val="0065003E"/>
    <w:rsid w:val="00651744"/>
    <w:rsid w:val="0065215C"/>
    <w:rsid w:val="00655325"/>
    <w:rsid w:val="0065619F"/>
    <w:rsid w:val="00657330"/>
    <w:rsid w:val="006579D6"/>
    <w:rsid w:val="00657A21"/>
    <w:rsid w:val="00660BAB"/>
    <w:rsid w:val="00661487"/>
    <w:rsid w:val="0066160B"/>
    <w:rsid w:val="00661E29"/>
    <w:rsid w:val="00662801"/>
    <w:rsid w:val="00662928"/>
    <w:rsid w:val="00663A9D"/>
    <w:rsid w:val="00667334"/>
    <w:rsid w:val="006707C1"/>
    <w:rsid w:val="00672CE4"/>
    <w:rsid w:val="00672E91"/>
    <w:rsid w:val="00673485"/>
    <w:rsid w:val="00673CE1"/>
    <w:rsid w:val="006748EF"/>
    <w:rsid w:val="00676100"/>
    <w:rsid w:val="00680481"/>
    <w:rsid w:val="0068133E"/>
    <w:rsid w:val="006819CA"/>
    <w:rsid w:val="00683925"/>
    <w:rsid w:val="0068411A"/>
    <w:rsid w:val="00684CFF"/>
    <w:rsid w:val="006853F7"/>
    <w:rsid w:val="00685CD8"/>
    <w:rsid w:val="0068682F"/>
    <w:rsid w:val="00686B34"/>
    <w:rsid w:val="006877FB"/>
    <w:rsid w:val="00690064"/>
    <w:rsid w:val="006904D1"/>
    <w:rsid w:val="006928D6"/>
    <w:rsid w:val="0069303B"/>
    <w:rsid w:val="006934B7"/>
    <w:rsid w:val="00694932"/>
    <w:rsid w:val="006976BD"/>
    <w:rsid w:val="00697D7B"/>
    <w:rsid w:val="006A0141"/>
    <w:rsid w:val="006A0E81"/>
    <w:rsid w:val="006A0ECA"/>
    <w:rsid w:val="006A30D7"/>
    <w:rsid w:val="006A3162"/>
    <w:rsid w:val="006A34D4"/>
    <w:rsid w:val="006A45FC"/>
    <w:rsid w:val="006A527D"/>
    <w:rsid w:val="006A56E9"/>
    <w:rsid w:val="006A59AE"/>
    <w:rsid w:val="006A5E3C"/>
    <w:rsid w:val="006A61B5"/>
    <w:rsid w:val="006A6F63"/>
    <w:rsid w:val="006A6FDF"/>
    <w:rsid w:val="006B1442"/>
    <w:rsid w:val="006B2276"/>
    <w:rsid w:val="006B24E4"/>
    <w:rsid w:val="006B264B"/>
    <w:rsid w:val="006B296C"/>
    <w:rsid w:val="006B2EE1"/>
    <w:rsid w:val="006B3202"/>
    <w:rsid w:val="006B3C80"/>
    <w:rsid w:val="006B3CD2"/>
    <w:rsid w:val="006B63E0"/>
    <w:rsid w:val="006B74E0"/>
    <w:rsid w:val="006C006F"/>
    <w:rsid w:val="006C00C8"/>
    <w:rsid w:val="006C063D"/>
    <w:rsid w:val="006C3B3A"/>
    <w:rsid w:val="006C3FCE"/>
    <w:rsid w:val="006C4B81"/>
    <w:rsid w:val="006C4DA8"/>
    <w:rsid w:val="006C7D0D"/>
    <w:rsid w:val="006D0A88"/>
    <w:rsid w:val="006D111F"/>
    <w:rsid w:val="006D1953"/>
    <w:rsid w:val="006D1C53"/>
    <w:rsid w:val="006D2253"/>
    <w:rsid w:val="006D24DF"/>
    <w:rsid w:val="006D2B5B"/>
    <w:rsid w:val="006D4CC6"/>
    <w:rsid w:val="006D4F47"/>
    <w:rsid w:val="006D5BAB"/>
    <w:rsid w:val="006D693F"/>
    <w:rsid w:val="006E1409"/>
    <w:rsid w:val="006E255D"/>
    <w:rsid w:val="006E2E8B"/>
    <w:rsid w:val="006E378F"/>
    <w:rsid w:val="006E46CB"/>
    <w:rsid w:val="006E4BF6"/>
    <w:rsid w:val="006E5C1D"/>
    <w:rsid w:val="006E6ED0"/>
    <w:rsid w:val="006E76F0"/>
    <w:rsid w:val="006E77A8"/>
    <w:rsid w:val="006F003F"/>
    <w:rsid w:val="006F0C11"/>
    <w:rsid w:val="006F0D8F"/>
    <w:rsid w:val="006F15C1"/>
    <w:rsid w:val="006F1E6E"/>
    <w:rsid w:val="006F252A"/>
    <w:rsid w:val="006F3621"/>
    <w:rsid w:val="006F4008"/>
    <w:rsid w:val="006F53AD"/>
    <w:rsid w:val="006F63CD"/>
    <w:rsid w:val="006F67FA"/>
    <w:rsid w:val="007025D1"/>
    <w:rsid w:val="00702699"/>
    <w:rsid w:val="007038F3"/>
    <w:rsid w:val="00704EEB"/>
    <w:rsid w:val="00704FD7"/>
    <w:rsid w:val="00705B60"/>
    <w:rsid w:val="00706230"/>
    <w:rsid w:val="00707CFB"/>
    <w:rsid w:val="00707F65"/>
    <w:rsid w:val="007128FC"/>
    <w:rsid w:val="00712B8E"/>
    <w:rsid w:val="00712CAD"/>
    <w:rsid w:val="00713954"/>
    <w:rsid w:val="00714472"/>
    <w:rsid w:val="00714742"/>
    <w:rsid w:val="0071478B"/>
    <w:rsid w:val="00715EB3"/>
    <w:rsid w:val="00717FE2"/>
    <w:rsid w:val="00720199"/>
    <w:rsid w:val="00720759"/>
    <w:rsid w:val="0072608E"/>
    <w:rsid w:val="00726961"/>
    <w:rsid w:val="0073044A"/>
    <w:rsid w:val="00730FAF"/>
    <w:rsid w:val="00732431"/>
    <w:rsid w:val="00732C90"/>
    <w:rsid w:val="00733452"/>
    <w:rsid w:val="00734D23"/>
    <w:rsid w:val="007357DB"/>
    <w:rsid w:val="007358D6"/>
    <w:rsid w:val="00736776"/>
    <w:rsid w:val="00736D5C"/>
    <w:rsid w:val="00736EB0"/>
    <w:rsid w:val="00737337"/>
    <w:rsid w:val="007374FF"/>
    <w:rsid w:val="0073760A"/>
    <w:rsid w:val="007413F3"/>
    <w:rsid w:val="007419CB"/>
    <w:rsid w:val="00742C44"/>
    <w:rsid w:val="00743380"/>
    <w:rsid w:val="00743AE4"/>
    <w:rsid w:val="00745650"/>
    <w:rsid w:val="00745B94"/>
    <w:rsid w:val="00746F49"/>
    <w:rsid w:val="00747924"/>
    <w:rsid w:val="00747A80"/>
    <w:rsid w:val="007500FE"/>
    <w:rsid w:val="00750E5A"/>
    <w:rsid w:val="00751598"/>
    <w:rsid w:val="0075267A"/>
    <w:rsid w:val="00752B16"/>
    <w:rsid w:val="00752C1E"/>
    <w:rsid w:val="00753A0E"/>
    <w:rsid w:val="00754C57"/>
    <w:rsid w:val="0075635E"/>
    <w:rsid w:val="00757011"/>
    <w:rsid w:val="0075743A"/>
    <w:rsid w:val="00757FCD"/>
    <w:rsid w:val="007615C9"/>
    <w:rsid w:val="0076199F"/>
    <w:rsid w:val="00762B51"/>
    <w:rsid w:val="007636A4"/>
    <w:rsid w:val="0076391D"/>
    <w:rsid w:val="00764166"/>
    <w:rsid w:val="00764566"/>
    <w:rsid w:val="0076472A"/>
    <w:rsid w:val="00770058"/>
    <w:rsid w:val="007701B9"/>
    <w:rsid w:val="0077261B"/>
    <w:rsid w:val="00772BF0"/>
    <w:rsid w:val="00772C1B"/>
    <w:rsid w:val="00772DD7"/>
    <w:rsid w:val="0077315C"/>
    <w:rsid w:val="00775653"/>
    <w:rsid w:val="007764B8"/>
    <w:rsid w:val="00777088"/>
    <w:rsid w:val="00777B5F"/>
    <w:rsid w:val="00777EAC"/>
    <w:rsid w:val="007805FF"/>
    <w:rsid w:val="00780B17"/>
    <w:rsid w:val="00781306"/>
    <w:rsid w:val="0078213B"/>
    <w:rsid w:val="0078239F"/>
    <w:rsid w:val="007826B8"/>
    <w:rsid w:val="00782DCB"/>
    <w:rsid w:val="00783A1F"/>
    <w:rsid w:val="0078516A"/>
    <w:rsid w:val="00787852"/>
    <w:rsid w:val="00790D28"/>
    <w:rsid w:val="00792918"/>
    <w:rsid w:val="00793783"/>
    <w:rsid w:val="00794662"/>
    <w:rsid w:val="00794EF9"/>
    <w:rsid w:val="007954F0"/>
    <w:rsid w:val="0079623D"/>
    <w:rsid w:val="00796792"/>
    <w:rsid w:val="00796805"/>
    <w:rsid w:val="007A03BA"/>
    <w:rsid w:val="007A3A5A"/>
    <w:rsid w:val="007A498E"/>
    <w:rsid w:val="007A6465"/>
    <w:rsid w:val="007B06AB"/>
    <w:rsid w:val="007B0945"/>
    <w:rsid w:val="007B1BE5"/>
    <w:rsid w:val="007B2CEC"/>
    <w:rsid w:val="007B3BDB"/>
    <w:rsid w:val="007B4A5A"/>
    <w:rsid w:val="007B4FB8"/>
    <w:rsid w:val="007B5547"/>
    <w:rsid w:val="007B5CF1"/>
    <w:rsid w:val="007B73CC"/>
    <w:rsid w:val="007B7438"/>
    <w:rsid w:val="007B7DC0"/>
    <w:rsid w:val="007C1174"/>
    <w:rsid w:val="007C1D48"/>
    <w:rsid w:val="007C21D5"/>
    <w:rsid w:val="007C2FFB"/>
    <w:rsid w:val="007C3AC8"/>
    <w:rsid w:val="007C419D"/>
    <w:rsid w:val="007C619E"/>
    <w:rsid w:val="007C774C"/>
    <w:rsid w:val="007C7AB0"/>
    <w:rsid w:val="007D0421"/>
    <w:rsid w:val="007D0F34"/>
    <w:rsid w:val="007D3548"/>
    <w:rsid w:val="007D45B3"/>
    <w:rsid w:val="007D7351"/>
    <w:rsid w:val="007D75F6"/>
    <w:rsid w:val="007D7D34"/>
    <w:rsid w:val="007E0B9F"/>
    <w:rsid w:val="007E1AB8"/>
    <w:rsid w:val="007E238F"/>
    <w:rsid w:val="007E3834"/>
    <w:rsid w:val="007E3908"/>
    <w:rsid w:val="007E50C2"/>
    <w:rsid w:val="007E5496"/>
    <w:rsid w:val="007E5697"/>
    <w:rsid w:val="007E693B"/>
    <w:rsid w:val="007E74FD"/>
    <w:rsid w:val="007E7582"/>
    <w:rsid w:val="007F0662"/>
    <w:rsid w:val="007F1556"/>
    <w:rsid w:val="007F19A7"/>
    <w:rsid w:val="007F1CF5"/>
    <w:rsid w:val="007F2489"/>
    <w:rsid w:val="007F28C1"/>
    <w:rsid w:val="007F2BE1"/>
    <w:rsid w:val="007F4B6A"/>
    <w:rsid w:val="007F5344"/>
    <w:rsid w:val="007F7389"/>
    <w:rsid w:val="007F74E8"/>
    <w:rsid w:val="008007F4"/>
    <w:rsid w:val="00800DD0"/>
    <w:rsid w:val="00803138"/>
    <w:rsid w:val="0080327B"/>
    <w:rsid w:val="00804287"/>
    <w:rsid w:val="00804C34"/>
    <w:rsid w:val="00806847"/>
    <w:rsid w:val="00807697"/>
    <w:rsid w:val="0081008B"/>
    <w:rsid w:val="008122FA"/>
    <w:rsid w:val="00812C6D"/>
    <w:rsid w:val="00812E07"/>
    <w:rsid w:val="00813144"/>
    <w:rsid w:val="00813EDE"/>
    <w:rsid w:val="00814D11"/>
    <w:rsid w:val="00814F6A"/>
    <w:rsid w:val="00816051"/>
    <w:rsid w:val="00816433"/>
    <w:rsid w:val="00820A2B"/>
    <w:rsid w:val="00822D2D"/>
    <w:rsid w:val="00822F16"/>
    <w:rsid w:val="00823CB0"/>
    <w:rsid w:val="00823D34"/>
    <w:rsid w:val="00825D96"/>
    <w:rsid w:val="00827259"/>
    <w:rsid w:val="0083156B"/>
    <w:rsid w:val="008334F0"/>
    <w:rsid w:val="00834283"/>
    <w:rsid w:val="008342A7"/>
    <w:rsid w:val="00834A99"/>
    <w:rsid w:val="00835991"/>
    <w:rsid w:val="00836915"/>
    <w:rsid w:val="00836B7F"/>
    <w:rsid w:val="00837072"/>
    <w:rsid w:val="00837092"/>
    <w:rsid w:val="00841FF8"/>
    <w:rsid w:val="00845696"/>
    <w:rsid w:val="008479E4"/>
    <w:rsid w:val="00851318"/>
    <w:rsid w:val="00851A2F"/>
    <w:rsid w:val="00852045"/>
    <w:rsid w:val="00853247"/>
    <w:rsid w:val="008535CC"/>
    <w:rsid w:val="008540F6"/>
    <w:rsid w:val="00854A79"/>
    <w:rsid w:val="00854CAE"/>
    <w:rsid w:val="00854E1D"/>
    <w:rsid w:val="00855BEE"/>
    <w:rsid w:val="0085608D"/>
    <w:rsid w:val="00856ADF"/>
    <w:rsid w:val="00857173"/>
    <w:rsid w:val="0085731B"/>
    <w:rsid w:val="00857FC2"/>
    <w:rsid w:val="00860FD9"/>
    <w:rsid w:val="00861FD1"/>
    <w:rsid w:val="00861FFA"/>
    <w:rsid w:val="00863188"/>
    <w:rsid w:val="0086481C"/>
    <w:rsid w:val="00864D3B"/>
    <w:rsid w:val="00865252"/>
    <w:rsid w:val="0087010D"/>
    <w:rsid w:val="008702F4"/>
    <w:rsid w:val="008707D6"/>
    <w:rsid w:val="0087116D"/>
    <w:rsid w:val="0087154D"/>
    <w:rsid w:val="00871D1B"/>
    <w:rsid w:val="00872324"/>
    <w:rsid w:val="00874B23"/>
    <w:rsid w:val="00874B74"/>
    <w:rsid w:val="008750DB"/>
    <w:rsid w:val="008768CF"/>
    <w:rsid w:val="008776C4"/>
    <w:rsid w:val="00880EB5"/>
    <w:rsid w:val="00881869"/>
    <w:rsid w:val="008820C2"/>
    <w:rsid w:val="00882EEA"/>
    <w:rsid w:val="008831A7"/>
    <w:rsid w:val="008838A9"/>
    <w:rsid w:val="00884726"/>
    <w:rsid w:val="00885890"/>
    <w:rsid w:val="00886947"/>
    <w:rsid w:val="0088788E"/>
    <w:rsid w:val="00887CAC"/>
    <w:rsid w:val="0089053E"/>
    <w:rsid w:val="00890B88"/>
    <w:rsid w:val="00890E87"/>
    <w:rsid w:val="008930C4"/>
    <w:rsid w:val="00893382"/>
    <w:rsid w:val="00894AEC"/>
    <w:rsid w:val="00894C53"/>
    <w:rsid w:val="00896923"/>
    <w:rsid w:val="008A4D3F"/>
    <w:rsid w:val="008A6106"/>
    <w:rsid w:val="008A77B7"/>
    <w:rsid w:val="008A7BA0"/>
    <w:rsid w:val="008B0367"/>
    <w:rsid w:val="008B197C"/>
    <w:rsid w:val="008B1F4F"/>
    <w:rsid w:val="008B2E5C"/>
    <w:rsid w:val="008B3562"/>
    <w:rsid w:val="008B3E1E"/>
    <w:rsid w:val="008B45C5"/>
    <w:rsid w:val="008B502D"/>
    <w:rsid w:val="008B56E2"/>
    <w:rsid w:val="008B5FAA"/>
    <w:rsid w:val="008C0313"/>
    <w:rsid w:val="008C21F8"/>
    <w:rsid w:val="008C3992"/>
    <w:rsid w:val="008C3EDA"/>
    <w:rsid w:val="008C41F0"/>
    <w:rsid w:val="008C4659"/>
    <w:rsid w:val="008C60DA"/>
    <w:rsid w:val="008D4C6D"/>
    <w:rsid w:val="008E06BF"/>
    <w:rsid w:val="008E0BB9"/>
    <w:rsid w:val="008E1375"/>
    <w:rsid w:val="008E1CF7"/>
    <w:rsid w:val="008E2A22"/>
    <w:rsid w:val="008E407E"/>
    <w:rsid w:val="008E4752"/>
    <w:rsid w:val="008E6462"/>
    <w:rsid w:val="008E6515"/>
    <w:rsid w:val="008E6CDC"/>
    <w:rsid w:val="008E71EE"/>
    <w:rsid w:val="008E7774"/>
    <w:rsid w:val="008F0C3F"/>
    <w:rsid w:val="008F2FA2"/>
    <w:rsid w:val="008F432D"/>
    <w:rsid w:val="008F446D"/>
    <w:rsid w:val="008F67EF"/>
    <w:rsid w:val="0090071F"/>
    <w:rsid w:val="00900C2A"/>
    <w:rsid w:val="00901633"/>
    <w:rsid w:val="009018F6"/>
    <w:rsid w:val="00902C4A"/>
    <w:rsid w:val="0090387A"/>
    <w:rsid w:val="009041CE"/>
    <w:rsid w:val="00904930"/>
    <w:rsid w:val="00904FBE"/>
    <w:rsid w:val="00905169"/>
    <w:rsid w:val="00905457"/>
    <w:rsid w:val="00905AD8"/>
    <w:rsid w:val="00905F0E"/>
    <w:rsid w:val="00907680"/>
    <w:rsid w:val="00910E69"/>
    <w:rsid w:val="00911221"/>
    <w:rsid w:val="009119FE"/>
    <w:rsid w:val="00911E82"/>
    <w:rsid w:val="00911ED9"/>
    <w:rsid w:val="00912201"/>
    <w:rsid w:val="00913517"/>
    <w:rsid w:val="009138BD"/>
    <w:rsid w:val="00913F87"/>
    <w:rsid w:val="00916C4A"/>
    <w:rsid w:val="009170EA"/>
    <w:rsid w:val="009176C2"/>
    <w:rsid w:val="0091792D"/>
    <w:rsid w:val="00920D86"/>
    <w:rsid w:val="00921390"/>
    <w:rsid w:val="009222FF"/>
    <w:rsid w:val="00922508"/>
    <w:rsid w:val="00926D8E"/>
    <w:rsid w:val="00930C6D"/>
    <w:rsid w:val="00933583"/>
    <w:rsid w:val="00933C2B"/>
    <w:rsid w:val="009357F1"/>
    <w:rsid w:val="00935880"/>
    <w:rsid w:val="009360DD"/>
    <w:rsid w:val="0093630F"/>
    <w:rsid w:val="00936B30"/>
    <w:rsid w:val="00937110"/>
    <w:rsid w:val="0093785B"/>
    <w:rsid w:val="0094056E"/>
    <w:rsid w:val="00941206"/>
    <w:rsid w:val="009414EF"/>
    <w:rsid w:val="009439F2"/>
    <w:rsid w:val="00944D2D"/>
    <w:rsid w:val="00945345"/>
    <w:rsid w:val="009465B9"/>
    <w:rsid w:val="009469A5"/>
    <w:rsid w:val="00950876"/>
    <w:rsid w:val="00950BA2"/>
    <w:rsid w:val="00951360"/>
    <w:rsid w:val="009514A6"/>
    <w:rsid w:val="00952301"/>
    <w:rsid w:val="00952A0D"/>
    <w:rsid w:val="00954D7C"/>
    <w:rsid w:val="009553B4"/>
    <w:rsid w:val="0096115F"/>
    <w:rsid w:val="00961853"/>
    <w:rsid w:val="00962D1F"/>
    <w:rsid w:val="0096307E"/>
    <w:rsid w:val="00963C62"/>
    <w:rsid w:val="0096546C"/>
    <w:rsid w:val="00965684"/>
    <w:rsid w:val="00966386"/>
    <w:rsid w:val="00967388"/>
    <w:rsid w:val="009675A6"/>
    <w:rsid w:val="009677ED"/>
    <w:rsid w:val="009745DC"/>
    <w:rsid w:val="009748BF"/>
    <w:rsid w:val="00974A20"/>
    <w:rsid w:val="00981771"/>
    <w:rsid w:val="00981B8A"/>
    <w:rsid w:val="00981D7A"/>
    <w:rsid w:val="0098241B"/>
    <w:rsid w:val="00982A56"/>
    <w:rsid w:val="0098566A"/>
    <w:rsid w:val="00985FBD"/>
    <w:rsid w:val="00987A72"/>
    <w:rsid w:val="0099081F"/>
    <w:rsid w:val="0099259B"/>
    <w:rsid w:val="009926A8"/>
    <w:rsid w:val="00992C02"/>
    <w:rsid w:val="0099353B"/>
    <w:rsid w:val="009935B8"/>
    <w:rsid w:val="009949E2"/>
    <w:rsid w:val="0099531B"/>
    <w:rsid w:val="009953C1"/>
    <w:rsid w:val="00995D82"/>
    <w:rsid w:val="00996949"/>
    <w:rsid w:val="009976CC"/>
    <w:rsid w:val="009977A8"/>
    <w:rsid w:val="00997A4E"/>
    <w:rsid w:val="00997AED"/>
    <w:rsid w:val="009A0B89"/>
    <w:rsid w:val="009A1323"/>
    <w:rsid w:val="009A32D4"/>
    <w:rsid w:val="009A4309"/>
    <w:rsid w:val="009A4681"/>
    <w:rsid w:val="009A48AE"/>
    <w:rsid w:val="009A5E81"/>
    <w:rsid w:val="009A6044"/>
    <w:rsid w:val="009A721E"/>
    <w:rsid w:val="009A7962"/>
    <w:rsid w:val="009B10AA"/>
    <w:rsid w:val="009B17C8"/>
    <w:rsid w:val="009B4198"/>
    <w:rsid w:val="009B41F2"/>
    <w:rsid w:val="009B437D"/>
    <w:rsid w:val="009B4C30"/>
    <w:rsid w:val="009B5F4B"/>
    <w:rsid w:val="009B68E9"/>
    <w:rsid w:val="009C0DAE"/>
    <w:rsid w:val="009C206E"/>
    <w:rsid w:val="009C600A"/>
    <w:rsid w:val="009C7C73"/>
    <w:rsid w:val="009D0169"/>
    <w:rsid w:val="009D06B4"/>
    <w:rsid w:val="009D0CB2"/>
    <w:rsid w:val="009D38E0"/>
    <w:rsid w:val="009D4C9D"/>
    <w:rsid w:val="009D50E3"/>
    <w:rsid w:val="009D5388"/>
    <w:rsid w:val="009D59A4"/>
    <w:rsid w:val="009D5D42"/>
    <w:rsid w:val="009D5EC0"/>
    <w:rsid w:val="009D6379"/>
    <w:rsid w:val="009E0003"/>
    <w:rsid w:val="009E048E"/>
    <w:rsid w:val="009E1761"/>
    <w:rsid w:val="009E1AD5"/>
    <w:rsid w:val="009E2849"/>
    <w:rsid w:val="009E30E6"/>
    <w:rsid w:val="009E454A"/>
    <w:rsid w:val="009E5EE9"/>
    <w:rsid w:val="009E6387"/>
    <w:rsid w:val="009E6605"/>
    <w:rsid w:val="009E7A68"/>
    <w:rsid w:val="009E7DAB"/>
    <w:rsid w:val="009F025D"/>
    <w:rsid w:val="009F0872"/>
    <w:rsid w:val="009F1FCF"/>
    <w:rsid w:val="009F471B"/>
    <w:rsid w:val="009F69C0"/>
    <w:rsid w:val="00A00148"/>
    <w:rsid w:val="00A0023C"/>
    <w:rsid w:val="00A00B91"/>
    <w:rsid w:val="00A0173E"/>
    <w:rsid w:val="00A01966"/>
    <w:rsid w:val="00A01EB6"/>
    <w:rsid w:val="00A028BE"/>
    <w:rsid w:val="00A02EC7"/>
    <w:rsid w:val="00A04277"/>
    <w:rsid w:val="00A04318"/>
    <w:rsid w:val="00A05075"/>
    <w:rsid w:val="00A067EA"/>
    <w:rsid w:val="00A06ADF"/>
    <w:rsid w:val="00A07839"/>
    <w:rsid w:val="00A07EDB"/>
    <w:rsid w:val="00A102F0"/>
    <w:rsid w:val="00A104FE"/>
    <w:rsid w:val="00A1124D"/>
    <w:rsid w:val="00A1189A"/>
    <w:rsid w:val="00A12001"/>
    <w:rsid w:val="00A13B77"/>
    <w:rsid w:val="00A141AA"/>
    <w:rsid w:val="00A1455D"/>
    <w:rsid w:val="00A15943"/>
    <w:rsid w:val="00A15E39"/>
    <w:rsid w:val="00A168F4"/>
    <w:rsid w:val="00A16BA3"/>
    <w:rsid w:val="00A17BE6"/>
    <w:rsid w:val="00A208FF"/>
    <w:rsid w:val="00A21B29"/>
    <w:rsid w:val="00A23958"/>
    <w:rsid w:val="00A26718"/>
    <w:rsid w:val="00A27277"/>
    <w:rsid w:val="00A305A7"/>
    <w:rsid w:val="00A30BAA"/>
    <w:rsid w:val="00A30CDC"/>
    <w:rsid w:val="00A31D6A"/>
    <w:rsid w:val="00A32DC7"/>
    <w:rsid w:val="00A32DFD"/>
    <w:rsid w:val="00A34B54"/>
    <w:rsid w:val="00A3708E"/>
    <w:rsid w:val="00A421B5"/>
    <w:rsid w:val="00A4223A"/>
    <w:rsid w:val="00A42BE6"/>
    <w:rsid w:val="00A42C50"/>
    <w:rsid w:val="00A42DDB"/>
    <w:rsid w:val="00A440A8"/>
    <w:rsid w:val="00A4464F"/>
    <w:rsid w:val="00A44D55"/>
    <w:rsid w:val="00A4500F"/>
    <w:rsid w:val="00A457DE"/>
    <w:rsid w:val="00A47724"/>
    <w:rsid w:val="00A50558"/>
    <w:rsid w:val="00A50869"/>
    <w:rsid w:val="00A51504"/>
    <w:rsid w:val="00A5264F"/>
    <w:rsid w:val="00A53726"/>
    <w:rsid w:val="00A537C1"/>
    <w:rsid w:val="00A54163"/>
    <w:rsid w:val="00A554A8"/>
    <w:rsid w:val="00A55879"/>
    <w:rsid w:val="00A55880"/>
    <w:rsid w:val="00A56D05"/>
    <w:rsid w:val="00A56DAC"/>
    <w:rsid w:val="00A57933"/>
    <w:rsid w:val="00A60079"/>
    <w:rsid w:val="00A61DC0"/>
    <w:rsid w:val="00A62D25"/>
    <w:rsid w:val="00A634B6"/>
    <w:rsid w:val="00A64272"/>
    <w:rsid w:val="00A7034B"/>
    <w:rsid w:val="00A70577"/>
    <w:rsid w:val="00A70CA0"/>
    <w:rsid w:val="00A715DF"/>
    <w:rsid w:val="00A71794"/>
    <w:rsid w:val="00A721A0"/>
    <w:rsid w:val="00A7244C"/>
    <w:rsid w:val="00A72506"/>
    <w:rsid w:val="00A75762"/>
    <w:rsid w:val="00A767DD"/>
    <w:rsid w:val="00A768BE"/>
    <w:rsid w:val="00A76975"/>
    <w:rsid w:val="00A7752D"/>
    <w:rsid w:val="00A777E4"/>
    <w:rsid w:val="00A77B83"/>
    <w:rsid w:val="00A80B74"/>
    <w:rsid w:val="00A8323D"/>
    <w:rsid w:val="00A85F82"/>
    <w:rsid w:val="00A8649F"/>
    <w:rsid w:val="00A87122"/>
    <w:rsid w:val="00A873FD"/>
    <w:rsid w:val="00A879C1"/>
    <w:rsid w:val="00A909A5"/>
    <w:rsid w:val="00A924C0"/>
    <w:rsid w:val="00A94B17"/>
    <w:rsid w:val="00A97376"/>
    <w:rsid w:val="00A9738D"/>
    <w:rsid w:val="00AA0DE8"/>
    <w:rsid w:val="00AA1C02"/>
    <w:rsid w:val="00AA1E0B"/>
    <w:rsid w:val="00AA31E8"/>
    <w:rsid w:val="00AA362F"/>
    <w:rsid w:val="00AA3C98"/>
    <w:rsid w:val="00AA4271"/>
    <w:rsid w:val="00AA4A41"/>
    <w:rsid w:val="00AA5010"/>
    <w:rsid w:val="00AA533A"/>
    <w:rsid w:val="00AA5DC9"/>
    <w:rsid w:val="00AA75F7"/>
    <w:rsid w:val="00AB0F10"/>
    <w:rsid w:val="00AB121E"/>
    <w:rsid w:val="00AB1DB8"/>
    <w:rsid w:val="00AB20C7"/>
    <w:rsid w:val="00AB2BF9"/>
    <w:rsid w:val="00AB2FF9"/>
    <w:rsid w:val="00AB3175"/>
    <w:rsid w:val="00AB32A3"/>
    <w:rsid w:val="00AB3712"/>
    <w:rsid w:val="00AB371B"/>
    <w:rsid w:val="00AB3BE4"/>
    <w:rsid w:val="00AB4D73"/>
    <w:rsid w:val="00AB643A"/>
    <w:rsid w:val="00AB6D01"/>
    <w:rsid w:val="00AC287B"/>
    <w:rsid w:val="00AC3A30"/>
    <w:rsid w:val="00AC478C"/>
    <w:rsid w:val="00AC4F5D"/>
    <w:rsid w:val="00AC5425"/>
    <w:rsid w:val="00AC67EF"/>
    <w:rsid w:val="00AC69C3"/>
    <w:rsid w:val="00AC69EE"/>
    <w:rsid w:val="00AC6ABC"/>
    <w:rsid w:val="00AC795E"/>
    <w:rsid w:val="00AD072E"/>
    <w:rsid w:val="00AD1927"/>
    <w:rsid w:val="00AD1BF3"/>
    <w:rsid w:val="00AD3C1E"/>
    <w:rsid w:val="00AD3E63"/>
    <w:rsid w:val="00AD4AFF"/>
    <w:rsid w:val="00AD50D3"/>
    <w:rsid w:val="00AE1B92"/>
    <w:rsid w:val="00AE1F9F"/>
    <w:rsid w:val="00AE44F4"/>
    <w:rsid w:val="00AE472A"/>
    <w:rsid w:val="00AE53EF"/>
    <w:rsid w:val="00AE61CB"/>
    <w:rsid w:val="00AE6AE1"/>
    <w:rsid w:val="00AE6E35"/>
    <w:rsid w:val="00AF11B5"/>
    <w:rsid w:val="00AF1CC6"/>
    <w:rsid w:val="00AF274F"/>
    <w:rsid w:val="00AF27EB"/>
    <w:rsid w:val="00AF3DC7"/>
    <w:rsid w:val="00AF57F8"/>
    <w:rsid w:val="00AF58EB"/>
    <w:rsid w:val="00AF6B10"/>
    <w:rsid w:val="00AF7A61"/>
    <w:rsid w:val="00AF7C72"/>
    <w:rsid w:val="00B00C1F"/>
    <w:rsid w:val="00B010C9"/>
    <w:rsid w:val="00B042D1"/>
    <w:rsid w:val="00B0437E"/>
    <w:rsid w:val="00B05847"/>
    <w:rsid w:val="00B065E6"/>
    <w:rsid w:val="00B068D1"/>
    <w:rsid w:val="00B12706"/>
    <w:rsid w:val="00B13A79"/>
    <w:rsid w:val="00B1416C"/>
    <w:rsid w:val="00B15988"/>
    <w:rsid w:val="00B1677B"/>
    <w:rsid w:val="00B16F46"/>
    <w:rsid w:val="00B172C1"/>
    <w:rsid w:val="00B206EF"/>
    <w:rsid w:val="00B222AE"/>
    <w:rsid w:val="00B25D6D"/>
    <w:rsid w:val="00B27297"/>
    <w:rsid w:val="00B3025C"/>
    <w:rsid w:val="00B3070A"/>
    <w:rsid w:val="00B311AE"/>
    <w:rsid w:val="00B31203"/>
    <w:rsid w:val="00B31BAA"/>
    <w:rsid w:val="00B31E6F"/>
    <w:rsid w:val="00B31F88"/>
    <w:rsid w:val="00B32172"/>
    <w:rsid w:val="00B334ED"/>
    <w:rsid w:val="00B33E87"/>
    <w:rsid w:val="00B34471"/>
    <w:rsid w:val="00B367D8"/>
    <w:rsid w:val="00B37CD9"/>
    <w:rsid w:val="00B4086F"/>
    <w:rsid w:val="00B40AA3"/>
    <w:rsid w:val="00B411A3"/>
    <w:rsid w:val="00B41402"/>
    <w:rsid w:val="00B41C67"/>
    <w:rsid w:val="00B42B12"/>
    <w:rsid w:val="00B4395A"/>
    <w:rsid w:val="00B43B77"/>
    <w:rsid w:val="00B44BBE"/>
    <w:rsid w:val="00B461AB"/>
    <w:rsid w:val="00B47025"/>
    <w:rsid w:val="00B50486"/>
    <w:rsid w:val="00B50823"/>
    <w:rsid w:val="00B51B2C"/>
    <w:rsid w:val="00B51E8B"/>
    <w:rsid w:val="00B52406"/>
    <w:rsid w:val="00B53DF4"/>
    <w:rsid w:val="00B55407"/>
    <w:rsid w:val="00B60FAA"/>
    <w:rsid w:val="00B62260"/>
    <w:rsid w:val="00B63BD6"/>
    <w:rsid w:val="00B63F35"/>
    <w:rsid w:val="00B6509D"/>
    <w:rsid w:val="00B65C67"/>
    <w:rsid w:val="00B65D62"/>
    <w:rsid w:val="00B65DA1"/>
    <w:rsid w:val="00B6663F"/>
    <w:rsid w:val="00B6794F"/>
    <w:rsid w:val="00B6795B"/>
    <w:rsid w:val="00B701DB"/>
    <w:rsid w:val="00B709E3"/>
    <w:rsid w:val="00B73979"/>
    <w:rsid w:val="00B74616"/>
    <w:rsid w:val="00B75859"/>
    <w:rsid w:val="00B761AE"/>
    <w:rsid w:val="00B801A1"/>
    <w:rsid w:val="00B82968"/>
    <w:rsid w:val="00B85AC7"/>
    <w:rsid w:val="00B86017"/>
    <w:rsid w:val="00B90AFA"/>
    <w:rsid w:val="00B91AC5"/>
    <w:rsid w:val="00B92027"/>
    <w:rsid w:val="00B9356F"/>
    <w:rsid w:val="00B93ECB"/>
    <w:rsid w:val="00B94F0B"/>
    <w:rsid w:val="00B95A8F"/>
    <w:rsid w:val="00B96E0E"/>
    <w:rsid w:val="00B97E65"/>
    <w:rsid w:val="00BA0572"/>
    <w:rsid w:val="00BA26D7"/>
    <w:rsid w:val="00BA29BE"/>
    <w:rsid w:val="00BA2E00"/>
    <w:rsid w:val="00BA3755"/>
    <w:rsid w:val="00BA3878"/>
    <w:rsid w:val="00BA3B98"/>
    <w:rsid w:val="00BA4A6B"/>
    <w:rsid w:val="00BA5271"/>
    <w:rsid w:val="00BA6ECF"/>
    <w:rsid w:val="00BA71D0"/>
    <w:rsid w:val="00BA729A"/>
    <w:rsid w:val="00BB07EE"/>
    <w:rsid w:val="00BB0A3C"/>
    <w:rsid w:val="00BB3E78"/>
    <w:rsid w:val="00BB4539"/>
    <w:rsid w:val="00BC0018"/>
    <w:rsid w:val="00BC0DCD"/>
    <w:rsid w:val="00BC1801"/>
    <w:rsid w:val="00BC29F3"/>
    <w:rsid w:val="00BC3AF3"/>
    <w:rsid w:val="00BC3E93"/>
    <w:rsid w:val="00BC48F1"/>
    <w:rsid w:val="00BC4B2E"/>
    <w:rsid w:val="00BC6AC6"/>
    <w:rsid w:val="00BC6F05"/>
    <w:rsid w:val="00BC6FD1"/>
    <w:rsid w:val="00BC74D4"/>
    <w:rsid w:val="00BC7826"/>
    <w:rsid w:val="00BD054E"/>
    <w:rsid w:val="00BD2AE6"/>
    <w:rsid w:val="00BD2EB3"/>
    <w:rsid w:val="00BD3E71"/>
    <w:rsid w:val="00BD4243"/>
    <w:rsid w:val="00BD513A"/>
    <w:rsid w:val="00BD56C8"/>
    <w:rsid w:val="00BD5767"/>
    <w:rsid w:val="00BD5D70"/>
    <w:rsid w:val="00BD6926"/>
    <w:rsid w:val="00BD777F"/>
    <w:rsid w:val="00BD781A"/>
    <w:rsid w:val="00BD7837"/>
    <w:rsid w:val="00BE00A9"/>
    <w:rsid w:val="00BE038D"/>
    <w:rsid w:val="00BE304C"/>
    <w:rsid w:val="00BE3483"/>
    <w:rsid w:val="00BE3807"/>
    <w:rsid w:val="00BE38BC"/>
    <w:rsid w:val="00BE4309"/>
    <w:rsid w:val="00BE4489"/>
    <w:rsid w:val="00BE7538"/>
    <w:rsid w:val="00BE7736"/>
    <w:rsid w:val="00BF0A81"/>
    <w:rsid w:val="00BF0E57"/>
    <w:rsid w:val="00BF466F"/>
    <w:rsid w:val="00BF49D3"/>
    <w:rsid w:val="00BF537F"/>
    <w:rsid w:val="00BF5DCE"/>
    <w:rsid w:val="00BF6AF8"/>
    <w:rsid w:val="00BF72E9"/>
    <w:rsid w:val="00C003F5"/>
    <w:rsid w:val="00C00720"/>
    <w:rsid w:val="00C00B41"/>
    <w:rsid w:val="00C01485"/>
    <w:rsid w:val="00C01D05"/>
    <w:rsid w:val="00C0274D"/>
    <w:rsid w:val="00C02C83"/>
    <w:rsid w:val="00C0521F"/>
    <w:rsid w:val="00C0668B"/>
    <w:rsid w:val="00C07AC4"/>
    <w:rsid w:val="00C10C01"/>
    <w:rsid w:val="00C10C0F"/>
    <w:rsid w:val="00C113C6"/>
    <w:rsid w:val="00C11870"/>
    <w:rsid w:val="00C12B8B"/>
    <w:rsid w:val="00C14409"/>
    <w:rsid w:val="00C14DC8"/>
    <w:rsid w:val="00C15FC7"/>
    <w:rsid w:val="00C20290"/>
    <w:rsid w:val="00C20EFA"/>
    <w:rsid w:val="00C2257C"/>
    <w:rsid w:val="00C23296"/>
    <w:rsid w:val="00C24006"/>
    <w:rsid w:val="00C246AA"/>
    <w:rsid w:val="00C254FD"/>
    <w:rsid w:val="00C25872"/>
    <w:rsid w:val="00C261B0"/>
    <w:rsid w:val="00C262EF"/>
    <w:rsid w:val="00C30BCB"/>
    <w:rsid w:val="00C30DC9"/>
    <w:rsid w:val="00C30E79"/>
    <w:rsid w:val="00C31986"/>
    <w:rsid w:val="00C32575"/>
    <w:rsid w:val="00C32957"/>
    <w:rsid w:val="00C339DF"/>
    <w:rsid w:val="00C33B14"/>
    <w:rsid w:val="00C35AE2"/>
    <w:rsid w:val="00C3616D"/>
    <w:rsid w:val="00C367BE"/>
    <w:rsid w:val="00C372B8"/>
    <w:rsid w:val="00C3730A"/>
    <w:rsid w:val="00C37ED6"/>
    <w:rsid w:val="00C40944"/>
    <w:rsid w:val="00C42D56"/>
    <w:rsid w:val="00C42FCD"/>
    <w:rsid w:val="00C43998"/>
    <w:rsid w:val="00C43F2D"/>
    <w:rsid w:val="00C446B7"/>
    <w:rsid w:val="00C4492A"/>
    <w:rsid w:val="00C44DD8"/>
    <w:rsid w:val="00C461B3"/>
    <w:rsid w:val="00C470E4"/>
    <w:rsid w:val="00C47383"/>
    <w:rsid w:val="00C50937"/>
    <w:rsid w:val="00C523CA"/>
    <w:rsid w:val="00C525AA"/>
    <w:rsid w:val="00C53E4B"/>
    <w:rsid w:val="00C54ABF"/>
    <w:rsid w:val="00C54C0C"/>
    <w:rsid w:val="00C568A8"/>
    <w:rsid w:val="00C578CC"/>
    <w:rsid w:val="00C602A5"/>
    <w:rsid w:val="00C607E9"/>
    <w:rsid w:val="00C62028"/>
    <w:rsid w:val="00C62148"/>
    <w:rsid w:val="00C6425E"/>
    <w:rsid w:val="00C656F1"/>
    <w:rsid w:val="00C65C9C"/>
    <w:rsid w:val="00C7104B"/>
    <w:rsid w:val="00C7158D"/>
    <w:rsid w:val="00C74105"/>
    <w:rsid w:val="00C7429F"/>
    <w:rsid w:val="00C7441D"/>
    <w:rsid w:val="00C74A70"/>
    <w:rsid w:val="00C7599C"/>
    <w:rsid w:val="00C77003"/>
    <w:rsid w:val="00C773A7"/>
    <w:rsid w:val="00C77DC5"/>
    <w:rsid w:val="00C807B3"/>
    <w:rsid w:val="00C80843"/>
    <w:rsid w:val="00C814C6"/>
    <w:rsid w:val="00C82286"/>
    <w:rsid w:val="00C82A07"/>
    <w:rsid w:val="00C83D8A"/>
    <w:rsid w:val="00C83DB4"/>
    <w:rsid w:val="00C84B2C"/>
    <w:rsid w:val="00C85A28"/>
    <w:rsid w:val="00C9003F"/>
    <w:rsid w:val="00C92488"/>
    <w:rsid w:val="00C92667"/>
    <w:rsid w:val="00C9514E"/>
    <w:rsid w:val="00C95890"/>
    <w:rsid w:val="00C95DC0"/>
    <w:rsid w:val="00C95E8C"/>
    <w:rsid w:val="00C96468"/>
    <w:rsid w:val="00C96D78"/>
    <w:rsid w:val="00CA2A8C"/>
    <w:rsid w:val="00CA34E9"/>
    <w:rsid w:val="00CA3903"/>
    <w:rsid w:val="00CA4138"/>
    <w:rsid w:val="00CA45A7"/>
    <w:rsid w:val="00CA48A9"/>
    <w:rsid w:val="00CA5653"/>
    <w:rsid w:val="00CA609A"/>
    <w:rsid w:val="00CA6924"/>
    <w:rsid w:val="00CB03D1"/>
    <w:rsid w:val="00CB0E80"/>
    <w:rsid w:val="00CB4E74"/>
    <w:rsid w:val="00CB537A"/>
    <w:rsid w:val="00CB542F"/>
    <w:rsid w:val="00CB62A8"/>
    <w:rsid w:val="00CB7531"/>
    <w:rsid w:val="00CC080F"/>
    <w:rsid w:val="00CC0A23"/>
    <w:rsid w:val="00CC19ED"/>
    <w:rsid w:val="00CC1E0A"/>
    <w:rsid w:val="00CC26D1"/>
    <w:rsid w:val="00CC2A9F"/>
    <w:rsid w:val="00CC2AE1"/>
    <w:rsid w:val="00CC2F02"/>
    <w:rsid w:val="00CC3AA0"/>
    <w:rsid w:val="00CC48A9"/>
    <w:rsid w:val="00CC48E1"/>
    <w:rsid w:val="00CC539E"/>
    <w:rsid w:val="00CC5FEE"/>
    <w:rsid w:val="00CC620B"/>
    <w:rsid w:val="00CC68BD"/>
    <w:rsid w:val="00CC764C"/>
    <w:rsid w:val="00CD242A"/>
    <w:rsid w:val="00CD28F7"/>
    <w:rsid w:val="00CD2EBB"/>
    <w:rsid w:val="00CD2FEB"/>
    <w:rsid w:val="00CD37ED"/>
    <w:rsid w:val="00CD3F15"/>
    <w:rsid w:val="00CD4574"/>
    <w:rsid w:val="00CD4A44"/>
    <w:rsid w:val="00CD534C"/>
    <w:rsid w:val="00CD540D"/>
    <w:rsid w:val="00CD70E3"/>
    <w:rsid w:val="00CD7CA0"/>
    <w:rsid w:val="00CE06C1"/>
    <w:rsid w:val="00CE08A6"/>
    <w:rsid w:val="00CE144A"/>
    <w:rsid w:val="00CE2421"/>
    <w:rsid w:val="00CE3A06"/>
    <w:rsid w:val="00CE48F6"/>
    <w:rsid w:val="00CE5DF6"/>
    <w:rsid w:val="00CE60DC"/>
    <w:rsid w:val="00CE6281"/>
    <w:rsid w:val="00CE664A"/>
    <w:rsid w:val="00CE744C"/>
    <w:rsid w:val="00CF0072"/>
    <w:rsid w:val="00CF2E66"/>
    <w:rsid w:val="00CF2F87"/>
    <w:rsid w:val="00CF4295"/>
    <w:rsid w:val="00CF4457"/>
    <w:rsid w:val="00CF5DAD"/>
    <w:rsid w:val="00D0013C"/>
    <w:rsid w:val="00D0042D"/>
    <w:rsid w:val="00D025DF"/>
    <w:rsid w:val="00D02EBF"/>
    <w:rsid w:val="00D03964"/>
    <w:rsid w:val="00D043C9"/>
    <w:rsid w:val="00D043FE"/>
    <w:rsid w:val="00D04585"/>
    <w:rsid w:val="00D05386"/>
    <w:rsid w:val="00D06B4B"/>
    <w:rsid w:val="00D072E2"/>
    <w:rsid w:val="00D10883"/>
    <w:rsid w:val="00D10A01"/>
    <w:rsid w:val="00D11424"/>
    <w:rsid w:val="00D122F6"/>
    <w:rsid w:val="00D163FA"/>
    <w:rsid w:val="00D16704"/>
    <w:rsid w:val="00D16C51"/>
    <w:rsid w:val="00D20598"/>
    <w:rsid w:val="00D20795"/>
    <w:rsid w:val="00D20E94"/>
    <w:rsid w:val="00D21010"/>
    <w:rsid w:val="00D21FB2"/>
    <w:rsid w:val="00D221C5"/>
    <w:rsid w:val="00D253F9"/>
    <w:rsid w:val="00D2643D"/>
    <w:rsid w:val="00D26B24"/>
    <w:rsid w:val="00D26F53"/>
    <w:rsid w:val="00D27DD2"/>
    <w:rsid w:val="00D3035B"/>
    <w:rsid w:val="00D3143C"/>
    <w:rsid w:val="00D31819"/>
    <w:rsid w:val="00D3189B"/>
    <w:rsid w:val="00D31E24"/>
    <w:rsid w:val="00D32F02"/>
    <w:rsid w:val="00D33E25"/>
    <w:rsid w:val="00D33F19"/>
    <w:rsid w:val="00D34DEE"/>
    <w:rsid w:val="00D3619F"/>
    <w:rsid w:val="00D369AB"/>
    <w:rsid w:val="00D40CBA"/>
    <w:rsid w:val="00D41839"/>
    <w:rsid w:val="00D41F72"/>
    <w:rsid w:val="00D4300D"/>
    <w:rsid w:val="00D43825"/>
    <w:rsid w:val="00D440EA"/>
    <w:rsid w:val="00D44FCA"/>
    <w:rsid w:val="00D46426"/>
    <w:rsid w:val="00D46B84"/>
    <w:rsid w:val="00D477EA"/>
    <w:rsid w:val="00D479FD"/>
    <w:rsid w:val="00D47F39"/>
    <w:rsid w:val="00D50995"/>
    <w:rsid w:val="00D50A8F"/>
    <w:rsid w:val="00D51634"/>
    <w:rsid w:val="00D51F8B"/>
    <w:rsid w:val="00D526B7"/>
    <w:rsid w:val="00D527C1"/>
    <w:rsid w:val="00D528C5"/>
    <w:rsid w:val="00D52B78"/>
    <w:rsid w:val="00D53552"/>
    <w:rsid w:val="00D53C1E"/>
    <w:rsid w:val="00D54172"/>
    <w:rsid w:val="00D55177"/>
    <w:rsid w:val="00D560CC"/>
    <w:rsid w:val="00D56F60"/>
    <w:rsid w:val="00D57123"/>
    <w:rsid w:val="00D60154"/>
    <w:rsid w:val="00D60418"/>
    <w:rsid w:val="00D6051D"/>
    <w:rsid w:val="00D6102C"/>
    <w:rsid w:val="00D6186C"/>
    <w:rsid w:val="00D63D28"/>
    <w:rsid w:val="00D63EF6"/>
    <w:rsid w:val="00D65B90"/>
    <w:rsid w:val="00D6738D"/>
    <w:rsid w:val="00D67654"/>
    <w:rsid w:val="00D67BA3"/>
    <w:rsid w:val="00D70826"/>
    <w:rsid w:val="00D7152E"/>
    <w:rsid w:val="00D71B97"/>
    <w:rsid w:val="00D72863"/>
    <w:rsid w:val="00D73FA7"/>
    <w:rsid w:val="00D74040"/>
    <w:rsid w:val="00D743F7"/>
    <w:rsid w:val="00D74915"/>
    <w:rsid w:val="00D75580"/>
    <w:rsid w:val="00D75A6C"/>
    <w:rsid w:val="00D80172"/>
    <w:rsid w:val="00D837DC"/>
    <w:rsid w:val="00D83D12"/>
    <w:rsid w:val="00D86374"/>
    <w:rsid w:val="00D87108"/>
    <w:rsid w:val="00D87174"/>
    <w:rsid w:val="00D878D1"/>
    <w:rsid w:val="00D87A4B"/>
    <w:rsid w:val="00D87A88"/>
    <w:rsid w:val="00D87BC4"/>
    <w:rsid w:val="00D92508"/>
    <w:rsid w:val="00D936DA"/>
    <w:rsid w:val="00D9399F"/>
    <w:rsid w:val="00D957B8"/>
    <w:rsid w:val="00D95948"/>
    <w:rsid w:val="00D95A61"/>
    <w:rsid w:val="00D96857"/>
    <w:rsid w:val="00D96A1F"/>
    <w:rsid w:val="00D96B86"/>
    <w:rsid w:val="00D9757D"/>
    <w:rsid w:val="00DA15AE"/>
    <w:rsid w:val="00DA24DE"/>
    <w:rsid w:val="00DA2588"/>
    <w:rsid w:val="00DA2773"/>
    <w:rsid w:val="00DA31B3"/>
    <w:rsid w:val="00DA5639"/>
    <w:rsid w:val="00DB13C0"/>
    <w:rsid w:val="00DB295B"/>
    <w:rsid w:val="00DB2AD0"/>
    <w:rsid w:val="00DB42AF"/>
    <w:rsid w:val="00DB4707"/>
    <w:rsid w:val="00DB70EE"/>
    <w:rsid w:val="00DC0A41"/>
    <w:rsid w:val="00DC0ACC"/>
    <w:rsid w:val="00DC194D"/>
    <w:rsid w:val="00DC1A5A"/>
    <w:rsid w:val="00DC2C3C"/>
    <w:rsid w:val="00DC335F"/>
    <w:rsid w:val="00DC3ED7"/>
    <w:rsid w:val="00DD03B7"/>
    <w:rsid w:val="00DD043E"/>
    <w:rsid w:val="00DD0A6F"/>
    <w:rsid w:val="00DD0D5D"/>
    <w:rsid w:val="00DD1B30"/>
    <w:rsid w:val="00DD1F1C"/>
    <w:rsid w:val="00DD346C"/>
    <w:rsid w:val="00DD4F4B"/>
    <w:rsid w:val="00DD6953"/>
    <w:rsid w:val="00DD7A48"/>
    <w:rsid w:val="00DE00B2"/>
    <w:rsid w:val="00DE0940"/>
    <w:rsid w:val="00DE0A95"/>
    <w:rsid w:val="00DE1DBF"/>
    <w:rsid w:val="00DE377E"/>
    <w:rsid w:val="00DE3D7F"/>
    <w:rsid w:val="00DE3DDD"/>
    <w:rsid w:val="00DE7264"/>
    <w:rsid w:val="00DF051E"/>
    <w:rsid w:val="00DF06A9"/>
    <w:rsid w:val="00DF334D"/>
    <w:rsid w:val="00DF340E"/>
    <w:rsid w:val="00DF416D"/>
    <w:rsid w:val="00DF49CD"/>
    <w:rsid w:val="00DF5635"/>
    <w:rsid w:val="00DF7F50"/>
    <w:rsid w:val="00E01631"/>
    <w:rsid w:val="00E01D12"/>
    <w:rsid w:val="00E02161"/>
    <w:rsid w:val="00E03554"/>
    <w:rsid w:val="00E03BFC"/>
    <w:rsid w:val="00E04C16"/>
    <w:rsid w:val="00E06D7D"/>
    <w:rsid w:val="00E10430"/>
    <w:rsid w:val="00E10A05"/>
    <w:rsid w:val="00E10BE5"/>
    <w:rsid w:val="00E11B61"/>
    <w:rsid w:val="00E126B1"/>
    <w:rsid w:val="00E12AFC"/>
    <w:rsid w:val="00E137A7"/>
    <w:rsid w:val="00E13A0C"/>
    <w:rsid w:val="00E13B11"/>
    <w:rsid w:val="00E148DA"/>
    <w:rsid w:val="00E14FFE"/>
    <w:rsid w:val="00E1597B"/>
    <w:rsid w:val="00E16211"/>
    <w:rsid w:val="00E16672"/>
    <w:rsid w:val="00E1746D"/>
    <w:rsid w:val="00E22837"/>
    <w:rsid w:val="00E23B6B"/>
    <w:rsid w:val="00E24957"/>
    <w:rsid w:val="00E25114"/>
    <w:rsid w:val="00E264D0"/>
    <w:rsid w:val="00E266F5"/>
    <w:rsid w:val="00E27674"/>
    <w:rsid w:val="00E279F4"/>
    <w:rsid w:val="00E27A9C"/>
    <w:rsid w:val="00E311AA"/>
    <w:rsid w:val="00E31A5E"/>
    <w:rsid w:val="00E32520"/>
    <w:rsid w:val="00E32926"/>
    <w:rsid w:val="00E32A02"/>
    <w:rsid w:val="00E3307A"/>
    <w:rsid w:val="00E3333E"/>
    <w:rsid w:val="00E33B91"/>
    <w:rsid w:val="00E34D0D"/>
    <w:rsid w:val="00E361BB"/>
    <w:rsid w:val="00E36DE4"/>
    <w:rsid w:val="00E37229"/>
    <w:rsid w:val="00E37472"/>
    <w:rsid w:val="00E37D5C"/>
    <w:rsid w:val="00E40626"/>
    <w:rsid w:val="00E40EC2"/>
    <w:rsid w:val="00E40F45"/>
    <w:rsid w:val="00E41CD3"/>
    <w:rsid w:val="00E420C7"/>
    <w:rsid w:val="00E4386F"/>
    <w:rsid w:val="00E4458B"/>
    <w:rsid w:val="00E4496F"/>
    <w:rsid w:val="00E44EFC"/>
    <w:rsid w:val="00E44FE4"/>
    <w:rsid w:val="00E50BB1"/>
    <w:rsid w:val="00E50DA2"/>
    <w:rsid w:val="00E52AB4"/>
    <w:rsid w:val="00E53B4F"/>
    <w:rsid w:val="00E53B8F"/>
    <w:rsid w:val="00E54298"/>
    <w:rsid w:val="00E554BD"/>
    <w:rsid w:val="00E5654B"/>
    <w:rsid w:val="00E57734"/>
    <w:rsid w:val="00E57F23"/>
    <w:rsid w:val="00E607F8"/>
    <w:rsid w:val="00E60D69"/>
    <w:rsid w:val="00E6272A"/>
    <w:rsid w:val="00E629B9"/>
    <w:rsid w:val="00E62AAE"/>
    <w:rsid w:val="00E6302B"/>
    <w:rsid w:val="00E641CC"/>
    <w:rsid w:val="00E65341"/>
    <w:rsid w:val="00E6560C"/>
    <w:rsid w:val="00E66256"/>
    <w:rsid w:val="00E66794"/>
    <w:rsid w:val="00E67FDE"/>
    <w:rsid w:val="00E70123"/>
    <w:rsid w:val="00E70E77"/>
    <w:rsid w:val="00E72A63"/>
    <w:rsid w:val="00E72D69"/>
    <w:rsid w:val="00E75556"/>
    <w:rsid w:val="00E76169"/>
    <w:rsid w:val="00E7756E"/>
    <w:rsid w:val="00E804CE"/>
    <w:rsid w:val="00E80AA0"/>
    <w:rsid w:val="00E81C8F"/>
    <w:rsid w:val="00E820E8"/>
    <w:rsid w:val="00E821BD"/>
    <w:rsid w:val="00E82CF4"/>
    <w:rsid w:val="00E8380F"/>
    <w:rsid w:val="00E84191"/>
    <w:rsid w:val="00E846AD"/>
    <w:rsid w:val="00E86147"/>
    <w:rsid w:val="00E86229"/>
    <w:rsid w:val="00E86BDD"/>
    <w:rsid w:val="00E90BF8"/>
    <w:rsid w:val="00E91D84"/>
    <w:rsid w:val="00E9298B"/>
    <w:rsid w:val="00E941BE"/>
    <w:rsid w:val="00E945C5"/>
    <w:rsid w:val="00E94A13"/>
    <w:rsid w:val="00E94A2A"/>
    <w:rsid w:val="00E95FDC"/>
    <w:rsid w:val="00E969FB"/>
    <w:rsid w:val="00E9737D"/>
    <w:rsid w:val="00E97FFB"/>
    <w:rsid w:val="00EA1114"/>
    <w:rsid w:val="00EA185C"/>
    <w:rsid w:val="00EA1B39"/>
    <w:rsid w:val="00EA286B"/>
    <w:rsid w:val="00EA3543"/>
    <w:rsid w:val="00EA3D0E"/>
    <w:rsid w:val="00EA6AF5"/>
    <w:rsid w:val="00EA6BE5"/>
    <w:rsid w:val="00EB0B72"/>
    <w:rsid w:val="00EB1CD1"/>
    <w:rsid w:val="00EB1D81"/>
    <w:rsid w:val="00EB353E"/>
    <w:rsid w:val="00EB35E5"/>
    <w:rsid w:val="00EB376A"/>
    <w:rsid w:val="00EB5854"/>
    <w:rsid w:val="00EB643C"/>
    <w:rsid w:val="00EB727D"/>
    <w:rsid w:val="00EC1A09"/>
    <w:rsid w:val="00EC4502"/>
    <w:rsid w:val="00EC4D6C"/>
    <w:rsid w:val="00EC5442"/>
    <w:rsid w:val="00EC61B6"/>
    <w:rsid w:val="00EC632A"/>
    <w:rsid w:val="00EC640B"/>
    <w:rsid w:val="00EC6B5F"/>
    <w:rsid w:val="00ED008C"/>
    <w:rsid w:val="00ED0DA1"/>
    <w:rsid w:val="00ED15ED"/>
    <w:rsid w:val="00ED1A89"/>
    <w:rsid w:val="00ED466A"/>
    <w:rsid w:val="00ED4FA1"/>
    <w:rsid w:val="00ED5BCE"/>
    <w:rsid w:val="00ED6AF1"/>
    <w:rsid w:val="00ED6DA8"/>
    <w:rsid w:val="00ED76AD"/>
    <w:rsid w:val="00EE04B7"/>
    <w:rsid w:val="00EE1C60"/>
    <w:rsid w:val="00EE2019"/>
    <w:rsid w:val="00EE2A5C"/>
    <w:rsid w:val="00EE336F"/>
    <w:rsid w:val="00EE3B14"/>
    <w:rsid w:val="00EE3F90"/>
    <w:rsid w:val="00EE4138"/>
    <w:rsid w:val="00EE43D0"/>
    <w:rsid w:val="00EE5787"/>
    <w:rsid w:val="00EE5933"/>
    <w:rsid w:val="00EE646B"/>
    <w:rsid w:val="00EE64BE"/>
    <w:rsid w:val="00EE6691"/>
    <w:rsid w:val="00EE7700"/>
    <w:rsid w:val="00EF077D"/>
    <w:rsid w:val="00EF1C21"/>
    <w:rsid w:val="00EF2363"/>
    <w:rsid w:val="00EF23BE"/>
    <w:rsid w:val="00EF2611"/>
    <w:rsid w:val="00EF30BD"/>
    <w:rsid w:val="00EF3AFB"/>
    <w:rsid w:val="00EF4B8A"/>
    <w:rsid w:val="00EF5FDC"/>
    <w:rsid w:val="00F00936"/>
    <w:rsid w:val="00F00D0C"/>
    <w:rsid w:val="00F010EF"/>
    <w:rsid w:val="00F018EE"/>
    <w:rsid w:val="00F038CF"/>
    <w:rsid w:val="00F051E8"/>
    <w:rsid w:val="00F069A1"/>
    <w:rsid w:val="00F06BBE"/>
    <w:rsid w:val="00F06F2D"/>
    <w:rsid w:val="00F06FD8"/>
    <w:rsid w:val="00F07626"/>
    <w:rsid w:val="00F0769F"/>
    <w:rsid w:val="00F117F6"/>
    <w:rsid w:val="00F118A5"/>
    <w:rsid w:val="00F11DD9"/>
    <w:rsid w:val="00F11F99"/>
    <w:rsid w:val="00F12144"/>
    <w:rsid w:val="00F1367F"/>
    <w:rsid w:val="00F13869"/>
    <w:rsid w:val="00F13BDA"/>
    <w:rsid w:val="00F15C4E"/>
    <w:rsid w:val="00F1629C"/>
    <w:rsid w:val="00F164A8"/>
    <w:rsid w:val="00F16824"/>
    <w:rsid w:val="00F16C8F"/>
    <w:rsid w:val="00F177C9"/>
    <w:rsid w:val="00F17E8C"/>
    <w:rsid w:val="00F202ED"/>
    <w:rsid w:val="00F2031F"/>
    <w:rsid w:val="00F2097C"/>
    <w:rsid w:val="00F22994"/>
    <w:rsid w:val="00F22AE2"/>
    <w:rsid w:val="00F22E86"/>
    <w:rsid w:val="00F240CD"/>
    <w:rsid w:val="00F25333"/>
    <w:rsid w:val="00F27726"/>
    <w:rsid w:val="00F30181"/>
    <w:rsid w:val="00F31C58"/>
    <w:rsid w:val="00F3211A"/>
    <w:rsid w:val="00F32383"/>
    <w:rsid w:val="00F3391E"/>
    <w:rsid w:val="00F341AC"/>
    <w:rsid w:val="00F35EE6"/>
    <w:rsid w:val="00F3654E"/>
    <w:rsid w:val="00F36831"/>
    <w:rsid w:val="00F36DD4"/>
    <w:rsid w:val="00F37910"/>
    <w:rsid w:val="00F41CEF"/>
    <w:rsid w:val="00F42314"/>
    <w:rsid w:val="00F4251D"/>
    <w:rsid w:val="00F4688E"/>
    <w:rsid w:val="00F504CF"/>
    <w:rsid w:val="00F52601"/>
    <w:rsid w:val="00F52767"/>
    <w:rsid w:val="00F52C1E"/>
    <w:rsid w:val="00F532B8"/>
    <w:rsid w:val="00F53844"/>
    <w:rsid w:val="00F53ECB"/>
    <w:rsid w:val="00F54BFC"/>
    <w:rsid w:val="00F5573C"/>
    <w:rsid w:val="00F55C31"/>
    <w:rsid w:val="00F569DF"/>
    <w:rsid w:val="00F56D8A"/>
    <w:rsid w:val="00F56EAB"/>
    <w:rsid w:val="00F61D8F"/>
    <w:rsid w:val="00F64125"/>
    <w:rsid w:val="00F646E0"/>
    <w:rsid w:val="00F65796"/>
    <w:rsid w:val="00F660E4"/>
    <w:rsid w:val="00F660F0"/>
    <w:rsid w:val="00F6667D"/>
    <w:rsid w:val="00F673FA"/>
    <w:rsid w:val="00F67995"/>
    <w:rsid w:val="00F70460"/>
    <w:rsid w:val="00F7253B"/>
    <w:rsid w:val="00F72C8C"/>
    <w:rsid w:val="00F72DEC"/>
    <w:rsid w:val="00F735C8"/>
    <w:rsid w:val="00F735EB"/>
    <w:rsid w:val="00F738F4"/>
    <w:rsid w:val="00F74021"/>
    <w:rsid w:val="00F74A37"/>
    <w:rsid w:val="00F758E0"/>
    <w:rsid w:val="00F7720C"/>
    <w:rsid w:val="00F776C2"/>
    <w:rsid w:val="00F80336"/>
    <w:rsid w:val="00F80955"/>
    <w:rsid w:val="00F80971"/>
    <w:rsid w:val="00F81445"/>
    <w:rsid w:val="00F81846"/>
    <w:rsid w:val="00F830A3"/>
    <w:rsid w:val="00F831A0"/>
    <w:rsid w:val="00F838EC"/>
    <w:rsid w:val="00F84FDE"/>
    <w:rsid w:val="00F85E17"/>
    <w:rsid w:val="00F863D5"/>
    <w:rsid w:val="00F86BE0"/>
    <w:rsid w:val="00F90F26"/>
    <w:rsid w:val="00F92272"/>
    <w:rsid w:val="00F92CF9"/>
    <w:rsid w:val="00F93EED"/>
    <w:rsid w:val="00F94A96"/>
    <w:rsid w:val="00F94C76"/>
    <w:rsid w:val="00F955D6"/>
    <w:rsid w:val="00F95B8B"/>
    <w:rsid w:val="00F96F44"/>
    <w:rsid w:val="00FA038A"/>
    <w:rsid w:val="00FA0419"/>
    <w:rsid w:val="00FA13FA"/>
    <w:rsid w:val="00FA158E"/>
    <w:rsid w:val="00FA175E"/>
    <w:rsid w:val="00FA2AB2"/>
    <w:rsid w:val="00FA2C95"/>
    <w:rsid w:val="00FA3A7A"/>
    <w:rsid w:val="00FA3DB3"/>
    <w:rsid w:val="00FA4484"/>
    <w:rsid w:val="00FA44BF"/>
    <w:rsid w:val="00FA4BCB"/>
    <w:rsid w:val="00FA537B"/>
    <w:rsid w:val="00FA57C2"/>
    <w:rsid w:val="00FA588D"/>
    <w:rsid w:val="00FA598F"/>
    <w:rsid w:val="00FA5E85"/>
    <w:rsid w:val="00FA6B29"/>
    <w:rsid w:val="00FA6C6D"/>
    <w:rsid w:val="00FB0463"/>
    <w:rsid w:val="00FB1BBD"/>
    <w:rsid w:val="00FB2D3E"/>
    <w:rsid w:val="00FB3046"/>
    <w:rsid w:val="00FB3F06"/>
    <w:rsid w:val="00FB4AC3"/>
    <w:rsid w:val="00FB5935"/>
    <w:rsid w:val="00FB5FF7"/>
    <w:rsid w:val="00FB6119"/>
    <w:rsid w:val="00FB618D"/>
    <w:rsid w:val="00FB65DD"/>
    <w:rsid w:val="00FB7097"/>
    <w:rsid w:val="00FB7DF0"/>
    <w:rsid w:val="00FC07A2"/>
    <w:rsid w:val="00FC0FE4"/>
    <w:rsid w:val="00FC2891"/>
    <w:rsid w:val="00FC3378"/>
    <w:rsid w:val="00FC3B77"/>
    <w:rsid w:val="00FC3C18"/>
    <w:rsid w:val="00FC4C0B"/>
    <w:rsid w:val="00FC5666"/>
    <w:rsid w:val="00FC60BA"/>
    <w:rsid w:val="00FC6CB2"/>
    <w:rsid w:val="00FC7A7A"/>
    <w:rsid w:val="00FD0288"/>
    <w:rsid w:val="00FD032A"/>
    <w:rsid w:val="00FD14F4"/>
    <w:rsid w:val="00FD216C"/>
    <w:rsid w:val="00FD2AB3"/>
    <w:rsid w:val="00FD644F"/>
    <w:rsid w:val="00FD66C4"/>
    <w:rsid w:val="00FD69E2"/>
    <w:rsid w:val="00FD7785"/>
    <w:rsid w:val="00FD7F1C"/>
    <w:rsid w:val="00FE00D2"/>
    <w:rsid w:val="00FE2CF4"/>
    <w:rsid w:val="00FE365C"/>
    <w:rsid w:val="00FE478E"/>
    <w:rsid w:val="00FE5E20"/>
    <w:rsid w:val="00FE62E8"/>
    <w:rsid w:val="00FE680E"/>
    <w:rsid w:val="00FE6CC5"/>
    <w:rsid w:val="00FE733F"/>
    <w:rsid w:val="00FE7A4A"/>
    <w:rsid w:val="00FF02C5"/>
    <w:rsid w:val="00FF02CA"/>
    <w:rsid w:val="00FF1954"/>
    <w:rsid w:val="00FF566A"/>
    <w:rsid w:val="00FF5AF8"/>
    <w:rsid w:val="2BF8E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6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Heading1">
    <w:name w:val="heading 1"/>
    <w:basedOn w:val="Normal"/>
    <w:next w:val="Normal"/>
    <w:link w:val="Heading1Char"/>
    <w:qFormat/>
    <w:rsid w:val="007374FF"/>
    <w:pPr>
      <w:keepNext/>
      <w:numPr>
        <w:numId w:val="1"/>
      </w:numPr>
      <w:spacing w:after="0" w:line="240" w:lineRule="auto"/>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7374FF"/>
    <w:pPr>
      <w:keepNext/>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iPriority w:val="9"/>
    <w:qFormat/>
    <w:rsid w:val="00BF537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615C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4FF"/>
    <w:rPr>
      <w:rFonts w:ascii="Cambria" w:eastAsia="Times New Roman" w:hAnsi="Cambria"/>
      <w:b/>
      <w:lang w:val="es-ES_tradnl"/>
    </w:rPr>
  </w:style>
  <w:style w:type="character" w:customStyle="1" w:styleId="Heading2Char">
    <w:name w:val="Heading 2 Char"/>
    <w:link w:val="Heading2"/>
    <w:rsid w:val="007374FF"/>
    <w:rPr>
      <w:rFonts w:ascii="Cambria" w:eastAsia="Times New Roman" w:hAnsi="Cambria"/>
      <w:b/>
      <w:lang w:val="es-ES_tradnl" w:eastAsia="en-US"/>
    </w:rPr>
  </w:style>
  <w:style w:type="character" w:styleId="Hyperlink">
    <w:name w:val="Hyperlink"/>
    <w:uiPriority w:val="99"/>
    <w:unhideWhenUsed/>
    <w:rsid w:val="007374FF"/>
    <w:rPr>
      <w:u w:val="single"/>
    </w:rPr>
  </w:style>
  <w:style w:type="paragraph" w:styleId="TOC1">
    <w:name w:val="toc 1"/>
    <w:basedOn w:val="Normal"/>
    <w:next w:val="Normal"/>
    <w:autoRedefine/>
    <w:uiPriority w:val="39"/>
    <w:unhideWhenUsed/>
    <w:qFormat/>
    <w:rsid w:val="001E08BC"/>
    <w:pPr>
      <w:tabs>
        <w:tab w:val="left" w:pos="440"/>
        <w:tab w:val="right" w:leader="dot" w:pos="8990"/>
      </w:tabs>
      <w:spacing w:before="120" w:after="0"/>
      <w:jc w:val="center"/>
    </w:pPr>
    <w:rPr>
      <w:b/>
      <w:color w:val="548DD4"/>
      <w:sz w:val="24"/>
      <w:szCs w:val="24"/>
    </w:rPr>
  </w:style>
  <w:style w:type="paragraph" w:styleId="TOC2">
    <w:name w:val="toc 2"/>
    <w:basedOn w:val="Normal"/>
    <w:next w:val="Normal"/>
    <w:autoRedefine/>
    <w:uiPriority w:val="39"/>
    <w:unhideWhenUsed/>
    <w:qFormat/>
    <w:rsid w:val="00E945C5"/>
    <w:pPr>
      <w:spacing w:after="0"/>
    </w:pPr>
    <w:rPr>
      <w:rFonts w:ascii="Cambria" w:hAnsi="Cambria"/>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f Char"/>
    <w:link w:val="FootnoteText"/>
    <w:qFormat/>
    <w:locked/>
    <w:rsid w:val="007374FF"/>
    <w:rPr>
      <w:rFonts w:cs="Calibri"/>
      <w:color w:val="000000"/>
      <w:u w:color="000000"/>
      <w:lang w:val="en-US"/>
    </w:rPr>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
    <w:link w:val="FootnoteTextChar"/>
    <w:unhideWhenUsed/>
    <w:qFormat/>
    <w:rsid w:val="007374FF"/>
    <w:rPr>
      <w:rFonts w:cs="Calibri"/>
      <w:color w:val="000000"/>
      <w:u w:color="000000"/>
      <w:lang w:eastAsia="es-CO"/>
    </w:rPr>
  </w:style>
  <w:style w:type="character" w:customStyle="1" w:styleId="FootnoteTextChar1">
    <w:name w:val="Footnote Text Char1"/>
    <w:uiPriority w:val="99"/>
    <w:semiHidden/>
    <w:rsid w:val="007374FF"/>
    <w:rPr>
      <w:lang w:eastAsia="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nhideWhenUsed/>
    <w:qFormat/>
    <w:rsid w:val="007374FF"/>
    <w:rPr>
      <w:rFonts w:ascii="Verdana" w:hAnsi="Verdana"/>
      <w:sz w:val="22"/>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7374FF"/>
    <w:pPr>
      <w:spacing w:before="200" w:after="160" w:line="240" w:lineRule="exact"/>
    </w:pPr>
    <w:rPr>
      <w:rFonts w:ascii="Verdana" w:hAnsi="Verdana"/>
      <w:szCs w:val="20"/>
      <w:vertAlign w:val="superscript"/>
      <w:lang w:eastAsia="es-CO"/>
    </w:rPr>
  </w:style>
  <w:style w:type="paragraph" w:customStyle="1" w:styleId="MediumGrid1-Accent21">
    <w:name w:val="Medium Grid 1 - Accent 21"/>
    <w:aliases w:val="Párrafo de lista1,List Paragraph1,List Paragraph11,Colorful List - Accent 11,List Paragraph2"/>
    <w:basedOn w:val="Normal"/>
    <w:link w:val="MediumGrid1-Accent2Char"/>
    <w:uiPriority w:val="99"/>
    <w:qFormat/>
    <w:rsid w:val="007374FF"/>
    <w:pPr>
      <w:ind w:left="708"/>
    </w:pPr>
  </w:style>
  <w:style w:type="character" w:styleId="CommentReference">
    <w:name w:val="annotation reference"/>
    <w:uiPriority w:val="99"/>
    <w:semiHidden/>
    <w:unhideWhenUsed/>
    <w:rsid w:val="007374FF"/>
    <w:rPr>
      <w:sz w:val="16"/>
      <w:szCs w:val="16"/>
    </w:rPr>
  </w:style>
  <w:style w:type="paragraph" w:styleId="CommentText">
    <w:name w:val="annotation text"/>
    <w:basedOn w:val="Normal"/>
    <w:link w:val="CommentTextChar"/>
    <w:uiPriority w:val="99"/>
    <w:semiHidden/>
    <w:unhideWhenUsed/>
    <w:rsid w:val="007374FF"/>
    <w:rPr>
      <w:sz w:val="20"/>
      <w:szCs w:val="20"/>
    </w:rPr>
  </w:style>
  <w:style w:type="character" w:customStyle="1" w:styleId="CommentTextChar">
    <w:name w:val="Comment Text Char"/>
    <w:link w:val="CommentText"/>
    <w:uiPriority w:val="99"/>
    <w:semiHidden/>
    <w:rsid w:val="007374FF"/>
    <w:rPr>
      <w:lang w:eastAsia="en-US"/>
    </w:rPr>
  </w:style>
  <w:style w:type="paragraph" w:styleId="Footer">
    <w:name w:val="footer"/>
    <w:link w:val="FooterChar"/>
    <w:uiPriority w:val="99"/>
    <w:rsid w:val="007374FF"/>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7374FF"/>
    <w:rPr>
      <w:rFonts w:ascii="Cambria" w:eastAsia="Cambria" w:hAnsi="Cambria" w:cs="Cambria"/>
      <w:color w:val="000000"/>
      <w:sz w:val="24"/>
      <w:szCs w:val="24"/>
      <w:u w:color="000000"/>
      <w:bdr w:val="nil"/>
      <w:lang w:val="en-US" w:eastAsia="es-ES"/>
    </w:rPr>
  </w:style>
  <w:style w:type="paragraph" w:styleId="Header">
    <w:name w:val="header"/>
    <w:aliases w:val="encabezado"/>
    <w:basedOn w:val="Normal"/>
    <w:link w:val="HeaderChar"/>
    <w:rsid w:val="007374FF"/>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rsid w:val="007374FF"/>
    <w:rPr>
      <w:rFonts w:ascii="Univers" w:eastAsia="Times New Roman" w:hAnsi="Univers" w:cs="Univers"/>
      <w:sz w:val="24"/>
      <w:szCs w:val="24"/>
      <w:lang w:val="en-US" w:eastAsia="en-US"/>
    </w:rPr>
  </w:style>
  <w:style w:type="character" w:styleId="PageNumber">
    <w:name w:val="page number"/>
    <w:rsid w:val="007374FF"/>
  </w:style>
  <w:style w:type="paragraph" w:styleId="BalloonText">
    <w:name w:val="Balloon Text"/>
    <w:basedOn w:val="Normal"/>
    <w:link w:val="BalloonTextChar"/>
    <w:uiPriority w:val="99"/>
    <w:semiHidden/>
    <w:unhideWhenUsed/>
    <w:rsid w:val="007374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74F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D4574"/>
    <w:rPr>
      <w:b/>
      <w:bCs/>
    </w:rPr>
  </w:style>
  <w:style w:type="character" w:customStyle="1" w:styleId="CommentSubjectChar">
    <w:name w:val="Comment Subject Char"/>
    <w:link w:val="CommentSubject"/>
    <w:uiPriority w:val="99"/>
    <w:semiHidden/>
    <w:rsid w:val="00CD4574"/>
    <w:rPr>
      <w:b/>
      <w:bCs/>
      <w:lang w:eastAsia="en-US"/>
    </w:rPr>
  </w:style>
  <w:style w:type="paragraph" w:customStyle="1" w:styleId="1">
    <w:name w:val="1"/>
    <w:basedOn w:val="Normal"/>
    <w:rsid w:val="00E67FDE"/>
    <w:pPr>
      <w:spacing w:after="160" w:line="240" w:lineRule="exact"/>
    </w:pPr>
    <w:rPr>
      <w:sz w:val="20"/>
      <w:szCs w:val="20"/>
      <w:vertAlign w:val="superscript"/>
      <w:lang w:eastAsia="es-CO"/>
    </w:rPr>
  </w:style>
  <w:style w:type="character" w:customStyle="1" w:styleId="MediumGrid1-Accent2Char">
    <w:name w:val="Medium Grid 1 - Accent 2 Char"/>
    <w:aliases w:val="Párrafo de lista1 Char,List Paragraph1 Char,List Paragraph11 Char,Colorful List - Accent 11 Char,List Paragraph2 Char,List Paragraph Char,Lista vistosa - Énfasis 11 Char,Subtle Emphasis1 Char,Footnote1 Char"/>
    <w:link w:val="MediumGrid1-Accent21"/>
    <w:uiPriority w:val="34"/>
    <w:locked/>
    <w:rsid w:val="001C1B1B"/>
    <w:rPr>
      <w:sz w:val="22"/>
      <w:szCs w:val="22"/>
      <w:lang w:eastAsia="en-US"/>
    </w:rPr>
  </w:style>
  <w:style w:type="character" w:styleId="Strong">
    <w:name w:val="Strong"/>
    <w:uiPriority w:val="22"/>
    <w:qFormat/>
    <w:rsid w:val="00A04277"/>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F1B1D"/>
    <w:pPr>
      <w:spacing w:after="160" w:line="240" w:lineRule="exact"/>
    </w:pPr>
    <w:rPr>
      <w:sz w:val="20"/>
      <w:szCs w:val="20"/>
      <w:vertAlign w:val="superscript"/>
      <w:lang w:eastAsia="es-CO"/>
    </w:rPr>
  </w:style>
  <w:style w:type="paragraph" w:styleId="BodyTextIndent">
    <w:name w:val="Body Text Indent"/>
    <w:link w:val="BodyTextIndentChar"/>
    <w:semiHidden/>
    <w:unhideWhenUsed/>
    <w:rsid w:val="00B32172"/>
    <w:pPr>
      <w:ind w:left="2160" w:hanging="720"/>
    </w:pPr>
    <w:rPr>
      <w:rFonts w:ascii="Times New Roman" w:eastAsia="Times New Roman" w:hAnsi="Times New Roman"/>
      <w:color w:val="000000"/>
      <w:sz w:val="24"/>
      <w:szCs w:val="24"/>
      <w:u w:color="000000"/>
      <w:lang w:val="es-ES_tradnl" w:eastAsia="es-ES"/>
    </w:rPr>
  </w:style>
  <w:style w:type="character" w:customStyle="1" w:styleId="BodyTextIndentChar">
    <w:name w:val="Body Text Indent Char"/>
    <w:link w:val="BodyTextIndent"/>
    <w:semiHidden/>
    <w:rsid w:val="00B32172"/>
    <w:rPr>
      <w:rFonts w:ascii="Times New Roman" w:eastAsia="Times New Roman" w:hAnsi="Times New Roman"/>
      <w:color w:val="000000"/>
      <w:sz w:val="24"/>
      <w:szCs w:val="24"/>
      <w:u w:color="000000"/>
      <w:lang w:val="es-ES_tradnl" w:eastAsia="es-ES"/>
    </w:rPr>
  </w:style>
  <w:style w:type="character" w:customStyle="1" w:styleId="Heading3Char">
    <w:name w:val="Heading 3 Char"/>
    <w:link w:val="Heading3"/>
    <w:uiPriority w:val="9"/>
    <w:rsid w:val="00BF537F"/>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516F75"/>
    <w:pPr>
      <w:spacing w:after="0"/>
      <w:ind w:left="220"/>
    </w:pPr>
    <w:rPr>
      <w:rFonts w:ascii="Cambria" w:hAnsi="Cambria"/>
      <w:i/>
    </w:rPr>
  </w:style>
  <w:style w:type="paragraph" w:customStyle="1" w:styleId="ColorfulList-Accent12">
    <w:name w:val="Colorful List - Accent 12"/>
    <w:basedOn w:val="Normal"/>
    <w:uiPriority w:val="34"/>
    <w:qFormat/>
    <w:rsid w:val="00210782"/>
    <w:pPr>
      <w:ind w:left="708"/>
    </w:pPr>
  </w:style>
  <w:style w:type="paragraph" w:styleId="BodyText3">
    <w:name w:val="Body Text 3"/>
    <w:basedOn w:val="Normal"/>
    <w:link w:val="BodyText3Char"/>
    <w:uiPriority w:val="99"/>
    <w:unhideWhenUsed/>
    <w:rsid w:val="00212A2E"/>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212A2E"/>
    <w:rPr>
      <w:rFonts w:ascii="Cambria" w:eastAsia="Arial Unicode MS" w:hAnsi="Cambria"/>
      <w:sz w:val="16"/>
      <w:szCs w:val="16"/>
      <w:bdr w:val="nil"/>
      <w:lang w:val="es-ES" w:eastAsia="es-ES"/>
    </w:rPr>
  </w:style>
  <w:style w:type="paragraph" w:styleId="EndnoteText">
    <w:name w:val="endnote text"/>
    <w:basedOn w:val="Normal"/>
    <w:link w:val="EndnoteTextChar"/>
    <w:uiPriority w:val="99"/>
    <w:semiHidden/>
    <w:unhideWhenUsed/>
    <w:rsid w:val="00CD70E3"/>
    <w:rPr>
      <w:sz w:val="20"/>
      <w:szCs w:val="20"/>
    </w:rPr>
  </w:style>
  <w:style w:type="character" w:customStyle="1" w:styleId="EndnoteTextChar">
    <w:name w:val="Endnote Text Char"/>
    <w:link w:val="EndnoteText"/>
    <w:uiPriority w:val="99"/>
    <w:semiHidden/>
    <w:rsid w:val="00CD70E3"/>
    <w:rPr>
      <w:lang w:eastAsia="en-US"/>
    </w:rPr>
  </w:style>
  <w:style w:type="character" w:styleId="EndnoteReference">
    <w:name w:val="endnote reference"/>
    <w:uiPriority w:val="99"/>
    <w:semiHidden/>
    <w:unhideWhenUsed/>
    <w:rsid w:val="00CD70E3"/>
    <w:rPr>
      <w:vertAlign w:val="superscript"/>
    </w:rPr>
  </w:style>
  <w:style w:type="paragraph" w:styleId="TOCHeading">
    <w:name w:val="TOC Heading"/>
    <w:basedOn w:val="Heading1"/>
    <w:next w:val="Normal"/>
    <w:uiPriority w:val="39"/>
    <w:unhideWhenUsed/>
    <w:qFormat/>
    <w:rsid w:val="004426B1"/>
    <w:pPr>
      <w:keepLines/>
      <w:numPr>
        <w:numId w:val="0"/>
      </w:numPr>
      <w:spacing w:before="480" w:line="276" w:lineRule="auto"/>
      <w:outlineLvl w:val="9"/>
    </w:pPr>
    <w:rPr>
      <w:rFonts w:ascii="Calibri" w:eastAsia="MS Gothic" w:hAnsi="Calibri"/>
      <w:bCs/>
      <w:color w:val="365F91"/>
      <w:sz w:val="28"/>
      <w:szCs w:val="28"/>
      <w:lang w:val="en-US"/>
    </w:rPr>
  </w:style>
  <w:style w:type="paragraph" w:styleId="TOC4">
    <w:name w:val="toc 4"/>
    <w:basedOn w:val="Normal"/>
    <w:next w:val="Normal"/>
    <w:autoRedefine/>
    <w:uiPriority w:val="39"/>
    <w:semiHidden/>
    <w:unhideWhenUsed/>
    <w:rsid w:val="004426B1"/>
    <w:pPr>
      <w:pBdr>
        <w:between w:val="double" w:sz="6" w:space="0" w:color="auto"/>
      </w:pBdr>
      <w:spacing w:after="0"/>
      <w:ind w:left="440"/>
    </w:pPr>
    <w:rPr>
      <w:rFonts w:ascii="Cambria" w:hAnsi="Cambria"/>
      <w:sz w:val="20"/>
      <w:szCs w:val="20"/>
    </w:rPr>
  </w:style>
  <w:style w:type="paragraph" w:styleId="TOC5">
    <w:name w:val="toc 5"/>
    <w:basedOn w:val="Normal"/>
    <w:next w:val="Normal"/>
    <w:autoRedefine/>
    <w:uiPriority w:val="39"/>
    <w:semiHidden/>
    <w:unhideWhenUsed/>
    <w:rsid w:val="004426B1"/>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semiHidden/>
    <w:unhideWhenUsed/>
    <w:rsid w:val="004426B1"/>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semiHidden/>
    <w:unhideWhenUsed/>
    <w:rsid w:val="004426B1"/>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semiHidden/>
    <w:unhideWhenUsed/>
    <w:rsid w:val="004426B1"/>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semiHidden/>
    <w:unhideWhenUsed/>
    <w:rsid w:val="004426B1"/>
    <w:pPr>
      <w:pBdr>
        <w:between w:val="double" w:sz="6" w:space="0" w:color="auto"/>
      </w:pBdr>
      <w:spacing w:after="0"/>
      <w:ind w:left="1540"/>
    </w:pPr>
    <w:rPr>
      <w:rFonts w:ascii="Cambria" w:hAnsi="Cambria"/>
      <w:sz w:val="20"/>
      <w:szCs w:val="20"/>
    </w:rPr>
  </w:style>
  <w:style w:type="paragraph" w:styleId="ListParagraph">
    <w:name w:val="List Paragraph"/>
    <w:aliases w:val="Lista vistosa - Énfasis 11,Subtle Emphasis1,Footnote1"/>
    <w:basedOn w:val="Normal"/>
    <w:uiPriority w:val="34"/>
    <w:qFormat/>
    <w:rsid w:val="00317120"/>
    <w:pPr>
      <w:ind w:left="720"/>
    </w:pPr>
  </w:style>
  <w:style w:type="paragraph" w:styleId="NormalWeb">
    <w:name w:val="Normal (Web)"/>
    <w:basedOn w:val="Normal"/>
    <w:uiPriority w:val="99"/>
    <w:unhideWhenUsed/>
    <w:rsid w:val="00AA5DC9"/>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semiHidden/>
    <w:unhideWhenUsed/>
    <w:rsid w:val="003B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3B70D6"/>
    <w:rPr>
      <w:rFonts w:ascii="Courier New" w:eastAsia="Times New Roman" w:hAnsi="Courier New" w:cs="Courier New"/>
    </w:rPr>
  </w:style>
  <w:style w:type="paragraph" w:customStyle="1" w:styleId="citas">
    <w:name w:val="citas"/>
    <w:basedOn w:val="ListParagraph"/>
    <w:link w:val="citasChar"/>
    <w:qFormat/>
    <w:rsid w:val="00661487"/>
    <w:pPr>
      <w:pBdr>
        <w:top w:val="nil"/>
        <w:left w:val="nil"/>
        <w:bottom w:val="nil"/>
        <w:right w:val="nil"/>
        <w:between w:val="nil"/>
        <w:bar w:val="nil"/>
      </w:pBdr>
      <w:spacing w:after="0" w:line="240" w:lineRule="auto"/>
      <w:ind w:left="360" w:right="360"/>
      <w:jc w:val="both"/>
    </w:pPr>
    <w:rPr>
      <w:rFonts w:ascii="Cambria" w:eastAsia="Cambria" w:hAnsi="Cambria" w:cs="Cambria"/>
      <w:color w:val="000000"/>
      <w:sz w:val="18"/>
      <w:szCs w:val="24"/>
      <w:u w:color="000000"/>
      <w:bdr w:val="nil"/>
      <w:lang w:val="es-ES" w:eastAsia="es-ES"/>
    </w:rPr>
  </w:style>
  <w:style w:type="character" w:customStyle="1" w:styleId="citasChar">
    <w:name w:val="citas Char"/>
    <w:link w:val="citas"/>
    <w:rsid w:val="00661487"/>
    <w:rPr>
      <w:rFonts w:ascii="Cambria" w:eastAsia="Cambria" w:hAnsi="Cambria" w:cs="Cambria"/>
      <w:color w:val="000000"/>
      <w:sz w:val="18"/>
      <w:szCs w:val="24"/>
      <w:u w:color="000000"/>
      <w:bdr w:val="nil"/>
      <w:lang w:val="es-ES" w:eastAsia="es-ES"/>
    </w:rPr>
  </w:style>
  <w:style w:type="paragraph" w:customStyle="1" w:styleId="parrafos">
    <w:name w:val="parrafos"/>
    <w:basedOn w:val="Normal"/>
    <w:link w:val="parrafosChar"/>
    <w:qFormat/>
    <w:rsid w:val="00181298"/>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181298"/>
    <w:rPr>
      <w:rFonts w:ascii="Cambria" w:eastAsia="Arial Unicode MS" w:hAnsi="Cambria"/>
      <w:color w:val="000000"/>
      <w:bdr w:val="nil"/>
      <w:lang w:val="es-VE"/>
    </w:rPr>
  </w:style>
  <w:style w:type="paragraph" w:styleId="NoSpacing">
    <w:name w:val="No Spacing"/>
    <w:uiPriority w:val="1"/>
    <w:qFormat/>
    <w:rsid w:val="007D45B3"/>
    <w:rPr>
      <w:sz w:val="22"/>
      <w:szCs w:val="22"/>
      <w:lang w:val="es-CO"/>
    </w:rPr>
  </w:style>
  <w:style w:type="character" w:customStyle="1" w:styleId="Heading5Char">
    <w:name w:val="Heading 5 Char"/>
    <w:basedOn w:val="DefaultParagraphFont"/>
    <w:link w:val="Heading5"/>
    <w:uiPriority w:val="9"/>
    <w:semiHidden/>
    <w:rsid w:val="007615C9"/>
    <w:rPr>
      <w:rFonts w:asciiTheme="majorHAnsi" w:eastAsiaTheme="majorEastAsia" w:hAnsiTheme="majorHAnsi" w:cstheme="majorBidi"/>
      <w:color w:val="2E74B5" w:themeColor="accent1" w:themeShade="BF"/>
      <w:sz w:val="22"/>
      <w:szCs w:val="22"/>
      <w:lang w:val="es-CO"/>
    </w:rPr>
  </w:style>
  <w:style w:type="paragraph" w:styleId="BodyText">
    <w:name w:val="Body Text"/>
    <w:basedOn w:val="Normal"/>
    <w:link w:val="BodyTextChar"/>
    <w:uiPriority w:val="99"/>
    <w:semiHidden/>
    <w:unhideWhenUsed/>
    <w:rsid w:val="006F1E6E"/>
    <w:pPr>
      <w:spacing w:after="120"/>
    </w:pPr>
  </w:style>
  <w:style w:type="character" w:customStyle="1" w:styleId="BodyTextChar">
    <w:name w:val="Body Text Char"/>
    <w:basedOn w:val="DefaultParagraphFont"/>
    <w:link w:val="BodyText"/>
    <w:uiPriority w:val="99"/>
    <w:semiHidden/>
    <w:rsid w:val="006F1E6E"/>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5898">
      <w:bodyDiv w:val="1"/>
      <w:marLeft w:val="0"/>
      <w:marRight w:val="0"/>
      <w:marTop w:val="0"/>
      <w:marBottom w:val="0"/>
      <w:divBdr>
        <w:top w:val="none" w:sz="0" w:space="0" w:color="auto"/>
        <w:left w:val="none" w:sz="0" w:space="0" w:color="auto"/>
        <w:bottom w:val="none" w:sz="0" w:space="0" w:color="auto"/>
        <w:right w:val="none" w:sz="0" w:space="0" w:color="auto"/>
      </w:divBdr>
    </w:div>
    <w:div w:id="120849431">
      <w:bodyDiv w:val="1"/>
      <w:marLeft w:val="0"/>
      <w:marRight w:val="0"/>
      <w:marTop w:val="0"/>
      <w:marBottom w:val="0"/>
      <w:divBdr>
        <w:top w:val="none" w:sz="0" w:space="0" w:color="auto"/>
        <w:left w:val="none" w:sz="0" w:space="0" w:color="auto"/>
        <w:bottom w:val="none" w:sz="0" w:space="0" w:color="auto"/>
        <w:right w:val="none" w:sz="0" w:space="0" w:color="auto"/>
      </w:divBdr>
    </w:div>
    <w:div w:id="125436286">
      <w:bodyDiv w:val="1"/>
      <w:marLeft w:val="0"/>
      <w:marRight w:val="0"/>
      <w:marTop w:val="0"/>
      <w:marBottom w:val="0"/>
      <w:divBdr>
        <w:top w:val="none" w:sz="0" w:space="0" w:color="auto"/>
        <w:left w:val="none" w:sz="0" w:space="0" w:color="auto"/>
        <w:bottom w:val="none" w:sz="0" w:space="0" w:color="auto"/>
        <w:right w:val="none" w:sz="0" w:space="0" w:color="auto"/>
      </w:divBdr>
    </w:div>
    <w:div w:id="126897181">
      <w:bodyDiv w:val="1"/>
      <w:marLeft w:val="0"/>
      <w:marRight w:val="0"/>
      <w:marTop w:val="0"/>
      <w:marBottom w:val="0"/>
      <w:divBdr>
        <w:top w:val="none" w:sz="0" w:space="0" w:color="auto"/>
        <w:left w:val="none" w:sz="0" w:space="0" w:color="auto"/>
        <w:bottom w:val="none" w:sz="0" w:space="0" w:color="auto"/>
        <w:right w:val="none" w:sz="0" w:space="0" w:color="auto"/>
      </w:divBdr>
    </w:div>
    <w:div w:id="160582459">
      <w:bodyDiv w:val="1"/>
      <w:marLeft w:val="0"/>
      <w:marRight w:val="0"/>
      <w:marTop w:val="0"/>
      <w:marBottom w:val="0"/>
      <w:divBdr>
        <w:top w:val="none" w:sz="0" w:space="0" w:color="auto"/>
        <w:left w:val="none" w:sz="0" w:space="0" w:color="auto"/>
        <w:bottom w:val="none" w:sz="0" w:space="0" w:color="auto"/>
        <w:right w:val="none" w:sz="0" w:space="0" w:color="auto"/>
      </w:divBdr>
    </w:div>
    <w:div w:id="170415330">
      <w:bodyDiv w:val="1"/>
      <w:marLeft w:val="0"/>
      <w:marRight w:val="0"/>
      <w:marTop w:val="0"/>
      <w:marBottom w:val="0"/>
      <w:divBdr>
        <w:top w:val="none" w:sz="0" w:space="0" w:color="auto"/>
        <w:left w:val="none" w:sz="0" w:space="0" w:color="auto"/>
        <w:bottom w:val="none" w:sz="0" w:space="0" w:color="auto"/>
        <w:right w:val="none" w:sz="0" w:space="0" w:color="auto"/>
      </w:divBdr>
    </w:div>
    <w:div w:id="232741717">
      <w:bodyDiv w:val="1"/>
      <w:marLeft w:val="0"/>
      <w:marRight w:val="0"/>
      <w:marTop w:val="0"/>
      <w:marBottom w:val="0"/>
      <w:divBdr>
        <w:top w:val="none" w:sz="0" w:space="0" w:color="auto"/>
        <w:left w:val="none" w:sz="0" w:space="0" w:color="auto"/>
        <w:bottom w:val="none" w:sz="0" w:space="0" w:color="auto"/>
        <w:right w:val="none" w:sz="0" w:space="0" w:color="auto"/>
      </w:divBdr>
    </w:div>
    <w:div w:id="29957934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9283591">
      <w:bodyDiv w:val="1"/>
      <w:marLeft w:val="0"/>
      <w:marRight w:val="0"/>
      <w:marTop w:val="0"/>
      <w:marBottom w:val="0"/>
      <w:divBdr>
        <w:top w:val="none" w:sz="0" w:space="0" w:color="auto"/>
        <w:left w:val="none" w:sz="0" w:space="0" w:color="auto"/>
        <w:bottom w:val="none" w:sz="0" w:space="0" w:color="auto"/>
        <w:right w:val="none" w:sz="0" w:space="0" w:color="auto"/>
      </w:divBdr>
    </w:div>
    <w:div w:id="411239699">
      <w:bodyDiv w:val="1"/>
      <w:marLeft w:val="0"/>
      <w:marRight w:val="0"/>
      <w:marTop w:val="0"/>
      <w:marBottom w:val="0"/>
      <w:divBdr>
        <w:top w:val="none" w:sz="0" w:space="0" w:color="auto"/>
        <w:left w:val="none" w:sz="0" w:space="0" w:color="auto"/>
        <w:bottom w:val="none" w:sz="0" w:space="0" w:color="auto"/>
        <w:right w:val="none" w:sz="0" w:space="0" w:color="auto"/>
      </w:divBdr>
    </w:div>
    <w:div w:id="472336212">
      <w:bodyDiv w:val="1"/>
      <w:marLeft w:val="0"/>
      <w:marRight w:val="0"/>
      <w:marTop w:val="0"/>
      <w:marBottom w:val="0"/>
      <w:divBdr>
        <w:top w:val="none" w:sz="0" w:space="0" w:color="auto"/>
        <w:left w:val="none" w:sz="0" w:space="0" w:color="auto"/>
        <w:bottom w:val="none" w:sz="0" w:space="0" w:color="auto"/>
        <w:right w:val="none" w:sz="0" w:space="0" w:color="auto"/>
      </w:divBdr>
    </w:div>
    <w:div w:id="495078822">
      <w:bodyDiv w:val="1"/>
      <w:marLeft w:val="0"/>
      <w:marRight w:val="0"/>
      <w:marTop w:val="0"/>
      <w:marBottom w:val="0"/>
      <w:divBdr>
        <w:top w:val="none" w:sz="0" w:space="0" w:color="auto"/>
        <w:left w:val="none" w:sz="0" w:space="0" w:color="auto"/>
        <w:bottom w:val="none" w:sz="0" w:space="0" w:color="auto"/>
        <w:right w:val="none" w:sz="0" w:space="0" w:color="auto"/>
      </w:divBdr>
    </w:div>
    <w:div w:id="527522065">
      <w:bodyDiv w:val="1"/>
      <w:marLeft w:val="0"/>
      <w:marRight w:val="0"/>
      <w:marTop w:val="0"/>
      <w:marBottom w:val="0"/>
      <w:divBdr>
        <w:top w:val="none" w:sz="0" w:space="0" w:color="auto"/>
        <w:left w:val="none" w:sz="0" w:space="0" w:color="auto"/>
        <w:bottom w:val="none" w:sz="0" w:space="0" w:color="auto"/>
        <w:right w:val="none" w:sz="0" w:space="0" w:color="auto"/>
      </w:divBdr>
    </w:div>
    <w:div w:id="594284691">
      <w:bodyDiv w:val="1"/>
      <w:marLeft w:val="0"/>
      <w:marRight w:val="0"/>
      <w:marTop w:val="0"/>
      <w:marBottom w:val="0"/>
      <w:divBdr>
        <w:top w:val="none" w:sz="0" w:space="0" w:color="auto"/>
        <w:left w:val="none" w:sz="0" w:space="0" w:color="auto"/>
        <w:bottom w:val="none" w:sz="0" w:space="0" w:color="auto"/>
        <w:right w:val="none" w:sz="0" w:space="0" w:color="auto"/>
      </w:divBdr>
    </w:div>
    <w:div w:id="653993260">
      <w:bodyDiv w:val="1"/>
      <w:marLeft w:val="0"/>
      <w:marRight w:val="0"/>
      <w:marTop w:val="0"/>
      <w:marBottom w:val="0"/>
      <w:divBdr>
        <w:top w:val="none" w:sz="0" w:space="0" w:color="auto"/>
        <w:left w:val="none" w:sz="0" w:space="0" w:color="auto"/>
        <w:bottom w:val="none" w:sz="0" w:space="0" w:color="auto"/>
        <w:right w:val="none" w:sz="0" w:space="0" w:color="auto"/>
      </w:divBdr>
    </w:div>
    <w:div w:id="673797890">
      <w:bodyDiv w:val="1"/>
      <w:marLeft w:val="0"/>
      <w:marRight w:val="0"/>
      <w:marTop w:val="0"/>
      <w:marBottom w:val="0"/>
      <w:divBdr>
        <w:top w:val="none" w:sz="0" w:space="0" w:color="auto"/>
        <w:left w:val="none" w:sz="0" w:space="0" w:color="auto"/>
        <w:bottom w:val="none" w:sz="0" w:space="0" w:color="auto"/>
        <w:right w:val="none" w:sz="0" w:space="0" w:color="auto"/>
      </w:divBdr>
    </w:div>
    <w:div w:id="829980391">
      <w:bodyDiv w:val="1"/>
      <w:marLeft w:val="0"/>
      <w:marRight w:val="0"/>
      <w:marTop w:val="0"/>
      <w:marBottom w:val="0"/>
      <w:divBdr>
        <w:top w:val="none" w:sz="0" w:space="0" w:color="auto"/>
        <w:left w:val="none" w:sz="0" w:space="0" w:color="auto"/>
        <w:bottom w:val="none" w:sz="0" w:space="0" w:color="auto"/>
        <w:right w:val="none" w:sz="0" w:space="0" w:color="auto"/>
      </w:divBdr>
    </w:div>
    <w:div w:id="835530691">
      <w:bodyDiv w:val="1"/>
      <w:marLeft w:val="0"/>
      <w:marRight w:val="0"/>
      <w:marTop w:val="0"/>
      <w:marBottom w:val="0"/>
      <w:divBdr>
        <w:top w:val="none" w:sz="0" w:space="0" w:color="auto"/>
        <w:left w:val="none" w:sz="0" w:space="0" w:color="auto"/>
        <w:bottom w:val="none" w:sz="0" w:space="0" w:color="auto"/>
        <w:right w:val="none" w:sz="0" w:space="0" w:color="auto"/>
      </w:divBdr>
    </w:div>
    <w:div w:id="908464655">
      <w:bodyDiv w:val="1"/>
      <w:marLeft w:val="0"/>
      <w:marRight w:val="0"/>
      <w:marTop w:val="0"/>
      <w:marBottom w:val="0"/>
      <w:divBdr>
        <w:top w:val="none" w:sz="0" w:space="0" w:color="auto"/>
        <w:left w:val="none" w:sz="0" w:space="0" w:color="auto"/>
        <w:bottom w:val="none" w:sz="0" w:space="0" w:color="auto"/>
        <w:right w:val="none" w:sz="0" w:space="0" w:color="auto"/>
      </w:divBdr>
    </w:div>
    <w:div w:id="1012562550">
      <w:bodyDiv w:val="1"/>
      <w:marLeft w:val="0"/>
      <w:marRight w:val="0"/>
      <w:marTop w:val="0"/>
      <w:marBottom w:val="0"/>
      <w:divBdr>
        <w:top w:val="none" w:sz="0" w:space="0" w:color="auto"/>
        <w:left w:val="none" w:sz="0" w:space="0" w:color="auto"/>
        <w:bottom w:val="none" w:sz="0" w:space="0" w:color="auto"/>
        <w:right w:val="none" w:sz="0" w:space="0" w:color="auto"/>
      </w:divBdr>
    </w:div>
    <w:div w:id="1051536516">
      <w:bodyDiv w:val="1"/>
      <w:marLeft w:val="0"/>
      <w:marRight w:val="0"/>
      <w:marTop w:val="0"/>
      <w:marBottom w:val="0"/>
      <w:divBdr>
        <w:top w:val="none" w:sz="0" w:space="0" w:color="auto"/>
        <w:left w:val="none" w:sz="0" w:space="0" w:color="auto"/>
        <w:bottom w:val="none" w:sz="0" w:space="0" w:color="auto"/>
        <w:right w:val="none" w:sz="0" w:space="0" w:color="auto"/>
      </w:divBdr>
    </w:div>
    <w:div w:id="1065297587">
      <w:bodyDiv w:val="1"/>
      <w:marLeft w:val="0"/>
      <w:marRight w:val="0"/>
      <w:marTop w:val="0"/>
      <w:marBottom w:val="0"/>
      <w:divBdr>
        <w:top w:val="none" w:sz="0" w:space="0" w:color="auto"/>
        <w:left w:val="none" w:sz="0" w:space="0" w:color="auto"/>
        <w:bottom w:val="none" w:sz="0" w:space="0" w:color="auto"/>
        <w:right w:val="none" w:sz="0" w:space="0" w:color="auto"/>
      </w:divBdr>
    </w:div>
    <w:div w:id="1124082102">
      <w:bodyDiv w:val="1"/>
      <w:marLeft w:val="0"/>
      <w:marRight w:val="0"/>
      <w:marTop w:val="0"/>
      <w:marBottom w:val="0"/>
      <w:divBdr>
        <w:top w:val="none" w:sz="0" w:space="0" w:color="auto"/>
        <w:left w:val="none" w:sz="0" w:space="0" w:color="auto"/>
        <w:bottom w:val="none" w:sz="0" w:space="0" w:color="auto"/>
        <w:right w:val="none" w:sz="0" w:space="0" w:color="auto"/>
      </w:divBdr>
    </w:div>
    <w:div w:id="1137071700">
      <w:bodyDiv w:val="1"/>
      <w:marLeft w:val="0"/>
      <w:marRight w:val="0"/>
      <w:marTop w:val="0"/>
      <w:marBottom w:val="0"/>
      <w:divBdr>
        <w:top w:val="none" w:sz="0" w:space="0" w:color="auto"/>
        <w:left w:val="none" w:sz="0" w:space="0" w:color="auto"/>
        <w:bottom w:val="none" w:sz="0" w:space="0" w:color="auto"/>
        <w:right w:val="none" w:sz="0" w:space="0" w:color="auto"/>
      </w:divBdr>
    </w:div>
    <w:div w:id="1157380355">
      <w:bodyDiv w:val="1"/>
      <w:marLeft w:val="0"/>
      <w:marRight w:val="0"/>
      <w:marTop w:val="0"/>
      <w:marBottom w:val="0"/>
      <w:divBdr>
        <w:top w:val="none" w:sz="0" w:space="0" w:color="auto"/>
        <w:left w:val="none" w:sz="0" w:space="0" w:color="auto"/>
        <w:bottom w:val="none" w:sz="0" w:space="0" w:color="auto"/>
        <w:right w:val="none" w:sz="0" w:space="0" w:color="auto"/>
      </w:divBdr>
    </w:div>
    <w:div w:id="1230310779">
      <w:bodyDiv w:val="1"/>
      <w:marLeft w:val="0"/>
      <w:marRight w:val="0"/>
      <w:marTop w:val="0"/>
      <w:marBottom w:val="0"/>
      <w:divBdr>
        <w:top w:val="none" w:sz="0" w:space="0" w:color="auto"/>
        <w:left w:val="none" w:sz="0" w:space="0" w:color="auto"/>
        <w:bottom w:val="none" w:sz="0" w:space="0" w:color="auto"/>
        <w:right w:val="none" w:sz="0" w:space="0" w:color="auto"/>
      </w:divBdr>
    </w:div>
    <w:div w:id="1265963387">
      <w:bodyDiv w:val="1"/>
      <w:marLeft w:val="0"/>
      <w:marRight w:val="0"/>
      <w:marTop w:val="0"/>
      <w:marBottom w:val="0"/>
      <w:divBdr>
        <w:top w:val="none" w:sz="0" w:space="0" w:color="auto"/>
        <w:left w:val="none" w:sz="0" w:space="0" w:color="auto"/>
        <w:bottom w:val="none" w:sz="0" w:space="0" w:color="auto"/>
        <w:right w:val="none" w:sz="0" w:space="0" w:color="auto"/>
      </w:divBdr>
    </w:div>
    <w:div w:id="1275941459">
      <w:bodyDiv w:val="1"/>
      <w:marLeft w:val="0"/>
      <w:marRight w:val="0"/>
      <w:marTop w:val="0"/>
      <w:marBottom w:val="0"/>
      <w:divBdr>
        <w:top w:val="none" w:sz="0" w:space="0" w:color="auto"/>
        <w:left w:val="none" w:sz="0" w:space="0" w:color="auto"/>
        <w:bottom w:val="none" w:sz="0" w:space="0" w:color="auto"/>
        <w:right w:val="none" w:sz="0" w:space="0" w:color="auto"/>
      </w:divBdr>
    </w:div>
    <w:div w:id="1298682281">
      <w:bodyDiv w:val="1"/>
      <w:marLeft w:val="0"/>
      <w:marRight w:val="0"/>
      <w:marTop w:val="0"/>
      <w:marBottom w:val="0"/>
      <w:divBdr>
        <w:top w:val="none" w:sz="0" w:space="0" w:color="auto"/>
        <w:left w:val="none" w:sz="0" w:space="0" w:color="auto"/>
        <w:bottom w:val="none" w:sz="0" w:space="0" w:color="auto"/>
        <w:right w:val="none" w:sz="0" w:space="0" w:color="auto"/>
      </w:divBdr>
    </w:div>
    <w:div w:id="1318680647">
      <w:bodyDiv w:val="1"/>
      <w:marLeft w:val="0"/>
      <w:marRight w:val="0"/>
      <w:marTop w:val="0"/>
      <w:marBottom w:val="0"/>
      <w:divBdr>
        <w:top w:val="none" w:sz="0" w:space="0" w:color="auto"/>
        <w:left w:val="none" w:sz="0" w:space="0" w:color="auto"/>
        <w:bottom w:val="none" w:sz="0" w:space="0" w:color="auto"/>
        <w:right w:val="none" w:sz="0" w:space="0" w:color="auto"/>
      </w:divBdr>
    </w:div>
    <w:div w:id="1335689710">
      <w:bodyDiv w:val="1"/>
      <w:marLeft w:val="0"/>
      <w:marRight w:val="0"/>
      <w:marTop w:val="0"/>
      <w:marBottom w:val="0"/>
      <w:divBdr>
        <w:top w:val="none" w:sz="0" w:space="0" w:color="auto"/>
        <w:left w:val="none" w:sz="0" w:space="0" w:color="auto"/>
        <w:bottom w:val="none" w:sz="0" w:space="0" w:color="auto"/>
        <w:right w:val="none" w:sz="0" w:space="0" w:color="auto"/>
      </w:divBdr>
    </w:div>
    <w:div w:id="1419790434">
      <w:bodyDiv w:val="1"/>
      <w:marLeft w:val="0"/>
      <w:marRight w:val="0"/>
      <w:marTop w:val="0"/>
      <w:marBottom w:val="0"/>
      <w:divBdr>
        <w:top w:val="none" w:sz="0" w:space="0" w:color="auto"/>
        <w:left w:val="none" w:sz="0" w:space="0" w:color="auto"/>
        <w:bottom w:val="none" w:sz="0" w:space="0" w:color="auto"/>
        <w:right w:val="none" w:sz="0" w:space="0" w:color="auto"/>
      </w:divBdr>
    </w:div>
    <w:div w:id="1426271666">
      <w:bodyDiv w:val="1"/>
      <w:marLeft w:val="0"/>
      <w:marRight w:val="0"/>
      <w:marTop w:val="0"/>
      <w:marBottom w:val="0"/>
      <w:divBdr>
        <w:top w:val="none" w:sz="0" w:space="0" w:color="auto"/>
        <w:left w:val="none" w:sz="0" w:space="0" w:color="auto"/>
        <w:bottom w:val="none" w:sz="0" w:space="0" w:color="auto"/>
        <w:right w:val="none" w:sz="0" w:space="0" w:color="auto"/>
      </w:divBdr>
    </w:div>
    <w:div w:id="1515878670">
      <w:bodyDiv w:val="1"/>
      <w:marLeft w:val="0"/>
      <w:marRight w:val="0"/>
      <w:marTop w:val="0"/>
      <w:marBottom w:val="0"/>
      <w:divBdr>
        <w:top w:val="none" w:sz="0" w:space="0" w:color="auto"/>
        <w:left w:val="none" w:sz="0" w:space="0" w:color="auto"/>
        <w:bottom w:val="none" w:sz="0" w:space="0" w:color="auto"/>
        <w:right w:val="none" w:sz="0" w:space="0" w:color="auto"/>
      </w:divBdr>
    </w:div>
    <w:div w:id="1550652753">
      <w:bodyDiv w:val="1"/>
      <w:marLeft w:val="0"/>
      <w:marRight w:val="0"/>
      <w:marTop w:val="0"/>
      <w:marBottom w:val="0"/>
      <w:divBdr>
        <w:top w:val="none" w:sz="0" w:space="0" w:color="auto"/>
        <w:left w:val="none" w:sz="0" w:space="0" w:color="auto"/>
        <w:bottom w:val="none" w:sz="0" w:space="0" w:color="auto"/>
        <w:right w:val="none" w:sz="0" w:space="0" w:color="auto"/>
      </w:divBdr>
    </w:div>
    <w:div w:id="1824659475">
      <w:bodyDiv w:val="1"/>
      <w:marLeft w:val="0"/>
      <w:marRight w:val="0"/>
      <w:marTop w:val="0"/>
      <w:marBottom w:val="0"/>
      <w:divBdr>
        <w:top w:val="none" w:sz="0" w:space="0" w:color="auto"/>
        <w:left w:val="none" w:sz="0" w:space="0" w:color="auto"/>
        <w:bottom w:val="none" w:sz="0" w:space="0" w:color="auto"/>
        <w:right w:val="none" w:sz="0" w:space="0" w:color="auto"/>
      </w:divBdr>
      <w:divsChild>
        <w:div w:id="1163551714">
          <w:marLeft w:val="0"/>
          <w:marRight w:val="0"/>
          <w:marTop w:val="0"/>
          <w:marBottom w:val="0"/>
          <w:divBdr>
            <w:top w:val="none" w:sz="0" w:space="0" w:color="auto"/>
            <w:left w:val="none" w:sz="0" w:space="0" w:color="auto"/>
            <w:bottom w:val="none" w:sz="0" w:space="0" w:color="auto"/>
            <w:right w:val="none" w:sz="0" w:space="0" w:color="auto"/>
          </w:divBdr>
          <w:divsChild>
            <w:div w:id="1044059870">
              <w:marLeft w:val="0"/>
              <w:marRight w:val="0"/>
              <w:marTop w:val="0"/>
              <w:marBottom w:val="0"/>
              <w:divBdr>
                <w:top w:val="none" w:sz="0" w:space="0" w:color="auto"/>
                <w:left w:val="none" w:sz="0" w:space="0" w:color="auto"/>
                <w:bottom w:val="none" w:sz="0" w:space="0" w:color="auto"/>
                <w:right w:val="none" w:sz="0" w:space="0" w:color="auto"/>
              </w:divBdr>
              <w:divsChild>
                <w:div w:id="6645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963">
      <w:bodyDiv w:val="1"/>
      <w:marLeft w:val="0"/>
      <w:marRight w:val="0"/>
      <w:marTop w:val="0"/>
      <w:marBottom w:val="0"/>
      <w:divBdr>
        <w:top w:val="none" w:sz="0" w:space="0" w:color="auto"/>
        <w:left w:val="none" w:sz="0" w:space="0" w:color="auto"/>
        <w:bottom w:val="none" w:sz="0" w:space="0" w:color="auto"/>
        <w:right w:val="none" w:sz="0" w:space="0" w:color="auto"/>
      </w:divBdr>
    </w:div>
    <w:div w:id="1838112524">
      <w:bodyDiv w:val="1"/>
      <w:marLeft w:val="0"/>
      <w:marRight w:val="0"/>
      <w:marTop w:val="0"/>
      <w:marBottom w:val="0"/>
      <w:divBdr>
        <w:top w:val="none" w:sz="0" w:space="0" w:color="auto"/>
        <w:left w:val="none" w:sz="0" w:space="0" w:color="auto"/>
        <w:bottom w:val="none" w:sz="0" w:space="0" w:color="auto"/>
        <w:right w:val="none" w:sz="0" w:space="0" w:color="auto"/>
      </w:divBdr>
    </w:div>
    <w:div w:id="1867327097">
      <w:bodyDiv w:val="1"/>
      <w:marLeft w:val="0"/>
      <w:marRight w:val="0"/>
      <w:marTop w:val="0"/>
      <w:marBottom w:val="0"/>
      <w:divBdr>
        <w:top w:val="none" w:sz="0" w:space="0" w:color="auto"/>
        <w:left w:val="none" w:sz="0" w:space="0" w:color="auto"/>
        <w:bottom w:val="none" w:sz="0" w:space="0" w:color="auto"/>
        <w:right w:val="none" w:sz="0" w:space="0" w:color="auto"/>
      </w:divBdr>
    </w:div>
    <w:div w:id="1888688046">
      <w:bodyDiv w:val="1"/>
      <w:marLeft w:val="0"/>
      <w:marRight w:val="0"/>
      <w:marTop w:val="0"/>
      <w:marBottom w:val="0"/>
      <w:divBdr>
        <w:top w:val="none" w:sz="0" w:space="0" w:color="auto"/>
        <w:left w:val="none" w:sz="0" w:space="0" w:color="auto"/>
        <w:bottom w:val="none" w:sz="0" w:space="0" w:color="auto"/>
        <w:right w:val="none" w:sz="0" w:space="0" w:color="auto"/>
      </w:divBdr>
    </w:div>
    <w:div w:id="1936860914">
      <w:bodyDiv w:val="1"/>
      <w:marLeft w:val="0"/>
      <w:marRight w:val="0"/>
      <w:marTop w:val="0"/>
      <w:marBottom w:val="0"/>
      <w:divBdr>
        <w:top w:val="none" w:sz="0" w:space="0" w:color="auto"/>
        <w:left w:val="none" w:sz="0" w:space="0" w:color="auto"/>
        <w:bottom w:val="none" w:sz="0" w:space="0" w:color="auto"/>
        <w:right w:val="none" w:sz="0" w:space="0" w:color="auto"/>
      </w:divBdr>
    </w:div>
    <w:div w:id="2077434649">
      <w:bodyDiv w:val="1"/>
      <w:marLeft w:val="0"/>
      <w:marRight w:val="0"/>
      <w:marTop w:val="0"/>
      <w:marBottom w:val="0"/>
      <w:divBdr>
        <w:top w:val="none" w:sz="0" w:space="0" w:color="auto"/>
        <w:left w:val="none" w:sz="0" w:space="0" w:color="auto"/>
        <w:bottom w:val="none" w:sz="0" w:space="0" w:color="auto"/>
        <w:right w:val="none" w:sz="0" w:space="0" w:color="auto"/>
      </w:divBdr>
    </w:div>
    <w:div w:id="21155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8516-4F49-4F08-ACBF-8E6712A7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12818</Words>
  <Characters>73066</Characters>
  <Application>Microsoft Office Word</Application>
  <DocSecurity>0</DocSecurity>
  <Lines>608</Lines>
  <Paragraphs>171</Paragraphs>
  <ScaleCrop>false</ScaleCrop>
  <Company/>
  <LinksUpToDate>false</LinksUpToDate>
  <CharactersWithSpaces>85713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2025-07-31T14:29:00Z</dcterms:created>
  <dcterms:modified xsi:type="dcterms:W3CDTF">2025-07-31T14:29:00Z</dcterms:modified>
</cp:coreProperties>
</file>