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3B2A2" w14:textId="77777777" w:rsidR="007374FF" w:rsidRPr="001D3E10" w:rsidRDefault="00DD6A82" w:rsidP="007374FF">
      <w:pPr>
        <w:tabs>
          <w:tab w:val="left" w:pos="567"/>
        </w:tabs>
        <w:jc w:val="both"/>
        <w:rPr>
          <w:rFonts w:ascii="Cambria" w:hAnsi="Cambria" w:cs="Univers"/>
          <w:b/>
          <w:bCs/>
          <w:sz w:val="20"/>
          <w:szCs w:val="20"/>
        </w:rPr>
      </w:pPr>
      <w:r w:rsidRPr="001D3E10">
        <w:rPr>
          <w:rFonts w:ascii="Cambria" w:hAnsi="Cambria"/>
          <w:noProof/>
        </w:rPr>
        <mc:AlternateContent>
          <mc:Choice Requires="wps">
            <w:drawing>
              <wp:anchor distT="0" distB="0" distL="114300" distR="114300" simplePos="0" relativeHeight="251654144" behindDoc="0" locked="0" layoutInCell="1" allowOverlap="1" wp14:anchorId="24CBA4F0" wp14:editId="18E6F850">
                <wp:simplePos x="0" y="0"/>
                <wp:positionH relativeFrom="column">
                  <wp:posOffset>1334770</wp:posOffset>
                </wp:positionH>
                <wp:positionV relativeFrom="paragraph">
                  <wp:posOffset>2437765</wp:posOffset>
                </wp:positionV>
                <wp:extent cx="4441190" cy="2181225"/>
                <wp:effectExtent l="1270" t="0" r="2540" b="381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1190" cy="21812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7A358F23" w14:textId="5A55F1CB" w:rsidR="00CB7C3D" w:rsidRPr="001D3E10" w:rsidRDefault="00CB7C3D" w:rsidP="00E13A0C">
                            <w:pPr>
                              <w:spacing w:after="0" w:line="240" w:lineRule="auto"/>
                              <w:rPr>
                                <w:rFonts w:ascii="Cambria" w:hAnsi="Cambria" w:cs="Arial"/>
                                <w:b/>
                                <w:bCs/>
                                <w:color w:val="0D0D0D"/>
                                <w:sz w:val="36"/>
                              </w:rPr>
                            </w:pPr>
                            <w:r w:rsidRPr="001D3E10">
                              <w:rPr>
                                <w:rFonts w:ascii="Cambria" w:hAnsi="Cambria" w:cs="Arial"/>
                                <w:b/>
                                <w:bCs/>
                                <w:color w:val="0D0D0D"/>
                                <w:sz w:val="36"/>
                              </w:rPr>
                              <w:t xml:space="preserve">INFORME </w:t>
                            </w:r>
                            <w:r w:rsidRPr="001D3E10">
                              <w:rPr>
                                <w:rFonts w:ascii="Cambria" w:hAnsi="Cambria" w:cs="Arial"/>
                                <w:b/>
                                <w:bCs/>
                                <w:color w:val="0D0D0D"/>
                                <w:sz w:val="36"/>
                                <w:szCs w:val="40"/>
                              </w:rPr>
                              <w:t>No.</w:t>
                            </w:r>
                            <w:r w:rsidR="00E35410" w:rsidRPr="001D3E10">
                              <w:rPr>
                                <w:rFonts w:ascii="Cambria" w:hAnsi="Cambria" w:cs="Arial"/>
                                <w:b/>
                                <w:bCs/>
                                <w:color w:val="0D0D0D"/>
                                <w:sz w:val="36"/>
                              </w:rPr>
                              <w:t xml:space="preserve"> </w:t>
                            </w:r>
                            <w:r w:rsidR="00350518">
                              <w:rPr>
                                <w:rFonts w:ascii="Cambria" w:hAnsi="Cambria" w:cs="Arial"/>
                                <w:b/>
                                <w:bCs/>
                                <w:color w:val="0D0D0D"/>
                                <w:sz w:val="36"/>
                              </w:rPr>
                              <w:t>112</w:t>
                            </w:r>
                            <w:r w:rsidRPr="001D3E10">
                              <w:rPr>
                                <w:rFonts w:ascii="Cambria" w:hAnsi="Cambria" w:cs="Arial"/>
                                <w:b/>
                                <w:bCs/>
                                <w:color w:val="0D0D0D"/>
                                <w:sz w:val="36"/>
                              </w:rPr>
                              <w:t>/</w:t>
                            </w:r>
                            <w:r w:rsidR="00E35410" w:rsidRPr="001D3E10">
                              <w:rPr>
                                <w:rFonts w:ascii="Cambria" w:hAnsi="Cambria" w:cs="Arial"/>
                                <w:b/>
                                <w:bCs/>
                                <w:color w:val="0D0D0D"/>
                                <w:sz w:val="36"/>
                              </w:rPr>
                              <w:t>2</w:t>
                            </w:r>
                            <w:r w:rsidR="00F26962">
                              <w:rPr>
                                <w:rFonts w:ascii="Cambria" w:hAnsi="Cambria" w:cs="Arial"/>
                                <w:b/>
                                <w:bCs/>
                                <w:color w:val="0D0D0D"/>
                                <w:sz w:val="36"/>
                              </w:rPr>
                              <w:t>5</w:t>
                            </w:r>
                          </w:p>
                          <w:p w14:paraId="73C12A7F" w14:textId="77777777" w:rsidR="00CB7C3D" w:rsidRPr="001D3E10" w:rsidRDefault="00CB7C3D" w:rsidP="00E13A0C">
                            <w:pPr>
                              <w:spacing w:after="0" w:line="240" w:lineRule="auto"/>
                              <w:rPr>
                                <w:rFonts w:ascii="Cambria" w:hAnsi="Cambria" w:cs="Arial"/>
                                <w:b/>
                                <w:color w:val="0D0D0D"/>
                                <w:sz w:val="36"/>
                              </w:rPr>
                            </w:pPr>
                            <w:r w:rsidRPr="001D3E10">
                              <w:rPr>
                                <w:rFonts w:ascii="Cambria" w:hAnsi="Cambria" w:cs="Arial"/>
                                <w:b/>
                                <w:color w:val="0D0D0D"/>
                                <w:sz w:val="36"/>
                              </w:rPr>
                              <w:t>CASO 13.092</w:t>
                            </w:r>
                          </w:p>
                          <w:p w14:paraId="548842D8" w14:textId="3BA11CD9" w:rsidR="00CB7C3D" w:rsidRPr="001D3E10" w:rsidRDefault="00CB7C3D" w:rsidP="00E13A0C">
                            <w:pPr>
                              <w:spacing w:after="0" w:line="240" w:lineRule="auto"/>
                              <w:rPr>
                                <w:rFonts w:ascii="Cambria" w:hAnsi="Cambria" w:cs="Arial"/>
                                <w:color w:val="0D0D0D"/>
                                <w:sz w:val="24"/>
                                <w:szCs w:val="24"/>
                              </w:rPr>
                            </w:pPr>
                            <w:r w:rsidRPr="001D3E10">
                              <w:rPr>
                                <w:rFonts w:ascii="Cambria" w:hAnsi="Cambria" w:cs="Arial"/>
                                <w:color w:val="0D0D0D"/>
                                <w:sz w:val="24"/>
                                <w:szCs w:val="24"/>
                              </w:rPr>
                              <w:t>INFORME DE ADMISIBILIDAD Y FOND</w:t>
                            </w:r>
                            <w:r w:rsidRPr="001708FB">
                              <w:rPr>
                                <w:rFonts w:ascii="Cambria" w:hAnsi="Cambria" w:cs="Arial"/>
                                <w:color w:val="0D0D0D"/>
                                <w:sz w:val="24"/>
                                <w:szCs w:val="24"/>
                              </w:rPr>
                              <w:t xml:space="preserve">O </w:t>
                            </w:r>
                            <w:r w:rsidR="00AB7C21" w:rsidRPr="001708FB">
                              <w:rPr>
                                <w:rFonts w:ascii="Cambria" w:hAnsi="Cambria" w:cs="Arial"/>
                                <w:color w:val="0D0D0D"/>
                                <w:sz w:val="24"/>
                                <w:szCs w:val="24"/>
                              </w:rPr>
                              <w:t>(</w:t>
                            </w:r>
                            <w:r w:rsidR="00AC5F70" w:rsidRPr="000A2216">
                              <w:rPr>
                                <w:rFonts w:ascii="Cambria" w:hAnsi="Cambria" w:cs="Arial"/>
                                <w:color w:val="0D0D0D"/>
                                <w:sz w:val="24"/>
                                <w:szCs w:val="24"/>
                              </w:rPr>
                              <w:t>P</w:t>
                            </w:r>
                            <w:r w:rsidR="000A2216" w:rsidRPr="000A2216">
                              <w:rPr>
                                <w:rFonts w:ascii="Cambria" w:hAnsi="Cambria" w:cs="Arial"/>
                                <w:color w:val="0D0D0D"/>
                                <w:sz w:val="24"/>
                                <w:szCs w:val="24"/>
                              </w:rPr>
                              <w:t>UBL</w:t>
                            </w:r>
                            <w:r w:rsidR="00AC5F70" w:rsidRPr="000A2216">
                              <w:rPr>
                                <w:rFonts w:ascii="Cambria" w:hAnsi="Cambria" w:cs="Arial"/>
                                <w:color w:val="0D0D0D"/>
                                <w:sz w:val="24"/>
                                <w:szCs w:val="24"/>
                              </w:rPr>
                              <w:t>ICACI</w:t>
                            </w:r>
                            <w:r w:rsidR="00AC5F70" w:rsidRPr="000A2216">
                              <w:rPr>
                                <w:rFonts w:ascii="Cambria" w:hAnsi="Cambria" w:cs="Arial"/>
                                <w:color w:val="0D0D0D"/>
                                <w:sz w:val="24"/>
                                <w:szCs w:val="24"/>
                                <w:lang w:val="es-US"/>
                              </w:rPr>
                              <w:t>Ó</w:t>
                            </w:r>
                            <w:r w:rsidR="00AC5F70" w:rsidRPr="000A2216">
                              <w:rPr>
                                <w:rFonts w:ascii="Cambria" w:hAnsi="Cambria" w:cs="Arial"/>
                                <w:color w:val="0D0D0D"/>
                                <w:sz w:val="24"/>
                                <w:szCs w:val="24"/>
                              </w:rPr>
                              <w:t>N</w:t>
                            </w:r>
                            <w:r w:rsidR="00AB7C21" w:rsidRPr="001D3E10">
                              <w:rPr>
                                <w:rFonts w:ascii="Cambria" w:hAnsi="Cambria" w:cs="Arial"/>
                                <w:color w:val="0D0D0D"/>
                                <w:sz w:val="24"/>
                                <w:szCs w:val="24"/>
                              </w:rPr>
                              <w:t>)</w:t>
                            </w:r>
                          </w:p>
                          <w:p w14:paraId="0A794A4A" w14:textId="77777777" w:rsidR="00CB7C3D" w:rsidRPr="001D3E10" w:rsidRDefault="00CB7C3D" w:rsidP="00E13A0C">
                            <w:pPr>
                              <w:spacing w:after="0" w:line="240" w:lineRule="auto"/>
                              <w:rPr>
                                <w:rFonts w:ascii="Cambria" w:hAnsi="Cambria" w:cs="Arial"/>
                                <w:color w:val="0D0D0D"/>
                              </w:rPr>
                            </w:pPr>
                            <w:bookmarkStart w:id="0" w:name="_ftnref1"/>
                          </w:p>
                          <w:bookmarkEnd w:id="0"/>
                          <w:p w14:paraId="6A23A8FC" w14:textId="77777777" w:rsidR="00CB7C3D" w:rsidRPr="001D3E10" w:rsidRDefault="00CB7C3D" w:rsidP="00E13A0C">
                            <w:pPr>
                              <w:spacing w:after="0" w:line="240" w:lineRule="auto"/>
                              <w:rPr>
                                <w:rFonts w:ascii="Cambria" w:hAnsi="Cambria" w:cs="Arial"/>
                                <w:color w:val="0D0D0D"/>
                                <w:sz w:val="24"/>
                                <w:szCs w:val="24"/>
                              </w:rPr>
                            </w:pPr>
                            <w:r w:rsidRPr="001D3E10">
                              <w:rPr>
                                <w:rFonts w:ascii="Cambria" w:hAnsi="Cambria"/>
                                <w:sz w:val="24"/>
                                <w:szCs w:val="24"/>
                              </w:rPr>
                              <w:t>HÉCTOR LEONARDO KEMELMAJEN Y RAFAEL CHAIKIN</w:t>
                            </w:r>
                          </w:p>
                          <w:p w14:paraId="7516BCE9" w14:textId="77777777" w:rsidR="00CB7C3D" w:rsidRPr="001D3E10" w:rsidRDefault="00CB7C3D" w:rsidP="00E13A0C">
                            <w:pPr>
                              <w:spacing w:after="0" w:line="240" w:lineRule="auto"/>
                              <w:rPr>
                                <w:rFonts w:ascii="Cambria" w:hAnsi="Cambria" w:cs="Arial"/>
                                <w:color w:val="0D0D0D"/>
                                <w:sz w:val="24"/>
                                <w:szCs w:val="24"/>
                              </w:rPr>
                            </w:pPr>
                            <w:r w:rsidRPr="001D3E10">
                              <w:rPr>
                                <w:rFonts w:ascii="Cambria" w:hAnsi="Cambria" w:cs="Arial"/>
                                <w:color w:val="0D0D0D"/>
                                <w:sz w:val="24"/>
                                <w:szCs w:val="24"/>
                              </w:rPr>
                              <w:t>ARGENTINA</w:t>
                            </w:r>
                          </w:p>
                          <w:p w14:paraId="045A3008" w14:textId="77777777" w:rsidR="00CB7C3D" w:rsidRPr="001D3E10" w:rsidRDefault="00CB7C3D" w:rsidP="007374FF">
                            <w:pPr>
                              <w:rPr>
                                <w:rFonts w:ascii="Times New Roman" w:hAnsi="Times New Roman"/>
                                <w:color w:val="0D0D0D"/>
                                <w:szCs w:val="24"/>
                              </w:rPr>
                            </w:pPr>
                          </w:p>
                          <w:p w14:paraId="12F16047" w14:textId="77777777" w:rsidR="00CB7C3D" w:rsidRPr="001D3E10" w:rsidRDefault="00CB7C3D" w:rsidP="007374FF">
                            <w:pPr>
                              <w:rPr>
                                <w:color w:val="0D0D0D"/>
                              </w:rPr>
                            </w:pPr>
                          </w:p>
                          <w:p w14:paraId="51072E34" w14:textId="77777777" w:rsidR="00CB7C3D" w:rsidRPr="001D3E10" w:rsidRDefault="00CB7C3D" w:rsidP="007374FF">
                            <w:pPr>
                              <w:rPr>
                                <w:color w:val="0D0D0D"/>
                              </w:rPr>
                            </w:pPr>
                          </w:p>
                          <w:p w14:paraId="1B845364" w14:textId="77777777" w:rsidR="00CB7C3D" w:rsidRPr="001D3E10" w:rsidRDefault="00CB7C3D" w:rsidP="007374FF">
                            <w:pPr>
                              <w:rPr>
                                <w:color w:val="0D0D0D"/>
                              </w:rPr>
                            </w:pPr>
                          </w:p>
                          <w:p w14:paraId="3E7FD648" w14:textId="77777777" w:rsidR="00CB7C3D" w:rsidRPr="001D3E10" w:rsidRDefault="00CB7C3D" w:rsidP="007374FF">
                            <w:pPr>
                              <w:rPr>
                                <w:color w:val="0D0D0D"/>
                              </w:rPr>
                            </w:pPr>
                          </w:p>
                          <w:p w14:paraId="494C4F6A" w14:textId="77777777" w:rsidR="00CB7C3D" w:rsidRPr="001D3E10" w:rsidRDefault="00CB7C3D" w:rsidP="007374FF">
                            <w:pPr>
                              <w:rPr>
                                <w:color w:val="0D0D0D"/>
                              </w:rPr>
                            </w:pPr>
                          </w:p>
                          <w:p w14:paraId="0F8F6562" w14:textId="77777777" w:rsidR="00CB7C3D" w:rsidRPr="001D3E10" w:rsidRDefault="00CB7C3D" w:rsidP="007374FF">
                            <w:pPr>
                              <w:rPr>
                                <w:color w:val="0D0D0D"/>
                              </w:rPr>
                            </w:pPr>
                          </w:p>
                          <w:p w14:paraId="0B312C35" w14:textId="77777777" w:rsidR="00CB7C3D" w:rsidRPr="001D3E10" w:rsidRDefault="00CB7C3D" w:rsidP="007374FF">
                            <w:pPr>
                              <w:rPr>
                                <w:color w:val="0D0D0D"/>
                              </w:rPr>
                            </w:pPr>
                          </w:p>
                          <w:p w14:paraId="7879AB4B" w14:textId="77777777" w:rsidR="00CB7C3D" w:rsidRPr="001D3E10" w:rsidRDefault="00CB7C3D" w:rsidP="007374FF">
                            <w:pPr>
                              <w:rPr>
                                <w:color w:val="0D0D0D"/>
                              </w:rPr>
                            </w:pPr>
                          </w:p>
                          <w:p w14:paraId="6EAD455E" w14:textId="77777777" w:rsidR="00CB7C3D" w:rsidRPr="001D3E10" w:rsidRDefault="00CB7C3D" w:rsidP="007374FF">
                            <w:pPr>
                              <w:rPr>
                                <w:color w:val="0D0D0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CBA4F0" id="_x0000_t202" coordsize="21600,21600" o:spt="202" path="m,l,21600r21600,l21600,xe">
                <v:stroke joinstyle="miter"/>
                <v:path gradientshapeok="t" o:connecttype="rect"/>
              </v:shapetype>
              <v:shape id="Text Box 5" o:spid="_x0000_s1026" type="#_x0000_t202" style="position:absolute;left:0;text-align:left;margin-left:105.1pt;margin-top:191.95pt;width:349.7pt;height:17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" filled="f" stroked="f">
                <v:textbox>
                  <w:txbxContent>
                    <w:p w14:paraId="7A358F23" w14:textId="5A55F1CB" w:rsidR="00CB7C3D" w:rsidRPr="001D3E10" w:rsidRDefault="00CB7C3D" w:rsidP="00E13A0C">
                      <w:pPr>
                        <w:spacing w:after="0" w:line="240" w:lineRule="auto"/>
                        <w:rPr>
                          <w:rFonts w:ascii="Cambria" w:hAnsi="Cambria" w:cs="Arial"/>
                          <w:b/>
                          <w:bCs/>
                          <w:color w:val="0D0D0D"/>
                          <w:sz w:val="36"/>
                        </w:rPr>
                      </w:pPr>
                      <w:r w:rsidRPr="001D3E10">
                        <w:rPr>
                          <w:rFonts w:ascii="Cambria" w:hAnsi="Cambria" w:cs="Arial"/>
                          <w:b/>
                          <w:bCs/>
                          <w:color w:val="0D0D0D"/>
                          <w:sz w:val="36"/>
                        </w:rPr>
                        <w:t xml:space="preserve">INFORME </w:t>
                      </w:r>
                      <w:r w:rsidRPr="001D3E10">
                        <w:rPr>
                          <w:rFonts w:ascii="Cambria" w:hAnsi="Cambria" w:cs="Arial"/>
                          <w:b/>
                          <w:bCs/>
                          <w:color w:val="0D0D0D"/>
                          <w:sz w:val="36"/>
                          <w:szCs w:val="40"/>
                        </w:rPr>
                        <w:t>No.</w:t>
                      </w:r>
                      <w:r w:rsidR="00E35410" w:rsidRPr="001D3E10">
                        <w:rPr>
                          <w:rFonts w:ascii="Cambria" w:hAnsi="Cambria" w:cs="Arial"/>
                          <w:b/>
                          <w:bCs/>
                          <w:color w:val="0D0D0D"/>
                          <w:sz w:val="36"/>
                        </w:rPr>
                        <w:t xml:space="preserve"> </w:t>
                      </w:r>
                      <w:r w:rsidR="00350518">
                        <w:rPr>
                          <w:rFonts w:ascii="Cambria" w:hAnsi="Cambria" w:cs="Arial"/>
                          <w:b/>
                          <w:bCs/>
                          <w:color w:val="0D0D0D"/>
                          <w:sz w:val="36"/>
                        </w:rPr>
                        <w:t>112</w:t>
                      </w:r>
                      <w:r w:rsidRPr="001D3E10">
                        <w:rPr>
                          <w:rFonts w:ascii="Cambria" w:hAnsi="Cambria" w:cs="Arial"/>
                          <w:b/>
                          <w:bCs/>
                          <w:color w:val="0D0D0D"/>
                          <w:sz w:val="36"/>
                        </w:rPr>
                        <w:t>/</w:t>
                      </w:r>
                      <w:r w:rsidR="00E35410" w:rsidRPr="001D3E10">
                        <w:rPr>
                          <w:rFonts w:ascii="Cambria" w:hAnsi="Cambria" w:cs="Arial"/>
                          <w:b/>
                          <w:bCs/>
                          <w:color w:val="0D0D0D"/>
                          <w:sz w:val="36"/>
                        </w:rPr>
                        <w:t>2</w:t>
                      </w:r>
                      <w:r w:rsidR="00F26962">
                        <w:rPr>
                          <w:rFonts w:ascii="Cambria" w:hAnsi="Cambria" w:cs="Arial"/>
                          <w:b/>
                          <w:bCs/>
                          <w:color w:val="0D0D0D"/>
                          <w:sz w:val="36"/>
                        </w:rPr>
                        <w:t>5</w:t>
                      </w:r>
                    </w:p>
                    <w:p w14:paraId="73C12A7F" w14:textId="77777777" w:rsidR="00CB7C3D" w:rsidRPr="001D3E10" w:rsidRDefault="00CB7C3D" w:rsidP="00E13A0C">
                      <w:pPr>
                        <w:spacing w:after="0" w:line="240" w:lineRule="auto"/>
                        <w:rPr>
                          <w:rFonts w:ascii="Cambria" w:hAnsi="Cambria" w:cs="Arial"/>
                          <w:b/>
                          <w:color w:val="0D0D0D"/>
                          <w:sz w:val="36"/>
                        </w:rPr>
                      </w:pPr>
                      <w:r w:rsidRPr="001D3E10">
                        <w:rPr>
                          <w:rFonts w:ascii="Cambria" w:hAnsi="Cambria" w:cs="Arial"/>
                          <w:b/>
                          <w:color w:val="0D0D0D"/>
                          <w:sz w:val="36"/>
                        </w:rPr>
                        <w:t>CASO 13.092</w:t>
                      </w:r>
                    </w:p>
                    <w:p w14:paraId="548842D8" w14:textId="3BA11CD9" w:rsidR="00CB7C3D" w:rsidRPr="001D3E10" w:rsidRDefault="00CB7C3D" w:rsidP="00E13A0C">
                      <w:pPr>
                        <w:spacing w:after="0" w:line="240" w:lineRule="auto"/>
                        <w:rPr>
                          <w:rFonts w:ascii="Cambria" w:hAnsi="Cambria" w:cs="Arial"/>
                          <w:color w:val="0D0D0D"/>
                          <w:sz w:val="24"/>
                          <w:szCs w:val="24"/>
                        </w:rPr>
                      </w:pPr>
                      <w:r w:rsidRPr="001D3E10">
                        <w:rPr>
                          <w:rFonts w:ascii="Cambria" w:hAnsi="Cambria" w:cs="Arial"/>
                          <w:color w:val="0D0D0D"/>
                          <w:sz w:val="24"/>
                          <w:szCs w:val="24"/>
                        </w:rPr>
                        <w:t>INFORME DE ADMISIBILIDAD Y FOND</w:t>
                      </w:r>
                      <w:r w:rsidRPr="001708FB">
                        <w:rPr>
                          <w:rFonts w:ascii="Cambria" w:hAnsi="Cambria" w:cs="Arial"/>
                          <w:color w:val="0D0D0D"/>
                          <w:sz w:val="24"/>
                          <w:szCs w:val="24"/>
                        </w:rPr>
                        <w:t xml:space="preserve">O </w:t>
                      </w:r>
                      <w:r w:rsidR="00AB7C21" w:rsidRPr="001708FB">
                        <w:rPr>
                          <w:rFonts w:ascii="Cambria" w:hAnsi="Cambria" w:cs="Arial"/>
                          <w:color w:val="0D0D0D"/>
                          <w:sz w:val="24"/>
                          <w:szCs w:val="24"/>
                        </w:rPr>
                        <w:t>(</w:t>
                      </w:r>
                      <w:r w:rsidR="00AC5F70" w:rsidRPr="000A2216">
                        <w:rPr>
                          <w:rFonts w:ascii="Cambria" w:hAnsi="Cambria" w:cs="Arial"/>
                          <w:color w:val="0D0D0D"/>
                          <w:sz w:val="24"/>
                          <w:szCs w:val="24"/>
                        </w:rPr>
                        <w:t>P</w:t>
                      </w:r>
                      <w:r w:rsidR="000A2216" w:rsidRPr="000A2216">
                        <w:rPr>
                          <w:rFonts w:ascii="Cambria" w:hAnsi="Cambria" w:cs="Arial"/>
                          <w:color w:val="0D0D0D"/>
                          <w:sz w:val="24"/>
                          <w:szCs w:val="24"/>
                        </w:rPr>
                        <w:t>UBL</w:t>
                      </w:r>
                      <w:r w:rsidR="00AC5F70" w:rsidRPr="000A2216">
                        <w:rPr>
                          <w:rFonts w:ascii="Cambria" w:hAnsi="Cambria" w:cs="Arial"/>
                          <w:color w:val="0D0D0D"/>
                          <w:sz w:val="24"/>
                          <w:szCs w:val="24"/>
                        </w:rPr>
                        <w:t>ICACI</w:t>
                      </w:r>
                      <w:r w:rsidR="00AC5F70" w:rsidRPr="000A2216">
                        <w:rPr>
                          <w:rFonts w:ascii="Cambria" w:hAnsi="Cambria" w:cs="Arial"/>
                          <w:color w:val="0D0D0D"/>
                          <w:sz w:val="24"/>
                          <w:szCs w:val="24"/>
                          <w:lang w:val="es-US"/>
                        </w:rPr>
                        <w:t>Ó</w:t>
                      </w:r>
                      <w:r w:rsidR="00AC5F70" w:rsidRPr="000A2216">
                        <w:rPr>
                          <w:rFonts w:ascii="Cambria" w:hAnsi="Cambria" w:cs="Arial"/>
                          <w:color w:val="0D0D0D"/>
                          <w:sz w:val="24"/>
                          <w:szCs w:val="24"/>
                        </w:rPr>
                        <w:t>N</w:t>
                      </w:r>
                      <w:r w:rsidR="00AB7C21" w:rsidRPr="001D3E10">
                        <w:rPr>
                          <w:rFonts w:ascii="Cambria" w:hAnsi="Cambria" w:cs="Arial"/>
                          <w:color w:val="0D0D0D"/>
                          <w:sz w:val="24"/>
                          <w:szCs w:val="24"/>
                        </w:rPr>
                        <w:t>)</w:t>
                      </w:r>
                    </w:p>
                    <w:p w14:paraId="0A794A4A" w14:textId="77777777" w:rsidR="00CB7C3D" w:rsidRPr="001D3E10" w:rsidRDefault="00CB7C3D" w:rsidP="00E13A0C">
                      <w:pPr>
                        <w:spacing w:after="0" w:line="240" w:lineRule="auto"/>
                        <w:rPr>
                          <w:rFonts w:ascii="Cambria" w:hAnsi="Cambria" w:cs="Arial"/>
                          <w:color w:val="0D0D0D"/>
                        </w:rPr>
                      </w:pPr>
                      <w:bookmarkStart w:id="1" w:name="_ftnref1"/>
                    </w:p>
                    <w:bookmarkEnd w:id="1"/>
                    <w:p w14:paraId="6A23A8FC" w14:textId="77777777" w:rsidR="00CB7C3D" w:rsidRPr="001D3E10" w:rsidRDefault="00CB7C3D" w:rsidP="00E13A0C">
                      <w:pPr>
                        <w:spacing w:after="0" w:line="240" w:lineRule="auto"/>
                        <w:rPr>
                          <w:rFonts w:ascii="Cambria" w:hAnsi="Cambria" w:cs="Arial"/>
                          <w:color w:val="0D0D0D"/>
                          <w:sz w:val="24"/>
                          <w:szCs w:val="24"/>
                        </w:rPr>
                      </w:pPr>
                      <w:r w:rsidRPr="001D3E10">
                        <w:rPr>
                          <w:rFonts w:ascii="Cambria" w:hAnsi="Cambria"/>
                          <w:sz w:val="24"/>
                          <w:szCs w:val="24"/>
                        </w:rPr>
                        <w:t>HÉCTOR LEONARDO KEMELMAJEN Y RAFAEL CHAIKIN</w:t>
                      </w:r>
                    </w:p>
                    <w:p w14:paraId="7516BCE9" w14:textId="77777777" w:rsidR="00CB7C3D" w:rsidRPr="001D3E10" w:rsidRDefault="00CB7C3D" w:rsidP="00E13A0C">
                      <w:pPr>
                        <w:spacing w:after="0" w:line="240" w:lineRule="auto"/>
                        <w:rPr>
                          <w:rFonts w:ascii="Cambria" w:hAnsi="Cambria" w:cs="Arial"/>
                          <w:color w:val="0D0D0D"/>
                          <w:sz w:val="24"/>
                          <w:szCs w:val="24"/>
                        </w:rPr>
                      </w:pPr>
                      <w:r w:rsidRPr="001D3E10">
                        <w:rPr>
                          <w:rFonts w:ascii="Cambria" w:hAnsi="Cambria" w:cs="Arial"/>
                          <w:color w:val="0D0D0D"/>
                          <w:sz w:val="24"/>
                          <w:szCs w:val="24"/>
                        </w:rPr>
                        <w:t>ARGENTINA</w:t>
                      </w:r>
                    </w:p>
                    <w:p w14:paraId="045A3008" w14:textId="77777777" w:rsidR="00CB7C3D" w:rsidRPr="001D3E10" w:rsidRDefault="00CB7C3D" w:rsidP="007374FF">
                      <w:pPr>
                        <w:rPr>
                          <w:rFonts w:ascii="Times New Roman" w:hAnsi="Times New Roman"/>
                          <w:color w:val="0D0D0D"/>
                          <w:szCs w:val="24"/>
                        </w:rPr>
                      </w:pPr>
                    </w:p>
                    <w:p w14:paraId="12F16047" w14:textId="77777777" w:rsidR="00CB7C3D" w:rsidRPr="001D3E10" w:rsidRDefault="00CB7C3D" w:rsidP="007374FF">
                      <w:pPr>
                        <w:rPr>
                          <w:color w:val="0D0D0D"/>
                        </w:rPr>
                      </w:pPr>
                    </w:p>
                    <w:p w14:paraId="51072E34" w14:textId="77777777" w:rsidR="00CB7C3D" w:rsidRPr="001D3E10" w:rsidRDefault="00CB7C3D" w:rsidP="007374FF">
                      <w:pPr>
                        <w:rPr>
                          <w:color w:val="0D0D0D"/>
                        </w:rPr>
                      </w:pPr>
                    </w:p>
                    <w:p w14:paraId="1B845364" w14:textId="77777777" w:rsidR="00CB7C3D" w:rsidRPr="001D3E10" w:rsidRDefault="00CB7C3D" w:rsidP="007374FF">
                      <w:pPr>
                        <w:rPr>
                          <w:color w:val="0D0D0D"/>
                        </w:rPr>
                      </w:pPr>
                    </w:p>
                    <w:p w14:paraId="3E7FD648" w14:textId="77777777" w:rsidR="00CB7C3D" w:rsidRPr="001D3E10" w:rsidRDefault="00CB7C3D" w:rsidP="007374FF">
                      <w:pPr>
                        <w:rPr>
                          <w:color w:val="0D0D0D"/>
                        </w:rPr>
                      </w:pPr>
                    </w:p>
                    <w:p w14:paraId="494C4F6A" w14:textId="77777777" w:rsidR="00CB7C3D" w:rsidRPr="001D3E10" w:rsidRDefault="00CB7C3D" w:rsidP="007374FF">
                      <w:pPr>
                        <w:rPr>
                          <w:color w:val="0D0D0D"/>
                        </w:rPr>
                      </w:pPr>
                    </w:p>
                    <w:p w14:paraId="0F8F6562" w14:textId="77777777" w:rsidR="00CB7C3D" w:rsidRPr="001D3E10" w:rsidRDefault="00CB7C3D" w:rsidP="007374FF">
                      <w:pPr>
                        <w:rPr>
                          <w:color w:val="0D0D0D"/>
                        </w:rPr>
                      </w:pPr>
                    </w:p>
                    <w:p w14:paraId="0B312C35" w14:textId="77777777" w:rsidR="00CB7C3D" w:rsidRPr="001D3E10" w:rsidRDefault="00CB7C3D" w:rsidP="007374FF">
                      <w:pPr>
                        <w:rPr>
                          <w:color w:val="0D0D0D"/>
                        </w:rPr>
                      </w:pPr>
                    </w:p>
                    <w:p w14:paraId="7879AB4B" w14:textId="77777777" w:rsidR="00CB7C3D" w:rsidRPr="001D3E10" w:rsidRDefault="00CB7C3D" w:rsidP="007374FF">
                      <w:pPr>
                        <w:rPr>
                          <w:color w:val="0D0D0D"/>
                        </w:rPr>
                      </w:pPr>
                    </w:p>
                    <w:p w14:paraId="6EAD455E" w14:textId="77777777" w:rsidR="00CB7C3D" w:rsidRPr="001D3E10" w:rsidRDefault="00CB7C3D" w:rsidP="007374FF">
                      <w:pPr>
                        <w:rPr>
                          <w:color w:val="0D0D0D"/>
                        </w:rPr>
                      </w:pPr>
                    </w:p>
                  </w:txbxContent>
                </v:textbox>
              </v:shape>
            </w:pict>
          </mc:Fallback>
        </mc:AlternateContent>
      </w:r>
      <w:r w:rsidRPr="001D3E10">
        <w:rPr>
          <w:rFonts w:ascii="Cambria" w:hAnsi="Cambria"/>
          <w:noProof/>
        </w:rPr>
        <mc:AlternateContent>
          <mc:Choice Requires="wps">
            <w:drawing>
              <wp:anchor distT="0" distB="0" distL="114300" distR="114300" simplePos="0" relativeHeight="251655168" behindDoc="0" locked="0" layoutInCell="1" allowOverlap="1" wp14:anchorId="50018F28" wp14:editId="777B04D5">
                <wp:simplePos x="0" y="0"/>
                <wp:positionH relativeFrom="column">
                  <wp:posOffset>1386205</wp:posOffset>
                </wp:positionH>
                <wp:positionV relativeFrom="paragraph">
                  <wp:posOffset>6282690</wp:posOffset>
                </wp:positionV>
                <wp:extent cx="4933950" cy="664845"/>
                <wp:effectExtent l="1905" t="0" r="444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3950" cy="6648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7B02C613" w14:textId="63B6A7D2" w:rsidR="00AB7C21" w:rsidRPr="001D3E10" w:rsidRDefault="00AB7C21" w:rsidP="00AB7C21">
                            <w:pPr>
                              <w:tabs>
                                <w:tab w:val="center" w:pos="5400"/>
                              </w:tabs>
                              <w:suppressAutoHyphens/>
                              <w:spacing w:before="60"/>
                              <w:rPr>
                                <w:rFonts w:ascii="Cambria" w:hAnsi="Cambria" w:cs="Univers"/>
                                <w:color w:val="0D0D0D" w:themeColor="text1" w:themeTint="F2"/>
                                <w:sz w:val="18"/>
                                <w:szCs w:val="20"/>
                              </w:rPr>
                            </w:pPr>
                            <w:r w:rsidRPr="001D3E10">
                              <w:rPr>
                                <w:rFonts w:ascii="Cambria" w:hAnsi="Cambria"/>
                                <w:color w:val="0D0D0D" w:themeColor="text1" w:themeTint="F2"/>
                                <w:sz w:val="18"/>
                                <w:szCs w:val="20"/>
                              </w:rPr>
                              <w:t xml:space="preserve">Aprobado electrónicamente por la Comisión el </w:t>
                            </w:r>
                            <w:r w:rsidR="000A2216">
                              <w:rPr>
                                <w:rFonts w:ascii="Cambria" w:hAnsi="Cambria"/>
                                <w:color w:val="0D0D0D" w:themeColor="text1" w:themeTint="F2"/>
                                <w:sz w:val="18"/>
                                <w:szCs w:val="20"/>
                              </w:rPr>
                              <w:t>14 de julio</w:t>
                            </w:r>
                            <w:r w:rsidRPr="001D3E10">
                              <w:rPr>
                                <w:rFonts w:ascii="Cambria" w:hAnsi="Cambria"/>
                                <w:color w:val="0D0D0D" w:themeColor="text1" w:themeTint="F2"/>
                                <w:sz w:val="18"/>
                                <w:szCs w:val="20"/>
                              </w:rPr>
                              <w:t xml:space="preserve"> de 202</w:t>
                            </w:r>
                            <w:r w:rsidR="00F26962">
                              <w:rPr>
                                <w:rFonts w:ascii="Cambria" w:hAnsi="Cambria"/>
                                <w:color w:val="0D0D0D" w:themeColor="text1" w:themeTint="F2"/>
                                <w:sz w:val="18"/>
                                <w:szCs w:val="20"/>
                              </w:rPr>
                              <w:t>5</w:t>
                            </w:r>
                            <w:r w:rsidRPr="001D3E10">
                              <w:rPr>
                                <w:rFonts w:ascii="Cambria" w:hAnsi="Cambria"/>
                                <w:color w:val="0D0D0D" w:themeColor="text1" w:themeTint="F2"/>
                                <w:sz w:val="18"/>
                                <w:szCs w:val="20"/>
                              </w:rPr>
                              <w:br/>
                            </w:r>
                          </w:p>
                          <w:p w14:paraId="454B83CA" w14:textId="5D5AAF45" w:rsidR="00CB7C3D" w:rsidRPr="001D3E10" w:rsidRDefault="00CB7C3D" w:rsidP="007374FF">
                            <w:pPr>
                              <w:tabs>
                                <w:tab w:val="center" w:pos="5400"/>
                              </w:tabs>
                              <w:suppressAutoHyphens/>
                              <w:spacing w:before="60"/>
                              <w:rPr>
                                <w:rFonts w:ascii="Cambria" w:hAnsi="Cambria" w:cs="Univers"/>
                                <w:color w:val="0D0D0D"/>
                                <w:sz w:val="18"/>
                                <w:szCs w:val="20"/>
                              </w:rPr>
                            </w:pPr>
                            <w:r w:rsidRPr="001D3E10">
                              <w:rPr>
                                <w:rFonts w:ascii="Cambria" w:hAnsi="Cambria"/>
                                <w:color w:val="0D0D0D"/>
                                <w:sz w:val="18"/>
                                <w:szCs w:val="20"/>
                              </w:rPr>
                              <w:br/>
                            </w:r>
                          </w:p>
                          <w:p w14:paraId="7D0BAD27" w14:textId="77777777" w:rsidR="00CB7C3D" w:rsidRPr="001D3E10" w:rsidRDefault="00CB7C3D" w:rsidP="007374FF">
                            <w:pPr>
                              <w:tabs>
                                <w:tab w:val="center" w:pos="5400"/>
                              </w:tabs>
                              <w:suppressAutoHyphens/>
                              <w:spacing w:before="60"/>
                              <w:rPr>
                                <w:rFonts w:ascii="Cambria" w:hAnsi="Cambria" w:cs="Univers"/>
                                <w:color w:val="0D0D0D"/>
                                <w:sz w:val="18"/>
                                <w:szCs w:val="20"/>
                              </w:rPr>
                            </w:pPr>
                          </w:p>
                          <w:p w14:paraId="43FEAA07" w14:textId="77777777" w:rsidR="00CB7C3D" w:rsidRPr="001D3E10" w:rsidRDefault="00CB7C3D" w:rsidP="007374FF">
                            <w:pPr>
                              <w:tabs>
                                <w:tab w:val="center" w:pos="5400"/>
                              </w:tabs>
                              <w:suppressAutoHyphens/>
                              <w:spacing w:before="60"/>
                              <w:rPr>
                                <w:rFonts w:ascii="Cambria" w:hAnsi="Cambria" w:cs="Univers"/>
                                <w:color w:val="0D0D0D"/>
                                <w:sz w:val="18"/>
                                <w:szCs w:val="20"/>
                              </w:rPr>
                            </w:pPr>
                          </w:p>
                          <w:p w14:paraId="1BCDA7EF" w14:textId="77777777" w:rsidR="00CB7C3D" w:rsidRPr="001D3E10" w:rsidRDefault="00CB7C3D" w:rsidP="007374FF">
                            <w:pPr>
                              <w:tabs>
                                <w:tab w:val="center" w:pos="5400"/>
                              </w:tabs>
                              <w:suppressAutoHyphens/>
                              <w:spacing w:before="60"/>
                              <w:rPr>
                                <w:rFonts w:ascii="Cambria" w:hAnsi="Cambria" w:cs="Univers"/>
                                <w:color w:val="0D0D0D"/>
                                <w:sz w:val="18"/>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018F28" id="Text Box 7" o:spid="_x0000_s1027" type="#_x0000_t202" style="position:absolute;left:0;text-align:left;margin-left:109.15pt;margin-top:494.7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" filled="f" stroked="f">
                <v:textbox>
                  <w:txbxContent>
                    <w:p w14:paraId="7B02C613" w14:textId="63B6A7D2" w:rsidR="00AB7C21" w:rsidRPr="001D3E10" w:rsidRDefault="00AB7C21" w:rsidP="00AB7C21">
                      <w:pPr>
                        <w:tabs>
                          <w:tab w:val="center" w:pos="5400"/>
                        </w:tabs>
                        <w:suppressAutoHyphens/>
                        <w:spacing w:before="60"/>
                        <w:rPr>
                          <w:rFonts w:ascii="Cambria" w:hAnsi="Cambria" w:cs="Univers"/>
                          <w:color w:val="0D0D0D" w:themeColor="text1" w:themeTint="F2"/>
                          <w:sz w:val="18"/>
                          <w:szCs w:val="20"/>
                        </w:rPr>
                      </w:pPr>
                      <w:r w:rsidRPr="001D3E10">
                        <w:rPr>
                          <w:rFonts w:ascii="Cambria" w:hAnsi="Cambria"/>
                          <w:color w:val="0D0D0D" w:themeColor="text1" w:themeTint="F2"/>
                          <w:sz w:val="18"/>
                          <w:szCs w:val="20"/>
                        </w:rPr>
                        <w:t xml:space="preserve">Aprobado electrónicamente por la Comisión el </w:t>
                      </w:r>
                      <w:r w:rsidR="000A2216">
                        <w:rPr>
                          <w:rFonts w:ascii="Cambria" w:hAnsi="Cambria"/>
                          <w:color w:val="0D0D0D" w:themeColor="text1" w:themeTint="F2"/>
                          <w:sz w:val="18"/>
                          <w:szCs w:val="20"/>
                        </w:rPr>
                        <w:t>14 de julio</w:t>
                      </w:r>
                      <w:r w:rsidRPr="001D3E10">
                        <w:rPr>
                          <w:rFonts w:ascii="Cambria" w:hAnsi="Cambria"/>
                          <w:color w:val="0D0D0D" w:themeColor="text1" w:themeTint="F2"/>
                          <w:sz w:val="18"/>
                          <w:szCs w:val="20"/>
                        </w:rPr>
                        <w:t xml:space="preserve"> de 202</w:t>
                      </w:r>
                      <w:r w:rsidR="00F26962">
                        <w:rPr>
                          <w:rFonts w:ascii="Cambria" w:hAnsi="Cambria"/>
                          <w:color w:val="0D0D0D" w:themeColor="text1" w:themeTint="F2"/>
                          <w:sz w:val="18"/>
                          <w:szCs w:val="20"/>
                        </w:rPr>
                        <w:t>5</w:t>
                      </w:r>
                      <w:r w:rsidRPr="001D3E10">
                        <w:rPr>
                          <w:rFonts w:ascii="Cambria" w:hAnsi="Cambria"/>
                          <w:color w:val="0D0D0D" w:themeColor="text1" w:themeTint="F2"/>
                          <w:sz w:val="18"/>
                          <w:szCs w:val="20"/>
                        </w:rPr>
                        <w:br/>
                      </w:r>
                    </w:p>
                    <w:p w14:paraId="454B83CA" w14:textId="5D5AAF45" w:rsidR="00CB7C3D" w:rsidRPr="001D3E10" w:rsidRDefault="00CB7C3D" w:rsidP="007374FF">
                      <w:pPr>
                        <w:tabs>
                          <w:tab w:val="center" w:pos="5400"/>
                        </w:tabs>
                        <w:suppressAutoHyphens/>
                        <w:spacing w:before="60"/>
                        <w:rPr>
                          <w:rFonts w:ascii="Cambria" w:hAnsi="Cambria" w:cs="Univers"/>
                          <w:color w:val="0D0D0D"/>
                          <w:sz w:val="18"/>
                          <w:szCs w:val="20"/>
                        </w:rPr>
                      </w:pPr>
                      <w:r w:rsidRPr="001D3E10">
                        <w:rPr>
                          <w:rFonts w:ascii="Cambria" w:hAnsi="Cambria"/>
                          <w:color w:val="0D0D0D"/>
                          <w:sz w:val="18"/>
                          <w:szCs w:val="20"/>
                        </w:rPr>
                        <w:br/>
                      </w:r>
                    </w:p>
                    <w:p w14:paraId="7D0BAD27" w14:textId="77777777" w:rsidR="00CB7C3D" w:rsidRPr="001D3E10" w:rsidRDefault="00CB7C3D" w:rsidP="007374FF">
                      <w:pPr>
                        <w:tabs>
                          <w:tab w:val="center" w:pos="5400"/>
                        </w:tabs>
                        <w:suppressAutoHyphens/>
                        <w:spacing w:before="60"/>
                        <w:rPr>
                          <w:rFonts w:ascii="Cambria" w:hAnsi="Cambria" w:cs="Univers"/>
                          <w:color w:val="0D0D0D"/>
                          <w:sz w:val="18"/>
                          <w:szCs w:val="20"/>
                        </w:rPr>
                      </w:pPr>
                    </w:p>
                    <w:p w14:paraId="43FEAA07" w14:textId="77777777" w:rsidR="00CB7C3D" w:rsidRPr="001D3E10" w:rsidRDefault="00CB7C3D" w:rsidP="007374FF">
                      <w:pPr>
                        <w:tabs>
                          <w:tab w:val="center" w:pos="5400"/>
                        </w:tabs>
                        <w:suppressAutoHyphens/>
                        <w:spacing w:before="60"/>
                        <w:rPr>
                          <w:rFonts w:ascii="Cambria" w:hAnsi="Cambria" w:cs="Univers"/>
                          <w:color w:val="0D0D0D"/>
                          <w:sz w:val="18"/>
                          <w:szCs w:val="20"/>
                        </w:rPr>
                      </w:pPr>
                    </w:p>
                    <w:p w14:paraId="1BCDA7EF" w14:textId="77777777" w:rsidR="00CB7C3D" w:rsidRPr="001D3E10" w:rsidRDefault="00CB7C3D" w:rsidP="007374FF">
                      <w:pPr>
                        <w:tabs>
                          <w:tab w:val="center" w:pos="5400"/>
                        </w:tabs>
                        <w:suppressAutoHyphens/>
                        <w:spacing w:before="60"/>
                        <w:rPr>
                          <w:rFonts w:ascii="Cambria" w:hAnsi="Cambria" w:cs="Univers"/>
                          <w:color w:val="0D0D0D"/>
                          <w:sz w:val="18"/>
                          <w:szCs w:val="20"/>
                        </w:rPr>
                      </w:pPr>
                    </w:p>
                  </w:txbxContent>
                </v:textbox>
              </v:shape>
            </w:pict>
          </mc:Fallback>
        </mc:AlternateContent>
      </w:r>
      <w:r w:rsidRPr="001D3E10">
        <w:rPr>
          <w:rFonts w:ascii="Cambria" w:hAnsi="Cambria"/>
          <w:noProof/>
        </w:rPr>
        <mc:AlternateContent>
          <mc:Choice Requires="wps">
            <w:drawing>
              <wp:anchor distT="0" distB="0" distL="114300" distR="114300" simplePos="0" relativeHeight="251659264" behindDoc="0" locked="0" layoutInCell="1" allowOverlap="1" wp14:anchorId="68CF4AA7" wp14:editId="736FCE45">
                <wp:simplePos x="0" y="0"/>
                <wp:positionH relativeFrom="column">
                  <wp:posOffset>1376045</wp:posOffset>
                </wp:positionH>
                <wp:positionV relativeFrom="paragraph">
                  <wp:posOffset>6830060</wp:posOffset>
                </wp:positionV>
                <wp:extent cx="4943475" cy="657225"/>
                <wp:effectExtent l="4445" t="0" r="5080" b="571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3475" cy="6572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7515A079" w14:textId="2B52D28C" w:rsidR="00CB7C3D" w:rsidRPr="001D3E10" w:rsidRDefault="00CB7C3D" w:rsidP="00C82286">
                            <w:pPr>
                              <w:spacing w:after="0"/>
                              <w:rPr>
                                <w:rFonts w:ascii="Cambria" w:hAnsi="Cambria"/>
                                <w:color w:val="595959"/>
                                <w:sz w:val="18"/>
                                <w:szCs w:val="18"/>
                              </w:rPr>
                            </w:pPr>
                            <w:r w:rsidRPr="00F26962">
                              <w:rPr>
                                <w:rFonts w:ascii="Cambria" w:hAnsi="Cambria"/>
                                <w:b/>
                                <w:color w:val="595959"/>
                                <w:sz w:val="18"/>
                                <w:szCs w:val="18"/>
                                <w:lang w:val="pt-BR"/>
                              </w:rPr>
                              <w:t>Citar como:</w:t>
                            </w:r>
                            <w:r w:rsidRPr="00F26962">
                              <w:rPr>
                                <w:rFonts w:ascii="Cambria" w:hAnsi="Cambria"/>
                                <w:color w:val="595959"/>
                                <w:sz w:val="18"/>
                                <w:szCs w:val="18"/>
                                <w:lang w:val="pt-BR"/>
                              </w:rPr>
                              <w:t xml:space="preserve"> CIDH, Informe No. </w:t>
                            </w:r>
                            <w:r w:rsidR="00350518" w:rsidRPr="00350518">
                              <w:rPr>
                                <w:rFonts w:ascii="Cambria" w:hAnsi="Cambria"/>
                                <w:color w:val="595959"/>
                                <w:sz w:val="18"/>
                                <w:szCs w:val="18"/>
                                <w:lang w:val="pt-BR"/>
                              </w:rPr>
                              <w:t>112</w:t>
                            </w:r>
                            <w:r w:rsidR="00E35410" w:rsidRPr="00350518">
                              <w:rPr>
                                <w:rFonts w:ascii="Cambria" w:hAnsi="Cambria"/>
                                <w:color w:val="595959"/>
                                <w:sz w:val="18"/>
                                <w:szCs w:val="18"/>
                                <w:lang w:val="pt-BR"/>
                              </w:rPr>
                              <w:t>/2</w:t>
                            </w:r>
                            <w:r w:rsidR="00F26962" w:rsidRPr="00350518">
                              <w:rPr>
                                <w:rFonts w:ascii="Cambria" w:hAnsi="Cambria"/>
                                <w:color w:val="595959"/>
                                <w:sz w:val="18"/>
                                <w:szCs w:val="18"/>
                                <w:lang w:val="pt-BR"/>
                              </w:rPr>
                              <w:t>5</w:t>
                            </w:r>
                            <w:r w:rsidRPr="00350518">
                              <w:rPr>
                                <w:rFonts w:ascii="Cambria" w:hAnsi="Cambria"/>
                                <w:color w:val="595959"/>
                                <w:sz w:val="18"/>
                                <w:szCs w:val="18"/>
                                <w:lang w:val="pt-BR"/>
                              </w:rPr>
                              <w:t xml:space="preserve">, Caso 13.092. </w:t>
                            </w:r>
                            <w:r w:rsidR="00350518" w:rsidRPr="00350518">
                              <w:rPr>
                                <w:rFonts w:ascii="Cambria" w:hAnsi="Cambria"/>
                                <w:color w:val="595959"/>
                                <w:sz w:val="18"/>
                                <w:szCs w:val="18"/>
                                <w:lang w:val="es-US"/>
                              </w:rPr>
                              <w:t xml:space="preserve">Admisibilidad y </w:t>
                            </w:r>
                            <w:r w:rsidRPr="001D3E10">
                              <w:rPr>
                                <w:rFonts w:ascii="Cambria" w:hAnsi="Cambria"/>
                                <w:color w:val="595959"/>
                                <w:sz w:val="18"/>
                                <w:szCs w:val="18"/>
                              </w:rPr>
                              <w:t>Fondo</w:t>
                            </w:r>
                            <w:r w:rsidR="001B5A37">
                              <w:rPr>
                                <w:rFonts w:ascii="Cambria" w:hAnsi="Cambria"/>
                                <w:color w:val="595959"/>
                                <w:sz w:val="18"/>
                                <w:szCs w:val="18"/>
                              </w:rPr>
                              <w:t xml:space="preserve"> (</w:t>
                            </w:r>
                            <w:r w:rsidR="00AC5F70">
                              <w:rPr>
                                <w:rFonts w:ascii="Cambria" w:hAnsi="Cambria"/>
                                <w:color w:val="595959"/>
                                <w:sz w:val="18"/>
                                <w:szCs w:val="18"/>
                              </w:rPr>
                              <w:t>Publicación</w:t>
                            </w:r>
                            <w:r w:rsidR="001B5A37">
                              <w:rPr>
                                <w:rFonts w:ascii="Cambria" w:hAnsi="Cambria"/>
                                <w:color w:val="595959"/>
                                <w:sz w:val="18"/>
                                <w:szCs w:val="18"/>
                              </w:rPr>
                              <w:t>)</w:t>
                            </w:r>
                            <w:r w:rsidRPr="001D3E10">
                              <w:rPr>
                                <w:rFonts w:ascii="Cambria" w:hAnsi="Cambria"/>
                                <w:color w:val="595959"/>
                                <w:sz w:val="18"/>
                                <w:szCs w:val="18"/>
                              </w:rPr>
                              <w:t>. Héctor Leonardo Kemelmajen</w:t>
                            </w:r>
                            <w:r w:rsidR="00E35410" w:rsidRPr="001D3E10">
                              <w:rPr>
                                <w:rFonts w:ascii="Cambria" w:hAnsi="Cambria"/>
                                <w:color w:val="595959"/>
                                <w:sz w:val="18"/>
                                <w:szCs w:val="18"/>
                              </w:rPr>
                              <w:t xml:space="preserve"> y Rafael Cha</w:t>
                            </w:r>
                            <w:r w:rsidR="009918E9">
                              <w:rPr>
                                <w:rFonts w:ascii="Cambria" w:hAnsi="Cambria"/>
                                <w:color w:val="595959"/>
                                <w:sz w:val="18"/>
                                <w:szCs w:val="18"/>
                              </w:rPr>
                              <w:t>i</w:t>
                            </w:r>
                            <w:r w:rsidR="00E35410" w:rsidRPr="001D3E10">
                              <w:rPr>
                                <w:rFonts w:ascii="Cambria" w:hAnsi="Cambria"/>
                                <w:color w:val="595959"/>
                                <w:sz w:val="18"/>
                                <w:szCs w:val="18"/>
                              </w:rPr>
                              <w:t>kin</w:t>
                            </w:r>
                            <w:r w:rsidR="00350518">
                              <w:rPr>
                                <w:rFonts w:ascii="Cambria" w:hAnsi="Cambria"/>
                                <w:color w:val="595959"/>
                                <w:sz w:val="18"/>
                                <w:szCs w:val="18"/>
                              </w:rPr>
                              <w:t>.</w:t>
                            </w:r>
                            <w:r w:rsidR="00E35410" w:rsidRPr="001D3E10">
                              <w:rPr>
                                <w:rFonts w:ascii="Cambria" w:hAnsi="Cambria"/>
                                <w:color w:val="595959"/>
                                <w:sz w:val="18"/>
                                <w:szCs w:val="18"/>
                              </w:rPr>
                              <w:t xml:space="preserve"> Argentina. </w:t>
                            </w:r>
                            <w:r w:rsidR="000A2216">
                              <w:rPr>
                                <w:rFonts w:ascii="Cambria" w:hAnsi="Cambria"/>
                                <w:color w:val="595959"/>
                                <w:sz w:val="18"/>
                                <w:szCs w:val="18"/>
                              </w:rPr>
                              <w:t>14 de julio</w:t>
                            </w:r>
                            <w:r w:rsidR="001B5A37">
                              <w:rPr>
                                <w:rFonts w:ascii="Cambria" w:hAnsi="Cambria"/>
                                <w:color w:val="595959"/>
                                <w:sz w:val="18"/>
                                <w:szCs w:val="18"/>
                              </w:rPr>
                              <w:t xml:space="preserve"> </w:t>
                            </w:r>
                            <w:r w:rsidRPr="001D3E10">
                              <w:rPr>
                                <w:rFonts w:ascii="Cambria" w:hAnsi="Cambria"/>
                                <w:color w:val="595959"/>
                                <w:sz w:val="18"/>
                                <w:szCs w:val="18"/>
                              </w:rPr>
                              <w:t>de 202</w:t>
                            </w:r>
                            <w:r w:rsidR="00F26962">
                              <w:rPr>
                                <w:rFonts w:ascii="Cambria" w:hAnsi="Cambria"/>
                                <w:color w:val="595959"/>
                                <w:sz w:val="18"/>
                                <w:szCs w:val="18"/>
                              </w:rPr>
                              <w:t>5</w:t>
                            </w:r>
                            <w:r w:rsidRPr="001D3E10">
                              <w:rPr>
                                <w:rFonts w:ascii="Cambria" w:hAnsi="Cambria"/>
                                <w:color w:val="595959"/>
                                <w:sz w:val="18"/>
                                <w:szCs w:val="18"/>
                              </w:rPr>
                              <w:t>.</w:t>
                            </w:r>
                          </w:p>
                          <w:p w14:paraId="59BA344C" w14:textId="77777777" w:rsidR="00CB7C3D" w:rsidRPr="001D3E10" w:rsidRDefault="00CB7C3D" w:rsidP="00C82286">
                            <w:pPr>
                              <w:spacing w:after="0"/>
                              <w:rPr>
                                <w:rFonts w:ascii="Cambria" w:hAnsi="Cambria"/>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F4AA7" id="Text Box 10" o:spid="_x0000_s1028" type="#_x0000_t202" style="position:absolute;left:0;text-align:left;margin-left:108.35pt;margin-top:537.8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" filled="f" stroked="f">
                <v:textbox>
                  <w:txbxContent>
                    <w:p w14:paraId="7515A079" w14:textId="2B52D28C" w:rsidR="00CB7C3D" w:rsidRPr="001D3E10" w:rsidRDefault="00CB7C3D" w:rsidP="00C82286">
                      <w:pPr>
                        <w:spacing w:after="0"/>
                        <w:rPr>
                          <w:rFonts w:ascii="Cambria" w:hAnsi="Cambria"/>
                          <w:color w:val="595959"/>
                          <w:sz w:val="18"/>
                          <w:szCs w:val="18"/>
                        </w:rPr>
                      </w:pPr>
                      <w:r w:rsidRPr="00F26962">
                        <w:rPr>
                          <w:rFonts w:ascii="Cambria" w:hAnsi="Cambria"/>
                          <w:b/>
                          <w:color w:val="595959"/>
                          <w:sz w:val="18"/>
                          <w:szCs w:val="18"/>
                          <w:lang w:val="pt-BR"/>
                        </w:rPr>
                        <w:t>Citar como:</w:t>
                      </w:r>
                      <w:r w:rsidRPr="00F26962">
                        <w:rPr>
                          <w:rFonts w:ascii="Cambria" w:hAnsi="Cambria"/>
                          <w:color w:val="595959"/>
                          <w:sz w:val="18"/>
                          <w:szCs w:val="18"/>
                          <w:lang w:val="pt-BR"/>
                        </w:rPr>
                        <w:t xml:space="preserve"> CIDH, Informe No. </w:t>
                      </w:r>
                      <w:r w:rsidR="00350518" w:rsidRPr="00350518">
                        <w:rPr>
                          <w:rFonts w:ascii="Cambria" w:hAnsi="Cambria"/>
                          <w:color w:val="595959"/>
                          <w:sz w:val="18"/>
                          <w:szCs w:val="18"/>
                          <w:lang w:val="pt-BR"/>
                        </w:rPr>
                        <w:t>112</w:t>
                      </w:r>
                      <w:r w:rsidR="00E35410" w:rsidRPr="00350518">
                        <w:rPr>
                          <w:rFonts w:ascii="Cambria" w:hAnsi="Cambria"/>
                          <w:color w:val="595959"/>
                          <w:sz w:val="18"/>
                          <w:szCs w:val="18"/>
                          <w:lang w:val="pt-BR"/>
                        </w:rPr>
                        <w:t>/2</w:t>
                      </w:r>
                      <w:r w:rsidR="00F26962" w:rsidRPr="00350518">
                        <w:rPr>
                          <w:rFonts w:ascii="Cambria" w:hAnsi="Cambria"/>
                          <w:color w:val="595959"/>
                          <w:sz w:val="18"/>
                          <w:szCs w:val="18"/>
                          <w:lang w:val="pt-BR"/>
                        </w:rPr>
                        <w:t>5</w:t>
                      </w:r>
                      <w:r w:rsidRPr="00350518">
                        <w:rPr>
                          <w:rFonts w:ascii="Cambria" w:hAnsi="Cambria"/>
                          <w:color w:val="595959"/>
                          <w:sz w:val="18"/>
                          <w:szCs w:val="18"/>
                          <w:lang w:val="pt-BR"/>
                        </w:rPr>
                        <w:t xml:space="preserve">, Caso 13.092. </w:t>
                      </w:r>
                      <w:r w:rsidR="00350518" w:rsidRPr="00350518">
                        <w:rPr>
                          <w:rFonts w:ascii="Cambria" w:hAnsi="Cambria"/>
                          <w:color w:val="595959"/>
                          <w:sz w:val="18"/>
                          <w:szCs w:val="18"/>
                          <w:lang w:val="es-US"/>
                        </w:rPr>
                        <w:t xml:space="preserve">Admisibilidad y </w:t>
                      </w:r>
                      <w:r w:rsidRPr="001D3E10">
                        <w:rPr>
                          <w:rFonts w:ascii="Cambria" w:hAnsi="Cambria"/>
                          <w:color w:val="595959"/>
                          <w:sz w:val="18"/>
                          <w:szCs w:val="18"/>
                        </w:rPr>
                        <w:t>Fondo</w:t>
                      </w:r>
                      <w:r w:rsidR="001B5A37">
                        <w:rPr>
                          <w:rFonts w:ascii="Cambria" w:hAnsi="Cambria"/>
                          <w:color w:val="595959"/>
                          <w:sz w:val="18"/>
                          <w:szCs w:val="18"/>
                        </w:rPr>
                        <w:t xml:space="preserve"> (</w:t>
                      </w:r>
                      <w:r w:rsidR="00AC5F70">
                        <w:rPr>
                          <w:rFonts w:ascii="Cambria" w:hAnsi="Cambria"/>
                          <w:color w:val="595959"/>
                          <w:sz w:val="18"/>
                          <w:szCs w:val="18"/>
                        </w:rPr>
                        <w:t>Publicación</w:t>
                      </w:r>
                      <w:r w:rsidR="001B5A37">
                        <w:rPr>
                          <w:rFonts w:ascii="Cambria" w:hAnsi="Cambria"/>
                          <w:color w:val="595959"/>
                          <w:sz w:val="18"/>
                          <w:szCs w:val="18"/>
                        </w:rPr>
                        <w:t>)</w:t>
                      </w:r>
                      <w:r w:rsidRPr="001D3E10">
                        <w:rPr>
                          <w:rFonts w:ascii="Cambria" w:hAnsi="Cambria"/>
                          <w:color w:val="595959"/>
                          <w:sz w:val="18"/>
                          <w:szCs w:val="18"/>
                        </w:rPr>
                        <w:t>. Héctor Leonardo Kemelmajen</w:t>
                      </w:r>
                      <w:r w:rsidR="00E35410" w:rsidRPr="001D3E10">
                        <w:rPr>
                          <w:rFonts w:ascii="Cambria" w:hAnsi="Cambria"/>
                          <w:color w:val="595959"/>
                          <w:sz w:val="18"/>
                          <w:szCs w:val="18"/>
                        </w:rPr>
                        <w:t xml:space="preserve"> y Rafael Cha</w:t>
                      </w:r>
                      <w:r w:rsidR="009918E9">
                        <w:rPr>
                          <w:rFonts w:ascii="Cambria" w:hAnsi="Cambria"/>
                          <w:color w:val="595959"/>
                          <w:sz w:val="18"/>
                          <w:szCs w:val="18"/>
                        </w:rPr>
                        <w:t>i</w:t>
                      </w:r>
                      <w:r w:rsidR="00E35410" w:rsidRPr="001D3E10">
                        <w:rPr>
                          <w:rFonts w:ascii="Cambria" w:hAnsi="Cambria"/>
                          <w:color w:val="595959"/>
                          <w:sz w:val="18"/>
                          <w:szCs w:val="18"/>
                        </w:rPr>
                        <w:t>kin</w:t>
                      </w:r>
                      <w:r w:rsidR="00350518">
                        <w:rPr>
                          <w:rFonts w:ascii="Cambria" w:hAnsi="Cambria"/>
                          <w:color w:val="595959"/>
                          <w:sz w:val="18"/>
                          <w:szCs w:val="18"/>
                        </w:rPr>
                        <w:t>.</w:t>
                      </w:r>
                      <w:r w:rsidR="00E35410" w:rsidRPr="001D3E10">
                        <w:rPr>
                          <w:rFonts w:ascii="Cambria" w:hAnsi="Cambria"/>
                          <w:color w:val="595959"/>
                          <w:sz w:val="18"/>
                          <w:szCs w:val="18"/>
                        </w:rPr>
                        <w:t xml:space="preserve"> Argentina. </w:t>
                      </w:r>
                      <w:r w:rsidR="000A2216">
                        <w:rPr>
                          <w:rFonts w:ascii="Cambria" w:hAnsi="Cambria"/>
                          <w:color w:val="595959"/>
                          <w:sz w:val="18"/>
                          <w:szCs w:val="18"/>
                        </w:rPr>
                        <w:t>14 de julio</w:t>
                      </w:r>
                      <w:r w:rsidR="001B5A37">
                        <w:rPr>
                          <w:rFonts w:ascii="Cambria" w:hAnsi="Cambria"/>
                          <w:color w:val="595959"/>
                          <w:sz w:val="18"/>
                          <w:szCs w:val="18"/>
                        </w:rPr>
                        <w:t xml:space="preserve"> </w:t>
                      </w:r>
                      <w:r w:rsidRPr="001D3E10">
                        <w:rPr>
                          <w:rFonts w:ascii="Cambria" w:hAnsi="Cambria"/>
                          <w:color w:val="595959"/>
                          <w:sz w:val="18"/>
                          <w:szCs w:val="18"/>
                        </w:rPr>
                        <w:t>de 202</w:t>
                      </w:r>
                      <w:r w:rsidR="00F26962">
                        <w:rPr>
                          <w:rFonts w:ascii="Cambria" w:hAnsi="Cambria"/>
                          <w:color w:val="595959"/>
                          <w:sz w:val="18"/>
                          <w:szCs w:val="18"/>
                        </w:rPr>
                        <w:t>5</w:t>
                      </w:r>
                      <w:r w:rsidRPr="001D3E10">
                        <w:rPr>
                          <w:rFonts w:ascii="Cambria" w:hAnsi="Cambria"/>
                          <w:color w:val="595959"/>
                          <w:sz w:val="18"/>
                          <w:szCs w:val="18"/>
                        </w:rPr>
                        <w:t>.</w:t>
                      </w:r>
                    </w:p>
                    <w:p w14:paraId="59BA344C" w14:textId="77777777" w:rsidR="00CB7C3D" w:rsidRPr="001D3E10" w:rsidRDefault="00CB7C3D" w:rsidP="00C82286">
                      <w:pPr>
                        <w:spacing w:after="0"/>
                        <w:rPr>
                          <w:rFonts w:ascii="Cambria" w:hAnsi="Cambria"/>
                          <w:color w:val="595959"/>
                          <w:sz w:val="18"/>
                          <w:szCs w:val="18"/>
                        </w:rPr>
                      </w:pPr>
                    </w:p>
                  </w:txbxContent>
                </v:textbox>
              </v:shape>
            </w:pict>
          </mc:Fallback>
        </mc:AlternateContent>
      </w:r>
      <w:r w:rsidRPr="001D3E10">
        <w:rPr>
          <w:rFonts w:ascii="Cambria" w:hAnsi="Cambria"/>
          <w:noProof/>
        </w:rPr>
        <mc:AlternateContent>
          <mc:Choice Requires="wps">
            <w:drawing>
              <wp:anchor distT="0" distB="0" distL="114300" distR="114300" simplePos="0" relativeHeight="251656192" behindDoc="0" locked="0" layoutInCell="1" allowOverlap="1" wp14:anchorId="23491299" wp14:editId="455B2FDA">
                <wp:simplePos x="0" y="0"/>
                <wp:positionH relativeFrom="column">
                  <wp:posOffset>-394335</wp:posOffset>
                </wp:positionH>
                <wp:positionV relativeFrom="paragraph">
                  <wp:posOffset>-481330</wp:posOffset>
                </wp:positionV>
                <wp:extent cx="1595755" cy="9096375"/>
                <wp:effectExtent l="0" t="1270" r="508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9096375"/>
                        </a:xfrm>
                        <a:prstGeom prst="rect">
                          <a:avLst/>
                        </a:prstGeom>
                        <a:solidFill>
                          <a:srgbClr val="4A719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C84E43" id="Rectangle 1" o:spid="_x0000_s1026" style="position:absolute;margin-left:-31.05pt;margin-top:-37.9pt;width:125.65pt;height:7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" fillcolor="#4a7194" stroked="f"/>
            </w:pict>
          </mc:Fallback>
        </mc:AlternateContent>
      </w:r>
      <w:r w:rsidRPr="001D3E10">
        <w:rPr>
          <w:rFonts w:ascii="Cambria" w:hAnsi="Cambria"/>
          <w:noProof/>
        </w:rPr>
        <mc:AlternateContent>
          <mc:Choice Requires="wps">
            <w:drawing>
              <wp:anchor distT="0" distB="0" distL="114300" distR="114300" simplePos="0" relativeHeight="251657216" behindDoc="0" locked="0" layoutInCell="1" allowOverlap="1" wp14:anchorId="5647A7D8" wp14:editId="15FEE7A8">
                <wp:simplePos x="0" y="0"/>
                <wp:positionH relativeFrom="column">
                  <wp:posOffset>-342900</wp:posOffset>
                </wp:positionH>
                <wp:positionV relativeFrom="paragraph">
                  <wp:posOffset>2450465</wp:posOffset>
                </wp:positionV>
                <wp:extent cx="1390650" cy="1377315"/>
                <wp:effectExtent l="0" t="0" r="635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13773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44A4FE09" w14:textId="0B482F73" w:rsidR="00CB7C3D" w:rsidRPr="001D3E10" w:rsidRDefault="00135C00" w:rsidP="007374FF">
                            <w:pPr>
                              <w:jc w:val="right"/>
                              <w:rPr>
                                <w:color w:val="FFFFFF"/>
                              </w:rPr>
                            </w:pPr>
                            <w:r w:rsidRPr="001D3E10">
                              <w:rPr>
                                <w:color w:val="FFFFFF"/>
                              </w:rPr>
                              <w:t>OEA/Ser.L/V/II</w:t>
                            </w:r>
                          </w:p>
                          <w:p w14:paraId="08B26CAD" w14:textId="1D10CF3B" w:rsidR="00CB7C3D" w:rsidRPr="001D3E10" w:rsidRDefault="00E35410" w:rsidP="007374FF">
                            <w:pPr>
                              <w:jc w:val="right"/>
                              <w:rPr>
                                <w:color w:val="FFFFFF"/>
                              </w:rPr>
                            </w:pPr>
                            <w:r w:rsidRPr="001D3E10">
                              <w:rPr>
                                <w:color w:val="FFFFFF"/>
                              </w:rPr>
                              <w:t xml:space="preserve">Doc. </w:t>
                            </w:r>
                            <w:r w:rsidR="00350518">
                              <w:rPr>
                                <w:color w:val="FFFFFF"/>
                              </w:rPr>
                              <w:t>117</w:t>
                            </w:r>
                          </w:p>
                          <w:p w14:paraId="3FFFCE50" w14:textId="090161D3" w:rsidR="00CB7C3D" w:rsidRPr="001D3E10" w:rsidRDefault="000A2216" w:rsidP="007374FF">
                            <w:pPr>
                              <w:jc w:val="right"/>
                              <w:rPr>
                                <w:color w:val="FFFFFF"/>
                              </w:rPr>
                            </w:pPr>
                            <w:r>
                              <w:rPr>
                                <w:color w:val="FFFFFF"/>
                              </w:rPr>
                              <w:t>14 julio</w:t>
                            </w:r>
                            <w:r w:rsidR="00CB7C3D" w:rsidRPr="001D3E10">
                              <w:rPr>
                                <w:color w:val="FFFFFF"/>
                              </w:rPr>
                              <w:t xml:space="preserve"> 202</w:t>
                            </w:r>
                            <w:r w:rsidR="00F26962">
                              <w:rPr>
                                <w:color w:val="FFFFFF"/>
                              </w:rPr>
                              <w:t>5</w:t>
                            </w:r>
                          </w:p>
                          <w:p w14:paraId="539AA602" w14:textId="77777777" w:rsidR="00CB7C3D" w:rsidRPr="001D3E10" w:rsidRDefault="00CB7C3D" w:rsidP="007374FF">
                            <w:pPr>
                              <w:jc w:val="right"/>
                              <w:rPr>
                                <w:color w:val="FFFFFF"/>
                              </w:rPr>
                            </w:pPr>
                            <w:r w:rsidRPr="001D3E10">
                              <w:rPr>
                                <w:color w:val="FFFFFF"/>
                              </w:rPr>
                              <w:t>Original: español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7A7D8" id="Text Box 8" o:spid="_x0000_s1029" type="#_x0000_t202" style="position:absolute;left:0;text-align:left;margin-left:-27pt;margin-top:19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" filled="f" stroked="f">
                <v:textbox>
                  <w:txbxContent>
                    <w:p w14:paraId="44A4FE09" w14:textId="0B482F73" w:rsidR="00CB7C3D" w:rsidRPr="001D3E10" w:rsidRDefault="00135C00" w:rsidP="007374FF">
                      <w:pPr>
                        <w:jc w:val="right"/>
                        <w:rPr>
                          <w:color w:val="FFFFFF"/>
                        </w:rPr>
                      </w:pPr>
                      <w:r w:rsidRPr="001D3E10">
                        <w:rPr>
                          <w:color w:val="FFFFFF"/>
                        </w:rPr>
                        <w:t>OEA/Ser.L/V/II</w:t>
                      </w:r>
                    </w:p>
                    <w:p w14:paraId="08B26CAD" w14:textId="1D10CF3B" w:rsidR="00CB7C3D" w:rsidRPr="001D3E10" w:rsidRDefault="00E35410" w:rsidP="007374FF">
                      <w:pPr>
                        <w:jc w:val="right"/>
                        <w:rPr>
                          <w:color w:val="FFFFFF"/>
                        </w:rPr>
                      </w:pPr>
                      <w:r w:rsidRPr="001D3E10">
                        <w:rPr>
                          <w:color w:val="FFFFFF"/>
                        </w:rPr>
                        <w:t xml:space="preserve">Doc. </w:t>
                      </w:r>
                      <w:r w:rsidR="00350518">
                        <w:rPr>
                          <w:color w:val="FFFFFF"/>
                        </w:rPr>
                        <w:t>117</w:t>
                      </w:r>
                    </w:p>
                    <w:p w14:paraId="3FFFCE50" w14:textId="090161D3" w:rsidR="00CB7C3D" w:rsidRPr="001D3E10" w:rsidRDefault="000A2216" w:rsidP="007374FF">
                      <w:pPr>
                        <w:jc w:val="right"/>
                        <w:rPr>
                          <w:color w:val="FFFFFF"/>
                        </w:rPr>
                      </w:pPr>
                      <w:r>
                        <w:rPr>
                          <w:color w:val="FFFFFF"/>
                        </w:rPr>
                        <w:t>14 julio</w:t>
                      </w:r>
                      <w:r w:rsidR="00CB7C3D" w:rsidRPr="001D3E10">
                        <w:rPr>
                          <w:color w:val="FFFFFF"/>
                        </w:rPr>
                        <w:t xml:space="preserve"> 202</w:t>
                      </w:r>
                      <w:r w:rsidR="00F26962">
                        <w:rPr>
                          <w:color w:val="FFFFFF"/>
                        </w:rPr>
                        <w:t>5</w:t>
                      </w:r>
                    </w:p>
                    <w:p w14:paraId="539AA602" w14:textId="77777777" w:rsidR="00CB7C3D" w:rsidRPr="001D3E10" w:rsidRDefault="00CB7C3D" w:rsidP="007374FF">
                      <w:pPr>
                        <w:jc w:val="right"/>
                        <w:rPr>
                          <w:color w:val="FFFFFF"/>
                        </w:rPr>
                      </w:pPr>
                      <w:r w:rsidRPr="001D3E10">
                        <w:rPr>
                          <w:color w:val="FFFFFF"/>
                        </w:rPr>
                        <w:t>Original: español</w:t>
                      </w:r>
                    </w:p>
                  </w:txbxContent>
                </v:textbox>
              </v:shape>
            </w:pict>
          </mc:Fallback>
        </mc:AlternateContent>
      </w:r>
      <w:r w:rsidRPr="001D3E10">
        <w:rPr>
          <w:rFonts w:ascii="Cambria" w:hAnsi="Cambria"/>
          <w:noProof/>
        </w:rPr>
        <mc:AlternateContent>
          <mc:Choice Requires="wps">
            <w:drawing>
              <wp:anchor distT="0" distB="0" distL="114300" distR="114300" simplePos="0" relativeHeight="251661312" behindDoc="0" locked="0" layoutInCell="1" allowOverlap="1" wp14:anchorId="6F09D7DE" wp14:editId="67AB568F">
                <wp:simplePos x="0" y="0"/>
                <wp:positionH relativeFrom="column">
                  <wp:posOffset>-220980</wp:posOffset>
                </wp:positionH>
                <wp:positionV relativeFrom="paragraph">
                  <wp:posOffset>8077200</wp:posOffset>
                </wp:positionV>
                <wp:extent cx="1181100" cy="332740"/>
                <wp:effectExtent l="0" t="0" r="508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3327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0DF7CB4F" w14:textId="77777777" w:rsidR="00CB7C3D" w:rsidRPr="001D3E10" w:rsidRDefault="00CB7C3D" w:rsidP="007374FF">
                            <w:pPr>
                              <w:jc w:val="center"/>
                              <w:rPr>
                                <w:b/>
                                <w:color w:val="FFFFFF"/>
                              </w:rPr>
                            </w:pPr>
                            <w:r w:rsidRPr="001D3E10">
                              <w:rPr>
                                <w:b/>
                                <w:color w:val="FFFFFF"/>
                              </w:rPr>
                              <w:t>www.cidh.org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9D7DE" id="Text Box 4" o:spid="_x0000_s1030" type="#_x0000_t202" style="position:absolute;left:0;text-align:left;margin-left:-17.4pt;margin-top:636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" filled="f" stroked="f">
                <v:textbox>
                  <w:txbxContent>
                    <w:p w14:paraId="0DF7CB4F" w14:textId="77777777" w:rsidR="00CB7C3D" w:rsidRPr="001D3E10" w:rsidRDefault="00CB7C3D" w:rsidP="007374FF">
                      <w:pPr>
                        <w:jc w:val="center"/>
                        <w:rPr>
                          <w:b/>
                          <w:color w:val="FFFFFF"/>
                        </w:rPr>
                      </w:pPr>
                      <w:r w:rsidRPr="001D3E10">
                        <w:rPr>
                          <w:b/>
                          <w:color w:val="FFFFFF"/>
                        </w:rPr>
                        <w:t>www.cidh.org</w:t>
                      </w:r>
                    </w:p>
                  </w:txbxContent>
                </v:textbox>
              </v:shape>
            </w:pict>
          </mc:Fallback>
        </mc:AlternateContent>
      </w:r>
      <w:r w:rsidRPr="001D3E10">
        <w:rPr>
          <w:rFonts w:ascii="Cambria" w:hAnsi="Cambria"/>
          <w:noProof/>
        </w:rPr>
        <mc:AlternateContent>
          <mc:Choice Requires="wps">
            <w:drawing>
              <wp:anchor distT="0" distB="0" distL="114300" distR="114300" simplePos="0" relativeHeight="251660288" behindDoc="0" locked="0" layoutInCell="1" allowOverlap="1" wp14:anchorId="33248FFB" wp14:editId="1CB45678">
                <wp:simplePos x="0" y="0"/>
                <wp:positionH relativeFrom="column">
                  <wp:posOffset>1699895</wp:posOffset>
                </wp:positionH>
                <wp:positionV relativeFrom="paragraph">
                  <wp:posOffset>8298180</wp:posOffset>
                </wp:positionV>
                <wp:extent cx="4096385" cy="567055"/>
                <wp:effectExtent l="0" t="508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73C1E235" w14:textId="77777777" w:rsidR="00CB7C3D" w:rsidRPr="001D3E10" w:rsidRDefault="00CB7C3D" w:rsidP="007374FF">
                            <w:pPr>
                              <w:rPr>
                                <w:color w:val="FFFFFF"/>
                              </w:rPr>
                            </w:pPr>
                            <w:r w:rsidRPr="001D3E10">
                              <w:rPr>
                                <w:noProof/>
                                <w:sz w:val="20"/>
                                <w:szCs w:val="20"/>
                              </w:rPr>
                              <w:drawing>
                                <wp:inline distT="0" distB="0" distL="0" distR="0" wp14:anchorId="6B24E820" wp14:editId="01EA1242">
                                  <wp:extent cx="1346200" cy="389255"/>
                                  <wp:effectExtent l="0" t="0" r="0" b="0"/>
                                  <wp:docPr id="12" name="Picture 2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ea-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200" cy="389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48FFB" id="Text Box 9" o:spid="_x0000_s1031" type="#_x0000_t202" style="position:absolute;left:0;text-align:left;margin-left:133.85pt;margin-top:653.4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" stroked="f">
                <v:textbox>
                  <w:txbxContent>
                    <w:p w14:paraId="73C1E235" w14:textId="77777777" w:rsidR="00CB7C3D" w:rsidRPr="001D3E10" w:rsidRDefault="00CB7C3D" w:rsidP="007374FF">
                      <w:pPr>
                        <w:rPr>
                          <w:color w:val="FFFFFF"/>
                        </w:rPr>
                      </w:pPr>
                      <w:r w:rsidRPr="001D3E10">
                        <w:rPr>
                          <w:noProof/>
                          <w:sz w:val="20"/>
                          <w:szCs w:val="20"/>
                        </w:rPr>
                        <w:drawing>
                          <wp:inline distT="0" distB="0" distL="0" distR="0" wp14:anchorId="6B24E820" wp14:editId="01EA1242">
                            <wp:extent cx="1346200" cy="389255"/>
                            <wp:effectExtent l="0" t="0" r="0" b="0"/>
                            <wp:docPr id="12" name="Picture 2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ea-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200" cy="389255"/>
                                    </a:xfrm>
                                    <a:prstGeom prst="rect">
                                      <a:avLst/>
                                    </a:prstGeom>
                                    <a:noFill/>
                                    <a:ln>
                                      <a:noFill/>
                                    </a:ln>
                                  </pic:spPr>
                                </pic:pic>
                              </a:graphicData>
                            </a:graphic>
                          </wp:inline>
                        </w:drawing>
                      </w:r>
                    </w:p>
                  </w:txbxContent>
                </v:textbox>
              </v:shape>
            </w:pict>
          </mc:Fallback>
        </mc:AlternateContent>
      </w:r>
      <w:r w:rsidRPr="001D3E10">
        <w:rPr>
          <w:rFonts w:ascii="Cambria" w:hAnsi="Cambria"/>
          <w:noProof/>
        </w:rPr>
        <mc:AlternateContent>
          <mc:Choice Requires="wps">
            <w:drawing>
              <wp:anchor distT="0" distB="0" distL="114300" distR="114300" simplePos="0" relativeHeight="251658240" behindDoc="0" locked="0" layoutInCell="1" allowOverlap="1" wp14:anchorId="4D65FB9B" wp14:editId="5C72441F">
                <wp:simplePos x="0" y="0"/>
                <wp:positionH relativeFrom="column">
                  <wp:posOffset>1282065</wp:posOffset>
                </wp:positionH>
                <wp:positionV relativeFrom="paragraph">
                  <wp:posOffset>-373380</wp:posOffset>
                </wp:positionV>
                <wp:extent cx="5248275" cy="902335"/>
                <wp:effectExtent l="0" t="0" r="0" b="444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8275" cy="9023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3243DCDF" w14:textId="77777777" w:rsidR="00CB7C3D" w:rsidRPr="001D3E10" w:rsidRDefault="00CB7C3D" w:rsidP="007374FF">
                            <w:r w:rsidRPr="001D3E10">
                              <w:rPr>
                                <w:noProof/>
                                <w:sz w:val="20"/>
                                <w:szCs w:val="20"/>
                              </w:rPr>
                              <w:drawing>
                                <wp:inline distT="0" distB="0" distL="0" distR="0" wp14:anchorId="0BCB208F" wp14:editId="0AACB25F">
                                  <wp:extent cx="2658745" cy="508000"/>
                                  <wp:effectExtent l="0" t="0" r="8255" b="0"/>
                                  <wp:docPr id="13" name="Picture 2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h-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745" cy="508000"/>
                                          </a:xfrm>
                                          <a:prstGeom prst="rect">
                                            <a:avLst/>
                                          </a:prstGeom>
                                          <a:noFill/>
                                          <a:ln>
                                            <a:noFill/>
                                          </a:ln>
                                        </pic:spPr>
                                      </pic:pic>
                                    </a:graphicData>
                                  </a:graphic>
                                </wp:inline>
                              </w:drawing>
                            </w:r>
                            <w:r w:rsidRPr="001D3E10">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65FB9B" id="Text Box 11" o:spid="_x0000_s1032" type="#_x0000_t202" style="position:absolute;left:0;text-align:left;margin-left:100.95pt;margin-top:-29.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" filled="f" stroked="f">
                <v:textbox>
                  <w:txbxContent>
                    <w:p w14:paraId="3243DCDF" w14:textId="77777777" w:rsidR="00CB7C3D" w:rsidRPr="001D3E10" w:rsidRDefault="00CB7C3D" w:rsidP="007374FF">
                      <w:r w:rsidRPr="001D3E10">
                        <w:rPr>
                          <w:noProof/>
                          <w:sz w:val="20"/>
                          <w:szCs w:val="20"/>
                        </w:rPr>
                        <w:drawing>
                          <wp:inline distT="0" distB="0" distL="0" distR="0" wp14:anchorId="0BCB208F" wp14:editId="0AACB25F">
                            <wp:extent cx="2658745" cy="508000"/>
                            <wp:effectExtent l="0" t="0" r="8255" b="0"/>
                            <wp:docPr id="13" name="Picture 2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h-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745" cy="508000"/>
                                    </a:xfrm>
                                    <a:prstGeom prst="rect">
                                      <a:avLst/>
                                    </a:prstGeom>
                                    <a:noFill/>
                                    <a:ln>
                                      <a:noFill/>
                                    </a:ln>
                                  </pic:spPr>
                                </pic:pic>
                              </a:graphicData>
                            </a:graphic>
                          </wp:inline>
                        </w:drawing>
                      </w:r>
                      <w:r w:rsidRPr="001D3E10">
                        <w:tab/>
                        <w:t xml:space="preserve">                              </w:t>
                      </w:r>
                    </w:p>
                  </w:txbxContent>
                </v:textbox>
              </v:shape>
            </w:pict>
          </mc:Fallback>
        </mc:AlternateContent>
      </w:r>
      <w:r w:rsidR="00301BF1" w:rsidRPr="001D3E10">
        <w:rPr>
          <w:rFonts w:ascii="Cambria" w:hAnsi="Cambria" w:cs="Univers"/>
          <w:b/>
          <w:bCs/>
          <w:sz w:val="20"/>
          <w:szCs w:val="20"/>
        </w:rPr>
        <w:t xml:space="preserve">A </w:t>
      </w:r>
      <w:r w:rsidR="00F52C1E" w:rsidRPr="001D3E10">
        <w:rPr>
          <w:rFonts w:ascii="Cambria" w:hAnsi="Cambria" w:cs="Univers"/>
          <w:b/>
          <w:bCs/>
          <w:sz w:val="20"/>
          <w:szCs w:val="20"/>
        </w:rPr>
        <w:t xml:space="preserve">                                                                                                                                                                                                                                                                                                                                                                                                                                                                                                                                                                                                                                            </w:t>
      </w:r>
      <w:r w:rsidR="00987A72" w:rsidRPr="001D3E10">
        <w:rPr>
          <w:rFonts w:ascii="Cambria" w:hAnsi="Cambria" w:cs="Univers"/>
          <w:b/>
          <w:bCs/>
          <w:sz w:val="20"/>
          <w:szCs w:val="20"/>
        </w:rPr>
        <w:t xml:space="preserve"> </w:t>
      </w:r>
    </w:p>
    <w:p w14:paraId="0968DF60" w14:textId="77777777" w:rsidR="007374FF" w:rsidRPr="001D3E10" w:rsidRDefault="007374FF" w:rsidP="007374FF">
      <w:pPr>
        <w:tabs>
          <w:tab w:val="left" w:pos="567"/>
          <w:tab w:val="center" w:pos="5400"/>
        </w:tabs>
        <w:suppressAutoHyphens/>
        <w:jc w:val="both"/>
        <w:rPr>
          <w:rFonts w:ascii="Cambria" w:hAnsi="Cambria"/>
          <w:sz w:val="20"/>
          <w:szCs w:val="20"/>
        </w:rPr>
      </w:pPr>
    </w:p>
    <w:p w14:paraId="174E1648" w14:textId="77777777" w:rsidR="007374FF" w:rsidRPr="001D3E10" w:rsidRDefault="007374FF" w:rsidP="007374FF">
      <w:pPr>
        <w:tabs>
          <w:tab w:val="left" w:pos="567"/>
          <w:tab w:val="center" w:pos="5400"/>
        </w:tabs>
        <w:suppressAutoHyphens/>
        <w:jc w:val="both"/>
        <w:rPr>
          <w:rFonts w:ascii="Cambria" w:hAnsi="Cambria"/>
          <w:sz w:val="20"/>
          <w:szCs w:val="20"/>
        </w:rPr>
      </w:pPr>
    </w:p>
    <w:p w14:paraId="29B988AC" w14:textId="77777777" w:rsidR="007374FF" w:rsidRPr="001D3E10" w:rsidRDefault="007374FF" w:rsidP="007374FF">
      <w:pPr>
        <w:tabs>
          <w:tab w:val="left" w:pos="567"/>
          <w:tab w:val="center" w:pos="5400"/>
        </w:tabs>
        <w:suppressAutoHyphens/>
        <w:rPr>
          <w:rFonts w:ascii="Cambria" w:hAnsi="Cambria"/>
          <w:sz w:val="20"/>
          <w:szCs w:val="20"/>
        </w:rPr>
      </w:pPr>
    </w:p>
    <w:p w14:paraId="4DBCF105" w14:textId="77777777" w:rsidR="007374FF" w:rsidRPr="001D3E10" w:rsidRDefault="007374FF" w:rsidP="007374FF">
      <w:pPr>
        <w:tabs>
          <w:tab w:val="left" w:pos="567"/>
          <w:tab w:val="center" w:pos="5400"/>
        </w:tabs>
        <w:suppressAutoHyphens/>
        <w:rPr>
          <w:rFonts w:ascii="Cambria" w:hAnsi="Cambria"/>
          <w:sz w:val="20"/>
          <w:szCs w:val="20"/>
        </w:rPr>
      </w:pPr>
    </w:p>
    <w:p w14:paraId="6477320B" w14:textId="77777777" w:rsidR="007374FF" w:rsidRPr="001D3E10" w:rsidRDefault="007374FF" w:rsidP="007374FF">
      <w:pPr>
        <w:tabs>
          <w:tab w:val="left" w:pos="567"/>
          <w:tab w:val="center" w:pos="5400"/>
        </w:tabs>
        <w:suppressAutoHyphens/>
        <w:rPr>
          <w:rFonts w:ascii="Cambria" w:hAnsi="Cambria"/>
          <w:sz w:val="20"/>
          <w:szCs w:val="20"/>
        </w:rPr>
      </w:pPr>
    </w:p>
    <w:p w14:paraId="4BC7B90C" w14:textId="77777777" w:rsidR="007374FF" w:rsidRPr="001D3E10" w:rsidRDefault="007374FF" w:rsidP="007374FF">
      <w:pPr>
        <w:tabs>
          <w:tab w:val="left" w:pos="567"/>
          <w:tab w:val="center" w:pos="5400"/>
        </w:tabs>
        <w:suppressAutoHyphens/>
        <w:jc w:val="center"/>
        <w:rPr>
          <w:rFonts w:ascii="Cambria" w:hAnsi="Cambria"/>
          <w:sz w:val="20"/>
          <w:szCs w:val="20"/>
        </w:rPr>
      </w:pPr>
    </w:p>
    <w:p w14:paraId="4812CE29" w14:textId="77777777" w:rsidR="007374FF" w:rsidRPr="001D3E10" w:rsidRDefault="007374FF" w:rsidP="007374FF">
      <w:pPr>
        <w:tabs>
          <w:tab w:val="left" w:pos="567"/>
          <w:tab w:val="center" w:pos="5400"/>
        </w:tabs>
        <w:suppressAutoHyphens/>
        <w:jc w:val="center"/>
        <w:rPr>
          <w:rFonts w:ascii="Cambria" w:hAnsi="Cambria"/>
          <w:sz w:val="20"/>
          <w:szCs w:val="20"/>
        </w:rPr>
      </w:pPr>
    </w:p>
    <w:p w14:paraId="147BDBB4" w14:textId="77777777" w:rsidR="007374FF" w:rsidRPr="001D3E10" w:rsidRDefault="007374FF" w:rsidP="007374FF">
      <w:pPr>
        <w:tabs>
          <w:tab w:val="left" w:pos="567"/>
          <w:tab w:val="center" w:pos="5400"/>
        </w:tabs>
        <w:suppressAutoHyphens/>
        <w:jc w:val="center"/>
        <w:rPr>
          <w:rFonts w:ascii="Cambria" w:hAnsi="Cambria"/>
          <w:sz w:val="20"/>
          <w:szCs w:val="20"/>
        </w:rPr>
      </w:pPr>
    </w:p>
    <w:p w14:paraId="6EA855F0" w14:textId="77777777" w:rsidR="007374FF" w:rsidRPr="001D3E10" w:rsidRDefault="007374FF" w:rsidP="007374FF">
      <w:pPr>
        <w:tabs>
          <w:tab w:val="left" w:pos="567"/>
          <w:tab w:val="center" w:pos="5400"/>
        </w:tabs>
        <w:suppressAutoHyphens/>
        <w:jc w:val="center"/>
        <w:rPr>
          <w:rFonts w:ascii="Cambria" w:hAnsi="Cambria"/>
          <w:sz w:val="20"/>
          <w:szCs w:val="20"/>
        </w:rPr>
      </w:pPr>
    </w:p>
    <w:p w14:paraId="4AF5D851" w14:textId="77777777" w:rsidR="007374FF" w:rsidRPr="001D3E10" w:rsidRDefault="007374FF" w:rsidP="007374FF">
      <w:pPr>
        <w:tabs>
          <w:tab w:val="left" w:pos="567"/>
          <w:tab w:val="center" w:pos="5400"/>
        </w:tabs>
        <w:suppressAutoHyphens/>
        <w:jc w:val="center"/>
        <w:rPr>
          <w:rFonts w:ascii="Cambria" w:hAnsi="Cambria"/>
          <w:sz w:val="20"/>
          <w:szCs w:val="20"/>
        </w:rPr>
      </w:pPr>
    </w:p>
    <w:p w14:paraId="54786647" w14:textId="77777777" w:rsidR="007374FF" w:rsidRPr="001D3E10" w:rsidRDefault="007374FF" w:rsidP="007374FF">
      <w:pPr>
        <w:tabs>
          <w:tab w:val="left" w:pos="567"/>
          <w:tab w:val="center" w:pos="5400"/>
        </w:tabs>
        <w:suppressAutoHyphens/>
        <w:jc w:val="center"/>
        <w:rPr>
          <w:rFonts w:ascii="Cambria" w:hAnsi="Cambria"/>
          <w:sz w:val="20"/>
          <w:szCs w:val="20"/>
        </w:rPr>
      </w:pPr>
    </w:p>
    <w:p w14:paraId="29F89D3E" w14:textId="77777777" w:rsidR="007374FF" w:rsidRPr="001D3E10" w:rsidRDefault="007374FF" w:rsidP="007374FF">
      <w:pPr>
        <w:tabs>
          <w:tab w:val="left" w:pos="567"/>
          <w:tab w:val="center" w:pos="5400"/>
        </w:tabs>
        <w:suppressAutoHyphens/>
        <w:jc w:val="center"/>
        <w:rPr>
          <w:rFonts w:ascii="Cambria" w:hAnsi="Cambria"/>
          <w:sz w:val="20"/>
          <w:szCs w:val="20"/>
        </w:rPr>
      </w:pPr>
    </w:p>
    <w:p w14:paraId="41B51922" w14:textId="77777777" w:rsidR="007374FF" w:rsidRPr="001D3E10" w:rsidRDefault="007374FF" w:rsidP="007374FF">
      <w:pPr>
        <w:tabs>
          <w:tab w:val="left" w:pos="567"/>
          <w:tab w:val="center" w:pos="5400"/>
        </w:tabs>
        <w:suppressAutoHyphens/>
        <w:jc w:val="center"/>
        <w:rPr>
          <w:rFonts w:ascii="Cambria" w:hAnsi="Cambria"/>
          <w:sz w:val="20"/>
          <w:szCs w:val="20"/>
        </w:rPr>
      </w:pPr>
    </w:p>
    <w:p w14:paraId="5B91FD60" w14:textId="77777777" w:rsidR="007374FF" w:rsidRPr="001D3E10" w:rsidRDefault="007374FF" w:rsidP="007374FF">
      <w:pPr>
        <w:tabs>
          <w:tab w:val="left" w:pos="567"/>
          <w:tab w:val="center" w:pos="5400"/>
        </w:tabs>
        <w:suppressAutoHyphens/>
        <w:jc w:val="center"/>
        <w:rPr>
          <w:rFonts w:ascii="Cambria" w:hAnsi="Cambria"/>
          <w:sz w:val="20"/>
          <w:szCs w:val="20"/>
        </w:rPr>
      </w:pPr>
    </w:p>
    <w:p w14:paraId="0AB2256B" w14:textId="77777777" w:rsidR="007374FF" w:rsidRPr="001D3E10" w:rsidRDefault="007374FF" w:rsidP="007374FF">
      <w:pPr>
        <w:tabs>
          <w:tab w:val="left" w:pos="567"/>
          <w:tab w:val="center" w:pos="5400"/>
        </w:tabs>
        <w:suppressAutoHyphens/>
        <w:jc w:val="center"/>
        <w:rPr>
          <w:rFonts w:ascii="Cambria" w:hAnsi="Cambria"/>
          <w:sz w:val="20"/>
          <w:szCs w:val="20"/>
        </w:rPr>
      </w:pPr>
    </w:p>
    <w:p w14:paraId="6F522FAB" w14:textId="77777777" w:rsidR="007374FF" w:rsidRPr="001D3E10" w:rsidRDefault="007374FF" w:rsidP="007374FF">
      <w:pPr>
        <w:tabs>
          <w:tab w:val="left" w:pos="567"/>
          <w:tab w:val="center" w:pos="5400"/>
        </w:tabs>
        <w:suppressAutoHyphens/>
        <w:jc w:val="center"/>
        <w:rPr>
          <w:rFonts w:ascii="Cambria" w:hAnsi="Cambria"/>
          <w:sz w:val="20"/>
          <w:szCs w:val="20"/>
        </w:rPr>
      </w:pPr>
    </w:p>
    <w:p w14:paraId="3EFB9CFF" w14:textId="77777777" w:rsidR="007374FF" w:rsidRPr="001D3E10" w:rsidRDefault="007374FF" w:rsidP="007374FF">
      <w:pPr>
        <w:tabs>
          <w:tab w:val="left" w:pos="567"/>
          <w:tab w:val="center" w:pos="5400"/>
        </w:tabs>
        <w:suppressAutoHyphens/>
        <w:jc w:val="center"/>
        <w:rPr>
          <w:rFonts w:ascii="Cambria" w:hAnsi="Cambria"/>
          <w:sz w:val="20"/>
          <w:szCs w:val="20"/>
        </w:rPr>
      </w:pPr>
    </w:p>
    <w:p w14:paraId="55C2AF70" w14:textId="77777777" w:rsidR="007374FF" w:rsidRPr="001D3E10" w:rsidRDefault="007374FF" w:rsidP="007374FF">
      <w:pPr>
        <w:tabs>
          <w:tab w:val="left" w:pos="567"/>
          <w:tab w:val="center" w:pos="5400"/>
        </w:tabs>
        <w:suppressAutoHyphens/>
        <w:jc w:val="center"/>
        <w:rPr>
          <w:rFonts w:ascii="Cambria" w:hAnsi="Cambria" w:cs="Arial"/>
          <w:sz w:val="20"/>
          <w:szCs w:val="20"/>
        </w:rPr>
      </w:pPr>
    </w:p>
    <w:p w14:paraId="28D13C7F" w14:textId="77777777" w:rsidR="007374FF" w:rsidRPr="001D3E10" w:rsidRDefault="007374FF" w:rsidP="007374FF">
      <w:pPr>
        <w:tabs>
          <w:tab w:val="left" w:pos="567"/>
          <w:tab w:val="center" w:pos="5400"/>
        </w:tabs>
        <w:suppressAutoHyphens/>
        <w:jc w:val="center"/>
        <w:rPr>
          <w:rFonts w:ascii="Cambria" w:hAnsi="Cambria"/>
          <w:sz w:val="20"/>
          <w:szCs w:val="20"/>
        </w:rPr>
      </w:pPr>
    </w:p>
    <w:p w14:paraId="7E0AA1AF" w14:textId="77777777" w:rsidR="007374FF" w:rsidRPr="001D3E10" w:rsidRDefault="007374FF" w:rsidP="007374FF">
      <w:pPr>
        <w:tabs>
          <w:tab w:val="left" w:pos="567"/>
          <w:tab w:val="center" w:pos="5400"/>
        </w:tabs>
        <w:suppressAutoHyphens/>
        <w:jc w:val="center"/>
        <w:rPr>
          <w:rFonts w:ascii="Cambria" w:hAnsi="Cambria"/>
          <w:sz w:val="20"/>
          <w:szCs w:val="20"/>
        </w:rPr>
      </w:pPr>
    </w:p>
    <w:p w14:paraId="78E9B6B3" w14:textId="77777777" w:rsidR="007374FF" w:rsidRPr="001D3E10" w:rsidRDefault="007374FF" w:rsidP="007374FF">
      <w:pPr>
        <w:tabs>
          <w:tab w:val="left" w:pos="567"/>
          <w:tab w:val="center" w:pos="5400"/>
        </w:tabs>
        <w:suppressAutoHyphens/>
        <w:jc w:val="center"/>
        <w:rPr>
          <w:rFonts w:ascii="Cambria" w:hAnsi="Cambria"/>
          <w:sz w:val="20"/>
          <w:szCs w:val="20"/>
        </w:rPr>
      </w:pPr>
    </w:p>
    <w:p w14:paraId="3912E23F" w14:textId="77777777" w:rsidR="007374FF" w:rsidRPr="001D3E10" w:rsidRDefault="007374FF" w:rsidP="007374FF">
      <w:pPr>
        <w:tabs>
          <w:tab w:val="left" w:pos="567"/>
          <w:tab w:val="center" w:pos="5400"/>
        </w:tabs>
        <w:suppressAutoHyphens/>
        <w:jc w:val="center"/>
        <w:rPr>
          <w:rFonts w:ascii="Cambria" w:hAnsi="Cambria"/>
          <w:sz w:val="20"/>
          <w:szCs w:val="20"/>
        </w:rPr>
      </w:pPr>
    </w:p>
    <w:p w14:paraId="247E500C" w14:textId="77777777" w:rsidR="007374FF" w:rsidRPr="001D3E10" w:rsidRDefault="007374FF" w:rsidP="007374FF">
      <w:pPr>
        <w:tabs>
          <w:tab w:val="left" w:pos="567"/>
          <w:tab w:val="center" w:pos="5400"/>
        </w:tabs>
        <w:suppressAutoHyphens/>
        <w:jc w:val="center"/>
        <w:rPr>
          <w:rFonts w:ascii="Cambria" w:hAnsi="Cambria"/>
          <w:sz w:val="20"/>
          <w:szCs w:val="20"/>
        </w:rPr>
      </w:pPr>
    </w:p>
    <w:p w14:paraId="1CD1A8F0" w14:textId="77777777" w:rsidR="007374FF" w:rsidRPr="001D3E10" w:rsidRDefault="007374FF" w:rsidP="007374FF">
      <w:pPr>
        <w:tabs>
          <w:tab w:val="left" w:pos="567"/>
          <w:tab w:val="center" w:pos="5400"/>
        </w:tabs>
        <w:suppressAutoHyphens/>
        <w:jc w:val="center"/>
        <w:rPr>
          <w:rFonts w:ascii="Cambria" w:hAnsi="Cambria"/>
          <w:sz w:val="20"/>
          <w:szCs w:val="20"/>
        </w:rPr>
      </w:pPr>
    </w:p>
    <w:p w14:paraId="324ACB17" w14:textId="77777777" w:rsidR="007374FF" w:rsidRPr="001D3E10" w:rsidRDefault="007374FF" w:rsidP="007374FF">
      <w:pPr>
        <w:tabs>
          <w:tab w:val="left" w:pos="567"/>
          <w:tab w:val="center" w:pos="5400"/>
        </w:tabs>
        <w:suppressAutoHyphens/>
        <w:jc w:val="center"/>
        <w:rPr>
          <w:rFonts w:ascii="Cambria" w:hAnsi="Cambria"/>
          <w:sz w:val="20"/>
          <w:szCs w:val="20"/>
        </w:rPr>
      </w:pPr>
    </w:p>
    <w:p w14:paraId="7A5E0B44" w14:textId="77777777" w:rsidR="007374FF" w:rsidRPr="001D3E10" w:rsidRDefault="007374FF" w:rsidP="007374FF">
      <w:pPr>
        <w:tabs>
          <w:tab w:val="left" w:pos="567"/>
          <w:tab w:val="center" w:pos="5400"/>
        </w:tabs>
        <w:suppressAutoHyphens/>
        <w:rPr>
          <w:rFonts w:ascii="Cambria" w:hAnsi="Cambria"/>
          <w:sz w:val="20"/>
          <w:szCs w:val="20"/>
        </w:rPr>
      </w:pPr>
    </w:p>
    <w:p w14:paraId="04E32EB6" w14:textId="77777777" w:rsidR="007374FF" w:rsidRPr="001D3E10" w:rsidRDefault="007374FF" w:rsidP="007374FF">
      <w:pPr>
        <w:tabs>
          <w:tab w:val="left" w:pos="567"/>
        </w:tabs>
        <w:rPr>
          <w:rFonts w:ascii="Cambria" w:eastAsia="Times New Roman" w:hAnsi="Cambria"/>
          <w:b/>
          <w:sz w:val="20"/>
          <w:szCs w:val="20"/>
          <w:bdr w:val="none" w:sz="0" w:space="0" w:color="auto" w:frame="1"/>
        </w:rPr>
      </w:pPr>
    </w:p>
    <w:p w14:paraId="1A83AB1A" w14:textId="77777777" w:rsidR="007374FF" w:rsidRPr="001D3E10" w:rsidRDefault="007374FF" w:rsidP="007374FF">
      <w:pPr>
        <w:tabs>
          <w:tab w:val="center" w:pos="5400"/>
        </w:tabs>
        <w:suppressAutoHyphens/>
        <w:jc w:val="center"/>
        <w:rPr>
          <w:rFonts w:ascii="Cambria" w:hAnsi="Cambria"/>
          <w:sz w:val="20"/>
          <w:szCs w:val="20"/>
        </w:rPr>
        <w:sectPr w:rsidR="007374FF" w:rsidRPr="001D3E10" w:rsidSect="00696341">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p>
    <w:sdt>
      <w:sdtPr>
        <w:rPr>
          <w:rFonts w:asciiTheme="minorHAnsi" w:eastAsia="Batang" w:hAnsiTheme="minorHAnsi" w:cs="Times New Roman"/>
          <w:color w:val="auto"/>
          <w:sz w:val="22"/>
          <w:szCs w:val="22"/>
          <w:lang w:val="es-AR"/>
        </w:rPr>
        <w:id w:val="-470902828"/>
        <w:docPartObj>
          <w:docPartGallery w:val="Table of Contents"/>
          <w:docPartUnique/>
        </w:docPartObj>
      </w:sdtPr>
      <w:sdtEndPr>
        <w:rPr>
          <w:b/>
          <w:bCs/>
        </w:rPr>
      </w:sdtEndPr>
      <w:sdtContent>
        <w:p w14:paraId="64ED9289" w14:textId="64A9134F" w:rsidR="006B6926" w:rsidRPr="00992645" w:rsidRDefault="001B5A37" w:rsidP="001B5A37">
          <w:pPr>
            <w:pStyle w:val="TOCHeading"/>
            <w:jc w:val="center"/>
            <w:rPr>
              <w:rFonts w:asciiTheme="minorHAnsi" w:hAnsiTheme="minorHAnsi"/>
              <w:b/>
              <w:bCs/>
              <w:color w:val="auto"/>
              <w:sz w:val="22"/>
              <w:szCs w:val="22"/>
              <w:lang w:val="es-AR"/>
            </w:rPr>
          </w:pPr>
          <w:r w:rsidRPr="00992645">
            <w:rPr>
              <w:rFonts w:asciiTheme="minorHAnsi" w:eastAsia="Batang" w:hAnsiTheme="minorHAnsi" w:cs="Times New Roman"/>
              <w:b/>
              <w:bCs/>
              <w:color w:val="auto"/>
              <w:sz w:val="22"/>
              <w:szCs w:val="22"/>
              <w:lang w:val="es-AR"/>
            </w:rPr>
            <w:t>ÍNDICE</w:t>
          </w:r>
        </w:p>
        <w:p w14:paraId="7D47FE2D" w14:textId="589376A5" w:rsidR="00992645" w:rsidRPr="00992645" w:rsidRDefault="006B6926">
          <w:pPr>
            <w:pStyle w:val="TOC1"/>
            <w:tabs>
              <w:tab w:val="left" w:pos="44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r w:rsidRPr="00992645">
            <w:rPr>
              <w:rFonts w:asciiTheme="minorHAnsi" w:hAnsiTheme="minorHAnsi"/>
              <w:color w:val="auto"/>
              <w:sz w:val="22"/>
              <w:szCs w:val="22"/>
            </w:rPr>
            <w:fldChar w:fldCharType="begin"/>
          </w:r>
          <w:r w:rsidRPr="00992645">
            <w:rPr>
              <w:rFonts w:asciiTheme="minorHAnsi" w:hAnsiTheme="minorHAnsi"/>
              <w:color w:val="auto"/>
              <w:sz w:val="22"/>
              <w:szCs w:val="22"/>
            </w:rPr>
            <w:instrText xml:space="preserve"> TOC \o "1-3" \h \z \u </w:instrText>
          </w:r>
          <w:r w:rsidRPr="00992645">
            <w:rPr>
              <w:rFonts w:asciiTheme="minorHAnsi" w:hAnsiTheme="minorHAnsi"/>
              <w:color w:val="auto"/>
              <w:sz w:val="22"/>
              <w:szCs w:val="22"/>
            </w:rPr>
            <w:fldChar w:fldCharType="separate"/>
          </w:r>
          <w:hyperlink w:anchor="_Toc203469394" w:history="1">
            <w:r w:rsidR="00992645" w:rsidRPr="00992645">
              <w:rPr>
                <w:rStyle w:val="Hyperlink"/>
                <w:rFonts w:asciiTheme="minorHAnsi" w:hAnsiTheme="minorHAnsi"/>
                <w:noProof/>
                <w:color w:val="auto"/>
                <w:sz w:val="22"/>
                <w:szCs w:val="22"/>
                <w:lang w:val="es-VE"/>
              </w:rPr>
              <w:t>I.</w:t>
            </w:r>
            <w:r w:rsidR="00992645" w:rsidRPr="00992645">
              <w:rPr>
                <w:rFonts w:asciiTheme="minorHAnsi" w:eastAsiaTheme="minorEastAsia" w:hAnsiTheme="minorHAnsi" w:cstheme="minorBidi"/>
                <w:b w:val="0"/>
                <w:noProof/>
                <w:color w:val="auto"/>
                <w:kern w:val="2"/>
                <w:sz w:val="22"/>
                <w:szCs w:val="22"/>
                <w:lang w:val="en-US"/>
                <w14:ligatures w14:val="standardContextual"/>
              </w:rPr>
              <w:tab/>
            </w:r>
            <w:r w:rsidR="00992645" w:rsidRPr="00992645">
              <w:rPr>
                <w:rStyle w:val="Hyperlink"/>
                <w:rFonts w:asciiTheme="minorHAnsi" w:hAnsiTheme="minorHAnsi"/>
                <w:noProof/>
                <w:color w:val="auto"/>
                <w:sz w:val="22"/>
                <w:szCs w:val="22"/>
              </w:rPr>
              <w:t>INTRODUCCIÓN</w:t>
            </w:r>
            <w:r w:rsidR="00992645" w:rsidRPr="00992645">
              <w:rPr>
                <w:rFonts w:asciiTheme="minorHAnsi" w:hAnsiTheme="minorHAnsi"/>
                <w:noProof/>
                <w:webHidden/>
                <w:color w:val="auto"/>
                <w:sz w:val="22"/>
                <w:szCs w:val="22"/>
              </w:rPr>
              <w:tab/>
            </w:r>
            <w:r w:rsidR="00992645" w:rsidRPr="00992645">
              <w:rPr>
                <w:rFonts w:asciiTheme="minorHAnsi" w:hAnsiTheme="minorHAnsi"/>
                <w:noProof/>
                <w:webHidden/>
                <w:color w:val="auto"/>
                <w:sz w:val="22"/>
                <w:szCs w:val="22"/>
              </w:rPr>
              <w:fldChar w:fldCharType="begin"/>
            </w:r>
            <w:r w:rsidR="00992645" w:rsidRPr="00992645">
              <w:rPr>
                <w:rFonts w:asciiTheme="minorHAnsi" w:hAnsiTheme="minorHAnsi"/>
                <w:noProof/>
                <w:webHidden/>
                <w:color w:val="auto"/>
                <w:sz w:val="22"/>
                <w:szCs w:val="22"/>
              </w:rPr>
              <w:instrText xml:space="preserve"> PAGEREF _Toc203469394 \h </w:instrText>
            </w:r>
            <w:r w:rsidR="00992645" w:rsidRPr="00992645">
              <w:rPr>
                <w:rFonts w:asciiTheme="minorHAnsi" w:hAnsiTheme="minorHAnsi"/>
                <w:noProof/>
                <w:webHidden/>
                <w:color w:val="auto"/>
                <w:sz w:val="22"/>
                <w:szCs w:val="22"/>
              </w:rPr>
            </w:r>
            <w:r w:rsidR="00992645" w:rsidRPr="00992645">
              <w:rPr>
                <w:rFonts w:asciiTheme="minorHAnsi" w:hAnsiTheme="minorHAnsi"/>
                <w:noProof/>
                <w:webHidden/>
                <w:color w:val="auto"/>
                <w:sz w:val="22"/>
                <w:szCs w:val="22"/>
              </w:rPr>
              <w:fldChar w:fldCharType="separate"/>
            </w:r>
            <w:r w:rsidR="00E50E21">
              <w:rPr>
                <w:rFonts w:asciiTheme="minorHAnsi" w:hAnsiTheme="minorHAnsi"/>
                <w:noProof/>
                <w:webHidden/>
                <w:color w:val="auto"/>
                <w:sz w:val="22"/>
                <w:szCs w:val="22"/>
              </w:rPr>
              <w:t>2</w:t>
            </w:r>
            <w:r w:rsidR="00992645" w:rsidRPr="00992645">
              <w:rPr>
                <w:rFonts w:asciiTheme="minorHAnsi" w:hAnsiTheme="minorHAnsi"/>
                <w:noProof/>
                <w:webHidden/>
                <w:color w:val="auto"/>
                <w:sz w:val="22"/>
                <w:szCs w:val="22"/>
              </w:rPr>
              <w:fldChar w:fldCharType="end"/>
            </w:r>
          </w:hyperlink>
        </w:p>
        <w:p w14:paraId="4DEEEF0C" w14:textId="023AB84B" w:rsidR="00992645" w:rsidRPr="00992645" w:rsidRDefault="00992645">
          <w:pPr>
            <w:pStyle w:val="TOC1"/>
            <w:tabs>
              <w:tab w:val="left" w:pos="44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469395" w:history="1">
            <w:r w:rsidRPr="00992645">
              <w:rPr>
                <w:rStyle w:val="Hyperlink"/>
                <w:rFonts w:asciiTheme="minorHAnsi" w:hAnsiTheme="minorHAnsi"/>
                <w:noProof/>
                <w:color w:val="auto"/>
                <w:sz w:val="22"/>
                <w:szCs w:val="22"/>
                <w:lang w:val="es-VE"/>
              </w:rPr>
              <w:t>II.</w:t>
            </w:r>
            <w:r w:rsidRPr="00992645">
              <w:rPr>
                <w:rFonts w:asciiTheme="minorHAnsi" w:eastAsiaTheme="minorEastAsia" w:hAnsiTheme="minorHAnsi" w:cstheme="minorBidi"/>
                <w:b w:val="0"/>
                <w:noProof/>
                <w:color w:val="auto"/>
                <w:kern w:val="2"/>
                <w:sz w:val="22"/>
                <w:szCs w:val="22"/>
                <w:lang w:val="en-US"/>
                <w14:ligatures w14:val="standardContextual"/>
              </w:rPr>
              <w:tab/>
            </w:r>
            <w:r w:rsidRPr="00992645">
              <w:rPr>
                <w:rStyle w:val="Hyperlink"/>
                <w:rFonts w:asciiTheme="minorHAnsi" w:hAnsiTheme="minorHAnsi"/>
                <w:noProof/>
                <w:color w:val="auto"/>
                <w:sz w:val="22"/>
                <w:szCs w:val="22"/>
              </w:rPr>
              <w:t>POSICIONES DE LAS PARTES</w:t>
            </w:r>
            <w:r w:rsidRPr="00992645">
              <w:rPr>
                <w:rFonts w:asciiTheme="minorHAnsi" w:hAnsiTheme="minorHAnsi"/>
                <w:noProof/>
                <w:webHidden/>
                <w:color w:val="auto"/>
                <w:sz w:val="22"/>
                <w:szCs w:val="22"/>
              </w:rPr>
              <w:tab/>
            </w:r>
            <w:r w:rsidRPr="00992645">
              <w:rPr>
                <w:rFonts w:asciiTheme="minorHAnsi" w:hAnsiTheme="minorHAnsi"/>
                <w:noProof/>
                <w:webHidden/>
                <w:color w:val="auto"/>
                <w:sz w:val="22"/>
                <w:szCs w:val="22"/>
              </w:rPr>
              <w:fldChar w:fldCharType="begin"/>
            </w:r>
            <w:r w:rsidRPr="00992645">
              <w:rPr>
                <w:rFonts w:asciiTheme="minorHAnsi" w:hAnsiTheme="minorHAnsi"/>
                <w:noProof/>
                <w:webHidden/>
                <w:color w:val="auto"/>
                <w:sz w:val="22"/>
                <w:szCs w:val="22"/>
              </w:rPr>
              <w:instrText xml:space="preserve"> PAGEREF _Toc203469395 \h </w:instrText>
            </w:r>
            <w:r w:rsidRPr="00992645">
              <w:rPr>
                <w:rFonts w:asciiTheme="minorHAnsi" w:hAnsiTheme="minorHAnsi"/>
                <w:noProof/>
                <w:webHidden/>
                <w:color w:val="auto"/>
                <w:sz w:val="22"/>
                <w:szCs w:val="22"/>
              </w:rPr>
            </w:r>
            <w:r w:rsidRPr="00992645">
              <w:rPr>
                <w:rFonts w:asciiTheme="minorHAnsi" w:hAnsiTheme="minorHAnsi"/>
                <w:noProof/>
                <w:webHidden/>
                <w:color w:val="auto"/>
                <w:sz w:val="22"/>
                <w:szCs w:val="22"/>
              </w:rPr>
              <w:fldChar w:fldCharType="separate"/>
            </w:r>
            <w:r w:rsidR="00E50E21">
              <w:rPr>
                <w:rFonts w:asciiTheme="minorHAnsi" w:hAnsiTheme="minorHAnsi"/>
                <w:noProof/>
                <w:webHidden/>
                <w:color w:val="auto"/>
                <w:sz w:val="22"/>
                <w:szCs w:val="22"/>
              </w:rPr>
              <w:t>2</w:t>
            </w:r>
            <w:r w:rsidRPr="00992645">
              <w:rPr>
                <w:rFonts w:asciiTheme="minorHAnsi" w:hAnsiTheme="minorHAnsi"/>
                <w:noProof/>
                <w:webHidden/>
                <w:color w:val="auto"/>
                <w:sz w:val="22"/>
                <w:szCs w:val="22"/>
              </w:rPr>
              <w:fldChar w:fldCharType="end"/>
            </w:r>
          </w:hyperlink>
        </w:p>
        <w:p w14:paraId="62556C02" w14:textId="639DE52C" w:rsidR="00992645" w:rsidRPr="00992645" w:rsidRDefault="00992645">
          <w:pPr>
            <w:pStyle w:val="TOC2"/>
            <w:tabs>
              <w:tab w:val="left" w:pos="440"/>
              <w:tab w:val="right" w:leader="dot" w:pos="9260"/>
            </w:tabs>
            <w:rPr>
              <w:rFonts w:asciiTheme="minorHAnsi" w:eastAsiaTheme="minorEastAsia" w:hAnsiTheme="minorHAnsi" w:cstheme="minorBidi"/>
              <w:noProof/>
              <w:kern w:val="2"/>
              <w:lang w:val="en-US"/>
              <w14:ligatures w14:val="standardContextual"/>
            </w:rPr>
          </w:pPr>
          <w:hyperlink w:anchor="_Toc203469396" w:history="1">
            <w:r w:rsidRPr="00992645">
              <w:rPr>
                <w:rStyle w:val="Hyperlink"/>
                <w:rFonts w:asciiTheme="minorHAnsi" w:hAnsiTheme="minorHAnsi"/>
                <w:noProof/>
              </w:rPr>
              <w:t>A.</w:t>
            </w:r>
            <w:r w:rsidRPr="00992645">
              <w:rPr>
                <w:rFonts w:asciiTheme="minorHAnsi" w:eastAsiaTheme="minorEastAsia" w:hAnsiTheme="minorHAnsi" w:cstheme="minorBidi"/>
                <w:noProof/>
                <w:kern w:val="2"/>
                <w:lang w:val="en-US"/>
                <w14:ligatures w14:val="standardContextual"/>
              </w:rPr>
              <w:tab/>
            </w:r>
            <w:r w:rsidRPr="00992645">
              <w:rPr>
                <w:rStyle w:val="Hyperlink"/>
                <w:rFonts w:asciiTheme="minorHAnsi" w:hAnsiTheme="minorHAnsi"/>
                <w:noProof/>
              </w:rPr>
              <w:t>Parte peticionaria</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_Toc203469396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2</w:t>
            </w:r>
            <w:r w:rsidRPr="00992645">
              <w:rPr>
                <w:rFonts w:asciiTheme="minorHAnsi" w:hAnsiTheme="minorHAnsi"/>
                <w:noProof/>
                <w:webHidden/>
              </w:rPr>
              <w:fldChar w:fldCharType="end"/>
            </w:r>
          </w:hyperlink>
        </w:p>
        <w:p w14:paraId="021D81F7" w14:textId="79345D00" w:rsidR="00992645" w:rsidRPr="00992645" w:rsidRDefault="00992645">
          <w:pPr>
            <w:pStyle w:val="TOC2"/>
            <w:tabs>
              <w:tab w:val="left" w:pos="440"/>
              <w:tab w:val="right" w:leader="dot" w:pos="9260"/>
            </w:tabs>
            <w:rPr>
              <w:rFonts w:asciiTheme="minorHAnsi" w:eastAsiaTheme="minorEastAsia" w:hAnsiTheme="minorHAnsi" w:cstheme="minorBidi"/>
              <w:noProof/>
              <w:kern w:val="2"/>
              <w:lang w:val="en-US"/>
              <w14:ligatures w14:val="standardContextual"/>
            </w:rPr>
          </w:pPr>
          <w:hyperlink w:anchor="_Toc203469397" w:history="1">
            <w:r w:rsidRPr="00992645">
              <w:rPr>
                <w:rStyle w:val="Hyperlink"/>
                <w:rFonts w:asciiTheme="minorHAnsi" w:hAnsiTheme="minorHAnsi"/>
                <w:noProof/>
              </w:rPr>
              <w:t>B.</w:t>
            </w:r>
            <w:r w:rsidRPr="00992645">
              <w:rPr>
                <w:rFonts w:asciiTheme="minorHAnsi" w:eastAsiaTheme="minorEastAsia" w:hAnsiTheme="minorHAnsi" w:cstheme="minorBidi"/>
                <w:noProof/>
                <w:kern w:val="2"/>
                <w:lang w:val="en-US"/>
                <w14:ligatures w14:val="standardContextual"/>
              </w:rPr>
              <w:tab/>
            </w:r>
            <w:r w:rsidRPr="00992645">
              <w:rPr>
                <w:rStyle w:val="Hyperlink"/>
                <w:rFonts w:asciiTheme="minorHAnsi" w:hAnsiTheme="minorHAnsi"/>
                <w:noProof/>
              </w:rPr>
              <w:t>Estado</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_Toc203469397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4</w:t>
            </w:r>
            <w:r w:rsidRPr="00992645">
              <w:rPr>
                <w:rFonts w:asciiTheme="minorHAnsi" w:hAnsiTheme="minorHAnsi"/>
                <w:noProof/>
                <w:webHidden/>
              </w:rPr>
              <w:fldChar w:fldCharType="end"/>
            </w:r>
          </w:hyperlink>
        </w:p>
        <w:p w14:paraId="410F9029" w14:textId="1223869C" w:rsidR="00992645" w:rsidRPr="00992645" w:rsidRDefault="00992645">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469398" w:history="1">
            <w:r w:rsidRPr="00992645">
              <w:rPr>
                <w:rStyle w:val="Hyperlink"/>
                <w:rFonts w:asciiTheme="minorHAnsi" w:hAnsiTheme="minorHAnsi"/>
                <w:noProof/>
                <w:color w:val="auto"/>
                <w:sz w:val="22"/>
                <w:szCs w:val="22"/>
                <w:lang w:val="es-VE"/>
              </w:rPr>
              <w:t>III.</w:t>
            </w:r>
            <w:r w:rsidRPr="00992645">
              <w:rPr>
                <w:rFonts w:asciiTheme="minorHAnsi" w:eastAsiaTheme="minorEastAsia" w:hAnsiTheme="minorHAnsi" w:cstheme="minorBidi"/>
                <w:b w:val="0"/>
                <w:noProof/>
                <w:color w:val="auto"/>
                <w:kern w:val="2"/>
                <w:sz w:val="22"/>
                <w:szCs w:val="22"/>
                <w:lang w:val="en-US"/>
                <w14:ligatures w14:val="standardContextual"/>
              </w:rPr>
              <w:tab/>
            </w:r>
            <w:r w:rsidRPr="00992645">
              <w:rPr>
                <w:rStyle w:val="Hyperlink"/>
                <w:rFonts w:asciiTheme="minorHAnsi" w:hAnsiTheme="minorHAnsi"/>
                <w:noProof/>
                <w:color w:val="auto"/>
                <w:sz w:val="22"/>
                <w:szCs w:val="22"/>
              </w:rPr>
              <w:t>ANÁLISIS DE ADMISIBILIDAD</w:t>
            </w:r>
            <w:r w:rsidRPr="00992645">
              <w:rPr>
                <w:rFonts w:asciiTheme="minorHAnsi" w:hAnsiTheme="minorHAnsi"/>
                <w:noProof/>
                <w:webHidden/>
                <w:color w:val="auto"/>
                <w:sz w:val="22"/>
                <w:szCs w:val="22"/>
              </w:rPr>
              <w:tab/>
            </w:r>
            <w:r w:rsidRPr="00992645">
              <w:rPr>
                <w:rFonts w:asciiTheme="minorHAnsi" w:hAnsiTheme="minorHAnsi"/>
                <w:noProof/>
                <w:webHidden/>
                <w:color w:val="auto"/>
                <w:sz w:val="22"/>
                <w:szCs w:val="22"/>
              </w:rPr>
              <w:fldChar w:fldCharType="begin"/>
            </w:r>
            <w:r w:rsidRPr="00992645">
              <w:rPr>
                <w:rFonts w:asciiTheme="minorHAnsi" w:hAnsiTheme="minorHAnsi"/>
                <w:noProof/>
                <w:webHidden/>
                <w:color w:val="auto"/>
                <w:sz w:val="22"/>
                <w:szCs w:val="22"/>
              </w:rPr>
              <w:instrText xml:space="preserve"> PAGEREF _Toc203469398 \h </w:instrText>
            </w:r>
            <w:r w:rsidRPr="00992645">
              <w:rPr>
                <w:rFonts w:asciiTheme="minorHAnsi" w:hAnsiTheme="minorHAnsi"/>
                <w:noProof/>
                <w:webHidden/>
                <w:color w:val="auto"/>
                <w:sz w:val="22"/>
                <w:szCs w:val="22"/>
              </w:rPr>
            </w:r>
            <w:r w:rsidRPr="00992645">
              <w:rPr>
                <w:rFonts w:asciiTheme="minorHAnsi" w:hAnsiTheme="minorHAnsi"/>
                <w:noProof/>
                <w:webHidden/>
                <w:color w:val="auto"/>
                <w:sz w:val="22"/>
                <w:szCs w:val="22"/>
              </w:rPr>
              <w:fldChar w:fldCharType="separate"/>
            </w:r>
            <w:r w:rsidR="00E50E21">
              <w:rPr>
                <w:rFonts w:asciiTheme="minorHAnsi" w:hAnsiTheme="minorHAnsi"/>
                <w:noProof/>
                <w:webHidden/>
                <w:color w:val="auto"/>
                <w:sz w:val="22"/>
                <w:szCs w:val="22"/>
              </w:rPr>
              <w:t>6</w:t>
            </w:r>
            <w:r w:rsidRPr="00992645">
              <w:rPr>
                <w:rFonts w:asciiTheme="minorHAnsi" w:hAnsiTheme="minorHAnsi"/>
                <w:noProof/>
                <w:webHidden/>
                <w:color w:val="auto"/>
                <w:sz w:val="22"/>
                <w:szCs w:val="22"/>
              </w:rPr>
              <w:fldChar w:fldCharType="end"/>
            </w:r>
          </w:hyperlink>
        </w:p>
        <w:p w14:paraId="0D1A4DEA" w14:textId="44FD91B5" w:rsidR="00992645" w:rsidRPr="00992645" w:rsidRDefault="00992645">
          <w:pPr>
            <w:pStyle w:val="TOC2"/>
            <w:tabs>
              <w:tab w:val="left" w:pos="440"/>
              <w:tab w:val="right" w:leader="dot" w:pos="9260"/>
            </w:tabs>
            <w:rPr>
              <w:rFonts w:asciiTheme="minorHAnsi" w:eastAsiaTheme="minorEastAsia" w:hAnsiTheme="minorHAnsi" w:cstheme="minorBidi"/>
              <w:noProof/>
              <w:kern w:val="2"/>
              <w:lang w:val="en-US"/>
              <w14:ligatures w14:val="standardContextual"/>
            </w:rPr>
          </w:pPr>
          <w:hyperlink w:anchor="_Toc203469399" w:history="1">
            <w:r w:rsidRPr="00992645">
              <w:rPr>
                <w:rStyle w:val="Hyperlink"/>
                <w:rFonts w:asciiTheme="minorHAnsi" w:hAnsiTheme="minorHAnsi"/>
                <w:noProof/>
              </w:rPr>
              <w:t>A.</w:t>
            </w:r>
            <w:r w:rsidRPr="00992645">
              <w:rPr>
                <w:rFonts w:asciiTheme="minorHAnsi" w:eastAsiaTheme="minorEastAsia" w:hAnsiTheme="minorHAnsi" w:cstheme="minorBidi"/>
                <w:noProof/>
                <w:kern w:val="2"/>
                <w:lang w:val="en-US"/>
                <w14:ligatures w14:val="standardContextual"/>
              </w:rPr>
              <w:tab/>
            </w:r>
            <w:r w:rsidRPr="00992645">
              <w:rPr>
                <w:rStyle w:val="Hyperlink"/>
                <w:rFonts w:asciiTheme="minorHAnsi" w:hAnsiTheme="minorHAnsi"/>
                <w:noProof/>
              </w:rPr>
              <w:t>Competencia, duplicación de procedimientos y cosa juzgada internacional</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_Toc203469399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6</w:t>
            </w:r>
            <w:r w:rsidRPr="00992645">
              <w:rPr>
                <w:rFonts w:asciiTheme="minorHAnsi" w:hAnsiTheme="minorHAnsi"/>
                <w:noProof/>
                <w:webHidden/>
              </w:rPr>
              <w:fldChar w:fldCharType="end"/>
            </w:r>
          </w:hyperlink>
        </w:p>
        <w:p w14:paraId="452BCC65" w14:textId="76FF18A9" w:rsidR="00992645" w:rsidRPr="00992645" w:rsidRDefault="00992645">
          <w:pPr>
            <w:pStyle w:val="TOC2"/>
            <w:tabs>
              <w:tab w:val="left" w:pos="440"/>
              <w:tab w:val="right" w:leader="dot" w:pos="9260"/>
            </w:tabs>
            <w:rPr>
              <w:rFonts w:asciiTheme="minorHAnsi" w:eastAsiaTheme="minorEastAsia" w:hAnsiTheme="minorHAnsi" w:cstheme="minorBidi"/>
              <w:noProof/>
              <w:kern w:val="2"/>
              <w:lang w:val="en-US"/>
              <w14:ligatures w14:val="standardContextual"/>
            </w:rPr>
          </w:pPr>
          <w:hyperlink w:anchor="_Toc203469400" w:history="1">
            <w:r w:rsidRPr="00992645">
              <w:rPr>
                <w:rStyle w:val="Hyperlink"/>
                <w:rFonts w:asciiTheme="minorHAnsi" w:hAnsiTheme="minorHAnsi"/>
                <w:noProof/>
              </w:rPr>
              <w:t>B.</w:t>
            </w:r>
            <w:r w:rsidRPr="00992645">
              <w:rPr>
                <w:rFonts w:asciiTheme="minorHAnsi" w:eastAsiaTheme="minorEastAsia" w:hAnsiTheme="minorHAnsi" w:cstheme="minorBidi"/>
                <w:noProof/>
                <w:kern w:val="2"/>
                <w:lang w:val="en-US"/>
                <w14:ligatures w14:val="standardContextual"/>
              </w:rPr>
              <w:tab/>
            </w:r>
            <w:r w:rsidRPr="00992645">
              <w:rPr>
                <w:rStyle w:val="Hyperlink"/>
                <w:rFonts w:asciiTheme="minorHAnsi" w:hAnsiTheme="minorHAnsi"/>
                <w:noProof/>
              </w:rPr>
              <w:t>Requisitos de admisibilidad</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_Toc203469400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6</w:t>
            </w:r>
            <w:r w:rsidRPr="00992645">
              <w:rPr>
                <w:rFonts w:asciiTheme="minorHAnsi" w:hAnsiTheme="minorHAnsi"/>
                <w:noProof/>
                <w:webHidden/>
              </w:rPr>
              <w:fldChar w:fldCharType="end"/>
            </w:r>
          </w:hyperlink>
        </w:p>
        <w:p w14:paraId="3C4D15FC" w14:textId="5460B2F2" w:rsidR="00992645" w:rsidRPr="00992645" w:rsidRDefault="00992645">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469401" w:history="1">
            <w:r w:rsidRPr="00992645">
              <w:rPr>
                <w:rStyle w:val="Hyperlink"/>
                <w:rFonts w:asciiTheme="minorHAnsi" w:hAnsiTheme="minorHAnsi"/>
                <w:iCs/>
                <w:noProof/>
              </w:rPr>
              <w:t>1.</w:t>
            </w:r>
            <w:r w:rsidRPr="00992645">
              <w:rPr>
                <w:rFonts w:asciiTheme="minorHAnsi" w:eastAsiaTheme="minorEastAsia" w:hAnsiTheme="minorHAnsi" w:cstheme="minorBidi"/>
                <w:i w:val="0"/>
                <w:noProof/>
                <w:kern w:val="2"/>
                <w:lang w:val="en-US"/>
                <w14:ligatures w14:val="standardContextual"/>
              </w:rPr>
              <w:tab/>
            </w:r>
            <w:r w:rsidRPr="00992645">
              <w:rPr>
                <w:rStyle w:val="Hyperlink"/>
                <w:rFonts w:asciiTheme="minorHAnsi" w:hAnsiTheme="minorHAnsi"/>
                <w:iCs/>
                <w:noProof/>
              </w:rPr>
              <w:t>Agotamiento de los recursos internos</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_Toc203469401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6</w:t>
            </w:r>
            <w:r w:rsidRPr="00992645">
              <w:rPr>
                <w:rFonts w:asciiTheme="minorHAnsi" w:hAnsiTheme="minorHAnsi"/>
                <w:noProof/>
                <w:webHidden/>
              </w:rPr>
              <w:fldChar w:fldCharType="end"/>
            </w:r>
          </w:hyperlink>
        </w:p>
        <w:p w14:paraId="74512F79" w14:textId="3BC3F953" w:rsidR="00992645" w:rsidRPr="00992645" w:rsidRDefault="00992645">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469402" w:history="1">
            <w:r w:rsidRPr="00992645">
              <w:rPr>
                <w:rStyle w:val="Hyperlink"/>
                <w:rFonts w:asciiTheme="minorHAnsi" w:hAnsiTheme="minorHAnsi"/>
                <w:iCs/>
                <w:noProof/>
              </w:rPr>
              <w:t>2.</w:t>
            </w:r>
            <w:r w:rsidRPr="00992645">
              <w:rPr>
                <w:rFonts w:asciiTheme="minorHAnsi" w:eastAsiaTheme="minorEastAsia" w:hAnsiTheme="minorHAnsi" w:cstheme="minorBidi"/>
                <w:i w:val="0"/>
                <w:noProof/>
                <w:kern w:val="2"/>
                <w:lang w:val="en-US"/>
                <w14:ligatures w14:val="standardContextual"/>
              </w:rPr>
              <w:tab/>
            </w:r>
            <w:r w:rsidRPr="00992645">
              <w:rPr>
                <w:rStyle w:val="Hyperlink"/>
                <w:rFonts w:asciiTheme="minorHAnsi" w:hAnsiTheme="minorHAnsi"/>
                <w:iCs/>
                <w:noProof/>
              </w:rPr>
              <w:t>Plazo de presentación de la petición</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_Toc203469402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7</w:t>
            </w:r>
            <w:r w:rsidRPr="00992645">
              <w:rPr>
                <w:rFonts w:asciiTheme="minorHAnsi" w:hAnsiTheme="minorHAnsi"/>
                <w:noProof/>
                <w:webHidden/>
              </w:rPr>
              <w:fldChar w:fldCharType="end"/>
            </w:r>
          </w:hyperlink>
        </w:p>
        <w:p w14:paraId="6997275F" w14:textId="146AE4CA" w:rsidR="00992645" w:rsidRPr="00992645" w:rsidRDefault="00992645">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469403" w:history="1">
            <w:r w:rsidRPr="00992645">
              <w:rPr>
                <w:rStyle w:val="Hyperlink"/>
                <w:rFonts w:asciiTheme="minorHAnsi" w:hAnsiTheme="minorHAnsi"/>
                <w:iCs/>
                <w:noProof/>
              </w:rPr>
              <w:t>3.</w:t>
            </w:r>
            <w:r w:rsidRPr="00992645">
              <w:rPr>
                <w:rFonts w:asciiTheme="minorHAnsi" w:eastAsiaTheme="minorEastAsia" w:hAnsiTheme="minorHAnsi" w:cstheme="minorBidi"/>
                <w:i w:val="0"/>
                <w:noProof/>
                <w:kern w:val="2"/>
                <w:lang w:val="en-US"/>
                <w14:ligatures w14:val="standardContextual"/>
              </w:rPr>
              <w:tab/>
            </w:r>
            <w:r w:rsidRPr="00992645">
              <w:rPr>
                <w:rStyle w:val="Hyperlink"/>
                <w:rFonts w:asciiTheme="minorHAnsi" w:hAnsiTheme="minorHAnsi"/>
                <w:iCs/>
                <w:noProof/>
              </w:rPr>
              <w:t>Caracterización de los hechos alegados</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_Toc203469403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7</w:t>
            </w:r>
            <w:r w:rsidRPr="00992645">
              <w:rPr>
                <w:rFonts w:asciiTheme="minorHAnsi" w:hAnsiTheme="minorHAnsi"/>
                <w:noProof/>
                <w:webHidden/>
              </w:rPr>
              <w:fldChar w:fldCharType="end"/>
            </w:r>
          </w:hyperlink>
        </w:p>
        <w:p w14:paraId="66CE4F6F" w14:textId="68878958" w:rsidR="00992645" w:rsidRPr="00992645" w:rsidRDefault="00992645">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469404" w:history="1">
            <w:r w:rsidRPr="00992645">
              <w:rPr>
                <w:rStyle w:val="Hyperlink"/>
                <w:rFonts w:asciiTheme="minorHAnsi" w:hAnsiTheme="minorHAnsi"/>
                <w:noProof/>
                <w:color w:val="auto"/>
                <w:sz w:val="22"/>
                <w:szCs w:val="22"/>
                <w:lang w:val="es-VE"/>
              </w:rPr>
              <w:t>IV.</w:t>
            </w:r>
            <w:r w:rsidRPr="00992645">
              <w:rPr>
                <w:rFonts w:asciiTheme="minorHAnsi" w:eastAsiaTheme="minorEastAsia" w:hAnsiTheme="minorHAnsi" w:cstheme="minorBidi"/>
                <w:b w:val="0"/>
                <w:noProof/>
                <w:color w:val="auto"/>
                <w:kern w:val="2"/>
                <w:sz w:val="22"/>
                <w:szCs w:val="22"/>
                <w:lang w:val="en-US"/>
                <w14:ligatures w14:val="standardContextual"/>
              </w:rPr>
              <w:tab/>
            </w:r>
            <w:r w:rsidRPr="00992645">
              <w:rPr>
                <w:rStyle w:val="Hyperlink"/>
                <w:rFonts w:asciiTheme="minorHAnsi" w:hAnsiTheme="minorHAnsi"/>
                <w:noProof/>
                <w:color w:val="auto"/>
                <w:sz w:val="22"/>
                <w:szCs w:val="22"/>
              </w:rPr>
              <w:t>DETERMINACIONES DE HECHO</w:t>
            </w:r>
            <w:r w:rsidRPr="00992645">
              <w:rPr>
                <w:rFonts w:asciiTheme="minorHAnsi" w:hAnsiTheme="minorHAnsi"/>
                <w:noProof/>
                <w:webHidden/>
                <w:color w:val="auto"/>
                <w:sz w:val="22"/>
                <w:szCs w:val="22"/>
              </w:rPr>
              <w:tab/>
            </w:r>
            <w:r w:rsidRPr="00992645">
              <w:rPr>
                <w:rFonts w:asciiTheme="minorHAnsi" w:hAnsiTheme="minorHAnsi"/>
                <w:noProof/>
                <w:webHidden/>
                <w:color w:val="auto"/>
                <w:sz w:val="22"/>
                <w:szCs w:val="22"/>
              </w:rPr>
              <w:fldChar w:fldCharType="begin"/>
            </w:r>
            <w:r w:rsidRPr="00992645">
              <w:rPr>
                <w:rFonts w:asciiTheme="minorHAnsi" w:hAnsiTheme="minorHAnsi"/>
                <w:noProof/>
                <w:webHidden/>
                <w:color w:val="auto"/>
                <w:sz w:val="22"/>
                <w:szCs w:val="22"/>
              </w:rPr>
              <w:instrText xml:space="preserve"> PAGEREF _Toc203469404 \h </w:instrText>
            </w:r>
            <w:r w:rsidRPr="00992645">
              <w:rPr>
                <w:rFonts w:asciiTheme="minorHAnsi" w:hAnsiTheme="minorHAnsi"/>
                <w:noProof/>
                <w:webHidden/>
                <w:color w:val="auto"/>
                <w:sz w:val="22"/>
                <w:szCs w:val="22"/>
              </w:rPr>
            </w:r>
            <w:r w:rsidRPr="00992645">
              <w:rPr>
                <w:rFonts w:asciiTheme="minorHAnsi" w:hAnsiTheme="minorHAnsi"/>
                <w:noProof/>
                <w:webHidden/>
                <w:color w:val="auto"/>
                <w:sz w:val="22"/>
                <w:szCs w:val="22"/>
              </w:rPr>
              <w:fldChar w:fldCharType="separate"/>
            </w:r>
            <w:r w:rsidR="00E50E21">
              <w:rPr>
                <w:rFonts w:asciiTheme="minorHAnsi" w:hAnsiTheme="minorHAnsi"/>
                <w:noProof/>
                <w:webHidden/>
                <w:color w:val="auto"/>
                <w:sz w:val="22"/>
                <w:szCs w:val="22"/>
              </w:rPr>
              <w:t>8</w:t>
            </w:r>
            <w:r w:rsidRPr="00992645">
              <w:rPr>
                <w:rFonts w:asciiTheme="minorHAnsi" w:hAnsiTheme="minorHAnsi"/>
                <w:noProof/>
                <w:webHidden/>
                <w:color w:val="auto"/>
                <w:sz w:val="22"/>
                <w:szCs w:val="22"/>
              </w:rPr>
              <w:fldChar w:fldCharType="end"/>
            </w:r>
          </w:hyperlink>
        </w:p>
        <w:p w14:paraId="13CA530F" w14:textId="2B1F0605" w:rsidR="00992645" w:rsidRPr="00992645" w:rsidRDefault="00992645">
          <w:pPr>
            <w:pStyle w:val="TOC2"/>
            <w:tabs>
              <w:tab w:val="left" w:pos="440"/>
              <w:tab w:val="right" w:leader="dot" w:pos="9260"/>
            </w:tabs>
            <w:rPr>
              <w:rFonts w:asciiTheme="minorHAnsi" w:eastAsiaTheme="minorEastAsia" w:hAnsiTheme="minorHAnsi" w:cstheme="minorBidi"/>
              <w:noProof/>
              <w:kern w:val="2"/>
              <w:lang w:val="en-US"/>
              <w14:ligatures w14:val="standardContextual"/>
            </w:rPr>
          </w:pPr>
          <w:hyperlink w:anchor="_Toc203469405" w:history="1">
            <w:r w:rsidRPr="00992645">
              <w:rPr>
                <w:rStyle w:val="Hyperlink"/>
                <w:rFonts w:asciiTheme="minorHAnsi" w:hAnsiTheme="minorHAnsi"/>
                <w:noProof/>
              </w:rPr>
              <w:t>A.</w:t>
            </w:r>
            <w:r w:rsidRPr="00992645">
              <w:rPr>
                <w:rFonts w:asciiTheme="minorHAnsi" w:eastAsiaTheme="minorEastAsia" w:hAnsiTheme="minorHAnsi" w:cstheme="minorBidi"/>
                <w:noProof/>
                <w:kern w:val="2"/>
                <w:lang w:val="en-US"/>
                <w14:ligatures w14:val="standardContextual"/>
              </w:rPr>
              <w:tab/>
            </w:r>
            <w:r w:rsidRPr="00992645">
              <w:rPr>
                <w:rStyle w:val="Hyperlink"/>
                <w:rFonts w:asciiTheme="minorHAnsi" w:hAnsiTheme="minorHAnsi"/>
                <w:noProof/>
              </w:rPr>
              <w:t>Proceso de Responsabilidad Patrimonial.</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_Toc203469405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8</w:t>
            </w:r>
            <w:r w:rsidRPr="00992645">
              <w:rPr>
                <w:rFonts w:asciiTheme="minorHAnsi" w:hAnsiTheme="minorHAnsi"/>
                <w:noProof/>
                <w:webHidden/>
              </w:rPr>
              <w:fldChar w:fldCharType="end"/>
            </w:r>
          </w:hyperlink>
        </w:p>
        <w:p w14:paraId="53E111FB" w14:textId="2C889864" w:rsidR="00992645" w:rsidRPr="00992645" w:rsidRDefault="00992645">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469406" w:history="1">
            <w:r w:rsidRPr="00992645">
              <w:rPr>
                <w:rStyle w:val="Hyperlink"/>
                <w:rFonts w:asciiTheme="minorHAnsi" w:hAnsiTheme="minorHAnsi"/>
                <w:noProof/>
              </w:rPr>
              <w:t>1.</w:t>
            </w:r>
            <w:r w:rsidRPr="00992645">
              <w:rPr>
                <w:rFonts w:asciiTheme="minorHAnsi" w:eastAsiaTheme="minorEastAsia" w:hAnsiTheme="minorHAnsi" w:cstheme="minorBidi"/>
                <w:i w:val="0"/>
                <w:noProof/>
                <w:kern w:val="2"/>
                <w:lang w:val="en-US"/>
                <w14:ligatures w14:val="standardContextual"/>
              </w:rPr>
              <w:tab/>
            </w:r>
            <w:r w:rsidRPr="00992645">
              <w:rPr>
                <w:rStyle w:val="Hyperlink"/>
                <w:rFonts w:asciiTheme="minorHAnsi" w:hAnsiTheme="minorHAnsi"/>
                <w:noProof/>
              </w:rPr>
              <w:t>Medida Cautelar de Inhibición general de bienes</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_Toc203469406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8</w:t>
            </w:r>
            <w:r w:rsidRPr="00992645">
              <w:rPr>
                <w:rFonts w:asciiTheme="minorHAnsi" w:hAnsiTheme="minorHAnsi"/>
                <w:noProof/>
                <w:webHidden/>
              </w:rPr>
              <w:fldChar w:fldCharType="end"/>
            </w:r>
          </w:hyperlink>
        </w:p>
        <w:p w14:paraId="7C7BB87A" w14:textId="4C1548AF" w:rsidR="00992645" w:rsidRPr="00992645" w:rsidRDefault="00992645">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469407" w:history="1">
            <w:r w:rsidRPr="00992645">
              <w:rPr>
                <w:rStyle w:val="Hyperlink"/>
                <w:rFonts w:asciiTheme="minorHAnsi" w:hAnsiTheme="minorHAnsi"/>
                <w:noProof/>
              </w:rPr>
              <w:t>2.</w:t>
            </w:r>
            <w:r w:rsidRPr="00992645">
              <w:rPr>
                <w:rFonts w:asciiTheme="minorHAnsi" w:eastAsiaTheme="minorEastAsia" w:hAnsiTheme="minorHAnsi" w:cstheme="minorBidi"/>
                <w:i w:val="0"/>
                <w:noProof/>
                <w:kern w:val="2"/>
                <w:lang w:val="en-US"/>
                <w14:ligatures w14:val="standardContextual"/>
              </w:rPr>
              <w:tab/>
            </w:r>
            <w:r w:rsidRPr="00992645">
              <w:rPr>
                <w:rStyle w:val="Hyperlink"/>
                <w:rFonts w:asciiTheme="minorHAnsi" w:hAnsiTheme="minorHAnsi"/>
                <w:noProof/>
              </w:rPr>
              <w:t>Decisión de primera instancia del proceso patrimonial</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_Toc203469407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10</w:t>
            </w:r>
            <w:r w:rsidRPr="00992645">
              <w:rPr>
                <w:rFonts w:asciiTheme="minorHAnsi" w:hAnsiTheme="minorHAnsi"/>
                <w:noProof/>
                <w:webHidden/>
              </w:rPr>
              <w:fldChar w:fldCharType="end"/>
            </w:r>
          </w:hyperlink>
        </w:p>
        <w:p w14:paraId="3161088C" w14:textId="6EADD24F" w:rsidR="00992645" w:rsidRPr="00992645" w:rsidRDefault="00992645">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469408" w:history="1">
            <w:r w:rsidRPr="00992645">
              <w:rPr>
                <w:rStyle w:val="Hyperlink"/>
                <w:rFonts w:asciiTheme="minorHAnsi" w:hAnsiTheme="minorHAnsi"/>
                <w:noProof/>
              </w:rPr>
              <w:t>3.</w:t>
            </w:r>
            <w:r w:rsidRPr="00992645">
              <w:rPr>
                <w:rFonts w:asciiTheme="minorHAnsi" w:eastAsiaTheme="minorEastAsia" w:hAnsiTheme="minorHAnsi" w:cstheme="minorBidi"/>
                <w:i w:val="0"/>
                <w:noProof/>
                <w:kern w:val="2"/>
                <w:lang w:val="en-US"/>
                <w14:ligatures w14:val="standardContextual"/>
              </w:rPr>
              <w:tab/>
            </w:r>
            <w:r w:rsidRPr="00992645">
              <w:rPr>
                <w:rStyle w:val="Hyperlink"/>
                <w:rFonts w:asciiTheme="minorHAnsi" w:hAnsiTheme="minorHAnsi"/>
                <w:noProof/>
              </w:rPr>
              <w:t>Archivo del proceso patrimonial y nueva inhibición general de bienes</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_Toc203469408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11</w:t>
            </w:r>
            <w:r w:rsidRPr="00992645">
              <w:rPr>
                <w:rFonts w:asciiTheme="minorHAnsi" w:hAnsiTheme="minorHAnsi"/>
                <w:noProof/>
                <w:webHidden/>
              </w:rPr>
              <w:fldChar w:fldCharType="end"/>
            </w:r>
          </w:hyperlink>
        </w:p>
        <w:p w14:paraId="7291AFCF" w14:textId="08F08CF3" w:rsidR="00992645" w:rsidRPr="00992645" w:rsidRDefault="00992645">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469409" w:history="1">
            <w:r w:rsidRPr="00992645">
              <w:rPr>
                <w:rStyle w:val="Hyperlink"/>
                <w:rFonts w:asciiTheme="minorHAnsi" w:hAnsiTheme="minorHAnsi"/>
                <w:noProof/>
                <w:color w:val="auto"/>
                <w:sz w:val="22"/>
                <w:szCs w:val="22"/>
                <w:lang w:val="es-VE"/>
              </w:rPr>
              <w:t>V.</w:t>
            </w:r>
            <w:r w:rsidRPr="00992645">
              <w:rPr>
                <w:rFonts w:asciiTheme="minorHAnsi" w:eastAsiaTheme="minorEastAsia" w:hAnsiTheme="minorHAnsi" w:cstheme="minorBidi"/>
                <w:b w:val="0"/>
                <w:noProof/>
                <w:color w:val="auto"/>
                <w:kern w:val="2"/>
                <w:sz w:val="22"/>
                <w:szCs w:val="22"/>
                <w:lang w:val="en-US"/>
                <w14:ligatures w14:val="standardContextual"/>
              </w:rPr>
              <w:tab/>
            </w:r>
            <w:r w:rsidRPr="00992645">
              <w:rPr>
                <w:rStyle w:val="Hyperlink"/>
                <w:rFonts w:asciiTheme="minorHAnsi" w:hAnsiTheme="minorHAnsi"/>
                <w:noProof/>
                <w:color w:val="auto"/>
                <w:sz w:val="22"/>
                <w:szCs w:val="22"/>
              </w:rPr>
              <w:t>ANÁLISIS DE DERECHO</w:t>
            </w:r>
            <w:r w:rsidRPr="00992645">
              <w:rPr>
                <w:rFonts w:asciiTheme="minorHAnsi" w:hAnsiTheme="minorHAnsi"/>
                <w:noProof/>
                <w:webHidden/>
                <w:color w:val="auto"/>
                <w:sz w:val="22"/>
                <w:szCs w:val="22"/>
              </w:rPr>
              <w:tab/>
            </w:r>
            <w:r w:rsidRPr="00992645">
              <w:rPr>
                <w:rFonts w:asciiTheme="minorHAnsi" w:hAnsiTheme="minorHAnsi"/>
                <w:noProof/>
                <w:webHidden/>
                <w:color w:val="auto"/>
                <w:sz w:val="22"/>
                <w:szCs w:val="22"/>
              </w:rPr>
              <w:fldChar w:fldCharType="begin"/>
            </w:r>
            <w:r w:rsidRPr="00992645">
              <w:rPr>
                <w:rFonts w:asciiTheme="minorHAnsi" w:hAnsiTheme="minorHAnsi"/>
                <w:noProof/>
                <w:webHidden/>
                <w:color w:val="auto"/>
                <w:sz w:val="22"/>
                <w:szCs w:val="22"/>
              </w:rPr>
              <w:instrText xml:space="preserve"> PAGEREF _Toc203469409 \h </w:instrText>
            </w:r>
            <w:r w:rsidRPr="00992645">
              <w:rPr>
                <w:rFonts w:asciiTheme="minorHAnsi" w:hAnsiTheme="minorHAnsi"/>
                <w:noProof/>
                <w:webHidden/>
                <w:color w:val="auto"/>
                <w:sz w:val="22"/>
                <w:szCs w:val="22"/>
              </w:rPr>
            </w:r>
            <w:r w:rsidRPr="00992645">
              <w:rPr>
                <w:rFonts w:asciiTheme="minorHAnsi" w:hAnsiTheme="minorHAnsi"/>
                <w:noProof/>
                <w:webHidden/>
                <w:color w:val="auto"/>
                <w:sz w:val="22"/>
                <w:szCs w:val="22"/>
              </w:rPr>
              <w:fldChar w:fldCharType="separate"/>
            </w:r>
            <w:r w:rsidR="00E50E21">
              <w:rPr>
                <w:rFonts w:asciiTheme="minorHAnsi" w:hAnsiTheme="minorHAnsi"/>
                <w:noProof/>
                <w:webHidden/>
                <w:color w:val="auto"/>
                <w:sz w:val="22"/>
                <w:szCs w:val="22"/>
              </w:rPr>
              <w:t>12</w:t>
            </w:r>
            <w:r w:rsidRPr="00992645">
              <w:rPr>
                <w:rFonts w:asciiTheme="minorHAnsi" w:hAnsiTheme="minorHAnsi"/>
                <w:noProof/>
                <w:webHidden/>
                <w:color w:val="auto"/>
                <w:sz w:val="22"/>
                <w:szCs w:val="22"/>
              </w:rPr>
              <w:fldChar w:fldCharType="end"/>
            </w:r>
          </w:hyperlink>
        </w:p>
        <w:p w14:paraId="5A1286F1" w14:textId="58AE3A15" w:rsidR="00992645" w:rsidRPr="00992645" w:rsidRDefault="00992645">
          <w:pPr>
            <w:pStyle w:val="TOC2"/>
            <w:tabs>
              <w:tab w:val="left" w:pos="440"/>
              <w:tab w:val="right" w:leader="dot" w:pos="9260"/>
            </w:tabs>
            <w:rPr>
              <w:rFonts w:asciiTheme="minorHAnsi" w:eastAsiaTheme="minorEastAsia" w:hAnsiTheme="minorHAnsi" w:cstheme="minorBidi"/>
              <w:noProof/>
              <w:kern w:val="2"/>
              <w:lang w:val="en-US"/>
              <w14:ligatures w14:val="standardContextual"/>
            </w:rPr>
          </w:pPr>
          <w:hyperlink w:anchor="_Toc203469410" w:history="1">
            <w:r w:rsidRPr="00992645">
              <w:rPr>
                <w:rStyle w:val="Hyperlink"/>
                <w:rFonts w:asciiTheme="minorHAnsi" w:hAnsiTheme="minorHAnsi"/>
                <w:noProof/>
              </w:rPr>
              <w:t>A.</w:t>
            </w:r>
            <w:r w:rsidRPr="00992645">
              <w:rPr>
                <w:rFonts w:asciiTheme="minorHAnsi" w:eastAsiaTheme="minorEastAsia" w:hAnsiTheme="minorHAnsi" w:cstheme="minorBidi"/>
                <w:noProof/>
                <w:kern w:val="2"/>
                <w:lang w:val="en-US"/>
                <w14:ligatures w14:val="standardContextual"/>
              </w:rPr>
              <w:tab/>
            </w:r>
            <w:r w:rsidRPr="00992645">
              <w:rPr>
                <w:rStyle w:val="Hyperlink"/>
                <w:rFonts w:asciiTheme="minorHAnsi" w:hAnsiTheme="minorHAnsi"/>
                <w:noProof/>
              </w:rPr>
              <w:t>Derechos a las garantías judiciales y protección judicial</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_Toc203469410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12</w:t>
            </w:r>
            <w:r w:rsidRPr="00992645">
              <w:rPr>
                <w:rFonts w:asciiTheme="minorHAnsi" w:hAnsiTheme="minorHAnsi"/>
                <w:noProof/>
                <w:webHidden/>
              </w:rPr>
              <w:fldChar w:fldCharType="end"/>
            </w:r>
          </w:hyperlink>
        </w:p>
        <w:p w14:paraId="13CFB760" w14:textId="5A1ABB19" w:rsidR="00992645" w:rsidRPr="00992645" w:rsidRDefault="00992645">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469411" w:history="1">
            <w:r w:rsidRPr="00992645">
              <w:rPr>
                <w:rStyle w:val="Hyperlink"/>
                <w:rFonts w:asciiTheme="minorHAnsi" w:hAnsiTheme="minorHAnsi"/>
                <w:noProof/>
              </w:rPr>
              <w:t>1.</w:t>
            </w:r>
            <w:r w:rsidRPr="00992645">
              <w:rPr>
                <w:rFonts w:asciiTheme="minorHAnsi" w:eastAsiaTheme="minorEastAsia" w:hAnsiTheme="minorHAnsi" w:cstheme="minorBidi"/>
                <w:i w:val="0"/>
                <w:noProof/>
                <w:kern w:val="2"/>
                <w:lang w:val="en-US"/>
                <w14:ligatures w14:val="standardContextual"/>
              </w:rPr>
              <w:tab/>
            </w:r>
            <w:r w:rsidRPr="00992645">
              <w:rPr>
                <w:rStyle w:val="Hyperlink"/>
                <w:rFonts w:asciiTheme="minorHAnsi" w:hAnsiTheme="minorHAnsi"/>
                <w:noProof/>
              </w:rPr>
              <w:t>Consideraciones generales</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_Toc203469411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12</w:t>
            </w:r>
            <w:r w:rsidRPr="00992645">
              <w:rPr>
                <w:rFonts w:asciiTheme="minorHAnsi" w:hAnsiTheme="minorHAnsi"/>
                <w:noProof/>
                <w:webHidden/>
              </w:rPr>
              <w:fldChar w:fldCharType="end"/>
            </w:r>
          </w:hyperlink>
        </w:p>
        <w:p w14:paraId="22BA9FF7" w14:textId="6765D3CF" w:rsidR="00992645" w:rsidRPr="00992645" w:rsidRDefault="00992645">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469412" w:history="1">
            <w:r w:rsidRPr="00992645">
              <w:rPr>
                <w:rStyle w:val="Hyperlink"/>
                <w:rFonts w:asciiTheme="minorHAnsi" w:hAnsiTheme="minorHAnsi"/>
                <w:noProof/>
              </w:rPr>
              <w:t>2.</w:t>
            </w:r>
            <w:r w:rsidRPr="00992645">
              <w:rPr>
                <w:rFonts w:asciiTheme="minorHAnsi" w:eastAsiaTheme="minorEastAsia" w:hAnsiTheme="minorHAnsi" w:cstheme="minorBidi"/>
                <w:i w:val="0"/>
                <w:noProof/>
                <w:kern w:val="2"/>
                <w:lang w:val="en-US"/>
                <w14:ligatures w14:val="standardContextual"/>
              </w:rPr>
              <w:tab/>
            </w:r>
            <w:r w:rsidRPr="00992645">
              <w:rPr>
                <w:rStyle w:val="Hyperlink"/>
                <w:rFonts w:asciiTheme="minorHAnsi" w:hAnsiTheme="minorHAnsi"/>
                <w:noProof/>
              </w:rPr>
              <w:t>Análisis del presente caso</w:t>
            </w:r>
            <w:r w:rsidRPr="00992645">
              <w:rPr>
                <w:rFonts w:asciiTheme="minorHAnsi" w:hAnsiTheme="minorHAnsi"/>
                <w:noProof/>
                <w:webHidden/>
              </w:rPr>
              <w:tab/>
            </w:r>
            <w:r w:rsidRPr="00992645">
              <w:rPr>
                <w:rFonts w:asciiTheme="minorHAnsi" w:hAnsiTheme="minorHAnsi"/>
                <w:noProof/>
                <w:webHidden/>
              </w:rPr>
              <w:fldChar w:fldCharType="begin"/>
            </w:r>
            <w:r w:rsidRPr="00992645">
              <w:rPr>
                <w:rFonts w:asciiTheme="minorHAnsi" w:hAnsiTheme="minorHAnsi"/>
                <w:noProof/>
                <w:webHidden/>
              </w:rPr>
              <w:instrText xml:space="preserve"> PAGEREF _Toc203469412 \h </w:instrText>
            </w:r>
            <w:r w:rsidRPr="00992645">
              <w:rPr>
                <w:rFonts w:asciiTheme="minorHAnsi" w:hAnsiTheme="minorHAnsi"/>
                <w:noProof/>
                <w:webHidden/>
              </w:rPr>
            </w:r>
            <w:r w:rsidRPr="00992645">
              <w:rPr>
                <w:rFonts w:asciiTheme="minorHAnsi" w:hAnsiTheme="minorHAnsi"/>
                <w:noProof/>
                <w:webHidden/>
              </w:rPr>
              <w:fldChar w:fldCharType="separate"/>
            </w:r>
            <w:r w:rsidR="00E50E21">
              <w:rPr>
                <w:rFonts w:asciiTheme="minorHAnsi" w:hAnsiTheme="minorHAnsi"/>
                <w:noProof/>
                <w:webHidden/>
              </w:rPr>
              <w:t>15</w:t>
            </w:r>
            <w:r w:rsidRPr="00992645">
              <w:rPr>
                <w:rFonts w:asciiTheme="minorHAnsi" w:hAnsiTheme="minorHAnsi"/>
                <w:noProof/>
                <w:webHidden/>
              </w:rPr>
              <w:fldChar w:fldCharType="end"/>
            </w:r>
          </w:hyperlink>
        </w:p>
        <w:p w14:paraId="6C978225" w14:textId="48C03D8D" w:rsidR="00992645" w:rsidRPr="00992645" w:rsidRDefault="00992645">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469413" w:history="1">
            <w:r w:rsidRPr="00992645">
              <w:rPr>
                <w:rStyle w:val="Hyperlink"/>
                <w:rFonts w:asciiTheme="minorHAnsi" w:hAnsiTheme="minorHAnsi"/>
                <w:noProof/>
                <w:color w:val="auto"/>
                <w:sz w:val="22"/>
                <w:szCs w:val="22"/>
                <w:lang w:val="es-VE"/>
              </w:rPr>
              <w:t>VI.</w:t>
            </w:r>
            <w:r w:rsidRPr="00992645">
              <w:rPr>
                <w:rFonts w:asciiTheme="minorHAnsi" w:eastAsiaTheme="minorEastAsia" w:hAnsiTheme="minorHAnsi" w:cstheme="minorBidi"/>
                <w:b w:val="0"/>
                <w:noProof/>
                <w:color w:val="auto"/>
                <w:kern w:val="2"/>
                <w:sz w:val="22"/>
                <w:szCs w:val="22"/>
                <w:lang w:val="en-US"/>
                <w14:ligatures w14:val="standardContextual"/>
              </w:rPr>
              <w:tab/>
            </w:r>
            <w:r w:rsidRPr="00992645">
              <w:rPr>
                <w:rStyle w:val="Hyperlink"/>
                <w:rFonts w:asciiTheme="minorHAnsi" w:hAnsiTheme="minorHAnsi"/>
                <w:noProof/>
                <w:color w:val="auto"/>
                <w:sz w:val="22"/>
                <w:szCs w:val="22"/>
              </w:rPr>
              <w:t>INFORME No. 323</w:t>
            </w:r>
            <w:r w:rsidRPr="00992645">
              <w:rPr>
                <w:rStyle w:val="Hyperlink"/>
                <w:rFonts w:asciiTheme="minorHAnsi" w:hAnsiTheme="minorHAnsi"/>
                <w:noProof/>
                <w:color w:val="auto"/>
                <w:sz w:val="22"/>
                <w:szCs w:val="22"/>
                <w:lang w:val="es-US"/>
              </w:rPr>
              <w:t>/20 E INFORMACI</w:t>
            </w:r>
            <w:r w:rsidRPr="00992645">
              <w:rPr>
                <w:rStyle w:val="Hyperlink"/>
                <w:rFonts w:asciiTheme="minorHAnsi" w:hAnsiTheme="minorHAnsi"/>
                <w:noProof/>
                <w:color w:val="auto"/>
                <w:sz w:val="22"/>
                <w:szCs w:val="22"/>
                <w:lang w:val="es-ES"/>
              </w:rPr>
              <w:t>Ó</w:t>
            </w:r>
            <w:r w:rsidRPr="00992645">
              <w:rPr>
                <w:rStyle w:val="Hyperlink"/>
                <w:rFonts w:asciiTheme="minorHAnsi" w:hAnsiTheme="minorHAnsi"/>
                <w:noProof/>
                <w:color w:val="auto"/>
                <w:sz w:val="22"/>
                <w:szCs w:val="22"/>
                <w:lang w:val="es-US"/>
              </w:rPr>
              <w:t>N DE CUMPLIMIENTO</w:t>
            </w:r>
            <w:r w:rsidRPr="00992645">
              <w:rPr>
                <w:rFonts w:asciiTheme="minorHAnsi" w:hAnsiTheme="minorHAnsi"/>
                <w:noProof/>
                <w:webHidden/>
                <w:color w:val="auto"/>
                <w:sz w:val="22"/>
                <w:szCs w:val="22"/>
              </w:rPr>
              <w:tab/>
            </w:r>
            <w:r w:rsidRPr="00992645">
              <w:rPr>
                <w:rFonts w:asciiTheme="minorHAnsi" w:hAnsiTheme="minorHAnsi"/>
                <w:noProof/>
                <w:webHidden/>
                <w:color w:val="auto"/>
                <w:sz w:val="22"/>
                <w:szCs w:val="22"/>
              </w:rPr>
              <w:fldChar w:fldCharType="begin"/>
            </w:r>
            <w:r w:rsidRPr="00992645">
              <w:rPr>
                <w:rFonts w:asciiTheme="minorHAnsi" w:hAnsiTheme="minorHAnsi"/>
                <w:noProof/>
                <w:webHidden/>
                <w:color w:val="auto"/>
                <w:sz w:val="22"/>
                <w:szCs w:val="22"/>
              </w:rPr>
              <w:instrText xml:space="preserve"> PAGEREF _Toc203469413 \h </w:instrText>
            </w:r>
            <w:r w:rsidRPr="00992645">
              <w:rPr>
                <w:rFonts w:asciiTheme="minorHAnsi" w:hAnsiTheme="minorHAnsi"/>
                <w:noProof/>
                <w:webHidden/>
                <w:color w:val="auto"/>
                <w:sz w:val="22"/>
                <w:szCs w:val="22"/>
              </w:rPr>
            </w:r>
            <w:r w:rsidRPr="00992645">
              <w:rPr>
                <w:rFonts w:asciiTheme="minorHAnsi" w:hAnsiTheme="minorHAnsi"/>
                <w:noProof/>
                <w:webHidden/>
                <w:color w:val="auto"/>
                <w:sz w:val="22"/>
                <w:szCs w:val="22"/>
              </w:rPr>
              <w:fldChar w:fldCharType="separate"/>
            </w:r>
            <w:r w:rsidR="00E50E21">
              <w:rPr>
                <w:rFonts w:asciiTheme="minorHAnsi" w:hAnsiTheme="minorHAnsi"/>
                <w:noProof/>
                <w:webHidden/>
                <w:color w:val="auto"/>
                <w:sz w:val="22"/>
                <w:szCs w:val="22"/>
              </w:rPr>
              <w:t>16</w:t>
            </w:r>
            <w:r w:rsidRPr="00992645">
              <w:rPr>
                <w:rFonts w:asciiTheme="minorHAnsi" w:hAnsiTheme="minorHAnsi"/>
                <w:noProof/>
                <w:webHidden/>
                <w:color w:val="auto"/>
                <w:sz w:val="22"/>
                <w:szCs w:val="22"/>
              </w:rPr>
              <w:fldChar w:fldCharType="end"/>
            </w:r>
          </w:hyperlink>
        </w:p>
        <w:p w14:paraId="0B68C739" w14:textId="105A6EB9" w:rsidR="00992645" w:rsidRPr="00992645" w:rsidRDefault="00992645">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469414" w:history="1">
            <w:r w:rsidRPr="00992645">
              <w:rPr>
                <w:rStyle w:val="Hyperlink"/>
                <w:rFonts w:asciiTheme="minorHAnsi" w:hAnsiTheme="minorHAnsi"/>
                <w:noProof/>
                <w:color w:val="auto"/>
                <w:sz w:val="22"/>
                <w:szCs w:val="22"/>
                <w:lang w:val="es-VE"/>
              </w:rPr>
              <w:t>VII.</w:t>
            </w:r>
            <w:r w:rsidRPr="00992645">
              <w:rPr>
                <w:rFonts w:asciiTheme="minorHAnsi" w:eastAsiaTheme="minorEastAsia" w:hAnsiTheme="minorHAnsi" w:cstheme="minorBidi"/>
                <w:b w:val="0"/>
                <w:noProof/>
                <w:color w:val="auto"/>
                <w:kern w:val="2"/>
                <w:sz w:val="22"/>
                <w:szCs w:val="22"/>
                <w:lang w:val="en-US"/>
                <w14:ligatures w14:val="standardContextual"/>
              </w:rPr>
              <w:tab/>
            </w:r>
            <w:r w:rsidRPr="00992645">
              <w:rPr>
                <w:rStyle w:val="Hyperlink"/>
                <w:rFonts w:asciiTheme="minorHAnsi" w:hAnsiTheme="minorHAnsi"/>
                <w:noProof/>
                <w:color w:val="auto"/>
                <w:sz w:val="22"/>
                <w:szCs w:val="22"/>
                <w:lang w:val="es-VE"/>
              </w:rPr>
              <w:t>ACTUACIONES POSTERIORES AL INFORME No. 59/25 E INFORMACIÓN SOBRE CUMPLIMIENTO</w:t>
            </w:r>
            <w:r w:rsidRPr="00992645">
              <w:rPr>
                <w:rFonts w:asciiTheme="minorHAnsi" w:hAnsiTheme="minorHAnsi"/>
                <w:noProof/>
                <w:webHidden/>
                <w:color w:val="auto"/>
                <w:sz w:val="22"/>
                <w:szCs w:val="22"/>
              </w:rPr>
              <w:tab/>
            </w:r>
            <w:r w:rsidRPr="00992645">
              <w:rPr>
                <w:rFonts w:asciiTheme="minorHAnsi" w:hAnsiTheme="minorHAnsi"/>
                <w:noProof/>
                <w:webHidden/>
                <w:color w:val="auto"/>
                <w:sz w:val="22"/>
                <w:szCs w:val="22"/>
              </w:rPr>
              <w:fldChar w:fldCharType="begin"/>
            </w:r>
            <w:r w:rsidRPr="00992645">
              <w:rPr>
                <w:rFonts w:asciiTheme="minorHAnsi" w:hAnsiTheme="minorHAnsi"/>
                <w:noProof/>
                <w:webHidden/>
                <w:color w:val="auto"/>
                <w:sz w:val="22"/>
                <w:szCs w:val="22"/>
              </w:rPr>
              <w:instrText xml:space="preserve"> PAGEREF _Toc203469414 \h </w:instrText>
            </w:r>
            <w:r w:rsidRPr="00992645">
              <w:rPr>
                <w:rFonts w:asciiTheme="minorHAnsi" w:hAnsiTheme="minorHAnsi"/>
                <w:noProof/>
                <w:webHidden/>
                <w:color w:val="auto"/>
                <w:sz w:val="22"/>
                <w:szCs w:val="22"/>
              </w:rPr>
            </w:r>
            <w:r w:rsidRPr="00992645">
              <w:rPr>
                <w:rFonts w:asciiTheme="minorHAnsi" w:hAnsiTheme="minorHAnsi"/>
                <w:noProof/>
                <w:webHidden/>
                <w:color w:val="auto"/>
                <w:sz w:val="22"/>
                <w:szCs w:val="22"/>
              </w:rPr>
              <w:fldChar w:fldCharType="separate"/>
            </w:r>
            <w:r w:rsidR="00E50E21">
              <w:rPr>
                <w:rFonts w:asciiTheme="minorHAnsi" w:hAnsiTheme="minorHAnsi"/>
                <w:noProof/>
                <w:webHidden/>
                <w:color w:val="auto"/>
                <w:sz w:val="22"/>
                <w:szCs w:val="22"/>
              </w:rPr>
              <w:t>18</w:t>
            </w:r>
            <w:r w:rsidRPr="00992645">
              <w:rPr>
                <w:rFonts w:asciiTheme="minorHAnsi" w:hAnsiTheme="minorHAnsi"/>
                <w:noProof/>
                <w:webHidden/>
                <w:color w:val="auto"/>
                <w:sz w:val="22"/>
                <w:szCs w:val="22"/>
              </w:rPr>
              <w:fldChar w:fldCharType="end"/>
            </w:r>
          </w:hyperlink>
        </w:p>
        <w:p w14:paraId="4DAF79E6" w14:textId="23349AD8" w:rsidR="00992645" w:rsidRPr="00992645" w:rsidRDefault="00992645">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469415" w:history="1">
            <w:r w:rsidRPr="00992645">
              <w:rPr>
                <w:rStyle w:val="Hyperlink"/>
                <w:rFonts w:asciiTheme="minorHAnsi" w:hAnsiTheme="minorHAnsi"/>
                <w:noProof/>
                <w:color w:val="auto"/>
                <w:sz w:val="22"/>
                <w:szCs w:val="22"/>
                <w:lang w:val="es-VE"/>
              </w:rPr>
              <w:t>VIII.</w:t>
            </w:r>
            <w:r w:rsidRPr="00992645">
              <w:rPr>
                <w:rFonts w:asciiTheme="minorHAnsi" w:eastAsiaTheme="minorEastAsia" w:hAnsiTheme="minorHAnsi" w:cstheme="minorBidi"/>
                <w:b w:val="0"/>
                <w:noProof/>
                <w:color w:val="auto"/>
                <w:kern w:val="2"/>
                <w:sz w:val="22"/>
                <w:szCs w:val="22"/>
                <w:lang w:val="en-US"/>
                <w14:ligatures w14:val="standardContextual"/>
              </w:rPr>
              <w:tab/>
            </w:r>
            <w:r w:rsidRPr="00992645">
              <w:rPr>
                <w:rStyle w:val="Hyperlink"/>
                <w:rFonts w:asciiTheme="minorHAnsi" w:hAnsiTheme="minorHAnsi"/>
                <w:noProof/>
                <w:color w:val="auto"/>
                <w:sz w:val="22"/>
                <w:szCs w:val="22"/>
              </w:rPr>
              <w:t>CONCLUSIONES Y RECOMENDACIONES FINALES</w:t>
            </w:r>
            <w:r w:rsidRPr="00992645">
              <w:rPr>
                <w:rFonts w:asciiTheme="minorHAnsi" w:hAnsiTheme="minorHAnsi"/>
                <w:noProof/>
                <w:webHidden/>
                <w:color w:val="auto"/>
                <w:sz w:val="22"/>
                <w:szCs w:val="22"/>
              </w:rPr>
              <w:tab/>
            </w:r>
            <w:r w:rsidRPr="00992645">
              <w:rPr>
                <w:rFonts w:asciiTheme="minorHAnsi" w:hAnsiTheme="minorHAnsi"/>
                <w:noProof/>
                <w:webHidden/>
                <w:color w:val="auto"/>
                <w:sz w:val="22"/>
                <w:szCs w:val="22"/>
              </w:rPr>
              <w:fldChar w:fldCharType="begin"/>
            </w:r>
            <w:r w:rsidRPr="00992645">
              <w:rPr>
                <w:rFonts w:asciiTheme="minorHAnsi" w:hAnsiTheme="minorHAnsi"/>
                <w:noProof/>
                <w:webHidden/>
                <w:color w:val="auto"/>
                <w:sz w:val="22"/>
                <w:szCs w:val="22"/>
              </w:rPr>
              <w:instrText xml:space="preserve"> PAGEREF _Toc203469415 \h </w:instrText>
            </w:r>
            <w:r w:rsidRPr="00992645">
              <w:rPr>
                <w:rFonts w:asciiTheme="minorHAnsi" w:hAnsiTheme="minorHAnsi"/>
                <w:noProof/>
                <w:webHidden/>
                <w:color w:val="auto"/>
                <w:sz w:val="22"/>
                <w:szCs w:val="22"/>
              </w:rPr>
            </w:r>
            <w:r w:rsidRPr="00992645">
              <w:rPr>
                <w:rFonts w:asciiTheme="minorHAnsi" w:hAnsiTheme="minorHAnsi"/>
                <w:noProof/>
                <w:webHidden/>
                <w:color w:val="auto"/>
                <w:sz w:val="22"/>
                <w:szCs w:val="22"/>
              </w:rPr>
              <w:fldChar w:fldCharType="separate"/>
            </w:r>
            <w:r w:rsidR="00E50E21">
              <w:rPr>
                <w:rFonts w:asciiTheme="minorHAnsi" w:hAnsiTheme="minorHAnsi"/>
                <w:noProof/>
                <w:webHidden/>
                <w:color w:val="auto"/>
                <w:sz w:val="22"/>
                <w:szCs w:val="22"/>
              </w:rPr>
              <w:t>18</w:t>
            </w:r>
            <w:r w:rsidRPr="00992645">
              <w:rPr>
                <w:rFonts w:asciiTheme="minorHAnsi" w:hAnsiTheme="minorHAnsi"/>
                <w:noProof/>
                <w:webHidden/>
                <w:color w:val="auto"/>
                <w:sz w:val="22"/>
                <w:szCs w:val="22"/>
              </w:rPr>
              <w:fldChar w:fldCharType="end"/>
            </w:r>
          </w:hyperlink>
        </w:p>
        <w:p w14:paraId="5FE43C20" w14:textId="106D6F08" w:rsidR="00992645" w:rsidRPr="00992645" w:rsidRDefault="00992645">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469416" w:history="1">
            <w:r w:rsidRPr="00992645">
              <w:rPr>
                <w:rStyle w:val="Hyperlink"/>
                <w:rFonts w:asciiTheme="minorHAnsi" w:hAnsiTheme="minorHAnsi"/>
                <w:noProof/>
                <w:color w:val="auto"/>
                <w:sz w:val="22"/>
                <w:szCs w:val="22"/>
                <w:lang w:val="es-VE"/>
              </w:rPr>
              <w:t>IX.</w:t>
            </w:r>
            <w:r w:rsidRPr="00992645">
              <w:rPr>
                <w:rFonts w:asciiTheme="minorHAnsi" w:eastAsiaTheme="minorEastAsia" w:hAnsiTheme="minorHAnsi" w:cstheme="minorBidi"/>
                <w:b w:val="0"/>
                <w:noProof/>
                <w:color w:val="auto"/>
                <w:kern w:val="2"/>
                <w:sz w:val="22"/>
                <w:szCs w:val="22"/>
                <w:lang w:val="en-US"/>
                <w14:ligatures w14:val="standardContextual"/>
              </w:rPr>
              <w:tab/>
            </w:r>
            <w:r w:rsidRPr="00992645">
              <w:rPr>
                <w:rStyle w:val="Hyperlink"/>
                <w:rFonts w:asciiTheme="minorHAnsi" w:hAnsiTheme="minorHAnsi"/>
                <w:noProof/>
                <w:color w:val="auto"/>
                <w:sz w:val="22"/>
                <w:szCs w:val="22"/>
              </w:rPr>
              <w:t>PUBLICACIÓN</w:t>
            </w:r>
            <w:r w:rsidRPr="00992645">
              <w:rPr>
                <w:rFonts w:asciiTheme="minorHAnsi" w:hAnsiTheme="minorHAnsi"/>
                <w:noProof/>
                <w:webHidden/>
                <w:color w:val="auto"/>
                <w:sz w:val="22"/>
                <w:szCs w:val="22"/>
              </w:rPr>
              <w:tab/>
            </w:r>
            <w:r w:rsidRPr="00992645">
              <w:rPr>
                <w:rFonts w:asciiTheme="minorHAnsi" w:hAnsiTheme="minorHAnsi"/>
                <w:noProof/>
                <w:webHidden/>
                <w:color w:val="auto"/>
                <w:sz w:val="22"/>
                <w:szCs w:val="22"/>
              </w:rPr>
              <w:fldChar w:fldCharType="begin"/>
            </w:r>
            <w:r w:rsidRPr="00992645">
              <w:rPr>
                <w:rFonts w:asciiTheme="minorHAnsi" w:hAnsiTheme="minorHAnsi"/>
                <w:noProof/>
                <w:webHidden/>
                <w:color w:val="auto"/>
                <w:sz w:val="22"/>
                <w:szCs w:val="22"/>
              </w:rPr>
              <w:instrText xml:space="preserve"> PAGEREF _Toc203469416 \h </w:instrText>
            </w:r>
            <w:r w:rsidRPr="00992645">
              <w:rPr>
                <w:rFonts w:asciiTheme="minorHAnsi" w:hAnsiTheme="minorHAnsi"/>
                <w:noProof/>
                <w:webHidden/>
                <w:color w:val="auto"/>
                <w:sz w:val="22"/>
                <w:szCs w:val="22"/>
              </w:rPr>
            </w:r>
            <w:r w:rsidRPr="00992645">
              <w:rPr>
                <w:rFonts w:asciiTheme="minorHAnsi" w:hAnsiTheme="minorHAnsi"/>
                <w:noProof/>
                <w:webHidden/>
                <w:color w:val="auto"/>
                <w:sz w:val="22"/>
                <w:szCs w:val="22"/>
              </w:rPr>
              <w:fldChar w:fldCharType="separate"/>
            </w:r>
            <w:r w:rsidR="00E50E21">
              <w:rPr>
                <w:rFonts w:asciiTheme="minorHAnsi" w:hAnsiTheme="minorHAnsi"/>
                <w:noProof/>
                <w:webHidden/>
                <w:color w:val="auto"/>
                <w:sz w:val="22"/>
                <w:szCs w:val="22"/>
              </w:rPr>
              <w:t>19</w:t>
            </w:r>
            <w:r w:rsidRPr="00992645">
              <w:rPr>
                <w:rFonts w:asciiTheme="minorHAnsi" w:hAnsiTheme="minorHAnsi"/>
                <w:noProof/>
                <w:webHidden/>
                <w:color w:val="auto"/>
                <w:sz w:val="22"/>
                <w:szCs w:val="22"/>
              </w:rPr>
              <w:fldChar w:fldCharType="end"/>
            </w:r>
          </w:hyperlink>
        </w:p>
        <w:p w14:paraId="091B7008" w14:textId="51E39415" w:rsidR="006B6926" w:rsidRPr="00AE30D5" w:rsidRDefault="006B6926">
          <w:pPr>
            <w:rPr>
              <w:rFonts w:asciiTheme="minorHAnsi" w:hAnsiTheme="minorHAnsi"/>
            </w:rPr>
          </w:pPr>
          <w:r w:rsidRPr="00992645">
            <w:rPr>
              <w:rFonts w:asciiTheme="minorHAnsi" w:hAnsiTheme="minorHAnsi"/>
              <w:b/>
              <w:bCs/>
            </w:rPr>
            <w:fldChar w:fldCharType="end"/>
          </w:r>
        </w:p>
      </w:sdtContent>
    </w:sdt>
    <w:p w14:paraId="7CC89A9E" w14:textId="292D8E2E" w:rsidR="00E35410" w:rsidRPr="00AE30D5" w:rsidRDefault="001B5A37" w:rsidP="001B5A37">
      <w:pPr>
        <w:spacing w:after="0" w:line="240" w:lineRule="auto"/>
        <w:rPr>
          <w:rFonts w:asciiTheme="minorHAnsi" w:hAnsiTheme="minorHAnsi"/>
          <w:b/>
        </w:rPr>
      </w:pPr>
      <w:r w:rsidRPr="00AE30D5">
        <w:rPr>
          <w:rFonts w:asciiTheme="minorHAnsi" w:hAnsiTheme="minorHAnsi"/>
          <w:b/>
        </w:rPr>
        <w:br w:type="page"/>
      </w:r>
    </w:p>
    <w:p w14:paraId="0A9595E2" w14:textId="69DC4145" w:rsidR="000A46BD" w:rsidRPr="001D3E10" w:rsidRDefault="000A46BD" w:rsidP="00181298">
      <w:pPr>
        <w:pStyle w:val="Heading1"/>
        <w:numPr>
          <w:ilvl w:val="0"/>
          <w:numId w:val="2"/>
        </w:numPr>
        <w:tabs>
          <w:tab w:val="clear" w:pos="1440"/>
          <w:tab w:val="left" w:pos="360"/>
          <w:tab w:val="num" w:pos="540"/>
          <w:tab w:val="left" w:pos="1350"/>
        </w:tabs>
        <w:ind w:hanging="1440"/>
        <w:rPr>
          <w:lang w:val="es-AR"/>
        </w:rPr>
      </w:pPr>
      <w:bookmarkStart w:id="2" w:name="_Toc536549374"/>
      <w:bookmarkStart w:id="3" w:name="_Toc3453769"/>
      <w:bookmarkStart w:id="4" w:name="_Toc4075187"/>
      <w:bookmarkStart w:id="5" w:name="_Toc16691204"/>
      <w:bookmarkStart w:id="6" w:name="_Toc203469394"/>
      <w:r w:rsidRPr="001D3E10">
        <w:rPr>
          <w:lang w:val="es-AR"/>
        </w:rPr>
        <w:lastRenderedPageBreak/>
        <w:t>INTRODUCCIÓN</w:t>
      </w:r>
      <w:bookmarkEnd w:id="2"/>
      <w:bookmarkEnd w:id="3"/>
      <w:bookmarkEnd w:id="4"/>
      <w:bookmarkEnd w:id="5"/>
      <w:r w:rsidR="00573BAE" w:rsidRPr="001708FB">
        <w:rPr>
          <w:sz w:val="18"/>
          <w:vertAlign w:val="superscript"/>
        </w:rPr>
        <w:footnoteReference w:id="1"/>
      </w:r>
      <w:bookmarkEnd w:id="6"/>
    </w:p>
    <w:p w14:paraId="27A3BB92" w14:textId="77777777" w:rsidR="00C4577B" w:rsidRPr="001D3E10" w:rsidRDefault="00C4577B" w:rsidP="00C4577B">
      <w:pPr>
        <w:pStyle w:val="parrafos"/>
        <w:tabs>
          <w:tab w:val="left" w:pos="360"/>
        </w:tabs>
        <w:rPr>
          <w:color w:val="auto"/>
          <w:bdr w:val="none" w:sz="0" w:space="0" w:color="auto"/>
          <w:lang w:val="es-AR"/>
        </w:rPr>
      </w:pPr>
    </w:p>
    <w:p w14:paraId="4F5F99EB" w14:textId="26A26E2F" w:rsidR="00C83D99" w:rsidRPr="001D3E10" w:rsidRDefault="00BA22E3" w:rsidP="002F72EB">
      <w:pPr>
        <w:pStyle w:val="parrafos"/>
        <w:numPr>
          <w:ilvl w:val="0"/>
          <w:numId w:val="4"/>
        </w:numPr>
        <w:tabs>
          <w:tab w:val="left" w:pos="360"/>
        </w:tabs>
        <w:ind w:left="0" w:firstLine="0"/>
        <w:rPr>
          <w:lang w:val="es-AR"/>
        </w:rPr>
      </w:pPr>
      <w:r w:rsidRPr="001D3E10">
        <w:rPr>
          <w:lang w:val="es-AR"/>
        </w:rPr>
        <w:t xml:space="preserve">El 2 de julio de 2005 la Comisión Interamericana de Derechos Humanos (en adelante “la Comisión”, “la Comisión Interamericana” o “la CIDH”) recibió una petición presentada por David Efraín Villarreal (en adelante “la parte peticionaria”) en la cual se alega la responsabilidad internacional de la República Argentina (en adelante “el Estado”, “el Estado argentino” o “Argentina”) </w:t>
      </w:r>
      <w:r w:rsidR="00C83D99" w:rsidRPr="001D3E10">
        <w:rPr>
          <w:lang w:val="es-AR"/>
        </w:rPr>
        <w:t>por la imposición de una medida cautelar de inhibición gener</w:t>
      </w:r>
      <w:r w:rsidR="000A4472" w:rsidRPr="001D3E10">
        <w:rPr>
          <w:lang w:val="es-AR"/>
        </w:rPr>
        <w:t xml:space="preserve">al para vender o gravar bienes </w:t>
      </w:r>
      <w:r w:rsidR="00C83D99" w:rsidRPr="001D3E10">
        <w:rPr>
          <w:lang w:val="es-AR"/>
        </w:rPr>
        <w:t xml:space="preserve">por más de 30 años, contra Héctor Leonardo Kemelmajen y Rafael Chaikin, </w:t>
      </w:r>
      <w:r w:rsidR="006B2387" w:rsidRPr="001D3E10">
        <w:rPr>
          <w:lang w:val="es-AR"/>
        </w:rPr>
        <w:t xml:space="preserve">en el marco </w:t>
      </w:r>
      <w:r w:rsidR="00E8217D" w:rsidRPr="001D3E10">
        <w:rPr>
          <w:lang w:val="es-AR"/>
        </w:rPr>
        <w:t>de una acción</w:t>
      </w:r>
      <w:r w:rsidR="00C83D99" w:rsidRPr="001D3E10">
        <w:rPr>
          <w:lang w:val="es-AR"/>
        </w:rPr>
        <w:t xml:space="preserve"> de </w:t>
      </w:r>
      <w:r w:rsidR="00426124" w:rsidRPr="001D3E10">
        <w:rPr>
          <w:lang w:val="es-AR"/>
        </w:rPr>
        <w:t>responsabilidad</w:t>
      </w:r>
      <w:r w:rsidR="00E8217D" w:rsidRPr="001D3E10">
        <w:rPr>
          <w:lang w:val="es-AR"/>
        </w:rPr>
        <w:t xml:space="preserve"> patrimonial promovida</w:t>
      </w:r>
      <w:r w:rsidR="00426124" w:rsidRPr="001D3E10">
        <w:rPr>
          <w:lang w:val="es-AR"/>
        </w:rPr>
        <w:t xml:space="preserve"> en su contra</w:t>
      </w:r>
      <w:r w:rsidR="00E8217D" w:rsidRPr="001D3E10">
        <w:rPr>
          <w:lang w:val="es-AR"/>
        </w:rPr>
        <w:t>, la</w:t>
      </w:r>
      <w:r w:rsidR="006B2387" w:rsidRPr="001D3E10">
        <w:rPr>
          <w:lang w:val="es-AR"/>
        </w:rPr>
        <w:t xml:space="preserve"> cual a su criterio se habría demorado más allá de un plazo razonable. </w:t>
      </w:r>
    </w:p>
    <w:p w14:paraId="21A0A9F5" w14:textId="77777777" w:rsidR="00C4577B" w:rsidRPr="001D3E10" w:rsidRDefault="00C4577B" w:rsidP="00BA22E3">
      <w:pPr>
        <w:pStyle w:val="parrafos"/>
        <w:tabs>
          <w:tab w:val="left" w:pos="360"/>
        </w:tabs>
        <w:rPr>
          <w:lang w:val="es-AR"/>
        </w:rPr>
      </w:pPr>
    </w:p>
    <w:p w14:paraId="2BA4F0D3" w14:textId="77777777" w:rsidR="00C4577B" w:rsidRPr="001D3E10" w:rsidRDefault="00C4577B" w:rsidP="002F72EB">
      <w:pPr>
        <w:pStyle w:val="parrafos"/>
        <w:numPr>
          <w:ilvl w:val="0"/>
          <w:numId w:val="4"/>
        </w:numPr>
        <w:tabs>
          <w:tab w:val="left" w:pos="360"/>
        </w:tabs>
        <w:ind w:left="0" w:firstLine="0"/>
        <w:rPr>
          <w:lang w:val="es-AR"/>
        </w:rPr>
      </w:pPr>
      <w:r w:rsidRPr="001D3E10">
        <w:rPr>
          <w:lang w:val="es-AR"/>
        </w:rPr>
        <w:t xml:space="preserve">El </w:t>
      </w:r>
      <w:r w:rsidR="00744DCA" w:rsidRPr="001D3E10">
        <w:rPr>
          <w:lang w:val="es-AR"/>
        </w:rPr>
        <w:t>1</w:t>
      </w:r>
      <w:r w:rsidRPr="001D3E10">
        <w:rPr>
          <w:lang w:val="es-AR"/>
        </w:rPr>
        <w:t xml:space="preserve"> de </w:t>
      </w:r>
      <w:r w:rsidR="00744DCA" w:rsidRPr="001D3E10">
        <w:rPr>
          <w:lang w:val="es-AR"/>
        </w:rPr>
        <w:t>marzo de 2018</w:t>
      </w:r>
      <w:r w:rsidRPr="001D3E10">
        <w:rPr>
          <w:lang w:val="es-AR"/>
        </w:rPr>
        <w:t xml:space="preserve"> la Comisión comunicó a las partes que, de acuerdo a los instrumentos que rigen su mandato, difirió el tratamiento de la admisibilidad de la cuestión hasta el debate y decisión sobre el fondo. La Comisión se puso a disposición de las partes a fin de iniciar un proceso de solución amistosa sin que se dieran las condiciones para tal efecto. Las partes contaron con los plazos reglamentarios para presentar sus observaciones sobre el caso. Toda la información recibida fue debidamente trasladada entre las partes. </w:t>
      </w:r>
    </w:p>
    <w:p w14:paraId="71B799CD" w14:textId="77777777" w:rsidR="00D50A8F" w:rsidRPr="001D3E10" w:rsidRDefault="00D50A8F" w:rsidP="00D50A8F">
      <w:pPr>
        <w:tabs>
          <w:tab w:val="left" w:pos="567"/>
          <w:tab w:val="left" w:pos="1440"/>
        </w:tabs>
        <w:spacing w:after="0" w:line="240" w:lineRule="auto"/>
        <w:jc w:val="both"/>
        <w:rPr>
          <w:rFonts w:ascii="Cambria" w:hAnsi="Cambria"/>
          <w:sz w:val="20"/>
          <w:szCs w:val="20"/>
          <w:bdr w:val="nil"/>
        </w:rPr>
      </w:pPr>
      <w:bookmarkStart w:id="8" w:name="_Toc370840841"/>
      <w:bookmarkStart w:id="9" w:name="_Toc370840745"/>
    </w:p>
    <w:p w14:paraId="2B9454CB" w14:textId="77777777" w:rsidR="00D50A8F" w:rsidRPr="001D3E10" w:rsidRDefault="000A46BD" w:rsidP="006D2194">
      <w:pPr>
        <w:pStyle w:val="Heading1"/>
        <w:numPr>
          <w:ilvl w:val="0"/>
          <w:numId w:val="2"/>
        </w:numPr>
        <w:tabs>
          <w:tab w:val="clear" w:pos="1440"/>
          <w:tab w:val="num" w:pos="360"/>
          <w:tab w:val="left" w:pos="1350"/>
        </w:tabs>
        <w:ind w:left="0" w:firstLine="0"/>
        <w:rPr>
          <w:lang w:val="es-AR"/>
        </w:rPr>
      </w:pPr>
      <w:bookmarkStart w:id="10" w:name="_Toc536549375"/>
      <w:bookmarkStart w:id="11" w:name="_Toc444958126"/>
      <w:bookmarkStart w:id="12" w:name="_Toc433115983"/>
      <w:bookmarkStart w:id="13" w:name="_Toc423514407"/>
      <w:bookmarkStart w:id="14" w:name="_Toc3453770"/>
      <w:bookmarkStart w:id="15" w:name="_Toc4075188"/>
      <w:bookmarkStart w:id="16" w:name="_Toc16691205"/>
      <w:bookmarkStart w:id="17" w:name="_Toc203469395"/>
      <w:r w:rsidRPr="001D3E10">
        <w:rPr>
          <w:lang w:val="es-AR"/>
        </w:rPr>
        <w:t>POSICIONES DE LAS PARTES</w:t>
      </w:r>
      <w:bookmarkStart w:id="18" w:name="_Toc444958127"/>
      <w:bookmarkStart w:id="19" w:name="_Toc433115984"/>
      <w:bookmarkStart w:id="20" w:name="_Toc423514408"/>
      <w:bookmarkStart w:id="21" w:name="_Toc536549376"/>
      <w:bookmarkEnd w:id="8"/>
      <w:bookmarkEnd w:id="9"/>
      <w:bookmarkEnd w:id="10"/>
      <w:bookmarkEnd w:id="11"/>
      <w:bookmarkEnd w:id="12"/>
      <w:bookmarkEnd w:id="13"/>
      <w:bookmarkEnd w:id="14"/>
      <w:bookmarkEnd w:id="15"/>
      <w:bookmarkEnd w:id="16"/>
      <w:bookmarkEnd w:id="17"/>
    </w:p>
    <w:p w14:paraId="7485CB61" w14:textId="77777777" w:rsidR="00D50A8F" w:rsidRPr="001D3E10" w:rsidRDefault="00D50A8F" w:rsidP="00D50A8F">
      <w:pPr>
        <w:spacing w:after="0" w:line="240" w:lineRule="auto"/>
        <w:rPr>
          <w:rFonts w:ascii="Cambria" w:hAnsi="Cambria"/>
        </w:rPr>
      </w:pPr>
    </w:p>
    <w:p w14:paraId="4BD84E0F" w14:textId="77777777" w:rsidR="000A46BD" w:rsidRPr="001D3E10" w:rsidRDefault="000A46BD" w:rsidP="002F72EB">
      <w:pPr>
        <w:pStyle w:val="Heading2"/>
        <w:numPr>
          <w:ilvl w:val="0"/>
          <w:numId w:val="3"/>
        </w:numPr>
        <w:tabs>
          <w:tab w:val="left" w:pos="0"/>
          <w:tab w:val="left" w:pos="360"/>
        </w:tabs>
        <w:ind w:left="0" w:firstLine="0"/>
        <w:rPr>
          <w:lang w:val="es-AR"/>
        </w:rPr>
      </w:pPr>
      <w:bookmarkStart w:id="22" w:name="_Toc3453771"/>
      <w:bookmarkStart w:id="23" w:name="_Toc4075189"/>
      <w:bookmarkStart w:id="24" w:name="_Toc16691206"/>
      <w:bookmarkStart w:id="25" w:name="_Toc203469396"/>
      <w:r w:rsidRPr="001D3E10">
        <w:rPr>
          <w:lang w:val="es-AR"/>
        </w:rPr>
        <w:t>P</w:t>
      </w:r>
      <w:bookmarkEnd w:id="18"/>
      <w:bookmarkEnd w:id="19"/>
      <w:bookmarkEnd w:id="20"/>
      <w:r w:rsidRPr="001D3E10">
        <w:rPr>
          <w:lang w:val="es-AR"/>
        </w:rPr>
        <w:t>arte peticionaria</w:t>
      </w:r>
      <w:bookmarkEnd w:id="21"/>
      <w:bookmarkEnd w:id="22"/>
      <w:bookmarkEnd w:id="23"/>
      <w:bookmarkEnd w:id="24"/>
      <w:bookmarkEnd w:id="25"/>
    </w:p>
    <w:p w14:paraId="44377F2C" w14:textId="77777777" w:rsidR="00C4577B" w:rsidRPr="001D3E10" w:rsidRDefault="00C4577B" w:rsidP="00933583">
      <w:pPr>
        <w:tabs>
          <w:tab w:val="left" w:pos="567"/>
          <w:tab w:val="left" w:pos="1440"/>
        </w:tabs>
        <w:spacing w:after="0" w:line="240" w:lineRule="auto"/>
        <w:jc w:val="both"/>
        <w:rPr>
          <w:rFonts w:ascii="Cambria" w:hAnsi="Cambria"/>
          <w:sz w:val="20"/>
          <w:szCs w:val="20"/>
        </w:rPr>
      </w:pPr>
    </w:p>
    <w:p w14:paraId="3EA63B92" w14:textId="690129A8" w:rsidR="000A4472" w:rsidRPr="001D3E10" w:rsidRDefault="00700465" w:rsidP="002F72EB">
      <w:pPr>
        <w:pStyle w:val="parrafos"/>
        <w:numPr>
          <w:ilvl w:val="0"/>
          <w:numId w:val="4"/>
        </w:numPr>
        <w:tabs>
          <w:tab w:val="left" w:pos="360"/>
        </w:tabs>
        <w:ind w:left="0" w:firstLine="0"/>
        <w:rPr>
          <w:lang w:val="es-AR"/>
        </w:rPr>
      </w:pPr>
      <w:r w:rsidRPr="001D3E10">
        <w:rPr>
          <w:rFonts w:eastAsia="Times New Roman"/>
          <w:lang w:val="es-AR"/>
        </w:rPr>
        <w:t>La parte peticionaria indica</w:t>
      </w:r>
      <w:r w:rsidR="00C4577B" w:rsidRPr="001D3E10">
        <w:rPr>
          <w:rFonts w:eastAsia="Times New Roman"/>
          <w:lang w:val="es-AR"/>
        </w:rPr>
        <w:t xml:space="preserve"> que </w:t>
      </w:r>
      <w:r w:rsidR="006B2387" w:rsidRPr="001D3E10">
        <w:rPr>
          <w:rFonts w:eastAsia="Times New Roman"/>
          <w:lang w:val="es-AR"/>
        </w:rPr>
        <w:t>Hé</w:t>
      </w:r>
      <w:r w:rsidR="000A4472" w:rsidRPr="001D3E10">
        <w:rPr>
          <w:rFonts w:eastAsia="Times New Roman"/>
          <w:lang w:val="es-AR"/>
        </w:rPr>
        <w:t>ctor Leonardo Kemelmajen fue miembro del Consejo Directivo de la entidad financiera “Caja Mutual Yatay 240 Sociedad Cooperativa de Crédito” ejerciendo el cargo de vocal titular entre el 21 de abril de 1979 hasta el 15 de mayo de 1980. Por su parte, Rafael Chaikin fue designado también como vocal, sin embargo</w:t>
      </w:r>
      <w:r w:rsidR="006B2387" w:rsidRPr="001D3E10">
        <w:rPr>
          <w:rFonts w:eastAsia="Times New Roman"/>
          <w:lang w:val="es-AR"/>
        </w:rPr>
        <w:t>,</w:t>
      </w:r>
      <w:r w:rsidR="000A4472" w:rsidRPr="001D3E10">
        <w:rPr>
          <w:rFonts w:eastAsia="Times New Roman"/>
          <w:lang w:val="es-AR"/>
        </w:rPr>
        <w:t xml:space="preserve"> nunca ejerció el cargo porque no lo aceptó. </w:t>
      </w:r>
    </w:p>
    <w:p w14:paraId="1F0A40CC" w14:textId="77777777" w:rsidR="00C4577B" w:rsidRPr="001D3E10" w:rsidRDefault="00C4577B" w:rsidP="00C4577B">
      <w:pPr>
        <w:pStyle w:val="parrafos"/>
        <w:rPr>
          <w:lang w:val="es-AR"/>
        </w:rPr>
      </w:pPr>
    </w:p>
    <w:p w14:paraId="6764A308" w14:textId="2B867345" w:rsidR="00490D53" w:rsidRPr="001D3E10" w:rsidRDefault="00700465" w:rsidP="002F72EB">
      <w:pPr>
        <w:pStyle w:val="parrafos"/>
        <w:numPr>
          <w:ilvl w:val="0"/>
          <w:numId w:val="4"/>
        </w:numPr>
        <w:tabs>
          <w:tab w:val="left" w:pos="360"/>
        </w:tabs>
        <w:ind w:left="0" w:firstLine="0"/>
        <w:rPr>
          <w:lang w:val="es-AR"/>
        </w:rPr>
      </w:pPr>
      <w:r w:rsidRPr="001D3E10">
        <w:rPr>
          <w:rFonts w:eastAsia="Times New Roman"/>
          <w:lang w:val="es-AR"/>
        </w:rPr>
        <w:t>Refiere</w:t>
      </w:r>
      <w:r w:rsidR="00276638" w:rsidRPr="001D3E10">
        <w:rPr>
          <w:rFonts w:eastAsia="Times New Roman"/>
          <w:lang w:val="es-AR"/>
        </w:rPr>
        <w:t xml:space="preserve"> </w:t>
      </w:r>
      <w:r w:rsidR="006F77D1" w:rsidRPr="001D3E10">
        <w:rPr>
          <w:rFonts w:eastAsia="Times New Roman"/>
          <w:lang w:val="es-AR"/>
        </w:rPr>
        <w:t>que e</w:t>
      </w:r>
      <w:r w:rsidR="000A4472" w:rsidRPr="001D3E10">
        <w:rPr>
          <w:rFonts w:eastAsia="Times New Roman"/>
          <w:lang w:val="es-AR"/>
        </w:rPr>
        <w:t>n los años ochenta</w:t>
      </w:r>
      <w:r w:rsidR="006F77D1" w:rsidRPr="001D3E10">
        <w:rPr>
          <w:rFonts w:eastAsia="Times New Roman"/>
          <w:lang w:val="es-AR"/>
        </w:rPr>
        <w:t xml:space="preserve"> </w:t>
      </w:r>
      <w:r w:rsidR="001E0A43" w:rsidRPr="001D3E10">
        <w:rPr>
          <w:rFonts w:eastAsia="Times New Roman"/>
          <w:lang w:val="es-AR"/>
        </w:rPr>
        <w:t>la entidad financiera “Caja Mutual Yatay”</w:t>
      </w:r>
      <w:r w:rsidR="00E15078" w:rsidRPr="001D3E10">
        <w:rPr>
          <w:rFonts w:eastAsia="Times New Roman"/>
          <w:lang w:val="es-AR"/>
        </w:rPr>
        <w:t xml:space="preserve"> </w:t>
      </w:r>
      <w:r w:rsidR="006F77D1" w:rsidRPr="001D3E10">
        <w:rPr>
          <w:rFonts w:eastAsia="Times New Roman"/>
          <w:lang w:val="es-AR"/>
        </w:rPr>
        <w:t>radicó solicitud de quiebra</w:t>
      </w:r>
      <w:r w:rsidR="00490D53" w:rsidRPr="001D3E10">
        <w:rPr>
          <w:rFonts w:eastAsia="Times New Roman"/>
          <w:lang w:val="es-AR"/>
        </w:rPr>
        <w:t xml:space="preserve"> ante el </w:t>
      </w:r>
      <w:r w:rsidR="00FE3AAB" w:rsidRPr="001D3E10">
        <w:rPr>
          <w:rFonts w:eastAsia="Times New Roman"/>
          <w:lang w:val="es-AR"/>
        </w:rPr>
        <w:t xml:space="preserve">Juzgado Nacional de Primera Instancia en lo Comercial No. 4, Secretaría No. 7, </w:t>
      </w:r>
      <w:r w:rsidR="00E15078" w:rsidRPr="001D3E10">
        <w:rPr>
          <w:rFonts w:eastAsia="Times New Roman"/>
          <w:lang w:val="es-AR"/>
        </w:rPr>
        <w:t>en virtud d</w:t>
      </w:r>
      <w:r w:rsidR="009D63B9" w:rsidRPr="001D3E10">
        <w:rPr>
          <w:rFonts w:eastAsia="Times New Roman"/>
          <w:lang w:val="es-AR"/>
        </w:rPr>
        <w:t>e la cual se decretó</w:t>
      </w:r>
      <w:r w:rsidR="00E15078" w:rsidRPr="001D3E10">
        <w:rPr>
          <w:rFonts w:eastAsia="Times New Roman"/>
          <w:lang w:val="es-AR"/>
        </w:rPr>
        <w:t xml:space="preserve"> cesación de pagos el 25 de febrero de 1982</w:t>
      </w:r>
      <w:r w:rsidR="00FE3AAB" w:rsidRPr="001D3E10">
        <w:rPr>
          <w:rFonts w:eastAsia="Times New Roman"/>
          <w:lang w:val="es-AR"/>
        </w:rPr>
        <w:t xml:space="preserve"> y el 18 de mayo de 1983 </w:t>
      </w:r>
      <w:r w:rsidR="009D63B9" w:rsidRPr="001D3E10">
        <w:rPr>
          <w:rFonts w:eastAsia="Times New Roman"/>
          <w:lang w:val="es-AR"/>
        </w:rPr>
        <w:t>se declaró la</w:t>
      </w:r>
      <w:r w:rsidR="00FE3AAB" w:rsidRPr="001D3E10">
        <w:rPr>
          <w:rFonts w:eastAsia="Times New Roman"/>
          <w:lang w:val="es-AR"/>
        </w:rPr>
        <w:t xml:space="preserve"> quiebra.</w:t>
      </w:r>
    </w:p>
    <w:p w14:paraId="1ACF4A57" w14:textId="77777777" w:rsidR="00490D53" w:rsidRPr="001D3E10" w:rsidRDefault="00490D53" w:rsidP="00490D53">
      <w:pPr>
        <w:pStyle w:val="parrafos"/>
        <w:tabs>
          <w:tab w:val="left" w:pos="360"/>
        </w:tabs>
        <w:rPr>
          <w:lang w:val="es-AR"/>
        </w:rPr>
      </w:pPr>
    </w:p>
    <w:p w14:paraId="768AD4E9" w14:textId="0D7ECCF8" w:rsidR="000A4472" w:rsidRPr="001D3E10" w:rsidRDefault="00700465" w:rsidP="002F72EB">
      <w:pPr>
        <w:pStyle w:val="parrafos"/>
        <w:numPr>
          <w:ilvl w:val="0"/>
          <w:numId w:val="4"/>
        </w:numPr>
        <w:tabs>
          <w:tab w:val="left" w:pos="360"/>
        </w:tabs>
        <w:ind w:left="0" w:firstLine="0"/>
        <w:rPr>
          <w:rFonts w:eastAsia="Times New Roman"/>
          <w:lang w:val="es-AR"/>
        </w:rPr>
      </w:pPr>
      <w:r w:rsidRPr="001D3E10">
        <w:rPr>
          <w:rFonts w:eastAsia="Times New Roman"/>
          <w:lang w:val="es-AR"/>
        </w:rPr>
        <w:t>Manif</w:t>
      </w:r>
      <w:r w:rsidR="00E300C5" w:rsidRPr="001D3E10">
        <w:rPr>
          <w:rFonts w:eastAsia="Times New Roman"/>
          <w:lang w:val="es-AR"/>
        </w:rPr>
        <w:t>i</w:t>
      </w:r>
      <w:r w:rsidRPr="001D3E10">
        <w:rPr>
          <w:rFonts w:eastAsia="Times New Roman"/>
          <w:lang w:val="es-AR"/>
        </w:rPr>
        <w:t>esta</w:t>
      </w:r>
      <w:r w:rsidR="00E15078" w:rsidRPr="001D3E10">
        <w:rPr>
          <w:rFonts w:eastAsia="Times New Roman"/>
          <w:lang w:val="es-AR"/>
        </w:rPr>
        <w:t xml:space="preserve"> que</w:t>
      </w:r>
      <w:r w:rsidR="006B2387" w:rsidRPr="001D3E10">
        <w:rPr>
          <w:rFonts w:eastAsia="Times New Roman"/>
          <w:lang w:val="es-AR"/>
        </w:rPr>
        <w:t>,</w:t>
      </w:r>
      <w:r w:rsidR="00E15078" w:rsidRPr="001D3E10">
        <w:rPr>
          <w:rFonts w:eastAsia="Times New Roman"/>
          <w:lang w:val="es-AR"/>
        </w:rPr>
        <w:t xml:space="preserve"> </w:t>
      </w:r>
      <w:r w:rsidR="00FE3AAB" w:rsidRPr="001D3E10">
        <w:rPr>
          <w:rFonts w:eastAsia="Times New Roman"/>
          <w:lang w:val="es-AR"/>
        </w:rPr>
        <w:t>como resultado del anterior proceso, el 2 de julio de 1985</w:t>
      </w:r>
      <w:r w:rsidR="00A40CA2" w:rsidRPr="001D3E10">
        <w:rPr>
          <w:rFonts w:eastAsia="Times New Roman"/>
          <w:lang w:val="es-AR"/>
        </w:rPr>
        <w:t>,</w:t>
      </w:r>
      <w:r w:rsidR="00FE3AAB" w:rsidRPr="001D3E10">
        <w:rPr>
          <w:rFonts w:eastAsia="Times New Roman"/>
          <w:lang w:val="es-AR"/>
        </w:rPr>
        <w:t xml:space="preserve"> se abrió expediente caratulado </w:t>
      </w:r>
      <w:r w:rsidR="006D1207" w:rsidRPr="001D3E10">
        <w:rPr>
          <w:lang w:val="es-AR"/>
        </w:rPr>
        <w:t>CAJA MUTUAL YATAY 240 SOC. COOP DE CRED. LTDA. S/ QUIEBRA C/ FINKELBERG ABRAHAM Y OTROS (ACCION DE RESP. PATRIMONIAL) S/ ORDINARIO. 39248/94</w:t>
      </w:r>
      <w:r w:rsidR="00FE3AAB" w:rsidRPr="001D3E10">
        <w:rPr>
          <w:rFonts w:eastAsia="Times New Roman"/>
          <w:lang w:val="es-AR"/>
        </w:rPr>
        <w:t>, promovido por</w:t>
      </w:r>
      <w:r w:rsidR="00A40CA2" w:rsidRPr="001D3E10">
        <w:rPr>
          <w:rFonts w:eastAsia="Times New Roman"/>
          <w:lang w:val="es-AR"/>
        </w:rPr>
        <w:t xml:space="preserve"> el Banco Central de la República </w:t>
      </w:r>
      <w:r w:rsidR="00CF510D" w:rsidRPr="001D3E10">
        <w:rPr>
          <w:rFonts w:eastAsia="Times New Roman"/>
          <w:lang w:val="es-AR"/>
        </w:rPr>
        <w:t xml:space="preserve">Argentina, </w:t>
      </w:r>
      <w:r w:rsidR="001D126C" w:rsidRPr="001D3E10">
        <w:rPr>
          <w:rFonts w:eastAsia="Times New Roman"/>
          <w:lang w:val="es-AR"/>
        </w:rPr>
        <w:t>en su calidad de autoridad liquidadora</w:t>
      </w:r>
      <w:r w:rsidR="00FE3AAB" w:rsidRPr="001D3E10">
        <w:rPr>
          <w:rFonts w:eastAsia="Times New Roman"/>
          <w:lang w:val="es-AR"/>
        </w:rPr>
        <w:t xml:space="preserve"> de entidades financieras. </w:t>
      </w:r>
      <w:r w:rsidR="000A4472" w:rsidRPr="001D3E10">
        <w:rPr>
          <w:rFonts w:eastAsia="Times New Roman"/>
          <w:lang w:val="es-AR"/>
        </w:rPr>
        <w:t>Explica que e</w:t>
      </w:r>
      <w:r w:rsidR="00573607" w:rsidRPr="001D3E10">
        <w:rPr>
          <w:rFonts w:eastAsia="Times New Roman"/>
          <w:lang w:val="es-AR"/>
        </w:rPr>
        <w:t xml:space="preserve">n </w:t>
      </w:r>
      <w:r w:rsidR="006B2387" w:rsidRPr="001D3E10">
        <w:rPr>
          <w:rFonts w:eastAsia="Times New Roman"/>
          <w:lang w:val="es-AR"/>
        </w:rPr>
        <w:t>el marco de este proceso</w:t>
      </w:r>
      <w:r w:rsidR="000A4472" w:rsidRPr="001D3E10">
        <w:rPr>
          <w:rFonts w:eastAsia="Times New Roman"/>
          <w:lang w:val="es-AR"/>
        </w:rPr>
        <w:t xml:space="preserve"> el 11 de febrero de 1987 el Juez Nacional de Primera Instancia en lo Comercial No.4, decretó la medida cautelar de inhibición de bienes en contra de las autoridades administrativas de la “Caja Mutual Yatay” en la que incluyó a las presuntas víctimas del caso, como responsables solidarios de los daños y perjuicios ocasionados a los acreedores de la entidad, hasta por la suma de tres millones quinientos mil dólares. </w:t>
      </w:r>
    </w:p>
    <w:p w14:paraId="6F7749A6" w14:textId="77777777" w:rsidR="00CE5544" w:rsidRPr="001D3E10" w:rsidRDefault="00CE5544" w:rsidP="00CE5544">
      <w:pPr>
        <w:pStyle w:val="parrafos"/>
        <w:tabs>
          <w:tab w:val="left" w:pos="360"/>
        </w:tabs>
        <w:rPr>
          <w:rFonts w:eastAsia="Times New Roman"/>
          <w:lang w:val="es-AR"/>
        </w:rPr>
      </w:pPr>
    </w:p>
    <w:p w14:paraId="52F6F098" w14:textId="1A083B76" w:rsidR="00991200" w:rsidRPr="001D3E10" w:rsidRDefault="00CE5544" w:rsidP="002F72EB">
      <w:pPr>
        <w:pStyle w:val="parrafos"/>
        <w:numPr>
          <w:ilvl w:val="0"/>
          <w:numId w:val="4"/>
        </w:numPr>
        <w:tabs>
          <w:tab w:val="left" w:pos="360"/>
        </w:tabs>
        <w:ind w:left="0" w:firstLine="0"/>
        <w:rPr>
          <w:lang w:val="es-AR"/>
        </w:rPr>
      </w:pPr>
      <w:r w:rsidRPr="001D3E10">
        <w:rPr>
          <w:rFonts w:eastAsia="Times New Roman"/>
          <w:lang w:val="es-AR"/>
        </w:rPr>
        <w:t>Expresa qu</w:t>
      </w:r>
      <w:r w:rsidR="006B2387" w:rsidRPr="001D3E10">
        <w:rPr>
          <w:rFonts w:eastAsia="Times New Roman"/>
          <w:lang w:val="es-AR"/>
        </w:rPr>
        <w:t>e la medida tení</w:t>
      </w:r>
      <w:r w:rsidRPr="001D3E10">
        <w:rPr>
          <w:rFonts w:eastAsia="Times New Roman"/>
          <w:lang w:val="es-AR"/>
        </w:rPr>
        <w:t xml:space="preserve">a por objeto impedir la venta o gravamen de cualquier bien personal o corporativo, y subsistiría hasta la adopción de la decisión final, </w:t>
      </w:r>
      <w:r w:rsidR="006C3F2B" w:rsidRPr="001D3E10">
        <w:rPr>
          <w:rFonts w:eastAsia="Times New Roman"/>
          <w:lang w:val="es-AR"/>
        </w:rPr>
        <w:t xml:space="preserve">pero </w:t>
      </w:r>
      <w:r w:rsidRPr="001D3E10">
        <w:rPr>
          <w:rFonts w:eastAsia="Times New Roman"/>
          <w:lang w:val="es-AR"/>
        </w:rPr>
        <w:t>debía ser renovada</w:t>
      </w:r>
      <w:r w:rsidR="0004621B" w:rsidRPr="001D3E10">
        <w:rPr>
          <w:lang w:val="es-AR"/>
        </w:rPr>
        <w:t xml:space="preserve"> cada cinco años a solicitud del Banco Cen</w:t>
      </w:r>
      <w:r w:rsidRPr="001D3E10">
        <w:rPr>
          <w:lang w:val="es-AR"/>
        </w:rPr>
        <w:t>tral de la República Argentina. Alega, sin embargo, que en el presente caso las solicitudes de renovación se formularon de manera extemporánea de manera contraria al Código Procesal Civil y Comercial de la Nación que establece que las medidas de inhibición caducan de pleno derecho a los cinco años de haberse ordenado y solamente pueden reinscribirse si se solicitan antes del vencimiento del plazo</w:t>
      </w:r>
      <w:r w:rsidR="00C8387C" w:rsidRPr="001D3E10">
        <w:rPr>
          <w:lang w:val="es-AR"/>
        </w:rPr>
        <w:t>.</w:t>
      </w:r>
      <w:r w:rsidRPr="001D3E10">
        <w:rPr>
          <w:lang w:val="es-AR"/>
        </w:rPr>
        <w:t xml:space="preserve"> Específicamente indica que la inhibición general de bienes contra las pr</w:t>
      </w:r>
      <w:r w:rsidR="006B2387" w:rsidRPr="001D3E10">
        <w:rPr>
          <w:lang w:val="es-AR"/>
        </w:rPr>
        <w:t>esuntas víctimas se inscribió</w:t>
      </w:r>
      <w:r w:rsidRPr="001D3E10">
        <w:rPr>
          <w:lang w:val="es-AR"/>
        </w:rPr>
        <w:t xml:space="preserve"> </w:t>
      </w:r>
      <w:r w:rsidR="00AC51F9" w:rsidRPr="001D3E10">
        <w:rPr>
          <w:lang w:val="es-AR"/>
        </w:rPr>
        <w:t xml:space="preserve">el 7 de octubre de 1987 ante el Registro de la Propiedad Inmueble de la Provincia de </w:t>
      </w:r>
      <w:r w:rsidR="002319B2" w:rsidRPr="001D3E10">
        <w:rPr>
          <w:lang w:val="es-AR"/>
        </w:rPr>
        <w:t>Buenos Aires</w:t>
      </w:r>
      <w:r w:rsidRPr="001D3E10">
        <w:rPr>
          <w:lang w:val="es-AR"/>
        </w:rPr>
        <w:t>, por lo que los primeros cinco años tenían vencimiento el 7 de octubre de 1992, sin embargo</w:t>
      </w:r>
      <w:r w:rsidR="006B2387" w:rsidRPr="001D3E10">
        <w:rPr>
          <w:lang w:val="es-AR"/>
        </w:rPr>
        <w:t>,</w:t>
      </w:r>
      <w:r w:rsidRPr="001D3E10">
        <w:rPr>
          <w:lang w:val="es-AR"/>
        </w:rPr>
        <w:t xml:space="preserve"> la renovación de la medida fue solicitada hasta el </w:t>
      </w:r>
      <w:r w:rsidR="00AC51F9" w:rsidRPr="001D3E10">
        <w:rPr>
          <w:lang w:val="es-AR"/>
        </w:rPr>
        <w:t>22 de abril de 1994 y trabada el 10 de noviembre de 1994</w:t>
      </w:r>
      <w:r w:rsidR="0023127B" w:rsidRPr="001D3E10">
        <w:rPr>
          <w:lang w:val="es-AR"/>
        </w:rPr>
        <w:t>, es decir dos años después de vencidos el plazo para la correspondiente reinscripción</w:t>
      </w:r>
      <w:r w:rsidR="00AC51F9" w:rsidRPr="001D3E10">
        <w:rPr>
          <w:lang w:val="es-AR"/>
        </w:rPr>
        <w:t>.</w:t>
      </w:r>
    </w:p>
    <w:p w14:paraId="6678E3A3" w14:textId="77777777" w:rsidR="0016019F" w:rsidRDefault="0016019F" w:rsidP="0016019F">
      <w:pPr>
        <w:pStyle w:val="parrafos"/>
        <w:tabs>
          <w:tab w:val="left" w:pos="360"/>
        </w:tabs>
        <w:rPr>
          <w:lang w:val="es-AR"/>
        </w:rPr>
      </w:pPr>
    </w:p>
    <w:p w14:paraId="1B142F7B" w14:textId="77777777" w:rsidR="003F0812" w:rsidRDefault="003F0812" w:rsidP="0016019F">
      <w:pPr>
        <w:pStyle w:val="parrafos"/>
        <w:tabs>
          <w:tab w:val="left" w:pos="360"/>
        </w:tabs>
        <w:rPr>
          <w:lang w:val="es-AR"/>
        </w:rPr>
      </w:pPr>
    </w:p>
    <w:p w14:paraId="505BC7A9" w14:textId="77777777" w:rsidR="003F0812" w:rsidRDefault="003F0812" w:rsidP="0016019F">
      <w:pPr>
        <w:pStyle w:val="parrafos"/>
        <w:tabs>
          <w:tab w:val="left" w:pos="360"/>
        </w:tabs>
        <w:rPr>
          <w:lang w:val="es-AR"/>
        </w:rPr>
      </w:pPr>
    </w:p>
    <w:p w14:paraId="7454B636" w14:textId="77777777" w:rsidR="003F0812" w:rsidRPr="001D3E10" w:rsidRDefault="003F0812" w:rsidP="0016019F">
      <w:pPr>
        <w:pStyle w:val="parrafos"/>
        <w:tabs>
          <w:tab w:val="left" w:pos="360"/>
        </w:tabs>
        <w:rPr>
          <w:lang w:val="es-AR"/>
        </w:rPr>
      </w:pPr>
    </w:p>
    <w:p w14:paraId="6244A874" w14:textId="16D88CB8" w:rsidR="00991200" w:rsidRPr="001D3E10" w:rsidRDefault="00700465" w:rsidP="002F72EB">
      <w:pPr>
        <w:pStyle w:val="parrafos"/>
        <w:numPr>
          <w:ilvl w:val="0"/>
          <w:numId w:val="4"/>
        </w:numPr>
        <w:tabs>
          <w:tab w:val="left" w:pos="360"/>
        </w:tabs>
        <w:ind w:left="0" w:firstLine="0"/>
        <w:rPr>
          <w:lang w:val="es-AR"/>
        </w:rPr>
      </w:pPr>
      <w:r w:rsidRPr="001D3E10">
        <w:rPr>
          <w:lang w:val="es-AR"/>
        </w:rPr>
        <w:t>Aduce</w:t>
      </w:r>
      <w:r w:rsidR="0016019F" w:rsidRPr="001D3E10">
        <w:rPr>
          <w:lang w:val="es-AR"/>
        </w:rPr>
        <w:t xml:space="preserve"> que las restricciones impuestas al derecho de propiedad no deben extenderse</w:t>
      </w:r>
      <w:r w:rsidRPr="001D3E10">
        <w:rPr>
          <w:lang w:val="es-AR"/>
        </w:rPr>
        <w:t xml:space="preserve"> indefinidamente</w:t>
      </w:r>
      <w:r w:rsidR="0016019F" w:rsidRPr="001D3E10">
        <w:rPr>
          <w:lang w:val="es-AR"/>
        </w:rPr>
        <w:t xml:space="preserve">, ya que esto significa un cumplimiento anticipado de una condena futura. Resalta </w:t>
      </w:r>
      <w:r w:rsidRPr="001D3E10">
        <w:rPr>
          <w:lang w:val="es-AR"/>
        </w:rPr>
        <w:t>que, en</w:t>
      </w:r>
      <w:r w:rsidR="0016019F" w:rsidRPr="001D3E10">
        <w:rPr>
          <w:lang w:val="es-AR"/>
        </w:rPr>
        <w:t xml:space="preserve"> el caso bajo estudio, </w:t>
      </w:r>
      <w:r w:rsidR="00CE5544" w:rsidRPr="001D3E10">
        <w:rPr>
          <w:lang w:val="es-AR"/>
        </w:rPr>
        <w:t xml:space="preserve">la medida cautelar impuesta se prolongó por más de 30 años. </w:t>
      </w:r>
    </w:p>
    <w:p w14:paraId="0C9B1CA1" w14:textId="03FCA96C" w:rsidR="00DE4F2F" w:rsidRPr="001D3E10" w:rsidRDefault="00DE4F2F" w:rsidP="00DE4F2F">
      <w:pPr>
        <w:pStyle w:val="parrafos"/>
        <w:tabs>
          <w:tab w:val="left" w:pos="360"/>
        </w:tabs>
        <w:rPr>
          <w:lang w:val="es-AR"/>
        </w:rPr>
      </w:pPr>
    </w:p>
    <w:p w14:paraId="1FD33D8E" w14:textId="71A9C520" w:rsidR="009C1C2C" w:rsidRPr="001D3E10" w:rsidRDefault="00F42210" w:rsidP="002F72EB">
      <w:pPr>
        <w:pStyle w:val="parrafos"/>
        <w:numPr>
          <w:ilvl w:val="0"/>
          <w:numId w:val="4"/>
        </w:numPr>
        <w:tabs>
          <w:tab w:val="left" w:pos="360"/>
        </w:tabs>
        <w:ind w:left="0" w:firstLine="0"/>
        <w:rPr>
          <w:lang w:val="es-AR"/>
        </w:rPr>
      </w:pPr>
      <w:r w:rsidRPr="001D3E10">
        <w:rPr>
          <w:lang w:val="es-AR"/>
        </w:rPr>
        <w:t xml:space="preserve">La parte peticionaria </w:t>
      </w:r>
      <w:r w:rsidR="00700465" w:rsidRPr="001D3E10">
        <w:rPr>
          <w:lang w:val="es-AR"/>
        </w:rPr>
        <w:t>señala</w:t>
      </w:r>
      <w:r w:rsidRPr="001D3E10">
        <w:rPr>
          <w:lang w:val="es-AR"/>
        </w:rPr>
        <w:t xml:space="preserve"> que el</w:t>
      </w:r>
      <w:r w:rsidR="00AA63E8" w:rsidRPr="001D3E10">
        <w:rPr>
          <w:lang w:val="es-AR"/>
        </w:rPr>
        <w:t xml:space="preserve"> derecho interno </w:t>
      </w:r>
      <w:r w:rsidRPr="001D3E10">
        <w:rPr>
          <w:lang w:val="es-AR"/>
        </w:rPr>
        <w:t xml:space="preserve">sólo permite dictar </w:t>
      </w:r>
      <w:r w:rsidR="00AA63E8" w:rsidRPr="001D3E10">
        <w:rPr>
          <w:lang w:val="es-AR"/>
        </w:rPr>
        <w:t xml:space="preserve">medidas cautelares </w:t>
      </w:r>
      <w:r w:rsidR="00700465" w:rsidRPr="001D3E10">
        <w:rPr>
          <w:lang w:val="es-AR"/>
        </w:rPr>
        <w:t>cuando</w:t>
      </w:r>
      <w:r w:rsidR="009C1C2C" w:rsidRPr="001D3E10">
        <w:rPr>
          <w:lang w:val="es-AR"/>
        </w:rPr>
        <w:t xml:space="preserve"> se acredite la verosimilitud de la pretensión del demandante, y existe la necesidad de garantizar al acreedor que el deudor estará en condiciones de afrontar una posible condena patrimonial, </w:t>
      </w:r>
      <w:r w:rsidR="006C3F2B" w:rsidRPr="001D3E10">
        <w:rPr>
          <w:lang w:val="es-AR"/>
        </w:rPr>
        <w:t>empero, en el presente caso, la medida fue impuesta sin un análisis adecuado sobre la presunta participación de las presuntas víctimas en los hechos que condujeron al estado falencial de la “Caja Mutual Yatay” en enero de 1981 en los cuales no tuvieron ninguna participación, porque en el caso del señor Kemelmajen se desvinculó de la entidad el 15 de mayo de 1980, y en el caso del señor Chaikin, nunca se vinculó efectivamente, por no aceptar el cargo al que fue propuesto.</w:t>
      </w:r>
    </w:p>
    <w:p w14:paraId="23AA6C64" w14:textId="77777777" w:rsidR="006C3F2B" w:rsidRPr="001D3E10" w:rsidRDefault="006C3F2B" w:rsidP="006C3F2B">
      <w:pPr>
        <w:pStyle w:val="parrafos"/>
        <w:tabs>
          <w:tab w:val="left" w:pos="360"/>
        </w:tabs>
        <w:rPr>
          <w:lang w:val="es-AR"/>
        </w:rPr>
      </w:pPr>
    </w:p>
    <w:p w14:paraId="5D445F65" w14:textId="02B2CE79" w:rsidR="00144564" w:rsidRPr="001D3E10" w:rsidRDefault="006C3F2B" w:rsidP="002F72EB">
      <w:pPr>
        <w:pStyle w:val="parrafos"/>
        <w:numPr>
          <w:ilvl w:val="0"/>
          <w:numId w:val="4"/>
        </w:numPr>
        <w:tabs>
          <w:tab w:val="left" w:pos="360"/>
        </w:tabs>
        <w:ind w:left="0" w:firstLine="0"/>
        <w:rPr>
          <w:lang w:val="es-AR"/>
        </w:rPr>
      </w:pPr>
      <w:r w:rsidRPr="001D3E10">
        <w:rPr>
          <w:lang w:val="es-AR"/>
        </w:rPr>
        <w:t>Expresa que</w:t>
      </w:r>
      <w:r w:rsidR="00A5392B" w:rsidRPr="001D3E10">
        <w:rPr>
          <w:lang w:val="es-AR"/>
        </w:rPr>
        <w:t>,</w:t>
      </w:r>
      <w:r w:rsidRPr="001D3E10">
        <w:rPr>
          <w:lang w:val="es-AR"/>
        </w:rPr>
        <w:t xml:space="preserve"> </w:t>
      </w:r>
      <w:r w:rsidR="00AE7CD1" w:rsidRPr="001D3E10">
        <w:rPr>
          <w:lang w:val="es-AR"/>
        </w:rPr>
        <w:t>en el marco del proceso, nunca se dictó una sentencia definitiv</w:t>
      </w:r>
      <w:r w:rsidR="00F5291C" w:rsidRPr="001D3E10">
        <w:rPr>
          <w:lang w:val="es-AR"/>
        </w:rPr>
        <w:t>a de fondo y el mismo se archivó</w:t>
      </w:r>
      <w:r w:rsidR="00AE7CD1" w:rsidRPr="001D3E10">
        <w:rPr>
          <w:lang w:val="es-AR"/>
        </w:rPr>
        <w:t xml:space="preserve"> por inactividad procesal, por lo que la medida de inhibición continua vigente, transcurridos más de 35 años. </w:t>
      </w:r>
    </w:p>
    <w:p w14:paraId="354763E6" w14:textId="77777777" w:rsidR="00764472" w:rsidRPr="001D3E10" w:rsidRDefault="00764472" w:rsidP="00764472">
      <w:pPr>
        <w:pStyle w:val="parrafos"/>
        <w:tabs>
          <w:tab w:val="left" w:pos="360"/>
        </w:tabs>
        <w:rPr>
          <w:lang w:val="es-AR"/>
        </w:rPr>
      </w:pPr>
    </w:p>
    <w:p w14:paraId="0ED04CF8" w14:textId="77777777" w:rsidR="00B147D3" w:rsidRPr="001D3E10" w:rsidRDefault="00362B93" w:rsidP="002F72EB">
      <w:pPr>
        <w:pStyle w:val="parrafos"/>
        <w:numPr>
          <w:ilvl w:val="0"/>
          <w:numId w:val="4"/>
        </w:numPr>
        <w:tabs>
          <w:tab w:val="left" w:pos="360"/>
        </w:tabs>
        <w:ind w:left="0" w:firstLine="0"/>
        <w:rPr>
          <w:lang w:val="es-AR"/>
        </w:rPr>
      </w:pPr>
      <w:r w:rsidRPr="001D3E10">
        <w:rPr>
          <w:lang w:val="es-AR"/>
        </w:rPr>
        <w:t xml:space="preserve">Sobre los efectos adversos que tuvo la medida cautelar de inhibición </w:t>
      </w:r>
      <w:r w:rsidR="00F917E7" w:rsidRPr="001D3E10">
        <w:rPr>
          <w:lang w:val="es-AR"/>
        </w:rPr>
        <w:t>general de bienes</w:t>
      </w:r>
      <w:r w:rsidR="00B72D58" w:rsidRPr="001D3E10">
        <w:rPr>
          <w:lang w:val="es-AR"/>
        </w:rPr>
        <w:t>,</w:t>
      </w:r>
      <w:r w:rsidR="00F917E7" w:rsidRPr="001D3E10">
        <w:rPr>
          <w:lang w:val="es-AR"/>
        </w:rPr>
        <w:t xml:space="preserve"> </w:t>
      </w:r>
      <w:r w:rsidR="00A32FA2" w:rsidRPr="001D3E10">
        <w:rPr>
          <w:lang w:val="es-AR"/>
        </w:rPr>
        <w:t>r</w:t>
      </w:r>
      <w:r w:rsidR="00F41859" w:rsidRPr="001D3E10">
        <w:rPr>
          <w:lang w:val="es-AR"/>
        </w:rPr>
        <w:t>efiere</w:t>
      </w:r>
      <w:r w:rsidR="00F917E7" w:rsidRPr="001D3E10">
        <w:rPr>
          <w:lang w:val="es-AR"/>
        </w:rPr>
        <w:t xml:space="preserve"> que e</w:t>
      </w:r>
      <w:r w:rsidR="00B72D58" w:rsidRPr="001D3E10">
        <w:rPr>
          <w:lang w:val="es-AR"/>
        </w:rPr>
        <w:t>l señor Rafael Chaikin</w:t>
      </w:r>
      <w:r w:rsidRPr="001D3E10">
        <w:rPr>
          <w:lang w:val="es-AR"/>
        </w:rPr>
        <w:t xml:space="preserve"> </w:t>
      </w:r>
      <w:r w:rsidR="008020D4" w:rsidRPr="001D3E10">
        <w:rPr>
          <w:lang w:val="es-AR"/>
        </w:rPr>
        <w:t>era socio de una empresa de turismo “Bantur Viajes y Turismo SRL” que había constituido el 21 de noviembre de 1985, la cual era s</w:t>
      </w:r>
      <w:r w:rsidR="001E7297" w:rsidRPr="001D3E10">
        <w:rPr>
          <w:lang w:val="es-AR"/>
        </w:rPr>
        <w:t xml:space="preserve">u principal fuente de ingresos y la medida cautelar </w:t>
      </w:r>
      <w:r w:rsidR="00B147D3" w:rsidRPr="001D3E10">
        <w:rPr>
          <w:lang w:val="es-AR"/>
        </w:rPr>
        <w:t>tuvo el efecto de bloquearlo comercial y financieramente, por lo que no pudo seguir realizando operaciones bancarias, lo cual generó el cierre de la empresa. Añade que, como consecuencia de lo anterior,</w:t>
      </w:r>
      <w:r w:rsidR="00812E1B" w:rsidRPr="001D3E10">
        <w:rPr>
          <w:lang w:val="es-AR"/>
        </w:rPr>
        <w:t xml:space="preserve"> tuvo que migrar hacia Estados Unidos con sus dos hijos menores, y buscar un trabajo </w:t>
      </w:r>
      <w:r w:rsidR="00B147D3" w:rsidRPr="001D3E10">
        <w:rPr>
          <w:lang w:val="es-AR"/>
        </w:rPr>
        <w:t xml:space="preserve">como obrero de construcción, el cual mantiene hasta la fecha. </w:t>
      </w:r>
    </w:p>
    <w:p w14:paraId="68257479" w14:textId="77777777" w:rsidR="009143DD" w:rsidRPr="001D3E10" w:rsidRDefault="009143DD" w:rsidP="009143DD">
      <w:pPr>
        <w:pStyle w:val="parrafos"/>
        <w:tabs>
          <w:tab w:val="left" w:pos="360"/>
        </w:tabs>
        <w:rPr>
          <w:lang w:val="es-AR"/>
        </w:rPr>
      </w:pPr>
    </w:p>
    <w:p w14:paraId="7FF23080" w14:textId="6D5B0C14" w:rsidR="00167CE0" w:rsidRPr="001D3E10" w:rsidRDefault="008020D4" w:rsidP="002F72EB">
      <w:pPr>
        <w:pStyle w:val="parrafos"/>
        <w:numPr>
          <w:ilvl w:val="0"/>
          <w:numId w:val="4"/>
        </w:numPr>
        <w:tabs>
          <w:tab w:val="left" w:pos="360"/>
        </w:tabs>
        <w:ind w:left="0" w:firstLine="0"/>
        <w:rPr>
          <w:lang w:val="es-AR"/>
        </w:rPr>
      </w:pPr>
      <w:r w:rsidRPr="001D3E10">
        <w:rPr>
          <w:lang w:val="es-AR"/>
        </w:rPr>
        <w:t xml:space="preserve"> </w:t>
      </w:r>
      <w:r w:rsidR="00812E1B" w:rsidRPr="001D3E10">
        <w:rPr>
          <w:lang w:val="es-AR"/>
        </w:rPr>
        <w:t>Argumenta que e</w:t>
      </w:r>
      <w:r w:rsidR="00BA71C1" w:rsidRPr="001D3E10">
        <w:rPr>
          <w:lang w:val="es-AR"/>
        </w:rPr>
        <w:t>n el caso del señor Ke</w:t>
      </w:r>
      <w:r w:rsidR="009143DD" w:rsidRPr="001D3E10">
        <w:rPr>
          <w:lang w:val="es-AR"/>
        </w:rPr>
        <w:t>me</w:t>
      </w:r>
      <w:r w:rsidR="00BA71C1" w:rsidRPr="001D3E10">
        <w:rPr>
          <w:lang w:val="es-AR"/>
        </w:rPr>
        <w:t>l</w:t>
      </w:r>
      <w:r w:rsidR="009143DD" w:rsidRPr="001D3E10">
        <w:rPr>
          <w:lang w:val="es-AR"/>
        </w:rPr>
        <w:t>majen, este era socio de la Inmobiliaria denominada “Rabinovich Propiedades SH” la cual tenía como actividad comer</w:t>
      </w:r>
      <w:r w:rsidR="00812E1B" w:rsidRPr="001D3E10">
        <w:rPr>
          <w:lang w:val="es-AR"/>
        </w:rPr>
        <w:t xml:space="preserve">cial el corretaje inmobiliario, y la presunta víctima estaba encargada de </w:t>
      </w:r>
      <w:r w:rsidR="009143DD" w:rsidRPr="001D3E10">
        <w:rPr>
          <w:lang w:val="es-AR"/>
        </w:rPr>
        <w:t>suscribir</w:t>
      </w:r>
      <w:r w:rsidR="00812E1B" w:rsidRPr="001D3E10">
        <w:rPr>
          <w:lang w:val="es-AR"/>
        </w:rPr>
        <w:t xml:space="preserve"> boletos, contratos, reservas y</w:t>
      </w:r>
      <w:r w:rsidR="009143DD" w:rsidRPr="001D3E10">
        <w:rPr>
          <w:lang w:val="es-AR"/>
        </w:rPr>
        <w:t xml:space="preserve"> transferencias de fondos de comercio, </w:t>
      </w:r>
      <w:r w:rsidR="00812E1B" w:rsidRPr="001D3E10">
        <w:rPr>
          <w:lang w:val="es-AR"/>
        </w:rPr>
        <w:t>tarea</w:t>
      </w:r>
      <w:r w:rsidR="00ED1184" w:rsidRPr="001D3E10">
        <w:rPr>
          <w:lang w:val="es-AR"/>
        </w:rPr>
        <w:t xml:space="preserve">s </w:t>
      </w:r>
      <w:r w:rsidR="00812E1B" w:rsidRPr="001D3E10">
        <w:rPr>
          <w:lang w:val="es-AR"/>
        </w:rPr>
        <w:t>que</w:t>
      </w:r>
      <w:r w:rsidR="00ED1184" w:rsidRPr="001D3E10">
        <w:rPr>
          <w:lang w:val="es-AR"/>
        </w:rPr>
        <w:t xml:space="preserve"> no pudo seguir realizando</w:t>
      </w:r>
      <w:r w:rsidR="009143DD" w:rsidRPr="001D3E10">
        <w:rPr>
          <w:lang w:val="es-AR"/>
        </w:rPr>
        <w:t xml:space="preserve"> debido a la medida cautelar</w:t>
      </w:r>
      <w:r w:rsidR="00ED1184" w:rsidRPr="001D3E10">
        <w:rPr>
          <w:lang w:val="es-AR"/>
        </w:rPr>
        <w:t xml:space="preserve"> de inhibición general de bienes</w:t>
      </w:r>
      <w:r w:rsidR="009143DD" w:rsidRPr="001D3E10">
        <w:rPr>
          <w:lang w:val="es-AR"/>
        </w:rPr>
        <w:t>. Además</w:t>
      </w:r>
      <w:r w:rsidR="00ED1184" w:rsidRPr="001D3E10">
        <w:rPr>
          <w:lang w:val="es-AR"/>
        </w:rPr>
        <w:t xml:space="preserve"> de lo anterior</w:t>
      </w:r>
      <w:r w:rsidR="00BA71C1" w:rsidRPr="001D3E10">
        <w:rPr>
          <w:lang w:val="es-AR"/>
        </w:rPr>
        <w:t xml:space="preserve">, </w:t>
      </w:r>
      <w:r w:rsidR="00812E1B" w:rsidRPr="001D3E10">
        <w:rPr>
          <w:lang w:val="es-AR"/>
        </w:rPr>
        <w:t>era</w:t>
      </w:r>
      <w:r w:rsidR="00B72D58" w:rsidRPr="001D3E10">
        <w:rPr>
          <w:lang w:val="es-AR"/>
        </w:rPr>
        <w:t xml:space="preserve"> estudiante de Derecho, </w:t>
      </w:r>
      <w:r w:rsidR="009143DD" w:rsidRPr="001D3E10">
        <w:rPr>
          <w:lang w:val="es-AR"/>
        </w:rPr>
        <w:t xml:space="preserve">contador público y tenía </w:t>
      </w:r>
      <w:r w:rsidR="00ED1184" w:rsidRPr="001D3E10">
        <w:rPr>
          <w:lang w:val="es-AR"/>
        </w:rPr>
        <w:t>un estudio contable del cual era único titular</w:t>
      </w:r>
      <w:r w:rsidR="00073C98" w:rsidRPr="001D3E10">
        <w:rPr>
          <w:lang w:val="es-AR"/>
        </w:rPr>
        <w:t>,</w:t>
      </w:r>
      <w:r w:rsidR="00ED1184" w:rsidRPr="001D3E10">
        <w:rPr>
          <w:lang w:val="es-AR"/>
        </w:rPr>
        <w:t xml:space="preserve"> </w:t>
      </w:r>
      <w:r w:rsidR="00073C98" w:rsidRPr="001D3E10">
        <w:rPr>
          <w:lang w:val="es-AR"/>
        </w:rPr>
        <w:t xml:space="preserve">teniendo </w:t>
      </w:r>
      <w:r w:rsidR="00B72D58" w:rsidRPr="001D3E10">
        <w:rPr>
          <w:lang w:val="es-AR"/>
        </w:rPr>
        <w:t>contadores a su cargo y</w:t>
      </w:r>
      <w:r w:rsidR="00ED1184" w:rsidRPr="001D3E10">
        <w:rPr>
          <w:lang w:val="es-AR"/>
        </w:rPr>
        <w:t xml:space="preserve"> más de cincuenta clientes. </w:t>
      </w:r>
      <w:r w:rsidR="00812E1B" w:rsidRPr="001D3E10">
        <w:rPr>
          <w:lang w:val="es-AR"/>
        </w:rPr>
        <w:t xml:space="preserve">Refiere que, como consecuencia de la medida cautelar </w:t>
      </w:r>
      <w:r w:rsidR="00ED1184" w:rsidRPr="001D3E10">
        <w:rPr>
          <w:lang w:val="es-AR"/>
        </w:rPr>
        <w:t xml:space="preserve">de inhibición general de bienes, no pudo mantener sus cuentas bancarias en las cuales sus clientes le depositaban </w:t>
      </w:r>
      <w:r w:rsidR="00812E1B" w:rsidRPr="001D3E10">
        <w:rPr>
          <w:lang w:val="es-AR"/>
        </w:rPr>
        <w:t>dinero</w:t>
      </w:r>
      <w:r w:rsidR="00ED1184" w:rsidRPr="001D3E10">
        <w:rPr>
          <w:lang w:val="es-AR"/>
        </w:rPr>
        <w:t xml:space="preserve"> para el pago de impuestos, los cuales este hacía a través del giro de cheques propios.</w:t>
      </w:r>
      <w:r w:rsidR="00A40C51" w:rsidRPr="001D3E10">
        <w:rPr>
          <w:lang w:val="es-AR"/>
        </w:rPr>
        <w:t xml:space="preserve"> De igual manera, quedó bloqueado de acceder a créditos y de mantener depósitos propios por temor a que estos quedaran bloqueados. Por todo lo anterior, debió vender su estudio al contador que lo sucedía </w:t>
      </w:r>
      <w:r w:rsidR="00812E1B" w:rsidRPr="001D3E10">
        <w:rPr>
          <w:lang w:val="es-AR"/>
        </w:rPr>
        <w:t xml:space="preserve">y </w:t>
      </w:r>
      <w:r w:rsidR="00A40C51" w:rsidRPr="001D3E10">
        <w:rPr>
          <w:lang w:val="es-AR"/>
        </w:rPr>
        <w:t xml:space="preserve">renunció a su matrícula profesional en noviembre de 1988 ante el Consejo Profesional. </w:t>
      </w:r>
    </w:p>
    <w:p w14:paraId="093BA9F2" w14:textId="77777777" w:rsidR="001D126C" w:rsidRPr="001D3E10" w:rsidRDefault="001D126C" w:rsidP="001D126C">
      <w:pPr>
        <w:pStyle w:val="parrafos"/>
        <w:tabs>
          <w:tab w:val="left" w:pos="360"/>
        </w:tabs>
        <w:rPr>
          <w:lang w:val="es-AR"/>
        </w:rPr>
      </w:pPr>
    </w:p>
    <w:p w14:paraId="50F35DBD" w14:textId="77777777" w:rsidR="0049502F" w:rsidRPr="001D3E10" w:rsidRDefault="00F41859" w:rsidP="002F72EB">
      <w:pPr>
        <w:pStyle w:val="parrafos"/>
        <w:numPr>
          <w:ilvl w:val="0"/>
          <w:numId w:val="4"/>
        </w:numPr>
        <w:tabs>
          <w:tab w:val="left" w:pos="360"/>
        </w:tabs>
        <w:ind w:left="0" w:firstLine="0"/>
        <w:rPr>
          <w:lang w:val="es-AR"/>
        </w:rPr>
      </w:pPr>
      <w:r w:rsidRPr="001D3E10">
        <w:rPr>
          <w:lang w:val="es-AR"/>
        </w:rPr>
        <w:t>Agrega</w:t>
      </w:r>
      <w:r w:rsidR="00CC63D3" w:rsidRPr="001D3E10">
        <w:rPr>
          <w:lang w:val="es-AR"/>
        </w:rPr>
        <w:t xml:space="preserve"> </w:t>
      </w:r>
      <w:r w:rsidR="00812E1B" w:rsidRPr="001D3E10">
        <w:rPr>
          <w:lang w:val="es-AR"/>
        </w:rPr>
        <w:t>que,</w:t>
      </w:r>
      <w:r w:rsidR="00CC63D3" w:rsidRPr="001D3E10">
        <w:rPr>
          <w:lang w:val="es-AR"/>
        </w:rPr>
        <w:t xml:space="preserve"> al momento de la medida cautelar, el se</w:t>
      </w:r>
      <w:r w:rsidR="00BA71C1" w:rsidRPr="001D3E10">
        <w:rPr>
          <w:lang w:val="es-AR"/>
        </w:rPr>
        <w:t>ñor Ke</w:t>
      </w:r>
      <w:r w:rsidR="00CC63D3" w:rsidRPr="001D3E10">
        <w:rPr>
          <w:lang w:val="es-AR"/>
        </w:rPr>
        <w:t>me</w:t>
      </w:r>
      <w:r w:rsidR="00BA71C1" w:rsidRPr="001D3E10">
        <w:rPr>
          <w:lang w:val="es-AR"/>
        </w:rPr>
        <w:t>l</w:t>
      </w:r>
      <w:r w:rsidR="00CC63D3" w:rsidRPr="001D3E10">
        <w:rPr>
          <w:lang w:val="es-AR"/>
        </w:rPr>
        <w:t>majen tenía una hija de cuatro años y un hijo por nacer y que la medida de bloqueo sobre su vida económica lo llevó a establecerse en Asunción, P</w:t>
      </w:r>
      <w:r w:rsidR="00812E1B" w:rsidRPr="001D3E10">
        <w:rPr>
          <w:lang w:val="es-AR"/>
        </w:rPr>
        <w:t xml:space="preserve">araguay donde estableció una joyería, sin embargo, la difícil adaptación a este entorno generó que su </w:t>
      </w:r>
      <w:r w:rsidR="00CC63D3" w:rsidRPr="001D3E10">
        <w:rPr>
          <w:lang w:val="es-AR"/>
        </w:rPr>
        <w:t>familia se devolviera a Buenos Aires</w:t>
      </w:r>
      <w:r w:rsidR="00812E1B" w:rsidRPr="001D3E10">
        <w:rPr>
          <w:lang w:val="es-AR"/>
        </w:rPr>
        <w:t xml:space="preserve"> y con posterioridad en su consecuente divorcio. </w:t>
      </w:r>
    </w:p>
    <w:p w14:paraId="235FF7AD" w14:textId="77777777" w:rsidR="0049502F" w:rsidRPr="001D3E10" w:rsidRDefault="0049502F" w:rsidP="0049502F">
      <w:pPr>
        <w:pStyle w:val="parrafos"/>
        <w:tabs>
          <w:tab w:val="left" w:pos="360"/>
        </w:tabs>
        <w:rPr>
          <w:lang w:val="es-AR"/>
        </w:rPr>
      </w:pPr>
    </w:p>
    <w:p w14:paraId="33AD5D6C" w14:textId="77777777" w:rsidR="008F6CA7" w:rsidRPr="001D3E10" w:rsidRDefault="0049502F" w:rsidP="002F72EB">
      <w:pPr>
        <w:pStyle w:val="parrafos"/>
        <w:numPr>
          <w:ilvl w:val="0"/>
          <w:numId w:val="4"/>
        </w:numPr>
        <w:tabs>
          <w:tab w:val="left" w:pos="360"/>
        </w:tabs>
        <w:ind w:left="0" w:firstLine="0"/>
        <w:rPr>
          <w:lang w:val="es-AR"/>
        </w:rPr>
      </w:pPr>
      <w:r w:rsidRPr="001D3E10">
        <w:rPr>
          <w:lang w:val="es-AR"/>
        </w:rPr>
        <w:t xml:space="preserve">En cuanto a los </w:t>
      </w:r>
      <w:r w:rsidRPr="001D3E10">
        <w:rPr>
          <w:b/>
          <w:lang w:val="es-AR"/>
        </w:rPr>
        <w:t>requisitos de admisibilidad</w:t>
      </w:r>
      <w:r w:rsidRPr="001D3E10">
        <w:rPr>
          <w:lang w:val="es-AR"/>
        </w:rPr>
        <w:t xml:space="preserve">, indica la parte peticionaria que la presente petición cumple con todos los requisitos establecidos en el artículo 46 de la Convención. Específicamente, con respecto </w:t>
      </w:r>
      <w:r w:rsidR="008F6CA7" w:rsidRPr="001D3E10">
        <w:rPr>
          <w:lang w:val="es-AR"/>
        </w:rPr>
        <w:t xml:space="preserve">al requisito de </w:t>
      </w:r>
      <w:r w:rsidR="008F6CA7" w:rsidRPr="001D3E10">
        <w:rPr>
          <w:b/>
          <w:lang w:val="es-AR"/>
        </w:rPr>
        <w:t>agotamiento de recursos internos</w:t>
      </w:r>
      <w:r w:rsidR="00F6251D" w:rsidRPr="001D3E10">
        <w:rPr>
          <w:b/>
          <w:lang w:val="es-AR"/>
        </w:rPr>
        <w:t xml:space="preserve">, </w:t>
      </w:r>
      <w:r w:rsidR="00F6251D" w:rsidRPr="001D3E10">
        <w:rPr>
          <w:lang w:val="es-AR"/>
        </w:rPr>
        <w:t xml:space="preserve">la parte peticionaria indica que en el presente caso opera la excepción a dicha regla establecida en el artículo 46.2 de la Convención Americana. Expresa que </w:t>
      </w:r>
      <w:r w:rsidR="00E51B74" w:rsidRPr="001D3E10">
        <w:rPr>
          <w:lang w:val="es-AR"/>
        </w:rPr>
        <w:t>no interpusieron recursos en contra de</w:t>
      </w:r>
      <w:r w:rsidR="008F6CA7" w:rsidRPr="001D3E10">
        <w:rPr>
          <w:lang w:val="es-AR"/>
        </w:rPr>
        <w:t xml:space="preserve"> la medida cautelar de inhibición de bienes o sus renovaciones porque nunca fueron notificados de la adopción de las medidas, en contravención con lo establecido </w:t>
      </w:r>
      <w:r w:rsidR="00E51B74" w:rsidRPr="001D3E10">
        <w:rPr>
          <w:lang w:val="es-AR"/>
        </w:rPr>
        <w:t>en el artículo 198 del CPCC, que dispone que las medidas cautelares deben ser notificadas a los afectados dentro de los tres días de ordenadas o hechas efectivas</w:t>
      </w:r>
      <w:r w:rsidR="008F6CA7" w:rsidRPr="001D3E10">
        <w:rPr>
          <w:lang w:val="es-AR"/>
        </w:rPr>
        <w:t xml:space="preserve">. Refiere que, en el caso particular, se enteraron de las mismas en virtud de los bloqueos patrimoniales y financieros impuestos en su contra. </w:t>
      </w:r>
    </w:p>
    <w:p w14:paraId="1CE5CD35" w14:textId="77777777" w:rsidR="00E51B74" w:rsidRDefault="00E51B74" w:rsidP="00E51B74">
      <w:pPr>
        <w:pStyle w:val="parrafos"/>
        <w:tabs>
          <w:tab w:val="left" w:pos="360"/>
        </w:tabs>
        <w:rPr>
          <w:lang w:val="es-AR"/>
        </w:rPr>
      </w:pPr>
    </w:p>
    <w:p w14:paraId="39B9BDBB" w14:textId="77777777" w:rsidR="003F0812" w:rsidRDefault="003F0812" w:rsidP="00E51B74">
      <w:pPr>
        <w:pStyle w:val="parrafos"/>
        <w:tabs>
          <w:tab w:val="left" w:pos="360"/>
        </w:tabs>
        <w:rPr>
          <w:lang w:val="es-AR"/>
        </w:rPr>
      </w:pPr>
    </w:p>
    <w:p w14:paraId="0219D2FC" w14:textId="77777777" w:rsidR="003F0812" w:rsidRDefault="003F0812" w:rsidP="00E51B74">
      <w:pPr>
        <w:pStyle w:val="parrafos"/>
        <w:tabs>
          <w:tab w:val="left" w:pos="360"/>
        </w:tabs>
        <w:rPr>
          <w:lang w:val="es-AR"/>
        </w:rPr>
      </w:pPr>
    </w:p>
    <w:p w14:paraId="5B99B4AB" w14:textId="77777777" w:rsidR="003F0812" w:rsidRPr="001D3E10" w:rsidRDefault="003F0812" w:rsidP="00E51B74">
      <w:pPr>
        <w:pStyle w:val="parrafos"/>
        <w:tabs>
          <w:tab w:val="left" w:pos="360"/>
        </w:tabs>
        <w:rPr>
          <w:lang w:val="es-AR"/>
        </w:rPr>
      </w:pPr>
    </w:p>
    <w:p w14:paraId="4DAAA1E6" w14:textId="1FD014A8" w:rsidR="00E51B74" w:rsidRPr="001D3E10" w:rsidRDefault="007D2653" w:rsidP="002F72EB">
      <w:pPr>
        <w:pStyle w:val="parrafos"/>
        <w:numPr>
          <w:ilvl w:val="0"/>
          <w:numId w:val="4"/>
        </w:numPr>
        <w:tabs>
          <w:tab w:val="left" w:pos="360"/>
        </w:tabs>
        <w:ind w:left="0" w:firstLine="0"/>
        <w:rPr>
          <w:lang w:val="es-AR"/>
        </w:rPr>
      </w:pPr>
      <w:r w:rsidRPr="001D3E10">
        <w:rPr>
          <w:lang w:val="es-AR"/>
        </w:rPr>
        <w:t>Expresa</w:t>
      </w:r>
      <w:r w:rsidR="00E51B74" w:rsidRPr="001D3E10">
        <w:rPr>
          <w:lang w:val="es-AR"/>
        </w:rPr>
        <w:t xml:space="preserve"> que la medida cautelar era sujeta del recurso de revocatoria y apelación, pero que por el hecho de que estas no fueron notificadas no pudieron recurrirlas. </w:t>
      </w:r>
      <w:r w:rsidR="00F41859" w:rsidRPr="001D3E10">
        <w:rPr>
          <w:lang w:val="es-AR"/>
        </w:rPr>
        <w:t>Agrega</w:t>
      </w:r>
      <w:r w:rsidR="00B80DB1" w:rsidRPr="001D3E10">
        <w:rPr>
          <w:lang w:val="es-AR"/>
        </w:rPr>
        <w:t xml:space="preserve"> que </w:t>
      </w:r>
      <w:r w:rsidR="00E336F6" w:rsidRPr="001D3E10">
        <w:rPr>
          <w:lang w:val="es-AR"/>
        </w:rPr>
        <w:t>habrían</w:t>
      </w:r>
      <w:r w:rsidR="00E51B74" w:rsidRPr="001D3E10">
        <w:rPr>
          <w:lang w:val="es-AR"/>
        </w:rPr>
        <w:t xml:space="preserve"> </w:t>
      </w:r>
      <w:r w:rsidR="00E336F6" w:rsidRPr="001D3E10">
        <w:rPr>
          <w:lang w:val="es-AR"/>
        </w:rPr>
        <w:t>podido impugnarlas</w:t>
      </w:r>
      <w:r w:rsidR="00E51B74" w:rsidRPr="001D3E10">
        <w:rPr>
          <w:lang w:val="es-AR"/>
        </w:rPr>
        <w:t xml:space="preserve"> </w:t>
      </w:r>
      <w:r w:rsidR="00E336F6" w:rsidRPr="001D3E10">
        <w:rPr>
          <w:lang w:val="es-AR"/>
        </w:rPr>
        <w:t>con ocasión de la</w:t>
      </w:r>
      <w:r w:rsidR="00E51B74" w:rsidRPr="001D3E10">
        <w:rPr>
          <w:lang w:val="es-AR"/>
        </w:rPr>
        <w:t xml:space="preserve"> notificación </w:t>
      </w:r>
      <w:r w:rsidR="00F41859" w:rsidRPr="001D3E10">
        <w:rPr>
          <w:lang w:val="es-AR"/>
        </w:rPr>
        <w:t>espontánea,</w:t>
      </w:r>
      <w:r w:rsidR="00E51B74" w:rsidRPr="001D3E10">
        <w:rPr>
          <w:lang w:val="es-AR"/>
        </w:rPr>
        <w:t xml:space="preserve"> pero como este recurso requería un letrado y un procedimiento </w:t>
      </w:r>
      <w:r w:rsidR="00B80DB1" w:rsidRPr="001D3E10">
        <w:rPr>
          <w:lang w:val="es-AR"/>
        </w:rPr>
        <w:t>“</w:t>
      </w:r>
      <w:r w:rsidR="00E51B74" w:rsidRPr="001D3E10">
        <w:rPr>
          <w:lang w:val="es-AR"/>
        </w:rPr>
        <w:t>complejo, oneroso y extendido</w:t>
      </w:r>
      <w:r w:rsidR="00B80DB1" w:rsidRPr="001D3E10">
        <w:rPr>
          <w:lang w:val="es-AR"/>
        </w:rPr>
        <w:t>”</w:t>
      </w:r>
      <w:r w:rsidR="00E51B74" w:rsidRPr="001D3E10">
        <w:rPr>
          <w:lang w:val="es-AR"/>
        </w:rPr>
        <w:t>, no pudieron presentarlo ya que sus fondos estaban bloqueados</w:t>
      </w:r>
      <w:r w:rsidR="00B80DB1" w:rsidRPr="001D3E10">
        <w:rPr>
          <w:lang w:val="es-AR"/>
        </w:rPr>
        <w:t xml:space="preserve"> y sólo contaban con lo necesario para la satisfacción de sus necesidades básicas</w:t>
      </w:r>
      <w:r w:rsidR="00E51B74" w:rsidRPr="001D3E10">
        <w:rPr>
          <w:lang w:val="es-AR"/>
        </w:rPr>
        <w:t>. Afirma</w:t>
      </w:r>
      <w:r w:rsidR="00F41859" w:rsidRPr="001D3E10">
        <w:rPr>
          <w:lang w:val="es-AR"/>
        </w:rPr>
        <w:t>n</w:t>
      </w:r>
      <w:r w:rsidR="00E51B74" w:rsidRPr="001D3E10">
        <w:rPr>
          <w:lang w:val="es-AR"/>
        </w:rPr>
        <w:t xml:space="preserve"> que frente a esto intentaron el patrocinio legal y gratuito del </w:t>
      </w:r>
      <w:r w:rsidR="00F41859" w:rsidRPr="001D3E10">
        <w:rPr>
          <w:lang w:val="es-AR"/>
        </w:rPr>
        <w:t>Estado,</w:t>
      </w:r>
      <w:r w:rsidR="00E51B74" w:rsidRPr="001D3E10">
        <w:rPr>
          <w:lang w:val="es-AR"/>
        </w:rPr>
        <w:t xml:space="preserve"> pero en ese entonces </w:t>
      </w:r>
      <w:r w:rsidR="00E336F6" w:rsidRPr="001D3E10">
        <w:rPr>
          <w:lang w:val="es-AR"/>
        </w:rPr>
        <w:t>sólo</w:t>
      </w:r>
      <w:r w:rsidR="00E51B74" w:rsidRPr="001D3E10">
        <w:rPr>
          <w:lang w:val="es-AR"/>
        </w:rPr>
        <w:t xml:space="preserve"> existía para </w:t>
      </w:r>
      <w:r w:rsidR="00E336F6" w:rsidRPr="001D3E10">
        <w:rPr>
          <w:lang w:val="es-AR"/>
        </w:rPr>
        <w:t>casos penales y de familia y no para asuntos comerciales</w:t>
      </w:r>
      <w:r w:rsidR="00E51B74" w:rsidRPr="001D3E10">
        <w:rPr>
          <w:lang w:val="es-AR"/>
        </w:rPr>
        <w:t xml:space="preserve">. </w:t>
      </w:r>
    </w:p>
    <w:p w14:paraId="408E3210" w14:textId="2232FF1F" w:rsidR="0049502F" w:rsidRPr="001D3E10" w:rsidRDefault="00F6251D" w:rsidP="002F72EB">
      <w:pPr>
        <w:pStyle w:val="parrafos"/>
        <w:numPr>
          <w:ilvl w:val="0"/>
          <w:numId w:val="4"/>
        </w:numPr>
        <w:tabs>
          <w:tab w:val="left" w:pos="360"/>
        </w:tabs>
        <w:ind w:left="0" w:firstLine="0"/>
        <w:rPr>
          <w:lang w:val="es-AR"/>
        </w:rPr>
      </w:pPr>
      <w:r w:rsidRPr="001D3E10">
        <w:rPr>
          <w:lang w:val="es-AR"/>
        </w:rPr>
        <w:t>Alega</w:t>
      </w:r>
      <w:r w:rsidR="00E51B74" w:rsidRPr="001D3E10">
        <w:rPr>
          <w:lang w:val="es-AR"/>
        </w:rPr>
        <w:t xml:space="preserve"> que le asist</w:t>
      </w:r>
      <w:r w:rsidR="00F41859" w:rsidRPr="001D3E10">
        <w:rPr>
          <w:lang w:val="es-AR"/>
        </w:rPr>
        <w:t>e</w:t>
      </w:r>
      <w:r w:rsidR="00E51B74" w:rsidRPr="001D3E10">
        <w:rPr>
          <w:lang w:val="es-AR"/>
        </w:rPr>
        <w:t xml:space="preserve"> </w:t>
      </w:r>
      <w:r w:rsidR="00F41859" w:rsidRPr="001D3E10">
        <w:rPr>
          <w:lang w:val="es-AR"/>
        </w:rPr>
        <w:t>razón al Estado cuando manifiesta</w:t>
      </w:r>
      <w:r w:rsidR="00E51B74" w:rsidRPr="001D3E10">
        <w:rPr>
          <w:lang w:val="es-AR"/>
        </w:rPr>
        <w:t xml:space="preserve"> que</w:t>
      </w:r>
      <w:r w:rsidR="00F41859" w:rsidRPr="001D3E10">
        <w:rPr>
          <w:lang w:val="es-AR"/>
        </w:rPr>
        <w:t xml:space="preserve"> las presuntas víctimas tenían </w:t>
      </w:r>
      <w:r w:rsidR="00E51B74" w:rsidRPr="001D3E10">
        <w:rPr>
          <w:lang w:val="es-AR"/>
        </w:rPr>
        <w:t>la posibilidad de levantar la inhibición general sobre sus bienes si entregaban a embargo bienes que tuvieran el valor de los tres millones quinientos mil dólares. Sin embargo, refi</w:t>
      </w:r>
      <w:r w:rsidR="00F41859" w:rsidRPr="001D3E10">
        <w:rPr>
          <w:lang w:val="es-AR"/>
        </w:rPr>
        <w:t>ere</w:t>
      </w:r>
      <w:r w:rsidR="00E51B74" w:rsidRPr="001D3E10">
        <w:rPr>
          <w:lang w:val="es-AR"/>
        </w:rPr>
        <w:t xml:space="preserve"> que esta suma no estaba dentro de las posibilidades de ninguna de las víctimas del </w:t>
      </w:r>
      <w:r w:rsidR="00E336F6" w:rsidRPr="001D3E10">
        <w:rPr>
          <w:lang w:val="es-AR"/>
        </w:rPr>
        <w:t>presente caso, r</w:t>
      </w:r>
      <w:r w:rsidR="00E51B74" w:rsidRPr="001D3E10">
        <w:rPr>
          <w:lang w:val="es-AR"/>
        </w:rPr>
        <w:t>azón ésta por la cual luego de 30 años de haber sido impuesta la inhibición general de bienes esta sigue vigente</w:t>
      </w:r>
      <w:r w:rsidR="008817D6" w:rsidRPr="001D3E10">
        <w:rPr>
          <w:lang w:val="es-AR"/>
        </w:rPr>
        <w:t xml:space="preserve"> por la imposibilidad de garantizar el levantamiento de la misma</w:t>
      </w:r>
      <w:r w:rsidR="00E51B74" w:rsidRPr="001D3E10">
        <w:rPr>
          <w:lang w:val="es-AR"/>
        </w:rPr>
        <w:t>.</w:t>
      </w:r>
    </w:p>
    <w:p w14:paraId="19720927" w14:textId="77777777" w:rsidR="002F4B35" w:rsidRPr="001D3E10" w:rsidRDefault="002F4B35" w:rsidP="002F4B35">
      <w:pPr>
        <w:pStyle w:val="parrafos"/>
        <w:tabs>
          <w:tab w:val="left" w:pos="360"/>
        </w:tabs>
        <w:rPr>
          <w:lang w:val="es-AR"/>
        </w:rPr>
      </w:pPr>
    </w:p>
    <w:p w14:paraId="2A235DF7" w14:textId="77777777" w:rsidR="00CC63D3" w:rsidRPr="001D3E10" w:rsidRDefault="0049502F" w:rsidP="002F72EB">
      <w:pPr>
        <w:pStyle w:val="parrafos"/>
        <w:numPr>
          <w:ilvl w:val="0"/>
          <w:numId w:val="4"/>
        </w:numPr>
        <w:tabs>
          <w:tab w:val="left" w:pos="360"/>
        </w:tabs>
        <w:ind w:left="0" w:firstLine="0"/>
        <w:rPr>
          <w:lang w:val="es-AR"/>
        </w:rPr>
      </w:pPr>
      <w:r w:rsidRPr="001D3E10">
        <w:rPr>
          <w:lang w:val="es-AR"/>
        </w:rPr>
        <w:t xml:space="preserve">En cuanto al derecho, argumenta la violación de los </w:t>
      </w:r>
      <w:r w:rsidRPr="001D3E10">
        <w:rPr>
          <w:b/>
          <w:lang w:val="es-AR"/>
        </w:rPr>
        <w:t>derechos a la integridad personal</w:t>
      </w:r>
      <w:r w:rsidRPr="001D3E10">
        <w:rPr>
          <w:lang w:val="es-AR"/>
        </w:rPr>
        <w:t xml:space="preserve"> de las presuntas v</w:t>
      </w:r>
      <w:r w:rsidR="001D126C" w:rsidRPr="001D3E10">
        <w:rPr>
          <w:lang w:val="es-AR"/>
        </w:rPr>
        <w:t xml:space="preserve">íctimas, tomando en cuenta que por más de 20 años </w:t>
      </w:r>
      <w:r w:rsidR="004057B2" w:rsidRPr="001D3E10">
        <w:rPr>
          <w:lang w:val="es-AR"/>
        </w:rPr>
        <w:t xml:space="preserve">no dictaron sentencia definitiva en el marco del proceso de incidente de inhibición general de bienes, por la acción del Banco Central de la República Argentina, quien en su carácter de </w:t>
      </w:r>
      <w:r w:rsidR="0041559E" w:rsidRPr="001D3E10">
        <w:rPr>
          <w:lang w:val="es-AR"/>
        </w:rPr>
        <w:t>liquidador exclusivo y excluyente de las entidades financieras, enjuició pa</w:t>
      </w:r>
      <w:r w:rsidR="00BA71C1" w:rsidRPr="001D3E10">
        <w:rPr>
          <w:lang w:val="es-AR"/>
        </w:rPr>
        <w:t>trimonialmente a los señores Ke</w:t>
      </w:r>
      <w:r w:rsidR="0041559E" w:rsidRPr="001D3E10">
        <w:rPr>
          <w:lang w:val="es-AR"/>
        </w:rPr>
        <w:t>me</w:t>
      </w:r>
      <w:r w:rsidR="00BA71C1" w:rsidRPr="001D3E10">
        <w:rPr>
          <w:lang w:val="es-AR"/>
        </w:rPr>
        <w:t>l</w:t>
      </w:r>
      <w:r w:rsidR="0041559E" w:rsidRPr="001D3E10">
        <w:rPr>
          <w:lang w:val="es-AR"/>
        </w:rPr>
        <w:t>majen y Chaikin sin que sus actuaciones estuvieran comprometidas con los hechos que condujeron al “estado falencial”</w:t>
      </w:r>
      <w:r w:rsidR="00686624" w:rsidRPr="001D3E10">
        <w:rPr>
          <w:lang w:val="es-AR"/>
        </w:rPr>
        <w:t xml:space="preserve"> de la Caja Mutual Yatay</w:t>
      </w:r>
      <w:r w:rsidR="000C4533" w:rsidRPr="001D3E10">
        <w:rPr>
          <w:lang w:val="es-AR"/>
        </w:rPr>
        <w:t xml:space="preserve"> y todo </w:t>
      </w:r>
      <w:r w:rsidR="00686624" w:rsidRPr="001D3E10">
        <w:rPr>
          <w:lang w:val="es-AR"/>
        </w:rPr>
        <w:t xml:space="preserve">esto repercutió </w:t>
      </w:r>
      <w:r w:rsidR="000C4533" w:rsidRPr="001D3E10">
        <w:rPr>
          <w:lang w:val="es-AR"/>
        </w:rPr>
        <w:t xml:space="preserve">moral y psíquicamente en las presuntas víctimas, en los términos indicados con anterioridad. </w:t>
      </w:r>
    </w:p>
    <w:p w14:paraId="29D89184" w14:textId="77777777" w:rsidR="00686624" w:rsidRPr="001D3E10" w:rsidRDefault="00686624" w:rsidP="00686624">
      <w:pPr>
        <w:pStyle w:val="parrafos"/>
        <w:tabs>
          <w:tab w:val="left" w:pos="360"/>
        </w:tabs>
        <w:rPr>
          <w:lang w:val="es-AR"/>
        </w:rPr>
      </w:pPr>
    </w:p>
    <w:p w14:paraId="7453450C" w14:textId="77777777" w:rsidR="000C4533" w:rsidRPr="001D3E10" w:rsidRDefault="000C4533" w:rsidP="002F72EB">
      <w:pPr>
        <w:pStyle w:val="parrafos"/>
        <w:numPr>
          <w:ilvl w:val="0"/>
          <w:numId w:val="4"/>
        </w:numPr>
        <w:tabs>
          <w:tab w:val="left" w:pos="360"/>
        </w:tabs>
        <w:ind w:left="0" w:firstLine="0"/>
        <w:rPr>
          <w:lang w:val="es-AR"/>
        </w:rPr>
      </w:pPr>
      <w:r w:rsidRPr="001D3E10">
        <w:rPr>
          <w:lang w:val="es-AR"/>
        </w:rPr>
        <w:t xml:space="preserve">Asimismo, argumenta la violación de las </w:t>
      </w:r>
      <w:r w:rsidRPr="001D3E10">
        <w:rPr>
          <w:b/>
          <w:lang w:val="es-AR"/>
        </w:rPr>
        <w:t>garantías judiciales</w:t>
      </w:r>
      <w:r w:rsidR="00780136" w:rsidRPr="001D3E10">
        <w:rPr>
          <w:b/>
          <w:lang w:val="es-AR"/>
        </w:rPr>
        <w:t xml:space="preserve"> y protección judicial,</w:t>
      </w:r>
      <w:r w:rsidRPr="001D3E10">
        <w:rPr>
          <w:lang w:val="es-AR"/>
        </w:rPr>
        <w:t xml:space="preserve"> específicamente el plazo razonable, </w:t>
      </w:r>
      <w:r w:rsidR="00780136" w:rsidRPr="001D3E10">
        <w:rPr>
          <w:lang w:val="es-AR"/>
        </w:rPr>
        <w:t xml:space="preserve">pues el proceso de quiebra tuvo una duración de 37 años, y la medida cautelar de inhibición de bienes una duración de 33 años, lo cual supone, además, una condena anticipada contra las presuntas víctimas, las que además ni siquiera estaban vinculadas a la entidad financiera en el momento de los hechos. </w:t>
      </w:r>
    </w:p>
    <w:p w14:paraId="398CE43B" w14:textId="77777777" w:rsidR="00780136" w:rsidRPr="001D3E10" w:rsidRDefault="00780136" w:rsidP="00780136">
      <w:pPr>
        <w:pStyle w:val="parrafos"/>
        <w:tabs>
          <w:tab w:val="left" w:pos="360"/>
        </w:tabs>
        <w:rPr>
          <w:lang w:val="es-AR"/>
        </w:rPr>
      </w:pPr>
    </w:p>
    <w:p w14:paraId="6D1C8379" w14:textId="54066C2B" w:rsidR="00E97FE9" w:rsidRPr="001D3E10" w:rsidRDefault="00E97FE9" w:rsidP="002F72EB">
      <w:pPr>
        <w:pStyle w:val="parrafos"/>
        <w:numPr>
          <w:ilvl w:val="0"/>
          <w:numId w:val="4"/>
        </w:numPr>
        <w:tabs>
          <w:tab w:val="left" w:pos="360"/>
        </w:tabs>
        <w:ind w:left="0" w:firstLine="0"/>
        <w:rPr>
          <w:lang w:val="es-AR"/>
        </w:rPr>
      </w:pPr>
      <w:r w:rsidRPr="001D3E10">
        <w:rPr>
          <w:lang w:val="es-AR"/>
        </w:rPr>
        <w:t>Igualmente</w:t>
      </w:r>
      <w:r w:rsidR="00A11EFA" w:rsidRPr="001D3E10">
        <w:rPr>
          <w:lang w:val="es-AR"/>
        </w:rPr>
        <w:t>, sostiene</w:t>
      </w:r>
      <w:r w:rsidRPr="001D3E10">
        <w:rPr>
          <w:lang w:val="es-AR"/>
        </w:rPr>
        <w:t xml:space="preserve"> la violación del </w:t>
      </w:r>
      <w:r w:rsidRPr="001D3E10">
        <w:rPr>
          <w:b/>
          <w:lang w:val="es-AR"/>
        </w:rPr>
        <w:t>derecho a la propiedad privada</w:t>
      </w:r>
      <w:r w:rsidRPr="001D3E10">
        <w:rPr>
          <w:lang w:val="es-AR"/>
        </w:rPr>
        <w:t xml:space="preserve">, ya que la medida cautelar de inhibición general de vender y/o gravar sus bienes por la suma de tres millones </w:t>
      </w:r>
      <w:r w:rsidR="007F3BE8" w:rsidRPr="001D3E10">
        <w:rPr>
          <w:lang w:val="es-AR"/>
        </w:rPr>
        <w:t>quinientos mil dólares generaron</w:t>
      </w:r>
      <w:r w:rsidRPr="001D3E10">
        <w:rPr>
          <w:lang w:val="es-AR"/>
        </w:rPr>
        <w:t xml:space="preserve">, sin justificación ni sustento legal, que las presuntas víctimas no pudieran ejercer libremente sus derechos patrimoniales. </w:t>
      </w:r>
    </w:p>
    <w:p w14:paraId="5A1EB73C" w14:textId="77777777" w:rsidR="00B879A4" w:rsidRPr="001D3E10" w:rsidRDefault="00B879A4" w:rsidP="00B879A4">
      <w:pPr>
        <w:pStyle w:val="parrafos"/>
        <w:tabs>
          <w:tab w:val="left" w:pos="360"/>
        </w:tabs>
        <w:rPr>
          <w:lang w:val="es-AR"/>
        </w:rPr>
      </w:pPr>
    </w:p>
    <w:p w14:paraId="57B7973B" w14:textId="3B4E568A" w:rsidR="00D5156C" w:rsidRPr="001D3E10" w:rsidRDefault="00E97FE9" w:rsidP="002F72EB">
      <w:pPr>
        <w:pStyle w:val="parrafos"/>
        <w:numPr>
          <w:ilvl w:val="0"/>
          <w:numId w:val="4"/>
        </w:numPr>
        <w:tabs>
          <w:tab w:val="left" w:pos="360"/>
        </w:tabs>
        <w:ind w:left="0" w:firstLine="0"/>
        <w:rPr>
          <w:lang w:val="es-AR"/>
        </w:rPr>
      </w:pPr>
      <w:r w:rsidRPr="001D3E10">
        <w:rPr>
          <w:lang w:val="es-AR"/>
        </w:rPr>
        <w:t xml:space="preserve">Finalmente, alega la violación del derecho de </w:t>
      </w:r>
      <w:r w:rsidRPr="001D3E10">
        <w:rPr>
          <w:b/>
          <w:lang w:val="es-AR"/>
        </w:rPr>
        <w:t>igualdad ante la ley</w:t>
      </w:r>
      <w:r w:rsidRPr="001D3E10">
        <w:rPr>
          <w:lang w:val="es-AR"/>
        </w:rPr>
        <w:t>, refiriendo que en el presente caso</w:t>
      </w:r>
      <w:r w:rsidR="005F349B" w:rsidRPr="001D3E10">
        <w:rPr>
          <w:lang w:val="es-AR"/>
        </w:rPr>
        <w:t xml:space="preserve"> </w:t>
      </w:r>
      <w:r w:rsidR="00D5156C" w:rsidRPr="001D3E10">
        <w:rPr>
          <w:lang w:val="es-AR"/>
        </w:rPr>
        <w:t>se aplicó de manera diferenciada la Ley de Quiebras, al responsabilizar a l</w:t>
      </w:r>
      <w:r w:rsidR="005F349B" w:rsidRPr="001D3E10">
        <w:rPr>
          <w:lang w:val="es-AR"/>
        </w:rPr>
        <w:t>as presuntas víctimas por los p</w:t>
      </w:r>
      <w:r w:rsidR="00D5156C" w:rsidRPr="001D3E10">
        <w:rPr>
          <w:lang w:val="es-AR"/>
        </w:rPr>
        <w:t>e</w:t>
      </w:r>
      <w:r w:rsidR="005F349B" w:rsidRPr="001D3E10">
        <w:rPr>
          <w:lang w:val="es-AR"/>
        </w:rPr>
        <w:t>r</w:t>
      </w:r>
      <w:r w:rsidR="00D5156C" w:rsidRPr="001D3E10">
        <w:rPr>
          <w:lang w:val="es-AR"/>
        </w:rPr>
        <w:t xml:space="preserve">juicios ocasionados a </w:t>
      </w:r>
      <w:r w:rsidR="004E2A65" w:rsidRPr="001D3E10">
        <w:rPr>
          <w:lang w:val="es-AR"/>
        </w:rPr>
        <w:t xml:space="preserve">los </w:t>
      </w:r>
      <w:r w:rsidR="00D5156C" w:rsidRPr="001D3E10">
        <w:rPr>
          <w:lang w:val="es-AR"/>
        </w:rPr>
        <w:t xml:space="preserve">acreedores de la Caja Mutual pese a que no estaban vinculados a dicha entidad al momento en que se produjeron los hechos que condujeron al estado falencial, lo cual si se ha tomado en cuenta en otros casos. </w:t>
      </w:r>
    </w:p>
    <w:p w14:paraId="063DF19D" w14:textId="77777777" w:rsidR="00E005F8" w:rsidRPr="001D3E10" w:rsidRDefault="00E005F8" w:rsidP="004012E4">
      <w:pPr>
        <w:pStyle w:val="parrafos"/>
        <w:tabs>
          <w:tab w:val="left" w:pos="360"/>
        </w:tabs>
        <w:rPr>
          <w:lang w:val="es-AR"/>
        </w:rPr>
      </w:pPr>
    </w:p>
    <w:p w14:paraId="116AC0EC" w14:textId="77777777" w:rsidR="00EE5933" w:rsidRPr="001D3E10" w:rsidRDefault="000A46BD" w:rsidP="002F72EB">
      <w:pPr>
        <w:pStyle w:val="Heading2"/>
        <w:numPr>
          <w:ilvl w:val="0"/>
          <w:numId w:val="3"/>
        </w:numPr>
        <w:tabs>
          <w:tab w:val="left" w:pos="0"/>
          <w:tab w:val="left" w:pos="360"/>
        </w:tabs>
        <w:ind w:left="0" w:firstLine="0"/>
        <w:rPr>
          <w:lang w:val="es-AR"/>
        </w:rPr>
      </w:pPr>
      <w:bookmarkStart w:id="26" w:name="_Toc3453772"/>
      <w:bookmarkStart w:id="27" w:name="_Toc4075190"/>
      <w:bookmarkStart w:id="28" w:name="_Toc16691207"/>
      <w:bookmarkStart w:id="29" w:name="_Toc203469397"/>
      <w:r w:rsidRPr="001D3E10">
        <w:rPr>
          <w:lang w:val="es-AR"/>
        </w:rPr>
        <w:t>Estado</w:t>
      </w:r>
      <w:bookmarkEnd w:id="26"/>
      <w:bookmarkEnd w:id="27"/>
      <w:bookmarkEnd w:id="28"/>
      <w:bookmarkEnd w:id="29"/>
    </w:p>
    <w:p w14:paraId="4777C9A4" w14:textId="77777777" w:rsidR="00AF7C72" w:rsidRPr="001D3E10" w:rsidRDefault="00AF7C72" w:rsidP="00091AA3">
      <w:pPr>
        <w:tabs>
          <w:tab w:val="left" w:pos="567"/>
          <w:tab w:val="left" w:pos="1440"/>
        </w:tabs>
        <w:spacing w:after="0" w:line="240" w:lineRule="auto"/>
        <w:jc w:val="both"/>
        <w:rPr>
          <w:rFonts w:ascii="Cambria" w:hAnsi="Cambria"/>
          <w:sz w:val="20"/>
          <w:szCs w:val="20"/>
        </w:rPr>
      </w:pPr>
    </w:p>
    <w:p w14:paraId="597F835A" w14:textId="52C43C95" w:rsidR="0040258C" w:rsidRPr="001D3E10" w:rsidRDefault="005203B6" w:rsidP="002F72EB">
      <w:pPr>
        <w:pStyle w:val="parrafos"/>
        <w:numPr>
          <w:ilvl w:val="0"/>
          <w:numId w:val="4"/>
        </w:numPr>
        <w:tabs>
          <w:tab w:val="left" w:pos="360"/>
        </w:tabs>
        <w:ind w:left="0" w:firstLine="0"/>
        <w:rPr>
          <w:lang w:val="es-AR"/>
        </w:rPr>
      </w:pPr>
      <w:r w:rsidRPr="001D3E10">
        <w:rPr>
          <w:lang w:val="es-AR"/>
        </w:rPr>
        <w:t xml:space="preserve">El Estado </w:t>
      </w:r>
      <w:r w:rsidR="002A333F" w:rsidRPr="001D3E10">
        <w:rPr>
          <w:lang w:val="es-AR"/>
        </w:rPr>
        <w:t>i</w:t>
      </w:r>
      <w:r w:rsidR="00876822" w:rsidRPr="001D3E10">
        <w:rPr>
          <w:lang w:val="es-AR"/>
        </w:rPr>
        <w:t>ndica</w:t>
      </w:r>
      <w:r w:rsidR="0040258C" w:rsidRPr="001D3E10">
        <w:rPr>
          <w:lang w:val="es-AR"/>
        </w:rPr>
        <w:t xml:space="preserve"> que Héctor Leonardo K</w:t>
      </w:r>
      <w:r w:rsidR="00BA71C1" w:rsidRPr="001D3E10">
        <w:rPr>
          <w:lang w:val="es-AR"/>
        </w:rPr>
        <w:t>e</w:t>
      </w:r>
      <w:r w:rsidR="0040258C" w:rsidRPr="001D3E10">
        <w:rPr>
          <w:lang w:val="es-AR"/>
        </w:rPr>
        <w:t>me</w:t>
      </w:r>
      <w:r w:rsidR="00BA71C1" w:rsidRPr="001D3E10">
        <w:rPr>
          <w:lang w:val="es-AR"/>
        </w:rPr>
        <w:t>l</w:t>
      </w:r>
      <w:r w:rsidR="0040258C" w:rsidRPr="001D3E10">
        <w:rPr>
          <w:lang w:val="es-AR"/>
        </w:rPr>
        <w:t>majen hizo parte del Consejo Directivo</w:t>
      </w:r>
      <w:r w:rsidR="00876822" w:rsidRPr="001D3E10">
        <w:rPr>
          <w:lang w:val="es-AR"/>
        </w:rPr>
        <w:t xml:space="preserve"> de la “Caja Mutual Yatay”</w:t>
      </w:r>
      <w:r w:rsidR="0040258C" w:rsidRPr="001D3E10">
        <w:rPr>
          <w:lang w:val="es-AR"/>
        </w:rPr>
        <w:t xml:space="preserve"> en carácter de vocal titular desde el 21 de abril de 19</w:t>
      </w:r>
      <w:r w:rsidR="00D5156C" w:rsidRPr="001D3E10">
        <w:rPr>
          <w:lang w:val="es-AR"/>
        </w:rPr>
        <w:t>79 hasta el 15 de mayo de 1980</w:t>
      </w:r>
      <w:r w:rsidR="0067726C" w:rsidRPr="001D3E10">
        <w:rPr>
          <w:lang w:val="es-AR"/>
        </w:rPr>
        <w:t xml:space="preserve"> y, e</w:t>
      </w:r>
      <w:r w:rsidR="0040258C" w:rsidRPr="001D3E10">
        <w:rPr>
          <w:lang w:val="es-AR"/>
        </w:rPr>
        <w:t xml:space="preserve">n cuanto </w:t>
      </w:r>
      <w:r w:rsidR="00A11EFA" w:rsidRPr="001D3E10">
        <w:rPr>
          <w:lang w:val="es-AR"/>
        </w:rPr>
        <w:t>a</w:t>
      </w:r>
      <w:r w:rsidR="00876822" w:rsidRPr="001D3E10">
        <w:rPr>
          <w:lang w:val="es-AR"/>
        </w:rPr>
        <w:t xml:space="preserve"> Rafael Chaikin, precisa</w:t>
      </w:r>
      <w:r w:rsidR="0040258C" w:rsidRPr="001D3E10">
        <w:rPr>
          <w:lang w:val="es-AR"/>
        </w:rPr>
        <w:t xml:space="preserve"> que este</w:t>
      </w:r>
      <w:r w:rsidR="007F3BE8" w:rsidRPr="001D3E10">
        <w:rPr>
          <w:lang w:val="es-AR"/>
        </w:rPr>
        <w:t xml:space="preserve"> </w:t>
      </w:r>
      <w:r w:rsidR="00876822" w:rsidRPr="001D3E10">
        <w:rPr>
          <w:lang w:val="es-AR"/>
        </w:rPr>
        <w:t>fue</w:t>
      </w:r>
      <w:r w:rsidR="0040258C" w:rsidRPr="001D3E10">
        <w:rPr>
          <w:lang w:val="es-AR"/>
        </w:rPr>
        <w:t xml:space="preserve"> designado tambi</w:t>
      </w:r>
      <w:r w:rsidR="0067726C" w:rsidRPr="001D3E10">
        <w:rPr>
          <w:lang w:val="es-AR"/>
        </w:rPr>
        <w:t xml:space="preserve">én como vocal titular, </w:t>
      </w:r>
      <w:r w:rsidR="00876822" w:rsidRPr="001D3E10">
        <w:rPr>
          <w:lang w:val="es-AR"/>
        </w:rPr>
        <w:t xml:space="preserve">sin </w:t>
      </w:r>
      <w:r w:rsidR="007F3BE8" w:rsidRPr="001D3E10">
        <w:rPr>
          <w:lang w:val="es-AR"/>
        </w:rPr>
        <w:t>embargo,</w:t>
      </w:r>
      <w:r w:rsidR="00876822" w:rsidRPr="001D3E10">
        <w:rPr>
          <w:lang w:val="es-AR"/>
        </w:rPr>
        <w:t xml:space="preserve"> no ejerció el mencionado cargo. </w:t>
      </w:r>
    </w:p>
    <w:p w14:paraId="0BDEE752" w14:textId="77777777" w:rsidR="0067726C" w:rsidRPr="001D3E10" w:rsidRDefault="0067726C" w:rsidP="0067726C">
      <w:pPr>
        <w:pStyle w:val="parrafos"/>
        <w:tabs>
          <w:tab w:val="left" w:pos="360"/>
        </w:tabs>
        <w:rPr>
          <w:lang w:val="es-AR"/>
        </w:rPr>
      </w:pPr>
    </w:p>
    <w:p w14:paraId="015CDD2E" w14:textId="3D145EC9" w:rsidR="00AB5828" w:rsidRPr="001D3E10" w:rsidRDefault="007F3BE8" w:rsidP="002F72EB">
      <w:pPr>
        <w:pStyle w:val="parrafos"/>
        <w:numPr>
          <w:ilvl w:val="0"/>
          <w:numId w:val="4"/>
        </w:numPr>
        <w:tabs>
          <w:tab w:val="left" w:pos="360"/>
        </w:tabs>
        <w:ind w:left="0" w:firstLine="0"/>
        <w:rPr>
          <w:lang w:val="es-AR"/>
        </w:rPr>
      </w:pPr>
      <w:r w:rsidRPr="001D3E10">
        <w:rPr>
          <w:lang w:val="es-AR"/>
        </w:rPr>
        <w:t>Señala</w:t>
      </w:r>
      <w:r w:rsidR="006F0907" w:rsidRPr="001D3E10">
        <w:rPr>
          <w:lang w:val="es-AR"/>
        </w:rPr>
        <w:t xml:space="preserve"> que</w:t>
      </w:r>
      <w:r w:rsidR="007F0FD9" w:rsidRPr="001D3E10">
        <w:rPr>
          <w:lang w:val="es-AR"/>
        </w:rPr>
        <w:t xml:space="preserve"> efectivamente</w:t>
      </w:r>
      <w:r w:rsidR="006F0907" w:rsidRPr="001D3E10">
        <w:rPr>
          <w:lang w:val="es-AR"/>
        </w:rPr>
        <w:t xml:space="preserve"> la Caja Mutual Yatay, presentó solicitud de quiebra</w:t>
      </w:r>
      <w:r w:rsidRPr="001D3E10">
        <w:rPr>
          <w:lang w:val="es-AR"/>
        </w:rPr>
        <w:t xml:space="preserve"> </w:t>
      </w:r>
      <w:r w:rsidR="00D5156C" w:rsidRPr="001D3E10">
        <w:rPr>
          <w:lang w:val="es-AR"/>
        </w:rPr>
        <w:t>en los años ochenta,</w:t>
      </w:r>
      <w:r w:rsidR="00BB618A" w:rsidRPr="001D3E10">
        <w:rPr>
          <w:lang w:val="es-AR"/>
        </w:rPr>
        <w:t xml:space="preserve"> </w:t>
      </w:r>
      <w:r w:rsidRPr="001D3E10">
        <w:rPr>
          <w:lang w:val="es-AR"/>
        </w:rPr>
        <w:t xml:space="preserve">la cual </w:t>
      </w:r>
      <w:r w:rsidR="006F0907" w:rsidRPr="001D3E10">
        <w:rPr>
          <w:lang w:val="es-AR"/>
        </w:rPr>
        <w:t>fue confirmada a través de decisión judicial el 18 de mayo de 1983 en el marco de un proceso concursal adelantado por el Juzgado Nacional de Primera Instancia en lo Comercial No 4, Secretaría No 7,</w:t>
      </w:r>
      <w:r w:rsidR="00A03BD2" w:rsidRPr="001D3E10">
        <w:rPr>
          <w:lang w:val="es-AR"/>
        </w:rPr>
        <w:t xml:space="preserve"> </w:t>
      </w:r>
      <w:r w:rsidR="00D5156C" w:rsidRPr="001D3E10">
        <w:rPr>
          <w:lang w:val="es-AR"/>
        </w:rPr>
        <w:t xml:space="preserve">el </w:t>
      </w:r>
      <w:r w:rsidR="006F6DCA" w:rsidRPr="001D3E10">
        <w:rPr>
          <w:lang w:val="es-AR"/>
        </w:rPr>
        <w:t>cual</w:t>
      </w:r>
      <w:r w:rsidR="006F0907" w:rsidRPr="001D3E10">
        <w:rPr>
          <w:lang w:val="es-AR"/>
        </w:rPr>
        <w:t xml:space="preserve"> fijó como fecha de cesación de pagos el 25 de febrero de 1982.</w:t>
      </w:r>
      <w:r w:rsidR="007F0FD9" w:rsidRPr="001D3E10">
        <w:rPr>
          <w:lang w:val="es-AR"/>
        </w:rPr>
        <w:t xml:space="preserve"> </w:t>
      </w:r>
    </w:p>
    <w:p w14:paraId="629DDD83" w14:textId="77777777" w:rsidR="00E005F8" w:rsidRPr="001D3E10" w:rsidRDefault="00E005F8" w:rsidP="00E005F8">
      <w:pPr>
        <w:pStyle w:val="parrafos"/>
        <w:tabs>
          <w:tab w:val="left" w:pos="360"/>
        </w:tabs>
        <w:rPr>
          <w:lang w:val="es-AR"/>
        </w:rPr>
      </w:pPr>
    </w:p>
    <w:p w14:paraId="5D47E672" w14:textId="72BA74D7" w:rsidR="00C254E2" w:rsidRPr="001D3E10" w:rsidRDefault="006F6DCA" w:rsidP="002F72EB">
      <w:pPr>
        <w:pStyle w:val="parrafos"/>
        <w:numPr>
          <w:ilvl w:val="0"/>
          <w:numId w:val="4"/>
        </w:numPr>
        <w:tabs>
          <w:tab w:val="left" w:pos="360"/>
        </w:tabs>
        <w:ind w:left="0" w:firstLine="0"/>
        <w:rPr>
          <w:lang w:val="es-AR"/>
        </w:rPr>
      </w:pPr>
      <w:r w:rsidRPr="001D3E10">
        <w:rPr>
          <w:lang w:val="es-AR"/>
        </w:rPr>
        <w:t>Agrega</w:t>
      </w:r>
      <w:r w:rsidR="00D5156C" w:rsidRPr="001D3E10">
        <w:rPr>
          <w:lang w:val="es-AR"/>
        </w:rPr>
        <w:t>, que en virtud de ello el Banco de la República Argentina, como síndico, promovió un proceso incidental de responsabilidad p</w:t>
      </w:r>
      <w:r w:rsidR="00712B10" w:rsidRPr="001D3E10">
        <w:rPr>
          <w:lang w:val="es-AR"/>
        </w:rPr>
        <w:t>atrimonial y en el marco del mi</w:t>
      </w:r>
      <w:r w:rsidR="00D5156C" w:rsidRPr="001D3E10">
        <w:rPr>
          <w:lang w:val="es-AR"/>
        </w:rPr>
        <w:t>s</w:t>
      </w:r>
      <w:r w:rsidR="00712B10" w:rsidRPr="001D3E10">
        <w:rPr>
          <w:lang w:val="es-AR"/>
        </w:rPr>
        <w:t>m</w:t>
      </w:r>
      <w:r w:rsidR="00D5156C" w:rsidRPr="001D3E10">
        <w:rPr>
          <w:lang w:val="es-AR"/>
        </w:rPr>
        <w:t xml:space="preserve">o se decretó medida cautelar de inhibición general de bienes </w:t>
      </w:r>
      <w:r w:rsidR="00712B10" w:rsidRPr="001D3E10">
        <w:rPr>
          <w:lang w:val="es-AR"/>
        </w:rPr>
        <w:t xml:space="preserve">contra las presuntas víctimas, a partir del 1 de abril de 1987, la cual fue inscrita en el Registro de la Propiedad Inmueble de </w:t>
      </w:r>
      <w:r w:rsidR="00C254E2" w:rsidRPr="001D3E10">
        <w:rPr>
          <w:lang w:val="es-AR"/>
        </w:rPr>
        <w:t xml:space="preserve">la Provincia de Buenos Aires el 7 de octubre de 1987. </w:t>
      </w:r>
    </w:p>
    <w:p w14:paraId="2A609262" w14:textId="77777777" w:rsidR="00C254E2" w:rsidRPr="001D3E10" w:rsidRDefault="00C254E2" w:rsidP="00C254E2">
      <w:pPr>
        <w:pStyle w:val="parrafos"/>
        <w:tabs>
          <w:tab w:val="left" w:pos="360"/>
        </w:tabs>
        <w:rPr>
          <w:lang w:val="es-AR"/>
        </w:rPr>
      </w:pPr>
    </w:p>
    <w:p w14:paraId="55DC93D0" w14:textId="70F991EE" w:rsidR="00FB00B3" w:rsidRPr="001D3E10" w:rsidRDefault="004E2A65" w:rsidP="002F72EB">
      <w:pPr>
        <w:pStyle w:val="parrafos"/>
        <w:numPr>
          <w:ilvl w:val="0"/>
          <w:numId w:val="4"/>
        </w:numPr>
        <w:tabs>
          <w:tab w:val="left" w:pos="360"/>
        </w:tabs>
        <w:ind w:left="0" w:firstLine="0"/>
        <w:rPr>
          <w:lang w:val="es-AR"/>
        </w:rPr>
      </w:pPr>
      <w:r w:rsidRPr="001D3E10">
        <w:rPr>
          <w:lang w:val="es-AR"/>
        </w:rPr>
        <w:t>El Estado</w:t>
      </w:r>
      <w:r w:rsidR="00FB00B3" w:rsidRPr="001D3E10">
        <w:rPr>
          <w:lang w:val="es-AR"/>
        </w:rPr>
        <w:t xml:space="preserve"> </w:t>
      </w:r>
      <w:r w:rsidRPr="001D3E10">
        <w:rPr>
          <w:lang w:val="es-AR"/>
        </w:rPr>
        <w:t>manifiesta</w:t>
      </w:r>
      <w:r w:rsidR="00B53C1D" w:rsidRPr="001D3E10">
        <w:rPr>
          <w:lang w:val="es-AR"/>
        </w:rPr>
        <w:t xml:space="preserve"> que la imposición de esta medida de inhibición general de bienes no fue de</w:t>
      </w:r>
      <w:r w:rsidR="00FB00B3" w:rsidRPr="001D3E10">
        <w:rPr>
          <w:lang w:val="es-AR"/>
        </w:rPr>
        <w:t xml:space="preserve"> c</w:t>
      </w:r>
      <w:r w:rsidR="00712B10" w:rsidRPr="001D3E10">
        <w:rPr>
          <w:lang w:val="es-AR"/>
        </w:rPr>
        <w:t>arácter ininterrumpida.</w:t>
      </w:r>
      <w:r w:rsidRPr="001D3E10">
        <w:rPr>
          <w:lang w:val="es-AR"/>
        </w:rPr>
        <w:t xml:space="preserve"> </w:t>
      </w:r>
      <w:r w:rsidR="00712B10" w:rsidRPr="001D3E10">
        <w:rPr>
          <w:lang w:val="es-AR"/>
        </w:rPr>
        <w:t>Precisa</w:t>
      </w:r>
      <w:r w:rsidR="00FB00B3" w:rsidRPr="001D3E10">
        <w:rPr>
          <w:lang w:val="es-AR"/>
        </w:rPr>
        <w:t xml:space="preserve"> que las presuntas víctimas no estuvieron inhibidas en el ámbito de la ciudad de Buenos Aires, por cuatro años</w:t>
      </w:r>
      <w:r w:rsidR="00712B10" w:rsidRPr="001D3E10">
        <w:rPr>
          <w:lang w:val="es-AR"/>
        </w:rPr>
        <w:t xml:space="preserve"> </w:t>
      </w:r>
      <w:r w:rsidR="00FB00B3" w:rsidRPr="001D3E10">
        <w:rPr>
          <w:lang w:val="es-AR"/>
        </w:rPr>
        <w:t>durante el período comprendido entre el 3 de enero del 2000 al 10 de febrero de 2004. Refiere que tampoco estuvieron inhibidas en la jurisdicción de la Provincia de Buenos Aires entre el 16 de diciembre de 1999 al 3 de agosto de 2005.</w:t>
      </w:r>
    </w:p>
    <w:p w14:paraId="0A1F8714" w14:textId="77777777" w:rsidR="00FB00B3" w:rsidRPr="001D3E10" w:rsidRDefault="00FB00B3" w:rsidP="00FB00B3">
      <w:pPr>
        <w:pStyle w:val="parrafos"/>
        <w:tabs>
          <w:tab w:val="left" w:pos="360"/>
        </w:tabs>
        <w:rPr>
          <w:lang w:val="es-AR"/>
        </w:rPr>
      </w:pPr>
    </w:p>
    <w:p w14:paraId="099734D6" w14:textId="380E922D" w:rsidR="00712B10" w:rsidRPr="001D3E10" w:rsidRDefault="00FB00B3" w:rsidP="002F72EB">
      <w:pPr>
        <w:pStyle w:val="parrafos"/>
        <w:numPr>
          <w:ilvl w:val="0"/>
          <w:numId w:val="4"/>
        </w:numPr>
        <w:tabs>
          <w:tab w:val="left" w:pos="360"/>
        </w:tabs>
        <w:ind w:left="0" w:firstLine="0"/>
        <w:rPr>
          <w:lang w:val="es-AR"/>
        </w:rPr>
      </w:pPr>
      <w:r w:rsidRPr="001D3E10">
        <w:rPr>
          <w:lang w:val="es-AR"/>
        </w:rPr>
        <w:t xml:space="preserve">Indica que, </w:t>
      </w:r>
      <w:r w:rsidR="00B17483" w:rsidRPr="001D3E10">
        <w:rPr>
          <w:lang w:val="es-AR"/>
        </w:rPr>
        <w:t>luego de este término en el cual no estuvieron inhibidos</w:t>
      </w:r>
      <w:r w:rsidRPr="001D3E10">
        <w:rPr>
          <w:lang w:val="es-AR"/>
        </w:rPr>
        <w:t>, las medidas fueron reinscritas en la ciudad de Buenos Aires y en la Provincia de Buenos Aires en</w:t>
      </w:r>
      <w:r w:rsidR="00B17483" w:rsidRPr="001D3E10">
        <w:rPr>
          <w:lang w:val="es-AR"/>
        </w:rPr>
        <w:t xml:space="preserve"> los años</w:t>
      </w:r>
      <w:r w:rsidR="00712B10" w:rsidRPr="001D3E10">
        <w:rPr>
          <w:lang w:val="es-AR"/>
        </w:rPr>
        <w:t xml:space="preserve"> 2004 y 2005 respectivamente y una vez vencido el término previsto en la ley, las mismas caducaron. </w:t>
      </w:r>
    </w:p>
    <w:p w14:paraId="394CF5D2" w14:textId="77777777" w:rsidR="00FB00B3" w:rsidRPr="001D3E10" w:rsidRDefault="00FB00B3" w:rsidP="00FB00B3">
      <w:pPr>
        <w:pStyle w:val="parrafos"/>
        <w:tabs>
          <w:tab w:val="left" w:pos="360"/>
        </w:tabs>
        <w:rPr>
          <w:lang w:val="es-AR"/>
        </w:rPr>
      </w:pPr>
    </w:p>
    <w:p w14:paraId="587F59DF" w14:textId="76EABA0B" w:rsidR="00E005F8" w:rsidRPr="001D3E10" w:rsidRDefault="00E3660A" w:rsidP="002F72EB">
      <w:pPr>
        <w:pStyle w:val="parrafos"/>
        <w:numPr>
          <w:ilvl w:val="0"/>
          <w:numId w:val="4"/>
        </w:numPr>
        <w:tabs>
          <w:tab w:val="left" w:pos="360"/>
        </w:tabs>
        <w:ind w:left="0" w:firstLine="0"/>
        <w:rPr>
          <w:lang w:val="es-AR"/>
        </w:rPr>
      </w:pPr>
      <w:r w:rsidRPr="001D3E10">
        <w:rPr>
          <w:lang w:val="es-AR"/>
        </w:rPr>
        <w:t>Agrega</w:t>
      </w:r>
      <w:r w:rsidR="00712B10" w:rsidRPr="001D3E10">
        <w:rPr>
          <w:lang w:val="es-AR"/>
        </w:rPr>
        <w:t xml:space="preserve"> que el 23 de diciembre de 2003 se dictó </w:t>
      </w:r>
      <w:r w:rsidR="00E005F8" w:rsidRPr="001D3E10">
        <w:rPr>
          <w:lang w:val="es-AR"/>
        </w:rPr>
        <w:t>sentencia de primera instancia en la que se condenó, entre otras personas, a los señores Chaikin y Kemelmajen</w:t>
      </w:r>
      <w:r w:rsidR="006F6DCA" w:rsidRPr="001D3E10">
        <w:rPr>
          <w:lang w:val="es-AR"/>
        </w:rPr>
        <w:t xml:space="preserve"> a </w:t>
      </w:r>
      <w:r w:rsidR="00B53C1D" w:rsidRPr="001D3E10">
        <w:rPr>
          <w:lang w:val="es-AR"/>
        </w:rPr>
        <w:t>abonar a la actora la suma de $6.026.907,82 más intereses y con costas.</w:t>
      </w:r>
      <w:r w:rsidR="006E7A4D" w:rsidRPr="001D3E10">
        <w:rPr>
          <w:lang w:val="es-AR"/>
        </w:rPr>
        <w:t xml:space="preserve"> </w:t>
      </w:r>
      <w:r w:rsidRPr="001D3E10">
        <w:rPr>
          <w:lang w:val="es-AR"/>
        </w:rPr>
        <w:t>Expre</w:t>
      </w:r>
      <w:r w:rsidR="002F1718" w:rsidRPr="001D3E10">
        <w:rPr>
          <w:lang w:val="es-AR"/>
        </w:rPr>
        <w:t>s</w:t>
      </w:r>
      <w:r w:rsidRPr="001D3E10">
        <w:rPr>
          <w:lang w:val="es-AR"/>
        </w:rPr>
        <w:t xml:space="preserve">a que tal decisión fue apelada por las presuntas víctimas y el 1 de marzo de </w:t>
      </w:r>
      <w:r w:rsidR="002F1718" w:rsidRPr="001D3E10">
        <w:rPr>
          <w:lang w:val="es-AR"/>
        </w:rPr>
        <w:t xml:space="preserve">2004 se concedió el recurso de apelación ante la Cámara Nacional de Apelaciones en lo Comercial. </w:t>
      </w:r>
      <w:r w:rsidR="00514AEE" w:rsidRPr="001D3E10">
        <w:rPr>
          <w:lang w:val="es-AR"/>
        </w:rPr>
        <w:t xml:space="preserve">Agrega </w:t>
      </w:r>
      <w:r w:rsidR="004E2A65" w:rsidRPr="001D3E10">
        <w:rPr>
          <w:lang w:val="es-AR"/>
        </w:rPr>
        <w:t>que,</w:t>
      </w:r>
      <w:r w:rsidR="00514AEE" w:rsidRPr="001D3E10">
        <w:rPr>
          <w:lang w:val="es-AR"/>
        </w:rPr>
        <w:t xml:space="preserve"> como consecuencia de esta condena, el 7 de marzo de 2012 </w:t>
      </w:r>
      <w:r w:rsidR="00B17483" w:rsidRPr="001D3E10">
        <w:rPr>
          <w:lang w:val="es-AR"/>
        </w:rPr>
        <w:t>se ordenó la inscr</w:t>
      </w:r>
      <w:r w:rsidR="007A0B16" w:rsidRPr="001D3E10">
        <w:rPr>
          <w:lang w:val="es-AR"/>
        </w:rPr>
        <w:t xml:space="preserve">ipción de una nueva inhibición </w:t>
      </w:r>
      <w:r w:rsidR="00B17483" w:rsidRPr="001D3E10">
        <w:rPr>
          <w:lang w:val="es-AR"/>
        </w:rPr>
        <w:t>general de</w:t>
      </w:r>
      <w:r w:rsidR="004E2A65" w:rsidRPr="001D3E10">
        <w:rPr>
          <w:lang w:val="es-AR"/>
        </w:rPr>
        <w:t xml:space="preserve"> bienes a pedido del Banco</w:t>
      </w:r>
      <w:r w:rsidR="00B17483" w:rsidRPr="001D3E10">
        <w:rPr>
          <w:lang w:val="es-AR"/>
        </w:rPr>
        <w:t xml:space="preserve"> Central de l</w:t>
      </w:r>
      <w:r w:rsidR="00514AEE" w:rsidRPr="001D3E10">
        <w:rPr>
          <w:lang w:val="es-AR"/>
        </w:rPr>
        <w:t>a República Argentina contra la parte peticionaria</w:t>
      </w:r>
      <w:r w:rsidR="00B17483" w:rsidRPr="001D3E10">
        <w:rPr>
          <w:lang w:val="es-AR"/>
        </w:rPr>
        <w:t>, s</w:t>
      </w:r>
      <w:r w:rsidR="000B713A" w:rsidRPr="001D3E10">
        <w:rPr>
          <w:lang w:val="es-AR"/>
        </w:rPr>
        <w:t>i</w:t>
      </w:r>
      <w:r w:rsidR="00B17483" w:rsidRPr="001D3E10">
        <w:rPr>
          <w:lang w:val="es-AR"/>
        </w:rPr>
        <w:t>n que al mes de diciembr</w:t>
      </w:r>
      <w:r w:rsidR="008D223C" w:rsidRPr="001D3E10">
        <w:rPr>
          <w:lang w:val="es-AR"/>
        </w:rPr>
        <w:t>e de 2012 se pudiera acreditar su efectiva</w:t>
      </w:r>
      <w:r w:rsidR="00B17483" w:rsidRPr="001D3E10">
        <w:rPr>
          <w:lang w:val="es-AR"/>
        </w:rPr>
        <w:t xml:space="preserve"> traba.</w:t>
      </w:r>
    </w:p>
    <w:p w14:paraId="42A2D57E" w14:textId="77777777" w:rsidR="00280C99" w:rsidRPr="001D3E10" w:rsidRDefault="00280C99" w:rsidP="00280C99">
      <w:pPr>
        <w:pStyle w:val="parrafos"/>
        <w:tabs>
          <w:tab w:val="left" w:pos="360"/>
        </w:tabs>
        <w:rPr>
          <w:lang w:val="es-AR"/>
        </w:rPr>
      </w:pPr>
    </w:p>
    <w:p w14:paraId="7BE52AD8" w14:textId="3228799C" w:rsidR="006F6DCA" w:rsidRPr="001D3E10" w:rsidRDefault="007A0B16" w:rsidP="002F72EB">
      <w:pPr>
        <w:pStyle w:val="parrafos"/>
        <w:numPr>
          <w:ilvl w:val="0"/>
          <w:numId w:val="4"/>
        </w:numPr>
        <w:tabs>
          <w:tab w:val="left" w:pos="360"/>
        </w:tabs>
        <w:ind w:left="0" w:firstLine="0"/>
        <w:rPr>
          <w:lang w:val="es-AR"/>
        </w:rPr>
      </w:pPr>
      <w:r w:rsidRPr="001D3E10">
        <w:rPr>
          <w:lang w:val="es-AR"/>
        </w:rPr>
        <w:t xml:space="preserve">El Estado subraya que no es correcta la afirmación de la parte peticionaria según la </w:t>
      </w:r>
      <w:r w:rsidR="006F6DCA" w:rsidRPr="001D3E10">
        <w:rPr>
          <w:lang w:val="es-AR"/>
        </w:rPr>
        <w:t xml:space="preserve">cual el Estado mismo reconoció que no estaban vinculados a la Caja Mutual Yatay para el momento en que se decretó el estado falencial, pues lo único que hizo el Estado es hacer constar la fecha de inicio y finalización de la relación laboral de las presuntas víctimas con la Caja Mutual, lo cual no supone una consideración sobre el fondo del asunto. </w:t>
      </w:r>
    </w:p>
    <w:p w14:paraId="240BF932" w14:textId="77777777" w:rsidR="008C274E" w:rsidRPr="001D3E10" w:rsidRDefault="008C274E" w:rsidP="008C274E">
      <w:pPr>
        <w:pStyle w:val="parrafos"/>
        <w:tabs>
          <w:tab w:val="left" w:pos="360"/>
        </w:tabs>
        <w:rPr>
          <w:lang w:val="es-AR"/>
        </w:rPr>
      </w:pPr>
    </w:p>
    <w:p w14:paraId="7A63ADFB" w14:textId="77777777" w:rsidR="00025E3A" w:rsidRPr="001D3E10" w:rsidRDefault="008C274E" w:rsidP="002F72EB">
      <w:pPr>
        <w:pStyle w:val="parrafos"/>
        <w:numPr>
          <w:ilvl w:val="0"/>
          <w:numId w:val="4"/>
        </w:numPr>
        <w:tabs>
          <w:tab w:val="left" w:pos="360"/>
        </w:tabs>
        <w:ind w:left="0" w:firstLine="0"/>
        <w:rPr>
          <w:lang w:val="es-AR"/>
        </w:rPr>
      </w:pPr>
      <w:r w:rsidRPr="001D3E10">
        <w:rPr>
          <w:lang w:val="es-AR"/>
        </w:rPr>
        <w:t xml:space="preserve">Sobre los </w:t>
      </w:r>
      <w:r w:rsidRPr="001D3E10">
        <w:rPr>
          <w:b/>
          <w:lang w:val="es-AR"/>
        </w:rPr>
        <w:t>requisitos de admisibilidad</w:t>
      </w:r>
      <w:r w:rsidRPr="001D3E10">
        <w:rPr>
          <w:lang w:val="es-AR"/>
        </w:rPr>
        <w:t>,</w:t>
      </w:r>
      <w:r w:rsidR="00025E3A" w:rsidRPr="001D3E10">
        <w:rPr>
          <w:lang w:val="es-AR"/>
        </w:rPr>
        <w:t xml:space="preserve"> el Estado argumenta que no se cumplió con el requisito de </w:t>
      </w:r>
      <w:r w:rsidR="00025E3A" w:rsidRPr="001D3E10">
        <w:rPr>
          <w:b/>
          <w:lang w:val="es-AR"/>
        </w:rPr>
        <w:t>agotamiento de recursos internos</w:t>
      </w:r>
      <w:r w:rsidR="00025E3A" w:rsidRPr="001D3E10">
        <w:rPr>
          <w:lang w:val="es-AR"/>
        </w:rPr>
        <w:t>. Expresa que, tal como reconoce la parte peticionaria, no cumplieron con hacer uso de los recursos de reposición y apelación para impugnar la medida cautelar impuesta en su contra</w:t>
      </w:r>
      <w:r w:rsidR="00461FD2" w:rsidRPr="001D3E10">
        <w:rPr>
          <w:lang w:val="es-AR"/>
        </w:rPr>
        <w:t>, aun cuando señalaron que estas medidas tuvieron efectos determinantes sobre su “porvenir laboral y personal”. Expresa que la parte peticionaria se amparó</w:t>
      </w:r>
      <w:r w:rsidR="00025E3A" w:rsidRPr="001D3E10">
        <w:rPr>
          <w:lang w:val="es-AR"/>
        </w:rPr>
        <w:t xml:space="preserve"> </w:t>
      </w:r>
      <w:r w:rsidR="00461FD2" w:rsidRPr="001D3E10">
        <w:rPr>
          <w:lang w:val="es-AR"/>
        </w:rPr>
        <w:t xml:space="preserve">en una </w:t>
      </w:r>
      <w:r w:rsidR="00025E3A" w:rsidRPr="001D3E10">
        <w:rPr>
          <w:lang w:val="es-AR"/>
        </w:rPr>
        <w:t>vaga referencia a la falta de asesoramiento y a la carencia de recursos económicos sin demostrar</w:t>
      </w:r>
      <w:r w:rsidR="00461FD2" w:rsidRPr="001D3E10">
        <w:rPr>
          <w:lang w:val="es-AR"/>
        </w:rPr>
        <w:t xml:space="preserve"> cómo estos factores </w:t>
      </w:r>
      <w:r w:rsidR="00025E3A" w:rsidRPr="001D3E10">
        <w:rPr>
          <w:lang w:val="es-AR"/>
        </w:rPr>
        <w:t xml:space="preserve">configuraban una de las excepciones </w:t>
      </w:r>
      <w:r w:rsidR="00461FD2" w:rsidRPr="001D3E10">
        <w:rPr>
          <w:lang w:val="es-AR"/>
        </w:rPr>
        <w:t>específicas a</w:t>
      </w:r>
      <w:r w:rsidR="00025E3A" w:rsidRPr="001D3E10">
        <w:rPr>
          <w:lang w:val="es-AR"/>
        </w:rPr>
        <w:t xml:space="preserve"> la regla del previo agotamiento de los recursos internos”.</w:t>
      </w:r>
    </w:p>
    <w:p w14:paraId="5D166693" w14:textId="77777777" w:rsidR="00461FD2" w:rsidRPr="001D3E10" w:rsidRDefault="00461FD2" w:rsidP="00461FD2">
      <w:pPr>
        <w:pStyle w:val="parrafos"/>
        <w:tabs>
          <w:tab w:val="left" w:pos="360"/>
        </w:tabs>
        <w:rPr>
          <w:lang w:val="es-AR"/>
        </w:rPr>
      </w:pPr>
    </w:p>
    <w:p w14:paraId="3F6A00ED" w14:textId="5BFC2D28" w:rsidR="00461FD2" w:rsidRPr="001D3E10" w:rsidRDefault="007A0B16" w:rsidP="002F72EB">
      <w:pPr>
        <w:pStyle w:val="parrafos"/>
        <w:numPr>
          <w:ilvl w:val="0"/>
          <w:numId w:val="4"/>
        </w:numPr>
        <w:tabs>
          <w:tab w:val="left" w:pos="360"/>
        </w:tabs>
        <w:ind w:left="0" w:firstLine="0"/>
        <w:rPr>
          <w:lang w:val="es-AR"/>
        </w:rPr>
      </w:pPr>
      <w:r w:rsidRPr="001D3E10">
        <w:rPr>
          <w:lang w:val="es-AR"/>
        </w:rPr>
        <w:t>Agrega</w:t>
      </w:r>
      <w:r w:rsidR="00461FD2" w:rsidRPr="001D3E10">
        <w:rPr>
          <w:lang w:val="es-AR"/>
        </w:rPr>
        <w:t xml:space="preserve"> que las presuntas víctimas también tenían la posibilidad de cuestionar </w:t>
      </w:r>
      <w:r w:rsidR="00025E3A" w:rsidRPr="001D3E10">
        <w:rPr>
          <w:lang w:val="es-AR"/>
        </w:rPr>
        <w:t>la “procedibilidad y/o legitimidad de la medida que dispuso la inhibición general sobre sus bienes”</w:t>
      </w:r>
      <w:r w:rsidRPr="001D3E10">
        <w:rPr>
          <w:lang w:val="es-AR"/>
        </w:rPr>
        <w:t xml:space="preserve"> </w:t>
      </w:r>
      <w:r w:rsidR="00461FD2" w:rsidRPr="001D3E10">
        <w:rPr>
          <w:lang w:val="es-AR"/>
        </w:rPr>
        <w:t>y solicitar una medida sustitutiva de conformidad con lo establecido en el artículo 203 del CPCC. Sin embargo</w:t>
      </w:r>
      <w:r w:rsidR="002B2A19" w:rsidRPr="001D3E10">
        <w:rPr>
          <w:lang w:val="es-AR"/>
        </w:rPr>
        <w:t>,</w:t>
      </w:r>
      <w:r w:rsidR="00461FD2" w:rsidRPr="001D3E10">
        <w:rPr>
          <w:lang w:val="es-AR"/>
        </w:rPr>
        <w:t xml:space="preserve"> tampoco hicieron </w:t>
      </w:r>
      <w:r w:rsidRPr="001D3E10">
        <w:rPr>
          <w:lang w:val="es-AR"/>
        </w:rPr>
        <w:t>tal solicitud</w:t>
      </w:r>
      <w:r w:rsidR="00461FD2" w:rsidRPr="001D3E10">
        <w:rPr>
          <w:lang w:val="es-AR"/>
        </w:rPr>
        <w:t>, por lo que no pueden acudir a la CIDH y pretender formular alegatos que no se hicieron en sede nacional.</w:t>
      </w:r>
    </w:p>
    <w:p w14:paraId="60B250AC" w14:textId="77777777" w:rsidR="00461FD2" w:rsidRPr="001D3E10" w:rsidRDefault="00461FD2" w:rsidP="00461FD2">
      <w:pPr>
        <w:pStyle w:val="ListParagraph"/>
        <w:rPr>
          <w:lang w:val="es-AR"/>
        </w:rPr>
      </w:pPr>
    </w:p>
    <w:p w14:paraId="33CDC8C0" w14:textId="3E89E81A" w:rsidR="005D5168" w:rsidRPr="001D3E10" w:rsidRDefault="00461FD2" w:rsidP="002F72EB">
      <w:pPr>
        <w:pStyle w:val="parrafos"/>
        <w:numPr>
          <w:ilvl w:val="0"/>
          <w:numId w:val="4"/>
        </w:numPr>
        <w:tabs>
          <w:tab w:val="left" w:pos="360"/>
        </w:tabs>
        <w:ind w:left="0" w:firstLine="0"/>
        <w:rPr>
          <w:lang w:val="es-AR"/>
        </w:rPr>
      </w:pPr>
      <w:r w:rsidRPr="001D3E10">
        <w:rPr>
          <w:lang w:val="es-AR"/>
        </w:rPr>
        <w:t xml:space="preserve">Por otra parte, argumenta </w:t>
      </w:r>
      <w:r w:rsidR="00CF5AF5" w:rsidRPr="001D3E10">
        <w:rPr>
          <w:lang w:val="es-AR"/>
        </w:rPr>
        <w:t xml:space="preserve">el Estado </w:t>
      </w:r>
      <w:r w:rsidRPr="001D3E10">
        <w:rPr>
          <w:lang w:val="es-AR"/>
        </w:rPr>
        <w:t xml:space="preserve">que las presuntas víctimas interpusieron la petición 20 años </w:t>
      </w:r>
      <w:r w:rsidR="00153411" w:rsidRPr="001D3E10">
        <w:rPr>
          <w:lang w:val="es-AR"/>
        </w:rPr>
        <w:t xml:space="preserve">después </w:t>
      </w:r>
      <w:r w:rsidR="0049131D" w:rsidRPr="001D3E10">
        <w:rPr>
          <w:lang w:val="es-AR"/>
        </w:rPr>
        <w:t>de que se decretara la cesación de pagos de la entidad financiera para la que laboraban</w:t>
      </w:r>
      <w:r w:rsidR="00820C0E" w:rsidRPr="001D3E10">
        <w:rPr>
          <w:lang w:val="es-AR"/>
        </w:rPr>
        <w:t>. Considera</w:t>
      </w:r>
      <w:r w:rsidR="00041210" w:rsidRPr="001D3E10">
        <w:rPr>
          <w:lang w:val="es-AR"/>
        </w:rPr>
        <w:t xml:space="preserve"> que la ausencia de reproc</w:t>
      </w:r>
      <w:r w:rsidR="007A4DB1" w:rsidRPr="001D3E10">
        <w:rPr>
          <w:lang w:val="es-AR"/>
        </w:rPr>
        <w:t>he ante la juris</w:t>
      </w:r>
      <w:r w:rsidR="00041210" w:rsidRPr="001D3E10">
        <w:rPr>
          <w:lang w:val="es-AR"/>
        </w:rPr>
        <w:t>dicción interna va en contravía del principio de subsidiariedad del derecho internacional</w:t>
      </w:r>
      <w:r w:rsidR="008A08ED" w:rsidRPr="001D3E10">
        <w:rPr>
          <w:lang w:val="es-AR"/>
        </w:rPr>
        <w:t>, y por tanto indicó que la “Comisión no puede declarar admisible una petición en la que se pretende, como en la especie, recurrir a la instancia internacional para subsanar lo que se omitió, o para alegar lo que no se alegó ante los tribunales nacionales”. Por úl</w:t>
      </w:r>
      <w:r w:rsidR="002B2A19" w:rsidRPr="001D3E10">
        <w:rPr>
          <w:lang w:val="es-AR"/>
        </w:rPr>
        <w:t>timo, precisó que</w:t>
      </w:r>
      <w:r w:rsidR="008A08ED" w:rsidRPr="001D3E10">
        <w:rPr>
          <w:lang w:val="es-AR"/>
        </w:rPr>
        <w:t xml:space="preserve"> el paso de los 20 años desde que se decretó la cesación de pagos a la presentación de la denuncia ante la CIDH excedía el</w:t>
      </w:r>
      <w:r w:rsidRPr="001D3E10">
        <w:rPr>
          <w:lang w:val="es-AR"/>
        </w:rPr>
        <w:t xml:space="preserve"> criterio de razonabilidad. </w:t>
      </w:r>
    </w:p>
    <w:p w14:paraId="789B47A9" w14:textId="77777777" w:rsidR="00D94BBF" w:rsidRPr="001D3E10" w:rsidRDefault="00D94BBF" w:rsidP="00D94BBF">
      <w:pPr>
        <w:pStyle w:val="ListParagraph"/>
        <w:rPr>
          <w:lang w:val="es-AR"/>
        </w:rPr>
      </w:pPr>
    </w:p>
    <w:p w14:paraId="18F0AE08" w14:textId="4A3E69AF" w:rsidR="002F72EB" w:rsidRPr="001D3E10" w:rsidRDefault="00D94BBF" w:rsidP="002F72EB">
      <w:pPr>
        <w:pStyle w:val="parrafos"/>
        <w:numPr>
          <w:ilvl w:val="0"/>
          <w:numId w:val="4"/>
        </w:numPr>
        <w:tabs>
          <w:tab w:val="left" w:pos="360"/>
        </w:tabs>
        <w:ind w:left="0" w:firstLine="0"/>
        <w:rPr>
          <w:lang w:val="es-AR"/>
        </w:rPr>
      </w:pPr>
      <w:r w:rsidRPr="001D3E10">
        <w:rPr>
          <w:lang w:val="es-AR"/>
        </w:rPr>
        <w:t>En cuanto al derecho, el Estado</w:t>
      </w:r>
      <w:r w:rsidR="002F72EB" w:rsidRPr="001D3E10">
        <w:rPr>
          <w:lang w:val="es-AR"/>
        </w:rPr>
        <w:t xml:space="preserve"> se limitó a indicar que no era necesario referirse a los aspectos relacionados con el fondo, tomando en cuenta la falta de agotamiento de recurso</w:t>
      </w:r>
      <w:r w:rsidR="004C3ECA" w:rsidRPr="001D3E10">
        <w:rPr>
          <w:lang w:val="es-AR"/>
        </w:rPr>
        <w:t xml:space="preserve">s </w:t>
      </w:r>
      <w:r w:rsidR="002F72EB" w:rsidRPr="001D3E10">
        <w:rPr>
          <w:lang w:val="es-AR"/>
        </w:rPr>
        <w:t xml:space="preserve">internos prevista en el artículo 46.1. a) de la Convención Americana. </w:t>
      </w:r>
    </w:p>
    <w:p w14:paraId="3D330E2C" w14:textId="448D9167" w:rsidR="006B2387" w:rsidRDefault="006B2387" w:rsidP="006B2387">
      <w:pPr>
        <w:pStyle w:val="parrafos"/>
        <w:tabs>
          <w:tab w:val="left" w:pos="360"/>
        </w:tabs>
        <w:rPr>
          <w:lang w:val="es-AR"/>
        </w:rPr>
      </w:pPr>
    </w:p>
    <w:p w14:paraId="5FC81722" w14:textId="77777777" w:rsidR="003F0812" w:rsidRDefault="003F0812" w:rsidP="006B2387">
      <w:pPr>
        <w:pStyle w:val="parrafos"/>
        <w:tabs>
          <w:tab w:val="left" w:pos="360"/>
        </w:tabs>
        <w:rPr>
          <w:lang w:val="es-AR"/>
        </w:rPr>
      </w:pPr>
    </w:p>
    <w:p w14:paraId="31F5F2D3" w14:textId="77777777" w:rsidR="003F0812" w:rsidRDefault="003F0812" w:rsidP="006B2387">
      <w:pPr>
        <w:pStyle w:val="parrafos"/>
        <w:tabs>
          <w:tab w:val="left" w:pos="360"/>
        </w:tabs>
        <w:rPr>
          <w:lang w:val="es-AR"/>
        </w:rPr>
      </w:pPr>
    </w:p>
    <w:p w14:paraId="0C2234B9" w14:textId="77777777" w:rsidR="003F0812" w:rsidRDefault="003F0812" w:rsidP="006B2387">
      <w:pPr>
        <w:pStyle w:val="parrafos"/>
        <w:tabs>
          <w:tab w:val="left" w:pos="360"/>
        </w:tabs>
        <w:rPr>
          <w:lang w:val="es-AR"/>
        </w:rPr>
      </w:pPr>
    </w:p>
    <w:p w14:paraId="63953DD2" w14:textId="77777777" w:rsidR="003F0812" w:rsidRDefault="003F0812" w:rsidP="006B2387">
      <w:pPr>
        <w:pStyle w:val="parrafos"/>
        <w:tabs>
          <w:tab w:val="left" w:pos="360"/>
        </w:tabs>
        <w:rPr>
          <w:lang w:val="es-AR"/>
        </w:rPr>
      </w:pPr>
    </w:p>
    <w:p w14:paraId="175B82CF" w14:textId="77777777" w:rsidR="003F0812" w:rsidRDefault="003F0812" w:rsidP="006B2387">
      <w:pPr>
        <w:pStyle w:val="parrafos"/>
        <w:tabs>
          <w:tab w:val="left" w:pos="360"/>
        </w:tabs>
        <w:rPr>
          <w:lang w:val="es-AR"/>
        </w:rPr>
      </w:pPr>
    </w:p>
    <w:p w14:paraId="0D4D2959" w14:textId="77777777" w:rsidR="003F0812" w:rsidRPr="001D3E10" w:rsidRDefault="003F0812" w:rsidP="006B2387">
      <w:pPr>
        <w:pStyle w:val="parrafos"/>
        <w:tabs>
          <w:tab w:val="left" w:pos="360"/>
        </w:tabs>
        <w:rPr>
          <w:lang w:val="es-AR"/>
        </w:rPr>
      </w:pPr>
    </w:p>
    <w:p w14:paraId="6AB37A42" w14:textId="77777777" w:rsidR="006B2387" w:rsidRPr="001D3E10" w:rsidRDefault="006B2387" w:rsidP="006B2387">
      <w:pPr>
        <w:pStyle w:val="Heading1"/>
        <w:numPr>
          <w:ilvl w:val="0"/>
          <w:numId w:val="2"/>
        </w:numPr>
        <w:tabs>
          <w:tab w:val="clear" w:pos="1440"/>
          <w:tab w:val="num" w:pos="360"/>
          <w:tab w:val="left" w:pos="1350"/>
        </w:tabs>
        <w:ind w:left="0" w:firstLine="0"/>
        <w:rPr>
          <w:lang w:val="es-AR"/>
        </w:rPr>
      </w:pPr>
      <w:bookmarkStart w:id="30" w:name="_Toc34040653"/>
      <w:bookmarkStart w:id="31" w:name="_Toc203469398"/>
      <w:r w:rsidRPr="001D3E10">
        <w:rPr>
          <w:lang w:val="es-AR"/>
        </w:rPr>
        <w:t>ANÁLISIS DE ADMISIBILIDAD</w:t>
      </w:r>
      <w:bookmarkEnd w:id="30"/>
      <w:bookmarkEnd w:id="31"/>
    </w:p>
    <w:p w14:paraId="026632BC" w14:textId="77777777" w:rsidR="006B2387" w:rsidRPr="001D3E10" w:rsidRDefault="006B2387" w:rsidP="006B2387">
      <w:pPr>
        <w:spacing w:after="0"/>
      </w:pPr>
    </w:p>
    <w:p w14:paraId="25B51A55" w14:textId="77777777" w:rsidR="006B2387" w:rsidRPr="001D3E10" w:rsidRDefault="006B2387" w:rsidP="006B2387">
      <w:pPr>
        <w:pStyle w:val="Heading2"/>
        <w:keepNext w:val="0"/>
        <w:numPr>
          <w:ilvl w:val="0"/>
          <w:numId w:val="9"/>
        </w:numPr>
        <w:pBdr>
          <w:top w:val="nil"/>
          <w:left w:val="nil"/>
          <w:bottom w:val="nil"/>
          <w:right w:val="nil"/>
          <w:between w:val="nil"/>
          <w:bar w:val="nil"/>
        </w:pBdr>
        <w:tabs>
          <w:tab w:val="left" w:pos="360"/>
        </w:tabs>
        <w:ind w:left="0" w:firstLine="0"/>
        <w:rPr>
          <w:color w:val="000000"/>
          <w:lang w:val="es-AR"/>
        </w:rPr>
      </w:pPr>
      <w:bookmarkStart w:id="32" w:name="_Toc413687816"/>
      <w:bookmarkStart w:id="33" w:name="_Toc447208868"/>
      <w:bookmarkStart w:id="34" w:name="_Toc447213174"/>
      <w:bookmarkStart w:id="35" w:name="_Toc475546041"/>
      <w:bookmarkStart w:id="36" w:name="_Toc489111548"/>
      <w:bookmarkStart w:id="37" w:name="_Toc23349330"/>
      <w:bookmarkStart w:id="38" w:name="_Toc34040654"/>
      <w:bookmarkStart w:id="39" w:name="_Toc203469399"/>
      <w:r w:rsidRPr="001D3E10">
        <w:rPr>
          <w:lang w:val="es-AR"/>
        </w:rPr>
        <w:t>Competencia</w:t>
      </w:r>
      <w:bookmarkEnd w:id="32"/>
      <w:bookmarkEnd w:id="33"/>
      <w:bookmarkEnd w:id="34"/>
      <w:bookmarkEnd w:id="35"/>
      <w:bookmarkEnd w:id="36"/>
      <w:bookmarkEnd w:id="37"/>
      <w:r w:rsidRPr="001D3E10">
        <w:rPr>
          <w:lang w:val="es-AR"/>
        </w:rPr>
        <w:t>, duplicación de procedimientos y cosa juzgada internacional</w:t>
      </w:r>
      <w:bookmarkEnd w:id="38"/>
      <w:bookmarkEnd w:id="39"/>
    </w:p>
    <w:p w14:paraId="2FC00606" w14:textId="77777777" w:rsidR="006B2387" w:rsidRPr="001D3E10" w:rsidRDefault="006B2387" w:rsidP="006B2387">
      <w:pPr>
        <w:pStyle w:val="parrafos"/>
        <w:tabs>
          <w:tab w:val="left" w:pos="360"/>
        </w:tabs>
        <w:rPr>
          <w:rFonts w:cs="Calibri"/>
          <w:lang w:val="es-AR"/>
        </w:rPr>
      </w:pPr>
    </w:p>
    <w:tbl>
      <w:tblPr>
        <w:tblpPr w:leftFromText="180" w:rightFromText="180" w:vertAnchor="text" w:horzAnchor="margin" w:tblpX="108" w:tblpY="1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84"/>
        <w:gridCol w:w="5776"/>
      </w:tblGrid>
      <w:tr w:rsidR="006B2387" w:rsidRPr="001D3E10" w14:paraId="631ADC53" w14:textId="77777777" w:rsidTr="00CB7C3D">
        <w:trPr>
          <w:cantSplit/>
          <w:trHeight w:val="260"/>
        </w:trPr>
        <w:tc>
          <w:tcPr>
            <w:tcW w:w="3492" w:type="dxa"/>
            <w:tcBorders>
              <w:top w:val="single" w:sz="4" w:space="0" w:color="auto"/>
              <w:bottom w:val="single" w:sz="6" w:space="0" w:color="auto"/>
            </w:tcBorders>
            <w:shd w:val="clear" w:color="auto" w:fill="386294"/>
            <w:vAlign w:val="center"/>
          </w:tcPr>
          <w:p w14:paraId="74B3E82C" w14:textId="77777777" w:rsidR="006B2387" w:rsidRPr="001D3E10" w:rsidRDefault="006B2387" w:rsidP="00CB7C3D">
            <w:pPr>
              <w:pBdr>
                <w:top w:val="nil"/>
                <w:left w:val="nil"/>
                <w:bottom w:val="nil"/>
                <w:right w:val="nil"/>
                <w:between w:val="nil"/>
                <w:bar w:val="nil"/>
              </w:pBdr>
              <w:jc w:val="center"/>
              <w:rPr>
                <w:rFonts w:ascii="Cambria" w:eastAsia="Arial Unicode MS" w:hAnsi="Cambria"/>
                <w:b/>
                <w:bCs/>
                <w:i/>
                <w:color w:val="FFFFFF"/>
                <w:sz w:val="20"/>
                <w:szCs w:val="20"/>
                <w:bdr w:val="nil"/>
              </w:rPr>
            </w:pPr>
            <w:r w:rsidRPr="001D3E10">
              <w:rPr>
                <w:rFonts w:ascii="Cambria" w:eastAsia="Arial Unicode MS" w:hAnsi="Cambria"/>
                <w:b/>
                <w:bCs/>
                <w:color w:val="FFFFFF"/>
                <w:sz w:val="20"/>
                <w:szCs w:val="20"/>
                <w:bdr w:val="nil"/>
              </w:rPr>
              <w:t>Competencia</w:t>
            </w:r>
            <w:r w:rsidRPr="001D3E10">
              <w:rPr>
                <w:rFonts w:ascii="Cambria" w:eastAsia="Arial Unicode MS" w:hAnsi="Cambria"/>
                <w:b/>
                <w:bCs/>
                <w:i/>
                <w:color w:val="FFFFFF"/>
                <w:sz w:val="20"/>
                <w:szCs w:val="20"/>
                <w:bdr w:val="nil"/>
              </w:rPr>
              <w:t xml:space="preserve"> Ratione personae:</w:t>
            </w:r>
          </w:p>
        </w:tc>
        <w:tc>
          <w:tcPr>
            <w:tcW w:w="5796" w:type="dxa"/>
            <w:shd w:val="clear" w:color="auto" w:fill="auto"/>
            <w:vAlign w:val="center"/>
          </w:tcPr>
          <w:p w14:paraId="34DED194" w14:textId="77777777" w:rsidR="006B2387" w:rsidRPr="001D3E10" w:rsidRDefault="006B2387" w:rsidP="00CB7C3D">
            <w:pPr>
              <w:pBdr>
                <w:top w:val="nil"/>
                <w:left w:val="nil"/>
                <w:bottom w:val="nil"/>
                <w:right w:val="nil"/>
                <w:between w:val="nil"/>
                <w:bar w:val="nil"/>
              </w:pBdr>
              <w:rPr>
                <w:rFonts w:ascii="Cambria" w:eastAsia="Arial Unicode MS" w:hAnsi="Cambria"/>
                <w:bCs/>
                <w:sz w:val="20"/>
                <w:szCs w:val="20"/>
                <w:bdr w:val="nil"/>
              </w:rPr>
            </w:pPr>
            <w:r w:rsidRPr="001D3E10">
              <w:rPr>
                <w:rFonts w:ascii="Cambria" w:eastAsia="Arial Unicode MS" w:hAnsi="Cambria" w:cs="Univers"/>
                <w:color w:val="0D0D0D"/>
                <w:sz w:val="20"/>
                <w:szCs w:val="20"/>
                <w:bdr w:val="nil"/>
              </w:rPr>
              <w:t>Sí</w:t>
            </w:r>
          </w:p>
        </w:tc>
      </w:tr>
      <w:tr w:rsidR="006B2387" w:rsidRPr="001D3E10" w14:paraId="07F898EF" w14:textId="77777777" w:rsidTr="00CB7C3D">
        <w:trPr>
          <w:cantSplit/>
          <w:trHeight w:val="300"/>
        </w:trPr>
        <w:tc>
          <w:tcPr>
            <w:tcW w:w="3492" w:type="dxa"/>
            <w:tcBorders>
              <w:top w:val="single" w:sz="6" w:space="0" w:color="auto"/>
              <w:bottom w:val="single" w:sz="6" w:space="0" w:color="auto"/>
            </w:tcBorders>
            <w:shd w:val="clear" w:color="auto" w:fill="386294"/>
            <w:vAlign w:val="center"/>
          </w:tcPr>
          <w:p w14:paraId="188359E2" w14:textId="77777777" w:rsidR="006B2387" w:rsidRPr="001D3E10" w:rsidRDefault="006B2387" w:rsidP="00CB7C3D">
            <w:pPr>
              <w:pBdr>
                <w:top w:val="nil"/>
                <w:left w:val="nil"/>
                <w:bottom w:val="nil"/>
                <w:right w:val="nil"/>
                <w:between w:val="nil"/>
                <w:bar w:val="nil"/>
              </w:pBdr>
              <w:jc w:val="center"/>
              <w:rPr>
                <w:rFonts w:ascii="Cambria" w:eastAsia="Arial Unicode MS" w:hAnsi="Cambria"/>
                <w:b/>
                <w:bCs/>
                <w:color w:val="FFFFFF"/>
                <w:sz w:val="20"/>
                <w:szCs w:val="20"/>
                <w:bdr w:val="nil"/>
              </w:rPr>
            </w:pPr>
            <w:r w:rsidRPr="001D3E10">
              <w:rPr>
                <w:rFonts w:ascii="Cambria" w:eastAsia="Arial Unicode MS" w:hAnsi="Cambria"/>
                <w:b/>
                <w:bCs/>
                <w:color w:val="FFFFFF"/>
                <w:sz w:val="20"/>
                <w:szCs w:val="20"/>
                <w:bdr w:val="nil"/>
              </w:rPr>
              <w:t>Competencia</w:t>
            </w:r>
            <w:r w:rsidRPr="001D3E10">
              <w:rPr>
                <w:rFonts w:ascii="Cambria" w:eastAsia="Arial Unicode MS" w:hAnsi="Cambria"/>
                <w:b/>
                <w:bCs/>
                <w:i/>
                <w:color w:val="FFFFFF"/>
                <w:sz w:val="20"/>
                <w:szCs w:val="20"/>
                <w:bdr w:val="nil"/>
              </w:rPr>
              <w:t xml:space="preserve"> Ratione loci</w:t>
            </w:r>
            <w:r w:rsidRPr="001D3E10">
              <w:rPr>
                <w:rFonts w:ascii="Cambria" w:eastAsia="Arial Unicode MS" w:hAnsi="Cambria"/>
                <w:b/>
                <w:bCs/>
                <w:color w:val="FFFFFF"/>
                <w:sz w:val="20"/>
                <w:szCs w:val="20"/>
                <w:bdr w:val="nil"/>
              </w:rPr>
              <w:t>:</w:t>
            </w:r>
          </w:p>
        </w:tc>
        <w:tc>
          <w:tcPr>
            <w:tcW w:w="5796" w:type="dxa"/>
            <w:shd w:val="clear" w:color="auto" w:fill="auto"/>
            <w:vAlign w:val="center"/>
          </w:tcPr>
          <w:p w14:paraId="021C0501" w14:textId="77777777" w:rsidR="006B2387" w:rsidRPr="001D3E10" w:rsidRDefault="006B2387" w:rsidP="00CB7C3D">
            <w:pPr>
              <w:pBdr>
                <w:top w:val="nil"/>
                <w:left w:val="nil"/>
                <w:bottom w:val="nil"/>
                <w:right w:val="nil"/>
                <w:between w:val="nil"/>
                <w:bar w:val="nil"/>
              </w:pBdr>
              <w:rPr>
                <w:rFonts w:ascii="Cambria" w:eastAsia="Arial Unicode MS" w:hAnsi="Cambria"/>
                <w:bCs/>
                <w:sz w:val="20"/>
                <w:szCs w:val="20"/>
                <w:bdr w:val="nil"/>
              </w:rPr>
            </w:pPr>
            <w:r w:rsidRPr="001D3E10">
              <w:rPr>
                <w:rFonts w:ascii="Cambria" w:eastAsia="Arial Unicode MS" w:hAnsi="Cambria" w:cs="Univers"/>
                <w:color w:val="0D0D0D"/>
                <w:sz w:val="20"/>
                <w:szCs w:val="20"/>
                <w:bdr w:val="nil"/>
              </w:rPr>
              <w:t>Sí</w:t>
            </w:r>
          </w:p>
        </w:tc>
      </w:tr>
      <w:tr w:rsidR="006B2387" w:rsidRPr="001D3E10" w14:paraId="15E8C5A0" w14:textId="77777777" w:rsidTr="00CB7C3D">
        <w:trPr>
          <w:cantSplit/>
          <w:trHeight w:val="282"/>
        </w:trPr>
        <w:tc>
          <w:tcPr>
            <w:tcW w:w="3492" w:type="dxa"/>
            <w:tcBorders>
              <w:top w:val="single" w:sz="6" w:space="0" w:color="auto"/>
              <w:bottom w:val="single" w:sz="6" w:space="0" w:color="auto"/>
            </w:tcBorders>
            <w:shd w:val="clear" w:color="auto" w:fill="386294"/>
            <w:vAlign w:val="center"/>
          </w:tcPr>
          <w:p w14:paraId="670FCAB0" w14:textId="77777777" w:rsidR="006B2387" w:rsidRPr="001D3E10" w:rsidRDefault="006B2387" w:rsidP="00CB7C3D">
            <w:pPr>
              <w:pBdr>
                <w:top w:val="nil"/>
                <w:left w:val="nil"/>
                <w:bottom w:val="nil"/>
                <w:right w:val="nil"/>
                <w:between w:val="nil"/>
                <w:bar w:val="nil"/>
              </w:pBdr>
              <w:jc w:val="center"/>
              <w:rPr>
                <w:rFonts w:ascii="Cambria" w:eastAsia="Arial Unicode MS" w:hAnsi="Cambria"/>
                <w:b/>
                <w:bCs/>
                <w:color w:val="FFFFFF"/>
                <w:sz w:val="20"/>
                <w:szCs w:val="20"/>
                <w:bdr w:val="nil"/>
              </w:rPr>
            </w:pPr>
            <w:r w:rsidRPr="001D3E10">
              <w:rPr>
                <w:rFonts w:ascii="Cambria" w:eastAsia="Arial Unicode MS" w:hAnsi="Cambria"/>
                <w:b/>
                <w:bCs/>
                <w:color w:val="FFFFFF"/>
                <w:sz w:val="20"/>
                <w:szCs w:val="20"/>
                <w:bdr w:val="nil"/>
              </w:rPr>
              <w:t>Competencia</w:t>
            </w:r>
            <w:r w:rsidRPr="001D3E10">
              <w:rPr>
                <w:rFonts w:ascii="Cambria" w:eastAsia="Arial Unicode MS" w:hAnsi="Cambria"/>
                <w:b/>
                <w:bCs/>
                <w:i/>
                <w:color w:val="FFFFFF"/>
                <w:sz w:val="20"/>
                <w:szCs w:val="20"/>
                <w:bdr w:val="nil"/>
              </w:rPr>
              <w:t xml:space="preserve"> Ratione temporis</w:t>
            </w:r>
            <w:r w:rsidRPr="001D3E10">
              <w:rPr>
                <w:rFonts w:ascii="Cambria" w:eastAsia="Arial Unicode MS" w:hAnsi="Cambria"/>
                <w:b/>
                <w:bCs/>
                <w:color w:val="FFFFFF"/>
                <w:sz w:val="20"/>
                <w:szCs w:val="20"/>
                <w:bdr w:val="nil"/>
              </w:rPr>
              <w:t>:</w:t>
            </w:r>
          </w:p>
        </w:tc>
        <w:tc>
          <w:tcPr>
            <w:tcW w:w="5796" w:type="dxa"/>
            <w:shd w:val="clear" w:color="auto" w:fill="auto"/>
            <w:vAlign w:val="center"/>
          </w:tcPr>
          <w:p w14:paraId="63DFA5CE" w14:textId="77777777" w:rsidR="006B2387" w:rsidRPr="001D3E10" w:rsidRDefault="006B2387" w:rsidP="00CB7C3D">
            <w:pPr>
              <w:pBdr>
                <w:top w:val="nil"/>
                <w:left w:val="nil"/>
                <w:bottom w:val="nil"/>
                <w:right w:val="nil"/>
                <w:between w:val="nil"/>
                <w:bar w:val="nil"/>
              </w:pBdr>
              <w:rPr>
                <w:rFonts w:ascii="Cambria" w:eastAsia="Arial Unicode MS" w:hAnsi="Cambria"/>
                <w:bCs/>
                <w:sz w:val="20"/>
                <w:szCs w:val="20"/>
                <w:bdr w:val="nil"/>
              </w:rPr>
            </w:pPr>
            <w:r w:rsidRPr="001D3E10">
              <w:rPr>
                <w:rFonts w:ascii="Cambria" w:eastAsia="Arial Unicode MS" w:hAnsi="Cambria" w:cs="Univers"/>
                <w:color w:val="0D0D0D"/>
                <w:sz w:val="20"/>
                <w:szCs w:val="20"/>
                <w:bdr w:val="nil"/>
              </w:rPr>
              <w:t>Sí</w:t>
            </w:r>
          </w:p>
        </w:tc>
      </w:tr>
      <w:tr w:rsidR="006B2387" w:rsidRPr="001D3E10" w14:paraId="4C0F8F9C" w14:textId="77777777" w:rsidTr="00CB7C3D">
        <w:trPr>
          <w:cantSplit/>
          <w:trHeight w:val="516"/>
        </w:trPr>
        <w:tc>
          <w:tcPr>
            <w:tcW w:w="3492" w:type="dxa"/>
            <w:tcBorders>
              <w:top w:val="single" w:sz="6" w:space="0" w:color="auto"/>
              <w:bottom w:val="single" w:sz="6" w:space="0" w:color="auto"/>
            </w:tcBorders>
            <w:shd w:val="clear" w:color="auto" w:fill="386294"/>
            <w:vAlign w:val="center"/>
          </w:tcPr>
          <w:p w14:paraId="1DF25349" w14:textId="77777777" w:rsidR="006B2387" w:rsidRPr="001D3E10" w:rsidRDefault="006B2387" w:rsidP="00CB7C3D">
            <w:pPr>
              <w:pBdr>
                <w:top w:val="nil"/>
                <w:left w:val="nil"/>
                <w:bottom w:val="nil"/>
                <w:right w:val="nil"/>
                <w:between w:val="nil"/>
                <w:bar w:val="nil"/>
              </w:pBdr>
              <w:jc w:val="center"/>
              <w:rPr>
                <w:rFonts w:ascii="Cambria" w:eastAsia="Arial Unicode MS" w:hAnsi="Cambria"/>
                <w:b/>
                <w:bCs/>
                <w:color w:val="FFFFFF"/>
                <w:sz w:val="20"/>
                <w:szCs w:val="20"/>
                <w:bdr w:val="nil"/>
              </w:rPr>
            </w:pPr>
            <w:r w:rsidRPr="001D3E10">
              <w:rPr>
                <w:rFonts w:ascii="Cambria" w:eastAsia="Arial Unicode MS" w:hAnsi="Cambria"/>
                <w:b/>
                <w:bCs/>
                <w:color w:val="FFFFFF"/>
                <w:sz w:val="20"/>
                <w:szCs w:val="20"/>
                <w:bdr w:val="nil"/>
              </w:rPr>
              <w:t>Competencia</w:t>
            </w:r>
            <w:r w:rsidRPr="001D3E10">
              <w:rPr>
                <w:rFonts w:ascii="Cambria" w:eastAsia="Arial Unicode MS" w:hAnsi="Cambria"/>
                <w:b/>
                <w:bCs/>
                <w:i/>
                <w:color w:val="FFFFFF"/>
                <w:sz w:val="20"/>
                <w:szCs w:val="20"/>
                <w:bdr w:val="nil"/>
              </w:rPr>
              <w:t xml:space="preserve"> Ratione materiae</w:t>
            </w:r>
            <w:r w:rsidRPr="001D3E10">
              <w:rPr>
                <w:rFonts w:ascii="Cambria" w:eastAsia="Arial Unicode MS" w:hAnsi="Cambria"/>
                <w:b/>
                <w:bCs/>
                <w:color w:val="FFFFFF"/>
                <w:sz w:val="20"/>
                <w:szCs w:val="20"/>
                <w:bdr w:val="nil"/>
              </w:rPr>
              <w:t>:</w:t>
            </w:r>
          </w:p>
        </w:tc>
        <w:tc>
          <w:tcPr>
            <w:tcW w:w="5796" w:type="dxa"/>
            <w:shd w:val="clear" w:color="auto" w:fill="auto"/>
            <w:vAlign w:val="center"/>
          </w:tcPr>
          <w:p w14:paraId="7471C7EC" w14:textId="77777777" w:rsidR="006B2387" w:rsidRPr="001D3E10" w:rsidRDefault="006B2387" w:rsidP="00CB7C3D">
            <w:pPr>
              <w:pBdr>
                <w:top w:val="nil"/>
                <w:left w:val="nil"/>
                <w:bottom w:val="nil"/>
                <w:right w:val="nil"/>
                <w:between w:val="nil"/>
                <w:bar w:val="nil"/>
              </w:pBdr>
              <w:rPr>
                <w:rFonts w:ascii="Cambria" w:eastAsia="Arial Unicode MS" w:hAnsi="Cambria"/>
                <w:bCs/>
                <w:sz w:val="20"/>
                <w:szCs w:val="20"/>
                <w:bdr w:val="nil"/>
              </w:rPr>
            </w:pPr>
            <w:r w:rsidRPr="001D3E10">
              <w:rPr>
                <w:rFonts w:ascii="Cambria" w:eastAsia="Arial Unicode MS" w:hAnsi="Cambria" w:cs="Univers"/>
                <w:color w:val="0D0D0D"/>
                <w:sz w:val="20"/>
                <w:szCs w:val="20"/>
                <w:bdr w:val="nil"/>
              </w:rPr>
              <w:t xml:space="preserve">Sí, </w:t>
            </w:r>
            <w:r w:rsidRPr="001D3E10">
              <w:rPr>
                <w:rFonts w:ascii="Cambria" w:eastAsia="Arial Unicode MS" w:hAnsi="Cambria"/>
                <w:bCs/>
                <w:sz w:val="20"/>
                <w:szCs w:val="20"/>
                <w:bdr w:val="nil"/>
              </w:rPr>
              <w:t>Convención Americana (depósito de instrumento realizado el 5 de septiembre de 1984</w:t>
            </w:r>
          </w:p>
        </w:tc>
      </w:tr>
      <w:tr w:rsidR="006B2387" w:rsidRPr="001D3E10" w14:paraId="1FCB8DA5" w14:textId="77777777" w:rsidTr="00CB7C3D">
        <w:trPr>
          <w:cantSplit/>
          <w:trHeight w:val="516"/>
        </w:trPr>
        <w:tc>
          <w:tcPr>
            <w:tcW w:w="3492" w:type="dxa"/>
            <w:tcBorders>
              <w:top w:val="single" w:sz="6" w:space="0" w:color="auto"/>
              <w:bottom w:val="single" w:sz="6" w:space="0" w:color="auto"/>
            </w:tcBorders>
            <w:shd w:val="clear" w:color="auto" w:fill="386294"/>
            <w:vAlign w:val="center"/>
          </w:tcPr>
          <w:p w14:paraId="0C053CA6" w14:textId="77777777" w:rsidR="006B2387" w:rsidRPr="001D3E10" w:rsidRDefault="006B2387" w:rsidP="00CB7C3D">
            <w:pPr>
              <w:pBdr>
                <w:top w:val="nil"/>
                <w:left w:val="nil"/>
                <w:bottom w:val="nil"/>
                <w:right w:val="nil"/>
                <w:between w:val="nil"/>
                <w:bar w:val="nil"/>
              </w:pBdr>
              <w:jc w:val="center"/>
              <w:rPr>
                <w:rFonts w:ascii="Cambria" w:eastAsia="Arial Unicode MS" w:hAnsi="Cambria"/>
                <w:b/>
                <w:bCs/>
                <w:color w:val="FFFFFF"/>
                <w:sz w:val="20"/>
                <w:szCs w:val="20"/>
                <w:bdr w:val="nil"/>
              </w:rPr>
            </w:pPr>
            <w:r w:rsidRPr="001D3E10">
              <w:rPr>
                <w:rFonts w:ascii="Cambria" w:eastAsia="Arial Unicode MS" w:hAnsi="Cambria"/>
                <w:b/>
                <w:bCs/>
                <w:color w:val="FFFFFF"/>
                <w:sz w:val="20"/>
                <w:szCs w:val="20"/>
                <w:bdr w:val="nil"/>
              </w:rPr>
              <w:t>Duplicación de procedimientos  y cosa juzgada internacional</w:t>
            </w:r>
          </w:p>
        </w:tc>
        <w:tc>
          <w:tcPr>
            <w:tcW w:w="5796" w:type="dxa"/>
            <w:shd w:val="clear" w:color="auto" w:fill="auto"/>
            <w:vAlign w:val="center"/>
          </w:tcPr>
          <w:p w14:paraId="3FF47223" w14:textId="77777777" w:rsidR="006B2387" w:rsidRPr="001D3E10" w:rsidRDefault="006B2387" w:rsidP="00CB7C3D">
            <w:pPr>
              <w:pBdr>
                <w:top w:val="nil"/>
                <w:left w:val="nil"/>
                <w:bottom w:val="nil"/>
                <w:right w:val="nil"/>
                <w:between w:val="nil"/>
                <w:bar w:val="nil"/>
              </w:pBdr>
              <w:rPr>
                <w:rFonts w:ascii="Cambria" w:eastAsia="Arial Unicode MS" w:hAnsi="Cambria" w:cs="Univers"/>
                <w:color w:val="0D0D0D"/>
                <w:sz w:val="20"/>
                <w:szCs w:val="20"/>
                <w:bdr w:val="nil"/>
              </w:rPr>
            </w:pPr>
            <w:r w:rsidRPr="001D3E10">
              <w:rPr>
                <w:rFonts w:ascii="Cambria" w:eastAsia="Arial Unicode MS" w:hAnsi="Cambria" w:cs="Univers"/>
                <w:color w:val="0D0D0D"/>
                <w:sz w:val="20"/>
                <w:szCs w:val="20"/>
                <w:bdr w:val="nil"/>
              </w:rPr>
              <w:t>No</w:t>
            </w:r>
          </w:p>
        </w:tc>
      </w:tr>
    </w:tbl>
    <w:p w14:paraId="5F05C01E" w14:textId="77777777" w:rsidR="006B2387" w:rsidRPr="001D3E10" w:rsidRDefault="006B2387" w:rsidP="006B2387">
      <w:pPr>
        <w:pStyle w:val="parrafos"/>
        <w:tabs>
          <w:tab w:val="left" w:pos="360"/>
        </w:tabs>
        <w:rPr>
          <w:rFonts w:cs="Calibri"/>
          <w:lang w:val="es-AR"/>
        </w:rPr>
      </w:pPr>
    </w:p>
    <w:p w14:paraId="7AA81C2E" w14:textId="77777777" w:rsidR="006B2387" w:rsidRPr="001D3E10" w:rsidRDefault="006B2387" w:rsidP="006B2387">
      <w:pPr>
        <w:pStyle w:val="Heading2"/>
        <w:keepNext w:val="0"/>
        <w:numPr>
          <w:ilvl w:val="0"/>
          <w:numId w:val="9"/>
        </w:numPr>
        <w:pBdr>
          <w:top w:val="nil"/>
          <w:left w:val="nil"/>
          <w:bottom w:val="nil"/>
          <w:right w:val="nil"/>
          <w:between w:val="nil"/>
          <w:bar w:val="nil"/>
        </w:pBdr>
        <w:ind w:left="360"/>
        <w:rPr>
          <w:lang w:val="es-AR"/>
        </w:rPr>
      </w:pPr>
      <w:bookmarkStart w:id="40" w:name="_Toc23349331"/>
      <w:bookmarkStart w:id="41" w:name="_Toc34040655"/>
      <w:bookmarkStart w:id="42" w:name="_Toc203469400"/>
      <w:r w:rsidRPr="001D3E10">
        <w:rPr>
          <w:lang w:val="es-AR"/>
        </w:rPr>
        <w:t>Requisitos de admisibilidad</w:t>
      </w:r>
      <w:bookmarkEnd w:id="40"/>
      <w:bookmarkEnd w:id="41"/>
      <w:bookmarkEnd w:id="42"/>
      <w:r w:rsidRPr="001D3E10">
        <w:rPr>
          <w:lang w:val="es-AR"/>
        </w:rPr>
        <w:t xml:space="preserve"> </w:t>
      </w:r>
    </w:p>
    <w:p w14:paraId="1E4E1663" w14:textId="77777777" w:rsidR="006B2387" w:rsidRPr="001D3E10" w:rsidRDefault="006B2387" w:rsidP="006B2387">
      <w:pPr>
        <w:spacing w:after="0"/>
        <w:rPr>
          <w:sz w:val="20"/>
          <w:szCs w:val="20"/>
        </w:rPr>
      </w:pPr>
    </w:p>
    <w:p w14:paraId="34BD893D" w14:textId="77777777" w:rsidR="006B2387" w:rsidRPr="001D3E10" w:rsidRDefault="006B2387" w:rsidP="006B2387">
      <w:pPr>
        <w:pStyle w:val="Heading3"/>
        <w:keepNext w:val="0"/>
        <w:numPr>
          <w:ilvl w:val="0"/>
          <w:numId w:val="10"/>
        </w:numPr>
        <w:tabs>
          <w:tab w:val="left" w:pos="360"/>
        </w:tabs>
        <w:spacing w:before="0" w:after="0" w:line="240" w:lineRule="auto"/>
        <w:ind w:left="0" w:firstLine="0"/>
        <w:jc w:val="both"/>
        <w:rPr>
          <w:iCs/>
          <w:sz w:val="20"/>
          <w:szCs w:val="20"/>
        </w:rPr>
      </w:pPr>
      <w:bookmarkStart w:id="43" w:name="_Toc23349332"/>
      <w:bookmarkStart w:id="44" w:name="_Toc34040656"/>
      <w:bookmarkStart w:id="45" w:name="_Toc203469401"/>
      <w:r w:rsidRPr="001D3E10">
        <w:rPr>
          <w:iCs/>
          <w:sz w:val="20"/>
          <w:szCs w:val="20"/>
        </w:rPr>
        <w:t>Agotamiento de los recursos internos</w:t>
      </w:r>
      <w:bookmarkEnd w:id="43"/>
      <w:bookmarkEnd w:id="44"/>
      <w:bookmarkEnd w:id="45"/>
      <w:r w:rsidRPr="001D3E10">
        <w:rPr>
          <w:iCs/>
          <w:sz w:val="20"/>
          <w:szCs w:val="20"/>
        </w:rPr>
        <w:t xml:space="preserve"> </w:t>
      </w:r>
    </w:p>
    <w:p w14:paraId="6646C89E" w14:textId="77777777" w:rsidR="006B2387" w:rsidRPr="001D3E10" w:rsidRDefault="006B2387" w:rsidP="006B2387">
      <w:pPr>
        <w:spacing w:after="0"/>
      </w:pPr>
    </w:p>
    <w:p w14:paraId="448B3EF9" w14:textId="01914B23" w:rsidR="006B2387" w:rsidRPr="001D3E10" w:rsidRDefault="006B2387" w:rsidP="006B2387">
      <w:pPr>
        <w:pStyle w:val="parrafos"/>
        <w:numPr>
          <w:ilvl w:val="0"/>
          <w:numId w:val="4"/>
        </w:numPr>
        <w:tabs>
          <w:tab w:val="left" w:pos="360"/>
        </w:tabs>
        <w:ind w:left="0" w:firstLine="0"/>
        <w:rPr>
          <w:rFonts w:cs="Calibri"/>
          <w:lang w:val="es-AR"/>
        </w:rPr>
      </w:pPr>
      <w:r w:rsidRPr="001D3E10">
        <w:rPr>
          <w:rFonts w:cs="Calibri"/>
          <w:lang w:val="es-AR"/>
        </w:rPr>
        <w:t>El artículo 46.1.a) de la Convención Americana dispone que, para que sea admisible una denuncia presentada ante la Comisión Interamericana de conformidad con el artículo 44 del mismo instrumento,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w:t>
      </w:r>
      <w:r w:rsidR="002C363B" w:rsidRPr="001D3E10">
        <w:rPr>
          <w:rFonts w:cs="Calibri"/>
          <w:lang w:val="es-AR"/>
        </w:rPr>
        <w:t>r una instancia internacional.</w:t>
      </w:r>
    </w:p>
    <w:p w14:paraId="2CFBADAD" w14:textId="77777777" w:rsidR="006B2387" w:rsidRPr="001D3E10" w:rsidRDefault="006B2387" w:rsidP="006B2387">
      <w:pPr>
        <w:pStyle w:val="parrafos"/>
        <w:tabs>
          <w:tab w:val="left" w:pos="360"/>
        </w:tabs>
        <w:rPr>
          <w:rFonts w:cs="Calibri"/>
          <w:lang w:val="es-AR"/>
        </w:rPr>
      </w:pPr>
    </w:p>
    <w:p w14:paraId="7A8E3DD2" w14:textId="31BA7590" w:rsidR="009036A6" w:rsidRPr="001D3E10" w:rsidRDefault="00AD503E" w:rsidP="006B2387">
      <w:pPr>
        <w:pStyle w:val="parrafos"/>
        <w:numPr>
          <w:ilvl w:val="0"/>
          <w:numId w:val="4"/>
        </w:numPr>
        <w:tabs>
          <w:tab w:val="left" w:pos="360"/>
        </w:tabs>
        <w:ind w:left="0" w:firstLine="0"/>
        <w:rPr>
          <w:rFonts w:cs="Calibri"/>
          <w:lang w:val="es-AR"/>
        </w:rPr>
      </w:pPr>
      <w:r w:rsidRPr="001D3E10">
        <w:rPr>
          <w:rFonts w:cs="Calibri"/>
          <w:lang w:val="es-AR"/>
        </w:rPr>
        <w:t>La Comisión observa que la petición bajo análisis se refiere esencialmente a dos aspectos: en primer lugar</w:t>
      </w:r>
      <w:r w:rsidR="00426124" w:rsidRPr="001D3E10">
        <w:rPr>
          <w:rFonts w:cs="Calibri"/>
          <w:lang w:val="es-AR"/>
        </w:rPr>
        <w:t>,</w:t>
      </w:r>
      <w:r w:rsidRPr="001D3E10">
        <w:rPr>
          <w:rFonts w:cs="Calibri"/>
          <w:lang w:val="es-AR"/>
        </w:rPr>
        <w:t xml:space="preserve"> a la supuesta ilegitimidad e ilegalidad de la medida cautelar de inhibición general de bienes que se decretó contra las </w:t>
      </w:r>
      <w:r w:rsidR="00BA62CB" w:rsidRPr="001D3E10">
        <w:rPr>
          <w:rFonts w:cs="Calibri"/>
          <w:lang w:val="es-AR"/>
        </w:rPr>
        <w:t>presuntas v</w:t>
      </w:r>
      <w:r w:rsidR="00BA62CB">
        <w:rPr>
          <w:rFonts w:cs="Calibri"/>
          <w:lang w:val="es-AR"/>
        </w:rPr>
        <w:t>i</w:t>
      </w:r>
      <w:r w:rsidR="00BA62CB" w:rsidRPr="001D3E10">
        <w:rPr>
          <w:rFonts w:cs="Calibri"/>
          <w:lang w:val="es-AR"/>
        </w:rPr>
        <w:t>ctimas</w:t>
      </w:r>
      <w:r w:rsidR="00BA62CB" w:rsidRPr="001D3E10">
        <w:rPr>
          <w:lang w:val="es-AR"/>
        </w:rPr>
        <w:t xml:space="preserve"> </w:t>
      </w:r>
      <w:r w:rsidR="002C363B" w:rsidRPr="001D3E10">
        <w:rPr>
          <w:rFonts w:cs="Calibri"/>
          <w:lang w:val="es-AR"/>
        </w:rPr>
        <w:t>a partir de 1985</w:t>
      </w:r>
      <w:r w:rsidRPr="001D3E10">
        <w:rPr>
          <w:rFonts w:cs="Calibri"/>
          <w:lang w:val="es-AR"/>
        </w:rPr>
        <w:t xml:space="preserve"> en el marco del proceso </w:t>
      </w:r>
      <w:r w:rsidR="00426124" w:rsidRPr="001D3E10">
        <w:rPr>
          <w:rFonts w:cs="Calibri"/>
          <w:lang w:val="es-AR"/>
        </w:rPr>
        <w:t xml:space="preserve">de responsabilidad patrimonial promovido en su contra. </w:t>
      </w:r>
      <w:r w:rsidR="009036A6" w:rsidRPr="001D3E10">
        <w:rPr>
          <w:rFonts w:cs="Calibri"/>
          <w:lang w:val="es-AR"/>
        </w:rPr>
        <w:t xml:space="preserve">En segundo lugar, la parte peticionaria argumenta la duración irrazonable del proceso principal. Al respecto, refiere que el proceso de quiebra tuvo una duración de 37 años, y la medida cautelar de inhibición de bienes se prolongó por 33 años. </w:t>
      </w:r>
    </w:p>
    <w:p w14:paraId="71780350" w14:textId="77777777" w:rsidR="009036A6" w:rsidRPr="001D3E10" w:rsidRDefault="009036A6" w:rsidP="009036A6">
      <w:pPr>
        <w:pStyle w:val="ListParagraph"/>
        <w:rPr>
          <w:rFonts w:cs="Calibri"/>
          <w:lang w:val="es-AR"/>
        </w:rPr>
      </w:pPr>
    </w:p>
    <w:p w14:paraId="1D79543C" w14:textId="0439EED4" w:rsidR="006B2387" w:rsidRPr="001D3E10" w:rsidRDefault="009036A6" w:rsidP="00AE60CB">
      <w:pPr>
        <w:pStyle w:val="parrafos"/>
        <w:numPr>
          <w:ilvl w:val="0"/>
          <w:numId w:val="4"/>
        </w:numPr>
        <w:tabs>
          <w:tab w:val="left" w:pos="360"/>
        </w:tabs>
        <w:ind w:left="0" w:firstLine="0"/>
        <w:rPr>
          <w:rFonts w:cs="Calibri"/>
          <w:lang w:val="es-AR"/>
        </w:rPr>
      </w:pPr>
      <w:r w:rsidRPr="001D3E10">
        <w:rPr>
          <w:rFonts w:cs="Calibri"/>
          <w:lang w:val="es-AR"/>
        </w:rPr>
        <w:t xml:space="preserve">En cuanto al primer aspecto, la Comisión subraya que </w:t>
      </w:r>
      <w:r w:rsidR="00AE60CB" w:rsidRPr="001D3E10">
        <w:rPr>
          <w:rFonts w:cs="Calibri"/>
          <w:lang w:val="es-AR"/>
        </w:rPr>
        <w:t xml:space="preserve">la parte peticionaria argumenta que </w:t>
      </w:r>
      <w:r w:rsidR="006B2387" w:rsidRPr="001D3E10">
        <w:rPr>
          <w:lang w:val="es-AR"/>
        </w:rPr>
        <w:t>no interpuso ningún recurso para impugnar la medida cautelar de inhibición y que en el presente caso aplica la excepción a la regla de agotamiento de los recurso</w:t>
      </w:r>
      <w:r w:rsidR="00AE60CB" w:rsidRPr="001D3E10">
        <w:rPr>
          <w:lang w:val="es-AR"/>
        </w:rPr>
        <w:t>s</w:t>
      </w:r>
      <w:r w:rsidR="006B2387" w:rsidRPr="001D3E10">
        <w:rPr>
          <w:lang w:val="es-AR"/>
        </w:rPr>
        <w:t xml:space="preserve"> internos prevista en el artículo 46.2 de la Convención Americana por dos motivos fundamentales: 1) nunca fueron notificadas de la misma y tomaron conocimiento de la medida hasta que esta fue decretada; 2) si bien al enterarse pudieron haber interpuesto los recursos de revocatoria y apelación, este recurso requerida de abogado y se trataba de un procedimiento complejo, oneroso y extendido, y no contaban con los medios tomando en cuenta que sus fondos estaban bloqueados. </w:t>
      </w:r>
    </w:p>
    <w:p w14:paraId="52A13725" w14:textId="77777777" w:rsidR="006B2387" w:rsidRPr="001D3E10" w:rsidRDefault="006B2387" w:rsidP="006B2387">
      <w:pPr>
        <w:pStyle w:val="parrafos"/>
        <w:tabs>
          <w:tab w:val="left" w:pos="360"/>
        </w:tabs>
        <w:rPr>
          <w:lang w:val="es-AR"/>
        </w:rPr>
      </w:pPr>
    </w:p>
    <w:p w14:paraId="0DCD6CDF" w14:textId="77777777" w:rsidR="006B2387" w:rsidRPr="001D3E10" w:rsidRDefault="006B2387" w:rsidP="006B2387">
      <w:pPr>
        <w:pStyle w:val="parrafos"/>
        <w:numPr>
          <w:ilvl w:val="0"/>
          <w:numId w:val="4"/>
        </w:numPr>
        <w:tabs>
          <w:tab w:val="left" w:pos="360"/>
        </w:tabs>
        <w:ind w:left="0" w:firstLine="0"/>
        <w:rPr>
          <w:lang w:val="es-AR"/>
        </w:rPr>
      </w:pPr>
      <w:r w:rsidRPr="001D3E10">
        <w:rPr>
          <w:lang w:val="es-AR"/>
        </w:rPr>
        <w:t xml:space="preserve">El Estado alega la falta de agotamiento de recursos internos, indicando que la parte peticionaria debía interponer los recursos de reposición y apelación contra la medida cautelar impuesta, y que su “vaga referencia” a la falta de asesoramiento y carencia de recursos económicos sin demostrar cómo estos dos factores impidieron cumplir con la regla de agotamiento de recursos internos no puede configurar la excepción prevista en el artículo 46.1 de la Convención Americana. </w:t>
      </w:r>
    </w:p>
    <w:p w14:paraId="1CD6661B" w14:textId="77777777" w:rsidR="006B2387" w:rsidRPr="001D3E10" w:rsidRDefault="006B2387" w:rsidP="006B2387">
      <w:pPr>
        <w:pStyle w:val="parrafos"/>
        <w:tabs>
          <w:tab w:val="left" w:pos="360"/>
        </w:tabs>
        <w:rPr>
          <w:lang w:val="es-AR"/>
        </w:rPr>
      </w:pPr>
    </w:p>
    <w:p w14:paraId="4D4A3778" w14:textId="2D2B0727" w:rsidR="006B2387" w:rsidRPr="001D3E10" w:rsidRDefault="006B2387" w:rsidP="00AE60CB">
      <w:pPr>
        <w:pStyle w:val="parrafos"/>
        <w:numPr>
          <w:ilvl w:val="0"/>
          <w:numId w:val="4"/>
        </w:numPr>
        <w:tabs>
          <w:tab w:val="left" w:pos="360"/>
        </w:tabs>
        <w:ind w:left="0" w:firstLine="0"/>
        <w:rPr>
          <w:lang w:val="es-AR"/>
        </w:rPr>
      </w:pPr>
      <w:r w:rsidRPr="001D3E10">
        <w:rPr>
          <w:lang w:val="es-AR"/>
        </w:rPr>
        <w:t xml:space="preserve">En cuanto al argumento planteado por la parte peticionaria respecto de falta de recursos económicos para impugnar la medida de inhibición, la CIDH subraya que este aspecto puede ser tomado en cuenta por la Comisión, caso por caso, para analizar el cumplimiento del requisito de agotamiento de recursos internos, sin </w:t>
      </w:r>
      <w:r w:rsidRPr="001D3E10">
        <w:rPr>
          <w:lang w:val="es-AR"/>
        </w:rPr>
        <w:lastRenderedPageBreak/>
        <w:t>embargo la parte peticionaria se limitó a hacer una mención genérica sin detallar las circunstancias particulares que rodearon su situación, la relación entre tales circunstancias y la alegada imposibilidad de agotar los recursos internos. Por otra parte, en cuanto a la falta de asistencia jurídica, la argumentación de la parte peticionaria también es de carácter genérico, sin detallar los esfuerzos intentados para obtener algún tipo de asistencia jurídica gratuita</w:t>
      </w:r>
      <w:r w:rsidRPr="001D3E10">
        <w:rPr>
          <w:rStyle w:val="FootnoteReference"/>
          <w:rFonts w:asciiTheme="minorHAnsi" w:hAnsiTheme="minorHAnsi"/>
          <w:sz w:val="20"/>
          <w:lang w:val="es-AR"/>
        </w:rPr>
        <w:footnoteReference w:id="2"/>
      </w:r>
      <w:r w:rsidRPr="001D3E10">
        <w:rPr>
          <w:lang w:val="es-AR"/>
        </w:rPr>
        <w:t>.</w:t>
      </w:r>
      <w:r w:rsidR="00AE60CB" w:rsidRPr="001D3E10">
        <w:rPr>
          <w:lang w:val="es-AR"/>
        </w:rPr>
        <w:t xml:space="preserve"> </w:t>
      </w:r>
      <w:r w:rsidRPr="001D3E10">
        <w:rPr>
          <w:lang w:val="es-AR"/>
        </w:rPr>
        <w:t>La Comisión recuerda que una vez que un Estado parte ha probado la disponibilidad de recursos internos para el ejercicio de un derecho protegido por la Convención, la carga de la prueba se traslada al reclamante, que deberá demostrar que las excepciones contempladas en el</w:t>
      </w:r>
      <w:r w:rsidR="002B2A19" w:rsidRPr="001D3E10">
        <w:rPr>
          <w:lang w:val="es-AR"/>
        </w:rPr>
        <w:t xml:space="preserve"> artículo 46.2 son aplicables</w:t>
      </w:r>
      <w:r w:rsidRPr="001D3E10">
        <w:rPr>
          <w:rStyle w:val="FootnoteReference"/>
          <w:rFonts w:asciiTheme="minorHAnsi" w:hAnsiTheme="minorHAnsi"/>
          <w:sz w:val="20"/>
          <w:lang w:val="es-AR"/>
        </w:rPr>
        <w:footnoteReference w:id="3"/>
      </w:r>
      <w:r w:rsidRPr="001D3E10">
        <w:rPr>
          <w:lang w:val="es-AR"/>
        </w:rPr>
        <w:t xml:space="preserve">. </w:t>
      </w:r>
    </w:p>
    <w:p w14:paraId="333EE005" w14:textId="77777777" w:rsidR="006B2387" w:rsidRPr="001D3E10" w:rsidRDefault="006B2387" w:rsidP="006B2387">
      <w:pPr>
        <w:pStyle w:val="parrafos"/>
        <w:tabs>
          <w:tab w:val="left" w:pos="360"/>
        </w:tabs>
        <w:rPr>
          <w:lang w:val="es-AR"/>
        </w:rPr>
      </w:pPr>
    </w:p>
    <w:p w14:paraId="0C7A9E90" w14:textId="703D9921" w:rsidR="00AE60CB" w:rsidRPr="001D3E10" w:rsidRDefault="006B2387" w:rsidP="00AE60CB">
      <w:pPr>
        <w:pStyle w:val="parrafos"/>
        <w:numPr>
          <w:ilvl w:val="0"/>
          <w:numId w:val="4"/>
        </w:numPr>
        <w:tabs>
          <w:tab w:val="left" w:pos="360"/>
        </w:tabs>
        <w:ind w:left="0" w:firstLine="0"/>
        <w:rPr>
          <w:lang w:val="es-AR"/>
        </w:rPr>
      </w:pPr>
      <w:r w:rsidRPr="001D3E10">
        <w:rPr>
          <w:lang w:val="es-AR"/>
        </w:rPr>
        <w:t>En virtud de lo anterior, la Comisión estima que</w:t>
      </w:r>
      <w:r w:rsidR="00AE60CB" w:rsidRPr="001D3E10">
        <w:rPr>
          <w:lang w:val="es-AR"/>
        </w:rPr>
        <w:t xml:space="preserve"> la parte del reclamo relacionado con la imposición arbitraria de la medida cautelar deviene inadmisible por falta de los recursos internos contemplado en el artículo </w:t>
      </w:r>
      <w:r w:rsidRPr="001D3E10">
        <w:rPr>
          <w:lang w:val="es-AR"/>
        </w:rPr>
        <w:t>46.1 a) de la Convención Americana.</w:t>
      </w:r>
      <w:r w:rsidR="002B2A19" w:rsidRPr="001D3E10">
        <w:rPr>
          <w:lang w:val="es-AR"/>
        </w:rPr>
        <w:t xml:space="preserve"> </w:t>
      </w:r>
    </w:p>
    <w:p w14:paraId="06288386" w14:textId="66765290" w:rsidR="00AE60CB" w:rsidRPr="001D3E10" w:rsidRDefault="00AE60CB" w:rsidP="00AE60CB">
      <w:pPr>
        <w:pStyle w:val="parrafos"/>
        <w:tabs>
          <w:tab w:val="left" w:pos="360"/>
        </w:tabs>
        <w:rPr>
          <w:lang w:val="es-AR"/>
        </w:rPr>
      </w:pPr>
    </w:p>
    <w:p w14:paraId="7079EF7E" w14:textId="5872E42D" w:rsidR="00AE60CB" w:rsidRPr="001D3E10" w:rsidRDefault="00AE60CB" w:rsidP="00510C79">
      <w:pPr>
        <w:pStyle w:val="parrafos"/>
        <w:numPr>
          <w:ilvl w:val="0"/>
          <w:numId w:val="4"/>
        </w:numPr>
        <w:tabs>
          <w:tab w:val="left" w:pos="360"/>
        </w:tabs>
        <w:ind w:left="0" w:firstLine="0"/>
        <w:rPr>
          <w:lang w:val="es-AR"/>
        </w:rPr>
      </w:pPr>
      <w:r w:rsidRPr="001D3E10">
        <w:rPr>
          <w:lang w:val="es-AR"/>
        </w:rPr>
        <w:t xml:space="preserve">Por otra parte, en cuanto al reclamo relacionado con </w:t>
      </w:r>
      <w:r w:rsidR="00565DF4" w:rsidRPr="001D3E10">
        <w:rPr>
          <w:lang w:val="es-AR"/>
        </w:rPr>
        <w:t xml:space="preserve">la demora irrazonable del proceso principal, así como de la medida cautelar de inhibición general de bienes, la Comisión </w:t>
      </w:r>
      <w:r w:rsidR="00510C79" w:rsidRPr="001D3E10">
        <w:rPr>
          <w:lang w:val="es-AR"/>
        </w:rPr>
        <w:t xml:space="preserve">subraya que el proceso finalizó mientras la petición se encontraba en trámite ante la CIDH. Al respecto, la Comisión subraya que la petición fue presentada el 2 de julio de 2005. </w:t>
      </w:r>
      <w:r w:rsidR="00817F35" w:rsidRPr="001D3E10">
        <w:rPr>
          <w:lang w:val="es-AR"/>
        </w:rPr>
        <w:t>Para dicho momento el Juzgado Nacional de Primera Instancia había emitido la decisión de primera instancia del proceso, la cual fue impugnada por las presuntas víctimas. E</w:t>
      </w:r>
      <w:r w:rsidR="00F941E9" w:rsidRPr="001D3E10">
        <w:rPr>
          <w:lang w:val="es-AR"/>
        </w:rPr>
        <w:t xml:space="preserve">l 7 de julio de 2008 se determinó el archivo de las actuaciones y finalmente el 7 de marzo de 2012 el Juzgado Nacional de Primera Instancia en lo Comercial no. 4 ordenó una nueva inhibición de bienes contra las presuntas víctimas en virtud de la condena recaída en su contra. </w:t>
      </w:r>
    </w:p>
    <w:p w14:paraId="24EB91A4" w14:textId="77777777" w:rsidR="00F941E9" w:rsidRPr="001D3E10" w:rsidRDefault="00F941E9" w:rsidP="00F941E9">
      <w:pPr>
        <w:pStyle w:val="ListParagraph"/>
        <w:rPr>
          <w:lang w:val="es-AR"/>
        </w:rPr>
      </w:pPr>
    </w:p>
    <w:p w14:paraId="3821E57F" w14:textId="7815B3C4" w:rsidR="00817F35" w:rsidRPr="001D3E10" w:rsidRDefault="00F941E9" w:rsidP="00817F35">
      <w:pPr>
        <w:pStyle w:val="parrafos"/>
        <w:numPr>
          <w:ilvl w:val="0"/>
          <w:numId w:val="4"/>
        </w:numPr>
        <w:tabs>
          <w:tab w:val="left" w:pos="360"/>
        </w:tabs>
        <w:ind w:left="0" w:firstLine="0"/>
        <w:rPr>
          <w:rFonts w:cs="Arial"/>
          <w:lang w:val="es-AR"/>
        </w:rPr>
      </w:pPr>
      <w:r w:rsidRPr="001D3E10">
        <w:rPr>
          <w:lang w:val="es-AR"/>
        </w:rPr>
        <w:t xml:space="preserve">La Comisión ha sostenido por décadas un criterio </w:t>
      </w:r>
      <w:r w:rsidRPr="001D3E10">
        <w:rPr>
          <w:rFonts w:cs="Arial"/>
          <w:lang w:val="es-AR"/>
        </w:rPr>
        <w:t>en virtud del cual “e</w:t>
      </w:r>
      <w:r w:rsidRPr="001D3E10">
        <w:rPr>
          <w:rFonts w:cs="Arial"/>
          <w:lang w:val="es-AR" w:bidi="en-US"/>
        </w:rPr>
        <w:t>n situaciones en las cuales la evolución de los hechos inicialmente presentados a nivel interno, implica un cambio en el cumplimiento o incumplimiento de los requisitos de admisibilidad, la Comisión ha señalado que su análisis debe hacerse a partir de la situación vigente al momento del pronunciamiento de admisibilidad”</w:t>
      </w:r>
      <w:r w:rsidRPr="001D3E10">
        <w:rPr>
          <w:rStyle w:val="FootnoteReference"/>
          <w:rFonts w:asciiTheme="minorHAnsi" w:hAnsiTheme="minorHAnsi" w:cs="Arial"/>
          <w:sz w:val="20"/>
          <w:lang w:val="es-AR" w:bidi="en-US"/>
        </w:rPr>
        <w:footnoteReference w:id="4"/>
      </w:r>
      <w:r w:rsidRPr="001D3E10">
        <w:rPr>
          <w:rFonts w:cs="Arial"/>
          <w:lang w:val="es-AR" w:bidi="en-US"/>
        </w:rPr>
        <w:t xml:space="preserve">. </w:t>
      </w:r>
    </w:p>
    <w:p w14:paraId="739E6CC6" w14:textId="4A0A55A2" w:rsidR="00817F35" w:rsidRPr="001D3E10" w:rsidRDefault="00817F35" w:rsidP="00817F35">
      <w:pPr>
        <w:pStyle w:val="parrafos"/>
        <w:tabs>
          <w:tab w:val="left" w:pos="360"/>
        </w:tabs>
        <w:rPr>
          <w:rFonts w:cs="Arial"/>
          <w:lang w:val="es-AR"/>
        </w:rPr>
      </w:pPr>
    </w:p>
    <w:p w14:paraId="20FFC42A" w14:textId="48CD1DAB" w:rsidR="00F941E9" w:rsidRPr="001D3E10" w:rsidRDefault="00817F35" w:rsidP="00F941E9">
      <w:pPr>
        <w:pStyle w:val="parrafos"/>
        <w:numPr>
          <w:ilvl w:val="0"/>
          <w:numId w:val="4"/>
        </w:numPr>
        <w:tabs>
          <w:tab w:val="left" w:pos="360"/>
        </w:tabs>
        <w:ind w:left="0" w:firstLine="0"/>
        <w:rPr>
          <w:rFonts w:cs="Arial"/>
          <w:lang w:val="es-AR"/>
        </w:rPr>
      </w:pPr>
      <w:r w:rsidRPr="001D3E10">
        <w:rPr>
          <w:rFonts w:cs="Arial"/>
          <w:lang w:val="es-AR" w:bidi="en-US"/>
        </w:rPr>
        <w:t>En atención a dichas consideraciones, la Comisión concluye que en relación con el proceso por responsabilidad patrimonial en el presente caso se han interpuesto y agotado los recursos de la jurisdicción interna de conformidad con el artículo 46.1.a de la Convención Americana.</w:t>
      </w:r>
    </w:p>
    <w:p w14:paraId="69E2899A" w14:textId="4EA98543" w:rsidR="00164465" w:rsidRPr="001D3E10" w:rsidRDefault="00164465" w:rsidP="00164465">
      <w:pPr>
        <w:spacing w:after="0"/>
        <w:rPr>
          <w:sz w:val="20"/>
          <w:szCs w:val="20"/>
        </w:rPr>
      </w:pPr>
    </w:p>
    <w:p w14:paraId="2D63D3F4" w14:textId="06E9BC9B" w:rsidR="00164465" w:rsidRPr="001D3E10" w:rsidRDefault="00164465" w:rsidP="00164465">
      <w:pPr>
        <w:pStyle w:val="Heading3"/>
        <w:keepNext w:val="0"/>
        <w:numPr>
          <w:ilvl w:val="0"/>
          <w:numId w:val="10"/>
        </w:numPr>
        <w:tabs>
          <w:tab w:val="left" w:pos="360"/>
        </w:tabs>
        <w:spacing w:before="0" w:after="0" w:line="240" w:lineRule="auto"/>
        <w:ind w:left="0" w:firstLine="0"/>
        <w:jc w:val="both"/>
        <w:rPr>
          <w:iCs/>
          <w:sz w:val="20"/>
          <w:szCs w:val="20"/>
        </w:rPr>
      </w:pPr>
      <w:bookmarkStart w:id="46" w:name="_Toc203469402"/>
      <w:r w:rsidRPr="001D3E10">
        <w:rPr>
          <w:iCs/>
          <w:sz w:val="20"/>
          <w:szCs w:val="20"/>
        </w:rPr>
        <w:t>Plazo de presentación de la petición</w:t>
      </w:r>
      <w:bookmarkEnd w:id="46"/>
    </w:p>
    <w:p w14:paraId="62E14B77" w14:textId="4B88426E" w:rsidR="00817F35" w:rsidRPr="001D3E10" w:rsidRDefault="00817F35" w:rsidP="00817F35">
      <w:pPr>
        <w:pStyle w:val="parrafos"/>
        <w:tabs>
          <w:tab w:val="left" w:pos="360"/>
        </w:tabs>
        <w:rPr>
          <w:rFonts w:cs="Arial"/>
          <w:lang w:val="es-AR"/>
        </w:rPr>
      </w:pPr>
    </w:p>
    <w:p w14:paraId="348291C5" w14:textId="4C47ABE0" w:rsidR="00DF77DB" w:rsidRPr="001D3E10" w:rsidRDefault="00817F35" w:rsidP="00DF77DB">
      <w:pPr>
        <w:pStyle w:val="parrafos"/>
        <w:numPr>
          <w:ilvl w:val="0"/>
          <w:numId w:val="4"/>
        </w:numPr>
        <w:tabs>
          <w:tab w:val="left" w:pos="360"/>
        </w:tabs>
        <w:ind w:left="0" w:firstLine="0"/>
        <w:rPr>
          <w:rFonts w:cs="Arial"/>
          <w:lang w:val="es-AR"/>
        </w:rPr>
      </w:pPr>
      <w:r w:rsidRPr="001D3E10">
        <w:rPr>
          <w:rFonts w:cs="Arial"/>
          <w:lang w:val="es-AR"/>
        </w:rPr>
        <w:t xml:space="preserve">El artículo 46.1.b de la Convención Americana establece que para que una petición resulte admisible por la </w:t>
      </w:r>
      <w:r w:rsidRPr="001D3E10">
        <w:rPr>
          <w:rFonts w:cs="Arial"/>
          <w:lang w:val="es-AR" w:bidi="en-US"/>
        </w:rPr>
        <w:t>Comisión</w:t>
      </w:r>
      <w:r w:rsidRPr="001D3E10">
        <w:rPr>
          <w:rFonts w:cs="Arial"/>
          <w:lang w:val="es-AR"/>
        </w:rPr>
        <w:t xml:space="preserve"> se requerirá que sea presentada dentro del plazo de seis meses a partir de la fecha en que el presunto lesionado haya sido notificado de la decisión definitiva. En el reclamo bajo análisis, la petición ante la CIDH fue p</w:t>
      </w:r>
      <w:r w:rsidR="00533DD1" w:rsidRPr="001D3E10">
        <w:rPr>
          <w:rFonts w:cs="Arial"/>
          <w:lang w:val="es-AR"/>
        </w:rPr>
        <w:t>resentada el 2</w:t>
      </w:r>
      <w:r w:rsidRPr="001D3E10">
        <w:rPr>
          <w:rFonts w:cs="Arial"/>
          <w:lang w:val="es-AR"/>
        </w:rPr>
        <w:t xml:space="preserve"> de </w:t>
      </w:r>
      <w:r w:rsidR="00533DD1" w:rsidRPr="001D3E10">
        <w:rPr>
          <w:rFonts w:cs="Arial"/>
          <w:lang w:val="es-AR"/>
        </w:rPr>
        <w:t>julio de 2005</w:t>
      </w:r>
      <w:r w:rsidRPr="001D3E10">
        <w:rPr>
          <w:rFonts w:cs="Arial"/>
          <w:lang w:val="es-AR"/>
        </w:rPr>
        <w:t xml:space="preserve"> y</w:t>
      </w:r>
      <w:r w:rsidR="00533DD1" w:rsidRPr="001D3E10">
        <w:rPr>
          <w:rFonts w:cs="Arial"/>
          <w:lang w:val="es-AR"/>
        </w:rPr>
        <w:t xml:space="preserve"> la última decisión del proceso fue emitida el 7 de marzo de 2012</w:t>
      </w:r>
      <w:r w:rsidRPr="001D3E10">
        <w:rPr>
          <w:rFonts w:cs="Arial"/>
          <w:lang w:val="es-AR"/>
        </w:rPr>
        <w:t>. Por lo tanto, el agotamiento de los recursos internos se dio mientras el caso se hallaba bajo estudio de admisibilidad. En estas circunstancias, ha sido criterio constante de la Comisión que el cumplimiento del requisito de presentación de la petición en plazo se encuentra intrínsecamente ligado al agotamiento de los recursos internos y, por lo tanto,</w:t>
      </w:r>
      <w:r w:rsidR="00533DD1" w:rsidRPr="001D3E10">
        <w:rPr>
          <w:rFonts w:cs="Arial"/>
          <w:lang w:val="es-AR"/>
        </w:rPr>
        <w:t xml:space="preserve"> corresponde darlo por cumplido</w:t>
      </w:r>
      <w:r w:rsidR="00533DD1" w:rsidRPr="001D3E10">
        <w:rPr>
          <w:rStyle w:val="FootnoteReference"/>
          <w:rFonts w:asciiTheme="minorHAnsi" w:hAnsiTheme="minorHAnsi" w:cs="Arial"/>
          <w:sz w:val="20"/>
          <w:lang w:val="es-AR"/>
        </w:rPr>
        <w:footnoteReference w:id="5"/>
      </w:r>
      <w:r w:rsidRPr="001D3E10">
        <w:rPr>
          <w:rFonts w:cs="Arial"/>
          <w:lang w:val="es-AR"/>
        </w:rPr>
        <w:t>.</w:t>
      </w:r>
    </w:p>
    <w:p w14:paraId="0EC1C311" w14:textId="45C7465E" w:rsidR="00DF77DB" w:rsidRPr="001D3E10" w:rsidRDefault="00DF77DB" w:rsidP="00DF77DB">
      <w:pPr>
        <w:pStyle w:val="parrafos"/>
        <w:tabs>
          <w:tab w:val="left" w:pos="360"/>
        </w:tabs>
        <w:rPr>
          <w:rFonts w:cs="Arial"/>
          <w:lang w:val="es-AR"/>
        </w:rPr>
      </w:pPr>
    </w:p>
    <w:p w14:paraId="6AA8DCE1" w14:textId="7B0664A9" w:rsidR="00DF77DB" w:rsidRPr="001D3E10" w:rsidRDefault="00164465" w:rsidP="002E3304">
      <w:pPr>
        <w:pStyle w:val="Heading3"/>
        <w:keepNext w:val="0"/>
        <w:numPr>
          <w:ilvl w:val="0"/>
          <w:numId w:val="10"/>
        </w:numPr>
        <w:tabs>
          <w:tab w:val="left" w:pos="360"/>
        </w:tabs>
        <w:spacing w:before="0" w:after="0" w:line="240" w:lineRule="auto"/>
        <w:ind w:left="0" w:firstLine="0"/>
        <w:jc w:val="both"/>
        <w:rPr>
          <w:iCs/>
          <w:sz w:val="20"/>
          <w:szCs w:val="20"/>
        </w:rPr>
      </w:pPr>
      <w:bookmarkStart w:id="47" w:name="_Toc203469403"/>
      <w:r w:rsidRPr="001D3E10">
        <w:rPr>
          <w:iCs/>
          <w:sz w:val="20"/>
          <w:szCs w:val="20"/>
        </w:rPr>
        <w:t>Caracterización de los hechos alegados</w:t>
      </w:r>
      <w:bookmarkEnd w:id="47"/>
    </w:p>
    <w:p w14:paraId="3F50AC3E" w14:textId="77777777" w:rsidR="002E3304" w:rsidRPr="001D3E10" w:rsidRDefault="002E3304" w:rsidP="002E3304">
      <w:pPr>
        <w:spacing w:after="0"/>
      </w:pPr>
    </w:p>
    <w:p w14:paraId="6F761FB8" w14:textId="7459D921" w:rsidR="00DF77DB" w:rsidRPr="001D3E10" w:rsidRDefault="00DF77DB" w:rsidP="002E3304">
      <w:pPr>
        <w:pStyle w:val="parrafos"/>
        <w:numPr>
          <w:ilvl w:val="0"/>
          <w:numId w:val="4"/>
        </w:numPr>
        <w:tabs>
          <w:tab w:val="left" w:pos="360"/>
        </w:tabs>
        <w:ind w:left="0" w:firstLine="0"/>
        <w:rPr>
          <w:rFonts w:cs="Arial"/>
          <w:lang w:val="es-AR"/>
        </w:rPr>
      </w:pPr>
      <w:r w:rsidRPr="001D3E10">
        <w:rPr>
          <w:rFonts w:cs="Arial"/>
          <w:lang w:val="es-AR"/>
        </w:rPr>
        <w:t>La Comisión considera que de resultar probados los hechos alegados por la parte peticionaria, relacionados con la demora prolongada del proceso por responsabilidad</w:t>
      </w:r>
      <w:r w:rsidR="00DC17E0" w:rsidRPr="001D3E10">
        <w:rPr>
          <w:rFonts w:cs="Arial"/>
          <w:lang w:val="es-AR"/>
        </w:rPr>
        <w:t xml:space="preserve"> patrimonial </w:t>
      </w:r>
      <w:r w:rsidR="002E3304" w:rsidRPr="001D3E10">
        <w:rPr>
          <w:rFonts w:cs="Arial"/>
          <w:lang w:val="es-AR"/>
        </w:rPr>
        <w:t xml:space="preserve">podrían constituir una </w:t>
      </w:r>
      <w:r w:rsidR="002E3304" w:rsidRPr="001D3E10">
        <w:rPr>
          <w:rFonts w:cs="Arial"/>
          <w:lang w:val="es-AR"/>
        </w:rPr>
        <w:lastRenderedPageBreak/>
        <w:t xml:space="preserve">violación de los artículos 8 y 25 de la Convención Americana en relación con el artículo 1.1 del mismo instrumento. </w:t>
      </w:r>
    </w:p>
    <w:p w14:paraId="32FEC7D2" w14:textId="3E6DDA43" w:rsidR="00AE60CB" w:rsidRPr="001D3E10" w:rsidRDefault="00AE60CB" w:rsidP="004E5F78">
      <w:pPr>
        <w:pStyle w:val="parrafos"/>
        <w:tabs>
          <w:tab w:val="left" w:pos="360"/>
        </w:tabs>
        <w:rPr>
          <w:lang w:val="es-AR"/>
        </w:rPr>
      </w:pPr>
    </w:p>
    <w:p w14:paraId="574990D6" w14:textId="75F2A413" w:rsidR="00F472FE" w:rsidRPr="001D3E10" w:rsidRDefault="00680E62" w:rsidP="004E5F78">
      <w:pPr>
        <w:pStyle w:val="Heading1"/>
        <w:numPr>
          <w:ilvl w:val="0"/>
          <w:numId w:val="2"/>
        </w:numPr>
        <w:tabs>
          <w:tab w:val="clear" w:pos="1440"/>
          <w:tab w:val="num" w:pos="360"/>
          <w:tab w:val="left" w:pos="1350"/>
        </w:tabs>
        <w:ind w:left="0" w:firstLine="0"/>
        <w:rPr>
          <w:lang w:val="es-AR"/>
        </w:rPr>
      </w:pPr>
      <w:bookmarkStart w:id="48" w:name="_Toc203469404"/>
      <w:r w:rsidRPr="001D3E10">
        <w:rPr>
          <w:lang w:val="es-AR"/>
        </w:rPr>
        <w:t>DETERMINACIONES DE HECHO</w:t>
      </w:r>
      <w:bookmarkEnd w:id="48"/>
    </w:p>
    <w:p w14:paraId="788D5A72" w14:textId="77777777" w:rsidR="004E5F78" w:rsidRPr="001D3E10" w:rsidRDefault="004E5F78" w:rsidP="004E5F78">
      <w:pPr>
        <w:spacing w:after="0"/>
      </w:pPr>
    </w:p>
    <w:p w14:paraId="5C265F3D" w14:textId="6CCD9526" w:rsidR="00F371B0" w:rsidRPr="001D3E10" w:rsidRDefault="005A226A" w:rsidP="004E5F78">
      <w:pPr>
        <w:pStyle w:val="Heading2"/>
        <w:numPr>
          <w:ilvl w:val="0"/>
          <w:numId w:val="5"/>
        </w:numPr>
        <w:tabs>
          <w:tab w:val="left" w:pos="0"/>
          <w:tab w:val="left" w:pos="360"/>
        </w:tabs>
        <w:ind w:left="0" w:firstLine="0"/>
        <w:rPr>
          <w:lang w:val="es-AR"/>
        </w:rPr>
      </w:pPr>
      <w:bookmarkStart w:id="49" w:name="_Toc203469405"/>
      <w:r w:rsidRPr="001D3E10">
        <w:rPr>
          <w:lang w:val="es-AR"/>
        </w:rPr>
        <w:t>Proceso</w:t>
      </w:r>
      <w:r w:rsidR="00F371B0" w:rsidRPr="001D3E10">
        <w:rPr>
          <w:lang w:val="es-AR"/>
        </w:rPr>
        <w:t xml:space="preserve"> de Responsabilidad Patrimonial.</w:t>
      </w:r>
      <w:bookmarkEnd w:id="49"/>
    </w:p>
    <w:p w14:paraId="664996E1" w14:textId="1CCCD00A" w:rsidR="00680E62" w:rsidRPr="001D3E10" w:rsidRDefault="00F371B0" w:rsidP="002F72EB">
      <w:pPr>
        <w:pStyle w:val="Heading3"/>
        <w:numPr>
          <w:ilvl w:val="0"/>
          <w:numId w:val="7"/>
        </w:numPr>
        <w:ind w:left="360"/>
        <w:rPr>
          <w:sz w:val="20"/>
          <w:szCs w:val="20"/>
        </w:rPr>
      </w:pPr>
      <w:bookmarkStart w:id="50" w:name="_Toc203469406"/>
      <w:r w:rsidRPr="001D3E10">
        <w:rPr>
          <w:sz w:val="20"/>
          <w:szCs w:val="20"/>
        </w:rPr>
        <w:t xml:space="preserve">Medida Cautelar de </w:t>
      </w:r>
      <w:r w:rsidR="00680E62" w:rsidRPr="001D3E10">
        <w:rPr>
          <w:sz w:val="20"/>
          <w:szCs w:val="20"/>
        </w:rPr>
        <w:t>Inhibición general de bienes</w:t>
      </w:r>
      <w:bookmarkEnd w:id="50"/>
      <w:r w:rsidR="00680E62" w:rsidRPr="001D3E10">
        <w:rPr>
          <w:sz w:val="20"/>
          <w:szCs w:val="20"/>
        </w:rPr>
        <w:t xml:space="preserve"> </w:t>
      </w:r>
    </w:p>
    <w:p w14:paraId="302E3185" w14:textId="77777777" w:rsidR="00680E62" w:rsidRPr="001D3E10" w:rsidRDefault="00680E62" w:rsidP="00680E62">
      <w:pPr>
        <w:pStyle w:val="parrafos"/>
        <w:rPr>
          <w:lang w:val="es-AR"/>
        </w:rPr>
      </w:pPr>
    </w:p>
    <w:p w14:paraId="0E987EC2" w14:textId="77777777" w:rsidR="00A20209" w:rsidRPr="001D3E10" w:rsidRDefault="002F72EB" w:rsidP="00A20209">
      <w:pPr>
        <w:pStyle w:val="parrafos"/>
        <w:numPr>
          <w:ilvl w:val="0"/>
          <w:numId w:val="4"/>
        </w:numPr>
        <w:tabs>
          <w:tab w:val="left" w:pos="360"/>
        </w:tabs>
        <w:ind w:left="0" w:firstLine="0"/>
        <w:rPr>
          <w:lang w:val="es-AR"/>
        </w:rPr>
      </w:pPr>
      <w:r w:rsidRPr="001D3E10">
        <w:rPr>
          <w:lang w:val="es-AR"/>
        </w:rPr>
        <w:t xml:space="preserve">Según información disponible, </w:t>
      </w:r>
      <w:r w:rsidR="00E331AF" w:rsidRPr="001D3E10">
        <w:rPr>
          <w:lang w:val="es-AR"/>
        </w:rPr>
        <w:t xml:space="preserve">el 2 de julio de </w:t>
      </w:r>
      <w:r w:rsidR="00F807C9" w:rsidRPr="001D3E10">
        <w:rPr>
          <w:lang w:val="es-AR"/>
        </w:rPr>
        <w:t>1985 el Banco Central de la República Argentina, en su calidad de autoridad liquidadora de entidades financieras promovió una acción de res</w:t>
      </w:r>
      <w:r w:rsidR="005523E4" w:rsidRPr="001D3E10">
        <w:rPr>
          <w:lang w:val="es-AR"/>
        </w:rPr>
        <w:t>ponsabilidad patr</w:t>
      </w:r>
      <w:r w:rsidR="004472A6" w:rsidRPr="001D3E10">
        <w:rPr>
          <w:lang w:val="es-AR"/>
        </w:rPr>
        <w:t>imonial en contra de los miembro</w:t>
      </w:r>
      <w:r w:rsidR="005523E4" w:rsidRPr="001D3E10">
        <w:rPr>
          <w:lang w:val="es-AR"/>
        </w:rPr>
        <w:t xml:space="preserve">s </w:t>
      </w:r>
      <w:r w:rsidR="004472A6" w:rsidRPr="001D3E10">
        <w:rPr>
          <w:lang w:val="es-AR"/>
        </w:rPr>
        <w:t>del</w:t>
      </w:r>
      <w:r w:rsidR="005523E4" w:rsidRPr="001D3E10">
        <w:rPr>
          <w:lang w:val="es-AR"/>
        </w:rPr>
        <w:t xml:space="preserve"> Consejo Directivo de la Caja Mutual Yatay, entre los cuales se encontraban las presuntas víctimas del presente caso</w:t>
      </w:r>
      <w:r w:rsidR="00A20209" w:rsidRPr="001D3E10">
        <w:rPr>
          <w:rStyle w:val="FootnoteReference"/>
          <w:rFonts w:ascii="Cambria" w:hAnsi="Cambria"/>
          <w:sz w:val="20"/>
          <w:lang w:val="es-AR"/>
        </w:rPr>
        <w:footnoteReference w:id="6"/>
      </w:r>
      <w:r w:rsidR="005523E4" w:rsidRPr="001D3E10">
        <w:rPr>
          <w:lang w:val="es-AR"/>
        </w:rPr>
        <w:t xml:space="preserve">. </w:t>
      </w:r>
      <w:r w:rsidR="00A20209" w:rsidRPr="001D3E10">
        <w:rPr>
          <w:lang w:val="es-AR"/>
        </w:rPr>
        <w:t>En dicha demanda el Banco expresó que quienes fungieron como administradores de dicha entidad financiera fueron autores directos o participaron de manera pasiva en las conductas que conllevaron al agravamiento de la situación patrimonial de la “Caja Mutual Yatay 240”</w:t>
      </w:r>
      <w:r w:rsidR="00A20209" w:rsidRPr="001D3E10">
        <w:rPr>
          <w:rStyle w:val="FootnoteReference"/>
          <w:rFonts w:ascii="Cambria" w:hAnsi="Cambria"/>
          <w:sz w:val="20"/>
          <w:lang w:val="es-AR"/>
        </w:rPr>
        <w:footnoteReference w:id="7"/>
      </w:r>
      <w:r w:rsidR="00A20209" w:rsidRPr="001D3E10">
        <w:rPr>
          <w:sz w:val="16"/>
          <w:szCs w:val="16"/>
          <w:lang w:val="es-AR"/>
        </w:rPr>
        <w:t xml:space="preserve">. </w:t>
      </w:r>
      <w:r w:rsidR="00A20209" w:rsidRPr="001D3E10">
        <w:rPr>
          <w:lang w:val="es-AR"/>
        </w:rPr>
        <w:t>Específicamente en la demanda indicó que tales hechos fueron:</w:t>
      </w:r>
    </w:p>
    <w:p w14:paraId="0B438DFB" w14:textId="77777777" w:rsidR="00A20209" w:rsidRPr="001D3E10" w:rsidRDefault="00A20209" w:rsidP="00A20209">
      <w:pPr>
        <w:tabs>
          <w:tab w:val="left" w:pos="360"/>
        </w:tabs>
        <w:spacing w:after="0" w:line="240" w:lineRule="auto"/>
        <w:jc w:val="both"/>
        <w:rPr>
          <w:rFonts w:ascii="Cambria" w:eastAsia="Arial Unicode MS" w:hAnsi="Cambria"/>
          <w:color w:val="000000"/>
          <w:sz w:val="20"/>
          <w:szCs w:val="20"/>
          <w:bdr w:val="nil"/>
        </w:rPr>
      </w:pPr>
    </w:p>
    <w:p w14:paraId="2C49EE78" w14:textId="77777777" w:rsidR="00F70B8B" w:rsidRPr="001D3E10" w:rsidRDefault="00A20209" w:rsidP="002C363B">
      <w:pPr>
        <w:pBdr>
          <w:top w:val="nil"/>
          <w:left w:val="nil"/>
          <w:bottom w:val="nil"/>
          <w:right w:val="nil"/>
          <w:between w:val="nil"/>
          <w:bar w:val="nil"/>
        </w:pBdr>
        <w:tabs>
          <w:tab w:val="left" w:pos="9000"/>
        </w:tabs>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 xml:space="preserve">(…) </w:t>
      </w:r>
      <w:r w:rsidR="00BD44EC" w:rsidRPr="001D3E10">
        <w:rPr>
          <w:rFonts w:ascii="Cambria" w:eastAsia="Cambria" w:hAnsi="Cambria" w:cs="Cambria"/>
          <w:color w:val="000000"/>
          <w:sz w:val="18"/>
          <w:szCs w:val="24"/>
          <w:u w:color="000000"/>
          <w:bdr w:val="nil"/>
          <w:lang w:eastAsia="es-ES"/>
        </w:rPr>
        <w:t>Su pedido se basa – a su entender – en que se ha producido el supuesto previsto en el art. 166de la Ley 19.551 (hoy art.173 de la Ley 24.522).  Ello por cuanto quienes se desempeñaron como administrador</w:t>
      </w:r>
      <w:r w:rsidR="00F70B8B" w:rsidRPr="001D3E10">
        <w:rPr>
          <w:rFonts w:ascii="Cambria" w:eastAsia="Cambria" w:hAnsi="Cambria" w:cs="Cambria"/>
          <w:color w:val="000000"/>
          <w:sz w:val="18"/>
          <w:szCs w:val="24"/>
          <w:u w:color="000000"/>
          <w:bdr w:val="nil"/>
          <w:lang w:eastAsia="es-ES"/>
        </w:rPr>
        <w:t>es de la fallida y demás terceros igualmente demandados han tenido autoría directa o al menos una conducta pasiva, permisiva que en definitiva agravó la situación patrimonial de la misma.-</w:t>
      </w:r>
    </w:p>
    <w:p w14:paraId="0B3F73DE" w14:textId="6BA3C425" w:rsidR="00A20209" w:rsidRPr="001D3E10" w:rsidRDefault="00A20209" w:rsidP="002C363B">
      <w:pPr>
        <w:pBdr>
          <w:top w:val="nil"/>
          <w:left w:val="nil"/>
          <w:bottom w:val="nil"/>
          <w:right w:val="nil"/>
          <w:between w:val="nil"/>
          <w:bar w:val="nil"/>
        </w:pBdr>
        <w:tabs>
          <w:tab w:val="left" w:pos="9000"/>
        </w:tabs>
        <w:spacing w:after="0" w:line="240" w:lineRule="auto"/>
        <w:ind w:right="270"/>
        <w:jc w:val="both"/>
        <w:rPr>
          <w:rFonts w:ascii="Cambria" w:eastAsia="Cambria" w:hAnsi="Cambria" w:cs="Cambria"/>
          <w:color w:val="000000"/>
          <w:sz w:val="18"/>
          <w:szCs w:val="24"/>
          <w:u w:color="000000"/>
          <w:bdr w:val="nil"/>
          <w:lang w:eastAsia="es-ES"/>
        </w:rPr>
      </w:pPr>
    </w:p>
    <w:p w14:paraId="1C4CC486" w14:textId="77777777" w:rsidR="00A20209" w:rsidRPr="001D3E10" w:rsidRDefault="00A20209" w:rsidP="002C363B">
      <w:pPr>
        <w:pBdr>
          <w:top w:val="nil"/>
          <w:left w:val="nil"/>
          <w:bottom w:val="nil"/>
          <w:right w:val="nil"/>
          <w:between w:val="nil"/>
          <w:bar w:val="nil"/>
        </w:pBdr>
        <w:tabs>
          <w:tab w:val="left" w:pos="9000"/>
        </w:tabs>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(…)De ese modo, impetra a los demandados y codemandados responsabilidad individual  y compartida en el manejo indiscriminado y doloso de los fondos de la fallida, incurriendo ellos, por ende, en los siguientes ilícitos:</w:t>
      </w:r>
    </w:p>
    <w:p w14:paraId="481BF6FC" w14:textId="77777777" w:rsidR="00A20209" w:rsidRPr="001D3E10" w:rsidRDefault="00A20209" w:rsidP="002C363B">
      <w:pPr>
        <w:pBdr>
          <w:top w:val="nil"/>
          <w:left w:val="nil"/>
          <w:bottom w:val="nil"/>
          <w:right w:val="nil"/>
          <w:between w:val="nil"/>
          <w:bar w:val="nil"/>
        </w:pBdr>
        <w:tabs>
          <w:tab w:val="left" w:pos="9000"/>
        </w:tabs>
        <w:spacing w:after="0" w:line="240" w:lineRule="auto"/>
        <w:ind w:left="360" w:right="270"/>
        <w:jc w:val="both"/>
        <w:rPr>
          <w:rFonts w:ascii="Cambria" w:eastAsia="Cambria" w:hAnsi="Cambria" w:cs="Cambria"/>
          <w:color w:val="000000"/>
          <w:sz w:val="18"/>
          <w:szCs w:val="24"/>
          <w:u w:color="000000"/>
          <w:bdr w:val="nil"/>
          <w:lang w:eastAsia="es-ES"/>
        </w:rPr>
      </w:pPr>
    </w:p>
    <w:p w14:paraId="73DF0520" w14:textId="77777777" w:rsidR="00A20209" w:rsidRPr="001D3E10" w:rsidRDefault="00A20209" w:rsidP="002C363B">
      <w:pPr>
        <w:pBdr>
          <w:top w:val="nil"/>
          <w:left w:val="nil"/>
          <w:bottom w:val="nil"/>
          <w:right w:val="nil"/>
          <w:between w:val="nil"/>
          <w:bar w:val="nil"/>
        </w:pBdr>
        <w:tabs>
          <w:tab w:val="left" w:pos="9000"/>
        </w:tabs>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 xml:space="preserve">a) Irregular política crediticia: a.1) Préstamos concedidos a personas que no recibieron los corrientes fondos.- a.2) Préstamos otorgados a personas y/o sociedades vinculadas superando el límite máximo de apoyo crediticio establecido por el B.C.R.A., en contravención con las Circulares R.F 343, 1321 y “A” 49.- a.3) Falencias en legajos de deudores y solicitudes de crédito.- Entre ellas a saber: </w:t>
      </w:r>
    </w:p>
    <w:p w14:paraId="4DD485D3" w14:textId="77777777" w:rsidR="00A20209" w:rsidRPr="001D3E10" w:rsidRDefault="00A20209" w:rsidP="002C363B">
      <w:pPr>
        <w:numPr>
          <w:ilvl w:val="0"/>
          <w:numId w:val="6"/>
        </w:numPr>
        <w:pBdr>
          <w:top w:val="nil"/>
          <w:left w:val="nil"/>
          <w:bottom w:val="nil"/>
          <w:right w:val="nil"/>
          <w:between w:val="nil"/>
          <w:bar w:val="nil"/>
        </w:pBdr>
        <w:tabs>
          <w:tab w:val="left" w:pos="9000"/>
        </w:tabs>
        <w:spacing w:after="0" w:line="240" w:lineRule="auto"/>
        <w:ind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 xml:space="preserve">Anomalías en los registros de firmas – en general manifiesta que a su entender distintas firmas de una misma persona difieren entre sí – y en particular que hay firmas de apoderados de empresas sin su sello correspondiente; </w:t>
      </w:r>
    </w:p>
    <w:p w14:paraId="6D1ECA63" w14:textId="77777777" w:rsidR="00A20209" w:rsidRPr="001D3E10" w:rsidRDefault="00A20209" w:rsidP="002C363B">
      <w:pPr>
        <w:numPr>
          <w:ilvl w:val="0"/>
          <w:numId w:val="6"/>
        </w:numPr>
        <w:pBdr>
          <w:top w:val="nil"/>
          <w:left w:val="nil"/>
          <w:bottom w:val="nil"/>
          <w:right w:val="nil"/>
          <w:between w:val="nil"/>
          <w:bar w:val="nil"/>
        </w:pBdr>
        <w:tabs>
          <w:tab w:val="left" w:pos="9000"/>
        </w:tabs>
        <w:spacing w:after="0" w:line="240" w:lineRule="auto"/>
        <w:ind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Falta de solicitudes de crédito o no cumplidas íntegramente;</w:t>
      </w:r>
    </w:p>
    <w:p w14:paraId="514736E5" w14:textId="77777777" w:rsidR="00A20209" w:rsidRPr="001D3E10" w:rsidRDefault="00A20209" w:rsidP="002C363B">
      <w:pPr>
        <w:numPr>
          <w:ilvl w:val="0"/>
          <w:numId w:val="6"/>
        </w:numPr>
        <w:pBdr>
          <w:top w:val="nil"/>
          <w:left w:val="nil"/>
          <w:bottom w:val="nil"/>
          <w:right w:val="nil"/>
          <w:between w:val="nil"/>
          <w:bar w:val="nil"/>
        </w:pBdr>
        <w:tabs>
          <w:tab w:val="left" w:pos="9000"/>
        </w:tabs>
        <w:spacing w:after="0" w:line="240" w:lineRule="auto"/>
        <w:ind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Incumplimiento de aspectos legales, como ser falta de estatutos, contratos sociales, nóminas de directorios, conformidad conyugal, etc.;</w:t>
      </w:r>
    </w:p>
    <w:p w14:paraId="3411BDA4" w14:textId="77777777" w:rsidR="00A20209" w:rsidRPr="001D3E10" w:rsidRDefault="00A20209" w:rsidP="002C363B">
      <w:pPr>
        <w:numPr>
          <w:ilvl w:val="0"/>
          <w:numId w:val="6"/>
        </w:numPr>
        <w:pBdr>
          <w:top w:val="nil"/>
          <w:left w:val="nil"/>
          <w:bottom w:val="nil"/>
          <w:right w:val="nil"/>
          <w:between w:val="nil"/>
          <w:bar w:val="nil"/>
        </w:pBdr>
        <w:tabs>
          <w:tab w:val="left" w:pos="9000"/>
        </w:tabs>
        <w:spacing w:after="0" w:line="240" w:lineRule="auto"/>
        <w:ind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 xml:space="preserve">Falencias en las manifestaciones de bienes y/o balances; grandes falencias en los registros contables, fundamentalmente falta de inventario de intereses devengados por deudor que imposibilitan la exacta determinación de las deudas; </w:t>
      </w:r>
    </w:p>
    <w:p w14:paraId="27A51D3D" w14:textId="77777777" w:rsidR="00A20209" w:rsidRPr="001D3E10" w:rsidRDefault="00A20209" w:rsidP="002C363B">
      <w:pPr>
        <w:numPr>
          <w:ilvl w:val="0"/>
          <w:numId w:val="6"/>
        </w:numPr>
        <w:pBdr>
          <w:top w:val="nil"/>
          <w:left w:val="nil"/>
          <w:bottom w:val="nil"/>
          <w:right w:val="nil"/>
          <w:between w:val="nil"/>
          <w:bar w:val="nil"/>
        </w:pBdr>
        <w:tabs>
          <w:tab w:val="left" w:pos="9000"/>
        </w:tabs>
        <w:spacing w:after="0" w:line="240" w:lineRule="auto"/>
        <w:ind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 xml:space="preserve">Créditos prendarios en los que no se han instrumentado las respectivas prendas; </w:t>
      </w:r>
    </w:p>
    <w:p w14:paraId="045F6CC7" w14:textId="77777777" w:rsidR="00A20209" w:rsidRPr="001D3E10" w:rsidRDefault="00A20209" w:rsidP="002C363B">
      <w:pPr>
        <w:numPr>
          <w:ilvl w:val="0"/>
          <w:numId w:val="6"/>
        </w:numPr>
        <w:pBdr>
          <w:top w:val="nil"/>
          <w:left w:val="nil"/>
          <w:bottom w:val="nil"/>
          <w:right w:val="nil"/>
          <w:between w:val="nil"/>
          <w:bar w:val="nil"/>
        </w:pBdr>
        <w:tabs>
          <w:tab w:val="left" w:pos="9000"/>
        </w:tabs>
        <w:spacing w:after="0" w:line="240" w:lineRule="auto"/>
        <w:ind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Falta de información de referencias comerciales y de entidades financieras;</w:t>
      </w:r>
    </w:p>
    <w:p w14:paraId="5BDCC9EF" w14:textId="77777777" w:rsidR="00A20209" w:rsidRPr="001D3E10" w:rsidRDefault="00A20209" w:rsidP="002C363B">
      <w:pPr>
        <w:numPr>
          <w:ilvl w:val="0"/>
          <w:numId w:val="6"/>
        </w:numPr>
        <w:pBdr>
          <w:top w:val="nil"/>
          <w:left w:val="nil"/>
          <w:bottom w:val="nil"/>
          <w:right w:val="nil"/>
          <w:between w:val="nil"/>
          <w:bar w:val="nil"/>
        </w:pBdr>
        <w:tabs>
          <w:tab w:val="left" w:pos="9000"/>
        </w:tabs>
        <w:spacing w:after="0" w:line="240" w:lineRule="auto"/>
        <w:ind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Otorgamiento de créditos a sociedades sin averiguación de antecedentes;</w:t>
      </w:r>
    </w:p>
    <w:p w14:paraId="403BC624" w14:textId="77777777" w:rsidR="00A20209" w:rsidRPr="001D3E10" w:rsidRDefault="00A20209" w:rsidP="002C363B">
      <w:pPr>
        <w:numPr>
          <w:ilvl w:val="0"/>
          <w:numId w:val="6"/>
        </w:numPr>
        <w:pBdr>
          <w:top w:val="nil"/>
          <w:left w:val="nil"/>
          <w:bottom w:val="nil"/>
          <w:right w:val="nil"/>
          <w:between w:val="nil"/>
          <w:bar w:val="nil"/>
        </w:pBdr>
        <w:tabs>
          <w:tab w:val="left" w:pos="9000"/>
        </w:tabs>
        <w:spacing w:after="0" w:line="240" w:lineRule="auto"/>
        <w:ind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Créditos otorgados a sociedades que no fue especificado su tipo social;</w:t>
      </w:r>
    </w:p>
    <w:p w14:paraId="502D37A2" w14:textId="77777777" w:rsidR="00A20209" w:rsidRPr="001D3E10" w:rsidRDefault="00A20209" w:rsidP="002C363B">
      <w:pPr>
        <w:numPr>
          <w:ilvl w:val="0"/>
          <w:numId w:val="6"/>
        </w:numPr>
        <w:pBdr>
          <w:top w:val="nil"/>
          <w:left w:val="nil"/>
          <w:bottom w:val="nil"/>
          <w:right w:val="nil"/>
          <w:between w:val="nil"/>
          <w:bar w:val="nil"/>
        </w:pBdr>
        <w:tabs>
          <w:tab w:val="left" w:pos="9000"/>
        </w:tabs>
        <w:spacing w:after="0" w:line="240" w:lineRule="auto"/>
        <w:ind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Créditos otorgados con falsedad de firmas de algunos intervinientes;</w:t>
      </w:r>
    </w:p>
    <w:p w14:paraId="71BC128C" w14:textId="77777777" w:rsidR="00A20209" w:rsidRPr="001D3E10" w:rsidRDefault="00A20209" w:rsidP="002C363B">
      <w:pPr>
        <w:numPr>
          <w:ilvl w:val="0"/>
          <w:numId w:val="6"/>
        </w:numPr>
        <w:pBdr>
          <w:top w:val="nil"/>
          <w:left w:val="nil"/>
          <w:bottom w:val="nil"/>
          <w:right w:val="nil"/>
          <w:between w:val="nil"/>
          <w:bar w:val="nil"/>
        </w:pBdr>
        <w:tabs>
          <w:tab w:val="left" w:pos="9000"/>
        </w:tabs>
        <w:spacing w:after="0" w:line="240" w:lineRule="auto"/>
        <w:ind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 xml:space="preserve">Créditos otorgados con firma falsa en el instrumento respaldatorio de la deuda; cita ejemplos.-  </w:t>
      </w:r>
    </w:p>
    <w:p w14:paraId="572076C0" w14:textId="77777777" w:rsidR="00A20209" w:rsidRPr="001D3E10" w:rsidRDefault="00A20209" w:rsidP="002C363B">
      <w:pPr>
        <w:pBdr>
          <w:top w:val="nil"/>
          <w:left w:val="nil"/>
          <w:bottom w:val="nil"/>
          <w:right w:val="nil"/>
          <w:between w:val="nil"/>
          <w:bar w:val="nil"/>
        </w:pBdr>
        <w:tabs>
          <w:tab w:val="left" w:pos="9000"/>
        </w:tabs>
        <w:spacing w:after="0" w:line="240" w:lineRule="auto"/>
        <w:ind w:left="72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 xml:space="preserve">(…) *b) Presentación al B.C.R.A. de Balances de Saldos mensuales de enero a diciembre de 1981, que no reflejaban la real situación patrimonial, económica y financiera de la entidad: b.1) Devengamiento de intereses sobre deudas vencidas de incierta recuperación en el período de julio/diciembre de 1981.- b.2) Ajuste de intereses con carácter retroactivo para neutralizar el deterioro de la responsabilidad Patrimonial.- b.3) Insuficiencia de previsiones para atender riesgos de incobrabilidad de cartera.- </w:t>
      </w:r>
    </w:p>
    <w:p w14:paraId="13788130" w14:textId="77777777" w:rsidR="00A20209" w:rsidRPr="001D3E10" w:rsidRDefault="00A20209" w:rsidP="002C363B">
      <w:pPr>
        <w:pBdr>
          <w:top w:val="nil"/>
          <w:left w:val="nil"/>
          <w:bottom w:val="nil"/>
          <w:right w:val="nil"/>
          <w:between w:val="nil"/>
          <w:bar w:val="nil"/>
        </w:pBdr>
        <w:tabs>
          <w:tab w:val="left" w:pos="9000"/>
        </w:tabs>
        <w:spacing w:after="0" w:line="240" w:lineRule="auto"/>
        <w:ind w:left="72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lastRenderedPageBreak/>
        <w:t>Respecto de las conductas individualizadas en estos tres párrafos que anteceden, la sindicatura las encuadra como hechos constitutivos de diversas falsedades de información. De aquí surgiría “prima facie”, el resultado de una irregular gestión empresarial, la cual generó una situación de pérdida del capital social.- (…)</w:t>
      </w:r>
      <w:r w:rsidRPr="001D3E10">
        <w:rPr>
          <w:rStyle w:val="FootnoteReference"/>
          <w:rFonts w:ascii="Cambria" w:hAnsi="Cambria"/>
          <w:sz w:val="16"/>
          <w:szCs w:val="16"/>
        </w:rPr>
        <w:footnoteReference w:id="8"/>
      </w:r>
      <w:r w:rsidRPr="001D3E10">
        <w:rPr>
          <w:rFonts w:ascii="Cambria" w:eastAsia="Cambria" w:hAnsi="Cambria" w:cs="Cambria"/>
          <w:color w:val="000000"/>
          <w:sz w:val="18"/>
          <w:szCs w:val="24"/>
          <w:u w:color="000000"/>
          <w:bdr w:val="nil"/>
          <w:lang w:eastAsia="es-ES"/>
        </w:rPr>
        <w:t>.</w:t>
      </w:r>
    </w:p>
    <w:p w14:paraId="1100D553" w14:textId="77777777" w:rsidR="00A20209" w:rsidRPr="001D3E10" w:rsidRDefault="00A20209" w:rsidP="00A20209">
      <w:pPr>
        <w:pBdr>
          <w:top w:val="nil"/>
          <w:left w:val="nil"/>
          <w:bottom w:val="nil"/>
          <w:right w:val="nil"/>
          <w:between w:val="nil"/>
          <w:bar w:val="nil"/>
        </w:pBdr>
        <w:spacing w:after="0" w:line="240" w:lineRule="auto"/>
        <w:ind w:left="360" w:right="27"/>
        <w:jc w:val="both"/>
        <w:rPr>
          <w:rFonts w:ascii="Cambria" w:eastAsia="Cambria" w:hAnsi="Cambria" w:cs="Cambria"/>
          <w:color w:val="000000"/>
          <w:sz w:val="18"/>
          <w:szCs w:val="24"/>
          <w:u w:color="000000"/>
          <w:bdr w:val="nil"/>
          <w:lang w:eastAsia="es-ES"/>
        </w:rPr>
      </w:pPr>
    </w:p>
    <w:p w14:paraId="68047E2F" w14:textId="177D4725" w:rsidR="00A20209" w:rsidRPr="001D3E10" w:rsidRDefault="00A20209" w:rsidP="00A20209">
      <w:pPr>
        <w:pStyle w:val="parrafos"/>
        <w:numPr>
          <w:ilvl w:val="0"/>
          <w:numId w:val="4"/>
        </w:numPr>
        <w:tabs>
          <w:tab w:val="left" w:pos="360"/>
        </w:tabs>
        <w:ind w:left="0" w:firstLine="0"/>
        <w:rPr>
          <w:lang w:val="es-AR"/>
        </w:rPr>
      </w:pPr>
      <w:r w:rsidRPr="001D3E10">
        <w:rPr>
          <w:lang w:val="es-AR"/>
        </w:rPr>
        <w:t>El 3 de julio de 1985 las presuntas víc</w:t>
      </w:r>
      <w:r w:rsidR="002B2A19" w:rsidRPr="001D3E10">
        <w:rPr>
          <w:lang w:val="es-AR"/>
        </w:rPr>
        <w:t>timas presentaron su contestació</w:t>
      </w:r>
      <w:r w:rsidRPr="001D3E10">
        <w:rPr>
          <w:lang w:val="es-AR"/>
        </w:rPr>
        <w:t>n de demanda, en los siguientes términos:</w:t>
      </w:r>
    </w:p>
    <w:p w14:paraId="0F69B149" w14:textId="77777777" w:rsidR="00A20209" w:rsidRPr="001D3E10" w:rsidRDefault="00A20209" w:rsidP="00A20209">
      <w:pPr>
        <w:tabs>
          <w:tab w:val="left" w:pos="360"/>
        </w:tabs>
        <w:spacing w:after="0" w:line="240" w:lineRule="auto"/>
        <w:jc w:val="both"/>
        <w:rPr>
          <w:rFonts w:ascii="Cambria" w:eastAsia="Arial Unicode MS" w:hAnsi="Cambria"/>
          <w:color w:val="000000"/>
          <w:sz w:val="20"/>
          <w:szCs w:val="20"/>
          <w:bdr w:val="nil"/>
        </w:rPr>
      </w:pPr>
    </w:p>
    <w:p w14:paraId="64C2F9AF" w14:textId="77777777" w:rsidR="00A20209" w:rsidRPr="001D3E10" w:rsidRDefault="00A20209" w:rsidP="002C363B">
      <w:pPr>
        <w:pBdr>
          <w:top w:val="nil"/>
          <w:left w:val="nil"/>
          <w:bottom w:val="nil"/>
          <w:right w:val="nil"/>
          <w:between w:val="nil"/>
          <w:bar w:val="nil"/>
        </w:pBdr>
        <w:spacing w:after="0" w:line="240" w:lineRule="auto"/>
        <w:ind w:left="360" w:right="270"/>
        <w:jc w:val="both"/>
        <w:rPr>
          <w:rFonts w:ascii="Cambria" w:eastAsia="Cambria" w:hAnsi="Cambria" w:cs="Cambria"/>
          <w:b/>
          <w:color w:val="000000"/>
          <w:sz w:val="18"/>
          <w:szCs w:val="24"/>
          <w:u w:color="000000"/>
          <w:bdr w:val="nil"/>
          <w:lang w:eastAsia="es-ES"/>
        </w:rPr>
      </w:pPr>
      <w:r w:rsidRPr="001D3E10">
        <w:rPr>
          <w:rFonts w:ascii="Cambria" w:eastAsia="Cambria" w:hAnsi="Cambria" w:cs="Cambria"/>
          <w:b/>
          <w:color w:val="000000"/>
          <w:sz w:val="18"/>
          <w:szCs w:val="24"/>
          <w:u w:color="000000"/>
          <w:bdr w:val="nil"/>
          <w:lang w:eastAsia="es-ES"/>
        </w:rPr>
        <w:t>(…) A FS. 220/221 por CHAIKIN, RAFAEL.-</w:t>
      </w:r>
    </w:p>
    <w:p w14:paraId="26F1A94F" w14:textId="77777777" w:rsidR="00A20209" w:rsidRPr="001D3E10" w:rsidRDefault="00A20209"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Refiere en su contestación de demanda, que ninguno de los hechos le es imputado en forma personal. Que se le incluye como demandado, sin que hubiera tenido intervención alguna en ningún acto.-</w:t>
      </w:r>
    </w:p>
    <w:p w14:paraId="1FF90368" w14:textId="77777777" w:rsidR="00A20209" w:rsidRPr="001D3E10" w:rsidRDefault="00A20209"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Y así fue, por cuanto – según dice – nunca ejerció cargo alguno en la entidad liquidada, ni directa o indirectamente, ni activa o pasivamente; es decir no desempeñó el cargo de vocal.-</w:t>
      </w:r>
    </w:p>
    <w:p w14:paraId="2F04801A" w14:textId="77777777" w:rsidR="00A20209" w:rsidRPr="001D3E10" w:rsidRDefault="00A20209"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Aclara que el haber sido propuesto y nombrado para ocupar una Vocalía en el Consejo de Administración, es muy diferente de que haya tomado posesión del cargo o ejercido alguna actividad que pudiera importar posesión implícita del mismo.-</w:t>
      </w:r>
    </w:p>
    <w:p w14:paraId="5AB33EAF" w14:textId="77777777" w:rsidR="00A20209" w:rsidRPr="001D3E10" w:rsidRDefault="00A20209"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Con tal postura, niega categóricamente los hechos y la documental arrimada por la actora.-</w:t>
      </w:r>
    </w:p>
    <w:p w14:paraId="2978A63A" w14:textId="77777777" w:rsidR="00A20209" w:rsidRPr="001D3E10" w:rsidRDefault="00A20209"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Ofrece a prueba a fs. 502/502 vta.-</w:t>
      </w:r>
    </w:p>
    <w:p w14:paraId="148DD311" w14:textId="77777777" w:rsidR="00A20209" w:rsidRPr="001D3E10" w:rsidRDefault="00A20209"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Solicita por último se rechace la demanda, con costas,-.</w:t>
      </w:r>
    </w:p>
    <w:p w14:paraId="1FE6FE68" w14:textId="77777777" w:rsidR="00A20209" w:rsidRPr="001D3E10" w:rsidRDefault="00A20209"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p>
    <w:p w14:paraId="7BBA9D57" w14:textId="77777777" w:rsidR="00A20209" w:rsidRPr="001D3E10" w:rsidRDefault="00A20209" w:rsidP="002C363B">
      <w:pPr>
        <w:pBdr>
          <w:top w:val="nil"/>
          <w:left w:val="nil"/>
          <w:bottom w:val="nil"/>
          <w:right w:val="nil"/>
          <w:between w:val="nil"/>
          <w:bar w:val="nil"/>
        </w:pBdr>
        <w:spacing w:after="0" w:line="240" w:lineRule="auto"/>
        <w:ind w:left="360" w:right="270"/>
        <w:jc w:val="both"/>
        <w:rPr>
          <w:rFonts w:ascii="Cambria" w:eastAsia="Cambria" w:hAnsi="Cambria" w:cs="Cambria"/>
          <w:b/>
          <w:color w:val="000000"/>
          <w:sz w:val="18"/>
          <w:szCs w:val="24"/>
          <w:u w:color="000000"/>
          <w:bdr w:val="nil"/>
          <w:lang w:eastAsia="es-ES"/>
        </w:rPr>
      </w:pPr>
      <w:r w:rsidRPr="001D3E10">
        <w:rPr>
          <w:rFonts w:ascii="Cambria" w:eastAsia="Cambria" w:hAnsi="Cambria" w:cs="Cambria"/>
          <w:b/>
          <w:color w:val="000000"/>
          <w:sz w:val="18"/>
          <w:szCs w:val="24"/>
          <w:u w:color="000000"/>
          <w:bdr w:val="nil"/>
          <w:lang w:eastAsia="es-ES"/>
        </w:rPr>
        <w:t>* A FS. 194/195 por KEMELMAJEN, HECTOR LEONARDO.-</w:t>
      </w:r>
    </w:p>
    <w:p w14:paraId="41331056" w14:textId="77777777" w:rsidR="00A20209" w:rsidRPr="001D3E10" w:rsidRDefault="00A20209"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Niega por no constarle todos los hechos descriptos en el escrito de inicio y que se le imputan  - a su entender – en forma vaga y generalizada; más aún por considerar que a la fecha en que presuntamente fueron realizados los mismos, no ejercía ningún cago en la entidad liquidada.-</w:t>
      </w:r>
    </w:p>
    <w:p w14:paraId="5F068549" w14:textId="77777777" w:rsidR="00A20209" w:rsidRPr="001D3E10" w:rsidRDefault="00A20209"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Reafirma la negativa al destacar que la demandante expresamente reconoce en su escrito de promoción de demanda que los hechos imputados fueron consumados con posteridad a su retiro de la cooperativa, por lo que no le cabe responsabilidad alguna.-</w:t>
      </w:r>
    </w:p>
    <w:p w14:paraId="18343DC1" w14:textId="77777777" w:rsidR="00A20209" w:rsidRPr="001D3E10" w:rsidRDefault="00A20209"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Termina negando la autenticidad de la instrumental anejada por la accionante.-</w:t>
      </w:r>
    </w:p>
    <w:p w14:paraId="2731CEBC" w14:textId="77777777" w:rsidR="00A20209" w:rsidRPr="001D3E10" w:rsidRDefault="00A20209"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Ofrece prueba a Fs. 504/505.-</w:t>
      </w:r>
    </w:p>
    <w:p w14:paraId="69D547E2" w14:textId="124C44C3" w:rsidR="002F72EB" w:rsidRPr="001D3E10" w:rsidRDefault="00A20209" w:rsidP="002C363B">
      <w:pPr>
        <w:pBdr>
          <w:top w:val="nil"/>
          <w:left w:val="nil"/>
          <w:bottom w:val="nil"/>
          <w:right w:val="nil"/>
          <w:between w:val="nil"/>
          <w:bar w:val="nil"/>
        </w:pBdr>
        <w:spacing w:after="0" w:line="240" w:lineRule="auto"/>
        <w:ind w:left="360" w:right="270"/>
        <w:jc w:val="both"/>
        <w:rPr>
          <w:rFonts w:ascii="Cambria" w:hAnsi="Cambria"/>
          <w:sz w:val="16"/>
          <w:szCs w:val="16"/>
          <w:vertAlign w:val="superscript"/>
        </w:rPr>
      </w:pPr>
      <w:r w:rsidRPr="001D3E10">
        <w:rPr>
          <w:rFonts w:ascii="Cambria" w:eastAsia="Cambria" w:hAnsi="Cambria" w:cs="Cambria"/>
          <w:color w:val="000000"/>
          <w:sz w:val="18"/>
          <w:szCs w:val="24"/>
          <w:u w:color="000000"/>
          <w:bdr w:val="nil"/>
          <w:lang w:eastAsia="es-ES"/>
        </w:rPr>
        <w:t>Peticiona el oportuno rechazo de la demanda, con imposición de costas a la accionante</w:t>
      </w:r>
      <w:r w:rsidRPr="001D3E10">
        <w:rPr>
          <w:rStyle w:val="FootnoteReference"/>
          <w:rFonts w:ascii="Cambria" w:hAnsi="Cambria"/>
          <w:sz w:val="16"/>
          <w:szCs w:val="16"/>
        </w:rPr>
        <w:footnoteReference w:id="9"/>
      </w:r>
    </w:p>
    <w:p w14:paraId="418E5C15" w14:textId="77777777" w:rsidR="005523E4" w:rsidRPr="001D3E10" w:rsidRDefault="005523E4" w:rsidP="005523E4">
      <w:pPr>
        <w:pStyle w:val="parrafos"/>
        <w:tabs>
          <w:tab w:val="left" w:pos="360"/>
        </w:tabs>
        <w:rPr>
          <w:lang w:val="es-AR"/>
        </w:rPr>
      </w:pPr>
    </w:p>
    <w:p w14:paraId="16199545" w14:textId="3E9478AC" w:rsidR="00057227" w:rsidRPr="001D3E10" w:rsidRDefault="005523E4" w:rsidP="00666691">
      <w:pPr>
        <w:pStyle w:val="parrafos"/>
        <w:numPr>
          <w:ilvl w:val="0"/>
          <w:numId w:val="4"/>
        </w:numPr>
        <w:tabs>
          <w:tab w:val="left" w:pos="360"/>
        </w:tabs>
        <w:ind w:left="0" w:firstLine="0"/>
        <w:rPr>
          <w:lang w:val="es-AR"/>
        </w:rPr>
      </w:pPr>
      <w:r w:rsidRPr="001D3E10">
        <w:rPr>
          <w:lang w:val="es-AR"/>
        </w:rPr>
        <w:t xml:space="preserve">El 17 de marzo de 1987 </w:t>
      </w:r>
      <w:r w:rsidR="003B6CA0" w:rsidRPr="001D3E10">
        <w:rPr>
          <w:lang w:val="es-AR"/>
        </w:rPr>
        <w:t>el J</w:t>
      </w:r>
      <w:r w:rsidR="004472A6" w:rsidRPr="001D3E10">
        <w:rPr>
          <w:lang w:val="es-AR"/>
        </w:rPr>
        <w:t xml:space="preserve">uzgado </w:t>
      </w:r>
      <w:r w:rsidR="004C3ECA" w:rsidRPr="001D3E10">
        <w:rPr>
          <w:lang w:val="es-AR"/>
        </w:rPr>
        <w:t>Nacional</w:t>
      </w:r>
      <w:r w:rsidR="003B6CA0" w:rsidRPr="001D3E10">
        <w:rPr>
          <w:lang w:val="es-AR"/>
        </w:rPr>
        <w:t xml:space="preserve"> de Primera Instancia en lo Co</w:t>
      </w:r>
      <w:r w:rsidR="002B2A19" w:rsidRPr="001D3E10">
        <w:rPr>
          <w:lang w:val="es-AR"/>
        </w:rPr>
        <w:t>mercial No. 4, Secretaría No. 7</w:t>
      </w:r>
      <w:r w:rsidR="003B6CA0" w:rsidRPr="001D3E10">
        <w:rPr>
          <w:lang w:val="es-AR"/>
        </w:rPr>
        <w:t>,</w:t>
      </w:r>
      <w:r w:rsidR="004C3ECA" w:rsidRPr="001D3E10">
        <w:rPr>
          <w:lang w:val="es-AR"/>
        </w:rPr>
        <w:t xml:space="preserve"> </w:t>
      </w:r>
      <w:r w:rsidR="00666691" w:rsidRPr="001D3E10">
        <w:rPr>
          <w:lang w:val="es-AR"/>
        </w:rPr>
        <w:t xml:space="preserve">decretó inhibición general de bienes de carácter cautelar respecto de </w:t>
      </w:r>
      <w:r w:rsidR="007D59B4" w:rsidRPr="001D3E10">
        <w:rPr>
          <w:lang w:val="es-AR"/>
        </w:rPr>
        <w:t>Rafael Chaikin y Héctor Leonardo Kemelmajen</w:t>
      </w:r>
      <w:r w:rsidR="00F70B8B" w:rsidRPr="001D3E10">
        <w:rPr>
          <w:rStyle w:val="FootnoteReference"/>
          <w:rFonts w:asciiTheme="minorHAnsi" w:hAnsiTheme="minorHAnsi"/>
          <w:sz w:val="20"/>
          <w:lang w:val="es-AR"/>
        </w:rPr>
        <w:footnoteReference w:id="10"/>
      </w:r>
      <w:r w:rsidR="007D59B4" w:rsidRPr="001D3E10">
        <w:rPr>
          <w:lang w:val="es-AR"/>
        </w:rPr>
        <w:t xml:space="preserve">. </w:t>
      </w:r>
      <w:r w:rsidR="00057227" w:rsidRPr="001D3E10">
        <w:rPr>
          <w:lang w:val="es-AR"/>
        </w:rPr>
        <w:t xml:space="preserve">La Comisión no cuenta con dicha decisión. </w:t>
      </w:r>
    </w:p>
    <w:p w14:paraId="0E8EC1F3" w14:textId="294BB438" w:rsidR="00666691" w:rsidRPr="001D3E10" w:rsidRDefault="00666691" w:rsidP="00666691">
      <w:pPr>
        <w:pStyle w:val="parrafos"/>
        <w:tabs>
          <w:tab w:val="left" w:pos="360"/>
        </w:tabs>
        <w:rPr>
          <w:lang w:val="es-AR"/>
        </w:rPr>
      </w:pPr>
    </w:p>
    <w:p w14:paraId="64B569D6" w14:textId="3B980122" w:rsidR="00B24C15" w:rsidRPr="001D3E10" w:rsidRDefault="00B24C15" w:rsidP="00666691">
      <w:pPr>
        <w:pStyle w:val="parrafos"/>
        <w:numPr>
          <w:ilvl w:val="0"/>
          <w:numId w:val="4"/>
        </w:numPr>
        <w:tabs>
          <w:tab w:val="left" w:pos="360"/>
        </w:tabs>
        <w:ind w:left="0" w:firstLine="0"/>
        <w:rPr>
          <w:lang w:val="es-AR"/>
        </w:rPr>
      </w:pPr>
      <w:r w:rsidRPr="001D3E10">
        <w:rPr>
          <w:lang w:val="es-AR"/>
        </w:rPr>
        <w:t xml:space="preserve">El 1 de abril de 1987 se inscribió </w:t>
      </w:r>
      <w:r w:rsidR="00B952C8" w:rsidRPr="001D3E10">
        <w:rPr>
          <w:lang w:val="es-AR"/>
        </w:rPr>
        <w:t>dicha medida ante el Registro de la Propiedad Inmueble de la Ciudad de Buenos Aires y el 7 de octubre del mismo año ante el Registro de la Propiedad Inmueble de la Provincia de Buenos Aires</w:t>
      </w:r>
      <w:r w:rsidR="005A5147" w:rsidRPr="001D3E10">
        <w:rPr>
          <w:rStyle w:val="FootnoteReference"/>
          <w:rFonts w:asciiTheme="minorHAnsi" w:hAnsiTheme="minorHAnsi"/>
          <w:sz w:val="20"/>
          <w:lang w:val="es-AR"/>
        </w:rPr>
        <w:footnoteReference w:id="11"/>
      </w:r>
      <w:r w:rsidR="00B952C8" w:rsidRPr="001D3E10">
        <w:rPr>
          <w:lang w:val="es-AR"/>
        </w:rPr>
        <w:t xml:space="preserve">. </w:t>
      </w:r>
    </w:p>
    <w:p w14:paraId="453EE424" w14:textId="77777777" w:rsidR="00B952C8" w:rsidRPr="001D3E10" w:rsidRDefault="00B952C8" w:rsidP="00B952C8">
      <w:pPr>
        <w:pStyle w:val="parrafos"/>
        <w:tabs>
          <w:tab w:val="left" w:pos="360"/>
        </w:tabs>
        <w:rPr>
          <w:lang w:val="es-AR"/>
        </w:rPr>
      </w:pPr>
    </w:p>
    <w:p w14:paraId="6045157E" w14:textId="243FD4B5" w:rsidR="00680E62" w:rsidRPr="001D3E10" w:rsidRDefault="00057227" w:rsidP="00F80A33">
      <w:pPr>
        <w:pStyle w:val="parrafos"/>
        <w:numPr>
          <w:ilvl w:val="0"/>
          <w:numId w:val="4"/>
        </w:numPr>
        <w:tabs>
          <w:tab w:val="left" w:pos="360"/>
        </w:tabs>
        <w:ind w:left="0" w:firstLine="0"/>
        <w:rPr>
          <w:lang w:val="es-AR"/>
        </w:rPr>
      </w:pPr>
      <w:r w:rsidRPr="001D3E10">
        <w:rPr>
          <w:lang w:val="es-AR"/>
        </w:rPr>
        <w:t>Con posterioridad,</w:t>
      </w:r>
      <w:r w:rsidR="00B952C8" w:rsidRPr="001D3E10">
        <w:rPr>
          <w:lang w:val="es-AR"/>
        </w:rPr>
        <w:t xml:space="preserve"> </w:t>
      </w:r>
      <w:r w:rsidR="00015072" w:rsidRPr="001D3E10">
        <w:rPr>
          <w:lang w:val="es-AR"/>
        </w:rPr>
        <w:t xml:space="preserve">el </w:t>
      </w:r>
      <w:r w:rsidR="0063658A" w:rsidRPr="001D3E10">
        <w:rPr>
          <w:lang w:val="es-AR"/>
        </w:rPr>
        <w:t>Banco Nacional de la República Argentina</w:t>
      </w:r>
      <w:r w:rsidR="00B952C8" w:rsidRPr="001D3E10">
        <w:rPr>
          <w:lang w:val="es-AR"/>
        </w:rPr>
        <w:t xml:space="preserve"> solicitó la reinscripc</w:t>
      </w:r>
      <w:r w:rsidR="00F472FE" w:rsidRPr="001D3E10">
        <w:rPr>
          <w:lang w:val="es-AR"/>
        </w:rPr>
        <w:t>i</w:t>
      </w:r>
      <w:r w:rsidR="00B952C8" w:rsidRPr="001D3E10">
        <w:rPr>
          <w:lang w:val="es-AR"/>
        </w:rPr>
        <w:t>ón de la medida de inhibición. El 1</w:t>
      </w:r>
      <w:r w:rsidR="00F472FE" w:rsidRPr="001D3E10">
        <w:rPr>
          <w:lang w:val="es-AR"/>
        </w:rPr>
        <w:t xml:space="preserve">8 de marzo de 1992 el </w:t>
      </w:r>
      <w:r w:rsidR="0063658A" w:rsidRPr="001D3E10">
        <w:rPr>
          <w:lang w:val="es-AR"/>
        </w:rPr>
        <w:t>Juzgado Nacional de Primera Instancia en lo Co</w:t>
      </w:r>
      <w:r w:rsidR="002B2A19" w:rsidRPr="001D3E10">
        <w:rPr>
          <w:lang w:val="es-AR"/>
        </w:rPr>
        <w:t>mercial No. 4, Secretaría No. 7</w:t>
      </w:r>
      <w:r w:rsidR="0063658A" w:rsidRPr="001D3E10">
        <w:rPr>
          <w:lang w:val="es-AR"/>
        </w:rPr>
        <w:t xml:space="preserve"> ordenó la reinscripción de la medida de inhibición ante el </w:t>
      </w:r>
      <w:r w:rsidR="00F472FE" w:rsidRPr="001D3E10">
        <w:rPr>
          <w:lang w:val="es-AR"/>
        </w:rPr>
        <w:t xml:space="preserve">Registro de la Propiedad Inmueble </w:t>
      </w:r>
      <w:r w:rsidR="00B902B9" w:rsidRPr="001D3E10">
        <w:rPr>
          <w:lang w:val="es-AR"/>
        </w:rPr>
        <w:t>de la ciudad de Buenos Aires.</w:t>
      </w:r>
      <w:r w:rsidR="00F80A33" w:rsidRPr="001D3E10">
        <w:rPr>
          <w:lang w:val="es-AR"/>
        </w:rPr>
        <w:t xml:space="preserve"> </w:t>
      </w:r>
      <w:r w:rsidR="003B308D" w:rsidRPr="001D3E10">
        <w:rPr>
          <w:lang w:val="es-AR"/>
        </w:rPr>
        <w:t xml:space="preserve">Respecto de la reinscripción de la medida de inhibición en la Provincia de Buenos Aires, </w:t>
      </w:r>
      <w:r w:rsidR="00F80A33" w:rsidRPr="001D3E10">
        <w:rPr>
          <w:lang w:val="es-AR"/>
        </w:rPr>
        <w:t xml:space="preserve">esta no fue solicitada por lo que caducó transcurridos cinco años desde la inscripción inicial. </w:t>
      </w:r>
      <w:r w:rsidRPr="001D3E10">
        <w:rPr>
          <w:lang w:val="es-AR"/>
        </w:rPr>
        <w:t>Con posterioridad,</w:t>
      </w:r>
      <w:r w:rsidR="002B762B" w:rsidRPr="001D3E10">
        <w:rPr>
          <w:lang w:val="es-AR"/>
        </w:rPr>
        <w:t xml:space="preserve"> la parte actora </w:t>
      </w:r>
      <w:r w:rsidR="003B308D" w:rsidRPr="001D3E10">
        <w:rPr>
          <w:lang w:val="es-AR"/>
        </w:rPr>
        <w:t>solicit</w:t>
      </w:r>
      <w:r w:rsidR="00F80A33" w:rsidRPr="001D3E10">
        <w:rPr>
          <w:lang w:val="es-AR"/>
        </w:rPr>
        <w:t xml:space="preserve">ó </w:t>
      </w:r>
      <w:r w:rsidR="00A23D88" w:rsidRPr="001D3E10">
        <w:rPr>
          <w:lang w:val="es-AR"/>
        </w:rPr>
        <w:t xml:space="preserve">una nueva inhibición general </w:t>
      </w:r>
      <w:r w:rsidR="00CC602C" w:rsidRPr="001D3E10">
        <w:rPr>
          <w:lang w:val="es-AR"/>
        </w:rPr>
        <w:t>e</w:t>
      </w:r>
      <w:r w:rsidR="00A23D88" w:rsidRPr="001D3E10">
        <w:rPr>
          <w:lang w:val="es-AR"/>
        </w:rPr>
        <w:t>n</w:t>
      </w:r>
      <w:r w:rsidR="00CC602C" w:rsidRPr="001D3E10">
        <w:rPr>
          <w:lang w:val="es-AR"/>
        </w:rPr>
        <w:t xml:space="preserve"> la Provincia de Buenos Aires la cual fue ordenada</w:t>
      </w:r>
      <w:r w:rsidR="00A23D88" w:rsidRPr="001D3E10">
        <w:rPr>
          <w:lang w:val="es-AR"/>
        </w:rPr>
        <w:t xml:space="preserve"> el 22 de abril de 1994 y </w:t>
      </w:r>
      <w:r w:rsidR="00CC602C" w:rsidRPr="001D3E10">
        <w:rPr>
          <w:lang w:val="es-AR"/>
        </w:rPr>
        <w:t>trabada el 10 de noviembre de 1994</w:t>
      </w:r>
      <w:r w:rsidR="005A5147" w:rsidRPr="001D3E10">
        <w:rPr>
          <w:rStyle w:val="FootnoteReference"/>
          <w:rFonts w:asciiTheme="minorHAnsi" w:hAnsiTheme="minorHAnsi"/>
          <w:sz w:val="20"/>
          <w:lang w:val="es-AR"/>
        </w:rPr>
        <w:footnoteReference w:id="12"/>
      </w:r>
      <w:r w:rsidR="00CC602C" w:rsidRPr="001D3E10">
        <w:rPr>
          <w:lang w:val="es-AR"/>
        </w:rPr>
        <w:t>.</w:t>
      </w:r>
    </w:p>
    <w:p w14:paraId="6BEE0C9B" w14:textId="77777777" w:rsidR="00F80A33" w:rsidRPr="001D3E10" w:rsidRDefault="00F80A33" w:rsidP="00F80A33">
      <w:pPr>
        <w:pStyle w:val="parrafos"/>
        <w:tabs>
          <w:tab w:val="left" w:pos="360"/>
        </w:tabs>
        <w:rPr>
          <w:lang w:val="es-AR"/>
        </w:rPr>
      </w:pPr>
    </w:p>
    <w:p w14:paraId="3DA286D7" w14:textId="5F4BD7D6" w:rsidR="00F80A33" w:rsidRPr="001D3E10" w:rsidRDefault="00F80A33" w:rsidP="00F80A33">
      <w:pPr>
        <w:pStyle w:val="parrafos"/>
        <w:numPr>
          <w:ilvl w:val="0"/>
          <w:numId w:val="4"/>
        </w:numPr>
        <w:tabs>
          <w:tab w:val="left" w:pos="360"/>
        </w:tabs>
        <w:ind w:left="0" w:firstLine="0"/>
        <w:rPr>
          <w:lang w:val="es-AR"/>
        </w:rPr>
      </w:pPr>
      <w:r w:rsidRPr="001D3E10">
        <w:rPr>
          <w:lang w:val="es-AR"/>
        </w:rPr>
        <w:lastRenderedPageBreak/>
        <w:t xml:space="preserve">Consta que el Banco Central de la República Argentina solicitó una nueva reinscripción en la ciudad de Buenos Aires, la cual se ordenó el 10 de noviembre de 1994 y quedó inscrita el </w:t>
      </w:r>
      <w:r w:rsidR="00211DA0" w:rsidRPr="001D3E10">
        <w:rPr>
          <w:lang w:val="es-AR"/>
        </w:rPr>
        <w:t>3 de enero de 1995.</w:t>
      </w:r>
      <w:r w:rsidRPr="001D3E10">
        <w:rPr>
          <w:lang w:val="es-AR"/>
        </w:rPr>
        <w:t xml:space="preserve"> Transcurridas cinco años de las ú</w:t>
      </w:r>
      <w:r w:rsidR="00015072" w:rsidRPr="001D3E10">
        <w:rPr>
          <w:lang w:val="es-AR"/>
        </w:rPr>
        <w:t>l</w:t>
      </w:r>
      <w:r w:rsidRPr="001D3E10">
        <w:rPr>
          <w:lang w:val="es-AR"/>
        </w:rPr>
        <w:t>timas inscripciones, el 3 de enero de 2000 caducó la inhibición en la ciudad de Buenos aires y el 16 de diciembre de 1999 en la Provincia de Buenos</w:t>
      </w:r>
      <w:r w:rsidR="00057227" w:rsidRPr="001D3E10">
        <w:rPr>
          <w:lang w:val="es-AR"/>
        </w:rPr>
        <w:t xml:space="preserve"> Aires</w:t>
      </w:r>
      <w:r w:rsidR="005A5147" w:rsidRPr="001D3E10">
        <w:rPr>
          <w:rStyle w:val="FootnoteReference"/>
          <w:rFonts w:asciiTheme="minorHAnsi" w:hAnsiTheme="minorHAnsi"/>
          <w:sz w:val="20"/>
          <w:lang w:val="es-AR"/>
        </w:rPr>
        <w:footnoteReference w:id="13"/>
      </w:r>
      <w:r w:rsidRPr="001D3E10">
        <w:rPr>
          <w:rFonts w:asciiTheme="minorHAnsi" w:hAnsiTheme="minorHAnsi"/>
          <w:lang w:val="es-AR"/>
        </w:rPr>
        <w:t>.</w:t>
      </w:r>
      <w:r w:rsidRPr="001D3E10">
        <w:rPr>
          <w:lang w:val="es-AR"/>
        </w:rPr>
        <w:t xml:space="preserve"> </w:t>
      </w:r>
    </w:p>
    <w:p w14:paraId="76C9F1F6" w14:textId="77777777" w:rsidR="00057227" w:rsidRPr="001D3E10" w:rsidRDefault="00057227" w:rsidP="00057227">
      <w:pPr>
        <w:pStyle w:val="parrafos"/>
        <w:tabs>
          <w:tab w:val="left" w:pos="360"/>
        </w:tabs>
        <w:rPr>
          <w:lang w:val="es-AR"/>
        </w:rPr>
      </w:pPr>
    </w:p>
    <w:p w14:paraId="5205C00F" w14:textId="5EFFDA60" w:rsidR="00566F5C" w:rsidRPr="001D3E10" w:rsidRDefault="00057227" w:rsidP="00F06504">
      <w:pPr>
        <w:pStyle w:val="parrafos"/>
        <w:numPr>
          <w:ilvl w:val="0"/>
          <w:numId w:val="4"/>
        </w:numPr>
        <w:tabs>
          <w:tab w:val="left" w:pos="360"/>
        </w:tabs>
        <w:ind w:left="0" w:firstLine="0"/>
        <w:rPr>
          <w:lang w:val="es-AR"/>
        </w:rPr>
      </w:pPr>
      <w:r w:rsidRPr="001D3E10">
        <w:rPr>
          <w:lang w:val="es-AR"/>
        </w:rPr>
        <w:t>Igualmente, según información disponible</w:t>
      </w:r>
      <w:r w:rsidR="0063658A" w:rsidRPr="001D3E10">
        <w:rPr>
          <w:lang w:val="es-AR"/>
        </w:rPr>
        <w:t xml:space="preserve"> </w:t>
      </w:r>
      <w:r w:rsidR="00F80A33" w:rsidRPr="001D3E10">
        <w:rPr>
          <w:lang w:val="es-AR"/>
        </w:rPr>
        <w:t xml:space="preserve">por nueva solicitud del Banco de la República de Argentina se ordenó trabar nuevamente la inhibición general de bienes, la cual se hizo efectiva el 6 de abril de 2004 </w:t>
      </w:r>
      <w:r w:rsidR="007A3A26" w:rsidRPr="001D3E10">
        <w:rPr>
          <w:lang w:val="es-AR"/>
        </w:rPr>
        <w:t xml:space="preserve">en la ciudad de Buenos Aires y el 3 de agosto de 2005 en la Provincia de Buenos Aires. </w:t>
      </w:r>
      <w:r w:rsidR="00F06504" w:rsidRPr="001D3E10">
        <w:rPr>
          <w:lang w:val="es-AR"/>
        </w:rPr>
        <w:t xml:space="preserve">Transcurridos cinco años desde </w:t>
      </w:r>
      <w:r w:rsidR="008E1D11" w:rsidRPr="001D3E10">
        <w:rPr>
          <w:lang w:val="es-AR"/>
        </w:rPr>
        <w:t>las últim</w:t>
      </w:r>
      <w:r w:rsidR="00F06504" w:rsidRPr="001D3E10">
        <w:rPr>
          <w:lang w:val="es-AR"/>
        </w:rPr>
        <w:t>as inhibiciones</w:t>
      </w:r>
      <w:r w:rsidR="008E1D11" w:rsidRPr="001D3E10">
        <w:rPr>
          <w:lang w:val="es-AR"/>
        </w:rPr>
        <w:t xml:space="preserve"> , operó nuevamente la caducidad </w:t>
      </w:r>
      <w:r w:rsidR="00F06504" w:rsidRPr="001D3E10">
        <w:rPr>
          <w:lang w:val="es-AR"/>
        </w:rPr>
        <w:t>de las mismas</w:t>
      </w:r>
      <w:r w:rsidR="004A3EAA" w:rsidRPr="001D3E10">
        <w:rPr>
          <w:rStyle w:val="FootnoteReference"/>
          <w:rFonts w:asciiTheme="minorHAnsi" w:hAnsiTheme="minorHAnsi"/>
          <w:sz w:val="20"/>
          <w:lang w:val="es-AR"/>
        </w:rPr>
        <w:footnoteReference w:id="14"/>
      </w:r>
      <w:r w:rsidR="00F06504" w:rsidRPr="001D3E10">
        <w:rPr>
          <w:lang w:val="es-AR"/>
        </w:rPr>
        <w:t xml:space="preserve">. </w:t>
      </w:r>
    </w:p>
    <w:p w14:paraId="00A155A8" w14:textId="03B24440" w:rsidR="00015072" w:rsidRPr="001D3E10" w:rsidRDefault="00015072" w:rsidP="007C7CF6">
      <w:pPr>
        <w:pStyle w:val="Heading3"/>
        <w:numPr>
          <w:ilvl w:val="0"/>
          <w:numId w:val="7"/>
        </w:numPr>
        <w:ind w:left="360"/>
        <w:rPr>
          <w:sz w:val="20"/>
          <w:szCs w:val="20"/>
        </w:rPr>
      </w:pPr>
      <w:bookmarkStart w:id="51" w:name="_Toc203469407"/>
      <w:r w:rsidRPr="001D3E10">
        <w:rPr>
          <w:sz w:val="20"/>
          <w:szCs w:val="20"/>
        </w:rPr>
        <w:t>Decisión de primera instancia del proceso patrimonial</w:t>
      </w:r>
      <w:bookmarkEnd w:id="51"/>
    </w:p>
    <w:p w14:paraId="65CAC96A" w14:textId="77777777" w:rsidR="005A5147" w:rsidRPr="001D3E10" w:rsidRDefault="005A5147" w:rsidP="005A5147">
      <w:pPr>
        <w:pStyle w:val="parrafos"/>
        <w:numPr>
          <w:ilvl w:val="0"/>
          <w:numId w:val="4"/>
        </w:numPr>
        <w:tabs>
          <w:tab w:val="left" w:pos="360"/>
        </w:tabs>
        <w:ind w:left="0" w:firstLine="0"/>
        <w:rPr>
          <w:lang w:val="es-AR"/>
        </w:rPr>
      </w:pPr>
      <w:r w:rsidRPr="001D3E10">
        <w:rPr>
          <w:lang w:val="es-AR"/>
        </w:rPr>
        <w:t>El 23 de diciembre de 2003 el Juzgado Nacional de Primera Instancia declaró con lugar la demanda. En su decisión razonó que:</w:t>
      </w:r>
    </w:p>
    <w:p w14:paraId="2F9DC82B" w14:textId="77777777" w:rsidR="005A5147" w:rsidRPr="001D3E10" w:rsidRDefault="005A5147" w:rsidP="005A5147">
      <w:pPr>
        <w:pStyle w:val="parrafos"/>
        <w:tabs>
          <w:tab w:val="left" w:pos="360"/>
        </w:tabs>
        <w:rPr>
          <w:lang w:val="es-AR"/>
        </w:rPr>
      </w:pPr>
    </w:p>
    <w:p w14:paraId="5314D93C" w14:textId="5233569A" w:rsidR="005A5147" w:rsidRPr="001D3E10" w:rsidRDefault="005A5147"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 En primer término debe dejarse debidamente sentado que éste Tribunal considera aplicable al caso en análisis, la previsión del a</w:t>
      </w:r>
      <w:r w:rsidR="00057227" w:rsidRPr="001D3E10">
        <w:rPr>
          <w:rFonts w:ascii="Cambria" w:eastAsia="Cambria" w:hAnsi="Cambria" w:cs="Cambria"/>
          <w:color w:val="000000"/>
          <w:sz w:val="18"/>
          <w:szCs w:val="24"/>
          <w:u w:color="000000"/>
          <w:bdr w:val="nil"/>
          <w:lang w:eastAsia="es-ES"/>
        </w:rPr>
        <w:t>r</w:t>
      </w:r>
      <w:r w:rsidRPr="001D3E10">
        <w:rPr>
          <w:rFonts w:ascii="Cambria" w:eastAsia="Cambria" w:hAnsi="Cambria" w:cs="Cambria"/>
          <w:color w:val="000000"/>
          <w:sz w:val="18"/>
          <w:szCs w:val="24"/>
          <w:u w:color="000000"/>
          <w:bdr w:val="nil"/>
          <w:lang w:eastAsia="es-ES"/>
        </w:rPr>
        <w:t>t. 173 de la ley 24.522, el cual establece que el dolo del agente es condición del deber de indemnizar que dicha norma describe.-</w:t>
      </w:r>
    </w:p>
    <w:p w14:paraId="58596ED3" w14:textId="77777777" w:rsidR="00F95A9B" w:rsidRPr="001D3E10" w:rsidRDefault="00F95A9B"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p>
    <w:p w14:paraId="61DEB4CD" w14:textId="54583E43" w:rsidR="005A5147" w:rsidRPr="001D3E10" w:rsidRDefault="005A5147"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Ello así aun cuando el presente proceso fue iniciado cuando regía el invocado artículo 166 de la derogada ley 19.551, puesto que la reforma introducida por la ley 24.522 debe aplicarse inmediatamente a los procesos en trámite con los alcances de los arts. 2º y 3º del Cód. Civil (Conf. C.N. Com. Sala “E” en autos “Crear Crédito Argentino S.A. de Ahorro y Préstamo para la vivienda</w:t>
      </w:r>
      <w:r w:rsidR="007C7CF6" w:rsidRPr="001D3E10">
        <w:rPr>
          <w:rFonts w:ascii="Cambria" w:eastAsia="Cambria" w:hAnsi="Cambria" w:cs="Cambria"/>
          <w:color w:val="000000"/>
          <w:sz w:val="18"/>
          <w:szCs w:val="24"/>
          <w:u w:color="000000"/>
          <w:bdr w:val="nil"/>
          <w:lang w:eastAsia="es-ES"/>
        </w:rPr>
        <w:t xml:space="preserve"> el liquid. c/ Campos Antonio y</w:t>
      </w:r>
      <w:r w:rsidRPr="001D3E10">
        <w:rPr>
          <w:rFonts w:ascii="Cambria" w:eastAsia="Cambria" w:hAnsi="Cambria" w:cs="Cambria"/>
          <w:color w:val="000000"/>
          <w:sz w:val="18"/>
          <w:szCs w:val="24"/>
          <w:u w:color="000000"/>
          <w:bdr w:val="nil"/>
          <w:lang w:eastAsia="es-ES"/>
        </w:rPr>
        <w:t xml:space="preserve"> otros s/Ordinario”, del 21/3/2000”.; publicado en E.D. del 24-4-2001).- </w:t>
      </w:r>
    </w:p>
    <w:p w14:paraId="37CB0CCA" w14:textId="77777777" w:rsidR="005A5147" w:rsidRPr="001D3E10" w:rsidRDefault="005A5147"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p>
    <w:p w14:paraId="03B685F1" w14:textId="77777777" w:rsidR="005A5147" w:rsidRPr="001D3E10" w:rsidRDefault="005A5147"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II.- Siguiendo la línea argumental del síndico-liquidador del Banco Central, la cual fuera expuesta en su escrito inicial y en el alegato que en la oportunidad procesal oportuna fuera presentado, corresponde adelantar que todos aquellos que han sido demandados (miembros del consejo de administración, sindicatura y terceros responsables), serán condenados sobre la base de cuanto se desprende de las constancias de autos, principalmente la prueba ofrecida y producida por la actora.-</w:t>
      </w:r>
    </w:p>
    <w:p w14:paraId="0C3D18E4" w14:textId="77777777" w:rsidR="005A5147" w:rsidRPr="001D3E10" w:rsidRDefault="005A5147"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p>
    <w:p w14:paraId="1EF087FF" w14:textId="77777777" w:rsidR="005A5147" w:rsidRPr="001D3E10" w:rsidRDefault="005A5147"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Ello así por cuanto la actitud de los integrantes de la entidad en liquidación “… no puede ser meramente pasiva, no son una figura decorativa de la sociedad sino un órgano de la misma y no existe la posibilidad de excluir su responsabilidad sin una actividad positiva al hacer constar su disidencia por escrito y efectuar la pertinente denuncia al síndico (art. 272 – Párrafo 3º L.S.)</w:t>
      </w:r>
    </w:p>
    <w:p w14:paraId="0C9DF8B6" w14:textId="77777777" w:rsidR="005A5147" w:rsidRPr="001D3E10" w:rsidRDefault="005A5147"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p>
    <w:p w14:paraId="235B2500" w14:textId="77777777" w:rsidR="005A5147" w:rsidRPr="001D3E10" w:rsidRDefault="005A5147"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La totalidad de los argumentos que vierten cada uno de los demandados (excepto Calabressi que no contestó demanda, pese a encontrarse debidamente notificado (…) en sus respectivas respuestas, no resultan suficientes como para eximirlos de la responsabilidad que se les achaca máxime si tenemos en consideración que – en general – la prueba que ofrecieron a tal fin no aparece como convincente para apartarlos de los acuses que les imputa la actora</w:t>
      </w:r>
      <w:r w:rsidRPr="001D3E10">
        <w:rPr>
          <w:rStyle w:val="FootnoteReference"/>
          <w:rFonts w:ascii="Cambria" w:hAnsi="Cambria"/>
          <w:sz w:val="16"/>
          <w:szCs w:val="16"/>
        </w:rPr>
        <w:footnoteReference w:id="15"/>
      </w:r>
      <w:r w:rsidRPr="001D3E10">
        <w:rPr>
          <w:rFonts w:ascii="Cambria" w:eastAsia="Cambria" w:hAnsi="Cambria" w:cs="Cambria"/>
          <w:color w:val="000000"/>
          <w:sz w:val="18"/>
          <w:szCs w:val="24"/>
          <w:u w:color="000000"/>
          <w:bdr w:val="nil"/>
          <w:lang w:eastAsia="es-ES"/>
        </w:rPr>
        <w:t xml:space="preserve">. </w:t>
      </w:r>
    </w:p>
    <w:p w14:paraId="7AA74464" w14:textId="77777777" w:rsidR="005A5147" w:rsidRPr="001D3E10" w:rsidRDefault="005A5147" w:rsidP="002C363B">
      <w:pPr>
        <w:pStyle w:val="parrafos"/>
        <w:tabs>
          <w:tab w:val="left" w:pos="360"/>
        </w:tabs>
        <w:ind w:right="270"/>
        <w:rPr>
          <w:lang w:val="es-AR"/>
        </w:rPr>
      </w:pPr>
    </w:p>
    <w:p w14:paraId="23307816" w14:textId="7B8EF986" w:rsidR="005A5147" w:rsidRPr="001D3E10" w:rsidRDefault="005A5147"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(…)aquello que apunta el síndico liquidador a que existen créditos otorgados con falsedad de firmas, puede apreciarse con ciertos procesos ejecutivos arribados ad effectum videndi et probandi, que tal asero resulta verdadero; ello importa resaltar que se trata de un eslabón más, en todo aquello que l</w:t>
      </w:r>
      <w:r w:rsidR="00F95A9B" w:rsidRPr="001D3E10">
        <w:rPr>
          <w:rFonts w:ascii="Cambria" w:eastAsia="Cambria" w:hAnsi="Cambria" w:cs="Cambria"/>
          <w:color w:val="000000"/>
          <w:sz w:val="18"/>
          <w:szCs w:val="24"/>
          <w:u w:color="000000"/>
          <w:bdr w:val="nil"/>
          <w:lang w:eastAsia="es-ES"/>
        </w:rPr>
        <w:t xml:space="preserve">e es imputado a los accionados </w:t>
      </w:r>
      <w:r w:rsidRPr="001D3E10">
        <w:rPr>
          <w:rFonts w:ascii="Cambria" w:eastAsia="Cambria" w:hAnsi="Cambria" w:cs="Cambria"/>
          <w:color w:val="000000"/>
          <w:sz w:val="18"/>
          <w:szCs w:val="24"/>
          <w:u w:color="000000"/>
          <w:bdr w:val="nil"/>
          <w:lang w:eastAsia="es-ES"/>
        </w:rPr>
        <w:t>(…)El monto de condena –pese a que el inicial ascendió a $a 3.424.000.000.- (hoy $ 342,40)- ascenderá a la suma de $ 6.026.907,82, por ser el monto que según cálculos proyectados por la apoderada del Banco Central de la República Argentina, después de señalar los flujos netos de fondos, son informados a fs. 3813/3816; la cifra consignada lo es al 30 de abril de 1995.-</w:t>
      </w:r>
    </w:p>
    <w:p w14:paraId="465F6F5D" w14:textId="7440D5FD" w:rsidR="005A5147" w:rsidRPr="001D3E10" w:rsidRDefault="005A5147"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lastRenderedPageBreak/>
        <w:t>(…) por ello, FALLO: Haciendo lugar a la demanda en los términos precedentes, condenando a (…) CHAIKIN, RAFAEL; KEMELMAJEN, HECTOR LEONARDO (…) a abonar a la actora la suma de $6.026.907,82 con más los intereses (…)</w:t>
      </w:r>
      <w:r w:rsidRPr="001D3E10">
        <w:rPr>
          <w:rStyle w:val="FootnoteReference"/>
          <w:rFonts w:ascii="Cambria" w:hAnsi="Cambria"/>
          <w:sz w:val="16"/>
          <w:szCs w:val="16"/>
        </w:rPr>
        <w:footnoteReference w:id="16"/>
      </w:r>
    </w:p>
    <w:p w14:paraId="207B3D9E" w14:textId="5CC21A4F" w:rsidR="00244AD7" w:rsidRPr="001D3E10" w:rsidRDefault="00244AD7" w:rsidP="00244AD7">
      <w:pPr>
        <w:pStyle w:val="Heading3"/>
        <w:numPr>
          <w:ilvl w:val="0"/>
          <w:numId w:val="7"/>
        </w:numPr>
        <w:ind w:left="360"/>
        <w:rPr>
          <w:sz w:val="20"/>
          <w:szCs w:val="20"/>
        </w:rPr>
      </w:pPr>
      <w:bookmarkStart w:id="52" w:name="_Toc203469408"/>
      <w:r w:rsidRPr="001D3E10">
        <w:rPr>
          <w:sz w:val="20"/>
          <w:szCs w:val="20"/>
        </w:rPr>
        <w:t>Archivo del proceso patrimonial</w:t>
      </w:r>
      <w:r w:rsidR="00E8217D" w:rsidRPr="001D3E10">
        <w:rPr>
          <w:sz w:val="20"/>
          <w:szCs w:val="20"/>
        </w:rPr>
        <w:t xml:space="preserve"> y nueva inhibición general de bienes</w:t>
      </w:r>
      <w:bookmarkEnd w:id="52"/>
    </w:p>
    <w:p w14:paraId="564011FC" w14:textId="7645564A" w:rsidR="005A5147" w:rsidRPr="001D3E10" w:rsidRDefault="00057227" w:rsidP="00057227">
      <w:pPr>
        <w:pStyle w:val="parrafos"/>
        <w:numPr>
          <w:ilvl w:val="0"/>
          <w:numId w:val="4"/>
        </w:numPr>
        <w:tabs>
          <w:tab w:val="left" w:pos="360"/>
        </w:tabs>
        <w:ind w:left="0" w:firstLine="0"/>
        <w:rPr>
          <w:lang w:val="es-AR"/>
        </w:rPr>
      </w:pPr>
      <w:r w:rsidRPr="001D3E10">
        <w:rPr>
          <w:lang w:val="es-AR"/>
        </w:rPr>
        <w:t xml:space="preserve">Según información disponible, con posterioridad </w:t>
      </w:r>
      <w:r w:rsidR="005A5147" w:rsidRPr="001D3E10">
        <w:rPr>
          <w:lang w:val="es-AR"/>
        </w:rPr>
        <w:t>las presuntas víctimas presentaron un recurso de apelación ante la Cámara Nacional de Apelaciones en lo Comercial y el mismo fue concedido el 1 de marzo de 2004</w:t>
      </w:r>
      <w:r w:rsidR="005A5147" w:rsidRPr="001D3E10">
        <w:rPr>
          <w:rStyle w:val="FootnoteReference"/>
          <w:rFonts w:asciiTheme="minorHAnsi" w:hAnsiTheme="minorHAnsi"/>
          <w:sz w:val="20"/>
          <w:lang w:val="es-AR"/>
        </w:rPr>
        <w:footnoteReference w:id="17"/>
      </w:r>
      <w:r w:rsidR="005A5147" w:rsidRPr="001D3E10">
        <w:rPr>
          <w:lang w:val="es-AR"/>
        </w:rPr>
        <w:t xml:space="preserve">. </w:t>
      </w:r>
      <w:r w:rsidRPr="001D3E10">
        <w:rPr>
          <w:lang w:val="es-AR"/>
        </w:rPr>
        <w:t xml:space="preserve">La Comisión no cuenta con dicha decisión. </w:t>
      </w:r>
    </w:p>
    <w:p w14:paraId="72FECA29" w14:textId="77777777" w:rsidR="005A5147" w:rsidRPr="001D3E10" w:rsidRDefault="005A5147" w:rsidP="005A5147">
      <w:pPr>
        <w:pStyle w:val="parrafos"/>
        <w:tabs>
          <w:tab w:val="left" w:pos="360"/>
        </w:tabs>
        <w:rPr>
          <w:lang w:val="es-AR"/>
        </w:rPr>
      </w:pPr>
    </w:p>
    <w:p w14:paraId="339E6A07" w14:textId="77777777" w:rsidR="005A5147" w:rsidRPr="001D3E10" w:rsidRDefault="005A5147" w:rsidP="005A5147">
      <w:pPr>
        <w:pStyle w:val="parrafos"/>
        <w:numPr>
          <w:ilvl w:val="0"/>
          <w:numId w:val="4"/>
        </w:numPr>
        <w:tabs>
          <w:tab w:val="left" w:pos="360"/>
        </w:tabs>
        <w:ind w:left="0" w:firstLine="0"/>
        <w:rPr>
          <w:lang w:val="es-AR"/>
        </w:rPr>
      </w:pPr>
      <w:r w:rsidRPr="001D3E10">
        <w:rPr>
          <w:lang w:val="es-AR"/>
        </w:rPr>
        <w:t>El 6 de mayo de 2004, la Cámara Nacional de Apelaciones en lo Comercial suspendió los plazos de segunda instancia hasta “que las presentes actuaciones estén en condiciones de ser elevadas al superior”.</w:t>
      </w:r>
    </w:p>
    <w:p w14:paraId="5F564E01" w14:textId="77777777" w:rsidR="005A5147" w:rsidRPr="001D3E10" w:rsidRDefault="005A5147" w:rsidP="005A5147">
      <w:pPr>
        <w:pStyle w:val="parrafos"/>
        <w:rPr>
          <w:lang w:val="es-AR"/>
        </w:rPr>
      </w:pPr>
    </w:p>
    <w:p w14:paraId="1576C54C" w14:textId="77777777" w:rsidR="00487D1D" w:rsidRPr="001D3E10" w:rsidRDefault="00487D1D" w:rsidP="00487D1D">
      <w:pPr>
        <w:pStyle w:val="parrafos"/>
        <w:numPr>
          <w:ilvl w:val="0"/>
          <w:numId w:val="4"/>
        </w:numPr>
        <w:tabs>
          <w:tab w:val="left" w:pos="360"/>
        </w:tabs>
        <w:ind w:left="0" w:firstLine="0"/>
        <w:rPr>
          <w:lang w:val="es-AR"/>
        </w:rPr>
      </w:pPr>
      <w:r w:rsidRPr="001D3E10">
        <w:rPr>
          <w:lang w:val="es-AR"/>
        </w:rPr>
        <w:t>El 1 de febrero de 2008, la Cámara Nacional de Apelaciones en lo Comercial, precisó:</w:t>
      </w:r>
    </w:p>
    <w:p w14:paraId="087BA41E" w14:textId="77777777" w:rsidR="00487D1D" w:rsidRPr="001D3E10" w:rsidRDefault="00487D1D" w:rsidP="00487D1D">
      <w:pPr>
        <w:pStyle w:val="parrafos"/>
        <w:tabs>
          <w:tab w:val="left" w:pos="360"/>
        </w:tabs>
        <w:rPr>
          <w:lang w:val="es-AR"/>
        </w:rPr>
      </w:pPr>
    </w:p>
    <w:p w14:paraId="0A53CC86" w14:textId="77777777" w:rsidR="00487D1D" w:rsidRPr="001D3E10" w:rsidRDefault="00487D1D"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 En atención al tiempo transcurrido desde la recepción del expediente desde el Archivo General Judicial sin que tuviera actividad alguna, devuélvase el mismo para ser colocado en el legajo respectivo</w:t>
      </w:r>
      <w:r w:rsidRPr="001D3E10">
        <w:rPr>
          <w:rStyle w:val="FootnoteReference"/>
          <w:rFonts w:asciiTheme="minorHAnsi" w:eastAsia="Cambria" w:hAnsiTheme="minorHAnsi" w:cs="Cambria"/>
          <w:color w:val="000000"/>
          <w:sz w:val="20"/>
          <w:szCs w:val="20"/>
          <w:u w:color="000000"/>
          <w:bdr w:val="nil"/>
          <w:lang w:eastAsia="es-ES"/>
        </w:rPr>
        <w:footnoteReference w:id="18"/>
      </w:r>
      <w:r w:rsidRPr="001D3E10">
        <w:rPr>
          <w:rFonts w:ascii="Cambria" w:eastAsia="Cambria" w:hAnsi="Cambria" w:cs="Cambria"/>
          <w:color w:val="000000"/>
          <w:sz w:val="18"/>
          <w:szCs w:val="24"/>
          <w:u w:color="000000"/>
          <w:bdr w:val="nil"/>
          <w:lang w:eastAsia="es-ES"/>
        </w:rPr>
        <w:t xml:space="preserve">. </w:t>
      </w:r>
    </w:p>
    <w:p w14:paraId="4BD9D7F1" w14:textId="77777777" w:rsidR="00487D1D" w:rsidRPr="001D3E10" w:rsidRDefault="00487D1D" w:rsidP="00487D1D">
      <w:pPr>
        <w:pStyle w:val="parrafos"/>
        <w:tabs>
          <w:tab w:val="left" w:pos="360"/>
        </w:tabs>
        <w:rPr>
          <w:lang w:val="es-AR"/>
        </w:rPr>
      </w:pPr>
    </w:p>
    <w:p w14:paraId="7F3E1948" w14:textId="77777777" w:rsidR="00487D1D" w:rsidRPr="001D3E10" w:rsidRDefault="00487D1D" w:rsidP="00487D1D">
      <w:pPr>
        <w:pStyle w:val="parrafos"/>
        <w:numPr>
          <w:ilvl w:val="0"/>
          <w:numId w:val="4"/>
        </w:numPr>
        <w:tabs>
          <w:tab w:val="left" w:pos="360"/>
        </w:tabs>
        <w:ind w:left="0" w:firstLine="0"/>
        <w:rPr>
          <w:lang w:val="es-AR"/>
        </w:rPr>
      </w:pPr>
      <w:r w:rsidRPr="001D3E10">
        <w:rPr>
          <w:lang w:val="es-AR"/>
        </w:rPr>
        <w:t>El 7 de julio de 2008, la Cámara Nacional de Apelaciones en lo Comercial dispuso el archivo de las actuaciones en esa instancia en los siguientes términos:</w:t>
      </w:r>
    </w:p>
    <w:p w14:paraId="0C5CCC1B" w14:textId="77777777" w:rsidR="00487D1D" w:rsidRPr="001D3E10" w:rsidRDefault="00487D1D" w:rsidP="00487D1D">
      <w:pPr>
        <w:pStyle w:val="parrafos"/>
        <w:tabs>
          <w:tab w:val="left" w:pos="360"/>
        </w:tabs>
        <w:rPr>
          <w:lang w:val="es-AR"/>
        </w:rPr>
      </w:pPr>
    </w:p>
    <w:p w14:paraId="5F0EDF7B" w14:textId="77777777" w:rsidR="00487D1D" w:rsidRPr="001D3E10" w:rsidRDefault="00487D1D" w:rsidP="002C363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 xml:space="preserve">(…) Intímase a la parte actora para que dentro del plazo de 48 hrs. retire de la Secretaría la documental y demás anexos acompañados oportunamente en los autos principales, bajo apercibimiento de destrucción. </w:t>
      </w:r>
    </w:p>
    <w:p w14:paraId="64FEE746" w14:textId="03B7239E" w:rsidR="005A5147" w:rsidRPr="001D3E10" w:rsidRDefault="00487D1D" w:rsidP="002C363B">
      <w:pPr>
        <w:pBdr>
          <w:top w:val="nil"/>
          <w:left w:val="nil"/>
          <w:bottom w:val="nil"/>
          <w:right w:val="nil"/>
          <w:between w:val="nil"/>
          <w:bar w:val="nil"/>
        </w:pBdr>
        <w:spacing w:after="0" w:line="240" w:lineRule="auto"/>
        <w:ind w:left="360" w:right="270"/>
        <w:rPr>
          <w:rFonts w:ascii="Cambria" w:eastAsia="Cambria" w:hAnsi="Cambria" w:cs="Cambria"/>
          <w:color w:val="000000"/>
          <w:sz w:val="18"/>
          <w:szCs w:val="24"/>
          <w:u w:color="000000"/>
          <w:bdr w:val="nil"/>
          <w:lang w:eastAsia="es-ES"/>
        </w:rPr>
      </w:pPr>
      <w:r w:rsidRPr="001D3E10">
        <w:rPr>
          <w:rFonts w:ascii="Cambria" w:eastAsia="Cambria" w:hAnsi="Cambria" w:cs="Cambria"/>
          <w:color w:val="000000"/>
          <w:sz w:val="18"/>
          <w:szCs w:val="24"/>
          <w:u w:color="000000"/>
          <w:bdr w:val="nil"/>
          <w:lang w:eastAsia="es-ES"/>
        </w:rPr>
        <w:t>Ello, sin el perjuicio de que el expte. se encuentra en el archivo, por cuanto por disposición de la Excma. Cámara  Comercial es indispensable desocupar en forma inmediata el sótano del edificio. Notifíquese por Secretaría</w:t>
      </w:r>
      <w:r w:rsidRPr="001D3E10">
        <w:rPr>
          <w:rStyle w:val="FootnoteReference"/>
          <w:rFonts w:asciiTheme="minorHAnsi" w:eastAsia="Cambria" w:hAnsiTheme="minorHAnsi" w:cs="Cambria"/>
          <w:color w:val="000000"/>
          <w:sz w:val="16"/>
          <w:szCs w:val="16"/>
          <w:u w:color="000000"/>
          <w:bdr w:val="nil"/>
          <w:lang w:eastAsia="es-ES"/>
        </w:rPr>
        <w:footnoteReference w:id="19"/>
      </w:r>
      <w:r w:rsidRPr="001D3E10">
        <w:rPr>
          <w:rFonts w:ascii="Cambria" w:eastAsia="Cambria" w:hAnsi="Cambria" w:cs="Cambria"/>
          <w:color w:val="000000"/>
          <w:sz w:val="18"/>
          <w:szCs w:val="24"/>
          <w:u w:color="000000"/>
          <w:bdr w:val="nil"/>
          <w:lang w:eastAsia="es-ES"/>
        </w:rPr>
        <w:t>.</w:t>
      </w:r>
    </w:p>
    <w:p w14:paraId="530A4178" w14:textId="77777777" w:rsidR="0063658A" w:rsidRPr="001D3E10" w:rsidRDefault="0063658A" w:rsidP="0063658A">
      <w:pPr>
        <w:pStyle w:val="parrafos"/>
        <w:tabs>
          <w:tab w:val="left" w:pos="360"/>
        </w:tabs>
        <w:rPr>
          <w:lang w:val="es-AR"/>
        </w:rPr>
      </w:pPr>
    </w:p>
    <w:p w14:paraId="711E3576" w14:textId="7909A005" w:rsidR="00070F35" w:rsidRPr="001D3E10" w:rsidRDefault="00487D1D" w:rsidP="004F6FE0">
      <w:pPr>
        <w:pStyle w:val="parrafos"/>
        <w:numPr>
          <w:ilvl w:val="0"/>
          <w:numId w:val="4"/>
        </w:numPr>
        <w:tabs>
          <w:tab w:val="left" w:pos="360"/>
        </w:tabs>
        <w:ind w:left="0" w:firstLine="0"/>
        <w:rPr>
          <w:lang w:val="es-AR"/>
        </w:rPr>
      </w:pPr>
      <w:r w:rsidRPr="001D3E10">
        <w:rPr>
          <w:lang w:val="es-AR"/>
        </w:rPr>
        <w:t>Posteriormente, el</w:t>
      </w:r>
      <w:r w:rsidR="008E1D11" w:rsidRPr="001D3E10">
        <w:rPr>
          <w:lang w:val="es-AR"/>
        </w:rPr>
        <w:t xml:space="preserve"> 7 de marzo de 2012</w:t>
      </w:r>
      <w:r w:rsidR="004F6FE0" w:rsidRPr="001D3E10">
        <w:rPr>
          <w:lang w:val="es-AR"/>
        </w:rPr>
        <w:t xml:space="preserve"> el </w:t>
      </w:r>
      <w:r w:rsidR="005A5147" w:rsidRPr="001D3E10">
        <w:rPr>
          <w:lang w:val="es-AR"/>
        </w:rPr>
        <w:t xml:space="preserve">Juzgado Nacional de Primera Instancia en lo Comercial No. 4, Secretaría No. 7 </w:t>
      </w:r>
      <w:r w:rsidR="00070F35" w:rsidRPr="001D3E10">
        <w:rPr>
          <w:lang w:val="es-AR"/>
        </w:rPr>
        <w:t>orden</w:t>
      </w:r>
      <w:r w:rsidR="00057227" w:rsidRPr="001D3E10">
        <w:rPr>
          <w:lang w:val="es-AR"/>
        </w:rPr>
        <w:t xml:space="preserve">ó una nueva inhibición general </w:t>
      </w:r>
      <w:r w:rsidR="00070F35" w:rsidRPr="001D3E10">
        <w:rPr>
          <w:lang w:val="es-AR"/>
        </w:rPr>
        <w:t xml:space="preserve">de bienes en contra de las presuntas víctimas. </w:t>
      </w:r>
      <w:r w:rsidRPr="001D3E10">
        <w:rPr>
          <w:lang w:val="es-AR"/>
        </w:rPr>
        <w:t xml:space="preserve">El informe procesal presentado por </w:t>
      </w:r>
      <w:r w:rsidR="0041277A" w:rsidRPr="001D3E10">
        <w:rPr>
          <w:lang w:val="es-AR"/>
        </w:rPr>
        <w:t>la secretaría del Juzgado Nacional indicó</w:t>
      </w:r>
      <w:r w:rsidR="00070F35" w:rsidRPr="001D3E10">
        <w:rPr>
          <w:lang w:val="es-AR"/>
        </w:rPr>
        <w:t>:</w:t>
      </w:r>
    </w:p>
    <w:p w14:paraId="2B91D9AA" w14:textId="77777777" w:rsidR="00070F35" w:rsidRPr="001D3E10" w:rsidRDefault="00070F35" w:rsidP="00070F35">
      <w:pPr>
        <w:pStyle w:val="parrafos"/>
        <w:tabs>
          <w:tab w:val="left" w:pos="360"/>
        </w:tabs>
        <w:rPr>
          <w:lang w:val="es-AR"/>
        </w:rPr>
      </w:pPr>
    </w:p>
    <w:p w14:paraId="654111F5" w14:textId="6C0BB7C1" w:rsidR="00487D1D" w:rsidRPr="001D3E10" w:rsidRDefault="00070F35" w:rsidP="002C363B">
      <w:pPr>
        <w:ind w:left="360" w:right="270"/>
        <w:jc w:val="both"/>
        <w:rPr>
          <w:rFonts w:ascii="Cambria" w:eastAsia="Cambria" w:hAnsi="Cambria" w:cs="Cambria"/>
          <w:color w:val="000000"/>
          <w:sz w:val="18"/>
          <w:u w:color="000000"/>
          <w:lang w:eastAsia="es-ES"/>
        </w:rPr>
      </w:pPr>
      <w:r w:rsidRPr="001D3E10">
        <w:rPr>
          <w:rFonts w:ascii="Cambria" w:eastAsia="Cambria" w:hAnsi="Cambria" w:cs="Cambria"/>
          <w:color w:val="000000"/>
          <w:sz w:val="18"/>
          <w:u w:color="000000"/>
          <w:lang w:eastAsia="es-ES"/>
        </w:rPr>
        <w:t>(…)</w:t>
      </w:r>
      <w:r w:rsidR="00A41573" w:rsidRPr="001D3E10">
        <w:rPr>
          <w:rFonts w:ascii="Cambria" w:eastAsia="Cambria" w:hAnsi="Cambria" w:cs="Cambria"/>
          <w:color w:val="000000"/>
          <w:sz w:val="18"/>
          <w:u w:color="000000"/>
          <w:lang w:eastAsia="es-ES"/>
        </w:rPr>
        <w:t xml:space="preserve"> </w:t>
      </w:r>
      <w:r w:rsidR="00F95A9B" w:rsidRPr="001D3E10">
        <w:rPr>
          <w:rFonts w:ascii="Cambria" w:eastAsia="Cambria" w:hAnsi="Cambria" w:cs="Cambria"/>
          <w:color w:val="000000"/>
          <w:sz w:val="18"/>
          <w:u w:color="000000"/>
          <w:lang w:eastAsia="es-ES"/>
        </w:rPr>
        <w:t xml:space="preserve">en virtud de la </w:t>
      </w:r>
      <w:r w:rsidR="008E1D11" w:rsidRPr="001D3E10">
        <w:rPr>
          <w:rFonts w:ascii="Cambria" w:eastAsia="Cambria" w:hAnsi="Cambria" w:cs="Cambria"/>
          <w:color w:val="000000"/>
          <w:sz w:val="18"/>
          <w:u w:color="000000"/>
          <w:lang w:eastAsia="es-ES"/>
        </w:rPr>
        <w:t xml:space="preserve">condena recaída en autos, se ordenó (…) la inscripción de una nueva inhibición general de bienes a </w:t>
      </w:r>
      <w:r w:rsidR="00E8217D" w:rsidRPr="001D3E10">
        <w:rPr>
          <w:rFonts w:ascii="Cambria" w:eastAsia="Cambria" w:hAnsi="Cambria" w:cs="Cambria"/>
          <w:color w:val="000000"/>
          <w:sz w:val="18"/>
          <w:u w:color="000000"/>
          <w:lang w:eastAsia="es-ES"/>
        </w:rPr>
        <w:t>pedido del Banco Central de la R</w:t>
      </w:r>
      <w:r w:rsidR="008E1D11" w:rsidRPr="001D3E10">
        <w:rPr>
          <w:rFonts w:ascii="Cambria" w:eastAsia="Cambria" w:hAnsi="Cambria" w:cs="Cambria"/>
          <w:color w:val="000000"/>
          <w:sz w:val="18"/>
          <w:u w:color="000000"/>
          <w:lang w:eastAsia="es-ES"/>
        </w:rPr>
        <w:t>epública Argentina contra los demandados, entre los que se incluyen las dos personas en cuestión. Hasta el día de la fecha no se acreditó su traba</w:t>
      </w:r>
      <w:r w:rsidR="00487D1D" w:rsidRPr="001D3E10">
        <w:rPr>
          <w:rFonts w:ascii="Cambria" w:eastAsia="Cambria" w:hAnsi="Cambria" w:cs="Cambria"/>
          <w:color w:val="000000"/>
          <w:sz w:val="18"/>
          <w:u w:color="000000"/>
          <w:lang w:eastAsia="es-ES"/>
        </w:rPr>
        <w:t xml:space="preserve">. </w:t>
      </w:r>
    </w:p>
    <w:p w14:paraId="70BE43C3" w14:textId="42753DE2" w:rsidR="00487D1D" w:rsidRPr="001D3E10" w:rsidRDefault="00487D1D" w:rsidP="002C363B">
      <w:pPr>
        <w:ind w:left="360" w:right="270"/>
        <w:jc w:val="both"/>
        <w:rPr>
          <w:rFonts w:ascii="Cambria" w:eastAsia="Cambria" w:hAnsi="Cambria" w:cs="Cambria"/>
          <w:color w:val="000000"/>
          <w:sz w:val="18"/>
          <w:u w:color="000000"/>
          <w:lang w:eastAsia="es-ES"/>
        </w:rPr>
      </w:pPr>
      <w:r w:rsidRPr="001D3E10">
        <w:rPr>
          <w:rFonts w:ascii="Cambria" w:eastAsia="Cambria" w:hAnsi="Cambria" w:cs="Cambria"/>
          <w:color w:val="000000"/>
          <w:sz w:val="18"/>
          <w:u w:color="000000"/>
          <w:lang w:eastAsia="es-ES"/>
        </w:rPr>
        <w:t xml:space="preserve">vi. </w:t>
      </w:r>
      <w:r w:rsidR="007C7CF6" w:rsidRPr="001D3E10">
        <w:rPr>
          <w:rFonts w:ascii="Cambria" w:eastAsia="Cambria" w:hAnsi="Cambria" w:cs="Cambria"/>
          <w:color w:val="000000"/>
          <w:sz w:val="18"/>
          <w:u w:color="000000"/>
          <w:lang w:eastAsia="es-ES"/>
        </w:rPr>
        <w:t>Por otra parte, tras el relevam</w:t>
      </w:r>
      <w:r w:rsidRPr="001D3E10">
        <w:rPr>
          <w:rFonts w:ascii="Cambria" w:eastAsia="Cambria" w:hAnsi="Cambria" w:cs="Cambria"/>
          <w:color w:val="000000"/>
          <w:sz w:val="18"/>
          <w:u w:color="000000"/>
          <w:lang w:eastAsia="es-ES"/>
        </w:rPr>
        <w:t>i</w:t>
      </w:r>
      <w:r w:rsidR="007C7CF6" w:rsidRPr="001D3E10">
        <w:rPr>
          <w:rFonts w:ascii="Cambria" w:eastAsia="Cambria" w:hAnsi="Cambria" w:cs="Cambria"/>
          <w:color w:val="000000"/>
          <w:sz w:val="18"/>
          <w:u w:color="000000"/>
          <w:lang w:eastAsia="es-ES"/>
        </w:rPr>
        <w:t>e</w:t>
      </w:r>
      <w:r w:rsidRPr="001D3E10">
        <w:rPr>
          <w:rFonts w:ascii="Cambria" w:eastAsia="Cambria" w:hAnsi="Cambria" w:cs="Cambria"/>
          <w:color w:val="000000"/>
          <w:sz w:val="18"/>
          <w:u w:color="000000"/>
          <w:lang w:eastAsia="es-ES"/>
        </w:rPr>
        <w:t>nto efectuado, cabe señalar que ninguno de estos dos demandados peticionó concretamente el levantamiento de la inhibición general de bienes, y menos justificaron o argumentaron los motivos que debe</w:t>
      </w:r>
      <w:r w:rsidR="007C7CF6" w:rsidRPr="001D3E10">
        <w:rPr>
          <w:rFonts w:ascii="Cambria" w:eastAsia="Cambria" w:hAnsi="Cambria" w:cs="Cambria"/>
          <w:color w:val="000000"/>
          <w:sz w:val="18"/>
          <w:u w:color="000000"/>
          <w:lang w:eastAsia="es-ES"/>
        </w:rPr>
        <w:t>rían evaluarse para su levantam</w:t>
      </w:r>
      <w:r w:rsidRPr="001D3E10">
        <w:rPr>
          <w:rFonts w:ascii="Cambria" w:eastAsia="Cambria" w:hAnsi="Cambria" w:cs="Cambria"/>
          <w:color w:val="000000"/>
          <w:sz w:val="18"/>
          <w:u w:color="000000"/>
          <w:lang w:eastAsia="es-ES"/>
        </w:rPr>
        <w:t>i</w:t>
      </w:r>
      <w:r w:rsidR="007C7CF6" w:rsidRPr="001D3E10">
        <w:rPr>
          <w:rFonts w:ascii="Cambria" w:eastAsia="Cambria" w:hAnsi="Cambria" w:cs="Cambria"/>
          <w:color w:val="000000"/>
          <w:sz w:val="18"/>
          <w:u w:color="000000"/>
          <w:lang w:eastAsia="es-ES"/>
        </w:rPr>
        <w:t>e</w:t>
      </w:r>
      <w:r w:rsidRPr="001D3E10">
        <w:rPr>
          <w:rFonts w:ascii="Cambria" w:eastAsia="Cambria" w:hAnsi="Cambria" w:cs="Cambria"/>
          <w:color w:val="000000"/>
          <w:sz w:val="18"/>
          <w:u w:color="000000"/>
          <w:lang w:eastAsia="es-ES"/>
        </w:rPr>
        <w:t>nto. Tampoco pidieron una sustitución de la medida cautelar en los términos del art. 203 del CPCC.</w:t>
      </w:r>
    </w:p>
    <w:p w14:paraId="2397EEB8" w14:textId="25DA25C0" w:rsidR="00CB7C3D" w:rsidRPr="001D3E10" w:rsidRDefault="00487D1D" w:rsidP="002C363B">
      <w:pPr>
        <w:ind w:left="360" w:right="270"/>
        <w:jc w:val="both"/>
        <w:rPr>
          <w:rFonts w:ascii="Cambria" w:eastAsia="Cambria" w:hAnsi="Cambria" w:cs="Cambria"/>
          <w:color w:val="000000"/>
          <w:sz w:val="18"/>
          <w:u w:color="000000"/>
          <w:lang w:eastAsia="es-ES"/>
        </w:rPr>
      </w:pPr>
      <w:r w:rsidRPr="001D3E10">
        <w:rPr>
          <w:rFonts w:ascii="Cambria" w:eastAsia="Cambria" w:hAnsi="Cambria" w:cs="Cambria"/>
          <w:color w:val="000000"/>
          <w:sz w:val="18"/>
          <w:u w:color="000000"/>
          <w:lang w:eastAsia="es-ES"/>
        </w:rPr>
        <w:t>Finalmente, se informa que</w:t>
      </w:r>
      <w:r w:rsidR="0041277A" w:rsidRPr="001D3E10">
        <w:rPr>
          <w:rFonts w:ascii="Cambria" w:eastAsia="Cambria" w:hAnsi="Cambria" w:cs="Cambria"/>
          <w:color w:val="000000"/>
          <w:sz w:val="18"/>
          <w:u w:color="000000"/>
          <w:lang w:eastAsia="es-ES"/>
        </w:rPr>
        <w:t xml:space="preserve"> en estos actuados no se trabó la inhibición general de bienes de los </w:t>
      </w:r>
      <w:r w:rsidR="0041277A" w:rsidRPr="001D3E10">
        <w:rPr>
          <w:rFonts w:ascii="Cambria" w:eastAsia="Cambria" w:hAnsi="Cambria" w:cs="Cambria"/>
          <w:b/>
          <w:i/>
          <w:color w:val="000000"/>
          <w:sz w:val="18"/>
          <w:u w:color="000000"/>
          <w:lang w:eastAsia="es-ES"/>
        </w:rPr>
        <w:t>Sres. Rafael Chaikin y Héctor Leonardo Kemelmajen</w:t>
      </w:r>
      <w:r w:rsidR="0041277A" w:rsidRPr="001D3E10">
        <w:rPr>
          <w:rFonts w:ascii="Cambria" w:eastAsia="Cambria" w:hAnsi="Cambria" w:cs="Cambria"/>
          <w:color w:val="000000"/>
          <w:sz w:val="18"/>
          <w:u w:color="000000"/>
          <w:lang w:eastAsia="es-ES"/>
        </w:rPr>
        <w:t xml:space="preserve"> ante algún otro organismo o registro público. Como tampoco se ordenó inhabilitación alguna para ejercer el comercio u otra medida restrictiva en tal sentido</w:t>
      </w:r>
      <w:r w:rsidR="0041277A" w:rsidRPr="001D3E10">
        <w:rPr>
          <w:rStyle w:val="FootnoteReference"/>
          <w:rFonts w:asciiTheme="minorHAnsi" w:eastAsia="Cambria" w:hAnsiTheme="minorHAnsi" w:cs="Cambria"/>
          <w:color w:val="000000"/>
          <w:sz w:val="16"/>
          <w:szCs w:val="16"/>
          <w:u w:color="000000"/>
          <w:bdr w:val="nil"/>
          <w:lang w:eastAsia="es-ES"/>
        </w:rPr>
        <w:footnoteReference w:id="20"/>
      </w:r>
      <w:r w:rsidR="0041277A" w:rsidRPr="001D3E10">
        <w:rPr>
          <w:rFonts w:ascii="Cambria" w:eastAsia="Cambria" w:hAnsi="Cambria" w:cs="Cambria"/>
          <w:color w:val="000000"/>
          <w:sz w:val="18"/>
          <w:u w:color="000000"/>
          <w:lang w:eastAsia="es-ES"/>
        </w:rPr>
        <w:t>.</w:t>
      </w:r>
      <w:r w:rsidRPr="001D3E10">
        <w:rPr>
          <w:rFonts w:ascii="Cambria" w:eastAsia="Cambria" w:hAnsi="Cambria" w:cs="Cambria"/>
          <w:color w:val="000000"/>
          <w:sz w:val="18"/>
          <w:u w:color="000000"/>
          <w:lang w:eastAsia="es-ES"/>
        </w:rPr>
        <w:t xml:space="preserve"> </w:t>
      </w:r>
      <w:r w:rsidR="0041277A" w:rsidRPr="001D3E10">
        <w:rPr>
          <w:rFonts w:ascii="Cambria" w:eastAsia="Cambria" w:hAnsi="Cambria" w:cs="Cambria"/>
          <w:color w:val="000000"/>
          <w:sz w:val="18"/>
          <w:u w:color="000000"/>
          <w:lang w:eastAsia="es-ES"/>
        </w:rPr>
        <w:t>”</w:t>
      </w:r>
      <w:r w:rsidR="00AB1DAA" w:rsidRPr="001D3E10">
        <w:t>.</w:t>
      </w:r>
    </w:p>
    <w:p w14:paraId="5F63622D" w14:textId="0C8CDD74" w:rsidR="00CB7C3D" w:rsidRPr="001D3E10" w:rsidRDefault="00EB68C6" w:rsidP="001F125E">
      <w:pPr>
        <w:pStyle w:val="parrafos"/>
        <w:numPr>
          <w:ilvl w:val="0"/>
          <w:numId w:val="4"/>
        </w:numPr>
        <w:tabs>
          <w:tab w:val="left" w:pos="360"/>
        </w:tabs>
        <w:ind w:left="0" w:firstLine="0"/>
        <w:rPr>
          <w:color w:val="000000" w:themeColor="text1"/>
          <w:lang w:val="es-AR"/>
        </w:rPr>
      </w:pPr>
      <w:r w:rsidRPr="001D3E10">
        <w:rPr>
          <w:color w:val="000000" w:themeColor="text1"/>
          <w:lang w:val="es-AR"/>
        </w:rPr>
        <w:t>Según indicó la parte peticionaria</w:t>
      </w:r>
      <w:r w:rsidR="00CB580E" w:rsidRPr="001D3E10">
        <w:rPr>
          <w:color w:val="000000" w:themeColor="text1"/>
          <w:lang w:val="es-AR"/>
        </w:rPr>
        <w:t>,</w:t>
      </w:r>
      <w:r w:rsidR="00AF49BE" w:rsidRPr="001D3E10">
        <w:rPr>
          <w:color w:val="000000" w:themeColor="text1"/>
          <w:lang w:val="es-AR"/>
        </w:rPr>
        <w:t xml:space="preserve"> el expediente sigue sin una sentencia firme</w:t>
      </w:r>
      <w:r w:rsidR="00262345" w:rsidRPr="001D3E10">
        <w:rPr>
          <w:color w:val="000000" w:themeColor="text1"/>
          <w:lang w:val="es-AR"/>
        </w:rPr>
        <w:t xml:space="preserve"> pero sin posibilidad de reabrirse </w:t>
      </w:r>
      <w:r w:rsidR="007A1D1E" w:rsidRPr="001D3E10">
        <w:rPr>
          <w:rStyle w:val="FootnoteReference"/>
          <w:rFonts w:asciiTheme="minorHAnsi" w:hAnsiTheme="minorHAnsi"/>
          <w:color w:val="000000" w:themeColor="text1"/>
          <w:sz w:val="20"/>
          <w:lang w:val="es-AR"/>
        </w:rPr>
        <w:footnoteReference w:id="21"/>
      </w:r>
      <w:r w:rsidR="00AF49BE" w:rsidRPr="001D3E10">
        <w:rPr>
          <w:color w:val="000000" w:themeColor="text1"/>
          <w:lang w:val="es-AR"/>
        </w:rPr>
        <w:t xml:space="preserve">. </w:t>
      </w:r>
    </w:p>
    <w:p w14:paraId="460077CD" w14:textId="7C743BF4" w:rsidR="001F125E" w:rsidRPr="001D3E10" w:rsidRDefault="001F125E" w:rsidP="001F125E">
      <w:pPr>
        <w:pStyle w:val="parrafos"/>
        <w:tabs>
          <w:tab w:val="left" w:pos="360"/>
        </w:tabs>
        <w:rPr>
          <w:color w:val="000000" w:themeColor="text1"/>
          <w:lang w:val="es-AR"/>
        </w:rPr>
      </w:pPr>
    </w:p>
    <w:p w14:paraId="122CF1E9" w14:textId="154C297D" w:rsidR="001F125E" w:rsidRPr="001D3E10" w:rsidRDefault="001F125E" w:rsidP="001F125E">
      <w:pPr>
        <w:pStyle w:val="parrafos"/>
        <w:tabs>
          <w:tab w:val="left" w:pos="360"/>
        </w:tabs>
        <w:rPr>
          <w:color w:val="000000" w:themeColor="text1"/>
          <w:lang w:val="es-AR"/>
        </w:rPr>
      </w:pPr>
    </w:p>
    <w:p w14:paraId="25E04CB2" w14:textId="2C953B24" w:rsidR="002C363B" w:rsidRPr="001D3E10" w:rsidRDefault="002C363B" w:rsidP="001F125E">
      <w:pPr>
        <w:pStyle w:val="parrafos"/>
        <w:tabs>
          <w:tab w:val="left" w:pos="360"/>
        </w:tabs>
        <w:rPr>
          <w:color w:val="000000" w:themeColor="text1"/>
          <w:lang w:val="es-AR"/>
        </w:rPr>
      </w:pPr>
    </w:p>
    <w:p w14:paraId="5ABB82AC" w14:textId="77777777" w:rsidR="002C363B" w:rsidRPr="001D3E10" w:rsidRDefault="002C363B" w:rsidP="001F125E">
      <w:pPr>
        <w:pStyle w:val="parrafos"/>
        <w:tabs>
          <w:tab w:val="left" w:pos="360"/>
        </w:tabs>
        <w:rPr>
          <w:color w:val="000000" w:themeColor="text1"/>
          <w:lang w:val="es-AR"/>
        </w:rPr>
      </w:pPr>
    </w:p>
    <w:p w14:paraId="6324ED20" w14:textId="0326F08D" w:rsidR="00CB7C3D" w:rsidRPr="001D3E10" w:rsidRDefault="00CB7C3D" w:rsidP="00CB7C3D">
      <w:pPr>
        <w:pStyle w:val="Heading1"/>
        <w:numPr>
          <w:ilvl w:val="0"/>
          <w:numId w:val="2"/>
        </w:numPr>
        <w:tabs>
          <w:tab w:val="clear" w:pos="1440"/>
          <w:tab w:val="num" w:pos="360"/>
          <w:tab w:val="left" w:pos="1350"/>
        </w:tabs>
        <w:ind w:left="0" w:firstLine="0"/>
        <w:rPr>
          <w:lang w:val="es-AR"/>
        </w:rPr>
      </w:pPr>
      <w:bookmarkStart w:id="53" w:name="_Toc491078735"/>
      <w:bookmarkStart w:id="54" w:name="_Toc203469409"/>
      <w:r w:rsidRPr="001D3E10">
        <w:rPr>
          <w:lang w:val="es-AR"/>
        </w:rPr>
        <w:t>ANÁLISIS DE DERECHO</w:t>
      </w:r>
      <w:bookmarkEnd w:id="53"/>
      <w:bookmarkEnd w:id="54"/>
    </w:p>
    <w:p w14:paraId="07E7035A" w14:textId="77777777" w:rsidR="00CB7C3D" w:rsidRPr="001D3E10" w:rsidRDefault="00CB7C3D" w:rsidP="00CB7C3D">
      <w:pPr>
        <w:spacing w:after="0"/>
      </w:pPr>
    </w:p>
    <w:p w14:paraId="1AA9E042" w14:textId="77777777" w:rsidR="00CB7C3D" w:rsidRPr="001D3E10" w:rsidRDefault="00CB7C3D" w:rsidP="00CB7C3D">
      <w:pPr>
        <w:pStyle w:val="Heading2"/>
        <w:numPr>
          <w:ilvl w:val="0"/>
          <w:numId w:val="14"/>
        </w:numPr>
        <w:tabs>
          <w:tab w:val="left" w:pos="360"/>
        </w:tabs>
        <w:ind w:left="0" w:firstLine="0"/>
        <w:rPr>
          <w:i/>
          <w:lang w:val="es-AR"/>
        </w:rPr>
      </w:pPr>
      <w:bookmarkStart w:id="55" w:name="_Toc491078736"/>
      <w:bookmarkStart w:id="56" w:name="_Toc203469410"/>
      <w:r w:rsidRPr="001D3E10">
        <w:rPr>
          <w:lang w:val="es-AR"/>
        </w:rPr>
        <w:t>Derechos a las garantías judiciales</w:t>
      </w:r>
      <w:r w:rsidRPr="001D3E10">
        <w:rPr>
          <w:rStyle w:val="FootnoteReference"/>
          <w:rFonts w:asciiTheme="minorHAnsi" w:hAnsiTheme="minorHAnsi"/>
          <w:color w:val="000000" w:themeColor="text1"/>
          <w:sz w:val="20"/>
          <w:lang w:val="es-AR"/>
        </w:rPr>
        <w:footnoteReference w:id="22"/>
      </w:r>
      <w:r w:rsidRPr="001D3E10">
        <w:rPr>
          <w:lang w:val="es-AR"/>
        </w:rPr>
        <w:t xml:space="preserve"> y protección judicial</w:t>
      </w:r>
      <w:r w:rsidRPr="001D3E10">
        <w:rPr>
          <w:rStyle w:val="FootnoteReference"/>
          <w:rFonts w:asciiTheme="minorHAnsi" w:hAnsiTheme="minorHAnsi"/>
          <w:color w:val="000000" w:themeColor="text1"/>
          <w:sz w:val="20"/>
          <w:lang w:val="es-AR"/>
        </w:rPr>
        <w:footnoteReference w:id="23"/>
      </w:r>
      <w:bookmarkEnd w:id="55"/>
      <w:bookmarkEnd w:id="56"/>
      <w:r w:rsidRPr="001D3E10">
        <w:rPr>
          <w:lang w:val="es-AR"/>
        </w:rPr>
        <w:t xml:space="preserve"> </w:t>
      </w:r>
    </w:p>
    <w:p w14:paraId="020D1295" w14:textId="77777777" w:rsidR="00CB7C3D" w:rsidRPr="001D3E10" w:rsidRDefault="00CB7C3D" w:rsidP="00CB7C3D">
      <w:pPr>
        <w:tabs>
          <w:tab w:val="left" w:pos="720"/>
        </w:tabs>
        <w:spacing w:after="0"/>
        <w:ind w:firstLine="630"/>
        <w:jc w:val="both"/>
        <w:rPr>
          <w:rFonts w:ascii="Cambria" w:hAnsi="Cambria"/>
          <w:color w:val="000000" w:themeColor="text1"/>
          <w:sz w:val="20"/>
          <w:szCs w:val="20"/>
        </w:rPr>
      </w:pPr>
    </w:p>
    <w:p w14:paraId="74DA83C3" w14:textId="0DC42EC1" w:rsidR="00CB7C3D" w:rsidRPr="001D3E10" w:rsidRDefault="00CB7C3D" w:rsidP="00CB7C3D">
      <w:pPr>
        <w:pStyle w:val="Heading3"/>
        <w:keepLines/>
        <w:numPr>
          <w:ilvl w:val="0"/>
          <w:numId w:val="15"/>
        </w:numPr>
        <w:pBdr>
          <w:top w:val="nil"/>
          <w:left w:val="nil"/>
          <w:bottom w:val="nil"/>
          <w:right w:val="nil"/>
          <w:between w:val="nil"/>
          <w:bar w:val="nil"/>
        </w:pBdr>
        <w:tabs>
          <w:tab w:val="left" w:pos="360"/>
        </w:tabs>
        <w:spacing w:before="0" w:after="0" w:line="240" w:lineRule="auto"/>
        <w:ind w:left="0" w:firstLine="0"/>
        <w:rPr>
          <w:sz w:val="20"/>
          <w:szCs w:val="20"/>
        </w:rPr>
      </w:pPr>
      <w:bookmarkStart w:id="57" w:name="_Toc491078737"/>
      <w:bookmarkStart w:id="58" w:name="_Toc203469411"/>
      <w:r w:rsidRPr="001D3E10">
        <w:rPr>
          <w:sz w:val="20"/>
          <w:szCs w:val="20"/>
        </w:rPr>
        <w:t>Consideraciones generales</w:t>
      </w:r>
      <w:bookmarkEnd w:id="57"/>
      <w:bookmarkEnd w:id="58"/>
    </w:p>
    <w:p w14:paraId="3A4252E4" w14:textId="77777777" w:rsidR="00CB7C3D" w:rsidRPr="001D3E10" w:rsidRDefault="00CB7C3D" w:rsidP="00CB7C3D">
      <w:pPr>
        <w:spacing w:after="0"/>
      </w:pPr>
    </w:p>
    <w:p w14:paraId="0D0196EB" w14:textId="4C650D4C" w:rsidR="00CB7C3D" w:rsidRPr="001D3E10" w:rsidRDefault="00CB7C3D" w:rsidP="00CB7C3D">
      <w:pPr>
        <w:pStyle w:val="parrafos"/>
        <w:numPr>
          <w:ilvl w:val="0"/>
          <w:numId w:val="4"/>
        </w:numPr>
        <w:tabs>
          <w:tab w:val="left" w:pos="360"/>
        </w:tabs>
        <w:ind w:left="0" w:firstLine="0"/>
        <w:rPr>
          <w:color w:val="000000" w:themeColor="text1"/>
          <w:lang w:val="es-AR"/>
        </w:rPr>
      </w:pPr>
      <w:r w:rsidRPr="001D3E10">
        <w:rPr>
          <w:rFonts w:cs="TimesNewRoman"/>
          <w:color w:val="000000" w:themeColor="text1"/>
          <w:lang w:val="es-AR" w:eastAsia="es-ES_tradnl"/>
        </w:rPr>
        <w:t xml:space="preserve">El derecho a </w:t>
      </w:r>
      <w:r w:rsidRPr="001D3E10">
        <w:rPr>
          <w:color w:val="000000" w:themeColor="text1"/>
          <w:lang w:val="es-AR"/>
        </w:rPr>
        <w:t xml:space="preserve">las garantías judiciales engloba al conjunto de requisitos que deben observarse en las instancias procesales a </w:t>
      </w:r>
      <w:r w:rsidRPr="001D3E10">
        <w:rPr>
          <w:lang w:val="es-AR"/>
        </w:rPr>
        <w:t>efectos</w:t>
      </w:r>
      <w:r w:rsidRPr="001D3E10">
        <w:rPr>
          <w:color w:val="000000" w:themeColor="text1"/>
          <w:lang w:val="es-AR"/>
        </w:rPr>
        <w:t xml:space="preserve"> de que las personas estén en condiciones de defender adecuadamente sus derechos ante cualquier acto del Estado</w:t>
      </w:r>
      <w:r w:rsidRPr="001D3E10">
        <w:rPr>
          <w:rStyle w:val="FootnoteReference"/>
          <w:rFonts w:asciiTheme="minorHAnsi" w:hAnsiTheme="minorHAnsi"/>
          <w:color w:val="000000" w:themeColor="text1"/>
          <w:sz w:val="20"/>
          <w:lang w:val="es-AR"/>
        </w:rPr>
        <w:footnoteReference w:id="24"/>
      </w:r>
      <w:r w:rsidRPr="001D3E10">
        <w:rPr>
          <w:color w:val="000000" w:themeColor="text1"/>
          <w:lang w:val="es-AR"/>
        </w:rPr>
        <w:t>. Tanto la Comisión como la Corte Interamericana de Derechos Humanos (en adelante “la Corte IDH”, “la Corte</w:t>
      </w:r>
      <w:r w:rsidR="00456FC7" w:rsidRPr="001D3E10">
        <w:rPr>
          <w:color w:val="000000" w:themeColor="text1"/>
          <w:lang w:val="es-AR"/>
        </w:rPr>
        <w:t xml:space="preserve">” o “la Corte Interamericana”) </w:t>
      </w:r>
      <w:r w:rsidRPr="001D3E10">
        <w:rPr>
          <w:color w:val="000000" w:themeColor="text1"/>
          <w:lang w:val="es-AR"/>
        </w:rPr>
        <w:t>han señalado reiteradamente que, en general, las garantías establecidas en el artículo 8 de la Convención Americana, no se limitan a procesos penales, sino que aplican a procesos de otra naturaleza</w:t>
      </w:r>
      <w:r w:rsidRPr="001D3E10">
        <w:rPr>
          <w:rStyle w:val="FootnoteReference"/>
          <w:rFonts w:ascii="Cambria" w:hAnsi="Cambria"/>
          <w:color w:val="000000" w:themeColor="text1"/>
          <w:sz w:val="20"/>
          <w:lang w:val="es-AR"/>
        </w:rPr>
        <w:footnoteReference w:id="25"/>
      </w:r>
      <w:r w:rsidRPr="001D3E10">
        <w:rPr>
          <w:color w:val="000000" w:themeColor="text1"/>
          <w:lang w:val="es-AR"/>
        </w:rPr>
        <w:t>. Específicamente, en procesos en los cuales se ventilen derechos o intereses de las personas resultan aplicables las “debidas garantías” establecidas en el artículo 8.1 de la Convención Americana</w:t>
      </w:r>
      <w:r w:rsidRPr="001D3E10">
        <w:rPr>
          <w:rStyle w:val="FootnoteReference"/>
          <w:rFonts w:asciiTheme="minorHAnsi" w:hAnsiTheme="minorHAnsi"/>
          <w:color w:val="000000" w:themeColor="text1"/>
          <w:sz w:val="20"/>
          <w:lang w:val="es-AR"/>
        </w:rPr>
        <w:footnoteReference w:id="26"/>
      </w:r>
      <w:r w:rsidRPr="001D3E10">
        <w:rPr>
          <w:color w:val="000000" w:themeColor="text1"/>
          <w:lang w:val="es-AR"/>
        </w:rPr>
        <w:t>, dentro de las cuales se encuentra la relativa a contar con una decisión en un plazo razonable. Este plazo debe apreciarse en relación con la duración total del proceso, desde el primer acto procesal, hasta que se dicta sentencia definitiva</w:t>
      </w:r>
      <w:r w:rsidRPr="001D3E10">
        <w:rPr>
          <w:rStyle w:val="FootnoteReference"/>
          <w:rFonts w:asciiTheme="minorHAnsi" w:hAnsiTheme="minorHAnsi"/>
          <w:color w:val="000000" w:themeColor="text1"/>
          <w:sz w:val="20"/>
          <w:lang w:val="es-AR"/>
        </w:rPr>
        <w:footnoteReference w:id="27"/>
      </w:r>
      <w:r w:rsidRPr="001D3E10">
        <w:rPr>
          <w:color w:val="000000" w:themeColor="text1"/>
          <w:lang w:val="es-AR"/>
        </w:rPr>
        <w:t xml:space="preserve">. </w:t>
      </w:r>
    </w:p>
    <w:p w14:paraId="7ECC3FC0" w14:textId="77777777" w:rsidR="00CB7C3D" w:rsidRPr="001D3E10" w:rsidRDefault="00CB7C3D" w:rsidP="00CB7C3D">
      <w:pPr>
        <w:pStyle w:val="parrafos"/>
        <w:tabs>
          <w:tab w:val="left" w:pos="360"/>
        </w:tabs>
        <w:rPr>
          <w:color w:val="000000" w:themeColor="text1"/>
          <w:lang w:val="es-AR"/>
        </w:rPr>
      </w:pPr>
    </w:p>
    <w:p w14:paraId="674558CF" w14:textId="22388787" w:rsidR="00CB7C3D" w:rsidRPr="001D3E10" w:rsidRDefault="00CB7C3D" w:rsidP="00DB4B16">
      <w:pPr>
        <w:pStyle w:val="parrafos"/>
        <w:numPr>
          <w:ilvl w:val="0"/>
          <w:numId w:val="4"/>
        </w:numPr>
        <w:tabs>
          <w:tab w:val="left" w:pos="360"/>
        </w:tabs>
        <w:ind w:left="0" w:firstLine="0"/>
        <w:rPr>
          <w:color w:val="000000" w:themeColor="text1"/>
          <w:lang w:val="es-AR"/>
        </w:rPr>
      </w:pPr>
      <w:r w:rsidRPr="001D3E10">
        <w:rPr>
          <w:rFonts w:cs="Bookman Old Style"/>
          <w:color w:val="000000" w:themeColor="text1"/>
          <w:lang w:val="es-AR"/>
        </w:rPr>
        <w:t xml:space="preserve">En su </w:t>
      </w:r>
      <w:r w:rsidRPr="001D3E10">
        <w:rPr>
          <w:rFonts w:cs="Arial"/>
          <w:color w:val="000000" w:themeColor="text1"/>
          <w:lang w:val="es-AR"/>
        </w:rPr>
        <w:t>jurisprudencia</w:t>
      </w:r>
      <w:r w:rsidRPr="001D3E10">
        <w:rPr>
          <w:rFonts w:cs="Bookman Old Style"/>
          <w:color w:val="000000" w:themeColor="text1"/>
          <w:lang w:val="es-AR"/>
        </w:rPr>
        <w:t xml:space="preserve"> constante, los órganos del sistema interamericano han tomado en consideración tres</w:t>
      </w:r>
      <w:r w:rsidRPr="001D3E10">
        <w:rPr>
          <w:rFonts w:cs="Univers"/>
          <w:color w:val="000000" w:themeColor="text1"/>
          <w:lang w:val="es-AR"/>
        </w:rPr>
        <w:t xml:space="preserve"> criterios que resultan </w:t>
      </w:r>
      <w:r w:rsidRPr="001D3E10">
        <w:rPr>
          <w:rFonts w:cs="TimesNewRoman"/>
          <w:color w:val="000000" w:themeColor="text1"/>
          <w:lang w:val="es-AR" w:eastAsia="es-ES_tradnl"/>
        </w:rPr>
        <w:t>relevantes</w:t>
      </w:r>
      <w:r w:rsidRPr="001D3E10">
        <w:rPr>
          <w:rFonts w:cs="Univers"/>
          <w:color w:val="000000" w:themeColor="text1"/>
          <w:lang w:val="es-AR"/>
        </w:rPr>
        <w:t xml:space="preserve"> para el análisis del presente caso, a saber: a) la complejidad del asunto, b) la conducta de las autoridades judiciales y c) la actividad procesal del interesado</w:t>
      </w:r>
      <w:r w:rsidRPr="001D3E10">
        <w:rPr>
          <w:rStyle w:val="FootnoteReference"/>
          <w:rFonts w:asciiTheme="minorHAnsi" w:hAnsiTheme="minorHAnsi" w:cs="Univers"/>
          <w:color w:val="000000" w:themeColor="text1"/>
          <w:sz w:val="20"/>
          <w:lang w:val="es-AR"/>
        </w:rPr>
        <w:footnoteReference w:id="28"/>
      </w:r>
      <w:r w:rsidRPr="001D3E10">
        <w:rPr>
          <w:rFonts w:cs="Univers"/>
          <w:color w:val="000000" w:themeColor="text1"/>
          <w:lang w:val="es-AR"/>
        </w:rPr>
        <w:t xml:space="preserve">. </w:t>
      </w:r>
      <w:r w:rsidRPr="001D3E10">
        <w:rPr>
          <w:rFonts w:cs="Arial"/>
          <w:color w:val="000000" w:themeColor="text1"/>
          <w:lang w:val="es-AR"/>
        </w:rPr>
        <w:t>Asimismo, se ha establecido que además de estos elementos, se debe tomar en cuenta el interés en juego y la afectación generada por la duración del procedimiento en la situación de la persona involucrada</w:t>
      </w:r>
      <w:r w:rsidRPr="001D3E10">
        <w:rPr>
          <w:rStyle w:val="FootnoteReference"/>
          <w:rFonts w:asciiTheme="minorHAnsi" w:hAnsiTheme="minorHAnsi" w:cs="Arial"/>
          <w:color w:val="000000" w:themeColor="text1"/>
          <w:sz w:val="20"/>
          <w:lang w:val="es-AR"/>
        </w:rPr>
        <w:footnoteReference w:id="29"/>
      </w:r>
      <w:r w:rsidRPr="001D3E10">
        <w:rPr>
          <w:rFonts w:cs="Arial"/>
          <w:color w:val="000000" w:themeColor="text1"/>
          <w:lang w:val="es-AR"/>
        </w:rPr>
        <w:t>. Sobre este elemento, la Corte ha precisado que:</w:t>
      </w:r>
    </w:p>
    <w:p w14:paraId="6DB4147E" w14:textId="1C4E5D35" w:rsidR="00DB4B16" w:rsidRPr="001D3E10" w:rsidRDefault="00DB4B16" w:rsidP="00DB4B16">
      <w:pPr>
        <w:pStyle w:val="parrafos"/>
        <w:tabs>
          <w:tab w:val="left" w:pos="360"/>
        </w:tabs>
        <w:rPr>
          <w:color w:val="000000" w:themeColor="text1"/>
          <w:lang w:val="es-AR"/>
        </w:rPr>
      </w:pPr>
    </w:p>
    <w:p w14:paraId="7095DD5B" w14:textId="3933FE61" w:rsidR="00CB7C3D" w:rsidRPr="001D3E10" w:rsidRDefault="00CB7C3D" w:rsidP="00456FC7">
      <w:pPr>
        <w:tabs>
          <w:tab w:val="left" w:pos="360"/>
        </w:tabs>
        <w:ind w:left="360" w:right="270"/>
        <w:jc w:val="both"/>
        <w:rPr>
          <w:rFonts w:ascii="Cambria" w:hAnsi="Cambria"/>
          <w:color w:val="000000" w:themeColor="text1"/>
          <w:spacing w:val="-2"/>
          <w:sz w:val="18"/>
          <w:szCs w:val="18"/>
        </w:rPr>
      </w:pPr>
      <w:r w:rsidRPr="001D3E10">
        <w:rPr>
          <w:rFonts w:ascii="Cambria" w:hAnsi="Cambria" w:cs="Arial"/>
          <w:color w:val="000000" w:themeColor="text1"/>
          <w:sz w:val="18"/>
          <w:szCs w:val="18"/>
        </w:rPr>
        <w:t>(…) en dicho análisis de razonabilidad se debe tomar en cuenta la afectación generada por la duración del procedimiento en la situación jurídica de la persona involucrada en el mismo, considerando, entre otros elementos, la m</w:t>
      </w:r>
      <w:r w:rsidR="00456FC7" w:rsidRPr="001D3E10">
        <w:rPr>
          <w:rFonts w:ascii="Cambria" w:hAnsi="Cambria" w:cs="Arial"/>
          <w:color w:val="000000" w:themeColor="text1"/>
          <w:sz w:val="18"/>
          <w:szCs w:val="18"/>
        </w:rPr>
        <w:t xml:space="preserve">ateria objeto de controversia. </w:t>
      </w:r>
      <w:r w:rsidRPr="001D3E10">
        <w:rPr>
          <w:rFonts w:ascii="Cambria" w:hAnsi="Cambria" w:cs="Arial"/>
          <w:color w:val="000000" w:themeColor="text1"/>
          <w:sz w:val="18"/>
          <w:szCs w:val="18"/>
        </w:rPr>
        <w:t xml:space="preserve">Si el paso del tiempo incide de manera relevante en la situación </w:t>
      </w:r>
      <w:r w:rsidRPr="001D3E10">
        <w:rPr>
          <w:rFonts w:ascii="Cambria" w:hAnsi="Cambria" w:cs="Arial"/>
          <w:color w:val="000000" w:themeColor="text1"/>
          <w:sz w:val="18"/>
          <w:szCs w:val="18"/>
        </w:rPr>
        <w:lastRenderedPageBreak/>
        <w:t>jurídica del individuo, resultará necesario que el procedimiento corra con más diligencia a fin de que el caso se resuelva en un tiempo breve</w:t>
      </w:r>
      <w:r w:rsidRPr="001D3E10">
        <w:rPr>
          <w:rStyle w:val="FootnoteReference"/>
          <w:rFonts w:ascii="Cambria" w:hAnsi="Cambria" w:cs="Arial"/>
          <w:color w:val="000000" w:themeColor="text1"/>
          <w:sz w:val="18"/>
          <w:szCs w:val="18"/>
        </w:rPr>
        <w:footnoteReference w:id="30"/>
      </w:r>
      <w:r w:rsidRPr="001D3E10">
        <w:rPr>
          <w:rFonts w:ascii="Cambria" w:hAnsi="Cambria" w:cs="Arial"/>
          <w:color w:val="000000" w:themeColor="text1"/>
          <w:sz w:val="18"/>
          <w:szCs w:val="18"/>
        </w:rPr>
        <w:t>.</w:t>
      </w:r>
    </w:p>
    <w:p w14:paraId="44F52832" w14:textId="77777777" w:rsidR="00DB4B16" w:rsidRPr="001D3E10" w:rsidRDefault="00CB7C3D" w:rsidP="00DB4B16">
      <w:pPr>
        <w:pStyle w:val="parrafos"/>
        <w:numPr>
          <w:ilvl w:val="0"/>
          <w:numId w:val="4"/>
        </w:numPr>
        <w:tabs>
          <w:tab w:val="left" w:pos="360"/>
        </w:tabs>
        <w:ind w:left="0" w:firstLine="0"/>
        <w:rPr>
          <w:color w:val="000000" w:themeColor="text1"/>
          <w:lang w:val="es-AR"/>
        </w:rPr>
      </w:pPr>
      <w:r w:rsidRPr="001D3E10">
        <w:rPr>
          <w:color w:val="000000" w:themeColor="text1"/>
          <w:lang w:val="es-AR"/>
        </w:rPr>
        <w:t xml:space="preserve">En </w:t>
      </w:r>
      <w:r w:rsidRPr="001D3E10">
        <w:rPr>
          <w:rFonts w:cs="Bookman Old Style"/>
          <w:color w:val="000000" w:themeColor="text1"/>
          <w:lang w:val="es-AR"/>
        </w:rPr>
        <w:t>cuanto</w:t>
      </w:r>
      <w:r w:rsidRPr="001D3E10">
        <w:rPr>
          <w:color w:val="000000" w:themeColor="text1"/>
          <w:lang w:val="es-AR"/>
        </w:rPr>
        <w:t xml:space="preserve"> a </w:t>
      </w:r>
      <w:r w:rsidRPr="001D3E10">
        <w:rPr>
          <w:rFonts w:cs="Bookman Old Style"/>
          <w:color w:val="000000" w:themeColor="text1"/>
          <w:lang w:val="es-AR"/>
        </w:rPr>
        <w:t>la</w:t>
      </w:r>
      <w:r w:rsidRPr="001D3E10">
        <w:rPr>
          <w:color w:val="000000" w:themeColor="text1"/>
          <w:lang w:val="es-AR"/>
        </w:rPr>
        <w:t xml:space="preserve"> carga argumentativa y probatoria sobre la razonabilidad del plazo, la Comisión ha indicado que corresponde al Estado exponer y probar la razón por la cual se ha requerido más tiempo del razonable para dictar sentencia definitiva en un caso particular</w:t>
      </w:r>
      <w:r w:rsidRPr="001D3E10">
        <w:rPr>
          <w:color w:val="000000" w:themeColor="text1"/>
          <w:vertAlign w:val="superscript"/>
          <w:lang w:val="es-AR"/>
        </w:rPr>
        <w:footnoteReference w:id="31"/>
      </w:r>
      <w:r w:rsidRPr="001D3E10">
        <w:rPr>
          <w:color w:val="000000" w:themeColor="text1"/>
          <w:lang w:val="es-AR"/>
        </w:rPr>
        <w:t>. En la misma línea, la Corte ha indicado que corresponde al Estado justificar, con fundamento en los criterios señalados, la razón por la cual ha requerido del tiempo transcurrido para tratar los casos y, en la eventualidad de que éste no lo demuestre, la Corte tiene amplias atribuciones para hacer su propia estimación al respecto</w:t>
      </w:r>
      <w:r w:rsidRPr="001D3E10">
        <w:rPr>
          <w:rStyle w:val="FootnoteReference"/>
          <w:rFonts w:ascii="Cambria" w:hAnsi="Cambria"/>
          <w:color w:val="000000" w:themeColor="text1"/>
          <w:sz w:val="20"/>
          <w:lang w:val="es-AR"/>
        </w:rPr>
        <w:footnoteReference w:id="32"/>
      </w:r>
      <w:r w:rsidRPr="001D3E10">
        <w:rPr>
          <w:color w:val="000000" w:themeColor="text1"/>
          <w:lang w:val="es-AR"/>
        </w:rPr>
        <w:t>.</w:t>
      </w:r>
    </w:p>
    <w:p w14:paraId="332412A0" w14:textId="77777777" w:rsidR="00DB4B16" w:rsidRPr="001D3E10" w:rsidRDefault="00DB4B16" w:rsidP="00DB4B16">
      <w:pPr>
        <w:pStyle w:val="parrafos"/>
        <w:tabs>
          <w:tab w:val="left" w:pos="360"/>
        </w:tabs>
        <w:rPr>
          <w:color w:val="000000" w:themeColor="text1"/>
          <w:lang w:val="es-AR"/>
        </w:rPr>
      </w:pPr>
    </w:p>
    <w:p w14:paraId="6AD8D674" w14:textId="77777777" w:rsidR="00DB4B16" w:rsidRPr="001D3E10" w:rsidRDefault="00CB7C3D" w:rsidP="00DB4B16">
      <w:pPr>
        <w:pStyle w:val="parrafos"/>
        <w:numPr>
          <w:ilvl w:val="0"/>
          <w:numId w:val="4"/>
        </w:numPr>
        <w:tabs>
          <w:tab w:val="left" w:pos="360"/>
        </w:tabs>
        <w:ind w:left="0" w:firstLine="0"/>
        <w:rPr>
          <w:color w:val="000000" w:themeColor="text1"/>
          <w:lang w:val="es-AR"/>
        </w:rPr>
      </w:pPr>
      <w:r w:rsidRPr="001D3E10">
        <w:rPr>
          <w:color w:val="000000" w:themeColor="text1"/>
          <w:lang w:val="es-AR"/>
        </w:rPr>
        <w:t xml:space="preserve">En cuanto a la complejidad del asunto, </w:t>
      </w:r>
      <w:r w:rsidRPr="001D3E10">
        <w:rPr>
          <w:rFonts w:cs="Helvetica"/>
          <w:color w:val="000000" w:themeColor="text1"/>
          <w:lang w:val="es-AR"/>
        </w:rPr>
        <w:t xml:space="preserve">la Corte Interamericana </w:t>
      </w:r>
      <w:r w:rsidR="00DB4B16" w:rsidRPr="001D3E10">
        <w:rPr>
          <w:rFonts w:cs="Helvetica"/>
          <w:color w:val="000000" w:themeColor="text1"/>
          <w:lang w:val="es-AR"/>
        </w:rPr>
        <w:t>ha subrayado</w:t>
      </w:r>
      <w:r w:rsidRPr="001D3E10">
        <w:rPr>
          <w:rFonts w:cs="Helvetica"/>
          <w:color w:val="000000" w:themeColor="text1"/>
          <w:lang w:val="es-AR"/>
        </w:rPr>
        <w:t xml:space="preserve"> que ha tenido en cuenta </w:t>
      </w:r>
      <w:r w:rsidRPr="001D3E10">
        <w:rPr>
          <w:color w:val="000000" w:themeColor="text1"/>
          <w:lang w:val="es-AR"/>
        </w:rPr>
        <w:t>diversos</w:t>
      </w:r>
      <w:r w:rsidRPr="001D3E10">
        <w:rPr>
          <w:rFonts w:cs="Helvetica"/>
          <w:color w:val="000000" w:themeColor="text1"/>
          <w:lang w:val="es-AR"/>
        </w:rPr>
        <w:t xml:space="preserve"> criterios para evaluar este elemento. Entre ellos se encuentran: i) la complejidad de la prueba</w:t>
      </w:r>
      <w:r w:rsidRPr="001D3E10">
        <w:rPr>
          <w:rStyle w:val="FootnoteReference"/>
          <w:rFonts w:ascii="Cambria" w:hAnsi="Cambria"/>
          <w:color w:val="000000" w:themeColor="text1"/>
          <w:sz w:val="20"/>
          <w:lang w:val="es-AR"/>
        </w:rPr>
        <w:footnoteReference w:id="33"/>
      </w:r>
      <w:r w:rsidRPr="001D3E10">
        <w:rPr>
          <w:rFonts w:cs="Helvetica"/>
          <w:color w:val="000000" w:themeColor="text1"/>
          <w:lang w:val="es-AR"/>
        </w:rPr>
        <w:t>; ii) la pluralidad de sujetos procesales</w:t>
      </w:r>
      <w:r w:rsidRPr="001D3E10">
        <w:rPr>
          <w:rStyle w:val="FootnoteReference"/>
          <w:rFonts w:ascii="Cambria" w:hAnsi="Cambria"/>
          <w:color w:val="000000" w:themeColor="text1"/>
          <w:sz w:val="20"/>
          <w:lang w:val="es-AR"/>
        </w:rPr>
        <w:footnoteReference w:id="34"/>
      </w:r>
      <w:r w:rsidRPr="001D3E10">
        <w:rPr>
          <w:rFonts w:cs="Helvetica"/>
          <w:color w:val="000000" w:themeColor="text1"/>
          <w:lang w:val="es-AR"/>
        </w:rPr>
        <w:t xml:space="preserve"> o la cantidad de víctimas</w:t>
      </w:r>
      <w:r w:rsidRPr="001D3E10">
        <w:rPr>
          <w:rStyle w:val="FootnoteReference"/>
          <w:rFonts w:ascii="Cambria" w:hAnsi="Cambria"/>
          <w:color w:val="000000" w:themeColor="text1"/>
          <w:sz w:val="20"/>
          <w:lang w:val="es-AR"/>
        </w:rPr>
        <w:footnoteReference w:id="35"/>
      </w:r>
      <w:r w:rsidRPr="001D3E10">
        <w:rPr>
          <w:rFonts w:cs="Helvetica"/>
          <w:color w:val="000000" w:themeColor="text1"/>
          <w:lang w:val="es-AR"/>
        </w:rPr>
        <w:t>; iii) el tiempo transcurrido desde la violación</w:t>
      </w:r>
      <w:r w:rsidRPr="001D3E10">
        <w:rPr>
          <w:rStyle w:val="FootnoteReference"/>
          <w:rFonts w:ascii="Cambria" w:hAnsi="Cambria"/>
          <w:color w:val="000000" w:themeColor="text1"/>
          <w:sz w:val="20"/>
          <w:lang w:val="es-AR"/>
        </w:rPr>
        <w:footnoteReference w:id="36"/>
      </w:r>
      <w:r w:rsidRPr="001D3E10">
        <w:rPr>
          <w:rFonts w:cs="Helvetica"/>
          <w:color w:val="000000" w:themeColor="text1"/>
          <w:lang w:val="es-AR"/>
        </w:rPr>
        <w:t>; iv) las características del recurso en la legislación interna</w:t>
      </w:r>
      <w:r w:rsidRPr="001D3E10">
        <w:rPr>
          <w:rStyle w:val="FootnoteReference"/>
          <w:rFonts w:ascii="Cambria" w:hAnsi="Cambria"/>
          <w:color w:val="000000" w:themeColor="text1"/>
          <w:sz w:val="20"/>
          <w:lang w:val="es-AR"/>
        </w:rPr>
        <w:footnoteReference w:id="37"/>
      </w:r>
      <w:r w:rsidRPr="001D3E10">
        <w:rPr>
          <w:rFonts w:cs="Helvetica"/>
          <w:color w:val="000000" w:themeColor="text1"/>
          <w:lang w:val="es-AR"/>
        </w:rPr>
        <w:t>, y v) el contexto en el que ocurrieron los hechos</w:t>
      </w:r>
      <w:r w:rsidRPr="001D3E10">
        <w:rPr>
          <w:rStyle w:val="FootnoteReference"/>
          <w:rFonts w:ascii="Cambria" w:hAnsi="Cambria"/>
          <w:color w:val="000000" w:themeColor="text1"/>
          <w:sz w:val="20"/>
          <w:lang w:val="es-AR"/>
        </w:rPr>
        <w:footnoteReference w:id="38"/>
      </w:r>
      <w:r w:rsidRPr="001D3E10">
        <w:rPr>
          <w:rFonts w:cs="Helvetica"/>
          <w:color w:val="000000" w:themeColor="text1"/>
          <w:lang w:val="es-AR"/>
        </w:rPr>
        <w:t xml:space="preserve">. </w:t>
      </w:r>
    </w:p>
    <w:p w14:paraId="2CFE3D46" w14:textId="77777777" w:rsidR="00DB4B16" w:rsidRPr="001D3E10" w:rsidRDefault="00DB4B16" w:rsidP="00DB4B16">
      <w:pPr>
        <w:pStyle w:val="ListParagraph"/>
        <w:rPr>
          <w:color w:val="000000" w:themeColor="text1"/>
          <w:lang w:val="es-AR"/>
        </w:rPr>
      </w:pPr>
    </w:p>
    <w:p w14:paraId="0177ADA9" w14:textId="77777777" w:rsidR="00DB4B16" w:rsidRPr="001D3E10" w:rsidRDefault="00CB7C3D" w:rsidP="00DB4B16">
      <w:pPr>
        <w:pStyle w:val="parrafos"/>
        <w:numPr>
          <w:ilvl w:val="0"/>
          <w:numId w:val="4"/>
        </w:numPr>
        <w:tabs>
          <w:tab w:val="left" w:pos="360"/>
        </w:tabs>
        <w:ind w:left="0" w:firstLine="0"/>
        <w:rPr>
          <w:color w:val="000000" w:themeColor="text1"/>
          <w:lang w:val="es-AR"/>
        </w:rPr>
      </w:pPr>
      <w:r w:rsidRPr="001D3E10">
        <w:rPr>
          <w:color w:val="000000" w:themeColor="text1"/>
          <w:lang w:val="es-AR"/>
        </w:rPr>
        <w:t>Sin embargo, aún si por una o varias de estas razones un caso se considere complejo, no basta una argumentación genérica respecto a la complejidad de este tipo de procesos, sino que es necesario desarrollar los argumentos y presentar las pruebas que demuestren que este factor influyó en la duración de los mismos</w:t>
      </w:r>
      <w:r w:rsidRPr="001D3E10">
        <w:rPr>
          <w:rStyle w:val="FootnoteReference"/>
          <w:rFonts w:ascii="Cambria" w:hAnsi="Cambria"/>
          <w:color w:val="000000" w:themeColor="text1"/>
          <w:sz w:val="20"/>
          <w:lang w:val="es-AR"/>
        </w:rPr>
        <w:footnoteReference w:id="39"/>
      </w:r>
      <w:r w:rsidRPr="001D3E10">
        <w:rPr>
          <w:color w:val="000000" w:themeColor="text1"/>
          <w:lang w:val="es-AR"/>
        </w:rPr>
        <w:t>. En similar sentido, la Comisión ha indicado que aún en casos que puedan considerarse complejos por su propia naturaleza, resulta necesario que el Estado en cuestión argumente específicamente las razones por las cuales la complejidad ha afectado concretamente las investigaciones</w:t>
      </w:r>
      <w:r w:rsidRPr="001D3E10">
        <w:rPr>
          <w:vertAlign w:val="superscript"/>
          <w:lang w:val="es-AR"/>
        </w:rPr>
        <w:footnoteReference w:id="40"/>
      </w:r>
      <w:r w:rsidRPr="001D3E10">
        <w:rPr>
          <w:color w:val="000000" w:themeColor="text1"/>
          <w:lang w:val="es-AR"/>
        </w:rPr>
        <w:t>.</w:t>
      </w:r>
    </w:p>
    <w:p w14:paraId="7E7B4925" w14:textId="77777777" w:rsidR="00DB4B16" w:rsidRPr="001D3E10" w:rsidRDefault="00DB4B16" w:rsidP="00DB4B16">
      <w:pPr>
        <w:pStyle w:val="ListParagraph"/>
        <w:rPr>
          <w:color w:val="000000" w:themeColor="text1"/>
          <w:lang w:val="es-AR"/>
        </w:rPr>
      </w:pPr>
    </w:p>
    <w:p w14:paraId="34D0E34D" w14:textId="77777777" w:rsidR="00DB4B16" w:rsidRPr="001D3E10" w:rsidRDefault="00CB7C3D" w:rsidP="00DB4B16">
      <w:pPr>
        <w:pStyle w:val="parrafos"/>
        <w:numPr>
          <w:ilvl w:val="0"/>
          <w:numId w:val="4"/>
        </w:numPr>
        <w:tabs>
          <w:tab w:val="left" w:pos="360"/>
        </w:tabs>
        <w:ind w:left="0" w:firstLine="0"/>
        <w:rPr>
          <w:color w:val="000000" w:themeColor="text1"/>
          <w:lang w:val="es-AR"/>
        </w:rPr>
      </w:pPr>
      <w:r w:rsidRPr="001D3E10">
        <w:rPr>
          <w:color w:val="000000" w:themeColor="text1"/>
          <w:lang w:val="es-AR"/>
        </w:rPr>
        <w:t xml:space="preserve">En cuanto al segundo elemento, es decir la conducta de las autoridades judiciales, la Corte ha entendido que los jueces, como rectores del proceso, tienen el deber de dirigir y encausar el procedimiento judicial con </w:t>
      </w:r>
      <w:r w:rsidRPr="001D3E10">
        <w:rPr>
          <w:color w:val="000000" w:themeColor="text1"/>
          <w:lang w:val="es-AR"/>
        </w:rPr>
        <w:lastRenderedPageBreak/>
        <w:t>el fin de no sacrificar la justicia y el debido proceso en pro del formalismo</w:t>
      </w:r>
      <w:r w:rsidRPr="001D3E10">
        <w:rPr>
          <w:rStyle w:val="FootnoteReference"/>
          <w:rFonts w:ascii="Cambria" w:hAnsi="Cambria"/>
          <w:color w:val="000000" w:themeColor="text1"/>
          <w:sz w:val="20"/>
          <w:lang w:val="es-AR"/>
        </w:rPr>
        <w:footnoteReference w:id="41"/>
      </w:r>
      <w:r w:rsidRPr="001D3E10">
        <w:rPr>
          <w:color w:val="000000" w:themeColor="text1"/>
          <w:lang w:val="es-AR"/>
        </w:rPr>
        <w:t>. En casos relativos a procesos civiles la Corte se ha pronunciado en similar sentido</w:t>
      </w:r>
      <w:r w:rsidRPr="001D3E10">
        <w:rPr>
          <w:rStyle w:val="FootnoteReference"/>
          <w:rFonts w:ascii="Cambria" w:hAnsi="Cambria"/>
          <w:color w:val="000000" w:themeColor="text1"/>
          <w:sz w:val="20"/>
          <w:lang w:val="es-AR"/>
        </w:rPr>
        <w:footnoteReference w:id="42"/>
      </w:r>
      <w:r w:rsidRPr="001D3E10">
        <w:rPr>
          <w:color w:val="000000" w:themeColor="text1"/>
          <w:lang w:val="es-AR"/>
        </w:rPr>
        <w:t>. También respecto de disputas civiles, la Corte Europea ha indicado que corresponde a los Estados partes organizar su sistema legal de tal manera que sus Cortes puedan garantizar el derecho de todas las personas de obtener una decisión final en las disputas relativas a derechos y obligaciones civiles en un plazo razonable</w:t>
      </w:r>
      <w:r w:rsidRPr="001D3E10">
        <w:rPr>
          <w:rStyle w:val="FootnoteReference"/>
          <w:rFonts w:ascii="Cambria" w:hAnsi="Cambria"/>
          <w:color w:val="000000" w:themeColor="text1"/>
          <w:sz w:val="20"/>
          <w:lang w:val="es-AR"/>
        </w:rPr>
        <w:footnoteReference w:id="43"/>
      </w:r>
      <w:r w:rsidRPr="001D3E10">
        <w:rPr>
          <w:color w:val="000000" w:themeColor="text1"/>
          <w:lang w:val="es-AR"/>
        </w:rPr>
        <w:t>.</w:t>
      </w:r>
    </w:p>
    <w:p w14:paraId="187C380F" w14:textId="77777777" w:rsidR="00DB4B16" w:rsidRPr="001D3E10" w:rsidRDefault="00DB4B16" w:rsidP="00DB4B16">
      <w:pPr>
        <w:pStyle w:val="ListParagraph"/>
        <w:rPr>
          <w:color w:val="000000" w:themeColor="text1"/>
          <w:lang w:val="es-AR"/>
        </w:rPr>
      </w:pPr>
    </w:p>
    <w:p w14:paraId="0848ED4F" w14:textId="77777777" w:rsidR="00DB4B16" w:rsidRPr="001D3E10" w:rsidRDefault="00CB7C3D" w:rsidP="00DB4B16">
      <w:pPr>
        <w:pStyle w:val="parrafos"/>
        <w:numPr>
          <w:ilvl w:val="0"/>
          <w:numId w:val="4"/>
        </w:numPr>
        <w:tabs>
          <w:tab w:val="left" w:pos="360"/>
        </w:tabs>
        <w:ind w:left="0" w:firstLine="0"/>
        <w:rPr>
          <w:color w:val="000000" w:themeColor="text1"/>
          <w:lang w:val="es-AR"/>
        </w:rPr>
      </w:pPr>
      <w:r w:rsidRPr="001D3E10">
        <w:rPr>
          <w:color w:val="000000" w:themeColor="text1"/>
          <w:lang w:val="es-AR"/>
        </w:rPr>
        <w:t>En relación con el tercer elemento, es decir la actividad procesal del interesado, la Corte ha evaluado si los sujetos realizaron las intervenciones en los procesos que le eran razonablemente exigibles</w:t>
      </w:r>
      <w:r w:rsidRPr="001D3E10">
        <w:rPr>
          <w:rStyle w:val="FootnoteReference"/>
          <w:rFonts w:ascii="Cambria" w:hAnsi="Cambria"/>
          <w:color w:val="000000" w:themeColor="text1"/>
          <w:sz w:val="20"/>
          <w:lang w:val="es-AR"/>
        </w:rPr>
        <w:footnoteReference w:id="44"/>
      </w:r>
      <w:r w:rsidRPr="001D3E10">
        <w:rPr>
          <w:color w:val="000000" w:themeColor="text1"/>
          <w:lang w:val="es-AR"/>
        </w:rPr>
        <w:t xml:space="preserve">. </w:t>
      </w:r>
      <w:r w:rsidRPr="001D3E10">
        <w:rPr>
          <w:rFonts w:cs="Helvetica"/>
          <w:color w:val="000000" w:themeColor="text1"/>
          <w:lang w:val="es-AR"/>
        </w:rPr>
        <w:t>En la misma línea, la Corte Europea ha señalado que aún en sistemas legales que aplican el principio conforme al cual la iniciativa procesal reposa en las partes, la actitud de las mismas no absuelve a los tribunales de su obligación de asegurar un juicio expedito</w:t>
      </w:r>
      <w:r w:rsidRPr="001D3E10">
        <w:rPr>
          <w:rStyle w:val="FootnoteReference"/>
          <w:rFonts w:ascii="Cambria" w:hAnsi="Cambria" w:cs="Helvetica"/>
          <w:color w:val="000000" w:themeColor="text1"/>
          <w:sz w:val="20"/>
          <w:lang w:val="es-AR"/>
        </w:rPr>
        <w:footnoteReference w:id="45"/>
      </w:r>
      <w:r w:rsidRPr="001D3E10">
        <w:rPr>
          <w:rFonts w:cs="Helvetica"/>
          <w:color w:val="000000" w:themeColor="text1"/>
          <w:lang w:val="es-AR"/>
        </w:rPr>
        <w:t>. De manera similar, la Corte Europea ha indicado que lo mismo aplica a situaciones en las cuales la cooperación de un experto es necesaria. En tales circunstancias, la responsabilidad por la preparación del caso y la conducción expedita del proceso reposa sobre la autoridad judicial</w:t>
      </w:r>
      <w:r w:rsidRPr="001D3E10">
        <w:rPr>
          <w:rStyle w:val="FootnoteReference"/>
          <w:rFonts w:ascii="Cambria" w:hAnsi="Cambria" w:cs="Helvetica"/>
          <w:color w:val="000000" w:themeColor="text1"/>
          <w:sz w:val="20"/>
          <w:lang w:val="es-AR"/>
        </w:rPr>
        <w:footnoteReference w:id="46"/>
      </w:r>
      <w:r w:rsidRPr="001D3E10">
        <w:rPr>
          <w:rFonts w:cs="Helvetica"/>
          <w:color w:val="000000" w:themeColor="text1"/>
          <w:lang w:val="es-AR"/>
        </w:rPr>
        <w:t xml:space="preserve">. </w:t>
      </w:r>
    </w:p>
    <w:p w14:paraId="53675F59" w14:textId="77777777" w:rsidR="00DB4B16" w:rsidRPr="001D3E10" w:rsidRDefault="00DB4B16" w:rsidP="00DB4B16">
      <w:pPr>
        <w:pStyle w:val="ListParagraph"/>
        <w:rPr>
          <w:rFonts w:cs="Helvetica"/>
          <w:color w:val="000000" w:themeColor="text1"/>
          <w:lang w:val="es-AR"/>
        </w:rPr>
      </w:pPr>
    </w:p>
    <w:p w14:paraId="328761F9" w14:textId="77777777" w:rsidR="00DB4B16" w:rsidRPr="001D3E10" w:rsidRDefault="00CB7C3D" w:rsidP="00DB4B16">
      <w:pPr>
        <w:pStyle w:val="parrafos"/>
        <w:numPr>
          <w:ilvl w:val="0"/>
          <w:numId w:val="4"/>
        </w:numPr>
        <w:tabs>
          <w:tab w:val="left" w:pos="360"/>
        </w:tabs>
        <w:ind w:left="0" w:firstLine="0"/>
        <w:rPr>
          <w:color w:val="000000" w:themeColor="text1"/>
          <w:lang w:val="es-AR"/>
        </w:rPr>
      </w:pPr>
      <w:r w:rsidRPr="001D3E10">
        <w:rPr>
          <w:rFonts w:cs="Helvetica"/>
          <w:color w:val="000000" w:themeColor="text1"/>
          <w:lang w:val="es-AR"/>
        </w:rPr>
        <w:t>La Corte Europea ha señalado que aunque ciertas demoras podrían, en sí mismas, no ser problemáticas, cuando son analizadas conjuntamente y de manera acumulativa, pueden resultar en que el plazo razonable sea excedido</w:t>
      </w:r>
      <w:r w:rsidRPr="001D3E10">
        <w:rPr>
          <w:rStyle w:val="FootnoteReference"/>
          <w:rFonts w:ascii="Cambria" w:hAnsi="Cambria" w:cs="Helvetica"/>
          <w:color w:val="000000" w:themeColor="text1"/>
          <w:sz w:val="20"/>
          <w:lang w:val="es-AR"/>
        </w:rPr>
        <w:footnoteReference w:id="47"/>
      </w:r>
      <w:r w:rsidRPr="001D3E10">
        <w:rPr>
          <w:rFonts w:cs="Helvetica"/>
          <w:color w:val="000000" w:themeColor="text1"/>
          <w:lang w:val="es-AR"/>
        </w:rPr>
        <w:t>. Asimismo, ha establecido que una demora en una fase particular podría ser permisible, siempre y cuando la duración total del proceso no sea excesiva</w:t>
      </w:r>
      <w:r w:rsidRPr="001D3E10">
        <w:rPr>
          <w:rStyle w:val="FootnoteReference"/>
          <w:rFonts w:ascii="Cambria" w:hAnsi="Cambria" w:cs="Helvetica"/>
          <w:color w:val="000000" w:themeColor="text1"/>
          <w:sz w:val="20"/>
          <w:lang w:val="es-AR"/>
        </w:rPr>
        <w:footnoteReference w:id="48"/>
      </w:r>
      <w:r w:rsidRPr="001D3E10">
        <w:rPr>
          <w:rFonts w:cs="Helvetica"/>
          <w:color w:val="000000" w:themeColor="text1"/>
          <w:lang w:val="es-AR"/>
        </w:rPr>
        <w:t xml:space="preserve">. Asimismo, ha señalado que </w:t>
      </w:r>
      <w:r w:rsidRPr="001D3E10">
        <w:rPr>
          <w:color w:val="000000" w:themeColor="text1"/>
          <w:lang w:val="es-AR"/>
        </w:rPr>
        <w:t>debe tomarse en cuenta que el Estado es responsable por todas sus autoridades, no sólo sus órganos judiciales pero todas las instituciones públicas</w:t>
      </w:r>
      <w:r w:rsidRPr="001D3E10">
        <w:rPr>
          <w:rStyle w:val="FootnoteReference"/>
          <w:rFonts w:ascii="Cambria" w:hAnsi="Cambria"/>
          <w:color w:val="000000" w:themeColor="text1"/>
          <w:sz w:val="20"/>
          <w:lang w:val="es-AR"/>
        </w:rPr>
        <w:footnoteReference w:id="49"/>
      </w:r>
      <w:r w:rsidRPr="001D3E10">
        <w:rPr>
          <w:color w:val="000000" w:themeColor="text1"/>
          <w:lang w:val="es-AR"/>
        </w:rPr>
        <w:t>.</w:t>
      </w:r>
    </w:p>
    <w:p w14:paraId="322A47F0" w14:textId="77777777" w:rsidR="00DB4B16" w:rsidRPr="001D3E10" w:rsidRDefault="00DB4B16" w:rsidP="00DB4B16">
      <w:pPr>
        <w:pStyle w:val="ListParagraph"/>
        <w:rPr>
          <w:color w:val="000000" w:themeColor="text1"/>
          <w:lang w:val="es-AR"/>
        </w:rPr>
      </w:pPr>
    </w:p>
    <w:p w14:paraId="5D7D3619" w14:textId="4EA5F85D" w:rsidR="00DB4B16" w:rsidRPr="001D3E10" w:rsidRDefault="00CB7C3D" w:rsidP="00DB4B16">
      <w:pPr>
        <w:pStyle w:val="parrafos"/>
        <w:numPr>
          <w:ilvl w:val="0"/>
          <w:numId w:val="4"/>
        </w:numPr>
        <w:tabs>
          <w:tab w:val="left" w:pos="360"/>
        </w:tabs>
        <w:ind w:left="0" w:firstLine="0"/>
        <w:rPr>
          <w:color w:val="000000" w:themeColor="text1"/>
          <w:lang w:val="es-AR"/>
        </w:rPr>
      </w:pPr>
      <w:r w:rsidRPr="001D3E10">
        <w:rPr>
          <w:color w:val="000000" w:themeColor="text1"/>
          <w:lang w:val="es-AR"/>
        </w:rPr>
        <w:t xml:space="preserve">Respecto del cuarto elemento, es decir la afectación generada en la situación jurídica de la persona involucrada en el proceso, la Corte ha establecido que las autoridades deben actuar con mayor diligencia en aquellos casos </w:t>
      </w:r>
      <w:r w:rsidRPr="001D3E10">
        <w:rPr>
          <w:rFonts w:cs="Helvetica"/>
          <w:color w:val="000000" w:themeColor="text1"/>
          <w:lang w:val="es-AR"/>
        </w:rPr>
        <w:t>donde</w:t>
      </w:r>
      <w:r w:rsidRPr="001D3E10">
        <w:rPr>
          <w:color w:val="000000" w:themeColor="text1"/>
          <w:lang w:val="es-AR"/>
        </w:rPr>
        <w:t xml:space="preserve"> de la duración del proceso depende la protección de otros derechos de los sujetos del proceso</w:t>
      </w:r>
      <w:r w:rsidRPr="001D3E10">
        <w:rPr>
          <w:rStyle w:val="FootnoteReference"/>
          <w:rFonts w:ascii="Cambria" w:hAnsi="Cambria"/>
          <w:color w:val="000000" w:themeColor="text1"/>
          <w:sz w:val="20"/>
          <w:lang w:val="es-AR"/>
        </w:rPr>
        <w:footnoteReference w:id="50"/>
      </w:r>
      <w:r w:rsidRPr="001D3E10">
        <w:rPr>
          <w:color w:val="000000" w:themeColor="text1"/>
          <w:lang w:val="es-AR"/>
        </w:rPr>
        <w:t xml:space="preserve">. </w:t>
      </w:r>
      <w:r w:rsidRPr="001D3E10">
        <w:rPr>
          <w:rFonts w:cs="Helvetica"/>
          <w:color w:val="000000" w:themeColor="text1"/>
          <w:lang w:val="es-AR"/>
        </w:rPr>
        <w:t>En este sentido, la Corte Interamericana ha se</w:t>
      </w:r>
      <w:r w:rsidR="00456FC7" w:rsidRPr="001D3E10">
        <w:rPr>
          <w:rFonts w:cs="Helvetica"/>
          <w:color w:val="000000" w:themeColor="text1"/>
          <w:lang w:val="es-AR"/>
        </w:rPr>
        <w:t>ñalado que en casos de personas</w:t>
      </w:r>
      <w:r w:rsidRPr="001D3E10">
        <w:rPr>
          <w:rFonts w:cs="Helvetica"/>
          <w:color w:val="000000" w:themeColor="text1"/>
          <w:lang w:val="es-AR"/>
        </w:rPr>
        <w:t xml:space="preserve"> vulnerables, como lo es una persona con discapacidad, es imperante tomar las medidas pertinentes, como por ejemplo la priorización en la atención y resolución del procedimiento por parte de las autoridades a su cargo, con el fin de evitar retrasos en la tramitación de los procesos, de manera que se garantice la pronta resolución y ejecución de los mismos</w:t>
      </w:r>
      <w:r w:rsidRPr="001D3E10">
        <w:rPr>
          <w:rStyle w:val="FootnoteReference"/>
          <w:rFonts w:ascii="Cambria" w:hAnsi="Cambria"/>
          <w:color w:val="000000" w:themeColor="text1"/>
          <w:sz w:val="20"/>
          <w:lang w:val="es-AR"/>
        </w:rPr>
        <w:footnoteReference w:id="51"/>
      </w:r>
      <w:r w:rsidRPr="001D3E10">
        <w:rPr>
          <w:rFonts w:cs="Helvetica"/>
          <w:color w:val="000000" w:themeColor="text1"/>
          <w:lang w:val="es-AR"/>
        </w:rPr>
        <w:t xml:space="preserve">. </w:t>
      </w:r>
      <w:r w:rsidRPr="001D3E10">
        <w:rPr>
          <w:color w:val="000000" w:themeColor="text1"/>
          <w:lang w:val="es-AR"/>
        </w:rPr>
        <w:t>También de manera relevante para el presente caso, la Corte Europea ha indicado que las disputas laborales, por su propia naturaleza requieren de una decisión con particular celeridad</w:t>
      </w:r>
      <w:r w:rsidRPr="001D3E10">
        <w:rPr>
          <w:rStyle w:val="FootnoteReference"/>
          <w:rFonts w:ascii="Cambria" w:hAnsi="Cambria"/>
          <w:color w:val="000000" w:themeColor="text1"/>
          <w:sz w:val="20"/>
          <w:lang w:val="es-AR"/>
        </w:rPr>
        <w:footnoteReference w:id="52"/>
      </w:r>
      <w:r w:rsidRPr="001D3E10">
        <w:rPr>
          <w:color w:val="000000" w:themeColor="text1"/>
          <w:lang w:val="es-AR"/>
        </w:rPr>
        <w:t xml:space="preserve">. </w:t>
      </w:r>
    </w:p>
    <w:p w14:paraId="7AC94BAF" w14:textId="77777777" w:rsidR="00DB4B16" w:rsidRDefault="00DB4B16" w:rsidP="00DB4B16">
      <w:pPr>
        <w:pStyle w:val="ListParagraph"/>
        <w:rPr>
          <w:color w:val="000000" w:themeColor="text1"/>
          <w:lang w:val="es-AR"/>
        </w:rPr>
      </w:pPr>
    </w:p>
    <w:p w14:paraId="6D4A9A86" w14:textId="77777777" w:rsidR="003F0812" w:rsidRDefault="003F0812" w:rsidP="00DB4B16">
      <w:pPr>
        <w:pStyle w:val="ListParagraph"/>
        <w:rPr>
          <w:color w:val="000000" w:themeColor="text1"/>
          <w:lang w:val="es-AR"/>
        </w:rPr>
      </w:pPr>
    </w:p>
    <w:p w14:paraId="236B0EA9" w14:textId="77777777" w:rsidR="003F0812" w:rsidRPr="001D3E10" w:rsidRDefault="003F0812" w:rsidP="00DB4B16">
      <w:pPr>
        <w:pStyle w:val="ListParagraph"/>
        <w:rPr>
          <w:color w:val="000000" w:themeColor="text1"/>
          <w:lang w:val="es-AR"/>
        </w:rPr>
      </w:pPr>
    </w:p>
    <w:p w14:paraId="4BBA8F27" w14:textId="77777777" w:rsidR="007273BF" w:rsidRPr="001D3E10" w:rsidRDefault="00CB7C3D" w:rsidP="007273BF">
      <w:pPr>
        <w:pStyle w:val="parrafos"/>
        <w:numPr>
          <w:ilvl w:val="0"/>
          <w:numId w:val="4"/>
        </w:numPr>
        <w:tabs>
          <w:tab w:val="left" w:pos="360"/>
        </w:tabs>
        <w:ind w:left="0" w:firstLine="0"/>
        <w:rPr>
          <w:color w:val="000000" w:themeColor="text1"/>
          <w:lang w:val="es-AR"/>
        </w:rPr>
      </w:pPr>
      <w:r w:rsidRPr="001D3E10">
        <w:rPr>
          <w:color w:val="000000" w:themeColor="text1"/>
          <w:lang w:val="es-AR"/>
        </w:rPr>
        <w:t>Por su parte, el derecho a la protección judicial implica el deber de los Estados de ofrecer un recurso judicial efectivo contra actos violatorios de los derechos de las personas sometidas a su jurisdicción</w:t>
      </w:r>
      <w:r w:rsidRPr="001D3E10">
        <w:rPr>
          <w:rStyle w:val="FootnoteReference"/>
          <w:rFonts w:ascii="Cambria" w:hAnsi="Cambria"/>
          <w:color w:val="000000" w:themeColor="text1"/>
          <w:sz w:val="20"/>
          <w:lang w:val="es-AR"/>
        </w:rPr>
        <w:footnoteReference w:id="53"/>
      </w:r>
      <w:r w:rsidRPr="001D3E10">
        <w:rPr>
          <w:color w:val="000000" w:themeColor="text1"/>
          <w:lang w:val="es-AR"/>
        </w:rPr>
        <w:t xml:space="preserve">. </w:t>
      </w:r>
      <w:r w:rsidRPr="001D3E10">
        <w:rPr>
          <w:rFonts w:cs="Calibri"/>
          <w:color w:val="000000" w:themeColor="text1"/>
          <w:lang w:val="es-AR"/>
        </w:rPr>
        <w:t xml:space="preserve">La Corte Interamericana ha resaltado la necesidad de que los procesos internos garanticen un verdadero acceso a la justicia a fin de determinar </w:t>
      </w:r>
      <w:r w:rsidRPr="001D3E10">
        <w:rPr>
          <w:color w:val="000000" w:themeColor="text1"/>
          <w:lang w:val="es-AR"/>
        </w:rPr>
        <w:t>cualquier</w:t>
      </w:r>
      <w:r w:rsidRPr="001D3E10">
        <w:rPr>
          <w:rFonts w:cs="Calibri"/>
          <w:color w:val="000000" w:themeColor="text1"/>
          <w:lang w:val="es-AR"/>
        </w:rPr>
        <w:t xml:space="preserve"> derecho que esté en controversia</w:t>
      </w:r>
      <w:r w:rsidRPr="001D3E10">
        <w:rPr>
          <w:rStyle w:val="FootnoteReference"/>
          <w:rFonts w:ascii="Cambria" w:hAnsi="Cambria"/>
          <w:color w:val="000000" w:themeColor="text1"/>
          <w:sz w:val="20"/>
          <w:lang w:val="es-AR"/>
        </w:rPr>
        <w:footnoteReference w:id="54"/>
      </w:r>
      <w:r w:rsidRPr="001D3E10">
        <w:rPr>
          <w:rFonts w:cs="Calibri"/>
          <w:color w:val="000000" w:themeColor="text1"/>
          <w:lang w:val="es-AR"/>
        </w:rPr>
        <w:t xml:space="preserve">. Asimismo, ha indicado que la efectividad de los mismos </w:t>
      </w:r>
      <w:r w:rsidRPr="001D3E10">
        <w:rPr>
          <w:color w:val="000000" w:themeColor="text1"/>
          <w:lang w:val="es-AR"/>
        </w:rPr>
        <w:t xml:space="preserve">supone que, además de la existencia formal de </w:t>
      </w:r>
      <w:r w:rsidRPr="001D3E10">
        <w:rPr>
          <w:rFonts w:cs="Arial"/>
          <w:color w:val="000000" w:themeColor="text1"/>
          <w:lang w:val="es-AR"/>
        </w:rPr>
        <w:t>los</w:t>
      </w:r>
      <w:r w:rsidRPr="001D3E10">
        <w:rPr>
          <w:color w:val="000000" w:themeColor="text1"/>
          <w:lang w:val="es-AR"/>
        </w:rPr>
        <w:t xml:space="preserve"> recursos, éstos den resultados o respuestas a las violaciones de derechos contemplados ya sea en la Convención, en la Constitución o en las leyes</w:t>
      </w:r>
      <w:r w:rsidRPr="001D3E10">
        <w:rPr>
          <w:rStyle w:val="FootnoteReference"/>
          <w:rFonts w:ascii="Cambria" w:hAnsi="Cambria"/>
          <w:color w:val="000000" w:themeColor="text1"/>
          <w:sz w:val="20"/>
          <w:lang w:val="es-AR"/>
        </w:rPr>
        <w:footnoteReference w:id="55"/>
      </w:r>
      <w:r w:rsidRPr="001D3E10">
        <w:rPr>
          <w:color w:val="000000" w:themeColor="text1"/>
          <w:lang w:val="es-AR"/>
        </w:rPr>
        <w:t xml:space="preserve">. </w:t>
      </w:r>
    </w:p>
    <w:p w14:paraId="48BD34DB" w14:textId="77777777" w:rsidR="007273BF" w:rsidRPr="001D3E10" w:rsidRDefault="007273BF" w:rsidP="007273BF">
      <w:pPr>
        <w:tabs>
          <w:tab w:val="left" w:pos="720"/>
        </w:tabs>
        <w:spacing w:after="0"/>
        <w:ind w:firstLine="630"/>
        <w:jc w:val="both"/>
        <w:rPr>
          <w:rFonts w:ascii="Cambria" w:hAnsi="Cambria"/>
          <w:color w:val="000000" w:themeColor="text1"/>
          <w:sz w:val="20"/>
          <w:szCs w:val="20"/>
        </w:rPr>
      </w:pPr>
    </w:p>
    <w:p w14:paraId="1DA1A162" w14:textId="73DB1C31" w:rsidR="007273BF" w:rsidRPr="001D3E10" w:rsidRDefault="007273BF" w:rsidP="007273BF">
      <w:pPr>
        <w:pStyle w:val="Heading3"/>
        <w:keepLines/>
        <w:numPr>
          <w:ilvl w:val="0"/>
          <w:numId w:val="15"/>
        </w:numPr>
        <w:pBdr>
          <w:top w:val="nil"/>
          <w:left w:val="nil"/>
          <w:bottom w:val="nil"/>
          <w:right w:val="nil"/>
          <w:between w:val="nil"/>
          <w:bar w:val="nil"/>
        </w:pBdr>
        <w:tabs>
          <w:tab w:val="left" w:pos="360"/>
        </w:tabs>
        <w:spacing w:before="0" w:after="0" w:line="240" w:lineRule="auto"/>
        <w:ind w:left="0" w:firstLine="0"/>
        <w:rPr>
          <w:sz w:val="20"/>
          <w:szCs w:val="20"/>
        </w:rPr>
      </w:pPr>
      <w:bookmarkStart w:id="59" w:name="_Toc203469412"/>
      <w:r w:rsidRPr="001D3E10">
        <w:rPr>
          <w:sz w:val="20"/>
          <w:szCs w:val="20"/>
        </w:rPr>
        <w:t>Análisis del presente caso</w:t>
      </w:r>
      <w:bookmarkEnd w:id="59"/>
      <w:r w:rsidRPr="001D3E10">
        <w:rPr>
          <w:sz w:val="20"/>
          <w:szCs w:val="20"/>
        </w:rPr>
        <w:t xml:space="preserve"> </w:t>
      </w:r>
    </w:p>
    <w:p w14:paraId="1A71250A" w14:textId="77777777" w:rsidR="007273BF" w:rsidRPr="001D3E10" w:rsidRDefault="007273BF" w:rsidP="007273BF">
      <w:pPr>
        <w:pStyle w:val="ListParagraph"/>
        <w:rPr>
          <w:color w:val="000000" w:themeColor="text1"/>
          <w:lang w:val="es-AR"/>
        </w:rPr>
      </w:pPr>
    </w:p>
    <w:p w14:paraId="38592FA7" w14:textId="77777777" w:rsidR="00445D95" w:rsidRPr="001D3E10" w:rsidRDefault="00CE6913" w:rsidP="00445D95">
      <w:pPr>
        <w:pStyle w:val="parrafos"/>
        <w:numPr>
          <w:ilvl w:val="0"/>
          <w:numId w:val="4"/>
        </w:numPr>
        <w:tabs>
          <w:tab w:val="left" w:pos="360"/>
        </w:tabs>
        <w:ind w:left="0" w:firstLine="0"/>
        <w:rPr>
          <w:color w:val="000000" w:themeColor="text1"/>
          <w:lang w:val="es-AR"/>
        </w:rPr>
      </w:pPr>
      <w:r w:rsidRPr="001D3E10">
        <w:rPr>
          <w:color w:val="000000" w:themeColor="text1"/>
          <w:lang w:val="es-AR"/>
        </w:rPr>
        <w:t xml:space="preserve">Tal como fue indicado en los hechos probados, en el presente caso se inició un proceso por responsabilidad patrimonial contra las presuntas víctimas el 2 de julio de 1985 ante el Juzgado Nacional de Primera Instancia en lo Comercial No. 4 y de acuerdo con la información con la que cuenta la CIDH culminó con la decisión de inhibición general de bienes contra las presuntas víctimas el 7 de marzo de 2012. Es decir, el proceso en su integridad tuvo una duración de </w:t>
      </w:r>
      <w:r w:rsidR="00445D95" w:rsidRPr="001D3E10">
        <w:rPr>
          <w:color w:val="000000" w:themeColor="text1"/>
          <w:lang w:val="es-AR"/>
        </w:rPr>
        <w:t>casi</w:t>
      </w:r>
      <w:r w:rsidRPr="001D3E10">
        <w:rPr>
          <w:color w:val="000000" w:themeColor="text1"/>
          <w:lang w:val="es-AR"/>
        </w:rPr>
        <w:t xml:space="preserve"> 27 años. </w:t>
      </w:r>
    </w:p>
    <w:p w14:paraId="6D5B84A8" w14:textId="77777777" w:rsidR="00445D95" w:rsidRPr="001D3E10" w:rsidRDefault="00445D95" w:rsidP="00445D95">
      <w:pPr>
        <w:pStyle w:val="parrafos"/>
        <w:tabs>
          <w:tab w:val="left" w:pos="360"/>
        </w:tabs>
        <w:rPr>
          <w:color w:val="000000" w:themeColor="text1"/>
          <w:lang w:val="es-AR"/>
        </w:rPr>
      </w:pPr>
    </w:p>
    <w:p w14:paraId="7B7408EE" w14:textId="77777777" w:rsidR="00DE3808" w:rsidRPr="001D3E10" w:rsidRDefault="00CE6913" w:rsidP="00DE3808">
      <w:pPr>
        <w:pStyle w:val="parrafos"/>
        <w:numPr>
          <w:ilvl w:val="0"/>
          <w:numId w:val="4"/>
        </w:numPr>
        <w:tabs>
          <w:tab w:val="left" w:pos="360"/>
        </w:tabs>
        <w:ind w:left="0" w:firstLine="0"/>
        <w:rPr>
          <w:color w:val="000000" w:themeColor="text1"/>
          <w:lang w:val="es-AR"/>
        </w:rPr>
      </w:pPr>
      <w:r w:rsidRPr="001D3E10">
        <w:rPr>
          <w:color w:val="000000" w:themeColor="text1"/>
          <w:lang w:val="es-AR"/>
        </w:rPr>
        <w:t xml:space="preserve">A continuación, la CIDH analizará este plazo a la luz de los elementos habitualmente utilizados para efectuar esta determinación así como los estándares relevantes citados en la sección anterior. </w:t>
      </w:r>
    </w:p>
    <w:p w14:paraId="5B2CC168" w14:textId="77777777" w:rsidR="00DE3808" w:rsidRPr="001D3E10" w:rsidRDefault="00DE3808" w:rsidP="00DE3808">
      <w:pPr>
        <w:pStyle w:val="ListParagraph"/>
        <w:rPr>
          <w:color w:val="000000" w:themeColor="text1"/>
          <w:lang w:val="es-AR"/>
        </w:rPr>
      </w:pPr>
    </w:p>
    <w:p w14:paraId="1CA74288" w14:textId="34CDEDFD" w:rsidR="00DE3808" w:rsidRPr="001D3E10" w:rsidRDefault="00DE3808" w:rsidP="000646DA">
      <w:pPr>
        <w:pStyle w:val="parrafos"/>
        <w:numPr>
          <w:ilvl w:val="0"/>
          <w:numId w:val="4"/>
        </w:numPr>
        <w:tabs>
          <w:tab w:val="left" w:pos="360"/>
        </w:tabs>
        <w:ind w:left="0" w:firstLine="0"/>
        <w:rPr>
          <w:lang w:val="es-AR"/>
        </w:rPr>
      </w:pPr>
      <w:r w:rsidRPr="001D3E10">
        <w:rPr>
          <w:color w:val="000000" w:themeColor="text1"/>
          <w:lang w:val="es-AR"/>
        </w:rPr>
        <w:t xml:space="preserve">En cuanto a la complejidad del asunto, la Comisión observa que el Estado no presentó ninguna argumentación o prueba para justificar la demora del proceso de responsabilidad patrimonial atendiendo a su complejidad. La Comisión subraya que </w:t>
      </w:r>
      <w:r w:rsidR="000646DA" w:rsidRPr="001D3E10">
        <w:rPr>
          <w:color w:val="000000" w:themeColor="text1"/>
          <w:lang w:val="es-AR"/>
        </w:rPr>
        <w:t>de acuerdo con la información disponible el proceso tenía por objeto determinar la responsabilidad patrimonial de las presuntas víctimas tras la quiebra de la Caja Mutual Yatay, tomando en cuenta que ha</w:t>
      </w:r>
      <w:r w:rsidR="00456FC7" w:rsidRPr="001D3E10">
        <w:rPr>
          <w:color w:val="000000" w:themeColor="text1"/>
          <w:lang w:val="es-AR"/>
        </w:rPr>
        <w:t>b</w:t>
      </w:r>
      <w:r w:rsidR="000646DA" w:rsidRPr="001D3E10">
        <w:rPr>
          <w:color w:val="000000" w:themeColor="text1"/>
          <w:lang w:val="es-AR"/>
        </w:rPr>
        <w:t>rían formado parte del Consejo Directivo de dicha entidad. La CIDH estima que dicho aspecto no acredita una complejidad del proceso que justifi</w:t>
      </w:r>
      <w:r w:rsidR="00456FC7" w:rsidRPr="001D3E10">
        <w:rPr>
          <w:color w:val="000000" w:themeColor="text1"/>
          <w:lang w:val="es-AR"/>
        </w:rPr>
        <w:t>que la demora por casi 27 años.</w:t>
      </w:r>
    </w:p>
    <w:p w14:paraId="26942209" w14:textId="77777777" w:rsidR="000646DA" w:rsidRPr="001D3E10" w:rsidRDefault="000646DA" w:rsidP="000646DA">
      <w:pPr>
        <w:pStyle w:val="ListParagraph"/>
        <w:rPr>
          <w:lang w:val="es-AR"/>
        </w:rPr>
      </w:pPr>
    </w:p>
    <w:p w14:paraId="669FAF0F" w14:textId="77777777" w:rsidR="00FD7F51" w:rsidRPr="001D3E10" w:rsidRDefault="000646DA" w:rsidP="00FD7F51">
      <w:pPr>
        <w:pStyle w:val="parrafos"/>
        <w:numPr>
          <w:ilvl w:val="0"/>
          <w:numId w:val="4"/>
        </w:numPr>
        <w:tabs>
          <w:tab w:val="left" w:pos="360"/>
        </w:tabs>
        <w:ind w:left="0" w:firstLine="0"/>
        <w:rPr>
          <w:lang w:val="es-AR"/>
        </w:rPr>
      </w:pPr>
      <w:r w:rsidRPr="001D3E10">
        <w:rPr>
          <w:color w:val="000000" w:themeColor="text1"/>
          <w:spacing w:val="-2"/>
          <w:lang w:val="es-AR"/>
        </w:rPr>
        <w:t>Además, no surge del expediente que existiera un contexto particular en el que ocurrieron los hechos que requiriera de determinaciones complejas más allá de</w:t>
      </w:r>
      <w:r w:rsidR="00FD7F51" w:rsidRPr="001D3E10">
        <w:rPr>
          <w:color w:val="000000" w:themeColor="text1"/>
          <w:spacing w:val="-2"/>
          <w:lang w:val="es-AR"/>
        </w:rPr>
        <w:t xml:space="preserve"> determinar</w:t>
      </w:r>
      <w:r w:rsidRPr="001D3E10">
        <w:rPr>
          <w:color w:val="000000" w:themeColor="text1"/>
          <w:spacing w:val="-2"/>
          <w:lang w:val="es-AR"/>
        </w:rPr>
        <w:t xml:space="preserve"> la </w:t>
      </w:r>
      <w:r w:rsidR="00FD7F51" w:rsidRPr="001D3E10">
        <w:rPr>
          <w:color w:val="000000" w:themeColor="text1"/>
          <w:spacing w:val="-2"/>
          <w:lang w:val="es-AR"/>
        </w:rPr>
        <w:t>responsabilidad patrimonial</w:t>
      </w:r>
      <w:r w:rsidRPr="001D3E10">
        <w:rPr>
          <w:color w:val="000000" w:themeColor="text1"/>
          <w:spacing w:val="-2"/>
          <w:lang w:val="es-AR"/>
        </w:rPr>
        <w:t xml:space="preserve"> de las presuntas víctimas </w:t>
      </w:r>
      <w:r w:rsidR="00FD7F51" w:rsidRPr="001D3E10">
        <w:rPr>
          <w:color w:val="000000" w:themeColor="text1"/>
          <w:spacing w:val="-2"/>
          <w:lang w:val="es-AR"/>
        </w:rPr>
        <w:t>por su participación en la dirección de la Caja Mutual Yatay.</w:t>
      </w:r>
    </w:p>
    <w:p w14:paraId="04DEFE36" w14:textId="77777777" w:rsidR="00FD7F51" w:rsidRPr="001D3E10" w:rsidRDefault="00FD7F51" w:rsidP="00FD7F51">
      <w:pPr>
        <w:pStyle w:val="ListParagraph"/>
        <w:rPr>
          <w:color w:val="000000" w:themeColor="text1"/>
          <w:lang w:val="es-AR"/>
        </w:rPr>
      </w:pPr>
    </w:p>
    <w:p w14:paraId="5522DE7C" w14:textId="5DB6B201" w:rsidR="0067240F" w:rsidRPr="001D3E10" w:rsidRDefault="00FD7F51" w:rsidP="00691C82">
      <w:pPr>
        <w:pStyle w:val="parrafos"/>
        <w:numPr>
          <w:ilvl w:val="0"/>
          <w:numId w:val="4"/>
        </w:numPr>
        <w:tabs>
          <w:tab w:val="left" w:pos="360"/>
        </w:tabs>
        <w:ind w:left="0" w:firstLine="0"/>
        <w:rPr>
          <w:lang w:val="es-AR"/>
        </w:rPr>
      </w:pPr>
      <w:r w:rsidRPr="001D3E10">
        <w:rPr>
          <w:color w:val="000000" w:themeColor="text1"/>
          <w:lang w:val="es-AR"/>
        </w:rPr>
        <w:t>En cuanto al segundo elemento, es decir la conducta de las autoridades judiciales, la CIDH toma nota que la demanda contra las presuntas víctimas fue interpuesta el 2 de julio de 1985 y la decisión de primera instancia se emitió el 23 de diciembre de 2003, es decir más de 18 años después de interpuesta la demanda. Asimismo, el archivo del proceso se habría decretado el 7 de julio de 2008 sin embargo se ordenó una nueva inhibición general de bienes contra las presuntas víctimas, el 7 de marzo de 2012.</w:t>
      </w:r>
      <w:r w:rsidR="00691C82" w:rsidRPr="001D3E10">
        <w:rPr>
          <w:lang w:val="es-AR"/>
        </w:rPr>
        <w:t xml:space="preserve"> </w:t>
      </w:r>
      <w:r w:rsidR="0067240F" w:rsidRPr="001D3E10">
        <w:rPr>
          <w:lang w:val="es-AR"/>
        </w:rPr>
        <w:t xml:space="preserve">Las presuntas víctimas argumentaron que el archivo del proceso sin una sentencia firme fue consecuencia de la inactividad procesal del Estado.  La Comisión estima que a la luz de los elementos disponibles resulta que la demora en el proceso guarda relación con los excesivos lapsos de tiempos que demoraron las autoridades judiciales en emitir las decisiones correspondientes del proceso y el incumplimiento del impulso procesal que correspondía del proceso por la parte actora. </w:t>
      </w:r>
    </w:p>
    <w:p w14:paraId="5EA00BA6" w14:textId="77777777" w:rsidR="00691C82" w:rsidRPr="001D3E10" w:rsidRDefault="00691C82" w:rsidP="00691C82">
      <w:pPr>
        <w:pStyle w:val="ListParagraph"/>
        <w:rPr>
          <w:lang w:val="es-AR"/>
        </w:rPr>
      </w:pPr>
    </w:p>
    <w:p w14:paraId="4ECEAEB0" w14:textId="7F8693BB" w:rsidR="00691C82" w:rsidRPr="001D3E10" w:rsidRDefault="00691C82" w:rsidP="00893306">
      <w:pPr>
        <w:pStyle w:val="parrafos"/>
        <w:numPr>
          <w:ilvl w:val="0"/>
          <w:numId w:val="4"/>
        </w:numPr>
        <w:tabs>
          <w:tab w:val="left" w:pos="360"/>
        </w:tabs>
        <w:ind w:left="0" w:firstLine="0"/>
        <w:rPr>
          <w:lang w:val="es-AR"/>
        </w:rPr>
      </w:pPr>
      <w:r w:rsidRPr="001D3E10">
        <w:rPr>
          <w:lang w:val="es-AR"/>
        </w:rPr>
        <w:t xml:space="preserve">En cuanto a la </w:t>
      </w:r>
      <w:r w:rsidR="004A477E" w:rsidRPr="001D3E10">
        <w:rPr>
          <w:lang w:val="es-AR"/>
        </w:rPr>
        <w:t>actividad procesal del interesado, la Comisión observa que</w:t>
      </w:r>
      <w:r w:rsidR="000A5E8D" w:rsidRPr="001D3E10">
        <w:rPr>
          <w:lang w:val="es-AR"/>
        </w:rPr>
        <w:t>,</w:t>
      </w:r>
      <w:r w:rsidR="004A477E" w:rsidRPr="001D3E10">
        <w:rPr>
          <w:lang w:val="es-AR"/>
        </w:rPr>
        <w:t xml:space="preserve"> de acuerdo a la información disponible, </w:t>
      </w:r>
      <w:r w:rsidR="000A5E8D" w:rsidRPr="001D3E10">
        <w:rPr>
          <w:lang w:val="es-AR"/>
        </w:rPr>
        <w:t xml:space="preserve">las presuntas víctimas hicieron uso de los recursos que tenían disponibles en el proceso por responsabilidad </w:t>
      </w:r>
      <w:r w:rsidR="00893306" w:rsidRPr="001D3E10">
        <w:rPr>
          <w:lang w:val="es-AR"/>
        </w:rPr>
        <w:t>patrimonial. Al respecto, consta que en el marco del proceso el 3 de julio de 1985 las presuntas víctimas presentaron su contestación de la demanda. Igualmente, tras la decisión de primera instancia de 23 de diciembre de 2003 presentaron un re</w:t>
      </w:r>
      <w:r w:rsidR="00456FC7" w:rsidRPr="001D3E10">
        <w:rPr>
          <w:lang w:val="es-AR"/>
        </w:rPr>
        <w:t>curso de apelación. Sin embargo,</w:t>
      </w:r>
      <w:r w:rsidR="000A5E8D" w:rsidRPr="001D3E10">
        <w:rPr>
          <w:lang w:val="es-AR"/>
        </w:rPr>
        <w:t xml:space="preserve"> no existe ningún </w:t>
      </w:r>
      <w:r w:rsidR="000A5E8D" w:rsidRPr="001D3E10">
        <w:rPr>
          <w:lang w:val="es-AR"/>
        </w:rPr>
        <w:lastRenderedPageBreak/>
        <w:t xml:space="preserve">indicio que acredite que mediante sus actividades procesales generaron dilaciones indebidas al proceso. Además, la Comisión recuerda que la </w:t>
      </w:r>
      <w:r w:rsidRPr="001D3E10">
        <w:rPr>
          <w:rFonts w:cs="Helvetica"/>
          <w:color w:val="000000" w:themeColor="text1"/>
          <w:lang w:val="es-AR"/>
        </w:rPr>
        <w:t xml:space="preserve">conducción expedita del proceso reposa sobre la autoridad judicial. </w:t>
      </w:r>
    </w:p>
    <w:p w14:paraId="377BA2E0" w14:textId="77777777" w:rsidR="00F917ED" w:rsidRPr="001D3E10" w:rsidRDefault="00F917ED" w:rsidP="00F917ED">
      <w:pPr>
        <w:pStyle w:val="ListParagraph"/>
        <w:rPr>
          <w:lang w:val="es-AR"/>
        </w:rPr>
      </w:pPr>
    </w:p>
    <w:p w14:paraId="070498D9" w14:textId="1B37A4CD" w:rsidR="0038705B" w:rsidRPr="001D3E10" w:rsidRDefault="00F917ED" w:rsidP="00FD7F51">
      <w:pPr>
        <w:pStyle w:val="parrafos"/>
        <w:numPr>
          <w:ilvl w:val="0"/>
          <w:numId w:val="4"/>
        </w:numPr>
        <w:tabs>
          <w:tab w:val="left" w:pos="360"/>
        </w:tabs>
        <w:ind w:left="0" w:firstLine="0"/>
        <w:rPr>
          <w:lang w:val="es-AR"/>
        </w:rPr>
      </w:pPr>
      <w:r w:rsidRPr="001D3E10">
        <w:rPr>
          <w:lang w:val="es-AR"/>
        </w:rPr>
        <w:t xml:space="preserve">Finalmente, en cuanto a la </w:t>
      </w:r>
      <w:r w:rsidR="0038705B" w:rsidRPr="001D3E10">
        <w:rPr>
          <w:color w:val="000000" w:themeColor="text1"/>
          <w:lang w:val="es-AR"/>
        </w:rPr>
        <w:t xml:space="preserve">afectación generada en la situación jurídica de la persona involucrada en el proceso, la CIDH toma nota que la existencia del proceso implicó que por periodos prolongados de tiempo el tribunal impusiera una medida de inhibición general de bienes. Si bien no corresponde en este caso pronunciarse sobre la legitimidad de dicha medida tomando en cuenta el pronunciamiento de admisibilidad, la Comisión nota que la demora prolongada del proceso afectó derechos patrimoniales de las presuntas víctimas pues estuvieron impedidas de disponer libremente de sus bienes, los cuales estuvieron embargados por un tiempo excesivo. Si bien la CIDH no cuenta con información suficiente para </w:t>
      </w:r>
      <w:r w:rsidR="00004323" w:rsidRPr="001D3E10">
        <w:rPr>
          <w:color w:val="000000" w:themeColor="text1"/>
          <w:lang w:val="es-AR"/>
        </w:rPr>
        <w:t>determinar específicamente</w:t>
      </w:r>
      <w:r w:rsidR="0038705B" w:rsidRPr="001D3E10">
        <w:rPr>
          <w:color w:val="000000" w:themeColor="text1"/>
          <w:lang w:val="es-AR"/>
        </w:rPr>
        <w:t xml:space="preserve"> tal extremo, las presuntas víctimas argumentaron que la medida cautelar de inhibición de bienes se prolongó por más de 30 años.</w:t>
      </w:r>
    </w:p>
    <w:p w14:paraId="108B0FC8" w14:textId="77777777" w:rsidR="0038705B" w:rsidRPr="001D3E10" w:rsidRDefault="0038705B" w:rsidP="0038705B">
      <w:pPr>
        <w:pStyle w:val="ListParagraph"/>
        <w:rPr>
          <w:lang w:val="es-AR"/>
        </w:rPr>
      </w:pPr>
    </w:p>
    <w:p w14:paraId="3F9391FD" w14:textId="7D15A3B6" w:rsidR="0038705B" w:rsidRPr="001D3E10" w:rsidRDefault="0038705B" w:rsidP="0038705B">
      <w:pPr>
        <w:pStyle w:val="parrafos"/>
        <w:numPr>
          <w:ilvl w:val="0"/>
          <w:numId w:val="4"/>
        </w:numPr>
        <w:tabs>
          <w:tab w:val="left" w:pos="360"/>
        </w:tabs>
        <w:ind w:left="0" w:firstLine="0"/>
        <w:rPr>
          <w:lang w:val="es-AR"/>
        </w:rPr>
      </w:pPr>
      <w:r w:rsidRPr="001D3E10">
        <w:rPr>
          <w:color w:val="000000" w:themeColor="text1"/>
          <w:lang w:val="es-AR"/>
        </w:rPr>
        <w:t>En virtud de las anteriores consideraciones, la Comisión concluye que el plazo de más de 27 años que tardó el proceso por responsabilidad patrimonial, no fue debidamente justificado por el Estado y, por lo tanto, fue excesivo y violatorio de la garantía de plazo razonable</w:t>
      </w:r>
      <w:r w:rsidR="00920DE0" w:rsidRPr="001D3E10">
        <w:rPr>
          <w:color w:val="000000" w:themeColor="text1"/>
          <w:lang w:val="es-AR"/>
        </w:rPr>
        <w:t xml:space="preserve"> prevista en el artículo 8.1 de la Convención Americana</w:t>
      </w:r>
      <w:r w:rsidRPr="001D3E10">
        <w:rPr>
          <w:color w:val="000000" w:themeColor="text1"/>
          <w:lang w:val="es-AR"/>
        </w:rPr>
        <w:t xml:space="preserve">. Asimismo, la Comisión concluye que debido a lo anterior, dicho proceso no constituyó un recurso efectivo ante los jueces o tribunales competentes en los términos establecidos en el artículo 25.1 de la Convención Americana. </w:t>
      </w:r>
    </w:p>
    <w:p w14:paraId="7A1719A2" w14:textId="77777777" w:rsidR="00AB7C21" w:rsidRPr="001D3E10" w:rsidRDefault="00AB7C21" w:rsidP="00AB7C21">
      <w:pPr>
        <w:pStyle w:val="ListParagraph"/>
        <w:rPr>
          <w:lang w:val="es-AR"/>
        </w:rPr>
      </w:pPr>
    </w:p>
    <w:p w14:paraId="559BABF3" w14:textId="47BDEB8B" w:rsidR="00AB7C21" w:rsidRPr="001708FB" w:rsidRDefault="00AB7C21" w:rsidP="00D94B78">
      <w:pPr>
        <w:pStyle w:val="Heading1"/>
        <w:numPr>
          <w:ilvl w:val="0"/>
          <w:numId w:val="2"/>
        </w:numPr>
        <w:tabs>
          <w:tab w:val="clear" w:pos="1440"/>
          <w:tab w:val="num" w:pos="709"/>
          <w:tab w:val="left" w:pos="1350"/>
        </w:tabs>
        <w:ind w:left="0" w:firstLine="0"/>
        <w:rPr>
          <w:lang w:val="es-AR"/>
        </w:rPr>
      </w:pPr>
      <w:bookmarkStart w:id="60" w:name="_Toc203469413"/>
      <w:r w:rsidRPr="001708FB">
        <w:rPr>
          <w:lang w:val="es-AR"/>
        </w:rPr>
        <w:t>INFORME</w:t>
      </w:r>
      <w:r w:rsidR="00F8527C" w:rsidRPr="001708FB">
        <w:rPr>
          <w:lang w:val="es-AR"/>
        </w:rPr>
        <w:t xml:space="preserve"> No. 323</w:t>
      </w:r>
      <w:r w:rsidR="00F8527C" w:rsidRPr="001708FB">
        <w:rPr>
          <w:lang w:val="es-US"/>
        </w:rPr>
        <w:t>/20 E INFORMACI</w:t>
      </w:r>
      <w:r w:rsidR="00F8527C" w:rsidRPr="001708FB">
        <w:rPr>
          <w:lang w:val="es-ES"/>
        </w:rPr>
        <w:t>Ó</w:t>
      </w:r>
      <w:r w:rsidR="00F8527C" w:rsidRPr="001708FB">
        <w:rPr>
          <w:lang w:val="es-US"/>
        </w:rPr>
        <w:t>N DE CUMPLIMIENTO</w:t>
      </w:r>
      <w:bookmarkEnd w:id="60"/>
      <w:r w:rsidRPr="001708FB">
        <w:rPr>
          <w:lang w:val="es-AR"/>
        </w:rPr>
        <w:t xml:space="preserve"> </w:t>
      </w:r>
    </w:p>
    <w:p w14:paraId="39553000" w14:textId="77777777" w:rsidR="00AB3B78" w:rsidRPr="001708FB" w:rsidRDefault="00AB3B78" w:rsidP="001B5A37">
      <w:pPr>
        <w:pStyle w:val="parrafos"/>
        <w:tabs>
          <w:tab w:val="left" w:pos="426"/>
        </w:tabs>
      </w:pPr>
    </w:p>
    <w:p w14:paraId="4CD71F02" w14:textId="313CB704" w:rsidR="00AB7C21" w:rsidRPr="001708FB" w:rsidRDefault="00AB7C21" w:rsidP="00962F09">
      <w:pPr>
        <w:pStyle w:val="parrafos"/>
        <w:numPr>
          <w:ilvl w:val="0"/>
          <w:numId w:val="4"/>
        </w:numPr>
        <w:tabs>
          <w:tab w:val="left" w:pos="426"/>
        </w:tabs>
        <w:ind w:left="0" w:firstLine="0"/>
        <w:rPr>
          <w:lang w:val="es-AR"/>
        </w:rPr>
      </w:pPr>
      <w:r w:rsidRPr="001708FB">
        <w:rPr>
          <w:lang w:val="es-AR"/>
        </w:rPr>
        <w:t xml:space="preserve">La Comisión adoptó el informe de fondo No. </w:t>
      </w:r>
      <w:r w:rsidR="00D94B78" w:rsidRPr="001708FB">
        <w:rPr>
          <w:lang w:val="es-AR"/>
        </w:rPr>
        <w:t xml:space="preserve">323/20 </w:t>
      </w:r>
      <w:r w:rsidRPr="001708FB">
        <w:rPr>
          <w:lang w:val="es-AR"/>
        </w:rPr>
        <w:t xml:space="preserve">el </w:t>
      </w:r>
      <w:r w:rsidR="00E73053" w:rsidRPr="001708FB">
        <w:rPr>
          <w:lang w:val="es-AR"/>
        </w:rPr>
        <w:t>19 de noviembre de 2020</w:t>
      </w:r>
      <w:r w:rsidR="00D94B78" w:rsidRPr="001708FB">
        <w:rPr>
          <w:lang w:val="es-AR"/>
        </w:rPr>
        <w:t xml:space="preserve"> </w:t>
      </w:r>
      <w:r w:rsidRPr="001708FB">
        <w:rPr>
          <w:lang w:val="es-AR"/>
        </w:rPr>
        <w:t>que comprende los párrafos 1 a</w:t>
      </w:r>
      <w:r w:rsidR="00E73053" w:rsidRPr="001708FB">
        <w:rPr>
          <w:lang w:val="es-AR"/>
        </w:rPr>
        <w:t xml:space="preserve"> </w:t>
      </w:r>
      <w:r w:rsidR="00D94B78" w:rsidRPr="001708FB">
        <w:rPr>
          <w:lang w:val="es-AR"/>
        </w:rPr>
        <w:t>73</w:t>
      </w:r>
      <w:r w:rsidRPr="001708FB">
        <w:rPr>
          <w:lang w:val="es-AR"/>
        </w:rPr>
        <w:t xml:space="preserve"> </w:t>
      </w:r>
      <w:r w:rsidRPr="001708FB">
        <w:rPr>
          <w:i/>
          <w:iCs/>
          <w:lang w:val="es-AR"/>
        </w:rPr>
        <w:t>supra</w:t>
      </w:r>
      <w:r w:rsidRPr="001708FB">
        <w:rPr>
          <w:lang w:val="es-AR"/>
        </w:rPr>
        <w:t xml:space="preserve"> y lo transmitió al Estado </w:t>
      </w:r>
      <w:r w:rsidRPr="001708FB">
        <w:rPr>
          <w:color w:val="auto"/>
          <w:lang w:val="es-AR"/>
        </w:rPr>
        <w:t xml:space="preserve">el </w:t>
      </w:r>
      <w:r w:rsidR="002450EB" w:rsidRPr="001708FB">
        <w:rPr>
          <w:color w:val="auto"/>
          <w:lang w:val="es-AR"/>
        </w:rPr>
        <w:t>29 de diciembre de 2020</w:t>
      </w:r>
      <w:r w:rsidRPr="001708FB">
        <w:rPr>
          <w:color w:val="auto"/>
          <w:lang w:val="es-AR"/>
        </w:rPr>
        <w:t xml:space="preserve">. </w:t>
      </w:r>
      <w:r w:rsidRPr="001708FB">
        <w:rPr>
          <w:lang w:val="es-AR"/>
        </w:rPr>
        <w:t>En dicho informe la Comisión recomendó:</w:t>
      </w:r>
    </w:p>
    <w:p w14:paraId="00709841" w14:textId="77777777" w:rsidR="00AB7C21" w:rsidRPr="001708FB" w:rsidRDefault="00AB7C21" w:rsidP="00962F09">
      <w:pPr>
        <w:pStyle w:val="parrafos"/>
        <w:tabs>
          <w:tab w:val="left" w:pos="426"/>
        </w:tabs>
        <w:rPr>
          <w:lang w:val="es-AR"/>
        </w:rPr>
      </w:pPr>
    </w:p>
    <w:p w14:paraId="14F99926" w14:textId="4278269C" w:rsidR="00AB7C21" w:rsidRPr="001708FB" w:rsidRDefault="00AB7C21" w:rsidP="00962F09">
      <w:pPr>
        <w:pStyle w:val="BodyTextIndent"/>
        <w:numPr>
          <w:ilvl w:val="3"/>
          <w:numId w:val="4"/>
        </w:numPr>
        <w:tabs>
          <w:tab w:val="left" w:pos="426"/>
        </w:tabs>
        <w:ind w:left="993" w:right="720"/>
        <w:jc w:val="both"/>
        <w:rPr>
          <w:rFonts w:ascii="Cambria" w:hAnsi="Cambria"/>
          <w:color w:val="000000" w:themeColor="text1"/>
          <w:sz w:val="20"/>
          <w:szCs w:val="20"/>
          <w:lang w:val="es-AR"/>
        </w:rPr>
      </w:pPr>
      <w:r w:rsidRPr="001708FB">
        <w:rPr>
          <w:rFonts w:ascii="Cambria" w:hAnsi="Cambria"/>
          <w:color w:val="000000" w:themeColor="text1"/>
          <w:sz w:val="20"/>
          <w:szCs w:val="20"/>
          <w:lang w:val="es-AR"/>
        </w:rPr>
        <w:t>Reparar integralmente las violaciones de derechos humanos declaradas</w:t>
      </w:r>
      <w:r w:rsidR="00611DA0" w:rsidRPr="001708FB">
        <w:rPr>
          <w:rFonts w:ascii="Cambria" w:hAnsi="Cambria"/>
          <w:color w:val="000000" w:themeColor="text1"/>
          <w:sz w:val="20"/>
          <w:szCs w:val="20"/>
          <w:lang w:val="es-AR"/>
        </w:rPr>
        <w:t xml:space="preserve"> </w:t>
      </w:r>
      <w:r w:rsidR="00611DA0" w:rsidRPr="001708FB">
        <w:rPr>
          <w:rFonts w:ascii="Cambria" w:eastAsia="Cambria" w:hAnsi="Cambria" w:cs="Cambria"/>
          <w:sz w:val="20"/>
          <w:szCs w:val="20"/>
        </w:rPr>
        <w:t>en el presente informe</w:t>
      </w:r>
      <w:r w:rsidRPr="001708FB">
        <w:rPr>
          <w:rFonts w:ascii="Cambria" w:hAnsi="Cambria"/>
          <w:color w:val="000000" w:themeColor="text1"/>
          <w:sz w:val="20"/>
          <w:szCs w:val="20"/>
          <w:lang w:val="es-AR"/>
        </w:rPr>
        <w:t xml:space="preserve">. En particular adoptar el pago de una indemnización a las víctimas por el plazo irrazonable de duración del proceso por responsabilidad patrimonial promovido en su contra. </w:t>
      </w:r>
    </w:p>
    <w:p w14:paraId="4674FD34" w14:textId="77777777" w:rsidR="00AB7C21" w:rsidRPr="001708FB" w:rsidRDefault="00AB7C21" w:rsidP="00962F09">
      <w:pPr>
        <w:pStyle w:val="BodyTextIndent"/>
        <w:tabs>
          <w:tab w:val="left" w:pos="426"/>
        </w:tabs>
        <w:ind w:left="0" w:right="720" w:firstLine="0"/>
        <w:jc w:val="both"/>
        <w:rPr>
          <w:rFonts w:ascii="Cambria" w:hAnsi="Cambria"/>
          <w:color w:val="000000" w:themeColor="text1"/>
          <w:sz w:val="20"/>
          <w:szCs w:val="20"/>
          <w:lang w:val="es-AR"/>
        </w:rPr>
      </w:pPr>
    </w:p>
    <w:p w14:paraId="112288CA" w14:textId="010B0162" w:rsidR="00AB7C21" w:rsidRPr="001708FB" w:rsidRDefault="00AB7C21" w:rsidP="00962F09">
      <w:pPr>
        <w:pStyle w:val="BodyTextIndent"/>
        <w:numPr>
          <w:ilvl w:val="3"/>
          <w:numId w:val="4"/>
        </w:numPr>
        <w:tabs>
          <w:tab w:val="left" w:pos="426"/>
        </w:tabs>
        <w:ind w:left="993" w:right="720"/>
        <w:jc w:val="both"/>
        <w:rPr>
          <w:rFonts w:ascii="Cambria" w:hAnsi="Cambria"/>
          <w:color w:val="000000" w:themeColor="text1"/>
          <w:sz w:val="20"/>
          <w:szCs w:val="20"/>
          <w:lang w:val="es-AR"/>
        </w:rPr>
      </w:pPr>
      <w:r w:rsidRPr="001708FB">
        <w:rPr>
          <w:rFonts w:ascii="Cambria" w:hAnsi="Cambria"/>
          <w:color w:val="000000" w:themeColor="text1"/>
          <w:sz w:val="20"/>
          <w:szCs w:val="20"/>
          <w:lang w:val="es-AR"/>
        </w:rPr>
        <w:t xml:space="preserve">Adoptar las medidas de capacitación necesarias para asegurar que los procesos judiciales de responsabilidad </w:t>
      </w:r>
      <w:r w:rsidR="001D3E10" w:rsidRPr="001708FB">
        <w:rPr>
          <w:rFonts w:ascii="Cambria" w:hAnsi="Cambria"/>
          <w:color w:val="000000" w:themeColor="text1"/>
          <w:sz w:val="20"/>
          <w:szCs w:val="20"/>
          <w:lang w:val="es-AR"/>
        </w:rPr>
        <w:t>patrimonial</w:t>
      </w:r>
      <w:r w:rsidRPr="001708FB">
        <w:rPr>
          <w:rFonts w:ascii="Cambria" w:hAnsi="Cambria"/>
          <w:color w:val="000000" w:themeColor="text1"/>
          <w:sz w:val="20"/>
          <w:szCs w:val="20"/>
          <w:lang w:val="es-AR"/>
        </w:rPr>
        <w:t xml:space="preserve"> sean resueltos oportunamente por las autoridades judiciales correspondientes dentro de un plazo razonable conforme a los estándares interamericanos sobre la materia. </w:t>
      </w:r>
    </w:p>
    <w:p w14:paraId="2E3C007D" w14:textId="77777777" w:rsidR="00D94B78" w:rsidRPr="001708FB" w:rsidRDefault="00D94B78" w:rsidP="00962F09">
      <w:pPr>
        <w:pStyle w:val="BodyTextIndent"/>
        <w:tabs>
          <w:tab w:val="left" w:pos="426"/>
        </w:tabs>
        <w:ind w:left="0" w:right="720" w:firstLine="0"/>
        <w:jc w:val="both"/>
        <w:rPr>
          <w:rFonts w:ascii="Cambria" w:hAnsi="Cambria"/>
          <w:color w:val="000000" w:themeColor="text1"/>
          <w:sz w:val="20"/>
          <w:szCs w:val="20"/>
          <w:lang w:val="es-AR"/>
        </w:rPr>
      </w:pPr>
    </w:p>
    <w:p w14:paraId="667EDA39" w14:textId="1D9C0F77" w:rsidR="002C64C6" w:rsidRPr="001708FB" w:rsidRDefault="00E437F5" w:rsidP="00962F09">
      <w:pPr>
        <w:pStyle w:val="parrafos"/>
        <w:numPr>
          <w:ilvl w:val="0"/>
          <w:numId w:val="4"/>
        </w:numPr>
        <w:tabs>
          <w:tab w:val="left" w:pos="426"/>
          <w:tab w:val="left" w:pos="709"/>
          <w:tab w:val="left" w:pos="4220"/>
        </w:tabs>
        <w:ind w:left="0" w:firstLine="0"/>
        <w:rPr>
          <w:color w:val="auto"/>
          <w:lang w:val="es-AR"/>
        </w:rPr>
      </w:pPr>
      <w:r w:rsidRPr="001708FB">
        <w:rPr>
          <w:lang w:val="es-AR"/>
        </w:rPr>
        <w:t xml:space="preserve">En el trámite seguido con posterioridad a la notificación del informe de fondo, la Comisión recibió </w:t>
      </w:r>
      <w:r w:rsidRPr="001708FB">
        <w:rPr>
          <w:color w:val="auto"/>
          <w:lang w:val="es-AR"/>
        </w:rPr>
        <w:t xml:space="preserve">informes del Estado y </w:t>
      </w:r>
      <w:r w:rsidRPr="001708FB">
        <w:rPr>
          <w:lang w:val="es-AR"/>
        </w:rPr>
        <w:t>escritos la parte peticionaria sobre el cumplimiento de las recomendaciones establecidas por la CIDH</w:t>
      </w:r>
      <w:r w:rsidR="00D94B78" w:rsidRPr="001708FB">
        <w:rPr>
          <w:lang w:val="es-AR"/>
        </w:rPr>
        <w:t xml:space="preserve">. Durante este período la Comisión otorgó </w:t>
      </w:r>
      <w:r w:rsidR="009800AD" w:rsidRPr="001708FB">
        <w:rPr>
          <w:color w:val="auto"/>
          <w:lang w:val="es-AR"/>
        </w:rPr>
        <w:t>siete</w:t>
      </w:r>
      <w:r w:rsidR="00D94B78" w:rsidRPr="001708FB">
        <w:rPr>
          <w:color w:val="auto"/>
          <w:lang w:val="es-AR"/>
        </w:rPr>
        <w:t xml:space="preserve"> prórrogas </w:t>
      </w:r>
      <w:r w:rsidR="00D94B78" w:rsidRPr="001708FB">
        <w:rPr>
          <w:lang w:val="es-AR"/>
        </w:rPr>
        <w:t>al Estado para la suspensión del plazo previsto en el artículo 51 de la Convención Americana. Asimismo, el Estado</w:t>
      </w:r>
      <w:r w:rsidR="00D94B78" w:rsidRPr="001708FB">
        <w:rPr>
          <w:color w:val="auto"/>
          <w:lang w:val="es-AR"/>
        </w:rPr>
        <w:t>, reiteró su voluntad de cumplir con las recomendaciones y renunció expresamente a interponer excepciones preliminares respecto del cumplimiento del plazo previsto por el mencionado artículo, de conformidad con lo dispuesto en el artículo 46 del Reglamento de la Comisión.</w:t>
      </w:r>
    </w:p>
    <w:p w14:paraId="57B704CD" w14:textId="77777777" w:rsidR="00CB1422" w:rsidRPr="001708FB" w:rsidRDefault="00CB1422" w:rsidP="00962F09">
      <w:pPr>
        <w:pStyle w:val="parrafos"/>
        <w:tabs>
          <w:tab w:val="left" w:pos="426"/>
          <w:tab w:val="left" w:pos="709"/>
          <w:tab w:val="left" w:pos="4220"/>
        </w:tabs>
        <w:rPr>
          <w:color w:val="auto"/>
          <w:lang w:val="es-AR"/>
        </w:rPr>
      </w:pPr>
    </w:p>
    <w:p w14:paraId="3FA05D92" w14:textId="4AA331A1" w:rsidR="00DE445B" w:rsidRPr="001708FB" w:rsidRDefault="000D13A8" w:rsidP="00962F09">
      <w:pPr>
        <w:pStyle w:val="parrafos"/>
        <w:numPr>
          <w:ilvl w:val="0"/>
          <w:numId w:val="4"/>
        </w:numPr>
        <w:tabs>
          <w:tab w:val="left" w:pos="426"/>
          <w:tab w:val="left" w:pos="709"/>
          <w:tab w:val="left" w:pos="4220"/>
        </w:tabs>
        <w:ind w:left="0" w:firstLine="0"/>
        <w:rPr>
          <w:color w:val="auto"/>
          <w:lang w:val="es-AR"/>
        </w:rPr>
      </w:pPr>
      <w:r w:rsidRPr="001708FB">
        <w:rPr>
          <w:lang w:val="es-AR"/>
        </w:rPr>
        <w:t>Asimismo, l</w:t>
      </w:r>
      <w:r w:rsidR="00DE445B" w:rsidRPr="001708FB">
        <w:rPr>
          <w:lang w:val="es-AR"/>
        </w:rPr>
        <w:t xml:space="preserve">a parte peticionaria </w:t>
      </w:r>
      <w:r w:rsidR="0077777D" w:rsidRPr="001708FB">
        <w:rPr>
          <w:lang w:val="es-AR"/>
        </w:rPr>
        <w:t>realizó</w:t>
      </w:r>
      <w:r w:rsidR="00DE445B" w:rsidRPr="001708FB">
        <w:rPr>
          <w:lang w:val="es-AR"/>
        </w:rPr>
        <w:t xml:space="preserve"> una propuesta </w:t>
      </w:r>
      <w:r w:rsidRPr="001708FB">
        <w:rPr>
          <w:lang w:val="es-AR"/>
        </w:rPr>
        <w:t xml:space="preserve">respecto al monto </w:t>
      </w:r>
      <w:r w:rsidR="00DE445B" w:rsidRPr="001708FB">
        <w:rPr>
          <w:lang w:val="es-AR"/>
        </w:rPr>
        <w:t xml:space="preserve">de </w:t>
      </w:r>
      <w:r w:rsidRPr="001708FB">
        <w:rPr>
          <w:lang w:val="es-AR"/>
        </w:rPr>
        <w:t>indemnización</w:t>
      </w:r>
      <w:r w:rsidR="00DE445B" w:rsidRPr="001708FB">
        <w:rPr>
          <w:lang w:val="es-AR"/>
        </w:rPr>
        <w:t xml:space="preserve">. </w:t>
      </w:r>
      <w:r w:rsidR="009D4FAB" w:rsidRPr="001708FB">
        <w:rPr>
          <w:rStyle w:val="normaltextrun"/>
          <w:shd w:val="clear" w:color="auto" w:fill="FFFFFF"/>
          <w:lang w:val="es-ES"/>
        </w:rPr>
        <w:t>Solicita en total una indemnización por daño inmaterial y lucro cesante de US$ 29.000.000 respecto de</w:t>
      </w:r>
      <w:r w:rsidR="00CD7919" w:rsidRPr="001708FB">
        <w:rPr>
          <w:rStyle w:val="normaltextrun"/>
          <w:shd w:val="clear" w:color="auto" w:fill="FFFFFF"/>
          <w:lang w:val="es-ES"/>
        </w:rPr>
        <w:t>l señor</w:t>
      </w:r>
      <w:r w:rsidR="009D4FAB" w:rsidRPr="001708FB">
        <w:rPr>
          <w:rStyle w:val="normaltextrun"/>
          <w:shd w:val="clear" w:color="auto" w:fill="FFFFFF"/>
          <w:lang w:val="es-ES"/>
        </w:rPr>
        <w:t xml:space="preserve"> Chaikin y US$ 44.800.000 respecto de</w:t>
      </w:r>
      <w:r w:rsidR="00CD7919" w:rsidRPr="001708FB">
        <w:rPr>
          <w:rStyle w:val="normaltextrun"/>
          <w:shd w:val="clear" w:color="auto" w:fill="FFFFFF"/>
          <w:lang w:val="es-ES"/>
        </w:rPr>
        <w:t>l señor</w:t>
      </w:r>
      <w:r w:rsidR="009D4FAB" w:rsidRPr="001708FB">
        <w:rPr>
          <w:rStyle w:val="normaltextrun"/>
          <w:shd w:val="clear" w:color="auto" w:fill="FFFFFF"/>
          <w:lang w:val="es-ES"/>
        </w:rPr>
        <w:t xml:space="preserve"> Kemelmajen, más US$ 14.940.000 </w:t>
      </w:r>
      <w:r w:rsidR="000150CF" w:rsidRPr="001708FB">
        <w:rPr>
          <w:rStyle w:val="normaltextrun"/>
          <w:shd w:val="clear" w:color="auto" w:fill="FFFFFF"/>
          <w:lang w:val="es-ES"/>
        </w:rPr>
        <w:t>por</w:t>
      </w:r>
      <w:r w:rsidR="009D4FAB" w:rsidRPr="001708FB">
        <w:rPr>
          <w:rStyle w:val="normaltextrun"/>
          <w:shd w:val="clear" w:color="auto" w:fill="FFFFFF"/>
          <w:lang w:val="es-ES"/>
        </w:rPr>
        <w:t xml:space="preserve"> concepto de honorarios. </w:t>
      </w:r>
    </w:p>
    <w:p w14:paraId="6AE28EF4" w14:textId="77777777" w:rsidR="00DE445B" w:rsidRPr="001708FB" w:rsidRDefault="00DE445B" w:rsidP="00962F09">
      <w:pPr>
        <w:pStyle w:val="parrafos"/>
        <w:tabs>
          <w:tab w:val="left" w:pos="426"/>
          <w:tab w:val="left" w:pos="709"/>
          <w:tab w:val="left" w:pos="4220"/>
        </w:tabs>
        <w:rPr>
          <w:color w:val="auto"/>
          <w:lang w:val="es-US"/>
        </w:rPr>
      </w:pPr>
    </w:p>
    <w:p w14:paraId="193A5246" w14:textId="5377CBA7" w:rsidR="00330401" w:rsidRPr="001708FB" w:rsidRDefault="00EF5B35" w:rsidP="00BC3508">
      <w:pPr>
        <w:pStyle w:val="parrafos"/>
        <w:numPr>
          <w:ilvl w:val="0"/>
          <w:numId w:val="4"/>
        </w:numPr>
        <w:tabs>
          <w:tab w:val="left" w:pos="426"/>
          <w:tab w:val="left" w:pos="709"/>
          <w:tab w:val="left" w:pos="4220"/>
        </w:tabs>
        <w:ind w:left="0" w:firstLine="0"/>
        <w:rPr>
          <w:rFonts w:eastAsia="Cambria" w:cs="Cambria"/>
          <w:lang w:val="es-AR"/>
        </w:rPr>
      </w:pPr>
      <w:r w:rsidRPr="001708FB">
        <w:rPr>
          <w:rFonts w:eastAsia="Cambria" w:cs="Cambria"/>
          <w:lang w:val="es-AR"/>
        </w:rPr>
        <w:t xml:space="preserve">El </w:t>
      </w:r>
      <w:r w:rsidR="00DE445B" w:rsidRPr="001708FB">
        <w:rPr>
          <w:rFonts w:eastAsia="Cambria" w:cs="Cambria"/>
          <w:color w:val="auto"/>
          <w:lang w:val="es-AR"/>
        </w:rPr>
        <w:t>13</w:t>
      </w:r>
      <w:r w:rsidR="002D6E09" w:rsidRPr="001708FB">
        <w:rPr>
          <w:rFonts w:eastAsia="Cambria" w:cs="Cambria"/>
          <w:color w:val="auto"/>
          <w:lang w:val="es-AR"/>
        </w:rPr>
        <w:t xml:space="preserve"> </w:t>
      </w:r>
      <w:r w:rsidRPr="001708FB">
        <w:rPr>
          <w:rFonts w:eastAsia="Cambria" w:cs="Cambria"/>
          <w:color w:val="auto"/>
          <w:lang w:val="es-AR"/>
        </w:rPr>
        <w:t>de dic</w:t>
      </w:r>
      <w:r w:rsidRPr="001708FB">
        <w:rPr>
          <w:rFonts w:eastAsia="Cambria" w:cs="Cambria"/>
          <w:lang w:val="es-AR"/>
        </w:rPr>
        <w:t xml:space="preserve">iembre de 2021 se llevó a cabo </w:t>
      </w:r>
      <w:r w:rsidR="007D79CA" w:rsidRPr="001708FB">
        <w:rPr>
          <w:rFonts w:eastAsia="Cambria" w:cs="Cambria"/>
          <w:lang w:val="es-AR"/>
        </w:rPr>
        <w:t>la</w:t>
      </w:r>
      <w:r w:rsidRPr="001708FB">
        <w:rPr>
          <w:rFonts w:eastAsia="Cambria" w:cs="Cambria"/>
          <w:lang w:val="es-AR"/>
        </w:rPr>
        <w:t xml:space="preserve"> reunión de trabajo con las partes para conocer los avances en la implementación de las recomendaciones. </w:t>
      </w:r>
      <w:r w:rsidR="00CC6FBB" w:rsidRPr="001708FB">
        <w:rPr>
          <w:rFonts w:eastAsia="Cambria" w:cs="Cambria"/>
          <w:lang w:val="es-AR"/>
        </w:rPr>
        <w:t xml:space="preserve">El </w:t>
      </w:r>
      <w:r w:rsidR="000D13A8" w:rsidRPr="001708FB">
        <w:rPr>
          <w:rFonts w:eastAsia="Cambria" w:cs="Cambria"/>
          <w:lang w:val="es-AR"/>
        </w:rPr>
        <w:t>4 de enero</w:t>
      </w:r>
      <w:r w:rsidR="008C1010" w:rsidRPr="001708FB">
        <w:rPr>
          <w:rFonts w:eastAsia="Cambria" w:cs="Cambria"/>
          <w:lang w:val="es-AR"/>
        </w:rPr>
        <w:t xml:space="preserve"> de 2022</w:t>
      </w:r>
      <w:r w:rsidR="00CC6FBB" w:rsidRPr="001708FB">
        <w:rPr>
          <w:rFonts w:eastAsia="Cambria" w:cs="Cambria"/>
          <w:lang w:val="es-AR"/>
        </w:rPr>
        <w:t xml:space="preserve">, </w:t>
      </w:r>
      <w:r w:rsidR="00A17A58" w:rsidRPr="001708FB">
        <w:rPr>
          <w:rFonts w:eastAsia="Cambria" w:cs="Cambria"/>
          <w:lang w:val="es-AR"/>
        </w:rPr>
        <w:t xml:space="preserve">el Estado informó </w:t>
      </w:r>
      <w:r w:rsidR="00CC6FBB" w:rsidRPr="001708FB">
        <w:rPr>
          <w:lang w:val="es-AR"/>
        </w:rPr>
        <w:t>desde 2017 no ha</w:t>
      </w:r>
      <w:r w:rsidR="005960AD" w:rsidRPr="001708FB">
        <w:rPr>
          <w:lang w:val="es-AR"/>
        </w:rPr>
        <w:t>bía</w:t>
      </w:r>
      <w:r w:rsidR="00CC6FBB" w:rsidRPr="001708FB">
        <w:rPr>
          <w:lang w:val="es-AR"/>
        </w:rPr>
        <w:t xml:space="preserve"> medidas cautelares</w:t>
      </w:r>
      <w:r w:rsidR="00BB7876" w:rsidRPr="001708FB">
        <w:rPr>
          <w:lang w:val="es-AR"/>
        </w:rPr>
        <w:t xml:space="preserve"> de inhibición</w:t>
      </w:r>
      <w:r w:rsidR="00CC6FBB" w:rsidRPr="001708FB">
        <w:rPr>
          <w:lang w:val="es-AR"/>
        </w:rPr>
        <w:t xml:space="preserve"> vigentes en relación con </w:t>
      </w:r>
      <w:r w:rsidR="00B2567A" w:rsidRPr="001708FB">
        <w:rPr>
          <w:lang w:val="es-AR"/>
        </w:rPr>
        <w:t>l</w:t>
      </w:r>
      <w:r w:rsidR="00BB7876" w:rsidRPr="001708FB">
        <w:rPr>
          <w:lang w:val="es-AR"/>
        </w:rPr>
        <w:t>os bienes</w:t>
      </w:r>
      <w:r w:rsidR="00CC6FBB" w:rsidRPr="001708FB">
        <w:rPr>
          <w:lang w:val="es-AR"/>
        </w:rPr>
        <w:t xml:space="preserve"> de l</w:t>
      </w:r>
      <w:r w:rsidR="00B2567A" w:rsidRPr="001708FB">
        <w:rPr>
          <w:lang w:val="es-AR"/>
        </w:rPr>
        <w:t>as dos víctimas</w:t>
      </w:r>
      <w:r w:rsidR="00611DA0" w:rsidRPr="001708FB">
        <w:rPr>
          <w:lang w:val="es-AR"/>
        </w:rPr>
        <w:t xml:space="preserve"> y </w:t>
      </w:r>
      <w:r w:rsidR="00E075AA" w:rsidRPr="001708FB">
        <w:rPr>
          <w:lang w:val="es-AR"/>
        </w:rPr>
        <w:t xml:space="preserve">que </w:t>
      </w:r>
      <w:r w:rsidR="00611DA0" w:rsidRPr="001708FB">
        <w:rPr>
          <w:lang w:val="es-AR"/>
        </w:rPr>
        <w:t>t</w:t>
      </w:r>
      <w:r w:rsidR="00CC6FBB" w:rsidRPr="001708FB">
        <w:rPr>
          <w:lang w:val="es-AR"/>
        </w:rPr>
        <w:t xml:space="preserve">ampoco se </w:t>
      </w:r>
      <w:r w:rsidR="00740A84" w:rsidRPr="001708FB">
        <w:rPr>
          <w:lang w:val="es-AR"/>
        </w:rPr>
        <w:t xml:space="preserve">habían </w:t>
      </w:r>
      <w:r w:rsidR="00CC6FBB" w:rsidRPr="001708FB">
        <w:rPr>
          <w:lang w:val="es-AR"/>
        </w:rPr>
        <w:t>ordena</w:t>
      </w:r>
      <w:r w:rsidR="00740A84" w:rsidRPr="001708FB">
        <w:rPr>
          <w:lang w:val="es-AR"/>
        </w:rPr>
        <w:t>do medidas</w:t>
      </w:r>
      <w:r w:rsidR="00CC6FBB" w:rsidRPr="001708FB">
        <w:rPr>
          <w:lang w:val="es-AR"/>
        </w:rPr>
        <w:t xml:space="preserve"> nuevas. </w:t>
      </w:r>
      <w:r w:rsidR="00E50F8C" w:rsidRPr="001708FB">
        <w:rPr>
          <w:lang w:val="es-AR"/>
        </w:rPr>
        <w:t>Asimismo,</w:t>
      </w:r>
      <w:r w:rsidR="00CC6FBB" w:rsidRPr="001708FB">
        <w:rPr>
          <w:lang w:val="es-AR"/>
        </w:rPr>
        <w:t xml:space="preserve"> solicit</w:t>
      </w:r>
      <w:r w:rsidR="00E50F8C" w:rsidRPr="001708FB">
        <w:rPr>
          <w:color w:val="auto"/>
          <w:lang w:val="es-AR"/>
        </w:rPr>
        <w:t>ó</w:t>
      </w:r>
      <w:r w:rsidR="00CC6FBB" w:rsidRPr="001708FB">
        <w:rPr>
          <w:lang w:val="es-AR"/>
        </w:rPr>
        <w:t xml:space="preserve"> a la CIDH que remita una nota técnica en la que clarifique el contenido de</w:t>
      </w:r>
      <w:r w:rsidR="00330401" w:rsidRPr="001708FB">
        <w:rPr>
          <w:lang w:val="es-AR"/>
        </w:rPr>
        <w:t xml:space="preserve"> los alcances de</w:t>
      </w:r>
      <w:r w:rsidR="00CC6FBB" w:rsidRPr="001708FB">
        <w:rPr>
          <w:lang w:val="es-AR"/>
        </w:rPr>
        <w:t xml:space="preserve"> la </w:t>
      </w:r>
      <w:r w:rsidR="00611DA0" w:rsidRPr="001708FB">
        <w:rPr>
          <w:lang w:val="es-AR"/>
        </w:rPr>
        <w:t xml:space="preserve">primera </w:t>
      </w:r>
      <w:r w:rsidR="00CC6FBB" w:rsidRPr="001708FB">
        <w:rPr>
          <w:lang w:val="es-AR"/>
        </w:rPr>
        <w:t>recomendación</w:t>
      </w:r>
      <w:r w:rsidR="00330401" w:rsidRPr="001708FB">
        <w:rPr>
          <w:lang w:val="es-AR"/>
        </w:rPr>
        <w:t>.</w:t>
      </w:r>
    </w:p>
    <w:p w14:paraId="76D35559" w14:textId="77777777" w:rsidR="00CC6FBB" w:rsidRDefault="00CC6FBB" w:rsidP="00962F09">
      <w:pPr>
        <w:pStyle w:val="parrafos"/>
        <w:tabs>
          <w:tab w:val="left" w:pos="426"/>
          <w:tab w:val="left" w:pos="709"/>
          <w:tab w:val="left" w:pos="4220"/>
        </w:tabs>
        <w:rPr>
          <w:lang w:val="es-AR"/>
        </w:rPr>
      </w:pPr>
    </w:p>
    <w:p w14:paraId="6CBE49B3" w14:textId="77777777" w:rsidR="003F0812" w:rsidRPr="001708FB" w:rsidRDefault="003F0812" w:rsidP="00962F09">
      <w:pPr>
        <w:pStyle w:val="parrafos"/>
        <w:tabs>
          <w:tab w:val="left" w:pos="426"/>
          <w:tab w:val="left" w:pos="709"/>
          <w:tab w:val="left" w:pos="4220"/>
        </w:tabs>
        <w:rPr>
          <w:lang w:val="es-AR"/>
        </w:rPr>
      </w:pPr>
    </w:p>
    <w:p w14:paraId="4D6088FD" w14:textId="5A0F9603" w:rsidR="0077777D" w:rsidRPr="001708FB" w:rsidRDefault="00E437F5" w:rsidP="000B1CC2">
      <w:pPr>
        <w:pStyle w:val="parrafos"/>
        <w:numPr>
          <w:ilvl w:val="0"/>
          <w:numId w:val="4"/>
        </w:numPr>
        <w:tabs>
          <w:tab w:val="left" w:pos="426"/>
          <w:tab w:val="left" w:pos="4220"/>
        </w:tabs>
        <w:ind w:left="0" w:firstLine="0"/>
        <w:rPr>
          <w:rFonts w:eastAsia="Cambria" w:cs="Cambria"/>
          <w:lang w:val="es-ES"/>
        </w:rPr>
      </w:pPr>
      <w:r w:rsidRPr="001708FB">
        <w:rPr>
          <w:rFonts w:eastAsia="Cambria" w:cs="Cambria"/>
          <w:lang w:val="es-AR"/>
        </w:rPr>
        <w:t xml:space="preserve">El 4 de febrero de 2022 la </w:t>
      </w:r>
      <w:r w:rsidR="00E50F8C" w:rsidRPr="001708FB">
        <w:rPr>
          <w:rFonts w:eastAsia="Cambria" w:cs="Cambria"/>
          <w:lang w:val="es-AR"/>
        </w:rPr>
        <w:t>Comisión</w:t>
      </w:r>
      <w:r w:rsidRPr="001708FB">
        <w:rPr>
          <w:rFonts w:eastAsia="Cambria" w:cs="Cambria"/>
          <w:lang w:val="es-AR"/>
        </w:rPr>
        <w:t xml:space="preserve"> remitió a las partes la nota técnica solicitada por el Estado. En</w:t>
      </w:r>
      <w:r w:rsidR="00330401" w:rsidRPr="001708FB">
        <w:rPr>
          <w:rFonts w:eastAsia="Cambria" w:cs="Cambria"/>
          <w:lang w:val="es-AR"/>
        </w:rPr>
        <w:t xml:space="preserve"> ella</w:t>
      </w:r>
      <w:r w:rsidRPr="001708FB">
        <w:rPr>
          <w:rFonts w:eastAsia="Cambria" w:cs="Cambria"/>
          <w:lang w:val="es-AR"/>
        </w:rPr>
        <w:t xml:space="preserve"> </w:t>
      </w:r>
      <w:r w:rsidR="005E33DD" w:rsidRPr="001708FB">
        <w:rPr>
          <w:rFonts w:eastAsia="Cambria" w:cs="Cambria"/>
          <w:lang w:val="es-AR"/>
        </w:rPr>
        <w:t xml:space="preserve">la CIDH </w:t>
      </w:r>
      <w:r w:rsidRPr="001708FB">
        <w:rPr>
          <w:rFonts w:eastAsia="Cambria" w:cs="Cambria"/>
          <w:lang w:val="es-AR"/>
        </w:rPr>
        <w:t>aclaró que</w:t>
      </w:r>
      <w:r w:rsidR="00784953" w:rsidRPr="001708FB">
        <w:rPr>
          <w:rFonts w:eastAsia="Calibri"/>
          <w:spacing w:val="-3"/>
          <w:lang w:val="es-ES_tradnl"/>
        </w:rPr>
        <w:t xml:space="preserve"> </w:t>
      </w:r>
      <w:r w:rsidR="00784953" w:rsidRPr="001708FB">
        <w:rPr>
          <w:rFonts w:eastAsia="Cambria" w:cs="Cambria"/>
          <w:lang w:val="es-ES_tradnl"/>
        </w:rPr>
        <w:t xml:space="preserve">la primera recomendación dictada por la Comisión en el presente caso hace referencia </w:t>
      </w:r>
      <w:r w:rsidR="0066734A" w:rsidRPr="001708FB">
        <w:rPr>
          <w:rFonts w:eastAsia="Cambria" w:cs="Cambria"/>
          <w:lang w:val="es-ES_tradnl"/>
        </w:rPr>
        <w:t xml:space="preserve">la </w:t>
      </w:r>
      <w:r w:rsidR="00784953" w:rsidRPr="001708FB">
        <w:rPr>
          <w:rFonts w:eastAsia="Cambria" w:cs="Cambria"/>
          <w:lang w:val="es-ES"/>
        </w:rPr>
        <w:t xml:space="preserve">reparación integral </w:t>
      </w:r>
      <w:r w:rsidR="0066734A" w:rsidRPr="001708FB">
        <w:rPr>
          <w:rFonts w:eastAsia="Cambria" w:cs="Cambria"/>
          <w:lang w:val="es-ES"/>
        </w:rPr>
        <w:t xml:space="preserve">que </w:t>
      </w:r>
      <w:r w:rsidR="00784953" w:rsidRPr="001708FB">
        <w:rPr>
          <w:rFonts w:eastAsia="Cambria" w:cs="Cambria"/>
          <w:lang w:val="es-ES"/>
        </w:rPr>
        <w:t>abarca además reparaciones no pecuniarias, las cuales comprenden medidas de restitución, de satisfacción, y de rehabilitación.</w:t>
      </w:r>
      <w:r w:rsidR="0066734A" w:rsidRPr="001708FB">
        <w:rPr>
          <w:rFonts w:eastAsia="Cambria" w:cs="Cambria"/>
          <w:lang w:val="es-ES"/>
        </w:rPr>
        <w:t xml:space="preserve"> </w:t>
      </w:r>
      <w:r w:rsidR="009C352F" w:rsidRPr="001708FB">
        <w:rPr>
          <w:rFonts w:eastAsia="Cambria" w:cs="Cambria"/>
          <w:lang w:val="es-ES"/>
        </w:rPr>
        <w:t xml:space="preserve">La Comisión concluyó en su Informe de </w:t>
      </w:r>
      <w:r w:rsidR="00EA43E3" w:rsidRPr="001708FB">
        <w:rPr>
          <w:rFonts w:eastAsia="Cambria" w:cs="Cambria"/>
          <w:lang w:val="es-ES"/>
        </w:rPr>
        <w:t xml:space="preserve">Admisibilidad y </w:t>
      </w:r>
      <w:r w:rsidR="009C352F" w:rsidRPr="001708FB">
        <w:rPr>
          <w:rFonts w:eastAsia="Cambria" w:cs="Cambria"/>
          <w:lang w:val="es-ES"/>
        </w:rPr>
        <w:t xml:space="preserve">Fondo que la duración del proceso por responsabilidad patrimonial fue excesiva y violatoria de la garantía del plazo razonable, y que el proceso no constituyó un recurso efectivo ante los jueces o tribunales competentes. </w:t>
      </w:r>
      <w:r w:rsidR="000B1CC2" w:rsidRPr="001708FB">
        <w:rPr>
          <w:rFonts w:eastAsia="Cambria" w:cs="Cambria"/>
          <w:lang w:val="es-ES"/>
        </w:rPr>
        <w:t>Por ende, i</w:t>
      </w:r>
      <w:r w:rsidR="0066734A" w:rsidRPr="001708FB">
        <w:rPr>
          <w:rFonts w:eastAsia="Cambria" w:cs="Cambria"/>
          <w:lang w:val="es-ES"/>
        </w:rPr>
        <w:t>ndicó que</w:t>
      </w:r>
      <w:r w:rsidRPr="001708FB">
        <w:rPr>
          <w:rFonts w:eastAsia="Cambria" w:cs="Cambria"/>
          <w:lang w:val="es-AR"/>
        </w:rPr>
        <w:t xml:space="preserve"> </w:t>
      </w:r>
      <w:r w:rsidRPr="001708FB">
        <w:rPr>
          <w:lang w:val="es-AR"/>
        </w:rPr>
        <w:t>la reparación pecuniaria establecida en la primera recomendación debe tener un nexo causal con las violaciones declaradas</w:t>
      </w:r>
      <w:r w:rsidR="00E075AA" w:rsidRPr="001708FB">
        <w:rPr>
          <w:lang w:val="es-AR"/>
        </w:rPr>
        <w:t xml:space="preserve"> por la CIDH</w:t>
      </w:r>
      <w:r w:rsidRPr="001708FB">
        <w:rPr>
          <w:lang w:val="es-AR"/>
        </w:rPr>
        <w:t>, esto es</w:t>
      </w:r>
      <w:r w:rsidR="00E075AA" w:rsidRPr="001708FB">
        <w:rPr>
          <w:lang w:val="es-AR"/>
        </w:rPr>
        <w:t>,</w:t>
      </w:r>
      <w:r w:rsidR="000D13A8" w:rsidRPr="001708FB">
        <w:rPr>
          <w:lang w:val="es-AR"/>
        </w:rPr>
        <w:t xml:space="preserve"> la violación de los derechos a las garantías judiciales y a la protección judicial por la duración irrazonable del proceso por responsabilidad patrimonial, como surge expresamente del lenguaje de la recomendación. </w:t>
      </w:r>
      <w:r w:rsidR="00E075AA" w:rsidRPr="001708FB">
        <w:t>Dicha reparación debe compensar tanto el daño material como el inmaterial o moral.</w:t>
      </w:r>
      <w:r w:rsidR="00B46C54" w:rsidRPr="001708FB">
        <w:t xml:space="preserve"> </w:t>
      </w:r>
    </w:p>
    <w:p w14:paraId="70130AE6" w14:textId="77777777" w:rsidR="00E075AA" w:rsidRPr="001708FB" w:rsidRDefault="00E075AA" w:rsidP="00962F09">
      <w:pPr>
        <w:pStyle w:val="parrafos"/>
        <w:tabs>
          <w:tab w:val="left" w:pos="426"/>
          <w:tab w:val="left" w:pos="709"/>
          <w:tab w:val="left" w:pos="4220"/>
        </w:tabs>
        <w:rPr>
          <w:lang w:val="es-AR"/>
        </w:rPr>
      </w:pPr>
    </w:p>
    <w:p w14:paraId="24B84CA1" w14:textId="4F60B4AA" w:rsidR="0077777D" w:rsidRPr="001708FB" w:rsidRDefault="0077777D" w:rsidP="00962F09">
      <w:pPr>
        <w:pStyle w:val="parrafos"/>
        <w:numPr>
          <w:ilvl w:val="0"/>
          <w:numId w:val="4"/>
        </w:numPr>
        <w:tabs>
          <w:tab w:val="left" w:pos="426"/>
          <w:tab w:val="left" w:pos="709"/>
          <w:tab w:val="left" w:pos="4220"/>
        </w:tabs>
        <w:ind w:left="0" w:firstLine="0"/>
        <w:rPr>
          <w:lang w:val="es-AR"/>
        </w:rPr>
      </w:pPr>
      <w:r w:rsidRPr="001708FB">
        <w:rPr>
          <w:lang w:val="es-AR"/>
        </w:rPr>
        <w:t>El 10 de febrero</w:t>
      </w:r>
      <w:r w:rsidR="00DF29F0" w:rsidRPr="001708FB">
        <w:rPr>
          <w:lang w:val="es-AR"/>
        </w:rPr>
        <w:t xml:space="preserve"> de 2022</w:t>
      </w:r>
      <w:r w:rsidRPr="001708FB">
        <w:rPr>
          <w:lang w:val="es-AR"/>
        </w:rPr>
        <w:t>, la parte peticionaria</w:t>
      </w:r>
      <w:r w:rsidR="00E075AA" w:rsidRPr="001708FB">
        <w:rPr>
          <w:lang w:val="es-AR"/>
        </w:rPr>
        <w:t xml:space="preserve"> solicit</w:t>
      </w:r>
      <w:r w:rsidR="00E075AA" w:rsidRPr="001708FB">
        <w:rPr>
          <w:rFonts w:eastAsia="Cambria" w:cs="Cambria"/>
          <w:lang w:val="es-AR"/>
        </w:rPr>
        <w:t>ó</w:t>
      </w:r>
      <w:r w:rsidR="00DF29F0" w:rsidRPr="001708FB">
        <w:rPr>
          <w:rFonts w:eastAsia="Cambria" w:cs="Cambria"/>
          <w:lang w:val="es-AR"/>
        </w:rPr>
        <w:t xml:space="preserve"> a la CIDH</w:t>
      </w:r>
      <w:r w:rsidR="00E075AA" w:rsidRPr="001708FB">
        <w:rPr>
          <w:rFonts w:eastAsia="Cambria" w:cs="Cambria"/>
          <w:lang w:val="es-AR"/>
        </w:rPr>
        <w:t xml:space="preserve"> </w:t>
      </w:r>
      <w:r w:rsidR="00E075AA" w:rsidRPr="001708FB">
        <w:rPr>
          <w:lang w:val="es-AR"/>
        </w:rPr>
        <w:t>la remisión del caso a la Corte</w:t>
      </w:r>
      <w:r w:rsidR="009A3D69" w:rsidRPr="001708FB">
        <w:rPr>
          <w:lang w:val="es-AR"/>
        </w:rPr>
        <w:t>, al considerar que el Estado estaba desinteresado</w:t>
      </w:r>
      <w:r w:rsidR="009A3D69" w:rsidRPr="001708FB">
        <w:rPr>
          <w:color w:val="auto"/>
          <w:lang w:val="es-AR"/>
        </w:rPr>
        <w:t xml:space="preserve"> en</w:t>
      </w:r>
      <w:r w:rsidR="00E075AA" w:rsidRPr="001708FB">
        <w:rPr>
          <w:color w:val="auto"/>
          <w:lang w:val="es-AR"/>
        </w:rPr>
        <w:t xml:space="preserve"> </w:t>
      </w:r>
      <w:r w:rsidR="00644A63" w:rsidRPr="001708FB">
        <w:rPr>
          <w:color w:val="auto"/>
          <w:lang w:val="es-AR"/>
        </w:rPr>
        <w:t>arribar a un acuerdo</w:t>
      </w:r>
      <w:r w:rsidR="00644A63" w:rsidRPr="001708FB">
        <w:rPr>
          <w:lang w:val="es-AR"/>
        </w:rPr>
        <w:t>.</w:t>
      </w:r>
    </w:p>
    <w:p w14:paraId="1B30DE5F" w14:textId="77777777" w:rsidR="002C64C6" w:rsidRPr="001708FB" w:rsidRDefault="002C64C6" w:rsidP="00962F09">
      <w:pPr>
        <w:pStyle w:val="parrafos"/>
        <w:tabs>
          <w:tab w:val="left" w:pos="426"/>
          <w:tab w:val="left" w:pos="709"/>
          <w:tab w:val="left" w:pos="4220"/>
        </w:tabs>
        <w:rPr>
          <w:lang w:val="es-AR"/>
        </w:rPr>
      </w:pPr>
    </w:p>
    <w:p w14:paraId="3F35D62C" w14:textId="367C044E" w:rsidR="008C2F5B" w:rsidRPr="001708FB" w:rsidRDefault="00EF5B35" w:rsidP="00962F09">
      <w:pPr>
        <w:pStyle w:val="parrafos"/>
        <w:numPr>
          <w:ilvl w:val="0"/>
          <w:numId w:val="4"/>
        </w:numPr>
        <w:tabs>
          <w:tab w:val="left" w:pos="426"/>
          <w:tab w:val="left" w:pos="709"/>
          <w:tab w:val="left" w:pos="4220"/>
        </w:tabs>
        <w:ind w:left="0" w:firstLine="0"/>
        <w:rPr>
          <w:lang w:val="es-AR"/>
        </w:rPr>
      </w:pPr>
      <w:r w:rsidRPr="001708FB">
        <w:rPr>
          <w:rFonts w:eastAsia="Cambria" w:cs="Cambria"/>
          <w:lang w:val="es-AR"/>
        </w:rPr>
        <w:t>E</w:t>
      </w:r>
      <w:r w:rsidR="0077777D" w:rsidRPr="001708FB">
        <w:rPr>
          <w:rFonts w:eastAsia="Cambria" w:cs="Cambria"/>
          <w:lang w:val="es-AR"/>
        </w:rPr>
        <w:t xml:space="preserve">l 8 de marzo </w:t>
      </w:r>
      <w:r w:rsidR="008C2F5B" w:rsidRPr="001708FB">
        <w:rPr>
          <w:rFonts w:eastAsia="Cambria" w:cs="Cambria"/>
          <w:lang w:val="es-AR"/>
        </w:rPr>
        <w:t xml:space="preserve">de 2022 </w:t>
      </w:r>
      <w:r w:rsidR="0077777D" w:rsidRPr="001708FB">
        <w:rPr>
          <w:rFonts w:eastAsia="Cambria" w:cs="Cambria"/>
          <w:lang w:val="es-AR"/>
        </w:rPr>
        <w:t>el</w:t>
      </w:r>
      <w:r w:rsidRPr="001708FB">
        <w:rPr>
          <w:rFonts w:eastAsia="Cambria" w:cs="Cambria"/>
          <w:lang w:val="es-AR"/>
        </w:rPr>
        <w:t xml:space="preserve"> Estado señaló que las reparaciones solicitadas por la parte peticionaria</w:t>
      </w:r>
      <w:r w:rsidR="0077777D" w:rsidRPr="001708FB">
        <w:rPr>
          <w:rFonts w:eastAsia="Cambria" w:cs="Cambria"/>
          <w:lang w:val="es-AR"/>
        </w:rPr>
        <w:t xml:space="preserve"> </w:t>
      </w:r>
      <w:r w:rsidRPr="001708FB">
        <w:rPr>
          <w:rFonts w:eastAsia="Cambria" w:cs="Cambria"/>
          <w:lang w:val="es-AR"/>
        </w:rPr>
        <w:t xml:space="preserve">no se condicen con lo establecido en la nota técnica. </w:t>
      </w:r>
      <w:r w:rsidR="00E50F8C" w:rsidRPr="001708FB">
        <w:rPr>
          <w:rFonts w:eastAsia="Cambria" w:cs="Cambria"/>
          <w:lang w:val="es-AR"/>
        </w:rPr>
        <w:t>Asimismo,</w:t>
      </w:r>
      <w:r w:rsidR="008C2F5B" w:rsidRPr="001708FB">
        <w:rPr>
          <w:rFonts w:eastAsia="Cambria" w:cs="Cambria"/>
          <w:lang w:val="es-AR"/>
        </w:rPr>
        <w:t xml:space="preserve"> </w:t>
      </w:r>
      <w:r w:rsidR="008C2F5B" w:rsidRPr="001708FB">
        <w:rPr>
          <w:lang w:val="es-AR"/>
        </w:rPr>
        <w:t>manifest</w:t>
      </w:r>
      <w:r w:rsidR="00E50F8C" w:rsidRPr="001708FB">
        <w:rPr>
          <w:color w:val="auto"/>
          <w:lang w:val="es-AR"/>
        </w:rPr>
        <w:t>ó</w:t>
      </w:r>
      <w:r w:rsidR="008C2F5B" w:rsidRPr="001708FB">
        <w:rPr>
          <w:lang w:val="es-AR"/>
        </w:rPr>
        <w:t xml:space="preserve"> su voluntad de iniciar junto a la parte peticionaria un acuerdo de cumplimiento de recomendaciones</w:t>
      </w:r>
      <w:r w:rsidR="00644A63" w:rsidRPr="001708FB">
        <w:rPr>
          <w:lang w:val="es-AR"/>
        </w:rPr>
        <w:t xml:space="preserve"> </w:t>
      </w:r>
      <w:r w:rsidR="008C2F5B" w:rsidRPr="001708FB">
        <w:rPr>
          <w:lang w:val="es-AR"/>
        </w:rPr>
        <w:t xml:space="preserve">que podría abordar los siguientes compromisos: </w:t>
      </w:r>
    </w:p>
    <w:p w14:paraId="0F662B68" w14:textId="77777777" w:rsidR="008C2F5B" w:rsidRPr="001708FB" w:rsidRDefault="008C2F5B" w:rsidP="00962F09">
      <w:pPr>
        <w:pStyle w:val="ListParagraph"/>
        <w:tabs>
          <w:tab w:val="left" w:pos="426"/>
        </w:tabs>
        <w:rPr>
          <w:rFonts w:eastAsia="Cambria" w:cs="Cambria"/>
          <w:lang w:val="es-AR"/>
        </w:rPr>
      </w:pPr>
    </w:p>
    <w:p w14:paraId="123310AE" w14:textId="760CA5B2" w:rsidR="008C2F5B" w:rsidRPr="001708FB" w:rsidRDefault="008C2F5B" w:rsidP="00962F09">
      <w:pPr>
        <w:pStyle w:val="parrafos"/>
        <w:numPr>
          <w:ilvl w:val="0"/>
          <w:numId w:val="4"/>
        </w:numPr>
        <w:tabs>
          <w:tab w:val="left" w:pos="426"/>
          <w:tab w:val="left" w:pos="709"/>
          <w:tab w:val="left" w:pos="4220"/>
        </w:tabs>
        <w:ind w:left="0" w:firstLine="0"/>
        <w:rPr>
          <w:lang w:val="es-AR"/>
        </w:rPr>
      </w:pPr>
      <w:r w:rsidRPr="001708FB">
        <w:rPr>
          <w:rFonts w:eastAsia="Cambria" w:cs="Cambria"/>
          <w:lang w:val="es-AR"/>
        </w:rPr>
        <w:t xml:space="preserve">Con relación a la </w:t>
      </w:r>
      <w:r w:rsidRPr="001708FB">
        <w:rPr>
          <w:rFonts w:eastAsia="Cambria" w:cs="Cambria"/>
          <w:b/>
          <w:bCs/>
          <w:lang w:val="es-AR"/>
        </w:rPr>
        <w:t>primera recomendación</w:t>
      </w:r>
      <w:r w:rsidRPr="001708FB">
        <w:rPr>
          <w:rFonts w:eastAsia="Cambria" w:cs="Cambria"/>
          <w:lang w:val="es-AR"/>
        </w:rPr>
        <w:t xml:space="preserve">, </w:t>
      </w:r>
      <w:r w:rsidR="009F442E" w:rsidRPr="001708FB">
        <w:rPr>
          <w:rFonts w:eastAsia="Cambria" w:cs="Cambria"/>
          <w:lang w:val="es-AR"/>
        </w:rPr>
        <w:t xml:space="preserve">el Estado propuso </w:t>
      </w:r>
      <w:r w:rsidRPr="001708FB">
        <w:rPr>
          <w:lang w:val="es-AR"/>
        </w:rPr>
        <w:t xml:space="preserve">el establecimiento de un Tribunal Arbitral, </w:t>
      </w:r>
      <w:r w:rsidR="009F442E" w:rsidRPr="001708FB">
        <w:rPr>
          <w:lang w:val="es-AR"/>
        </w:rPr>
        <w:t xml:space="preserve">que </w:t>
      </w:r>
      <w:r w:rsidRPr="001708FB">
        <w:rPr>
          <w:lang w:val="es-AR"/>
        </w:rPr>
        <w:t>de forma imparcial y trasparente</w:t>
      </w:r>
      <w:r w:rsidR="00E50F8C" w:rsidRPr="001708FB">
        <w:rPr>
          <w:lang w:val="es-AR"/>
        </w:rPr>
        <w:t>,</w:t>
      </w:r>
      <w:r w:rsidRPr="001708FB">
        <w:rPr>
          <w:lang w:val="es-AR"/>
        </w:rPr>
        <w:t xml:space="preserve"> se pronunciaría con base en el Informe de Fondo, la nota técnica y la jurisprudencia interamericana aplicable.</w:t>
      </w:r>
    </w:p>
    <w:p w14:paraId="65593E73" w14:textId="77777777" w:rsidR="008C2F5B" w:rsidRPr="001708FB" w:rsidRDefault="008C2F5B" w:rsidP="00962F09">
      <w:pPr>
        <w:pStyle w:val="parrafos"/>
        <w:tabs>
          <w:tab w:val="left" w:pos="426"/>
          <w:tab w:val="left" w:pos="709"/>
          <w:tab w:val="left" w:pos="4220"/>
        </w:tabs>
        <w:rPr>
          <w:lang w:val="es-AR"/>
        </w:rPr>
      </w:pPr>
    </w:p>
    <w:p w14:paraId="773799CA" w14:textId="58CFC71A" w:rsidR="00EF5B35" w:rsidRPr="001708FB" w:rsidRDefault="008C2F5B" w:rsidP="00962F09">
      <w:pPr>
        <w:pStyle w:val="parrafos"/>
        <w:numPr>
          <w:ilvl w:val="0"/>
          <w:numId w:val="4"/>
        </w:numPr>
        <w:tabs>
          <w:tab w:val="left" w:pos="426"/>
          <w:tab w:val="left" w:pos="709"/>
          <w:tab w:val="left" w:pos="4220"/>
        </w:tabs>
        <w:ind w:left="0" w:firstLine="0"/>
        <w:rPr>
          <w:lang w:val="es-AR"/>
        </w:rPr>
      </w:pPr>
      <w:r w:rsidRPr="001708FB">
        <w:rPr>
          <w:lang w:val="es-AR"/>
        </w:rPr>
        <w:t xml:space="preserve">Con respecto a la </w:t>
      </w:r>
      <w:r w:rsidRPr="001708FB">
        <w:rPr>
          <w:b/>
          <w:bCs/>
          <w:lang w:val="es-AR"/>
        </w:rPr>
        <w:t>segunda recomendación</w:t>
      </w:r>
      <w:r w:rsidRPr="001708FB">
        <w:rPr>
          <w:lang w:val="es-AR"/>
        </w:rPr>
        <w:t xml:space="preserve">, </w:t>
      </w:r>
      <w:r w:rsidRPr="001708FB">
        <w:rPr>
          <w:rFonts w:eastAsia="Cambria" w:cs="Cambria"/>
          <w:lang w:val="es-AR"/>
        </w:rPr>
        <w:t>e</w:t>
      </w:r>
      <w:r w:rsidR="00907F17" w:rsidRPr="001708FB">
        <w:rPr>
          <w:rFonts w:eastAsia="Cambria" w:cs="Cambria"/>
          <w:lang w:val="es-AR"/>
        </w:rPr>
        <w:t>l Estado señal</w:t>
      </w:r>
      <w:r w:rsidR="00E50F8C" w:rsidRPr="001708FB">
        <w:rPr>
          <w:color w:val="auto"/>
          <w:lang w:val="es-AR"/>
        </w:rPr>
        <w:t>ó</w:t>
      </w:r>
      <w:r w:rsidR="00907F17" w:rsidRPr="001708FB">
        <w:rPr>
          <w:rFonts w:eastAsia="Cambria" w:cs="Cambria"/>
          <w:lang w:val="es-AR"/>
        </w:rPr>
        <w:t xml:space="preserve"> que los peticionarios no han indicado sus pretensiones respecto a la segunda recomendación de la Comisión. Sin perjuicio de ello, mencion</w:t>
      </w:r>
      <w:r w:rsidR="00E50F8C" w:rsidRPr="001708FB">
        <w:rPr>
          <w:color w:val="auto"/>
          <w:lang w:val="es-AR"/>
        </w:rPr>
        <w:t>ó</w:t>
      </w:r>
      <w:r w:rsidR="00907F17" w:rsidRPr="001708FB">
        <w:rPr>
          <w:rFonts w:eastAsia="Cambria" w:cs="Cambria"/>
          <w:lang w:val="es-AR"/>
        </w:rPr>
        <w:t xml:space="preserve"> que, en el marco del acuerdo de cumplimiento, podría realizarse una capacitación </w:t>
      </w:r>
      <w:r w:rsidR="00EA43E3" w:rsidRPr="001708FB">
        <w:rPr>
          <w:rFonts w:eastAsia="Cambria" w:cs="Cambria"/>
          <w:lang w:val="es-AR"/>
        </w:rPr>
        <w:t xml:space="preserve">en derechos humanos </w:t>
      </w:r>
      <w:r w:rsidR="00907F17" w:rsidRPr="001708FB">
        <w:rPr>
          <w:rFonts w:eastAsia="Cambria" w:cs="Cambria"/>
          <w:lang w:val="es-AR"/>
        </w:rPr>
        <w:t>en conjunto con la CIDH dirigida a la justicia nacional en lo comercial.</w:t>
      </w:r>
    </w:p>
    <w:p w14:paraId="7AEF0F7A" w14:textId="2B13CBD3" w:rsidR="00E437F5" w:rsidRPr="001708FB" w:rsidRDefault="00E437F5" w:rsidP="00962F09">
      <w:pPr>
        <w:pStyle w:val="parrafos"/>
        <w:tabs>
          <w:tab w:val="left" w:pos="426"/>
          <w:tab w:val="left" w:pos="709"/>
          <w:tab w:val="left" w:pos="4220"/>
        </w:tabs>
        <w:rPr>
          <w:lang w:val="es-AR"/>
        </w:rPr>
      </w:pPr>
    </w:p>
    <w:p w14:paraId="4C1E9487" w14:textId="1248A4C0" w:rsidR="00064180" w:rsidRPr="001708FB" w:rsidRDefault="002D6E09" w:rsidP="00AF4CCB">
      <w:pPr>
        <w:pStyle w:val="parrafos"/>
        <w:numPr>
          <w:ilvl w:val="0"/>
          <w:numId w:val="4"/>
        </w:numPr>
        <w:tabs>
          <w:tab w:val="left" w:pos="426"/>
          <w:tab w:val="left" w:pos="709"/>
          <w:tab w:val="left" w:pos="4220"/>
        </w:tabs>
        <w:ind w:left="0" w:firstLine="0"/>
        <w:rPr>
          <w:lang w:val="es-AR"/>
        </w:rPr>
      </w:pPr>
      <w:r w:rsidRPr="001708FB">
        <w:rPr>
          <w:lang w:val="es-AR"/>
        </w:rPr>
        <w:t>El</w:t>
      </w:r>
      <w:r w:rsidR="00E437F5" w:rsidRPr="001708FB">
        <w:rPr>
          <w:lang w:val="es-AR"/>
        </w:rPr>
        <w:t xml:space="preserve"> 29 de marzo de 2022</w:t>
      </w:r>
      <w:r w:rsidR="0097572D" w:rsidRPr="001708FB">
        <w:rPr>
          <w:lang w:val="es-AR"/>
        </w:rPr>
        <w:t xml:space="preserve"> la </w:t>
      </w:r>
      <w:r w:rsidR="00BA62CB" w:rsidRPr="001708FB">
        <w:rPr>
          <w:lang w:val="es-AR"/>
        </w:rPr>
        <w:t>Comisión</w:t>
      </w:r>
      <w:r w:rsidR="00EF5B35" w:rsidRPr="001708FB">
        <w:rPr>
          <w:lang w:val="es-AR"/>
        </w:rPr>
        <w:t xml:space="preserve"> indicó</w:t>
      </w:r>
      <w:r w:rsidR="00E437F5" w:rsidRPr="001708FB">
        <w:rPr>
          <w:lang w:val="es-AR"/>
        </w:rPr>
        <w:t xml:space="preserve"> a las partes que la conformación de un Tribunal Arbitral para la determinación de la reparación económica resultaba una </w:t>
      </w:r>
      <w:r w:rsidR="002C64C6" w:rsidRPr="001708FB">
        <w:rPr>
          <w:lang w:val="es-AR"/>
        </w:rPr>
        <w:t>medida adecuada</w:t>
      </w:r>
      <w:r w:rsidR="00E437F5" w:rsidRPr="001708FB">
        <w:rPr>
          <w:lang w:val="es-AR"/>
        </w:rPr>
        <w:t xml:space="preserve"> teniendo en cuenta la naturaleza de las violaciones declaradas en el Informe de Admisibilidad y Fondo</w:t>
      </w:r>
      <w:r w:rsidR="00644A63" w:rsidRPr="001708FB">
        <w:rPr>
          <w:lang w:val="es-AR"/>
        </w:rPr>
        <w:t>;</w:t>
      </w:r>
      <w:r w:rsidR="00E437F5" w:rsidRPr="001708FB">
        <w:rPr>
          <w:lang w:val="es-AR"/>
        </w:rPr>
        <w:t xml:space="preserve"> y solicitó a las partes que se reúnan para establecer un cronograma de cumplimiento que contemple plazos y acciones concretas para arribar a dicho acuerdo. </w:t>
      </w:r>
    </w:p>
    <w:p w14:paraId="06407730" w14:textId="77777777" w:rsidR="00064180" w:rsidRPr="001708FB" w:rsidRDefault="00064180" w:rsidP="00962F09">
      <w:pPr>
        <w:pStyle w:val="ListParagraph"/>
        <w:tabs>
          <w:tab w:val="left" w:pos="426"/>
        </w:tabs>
        <w:rPr>
          <w:lang w:val="es-AR"/>
        </w:rPr>
      </w:pPr>
    </w:p>
    <w:p w14:paraId="533DD5D0" w14:textId="34824F38" w:rsidR="00064180" w:rsidRPr="001708FB" w:rsidRDefault="00064180" w:rsidP="00962F09">
      <w:pPr>
        <w:pStyle w:val="parrafos"/>
        <w:numPr>
          <w:ilvl w:val="0"/>
          <w:numId w:val="4"/>
        </w:numPr>
        <w:tabs>
          <w:tab w:val="left" w:pos="426"/>
          <w:tab w:val="left" w:pos="709"/>
          <w:tab w:val="left" w:pos="4220"/>
        </w:tabs>
        <w:ind w:left="0" w:firstLine="0"/>
        <w:rPr>
          <w:lang w:val="es-AR"/>
        </w:rPr>
      </w:pPr>
      <w:r w:rsidRPr="001708FB">
        <w:rPr>
          <w:lang w:val="es-AR"/>
        </w:rPr>
        <w:t xml:space="preserve">El </w:t>
      </w:r>
      <w:r w:rsidR="00644A63" w:rsidRPr="001708FB">
        <w:rPr>
          <w:lang w:val="es-AR"/>
        </w:rPr>
        <w:t>25</w:t>
      </w:r>
      <w:r w:rsidRPr="001708FB">
        <w:rPr>
          <w:lang w:val="es-AR"/>
        </w:rPr>
        <w:t xml:space="preserve"> de julio de 2022, </w:t>
      </w:r>
      <w:r w:rsidR="000A1E44" w:rsidRPr="001708FB">
        <w:rPr>
          <w:lang w:val="es-AR"/>
        </w:rPr>
        <w:t>e</w:t>
      </w:r>
      <w:r w:rsidRPr="001708FB">
        <w:rPr>
          <w:lang w:val="es-AR"/>
        </w:rPr>
        <w:t>l Estado adjunt</w:t>
      </w:r>
      <w:r w:rsidR="00644A63" w:rsidRPr="001708FB">
        <w:rPr>
          <w:color w:val="auto"/>
          <w:lang w:val="es-AR"/>
        </w:rPr>
        <w:t xml:space="preserve">ó </w:t>
      </w:r>
      <w:r w:rsidRPr="001708FB">
        <w:rPr>
          <w:lang w:val="es-AR"/>
        </w:rPr>
        <w:t xml:space="preserve">una </w:t>
      </w:r>
      <w:r w:rsidR="007D79CA" w:rsidRPr="001708FB">
        <w:rPr>
          <w:lang w:val="es-AR"/>
        </w:rPr>
        <w:t>propuesta</w:t>
      </w:r>
      <w:r w:rsidRPr="001708FB">
        <w:rPr>
          <w:lang w:val="es-AR"/>
        </w:rPr>
        <w:t xml:space="preserve"> de acuerdo de cumplimiento de recomendaciones que aborda l</w:t>
      </w:r>
      <w:r w:rsidR="005C3996" w:rsidRPr="001708FB">
        <w:rPr>
          <w:lang w:val="es-AR"/>
        </w:rPr>
        <w:t>as propuestas</w:t>
      </w:r>
      <w:r w:rsidRPr="001708FB">
        <w:rPr>
          <w:lang w:val="es-AR"/>
        </w:rPr>
        <w:t xml:space="preserve"> </w:t>
      </w:r>
      <w:r w:rsidR="005C3996" w:rsidRPr="001708FB">
        <w:rPr>
          <w:lang w:val="es-AR"/>
        </w:rPr>
        <w:t>d</w:t>
      </w:r>
      <w:r w:rsidRPr="001708FB">
        <w:rPr>
          <w:lang w:val="es-AR"/>
        </w:rPr>
        <w:t xml:space="preserve">el 8 de marzo de 2022. </w:t>
      </w:r>
    </w:p>
    <w:p w14:paraId="458A566B" w14:textId="77777777" w:rsidR="00AE50B1" w:rsidRPr="001708FB" w:rsidRDefault="00AE50B1" w:rsidP="00962F09">
      <w:pPr>
        <w:pStyle w:val="ListParagraph"/>
        <w:tabs>
          <w:tab w:val="left" w:pos="426"/>
        </w:tabs>
        <w:rPr>
          <w:lang w:val="es-AR"/>
        </w:rPr>
      </w:pPr>
    </w:p>
    <w:p w14:paraId="77A4263A" w14:textId="2EC69314" w:rsidR="00137137" w:rsidRPr="001708FB" w:rsidRDefault="00137137" w:rsidP="00C76649">
      <w:pPr>
        <w:pStyle w:val="parrafos"/>
        <w:numPr>
          <w:ilvl w:val="0"/>
          <w:numId w:val="4"/>
        </w:numPr>
        <w:tabs>
          <w:tab w:val="left" w:pos="426"/>
          <w:tab w:val="left" w:pos="709"/>
          <w:tab w:val="left" w:pos="4220"/>
        </w:tabs>
        <w:ind w:left="0" w:firstLine="0"/>
        <w:rPr>
          <w:color w:val="auto"/>
          <w:lang w:val="es-US"/>
        </w:rPr>
      </w:pPr>
      <w:r w:rsidRPr="001708FB">
        <w:rPr>
          <w:color w:val="auto"/>
          <w:lang w:val="es-AR"/>
        </w:rPr>
        <w:t xml:space="preserve">La parte peticionaria </w:t>
      </w:r>
      <w:r w:rsidR="000E0A9A" w:rsidRPr="001708FB">
        <w:rPr>
          <w:color w:val="auto"/>
          <w:lang w:val="es-ES"/>
        </w:rPr>
        <w:t xml:space="preserve">la parte peticionaria consideró que el caso debería ser enviado a la Corte, y no continuaría con el proceso de negociación. </w:t>
      </w:r>
    </w:p>
    <w:p w14:paraId="08EBB54F" w14:textId="77777777" w:rsidR="000E6626" w:rsidRPr="001708FB" w:rsidRDefault="000E6626" w:rsidP="000E6626">
      <w:pPr>
        <w:pStyle w:val="parrafos"/>
        <w:tabs>
          <w:tab w:val="left" w:pos="426"/>
          <w:tab w:val="left" w:pos="709"/>
          <w:tab w:val="left" w:pos="4220"/>
        </w:tabs>
        <w:rPr>
          <w:color w:val="auto"/>
          <w:lang w:val="es-US"/>
        </w:rPr>
      </w:pPr>
    </w:p>
    <w:p w14:paraId="6F5B86D6" w14:textId="771ED256" w:rsidR="00137137" w:rsidRPr="001708FB" w:rsidRDefault="00137137" w:rsidP="00137137">
      <w:pPr>
        <w:pStyle w:val="parrafos"/>
        <w:numPr>
          <w:ilvl w:val="0"/>
          <w:numId w:val="4"/>
        </w:numPr>
        <w:tabs>
          <w:tab w:val="left" w:pos="426"/>
          <w:tab w:val="left" w:pos="709"/>
          <w:tab w:val="left" w:pos="4220"/>
        </w:tabs>
        <w:ind w:left="0" w:firstLine="0"/>
        <w:rPr>
          <w:color w:val="auto"/>
          <w:lang w:val="es-US"/>
        </w:rPr>
      </w:pPr>
      <w:r w:rsidRPr="001708FB">
        <w:rPr>
          <w:color w:val="auto"/>
          <w:lang w:val="es-ES"/>
        </w:rPr>
        <w:t>E</w:t>
      </w:r>
      <w:r w:rsidR="00F90210" w:rsidRPr="001708FB">
        <w:rPr>
          <w:color w:val="auto"/>
          <w:lang w:val="es-ES"/>
        </w:rPr>
        <w:t xml:space="preserve">l </w:t>
      </w:r>
      <w:r w:rsidRPr="001708FB">
        <w:rPr>
          <w:color w:val="auto"/>
          <w:lang w:val="es-ES"/>
        </w:rPr>
        <w:t xml:space="preserve">2 de noviembre de 2022, el Estado informó que, a pesar de que se han realizado esfuerzos por consensuar los términos de un acuerdo de cumplimiento, la parte peticionaria ha decidido desistir del proceso de diálogo debido a diferencias interpretativas sobre el contenido y </w:t>
      </w:r>
      <w:r w:rsidR="00F90210" w:rsidRPr="001708FB">
        <w:rPr>
          <w:color w:val="auto"/>
          <w:lang w:val="es-ES"/>
        </w:rPr>
        <w:t xml:space="preserve">al </w:t>
      </w:r>
      <w:r w:rsidRPr="001708FB">
        <w:rPr>
          <w:color w:val="auto"/>
          <w:lang w:val="es-ES"/>
        </w:rPr>
        <w:t xml:space="preserve">alcance de las recomendaciones, a pesar de la interpretación que realizó la Comisión a través de </w:t>
      </w:r>
      <w:r w:rsidR="007C4566" w:rsidRPr="001708FB">
        <w:rPr>
          <w:color w:val="auto"/>
          <w:lang w:val="es-ES"/>
        </w:rPr>
        <w:t xml:space="preserve">la </w:t>
      </w:r>
      <w:r w:rsidRPr="001708FB">
        <w:rPr>
          <w:color w:val="auto"/>
          <w:lang w:val="es-ES"/>
        </w:rPr>
        <w:t>nota técnica.</w:t>
      </w:r>
    </w:p>
    <w:p w14:paraId="2550C50B" w14:textId="1B4DA93B" w:rsidR="00137137" w:rsidRPr="001708FB" w:rsidRDefault="00137137" w:rsidP="00137137">
      <w:pPr>
        <w:pStyle w:val="parrafos"/>
        <w:tabs>
          <w:tab w:val="left" w:pos="426"/>
          <w:tab w:val="left" w:pos="709"/>
          <w:tab w:val="left" w:pos="4220"/>
        </w:tabs>
        <w:rPr>
          <w:color w:val="auto"/>
          <w:lang w:val="es-US"/>
        </w:rPr>
      </w:pPr>
    </w:p>
    <w:p w14:paraId="4ABCD486" w14:textId="3CE072B1" w:rsidR="00962F09" w:rsidRPr="001708FB" w:rsidRDefault="00137137" w:rsidP="00877308">
      <w:pPr>
        <w:pStyle w:val="parrafos"/>
        <w:numPr>
          <w:ilvl w:val="0"/>
          <w:numId w:val="4"/>
        </w:numPr>
        <w:tabs>
          <w:tab w:val="left" w:pos="426"/>
          <w:tab w:val="left" w:pos="709"/>
          <w:tab w:val="left" w:pos="4220"/>
        </w:tabs>
        <w:ind w:left="0" w:firstLine="0"/>
        <w:rPr>
          <w:color w:val="auto"/>
          <w:lang w:val="es-US"/>
        </w:rPr>
      </w:pPr>
      <w:r w:rsidRPr="001708FB">
        <w:rPr>
          <w:color w:val="auto"/>
          <w:lang w:val="es-ES"/>
        </w:rPr>
        <w:t>El Estado reiteró su disposición para avanzar en la suscripción del acuerdo, aunque consideró que están dadas las condiciones para que la Comisión adopte un informe definitivo de conformidad con lo dispuesto por el artículo 51 de la Convención Americana sobre Derechos Humanos, debido a que el único obstáculo para el cumplimiento de las mencionadas recomendaciones es la insistencia de la parte peticionaria en atribuir a la decisión internacional efectos jurídicos de los que carece.</w:t>
      </w:r>
    </w:p>
    <w:p w14:paraId="5E48C128" w14:textId="1653231B" w:rsidR="00E03D89" w:rsidRDefault="00E03D89" w:rsidP="00E03D89">
      <w:pPr>
        <w:pStyle w:val="parrafos"/>
        <w:tabs>
          <w:tab w:val="left" w:pos="426"/>
          <w:tab w:val="left" w:pos="709"/>
          <w:tab w:val="left" w:pos="4220"/>
        </w:tabs>
        <w:rPr>
          <w:color w:val="auto"/>
          <w:lang w:val="es-US"/>
        </w:rPr>
      </w:pPr>
    </w:p>
    <w:p w14:paraId="344B96B4" w14:textId="77777777" w:rsidR="003F0812" w:rsidRDefault="003F0812" w:rsidP="00E03D89">
      <w:pPr>
        <w:pStyle w:val="parrafos"/>
        <w:tabs>
          <w:tab w:val="left" w:pos="426"/>
          <w:tab w:val="left" w:pos="709"/>
          <w:tab w:val="left" w:pos="4220"/>
        </w:tabs>
        <w:rPr>
          <w:color w:val="auto"/>
          <w:lang w:val="es-US"/>
        </w:rPr>
      </w:pPr>
    </w:p>
    <w:p w14:paraId="288BBAE4" w14:textId="77777777" w:rsidR="003F0812" w:rsidRPr="001708FB" w:rsidRDefault="003F0812" w:rsidP="00E03D89">
      <w:pPr>
        <w:pStyle w:val="parrafos"/>
        <w:tabs>
          <w:tab w:val="left" w:pos="426"/>
          <w:tab w:val="left" w:pos="709"/>
          <w:tab w:val="left" w:pos="4220"/>
        </w:tabs>
        <w:rPr>
          <w:color w:val="auto"/>
          <w:lang w:val="es-US"/>
        </w:rPr>
      </w:pPr>
    </w:p>
    <w:p w14:paraId="35DF1887" w14:textId="0EA0E92F" w:rsidR="00962F09" w:rsidRPr="001708FB" w:rsidRDefault="00962F09" w:rsidP="00962F09">
      <w:pPr>
        <w:pStyle w:val="parrafos"/>
        <w:numPr>
          <w:ilvl w:val="0"/>
          <w:numId w:val="4"/>
        </w:numPr>
        <w:tabs>
          <w:tab w:val="left" w:pos="426"/>
        </w:tabs>
        <w:ind w:left="0" w:firstLine="0"/>
        <w:rPr>
          <w:lang w:val="es-AR"/>
        </w:rPr>
      </w:pPr>
      <w:r w:rsidRPr="001708FB">
        <w:t xml:space="preserve">Tras evaluar </w:t>
      </w:r>
      <w:r w:rsidR="00EF413C" w:rsidRPr="001708FB">
        <w:t>la</w:t>
      </w:r>
      <w:r w:rsidRPr="001708FB">
        <w:t xml:space="preserve"> información sobre el estado de cumplimiento de las recomendaciones, el 29 de diciembre de 2022, la Comisión decidió no enviar el caso a la Corte Interamericana y proceder hacia</w:t>
      </w:r>
      <w:r w:rsidRPr="001708FB">
        <w:rPr>
          <w:lang w:val="es-AR"/>
        </w:rPr>
        <w:t xml:space="preserve"> la publicación del Informe, en concordancia con lo establecido en los artículos 51 de la Convención Americana y 47 del Reglamento de la CIDH. </w:t>
      </w:r>
    </w:p>
    <w:p w14:paraId="2F89EFCD" w14:textId="77777777" w:rsidR="00877308" w:rsidRPr="001708FB" w:rsidRDefault="00877308" w:rsidP="00877308">
      <w:pPr>
        <w:pStyle w:val="ListParagraph"/>
        <w:rPr>
          <w:lang w:val="es-AR"/>
        </w:rPr>
      </w:pPr>
    </w:p>
    <w:p w14:paraId="3CFF2790" w14:textId="1013B430" w:rsidR="00C50A8E" w:rsidRPr="001708FB" w:rsidRDefault="00877308" w:rsidP="004668E9">
      <w:pPr>
        <w:pStyle w:val="parrafos"/>
        <w:numPr>
          <w:ilvl w:val="0"/>
          <w:numId w:val="4"/>
        </w:numPr>
        <w:tabs>
          <w:tab w:val="left" w:pos="426"/>
        </w:tabs>
        <w:ind w:left="0" w:firstLine="0"/>
        <w:rPr>
          <w:lang w:val="es-AR"/>
        </w:rPr>
      </w:pPr>
      <w:r w:rsidRPr="001708FB">
        <w:rPr>
          <w:lang w:val="es-AR"/>
        </w:rPr>
        <w:t>La CIDH indicó a ambas partes que al examinar el caso</w:t>
      </w:r>
      <w:r w:rsidR="00C50A8E" w:rsidRPr="001708FB">
        <w:rPr>
          <w:lang w:val="es-US"/>
        </w:rPr>
        <w:t>:</w:t>
      </w:r>
    </w:p>
    <w:p w14:paraId="239D975B" w14:textId="77777777" w:rsidR="00C50A8E" w:rsidRPr="001708FB" w:rsidRDefault="00C50A8E" w:rsidP="00C50A8E">
      <w:pPr>
        <w:pStyle w:val="ListParagraph"/>
        <w:rPr>
          <w:lang w:val="es-AR"/>
        </w:rPr>
      </w:pPr>
    </w:p>
    <w:p w14:paraId="63E69D04" w14:textId="48EB0EF5" w:rsidR="00962F09" w:rsidRPr="001708FB" w:rsidRDefault="00877308" w:rsidP="00DC307A">
      <w:pPr>
        <w:pStyle w:val="parrafos"/>
        <w:tabs>
          <w:tab w:val="left" w:pos="426"/>
        </w:tabs>
        <w:ind w:left="426" w:right="630"/>
        <w:rPr>
          <w:sz w:val="18"/>
          <w:szCs w:val="18"/>
          <w:lang w:val="es-AR"/>
        </w:rPr>
      </w:pPr>
      <w:r w:rsidRPr="001708FB">
        <w:rPr>
          <w:sz w:val="18"/>
          <w:szCs w:val="18"/>
          <w:lang w:val="es-AR"/>
        </w:rPr>
        <w:t xml:space="preserve">notó que el principal obstáculo para llegar a un acuerdo entre las partes ha sido la controversia con respecto al monto del pago necesario para cumplir con la primera recomendación del informe de Admisibilidad y Fondo, cuyo alcance fue aclarado por la Comisión mediante nota técnica del 4 de febrero de 2022 a la luz de los estándares desarrollados en el sistema para alcanzar una reparación integral. Asimismo, que el 29 de marzo de 2022, la Comisión evaluó la propuesta del Estado de llegar a un acuerdo de cumplimiento que contemple, entre otras medidas, la conformación de un tribunal arbitral para la determinación de la reparación económica y determinó que la reparación propuesta resultaba adecuada teniendo en cuenta la naturaleza de las violaciones declaradas en el informe. La Comisión tomó en cuenta la posición de la parte peticionaria con relación a las dificultades para llegar a un acuerdo, sin que contara con elementos más concretos que permitieran considerar que la propuesta presentada por el Estado no constituiría una reparación integral de acuerdo con los estándares del sistema interamericano y el alcance del informe de fondo. En ese sentido, la Comisión observa la importancia de que ambas partes realicen sus máximos esfuerzos a efectos de lograr reparar integralmente las violaciones materiales del presente caso. </w:t>
      </w:r>
    </w:p>
    <w:p w14:paraId="580E5ABE" w14:textId="77777777" w:rsidR="00877308" w:rsidRPr="001708FB" w:rsidRDefault="00877308" w:rsidP="00DC307A">
      <w:pPr>
        <w:pStyle w:val="parrafos"/>
        <w:tabs>
          <w:tab w:val="left" w:pos="426"/>
        </w:tabs>
        <w:ind w:left="426" w:right="630"/>
        <w:rPr>
          <w:sz w:val="18"/>
          <w:szCs w:val="18"/>
          <w:lang w:val="es-AR"/>
        </w:rPr>
      </w:pPr>
    </w:p>
    <w:p w14:paraId="1DB12A42" w14:textId="5EE8350A" w:rsidR="002C64C6" w:rsidRPr="001708FB" w:rsidRDefault="00DC307A" w:rsidP="00DC307A">
      <w:pPr>
        <w:pStyle w:val="parrafos"/>
        <w:tabs>
          <w:tab w:val="left" w:pos="426"/>
        </w:tabs>
        <w:ind w:left="426" w:right="630"/>
        <w:rPr>
          <w:color w:val="auto"/>
          <w:lang w:val="es-AR"/>
        </w:rPr>
      </w:pPr>
      <w:r w:rsidRPr="001708FB">
        <w:rPr>
          <w:color w:val="auto"/>
          <w:sz w:val="18"/>
          <w:szCs w:val="18"/>
        </w:rPr>
        <w:t>E</w:t>
      </w:r>
      <w:r w:rsidR="00B166A1" w:rsidRPr="001708FB">
        <w:rPr>
          <w:color w:val="auto"/>
          <w:sz w:val="18"/>
          <w:szCs w:val="18"/>
        </w:rPr>
        <w:t>n su decisión l</w:t>
      </w:r>
      <w:r w:rsidR="00962F09" w:rsidRPr="001708FB">
        <w:rPr>
          <w:color w:val="auto"/>
          <w:sz w:val="18"/>
          <w:szCs w:val="18"/>
        </w:rPr>
        <w:t>a Comisión tomó en cuenta la posición de la parte peticionaria con relación a las dificultades para llegar a un acuerdo, sin que contara con elementos más concretos que permitieran considerar que la propuesta presentada por el Estado no constituiría una reparación integral de acuerdo con los estándares del sistema interamericano y el alcance del informe de fondo. En ese sentido, la Comisión observ</w:t>
      </w:r>
      <w:r w:rsidR="00B166A1" w:rsidRPr="001708FB">
        <w:rPr>
          <w:color w:val="auto"/>
          <w:sz w:val="18"/>
          <w:szCs w:val="18"/>
        </w:rPr>
        <w:t>ó</w:t>
      </w:r>
      <w:r w:rsidR="00962F09" w:rsidRPr="001708FB">
        <w:rPr>
          <w:color w:val="auto"/>
          <w:sz w:val="18"/>
          <w:szCs w:val="18"/>
        </w:rPr>
        <w:t xml:space="preserve"> la importancia de que ambas partes realicen sus máximos esfuerzos a efectos de lograr reparar integralmente las violaciones materiales del presente caso</w:t>
      </w:r>
      <w:r w:rsidRPr="001708FB">
        <w:rPr>
          <w:color w:val="auto"/>
          <w:sz w:val="18"/>
          <w:szCs w:val="18"/>
          <w:lang w:val="es-US"/>
        </w:rPr>
        <w:t>”</w:t>
      </w:r>
      <w:r w:rsidR="00962F09" w:rsidRPr="001708FB">
        <w:rPr>
          <w:color w:val="auto"/>
          <w:sz w:val="18"/>
          <w:szCs w:val="18"/>
        </w:rPr>
        <w:t>.</w:t>
      </w:r>
      <w:r w:rsidR="008C1010" w:rsidRPr="001708FB">
        <w:rPr>
          <w:color w:val="auto"/>
          <w:sz w:val="18"/>
          <w:szCs w:val="18"/>
        </w:rPr>
        <w:t xml:space="preserve"> </w:t>
      </w:r>
    </w:p>
    <w:p w14:paraId="7C36CC1E" w14:textId="77777777" w:rsidR="00962F09" w:rsidRPr="001708FB" w:rsidRDefault="00962F09" w:rsidP="003D1122">
      <w:pPr>
        <w:pStyle w:val="ListParagraph"/>
        <w:tabs>
          <w:tab w:val="left" w:pos="426"/>
          <w:tab w:val="left" w:pos="709"/>
        </w:tabs>
        <w:rPr>
          <w:lang w:val="es-US"/>
        </w:rPr>
      </w:pPr>
    </w:p>
    <w:p w14:paraId="4E599EA2" w14:textId="69038839" w:rsidR="009F1C78" w:rsidRPr="001708FB" w:rsidRDefault="0097572D" w:rsidP="00664A5E">
      <w:pPr>
        <w:pStyle w:val="parrafos"/>
        <w:numPr>
          <w:ilvl w:val="0"/>
          <w:numId w:val="4"/>
        </w:numPr>
        <w:tabs>
          <w:tab w:val="left" w:pos="426"/>
          <w:tab w:val="left" w:pos="709"/>
        </w:tabs>
        <w:ind w:left="0" w:firstLine="0"/>
        <w:rPr>
          <w:lang w:val="es-AR"/>
        </w:rPr>
      </w:pPr>
      <w:r w:rsidRPr="001708FB">
        <w:rPr>
          <w:lang w:val="es-AR"/>
        </w:rPr>
        <w:t>El 12 de febrero de 2023, la parte peticionaria acept</w:t>
      </w:r>
      <w:r w:rsidR="001D3E10" w:rsidRPr="001708FB">
        <w:rPr>
          <w:color w:val="auto"/>
          <w:lang w:val="es-AR"/>
        </w:rPr>
        <w:t>ó</w:t>
      </w:r>
      <w:r w:rsidRPr="001708FB">
        <w:rPr>
          <w:lang w:val="es-AR"/>
        </w:rPr>
        <w:t xml:space="preserve"> los términos de pago del </w:t>
      </w:r>
      <w:r w:rsidR="00AB3B78" w:rsidRPr="001708FB">
        <w:rPr>
          <w:lang w:val="es-AR"/>
        </w:rPr>
        <w:t>Estado</w:t>
      </w:r>
      <w:r w:rsidR="00082AE7" w:rsidRPr="001708FB">
        <w:rPr>
          <w:lang w:val="es-AR"/>
        </w:rPr>
        <w:t xml:space="preserve"> a modo de poder hacerlo efectivo cuanto antes</w:t>
      </w:r>
      <w:r w:rsidRPr="001708FB">
        <w:rPr>
          <w:lang w:val="es-AR"/>
        </w:rPr>
        <w:t xml:space="preserve">, </w:t>
      </w:r>
      <w:r w:rsidR="009F1C78" w:rsidRPr="001708FB">
        <w:rPr>
          <w:lang w:val="es-AR"/>
        </w:rPr>
        <w:t>solicitando</w:t>
      </w:r>
      <w:r w:rsidRPr="001708FB">
        <w:rPr>
          <w:lang w:val="es-AR"/>
        </w:rPr>
        <w:t xml:space="preserve"> que </w:t>
      </w:r>
      <w:r w:rsidR="00B166A1" w:rsidRPr="001708FB">
        <w:rPr>
          <w:lang w:val="es-AR"/>
        </w:rPr>
        <w:t xml:space="preserve">sea en </w:t>
      </w:r>
      <w:r w:rsidRPr="001708FB">
        <w:rPr>
          <w:lang w:val="es-AR"/>
        </w:rPr>
        <w:t>dólares estadounidenses teniendo</w:t>
      </w:r>
      <w:r w:rsidR="001B5A37" w:rsidRPr="001708FB">
        <w:rPr>
          <w:lang w:val="es-AR"/>
        </w:rPr>
        <w:t xml:space="preserve"> </w:t>
      </w:r>
      <w:r w:rsidRPr="001708FB">
        <w:rPr>
          <w:lang w:val="es-AR"/>
        </w:rPr>
        <w:t>en</w:t>
      </w:r>
      <w:r w:rsidR="001B5A37" w:rsidRPr="001708FB">
        <w:rPr>
          <w:lang w:val="es-AR"/>
        </w:rPr>
        <w:t xml:space="preserve"> </w:t>
      </w:r>
      <w:r w:rsidRPr="001708FB">
        <w:rPr>
          <w:lang w:val="es-AR"/>
        </w:rPr>
        <w:t>cuenta</w:t>
      </w:r>
      <w:r w:rsidR="001B5A37" w:rsidRPr="001708FB">
        <w:rPr>
          <w:lang w:val="es-AR"/>
        </w:rPr>
        <w:t xml:space="preserve"> </w:t>
      </w:r>
      <w:r w:rsidRPr="001708FB">
        <w:rPr>
          <w:lang w:val="es-AR"/>
        </w:rPr>
        <w:t>que</w:t>
      </w:r>
      <w:r w:rsidR="001B5A37" w:rsidRPr="001708FB">
        <w:rPr>
          <w:lang w:val="es-AR"/>
        </w:rPr>
        <w:t xml:space="preserve"> </w:t>
      </w:r>
      <w:r w:rsidRPr="001708FB">
        <w:rPr>
          <w:lang w:val="es-AR"/>
        </w:rPr>
        <w:t xml:space="preserve">la </w:t>
      </w:r>
      <w:r w:rsidR="009F1C78" w:rsidRPr="001708FB">
        <w:rPr>
          <w:lang w:val="es-AR"/>
        </w:rPr>
        <w:t>liquidación</w:t>
      </w:r>
      <w:r w:rsidRPr="001708FB">
        <w:rPr>
          <w:lang w:val="es-AR"/>
        </w:rPr>
        <w:t xml:space="preserve"> de ambas partes se </w:t>
      </w:r>
      <w:r w:rsidR="00AB3B78" w:rsidRPr="001708FB">
        <w:rPr>
          <w:lang w:val="es-AR"/>
        </w:rPr>
        <w:t>efectuará</w:t>
      </w:r>
      <w:r w:rsidRPr="001708FB">
        <w:rPr>
          <w:lang w:val="es-AR"/>
        </w:rPr>
        <w:t xml:space="preserve"> en los </w:t>
      </w:r>
      <w:r w:rsidR="00AB3B78" w:rsidRPr="001708FB">
        <w:rPr>
          <w:lang w:val="es-AR"/>
        </w:rPr>
        <w:t>E</w:t>
      </w:r>
      <w:r w:rsidRPr="001708FB">
        <w:rPr>
          <w:lang w:val="es-AR"/>
        </w:rPr>
        <w:t xml:space="preserve">stados </w:t>
      </w:r>
      <w:r w:rsidR="00AB3B78" w:rsidRPr="001708FB">
        <w:rPr>
          <w:lang w:val="es-AR"/>
        </w:rPr>
        <w:t>U</w:t>
      </w:r>
      <w:r w:rsidRPr="001708FB">
        <w:rPr>
          <w:lang w:val="es-AR"/>
        </w:rPr>
        <w:t>nidos.</w:t>
      </w:r>
      <w:r w:rsidR="00567CBA" w:rsidRPr="001708FB">
        <w:rPr>
          <w:lang w:val="es-AR"/>
        </w:rPr>
        <w:t xml:space="preserve"> </w:t>
      </w:r>
      <w:r w:rsidR="007F244C" w:rsidRPr="001708FB">
        <w:rPr>
          <w:lang w:val="es-AR"/>
        </w:rPr>
        <w:t>El 20 de abril de 2023 e</w:t>
      </w:r>
      <w:r w:rsidR="00966362" w:rsidRPr="001708FB">
        <w:rPr>
          <w:lang w:val="es-AR"/>
        </w:rPr>
        <w:t>l</w:t>
      </w:r>
      <w:r w:rsidR="00567CBA" w:rsidRPr="001708FB">
        <w:rPr>
          <w:lang w:val="es-AR"/>
        </w:rPr>
        <w:t xml:space="preserve"> </w:t>
      </w:r>
      <w:r w:rsidR="00966362" w:rsidRPr="001708FB">
        <w:rPr>
          <w:lang w:val="es-AR"/>
        </w:rPr>
        <w:t>E</w:t>
      </w:r>
      <w:r w:rsidR="00567CBA" w:rsidRPr="001708FB">
        <w:rPr>
          <w:lang w:val="es-AR"/>
        </w:rPr>
        <w:t>stado soli</w:t>
      </w:r>
      <w:r w:rsidR="00966362" w:rsidRPr="001708FB">
        <w:rPr>
          <w:lang w:val="es-AR"/>
        </w:rPr>
        <w:t>citó</w:t>
      </w:r>
      <w:r w:rsidR="00567CBA" w:rsidRPr="001708FB">
        <w:rPr>
          <w:lang w:val="es-US"/>
        </w:rPr>
        <w:t xml:space="preserve"> una prórroga para responder</w:t>
      </w:r>
      <w:r w:rsidR="00EF4A0B" w:rsidRPr="001708FB">
        <w:rPr>
          <w:lang w:val="es-US"/>
        </w:rPr>
        <w:t>, al no haber recibido la totalidad de la información de parte de sus reparticiones. La CIDH no ha recibido respuesta del Estado.</w:t>
      </w:r>
    </w:p>
    <w:p w14:paraId="5F27808B" w14:textId="77777777" w:rsidR="009F1C78" w:rsidRPr="001708FB" w:rsidRDefault="009F1C78" w:rsidP="00962F09">
      <w:pPr>
        <w:pStyle w:val="ListParagraph"/>
        <w:tabs>
          <w:tab w:val="left" w:pos="426"/>
          <w:tab w:val="left" w:pos="709"/>
        </w:tabs>
        <w:rPr>
          <w:lang w:val="es-AR"/>
        </w:rPr>
      </w:pPr>
    </w:p>
    <w:p w14:paraId="750A1CB1" w14:textId="1885C99C" w:rsidR="00A9462D" w:rsidRDefault="00801FD6" w:rsidP="00A9462D">
      <w:pPr>
        <w:pStyle w:val="parrafos"/>
        <w:numPr>
          <w:ilvl w:val="0"/>
          <w:numId w:val="4"/>
        </w:numPr>
        <w:tabs>
          <w:tab w:val="left" w:pos="426"/>
        </w:tabs>
        <w:ind w:left="0" w:firstLine="0"/>
        <w:rPr>
          <w:lang w:val="es-AR"/>
        </w:rPr>
      </w:pPr>
      <w:r w:rsidRPr="001708FB">
        <w:rPr>
          <w:lang w:val="es-AR"/>
        </w:rPr>
        <w:t xml:space="preserve">El 28 de junio de 2024 la parte peticionaria informó que </w:t>
      </w:r>
      <w:r w:rsidR="0003350E" w:rsidRPr="001708FB">
        <w:rPr>
          <w:lang w:val="es-AR"/>
        </w:rPr>
        <w:t xml:space="preserve">ninguna reparación había ocurrido. </w:t>
      </w:r>
      <w:r w:rsidR="005F1699" w:rsidRPr="001708FB">
        <w:rPr>
          <w:lang w:val="es-AR"/>
        </w:rPr>
        <w:t xml:space="preserve">En vista de </w:t>
      </w:r>
      <w:r w:rsidR="003D1122" w:rsidRPr="001708FB">
        <w:rPr>
          <w:lang w:val="es-AR"/>
        </w:rPr>
        <w:t xml:space="preserve">la información </w:t>
      </w:r>
      <w:r w:rsidR="00C06DA9" w:rsidRPr="001708FB">
        <w:rPr>
          <w:lang w:val="es-AR"/>
        </w:rPr>
        <w:t>disponible</w:t>
      </w:r>
      <w:r w:rsidR="00EF4A0B" w:rsidRPr="001708FB">
        <w:rPr>
          <w:lang w:val="es-AR"/>
        </w:rPr>
        <w:t>,</w:t>
      </w:r>
      <w:r w:rsidR="005F1699" w:rsidRPr="001708FB">
        <w:rPr>
          <w:lang w:val="es-AR"/>
        </w:rPr>
        <w:t xml:space="preserve"> la Comisión observa que </w:t>
      </w:r>
      <w:r w:rsidR="00340644" w:rsidRPr="001708FB">
        <w:rPr>
          <w:lang w:val="es-AR"/>
        </w:rPr>
        <w:t>ambas recomendaciones</w:t>
      </w:r>
      <w:r w:rsidR="005F1699" w:rsidRPr="001708FB">
        <w:rPr>
          <w:lang w:val="es-AR"/>
        </w:rPr>
        <w:t xml:space="preserve"> aún se encuentran pendientes de cumplimiento</w:t>
      </w:r>
      <w:r w:rsidR="00C06DA9" w:rsidRPr="001708FB">
        <w:rPr>
          <w:lang w:val="es-AR"/>
        </w:rPr>
        <w:t xml:space="preserve"> de parte del Estado</w:t>
      </w:r>
      <w:r w:rsidR="00B25D5D" w:rsidRPr="001708FB">
        <w:rPr>
          <w:lang w:val="es-AR"/>
        </w:rPr>
        <w:t>.</w:t>
      </w:r>
      <w:r w:rsidR="00962F09" w:rsidRPr="001708FB">
        <w:rPr>
          <w:lang w:val="es-AR"/>
        </w:rPr>
        <w:t xml:space="preserve"> </w:t>
      </w:r>
    </w:p>
    <w:p w14:paraId="5036913C" w14:textId="77777777" w:rsidR="000D5EDA" w:rsidRPr="000D5EDA" w:rsidRDefault="000D5EDA" w:rsidP="000D5EDA">
      <w:pPr>
        <w:pStyle w:val="parrafos"/>
        <w:tabs>
          <w:tab w:val="left" w:pos="426"/>
        </w:tabs>
        <w:rPr>
          <w:lang w:val="es-AR"/>
        </w:rPr>
      </w:pPr>
    </w:p>
    <w:p w14:paraId="1FFBAE16" w14:textId="5E9D1640" w:rsidR="00A9462D" w:rsidRPr="00D71793" w:rsidRDefault="00A9462D" w:rsidP="00A9462D">
      <w:pPr>
        <w:pStyle w:val="Heading1"/>
        <w:numPr>
          <w:ilvl w:val="0"/>
          <w:numId w:val="2"/>
        </w:numPr>
        <w:tabs>
          <w:tab w:val="left" w:pos="426"/>
          <w:tab w:val="left" w:pos="709"/>
        </w:tabs>
        <w:ind w:left="0" w:firstLine="0"/>
        <w:rPr>
          <w:lang w:val="es-VE"/>
        </w:rPr>
      </w:pPr>
      <w:bookmarkStart w:id="61" w:name="_Toc83747595"/>
      <w:bookmarkStart w:id="62" w:name="_Toc194050570"/>
      <w:bookmarkStart w:id="63" w:name="_Toc203469414"/>
      <w:r w:rsidRPr="00D71793">
        <w:rPr>
          <w:lang w:val="es-VE"/>
        </w:rPr>
        <w:t xml:space="preserve">ACTUACIONES POSTERIORES AL INFORME No. </w:t>
      </w:r>
      <w:r w:rsidR="00DA325A" w:rsidRPr="00D71793">
        <w:rPr>
          <w:lang w:val="es-VE"/>
        </w:rPr>
        <w:t>59</w:t>
      </w:r>
      <w:r w:rsidRPr="00D71793">
        <w:rPr>
          <w:lang w:val="es-VE"/>
        </w:rPr>
        <w:t>/25 E INFORMACIÓN SOBRE CUMPLIMIENTO</w:t>
      </w:r>
      <w:bookmarkEnd w:id="61"/>
      <w:bookmarkEnd w:id="62"/>
      <w:bookmarkEnd w:id="63"/>
    </w:p>
    <w:p w14:paraId="1552382B" w14:textId="77777777" w:rsidR="00A9462D" w:rsidRPr="00D71793" w:rsidRDefault="00A9462D" w:rsidP="00A9462D">
      <w:pPr>
        <w:pStyle w:val="BodyTextIndent"/>
        <w:ind w:left="720" w:firstLine="0"/>
        <w:jc w:val="both"/>
        <w:rPr>
          <w:rFonts w:ascii="Cambria" w:hAnsi="Cambria"/>
          <w:sz w:val="20"/>
          <w:szCs w:val="20"/>
        </w:rPr>
      </w:pPr>
    </w:p>
    <w:p w14:paraId="0E41899D" w14:textId="4E5F9D5F" w:rsidR="00A9462D" w:rsidRPr="00D71793" w:rsidRDefault="00A9462D" w:rsidP="00A9462D">
      <w:pPr>
        <w:numPr>
          <w:ilvl w:val="0"/>
          <w:numId w:val="4"/>
        </w:numPr>
        <w:tabs>
          <w:tab w:val="left" w:pos="709"/>
        </w:tabs>
        <w:spacing w:after="0" w:line="240" w:lineRule="auto"/>
        <w:ind w:left="0" w:firstLine="0"/>
        <w:jc w:val="both"/>
        <w:rPr>
          <w:rFonts w:ascii="Cambria" w:hAnsi="Cambria" w:cs="Verdana"/>
          <w:sz w:val="20"/>
          <w:szCs w:val="20"/>
          <w:lang w:val="es-US" w:bidi="en-US"/>
        </w:rPr>
      </w:pPr>
      <w:r w:rsidRPr="00D71793">
        <w:rPr>
          <w:rFonts w:ascii="Cambria" w:hAnsi="Cambria"/>
          <w:sz w:val="20"/>
          <w:szCs w:val="20"/>
          <w:lang w:val="es-ES_tradnl"/>
        </w:rPr>
        <w:t>El</w:t>
      </w:r>
      <w:r w:rsidRPr="00D71793">
        <w:rPr>
          <w:rFonts w:ascii="Cambria" w:hAnsi="Cambria" w:cs="Verdana"/>
          <w:sz w:val="20"/>
          <w:szCs w:val="20"/>
          <w:lang w:val="es-US" w:bidi="en-US"/>
        </w:rPr>
        <w:t xml:space="preserve"> </w:t>
      </w:r>
      <w:r w:rsidR="004E2C15" w:rsidRPr="00D71793">
        <w:rPr>
          <w:rFonts w:ascii="Cambria" w:hAnsi="Cambria" w:cs="Verdana"/>
          <w:sz w:val="20"/>
          <w:szCs w:val="20"/>
          <w:lang w:val="es-US" w:bidi="en-US"/>
        </w:rPr>
        <w:t>23</w:t>
      </w:r>
      <w:r w:rsidRPr="00D71793">
        <w:rPr>
          <w:rFonts w:ascii="Cambria" w:hAnsi="Cambria" w:cs="Verdana"/>
          <w:sz w:val="20"/>
          <w:szCs w:val="20"/>
          <w:lang w:val="es-US" w:bidi="en-US"/>
        </w:rPr>
        <w:t xml:space="preserve"> de </w:t>
      </w:r>
      <w:r w:rsidR="004E2C15" w:rsidRPr="00D71793">
        <w:rPr>
          <w:rFonts w:ascii="Cambria" w:hAnsi="Cambria" w:cs="Verdana"/>
          <w:sz w:val="20"/>
          <w:szCs w:val="20"/>
          <w:lang w:val="es-US" w:bidi="en-US"/>
        </w:rPr>
        <w:t>abril</w:t>
      </w:r>
      <w:r w:rsidRPr="00D71793">
        <w:rPr>
          <w:rFonts w:ascii="Cambria" w:hAnsi="Cambria" w:cs="Verdana"/>
          <w:sz w:val="20"/>
          <w:szCs w:val="20"/>
          <w:lang w:val="es-US" w:bidi="en-US"/>
        </w:rPr>
        <w:t xml:space="preserve"> de 2025 </w:t>
      </w:r>
      <w:r w:rsidRPr="00D71793">
        <w:rPr>
          <w:rFonts w:ascii="Cambria" w:hAnsi="Cambria"/>
          <w:sz w:val="20"/>
          <w:szCs w:val="20"/>
          <w:lang w:val="es-VE"/>
        </w:rPr>
        <w:t>la</w:t>
      </w:r>
      <w:r w:rsidRPr="00D71793">
        <w:rPr>
          <w:rFonts w:ascii="Cambria" w:hAnsi="Cambria" w:cs="Verdana"/>
          <w:sz w:val="20"/>
          <w:szCs w:val="20"/>
          <w:lang w:val="es-US" w:bidi="en-US"/>
        </w:rPr>
        <w:t xml:space="preserve"> Comisión adoptó el Informe </w:t>
      </w:r>
      <w:r w:rsidRPr="00D71793">
        <w:rPr>
          <w:rFonts w:ascii="Cambria" w:eastAsia="Arial Unicode MS" w:hAnsi="Cambria"/>
          <w:color w:val="000000"/>
          <w:sz w:val="20"/>
          <w:szCs w:val="20"/>
          <w:bdr w:val="nil"/>
          <w:lang w:val="es-ES"/>
        </w:rPr>
        <w:t xml:space="preserve">de Fondo No. </w:t>
      </w:r>
      <w:r w:rsidR="00DA325A" w:rsidRPr="00D71793">
        <w:rPr>
          <w:rFonts w:ascii="Cambria" w:eastAsia="Arial Unicode MS" w:hAnsi="Cambria"/>
          <w:color w:val="000000"/>
          <w:sz w:val="20"/>
          <w:szCs w:val="20"/>
          <w:bdr w:val="nil"/>
          <w:lang w:val="es-ES"/>
        </w:rPr>
        <w:t>59</w:t>
      </w:r>
      <w:r w:rsidRPr="00D71793">
        <w:rPr>
          <w:rFonts w:ascii="Cambria" w:eastAsia="Arial Unicode MS" w:hAnsi="Cambria"/>
          <w:color w:val="000000"/>
          <w:sz w:val="20"/>
          <w:szCs w:val="20"/>
          <w:bdr w:val="nil"/>
          <w:lang w:val="es-ES"/>
        </w:rPr>
        <w:t xml:space="preserve">/25 </w:t>
      </w:r>
      <w:r w:rsidR="00DA5495" w:rsidRPr="00D71793">
        <w:rPr>
          <w:rFonts w:ascii="Cambria" w:eastAsia="Arial Unicode MS" w:hAnsi="Cambria"/>
          <w:color w:val="000000"/>
          <w:sz w:val="20"/>
          <w:szCs w:val="20"/>
          <w:bdr w:val="nil"/>
          <w:lang w:val="es-ES"/>
        </w:rPr>
        <w:t xml:space="preserve">que </w:t>
      </w:r>
      <w:r w:rsidR="00B81F0A" w:rsidRPr="00D71793">
        <w:rPr>
          <w:rFonts w:ascii="Cambria" w:eastAsia="Arial Unicode MS" w:hAnsi="Cambria"/>
          <w:color w:val="000000"/>
          <w:sz w:val="20"/>
          <w:szCs w:val="20"/>
          <w:bdr w:val="nil"/>
          <w:lang w:val="es-ES"/>
        </w:rPr>
        <w:t>incluye</w:t>
      </w:r>
      <w:r w:rsidR="00DA5495" w:rsidRPr="00D71793">
        <w:rPr>
          <w:rFonts w:ascii="Cambria" w:eastAsia="Arial Unicode MS" w:hAnsi="Cambria"/>
          <w:color w:val="000000"/>
          <w:sz w:val="20"/>
          <w:szCs w:val="20"/>
          <w:bdr w:val="nil"/>
          <w:lang w:val="es-ES"/>
        </w:rPr>
        <w:t xml:space="preserve"> los párrafos 1 a 91 </w:t>
      </w:r>
      <w:r w:rsidR="00DA5495" w:rsidRPr="00D71793">
        <w:rPr>
          <w:rFonts w:ascii="Cambria" w:eastAsia="Arial Unicode MS" w:hAnsi="Cambria"/>
          <w:i/>
          <w:iCs/>
          <w:color w:val="000000"/>
          <w:sz w:val="20"/>
          <w:szCs w:val="20"/>
          <w:bdr w:val="nil"/>
          <w:lang w:val="es-ES"/>
        </w:rPr>
        <w:t>supra</w:t>
      </w:r>
      <w:r w:rsidR="00DA5495" w:rsidRPr="00D71793">
        <w:rPr>
          <w:rFonts w:ascii="Cambria" w:eastAsia="Arial Unicode MS" w:hAnsi="Cambria"/>
          <w:color w:val="000000"/>
          <w:sz w:val="20"/>
          <w:szCs w:val="20"/>
          <w:bdr w:val="nil"/>
          <w:lang w:val="es-ES"/>
        </w:rPr>
        <w:t>, y emitió sus conclusiones y recomendaciones finales al Estado.</w:t>
      </w:r>
      <w:r w:rsidR="00BC2D4C" w:rsidRPr="00D71793">
        <w:rPr>
          <w:rFonts w:ascii="Cambria" w:eastAsia="Arial Unicode MS" w:hAnsi="Cambria"/>
          <w:color w:val="000000"/>
          <w:sz w:val="20"/>
          <w:szCs w:val="20"/>
          <w:bdr w:val="nil"/>
          <w:lang w:val="es-ES"/>
        </w:rPr>
        <w:t xml:space="preserve"> El 25 de abril de mismo año</w:t>
      </w:r>
      <w:r w:rsidRPr="00D71793">
        <w:rPr>
          <w:rFonts w:ascii="Cambria" w:hAnsi="Cambria" w:cs="Verdana"/>
          <w:sz w:val="20"/>
          <w:szCs w:val="20"/>
          <w:lang w:val="es-US" w:bidi="en-US"/>
        </w:rPr>
        <w:t xml:space="preserve"> lo transmitió al Estado y a la parte peticionaria otorgándoles el plazo de dos semanas para informar a la CIDH sobre las medidas adoptadas para el cumplimiento de sus recomendaciones. Ante la falta de respuesta el </w:t>
      </w:r>
      <w:r w:rsidR="00D06E86" w:rsidRPr="00D71793">
        <w:rPr>
          <w:rFonts w:ascii="Cambria" w:hAnsi="Cambria" w:cs="Verdana"/>
          <w:sz w:val="20"/>
          <w:szCs w:val="20"/>
          <w:lang w:val="es-US" w:bidi="en-US"/>
        </w:rPr>
        <w:t>23</w:t>
      </w:r>
      <w:r w:rsidRPr="00D71793">
        <w:rPr>
          <w:rFonts w:ascii="Cambria" w:hAnsi="Cambria" w:cs="Verdana"/>
          <w:sz w:val="20"/>
          <w:szCs w:val="20"/>
          <w:lang w:val="es-US" w:bidi="en-US"/>
        </w:rPr>
        <w:t xml:space="preserve"> de mayo de 2025 la CIDH reiteró la solicitud de información. Hasta la fecha la Comisión no ha recibido respuesta del Estado argentino con respecto al Informe No. </w:t>
      </w:r>
      <w:r w:rsidR="004E2C15" w:rsidRPr="00D71793">
        <w:rPr>
          <w:rFonts w:ascii="Cambria" w:hAnsi="Cambria" w:cs="Verdana"/>
          <w:sz w:val="20"/>
          <w:szCs w:val="20"/>
          <w:lang w:val="es-US" w:bidi="en-US"/>
        </w:rPr>
        <w:t>59</w:t>
      </w:r>
      <w:r w:rsidRPr="00D71793">
        <w:rPr>
          <w:rFonts w:ascii="Cambria" w:hAnsi="Cambria" w:cs="Verdana"/>
          <w:sz w:val="20"/>
          <w:szCs w:val="20"/>
          <w:lang w:val="es-US" w:bidi="en-US"/>
        </w:rPr>
        <w:t>/25.</w:t>
      </w:r>
    </w:p>
    <w:p w14:paraId="3DDCE5D0" w14:textId="77777777" w:rsidR="00C80B54" w:rsidRPr="00D71793" w:rsidRDefault="00C80B54" w:rsidP="00C80B54">
      <w:pPr>
        <w:tabs>
          <w:tab w:val="left" w:pos="709"/>
        </w:tabs>
        <w:spacing w:after="0" w:line="240" w:lineRule="auto"/>
        <w:jc w:val="both"/>
        <w:rPr>
          <w:rFonts w:ascii="Cambria" w:hAnsi="Cambria" w:cs="Verdana"/>
          <w:sz w:val="20"/>
          <w:szCs w:val="20"/>
          <w:lang w:val="es-US" w:bidi="en-US"/>
        </w:rPr>
      </w:pPr>
    </w:p>
    <w:p w14:paraId="67539069" w14:textId="78B91F35" w:rsidR="00C80B54" w:rsidRPr="00D71793" w:rsidRDefault="00C80B54" w:rsidP="00C80B54">
      <w:pPr>
        <w:numPr>
          <w:ilvl w:val="0"/>
          <w:numId w:val="4"/>
        </w:numPr>
        <w:tabs>
          <w:tab w:val="left" w:pos="709"/>
        </w:tabs>
        <w:spacing w:after="0" w:line="240" w:lineRule="auto"/>
        <w:ind w:left="0" w:firstLine="0"/>
        <w:jc w:val="both"/>
        <w:rPr>
          <w:rFonts w:ascii="Cambria" w:hAnsi="Cambria" w:cs="Verdana"/>
          <w:sz w:val="20"/>
          <w:szCs w:val="20"/>
          <w:lang w:val="es-US" w:bidi="en-US"/>
        </w:rPr>
      </w:pPr>
      <w:r w:rsidRPr="00D71793">
        <w:rPr>
          <w:rFonts w:ascii="Cambria" w:hAnsi="Cambria"/>
          <w:sz w:val="20"/>
          <w:szCs w:val="20"/>
          <w:lang w:val="es-ES_tradnl"/>
        </w:rPr>
        <w:t xml:space="preserve">La parte peticionaria </w:t>
      </w:r>
      <w:r w:rsidR="00A35E2F" w:rsidRPr="00D71793">
        <w:rPr>
          <w:rFonts w:ascii="Cambria" w:hAnsi="Cambria"/>
          <w:sz w:val="20"/>
          <w:szCs w:val="20"/>
          <w:lang w:val="es-ES_tradnl"/>
        </w:rPr>
        <w:t>informó que el Estado no ha cumplido con lo estipulado en el informe ni ha contactado a las víctimas.</w:t>
      </w:r>
    </w:p>
    <w:p w14:paraId="1FAA9534" w14:textId="77777777" w:rsidR="00B166A1" w:rsidRPr="00D71793" w:rsidRDefault="00B166A1" w:rsidP="00B166A1">
      <w:pPr>
        <w:pStyle w:val="parrafos"/>
        <w:tabs>
          <w:tab w:val="left" w:pos="426"/>
        </w:tabs>
        <w:rPr>
          <w:lang w:val="es-AR"/>
        </w:rPr>
      </w:pPr>
    </w:p>
    <w:p w14:paraId="044C53A9" w14:textId="1646F3B0" w:rsidR="000561BB" w:rsidRPr="00D71793" w:rsidRDefault="000561BB" w:rsidP="00962F09">
      <w:pPr>
        <w:pStyle w:val="Heading1"/>
        <w:numPr>
          <w:ilvl w:val="0"/>
          <w:numId w:val="2"/>
        </w:numPr>
        <w:tabs>
          <w:tab w:val="clear" w:pos="1440"/>
          <w:tab w:val="left" w:pos="426"/>
          <w:tab w:val="left" w:pos="709"/>
        </w:tabs>
        <w:ind w:left="0" w:firstLine="0"/>
        <w:rPr>
          <w:color w:val="000000" w:themeColor="text1"/>
          <w:lang w:val="es-AR"/>
        </w:rPr>
      </w:pPr>
      <w:bookmarkStart w:id="64" w:name="_Toc203469415"/>
      <w:r w:rsidRPr="00D71793">
        <w:rPr>
          <w:lang w:val="es-AR"/>
        </w:rPr>
        <w:t>CONCLUSIONES Y RECOMENDACIONES</w:t>
      </w:r>
      <w:r w:rsidR="00CD3D85" w:rsidRPr="00D71793">
        <w:rPr>
          <w:lang w:val="es-AR"/>
        </w:rPr>
        <w:t xml:space="preserve"> FINALES</w:t>
      </w:r>
      <w:bookmarkEnd w:id="64"/>
    </w:p>
    <w:p w14:paraId="5C4A9640" w14:textId="77777777" w:rsidR="000561BB" w:rsidRPr="00D71793" w:rsidRDefault="000561BB" w:rsidP="00962F09">
      <w:pPr>
        <w:tabs>
          <w:tab w:val="left" w:pos="426"/>
          <w:tab w:val="left" w:pos="709"/>
        </w:tabs>
        <w:spacing w:after="0"/>
      </w:pPr>
    </w:p>
    <w:p w14:paraId="5507F4F5" w14:textId="2221B7A7" w:rsidR="000561BB" w:rsidRPr="00D71793" w:rsidRDefault="000561BB" w:rsidP="00350518">
      <w:pPr>
        <w:pStyle w:val="parrafos"/>
        <w:numPr>
          <w:ilvl w:val="0"/>
          <w:numId w:val="4"/>
        </w:numPr>
        <w:tabs>
          <w:tab w:val="left" w:pos="426"/>
          <w:tab w:val="left" w:pos="709"/>
        </w:tabs>
        <w:ind w:left="0" w:firstLine="0"/>
        <w:rPr>
          <w:lang w:val="es-AR"/>
        </w:rPr>
      </w:pPr>
      <w:r w:rsidRPr="00D71793">
        <w:rPr>
          <w:color w:val="auto"/>
          <w:lang w:val="es-AR"/>
        </w:rPr>
        <w:t xml:space="preserve">La Comisión concluye que el Estado argentino es responsable por la violación de los derechos </w:t>
      </w:r>
      <w:r w:rsidRPr="00D71793">
        <w:rPr>
          <w:lang w:val="es-AR"/>
        </w:rPr>
        <w:t>establecidos</w:t>
      </w:r>
      <w:r w:rsidRPr="00D71793">
        <w:rPr>
          <w:color w:val="auto"/>
          <w:lang w:val="es-AR"/>
        </w:rPr>
        <w:t xml:space="preserve"> en los artículos 8.1 (garantías judiciales) y 25.1 (protección judicial) de la Convención Americana </w:t>
      </w:r>
      <w:r w:rsidRPr="00D71793">
        <w:rPr>
          <w:color w:val="auto"/>
          <w:lang w:val="es-AR"/>
        </w:rPr>
        <w:lastRenderedPageBreak/>
        <w:t xml:space="preserve">sobre Derechos Humanos, en relación con las obligaciones establecidas en el artículo 1.1 del mismo instrumento. </w:t>
      </w:r>
    </w:p>
    <w:p w14:paraId="0FD19292" w14:textId="77777777" w:rsidR="000561BB" w:rsidRPr="00D71793" w:rsidRDefault="000561BB" w:rsidP="00350518">
      <w:pPr>
        <w:pStyle w:val="parrafos"/>
        <w:tabs>
          <w:tab w:val="left" w:pos="426"/>
          <w:tab w:val="left" w:pos="709"/>
        </w:tabs>
        <w:rPr>
          <w:lang w:val="es-AR"/>
        </w:rPr>
      </w:pPr>
    </w:p>
    <w:p w14:paraId="7BE08AE5" w14:textId="3FACAF5C" w:rsidR="000561BB" w:rsidRPr="00D71793" w:rsidRDefault="000561BB" w:rsidP="00350518">
      <w:pPr>
        <w:pStyle w:val="parrafos"/>
        <w:numPr>
          <w:ilvl w:val="0"/>
          <w:numId w:val="4"/>
        </w:numPr>
        <w:tabs>
          <w:tab w:val="left" w:pos="426"/>
          <w:tab w:val="left" w:pos="709"/>
        </w:tabs>
        <w:ind w:left="0" w:firstLine="0"/>
        <w:rPr>
          <w:lang w:val="es-AR"/>
        </w:rPr>
      </w:pPr>
      <w:r w:rsidRPr="00D71793">
        <w:rPr>
          <w:lang w:val="es-AR"/>
        </w:rPr>
        <w:t>Con fundamento en el análisis y las conclusiones del presente informe,</w:t>
      </w:r>
    </w:p>
    <w:p w14:paraId="5ED023FA" w14:textId="1AF83155" w:rsidR="000561BB" w:rsidRPr="00D71793" w:rsidRDefault="000561BB" w:rsidP="00350518">
      <w:pPr>
        <w:pStyle w:val="parrafos"/>
        <w:tabs>
          <w:tab w:val="left" w:pos="426"/>
          <w:tab w:val="left" w:pos="709"/>
        </w:tabs>
        <w:rPr>
          <w:lang w:val="es-AR"/>
        </w:rPr>
      </w:pPr>
    </w:p>
    <w:p w14:paraId="0EF58785" w14:textId="77777777" w:rsidR="00D94B78" w:rsidRPr="00D71793" w:rsidRDefault="000561BB" w:rsidP="00350518">
      <w:pPr>
        <w:pStyle w:val="parrafos"/>
        <w:tabs>
          <w:tab w:val="left" w:pos="426"/>
          <w:tab w:val="left" w:pos="709"/>
        </w:tabs>
        <w:jc w:val="center"/>
        <w:rPr>
          <w:b/>
          <w:bCs/>
          <w:color w:val="auto"/>
          <w:lang w:val="es-AR"/>
        </w:rPr>
      </w:pPr>
      <w:r w:rsidRPr="00D71793">
        <w:rPr>
          <w:b/>
          <w:bCs/>
          <w:color w:val="auto"/>
          <w:lang w:val="es-AR"/>
        </w:rPr>
        <w:t>LA COMISIÓN INTERAMERICANA DE DERECHOS HUMANOS</w:t>
      </w:r>
    </w:p>
    <w:p w14:paraId="77247161" w14:textId="51F54BBD" w:rsidR="000561BB" w:rsidRPr="00D71793" w:rsidRDefault="00D94B78" w:rsidP="00350518">
      <w:pPr>
        <w:pStyle w:val="parrafos"/>
        <w:tabs>
          <w:tab w:val="left" w:pos="426"/>
          <w:tab w:val="left" w:pos="709"/>
        </w:tabs>
        <w:jc w:val="center"/>
        <w:rPr>
          <w:b/>
          <w:bCs/>
          <w:color w:val="auto"/>
          <w:lang w:val="es-AR"/>
        </w:rPr>
      </w:pPr>
      <w:r w:rsidRPr="00D71793">
        <w:rPr>
          <w:b/>
          <w:bCs/>
          <w:color w:val="auto"/>
          <w:lang w:val="es-AR"/>
        </w:rPr>
        <w:t>REITERA</w:t>
      </w:r>
      <w:r w:rsidR="000561BB" w:rsidRPr="00D71793">
        <w:rPr>
          <w:b/>
          <w:bCs/>
          <w:color w:val="auto"/>
          <w:lang w:val="es-AR"/>
        </w:rPr>
        <w:t xml:space="preserve"> AL ESTADO DE ARGENTINA:</w:t>
      </w:r>
    </w:p>
    <w:p w14:paraId="233B1282" w14:textId="3B08EFBC" w:rsidR="000561BB" w:rsidRPr="00D71793" w:rsidRDefault="000561BB" w:rsidP="00350518">
      <w:pPr>
        <w:pStyle w:val="parrafos"/>
        <w:tabs>
          <w:tab w:val="left" w:pos="426"/>
          <w:tab w:val="left" w:pos="709"/>
        </w:tabs>
        <w:rPr>
          <w:lang w:val="es-AR"/>
        </w:rPr>
      </w:pPr>
    </w:p>
    <w:p w14:paraId="23AB39C8" w14:textId="5172B670" w:rsidR="00E50F8C" w:rsidRPr="00D71793" w:rsidRDefault="00E50F8C" w:rsidP="00350518">
      <w:pPr>
        <w:pStyle w:val="BodyTextIndent"/>
        <w:numPr>
          <w:ilvl w:val="3"/>
          <w:numId w:val="4"/>
        </w:numPr>
        <w:tabs>
          <w:tab w:val="left" w:pos="426"/>
          <w:tab w:val="left" w:pos="709"/>
        </w:tabs>
        <w:ind w:left="993" w:right="720"/>
        <w:jc w:val="both"/>
        <w:rPr>
          <w:rFonts w:ascii="Cambria" w:hAnsi="Cambria"/>
          <w:color w:val="000000" w:themeColor="text1"/>
          <w:sz w:val="20"/>
          <w:szCs w:val="20"/>
          <w:lang w:val="es-AR"/>
        </w:rPr>
      </w:pPr>
      <w:r w:rsidRPr="00D71793">
        <w:rPr>
          <w:rFonts w:ascii="Cambria" w:hAnsi="Cambria"/>
          <w:color w:val="000000" w:themeColor="text1"/>
          <w:sz w:val="20"/>
          <w:szCs w:val="20"/>
          <w:lang w:val="es-AR"/>
        </w:rPr>
        <w:t>Reparar integralmente las violaciones de derechos humanos declaradas</w:t>
      </w:r>
      <w:r w:rsidR="00611DA0" w:rsidRPr="00D71793">
        <w:rPr>
          <w:rFonts w:ascii="Cambria" w:hAnsi="Cambria"/>
          <w:color w:val="000000" w:themeColor="text1"/>
          <w:sz w:val="20"/>
          <w:szCs w:val="20"/>
          <w:lang w:val="es-AR"/>
        </w:rPr>
        <w:t xml:space="preserve"> </w:t>
      </w:r>
      <w:r w:rsidR="00611DA0" w:rsidRPr="00D71793">
        <w:rPr>
          <w:rFonts w:ascii="Cambria" w:eastAsia="Cambria" w:hAnsi="Cambria" w:cs="Cambria"/>
          <w:sz w:val="20"/>
          <w:szCs w:val="20"/>
        </w:rPr>
        <w:t>en el presente informe</w:t>
      </w:r>
      <w:r w:rsidRPr="00D71793">
        <w:rPr>
          <w:rFonts w:ascii="Cambria" w:hAnsi="Cambria"/>
          <w:color w:val="000000" w:themeColor="text1"/>
          <w:sz w:val="20"/>
          <w:szCs w:val="20"/>
          <w:lang w:val="es-AR"/>
        </w:rPr>
        <w:t xml:space="preserve">. En particular adoptar el pago de una indemnización a las víctimas por el plazo irrazonable de duración del proceso por responsabilidad patrimonial promovido en su contra. </w:t>
      </w:r>
    </w:p>
    <w:p w14:paraId="61981DD6" w14:textId="77777777" w:rsidR="003F0812" w:rsidRPr="00D71793" w:rsidRDefault="003F0812" w:rsidP="00350518">
      <w:pPr>
        <w:pStyle w:val="BodyTextIndent"/>
        <w:tabs>
          <w:tab w:val="left" w:pos="426"/>
          <w:tab w:val="left" w:pos="709"/>
        </w:tabs>
        <w:ind w:left="0" w:right="720" w:firstLine="0"/>
        <w:jc w:val="both"/>
        <w:rPr>
          <w:rFonts w:ascii="Cambria" w:hAnsi="Cambria"/>
          <w:color w:val="000000" w:themeColor="text1"/>
          <w:sz w:val="20"/>
          <w:szCs w:val="20"/>
          <w:lang w:val="es-AR"/>
        </w:rPr>
      </w:pPr>
    </w:p>
    <w:p w14:paraId="441FFEAC" w14:textId="4A59B6BE" w:rsidR="00E50F8C" w:rsidRPr="00D71793" w:rsidRDefault="00E50F8C" w:rsidP="00350518">
      <w:pPr>
        <w:pStyle w:val="BodyTextIndent"/>
        <w:numPr>
          <w:ilvl w:val="3"/>
          <w:numId w:val="4"/>
        </w:numPr>
        <w:tabs>
          <w:tab w:val="left" w:pos="426"/>
          <w:tab w:val="left" w:pos="709"/>
        </w:tabs>
        <w:ind w:left="993" w:right="720"/>
        <w:jc w:val="both"/>
        <w:rPr>
          <w:rFonts w:ascii="Cambria" w:hAnsi="Cambria"/>
          <w:color w:val="000000" w:themeColor="text1"/>
          <w:sz w:val="20"/>
          <w:szCs w:val="20"/>
          <w:lang w:val="es-AR"/>
        </w:rPr>
      </w:pPr>
      <w:r w:rsidRPr="00D71793">
        <w:rPr>
          <w:rFonts w:ascii="Cambria" w:hAnsi="Cambria"/>
          <w:color w:val="000000" w:themeColor="text1"/>
          <w:sz w:val="20"/>
          <w:szCs w:val="20"/>
          <w:lang w:val="es-AR"/>
        </w:rPr>
        <w:t xml:space="preserve">Adoptar las medidas de capacitación necesarias para asegurar que los procesos judiciales de responsabilidad </w:t>
      </w:r>
      <w:r w:rsidR="001D3E10" w:rsidRPr="00D71793">
        <w:rPr>
          <w:rFonts w:ascii="Cambria" w:hAnsi="Cambria"/>
          <w:color w:val="000000" w:themeColor="text1"/>
          <w:sz w:val="20"/>
          <w:szCs w:val="20"/>
          <w:lang w:val="es-AR"/>
        </w:rPr>
        <w:t>patrimonial</w:t>
      </w:r>
      <w:r w:rsidRPr="00D71793">
        <w:rPr>
          <w:rFonts w:ascii="Cambria" w:hAnsi="Cambria"/>
          <w:color w:val="000000" w:themeColor="text1"/>
          <w:sz w:val="20"/>
          <w:szCs w:val="20"/>
          <w:lang w:val="es-AR"/>
        </w:rPr>
        <w:t xml:space="preserve"> sean resueltos oportunamente por las autoridades judiciales correspondientes dentro de un plazo razonable conforme a los estándares interamericanos sobre la materia. </w:t>
      </w:r>
    </w:p>
    <w:p w14:paraId="00268B2B" w14:textId="77777777" w:rsidR="00D94B78" w:rsidRPr="00D71793" w:rsidRDefault="00D94B78" w:rsidP="00350518">
      <w:pPr>
        <w:pStyle w:val="parrafos"/>
        <w:tabs>
          <w:tab w:val="left" w:pos="426"/>
          <w:tab w:val="left" w:pos="709"/>
        </w:tabs>
        <w:rPr>
          <w:lang w:val="es-AR"/>
        </w:rPr>
      </w:pPr>
    </w:p>
    <w:p w14:paraId="4FFE559A" w14:textId="2C166A0A" w:rsidR="007959ED" w:rsidRPr="00D71793" w:rsidRDefault="00AC5F70" w:rsidP="00350518">
      <w:pPr>
        <w:pStyle w:val="Heading1"/>
        <w:numPr>
          <w:ilvl w:val="0"/>
          <w:numId w:val="2"/>
        </w:numPr>
        <w:tabs>
          <w:tab w:val="clear" w:pos="1440"/>
          <w:tab w:val="left" w:pos="426"/>
          <w:tab w:val="left" w:pos="709"/>
          <w:tab w:val="left" w:pos="1350"/>
        </w:tabs>
        <w:ind w:left="0" w:firstLine="0"/>
        <w:rPr>
          <w:lang w:val="es-AR"/>
        </w:rPr>
      </w:pPr>
      <w:bookmarkStart w:id="65" w:name="_Toc11052104"/>
      <w:bookmarkStart w:id="66" w:name="_Toc11060948"/>
      <w:bookmarkStart w:id="67" w:name="_Toc133832931"/>
      <w:bookmarkStart w:id="68" w:name="_Toc161821509"/>
      <w:bookmarkStart w:id="69" w:name="_Toc162015645"/>
      <w:bookmarkStart w:id="70" w:name="_Toc203469416"/>
      <w:r w:rsidRPr="00D71793">
        <w:rPr>
          <w:lang w:val="es-AR"/>
        </w:rPr>
        <w:t>PUBLI</w:t>
      </w:r>
      <w:r w:rsidR="00D94B78" w:rsidRPr="00D71793">
        <w:rPr>
          <w:lang w:val="es-AR"/>
        </w:rPr>
        <w:t>CACIÓN</w:t>
      </w:r>
      <w:bookmarkEnd w:id="65"/>
      <w:bookmarkEnd w:id="66"/>
      <w:bookmarkEnd w:id="67"/>
      <w:bookmarkEnd w:id="68"/>
      <w:bookmarkEnd w:id="69"/>
      <w:bookmarkEnd w:id="70"/>
      <w:r w:rsidR="00D94B78" w:rsidRPr="00D71793">
        <w:rPr>
          <w:lang w:val="es-AR"/>
        </w:rPr>
        <w:t xml:space="preserve"> </w:t>
      </w:r>
    </w:p>
    <w:p w14:paraId="4F528F0B" w14:textId="77777777" w:rsidR="007564FB" w:rsidRPr="00D71793" w:rsidRDefault="007564FB" w:rsidP="00350518">
      <w:pPr>
        <w:spacing w:after="0" w:line="240" w:lineRule="auto"/>
      </w:pPr>
    </w:p>
    <w:p w14:paraId="2F38C955" w14:textId="5683A0C8" w:rsidR="00316A05" w:rsidRPr="00D71793" w:rsidRDefault="00316A05" w:rsidP="00350518">
      <w:pPr>
        <w:pStyle w:val="parrafos"/>
        <w:numPr>
          <w:ilvl w:val="0"/>
          <w:numId w:val="4"/>
        </w:numPr>
        <w:tabs>
          <w:tab w:val="left" w:pos="426"/>
          <w:tab w:val="left" w:pos="709"/>
        </w:tabs>
        <w:ind w:left="0" w:firstLine="0"/>
        <w:rPr>
          <w:rFonts w:asciiTheme="minorHAnsi" w:hAnsiTheme="minorHAnsi"/>
          <w:lang w:val="es-ES_tradnl"/>
        </w:rPr>
      </w:pPr>
      <w:r w:rsidRPr="00D71793">
        <w:rPr>
          <w:rFonts w:asciiTheme="minorHAnsi" w:hAnsiTheme="minorHAnsi"/>
          <w:lang w:val="es-ES_tradnl"/>
        </w:rPr>
        <w:t>D</w:t>
      </w:r>
      <w:r w:rsidRPr="00D71793">
        <w:rPr>
          <w:rFonts w:asciiTheme="minorHAnsi" w:hAnsiTheme="minorHAnsi"/>
          <w:lang w:val="es-US"/>
        </w:rPr>
        <w:t>e acuerdo con lo señalado y de conformidad con lo dispuesto en el artículo 51.3 de la Convención Americana, la Comisión Interamericana de Derechos Humanos decide publicar este informe e incluirlo en su Informe Anual a la Asamblea General de la Organización de Estados Americanos. La Comisión Interamericana, de acuerdo con las normas establecidas en los instrumentos que regulan su mandato, continuará evaluando que el Estado de Argentina repare integralmente a la</w:t>
      </w:r>
      <w:r w:rsidR="008E609B" w:rsidRPr="00D71793">
        <w:rPr>
          <w:rFonts w:asciiTheme="minorHAnsi" w:hAnsiTheme="minorHAnsi"/>
          <w:lang w:val="es-US"/>
        </w:rPr>
        <w:t>s</w:t>
      </w:r>
      <w:r w:rsidRPr="00D71793">
        <w:rPr>
          <w:rFonts w:asciiTheme="minorHAnsi" w:hAnsiTheme="minorHAnsi"/>
          <w:lang w:val="es-US"/>
        </w:rPr>
        <w:t xml:space="preserve"> víctima</w:t>
      </w:r>
      <w:r w:rsidR="008E609B" w:rsidRPr="00D71793">
        <w:rPr>
          <w:rFonts w:asciiTheme="minorHAnsi" w:hAnsiTheme="minorHAnsi"/>
          <w:lang w:val="es-US"/>
        </w:rPr>
        <w:t>s</w:t>
      </w:r>
      <w:r w:rsidRPr="00D71793">
        <w:rPr>
          <w:rFonts w:asciiTheme="minorHAnsi" w:hAnsiTheme="minorHAnsi"/>
          <w:lang w:val="es-US"/>
        </w:rPr>
        <w:t xml:space="preserve"> de acuerdo con lo establecido en la</w:t>
      </w:r>
      <w:r w:rsidR="00C11F9E" w:rsidRPr="00D71793">
        <w:rPr>
          <w:rFonts w:asciiTheme="minorHAnsi" w:hAnsiTheme="minorHAnsi"/>
          <w:lang w:val="es-US"/>
        </w:rPr>
        <w:t>s</w:t>
      </w:r>
      <w:r w:rsidRPr="00D71793">
        <w:rPr>
          <w:rFonts w:asciiTheme="minorHAnsi" w:hAnsiTheme="minorHAnsi"/>
          <w:lang w:val="es-US"/>
        </w:rPr>
        <w:t xml:space="preserve"> recomendaci</w:t>
      </w:r>
      <w:r w:rsidR="007E4DF2" w:rsidRPr="00D71793">
        <w:rPr>
          <w:rFonts w:asciiTheme="minorHAnsi" w:hAnsiTheme="minorHAnsi"/>
          <w:lang w:val="es-US"/>
        </w:rPr>
        <w:t>ones</w:t>
      </w:r>
      <w:r w:rsidRPr="00D71793">
        <w:rPr>
          <w:rFonts w:asciiTheme="minorHAnsi" w:hAnsiTheme="minorHAnsi"/>
          <w:lang w:val="es-US"/>
        </w:rPr>
        <w:t xml:space="preserve"> arriba señalada</w:t>
      </w:r>
      <w:r w:rsidR="005B06A5" w:rsidRPr="00D71793">
        <w:rPr>
          <w:rFonts w:asciiTheme="minorHAnsi" w:hAnsiTheme="minorHAnsi"/>
          <w:lang w:val="es-US"/>
        </w:rPr>
        <w:t>s</w:t>
      </w:r>
      <w:r w:rsidRPr="00D71793">
        <w:rPr>
          <w:rFonts w:asciiTheme="minorHAnsi" w:hAnsiTheme="minorHAnsi"/>
          <w:lang w:val="es-US"/>
        </w:rPr>
        <w:t>, hasta que determine que se le</w:t>
      </w:r>
      <w:r w:rsidR="00FE4D6B" w:rsidRPr="00D71793">
        <w:rPr>
          <w:rFonts w:asciiTheme="minorHAnsi" w:hAnsiTheme="minorHAnsi"/>
          <w:lang w:val="es-US"/>
        </w:rPr>
        <w:t>s</w:t>
      </w:r>
      <w:r w:rsidRPr="00D71793">
        <w:rPr>
          <w:rFonts w:asciiTheme="minorHAnsi" w:hAnsiTheme="minorHAnsi"/>
          <w:lang w:val="es-US"/>
        </w:rPr>
        <w:t xml:space="preserve"> ha dado un total cumplimiento.</w:t>
      </w:r>
    </w:p>
    <w:p w14:paraId="6B7C834E" w14:textId="77777777" w:rsidR="00D94B78" w:rsidRDefault="00D94B78" w:rsidP="00350518">
      <w:pPr>
        <w:pStyle w:val="parrafos"/>
        <w:tabs>
          <w:tab w:val="left" w:pos="0"/>
          <w:tab w:val="left" w:pos="426"/>
          <w:tab w:val="left" w:pos="709"/>
        </w:tabs>
        <w:rPr>
          <w:lang w:val="es-ES_tradnl"/>
        </w:rPr>
      </w:pPr>
    </w:p>
    <w:p w14:paraId="0CC5E257" w14:textId="02801EB8" w:rsidR="00566B15" w:rsidRPr="00566B15" w:rsidRDefault="00566B15" w:rsidP="00350518">
      <w:pPr>
        <w:pBdr>
          <w:top w:val="nil"/>
          <w:left w:val="nil"/>
          <w:bottom w:val="nil"/>
          <w:right w:val="nil"/>
          <w:between w:val="nil"/>
          <w:bar w:val="nil"/>
        </w:pBdr>
        <w:spacing w:after="0" w:line="240" w:lineRule="auto"/>
        <w:ind w:firstLine="708"/>
        <w:jc w:val="both"/>
        <w:rPr>
          <w:rFonts w:ascii="Cambria" w:eastAsia="Arial Unicode MS" w:hAnsi="Cambria"/>
          <w:color w:val="000000"/>
          <w:sz w:val="20"/>
          <w:szCs w:val="20"/>
          <w:bdr w:val="nil"/>
          <w:lang w:val="es-VE"/>
        </w:rPr>
      </w:pPr>
      <w:r w:rsidRPr="00566B15">
        <w:rPr>
          <w:rFonts w:ascii="Cambria" w:eastAsia="Arial Unicode MS" w:hAnsi="Cambria"/>
          <w:color w:val="000000"/>
          <w:sz w:val="20"/>
          <w:szCs w:val="20"/>
          <w:bdr w:val="nil"/>
          <w:lang w:val="es-VE"/>
        </w:rPr>
        <w:t>Aprobado por la Comisión Interamericana de Derechos Humanos a los 1</w:t>
      </w:r>
      <w:r>
        <w:rPr>
          <w:rFonts w:ascii="Cambria" w:eastAsia="Arial Unicode MS" w:hAnsi="Cambria"/>
          <w:color w:val="000000"/>
          <w:sz w:val="20"/>
          <w:szCs w:val="20"/>
          <w:bdr w:val="nil"/>
          <w:lang w:val="es-VE"/>
        </w:rPr>
        <w:t>4</w:t>
      </w:r>
      <w:r w:rsidRPr="00566B15">
        <w:rPr>
          <w:rFonts w:ascii="Cambria" w:eastAsia="Arial Unicode MS" w:hAnsi="Cambria"/>
          <w:color w:val="000000"/>
          <w:sz w:val="20"/>
          <w:szCs w:val="20"/>
          <w:bdr w:val="nil"/>
          <w:lang w:val="es-VE"/>
        </w:rPr>
        <w:t xml:space="preserve"> días del mes de julio de 2025. (Firmado): José Luis Caballero Ochoa, Presidente, Arif Bulkan, Segundo Vicepresidente, Roberta Clarke; Carlos Bernal Pulido y Edgar Stuardo Ralón Orellana, Miembros de la Comisión.</w:t>
      </w:r>
    </w:p>
    <w:p w14:paraId="1E88ED7D" w14:textId="77777777" w:rsidR="00566B15" w:rsidRPr="00566B15" w:rsidRDefault="00566B15" w:rsidP="00350518">
      <w:pPr>
        <w:pBdr>
          <w:top w:val="nil"/>
          <w:left w:val="nil"/>
          <w:bottom w:val="nil"/>
          <w:right w:val="nil"/>
          <w:between w:val="nil"/>
          <w:bar w:val="nil"/>
        </w:pBdr>
        <w:spacing w:after="0" w:line="240" w:lineRule="auto"/>
        <w:jc w:val="both"/>
        <w:rPr>
          <w:rFonts w:ascii="Cambria" w:eastAsia="Arial Unicode MS" w:hAnsi="Cambria"/>
          <w:color w:val="000000"/>
          <w:sz w:val="20"/>
          <w:szCs w:val="20"/>
          <w:bdr w:val="nil"/>
          <w:lang w:val="es-VE"/>
        </w:rPr>
      </w:pPr>
    </w:p>
    <w:p w14:paraId="5E25B9F2" w14:textId="77777777" w:rsidR="00350518" w:rsidRPr="00181C9B" w:rsidRDefault="00350518" w:rsidP="00350518">
      <w:pPr>
        <w:spacing w:after="0" w:line="240" w:lineRule="auto"/>
        <w:rPr>
          <w:lang w:val="es-VE"/>
        </w:rPr>
      </w:pPr>
    </w:p>
    <w:sectPr w:rsidR="00350518" w:rsidRPr="00181C9B" w:rsidSect="00696341">
      <w:pgSz w:w="12240" w:h="15840"/>
      <w:pgMar w:top="1440" w:right="153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EE27A" w14:textId="77777777" w:rsidR="00EC487F" w:rsidRPr="001D3E10" w:rsidRDefault="00EC487F" w:rsidP="007374FF">
      <w:pPr>
        <w:spacing w:after="0" w:line="240" w:lineRule="auto"/>
      </w:pPr>
      <w:r w:rsidRPr="001D3E10">
        <w:separator/>
      </w:r>
    </w:p>
  </w:endnote>
  <w:endnote w:type="continuationSeparator" w:id="0">
    <w:p w14:paraId="112F8461" w14:textId="77777777" w:rsidR="00EC487F" w:rsidRPr="001D3E10" w:rsidRDefault="00EC487F" w:rsidP="007374FF">
      <w:pPr>
        <w:spacing w:after="0" w:line="240" w:lineRule="auto"/>
      </w:pPr>
      <w:r w:rsidRPr="001D3E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A7B9" w14:textId="5403FB60" w:rsidR="00CB7C3D" w:rsidRPr="001D3E10" w:rsidRDefault="00CB7C3D">
    <w:pPr>
      <w:pStyle w:val="Footer"/>
      <w:jc w:val="center"/>
      <w:rPr>
        <w:sz w:val="16"/>
        <w:szCs w:val="22"/>
        <w:lang w:val="es-AR"/>
      </w:rPr>
    </w:pPr>
    <w:r w:rsidRPr="001D3E10">
      <w:rPr>
        <w:sz w:val="16"/>
        <w:szCs w:val="22"/>
        <w:lang w:val="es-AR"/>
      </w:rPr>
      <w:fldChar w:fldCharType="begin"/>
    </w:r>
    <w:r w:rsidRPr="001D3E10">
      <w:rPr>
        <w:sz w:val="16"/>
        <w:szCs w:val="22"/>
        <w:lang w:val="es-AR"/>
      </w:rPr>
      <w:instrText xml:space="preserve"> PAGE   \* MERGEFORMAT </w:instrText>
    </w:r>
    <w:r w:rsidRPr="001D3E10">
      <w:rPr>
        <w:sz w:val="16"/>
        <w:szCs w:val="22"/>
        <w:lang w:val="es-AR"/>
      </w:rPr>
      <w:fldChar w:fldCharType="separate"/>
    </w:r>
    <w:r w:rsidR="00135C00" w:rsidRPr="001D3E10">
      <w:rPr>
        <w:sz w:val="16"/>
        <w:szCs w:val="22"/>
        <w:lang w:val="es-AR"/>
      </w:rPr>
      <w:t>16</w:t>
    </w:r>
    <w:r w:rsidRPr="001D3E10">
      <w:rPr>
        <w:sz w:val="16"/>
        <w:szCs w:val="22"/>
        <w:lang w:val="es-AR"/>
      </w:rPr>
      <w:fldChar w:fldCharType="end"/>
    </w:r>
  </w:p>
  <w:p w14:paraId="6BFC48D5" w14:textId="77777777" w:rsidR="00CB7C3D" w:rsidRPr="001D3E10" w:rsidRDefault="00CB7C3D">
    <w:pPr>
      <w:pStyle w:val="Footer"/>
      <w:rPr>
        <w:lang w:val="es-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B0B3" w14:textId="77777777" w:rsidR="00CB7C3D" w:rsidRPr="001D3E10" w:rsidRDefault="00CB7C3D">
    <w:pPr>
      <w:pStyle w:val="Footer"/>
      <w:jc w:val="center"/>
      <w:rPr>
        <w:sz w:val="16"/>
        <w:szCs w:val="22"/>
        <w:lang w:val="es-AR"/>
      </w:rPr>
    </w:pPr>
  </w:p>
  <w:p w14:paraId="116AAEC7" w14:textId="77777777" w:rsidR="00CB7C3D" w:rsidRPr="001D3E10" w:rsidRDefault="00CB7C3D">
    <w:pPr>
      <w:pStyle w:val="Footer"/>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782D" w14:textId="77777777" w:rsidR="00EC487F" w:rsidRPr="001D3E10" w:rsidRDefault="00EC487F" w:rsidP="007374FF">
      <w:pPr>
        <w:spacing w:after="0" w:line="240" w:lineRule="auto"/>
      </w:pPr>
      <w:r w:rsidRPr="001D3E10">
        <w:separator/>
      </w:r>
    </w:p>
  </w:footnote>
  <w:footnote w:type="continuationSeparator" w:id="0">
    <w:p w14:paraId="62F1CA72" w14:textId="77777777" w:rsidR="00EC487F" w:rsidRPr="001D3E10" w:rsidRDefault="00EC487F" w:rsidP="007374FF">
      <w:pPr>
        <w:spacing w:after="0" w:line="240" w:lineRule="auto"/>
      </w:pPr>
      <w:r w:rsidRPr="001D3E10">
        <w:continuationSeparator/>
      </w:r>
    </w:p>
  </w:footnote>
  <w:footnote w:id="1">
    <w:p w14:paraId="41C0F3AB" w14:textId="77777777" w:rsidR="00573BAE" w:rsidRPr="00DB6A3A" w:rsidRDefault="00573BAE" w:rsidP="00573BAE">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US"/>
        </w:rPr>
        <w:t xml:space="preserve"> </w:t>
      </w:r>
      <w:r w:rsidRPr="001708FB">
        <w:rPr>
          <w:rFonts w:ascii="Cambria" w:hAnsi="Cambria"/>
          <w:sz w:val="16"/>
          <w:szCs w:val="16"/>
          <w:lang w:val="es-CO"/>
        </w:rPr>
        <w:t xml:space="preserve">Conforme a lo dispuesto en el artículo 17.2 del Reglamento de la Comisión, la Comisionada </w:t>
      </w:r>
      <w:bookmarkStart w:id="7" w:name="LuisVargas"/>
      <w:bookmarkEnd w:id="7"/>
      <w:r w:rsidRPr="001708FB">
        <w:rPr>
          <w:rFonts w:ascii="Cambria" w:hAnsi="Cambria"/>
          <w:sz w:val="16"/>
          <w:szCs w:val="16"/>
          <w:lang w:val="es-CO"/>
        </w:rPr>
        <w:t xml:space="preserve">Andrea </w:t>
      </w:r>
      <w:r w:rsidRPr="001708FB">
        <w:rPr>
          <w:rFonts w:ascii="Cambria" w:hAnsi="Cambria"/>
          <w:bCs/>
          <w:sz w:val="16"/>
          <w:szCs w:val="16"/>
          <w:lang w:val="es-MX"/>
        </w:rPr>
        <w:t>Pochak</w:t>
      </w:r>
      <w:r w:rsidRPr="001708FB">
        <w:rPr>
          <w:rFonts w:ascii="Cambria" w:hAnsi="Cambria"/>
          <w:sz w:val="16"/>
          <w:szCs w:val="16"/>
          <w:lang w:val="es-CO"/>
        </w:rPr>
        <w:t xml:space="preserve">, de nacionalidad </w:t>
      </w:r>
      <w:r w:rsidRPr="001708FB">
        <w:rPr>
          <w:rFonts w:ascii="Cambria" w:hAnsi="Cambria"/>
          <w:sz w:val="16"/>
          <w:szCs w:val="16"/>
          <w:lang w:val="es-MX"/>
        </w:rPr>
        <w:t>argentina, no participó en el debate ni en la decisión del presente caso.</w:t>
      </w:r>
      <w:r w:rsidRPr="00DB6A3A">
        <w:rPr>
          <w:rFonts w:ascii="Cambria" w:hAnsi="Cambria"/>
          <w:sz w:val="16"/>
          <w:szCs w:val="16"/>
          <w:lang w:val="es-MX"/>
        </w:rPr>
        <w:t xml:space="preserve"> </w:t>
      </w:r>
    </w:p>
  </w:footnote>
  <w:footnote w:id="2">
    <w:p w14:paraId="75E35682" w14:textId="77777777" w:rsidR="00CB7C3D" w:rsidRPr="001D3E10" w:rsidRDefault="00CB7C3D" w:rsidP="00DB4B16">
      <w:pPr>
        <w:pStyle w:val="FootnoteText"/>
        <w:jc w:val="both"/>
        <w:rPr>
          <w:rFonts w:asciiTheme="minorHAnsi" w:hAnsiTheme="minorHAnsi"/>
          <w:sz w:val="16"/>
          <w:szCs w:val="16"/>
          <w:lang w:val="es-AR"/>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CIDH, Informe No. 44/09, Petición 12.161, Inadmisibilidad, Ciro Abadías Bodero Arellano, Perú, 27 de marzo de 2009, párr.28; ver también CIDH Informe 90/90, Caso 9893, Uruguay, párr. 22. </w:t>
      </w:r>
    </w:p>
  </w:footnote>
  <w:footnote w:id="3">
    <w:p w14:paraId="2D7ABC47" w14:textId="77777777" w:rsidR="00CB7C3D" w:rsidRPr="001D3E10" w:rsidRDefault="00CB7C3D" w:rsidP="00DB4B16">
      <w:pPr>
        <w:pStyle w:val="FootnoteText"/>
        <w:jc w:val="both"/>
        <w:rPr>
          <w:rFonts w:asciiTheme="minorHAnsi" w:hAnsiTheme="minorHAnsi"/>
          <w:sz w:val="16"/>
          <w:szCs w:val="16"/>
          <w:lang w:val="es-AR"/>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Corte IDH, Excepciones al agotamiento de los recursos internos (Art. 46.1, 46.2.a y 46.2.b Convención Americana sobre Derechos Humanos), solicitada por la Comisión Interamericana de Derechos Humanos, párr.41.</w:t>
      </w:r>
    </w:p>
  </w:footnote>
  <w:footnote w:id="4">
    <w:p w14:paraId="3C8470BF" w14:textId="33F65842" w:rsidR="00CB7C3D" w:rsidRPr="001D3E10" w:rsidRDefault="00CB7C3D" w:rsidP="00DB4B16">
      <w:pPr>
        <w:pStyle w:val="NoSpacing"/>
        <w:jc w:val="both"/>
        <w:rPr>
          <w:rFonts w:asciiTheme="minorHAnsi" w:hAnsiTheme="minorHAnsi" w:cs="Verdana"/>
          <w:sz w:val="16"/>
          <w:szCs w:val="16"/>
          <w:lang w:val="es-AR" w:bidi="en-US"/>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w:t>
      </w:r>
      <w:r w:rsidRPr="001D3E10">
        <w:rPr>
          <w:rFonts w:asciiTheme="minorHAnsi" w:hAnsiTheme="minorHAnsi" w:cs="Verdana"/>
          <w:sz w:val="16"/>
          <w:szCs w:val="16"/>
          <w:lang w:val="es-AR" w:bidi="en-US"/>
        </w:rPr>
        <w:t xml:space="preserve">CIDH, Informe Nº 20/05, Petición 714/00 (“Rafael Correa Díaz”), 25 de febrero de 2005, Perú, párr. 32; CIDH., Informe Nº 25/04, Caso 12.361 (“Ana Victoria Sánchez Villalobos y otros"), 11 de marzo de 2004, Costa Rica, párr. 45; CIDH, Informe Nº 52/00. Casos 11.830 y 12.038. (Trabajadores cesados del Congreso de la República), 15 de junio de 2001, Perú. Párr. 21, Informe Nº 2/08, Petición 506/05 (“José Rodríguez Dañin”, 6 de marzo de 2008, Párr. 56. </w:t>
      </w:r>
    </w:p>
  </w:footnote>
  <w:footnote w:id="5">
    <w:p w14:paraId="14108691" w14:textId="50715B14" w:rsidR="00CB7C3D" w:rsidRPr="001D3E10" w:rsidRDefault="00CB7C3D" w:rsidP="00DB4B16">
      <w:pPr>
        <w:pStyle w:val="FootnoteText"/>
        <w:jc w:val="both"/>
        <w:rPr>
          <w:lang w:val="es-AR"/>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CIDH, Informe No. 46/15, Petición 315-01. Cristina Britez Arce. Argentina. 28 de julio de 2015, párr. 47.</w:t>
      </w:r>
    </w:p>
  </w:footnote>
  <w:footnote w:id="6">
    <w:p w14:paraId="5E24A688" w14:textId="11AEB8CE" w:rsidR="00CB7C3D" w:rsidRPr="001D3E10" w:rsidRDefault="00CB7C3D" w:rsidP="00DB4B16">
      <w:pPr>
        <w:pStyle w:val="FootnoteText"/>
        <w:jc w:val="both"/>
        <w:rPr>
          <w:rFonts w:asciiTheme="minorHAnsi" w:hAnsiTheme="minorHAnsi"/>
          <w:sz w:val="16"/>
          <w:szCs w:val="16"/>
          <w:lang w:val="es-AR"/>
        </w:rPr>
      </w:pPr>
      <w:r w:rsidRPr="001D3E10">
        <w:rPr>
          <w:rStyle w:val="FootnoteReference"/>
          <w:rFonts w:asciiTheme="minorHAnsi" w:hAnsiTheme="minorHAnsi"/>
          <w:sz w:val="16"/>
          <w:szCs w:val="16"/>
          <w:lang w:val="es-AR"/>
        </w:rPr>
        <w:footnoteRef/>
      </w:r>
      <w:r w:rsidR="002C363B" w:rsidRPr="001D3E10">
        <w:rPr>
          <w:rFonts w:asciiTheme="minorHAnsi" w:hAnsiTheme="minorHAnsi"/>
          <w:sz w:val="16"/>
          <w:szCs w:val="16"/>
          <w:lang w:val="es-AR"/>
        </w:rPr>
        <w:t xml:space="preserve"> Anexo 1</w:t>
      </w:r>
      <w:r w:rsidRPr="001D3E10">
        <w:rPr>
          <w:rFonts w:asciiTheme="minorHAnsi" w:hAnsiTheme="minorHAnsi"/>
          <w:sz w:val="16"/>
          <w:szCs w:val="16"/>
          <w:lang w:val="es-AR"/>
        </w:rPr>
        <w:t>. Poder Judicial de la Nación. CAJA MUTUAL YATAY 240 SOC. COOP. DE CRED.LTDA. S/ QUIEBRA C/ FINKELBERG ABRAHAM Y OTROS (ACCION DE RESP. PATRIMONIAL) S/ ORDINARIO. 39248. Anexo 3 al escrito del Estado del 3 de mayo de 2013.</w:t>
      </w:r>
    </w:p>
  </w:footnote>
  <w:footnote w:id="7">
    <w:p w14:paraId="4D92CF3B" w14:textId="3D824683" w:rsidR="00CB7C3D" w:rsidRPr="001D3E10" w:rsidRDefault="00CB7C3D" w:rsidP="00DB4B16">
      <w:pPr>
        <w:pStyle w:val="FootnoteText"/>
        <w:jc w:val="both"/>
        <w:rPr>
          <w:lang w:val="es-AR"/>
        </w:rPr>
      </w:pPr>
      <w:r w:rsidRPr="001D3E10">
        <w:rPr>
          <w:rStyle w:val="FootnoteReference"/>
          <w:rFonts w:asciiTheme="minorHAnsi" w:hAnsiTheme="minorHAnsi"/>
          <w:sz w:val="16"/>
          <w:szCs w:val="16"/>
          <w:lang w:val="es-AR"/>
        </w:rPr>
        <w:footnoteRef/>
      </w:r>
      <w:r w:rsidR="002C363B" w:rsidRPr="001D3E10">
        <w:rPr>
          <w:rFonts w:asciiTheme="minorHAnsi" w:hAnsiTheme="minorHAnsi"/>
          <w:sz w:val="16"/>
          <w:szCs w:val="16"/>
          <w:lang w:val="es-AR"/>
        </w:rPr>
        <w:t xml:space="preserve"> Anexo 1</w:t>
      </w:r>
      <w:r w:rsidRPr="001D3E10">
        <w:rPr>
          <w:rFonts w:asciiTheme="minorHAnsi" w:hAnsiTheme="minorHAnsi"/>
          <w:sz w:val="16"/>
          <w:szCs w:val="16"/>
          <w:lang w:val="es-AR"/>
        </w:rPr>
        <w:t>. Poder Judicial de la Nación. CAJA MUTUAL YATAY 240 SOC. COOP. DE CRED.LTDA. S/ QUIEBRA C/ FINKELBERG ABRAHAM Y OTROS (ACCION DE RESP. PATRIMONIAL) S/ ORDINARIO. 39248. Sentencia de primera instancia del 23 de diciembre de 2003. Anexo 3 al escrito del Estado del 3 de mayo de 2013.</w:t>
      </w:r>
    </w:p>
  </w:footnote>
  <w:footnote w:id="8">
    <w:p w14:paraId="1424FB34" w14:textId="2617A892" w:rsidR="00CB7C3D" w:rsidRPr="001D3E10" w:rsidRDefault="00CB7C3D" w:rsidP="00DB4B16">
      <w:pPr>
        <w:pStyle w:val="FootnoteText"/>
        <w:jc w:val="both"/>
        <w:rPr>
          <w:rFonts w:asciiTheme="minorHAnsi" w:hAnsiTheme="minorHAnsi"/>
          <w:sz w:val="16"/>
          <w:szCs w:val="16"/>
          <w:lang w:val="es-AR"/>
        </w:rPr>
      </w:pPr>
      <w:r w:rsidRPr="001D3E10">
        <w:rPr>
          <w:rStyle w:val="FootnoteReference"/>
          <w:rFonts w:asciiTheme="minorHAnsi" w:hAnsiTheme="minorHAnsi"/>
          <w:sz w:val="16"/>
          <w:szCs w:val="16"/>
          <w:lang w:val="es-AR"/>
        </w:rPr>
        <w:footnoteRef/>
      </w:r>
      <w:r w:rsidR="002C363B" w:rsidRPr="001D3E10">
        <w:rPr>
          <w:rFonts w:asciiTheme="minorHAnsi" w:hAnsiTheme="minorHAnsi"/>
          <w:sz w:val="16"/>
          <w:szCs w:val="16"/>
          <w:lang w:val="es-AR"/>
        </w:rPr>
        <w:t xml:space="preserve"> Anexo 1</w:t>
      </w:r>
      <w:r w:rsidRPr="001D3E10">
        <w:rPr>
          <w:rFonts w:asciiTheme="minorHAnsi" w:hAnsiTheme="minorHAnsi"/>
          <w:sz w:val="16"/>
          <w:szCs w:val="16"/>
          <w:lang w:val="es-AR"/>
        </w:rPr>
        <w:t>. Poder Judicial de la Nación. CAJA MUTUAL YATAY 240 SOC. COOP. DE CRED.LTDA. S/ QUIEBRA C/ FINKELBERG ABRAHAM Y OTROS (ACCION DE RESP. PATRIMONIAL) S/ ORDINARIO. 39248. Sentencia de primera instancia del 23 de diciembre de 2003. Anexo 3 al escrito del Estado del 3 de mayo de 2013.</w:t>
      </w:r>
    </w:p>
  </w:footnote>
  <w:footnote w:id="9">
    <w:p w14:paraId="69C5BB87" w14:textId="6E7E0534" w:rsidR="00CB7C3D" w:rsidRPr="001D3E10" w:rsidRDefault="00CB7C3D" w:rsidP="00DB4B16">
      <w:pPr>
        <w:pStyle w:val="FootnoteText"/>
        <w:jc w:val="both"/>
        <w:rPr>
          <w:rFonts w:asciiTheme="minorHAnsi" w:hAnsiTheme="minorHAnsi"/>
          <w:sz w:val="16"/>
          <w:szCs w:val="16"/>
          <w:lang w:val="es-AR"/>
        </w:rPr>
      </w:pPr>
      <w:r w:rsidRPr="001D3E10">
        <w:rPr>
          <w:rStyle w:val="FootnoteReference"/>
          <w:rFonts w:asciiTheme="minorHAnsi" w:hAnsiTheme="minorHAnsi"/>
          <w:sz w:val="16"/>
          <w:szCs w:val="16"/>
          <w:lang w:val="es-AR"/>
        </w:rPr>
        <w:footnoteRef/>
      </w:r>
      <w:r w:rsidR="002C363B" w:rsidRPr="001D3E10">
        <w:rPr>
          <w:rFonts w:asciiTheme="minorHAnsi" w:hAnsiTheme="minorHAnsi"/>
          <w:sz w:val="16"/>
          <w:szCs w:val="16"/>
          <w:lang w:val="es-AR"/>
        </w:rPr>
        <w:t xml:space="preserve"> Anexo 1</w:t>
      </w:r>
      <w:r w:rsidRPr="001D3E10">
        <w:rPr>
          <w:rFonts w:asciiTheme="minorHAnsi" w:hAnsiTheme="minorHAnsi"/>
          <w:sz w:val="16"/>
          <w:szCs w:val="16"/>
          <w:lang w:val="es-AR"/>
        </w:rPr>
        <w:t>. Poder Judicial de la Nación. CAJA MUTUAL YATAY 240 SOC. COOP. DE CRED.LTDA. S/ QUIEBRA C/ FINKELBERG ABRAHAM Y OTROS (ACCION DE RESP. PATRIMONIAL) S/ ORDINARIO. 39248. Sentencia de primera instancia del 23 de diciembre de 2003. Anexo 3 al escrito del Estado del 3 de mayo de 2013.</w:t>
      </w:r>
    </w:p>
  </w:footnote>
  <w:footnote w:id="10">
    <w:p w14:paraId="42EFD3CA" w14:textId="6C75219D" w:rsidR="00CB7C3D" w:rsidRPr="001D3E10" w:rsidRDefault="00CB7C3D" w:rsidP="00DB4B16">
      <w:pPr>
        <w:pStyle w:val="FootnoteText"/>
        <w:jc w:val="both"/>
        <w:rPr>
          <w:lang w:val="es-AR"/>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w:t>
      </w:r>
      <w:r w:rsidR="002C363B" w:rsidRPr="001D3E10">
        <w:rPr>
          <w:rFonts w:asciiTheme="minorHAnsi" w:hAnsiTheme="minorHAnsi"/>
          <w:sz w:val="16"/>
          <w:szCs w:val="16"/>
          <w:lang w:val="es-AR"/>
        </w:rPr>
        <w:t>Anexo 1</w:t>
      </w:r>
      <w:r w:rsidRPr="001D3E10">
        <w:rPr>
          <w:rFonts w:asciiTheme="minorHAnsi" w:hAnsiTheme="minorHAnsi"/>
          <w:sz w:val="16"/>
          <w:szCs w:val="16"/>
          <w:lang w:val="es-AR"/>
        </w:rPr>
        <w:t>. Poder Judicial de la Nación. CAJA MUTUAL YATAY 240 SOC. COOP. DE CRED.LTDA. S/ QUIEBRA C/ FINKELBERG ABRAHAM Y OTROS (ACCION DE RESP. PATRIMONIAL) S/ ORDINARIO. 39248. Anexo 2 al escrito del Estado del 3 de mayo de 2013.</w:t>
      </w:r>
    </w:p>
  </w:footnote>
  <w:footnote w:id="11">
    <w:p w14:paraId="517038C9" w14:textId="0F9E2466" w:rsidR="00CB7C3D" w:rsidRPr="001D3E10" w:rsidRDefault="00CB7C3D" w:rsidP="00DB4B16">
      <w:pPr>
        <w:pStyle w:val="FootnoteText"/>
        <w:jc w:val="both"/>
        <w:rPr>
          <w:lang w:val="es-AR"/>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w:t>
      </w:r>
      <w:r w:rsidR="002C363B" w:rsidRPr="001D3E10">
        <w:rPr>
          <w:rFonts w:asciiTheme="minorHAnsi" w:hAnsiTheme="minorHAnsi"/>
          <w:sz w:val="16"/>
          <w:szCs w:val="16"/>
          <w:lang w:val="es-AR"/>
        </w:rPr>
        <w:t>Anexo 1</w:t>
      </w:r>
      <w:r w:rsidRPr="001D3E10">
        <w:rPr>
          <w:rFonts w:asciiTheme="minorHAnsi" w:hAnsiTheme="minorHAnsi"/>
          <w:sz w:val="16"/>
          <w:szCs w:val="16"/>
          <w:lang w:val="es-AR"/>
        </w:rPr>
        <w:t>. Poder Judicial de la Nación. CAJA MUTUAL YATAY 240 SOC. COOP. DE CRED.LTDA. S/ QUIEBRA C/ FINKELBERG ABRAHAM Y OTROS (ACCION DE RESP. PATRIMONIAL) S/ ORDINARIO. 39248. Anexo 2 al escrito del Estado del 3 de mayo de 2013.</w:t>
      </w:r>
    </w:p>
  </w:footnote>
  <w:footnote w:id="12">
    <w:p w14:paraId="6FCB3A09" w14:textId="202CE69F" w:rsidR="00CB7C3D" w:rsidRPr="001D3E10" w:rsidRDefault="00CB7C3D" w:rsidP="00DB4B16">
      <w:pPr>
        <w:pStyle w:val="FootnoteText"/>
        <w:jc w:val="both"/>
        <w:rPr>
          <w:lang w:val="es-AR"/>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w:t>
      </w:r>
      <w:r w:rsidR="002C363B" w:rsidRPr="001D3E10">
        <w:rPr>
          <w:rFonts w:asciiTheme="minorHAnsi" w:hAnsiTheme="minorHAnsi"/>
          <w:sz w:val="16"/>
          <w:szCs w:val="16"/>
          <w:lang w:val="es-AR"/>
        </w:rPr>
        <w:t>Anexo 1</w:t>
      </w:r>
      <w:r w:rsidRPr="001D3E10">
        <w:rPr>
          <w:rFonts w:asciiTheme="minorHAnsi" w:hAnsiTheme="minorHAnsi"/>
          <w:sz w:val="16"/>
          <w:szCs w:val="16"/>
          <w:lang w:val="es-AR"/>
        </w:rPr>
        <w:t>. Poder Judicial de la Nación. CAJA MUTUAL YATAY 240 SOC. COOP. DE CRED.LTDA. S/ QUIEBRA C/ FINKELBERG ABRAHAM Y OTROS (ACCION DE RESP. PATRIMONIAL) S/ ORDINARIO. 39248. Anexo 2 al escrito del Estado del 3 de mayo de 2013.</w:t>
      </w:r>
    </w:p>
  </w:footnote>
  <w:footnote w:id="13">
    <w:p w14:paraId="25A62173" w14:textId="32069EA3" w:rsidR="00CB7C3D" w:rsidRPr="001D3E10" w:rsidRDefault="00CB7C3D" w:rsidP="00DB4B16">
      <w:pPr>
        <w:pStyle w:val="FootnoteText"/>
        <w:jc w:val="both"/>
        <w:rPr>
          <w:lang w:val="es-AR"/>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w:t>
      </w:r>
      <w:r w:rsidR="002C363B" w:rsidRPr="001D3E10">
        <w:rPr>
          <w:rFonts w:asciiTheme="minorHAnsi" w:hAnsiTheme="minorHAnsi"/>
          <w:sz w:val="16"/>
          <w:szCs w:val="16"/>
          <w:lang w:val="es-AR"/>
        </w:rPr>
        <w:t>Anexo 1</w:t>
      </w:r>
      <w:r w:rsidRPr="001D3E10">
        <w:rPr>
          <w:rFonts w:asciiTheme="minorHAnsi" w:hAnsiTheme="minorHAnsi"/>
          <w:sz w:val="16"/>
          <w:szCs w:val="16"/>
          <w:lang w:val="es-AR"/>
        </w:rPr>
        <w:t>. Poder Judicial de la Nación. CAJA MUTUAL YATAY 240 SOC. COOP. DE CRED.LTDA. S/ QUIEBRA C/ FINKELBERG ABRAHAM Y OTROS (ACCION DE RESP. PATRIMONIAL) S/ ORDINARIO. 39248. Anexo 2 al escrito del Estado del 3 de mayo de 2013.</w:t>
      </w:r>
    </w:p>
  </w:footnote>
  <w:footnote w:id="14">
    <w:p w14:paraId="0A952A0F" w14:textId="1D3743E0" w:rsidR="00CB7C3D" w:rsidRPr="001D3E10" w:rsidRDefault="00CB7C3D" w:rsidP="00DB4B16">
      <w:pPr>
        <w:pStyle w:val="FootnoteText"/>
        <w:jc w:val="both"/>
        <w:rPr>
          <w:lang w:val="es-AR"/>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w:t>
      </w:r>
      <w:r w:rsidR="002C363B" w:rsidRPr="001D3E10">
        <w:rPr>
          <w:rFonts w:asciiTheme="minorHAnsi" w:hAnsiTheme="minorHAnsi"/>
          <w:sz w:val="16"/>
          <w:szCs w:val="16"/>
          <w:lang w:val="es-AR"/>
        </w:rPr>
        <w:t>Anexo 1</w:t>
      </w:r>
      <w:r w:rsidRPr="001D3E10">
        <w:rPr>
          <w:rFonts w:asciiTheme="minorHAnsi" w:hAnsiTheme="minorHAnsi"/>
          <w:sz w:val="16"/>
          <w:szCs w:val="16"/>
          <w:lang w:val="es-AR"/>
        </w:rPr>
        <w:t>. Poder Judicial de la Nación. CAJA MUTUAL YATAY 240 SOC. COOP. DE CRED.LTDA. S/ QUIEBRA C/ FINKELBERG ABRAHAM Y OTROS (ACCION DE RESP. PATRIMONIAL) S/ ORDINARIO. 39248. Anexo 2 al escrito del Estado del 3 de mayo de 2013.</w:t>
      </w:r>
    </w:p>
  </w:footnote>
  <w:footnote w:id="15">
    <w:p w14:paraId="5D0290AA" w14:textId="3CFDBC75" w:rsidR="00CB7C3D" w:rsidRPr="001D3E10" w:rsidRDefault="00CB7C3D" w:rsidP="00DB4B16">
      <w:pPr>
        <w:pStyle w:val="FootnoteText"/>
        <w:jc w:val="both"/>
        <w:rPr>
          <w:lang w:val="es-AR"/>
        </w:rPr>
      </w:pPr>
      <w:r w:rsidRPr="001D3E10">
        <w:rPr>
          <w:rStyle w:val="FootnoteReference"/>
          <w:rFonts w:ascii="Cambria" w:hAnsi="Cambria"/>
          <w:sz w:val="16"/>
          <w:szCs w:val="16"/>
          <w:lang w:val="es-AR"/>
        </w:rPr>
        <w:footnoteRef/>
      </w:r>
      <w:r w:rsidR="002C363B" w:rsidRPr="001D3E10">
        <w:rPr>
          <w:rFonts w:ascii="Cambria" w:hAnsi="Cambria"/>
          <w:sz w:val="16"/>
          <w:szCs w:val="16"/>
          <w:lang w:val="es-AR"/>
        </w:rPr>
        <w:t xml:space="preserve"> Anexo 1</w:t>
      </w:r>
      <w:r w:rsidRPr="001D3E10">
        <w:rPr>
          <w:rFonts w:ascii="Cambria" w:hAnsi="Cambria"/>
          <w:sz w:val="16"/>
          <w:szCs w:val="16"/>
          <w:lang w:val="es-AR"/>
        </w:rPr>
        <w:t>. Poder Judicial de la Nación. CAJA MUTUAL YATAY 240 SOC. COOP. DE CRED.LTDA. S/ QUIEBRA C/ FINKELBERG ABRAHAM Y OTROS (ACCION DE RESP. PATRIMONIAL) S/ ORDINARIO. 39248. Sentencia de primera instancia del 23 de diciembre de 2003. Anexo 3 al escrito del Estado del 3 de mayo de 2013.</w:t>
      </w:r>
    </w:p>
  </w:footnote>
  <w:footnote w:id="16">
    <w:p w14:paraId="4674A372" w14:textId="1A43F82F" w:rsidR="00CB7C3D" w:rsidRPr="001D3E10" w:rsidRDefault="00CB7C3D" w:rsidP="007A1D1E">
      <w:pPr>
        <w:pStyle w:val="FootnoteText"/>
        <w:jc w:val="both"/>
        <w:rPr>
          <w:rFonts w:asciiTheme="minorHAnsi" w:hAnsiTheme="minorHAnsi"/>
          <w:sz w:val="16"/>
          <w:szCs w:val="16"/>
          <w:lang w:val="es-AR"/>
        </w:rPr>
      </w:pPr>
      <w:r w:rsidRPr="001D3E10">
        <w:rPr>
          <w:rStyle w:val="FootnoteReference"/>
          <w:rFonts w:asciiTheme="minorHAnsi" w:hAnsiTheme="minorHAnsi"/>
          <w:sz w:val="16"/>
          <w:szCs w:val="16"/>
          <w:lang w:val="es-AR"/>
        </w:rPr>
        <w:footnoteRef/>
      </w:r>
      <w:r w:rsidR="002C363B" w:rsidRPr="001D3E10">
        <w:rPr>
          <w:rFonts w:asciiTheme="minorHAnsi" w:hAnsiTheme="minorHAnsi"/>
          <w:sz w:val="16"/>
          <w:szCs w:val="16"/>
          <w:lang w:val="es-AR"/>
        </w:rPr>
        <w:t xml:space="preserve"> Anexo 1</w:t>
      </w:r>
      <w:r w:rsidRPr="001D3E10">
        <w:rPr>
          <w:rFonts w:asciiTheme="minorHAnsi" w:hAnsiTheme="minorHAnsi"/>
          <w:sz w:val="16"/>
          <w:szCs w:val="16"/>
          <w:lang w:val="es-AR"/>
        </w:rPr>
        <w:t>. Poder Judicial de la Nación. CAJA MUTUAL YATAY 240 SOC. COOP. DE CRED.LTDA. S/ QUIEBRA C/ FINKELBERG ABRAHAM Y OTROS (ACCION DE RESP. PATRIMONIAL) S/ ORDINARIO. 39248. Sentencia de primera instancia del 23 de diciembre de 2003. Anexo 3 al escrito del Estado del 3 de mayo de 2013.</w:t>
      </w:r>
    </w:p>
  </w:footnote>
  <w:footnote w:id="17">
    <w:p w14:paraId="03AF3684" w14:textId="4FC374D0" w:rsidR="00CB7C3D" w:rsidRPr="001D3E10" w:rsidRDefault="00CB7C3D" w:rsidP="007A1D1E">
      <w:pPr>
        <w:pStyle w:val="FootnoteText"/>
        <w:jc w:val="both"/>
        <w:rPr>
          <w:rFonts w:asciiTheme="minorHAnsi" w:hAnsiTheme="minorHAnsi"/>
          <w:sz w:val="16"/>
          <w:szCs w:val="16"/>
          <w:lang w:val="es-AR"/>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w:t>
      </w:r>
      <w:r w:rsidR="002C363B" w:rsidRPr="001D3E10">
        <w:rPr>
          <w:rFonts w:asciiTheme="minorHAnsi" w:hAnsiTheme="minorHAnsi"/>
          <w:sz w:val="16"/>
          <w:szCs w:val="16"/>
          <w:lang w:val="es-AR"/>
        </w:rPr>
        <w:t>Anexo 2</w:t>
      </w:r>
      <w:r w:rsidRPr="001D3E10">
        <w:rPr>
          <w:rFonts w:asciiTheme="minorHAnsi" w:hAnsiTheme="minorHAnsi"/>
          <w:sz w:val="16"/>
          <w:szCs w:val="16"/>
          <w:lang w:val="es-AR"/>
        </w:rPr>
        <w:t>. Apelación de sentencia. Ordinario del 1 de marzo de 2004. Anexo 2 al escrito de los peticionarios del 30 de julio de 2009.</w:t>
      </w:r>
    </w:p>
  </w:footnote>
  <w:footnote w:id="18">
    <w:p w14:paraId="668A7A04" w14:textId="7FBABC0E" w:rsidR="00CB7C3D" w:rsidRPr="001D3E10" w:rsidRDefault="00CB7C3D" w:rsidP="007A1D1E">
      <w:pPr>
        <w:pStyle w:val="FootnoteText"/>
        <w:jc w:val="both"/>
        <w:rPr>
          <w:rFonts w:asciiTheme="minorHAnsi" w:hAnsiTheme="minorHAnsi"/>
          <w:sz w:val="16"/>
          <w:szCs w:val="16"/>
          <w:lang w:val="es-AR"/>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w:t>
      </w:r>
      <w:r w:rsidR="002C363B" w:rsidRPr="001D3E10">
        <w:rPr>
          <w:rFonts w:asciiTheme="minorHAnsi" w:hAnsiTheme="minorHAnsi"/>
          <w:sz w:val="16"/>
          <w:szCs w:val="16"/>
          <w:lang w:val="es-AR"/>
        </w:rPr>
        <w:t>Anexo 3</w:t>
      </w:r>
      <w:r w:rsidRPr="001D3E10">
        <w:rPr>
          <w:rFonts w:asciiTheme="minorHAnsi" w:hAnsiTheme="minorHAnsi"/>
          <w:sz w:val="16"/>
          <w:szCs w:val="16"/>
          <w:lang w:val="es-AR"/>
        </w:rPr>
        <w:t>. Cámara Nacional de Apelaciones en lo Comercial. Devolución al archivo del 1 de febrero de 2008. Anexo 5 al escrito de los peticionarios del 30 de julio de 2009.</w:t>
      </w:r>
    </w:p>
  </w:footnote>
  <w:footnote w:id="19">
    <w:p w14:paraId="6977DEFE" w14:textId="3DE22857" w:rsidR="00CB7C3D" w:rsidRPr="001D3E10" w:rsidRDefault="00CB7C3D" w:rsidP="007A1D1E">
      <w:pPr>
        <w:pStyle w:val="FootnoteText"/>
        <w:jc w:val="both"/>
        <w:rPr>
          <w:rFonts w:asciiTheme="minorHAnsi" w:hAnsiTheme="minorHAnsi"/>
          <w:sz w:val="16"/>
          <w:szCs w:val="16"/>
          <w:lang w:val="es-AR"/>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w:t>
      </w:r>
      <w:r w:rsidR="00EB68C6" w:rsidRPr="001D3E10">
        <w:rPr>
          <w:rFonts w:asciiTheme="minorHAnsi" w:hAnsiTheme="minorHAnsi"/>
          <w:sz w:val="16"/>
          <w:szCs w:val="16"/>
          <w:lang w:val="es-AR"/>
        </w:rPr>
        <w:t xml:space="preserve">Escrito </w:t>
      </w:r>
      <w:r w:rsidRPr="001D3E10">
        <w:rPr>
          <w:rFonts w:asciiTheme="minorHAnsi" w:hAnsiTheme="minorHAnsi"/>
          <w:sz w:val="16"/>
          <w:szCs w:val="16"/>
          <w:lang w:val="es-AR"/>
        </w:rPr>
        <w:t xml:space="preserve">de los peticionarios del 18 de agosto de 2010. </w:t>
      </w:r>
    </w:p>
  </w:footnote>
  <w:footnote w:id="20">
    <w:p w14:paraId="199337DB" w14:textId="21E145CD" w:rsidR="00CB7C3D" w:rsidRPr="001D3E10" w:rsidRDefault="00CB7C3D" w:rsidP="007A1D1E">
      <w:pPr>
        <w:pStyle w:val="FootnoteText"/>
        <w:jc w:val="both"/>
        <w:rPr>
          <w:rFonts w:asciiTheme="minorHAnsi" w:hAnsiTheme="minorHAnsi"/>
          <w:sz w:val="16"/>
          <w:szCs w:val="16"/>
          <w:lang w:val="es-AR"/>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w:t>
      </w:r>
      <w:r w:rsidR="00EB68C6" w:rsidRPr="001D3E10">
        <w:rPr>
          <w:rFonts w:asciiTheme="minorHAnsi" w:hAnsiTheme="minorHAnsi"/>
          <w:sz w:val="16"/>
          <w:szCs w:val="16"/>
          <w:lang w:val="es-AR"/>
        </w:rPr>
        <w:t>E</w:t>
      </w:r>
      <w:r w:rsidRPr="001D3E10">
        <w:rPr>
          <w:rFonts w:asciiTheme="minorHAnsi" w:hAnsiTheme="minorHAnsi"/>
          <w:sz w:val="16"/>
          <w:szCs w:val="16"/>
          <w:lang w:val="es-AR"/>
        </w:rPr>
        <w:t xml:space="preserve">scrito de los peticionarios del 18 de agosto de 2010. </w:t>
      </w:r>
    </w:p>
  </w:footnote>
  <w:footnote w:id="21">
    <w:p w14:paraId="04A5959B" w14:textId="299AC062" w:rsidR="007A1D1E" w:rsidRPr="001D3E10" w:rsidRDefault="007A1D1E" w:rsidP="007A1D1E">
      <w:pPr>
        <w:pStyle w:val="FootnoteText"/>
        <w:jc w:val="both"/>
        <w:rPr>
          <w:lang w:val="es-AR"/>
        </w:rPr>
      </w:pPr>
      <w:r w:rsidRPr="001D3E10">
        <w:rPr>
          <w:rStyle w:val="FootnoteReference"/>
          <w:rFonts w:asciiTheme="minorHAnsi" w:hAnsiTheme="minorHAnsi"/>
          <w:sz w:val="16"/>
          <w:szCs w:val="16"/>
          <w:lang w:val="es-AR"/>
        </w:rPr>
        <w:footnoteRef/>
      </w:r>
      <w:r w:rsidRPr="001D3E10">
        <w:rPr>
          <w:rFonts w:asciiTheme="minorHAnsi" w:hAnsiTheme="minorHAnsi"/>
          <w:sz w:val="16"/>
          <w:szCs w:val="16"/>
          <w:lang w:val="es-AR"/>
        </w:rPr>
        <w:t xml:space="preserve"> Escrito de observaciones de la parte peticionaria de 30 de enero de 2013.</w:t>
      </w:r>
      <w:r w:rsidRPr="001D3E10">
        <w:rPr>
          <w:lang w:val="es-AR"/>
        </w:rPr>
        <w:t xml:space="preserve"> </w:t>
      </w:r>
    </w:p>
  </w:footnote>
  <w:footnote w:id="22">
    <w:p w14:paraId="5859DAC4" w14:textId="77777777" w:rsidR="00CB7C3D" w:rsidRPr="001D3E10" w:rsidRDefault="00CB7C3D" w:rsidP="00DB4B16">
      <w:pPr>
        <w:pStyle w:val="BodyTextIndent"/>
        <w:autoSpaceDE w:val="0"/>
        <w:autoSpaceDN w:val="0"/>
        <w:adjustRightInd w:val="0"/>
        <w:ind w:left="0" w:firstLine="0"/>
        <w:jc w:val="both"/>
        <w:rPr>
          <w:rFonts w:ascii="Cambria" w:hAnsi="Cambria" w:cs="Calibri"/>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w:t>
      </w:r>
      <w:r w:rsidRPr="001D3E10">
        <w:rPr>
          <w:rFonts w:ascii="Cambria" w:hAnsi="Cambria" w:cs="Calibri"/>
          <w:color w:val="000000" w:themeColor="text1"/>
          <w:sz w:val="16"/>
          <w:szCs w:val="16"/>
          <w:lang w:val="es-AR"/>
        </w:rPr>
        <w:t xml:space="preserve">El artículo 8 de la Convención Americana establece, en lo relevante, que: </w:t>
      </w:r>
      <w:r w:rsidRPr="001D3E10">
        <w:rPr>
          <w:rFonts w:ascii="Cambria" w:hAnsi="Cambria" w:cs="Verdana"/>
          <w:color w:val="000000" w:themeColor="text1"/>
          <w:sz w:val="16"/>
          <w:szCs w:val="16"/>
          <w:lang w:val="es-AR" w:bidi="en-U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23">
    <w:p w14:paraId="0A2A69D9" w14:textId="77777777" w:rsidR="00CB7C3D" w:rsidRPr="001D3E10" w:rsidRDefault="00CB7C3D" w:rsidP="00DB4B16">
      <w:pPr>
        <w:pStyle w:val="BodyTextIndent"/>
        <w:tabs>
          <w:tab w:val="num" w:pos="0"/>
        </w:tabs>
        <w:autoSpaceDE w:val="0"/>
        <w:autoSpaceDN w:val="0"/>
        <w:adjustRightInd w:val="0"/>
        <w:ind w:left="0" w:firstLine="0"/>
        <w:jc w:val="both"/>
        <w:rPr>
          <w:rFonts w:ascii="Cambria" w:hAnsi="Cambria"/>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El artículo 25.1 de la Convención Americana establece que: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24">
    <w:p w14:paraId="182B58BD" w14:textId="77777777" w:rsidR="00CB7C3D" w:rsidRPr="001D3E10" w:rsidRDefault="00CB7C3D" w:rsidP="00DB4B16">
      <w:pPr>
        <w:pStyle w:val="Title"/>
        <w:jc w:val="both"/>
        <w:rPr>
          <w:rFonts w:ascii="Cambria" w:hAnsi="Cambria"/>
          <w:b w:val="0"/>
          <w:color w:val="000000" w:themeColor="text1"/>
          <w:sz w:val="16"/>
          <w:szCs w:val="16"/>
        </w:rPr>
      </w:pPr>
      <w:r w:rsidRPr="001D3E10">
        <w:rPr>
          <w:rStyle w:val="FootnoteReference"/>
          <w:rFonts w:ascii="Cambria" w:hAnsi="Cambria"/>
          <w:b w:val="0"/>
          <w:color w:val="000000" w:themeColor="text1"/>
          <w:sz w:val="16"/>
          <w:szCs w:val="16"/>
        </w:rPr>
        <w:footnoteRef/>
      </w:r>
      <w:r w:rsidRPr="001D3E10">
        <w:rPr>
          <w:rFonts w:ascii="Cambria" w:hAnsi="Cambria"/>
          <w:color w:val="000000" w:themeColor="text1"/>
          <w:sz w:val="16"/>
          <w:szCs w:val="16"/>
        </w:rPr>
        <w:t xml:space="preserve"> </w:t>
      </w:r>
      <w:r w:rsidRPr="001D3E10">
        <w:rPr>
          <w:rFonts w:ascii="Cambria" w:hAnsi="Cambria"/>
          <w:b w:val="0"/>
          <w:color w:val="000000" w:themeColor="text1"/>
          <w:sz w:val="16"/>
          <w:szCs w:val="16"/>
        </w:rPr>
        <w:t xml:space="preserve">CIDH. Informe No. 42/14. Caso 12.453. Fondo. Olga Yolanda Maldonado Ordóñez. Guatemala. 17 de julio de 2014. Párr. 62, citando: Corte IDH. Caso Genie Lacayo Vs. Nicaragua. Sentencia de 29 de enero de 1997. Serie C No. 30, párr. 74; Corte IDH. </w:t>
      </w:r>
      <w:r w:rsidRPr="001D3E10">
        <w:rPr>
          <w:rFonts w:ascii="Cambria" w:hAnsi="Cambria"/>
          <w:b w:val="0"/>
          <w:bCs/>
          <w:color w:val="000000" w:themeColor="text1"/>
          <w:sz w:val="16"/>
          <w:szCs w:val="16"/>
        </w:rPr>
        <w:t xml:space="preserve">Caso Claude Reyes y otros Vs. Chile. </w:t>
      </w:r>
      <w:r w:rsidRPr="001D3E10">
        <w:rPr>
          <w:rFonts w:ascii="Cambria" w:hAnsi="Cambria"/>
          <w:b w:val="0"/>
          <w:color w:val="000000" w:themeColor="text1"/>
          <w:sz w:val="16"/>
          <w:szCs w:val="16"/>
        </w:rPr>
        <w:t xml:space="preserve">Sentencia de 19 de septiembre de 2006. Serie C No. 151, párr. 116; y Corte IDH. </w:t>
      </w:r>
      <w:r w:rsidRPr="001D3E10">
        <w:rPr>
          <w:rFonts w:ascii="Cambria" w:hAnsi="Cambria"/>
          <w:b w:val="0"/>
          <w:bCs/>
          <w:color w:val="000000" w:themeColor="text1"/>
          <w:sz w:val="16"/>
          <w:szCs w:val="16"/>
        </w:rPr>
        <w:t xml:space="preserve">Garantías Judiciales en Estados de Emergencia (arts. 27.2, 25 y 8 Convención Americana sobre Derechos Humanos). Opinión Consultiva OC-9/87. 6 de octubre de 1987. </w:t>
      </w:r>
      <w:r w:rsidRPr="001D3E10">
        <w:rPr>
          <w:rFonts w:ascii="Cambria" w:hAnsi="Cambria"/>
          <w:b w:val="0"/>
          <w:color w:val="000000" w:themeColor="text1"/>
          <w:sz w:val="16"/>
          <w:szCs w:val="16"/>
        </w:rPr>
        <w:t xml:space="preserve">Serie A No. 9, párr. 27.  </w:t>
      </w:r>
    </w:p>
  </w:footnote>
  <w:footnote w:id="25">
    <w:p w14:paraId="51F81942" w14:textId="77777777" w:rsidR="00CB7C3D" w:rsidRPr="001D3E10" w:rsidRDefault="00CB7C3D" w:rsidP="00DB4B16">
      <w:pPr>
        <w:pStyle w:val="FootnoteText"/>
        <w:jc w:val="both"/>
        <w:rPr>
          <w:rFonts w:ascii="Cambria" w:hAnsi="Cambria"/>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CIDH, Informe No. 65/11, Caso 12.600, Fondo, Hugo Quintana Coello y otros “Magistrados de la Corte Suprema de Justicia”, Ecuador, 31 de marzo de 2011, párr. 102. </w:t>
      </w:r>
    </w:p>
  </w:footnote>
  <w:footnote w:id="26">
    <w:p w14:paraId="35EDE792" w14:textId="77777777" w:rsidR="00CB7C3D" w:rsidRPr="001D3E10" w:rsidRDefault="00CB7C3D" w:rsidP="00DB4B16">
      <w:pPr>
        <w:pStyle w:val="FootnoteText"/>
        <w:jc w:val="both"/>
        <w:rPr>
          <w:rFonts w:ascii="Cambria" w:hAnsi="Cambria"/>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Corte IDH. </w:t>
      </w:r>
      <w:hyperlink r:id="rId1" w:history="1">
        <w:r w:rsidRPr="001D3E10">
          <w:rPr>
            <w:rStyle w:val="Hyperlink"/>
            <w:rFonts w:ascii="Cambria" w:hAnsi="Cambria" w:cs="Arial"/>
            <w:color w:val="000000" w:themeColor="text1"/>
            <w:sz w:val="16"/>
            <w:szCs w:val="16"/>
            <w:shd w:val="clear" w:color="auto" w:fill="FFFFFF"/>
            <w:lang w:val="es-AR"/>
          </w:rPr>
          <w:t>Caso Barbani Duarte y Otros Vs. Uruguay. Fondo Reparaciones y costas. Sentencia de 13 de octubre de 2011. Serie C No. 234</w:t>
        </w:r>
      </w:hyperlink>
      <w:r w:rsidRPr="001D3E10">
        <w:rPr>
          <w:rFonts w:ascii="Cambria" w:hAnsi="Cambria"/>
          <w:color w:val="000000" w:themeColor="text1"/>
          <w:sz w:val="16"/>
          <w:szCs w:val="16"/>
          <w:lang w:val="es-AR"/>
        </w:rPr>
        <w:t xml:space="preserve">, párr. 118; y </w:t>
      </w:r>
      <w:hyperlink r:id="rId2" w:history="1">
        <w:r w:rsidRPr="001D3E10">
          <w:rPr>
            <w:rStyle w:val="Hyperlink"/>
            <w:rFonts w:ascii="Cambria" w:hAnsi="Cambria" w:cs="Arial"/>
            <w:color w:val="000000" w:themeColor="text1"/>
            <w:sz w:val="16"/>
            <w:szCs w:val="16"/>
            <w:shd w:val="clear" w:color="auto" w:fill="FFFFFF"/>
            <w:lang w:val="es-AR"/>
          </w:rPr>
          <w:t>Caso Claude Reyes y otros Vs. Chile. Fondo, Reparaciones y Costas. Sentencia de 19 de septiembre de 2006. Serie C No. 151</w:t>
        </w:r>
      </w:hyperlink>
      <w:r w:rsidRPr="001D3E10">
        <w:rPr>
          <w:rFonts w:ascii="Cambria" w:hAnsi="Cambria"/>
          <w:color w:val="000000" w:themeColor="text1"/>
          <w:sz w:val="16"/>
          <w:szCs w:val="16"/>
          <w:lang w:val="es-AR"/>
        </w:rPr>
        <w:t>, párr. 118.</w:t>
      </w:r>
    </w:p>
  </w:footnote>
  <w:footnote w:id="27">
    <w:p w14:paraId="02D9A9C7" w14:textId="77777777" w:rsidR="00CB7C3D" w:rsidRPr="001D3E10" w:rsidRDefault="00CB7C3D" w:rsidP="00DB4B16">
      <w:pPr>
        <w:pStyle w:val="FootnoteText"/>
        <w:jc w:val="both"/>
        <w:rPr>
          <w:rFonts w:ascii="Cambria" w:hAnsi="Cambria"/>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1708FB">
        <w:rPr>
          <w:rFonts w:ascii="Cambria" w:hAnsi="Cambria"/>
          <w:color w:val="000000" w:themeColor="text1"/>
          <w:sz w:val="16"/>
          <w:szCs w:val="16"/>
          <w:lang w:val="es-US"/>
        </w:rPr>
        <w:t xml:space="preserve"> </w:t>
      </w:r>
      <w:r w:rsidRPr="001708FB">
        <w:rPr>
          <w:rFonts w:ascii="Cambria" w:eastAsia="Times New Roman" w:hAnsi="Cambria"/>
          <w:bCs/>
          <w:color w:val="000000" w:themeColor="text1"/>
          <w:sz w:val="16"/>
          <w:szCs w:val="16"/>
          <w:lang w:val="es-US"/>
        </w:rPr>
        <w:t xml:space="preserve">Corte IDH. Caso Andrade Salmón Vs. </w:t>
      </w:r>
      <w:r w:rsidRPr="001D3E10">
        <w:rPr>
          <w:rFonts w:ascii="Cambria" w:eastAsia="Times New Roman" w:hAnsi="Cambria"/>
          <w:bCs/>
          <w:color w:val="000000" w:themeColor="text1"/>
          <w:sz w:val="16"/>
          <w:szCs w:val="16"/>
          <w:lang w:val="es-AR"/>
        </w:rPr>
        <w:t xml:space="preserve">Bolivia. Fondo, Reparaciones y Costas. Sentencia de 1 de diciembre de 2016. Serie C No. 330. Párr. </w:t>
      </w:r>
      <w:r w:rsidRPr="001D3E10">
        <w:rPr>
          <w:rFonts w:ascii="Cambria" w:hAnsi="Cambria"/>
          <w:color w:val="000000" w:themeColor="text1"/>
          <w:sz w:val="16"/>
          <w:szCs w:val="16"/>
          <w:lang w:val="es-AR"/>
        </w:rPr>
        <w:t xml:space="preserve">200. </w:t>
      </w:r>
    </w:p>
  </w:footnote>
  <w:footnote w:id="28">
    <w:p w14:paraId="7352F3AF" w14:textId="77777777" w:rsidR="00CB7C3D" w:rsidRPr="001D3E10" w:rsidRDefault="00CB7C3D" w:rsidP="00DB4B16">
      <w:pPr>
        <w:pStyle w:val="FootnoteText"/>
        <w:jc w:val="both"/>
        <w:rPr>
          <w:rFonts w:ascii="Cambria" w:hAnsi="Cambria"/>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CIDH, Informe de Fondo No. 77/02, Waldemar Gerónimo Pinheiro y José Víctor dos Santos (Caso 11.506), 27 de diciembre de 2002, párr. 76. Ver también Corte I.D.H., </w:t>
      </w:r>
      <w:r w:rsidRPr="001D3E10">
        <w:rPr>
          <w:rFonts w:ascii="Cambria" w:hAnsi="Cambria"/>
          <w:iCs/>
          <w:color w:val="000000" w:themeColor="text1"/>
          <w:sz w:val="16"/>
          <w:szCs w:val="16"/>
          <w:lang w:val="es-AR"/>
        </w:rPr>
        <w:t>Caso López Álvarez</w:t>
      </w:r>
      <w:r w:rsidRPr="001D3E10">
        <w:rPr>
          <w:rFonts w:ascii="Cambria" w:hAnsi="Cambria"/>
          <w:color w:val="000000" w:themeColor="text1"/>
          <w:sz w:val="16"/>
          <w:szCs w:val="16"/>
          <w:lang w:val="es-AR"/>
        </w:rPr>
        <w:t xml:space="preserve">. Sentencia de 1 de febrero de 2006. Serie C No. 141, párr. 132; </w:t>
      </w:r>
      <w:r w:rsidRPr="001D3E10">
        <w:rPr>
          <w:rFonts w:ascii="Cambria" w:hAnsi="Cambria"/>
          <w:iCs/>
          <w:color w:val="000000" w:themeColor="text1"/>
          <w:sz w:val="16"/>
          <w:szCs w:val="16"/>
          <w:lang w:val="es-AR"/>
        </w:rPr>
        <w:t>Caso García Asto y Ramírez Rojas</w:t>
      </w:r>
      <w:r w:rsidRPr="001D3E10">
        <w:rPr>
          <w:rFonts w:ascii="Cambria" w:hAnsi="Cambria"/>
          <w:color w:val="000000" w:themeColor="text1"/>
          <w:sz w:val="16"/>
          <w:szCs w:val="16"/>
          <w:lang w:val="es-AR"/>
        </w:rPr>
        <w:t xml:space="preserve">. Sentencia de 25 de noviembre de 2005. Serie C No. 137, párr. 166; y </w:t>
      </w:r>
      <w:r w:rsidRPr="001D3E10">
        <w:rPr>
          <w:rFonts w:ascii="Cambria" w:hAnsi="Cambria"/>
          <w:iCs/>
          <w:color w:val="000000" w:themeColor="text1"/>
          <w:sz w:val="16"/>
          <w:szCs w:val="16"/>
          <w:lang w:val="es-AR"/>
        </w:rPr>
        <w:t>Caso Acosta Calderón</w:t>
      </w:r>
      <w:r w:rsidRPr="001D3E10">
        <w:rPr>
          <w:rFonts w:ascii="Cambria" w:hAnsi="Cambria"/>
          <w:color w:val="000000" w:themeColor="text1"/>
          <w:sz w:val="16"/>
          <w:szCs w:val="16"/>
          <w:lang w:val="es-AR"/>
        </w:rPr>
        <w:t>. Sentencia de 24 de junio de 2005. Serie C No. 129, párr. 105.</w:t>
      </w:r>
    </w:p>
  </w:footnote>
  <w:footnote w:id="29">
    <w:p w14:paraId="505B69DA" w14:textId="573BADFB" w:rsidR="00CB7C3D" w:rsidRPr="001D3E10" w:rsidRDefault="00CB7C3D" w:rsidP="00DB4B16">
      <w:pPr>
        <w:tabs>
          <w:tab w:val="left" w:pos="720"/>
          <w:tab w:val="center" w:pos="5400"/>
        </w:tabs>
        <w:suppressAutoHyphens/>
        <w:spacing w:after="0"/>
        <w:jc w:val="both"/>
        <w:rPr>
          <w:rFonts w:ascii="Cambria" w:hAnsi="Cambria"/>
          <w:color w:val="000000" w:themeColor="text1"/>
          <w:sz w:val="16"/>
          <w:szCs w:val="16"/>
        </w:rPr>
      </w:pPr>
      <w:r w:rsidRPr="001D3E10">
        <w:rPr>
          <w:rStyle w:val="FootnoteReference"/>
          <w:rFonts w:ascii="Cambria" w:hAnsi="Cambria"/>
          <w:color w:val="000000" w:themeColor="text1"/>
          <w:sz w:val="16"/>
          <w:szCs w:val="16"/>
        </w:rPr>
        <w:footnoteRef/>
      </w:r>
      <w:r w:rsidRPr="001D3E10">
        <w:rPr>
          <w:rFonts w:ascii="Cambria" w:hAnsi="Cambria"/>
          <w:color w:val="000000" w:themeColor="text1"/>
          <w:sz w:val="16"/>
          <w:szCs w:val="16"/>
        </w:rPr>
        <w:t xml:space="preserve"> </w:t>
      </w:r>
      <w:r w:rsidRPr="001D3E10">
        <w:rPr>
          <w:rFonts w:ascii="Cambria" w:hAnsi="Cambria" w:cs="Arial"/>
          <w:color w:val="000000" w:themeColor="text1"/>
          <w:sz w:val="16"/>
          <w:szCs w:val="16"/>
        </w:rPr>
        <w:t>CIDH, Informe No. 111/10, Caso 12.539, Fondo, Sebastián Claus Furlan y familia, Argentina, 21 de octubre de 2010, párr. 100;</w:t>
      </w:r>
      <w:r w:rsidRPr="001D3E10">
        <w:rPr>
          <w:rFonts w:ascii="Cambria" w:hAnsi="Cambria"/>
          <w:color w:val="000000" w:themeColor="text1"/>
          <w:sz w:val="16"/>
          <w:szCs w:val="16"/>
        </w:rPr>
        <w:t xml:space="preserve"> CIDH. Informe No. 1/16. Caso 12695. Fondo. Vinicio Antonio Poblete Vilches y familiares. Chile. 13 de abril de 2016. Párr. 149.  </w:t>
      </w:r>
    </w:p>
  </w:footnote>
  <w:footnote w:id="30">
    <w:p w14:paraId="5DF8A28A" w14:textId="38F7FFFC" w:rsidR="00CB7C3D" w:rsidRPr="001D3E10" w:rsidRDefault="00CB7C3D" w:rsidP="00DB4B16">
      <w:pPr>
        <w:pStyle w:val="FootnoteText"/>
        <w:jc w:val="both"/>
        <w:rPr>
          <w:rFonts w:ascii="Cambria" w:hAnsi="Cambria"/>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00DB4B16" w:rsidRPr="001D3E10">
        <w:rPr>
          <w:rFonts w:ascii="Cambria" w:hAnsi="Cambria"/>
          <w:color w:val="000000" w:themeColor="text1"/>
          <w:sz w:val="16"/>
          <w:szCs w:val="16"/>
          <w:lang w:val="es-AR"/>
        </w:rPr>
        <w:t xml:space="preserve"> Corte IDH.</w:t>
      </w:r>
      <w:r w:rsidRPr="001D3E10">
        <w:rPr>
          <w:rFonts w:ascii="Cambria" w:hAnsi="Cambria"/>
          <w:color w:val="000000" w:themeColor="text1"/>
          <w:sz w:val="16"/>
          <w:szCs w:val="16"/>
          <w:lang w:val="es-AR"/>
        </w:rPr>
        <w:t xml:space="preserve"> Caso Valle Jaramillo y otros Vs. Colombia. Fondo, Reparaciones y Costas. Sentencia de 27 de noviembre de 2008. Serie C No. 192, párr. 155. Véanse asimismo, Corte I.D.H., Caso Kawas Fernández Vs. Honduras. Fondo, Reparaciones y Costas. Sentencia de 3 de abril de 2009 Serie C No. 196, párrs. 112 y 115; Corte I.D.H., </w:t>
      </w:r>
      <w:r w:rsidRPr="001D3E10">
        <w:rPr>
          <w:rFonts w:ascii="Cambria" w:hAnsi="Cambria"/>
          <w:bCs/>
          <w:color w:val="000000" w:themeColor="text1"/>
          <w:sz w:val="16"/>
          <w:szCs w:val="16"/>
          <w:lang w:val="es-AR"/>
        </w:rPr>
        <w:t xml:space="preserve">Caso Anzualdo Castro Vs. Perú. </w:t>
      </w:r>
      <w:r w:rsidRPr="001D3E10">
        <w:rPr>
          <w:rFonts w:ascii="Cambria" w:hAnsi="Cambria"/>
          <w:color w:val="000000" w:themeColor="text1"/>
          <w:sz w:val="16"/>
          <w:szCs w:val="16"/>
          <w:lang w:val="es-AR"/>
        </w:rPr>
        <w:t xml:space="preserve">Excepción Preliminar, Fondo, Reparaciones y Costas. Sentencia de 22 de Septiembre de 2009. </w:t>
      </w:r>
      <w:r w:rsidRPr="001708FB">
        <w:rPr>
          <w:rFonts w:ascii="Cambria" w:hAnsi="Cambria"/>
          <w:color w:val="000000" w:themeColor="text1"/>
          <w:sz w:val="16"/>
          <w:szCs w:val="16"/>
          <w:lang w:val="es-US"/>
        </w:rPr>
        <w:t xml:space="preserve">Serie C No. 202, párr. 156; Corte I.D.H., </w:t>
      </w:r>
      <w:r w:rsidRPr="001708FB">
        <w:rPr>
          <w:rFonts w:ascii="Cambria" w:hAnsi="Cambria"/>
          <w:bCs/>
          <w:color w:val="000000" w:themeColor="text1"/>
          <w:sz w:val="16"/>
          <w:szCs w:val="16"/>
          <w:lang w:val="es-US"/>
        </w:rPr>
        <w:t xml:space="preserve">Caso Garibaldi Vs. </w:t>
      </w:r>
      <w:r w:rsidRPr="001D3E10">
        <w:rPr>
          <w:rFonts w:ascii="Cambria" w:hAnsi="Cambria"/>
          <w:bCs/>
          <w:color w:val="000000" w:themeColor="text1"/>
          <w:sz w:val="16"/>
          <w:szCs w:val="16"/>
          <w:lang w:val="es-AR"/>
        </w:rPr>
        <w:t xml:space="preserve">Brasil. </w:t>
      </w:r>
      <w:r w:rsidRPr="001D3E10">
        <w:rPr>
          <w:rFonts w:ascii="Cambria" w:hAnsi="Cambria"/>
          <w:color w:val="000000" w:themeColor="text1"/>
          <w:sz w:val="16"/>
          <w:szCs w:val="16"/>
          <w:lang w:val="es-AR"/>
        </w:rPr>
        <w:t xml:space="preserve">Excepciones Preliminares, Fondo, Reparaciones y Costas. Sentencia de 23 de septiembre de 2009. Serie C No. 203, párr. 133; Corte I.D.H., </w:t>
      </w:r>
      <w:r w:rsidRPr="001D3E10">
        <w:rPr>
          <w:rFonts w:ascii="Cambria" w:hAnsi="Cambria"/>
          <w:bCs/>
          <w:color w:val="000000" w:themeColor="text1"/>
          <w:sz w:val="16"/>
          <w:szCs w:val="16"/>
          <w:lang w:val="es-AR"/>
        </w:rPr>
        <w:t xml:space="preserve">Caso Radilla Pacheco Vs. México. </w:t>
      </w:r>
      <w:r w:rsidRPr="001D3E10">
        <w:rPr>
          <w:rFonts w:ascii="Cambria" w:hAnsi="Cambria"/>
          <w:color w:val="000000" w:themeColor="text1"/>
          <w:sz w:val="16"/>
          <w:szCs w:val="16"/>
          <w:lang w:val="es-AR"/>
        </w:rPr>
        <w:t xml:space="preserve">Excepciones Preliminares, Fondo, Reparaciones y Costas. Sentencia de 23 de Noviembre de 2009. Serie C No. 209, párr. 244. Ver también. CIDH. Informe 83-10. 12.584. Fondo. 13 de julio de 2010. Párr. 77. </w:t>
      </w:r>
    </w:p>
  </w:footnote>
  <w:footnote w:id="31">
    <w:p w14:paraId="268079E0" w14:textId="77777777" w:rsidR="00CB7C3D" w:rsidRPr="001D3E10" w:rsidRDefault="00CB7C3D" w:rsidP="00DB4B16">
      <w:pPr>
        <w:tabs>
          <w:tab w:val="left" w:pos="720"/>
        </w:tabs>
        <w:spacing w:after="0"/>
        <w:jc w:val="both"/>
        <w:rPr>
          <w:rFonts w:ascii="Cambria" w:hAnsi="Cambria"/>
          <w:color w:val="000000" w:themeColor="text1"/>
          <w:sz w:val="16"/>
          <w:szCs w:val="16"/>
        </w:rPr>
      </w:pPr>
      <w:r w:rsidRPr="001D3E10">
        <w:rPr>
          <w:rStyle w:val="FootnoteReference"/>
          <w:rFonts w:ascii="Cambria" w:hAnsi="Cambria"/>
          <w:color w:val="000000" w:themeColor="text1"/>
          <w:sz w:val="16"/>
          <w:szCs w:val="16"/>
        </w:rPr>
        <w:footnoteRef/>
      </w:r>
      <w:r w:rsidRPr="001D3E10">
        <w:rPr>
          <w:rFonts w:ascii="Cambria" w:hAnsi="Cambria"/>
          <w:color w:val="000000" w:themeColor="text1"/>
          <w:sz w:val="16"/>
          <w:szCs w:val="16"/>
        </w:rPr>
        <w:t xml:space="preserve"> CIDH. Informe No. 3/16. Caso 12.916. Fondo. Nitza Paola Alvarado Espinoza, Rocío Irene Alvarado Reyes, José Angel Alvarado Herrera y otros. México. 13 de abril de 2016. Párr. 271.</w:t>
      </w:r>
    </w:p>
  </w:footnote>
  <w:footnote w:id="32">
    <w:p w14:paraId="29D055E0" w14:textId="77777777" w:rsidR="00CB7C3D" w:rsidRPr="001D3E10" w:rsidRDefault="00CB7C3D" w:rsidP="00DB4B16">
      <w:pPr>
        <w:tabs>
          <w:tab w:val="left" w:pos="720"/>
        </w:tabs>
        <w:spacing w:after="0"/>
        <w:jc w:val="both"/>
        <w:rPr>
          <w:rFonts w:ascii="Cambria" w:eastAsia="Times New Roman" w:hAnsi="Cambria"/>
          <w:color w:val="000000" w:themeColor="text1"/>
          <w:sz w:val="16"/>
          <w:szCs w:val="16"/>
        </w:rPr>
      </w:pPr>
      <w:r w:rsidRPr="001D3E10">
        <w:rPr>
          <w:rStyle w:val="FootnoteReference"/>
          <w:rFonts w:ascii="Cambria" w:hAnsi="Cambria"/>
          <w:color w:val="000000" w:themeColor="text1"/>
          <w:sz w:val="16"/>
          <w:szCs w:val="16"/>
        </w:rPr>
        <w:footnoteRef/>
      </w:r>
      <w:r w:rsidRPr="001D3E10">
        <w:rPr>
          <w:rFonts w:ascii="Cambria" w:hAnsi="Cambria"/>
          <w:color w:val="000000" w:themeColor="text1"/>
          <w:sz w:val="16"/>
          <w:szCs w:val="16"/>
        </w:rPr>
        <w:t xml:space="preserve"> </w:t>
      </w:r>
      <w:r w:rsidRPr="001D3E10">
        <w:rPr>
          <w:rFonts w:ascii="Cambria" w:eastAsia="Times New Roman" w:hAnsi="Cambria"/>
          <w:bCs/>
          <w:color w:val="000000" w:themeColor="text1"/>
          <w:sz w:val="16"/>
          <w:szCs w:val="16"/>
        </w:rPr>
        <w:t xml:space="preserve">Corte IDH. Caso Andrade Salmón Vs. Bolivia. Fondo, Reparaciones y Costas. Sentencia de 1 de diciembre de 2016. Serie C No. 330. Párr. 157. Citando: </w:t>
      </w:r>
      <w:r w:rsidRPr="001D3E10">
        <w:rPr>
          <w:rFonts w:ascii="Cambria" w:hAnsi="Cambria"/>
          <w:color w:val="000000" w:themeColor="text1"/>
          <w:sz w:val="16"/>
          <w:szCs w:val="16"/>
        </w:rPr>
        <w:t>Cfr. Caso Anzualdo Castro Vs. Perú. Excepción Preliminar, Fondo, Reparaciones y Costas. Sentencia de 22 de septiembre de 2009. Serie C No. 202, párr. 156, y Caso Tenorio Roca y otros Vs. Perú, párr. 239.</w:t>
      </w:r>
      <w:r w:rsidRPr="001D3E10">
        <w:rPr>
          <w:rFonts w:ascii="Cambria" w:hAnsi="Cambria"/>
          <w:color w:val="000000" w:themeColor="text1"/>
          <w:sz w:val="16"/>
          <w:szCs w:val="16"/>
        </w:rPr>
        <w:tab/>
      </w:r>
    </w:p>
  </w:footnote>
  <w:footnote w:id="33">
    <w:p w14:paraId="6B8C9E25" w14:textId="77777777" w:rsidR="00CB7C3D" w:rsidRPr="001D3E10" w:rsidRDefault="00CB7C3D" w:rsidP="00DB4B16">
      <w:pPr>
        <w:spacing w:after="0"/>
        <w:jc w:val="both"/>
        <w:rPr>
          <w:rFonts w:ascii="Cambria" w:hAnsi="Cambria"/>
          <w:color w:val="000000" w:themeColor="text1"/>
          <w:sz w:val="16"/>
          <w:szCs w:val="16"/>
          <w:lang w:eastAsia="x-none"/>
        </w:rPr>
      </w:pPr>
      <w:r w:rsidRPr="001D3E10">
        <w:rPr>
          <w:rStyle w:val="FootnoteReference"/>
          <w:rFonts w:ascii="Cambria" w:hAnsi="Cambria"/>
          <w:color w:val="000000" w:themeColor="text1"/>
          <w:sz w:val="16"/>
          <w:szCs w:val="16"/>
        </w:rPr>
        <w:footnoteRef/>
      </w:r>
      <w:r w:rsidRPr="001708FB">
        <w:rPr>
          <w:rFonts w:ascii="Cambria" w:hAnsi="Cambria"/>
          <w:color w:val="000000" w:themeColor="text1"/>
          <w:sz w:val="16"/>
          <w:szCs w:val="16"/>
          <w:lang w:val="es-US"/>
        </w:rPr>
        <w:t xml:space="preserve"> Corte IDH. </w:t>
      </w:r>
      <w:r w:rsidRPr="001708FB">
        <w:rPr>
          <w:rFonts w:ascii="Cambria" w:hAnsi="Cambria"/>
          <w:bCs/>
          <w:color w:val="000000" w:themeColor="text1"/>
          <w:sz w:val="16"/>
          <w:szCs w:val="16"/>
          <w:lang w:val="es-US"/>
        </w:rPr>
        <w:t xml:space="preserve">Caso Genie Lacayo Vs. </w:t>
      </w:r>
      <w:r w:rsidRPr="001D3E10">
        <w:rPr>
          <w:rFonts w:ascii="Cambria" w:hAnsi="Cambria"/>
          <w:bCs/>
          <w:color w:val="000000" w:themeColor="text1"/>
          <w:sz w:val="16"/>
          <w:szCs w:val="16"/>
        </w:rPr>
        <w:t>Nicaragua. Fondo, Reparaciones y Costas. Sentencia de 29 de enero de 1997. Serie C No. 30</w:t>
      </w:r>
      <w:r w:rsidRPr="001D3E10">
        <w:rPr>
          <w:rFonts w:ascii="Cambria" w:hAnsi="Cambria"/>
          <w:color w:val="000000" w:themeColor="text1"/>
          <w:sz w:val="16"/>
          <w:szCs w:val="16"/>
        </w:rPr>
        <w:t xml:space="preserve">, párr. 78, y </w:t>
      </w:r>
      <w:r w:rsidRPr="001D3E10">
        <w:rPr>
          <w:rFonts w:ascii="Cambria" w:hAnsi="Cambria"/>
          <w:bCs/>
          <w:color w:val="000000" w:themeColor="text1"/>
          <w:sz w:val="16"/>
          <w:szCs w:val="16"/>
        </w:rPr>
        <w:t>Caso Quispialaya Vilcapoma Vs. Perú, párr. 179.</w:t>
      </w:r>
      <w:r w:rsidRPr="001D3E10">
        <w:rPr>
          <w:rFonts w:ascii="Cambria" w:hAnsi="Cambria"/>
          <w:color w:val="000000" w:themeColor="text1"/>
          <w:sz w:val="16"/>
          <w:szCs w:val="16"/>
          <w:lang w:eastAsia="x-none"/>
        </w:rPr>
        <w:t xml:space="preserve"> </w:t>
      </w:r>
    </w:p>
  </w:footnote>
  <w:footnote w:id="34">
    <w:p w14:paraId="0C9BD8B2" w14:textId="77777777" w:rsidR="00CB7C3D" w:rsidRPr="001D3E10" w:rsidRDefault="00CB7C3D" w:rsidP="00DB4B16">
      <w:pPr>
        <w:spacing w:after="0"/>
        <w:jc w:val="both"/>
        <w:rPr>
          <w:rFonts w:ascii="Cambria" w:hAnsi="Cambria"/>
          <w:color w:val="000000" w:themeColor="text1"/>
          <w:sz w:val="16"/>
          <w:szCs w:val="16"/>
          <w:lang w:eastAsia="x-none"/>
        </w:rPr>
      </w:pPr>
      <w:r w:rsidRPr="001D3E10">
        <w:rPr>
          <w:rStyle w:val="FootnoteReference"/>
          <w:rFonts w:ascii="Cambria" w:hAnsi="Cambria"/>
          <w:color w:val="000000" w:themeColor="text1"/>
          <w:sz w:val="16"/>
          <w:szCs w:val="16"/>
        </w:rPr>
        <w:footnoteRef/>
      </w:r>
      <w:r w:rsidRPr="001D3E10">
        <w:rPr>
          <w:rFonts w:ascii="Cambria" w:hAnsi="Cambria"/>
          <w:color w:val="000000" w:themeColor="text1"/>
          <w:sz w:val="16"/>
          <w:szCs w:val="16"/>
        </w:rPr>
        <w:t xml:space="preserve"> Corte IDH. </w:t>
      </w:r>
      <w:r w:rsidRPr="001D3E10">
        <w:rPr>
          <w:rFonts w:ascii="Cambria" w:hAnsi="Cambria"/>
          <w:bCs/>
          <w:color w:val="000000" w:themeColor="text1"/>
          <w:sz w:val="16"/>
          <w:szCs w:val="16"/>
        </w:rPr>
        <w:t>Caso Acosta Calderón Vs. Ecuador. Fondo, Reparaciones y Costas. Sentencia de 24 de junio de 2005. Serie C No. 129, párr. 106, y Caso Quispialaya Vilcapoma Vs. Perú, párr. 179</w:t>
      </w:r>
      <w:r w:rsidRPr="001D3E10">
        <w:rPr>
          <w:rFonts w:ascii="Cambria" w:hAnsi="Cambria"/>
          <w:color w:val="000000" w:themeColor="text1"/>
          <w:sz w:val="16"/>
          <w:szCs w:val="16"/>
        </w:rPr>
        <w:t>.</w:t>
      </w:r>
    </w:p>
  </w:footnote>
  <w:footnote w:id="35">
    <w:p w14:paraId="51D4E3D4" w14:textId="77777777" w:rsidR="00CB7C3D" w:rsidRPr="001D3E10" w:rsidRDefault="00CB7C3D" w:rsidP="00DB4B16">
      <w:pPr>
        <w:spacing w:after="0"/>
        <w:jc w:val="both"/>
        <w:rPr>
          <w:rFonts w:ascii="Cambria" w:hAnsi="Cambria"/>
          <w:color w:val="000000" w:themeColor="text1"/>
          <w:sz w:val="16"/>
          <w:szCs w:val="16"/>
          <w:lang w:eastAsia="x-none"/>
        </w:rPr>
      </w:pPr>
      <w:r w:rsidRPr="001D3E10">
        <w:rPr>
          <w:rStyle w:val="FootnoteReference"/>
          <w:rFonts w:ascii="Cambria" w:hAnsi="Cambria"/>
          <w:color w:val="000000" w:themeColor="text1"/>
          <w:sz w:val="16"/>
          <w:szCs w:val="16"/>
        </w:rPr>
        <w:footnoteRef/>
      </w:r>
      <w:r w:rsidRPr="001D3E10">
        <w:rPr>
          <w:rFonts w:ascii="Cambria" w:hAnsi="Cambria"/>
          <w:color w:val="000000" w:themeColor="text1"/>
          <w:sz w:val="16"/>
          <w:szCs w:val="16"/>
        </w:rPr>
        <w:t xml:space="preserve"> Corte IDH. </w:t>
      </w:r>
      <w:r w:rsidRPr="001D3E10">
        <w:rPr>
          <w:rFonts w:ascii="Cambria" w:hAnsi="Cambria"/>
          <w:color w:val="000000" w:themeColor="text1"/>
          <w:sz w:val="16"/>
          <w:szCs w:val="16"/>
          <w:lang w:eastAsia="x-none"/>
        </w:rPr>
        <w:t xml:space="preserve">Caso Furlan y familiares Vs. Argentina. Excepciones Preliminares, Fondo, Reparaciones y Costas. Sentencia de 31 de agosto de 2012. Serie C No. 246, párr. 156 y </w:t>
      </w:r>
      <w:r w:rsidRPr="001D3E10">
        <w:rPr>
          <w:rFonts w:ascii="Cambria" w:hAnsi="Cambria"/>
          <w:color w:val="000000" w:themeColor="text1"/>
          <w:sz w:val="16"/>
          <w:szCs w:val="16"/>
        </w:rPr>
        <w:t xml:space="preserve">Caso Quispialaya Vilcapoma Vs. Perú, párr. 179. </w:t>
      </w:r>
    </w:p>
  </w:footnote>
  <w:footnote w:id="36">
    <w:p w14:paraId="6F351A93" w14:textId="77777777" w:rsidR="00CB7C3D" w:rsidRPr="001D3E10" w:rsidRDefault="00CB7C3D" w:rsidP="00DB4B16">
      <w:pPr>
        <w:spacing w:after="0"/>
        <w:jc w:val="both"/>
        <w:rPr>
          <w:rFonts w:ascii="Cambria" w:hAnsi="Cambria"/>
          <w:color w:val="000000" w:themeColor="text1"/>
          <w:sz w:val="16"/>
          <w:szCs w:val="16"/>
        </w:rPr>
      </w:pPr>
      <w:r w:rsidRPr="001D3E10">
        <w:rPr>
          <w:rStyle w:val="FootnoteReference"/>
          <w:rFonts w:ascii="Cambria" w:hAnsi="Cambria"/>
          <w:color w:val="000000" w:themeColor="text1"/>
          <w:sz w:val="16"/>
          <w:szCs w:val="16"/>
        </w:rPr>
        <w:footnoteRef/>
      </w:r>
      <w:r w:rsidRPr="001D3E10">
        <w:rPr>
          <w:rFonts w:ascii="Cambria" w:hAnsi="Cambria"/>
          <w:color w:val="000000" w:themeColor="text1"/>
          <w:sz w:val="16"/>
          <w:szCs w:val="16"/>
        </w:rPr>
        <w:t xml:space="preserve"> Corte IDH. Caso Gonzales Lluy y otros Vs. Ecuador. Excepciones Preliminares, Fondo, Reparaciones y Costas. Sentencia de 1 de septiembre de 2015. Serie C No. 298, párr. 300.</w:t>
      </w:r>
    </w:p>
  </w:footnote>
  <w:footnote w:id="37">
    <w:p w14:paraId="63495C15" w14:textId="77777777" w:rsidR="00CB7C3D" w:rsidRPr="001D3E10" w:rsidRDefault="00CB7C3D" w:rsidP="00DB4B16">
      <w:pPr>
        <w:spacing w:after="0"/>
        <w:jc w:val="both"/>
        <w:rPr>
          <w:rFonts w:ascii="Cambria" w:hAnsi="Cambria"/>
          <w:bCs/>
          <w:color w:val="000000" w:themeColor="text1"/>
          <w:sz w:val="16"/>
          <w:szCs w:val="16"/>
        </w:rPr>
      </w:pPr>
      <w:r w:rsidRPr="001D3E10">
        <w:rPr>
          <w:rStyle w:val="FootnoteReference"/>
          <w:rFonts w:ascii="Cambria" w:hAnsi="Cambria"/>
          <w:color w:val="000000" w:themeColor="text1"/>
          <w:sz w:val="16"/>
          <w:szCs w:val="16"/>
        </w:rPr>
        <w:footnoteRef/>
      </w:r>
      <w:r w:rsidRPr="001708FB">
        <w:rPr>
          <w:rFonts w:ascii="Cambria" w:hAnsi="Cambria"/>
          <w:bCs/>
          <w:color w:val="000000" w:themeColor="text1"/>
          <w:sz w:val="16"/>
          <w:szCs w:val="16"/>
          <w:lang w:val="es-US"/>
        </w:rPr>
        <w:t xml:space="preserve"> </w:t>
      </w:r>
      <w:r w:rsidRPr="001708FB">
        <w:rPr>
          <w:rFonts w:ascii="Cambria" w:hAnsi="Cambria"/>
          <w:color w:val="000000" w:themeColor="text1"/>
          <w:sz w:val="16"/>
          <w:szCs w:val="16"/>
          <w:lang w:val="es-US"/>
        </w:rPr>
        <w:t xml:space="preserve">Corte IDH. </w:t>
      </w:r>
      <w:r w:rsidRPr="001708FB" w:rsidDel="00971FE9">
        <w:rPr>
          <w:rFonts w:ascii="Cambria" w:hAnsi="Cambria"/>
          <w:bCs/>
          <w:color w:val="000000" w:themeColor="text1"/>
          <w:sz w:val="16"/>
          <w:szCs w:val="16"/>
          <w:lang w:val="es-US"/>
        </w:rPr>
        <w:t xml:space="preserve">Caso Salvador Chiriboga Vs. </w:t>
      </w:r>
      <w:r w:rsidRPr="001D3E10" w:rsidDel="00971FE9">
        <w:rPr>
          <w:rFonts w:ascii="Cambria" w:hAnsi="Cambria"/>
          <w:bCs/>
          <w:color w:val="000000" w:themeColor="text1"/>
          <w:sz w:val="16"/>
          <w:szCs w:val="16"/>
        </w:rPr>
        <w:t>Ecuador. Excepción Preliminar y Fondo. Sentencia de 6 de mayo de 2008. Serie C No. 179, párr. 83</w:t>
      </w:r>
      <w:r w:rsidRPr="001D3E10">
        <w:rPr>
          <w:rFonts w:ascii="Cambria" w:hAnsi="Cambria"/>
          <w:bCs/>
          <w:color w:val="000000" w:themeColor="text1"/>
          <w:sz w:val="16"/>
          <w:szCs w:val="16"/>
        </w:rPr>
        <w:t>.</w:t>
      </w:r>
      <w:r w:rsidRPr="001D3E10" w:rsidDel="00971FE9">
        <w:rPr>
          <w:rFonts w:ascii="Cambria" w:hAnsi="Cambria"/>
          <w:bCs/>
          <w:color w:val="000000" w:themeColor="text1"/>
          <w:sz w:val="16"/>
          <w:szCs w:val="16"/>
        </w:rPr>
        <w:t>,</w:t>
      </w:r>
      <w:r w:rsidRPr="001D3E10">
        <w:rPr>
          <w:rFonts w:ascii="Cambria" w:hAnsi="Cambria"/>
          <w:bCs/>
          <w:color w:val="000000" w:themeColor="text1"/>
          <w:sz w:val="16"/>
          <w:szCs w:val="16"/>
        </w:rPr>
        <w:t xml:space="preserve"> </w:t>
      </w:r>
      <w:r w:rsidRPr="001D3E10">
        <w:rPr>
          <w:rFonts w:ascii="Cambria" w:hAnsi="Cambria"/>
          <w:color w:val="000000" w:themeColor="text1"/>
          <w:sz w:val="16"/>
          <w:szCs w:val="16"/>
          <w:lang w:eastAsia="x-none"/>
        </w:rPr>
        <w:t>Caso Furlan y familiares Vs. Argentina</w:t>
      </w:r>
      <w:r w:rsidRPr="001D3E10">
        <w:rPr>
          <w:rFonts w:ascii="Cambria" w:hAnsi="Cambria"/>
          <w:bCs/>
          <w:color w:val="000000" w:themeColor="text1"/>
          <w:sz w:val="16"/>
          <w:szCs w:val="16"/>
        </w:rPr>
        <w:t>, párr. 156 y Caso Quispialaya Vilcapoma Vs. Perú, párr. 179</w:t>
      </w:r>
      <w:r w:rsidRPr="001D3E10">
        <w:rPr>
          <w:rFonts w:ascii="Cambria" w:hAnsi="Cambria"/>
          <w:color w:val="000000" w:themeColor="text1"/>
          <w:sz w:val="16"/>
          <w:szCs w:val="16"/>
        </w:rPr>
        <w:t xml:space="preserve">. Asimismo, </w:t>
      </w:r>
      <w:r w:rsidRPr="001D3E10">
        <w:rPr>
          <w:rFonts w:ascii="Cambria" w:hAnsi="Cambria"/>
          <w:bCs/>
          <w:color w:val="000000" w:themeColor="text1"/>
          <w:sz w:val="16"/>
          <w:szCs w:val="16"/>
        </w:rPr>
        <w:t>Caso Salvador Chiriboga Vs. Ecuador. Excepción Preliminar y Fondo. Sentencia de 6 de mayo de 2008. Serie C No. 179, párr. 83.</w:t>
      </w:r>
    </w:p>
  </w:footnote>
  <w:footnote w:id="38">
    <w:p w14:paraId="105E7403" w14:textId="77777777" w:rsidR="00CB7C3D" w:rsidRPr="001D3E10" w:rsidRDefault="00CB7C3D" w:rsidP="00DB4B16">
      <w:pPr>
        <w:spacing w:after="0"/>
        <w:jc w:val="both"/>
        <w:rPr>
          <w:rFonts w:ascii="Cambria" w:hAnsi="Cambria"/>
          <w:color w:val="000000" w:themeColor="text1"/>
          <w:sz w:val="16"/>
          <w:szCs w:val="16"/>
          <w:lang w:eastAsia="x-none"/>
        </w:rPr>
      </w:pPr>
      <w:r w:rsidRPr="001D3E10">
        <w:rPr>
          <w:rStyle w:val="FootnoteReference"/>
          <w:rFonts w:ascii="Cambria" w:hAnsi="Cambria"/>
          <w:color w:val="000000" w:themeColor="text1"/>
          <w:sz w:val="16"/>
          <w:szCs w:val="16"/>
        </w:rPr>
        <w:footnoteRef/>
      </w:r>
      <w:r w:rsidRPr="001D3E10">
        <w:rPr>
          <w:rFonts w:ascii="Cambria" w:hAnsi="Cambria"/>
          <w:color w:val="000000" w:themeColor="text1"/>
          <w:sz w:val="16"/>
          <w:szCs w:val="16"/>
        </w:rPr>
        <w:t xml:space="preserve"> Corte IDH. </w:t>
      </w:r>
      <w:r w:rsidRPr="001D3E10">
        <w:rPr>
          <w:rFonts w:ascii="Cambria" w:hAnsi="Cambria"/>
          <w:bCs/>
          <w:color w:val="000000" w:themeColor="text1"/>
          <w:sz w:val="16"/>
          <w:szCs w:val="16"/>
        </w:rPr>
        <w:t>Caso Furlan y familiares Vs. Argentina, párr. 156.</w:t>
      </w:r>
      <w:r w:rsidRPr="001D3E10">
        <w:rPr>
          <w:rFonts w:ascii="Cambria" w:hAnsi="Cambria" w:cs="Verdana"/>
          <w:color w:val="000000" w:themeColor="text1"/>
          <w:sz w:val="16"/>
          <w:szCs w:val="16"/>
          <w:lang w:eastAsia="x-none"/>
        </w:rPr>
        <w:t xml:space="preserve"> </w:t>
      </w:r>
      <w:r w:rsidRPr="001D3E10">
        <w:rPr>
          <w:rFonts w:ascii="Cambria" w:hAnsi="Cambria"/>
          <w:bCs/>
          <w:color w:val="000000" w:themeColor="text1"/>
          <w:sz w:val="16"/>
          <w:szCs w:val="16"/>
        </w:rPr>
        <w:t>y Caso Quispialaya Vilcapoma Vs. Perú, párr. 179. Asimismo, Caso de la Masacre de Pueblo Bello Vs. Colombia, párr. 184, Caso de las Masacres de Ituango Vs. Colombia. Excepción Preliminar, Fondo, Reparaciones y Costas. Sentencia de 1 de julio de 2006. Serie C No. 148, párr. 293.</w:t>
      </w:r>
    </w:p>
  </w:footnote>
  <w:footnote w:id="39">
    <w:p w14:paraId="12955D87" w14:textId="42338C39" w:rsidR="00CB7C3D" w:rsidRPr="001D3E10" w:rsidRDefault="00CB7C3D" w:rsidP="00DB4B16">
      <w:pPr>
        <w:tabs>
          <w:tab w:val="left" w:pos="720"/>
        </w:tabs>
        <w:spacing w:after="0"/>
        <w:jc w:val="both"/>
        <w:rPr>
          <w:rFonts w:ascii="Cambria" w:eastAsia="Times New Roman" w:hAnsi="Cambria"/>
          <w:color w:val="000000" w:themeColor="text1"/>
          <w:sz w:val="16"/>
          <w:szCs w:val="16"/>
        </w:rPr>
      </w:pPr>
      <w:r w:rsidRPr="001D3E10">
        <w:rPr>
          <w:rStyle w:val="FootnoteReference"/>
          <w:rFonts w:ascii="Cambria" w:hAnsi="Cambria"/>
          <w:color w:val="000000" w:themeColor="text1"/>
          <w:sz w:val="16"/>
          <w:szCs w:val="16"/>
        </w:rPr>
        <w:footnoteRef/>
      </w:r>
      <w:r w:rsidRPr="001708FB">
        <w:rPr>
          <w:rFonts w:ascii="Cambria" w:hAnsi="Cambria"/>
          <w:color w:val="000000" w:themeColor="text1"/>
          <w:sz w:val="16"/>
          <w:szCs w:val="16"/>
          <w:lang w:val="es-US"/>
        </w:rPr>
        <w:t xml:space="preserve"> </w:t>
      </w:r>
      <w:r w:rsidRPr="001708FB">
        <w:rPr>
          <w:rFonts w:ascii="Cambria" w:eastAsia="Times New Roman" w:hAnsi="Cambria"/>
          <w:bCs/>
          <w:color w:val="000000" w:themeColor="text1"/>
          <w:sz w:val="16"/>
          <w:szCs w:val="16"/>
          <w:lang w:val="es-US"/>
        </w:rPr>
        <w:t xml:space="preserve">Corte IDH. Caso Andrade Salmón Vs. </w:t>
      </w:r>
      <w:r w:rsidRPr="001D3E10">
        <w:rPr>
          <w:rFonts w:ascii="Cambria" w:eastAsia="Times New Roman" w:hAnsi="Cambria"/>
          <w:bCs/>
          <w:color w:val="000000" w:themeColor="text1"/>
          <w:sz w:val="16"/>
          <w:szCs w:val="16"/>
        </w:rPr>
        <w:t>Bolivia. Fondo, Reparaciones y Costas. Sentencia de 1 de diciembre de 2016. Serie C No. 330. Párr. 159.</w:t>
      </w:r>
    </w:p>
  </w:footnote>
  <w:footnote w:id="40">
    <w:p w14:paraId="0731ADA2" w14:textId="77777777" w:rsidR="00CB7C3D" w:rsidRPr="001D3E10" w:rsidRDefault="00CB7C3D" w:rsidP="00DB4B16">
      <w:pPr>
        <w:tabs>
          <w:tab w:val="left" w:pos="720"/>
        </w:tabs>
        <w:spacing w:after="0"/>
        <w:jc w:val="both"/>
        <w:rPr>
          <w:rFonts w:ascii="Cambria" w:hAnsi="Cambria"/>
          <w:color w:val="000000" w:themeColor="text1"/>
          <w:sz w:val="16"/>
          <w:szCs w:val="16"/>
        </w:rPr>
      </w:pPr>
      <w:r w:rsidRPr="001D3E10">
        <w:rPr>
          <w:rStyle w:val="FootnoteReference"/>
          <w:rFonts w:ascii="Cambria" w:hAnsi="Cambria"/>
          <w:color w:val="000000" w:themeColor="text1"/>
          <w:sz w:val="16"/>
          <w:szCs w:val="16"/>
        </w:rPr>
        <w:footnoteRef/>
      </w:r>
      <w:r w:rsidRPr="001D3E10">
        <w:rPr>
          <w:rFonts w:ascii="Cambria" w:hAnsi="Cambria"/>
          <w:color w:val="000000" w:themeColor="text1"/>
          <w:sz w:val="16"/>
          <w:szCs w:val="16"/>
        </w:rPr>
        <w:t xml:space="preserve"> CIDH. Informe No. 3/16. Caso 12.916. Fondo. Nitza Paola Alvarado Espinoza, Rocío Irene Alvarado Reyes, José Angel Alvarado Herrera y otros. México. 13 de abril de 2016. Párr. 273.</w:t>
      </w:r>
    </w:p>
  </w:footnote>
  <w:footnote w:id="41">
    <w:p w14:paraId="17DECC10" w14:textId="77777777" w:rsidR="00CB7C3D" w:rsidRPr="001D3E10" w:rsidRDefault="00CB7C3D" w:rsidP="00DB4B16">
      <w:pPr>
        <w:pStyle w:val="FootnoteText"/>
        <w:jc w:val="both"/>
        <w:rPr>
          <w:rFonts w:ascii="Cambria" w:hAnsi="Cambria"/>
          <w:bCs/>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Corte IDH. Caso Myrna Mack Chang Vs. Guatemala. Fondo, Reparaciones y Costas. Sentencia de 25 de noviembre de 2003. Serie C No. 101., párr. 211, y Caso García Ibarra y otros Vs. Ecuador, párr. 132.</w:t>
      </w:r>
    </w:p>
  </w:footnote>
  <w:footnote w:id="42">
    <w:p w14:paraId="59473BBB" w14:textId="38371C0D" w:rsidR="00CB7C3D" w:rsidRPr="001D3E10" w:rsidRDefault="00CB7C3D" w:rsidP="00DB4B16">
      <w:pPr>
        <w:tabs>
          <w:tab w:val="left" w:pos="720"/>
        </w:tabs>
        <w:spacing w:after="0"/>
        <w:jc w:val="both"/>
        <w:rPr>
          <w:rFonts w:ascii="Cambria" w:eastAsia="Times New Roman" w:hAnsi="Cambria"/>
          <w:color w:val="000000" w:themeColor="text1"/>
          <w:sz w:val="16"/>
          <w:szCs w:val="16"/>
        </w:rPr>
      </w:pPr>
      <w:r w:rsidRPr="001D3E10">
        <w:rPr>
          <w:rStyle w:val="FootnoteReference"/>
          <w:rFonts w:ascii="Cambria" w:hAnsi="Cambria"/>
          <w:color w:val="000000" w:themeColor="text1"/>
          <w:sz w:val="16"/>
          <w:szCs w:val="16"/>
        </w:rPr>
        <w:footnoteRef/>
      </w:r>
      <w:r w:rsidRPr="001D3E10">
        <w:rPr>
          <w:rFonts w:ascii="Cambria" w:hAnsi="Cambria"/>
          <w:color w:val="000000" w:themeColor="text1"/>
          <w:sz w:val="16"/>
          <w:szCs w:val="16"/>
        </w:rPr>
        <w:t xml:space="preserve"> </w:t>
      </w:r>
      <w:r w:rsidRPr="001D3E10">
        <w:rPr>
          <w:rFonts w:ascii="Cambria" w:eastAsia="Times New Roman" w:hAnsi="Cambria"/>
          <w:bCs/>
          <w:color w:val="000000" w:themeColor="text1"/>
          <w:sz w:val="16"/>
          <w:szCs w:val="16"/>
        </w:rPr>
        <w:t xml:space="preserve">Corte IDH. Caso Furlan y familiares Vs. Argentina. Excepciones Preliminares, Fondo, Reparaciones y Costas. Sentencia de 31 de agosto de 2012. Serie C No. 246. Párr. 169; Corte IDH. Caso Mémoli Vs. Argentina. Excepciones Preliminares, Fondo, Reparaciones y Costas. Sentencia de 22 de agosto de 2013. Serie C No. 265. Párrs. 171 y 176. </w:t>
      </w:r>
    </w:p>
  </w:footnote>
  <w:footnote w:id="43">
    <w:p w14:paraId="1CCB5E6F" w14:textId="77777777" w:rsidR="00CB7C3D" w:rsidRPr="001D3E10" w:rsidRDefault="00CB7C3D" w:rsidP="00DB4B16">
      <w:pPr>
        <w:pStyle w:val="FootnoteText"/>
        <w:jc w:val="both"/>
        <w:rPr>
          <w:rFonts w:ascii="Cambria" w:hAnsi="Cambria"/>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Corte Europea de Derechos Humanos, </w:t>
      </w:r>
      <w:r w:rsidRPr="001D3E10">
        <w:rPr>
          <w:rFonts w:ascii="Cambria" w:hAnsi="Cambria"/>
          <w:iCs/>
          <w:color w:val="000000" w:themeColor="text1"/>
          <w:sz w:val="16"/>
          <w:szCs w:val="16"/>
          <w:lang w:val="es-AR"/>
        </w:rPr>
        <w:t xml:space="preserve">Scordino v. Italy (no. 1) </w:t>
      </w:r>
      <w:r w:rsidRPr="001D3E10">
        <w:rPr>
          <w:rFonts w:ascii="Cambria" w:hAnsi="Cambria"/>
          <w:color w:val="000000" w:themeColor="text1"/>
          <w:sz w:val="16"/>
          <w:szCs w:val="16"/>
          <w:lang w:val="es-AR"/>
        </w:rPr>
        <w:t xml:space="preserve">[GC]. Sentencia del 29 de marzo de 2006, Aplicación No. 36813/97, párr. 183. </w:t>
      </w:r>
    </w:p>
  </w:footnote>
  <w:footnote w:id="44">
    <w:p w14:paraId="40F29893" w14:textId="77777777" w:rsidR="00CB7C3D" w:rsidRPr="001D3E10" w:rsidRDefault="00CB7C3D" w:rsidP="00DB4B16">
      <w:pPr>
        <w:pStyle w:val="FootnoteText"/>
        <w:jc w:val="both"/>
        <w:rPr>
          <w:rFonts w:ascii="Cambria" w:hAnsi="Cambria"/>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1708FB">
        <w:rPr>
          <w:rFonts w:ascii="Cambria" w:hAnsi="Cambria"/>
          <w:color w:val="000000" w:themeColor="text1"/>
          <w:sz w:val="16"/>
          <w:szCs w:val="16"/>
          <w:lang w:val="es-US"/>
        </w:rPr>
        <w:t xml:space="preserve"> Corte IDH. </w:t>
      </w:r>
      <w:r w:rsidRPr="001708FB">
        <w:rPr>
          <w:rFonts w:ascii="Cambria" w:hAnsi="Cambria"/>
          <w:bCs/>
          <w:color w:val="000000" w:themeColor="text1"/>
          <w:sz w:val="16"/>
          <w:szCs w:val="16"/>
          <w:lang w:val="es-US"/>
        </w:rPr>
        <w:t xml:space="preserve">Caso Fornerón e hija Vs. </w:t>
      </w:r>
      <w:r w:rsidRPr="001D3E10">
        <w:rPr>
          <w:rFonts w:ascii="Cambria" w:hAnsi="Cambria"/>
          <w:bCs/>
          <w:color w:val="000000" w:themeColor="text1"/>
          <w:sz w:val="16"/>
          <w:szCs w:val="16"/>
          <w:lang w:val="es-AR"/>
        </w:rPr>
        <w:t>Argentina. Fondo, Reparaciones y Costas. Sentencia de 27 de abril de 2012. Serie C No. 242, párr. 69.</w:t>
      </w:r>
    </w:p>
  </w:footnote>
  <w:footnote w:id="45">
    <w:p w14:paraId="35D4077C" w14:textId="77777777" w:rsidR="00CB7C3D" w:rsidRPr="001D3E10" w:rsidRDefault="00CB7C3D" w:rsidP="00DB4B16">
      <w:pPr>
        <w:pStyle w:val="FootnoteText"/>
        <w:jc w:val="both"/>
        <w:rPr>
          <w:rFonts w:ascii="Cambria" w:hAnsi="Cambria"/>
          <w:color w:val="000000" w:themeColor="text1"/>
          <w:sz w:val="16"/>
          <w:szCs w:val="16"/>
          <w:highlight w:val="yellow"/>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Corte Europea de Derechos Humanos, </w:t>
      </w:r>
      <w:r w:rsidRPr="001D3E10">
        <w:rPr>
          <w:rFonts w:ascii="Cambria" w:hAnsi="Cambria"/>
          <w:iCs/>
          <w:color w:val="000000" w:themeColor="text1"/>
          <w:sz w:val="16"/>
          <w:szCs w:val="16"/>
          <w:lang w:val="es-AR"/>
        </w:rPr>
        <w:t>Pafitis and Others v. Greece</w:t>
      </w:r>
      <w:r w:rsidRPr="001D3E10">
        <w:rPr>
          <w:rFonts w:ascii="Cambria" w:hAnsi="Cambria"/>
          <w:color w:val="000000" w:themeColor="text1"/>
          <w:sz w:val="16"/>
          <w:szCs w:val="16"/>
          <w:lang w:val="es-AR"/>
        </w:rPr>
        <w:t xml:space="preserve">. Sentencia del 26 de febrero 1998. Aplicación No. </w:t>
      </w:r>
      <w:r w:rsidRPr="001D3E10">
        <w:rPr>
          <w:rFonts w:ascii="Cambria" w:hAnsi="Cambria"/>
          <w:bCs/>
          <w:color w:val="000000" w:themeColor="text1"/>
          <w:sz w:val="16"/>
          <w:szCs w:val="16"/>
          <w:lang w:val="es-AR"/>
        </w:rPr>
        <w:t>163/1996/782/983</w:t>
      </w:r>
      <w:r w:rsidRPr="001D3E10">
        <w:rPr>
          <w:rFonts w:ascii="Cambria" w:hAnsi="Cambria"/>
          <w:color w:val="000000" w:themeColor="text1"/>
          <w:sz w:val="16"/>
          <w:szCs w:val="16"/>
          <w:lang w:val="es-AR"/>
        </w:rPr>
        <w:t xml:space="preserve">, párr. 93; Corte Europea de Derechos Humanos. </w:t>
      </w:r>
      <w:r w:rsidRPr="001D3E10">
        <w:rPr>
          <w:rFonts w:ascii="Cambria" w:hAnsi="Cambria"/>
          <w:iCs/>
          <w:color w:val="000000" w:themeColor="text1"/>
          <w:sz w:val="16"/>
          <w:szCs w:val="16"/>
          <w:lang w:val="es-AR"/>
        </w:rPr>
        <w:t>Tierce v. San Marino</w:t>
      </w:r>
      <w:r w:rsidRPr="001D3E10">
        <w:rPr>
          <w:rFonts w:ascii="Cambria" w:hAnsi="Cambria"/>
          <w:color w:val="000000" w:themeColor="text1"/>
          <w:sz w:val="16"/>
          <w:szCs w:val="16"/>
          <w:lang w:val="es-AR"/>
        </w:rPr>
        <w:t xml:space="preserve">. Sentencia del 17 de junio de 2003. Aplicación No. 69700/01, párr. 31; Corte Europea de Derechos Humanos. </w:t>
      </w:r>
      <w:r w:rsidRPr="001D3E10">
        <w:rPr>
          <w:rFonts w:ascii="Cambria" w:hAnsi="Cambria"/>
          <w:iCs/>
          <w:color w:val="000000" w:themeColor="text1"/>
          <w:sz w:val="16"/>
          <w:szCs w:val="16"/>
          <w:lang w:val="es-AR"/>
        </w:rPr>
        <w:t xml:space="preserve">Sürmeli v. Germany </w:t>
      </w:r>
      <w:r w:rsidRPr="001D3E10">
        <w:rPr>
          <w:rFonts w:ascii="Cambria" w:hAnsi="Cambria"/>
          <w:color w:val="000000" w:themeColor="text1"/>
          <w:sz w:val="16"/>
          <w:szCs w:val="16"/>
          <w:lang w:val="es-AR"/>
        </w:rPr>
        <w:t xml:space="preserve">[GC]. Sentencia del 8 de junio de 2006. Aplicación No. 75529/01, párr. 129. </w:t>
      </w:r>
    </w:p>
  </w:footnote>
  <w:footnote w:id="46">
    <w:p w14:paraId="222FEFD9" w14:textId="77777777" w:rsidR="00CB7C3D" w:rsidRPr="001D3E10" w:rsidRDefault="00CB7C3D" w:rsidP="00DB4B16">
      <w:pPr>
        <w:pStyle w:val="FootnoteText"/>
        <w:jc w:val="both"/>
        <w:rPr>
          <w:rFonts w:ascii="Cambria" w:hAnsi="Cambria"/>
          <w:color w:val="000000" w:themeColor="text1"/>
          <w:sz w:val="16"/>
          <w:szCs w:val="16"/>
          <w:highlight w:val="yellow"/>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Corte Europea de Derechos Humanos, </w:t>
      </w:r>
      <w:r w:rsidRPr="001D3E10">
        <w:rPr>
          <w:rFonts w:ascii="Cambria" w:hAnsi="Cambria"/>
          <w:iCs/>
          <w:color w:val="000000" w:themeColor="text1"/>
          <w:sz w:val="16"/>
          <w:szCs w:val="16"/>
          <w:lang w:val="es-AR"/>
        </w:rPr>
        <w:t>Capuano v. Italy</w:t>
      </w:r>
      <w:r w:rsidRPr="001D3E10">
        <w:rPr>
          <w:rFonts w:ascii="Cambria" w:hAnsi="Cambria"/>
          <w:color w:val="000000" w:themeColor="text1"/>
          <w:sz w:val="16"/>
          <w:szCs w:val="16"/>
          <w:lang w:val="es-AR"/>
        </w:rPr>
        <w:t>. Sentencia del 25 de junio de 1987. Aplicación No. 9381/81, párrs 30-31; Corte Europea de Derechos Humanos</w:t>
      </w:r>
      <w:r w:rsidRPr="001D3E10">
        <w:rPr>
          <w:rFonts w:ascii="Cambria" w:hAnsi="Cambria"/>
          <w:iCs/>
          <w:color w:val="000000" w:themeColor="text1"/>
          <w:sz w:val="16"/>
          <w:szCs w:val="16"/>
          <w:lang w:val="es-AR"/>
        </w:rPr>
        <w:t>. Versini v. France</w:t>
      </w:r>
      <w:r w:rsidRPr="001D3E10">
        <w:rPr>
          <w:rFonts w:ascii="Cambria" w:hAnsi="Cambria"/>
          <w:color w:val="000000" w:themeColor="text1"/>
          <w:sz w:val="16"/>
          <w:szCs w:val="16"/>
          <w:lang w:val="es-AR"/>
        </w:rPr>
        <w:t xml:space="preserve">, Sentencia del 10 de julio de 2001. Aplicación No. 40096/98, párr. 29; Corte Europea de Derechos Humanos. </w:t>
      </w:r>
      <w:r w:rsidRPr="001D3E10">
        <w:rPr>
          <w:rFonts w:ascii="Cambria" w:hAnsi="Cambria"/>
          <w:iCs/>
          <w:color w:val="000000" w:themeColor="text1"/>
          <w:sz w:val="16"/>
          <w:szCs w:val="16"/>
          <w:lang w:val="es-AR"/>
        </w:rPr>
        <w:t xml:space="preserve">Sürmeli v. Germany </w:t>
      </w:r>
      <w:r w:rsidRPr="001D3E10">
        <w:rPr>
          <w:rFonts w:ascii="Cambria" w:hAnsi="Cambria"/>
          <w:color w:val="000000" w:themeColor="text1"/>
          <w:sz w:val="16"/>
          <w:szCs w:val="16"/>
          <w:lang w:val="es-AR"/>
        </w:rPr>
        <w:t>[GC]. Sentencia del 8 de junio de 2006. Aplicación No. 75529/01, párr. 129.</w:t>
      </w:r>
    </w:p>
  </w:footnote>
  <w:footnote w:id="47">
    <w:p w14:paraId="24111C78" w14:textId="77777777" w:rsidR="00CB7C3D" w:rsidRPr="001D3E10" w:rsidRDefault="00CB7C3D" w:rsidP="00DB4B16">
      <w:pPr>
        <w:pStyle w:val="FootnoteText"/>
        <w:jc w:val="both"/>
        <w:rPr>
          <w:rFonts w:ascii="Cambria" w:hAnsi="Cambria"/>
          <w:color w:val="000000" w:themeColor="text1"/>
          <w:sz w:val="16"/>
          <w:szCs w:val="16"/>
          <w:highlight w:val="yellow"/>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Corte Europea de Derechos Humanos. </w:t>
      </w:r>
      <w:r w:rsidRPr="001D3E10">
        <w:rPr>
          <w:rFonts w:ascii="Cambria" w:hAnsi="Cambria"/>
          <w:iCs/>
          <w:color w:val="000000" w:themeColor="text1"/>
          <w:sz w:val="16"/>
          <w:szCs w:val="16"/>
          <w:lang w:val="es-AR"/>
        </w:rPr>
        <w:t>Deumeland v. Germany</w:t>
      </w:r>
      <w:r w:rsidRPr="001D3E10">
        <w:rPr>
          <w:rFonts w:ascii="Cambria" w:hAnsi="Cambria"/>
          <w:color w:val="000000" w:themeColor="text1"/>
          <w:sz w:val="16"/>
          <w:szCs w:val="16"/>
          <w:lang w:val="es-AR"/>
        </w:rPr>
        <w:t>. Sentencia del 29 de mayo de 1986, Aplicación No. 9384/81, párr. 90.</w:t>
      </w:r>
    </w:p>
  </w:footnote>
  <w:footnote w:id="48">
    <w:p w14:paraId="3F7DE9C1" w14:textId="77777777" w:rsidR="00CB7C3D" w:rsidRPr="00F26962" w:rsidRDefault="00CB7C3D" w:rsidP="00DB4B16">
      <w:pPr>
        <w:pStyle w:val="FootnoteText"/>
        <w:jc w:val="both"/>
        <w:rPr>
          <w:rFonts w:ascii="Cambria" w:hAnsi="Cambria"/>
          <w:color w:val="000000" w:themeColor="text1"/>
          <w:sz w:val="16"/>
          <w:szCs w:val="16"/>
          <w:lang w:val="pt-B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Corte Europea de Derechos Humanos.</w:t>
      </w:r>
      <w:r w:rsidRPr="001D3E10">
        <w:rPr>
          <w:rFonts w:ascii="Cambria" w:hAnsi="Cambria"/>
          <w:iCs/>
          <w:color w:val="000000" w:themeColor="text1"/>
          <w:sz w:val="16"/>
          <w:szCs w:val="16"/>
          <w:lang w:val="es-AR"/>
        </w:rPr>
        <w:t xml:space="preserve"> Pretto and Others v. Italy. </w:t>
      </w:r>
      <w:r w:rsidRPr="001D3E10">
        <w:rPr>
          <w:rFonts w:ascii="Cambria" w:hAnsi="Cambria"/>
          <w:color w:val="000000" w:themeColor="text1"/>
          <w:sz w:val="16"/>
          <w:szCs w:val="16"/>
          <w:lang w:val="es-AR"/>
        </w:rPr>
        <w:t xml:space="preserve"> Sentencia del 8 de diciembre de 1983, Aplicación No. 7984/77, párr. </w:t>
      </w:r>
      <w:r w:rsidRPr="00F26962">
        <w:rPr>
          <w:rFonts w:ascii="Cambria" w:hAnsi="Cambria"/>
          <w:color w:val="000000" w:themeColor="text1"/>
          <w:sz w:val="16"/>
          <w:szCs w:val="16"/>
          <w:lang w:val="pt-BR"/>
        </w:rPr>
        <w:t>37.</w:t>
      </w:r>
    </w:p>
  </w:footnote>
  <w:footnote w:id="49">
    <w:p w14:paraId="5C7D79DD" w14:textId="77777777" w:rsidR="00CB7C3D" w:rsidRPr="001D3E10" w:rsidRDefault="00CB7C3D" w:rsidP="00DB4B16">
      <w:pPr>
        <w:pStyle w:val="FootnoteText"/>
        <w:jc w:val="both"/>
        <w:rPr>
          <w:rFonts w:ascii="Cambria" w:hAnsi="Cambria"/>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F26962">
        <w:rPr>
          <w:rFonts w:ascii="Cambria" w:hAnsi="Cambria"/>
          <w:color w:val="000000" w:themeColor="text1"/>
          <w:sz w:val="16"/>
          <w:szCs w:val="16"/>
          <w:lang w:val="pt-BR"/>
        </w:rPr>
        <w:t xml:space="preserve"> Corte Europea de Derechos Humanos, </w:t>
      </w:r>
      <w:r w:rsidRPr="00F26962">
        <w:rPr>
          <w:rFonts w:ascii="Cambria" w:hAnsi="Cambria"/>
          <w:iCs/>
          <w:color w:val="000000" w:themeColor="text1"/>
          <w:sz w:val="16"/>
          <w:szCs w:val="16"/>
          <w:lang w:val="pt-BR"/>
        </w:rPr>
        <w:t xml:space="preserve">Martins Moreira v. Portugal </w:t>
      </w:r>
      <w:r w:rsidRPr="00F26962">
        <w:rPr>
          <w:rFonts w:ascii="Cambria" w:hAnsi="Cambria"/>
          <w:color w:val="000000" w:themeColor="text1"/>
          <w:sz w:val="16"/>
          <w:szCs w:val="16"/>
          <w:lang w:val="pt-BR"/>
        </w:rPr>
        <w:t xml:space="preserve">[GC]. </w:t>
      </w:r>
      <w:r w:rsidRPr="001D3E10">
        <w:rPr>
          <w:rFonts w:ascii="Cambria" w:hAnsi="Cambria"/>
          <w:color w:val="000000" w:themeColor="text1"/>
          <w:sz w:val="16"/>
          <w:szCs w:val="16"/>
          <w:lang w:val="es-AR"/>
        </w:rPr>
        <w:t>Sentencia del 11 de julio de 2017. Aplicación No. 19867/12, párr. 60.</w:t>
      </w:r>
    </w:p>
  </w:footnote>
  <w:footnote w:id="50">
    <w:p w14:paraId="54B8EA93" w14:textId="1AEEE51C" w:rsidR="00CB7C3D" w:rsidRPr="001D3E10" w:rsidRDefault="00CB7C3D" w:rsidP="00DB4B16">
      <w:pPr>
        <w:pStyle w:val="FootnoteText"/>
        <w:jc w:val="both"/>
        <w:rPr>
          <w:rFonts w:ascii="Cambria" w:hAnsi="Cambria"/>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Corte IDH. </w:t>
      </w:r>
      <w:r w:rsidRPr="001D3E10">
        <w:rPr>
          <w:rFonts w:ascii="Cambria" w:hAnsi="Cambria"/>
          <w:bCs/>
          <w:color w:val="000000" w:themeColor="text1"/>
          <w:sz w:val="16"/>
          <w:szCs w:val="16"/>
          <w:lang w:val="es-AR"/>
        </w:rPr>
        <w:t>Caso Valle Jaramillo y otros Vs. Colombia, párr. 155, y Caso Furlan y familiares Vs. Argentina, párr. 202.</w:t>
      </w:r>
    </w:p>
  </w:footnote>
  <w:footnote w:id="51">
    <w:p w14:paraId="550BFAB1" w14:textId="77777777" w:rsidR="00CB7C3D" w:rsidRPr="001D3E10" w:rsidRDefault="00CB7C3D" w:rsidP="00DB4B16">
      <w:pPr>
        <w:tabs>
          <w:tab w:val="left" w:pos="720"/>
        </w:tabs>
        <w:spacing w:after="0"/>
        <w:jc w:val="both"/>
        <w:rPr>
          <w:rFonts w:ascii="Cambria" w:eastAsia="Times New Roman" w:hAnsi="Cambria"/>
          <w:color w:val="000000" w:themeColor="text1"/>
          <w:sz w:val="16"/>
          <w:szCs w:val="16"/>
        </w:rPr>
      </w:pPr>
      <w:r w:rsidRPr="001D3E10">
        <w:rPr>
          <w:rStyle w:val="FootnoteReference"/>
          <w:rFonts w:ascii="Cambria" w:hAnsi="Cambria"/>
          <w:color w:val="000000" w:themeColor="text1"/>
          <w:sz w:val="16"/>
          <w:szCs w:val="16"/>
        </w:rPr>
        <w:footnoteRef/>
      </w:r>
      <w:r w:rsidRPr="001D3E10">
        <w:rPr>
          <w:rFonts w:ascii="Cambria" w:hAnsi="Cambria"/>
          <w:color w:val="000000" w:themeColor="text1"/>
          <w:sz w:val="16"/>
          <w:szCs w:val="16"/>
        </w:rPr>
        <w:t xml:space="preserve"> </w:t>
      </w:r>
      <w:r w:rsidRPr="001D3E10">
        <w:rPr>
          <w:rFonts w:ascii="Cambria" w:eastAsia="Times New Roman" w:hAnsi="Cambria"/>
          <w:bCs/>
          <w:color w:val="000000" w:themeColor="text1"/>
          <w:sz w:val="16"/>
          <w:szCs w:val="16"/>
        </w:rPr>
        <w:t>Corte IDH. Caso Furlan y familiares Vs. Argentina. Excepciones Preliminares, Fondo, Reparaciones y Costas. Sentencia de 31 de agosto de 2012. Serie C No. 246. Párr. 196.</w:t>
      </w:r>
    </w:p>
  </w:footnote>
  <w:footnote w:id="52">
    <w:p w14:paraId="479D4AB7" w14:textId="77777777" w:rsidR="00CB7C3D" w:rsidRPr="001D3E10" w:rsidRDefault="00CB7C3D" w:rsidP="00DB4B16">
      <w:pPr>
        <w:pStyle w:val="FootnoteText"/>
        <w:jc w:val="both"/>
        <w:rPr>
          <w:rFonts w:ascii="Cambria" w:hAnsi="Cambria"/>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Corte Europea de Derechos Humanos.</w:t>
      </w:r>
      <w:r w:rsidRPr="001D3E10">
        <w:rPr>
          <w:rFonts w:ascii="Cambria" w:hAnsi="Cambria"/>
          <w:iCs/>
          <w:color w:val="000000" w:themeColor="text1"/>
          <w:sz w:val="16"/>
          <w:szCs w:val="16"/>
          <w:lang w:val="es-AR"/>
        </w:rPr>
        <w:t xml:space="preserve"> Vocaturo v. Italy</w:t>
      </w:r>
      <w:r w:rsidRPr="001D3E10">
        <w:rPr>
          <w:rFonts w:ascii="Cambria" w:hAnsi="Cambria"/>
          <w:color w:val="000000" w:themeColor="text1"/>
          <w:sz w:val="16"/>
          <w:szCs w:val="16"/>
          <w:lang w:val="es-AR"/>
        </w:rPr>
        <w:t>. Sentencia del 24 de mayo de 1991, Aplicación No. 11981/95, párr. 17.</w:t>
      </w:r>
      <w:r w:rsidRPr="001D3E10">
        <w:rPr>
          <w:rFonts w:ascii="Cambria" w:hAnsi="Cambria"/>
          <w:color w:val="000000" w:themeColor="text1"/>
          <w:sz w:val="16"/>
          <w:szCs w:val="16"/>
          <w:lang w:val="es-AR"/>
        </w:rPr>
        <w:tab/>
      </w:r>
    </w:p>
  </w:footnote>
  <w:footnote w:id="53">
    <w:p w14:paraId="78483654" w14:textId="77777777" w:rsidR="00CB7C3D" w:rsidRPr="001D3E10" w:rsidRDefault="00CB7C3D" w:rsidP="00DB4B16">
      <w:pPr>
        <w:pStyle w:val="FootnoteText"/>
        <w:jc w:val="both"/>
        <w:rPr>
          <w:rFonts w:ascii="Cambria" w:hAnsi="Cambria"/>
          <w:b/>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CIDH. Informe No. 42/14. Caso 12.453. Fondo. Olga Yolanda Maldonado Ordóñez. Guatemala. 17 de julio de 2014. Párr. 62.</w:t>
      </w:r>
    </w:p>
  </w:footnote>
  <w:footnote w:id="54">
    <w:p w14:paraId="05592B48" w14:textId="77777777" w:rsidR="00CB7C3D" w:rsidRPr="001D3E10" w:rsidRDefault="00CB7C3D" w:rsidP="000A5E8D">
      <w:pPr>
        <w:pStyle w:val="FootnoteText"/>
        <w:jc w:val="both"/>
        <w:rPr>
          <w:rFonts w:ascii="Cambria" w:hAnsi="Cambria"/>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Corte IDH. </w:t>
      </w:r>
      <w:r w:rsidRPr="001D3E10">
        <w:rPr>
          <w:rFonts w:ascii="Cambria" w:hAnsi="Cambria" w:cs="Arial"/>
          <w:color w:val="000000" w:themeColor="text1"/>
          <w:sz w:val="16"/>
          <w:szCs w:val="16"/>
          <w:shd w:val="clear" w:color="auto" w:fill="FFFFFF"/>
          <w:lang w:val="es-AR"/>
        </w:rPr>
        <w:t>Caso Trabajadores Cesados del Congreso (Aguado Alfaro y otros) Vs. Perú. Excepciones Preliminares, Fondo, Reparaciones y Costas. Sentencia de 24 de Noviembre de 2006. Serie C No. 158</w:t>
      </w:r>
      <w:r w:rsidRPr="001D3E10">
        <w:rPr>
          <w:rFonts w:ascii="Cambria" w:hAnsi="Cambria"/>
          <w:color w:val="000000" w:themeColor="text1"/>
          <w:sz w:val="16"/>
          <w:szCs w:val="16"/>
          <w:lang w:val="es-AR"/>
        </w:rPr>
        <w:t xml:space="preserve">, párr. 107; y </w:t>
      </w:r>
      <w:hyperlink r:id="rId3" w:history="1">
        <w:r w:rsidRPr="001D3E10">
          <w:rPr>
            <w:rStyle w:val="Hyperlink"/>
            <w:rFonts w:ascii="Cambria" w:hAnsi="Cambria" w:cs="Arial"/>
            <w:color w:val="000000" w:themeColor="text1"/>
            <w:sz w:val="16"/>
            <w:szCs w:val="16"/>
            <w:shd w:val="clear" w:color="auto" w:fill="FFFFFF"/>
            <w:lang w:val="es-AR"/>
          </w:rPr>
          <w:t>Caso de las Masacres de Ituango Vs. Colombia. Sentencia de 1 de julio de 2006 Serie C No. 148</w:t>
        </w:r>
      </w:hyperlink>
      <w:r w:rsidRPr="001D3E10">
        <w:rPr>
          <w:rFonts w:ascii="Cambria" w:hAnsi="Cambria"/>
          <w:color w:val="000000" w:themeColor="text1"/>
          <w:sz w:val="16"/>
          <w:szCs w:val="16"/>
          <w:lang w:val="es-AR"/>
        </w:rPr>
        <w:t>, párr. 365.</w:t>
      </w:r>
    </w:p>
  </w:footnote>
  <w:footnote w:id="55">
    <w:p w14:paraId="48DE18E3" w14:textId="77777777" w:rsidR="00CB7C3D" w:rsidRPr="000635BE" w:rsidRDefault="00CB7C3D" w:rsidP="000A5E8D">
      <w:pPr>
        <w:pStyle w:val="FootnoteText"/>
        <w:jc w:val="both"/>
        <w:rPr>
          <w:rFonts w:ascii="Cambria" w:hAnsi="Cambria"/>
          <w:color w:val="000000" w:themeColor="text1"/>
          <w:sz w:val="16"/>
          <w:szCs w:val="16"/>
          <w:lang w:val="uz-Cyrl-UZ"/>
        </w:rPr>
      </w:pPr>
      <w:r w:rsidRPr="001D3E10">
        <w:rPr>
          <w:rStyle w:val="FootnoteReference"/>
          <w:rFonts w:ascii="Cambria" w:hAnsi="Cambria"/>
          <w:color w:val="000000" w:themeColor="text1"/>
          <w:sz w:val="16"/>
          <w:szCs w:val="16"/>
          <w:lang w:val="es-AR"/>
        </w:rPr>
        <w:footnoteRef/>
      </w:r>
      <w:r w:rsidRPr="001D3E10">
        <w:rPr>
          <w:rFonts w:ascii="Cambria" w:hAnsi="Cambria"/>
          <w:color w:val="000000" w:themeColor="text1"/>
          <w:sz w:val="16"/>
          <w:szCs w:val="16"/>
          <w:lang w:val="es-AR"/>
        </w:rPr>
        <w:t xml:space="preserve"> Corte IDH. </w:t>
      </w:r>
      <w:r w:rsidRPr="001D3E10">
        <w:rPr>
          <w:rFonts w:ascii="Cambria" w:hAnsi="Cambria"/>
          <w:bCs/>
          <w:color w:val="000000" w:themeColor="text1"/>
          <w:sz w:val="16"/>
          <w:szCs w:val="16"/>
          <w:lang w:val="es-AR"/>
        </w:rPr>
        <w:t>Caso Abrill Alosilla y otros Vs. Perú. Fondo, Reparaciones y Costas. Sentencia de 4 de marzo de 2011. Serie C No. 223</w:t>
      </w:r>
      <w:r w:rsidRPr="001D3E10">
        <w:rPr>
          <w:rFonts w:ascii="Cambria" w:hAnsi="Cambria"/>
          <w:color w:val="000000" w:themeColor="text1"/>
          <w:sz w:val="16"/>
          <w:szCs w:val="16"/>
          <w:lang w:val="es-AR"/>
        </w:rPr>
        <w:t>, párr. 75. Las citas internas presentes en el texto original fueron omitidas.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FB65" w14:textId="77777777" w:rsidR="00CB7C3D" w:rsidRPr="001D3E10" w:rsidRDefault="00CB7C3D" w:rsidP="0096307E">
    <w:pPr>
      <w:pStyle w:val="Header"/>
      <w:framePr w:wrap="around" w:vAnchor="text" w:hAnchor="margin" w:xAlign="center" w:y="1"/>
      <w:rPr>
        <w:rStyle w:val="PageNumber"/>
        <w:rFonts w:eastAsia="Trebuchet MS"/>
        <w:lang w:val="es-AR"/>
      </w:rPr>
    </w:pPr>
    <w:r w:rsidRPr="001D3E10">
      <w:rPr>
        <w:rStyle w:val="PageNumber"/>
        <w:rFonts w:eastAsia="Trebuchet MS"/>
        <w:lang w:val="es-AR"/>
      </w:rPr>
      <w:fldChar w:fldCharType="begin"/>
    </w:r>
    <w:r w:rsidRPr="001D3E10">
      <w:rPr>
        <w:rStyle w:val="PageNumber"/>
        <w:rFonts w:eastAsia="Trebuchet MS"/>
        <w:lang w:val="es-AR"/>
      </w:rPr>
      <w:instrText xml:space="preserve">PAGE  </w:instrText>
    </w:r>
    <w:r w:rsidRPr="001D3E10">
      <w:rPr>
        <w:rStyle w:val="PageNumber"/>
        <w:rFonts w:eastAsia="Trebuchet MS"/>
        <w:lang w:val="es-AR"/>
      </w:rPr>
      <w:fldChar w:fldCharType="end"/>
    </w:r>
  </w:p>
  <w:p w14:paraId="0B3D2BAF" w14:textId="77777777" w:rsidR="00CB7C3D" w:rsidRPr="001D3E10" w:rsidRDefault="00CB7C3D">
    <w:pPr>
      <w:pStyle w:val="Header"/>
      <w:rPr>
        <w:lang w:val="es-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F670" w14:textId="77777777" w:rsidR="00CB7C3D" w:rsidRPr="001D3E10" w:rsidRDefault="00CB7C3D" w:rsidP="0096307E">
    <w:pPr>
      <w:pStyle w:val="Header"/>
      <w:tabs>
        <w:tab w:val="clear" w:pos="4320"/>
        <w:tab w:val="clear" w:pos="8640"/>
      </w:tabs>
      <w:jc w:val="center"/>
      <w:rPr>
        <w:sz w:val="22"/>
        <w:szCs w:val="22"/>
        <w:lang w:val="es-AR"/>
      </w:rPr>
    </w:pPr>
    <w:r w:rsidRPr="001D3E10">
      <w:rPr>
        <w:noProof/>
        <w:sz w:val="22"/>
        <w:szCs w:val="22"/>
        <w:lang w:val="es-AR"/>
      </w:rPr>
      <w:drawing>
        <wp:inline distT="0" distB="0" distL="0" distR="0" wp14:anchorId="3F089C66" wp14:editId="4864C321">
          <wp:extent cx="1972945" cy="101600"/>
          <wp:effectExtent l="0" t="0" r="8255" b="0"/>
          <wp:docPr id="4"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45" cy="101600"/>
                  </a:xfrm>
                  <a:prstGeom prst="rect">
                    <a:avLst/>
                  </a:prstGeom>
                  <a:noFill/>
                  <a:ln>
                    <a:noFill/>
                  </a:ln>
                </pic:spPr>
              </pic:pic>
            </a:graphicData>
          </a:graphic>
        </wp:inline>
      </w:drawing>
    </w:r>
  </w:p>
  <w:p w14:paraId="2011F5AA" w14:textId="77777777" w:rsidR="00CB7C3D" w:rsidRPr="001D3E10" w:rsidRDefault="00E50E21" w:rsidP="0096307E">
    <w:pPr>
      <w:pStyle w:val="Header"/>
      <w:tabs>
        <w:tab w:val="clear" w:pos="4320"/>
        <w:tab w:val="clear" w:pos="8640"/>
      </w:tabs>
      <w:jc w:val="center"/>
      <w:rPr>
        <w:sz w:val="22"/>
        <w:szCs w:val="22"/>
        <w:lang w:val="es-AR"/>
      </w:rPr>
    </w:pPr>
    <w:r>
      <w:rPr>
        <w:noProof/>
        <w:sz w:val="22"/>
        <w:szCs w:val="22"/>
        <w:lang w:val="es-AR"/>
      </w:rPr>
      <w:pict w14:anchorId="5C9EAD2A">
        <v:rect id="_x0000_i1025" alt="" style="width:458.85pt;height:.05pt;mso-width-percent:0;mso-height-percent:0;mso-width-percent:0;mso-height-percent:0" o:hrpct="99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AC0D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8285E"/>
    <w:multiLevelType w:val="hybridMultilevel"/>
    <w:tmpl w:val="B5204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 w15:restartNumberingAfterBreak="0">
    <w:nsid w:val="129801AF"/>
    <w:multiLevelType w:val="hybridMultilevel"/>
    <w:tmpl w:val="8BDE28D2"/>
    <w:lvl w:ilvl="0" w:tplc="D91A6C14">
      <w:start w:val="1"/>
      <w:numFmt w:val="decimal"/>
      <w:lvlText w:val="%1."/>
      <w:lvlJc w:val="left"/>
      <w:pPr>
        <w:ind w:left="1260" w:hanging="360"/>
      </w:pPr>
      <w:rPr>
        <w:rFonts w:ascii="Cambria" w:hAnsi="Cambria" w:hint="default"/>
        <w:b w:val="0"/>
        <w:sz w:val="20"/>
        <w:szCs w:val="20"/>
      </w:rPr>
    </w:lvl>
    <w:lvl w:ilvl="1" w:tplc="04090015">
      <w:start w:val="1"/>
      <w:numFmt w:val="upperLetter"/>
      <w:lvlText w:val="%2."/>
      <w:lvlJc w:val="left"/>
      <w:pPr>
        <w:ind w:left="144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A0629A"/>
    <w:multiLevelType w:val="hybridMultilevel"/>
    <w:tmpl w:val="0C1833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C241E77"/>
    <w:multiLevelType w:val="hybridMultilevel"/>
    <w:tmpl w:val="D5D26A5C"/>
    <w:lvl w:ilvl="0" w:tplc="7498795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41DDA"/>
    <w:multiLevelType w:val="hybridMultilevel"/>
    <w:tmpl w:val="CCEC35F2"/>
    <w:lvl w:ilvl="0" w:tplc="F730B806">
      <w:start w:val="1"/>
      <w:numFmt w:val="bullet"/>
      <w:lvlText w:val=""/>
      <w:lvlJc w:val="left"/>
      <w:pPr>
        <w:ind w:left="1080" w:hanging="360"/>
      </w:pPr>
      <w:rPr>
        <w:rFonts w:ascii="Symbol" w:hAnsi="Symbol" w:hint="default"/>
        <w:b w:val="0"/>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796C84"/>
    <w:multiLevelType w:val="hybridMultilevel"/>
    <w:tmpl w:val="7D36217E"/>
    <w:lvl w:ilvl="0" w:tplc="5D4E13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779"/>
    <w:multiLevelType w:val="singleLevel"/>
    <w:tmpl w:val="6132427E"/>
    <w:lvl w:ilvl="0">
      <w:start w:val="1"/>
      <w:numFmt w:val="decimal"/>
      <w:lvlText w:val="%1."/>
      <w:lvlJc w:val="left"/>
      <w:pPr>
        <w:tabs>
          <w:tab w:val="num" w:pos="720"/>
        </w:tabs>
        <w:ind w:left="0" w:firstLine="720"/>
      </w:pPr>
      <w:rPr>
        <w:rFonts w:ascii="Cambria" w:hAnsi="Cambria" w:hint="default"/>
        <w:b w:val="0"/>
        <w:color w:val="auto"/>
        <w:sz w:val="20"/>
        <w:szCs w:val="20"/>
      </w:rPr>
    </w:lvl>
  </w:abstractNum>
  <w:abstractNum w:abstractNumId="10" w15:restartNumberingAfterBreak="0">
    <w:nsid w:val="3C430424"/>
    <w:multiLevelType w:val="hybridMultilevel"/>
    <w:tmpl w:val="28EC4CF0"/>
    <w:lvl w:ilvl="0" w:tplc="16B68ACC">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C8862D6"/>
    <w:multiLevelType w:val="hybridMultilevel"/>
    <w:tmpl w:val="50A897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E8C319B"/>
    <w:multiLevelType w:val="hybridMultilevel"/>
    <w:tmpl w:val="8BDE28D2"/>
    <w:lvl w:ilvl="0" w:tplc="D91A6C14">
      <w:start w:val="1"/>
      <w:numFmt w:val="decimal"/>
      <w:lvlText w:val="%1."/>
      <w:lvlJc w:val="left"/>
      <w:pPr>
        <w:ind w:left="1260" w:hanging="360"/>
      </w:pPr>
      <w:rPr>
        <w:rFonts w:ascii="Cambria" w:hAnsi="Cambria" w:hint="default"/>
        <w:b w:val="0"/>
        <w:sz w:val="20"/>
        <w:szCs w:val="20"/>
      </w:rPr>
    </w:lvl>
    <w:lvl w:ilvl="1" w:tplc="04090015">
      <w:start w:val="1"/>
      <w:numFmt w:val="upperLetter"/>
      <w:lvlText w:val="%2."/>
      <w:lvlJc w:val="left"/>
      <w:pPr>
        <w:ind w:left="144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3B3CE7"/>
    <w:multiLevelType w:val="hybridMultilevel"/>
    <w:tmpl w:val="8BDE28D2"/>
    <w:lvl w:ilvl="0" w:tplc="D91A6C14">
      <w:start w:val="1"/>
      <w:numFmt w:val="decimal"/>
      <w:lvlText w:val="%1."/>
      <w:lvlJc w:val="left"/>
      <w:pPr>
        <w:ind w:left="1260" w:hanging="360"/>
      </w:pPr>
      <w:rPr>
        <w:rFonts w:ascii="Cambria" w:hAnsi="Cambria" w:hint="default"/>
        <w:b w:val="0"/>
        <w:sz w:val="20"/>
        <w:szCs w:val="20"/>
      </w:rPr>
    </w:lvl>
    <w:lvl w:ilvl="1" w:tplc="04090015">
      <w:start w:val="1"/>
      <w:numFmt w:val="upperLetter"/>
      <w:lvlText w:val="%2."/>
      <w:lvlJc w:val="left"/>
      <w:pPr>
        <w:ind w:left="144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6B6C6D"/>
    <w:multiLevelType w:val="hybridMultilevel"/>
    <w:tmpl w:val="DD5A44F2"/>
    <w:lvl w:ilvl="0" w:tplc="7006101A">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C0F2F"/>
    <w:multiLevelType w:val="multilevel"/>
    <w:tmpl w:val="E0D62788"/>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B8905C2"/>
    <w:multiLevelType w:val="hybridMultilevel"/>
    <w:tmpl w:val="2B5A99AA"/>
    <w:lvl w:ilvl="0" w:tplc="84509A94">
      <w:start w:val="1"/>
      <w:numFmt w:val="decimal"/>
      <w:lvlText w:val="%1."/>
      <w:lvlJc w:val="left"/>
      <w:pPr>
        <w:tabs>
          <w:tab w:val="num" w:pos="720"/>
        </w:tabs>
        <w:ind w:left="720" w:hanging="360"/>
      </w:pPr>
      <w:rPr>
        <w:rFonts w:ascii="Cambria" w:hAnsi="Cambria" w:hint="default"/>
        <w:b w:val="0"/>
        <w:sz w:val="20"/>
        <w:szCs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4F7B63B5"/>
    <w:multiLevelType w:val="hybridMultilevel"/>
    <w:tmpl w:val="89F4C518"/>
    <w:lvl w:ilvl="0" w:tplc="C43A80A0">
      <w:start w:val="1"/>
      <w:numFmt w:val="upperRoman"/>
      <w:pStyle w:val="Heading1"/>
      <w:lvlText w:val="%1."/>
      <w:lvlJc w:val="left"/>
      <w:pPr>
        <w:tabs>
          <w:tab w:val="num" w:pos="1080"/>
        </w:tabs>
        <w:ind w:left="1080" w:hanging="720"/>
      </w:pPr>
    </w:lvl>
    <w:lvl w:ilvl="1" w:tplc="736A0FE4">
      <w:start w:val="2"/>
      <w:numFmt w:val="upperLetter"/>
      <w:lvlText w:val="%2."/>
      <w:lvlJc w:val="left"/>
      <w:pPr>
        <w:tabs>
          <w:tab w:val="num" w:pos="2520"/>
        </w:tabs>
        <w:ind w:left="2520" w:hanging="144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D7D4B9D"/>
    <w:multiLevelType w:val="hybridMultilevel"/>
    <w:tmpl w:val="8BDE28D2"/>
    <w:lvl w:ilvl="0" w:tplc="D91A6C14">
      <w:start w:val="1"/>
      <w:numFmt w:val="decimal"/>
      <w:lvlText w:val="%1."/>
      <w:lvlJc w:val="left"/>
      <w:pPr>
        <w:ind w:left="1495" w:hanging="360"/>
      </w:pPr>
      <w:rPr>
        <w:rFonts w:ascii="Cambria" w:hAnsi="Cambria" w:hint="default"/>
        <w:b w:val="0"/>
        <w:sz w:val="20"/>
        <w:szCs w:val="20"/>
      </w:rPr>
    </w:lvl>
    <w:lvl w:ilvl="1" w:tplc="04090015">
      <w:start w:val="1"/>
      <w:numFmt w:val="upperLetter"/>
      <w:lvlText w:val="%2."/>
      <w:lvlJc w:val="left"/>
      <w:pPr>
        <w:ind w:left="144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3A50A05"/>
    <w:multiLevelType w:val="hybridMultilevel"/>
    <w:tmpl w:val="C30E8EB8"/>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6A101BB"/>
    <w:multiLevelType w:val="hybridMultilevel"/>
    <w:tmpl w:val="B2F4B498"/>
    <w:lvl w:ilvl="0" w:tplc="C7360626">
      <w:start w:val="1"/>
      <w:numFmt w:val="upperRoman"/>
      <w:lvlText w:val="%1."/>
      <w:lvlJc w:val="left"/>
      <w:pPr>
        <w:tabs>
          <w:tab w:val="num" w:pos="1440"/>
        </w:tabs>
        <w:ind w:left="1440" w:hanging="720"/>
      </w:pPr>
      <w:rPr>
        <w:rFonts w:cs="Times New Roman"/>
        <w:b/>
        <w:lang w:val="es-VE"/>
      </w:rPr>
    </w:lvl>
    <w:lvl w:ilvl="1" w:tplc="240A0019">
      <w:start w:val="1"/>
      <w:numFmt w:val="lowerLetter"/>
      <w:lvlText w:val="%2."/>
      <w:lvlJc w:val="left"/>
      <w:pPr>
        <w:tabs>
          <w:tab w:val="num" w:pos="1800"/>
        </w:tabs>
        <w:ind w:left="1800" w:hanging="360"/>
      </w:pPr>
      <w:rPr>
        <w:b/>
      </w:rPr>
    </w:lvl>
    <w:lvl w:ilvl="2" w:tplc="881EAA16">
      <w:start w:val="1"/>
      <w:numFmt w:val="lowerLetter"/>
      <w:lvlText w:val="%3)"/>
      <w:lvlJc w:val="left"/>
      <w:pPr>
        <w:tabs>
          <w:tab w:val="num" w:pos="2700"/>
        </w:tabs>
        <w:ind w:left="2700" w:hanging="360"/>
      </w:pPr>
      <w:rPr>
        <w:rFonts w:cs="Times New Roman"/>
      </w:rPr>
    </w:lvl>
    <w:lvl w:ilvl="3" w:tplc="B87E3F4A">
      <w:start w:val="2"/>
      <w:numFmt w:val="upperLetter"/>
      <w:lvlText w:val="%4."/>
      <w:lvlJc w:val="left"/>
      <w:pPr>
        <w:tabs>
          <w:tab w:val="num" w:pos="3240"/>
        </w:tabs>
        <w:ind w:left="3240" w:hanging="360"/>
      </w:pPr>
      <w:rPr>
        <w:rFonts w:cs="Times New Roman"/>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15:restartNumberingAfterBreak="0">
    <w:nsid w:val="70786ED7"/>
    <w:multiLevelType w:val="hybridMultilevel"/>
    <w:tmpl w:val="39C4A114"/>
    <w:lvl w:ilvl="0" w:tplc="F7DA0936">
      <w:start w:val="1"/>
      <w:numFmt w:val="upperRoman"/>
      <w:lvlText w:val="%1."/>
      <w:lvlJc w:val="left"/>
      <w:pPr>
        <w:ind w:left="720" w:hanging="360"/>
      </w:pPr>
      <w:rPr>
        <w:rFonts w:ascii="Cambria" w:hAnsi="Cambria" w:hint="default"/>
        <w:b/>
        <w:color w:val="000000" w:themeColor="text1"/>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F15907"/>
    <w:multiLevelType w:val="hybridMultilevel"/>
    <w:tmpl w:val="8BDE28D2"/>
    <w:lvl w:ilvl="0" w:tplc="D91A6C14">
      <w:start w:val="1"/>
      <w:numFmt w:val="decimal"/>
      <w:lvlText w:val="%1."/>
      <w:lvlJc w:val="left"/>
      <w:pPr>
        <w:ind w:left="1260" w:hanging="360"/>
      </w:pPr>
      <w:rPr>
        <w:rFonts w:ascii="Cambria" w:hAnsi="Cambria" w:hint="default"/>
        <w:b w:val="0"/>
        <w:sz w:val="20"/>
        <w:szCs w:val="20"/>
      </w:rPr>
    </w:lvl>
    <w:lvl w:ilvl="1" w:tplc="04090015">
      <w:start w:val="1"/>
      <w:numFmt w:val="upperLetter"/>
      <w:lvlText w:val="%2."/>
      <w:lvlJc w:val="left"/>
      <w:pPr>
        <w:ind w:left="144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78628317">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0834012">
    <w:abstractNumId w:val="20"/>
  </w:num>
  <w:num w:numId="3" w16cid:durableId="1447036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595">
    <w:abstractNumId w:val="18"/>
  </w:num>
  <w:num w:numId="5" w16cid:durableId="566843068">
    <w:abstractNumId w:val="6"/>
  </w:num>
  <w:num w:numId="6" w16cid:durableId="818885425">
    <w:abstractNumId w:val="7"/>
  </w:num>
  <w:num w:numId="7" w16cid:durableId="1085489591">
    <w:abstractNumId w:val="1"/>
  </w:num>
  <w:num w:numId="8" w16cid:durableId="1901205269">
    <w:abstractNumId w:val="0"/>
  </w:num>
  <w:num w:numId="9" w16cid:durableId="368383737">
    <w:abstractNumId w:val="5"/>
    <w:lvlOverride w:ilvl="0">
      <w:startOverride w:val="1"/>
    </w:lvlOverride>
  </w:num>
  <w:num w:numId="10" w16cid:durableId="648286085">
    <w:abstractNumId w:val="4"/>
  </w:num>
  <w:num w:numId="11" w16cid:durableId="1900246466">
    <w:abstractNumId w:val="16"/>
  </w:num>
  <w:num w:numId="12" w16cid:durableId="34277632">
    <w:abstractNumId w:val="9"/>
  </w:num>
  <w:num w:numId="13" w16cid:durableId="1256013130">
    <w:abstractNumId w:val="21"/>
  </w:num>
  <w:num w:numId="14" w16cid:durableId="853690575">
    <w:abstractNumId w:val="14"/>
  </w:num>
  <w:num w:numId="15" w16cid:durableId="1573781999">
    <w:abstractNumId w:val="15"/>
  </w:num>
  <w:num w:numId="16" w16cid:durableId="36464754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4396389">
    <w:abstractNumId w:val="22"/>
  </w:num>
  <w:num w:numId="18" w16cid:durableId="1850218421">
    <w:abstractNumId w:val="3"/>
  </w:num>
  <w:num w:numId="19" w16cid:durableId="1556156568">
    <w:abstractNumId w:val="13"/>
  </w:num>
  <w:num w:numId="20" w16cid:durableId="1006589069">
    <w:abstractNumId w:val="12"/>
  </w:num>
  <w:num w:numId="21" w16cid:durableId="642076813">
    <w:abstractNumId w:val="19"/>
  </w:num>
  <w:num w:numId="22" w16cid:durableId="2012297716">
    <w:abstractNumId w:val="11"/>
  </w:num>
  <w:num w:numId="23" w16cid:durableId="99333705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143539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8511747">
    <w:abstractNumId w:val="8"/>
  </w:num>
  <w:num w:numId="26" w16cid:durableId="413821075">
    <w:abstractNumId w:val="2"/>
  </w:num>
  <w:num w:numId="27" w16cid:durableId="15657867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FF"/>
    <w:rsid w:val="00000D38"/>
    <w:rsid w:val="00000DDA"/>
    <w:rsid w:val="000010F8"/>
    <w:rsid w:val="00001C48"/>
    <w:rsid w:val="000036B2"/>
    <w:rsid w:val="00003834"/>
    <w:rsid w:val="00003D23"/>
    <w:rsid w:val="00003FA9"/>
    <w:rsid w:val="00004323"/>
    <w:rsid w:val="00005689"/>
    <w:rsid w:val="000066AB"/>
    <w:rsid w:val="00011273"/>
    <w:rsid w:val="000118B5"/>
    <w:rsid w:val="0001191F"/>
    <w:rsid w:val="0001201B"/>
    <w:rsid w:val="00012320"/>
    <w:rsid w:val="000127D0"/>
    <w:rsid w:val="00013365"/>
    <w:rsid w:val="00013A9B"/>
    <w:rsid w:val="00013E9D"/>
    <w:rsid w:val="000144B1"/>
    <w:rsid w:val="00014710"/>
    <w:rsid w:val="00014A2E"/>
    <w:rsid w:val="00015072"/>
    <w:rsid w:val="000150CF"/>
    <w:rsid w:val="000156A0"/>
    <w:rsid w:val="00015DB3"/>
    <w:rsid w:val="00015F10"/>
    <w:rsid w:val="000161D5"/>
    <w:rsid w:val="000167C0"/>
    <w:rsid w:val="00017213"/>
    <w:rsid w:val="00017825"/>
    <w:rsid w:val="000213F4"/>
    <w:rsid w:val="00021770"/>
    <w:rsid w:val="00021888"/>
    <w:rsid w:val="00022B9D"/>
    <w:rsid w:val="00023624"/>
    <w:rsid w:val="00024440"/>
    <w:rsid w:val="0002447C"/>
    <w:rsid w:val="0002468B"/>
    <w:rsid w:val="00025C2A"/>
    <w:rsid w:val="00025E3A"/>
    <w:rsid w:val="00026BFC"/>
    <w:rsid w:val="000273FA"/>
    <w:rsid w:val="000279E8"/>
    <w:rsid w:val="00027F06"/>
    <w:rsid w:val="000306F8"/>
    <w:rsid w:val="000310C2"/>
    <w:rsid w:val="00031C56"/>
    <w:rsid w:val="00033385"/>
    <w:rsid w:val="0003350E"/>
    <w:rsid w:val="000361C3"/>
    <w:rsid w:val="00037C38"/>
    <w:rsid w:val="00037DDD"/>
    <w:rsid w:val="000408DF"/>
    <w:rsid w:val="00040B35"/>
    <w:rsid w:val="00041210"/>
    <w:rsid w:val="00041235"/>
    <w:rsid w:val="00042CE0"/>
    <w:rsid w:val="00042E0D"/>
    <w:rsid w:val="00044A86"/>
    <w:rsid w:val="00044B8B"/>
    <w:rsid w:val="0004538D"/>
    <w:rsid w:val="0004621B"/>
    <w:rsid w:val="0004740C"/>
    <w:rsid w:val="0004759B"/>
    <w:rsid w:val="000478D9"/>
    <w:rsid w:val="00047B31"/>
    <w:rsid w:val="000506A3"/>
    <w:rsid w:val="00055206"/>
    <w:rsid w:val="0005579B"/>
    <w:rsid w:val="0005584B"/>
    <w:rsid w:val="0005609E"/>
    <w:rsid w:val="000561BB"/>
    <w:rsid w:val="000565A3"/>
    <w:rsid w:val="00057227"/>
    <w:rsid w:val="00057850"/>
    <w:rsid w:val="00057D4F"/>
    <w:rsid w:val="00061F1F"/>
    <w:rsid w:val="00062BEB"/>
    <w:rsid w:val="00062C5F"/>
    <w:rsid w:val="00064157"/>
    <w:rsid w:val="00064180"/>
    <w:rsid w:val="00064319"/>
    <w:rsid w:val="00064377"/>
    <w:rsid w:val="0006438F"/>
    <w:rsid w:val="000646DA"/>
    <w:rsid w:val="00065215"/>
    <w:rsid w:val="00065ADB"/>
    <w:rsid w:val="0006653E"/>
    <w:rsid w:val="000700D3"/>
    <w:rsid w:val="0007015E"/>
    <w:rsid w:val="00070F35"/>
    <w:rsid w:val="00070F82"/>
    <w:rsid w:val="000711A4"/>
    <w:rsid w:val="000728D2"/>
    <w:rsid w:val="00073C98"/>
    <w:rsid w:val="0007585E"/>
    <w:rsid w:val="000808FA"/>
    <w:rsid w:val="00080931"/>
    <w:rsid w:val="00081463"/>
    <w:rsid w:val="00081F45"/>
    <w:rsid w:val="00082AE7"/>
    <w:rsid w:val="00082E42"/>
    <w:rsid w:val="00083A12"/>
    <w:rsid w:val="00083B09"/>
    <w:rsid w:val="00084D69"/>
    <w:rsid w:val="000854FF"/>
    <w:rsid w:val="00086BE4"/>
    <w:rsid w:val="00087023"/>
    <w:rsid w:val="000900B3"/>
    <w:rsid w:val="0009018C"/>
    <w:rsid w:val="000903D4"/>
    <w:rsid w:val="00090E3A"/>
    <w:rsid w:val="00090FC3"/>
    <w:rsid w:val="0009148B"/>
    <w:rsid w:val="00091AA3"/>
    <w:rsid w:val="00091AB3"/>
    <w:rsid w:val="000948D8"/>
    <w:rsid w:val="000957C4"/>
    <w:rsid w:val="000A033F"/>
    <w:rsid w:val="000A0A32"/>
    <w:rsid w:val="000A11BF"/>
    <w:rsid w:val="000A123C"/>
    <w:rsid w:val="000A1BB6"/>
    <w:rsid w:val="000A1E44"/>
    <w:rsid w:val="000A2216"/>
    <w:rsid w:val="000A289A"/>
    <w:rsid w:val="000A3422"/>
    <w:rsid w:val="000A4472"/>
    <w:rsid w:val="000A46BD"/>
    <w:rsid w:val="000A5477"/>
    <w:rsid w:val="000A5869"/>
    <w:rsid w:val="000A5E8D"/>
    <w:rsid w:val="000A6594"/>
    <w:rsid w:val="000A773A"/>
    <w:rsid w:val="000B0B07"/>
    <w:rsid w:val="000B0CEF"/>
    <w:rsid w:val="000B10F1"/>
    <w:rsid w:val="000B1CC2"/>
    <w:rsid w:val="000B1D45"/>
    <w:rsid w:val="000B1E93"/>
    <w:rsid w:val="000B466E"/>
    <w:rsid w:val="000B563D"/>
    <w:rsid w:val="000B5AAE"/>
    <w:rsid w:val="000B6577"/>
    <w:rsid w:val="000B713A"/>
    <w:rsid w:val="000B779E"/>
    <w:rsid w:val="000C09DE"/>
    <w:rsid w:val="000C0BE8"/>
    <w:rsid w:val="000C19B6"/>
    <w:rsid w:val="000C1ED8"/>
    <w:rsid w:val="000C24F3"/>
    <w:rsid w:val="000C2AF3"/>
    <w:rsid w:val="000C37FC"/>
    <w:rsid w:val="000C409A"/>
    <w:rsid w:val="000C4186"/>
    <w:rsid w:val="000C4533"/>
    <w:rsid w:val="000C535B"/>
    <w:rsid w:val="000C57A2"/>
    <w:rsid w:val="000C5859"/>
    <w:rsid w:val="000C5924"/>
    <w:rsid w:val="000C6524"/>
    <w:rsid w:val="000C68FD"/>
    <w:rsid w:val="000C792F"/>
    <w:rsid w:val="000D0BA0"/>
    <w:rsid w:val="000D13A8"/>
    <w:rsid w:val="000D23A6"/>
    <w:rsid w:val="000D439C"/>
    <w:rsid w:val="000D4858"/>
    <w:rsid w:val="000D499F"/>
    <w:rsid w:val="000D49D9"/>
    <w:rsid w:val="000D5EDA"/>
    <w:rsid w:val="000D6644"/>
    <w:rsid w:val="000D7A43"/>
    <w:rsid w:val="000D7A63"/>
    <w:rsid w:val="000E061C"/>
    <w:rsid w:val="000E0A9A"/>
    <w:rsid w:val="000E0DB2"/>
    <w:rsid w:val="000E1B0F"/>
    <w:rsid w:val="000E4D30"/>
    <w:rsid w:val="000E6626"/>
    <w:rsid w:val="000E6C61"/>
    <w:rsid w:val="000E6FCC"/>
    <w:rsid w:val="000E7B68"/>
    <w:rsid w:val="000E7EF2"/>
    <w:rsid w:val="000F03D3"/>
    <w:rsid w:val="000F1B1D"/>
    <w:rsid w:val="000F1C7F"/>
    <w:rsid w:val="000F21F7"/>
    <w:rsid w:val="000F2EB8"/>
    <w:rsid w:val="000F342F"/>
    <w:rsid w:val="000F611A"/>
    <w:rsid w:val="000F644F"/>
    <w:rsid w:val="000F69F4"/>
    <w:rsid w:val="000F7401"/>
    <w:rsid w:val="00100593"/>
    <w:rsid w:val="00100FA3"/>
    <w:rsid w:val="00101D3B"/>
    <w:rsid w:val="001030AD"/>
    <w:rsid w:val="00103613"/>
    <w:rsid w:val="0010364D"/>
    <w:rsid w:val="001039CA"/>
    <w:rsid w:val="001047E6"/>
    <w:rsid w:val="00106E83"/>
    <w:rsid w:val="0010778F"/>
    <w:rsid w:val="00110DFA"/>
    <w:rsid w:val="0011132E"/>
    <w:rsid w:val="0011228C"/>
    <w:rsid w:val="0011327E"/>
    <w:rsid w:val="00113DD5"/>
    <w:rsid w:val="001140EC"/>
    <w:rsid w:val="00114302"/>
    <w:rsid w:val="00114A86"/>
    <w:rsid w:val="00115057"/>
    <w:rsid w:val="0011509B"/>
    <w:rsid w:val="00116FF8"/>
    <w:rsid w:val="00117B1D"/>
    <w:rsid w:val="001204CA"/>
    <w:rsid w:val="001223D8"/>
    <w:rsid w:val="00122C97"/>
    <w:rsid w:val="00122D48"/>
    <w:rsid w:val="00123659"/>
    <w:rsid w:val="00124566"/>
    <w:rsid w:val="001246C7"/>
    <w:rsid w:val="0012484F"/>
    <w:rsid w:val="001248DA"/>
    <w:rsid w:val="00124B8E"/>
    <w:rsid w:val="00124D86"/>
    <w:rsid w:val="001256BB"/>
    <w:rsid w:val="00126489"/>
    <w:rsid w:val="001275E2"/>
    <w:rsid w:val="00127C95"/>
    <w:rsid w:val="00130275"/>
    <w:rsid w:val="0013034A"/>
    <w:rsid w:val="00130C26"/>
    <w:rsid w:val="001315E8"/>
    <w:rsid w:val="00131FAB"/>
    <w:rsid w:val="001327E0"/>
    <w:rsid w:val="00132B9C"/>
    <w:rsid w:val="0013354F"/>
    <w:rsid w:val="001336A7"/>
    <w:rsid w:val="001345D7"/>
    <w:rsid w:val="00134B3F"/>
    <w:rsid w:val="00135195"/>
    <w:rsid w:val="00135C00"/>
    <w:rsid w:val="001364A8"/>
    <w:rsid w:val="00137137"/>
    <w:rsid w:val="00137D1D"/>
    <w:rsid w:val="0014103C"/>
    <w:rsid w:val="00141FD8"/>
    <w:rsid w:val="0014215E"/>
    <w:rsid w:val="0014277B"/>
    <w:rsid w:val="00144564"/>
    <w:rsid w:val="0014460A"/>
    <w:rsid w:val="00145B4B"/>
    <w:rsid w:val="00145F5C"/>
    <w:rsid w:val="0014608F"/>
    <w:rsid w:val="00147A7C"/>
    <w:rsid w:val="00150D09"/>
    <w:rsid w:val="00151E2F"/>
    <w:rsid w:val="001522E8"/>
    <w:rsid w:val="00153411"/>
    <w:rsid w:val="00153E0D"/>
    <w:rsid w:val="00155373"/>
    <w:rsid w:val="0015649D"/>
    <w:rsid w:val="00157A41"/>
    <w:rsid w:val="00157A8C"/>
    <w:rsid w:val="00157F45"/>
    <w:rsid w:val="0016019F"/>
    <w:rsid w:val="0016036E"/>
    <w:rsid w:val="001612C7"/>
    <w:rsid w:val="00163E7D"/>
    <w:rsid w:val="00164465"/>
    <w:rsid w:val="001651E9"/>
    <w:rsid w:val="00165D20"/>
    <w:rsid w:val="00165D93"/>
    <w:rsid w:val="00167380"/>
    <w:rsid w:val="001674F9"/>
    <w:rsid w:val="00167A8B"/>
    <w:rsid w:val="00167CE0"/>
    <w:rsid w:val="001708FB"/>
    <w:rsid w:val="00170D39"/>
    <w:rsid w:val="00172650"/>
    <w:rsid w:val="00173C1D"/>
    <w:rsid w:val="00173EA0"/>
    <w:rsid w:val="001749A2"/>
    <w:rsid w:val="0017583C"/>
    <w:rsid w:val="001769DD"/>
    <w:rsid w:val="001774A5"/>
    <w:rsid w:val="00180BEE"/>
    <w:rsid w:val="00181244"/>
    <w:rsid w:val="00181298"/>
    <w:rsid w:val="001818F3"/>
    <w:rsid w:val="00181C9B"/>
    <w:rsid w:val="00181CED"/>
    <w:rsid w:val="0018225C"/>
    <w:rsid w:val="00182486"/>
    <w:rsid w:val="00183077"/>
    <w:rsid w:val="001835D4"/>
    <w:rsid w:val="00183D2C"/>
    <w:rsid w:val="00183E50"/>
    <w:rsid w:val="00184F0D"/>
    <w:rsid w:val="00185A59"/>
    <w:rsid w:val="001862B6"/>
    <w:rsid w:val="00187D7E"/>
    <w:rsid w:val="00190DA7"/>
    <w:rsid w:val="00190E31"/>
    <w:rsid w:val="00191D7C"/>
    <w:rsid w:val="00192349"/>
    <w:rsid w:val="00192A52"/>
    <w:rsid w:val="0019557C"/>
    <w:rsid w:val="0019690E"/>
    <w:rsid w:val="001969F4"/>
    <w:rsid w:val="00197634"/>
    <w:rsid w:val="001A110B"/>
    <w:rsid w:val="001A34AE"/>
    <w:rsid w:val="001A3677"/>
    <w:rsid w:val="001A3B61"/>
    <w:rsid w:val="001A3BA3"/>
    <w:rsid w:val="001A4224"/>
    <w:rsid w:val="001A4379"/>
    <w:rsid w:val="001A4C9A"/>
    <w:rsid w:val="001A50AE"/>
    <w:rsid w:val="001A5D20"/>
    <w:rsid w:val="001A667F"/>
    <w:rsid w:val="001A74DC"/>
    <w:rsid w:val="001A763F"/>
    <w:rsid w:val="001B0731"/>
    <w:rsid w:val="001B0AB1"/>
    <w:rsid w:val="001B2187"/>
    <w:rsid w:val="001B2A4B"/>
    <w:rsid w:val="001B3394"/>
    <w:rsid w:val="001B3B1E"/>
    <w:rsid w:val="001B5476"/>
    <w:rsid w:val="001B5A37"/>
    <w:rsid w:val="001B69F1"/>
    <w:rsid w:val="001B7C06"/>
    <w:rsid w:val="001B7F0D"/>
    <w:rsid w:val="001C15C2"/>
    <w:rsid w:val="001C15ED"/>
    <w:rsid w:val="001C16E3"/>
    <w:rsid w:val="001C1B1B"/>
    <w:rsid w:val="001C20D4"/>
    <w:rsid w:val="001C21EA"/>
    <w:rsid w:val="001C2D43"/>
    <w:rsid w:val="001C38BD"/>
    <w:rsid w:val="001C3A44"/>
    <w:rsid w:val="001C3E98"/>
    <w:rsid w:val="001C4EA5"/>
    <w:rsid w:val="001C5339"/>
    <w:rsid w:val="001C61C9"/>
    <w:rsid w:val="001C6BE3"/>
    <w:rsid w:val="001D0E06"/>
    <w:rsid w:val="001D126C"/>
    <w:rsid w:val="001D1556"/>
    <w:rsid w:val="001D22BA"/>
    <w:rsid w:val="001D23F2"/>
    <w:rsid w:val="001D3294"/>
    <w:rsid w:val="001D3E10"/>
    <w:rsid w:val="001D3F36"/>
    <w:rsid w:val="001D4444"/>
    <w:rsid w:val="001D5A94"/>
    <w:rsid w:val="001D677C"/>
    <w:rsid w:val="001D699B"/>
    <w:rsid w:val="001D6D44"/>
    <w:rsid w:val="001D728D"/>
    <w:rsid w:val="001E0A43"/>
    <w:rsid w:val="001E172C"/>
    <w:rsid w:val="001E3486"/>
    <w:rsid w:val="001E45EB"/>
    <w:rsid w:val="001E466D"/>
    <w:rsid w:val="001E6334"/>
    <w:rsid w:val="001E7297"/>
    <w:rsid w:val="001E7680"/>
    <w:rsid w:val="001F0C00"/>
    <w:rsid w:val="001F125E"/>
    <w:rsid w:val="001F2FA2"/>
    <w:rsid w:val="001F4390"/>
    <w:rsid w:val="001F58EB"/>
    <w:rsid w:val="001F5B71"/>
    <w:rsid w:val="001F7526"/>
    <w:rsid w:val="002007D2"/>
    <w:rsid w:val="00200E34"/>
    <w:rsid w:val="00201C74"/>
    <w:rsid w:val="00202ECD"/>
    <w:rsid w:val="00203D53"/>
    <w:rsid w:val="00203DFF"/>
    <w:rsid w:val="00204F15"/>
    <w:rsid w:val="00204F58"/>
    <w:rsid w:val="00205F09"/>
    <w:rsid w:val="00206377"/>
    <w:rsid w:val="00206534"/>
    <w:rsid w:val="00206BD5"/>
    <w:rsid w:val="002074EE"/>
    <w:rsid w:val="00210782"/>
    <w:rsid w:val="00211679"/>
    <w:rsid w:val="00211DA0"/>
    <w:rsid w:val="0021262F"/>
    <w:rsid w:val="00212A2E"/>
    <w:rsid w:val="00213253"/>
    <w:rsid w:val="00215C06"/>
    <w:rsid w:val="0021623A"/>
    <w:rsid w:val="00216408"/>
    <w:rsid w:val="002164E8"/>
    <w:rsid w:val="00216E6A"/>
    <w:rsid w:val="00220561"/>
    <w:rsid w:val="00220BE2"/>
    <w:rsid w:val="00220E4C"/>
    <w:rsid w:val="0022105B"/>
    <w:rsid w:val="00221525"/>
    <w:rsid w:val="00221EBE"/>
    <w:rsid w:val="00222F90"/>
    <w:rsid w:val="00223318"/>
    <w:rsid w:val="00224540"/>
    <w:rsid w:val="0022481A"/>
    <w:rsid w:val="00225F22"/>
    <w:rsid w:val="00226345"/>
    <w:rsid w:val="002265EB"/>
    <w:rsid w:val="0022741E"/>
    <w:rsid w:val="002279BD"/>
    <w:rsid w:val="002305F5"/>
    <w:rsid w:val="0023127B"/>
    <w:rsid w:val="002319B2"/>
    <w:rsid w:val="00232BA2"/>
    <w:rsid w:val="00232D95"/>
    <w:rsid w:val="002333AE"/>
    <w:rsid w:val="00233ADF"/>
    <w:rsid w:val="00234250"/>
    <w:rsid w:val="0023498B"/>
    <w:rsid w:val="00234E3A"/>
    <w:rsid w:val="00234ED2"/>
    <w:rsid w:val="002350E0"/>
    <w:rsid w:val="00235A37"/>
    <w:rsid w:val="00235FEA"/>
    <w:rsid w:val="002363E8"/>
    <w:rsid w:val="002402F5"/>
    <w:rsid w:val="002405FB"/>
    <w:rsid w:val="002409B6"/>
    <w:rsid w:val="0024322E"/>
    <w:rsid w:val="002434EF"/>
    <w:rsid w:val="00243A33"/>
    <w:rsid w:val="00243D64"/>
    <w:rsid w:val="00244396"/>
    <w:rsid w:val="00244AD7"/>
    <w:rsid w:val="00244EE3"/>
    <w:rsid w:val="002450EB"/>
    <w:rsid w:val="00245429"/>
    <w:rsid w:val="002459C9"/>
    <w:rsid w:val="00245A6D"/>
    <w:rsid w:val="00246E07"/>
    <w:rsid w:val="0024763D"/>
    <w:rsid w:val="00247B07"/>
    <w:rsid w:val="00247D27"/>
    <w:rsid w:val="00247FD3"/>
    <w:rsid w:val="002508F4"/>
    <w:rsid w:val="00250F57"/>
    <w:rsid w:val="00253E78"/>
    <w:rsid w:val="00253F26"/>
    <w:rsid w:val="00253F87"/>
    <w:rsid w:val="0025624A"/>
    <w:rsid w:val="002604D6"/>
    <w:rsid w:val="002608B9"/>
    <w:rsid w:val="00262345"/>
    <w:rsid w:val="0026299D"/>
    <w:rsid w:val="00263790"/>
    <w:rsid w:val="00263F07"/>
    <w:rsid w:val="0026499D"/>
    <w:rsid w:val="00265110"/>
    <w:rsid w:val="00265166"/>
    <w:rsid w:val="00265A81"/>
    <w:rsid w:val="00265EBD"/>
    <w:rsid w:val="00267994"/>
    <w:rsid w:val="00267CE6"/>
    <w:rsid w:val="00270276"/>
    <w:rsid w:val="00270FA0"/>
    <w:rsid w:val="00270FE1"/>
    <w:rsid w:val="00271016"/>
    <w:rsid w:val="00272958"/>
    <w:rsid w:val="00273ACF"/>
    <w:rsid w:val="0027431C"/>
    <w:rsid w:val="00275641"/>
    <w:rsid w:val="0027574F"/>
    <w:rsid w:val="00275D74"/>
    <w:rsid w:val="00276638"/>
    <w:rsid w:val="002770D9"/>
    <w:rsid w:val="00280BD3"/>
    <w:rsid w:val="00280C99"/>
    <w:rsid w:val="00280CE0"/>
    <w:rsid w:val="00280FC8"/>
    <w:rsid w:val="00281E3B"/>
    <w:rsid w:val="00283128"/>
    <w:rsid w:val="00284A61"/>
    <w:rsid w:val="00284CE3"/>
    <w:rsid w:val="00284F67"/>
    <w:rsid w:val="0028653C"/>
    <w:rsid w:val="00287BDC"/>
    <w:rsid w:val="00287C5D"/>
    <w:rsid w:val="00287CF6"/>
    <w:rsid w:val="00290287"/>
    <w:rsid w:val="002911FE"/>
    <w:rsid w:val="0029124C"/>
    <w:rsid w:val="00291BA6"/>
    <w:rsid w:val="00292312"/>
    <w:rsid w:val="00292893"/>
    <w:rsid w:val="00292E37"/>
    <w:rsid w:val="00295C40"/>
    <w:rsid w:val="00296B54"/>
    <w:rsid w:val="00297FCB"/>
    <w:rsid w:val="002A0261"/>
    <w:rsid w:val="002A0868"/>
    <w:rsid w:val="002A0A16"/>
    <w:rsid w:val="002A173E"/>
    <w:rsid w:val="002A24A9"/>
    <w:rsid w:val="002A2E72"/>
    <w:rsid w:val="002A333F"/>
    <w:rsid w:val="002A57A4"/>
    <w:rsid w:val="002A5A4D"/>
    <w:rsid w:val="002A65DA"/>
    <w:rsid w:val="002A7069"/>
    <w:rsid w:val="002A7855"/>
    <w:rsid w:val="002B013D"/>
    <w:rsid w:val="002B05F3"/>
    <w:rsid w:val="002B06A6"/>
    <w:rsid w:val="002B0A92"/>
    <w:rsid w:val="002B0F01"/>
    <w:rsid w:val="002B1288"/>
    <w:rsid w:val="002B2A19"/>
    <w:rsid w:val="002B3C3A"/>
    <w:rsid w:val="002B3C87"/>
    <w:rsid w:val="002B3EE9"/>
    <w:rsid w:val="002B4139"/>
    <w:rsid w:val="002B4705"/>
    <w:rsid w:val="002B762B"/>
    <w:rsid w:val="002B7E29"/>
    <w:rsid w:val="002C0D8F"/>
    <w:rsid w:val="002C15C3"/>
    <w:rsid w:val="002C1689"/>
    <w:rsid w:val="002C363B"/>
    <w:rsid w:val="002C5377"/>
    <w:rsid w:val="002C5EFC"/>
    <w:rsid w:val="002C64C6"/>
    <w:rsid w:val="002C6A83"/>
    <w:rsid w:val="002C6D98"/>
    <w:rsid w:val="002D08C9"/>
    <w:rsid w:val="002D1040"/>
    <w:rsid w:val="002D10ED"/>
    <w:rsid w:val="002D230B"/>
    <w:rsid w:val="002D4F29"/>
    <w:rsid w:val="002D50A6"/>
    <w:rsid w:val="002D5D96"/>
    <w:rsid w:val="002D6C1A"/>
    <w:rsid w:val="002D6E09"/>
    <w:rsid w:val="002D7FDD"/>
    <w:rsid w:val="002E08C2"/>
    <w:rsid w:val="002E0B49"/>
    <w:rsid w:val="002E1E01"/>
    <w:rsid w:val="002E271A"/>
    <w:rsid w:val="002E318A"/>
    <w:rsid w:val="002E3304"/>
    <w:rsid w:val="002E3BBD"/>
    <w:rsid w:val="002E4A61"/>
    <w:rsid w:val="002E4BF9"/>
    <w:rsid w:val="002E4D00"/>
    <w:rsid w:val="002E7FB6"/>
    <w:rsid w:val="002F1718"/>
    <w:rsid w:val="002F281B"/>
    <w:rsid w:val="002F3FA3"/>
    <w:rsid w:val="002F4B35"/>
    <w:rsid w:val="002F72EB"/>
    <w:rsid w:val="002F7B57"/>
    <w:rsid w:val="00300EA9"/>
    <w:rsid w:val="0030105A"/>
    <w:rsid w:val="00301657"/>
    <w:rsid w:val="00301BF1"/>
    <w:rsid w:val="00302311"/>
    <w:rsid w:val="0030271C"/>
    <w:rsid w:val="0030373A"/>
    <w:rsid w:val="0030476A"/>
    <w:rsid w:val="00306BA0"/>
    <w:rsid w:val="00307025"/>
    <w:rsid w:val="0030704D"/>
    <w:rsid w:val="00307A75"/>
    <w:rsid w:val="00311C00"/>
    <w:rsid w:val="00313D14"/>
    <w:rsid w:val="0031453E"/>
    <w:rsid w:val="00314D19"/>
    <w:rsid w:val="00314EC0"/>
    <w:rsid w:val="003152A2"/>
    <w:rsid w:val="00316A05"/>
    <w:rsid w:val="00316D3F"/>
    <w:rsid w:val="00317120"/>
    <w:rsid w:val="00317B19"/>
    <w:rsid w:val="00320599"/>
    <w:rsid w:val="00320D0C"/>
    <w:rsid w:val="00321029"/>
    <w:rsid w:val="00322193"/>
    <w:rsid w:val="0032559D"/>
    <w:rsid w:val="0032665E"/>
    <w:rsid w:val="003267F4"/>
    <w:rsid w:val="00327184"/>
    <w:rsid w:val="0032731E"/>
    <w:rsid w:val="00330401"/>
    <w:rsid w:val="003324F7"/>
    <w:rsid w:val="00332755"/>
    <w:rsid w:val="00333A3D"/>
    <w:rsid w:val="00336BC8"/>
    <w:rsid w:val="00337F7A"/>
    <w:rsid w:val="003401E9"/>
    <w:rsid w:val="00340238"/>
    <w:rsid w:val="003402AA"/>
    <w:rsid w:val="003405B4"/>
    <w:rsid w:val="00340644"/>
    <w:rsid w:val="00341BF0"/>
    <w:rsid w:val="00342FA3"/>
    <w:rsid w:val="00343EE3"/>
    <w:rsid w:val="003468B9"/>
    <w:rsid w:val="00346F9C"/>
    <w:rsid w:val="003470BC"/>
    <w:rsid w:val="0034732A"/>
    <w:rsid w:val="00347A67"/>
    <w:rsid w:val="00350518"/>
    <w:rsid w:val="00350C85"/>
    <w:rsid w:val="0035121C"/>
    <w:rsid w:val="00351675"/>
    <w:rsid w:val="00352121"/>
    <w:rsid w:val="00352F83"/>
    <w:rsid w:val="0035477B"/>
    <w:rsid w:val="00355193"/>
    <w:rsid w:val="00357644"/>
    <w:rsid w:val="0036009A"/>
    <w:rsid w:val="00360F89"/>
    <w:rsid w:val="00362B93"/>
    <w:rsid w:val="00362BA9"/>
    <w:rsid w:val="003632FA"/>
    <w:rsid w:val="003648C0"/>
    <w:rsid w:val="00365C2F"/>
    <w:rsid w:val="00365D0D"/>
    <w:rsid w:val="003664CE"/>
    <w:rsid w:val="0036724C"/>
    <w:rsid w:val="00370493"/>
    <w:rsid w:val="0037241C"/>
    <w:rsid w:val="00372E5C"/>
    <w:rsid w:val="0037347D"/>
    <w:rsid w:val="003739FD"/>
    <w:rsid w:val="00374359"/>
    <w:rsid w:val="003745BA"/>
    <w:rsid w:val="00375496"/>
    <w:rsid w:val="0037555E"/>
    <w:rsid w:val="003760F3"/>
    <w:rsid w:val="00376677"/>
    <w:rsid w:val="00376832"/>
    <w:rsid w:val="00377257"/>
    <w:rsid w:val="00377A1F"/>
    <w:rsid w:val="00377CCF"/>
    <w:rsid w:val="00380349"/>
    <w:rsid w:val="003815E7"/>
    <w:rsid w:val="00382277"/>
    <w:rsid w:val="003827B2"/>
    <w:rsid w:val="003832FD"/>
    <w:rsid w:val="003839BD"/>
    <w:rsid w:val="00383EF5"/>
    <w:rsid w:val="00386944"/>
    <w:rsid w:val="0038705B"/>
    <w:rsid w:val="003870D6"/>
    <w:rsid w:val="00387517"/>
    <w:rsid w:val="0038751E"/>
    <w:rsid w:val="003878D9"/>
    <w:rsid w:val="00390935"/>
    <w:rsid w:val="00390E2A"/>
    <w:rsid w:val="00390F1B"/>
    <w:rsid w:val="003915E3"/>
    <w:rsid w:val="0039220A"/>
    <w:rsid w:val="00392581"/>
    <w:rsid w:val="003928F7"/>
    <w:rsid w:val="00393B26"/>
    <w:rsid w:val="00395654"/>
    <w:rsid w:val="003A234C"/>
    <w:rsid w:val="003A23BF"/>
    <w:rsid w:val="003A2D4A"/>
    <w:rsid w:val="003A3DF3"/>
    <w:rsid w:val="003A44D2"/>
    <w:rsid w:val="003A49D8"/>
    <w:rsid w:val="003A4D11"/>
    <w:rsid w:val="003A5687"/>
    <w:rsid w:val="003A5A3D"/>
    <w:rsid w:val="003A5C93"/>
    <w:rsid w:val="003B1566"/>
    <w:rsid w:val="003B1851"/>
    <w:rsid w:val="003B1B45"/>
    <w:rsid w:val="003B1C54"/>
    <w:rsid w:val="003B308D"/>
    <w:rsid w:val="003B3654"/>
    <w:rsid w:val="003B3D42"/>
    <w:rsid w:val="003B4B8E"/>
    <w:rsid w:val="003B543C"/>
    <w:rsid w:val="003B6CA0"/>
    <w:rsid w:val="003B70D6"/>
    <w:rsid w:val="003B7209"/>
    <w:rsid w:val="003B7215"/>
    <w:rsid w:val="003B740F"/>
    <w:rsid w:val="003B7D2F"/>
    <w:rsid w:val="003C0007"/>
    <w:rsid w:val="003C1CAC"/>
    <w:rsid w:val="003C2255"/>
    <w:rsid w:val="003C3CD2"/>
    <w:rsid w:val="003C58AF"/>
    <w:rsid w:val="003C6CE4"/>
    <w:rsid w:val="003C75BC"/>
    <w:rsid w:val="003C77A4"/>
    <w:rsid w:val="003D06B1"/>
    <w:rsid w:val="003D1122"/>
    <w:rsid w:val="003D1543"/>
    <w:rsid w:val="003D19F9"/>
    <w:rsid w:val="003D1EE5"/>
    <w:rsid w:val="003D23E4"/>
    <w:rsid w:val="003D2D8A"/>
    <w:rsid w:val="003D556B"/>
    <w:rsid w:val="003D75DF"/>
    <w:rsid w:val="003D7620"/>
    <w:rsid w:val="003D79DE"/>
    <w:rsid w:val="003D7FB7"/>
    <w:rsid w:val="003E00FC"/>
    <w:rsid w:val="003E1ED9"/>
    <w:rsid w:val="003E2A01"/>
    <w:rsid w:val="003E2E86"/>
    <w:rsid w:val="003E3156"/>
    <w:rsid w:val="003E43FE"/>
    <w:rsid w:val="003E4C87"/>
    <w:rsid w:val="003E50CE"/>
    <w:rsid w:val="003E5E36"/>
    <w:rsid w:val="003E60DB"/>
    <w:rsid w:val="003E62B1"/>
    <w:rsid w:val="003E6849"/>
    <w:rsid w:val="003E68C5"/>
    <w:rsid w:val="003E706C"/>
    <w:rsid w:val="003E7BC9"/>
    <w:rsid w:val="003E7D8C"/>
    <w:rsid w:val="003F0812"/>
    <w:rsid w:val="003F09B2"/>
    <w:rsid w:val="003F1630"/>
    <w:rsid w:val="003F174C"/>
    <w:rsid w:val="003F1C99"/>
    <w:rsid w:val="003F3E22"/>
    <w:rsid w:val="003F4A58"/>
    <w:rsid w:val="003F54D3"/>
    <w:rsid w:val="003F5C80"/>
    <w:rsid w:val="003F6D07"/>
    <w:rsid w:val="003F6F3B"/>
    <w:rsid w:val="00401044"/>
    <w:rsid w:val="004012E4"/>
    <w:rsid w:val="00401496"/>
    <w:rsid w:val="0040258C"/>
    <w:rsid w:val="00403C7F"/>
    <w:rsid w:val="004047E3"/>
    <w:rsid w:val="0040538A"/>
    <w:rsid w:val="004057B2"/>
    <w:rsid w:val="004065DF"/>
    <w:rsid w:val="00406D78"/>
    <w:rsid w:val="00410798"/>
    <w:rsid w:val="004107D9"/>
    <w:rsid w:val="00411104"/>
    <w:rsid w:val="00411335"/>
    <w:rsid w:val="0041277A"/>
    <w:rsid w:val="00412FB1"/>
    <w:rsid w:val="0041308D"/>
    <w:rsid w:val="0041434A"/>
    <w:rsid w:val="0041559E"/>
    <w:rsid w:val="00416DEE"/>
    <w:rsid w:val="00417355"/>
    <w:rsid w:val="00417A59"/>
    <w:rsid w:val="00417D5F"/>
    <w:rsid w:val="00421843"/>
    <w:rsid w:val="00421C97"/>
    <w:rsid w:val="00421EF0"/>
    <w:rsid w:val="00423706"/>
    <w:rsid w:val="00424A16"/>
    <w:rsid w:val="00426070"/>
    <w:rsid w:val="00426124"/>
    <w:rsid w:val="00427380"/>
    <w:rsid w:val="00427886"/>
    <w:rsid w:val="004303CB"/>
    <w:rsid w:val="00430A84"/>
    <w:rsid w:val="00431B03"/>
    <w:rsid w:val="0043323E"/>
    <w:rsid w:val="00433389"/>
    <w:rsid w:val="004333F1"/>
    <w:rsid w:val="00433C5E"/>
    <w:rsid w:val="00434DE7"/>
    <w:rsid w:val="004352BA"/>
    <w:rsid w:val="00435EAB"/>
    <w:rsid w:val="00435F3C"/>
    <w:rsid w:val="004364E3"/>
    <w:rsid w:val="0043683C"/>
    <w:rsid w:val="00436CB9"/>
    <w:rsid w:val="00437152"/>
    <w:rsid w:val="004408FA"/>
    <w:rsid w:val="00440AAD"/>
    <w:rsid w:val="00440ABF"/>
    <w:rsid w:val="004411D8"/>
    <w:rsid w:val="00441EE2"/>
    <w:rsid w:val="004426B1"/>
    <w:rsid w:val="00442DFC"/>
    <w:rsid w:val="00443A3E"/>
    <w:rsid w:val="00443DCC"/>
    <w:rsid w:val="004446AE"/>
    <w:rsid w:val="00445614"/>
    <w:rsid w:val="00445D95"/>
    <w:rsid w:val="004463D8"/>
    <w:rsid w:val="00446D04"/>
    <w:rsid w:val="004472A6"/>
    <w:rsid w:val="00447612"/>
    <w:rsid w:val="0044772B"/>
    <w:rsid w:val="004479EF"/>
    <w:rsid w:val="00452F4C"/>
    <w:rsid w:val="00454107"/>
    <w:rsid w:val="00454452"/>
    <w:rsid w:val="00454FB3"/>
    <w:rsid w:val="004553BC"/>
    <w:rsid w:val="00456271"/>
    <w:rsid w:val="00456FC7"/>
    <w:rsid w:val="004576DC"/>
    <w:rsid w:val="00457BEB"/>
    <w:rsid w:val="00457DEA"/>
    <w:rsid w:val="00457F4F"/>
    <w:rsid w:val="00460B21"/>
    <w:rsid w:val="004611E2"/>
    <w:rsid w:val="0046159C"/>
    <w:rsid w:val="00461FD2"/>
    <w:rsid w:val="00462DCE"/>
    <w:rsid w:val="00464421"/>
    <w:rsid w:val="00464542"/>
    <w:rsid w:val="00464DBC"/>
    <w:rsid w:val="0046544D"/>
    <w:rsid w:val="00465859"/>
    <w:rsid w:val="004665DE"/>
    <w:rsid w:val="00467D72"/>
    <w:rsid w:val="004713D8"/>
    <w:rsid w:val="00472B1F"/>
    <w:rsid w:val="00475C77"/>
    <w:rsid w:val="00475DC3"/>
    <w:rsid w:val="00475E15"/>
    <w:rsid w:val="00480437"/>
    <w:rsid w:val="0048043A"/>
    <w:rsid w:val="0048143F"/>
    <w:rsid w:val="004815F8"/>
    <w:rsid w:val="00482062"/>
    <w:rsid w:val="00484581"/>
    <w:rsid w:val="00484949"/>
    <w:rsid w:val="00484FD8"/>
    <w:rsid w:val="00486A3A"/>
    <w:rsid w:val="00487D1D"/>
    <w:rsid w:val="00487DA1"/>
    <w:rsid w:val="004904B6"/>
    <w:rsid w:val="0049099D"/>
    <w:rsid w:val="00490D01"/>
    <w:rsid w:val="00490D53"/>
    <w:rsid w:val="0049131D"/>
    <w:rsid w:val="004920FA"/>
    <w:rsid w:val="004927F3"/>
    <w:rsid w:val="004936FA"/>
    <w:rsid w:val="00493ADE"/>
    <w:rsid w:val="00493E19"/>
    <w:rsid w:val="00493F23"/>
    <w:rsid w:val="004946CF"/>
    <w:rsid w:val="00494B25"/>
    <w:rsid w:val="0049502F"/>
    <w:rsid w:val="0049524F"/>
    <w:rsid w:val="00495CC8"/>
    <w:rsid w:val="0049690A"/>
    <w:rsid w:val="0049787C"/>
    <w:rsid w:val="00497896"/>
    <w:rsid w:val="004A03F0"/>
    <w:rsid w:val="004A0853"/>
    <w:rsid w:val="004A2055"/>
    <w:rsid w:val="004A2443"/>
    <w:rsid w:val="004A2544"/>
    <w:rsid w:val="004A3574"/>
    <w:rsid w:val="004A36FB"/>
    <w:rsid w:val="004A3EAA"/>
    <w:rsid w:val="004A477E"/>
    <w:rsid w:val="004A50C6"/>
    <w:rsid w:val="004A5D8D"/>
    <w:rsid w:val="004A5EA1"/>
    <w:rsid w:val="004A6BEF"/>
    <w:rsid w:val="004A714E"/>
    <w:rsid w:val="004A77C5"/>
    <w:rsid w:val="004B0049"/>
    <w:rsid w:val="004B0146"/>
    <w:rsid w:val="004B0175"/>
    <w:rsid w:val="004B0BF2"/>
    <w:rsid w:val="004B1B1E"/>
    <w:rsid w:val="004B28C2"/>
    <w:rsid w:val="004B42A2"/>
    <w:rsid w:val="004B4753"/>
    <w:rsid w:val="004B48E6"/>
    <w:rsid w:val="004B631B"/>
    <w:rsid w:val="004B718F"/>
    <w:rsid w:val="004C297A"/>
    <w:rsid w:val="004C3ECA"/>
    <w:rsid w:val="004C3F12"/>
    <w:rsid w:val="004C4CBD"/>
    <w:rsid w:val="004C517A"/>
    <w:rsid w:val="004C6669"/>
    <w:rsid w:val="004C70A8"/>
    <w:rsid w:val="004D067B"/>
    <w:rsid w:val="004D0BBE"/>
    <w:rsid w:val="004D11F8"/>
    <w:rsid w:val="004D41CC"/>
    <w:rsid w:val="004D47BE"/>
    <w:rsid w:val="004D52CE"/>
    <w:rsid w:val="004D5ABE"/>
    <w:rsid w:val="004D6F8A"/>
    <w:rsid w:val="004D7116"/>
    <w:rsid w:val="004D7235"/>
    <w:rsid w:val="004E0414"/>
    <w:rsid w:val="004E1A07"/>
    <w:rsid w:val="004E22AE"/>
    <w:rsid w:val="004E2596"/>
    <w:rsid w:val="004E265C"/>
    <w:rsid w:val="004E2A65"/>
    <w:rsid w:val="004E2B7F"/>
    <w:rsid w:val="004E2C15"/>
    <w:rsid w:val="004E2CA9"/>
    <w:rsid w:val="004E322E"/>
    <w:rsid w:val="004E35AD"/>
    <w:rsid w:val="004E5209"/>
    <w:rsid w:val="004E5B03"/>
    <w:rsid w:val="004E5F3E"/>
    <w:rsid w:val="004E5F78"/>
    <w:rsid w:val="004E6005"/>
    <w:rsid w:val="004E60EB"/>
    <w:rsid w:val="004E63B7"/>
    <w:rsid w:val="004E6DCF"/>
    <w:rsid w:val="004F04B8"/>
    <w:rsid w:val="004F05C2"/>
    <w:rsid w:val="004F0F11"/>
    <w:rsid w:val="004F2A69"/>
    <w:rsid w:val="004F3426"/>
    <w:rsid w:val="004F43C2"/>
    <w:rsid w:val="004F49D5"/>
    <w:rsid w:val="004F4EB7"/>
    <w:rsid w:val="004F6FE0"/>
    <w:rsid w:val="00500762"/>
    <w:rsid w:val="00500916"/>
    <w:rsid w:val="005014F7"/>
    <w:rsid w:val="00501FB7"/>
    <w:rsid w:val="00502262"/>
    <w:rsid w:val="005029B5"/>
    <w:rsid w:val="00502A34"/>
    <w:rsid w:val="00502A82"/>
    <w:rsid w:val="005037AA"/>
    <w:rsid w:val="00503B12"/>
    <w:rsid w:val="00504104"/>
    <w:rsid w:val="00504657"/>
    <w:rsid w:val="00506868"/>
    <w:rsid w:val="0050765A"/>
    <w:rsid w:val="005109D9"/>
    <w:rsid w:val="00510C79"/>
    <w:rsid w:val="00510F5B"/>
    <w:rsid w:val="00511991"/>
    <w:rsid w:val="005121D7"/>
    <w:rsid w:val="00514198"/>
    <w:rsid w:val="00514A1F"/>
    <w:rsid w:val="00514AEE"/>
    <w:rsid w:val="005153B2"/>
    <w:rsid w:val="00515CE8"/>
    <w:rsid w:val="00516F75"/>
    <w:rsid w:val="00517F57"/>
    <w:rsid w:val="005203B6"/>
    <w:rsid w:val="00521261"/>
    <w:rsid w:val="00521A29"/>
    <w:rsid w:val="00524102"/>
    <w:rsid w:val="00524679"/>
    <w:rsid w:val="00524832"/>
    <w:rsid w:val="005254A2"/>
    <w:rsid w:val="005255C0"/>
    <w:rsid w:val="00525D16"/>
    <w:rsid w:val="00525E52"/>
    <w:rsid w:val="005338C4"/>
    <w:rsid w:val="00533DD1"/>
    <w:rsid w:val="0053438E"/>
    <w:rsid w:val="00536649"/>
    <w:rsid w:val="005369C9"/>
    <w:rsid w:val="00540FCF"/>
    <w:rsid w:val="005416E2"/>
    <w:rsid w:val="00541AF3"/>
    <w:rsid w:val="005422F2"/>
    <w:rsid w:val="0054379A"/>
    <w:rsid w:val="005445DE"/>
    <w:rsid w:val="0054564E"/>
    <w:rsid w:val="00545680"/>
    <w:rsid w:val="0054635E"/>
    <w:rsid w:val="005468A8"/>
    <w:rsid w:val="005469E1"/>
    <w:rsid w:val="00550C61"/>
    <w:rsid w:val="005523E4"/>
    <w:rsid w:val="0055548B"/>
    <w:rsid w:val="005579FA"/>
    <w:rsid w:val="00557BCA"/>
    <w:rsid w:val="005601EE"/>
    <w:rsid w:val="00561FAE"/>
    <w:rsid w:val="00562295"/>
    <w:rsid w:val="00562A51"/>
    <w:rsid w:val="00565DF4"/>
    <w:rsid w:val="00566332"/>
    <w:rsid w:val="00566716"/>
    <w:rsid w:val="00566B15"/>
    <w:rsid w:val="00566F5C"/>
    <w:rsid w:val="005670F2"/>
    <w:rsid w:val="00567BDE"/>
    <w:rsid w:val="00567CBA"/>
    <w:rsid w:val="00572882"/>
    <w:rsid w:val="00572F44"/>
    <w:rsid w:val="00573607"/>
    <w:rsid w:val="00573BAE"/>
    <w:rsid w:val="00573F23"/>
    <w:rsid w:val="005754E9"/>
    <w:rsid w:val="00575FE8"/>
    <w:rsid w:val="00576895"/>
    <w:rsid w:val="00577273"/>
    <w:rsid w:val="0058017D"/>
    <w:rsid w:val="0058020A"/>
    <w:rsid w:val="005804CD"/>
    <w:rsid w:val="0058059D"/>
    <w:rsid w:val="00580D12"/>
    <w:rsid w:val="00581429"/>
    <w:rsid w:val="00581B60"/>
    <w:rsid w:val="00581F95"/>
    <w:rsid w:val="00583128"/>
    <w:rsid w:val="005838B8"/>
    <w:rsid w:val="005843A3"/>
    <w:rsid w:val="00584A8B"/>
    <w:rsid w:val="005854F1"/>
    <w:rsid w:val="00585660"/>
    <w:rsid w:val="005868D3"/>
    <w:rsid w:val="0058697E"/>
    <w:rsid w:val="00591899"/>
    <w:rsid w:val="00593B88"/>
    <w:rsid w:val="00595086"/>
    <w:rsid w:val="005955CC"/>
    <w:rsid w:val="005956C7"/>
    <w:rsid w:val="005957AE"/>
    <w:rsid w:val="00595D03"/>
    <w:rsid w:val="005960AD"/>
    <w:rsid w:val="005967CB"/>
    <w:rsid w:val="005977BF"/>
    <w:rsid w:val="005A0ACA"/>
    <w:rsid w:val="005A0D4D"/>
    <w:rsid w:val="005A1116"/>
    <w:rsid w:val="005A226A"/>
    <w:rsid w:val="005A22B2"/>
    <w:rsid w:val="005A25B4"/>
    <w:rsid w:val="005A3008"/>
    <w:rsid w:val="005A431E"/>
    <w:rsid w:val="005A4804"/>
    <w:rsid w:val="005A5147"/>
    <w:rsid w:val="005A6045"/>
    <w:rsid w:val="005A6A2F"/>
    <w:rsid w:val="005B06A5"/>
    <w:rsid w:val="005B2055"/>
    <w:rsid w:val="005B222C"/>
    <w:rsid w:val="005B2D18"/>
    <w:rsid w:val="005B3772"/>
    <w:rsid w:val="005B4FF9"/>
    <w:rsid w:val="005B64AB"/>
    <w:rsid w:val="005B732F"/>
    <w:rsid w:val="005C0A65"/>
    <w:rsid w:val="005C0AA7"/>
    <w:rsid w:val="005C0FA2"/>
    <w:rsid w:val="005C3996"/>
    <w:rsid w:val="005C443A"/>
    <w:rsid w:val="005C514C"/>
    <w:rsid w:val="005C55DA"/>
    <w:rsid w:val="005C5DF1"/>
    <w:rsid w:val="005C6D61"/>
    <w:rsid w:val="005D0148"/>
    <w:rsid w:val="005D0DDD"/>
    <w:rsid w:val="005D1353"/>
    <w:rsid w:val="005D1682"/>
    <w:rsid w:val="005D1DC3"/>
    <w:rsid w:val="005D214F"/>
    <w:rsid w:val="005D27C4"/>
    <w:rsid w:val="005D27CD"/>
    <w:rsid w:val="005D377B"/>
    <w:rsid w:val="005D50E9"/>
    <w:rsid w:val="005D5168"/>
    <w:rsid w:val="005D5EE2"/>
    <w:rsid w:val="005D793D"/>
    <w:rsid w:val="005D7CD0"/>
    <w:rsid w:val="005E0FFF"/>
    <w:rsid w:val="005E23D8"/>
    <w:rsid w:val="005E27E2"/>
    <w:rsid w:val="005E33DD"/>
    <w:rsid w:val="005E38F1"/>
    <w:rsid w:val="005E60C2"/>
    <w:rsid w:val="005E651E"/>
    <w:rsid w:val="005E68FA"/>
    <w:rsid w:val="005F07D8"/>
    <w:rsid w:val="005F1699"/>
    <w:rsid w:val="005F2447"/>
    <w:rsid w:val="005F349B"/>
    <w:rsid w:val="005F36D5"/>
    <w:rsid w:val="005F3D8E"/>
    <w:rsid w:val="005F3E48"/>
    <w:rsid w:val="005F4C36"/>
    <w:rsid w:val="005F5D9A"/>
    <w:rsid w:val="006002C0"/>
    <w:rsid w:val="006005CF"/>
    <w:rsid w:val="00600885"/>
    <w:rsid w:val="00601750"/>
    <w:rsid w:val="0060260F"/>
    <w:rsid w:val="00603DAD"/>
    <w:rsid w:val="0060490C"/>
    <w:rsid w:val="0060680E"/>
    <w:rsid w:val="00607056"/>
    <w:rsid w:val="006107C8"/>
    <w:rsid w:val="00611DA0"/>
    <w:rsid w:val="00613150"/>
    <w:rsid w:val="00613E02"/>
    <w:rsid w:val="00613F1E"/>
    <w:rsid w:val="00614C12"/>
    <w:rsid w:val="00615A60"/>
    <w:rsid w:val="00615AD5"/>
    <w:rsid w:val="00622A13"/>
    <w:rsid w:val="00622E8B"/>
    <w:rsid w:val="00623160"/>
    <w:rsid w:val="00623698"/>
    <w:rsid w:val="00623FDA"/>
    <w:rsid w:val="00624214"/>
    <w:rsid w:val="006245E3"/>
    <w:rsid w:val="006249F3"/>
    <w:rsid w:val="00625968"/>
    <w:rsid w:val="00625CAF"/>
    <w:rsid w:val="00626064"/>
    <w:rsid w:val="006268B0"/>
    <w:rsid w:val="0062714D"/>
    <w:rsid w:val="006272FD"/>
    <w:rsid w:val="0063114C"/>
    <w:rsid w:val="0063261E"/>
    <w:rsid w:val="0063332D"/>
    <w:rsid w:val="00633AD1"/>
    <w:rsid w:val="00633E9F"/>
    <w:rsid w:val="00635CF5"/>
    <w:rsid w:val="00635F28"/>
    <w:rsid w:val="0063658A"/>
    <w:rsid w:val="0063708C"/>
    <w:rsid w:val="00637E26"/>
    <w:rsid w:val="006401D4"/>
    <w:rsid w:val="00641068"/>
    <w:rsid w:val="006410C8"/>
    <w:rsid w:val="006412C3"/>
    <w:rsid w:val="0064178F"/>
    <w:rsid w:val="006418B0"/>
    <w:rsid w:val="006419CF"/>
    <w:rsid w:val="00641A55"/>
    <w:rsid w:val="00641C8D"/>
    <w:rsid w:val="00644883"/>
    <w:rsid w:val="00644A63"/>
    <w:rsid w:val="00644BE4"/>
    <w:rsid w:val="0064613C"/>
    <w:rsid w:val="00646B6F"/>
    <w:rsid w:val="00646BC5"/>
    <w:rsid w:val="00646C5A"/>
    <w:rsid w:val="00646D3D"/>
    <w:rsid w:val="0064713C"/>
    <w:rsid w:val="0065003E"/>
    <w:rsid w:val="00650101"/>
    <w:rsid w:val="0065215C"/>
    <w:rsid w:val="00655325"/>
    <w:rsid w:val="00655E2C"/>
    <w:rsid w:val="0065619F"/>
    <w:rsid w:val="006579D6"/>
    <w:rsid w:val="00657A21"/>
    <w:rsid w:val="006605E8"/>
    <w:rsid w:val="00660BAB"/>
    <w:rsid w:val="00661487"/>
    <w:rsid w:val="00662281"/>
    <w:rsid w:val="00662801"/>
    <w:rsid w:val="00662928"/>
    <w:rsid w:val="00663273"/>
    <w:rsid w:val="00663A9D"/>
    <w:rsid w:val="00664A5E"/>
    <w:rsid w:val="00664E60"/>
    <w:rsid w:val="00666691"/>
    <w:rsid w:val="00667334"/>
    <w:rsid w:val="0066734A"/>
    <w:rsid w:val="00667737"/>
    <w:rsid w:val="006707C1"/>
    <w:rsid w:val="00670AD9"/>
    <w:rsid w:val="0067240F"/>
    <w:rsid w:val="00672CE4"/>
    <w:rsid w:val="00672E8C"/>
    <w:rsid w:val="00672E91"/>
    <w:rsid w:val="00673485"/>
    <w:rsid w:val="006739D9"/>
    <w:rsid w:val="00673CE1"/>
    <w:rsid w:val="00676100"/>
    <w:rsid w:val="0067726C"/>
    <w:rsid w:val="00680481"/>
    <w:rsid w:val="00680E62"/>
    <w:rsid w:val="0068133E"/>
    <w:rsid w:val="0068158B"/>
    <w:rsid w:val="006819CA"/>
    <w:rsid w:val="00683925"/>
    <w:rsid w:val="0068433F"/>
    <w:rsid w:val="00684CFF"/>
    <w:rsid w:val="00685CD8"/>
    <w:rsid w:val="00686624"/>
    <w:rsid w:val="0068682F"/>
    <w:rsid w:val="00686B34"/>
    <w:rsid w:val="006904D1"/>
    <w:rsid w:val="00691C82"/>
    <w:rsid w:val="006928D6"/>
    <w:rsid w:val="00692BB9"/>
    <w:rsid w:val="0069303B"/>
    <w:rsid w:val="006934B7"/>
    <w:rsid w:val="00693E81"/>
    <w:rsid w:val="00694932"/>
    <w:rsid w:val="0069623F"/>
    <w:rsid w:val="00696341"/>
    <w:rsid w:val="006963FD"/>
    <w:rsid w:val="006976BD"/>
    <w:rsid w:val="00697D7B"/>
    <w:rsid w:val="006A0E81"/>
    <w:rsid w:val="006A0ECA"/>
    <w:rsid w:val="006A30D7"/>
    <w:rsid w:val="006A3162"/>
    <w:rsid w:val="006A34D4"/>
    <w:rsid w:val="006A45FC"/>
    <w:rsid w:val="006A56E9"/>
    <w:rsid w:val="006A59AE"/>
    <w:rsid w:val="006A61B5"/>
    <w:rsid w:val="006A6F63"/>
    <w:rsid w:val="006A6FDF"/>
    <w:rsid w:val="006A7D2F"/>
    <w:rsid w:val="006B1442"/>
    <w:rsid w:val="006B1C46"/>
    <w:rsid w:val="006B2276"/>
    <w:rsid w:val="006B2387"/>
    <w:rsid w:val="006B264B"/>
    <w:rsid w:val="006B296C"/>
    <w:rsid w:val="006B2EE1"/>
    <w:rsid w:val="006B3202"/>
    <w:rsid w:val="006B3534"/>
    <w:rsid w:val="006B3C80"/>
    <w:rsid w:val="006B3CD2"/>
    <w:rsid w:val="006B63E0"/>
    <w:rsid w:val="006B6926"/>
    <w:rsid w:val="006B74E0"/>
    <w:rsid w:val="006C006F"/>
    <w:rsid w:val="006C00C8"/>
    <w:rsid w:val="006C013A"/>
    <w:rsid w:val="006C063D"/>
    <w:rsid w:val="006C3F2B"/>
    <w:rsid w:val="006C3FCE"/>
    <w:rsid w:val="006C44FA"/>
    <w:rsid w:val="006C53AA"/>
    <w:rsid w:val="006C7D0D"/>
    <w:rsid w:val="006D0493"/>
    <w:rsid w:val="006D0A88"/>
    <w:rsid w:val="006D111F"/>
    <w:rsid w:val="006D1207"/>
    <w:rsid w:val="006D1953"/>
    <w:rsid w:val="006D1C53"/>
    <w:rsid w:val="006D2194"/>
    <w:rsid w:val="006D24DF"/>
    <w:rsid w:val="006D2B5B"/>
    <w:rsid w:val="006D4CC6"/>
    <w:rsid w:val="006D4F47"/>
    <w:rsid w:val="006D5BAB"/>
    <w:rsid w:val="006D6059"/>
    <w:rsid w:val="006D6674"/>
    <w:rsid w:val="006D7F6D"/>
    <w:rsid w:val="006E1409"/>
    <w:rsid w:val="006E378F"/>
    <w:rsid w:val="006E45F9"/>
    <w:rsid w:val="006E46CB"/>
    <w:rsid w:val="006E4BF6"/>
    <w:rsid w:val="006E4DFE"/>
    <w:rsid w:val="006E5C1D"/>
    <w:rsid w:val="006E6ED0"/>
    <w:rsid w:val="006E76F0"/>
    <w:rsid w:val="006E77A8"/>
    <w:rsid w:val="006E77E1"/>
    <w:rsid w:val="006E7A4D"/>
    <w:rsid w:val="006F003F"/>
    <w:rsid w:val="006F0751"/>
    <w:rsid w:val="006F0907"/>
    <w:rsid w:val="006F0D8F"/>
    <w:rsid w:val="006F15C1"/>
    <w:rsid w:val="006F252A"/>
    <w:rsid w:val="006F3621"/>
    <w:rsid w:val="006F4008"/>
    <w:rsid w:val="006F53AD"/>
    <w:rsid w:val="006F67FA"/>
    <w:rsid w:val="006F6DCA"/>
    <w:rsid w:val="006F77D1"/>
    <w:rsid w:val="00700465"/>
    <w:rsid w:val="007025D1"/>
    <w:rsid w:val="00702699"/>
    <w:rsid w:val="00704FD7"/>
    <w:rsid w:val="007060D8"/>
    <w:rsid w:val="00706230"/>
    <w:rsid w:val="00707CFB"/>
    <w:rsid w:val="00707F65"/>
    <w:rsid w:val="00712356"/>
    <w:rsid w:val="007128FC"/>
    <w:rsid w:val="00712954"/>
    <w:rsid w:val="00712973"/>
    <w:rsid w:val="00712B10"/>
    <w:rsid w:val="00712B8E"/>
    <w:rsid w:val="00712CAD"/>
    <w:rsid w:val="00713954"/>
    <w:rsid w:val="00713F34"/>
    <w:rsid w:val="00714472"/>
    <w:rsid w:val="00714742"/>
    <w:rsid w:val="00717FE2"/>
    <w:rsid w:val="00720199"/>
    <w:rsid w:val="00720759"/>
    <w:rsid w:val="0072608E"/>
    <w:rsid w:val="007270C3"/>
    <w:rsid w:val="007273BF"/>
    <w:rsid w:val="00730295"/>
    <w:rsid w:val="0073044A"/>
    <w:rsid w:val="00730FAF"/>
    <w:rsid w:val="00732228"/>
    <w:rsid w:val="00732431"/>
    <w:rsid w:val="00732C90"/>
    <w:rsid w:val="00734D23"/>
    <w:rsid w:val="007357DB"/>
    <w:rsid w:val="007358D6"/>
    <w:rsid w:val="007359D8"/>
    <w:rsid w:val="00736776"/>
    <w:rsid w:val="00736EB0"/>
    <w:rsid w:val="007370AD"/>
    <w:rsid w:val="00737337"/>
    <w:rsid w:val="007374FF"/>
    <w:rsid w:val="0073760A"/>
    <w:rsid w:val="00740A84"/>
    <w:rsid w:val="007419CB"/>
    <w:rsid w:val="00741EEB"/>
    <w:rsid w:val="007427AA"/>
    <w:rsid w:val="00742C44"/>
    <w:rsid w:val="00742F48"/>
    <w:rsid w:val="00743380"/>
    <w:rsid w:val="00743AE4"/>
    <w:rsid w:val="00744DCA"/>
    <w:rsid w:val="0074556A"/>
    <w:rsid w:val="00745650"/>
    <w:rsid w:val="00745B94"/>
    <w:rsid w:val="00745BE3"/>
    <w:rsid w:val="00747924"/>
    <w:rsid w:val="00747A80"/>
    <w:rsid w:val="007500FE"/>
    <w:rsid w:val="0075032A"/>
    <w:rsid w:val="00750E5A"/>
    <w:rsid w:val="00751598"/>
    <w:rsid w:val="0075267A"/>
    <w:rsid w:val="00752B16"/>
    <w:rsid w:val="00752C1E"/>
    <w:rsid w:val="00753452"/>
    <w:rsid w:val="00753A0E"/>
    <w:rsid w:val="00753AED"/>
    <w:rsid w:val="00755902"/>
    <w:rsid w:val="0075635E"/>
    <w:rsid w:val="007564FB"/>
    <w:rsid w:val="00757011"/>
    <w:rsid w:val="0075743A"/>
    <w:rsid w:val="00761907"/>
    <w:rsid w:val="0076199F"/>
    <w:rsid w:val="00762B51"/>
    <w:rsid w:val="00764166"/>
    <w:rsid w:val="00764472"/>
    <w:rsid w:val="00764645"/>
    <w:rsid w:val="00764CB4"/>
    <w:rsid w:val="00766713"/>
    <w:rsid w:val="00767F9B"/>
    <w:rsid w:val="007701B9"/>
    <w:rsid w:val="0077261B"/>
    <w:rsid w:val="00772BF0"/>
    <w:rsid w:val="00772DD7"/>
    <w:rsid w:val="0077315C"/>
    <w:rsid w:val="00775653"/>
    <w:rsid w:val="007764B8"/>
    <w:rsid w:val="0077777D"/>
    <w:rsid w:val="00777B5F"/>
    <w:rsid w:val="00777EAC"/>
    <w:rsid w:val="00780136"/>
    <w:rsid w:val="007805FF"/>
    <w:rsid w:val="00780B17"/>
    <w:rsid w:val="0078213B"/>
    <w:rsid w:val="00782233"/>
    <w:rsid w:val="007823FB"/>
    <w:rsid w:val="007826B8"/>
    <w:rsid w:val="00782DCB"/>
    <w:rsid w:val="00783A1F"/>
    <w:rsid w:val="00784682"/>
    <w:rsid w:val="00784953"/>
    <w:rsid w:val="0078516A"/>
    <w:rsid w:val="00786928"/>
    <w:rsid w:val="00790D28"/>
    <w:rsid w:val="00791395"/>
    <w:rsid w:val="0079314A"/>
    <w:rsid w:val="007941F5"/>
    <w:rsid w:val="00794662"/>
    <w:rsid w:val="00794EF9"/>
    <w:rsid w:val="007954F0"/>
    <w:rsid w:val="0079584B"/>
    <w:rsid w:val="007959ED"/>
    <w:rsid w:val="0079623D"/>
    <w:rsid w:val="00796805"/>
    <w:rsid w:val="007A03BA"/>
    <w:rsid w:val="007A0B16"/>
    <w:rsid w:val="007A1D1E"/>
    <w:rsid w:val="007A3A26"/>
    <w:rsid w:val="007A3A5A"/>
    <w:rsid w:val="007A498E"/>
    <w:rsid w:val="007A4DB1"/>
    <w:rsid w:val="007A6465"/>
    <w:rsid w:val="007A6BF9"/>
    <w:rsid w:val="007B1ABB"/>
    <w:rsid w:val="007B1BFF"/>
    <w:rsid w:val="007B2CEC"/>
    <w:rsid w:val="007B3BDB"/>
    <w:rsid w:val="007B4FB8"/>
    <w:rsid w:val="007B5CAE"/>
    <w:rsid w:val="007B5CF1"/>
    <w:rsid w:val="007B7438"/>
    <w:rsid w:val="007B7DC0"/>
    <w:rsid w:val="007C2FFB"/>
    <w:rsid w:val="007C35EA"/>
    <w:rsid w:val="007C3AC8"/>
    <w:rsid w:val="007C4566"/>
    <w:rsid w:val="007C500E"/>
    <w:rsid w:val="007C619E"/>
    <w:rsid w:val="007C67BC"/>
    <w:rsid w:val="007C7159"/>
    <w:rsid w:val="007C774C"/>
    <w:rsid w:val="007C7CF6"/>
    <w:rsid w:val="007D0421"/>
    <w:rsid w:val="007D0F34"/>
    <w:rsid w:val="007D2653"/>
    <w:rsid w:val="007D44F7"/>
    <w:rsid w:val="007D59B4"/>
    <w:rsid w:val="007D75F6"/>
    <w:rsid w:val="007D79CA"/>
    <w:rsid w:val="007D7D34"/>
    <w:rsid w:val="007E1AB8"/>
    <w:rsid w:val="007E238F"/>
    <w:rsid w:val="007E3834"/>
    <w:rsid w:val="007E4711"/>
    <w:rsid w:val="007E4DF2"/>
    <w:rsid w:val="007E50C2"/>
    <w:rsid w:val="007E5496"/>
    <w:rsid w:val="007E5697"/>
    <w:rsid w:val="007E581D"/>
    <w:rsid w:val="007E693B"/>
    <w:rsid w:val="007E7582"/>
    <w:rsid w:val="007F0662"/>
    <w:rsid w:val="007F0FD9"/>
    <w:rsid w:val="007F1556"/>
    <w:rsid w:val="007F19A7"/>
    <w:rsid w:val="007F1CF5"/>
    <w:rsid w:val="007F244C"/>
    <w:rsid w:val="007F2489"/>
    <w:rsid w:val="007F24EA"/>
    <w:rsid w:val="007F28C1"/>
    <w:rsid w:val="007F2991"/>
    <w:rsid w:val="007F2BE1"/>
    <w:rsid w:val="007F3BE8"/>
    <w:rsid w:val="007F4B6A"/>
    <w:rsid w:val="007F5344"/>
    <w:rsid w:val="007F5F83"/>
    <w:rsid w:val="007F74E8"/>
    <w:rsid w:val="008007F4"/>
    <w:rsid w:val="00800DD0"/>
    <w:rsid w:val="00801FD6"/>
    <w:rsid w:val="008020D4"/>
    <w:rsid w:val="00803138"/>
    <w:rsid w:val="00803F18"/>
    <w:rsid w:val="00804287"/>
    <w:rsid w:val="00804C34"/>
    <w:rsid w:val="00806847"/>
    <w:rsid w:val="00810A8B"/>
    <w:rsid w:val="0081162F"/>
    <w:rsid w:val="008118A2"/>
    <w:rsid w:val="008122FA"/>
    <w:rsid w:val="00812C6D"/>
    <w:rsid w:val="00812E07"/>
    <w:rsid w:val="00812E1B"/>
    <w:rsid w:val="00813144"/>
    <w:rsid w:val="0081328D"/>
    <w:rsid w:val="00813EDE"/>
    <w:rsid w:val="00814D11"/>
    <w:rsid w:val="00814F6A"/>
    <w:rsid w:val="00816051"/>
    <w:rsid w:val="00816433"/>
    <w:rsid w:val="00816D84"/>
    <w:rsid w:val="00817F35"/>
    <w:rsid w:val="00820A2B"/>
    <w:rsid w:val="00820C0E"/>
    <w:rsid w:val="008210D6"/>
    <w:rsid w:val="00822D2D"/>
    <w:rsid w:val="00822F16"/>
    <w:rsid w:val="00823CB0"/>
    <w:rsid w:val="00823D34"/>
    <w:rsid w:val="008240D0"/>
    <w:rsid w:val="008244DA"/>
    <w:rsid w:val="008259A4"/>
    <w:rsid w:val="00826394"/>
    <w:rsid w:val="00826F69"/>
    <w:rsid w:val="00827259"/>
    <w:rsid w:val="008334F0"/>
    <w:rsid w:val="008339C3"/>
    <w:rsid w:val="00834283"/>
    <w:rsid w:val="008342A7"/>
    <w:rsid w:val="00834A99"/>
    <w:rsid w:val="00835991"/>
    <w:rsid w:val="00836915"/>
    <w:rsid w:val="00836AB3"/>
    <w:rsid w:val="00836B49"/>
    <w:rsid w:val="00837072"/>
    <w:rsid w:val="00837092"/>
    <w:rsid w:val="00841EC2"/>
    <w:rsid w:val="00841FF8"/>
    <w:rsid w:val="00842EA1"/>
    <w:rsid w:val="008479E4"/>
    <w:rsid w:val="00851318"/>
    <w:rsid w:val="00851D7F"/>
    <w:rsid w:val="00852045"/>
    <w:rsid w:val="00853247"/>
    <w:rsid w:val="008535CC"/>
    <w:rsid w:val="008540F6"/>
    <w:rsid w:val="00854A79"/>
    <w:rsid w:val="00854CAE"/>
    <w:rsid w:val="00855BEE"/>
    <w:rsid w:val="0085608D"/>
    <w:rsid w:val="008564FC"/>
    <w:rsid w:val="00857173"/>
    <w:rsid w:val="0085731B"/>
    <w:rsid w:val="00857514"/>
    <w:rsid w:val="00857FC2"/>
    <w:rsid w:val="008605F5"/>
    <w:rsid w:val="00863188"/>
    <w:rsid w:val="0086481C"/>
    <w:rsid w:val="00865252"/>
    <w:rsid w:val="00865299"/>
    <w:rsid w:val="00865CBF"/>
    <w:rsid w:val="00866D52"/>
    <w:rsid w:val="008707D6"/>
    <w:rsid w:val="0087082D"/>
    <w:rsid w:val="008709A8"/>
    <w:rsid w:val="0087116D"/>
    <w:rsid w:val="0087154D"/>
    <w:rsid w:val="00871746"/>
    <w:rsid w:val="00871D1B"/>
    <w:rsid w:val="00874234"/>
    <w:rsid w:val="00874B23"/>
    <w:rsid w:val="00874B74"/>
    <w:rsid w:val="008762EF"/>
    <w:rsid w:val="00876822"/>
    <w:rsid w:val="008768CF"/>
    <w:rsid w:val="00877308"/>
    <w:rsid w:val="008776C4"/>
    <w:rsid w:val="008817D6"/>
    <w:rsid w:val="00881869"/>
    <w:rsid w:val="008820C2"/>
    <w:rsid w:val="008831A7"/>
    <w:rsid w:val="008832C5"/>
    <w:rsid w:val="0088387C"/>
    <w:rsid w:val="00884726"/>
    <w:rsid w:val="00884A88"/>
    <w:rsid w:val="00886947"/>
    <w:rsid w:val="00886AEE"/>
    <w:rsid w:val="0088788E"/>
    <w:rsid w:val="00887CAC"/>
    <w:rsid w:val="0089053E"/>
    <w:rsid w:val="0089066B"/>
    <w:rsid w:val="00890B88"/>
    <w:rsid w:val="00890E87"/>
    <w:rsid w:val="00891AE4"/>
    <w:rsid w:val="008930C4"/>
    <w:rsid w:val="00893306"/>
    <w:rsid w:val="00894AEC"/>
    <w:rsid w:val="00894C53"/>
    <w:rsid w:val="00895078"/>
    <w:rsid w:val="00896923"/>
    <w:rsid w:val="008A01C2"/>
    <w:rsid w:val="008A08ED"/>
    <w:rsid w:val="008A3E38"/>
    <w:rsid w:val="008A4D3F"/>
    <w:rsid w:val="008A55E2"/>
    <w:rsid w:val="008A77B7"/>
    <w:rsid w:val="008A7BA0"/>
    <w:rsid w:val="008B0367"/>
    <w:rsid w:val="008B079B"/>
    <w:rsid w:val="008B0E02"/>
    <w:rsid w:val="008B197C"/>
    <w:rsid w:val="008B1F4F"/>
    <w:rsid w:val="008B2E5C"/>
    <w:rsid w:val="008B33CA"/>
    <w:rsid w:val="008B3562"/>
    <w:rsid w:val="008B3E1E"/>
    <w:rsid w:val="008B45C5"/>
    <w:rsid w:val="008B502D"/>
    <w:rsid w:val="008B56E2"/>
    <w:rsid w:val="008B5FAA"/>
    <w:rsid w:val="008B65B2"/>
    <w:rsid w:val="008C0FAD"/>
    <w:rsid w:val="008C1010"/>
    <w:rsid w:val="008C1140"/>
    <w:rsid w:val="008C21F8"/>
    <w:rsid w:val="008C274E"/>
    <w:rsid w:val="008C2AFE"/>
    <w:rsid w:val="008C2F5B"/>
    <w:rsid w:val="008C33B0"/>
    <w:rsid w:val="008C3A4D"/>
    <w:rsid w:val="008C3EDA"/>
    <w:rsid w:val="008C4659"/>
    <w:rsid w:val="008C60DA"/>
    <w:rsid w:val="008C7504"/>
    <w:rsid w:val="008C7662"/>
    <w:rsid w:val="008D223C"/>
    <w:rsid w:val="008D610C"/>
    <w:rsid w:val="008E06BF"/>
    <w:rsid w:val="008E1375"/>
    <w:rsid w:val="008E1D11"/>
    <w:rsid w:val="008E2934"/>
    <w:rsid w:val="008E2A22"/>
    <w:rsid w:val="008E2B34"/>
    <w:rsid w:val="008E407E"/>
    <w:rsid w:val="008E4752"/>
    <w:rsid w:val="008E4832"/>
    <w:rsid w:val="008E4EB9"/>
    <w:rsid w:val="008E609B"/>
    <w:rsid w:val="008E6462"/>
    <w:rsid w:val="008E7774"/>
    <w:rsid w:val="008F149D"/>
    <w:rsid w:val="008F27FC"/>
    <w:rsid w:val="008F2FA2"/>
    <w:rsid w:val="008F33DA"/>
    <w:rsid w:val="008F432D"/>
    <w:rsid w:val="008F446D"/>
    <w:rsid w:val="008F67EF"/>
    <w:rsid w:val="008F6CA7"/>
    <w:rsid w:val="00900C2A"/>
    <w:rsid w:val="009018F6"/>
    <w:rsid w:val="00901BEF"/>
    <w:rsid w:val="009036A6"/>
    <w:rsid w:val="0090387A"/>
    <w:rsid w:val="009041CE"/>
    <w:rsid w:val="00904FBE"/>
    <w:rsid w:val="00905729"/>
    <w:rsid w:val="00905AD8"/>
    <w:rsid w:val="00907680"/>
    <w:rsid w:val="00907F17"/>
    <w:rsid w:val="00911221"/>
    <w:rsid w:val="009119FE"/>
    <w:rsid w:val="00911E82"/>
    <w:rsid w:val="00911ED9"/>
    <w:rsid w:val="00912201"/>
    <w:rsid w:val="009137A6"/>
    <w:rsid w:val="009138BD"/>
    <w:rsid w:val="00913F87"/>
    <w:rsid w:val="009143DD"/>
    <w:rsid w:val="00916C4A"/>
    <w:rsid w:val="009170EA"/>
    <w:rsid w:val="009176C2"/>
    <w:rsid w:val="00917F8A"/>
    <w:rsid w:val="00920D86"/>
    <w:rsid w:val="00920DE0"/>
    <w:rsid w:val="00921390"/>
    <w:rsid w:val="009222FF"/>
    <w:rsid w:val="00922508"/>
    <w:rsid w:val="00925F9A"/>
    <w:rsid w:val="009267E0"/>
    <w:rsid w:val="00926D8E"/>
    <w:rsid w:val="00930C6D"/>
    <w:rsid w:val="0093128A"/>
    <w:rsid w:val="00931F2A"/>
    <w:rsid w:val="00933583"/>
    <w:rsid w:val="00933C2B"/>
    <w:rsid w:val="009342B6"/>
    <w:rsid w:val="009357F1"/>
    <w:rsid w:val="00935880"/>
    <w:rsid w:val="00935A39"/>
    <w:rsid w:val="009360DD"/>
    <w:rsid w:val="0093630F"/>
    <w:rsid w:val="00936B30"/>
    <w:rsid w:val="009375AA"/>
    <w:rsid w:val="0093785B"/>
    <w:rsid w:val="00941206"/>
    <w:rsid w:val="009414EF"/>
    <w:rsid w:val="00944A2F"/>
    <w:rsid w:val="00944CBF"/>
    <w:rsid w:val="00945345"/>
    <w:rsid w:val="009457B3"/>
    <w:rsid w:val="009465B9"/>
    <w:rsid w:val="009469A5"/>
    <w:rsid w:val="00950876"/>
    <w:rsid w:val="00951360"/>
    <w:rsid w:val="009514A6"/>
    <w:rsid w:val="00952301"/>
    <w:rsid w:val="00952A0D"/>
    <w:rsid w:val="00952E02"/>
    <w:rsid w:val="00954D7C"/>
    <w:rsid w:val="009553B4"/>
    <w:rsid w:val="009602C8"/>
    <w:rsid w:val="00960CE7"/>
    <w:rsid w:val="0096115F"/>
    <w:rsid w:val="00961853"/>
    <w:rsid w:val="00962D1F"/>
    <w:rsid w:val="00962F09"/>
    <w:rsid w:val="0096307E"/>
    <w:rsid w:val="0096546C"/>
    <w:rsid w:val="00965684"/>
    <w:rsid w:val="00966362"/>
    <w:rsid w:val="00966386"/>
    <w:rsid w:val="0096650B"/>
    <w:rsid w:val="00967388"/>
    <w:rsid w:val="009738C9"/>
    <w:rsid w:val="009745DC"/>
    <w:rsid w:val="009748BF"/>
    <w:rsid w:val="0097572D"/>
    <w:rsid w:val="0097747F"/>
    <w:rsid w:val="009800AD"/>
    <w:rsid w:val="00981771"/>
    <w:rsid w:val="00981B8A"/>
    <w:rsid w:val="00981D7A"/>
    <w:rsid w:val="0098241B"/>
    <w:rsid w:val="00982A56"/>
    <w:rsid w:val="00983697"/>
    <w:rsid w:val="0098566A"/>
    <w:rsid w:val="00985FBD"/>
    <w:rsid w:val="00987A72"/>
    <w:rsid w:val="0099081F"/>
    <w:rsid w:val="00990C5D"/>
    <w:rsid w:val="00990E76"/>
    <w:rsid w:val="00991200"/>
    <w:rsid w:val="009918E9"/>
    <w:rsid w:val="0099259B"/>
    <w:rsid w:val="00992645"/>
    <w:rsid w:val="009926A8"/>
    <w:rsid w:val="00992874"/>
    <w:rsid w:val="00992C02"/>
    <w:rsid w:val="0099327C"/>
    <w:rsid w:val="009935B8"/>
    <w:rsid w:val="009947A3"/>
    <w:rsid w:val="009949E2"/>
    <w:rsid w:val="0099531B"/>
    <w:rsid w:val="009953C1"/>
    <w:rsid w:val="00995E91"/>
    <w:rsid w:val="00996949"/>
    <w:rsid w:val="009976CC"/>
    <w:rsid w:val="009977A8"/>
    <w:rsid w:val="00997A4E"/>
    <w:rsid w:val="00997AED"/>
    <w:rsid w:val="009A07AB"/>
    <w:rsid w:val="009A0B89"/>
    <w:rsid w:val="009A1323"/>
    <w:rsid w:val="009A2022"/>
    <w:rsid w:val="009A32D4"/>
    <w:rsid w:val="009A3600"/>
    <w:rsid w:val="009A3D69"/>
    <w:rsid w:val="009A401C"/>
    <w:rsid w:val="009A4309"/>
    <w:rsid w:val="009A44C6"/>
    <w:rsid w:val="009A4681"/>
    <w:rsid w:val="009A47E6"/>
    <w:rsid w:val="009A48AE"/>
    <w:rsid w:val="009A5E81"/>
    <w:rsid w:val="009A6044"/>
    <w:rsid w:val="009A6482"/>
    <w:rsid w:val="009A721E"/>
    <w:rsid w:val="009B10AA"/>
    <w:rsid w:val="009B13CF"/>
    <w:rsid w:val="009B17C8"/>
    <w:rsid w:val="009B25E4"/>
    <w:rsid w:val="009B4015"/>
    <w:rsid w:val="009B4179"/>
    <w:rsid w:val="009B4198"/>
    <w:rsid w:val="009B41F2"/>
    <w:rsid w:val="009B4C30"/>
    <w:rsid w:val="009B5F4B"/>
    <w:rsid w:val="009B5F63"/>
    <w:rsid w:val="009B6C30"/>
    <w:rsid w:val="009B6F68"/>
    <w:rsid w:val="009B7F37"/>
    <w:rsid w:val="009C037B"/>
    <w:rsid w:val="009C0DAE"/>
    <w:rsid w:val="009C1C2C"/>
    <w:rsid w:val="009C352F"/>
    <w:rsid w:val="009C418E"/>
    <w:rsid w:val="009C600A"/>
    <w:rsid w:val="009C6267"/>
    <w:rsid w:val="009C64DE"/>
    <w:rsid w:val="009C771E"/>
    <w:rsid w:val="009C7C73"/>
    <w:rsid w:val="009C7C86"/>
    <w:rsid w:val="009D0169"/>
    <w:rsid w:val="009D06B4"/>
    <w:rsid w:val="009D0CB2"/>
    <w:rsid w:val="009D2CE1"/>
    <w:rsid w:val="009D38E0"/>
    <w:rsid w:val="009D407C"/>
    <w:rsid w:val="009D4C9D"/>
    <w:rsid w:val="009D4FAB"/>
    <w:rsid w:val="009D50E3"/>
    <w:rsid w:val="009D5388"/>
    <w:rsid w:val="009D59A4"/>
    <w:rsid w:val="009D5D42"/>
    <w:rsid w:val="009D5EC0"/>
    <w:rsid w:val="009D6313"/>
    <w:rsid w:val="009D6379"/>
    <w:rsid w:val="009D63B9"/>
    <w:rsid w:val="009D740E"/>
    <w:rsid w:val="009D7F0A"/>
    <w:rsid w:val="009E048E"/>
    <w:rsid w:val="009E1AD5"/>
    <w:rsid w:val="009E2849"/>
    <w:rsid w:val="009E2D69"/>
    <w:rsid w:val="009E30E6"/>
    <w:rsid w:val="009E454A"/>
    <w:rsid w:val="009E6387"/>
    <w:rsid w:val="009E6605"/>
    <w:rsid w:val="009E6E75"/>
    <w:rsid w:val="009E7A68"/>
    <w:rsid w:val="009E7DAB"/>
    <w:rsid w:val="009F025D"/>
    <w:rsid w:val="009F0872"/>
    <w:rsid w:val="009F15B0"/>
    <w:rsid w:val="009F1C78"/>
    <w:rsid w:val="009F1FCF"/>
    <w:rsid w:val="009F442E"/>
    <w:rsid w:val="009F471B"/>
    <w:rsid w:val="009F5D55"/>
    <w:rsid w:val="009F69C0"/>
    <w:rsid w:val="00A00148"/>
    <w:rsid w:val="00A0023C"/>
    <w:rsid w:val="00A0173E"/>
    <w:rsid w:val="00A01EB6"/>
    <w:rsid w:val="00A03BD2"/>
    <w:rsid w:val="00A04277"/>
    <w:rsid w:val="00A04318"/>
    <w:rsid w:val="00A04A40"/>
    <w:rsid w:val="00A05075"/>
    <w:rsid w:val="00A067EA"/>
    <w:rsid w:val="00A07839"/>
    <w:rsid w:val="00A07EDB"/>
    <w:rsid w:val="00A102F0"/>
    <w:rsid w:val="00A10362"/>
    <w:rsid w:val="00A1189A"/>
    <w:rsid w:val="00A11E2F"/>
    <w:rsid w:val="00A11EFA"/>
    <w:rsid w:val="00A12001"/>
    <w:rsid w:val="00A12246"/>
    <w:rsid w:val="00A12D96"/>
    <w:rsid w:val="00A13B77"/>
    <w:rsid w:val="00A13BE0"/>
    <w:rsid w:val="00A13C32"/>
    <w:rsid w:val="00A141AA"/>
    <w:rsid w:val="00A15943"/>
    <w:rsid w:val="00A15E39"/>
    <w:rsid w:val="00A168F4"/>
    <w:rsid w:val="00A16BA3"/>
    <w:rsid w:val="00A17A58"/>
    <w:rsid w:val="00A17BE6"/>
    <w:rsid w:val="00A20209"/>
    <w:rsid w:val="00A20744"/>
    <w:rsid w:val="00A208FF"/>
    <w:rsid w:val="00A21B29"/>
    <w:rsid w:val="00A23D88"/>
    <w:rsid w:val="00A25548"/>
    <w:rsid w:val="00A27277"/>
    <w:rsid w:val="00A30CDC"/>
    <w:rsid w:val="00A31D6A"/>
    <w:rsid w:val="00A32DC7"/>
    <w:rsid w:val="00A32DFD"/>
    <w:rsid w:val="00A32E17"/>
    <w:rsid w:val="00A32FA2"/>
    <w:rsid w:val="00A339FC"/>
    <w:rsid w:val="00A34B54"/>
    <w:rsid w:val="00A34C4B"/>
    <w:rsid w:val="00A3596C"/>
    <w:rsid w:val="00A35E2F"/>
    <w:rsid w:val="00A3708E"/>
    <w:rsid w:val="00A40C51"/>
    <w:rsid w:val="00A40CA2"/>
    <w:rsid w:val="00A41573"/>
    <w:rsid w:val="00A421B5"/>
    <w:rsid w:val="00A42617"/>
    <w:rsid w:val="00A42C50"/>
    <w:rsid w:val="00A42DDB"/>
    <w:rsid w:val="00A42F67"/>
    <w:rsid w:val="00A440A8"/>
    <w:rsid w:val="00A4464F"/>
    <w:rsid w:val="00A44D55"/>
    <w:rsid w:val="00A457DE"/>
    <w:rsid w:val="00A463AF"/>
    <w:rsid w:val="00A465CA"/>
    <w:rsid w:val="00A478A6"/>
    <w:rsid w:val="00A47B43"/>
    <w:rsid w:val="00A50558"/>
    <w:rsid w:val="00A50869"/>
    <w:rsid w:val="00A524DF"/>
    <w:rsid w:val="00A5264F"/>
    <w:rsid w:val="00A53726"/>
    <w:rsid w:val="00A5392B"/>
    <w:rsid w:val="00A554A8"/>
    <w:rsid w:val="00A55879"/>
    <w:rsid w:val="00A55BB4"/>
    <w:rsid w:val="00A56D05"/>
    <w:rsid w:val="00A56DAC"/>
    <w:rsid w:val="00A57933"/>
    <w:rsid w:val="00A57A29"/>
    <w:rsid w:val="00A60079"/>
    <w:rsid w:val="00A6195C"/>
    <w:rsid w:val="00A61CB0"/>
    <w:rsid w:val="00A62D25"/>
    <w:rsid w:val="00A634B6"/>
    <w:rsid w:val="00A64272"/>
    <w:rsid w:val="00A67D92"/>
    <w:rsid w:val="00A7034B"/>
    <w:rsid w:val="00A704B9"/>
    <w:rsid w:val="00A70577"/>
    <w:rsid w:val="00A70CA0"/>
    <w:rsid w:val="00A715DF"/>
    <w:rsid w:val="00A71794"/>
    <w:rsid w:val="00A71DBC"/>
    <w:rsid w:val="00A721A0"/>
    <w:rsid w:val="00A7244C"/>
    <w:rsid w:val="00A7349C"/>
    <w:rsid w:val="00A75762"/>
    <w:rsid w:val="00A762EC"/>
    <w:rsid w:val="00A76746"/>
    <w:rsid w:val="00A767DD"/>
    <w:rsid w:val="00A768BE"/>
    <w:rsid w:val="00A76975"/>
    <w:rsid w:val="00A770B2"/>
    <w:rsid w:val="00A7748D"/>
    <w:rsid w:val="00A777E4"/>
    <w:rsid w:val="00A779D1"/>
    <w:rsid w:val="00A77B83"/>
    <w:rsid w:val="00A80B74"/>
    <w:rsid w:val="00A82DBB"/>
    <w:rsid w:val="00A85564"/>
    <w:rsid w:val="00A859AA"/>
    <w:rsid w:val="00A85F82"/>
    <w:rsid w:val="00A8649F"/>
    <w:rsid w:val="00A87122"/>
    <w:rsid w:val="00A873FD"/>
    <w:rsid w:val="00A879C1"/>
    <w:rsid w:val="00A909A5"/>
    <w:rsid w:val="00A924C0"/>
    <w:rsid w:val="00A9462D"/>
    <w:rsid w:val="00A94861"/>
    <w:rsid w:val="00A94B17"/>
    <w:rsid w:val="00AA0DE8"/>
    <w:rsid w:val="00AA1379"/>
    <w:rsid w:val="00AA1E0B"/>
    <w:rsid w:val="00AA211E"/>
    <w:rsid w:val="00AA362F"/>
    <w:rsid w:val="00AA3C98"/>
    <w:rsid w:val="00AA4271"/>
    <w:rsid w:val="00AA4A41"/>
    <w:rsid w:val="00AA4E8E"/>
    <w:rsid w:val="00AA5010"/>
    <w:rsid w:val="00AA533A"/>
    <w:rsid w:val="00AA5DC9"/>
    <w:rsid w:val="00AA63E8"/>
    <w:rsid w:val="00AA6BBF"/>
    <w:rsid w:val="00AA75F7"/>
    <w:rsid w:val="00AA77F6"/>
    <w:rsid w:val="00AB0F10"/>
    <w:rsid w:val="00AB121E"/>
    <w:rsid w:val="00AB1DAA"/>
    <w:rsid w:val="00AB1DB8"/>
    <w:rsid w:val="00AB20C7"/>
    <w:rsid w:val="00AB2A27"/>
    <w:rsid w:val="00AB2BF9"/>
    <w:rsid w:val="00AB2FF9"/>
    <w:rsid w:val="00AB3175"/>
    <w:rsid w:val="00AB32A3"/>
    <w:rsid w:val="00AB3712"/>
    <w:rsid w:val="00AB3B78"/>
    <w:rsid w:val="00AB3BE4"/>
    <w:rsid w:val="00AB3F52"/>
    <w:rsid w:val="00AB4D73"/>
    <w:rsid w:val="00AB550E"/>
    <w:rsid w:val="00AB5828"/>
    <w:rsid w:val="00AB6D01"/>
    <w:rsid w:val="00AB7C21"/>
    <w:rsid w:val="00AC00CC"/>
    <w:rsid w:val="00AC3512"/>
    <w:rsid w:val="00AC3A30"/>
    <w:rsid w:val="00AC4F5D"/>
    <w:rsid w:val="00AC51F9"/>
    <w:rsid w:val="00AC5572"/>
    <w:rsid w:val="00AC5F70"/>
    <w:rsid w:val="00AC6696"/>
    <w:rsid w:val="00AC67EF"/>
    <w:rsid w:val="00AC69EE"/>
    <w:rsid w:val="00AC6ABC"/>
    <w:rsid w:val="00AC795E"/>
    <w:rsid w:val="00AC7962"/>
    <w:rsid w:val="00AD0F56"/>
    <w:rsid w:val="00AD1528"/>
    <w:rsid w:val="00AD1593"/>
    <w:rsid w:val="00AD1927"/>
    <w:rsid w:val="00AD1BF3"/>
    <w:rsid w:val="00AD3E63"/>
    <w:rsid w:val="00AD4AFF"/>
    <w:rsid w:val="00AD503E"/>
    <w:rsid w:val="00AD50D3"/>
    <w:rsid w:val="00AD6914"/>
    <w:rsid w:val="00AD7067"/>
    <w:rsid w:val="00AD779C"/>
    <w:rsid w:val="00AD7978"/>
    <w:rsid w:val="00AE1F9F"/>
    <w:rsid w:val="00AE30D5"/>
    <w:rsid w:val="00AE32AE"/>
    <w:rsid w:val="00AE3FE8"/>
    <w:rsid w:val="00AE472A"/>
    <w:rsid w:val="00AE50B1"/>
    <w:rsid w:val="00AE60CB"/>
    <w:rsid w:val="00AE6AE1"/>
    <w:rsid w:val="00AE6C68"/>
    <w:rsid w:val="00AE6E35"/>
    <w:rsid w:val="00AE72FC"/>
    <w:rsid w:val="00AE7CD1"/>
    <w:rsid w:val="00AF054D"/>
    <w:rsid w:val="00AF21BC"/>
    <w:rsid w:val="00AF27EB"/>
    <w:rsid w:val="00AF3DC7"/>
    <w:rsid w:val="00AF40A7"/>
    <w:rsid w:val="00AF49BE"/>
    <w:rsid w:val="00AF4CCB"/>
    <w:rsid w:val="00AF57F8"/>
    <w:rsid w:val="00AF589F"/>
    <w:rsid w:val="00AF58EB"/>
    <w:rsid w:val="00AF7C72"/>
    <w:rsid w:val="00B010C9"/>
    <w:rsid w:val="00B02CCD"/>
    <w:rsid w:val="00B042D1"/>
    <w:rsid w:val="00B0437E"/>
    <w:rsid w:val="00B05847"/>
    <w:rsid w:val="00B065E6"/>
    <w:rsid w:val="00B068D1"/>
    <w:rsid w:val="00B10F06"/>
    <w:rsid w:val="00B12706"/>
    <w:rsid w:val="00B13A79"/>
    <w:rsid w:val="00B13EB7"/>
    <w:rsid w:val="00B1416C"/>
    <w:rsid w:val="00B147D3"/>
    <w:rsid w:val="00B1584C"/>
    <w:rsid w:val="00B15988"/>
    <w:rsid w:val="00B166A1"/>
    <w:rsid w:val="00B16F46"/>
    <w:rsid w:val="00B17483"/>
    <w:rsid w:val="00B17F90"/>
    <w:rsid w:val="00B206EF"/>
    <w:rsid w:val="00B21117"/>
    <w:rsid w:val="00B21696"/>
    <w:rsid w:val="00B222AE"/>
    <w:rsid w:val="00B24B37"/>
    <w:rsid w:val="00B24C15"/>
    <w:rsid w:val="00B2550D"/>
    <w:rsid w:val="00B2567A"/>
    <w:rsid w:val="00B257FD"/>
    <w:rsid w:val="00B25B48"/>
    <w:rsid w:val="00B25D5D"/>
    <w:rsid w:val="00B25D6D"/>
    <w:rsid w:val="00B27275"/>
    <w:rsid w:val="00B27297"/>
    <w:rsid w:val="00B311AE"/>
    <w:rsid w:val="00B31BAA"/>
    <w:rsid w:val="00B31E6F"/>
    <w:rsid w:val="00B31F88"/>
    <w:rsid w:val="00B32172"/>
    <w:rsid w:val="00B331A5"/>
    <w:rsid w:val="00B339A6"/>
    <w:rsid w:val="00B33E87"/>
    <w:rsid w:val="00B367D8"/>
    <w:rsid w:val="00B36BDA"/>
    <w:rsid w:val="00B37533"/>
    <w:rsid w:val="00B4086F"/>
    <w:rsid w:val="00B40AA3"/>
    <w:rsid w:val="00B411A3"/>
    <w:rsid w:val="00B41ACD"/>
    <w:rsid w:val="00B41C67"/>
    <w:rsid w:val="00B4260A"/>
    <w:rsid w:val="00B42B12"/>
    <w:rsid w:val="00B4395A"/>
    <w:rsid w:val="00B43B77"/>
    <w:rsid w:val="00B44BBE"/>
    <w:rsid w:val="00B45DE3"/>
    <w:rsid w:val="00B461AB"/>
    <w:rsid w:val="00B46C54"/>
    <w:rsid w:val="00B5011B"/>
    <w:rsid w:val="00B50486"/>
    <w:rsid w:val="00B50823"/>
    <w:rsid w:val="00B51131"/>
    <w:rsid w:val="00B5145C"/>
    <w:rsid w:val="00B51B2C"/>
    <w:rsid w:val="00B51E8B"/>
    <w:rsid w:val="00B52406"/>
    <w:rsid w:val="00B5283B"/>
    <w:rsid w:val="00B533AC"/>
    <w:rsid w:val="00B53C1D"/>
    <w:rsid w:val="00B53DF4"/>
    <w:rsid w:val="00B54B9C"/>
    <w:rsid w:val="00B55407"/>
    <w:rsid w:val="00B56874"/>
    <w:rsid w:val="00B63374"/>
    <w:rsid w:val="00B63BD6"/>
    <w:rsid w:val="00B63F35"/>
    <w:rsid w:val="00B64241"/>
    <w:rsid w:val="00B64B43"/>
    <w:rsid w:val="00B6509D"/>
    <w:rsid w:val="00B6531D"/>
    <w:rsid w:val="00B65C67"/>
    <w:rsid w:val="00B65D62"/>
    <w:rsid w:val="00B6663F"/>
    <w:rsid w:val="00B6794F"/>
    <w:rsid w:val="00B6795B"/>
    <w:rsid w:val="00B71CD3"/>
    <w:rsid w:val="00B72380"/>
    <w:rsid w:val="00B727CA"/>
    <w:rsid w:val="00B72D58"/>
    <w:rsid w:val="00B73979"/>
    <w:rsid w:val="00B73B3A"/>
    <w:rsid w:val="00B74616"/>
    <w:rsid w:val="00B748F3"/>
    <w:rsid w:val="00B75859"/>
    <w:rsid w:val="00B761AE"/>
    <w:rsid w:val="00B76539"/>
    <w:rsid w:val="00B77847"/>
    <w:rsid w:val="00B801A1"/>
    <w:rsid w:val="00B80DB1"/>
    <w:rsid w:val="00B81F0A"/>
    <w:rsid w:val="00B82968"/>
    <w:rsid w:val="00B85B5F"/>
    <w:rsid w:val="00B879A4"/>
    <w:rsid w:val="00B902B9"/>
    <w:rsid w:val="00B90AFA"/>
    <w:rsid w:val="00B91AC5"/>
    <w:rsid w:val="00B92027"/>
    <w:rsid w:val="00B931A7"/>
    <w:rsid w:val="00B9356F"/>
    <w:rsid w:val="00B93ECB"/>
    <w:rsid w:val="00B94F0B"/>
    <w:rsid w:val="00B952C8"/>
    <w:rsid w:val="00B95A8F"/>
    <w:rsid w:val="00B96E0E"/>
    <w:rsid w:val="00BA0572"/>
    <w:rsid w:val="00BA22E3"/>
    <w:rsid w:val="00BA2686"/>
    <w:rsid w:val="00BA26D7"/>
    <w:rsid w:val="00BA29BE"/>
    <w:rsid w:val="00BA3755"/>
    <w:rsid w:val="00BA3878"/>
    <w:rsid w:val="00BA3B98"/>
    <w:rsid w:val="00BA4A6B"/>
    <w:rsid w:val="00BA5271"/>
    <w:rsid w:val="00BA5E26"/>
    <w:rsid w:val="00BA62CB"/>
    <w:rsid w:val="00BA6ECF"/>
    <w:rsid w:val="00BA71C1"/>
    <w:rsid w:val="00BA71D0"/>
    <w:rsid w:val="00BA729A"/>
    <w:rsid w:val="00BB0A3C"/>
    <w:rsid w:val="00BB3E78"/>
    <w:rsid w:val="00BB4539"/>
    <w:rsid w:val="00BB618A"/>
    <w:rsid w:val="00BB7362"/>
    <w:rsid w:val="00BB7876"/>
    <w:rsid w:val="00BC0018"/>
    <w:rsid w:val="00BC03F5"/>
    <w:rsid w:val="00BC0DCD"/>
    <w:rsid w:val="00BC1801"/>
    <w:rsid w:val="00BC29F3"/>
    <w:rsid w:val="00BC2D4C"/>
    <w:rsid w:val="00BC3508"/>
    <w:rsid w:val="00BC3A85"/>
    <w:rsid w:val="00BC3AF3"/>
    <w:rsid w:val="00BC48F1"/>
    <w:rsid w:val="00BC4B2E"/>
    <w:rsid w:val="00BC6AC6"/>
    <w:rsid w:val="00BC6F05"/>
    <w:rsid w:val="00BC7826"/>
    <w:rsid w:val="00BD054E"/>
    <w:rsid w:val="00BD2AE6"/>
    <w:rsid w:val="00BD2EB3"/>
    <w:rsid w:val="00BD3E71"/>
    <w:rsid w:val="00BD4243"/>
    <w:rsid w:val="00BD44EC"/>
    <w:rsid w:val="00BD4D5B"/>
    <w:rsid w:val="00BD513A"/>
    <w:rsid w:val="00BD56C8"/>
    <w:rsid w:val="00BD5D70"/>
    <w:rsid w:val="00BD5E7C"/>
    <w:rsid w:val="00BD6926"/>
    <w:rsid w:val="00BD777F"/>
    <w:rsid w:val="00BD781A"/>
    <w:rsid w:val="00BE00A9"/>
    <w:rsid w:val="00BE038D"/>
    <w:rsid w:val="00BE1584"/>
    <w:rsid w:val="00BE304C"/>
    <w:rsid w:val="00BE3483"/>
    <w:rsid w:val="00BE3807"/>
    <w:rsid w:val="00BE38BC"/>
    <w:rsid w:val="00BE4489"/>
    <w:rsid w:val="00BE52E8"/>
    <w:rsid w:val="00BE7736"/>
    <w:rsid w:val="00BF0A81"/>
    <w:rsid w:val="00BF0E57"/>
    <w:rsid w:val="00BF466F"/>
    <w:rsid w:val="00BF46BC"/>
    <w:rsid w:val="00BF49D3"/>
    <w:rsid w:val="00BF537F"/>
    <w:rsid w:val="00BF5DCE"/>
    <w:rsid w:val="00BF6433"/>
    <w:rsid w:val="00BF643C"/>
    <w:rsid w:val="00BF65BE"/>
    <w:rsid w:val="00BF6AF8"/>
    <w:rsid w:val="00C003F5"/>
    <w:rsid w:val="00C00720"/>
    <w:rsid w:val="00C00B41"/>
    <w:rsid w:val="00C01BD5"/>
    <w:rsid w:val="00C01D05"/>
    <w:rsid w:val="00C0274D"/>
    <w:rsid w:val="00C029F9"/>
    <w:rsid w:val="00C046AC"/>
    <w:rsid w:val="00C04985"/>
    <w:rsid w:val="00C0511A"/>
    <w:rsid w:val="00C0521F"/>
    <w:rsid w:val="00C05C06"/>
    <w:rsid w:val="00C0668B"/>
    <w:rsid w:val="00C06DA9"/>
    <w:rsid w:val="00C07AC4"/>
    <w:rsid w:val="00C10A86"/>
    <w:rsid w:val="00C10C0F"/>
    <w:rsid w:val="00C113C6"/>
    <w:rsid w:val="00C11F9E"/>
    <w:rsid w:val="00C14409"/>
    <w:rsid w:val="00C14DC8"/>
    <w:rsid w:val="00C15FC7"/>
    <w:rsid w:val="00C20290"/>
    <w:rsid w:val="00C20EFA"/>
    <w:rsid w:val="00C2138E"/>
    <w:rsid w:val="00C2253E"/>
    <w:rsid w:val="00C2257C"/>
    <w:rsid w:val="00C24006"/>
    <w:rsid w:val="00C246AA"/>
    <w:rsid w:val="00C254E2"/>
    <w:rsid w:val="00C254FD"/>
    <w:rsid w:val="00C261B0"/>
    <w:rsid w:val="00C262EF"/>
    <w:rsid w:val="00C30DC9"/>
    <w:rsid w:val="00C31323"/>
    <w:rsid w:val="00C31986"/>
    <w:rsid w:val="00C32575"/>
    <w:rsid w:val="00C3279A"/>
    <w:rsid w:val="00C3328F"/>
    <w:rsid w:val="00C339DF"/>
    <w:rsid w:val="00C35AE2"/>
    <w:rsid w:val="00C3616D"/>
    <w:rsid w:val="00C366D5"/>
    <w:rsid w:val="00C372B8"/>
    <w:rsid w:val="00C3730A"/>
    <w:rsid w:val="00C37ED6"/>
    <w:rsid w:val="00C40944"/>
    <w:rsid w:val="00C42FCD"/>
    <w:rsid w:val="00C4360C"/>
    <w:rsid w:val="00C43F2D"/>
    <w:rsid w:val="00C446B7"/>
    <w:rsid w:val="00C4492A"/>
    <w:rsid w:val="00C44DD8"/>
    <w:rsid w:val="00C45778"/>
    <w:rsid w:val="00C4577B"/>
    <w:rsid w:val="00C45A4D"/>
    <w:rsid w:val="00C461B3"/>
    <w:rsid w:val="00C470E4"/>
    <w:rsid w:val="00C471FA"/>
    <w:rsid w:val="00C47383"/>
    <w:rsid w:val="00C50900"/>
    <w:rsid w:val="00C50A8E"/>
    <w:rsid w:val="00C523CA"/>
    <w:rsid w:val="00C525AA"/>
    <w:rsid w:val="00C53E4B"/>
    <w:rsid w:val="00C543E7"/>
    <w:rsid w:val="00C54C0C"/>
    <w:rsid w:val="00C568A8"/>
    <w:rsid w:val="00C607E9"/>
    <w:rsid w:val="00C62030"/>
    <w:rsid w:val="00C62148"/>
    <w:rsid w:val="00C6425E"/>
    <w:rsid w:val="00C656F1"/>
    <w:rsid w:val="00C65C9C"/>
    <w:rsid w:val="00C66AC9"/>
    <w:rsid w:val="00C7104B"/>
    <w:rsid w:val="00C7158D"/>
    <w:rsid w:val="00C722C1"/>
    <w:rsid w:val="00C7232D"/>
    <w:rsid w:val="00C723A2"/>
    <w:rsid w:val="00C73A5E"/>
    <w:rsid w:val="00C74105"/>
    <w:rsid w:val="00C7441D"/>
    <w:rsid w:val="00C74A70"/>
    <w:rsid w:val="00C7599C"/>
    <w:rsid w:val="00C77003"/>
    <w:rsid w:val="00C77DC5"/>
    <w:rsid w:val="00C807B3"/>
    <w:rsid w:val="00C80843"/>
    <w:rsid w:val="00C80B54"/>
    <w:rsid w:val="00C82286"/>
    <w:rsid w:val="00C8293E"/>
    <w:rsid w:val="00C82E6F"/>
    <w:rsid w:val="00C83494"/>
    <w:rsid w:val="00C8387C"/>
    <w:rsid w:val="00C83D99"/>
    <w:rsid w:val="00C83DB4"/>
    <w:rsid w:val="00C84B2C"/>
    <w:rsid w:val="00C85322"/>
    <w:rsid w:val="00C85A28"/>
    <w:rsid w:val="00C86E98"/>
    <w:rsid w:val="00C9003F"/>
    <w:rsid w:val="00C90D97"/>
    <w:rsid w:val="00C92488"/>
    <w:rsid w:val="00C93C92"/>
    <w:rsid w:val="00C940C0"/>
    <w:rsid w:val="00C9514E"/>
    <w:rsid w:val="00C95A50"/>
    <w:rsid w:val="00C95DC0"/>
    <w:rsid w:val="00C95E8C"/>
    <w:rsid w:val="00C96468"/>
    <w:rsid w:val="00CA35A6"/>
    <w:rsid w:val="00CA45A7"/>
    <w:rsid w:val="00CA48A9"/>
    <w:rsid w:val="00CA5653"/>
    <w:rsid w:val="00CA59CC"/>
    <w:rsid w:val="00CA609A"/>
    <w:rsid w:val="00CA6924"/>
    <w:rsid w:val="00CA792A"/>
    <w:rsid w:val="00CB0E80"/>
    <w:rsid w:val="00CB1422"/>
    <w:rsid w:val="00CB309F"/>
    <w:rsid w:val="00CB537A"/>
    <w:rsid w:val="00CB542F"/>
    <w:rsid w:val="00CB580E"/>
    <w:rsid w:val="00CB6D40"/>
    <w:rsid w:val="00CB7411"/>
    <w:rsid w:val="00CB7C3D"/>
    <w:rsid w:val="00CB7F67"/>
    <w:rsid w:val="00CC080F"/>
    <w:rsid w:val="00CC10C9"/>
    <w:rsid w:val="00CC19ED"/>
    <w:rsid w:val="00CC1E0A"/>
    <w:rsid w:val="00CC26D1"/>
    <w:rsid w:val="00CC2A9F"/>
    <w:rsid w:val="00CC2F02"/>
    <w:rsid w:val="00CC3AA0"/>
    <w:rsid w:val="00CC48E1"/>
    <w:rsid w:val="00CC539E"/>
    <w:rsid w:val="00CC5FEE"/>
    <w:rsid w:val="00CC602C"/>
    <w:rsid w:val="00CC620B"/>
    <w:rsid w:val="00CC63D3"/>
    <w:rsid w:val="00CC68BD"/>
    <w:rsid w:val="00CC6FBB"/>
    <w:rsid w:val="00CC764C"/>
    <w:rsid w:val="00CD00FF"/>
    <w:rsid w:val="00CD06C0"/>
    <w:rsid w:val="00CD10E1"/>
    <w:rsid w:val="00CD2EBB"/>
    <w:rsid w:val="00CD330C"/>
    <w:rsid w:val="00CD37ED"/>
    <w:rsid w:val="00CD3D85"/>
    <w:rsid w:val="00CD4574"/>
    <w:rsid w:val="00CD534C"/>
    <w:rsid w:val="00CD540D"/>
    <w:rsid w:val="00CD70E3"/>
    <w:rsid w:val="00CD7919"/>
    <w:rsid w:val="00CE03CC"/>
    <w:rsid w:val="00CE06C1"/>
    <w:rsid w:val="00CE0727"/>
    <w:rsid w:val="00CE09FE"/>
    <w:rsid w:val="00CE144A"/>
    <w:rsid w:val="00CE2235"/>
    <w:rsid w:val="00CE3A06"/>
    <w:rsid w:val="00CE48F6"/>
    <w:rsid w:val="00CE5544"/>
    <w:rsid w:val="00CE5DF6"/>
    <w:rsid w:val="00CE60DC"/>
    <w:rsid w:val="00CE6281"/>
    <w:rsid w:val="00CE6913"/>
    <w:rsid w:val="00CE744C"/>
    <w:rsid w:val="00CF14F7"/>
    <w:rsid w:val="00CF257C"/>
    <w:rsid w:val="00CF2E66"/>
    <w:rsid w:val="00CF4295"/>
    <w:rsid w:val="00CF4457"/>
    <w:rsid w:val="00CF4A6C"/>
    <w:rsid w:val="00CF510D"/>
    <w:rsid w:val="00CF5AF5"/>
    <w:rsid w:val="00CF5DAD"/>
    <w:rsid w:val="00D0013C"/>
    <w:rsid w:val="00D0042D"/>
    <w:rsid w:val="00D0232D"/>
    <w:rsid w:val="00D025DF"/>
    <w:rsid w:val="00D02EBF"/>
    <w:rsid w:val="00D0387B"/>
    <w:rsid w:val="00D03964"/>
    <w:rsid w:val="00D043C9"/>
    <w:rsid w:val="00D04585"/>
    <w:rsid w:val="00D05386"/>
    <w:rsid w:val="00D05BC6"/>
    <w:rsid w:val="00D06B4B"/>
    <w:rsid w:val="00D06E86"/>
    <w:rsid w:val="00D072E2"/>
    <w:rsid w:val="00D10A01"/>
    <w:rsid w:val="00D110ED"/>
    <w:rsid w:val="00D11424"/>
    <w:rsid w:val="00D122F6"/>
    <w:rsid w:val="00D139AD"/>
    <w:rsid w:val="00D13C4A"/>
    <w:rsid w:val="00D15C7C"/>
    <w:rsid w:val="00D1632F"/>
    <w:rsid w:val="00D163FA"/>
    <w:rsid w:val="00D16704"/>
    <w:rsid w:val="00D16C51"/>
    <w:rsid w:val="00D20598"/>
    <w:rsid w:val="00D20795"/>
    <w:rsid w:val="00D20E94"/>
    <w:rsid w:val="00D21010"/>
    <w:rsid w:val="00D21FB2"/>
    <w:rsid w:val="00D221C5"/>
    <w:rsid w:val="00D22C72"/>
    <w:rsid w:val="00D24D5B"/>
    <w:rsid w:val="00D253F9"/>
    <w:rsid w:val="00D2643D"/>
    <w:rsid w:val="00D26B24"/>
    <w:rsid w:val="00D26F53"/>
    <w:rsid w:val="00D272DC"/>
    <w:rsid w:val="00D27DD2"/>
    <w:rsid w:val="00D3035B"/>
    <w:rsid w:val="00D31082"/>
    <w:rsid w:val="00D3143C"/>
    <w:rsid w:val="00D3189B"/>
    <w:rsid w:val="00D31BED"/>
    <w:rsid w:val="00D31C20"/>
    <w:rsid w:val="00D31E24"/>
    <w:rsid w:val="00D32F02"/>
    <w:rsid w:val="00D33F19"/>
    <w:rsid w:val="00D34DEE"/>
    <w:rsid w:val="00D34E67"/>
    <w:rsid w:val="00D40002"/>
    <w:rsid w:val="00D40CBA"/>
    <w:rsid w:val="00D41839"/>
    <w:rsid w:val="00D41F72"/>
    <w:rsid w:val="00D42A93"/>
    <w:rsid w:val="00D4300D"/>
    <w:rsid w:val="00D43825"/>
    <w:rsid w:val="00D440EA"/>
    <w:rsid w:val="00D46426"/>
    <w:rsid w:val="00D46B84"/>
    <w:rsid w:val="00D472E2"/>
    <w:rsid w:val="00D477EA"/>
    <w:rsid w:val="00D47BEA"/>
    <w:rsid w:val="00D47BF7"/>
    <w:rsid w:val="00D47F39"/>
    <w:rsid w:val="00D50A8F"/>
    <w:rsid w:val="00D5156C"/>
    <w:rsid w:val="00D51634"/>
    <w:rsid w:val="00D51F8B"/>
    <w:rsid w:val="00D5275B"/>
    <w:rsid w:val="00D527C1"/>
    <w:rsid w:val="00D528C5"/>
    <w:rsid w:val="00D52B78"/>
    <w:rsid w:val="00D53356"/>
    <w:rsid w:val="00D53552"/>
    <w:rsid w:val="00D53C1E"/>
    <w:rsid w:val="00D560CC"/>
    <w:rsid w:val="00D56AB4"/>
    <w:rsid w:val="00D56F60"/>
    <w:rsid w:val="00D57123"/>
    <w:rsid w:val="00D60154"/>
    <w:rsid w:val="00D60418"/>
    <w:rsid w:val="00D60D3C"/>
    <w:rsid w:val="00D6102C"/>
    <w:rsid w:val="00D6186C"/>
    <w:rsid w:val="00D63EF6"/>
    <w:rsid w:val="00D64DA1"/>
    <w:rsid w:val="00D65B90"/>
    <w:rsid w:val="00D6627B"/>
    <w:rsid w:val="00D6738D"/>
    <w:rsid w:val="00D67654"/>
    <w:rsid w:val="00D70826"/>
    <w:rsid w:val="00D7152E"/>
    <w:rsid w:val="00D71793"/>
    <w:rsid w:val="00D71B97"/>
    <w:rsid w:val="00D72863"/>
    <w:rsid w:val="00D73FA7"/>
    <w:rsid w:val="00D74040"/>
    <w:rsid w:val="00D74915"/>
    <w:rsid w:val="00D80172"/>
    <w:rsid w:val="00D80FD2"/>
    <w:rsid w:val="00D8205A"/>
    <w:rsid w:val="00D824F8"/>
    <w:rsid w:val="00D837DC"/>
    <w:rsid w:val="00D83A20"/>
    <w:rsid w:val="00D83D12"/>
    <w:rsid w:val="00D86374"/>
    <w:rsid w:val="00D87108"/>
    <w:rsid w:val="00D87174"/>
    <w:rsid w:val="00D878D1"/>
    <w:rsid w:val="00D87A4B"/>
    <w:rsid w:val="00D87BC4"/>
    <w:rsid w:val="00D92508"/>
    <w:rsid w:val="00D936DA"/>
    <w:rsid w:val="00D9399F"/>
    <w:rsid w:val="00D94B78"/>
    <w:rsid w:val="00D94BBF"/>
    <w:rsid w:val="00D957B8"/>
    <w:rsid w:val="00D95948"/>
    <w:rsid w:val="00D95A61"/>
    <w:rsid w:val="00D95F3E"/>
    <w:rsid w:val="00D96688"/>
    <w:rsid w:val="00D96857"/>
    <w:rsid w:val="00D96A1F"/>
    <w:rsid w:val="00D96B86"/>
    <w:rsid w:val="00DA11D4"/>
    <w:rsid w:val="00DA24DE"/>
    <w:rsid w:val="00DA2588"/>
    <w:rsid w:val="00DA2773"/>
    <w:rsid w:val="00DA31B3"/>
    <w:rsid w:val="00DA325A"/>
    <w:rsid w:val="00DA3A11"/>
    <w:rsid w:val="00DA3F75"/>
    <w:rsid w:val="00DA4899"/>
    <w:rsid w:val="00DA5495"/>
    <w:rsid w:val="00DA5639"/>
    <w:rsid w:val="00DA5979"/>
    <w:rsid w:val="00DA7C11"/>
    <w:rsid w:val="00DB1FCC"/>
    <w:rsid w:val="00DB2213"/>
    <w:rsid w:val="00DB2380"/>
    <w:rsid w:val="00DB295B"/>
    <w:rsid w:val="00DB2AD0"/>
    <w:rsid w:val="00DB3F50"/>
    <w:rsid w:val="00DB42AF"/>
    <w:rsid w:val="00DB4B16"/>
    <w:rsid w:val="00DB70EE"/>
    <w:rsid w:val="00DC0ACC"/>
    <w:rsid w:val="00DC17E0"/>
    <w:rsid w:val="00DC2C3C"/>
    <w:rsid w:val="00DC307A"/>
    <w:rsid w:val="00DC335F"/>
    <w:rsid w:val="00DC634D"/>
    <w:rsid w:val="00DC75A2"/>
    <w:rsid w:val="00DD03B7"/>
    <w:rsid w:val="00DD0A6F"/>
    <w:rsid w:val="00DD0D5D"/>
    <w:rsid w:val="00DD1202"/>
    <w:rsid w:val="00DD1F1C"/>
    <w:rsid w:val="00DD346C"/>
    <w:rsid w:val="00DD4F4B"/>
    <w:rsid w:val="00DD6953"/>
    <w:rsid w:val="00DD6A82"/>
    <w:rsid w:val="00DD6BA3"/>
    <w:rsid w:val="00DD7A46"/>
    <w:rsid w:val="00DD7A48"/>
    <w:rsid w:val="00DE00B2"/>
    <w:rsid w:val="00DE0A95"/>
    <w:rsid w:val="00DE290B"/>
    <w:rsid w:val="00DE34E3"/>
    <w:rsid w:val="00DE377E"/>
    <w:rsid w:val="00DE3808"/>
    <w:rsid w:val="00DE387B"/>
    <w:rsid w:val="00DE3D7F"/>
    <w:rsid w:val="00DE3DDD"/>
    <w:rsid w:val="00DE445B"/>
    <w:rsid w:val="00DE446E"/>
    <w:rsid w:val="00DE4F2F"/>
    <w:rsid w:val="00DE7264"/>
    <w:rsid w:val="00DF051E"/>
    <w:rsid w:val="00DF06A9"/>
    <w:rsid w:val="00DF2103"/>
    <w:rsid w:val="00DF29F0"/>
    <w:rsid w:val="00DF334D"/>
    <w:rsid w:val="00DF340E"/>
    <w:rsid w:val="00DF49CD"/>
    <w:rsid w:val="00DF5635"/>
    <w:rsid w:val="00DF77DB"/>
    <w:rsid w:val="00DF7F50"/>
    <w:rsid w:val="00E005F8"/>
    <w:rsid w:val="00E00DBB"/>
    <w:rsid w:val="00E012E2"/>
    <w:rsid w:val="00E01631"/>
    <w:rsid w:val="00E01D12"/>
    <w:rsid w:val="00E02161"/>
    <w:rsid w:val="00E03554"/>
    <w:rsid w:val="00E03BFC"/>
    <w:rsid w:val="00E03D89"/>
    <w:rsid w:val="00E04C16"/>
    <w:rsid w:val="00E05DDD"/>
    <w:rsid w:val="00E06D7D"/>
    <w:rsid w:val="00E075AA"/>
    <w:rsid w:val="00E10430"/>
    <w:rsid w:val="00E10A05"/>
    <w:rsid w:val="00E10BE5"/>
    <w:rsid w:val="00E11B61"/>
    <w:rsid w:val="00E122CB"/>
    <w:rsid w:val="00E126B1"/>
    <w:rsid w:val="00E12B84"/>
    <w:rsid w:val="00E137A7"/>
    <w:rsid w:val="00E13A0C"/>
    <w:rsid w:val="00E13B11"/>
    <w:rsid w:val="00E148DA"/>
    <w:rsid w:val="00E15078"/>
    <w:rsid w:val="00E16211"/>
    <w:rsid w:val="00E16672"/>
    <w:rsid w:val="00E206F0"/>
    <w:rsid w:val="00E22837"/>
    <w:rsid w:val="00E23B6B"/>
    <w:rsid w:val="00E2432B"/>
    <w:rsid w:val="00E25114"/>
    <w:rsid w:val="00E25166"/>
    <w:rsid w:val="00E264D0"/>
    <w:rsid w:val="00E279F4"/>
    <w:rsid w:val="00E27A9C"/>
    <w:rsid w:val="00E300C5"/>
    <w:rsid w:val="00E30415"/>
    <w:rsid w:val="00E311AA"/>
    <w:rsid w:val="00E31A5E"/>
    <w:rsid w:val="00E32520"/>
    <w:rsid w:val="00E3272A"/>
    <w:rsid w:val="00E3307A"/>
    <w:rsid w:val="00E331AF"/>
    <w:rsid w:val="00E3333E"/>
    <w:rsid w:val="00E336F6"/>
    <w:rsid w:val="00E33B91"/>
    <w:rsid w:val="00E34D0D"/>
    <w:rsid w:val="00E35410"/>
    <w:rsid w:val="00E35B27"/>
    <w:rsid w:val="00E3660A"/>
    <w:rsid w:val="00E36DE4"/>
    <w:rsid w:val="00E37229"/>
    <w:rsid w:val="00E37472"/>
    <w:rsid w:val="00E37D5C"/>
    <w:rsid w:val="00E40626"/>
    <w:rsid w:val="00E40EC2"/>
    <w:rsid w:val="00E40F45"/>
    <w:rsid w:val="00E420C7"/>
    <w:rsid w:val="00E4358F"/>
    <w:rsid w:val="00E437F5"/>
    <w:rsid w:val="00E4386F"/>
    <w:rsid w:val="00E4496F"/>
    <w:rsid w:val="00E44ABB"/>
    <w:rsid w:val="00E44EFC"/>
    <w:rsid w:val="00E44FE4"/>
    <w:rsid w:val="00E50E21"/>
    <w:rsid w:val="00E50F8C"/>
    <w:rsid w:val="00E51B74"/>
    <w:rsid w:val="00E52AB4"/>
    <w:rsid w:val="00E53B8F"/>
    <w:rsid w:val="00E53D89"/>
    <w:rsid w:val="00E54298"/>
    <w:rsid w:val="00E5654B"/>
    <w:rsid w:val="00E56A75"/>
    <w:rsid w:val="00E57404"/>
    <w:rsid w:val="00E57F23"/>
    <w:rsid w:val="00E607F8"/>
    <w:rsid w:val="00E60D69"/>
    <w:rsid w:val="00E61B30"/>
    <w:rsid w:val="00E6272A"/>
    <w:rsid w:val="00E629B9"/>
    <w:rsid w:val="00E62AAE"/>
    <w:rsid w:val="00E6302B"/>
    <w:rsid w:val="00E63707"/>
    <w:rsid w:val="00E641CC"/>
    <w:rsid w:val="00E64431"/>
    <w:rsid w:val="00E65341"/>
    <w:rsid w:val="00E6560C"/>
    <w:rsid w:val="00E66256"/>
    <w:rsid w:val="00E66794"/>
    <w:rsid w:val="00E67FDE"/>
    <w:rsid w:val="00E70123"/>
    <w:rsid w:val="00E70E77"/>
    <w:rsid w:val="00E7140A"/>
    <w:rsid w:val="00E72D69"/>
    <w:rsid w:val="00E73053"/>
    <w:rsid w:val="00E7423E"/>
    <w:rsid w:val="00E744C3"/>
    <w:rsid w:val="00E75556"/>
    <w:rsid w:val="00E75852"/>
    <w:rsid w:val="00E76169"/>
    <w:rsid w:val="00E77081"/>
    <w:rsid w:val="00E7791E"/>
    <w:rsid w:val="00E77EF7"/>
    <w:rsid w:val="00E804CE"/>
    <w:rsid w:val="00E805B7"/>
    <w:rsid w:val="00E80AA0"/>
    <w:rsid w:val="00E81C8F"/>
    <w:rsid w:val="00E820E8"/>
    <w:rsid w:val="00E8217D"/>
    <w:rsid w:val="00E821BD"/>
    <w:rsid w:val="00E82CF4"/>
    <w:rsid w:val="00E8380F"/>
    <w:rsid w:val="00E84191"/>
    <w:rsid w:val="00E846AD"/>
    <w:rsid w:val="00E855B9"/>
    <w:rsid w:val="00E86147"/>
    <w:rsid w:val="00E86229"/>
    <w:rsid w:val="00E86BDD"/>
    <w:rsid w:val="00E9133B"/>
    <w:rsid w:val="00E917E9"/>
    <w:rsid w:val="00E91A43"/>
    <w:rsid w:val="00E91D84"/>
    <w:rsid w:val="00E9298B"/>
    <w:rsid w:val="00E941BE"/>
    <w:rsid w:val="00E945C5"/>
    <w:rsid w:val="00E94A13"/>
    <w:rsid w:val="00E94A2A"/>
    <w:rsid w:val="00E95FDC"/>
    <w:rsid w:val="00E969FB"/>
    <w:rsid w:val="00E9737D"/>
    <w:rsid w:val="00E97FE9"/>
    <w:rsid w:val="00E97FFB"/>
    <w:rsid w:val="00EA185C"/>
    <w:rsid w:val="00EA286B"/>
    <w:rsid w:val="00EA3543"/>
    <w:rsid w:val="00EA3D0E"/>
    <w:rsid w:val="00EA43E3"/>
    <w:rsid w:val="00EA45A6"/>
    <w:rsid w:val="00EA4D97"/>
    <w:rsid w:val="00EA5C44"/>
    <w:rsid w:val="00EA6AF5"/>
    <w:rsid w:val="00EA6BE5"/>
    <w:rsid w:val="00EA730D"/>
    <w:rsid w:val="00EB0D81"/>
    <w:rsid w:val="00EB1CD1"/>
    <w:rsid w:val="00EB1D81"/>
    <w:rsid w:val="00EB35E5"/>
    <w:rsid w:val="00EB539B"/>
    <w:rsid w:val="00EB53CC"/>
    <w:rsid w:val="00EB5854"/>
    <w:rsid w:val="00EB643C"/>
    <w:rsid w:val="00EB68C6"/>
    <w:rsid w:val="00EB715B"/>
    <w:rsid w:val="00EC1A09"/>
    <w:rsid w:val="00EC487F"/>
    <w:rsid w:val="00EC4D6C"/>
    <w:rsid w:val="00EC5442"/>
    <w:rsid w:val="00EC61B6"/>
    <w:rsid w:val="00EC632A"/>
    <w:rsid w:val="00EC640B"/>
    <w:rsid w:val="00EC6745"/>
    <w:rsid w:val="00EC6B5F"/>
    <w:rsid w:val="00ED008C"/>
    <w:rsid w:val="00ED0FE5"/>
    <w:rsid w:val="00ED1184"/>
    <w:rsid w:val="00ED15ED"/>
    <w:rsid w:val="00ED20C3"/>
    <w:rsid w:val="00ED342A"/>
    <w:rsid w:val="00ED38AC"/>
    <w:rsid w:val="00ED4FA1"/>
    <w:rsid w:val="00ED5BCE"/>
    <w:rsid w:val="00ED646E"/>
    <w:rsid w:val="00ED6AF1"/>
    <w:rsid w:val="00ED6DA8"/>
    <w:rsid w:val="00ED76AD"/>
    <w:rsid w:val="00ED7783"/>
    <w:rsid w:val="00EE0C0C"/>
    <w:rsid w:val="00EE1C60"/>
    <w:rsid w:val="00EE2019"/>
    <w:rsid w:val="00EE2A5C"/>
    <w:rsid w:val="00EE312A"/>
    <w:rsid w:val="00EE32CB"/>
    <w:rsid w:val="00EE336F"/>
    <w:rsid w:val="00EE3B14"/>
    <w:rsid w:val="00EE3D2E"/>
    <w:rsid w:val="00EE3F90"/>
    <w:rsid w:val="00EE5472"/>
    <w:rsid w:val="00EE5787"/>
    <w:rsid w:val="00EE5933"/>
    <w:rsid w:val="00EE646B"/>
    <w:rsid w:val="00EE64BE"/>
    <w:rsid w:val="00EE6771"/>
    <w:rsid w:val="00EF077D"/>
    <w:rsid w:val="00EF1C21"/>
    <w:rsid w:val="00EF23BE"/>
    <w:rsid w:val="00EF2611"/>
    <w:rsid w:val="00EF30BD"/>
    <w:rsid w:val="00EF3AFB"/>
    <w:rsid w:val="00EF413C"/>
    <w:rsid w:val="00EF4A0B"/>
    <w:rsid w:val="00EF4B8A"/>
    <w:rsid w:val="00EF5B35"/>
    <w:rsid w:val="00F003AE"/>
    <w:rsid w:val="00F00D0C"/>
    <w:rsid w:val="00F010EF"/>
    <w:rsid w:val="00F018EE"/>
    <w:rsid w:val="00F038CF"/>
    <w:rsid w:val="00F043FF"/>
    <w:rsid w:val="00F051E8"/>
    <w:rsid w:val="00F06504"/>
    <w:rsid w:val="00F06BBE"/>
    <w:rsid w:val="00F06F2D"/>
    <w:rsid w:val="00F06F39"/>
    <w:rsid w:val="00F06FD8"/>
    <w:rsid w:val="00F0769F"/>
    <w:rsid w:val="00F104D8"/>
    <w:rsid w:val="00F117F6"/>
    <w:rsid w:val="00F11DD9"/>
    <w:rsid w:val="00F11F99"/>
    <w:rsid w:val="00F12144"/>
    <w:rsid w:val="00F1271D"/>
    <w:rsid w:val="00F1367F"/>
    <w:rsid w:val="00F13AF0"/>
    <w:rsid w:val="00F13BDA"/>
    <w:rsid w:val="00F14045"/>
    <w:rsid w:val="00F14920"/>
    <w:rsid w:val="00F1629C"/>
    <w:rsid w:val="00F16C8F"/>
    <w:rsid w:val="00F17114"/>
    <w:rsid w:val="00F177C9"/>
    <w:rsid w:val="00F17E49"/>
    <w:rsid w:val="00F17E8C"/>
    <w:rsid w:val="00F202ED"/>
    <w:rsid w:val="00F2031F"/>
    <w:rsid w:val="00F2097C"/>
    <w:rsid w:val="00F22994"/>
    <w:rsid w:val="00F22AE2"/>
    <w:rsid w:val="00F22E86"/>
    <w:rsid w:val="00F240CD"/>
    <w:rsid w:val="00F24916"/>
    <w:rsid w:val="00F25333"/>
    <w:rsid w:val="00F2616F"/>
    <w:rsid w:val="00F26962"/>
    <w:rsid w:val="00F276BA"/>
    <w:rsid w:val="00F27726"/>
    <w:rsid w:val="00F30181"/>
    <w:rsid w:val="00F30C9F"/>
    <w:rsid w:val="00F31C58"/>
    <w:rsid w:val="00F3211A"/>
    <w:rsid w:val="00F32383"/>
    <w:rsid w:val="00F33660"/>
    <w:rsid w:val="00F341AC"/>
    <w:rsid w:val="00F3654E"/>
    <w:rsid w:val="00F36831"/>
    <w:rsid w:val="00F36DD4"/>
    <w:rsid w:val="00F371B0"/>
    <w:rsid w:val="00F37910"/>
    <w:rsid w:val="00F40ECA"/>
    <w:rsid w:val="00F41859"/>
    <w:rsid w:val="00F41CEF"/>
    <w:rsid w:val="00F42210"/>
    <w:rsid w:val="00F42314"/>
    <w:rsid w:val="00F4251D"/>
    <w:rsid w:val="00F4688E"/>
    <w:rsid w:val="00F472FE"/>
    <w:rsid w:val="00F47839"/>
    <w:rsid w:val="00F50328"/>
    <w:rsid w:val="00F50476"/>
    <w:rsid w:val="00F51700"/>
    <w:rsid w:val="00F52601"/>
    <w:rsid w:val="00F5291C"/>
    <w:rsid w:val="00F52C1E"/>
    <w:rsid w:val="00F54BFC"/>
    <w:rsid w:val="00F5573C"/>
    <w:rsid w:val="00F55C31"/>
    <w:rsid w:val="00F56D8A"/>
    <w:rsid w:val="00F56EAB"/>
    <w:rsid w:val="00F60F7F"/>
    <w:rsid w:val="00F61749"/>
    <w:rsid w:val="00F61D8F"/>
    <w:rsid w:val="00F6251D"/>
    <w:rsid w:val="00F62AE7"/>
    <w:rsid w:val="00F646E0"/>
    <w:rsid w:val="00F6495F"/>
    <w:rsid w:val="00F660E4"/>
    <w:rsid w:val="00F660F0"/>
    <w:rsid w:val="00F6667D"/>
    <w:rsid w:val="00F673FA"/>
    <w:rsid w:val="00F67995"/>
    <w:rsid w:val="00F702B4"/>
    <w:rsid w:val="00F70B8B"/>
    <w:rsid w:val="00F71FF6"/>
    <w:rsid w:val="00F7207B"/>
    <w:rsid w:val="00F7253B"/>
    <w:rsid w:val="00F72C8C"/>
    <w:rsid w:val="00F735C8"/>
    <w:rsid w:val="00F735EB"/>
    <w:rsid w:val="00F738F4"/>
    <w:rsid w:val="00F74021"/>
    <w:rsid w:val="00F7413A"/>
    <w:rsid w:val="00F74566"/>
    <w:rsid w:val="00F74A37"/>
    <w:rsid w:val="00F758E0"/>
    <w:rsid w:val="00F7651E"/>
    <w:rsid w:val="00F776C2"/>
    <w:rsid w:val="00F8009E"/>
    <w:rsid w:val="00F80336"/>
    <w:rsid w:val="00F807C9"/>
    <w:rsid w:val="00F80955"/>
    <w:rsid w:val="00F80971"/>
    <w:rsid w:val="00F80A33"/>
    <w:rsid w:val="00F81445"/>
    <w:rsid w:val="00F81846"/>
    <w:rsid w:val="00F830A3"/>
    <w:rsid w:val="00F831A0"/>
    <w:rsid w:val="00F838EC"/>
    <w:rsid w:val="00F84FDE"/>
    <w:rsid w:val="00F8527C"/>
    <w:rsid w:val="00F86BE0"/>
    <w:rsid w:val="00F9005F"/>
    <w:rsid w:val="00F90210"/>
    <w:rsid w:val="00F90C89"/>
    <w:rsid w:val="00F90F26"/>
    <w:rsid w:val="00F917E7"/>
    <w:rsid w:val="00F917ED"/>
    <w:rsid w:val="00F92272"/>
    <w:rsid w:val="00F92CF9"/>
    <w:rsid w:val="00F93EED"/>
    <w:rsid w:val="00F941E9"/>
    <w:rsid w:val="00F94A96"/>
    <w:rsid w:val="00F94C76"/>
    <w:rsid w:val="00F95A9B"/>
    <w:rsid w:val="00F95B8B"/>
    <w:rsid w:val="00F96DA0"/>
    <w:rsid w:val="00F96F44"/>
    <w:rsid w:val="00FA038A"/>
    <w:rsid w:val="00FA0419"/>
    <w:rsid w:val="00FA0A2F"/>
    <w:rsid w:val="00FA13FA"/>
    <w:rsid w:val="00FA158E"/>
    <w:rsid w:val="00FA175E"/>
    <w:rsid w:val="00FA1BB8"/>
    <w:rsid w:val="00FA2C95"/>
    <w:rsid w:val="00FA3A7A"/>
    <w:rsid w:val="00FA4BCB"/>
    <w:rsid w:val="00FA537B"/>
    <w:rsid w:val="00FA57C2"/>
    <w:rsid w:val="00FA588D"/>
    <w:rsid w:val="00FA598F"/>
    <w:rsid w:val="00FA5E85"/>
    <w:rsid w:val="00FA6C6D"/>
    <w:rsid w:val="00FA6F2A"/>
    <w:rsid w:val="00FB00B3"/>
    <w:rsid w:val="00FB0463"/>
    <w:rsid w:val="00FB1BBD"/>
    <w:rsid w:val="00FB2D3E"/>
    <w:rsid w:val="00FB3046"/>
    <w:rsid w:val="00FB3F06"/>
    <w:rsid w:val="00FB4415"/>
    <w:rsid w:val="00FB4AC3"/>
    <w:rsid w:val="00FB5620"/>
    <w:rsid w:val="00FB5935"/>
    <w:rsid w:val="00FB5FF7"/>
    <w:rsid w:val="00FB618D"/>
    <w:rsid w:val="00FB65DD"/>
    <w:rsid w:val="00FB7097"/>
    <w:rsid w:val="00FB7DF0"/>
    <w:rsid w:val="00FC07A2"/>
    <w:rsid w:val="00FC1F2F"/>
    <w:rsid w:val="00FC2CD2"/>
    <w:rsid w:val="00FC3378"/>
    <w:rsid w:val="00FC3B77"/>
    <w:rsid w:val="00FC3C18"/>
    <w:rsid w:val="00FC4C0B"/>
    <w:rsid w:val="00FC51A7"/>
    <w:rsid w:val="00FC5666"/>
    <w:rsid w:val="00FC5956"/>
    <w:rsid w:val="00FC677B"/>
    <w:rsid w:val="00FC6CB2"/>
    <w:rsid w:val="00FC7A7A"/>
    <w:rsid w:val="00FD0288"/>
    <w:rsid w:val="00FD032A"/>
    <w:rsid w:val="00FD14F4"/>
    <w:rsid w:val="00FD216C"/>
    <w:rsid w:val="00FD2AB3"/>
    <w:rsid w:val="00FD644F"/>
    <w:rsid w:val="00FD6D0B"/>
    <w:rsid w:val="00FD7188"/>
    <w:rsid w:val="00FD7785"/>
    <w:rsid w:val="00FD7F1C"/>
    <w:rsid w:val="00FD7F51"/>
    <w:rsid w:val="00FD7F85"/>
    <w:rsid w:val="00FE00D2"/>
    <w:rsid w:val="00FE2CF4"/>
    <w:rsid w:val="00FE354A"/>
    <w:rsid w:val="00FE365C"/>
    <w:rsid w:val="00FE3AAB"/>
    <w:rsid w:val="00FE478E"/>
    <w:rsid w:val="00FE4D6B"/>
    <w:rsid w:val="00FE62E8"/>
    <w:rsid w:val="00FE680E"/>
    <w:rsid w:val="00FE6CC5"/>
    <w:rsid w:val="00FE7A10"/>
    <w:rsid w:val="00FE7A4A"/>
    <w:rsid w:val="00FE7AC1"/>
    <w:rsid w:val="00FF02C5"/>
    <w:rsid w:val="00FF02CA"/>
    <w:rsid w:val="00FF08E4"/>
    <w:rsid w:val="00FF1954"/>
    <w:rsid w:val="00FF566A"/>
    <w:rsid w:val="00FF5AF8"/>
    <w:rsid w:val="00FF5BBF"/>
    <w:rsid w:val="00FF6047"/>
    <w:rsid w:val="00FF6742"/>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C1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imes New Roman"/>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72"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AR" w:eastAsia="en-US"/>
    </w:rPr>
  </w:style>
  <w:style w:type="paragraph" w:styleId="Heading1">
    <w:name w:val="heading 1"/>
    <w:basedOn w:val="Normal"/>
    <w:next w:val="Normal"/>
    <w:link w:val="Heading1Char"/>
    <w:uiPriority w:val="9"/>
    <w:qFormat/>
    <w:rsid w:val="007374FF"/>
    <w:pPr>
      <w:keepNext/>
      <w:numPr>
        <w:numId w:val="1"/>
      </w:numPr>
      <w:spacing w:after="0" w:line="240" w:lineRule="auto"/>
      <w:outlineLvl w:val="0"/>
    </w:pPr>
    <w:rPr>
      <w:rFonts w:ascii="Cambria" w:eastAsia="Times New Roman" w:hAnsi="Cambria"/>
      <w:b/>
      <w:sz w:val="20"/>
      <w:szCs w:val="20"/>
      <w:lang w:val="es-ES_tradnl"/>
    </w:rPr>
  </w:style>
  <w:style w:type="paragraph" w:styleId="Heading2">
    <w:name w:val="heading 2"/>
    <w:basedOn w:val="Normal"/>
    <w:next w:val="Normal"/>
    <w:link w:val="Heading2Char"/>
    <w:qFormat/>
    <w:rsid w:val="007374FF"/>
    <w:pPr>
      <w:keepNext/>
      <w:spacing w:after="0" w:line="240" w:lineRule="auto"/>
      <w:ind w:firstLine="720"/>
      <w:jc w:val="both"/>
      <w:outlineLvl w:val="1"/>
    </w:pPr>
    <w:rPr>
      <w:rFonts w:ascii="Cambria" w:eastAsia="Times New Roman" w:hAnsi="Cambria"/>
      <w:b/>
      <w:sz w:val="20"/>
      <w:szCs w:val="20"/>
      <w:lang w:val="es-ES_tradnl"/>
    </w:rPr>
  </w:style>
  <w:style w:type="paragraph" w:styleId="Heading3">
    <w:name w:val="heading 3"/>
    <w:basedOn w:val="Normal"/>
    <w:next w:val="Normal"/>
    <w:link w:val="Heading3Char"/>
    <w:uiPriority w:val="9"/>
    <w:qFormat/>
    <w:rsid w:val="00BF537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74FF"/>
    <w:rPr>
      <w:rFonts w:ascii="Cambria" w:eastAsia="Times New Roman" w:hAnsi="Cambria"/>
      <w:b/>
      <w:sz w:val="20"/>
      <w:szCs w:val="20"/>
      <w:lang w:eastAsia="en-US"/>
    </w:rPr>
  </w:style>
  <w:style w:type="character" w:customStyle="1" w:styleId="Heading2Char">
    <w:name w:val="Heading 2 Char"/>
    <w:link w:val="Heading2"/>
    <w:rsid w:val="007374FF"/>
    <w:rPr>
      <w:rFonts w:ascii="Cambria" w:eastAsia="Times New Roman" w:hAnsi="Cambria"/>
      <w:b/>
      <w:lang w:val="es-ES_tradnl" w:eastAsia="en-US"/>
    </w:rPr>
  </w:style>
  <w:style w:type="character" w:styleId="Hyperlink">
    <w:name w:val="Hyperlink"/>
    <w:uiPriority w:val="99"/>
    <w:unhideWhenUsed/>
    <w:rsid w:val="007374FF"/>
    <w:rPr>
      <w:u w:val="single"/>
    </w:rPr>
  </w:style>
  <w:style w:type="paragraph" w:styleId="TOC1">
    <w:name w:val="toc 1"/>
    <w:basedOn w:val="Normal"/>
    <w:next w:val="Normal"/>
    <w:autoRedefine/>
    <w:uiPriority w:val="39"/>
    <w:unhideWhenUsed/>
    <w:qFormat/>
    <w:rsid w:val="00243D64"/>
    <w:pPr>
      <w:spacing w:before="120" w:after="0"/>
    </w:pPr>
    <w:rPr>
      <w:b/>
      <w:color w:val="548DD4"/>
      <w:sz w:val="24"/>
      <w:szCs w:val="24"/>
    </w:rPr>
  </w:style>
  <w:style w:type="paragraph" w:styleId="TOC2">
    <w:name w:val="toc 2"/>
    <w:basedOn w:val="Normal"/>
    <w:next w:val="Normal"/>
    <w:autoRedefine/>
    <w:uiPriority w:val="39"/>
    <w:unhideWhenUsed/>
    <w:qFormat/>
    <w:rsid w:val="00E945C5"/>
    <w:pPr>
      <w:spacing w:after="0"/>
    </w:pPr>
    <w:rPr>
      <w:rFonts w:ascii="Cambria" w:hAnsi="Cambria"/>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f Char"/>
    <w:link w:val="FootnoteText"/>
    <w:qFormat/>
    <w:locked/>
    <w:rsid w:val="007374FF"/>
    <w:rPr>
      <w:rFonts w:cs="Calibri"/>
      <w:color w:val="000000"/>
      <w:u w:color="000000"/>
      <w:lang w:val="en-US"/>
    </w:rPr>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
    <w:link w:val="FootnoteTextChar"/>
    <w:unhideWhenUsed/>
    <w:qFormat/>
    <w:rsid w:val="007374FF"/>
    <w:rPr>
      <w:rFonts w:cs="Calibri"/>
      <w:color w:val="000000"/>
      <w:u w:color="000000"/>
      <w:lang w:val="en-US" w:eastAsia="es-CO"/>
    </w:rPr>
  </w:style>
  <w:style w:type="character" w:customStyle="1" w:styleId="FootnoteTextChar1">
    <w:name w:val="Footnote Text Char1"/>
    <w:uiPriority w:val="99"/>
    <w:semiHidden/>
    <w:rsid w:val="007374FF"/>
    <w:rPr>
      <w:lang w:eastAsia="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unhideWhenUsed/>
    <w:qFormat/>
    <w:rsid w:val="007374FF"/>
    <w:rPr>
      <w:rFonts w:ascii="Verdana" w:hAnsi="Verdana"/>
      <w:sz w:val="22"/>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7374FF"/>
    <w:pPr>
      <w:spacing w:before="200" w:after="160" w:line="240" w:lineRule="exact"/>
    </w:pPr>
    <w:rPr>
      <w:rFonts w:ascii="Verdana" w:hAnsi="Verdana"/>
      <w:szCs w:val="20"/>
      <w:vertAlign w:val="superscript"/>
      <w:lang w:eastAsia="es-CO"/>
    </w:rPr>
  </w:style>
  <w:style w:type="paragraph" w:customStyle="1" w:styleId="Cuadrculaclara-nfasis31">
    <w:name w:val="Cuadrícula clara - Énfasis 31"/>
    <w:aliases w:val="Párrafo de lista1,List Paragraph1,List Paragraph11,Colorful List - Accent 11,List Paragraph2"/>
    <w:basedOn w:val="Normal"/>
    <w:link w:val="Cuadrculaclara-nfasis3Car"/>
    <w:uiPriority w:val="99"/>
    <w:qFormat/>
    <w:rsid w:val="007374FF"/>
    <w:pPr>
      <w:ind w:left="708"/>
    </w:pPr>
  </w:style>
  <w:style w:type="character" w:styleId="CommentReference">
    <w:name w:val="annotation reference"/>
    <w:uiPriority w:val="99"/>
    <w:semiHidden/>
    <w:unhideWhenUsed/>
    <w:rsid w:val="007374FF"/>
    <w:rPr>
      <w:sz w:val="16"/>
      <w:szCs w:val="16"/>
    </w:rPr>
  </w:style>
  <w:style w:type="paragraph" w:styleId="CommentText">
    <w:name w:val="annotation text"/>
    <w:basedOn w:val="Normal"/>
    <w:link w:val="CommentTextChar"/>
    <w:uiPriority w:val="99"/>
    <w:semiHidden/>
    <w:unhideWhenUsed/>
    <w:rsid w:val="007374FF"/>
    <w:rPr>
      <w:sz w:val="20"/>
      <w:szCs w:val="20"/>
    </w:rPr>
  </w:style>
  <w:style w:type="character" w:customStyle="1" w:styleId="CommentTextChar">
    <w:name w:val="Comment Text Char"/>
    <w:link w:val="CommentText"/>
    <w:uiPriority w:val="99"/>
    <w:semiHidden/>
    <w:rsid w:val="007374FF"/>
    <w:rPr>
      <w:lang w:eastAsia="en-US"/>
    </w:rPr>
  </w:style>
  <w:style w:type="paragraph" w:styleId="Footer">
    <w:name w:val="footer"/>
    <w:link w:val="FooterChar"/>
    <w:uiPriority w:val="99"/>
    <w:rsid w:val="007374FF"/>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val="en-US"/>
    </w:rPr>
  </w:style>
  <w:style w:type="character" w:customStyle="1" w:styleId="FooterChar">
    <w:name w:val="Footer Char"/>
    <w:link w:val="Footer"/>
    <w:uiPriority w:val="99"/>
    <w:rsid w:val="007374FF"/>
    <w:rPr>
      <w:rFonts w:ascii="Cambria" w:eastAsia="Cambria" w:hAnsi="Cambria" w:cs="Cambria"/>
      <w:color w:val="000000"/>
      <w:sz w:val="24"/>
      <w:szCs w:val="24"/>
      <w:u w:color="000000"/>
      <w:bdr w:val="nil"/>
      <w:lang w:val="en-US" w:eastAsia="es-ES"/>
    </w:rPr>
  </w:style>
  <w:style w:type="paragraph" w:styleId="Header">
    <w:name w:val="header"/>
    <w:aliases w:val="encabezado"/>
    <w:basedOn w:val="Normal"/>
    <w:link w:val="HeaderChar"/>
    <w:rsid w:val="007374FF"/>
    <w:pPr>
      <w:widowControl w:val="0"/>
      <w:tabs>
        <w:tab w:val="center" w:pos="4320"/>
        <w:tab w:val="right" w:pos="8640"/>
      </w:tabs>
      <w:snapToGrid w:val="0"/>
      <w:spacing w:after="0" w:line="240" w:lineRule="auto"/>
    </w:pPr>
    <w:rPr>
      <w:rFonts w:ascii="Univers" w:eastAsia="Times New Roman" w:hAnsi="Univers" w:cs="Univers"/>
      <w:sz w:val="24"/>
      <w:szCs w:val="24"/>
      <w:lang w:val="en-US"/>
    </w:rPr>
  </w:style>
  <w:style w:type="character" w:customStyle="1" w:styleId="HeaderChar">
    <w:name w:val="Header Char"/>
    <w:aliases w:val="encabezado Char"/>
    <w:link w:val="Header"/>
    <w:rsid w:val="007374FF"/>
    <w:rPr>
      <w:rFonts w:ascii="Univers" w:eastAsia="Times New Roman" w:hAnsi="Univers" w:cs="Univers"/>
      <w:sz w:val="24"/>
      <w:szCs w:val="24"/>
      <w:lang w:val="en-US" w:eastAsia="en-US"/>
    </w:rPr>
  </w:style>
  <w:style w:type="character" w:styleId="PageNumber">
    <w:name w:val="page number"/>
    <w:rsid w:val="007374FF"/>
  </w:style>
  <w:style w:type="paragraph" w:styleId="BalloonText">
    <w:name w:val="Balloon Text"/>
    <w:basedOn w:val="Normal"/>
    <w:link w:val="BalloonTextChar"/>
    <w:uiPriority w:val="99"/>
    <w:semiHidden/>
    <w:unhideWhenUsed/>
    <w:rsid w:val="007374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74F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CD4574"/>
    <w:rPr>
      <w:b/>
      <w:bCs/>
    </w:rPr>
  </w:style>
  <w:style w:type="character" w:customStyle="1" w:styleId="CommentSubjectChar">
    <w:name w:val="Comment Subject Char"/>
    <w:link w:val="CommentSubject"/>
    <w:uiPriority w:val="99"/>
    <w:semiHidden/>
    <w:rsid w:val="00CD4574"/>
    <w:rPr>
      <w:b/>
      <w:bCs/>
      <w:lang w:eastAsia="en-US"/>
    </w:rPr>
  </w:style>
  <w:style w:type="paragraph" w:customStyle="1" w:styleId="1">
    <w:name w:val="1"/>
    <w:basedOn w:val="Normal"/>
    <w:rsid w:val="00E67FDE"/>
    <w:pPr>
      <w:spacing w:after="160" w:line="240" w:lineRule="exact"/>
    </w:pPr>
    <w:rPr>
      <w:sz w:val="20"/>
      <w:szCs w:val="20"/>
      <w:vertAlign w:val="superscript"/>
      <w:lang w:eastAsia="es-CO"/>
    </w:rPr>
  </w:style>
  <w:style w:type="character" w:customStyle="1" w:styleId="Cuadrculaclara-nfasis3Car">
    <w:name w:val="Cuadrícula clara - Énfasis 3 Car"/>
    <w:aliases w:val="Párrafo de lista1 Car,List Paragraph1 Car,List Paragraph11 Car,Colorful List - Accent 11 Car,List Paragraph2 Car"/>
    <w:link w:val="Cuadrculaclara-nfasis31"/>
    <w:locked/>
    <w:rsid w:val="001C1B1B"/>
    <w:rPr>
      <w:sz w:val="22"/>
      <w:szCs w:val="22"/>
      <w:lang w:eastAsia="en-US"/>
    </w:rPr>
  </w:style>
  <w:style w:type="character" w:styleId="Strong">
    <w:name w:val="Strong"/>
    <w:uiPriority w:val="22"/>
    <w:qFormat/>
    <w:rsid w:val="00A04277"/>
    <w:rPr>
      <w:b/>
      <w:bC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0F1B1D"/>
    <w:pPr>
      <w:spacing w:after="160" w:line="240" w:lineRule="exact"/>
    </w:pPr>
    <w:rPr>
      <w:sz w:val="20"/>
      <w:szCs w:val="20"/>
      <w:vertAlign w:val="superscript"/>
      <w:lang w:eastAsia="es-CO"/>
    </w:rPr>
  </w:style>
  <w:style w:type="paragraph" w:styleId="BodyTextIndent">
    <w:name w:val="Body Text Indent"/>
    <w:link w:val="BodyTextIndentChar"/>
    <w:semiHidden/>
    <w:unhideWhenUsed/>
    <w:rsid w:val="00B32172"/>
    <w:pPr>
      <w:ind w:left="2160" w:hanging="720"/>
    </w:pPr>
    <w:rPr>
      <w:rFonts w:ascii="Times New Roman" w:eastAsia="Times New Roman" w:hAnsi="Times New Roman"/>
      <w:color w:val="000000"/>
      <w:u w:color="000000"/>
    </w:rPr>
  </w:style>
  <w:style w:type="character" w:customStyle="1" w:styleId="BodyTextIndentChar">
    <w:name w:val="Body Text Indent Char"/>
    <w:link w:val="BodyTextIndent"/>
    <w:semiHidden/>
    <w:rsid w:val="00B32172"/>
    <w:rPr>
      <w:rFonts w:ascii="Times New Roman" w:eastAsia="Times New Roman" w:hAnsi="Times New Roman"/>
      <w:color w:val="000000"/>
      <w:sz w:val="24"/>
      <w:szCs w:val="24"/>
      <w:u w:color="000000"/>
      <w:lang w:val="es-ES_tradnl" w:eastAsia="es-ES"/>
    </w:rPr>
  </w:style>
  <w:style w:type="character" w:customStyle="1" w:styleId="Heading3Char">
    <w:name w:val="Heading 3 Char"/>
    <w:link w:val="Heading3"/>
    <w:uiPriority w:val="9"/>
    <w:rsid w:val="00BF537F"/>
    <w:rPr>
      <w:rFonts w:ascii="Cambria" w:eastAsia="Times New Roman" w:hAnsi="Cambria" w:cs="Times New Roman"/>
      <w:b/>
      <w:bCs/>
      <w:sz w:val="26"/>
      <w:szCs w:val="26"/>
      <w:lang w:eastAsia="en-US"/>
    </w:rPr>
  </w:style>
  <w:style w:type="paragraph" w:styleId="TOC3">
    <w:name w:val="toc 3"/>
    <w:basedOn w:val="Normal"/>
    <w:next w:val="Normal"/>
    <w:autoRedefine/>
    <w:uiPriority w:val="39"/>
    <w:unhideWhenUsed/>
    <w:rsid w:val="00516F75"/>
    <w:pPr>
      <w:spacing w:after="0"/>
      <w:ind w:left="220"/>
    </w:pPr>
    <w:rPr>
      <w:rFonts w:ascii="Cambria" w:hAnsi="Cambria"/>
      <w:i/>
    </w:rPr>
  </w:style>
  <w:style w:type="paragraph" w:customStyle="1" w:styleId="Cuadrculamediana1-nfasis21">
    <w:name w:val="Cuadrícula mediana 1 - Énfasis 21"/>
    <w:basedOn w:val="Normal"/>
    <w:uiPriority w:val="34"/>
    <w:qFormat/>
    <w:rsid w:val="00210782"/>
    <w:pPr>
      <w:ind w:left="708"/>
    </w:pPr>
  </w:style>
  <w:style w:type="paragraph" w:styleId="BodyText3">
    <w:name w:val="Body Text 3"/>
    <w:basedOn w:val="Normal"/>
    <w:link w:val="BodyText3Char"/>
    <w:uiPriority w:val="99"/>
    <w:unhideWhenUsed/>
    <w:rsid w:val="00212A2E"/>
    <w:pPr>
      <w:pBdr>
        <w:top w:val="nil"/>
        <w:left w:val="nil"/>
        <w:bottom w:val="nil"/>
        <w:right w:val="nil"/>
        <w:between w:val="nil"/>
        <w:bar w:val="nil"/>
      </w:pBdr>
      <w:spacing w:after="120" w:line="240" w:lineRule="auto"/>
    </w:pPr>
    <w:rPr>
      <w:rFonts w:ascii="Cambria" w:eastAsia="Arial Unicode MS" w:hAnsi="Cambria"/>
      <w:sz w:val="16"/>
      <w:szCs w:val="16"/>
      <w:bdr w:val="nil"/>
      <w:lang w:val="es-ES" w:eastAsia="es-ES"/>
    </w:rPr>
  </w:style>
  <w:style w:type="character" w:customStyle="1" w:styleId="BodyText3Char">
    <w:name w:val="Body Text 3 Char"/>
    <w:link w:val="BodyText3"/>
    <w:uiPriority w:val="99"/>
    <w:rsid w:val="00212A2E"/>
    <w:rPr>
      <w:rFonts w:ascii="Cambria" w:eastAsia="Arial Unicode MS" w:hAnsi="Cambria"/>
      <w:sz w:val="16"/>
      <w:szCs w:val="16"/>
      <w:bdr w:val="nil"/>
      <w:lang w:val="es-ES" w:eastAsia="es-ES"/>
    </w:rPr>
  </w:style>
  <w:style w:type="paragraph" w:styleId="EndnoteText">
    <w:name w:val="endnote text"/>
    <w:basedOn w:val="Normal"/>
    <w:link w:val="EndnoteTextChar"/>
    <w:uiPriority w:val="99"/>
    <w:semiHidden/>
    <w:unhideWhenUsed/>
    <w:rsid w:val="00CD70E3"/>
    <w:rPr>
      <w:sz w:val="20"/>
      <w:szCs w:val="20"/>
    </w:rPr>
  </w:style>
  <w:style w:type="character" w:customStyle="1" w:styleId="EndnoteTextChar">
    <w:name w:val="Endnote Text Char"/>
    <w:link w:val="EndnoteText"/>
    <w:uiPriority w:val="99"/>
    <w:semiHidden/>
    <w:rsid w:val="00CD70E3"/>
    <w:rPr>
      <w:lang w:eastAsia="en-US"/>
    </w:rPr>
  </w:style>
  <w:style w:type="character" w:styleId="EndnoteReference">
    <w:name w:val="endnote reference"/>
    <w:uiPriority w:val="99"/>
    <w:semiHidden/>
    <w:unhideWhenUsed/>
    <w:rsid w:val="00CD70E3"/>
    <w:rPr>
      <w:vertAlign w:val="superscript"/>
    </w:rPr>
  </w:style>
  <w:style w:type="paragraph" w:customStyle="1" w:styleId="GridTable31">
    <w:name w:val="Grid Table 31"/>
    <w:basedOn w:val="Heading1"/>
    <w:next w:val="Normal"/>
    <w:uiPriority w:val="39"/>
    <w:unhideWhenUsed/>
    <w:qFormat/>
    <w:rsid w:val="004426B1"/>
    <w:pPr>
      <w:keepLines/>
      <w:numPr>
        <w:numId w:val="0"/>
      </w:numPr>
      <w:spacing w:before="480" w:line="276" w:lineRule="auto"/>
      <w:outlineLvl w:val="9"/>
    </w:pPr>
    <w:rPr>
      <w:rFonts w:ascii="Calibri" w:eastAsia="MS Gothic" w:hAnsi="Calibri"/>
      <w:bCs/>
      <w:color w:val="365F91"/>
      <w:sz w:val="28"/>
      <w:szCs w:val="28"/>
      <w:lang w:val="en-US"/>
    </w:rPr>
  </w:style>
  <w:style w:type="paragraph" w:styleId="TOC4">
    <w:name w:val="toc 4"/>
    <w:basedOn w:val="Normal"/>
    <w:next w:val="Normal"/>
    <w:autoRedefine/>
    <w:uiPriority w:val="39"/>
    <w:semiHidden/>
    <w:unhideWhenUsed/>
    <w:rsid w:val="004426B1"/>
    <w:pPr>
      <w:pBdr>
        <w:between w:val="double" w:sz="6" w:space="0" w:color="auto"/>
      </w:pBdr>
      <w:spacing w:after="0"/>
      <w:ind w:left="440"/>
    </w:pPr>
    <w:rPr>
      <w:rFonts w:ascii="Cambria" w:hAnsi="Cambria"/>
      <w:sz w:val="20"/>
      <w:szCs w:val="20"/>
    </w:rPr>
  </w:style>
  <w:style w:type="paragraph" w:styleId="TOC5">
    <w:name w:val="toc 5"/>
    <w:basedOn w:val="Normal"/>
    <w:next w:val="Normal"/>
    <w:autoRedefine/>
    <w:uiPriority w:val="39"/>
    <w:semiHidden/>
    <w:unhideWhenUsed/>
    <w:rsid w:val="004426B1"/>
    <w:pPr>
      <w:pBdr>
        <w:between w:val="double" w:sz="6" w:space="0" w:color="auto"/>
      </w:pBdr>
      <w:spacing w:after="0"/>
      <w:ind w:left="660"/>
    </w:pPr>
    <w:rPr>
      <w:rFonts w:ascii="Cambria" w:hAnsi="Cambria"/>
      <w:sz w:val="20"/>
      <w:szCs w:val="20"/>
    </w:rPr>
  </w:style>
  <w:style w:type="paragraph" w:styleId="TOC6">
    <w:name w:val="toc 6"/>
    <w:basedOn w:val="Normal"/>
    <w:next w:val="Normal"/>
    <w:autoRedefine/>
    <w:uiPriority w:val="39"/>
    <w:semiHidden/>
    <w:unhideWhenUsed/>
    <w:rsid w:val="004426B1"/>
    <w:pPr>
      <w:pBdr>
        <w:between w:val="double" w:sz="6" w:space="0" w:color="auto"/>
      </w:pBdr>
      <w:spacing w:after="0"/>
      <w:ind w:left="880"/>
    </w:pPr>
    <w:rPr>
      <w:rFonts w:ascii="Cambria" w:hAnsi="Cambria"/>
      <w:sz w:val="20"/>
      <w:szCs w:val="20"/>
    </w:rPr>
  </w:style>
  <w:style w:type="paragraph" w:styleId="TOC7">
    <w:name w:val="toc 7"/>
    <w:basedOn w:val="Normal"/>
    <w:next w:val="Normal"/>
    <w:autoRedefine/>
    <w:uiPriority w:val="39"/>
    <w:semiHidden/>
    <w:unhideWhenUsed/>
    <w:rsid w:val="004426B1"/>
    <w:pPr>
      <w:pBdr>
        <w:between w:val="double" w:sz="6" w:space="0" w:color="auto"/>
      </w:pBdr>
      <w:spacing w:after="0"/>
      <w:ind w:left="1100"/>
    </w:pPr>
    <w:rPr>
      <w:rFonts w:ascii="Cambria" w:hAnsi="Cambria"/>
      <w:sz w:val="20"/>
      <w:szCs w:val="20"/>
    </w:rPr>
  </w:style>
  <w:style w:type="paragraph" w:styleId="TOC8">
    <w:name w:val="toc 8"/>
    <w:basedOn w:val="Normal"/>
    <w:next w:val="Normal"/>
    <w:autoRedefine/>
    <w:uiPriority w:val="39"/>
    <w:semiHidden/>
    <w:unhideWhenUsed/>
    <w:rsid w:val="004426B1"/>
    <w:pPr>
      <w:pBdr>
        <w:between w:val="double" w:sz="6" w:space="0" w:color="auto"/>
      </w:pBdr>
      <w:spacing w:after="0"/>
      <w:ind w:left="1320"/>
    </w:pPr>
    <w:rPr>
      <w:rFonts w:ascii="Cambria" w:hAnsi="Cambria"/>
      <w:sz w:val="20"/>
      <w:szCs w:val="20"/>
    </w:rPr>
  </w:style>
  <w:style w:type="paragraph" w:styleId="TOC9">
    <w:name w:val="toc 9"/>
    <w:basedOn w:val="Normal"/>
    <w:next w:val="Normal"/>
    <w:autoRedefine/>
    <w:uiPriority w:val="39"/>
    <w:semiHidden/>
    <w:unhideWhenUsed/>
    <w:rsid w:val="004426B1"/>
    <w:pPr>
      <w:pBdr>
        <w:between w:val="double" w:sz="6" w:space="0" w:color="auto"/>
      </w:pBdr>
      <w:spacing w:after="0"/>
      <w:ind w:left="1540"/>
    </w:pPr>
    <w:rPr>
      <w:rFonts w:ascii="Cambria" w:hAnsi="Cambria"/>
      <w:sz w:val="20"/>
      <w:szCs w:val="20"/>
    </w:rPr>
  </w:style>
  <w:style w:type="paragraph" w:customStyle="1" w:styleId="Listamulticolor-nfasis11">
    <w:name w:val="Lista multicolor - Énfasis 11"/>
    <w:basedOn w:val="Normal"/>
    <w:qFormat/>
    <w:rsid w:val="00317120"/>
    <w:pPr>
      <w:ind w:left="720"/>
    </w:pPr>
  </w:style>
  <w:style w:type="paragraph" w:styleId="NormalWeb">
    <w:name w:val="Normal (Web)"/>
    <w:basedOn w:val="Normal"/>
    <w:uiPriority w:val="99"/>
    <w:unhideWhenUsed/>
    <w:rsid w:val="00AA5DC9"/>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semiHidden/>
    <w:unhideWhenUsed/>
    <w:rsid w:val="003B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semiHidden/>
    <w:rsid w:val="003B70D6"/>
    <w:rPr>
      <w:rFonts w:ascii="Courier New" w:eastAsia="Times New Roman" w:hAnsi="Courier New" w:cs="Courier New"/>
    </w:rPr>
  </w:style>
  <w:style w:type="paragraph" w:customStyle="1" w:styleId="citas">
    <w:name w:val="citas"/>
    <w:basedOn w:val="Listamulticolor-nfasis11"/>
    <w:link w:val="citasChar"/>
    <w:qFormat/>
    <w:rsid w:val="00661487"/>
    <w:pPr>
      <w:pBdr>
        <w:top w:val="nil"/>
        <w:left w:val="nil"/>
        <w:bottom w:val="nil"/>
        <w:right w:val="nil"/>
        <w:between w:val="nil"/>
        <w:bar w:val="nil"/>
      </w:pBdr>
      <w:spacing w:after="0" w:line="240" w:lineRule="auto"/>
      <w:ind w:left="360" w:right="360"/>
      <w:jc w:val="both"/>
    </w:pPr>
    <w:rPr>
      <w:rFonts w:ascii="Cambria" w:eastAsia="Cambria" w:hAnsi="Cambria" w:cs="Cambria"/>
      <w:color w:val="000000"/>
      <w:sz w:val="18"/>
      <w:szCs w:val="24"/>
      <w:u w:color="000000"/>
      <w:bdr w:val="nil"/>
      <w:lang w:val="es-ES" w:eastAsia="es-ES"/>
    </w:rPr>
  </w:style>
  <w:style w:type="character" w:customStyle="1" w:styleId="citasChar">
    <w:name w:val="citas Char"/>
    <w:link w:val="citas"/>
    <w:rsid w:val="00661487"/>
    <w:rPr>
      <w:rFonts w:ascii="Cambria" w:eastAsia="Cambria" w:hAnsi="Cambria" w:cs="Cambria"/>
      <w:color w:val="000000"/>
      <w:sz w:val="18"/>
      <w:szCs w:val="24"/>
      <w:u w:color="000000"/>
      <w:bdr w:val="nil"/>
      <w:lang w:val="es-ES" w:eastAsia="es-ES"/>
    </w:rPr>
  </w:style>
  <w:style w:type="paragraph" w:customStyle="1" w:styleId="parrafos">
    <w:name w:val="parrafos"/>
    <w:basedOn w:val="Normal"/>
    <w:link w:val="parrafosChar"/>
    <w:qFormat/>
    <w:rsid w:val="00181298"/>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181298"/>
    <w:rPr>
      <w:rFonts w:ascii="Cambria" w:eastAsia="Arial Unicode MS" w:hAnsi="Cambria"/>
      <w:color w:val="000000"/>
      <w:bdr w:val="nil"/>
      <w:lang w:val="es-VE"/>
    </w:rPr>
  </w:style>
  <w:style w:type="paragraph" w:styleId="ListParagraph">
    <w:name w:val="List Paragraph"/>
    <w:basedOn w:val="Normal"/>
    <w:link w:val="ListParagraphChar"/>
    <w:qFormat/>
    <w:rsid w:val="00BA22E3"/>
    <w:pPr>
      <w:pBdr>
        <w:top w:val="nil"/>
        <w:left w:val="nil"/>
        <w:bottom w:val="nil"/>
        <w:right w:val="nil"/>
        <w:between w:val="nil"/>
        <w:bar w:val="nil"/>
      </w:pBdr>
      <w:spacing w:after="0" w:line="240" w:lineRule="auto"/>
      <w:ind w:left="720"/>
    </w:pPr>
    <w:rPr>
      <w:rFonts w:ascii="Times New Roman" w:eastAsia="Arial Unicode MS" w:hAnsi="Times New Roman"/>
      <w:sz w:val="24"/>
      <w:szCs w:val="24"/>
      <w:bdr w:val="nil"/>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F941E9"/>
    <w:pPr>
      <w:spacing w:after="0" w:line="240" w:lineRule="auto"/>
      <w:jc w:val="both"/>
    </w:pPr>
    <w:rPr>
      <w:rFonts w:eastAsia="Calibri"/>
      <w:sz w:val="20"/>
      <w:szCs w:val="20"/>
      <w:vertAlign w:val="superscript"/>
      <w:lang w:val="en-US"/>
    </w:rPr>
  </w:style>
  <w:style w:type="paragraph" w:styleId="NoSpacing">
    <w:name w:val="No Spacing"/>
    <w:uiPriority w:val="1"/>
    <w:qFormat/>
    <w:rsid w:val="00F941E9"/>
    <w:rPr>
      <w:rFonts w:eastAsia="MS Mincho"/>
      <w:sz w:val="22"/>
      <w:szCs w:val="22"/>
      <w:lang w:val="en-US" w:eastAsia="en-US"/>
    </w:rPr>
  </w:style>
  <w:style w:type="paragraph" w:styleId="Title">
    <w:name w:val="Title"/>
    <w:basedOn w:val="Normal"/>
    <w:link w:val="TitleChar"/>
    <w:qFormat/>
    <w:rsid w:val="00CB7C3D"/>
    <w:pPr>
      <w:spacing w:after="0" w:line="240" w:lineRule="auto"/>
      <w:jc w:val="center"/>
    </w:pPr>
    <w:rPr>
      <w:rFonts w:ascii="Univers" w:eastAsia="Times New Roman" w:hAnsi="Univers" w:cs="Arial"/>
      <w:b/>
      <w:szCs w:val="24"/>
    </w:rPr>
  </w:style>
  <w:style w:type="character" w:customStyle="1" w:styleId="TitleChar">
    <w:name w:val="Title Char"/>
    <w:basedOn w:val="DefaultParagraphFont"/>
    <w:link w:val="Title"/>
    <w:rsid w:val="00CB7C3D"/>
    <w:rPr>
      <w:rFonts w:ascii="Univers" w:eastAsia="Times New Roman" w:hAnsi="Univers" w:cs="Arial"/>
      <w:b/>
      <w:sz w:val="22"/>
      <w:lang w:val="es-AR" w:eastAsia="en-US"/>
    </w:rPr>
  </w:style>
  <w:style w:type="paragraph" w:styleId="TOCHeading">
    <w:name w:val="TOC Heading"/>
    <w:basedOn w:val="Heading1"/>
    <w:next w:val="Normal"/>
    <w:uiPriority w:val="39"/>
    <w:unhideWhenUsed/>
    <w:qFormat/>
    <w:rsid w:val="006B692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ListParagraphChar">
    <w:name w:val="List Paragraph Char"/>
    <w:link w:val="ListParagraph"/>
    <w:locked/>
    <w:rsid w:val="00E73053"/>
    <w:rPr>
      <w:rFonts w:ascii="Times New Roman" w:eastAsia="Arial Unicode MS" w:hAnsi="Times New Roman"/>
      <w:bdr w:val="nil"/>
      <w:lang w:val="en-US" w:eastAsia="en-US"/>
    </w:rPr>
  </w:style>
  <w:style w:type="character" w:customStyle="1" w:styleId="normaltextrun">
    <w:name w:val="normaltextrun"/>
    <w:basedOn w:val="DefaultParagraphFont"/>
    <w:rsid w:val="009D4FAB"/>
  </w:style>
  <w:style w:type="character" w:customStyle="1" w:styleId="eop">
    <w:name w:val="eop"/>
    <w:basedOn w:val="DefaultParagraphFont"/>
    <w:rsid w:val="009D4FAB"/>
  </w:style>
  <w:style w:type="numbering" w:customStyle="1" w:styleId="List1">
    <w:name w:val="List 1"/>
    <w:basedOn w:val="NoList"/>
    <w:rsid w:val="00A9462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5898">
      <w:bodyDiv w:val="1"/>
      <w:marLeft w:val="0"/>
      <w:marRight w:val="0"/>
      <w:marTop w:val="0"/>
      <w:marBottom w:val="0"/>
      <w:divBdr>
        <w:top w:val="none" w:sz="0" w:space="0" w:color="auto"/>
        <w:left w:val="none" w:sz="0" w:space="0" w:color="auto"/>
        <w:bottom w:val="none" w:sz="0" w:space="0" w:color="auto"/>
        <w:right w:val="none" w:sz="0" w:space="0" w:color="auto"/>
      </w:divBdr>
    </w:div>
    <w:div w:id="120849431">
      <w:bodyDiv w:val="1"/>
      <w:marLeft w:val="0"/>
      <w:marRight w:val="0"/>
      <w:marTop w:val="0"/>
      <w:marBottom w:val="0"/>
      <w:divBdr>
        <w:top w:val="none" w:sz="0" w:space="0" w:color="auto"/>
        <w:left w:val="none" w:sz="0" w:space="0" w:color="auto"/>
        <w:bottom w:val="none" w:sz="0" w:space="0" w:color="auto"/>
        <w:right w:val="none" w:sz="0" w:space="0" w:color="auto"/>
      </w:divBdr>
    </w:div>
    <w:div w:id="125436286">
      <w:bodyDiv w:val="1"/>
      <w:marLeft w:val="0"/>
      <w:marRight w:val="0"/>
      <w:marTop w:val="0"/>
      <w:marBottom w:val="0"/>
      <w:divBdr>
        <w:top w:val="none" w:sz="0" w:space="0" w:color="auto"/>
        <w:left w:val="none" w:sz="0" w:space="0" w:color="auto"/>
        <w:bottom w:val="none" w:sz="0" w:space="0" w:color="auto"/>
        <w:right w:val="none" w:sz="0" w:space="0" w:color="auto"/>
      </w:divBdr>
    </w:div>
    <w:div w:id="126897181">
      <w:bodyDiv w:val="1"/>
      <w:marLeft w:val="0"/>
      <w:marRight w:val="0"/>
      <w:marTop w:val="0"/>
      <w:marBottom w:val="0"/>
      <w:divBdr>
        <w:top w:val="none" w:sz="0" w:space="0" w:color="auto"/>
        <w:left w:val="none" w:sz="0" w:space="0" w:color="auto"/>
        <w:bottom w:val="none" w:sz="0" w:space="0" w:color="auto"/>
        <w:right w:val="none" w:sz="0" w:space="0" w:color="auto"/>
      </w:divBdr>
    </w:div>
    <w:div w:id="170415330">
      <w:bodyDiv w:val="1"/>
      <w:marLeft w:val="0"/>
      <w:marRight w:val="0"/>
      <w:marTop w:val="0"/>
      <w:marBottom w:val="0"/>
      <w:divBdr>
        <w:top w:val="none" w:sz="0" w:space="0" w:color="auto"/>
        <w:left w:val="none" w:sz="0" w:space="0" w:color="auto"/>
        <w:bottom w:val="none" w:sz="0" w:space="0" w:color="auto"/>
        <w:right w:val="none" w:sz="0" w:space="0" w:color="auto"/>
      </w:divBdr>
    </w:div>
    <w:div w:id="232741717">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9283591">
      <w:bodyDiv w:val="1"/>
      <w:marLeft w:val="0"/>
      <w:marRight w:val="0"/>
      <w:marTop w:val="0"/>
      <w:marBottom w:val="0"/>
      <w:divBdr>
        <w:top w:val="none" w:sz="0" w:space="0" w:color="auto"/>
        <w:left w:val="none" w:sz="0" w:space="0" w:color="auto"/>
        <w:bottom w:val="none" w:sz="0" w:space="0" w:color="auto"/>
        <w:right w:val="none" w:sz="0" w:space="0" w:color="auto"/>
      </w:divBdr>
    </w:div>
    <w:div w:id="411239699">
      <w:bodyDiv w:val="1"/>
      <w:marLeft w:val="0"/>
      <w:marRight w:val="0"/>
      <w:marTop w:val="0"/>
      <w:marBottom w:val="0"/>
      <w:divBdr>
        <w:top w:val="none" w:sz="0" w:space="0" w:color="auto"/>
        <w:left w:val="none" w:sz="0" w:space="0" w:color="auto"/>
        <w:bottom w:val="none" w:sz="0" w:space="0" w:color="auto"/>
        <w:right w:val="none" w:sz="0" w:space="0" w:color="auto"/>
      </w:divBdr>
    </w:div>
    <w:div w:id="472336212">
      <w:bodyDiv w:val="1"/>
      <w:marLeft w:val="0"/>
      <w:marRight w:val="0"/>
      <w:marTop w:val="0"/>
      <w:marBottom w:val="0"/>
      <w:divBdr>
        <w:top w:val="none" w:sz="0" w:space="0" w:color="auto"/>
        <w:left w:val="none" w:sz="0" w:space="0" w:color="auto"/>
        <w:bottom w:val="none" w:sz="0" w:space="0" w:color="auto"/>
        <w:right w:val="none" w:sz="0" w:space="0" w:color="auto"/>
      </w:divBdr>
    </w:div>
    <w:div w:id="495078822">
      <w:bodyDiv w:val="1"/>
      <w:marLeft w:val="0"/>
      <w:marRight w:val="0"/>
      <w:marTop w:val="0"/>
      <w:marBottom w:val="0"/>
      <w:divBdr>
        <w:top w:val="none" w:sz="0" w:space="0" w:color="auto"/>
        <w:left w:val="none" w:sz="0" w:space="0" w:color="auto"/>
        <w:bottom w:val="none" w:sz="0" w:space="0" w:color="auto"/>
        <w:right w:val="none" w:sz="0" w:space="0" w:color="auto"/>
      </w:divBdr>
    </w:div>
    <w:div w:id="527522065">
      <w:bodyDiv w:val="1"/>
      <w:marLeft w:val="0"/>
      <w:marRight w:val="0"/>
      <w:marTop w:val="0"/>
      <w:marBottom w:val="0"/>
      <w:divBdr>
        <w:top w:val="none" w:sz="0" w:space="0" w:color="auto"/>
        <w:left w:val="none" w:sz="0" w:space="0" w:color="auto"/>
        <w:bottom w:val="none" w:sz="0" w:space="0" w:color="auto"/>
        <w:right w:val="none" w:sz="0" w:space="0" w:color="auto"/>
      </w:divBdr>
    </w:div>
    <w:div w:id="594284691">
      <w:bodyDiv w:val="1"/>
      <w:marLeft w:val="0"/>
      <w:marRight w:val="0"/>
      <w:marTop w:val="0"/>
      <w:marBottom w:val="0"/>
      <w:divBdr>
        <w:top w:val="none" w:sz="0" w:space="0" w:color="auto"/>
        <w:left w:val="none" w:sz="0" w:space="0" w:color="auto"/>
        <w:bottom w:val="none" w:sz="0" w:space="0" w:color="auto"/>
        <w:right w:val="none" w:sz="0" w:space="0" w:color="auto"/>
      </w:divBdr>
    </w:div>
    <w:div w:id="653993260">
      <w:bodyDiv w:val="1"/>
      <w:marLeft w:val="0"/>
      <w:marRight w:val="0"/>
      <w:marTop w:val="0"/>
      <w:marBottom w:val="0"/>
      <w:divBdr>
        <w:top w:val="none" w:sz="0" w:space="0" w:color="auto"/>
        <w:left w:val="none" w:sz="0" w:space="0" w:color="auto"/>
        <w:bottom w:val="none" w:sz="0" w:space="0" w:color="auto"/>
        <w:right w:val="none" w:sz="0" w:space="0" w:color="auto"/>
      </w:divBdr>
    </w:div>
    <w:div w:id="829980391">
      <w:bodyDiv w:val="1"/>
      <w:marLeft w:val="0"/>
      <w:marRight w:val="0"/>
      <w:marTop w:val="0"/>
      <w:marBottom w:val="0"/>
      <w:divBdr>
        <w:top w:val="none" w:sz="0" w:space="0" w:color="auto"/>
        <w:left w:val="none" w:sz="0" w:space="0" w:color="auto"/>
        <w:bottom w:val="none" w:sz="0" w:space="0" w:color="auto"/>
        <w:right w:val="none" w:sz="0" w:space="0" w:color="auto"/>
      </w:divBdr>
    </w:div>
    <w:div w:id="835530691">
      <w:bodyDiv w:val="1"/>
      <w:marLeft w:val="0"/>
      <w:marRight w:val="0"/>
      <w:marTop w:val="0"/>
      <w:marBottom w:val="0"/>
      <w:divBdr>
        <w:top w:val="none" w:sz="0" w:space="0" w:color="auto"/>
        <w:left w:val="none" w:sz="0" w:space="0" w:color="auto"/>
        <w:bottom w:val="none" w:sz="0" w:space="0" w:color="auto"/>
        <w:right w:val="none" w:sz="0" w:space="0" w:color="auto"/>
      </w:divBdr>
    </w:div>
    <w:div w:id="847257150">
      <w:bodyDiv w:val="1"/>
      <w:marLeft w:val="0"/>
      <w:marRight w:val="0"/>
      <w:marTop w:val="0"/>
      <w:marBottom w:val="0"/>
      <w:divBdr>
        <w:top w:val="none" w:sz="0" w:space="0" w:color="auto"/>
        <w:left w:val="none" w:sz="0" w:space="0" w:color="auto"/>
        <w:bottom w:val="none" w:sz="0" w:space="0" w:color="auto"/>
        <w:right w:val="none" w:sz="0" w:space="0" w:color="auto"/>
      </w:divBdr>
      <w:divsChild>
        <w:div w:id="667057346">
          <w:marLeft w:val="0"/>
          <w:marRight w:val="0"/>
          <w:marTop w:val="0"/>
          <w:marBottom w:val="0"/>
          <w:divBdr>
            <w:top w:val="none" w:sz="0" w:space="0" w:color="auto"/>
            <w:left w:val="none" w:sz="0" w:space="0" w:color="auto"/>
            <w:bottom w:val="none" w:sz="0" w:space="0" w:color="auto"/>
            <w:right w:val="none" w:sz="0" w:space="0" w:color="auto"/>
          </w:divBdr>
        </w:div>
        <w:div w:id="1350059831">
          <w:marLeft w:val="0"/>
          <w:marRight w:val="0"/>
          <w:marTop w:val="0"/>
          <w:marBottom w:val="0"/>
          <w:divBdr>
            <w:top w:val="none" w:sz="0" w:space="0" w:color="auto"/>
            <w:left w:val="none" w:sz="0" w:space="0" w:color="auto"/>
            <w:bottom w:val="none" w:sz="0" w:space="0" w:color="auto"/>
            <w:right w:val="none" w:sz="0" w:space="0" w:color="auto"/>
          </w:divBdr>
        </w:div>
      </w:divsChild>
    </w:div>
    <w:div w:id="908464655">
      <w:bodyDiv w:val="1"/>
      <w:marLeft w:val="0"/>
      <w:marRight w:val="0"/>
      <w:marTop w:val="0"/>
      <w:marBottom w:val="0"/>
      <w:divBdr>
        <w:top w:val="none" w:sz="0" w:space="0" w:color="auto"/>
        <w:left w:val="none" w:sz="0" w:space="0" w:color="auto"/>
        <w:bottom w:val="none" w:sz="0" w:space="0" w:color="auto"/>
        <w:right w:val="none" w:sz="0" w:space="0" w:color="auto"/>
      </w:divBdr>
    </w:div>
    <w:div w:id="1012562550">
      <w:bodyDiv w:val="1"/>
      <w:marLeft w:val="0"/>
      <w:marRight w:val="0"/>
      <w:marTop w:val="0"/>
      <w:marBottom w:val="0"/>
      <w:divBdr>
        <w:top w:val="none" w:sz="0" w:space="0" w:color="auto"/>
        <w:left w:val="none" w:sz="0" w:space="0" w:color="auto"/>
        <w:bottom w:val="none" w:sz="0" w:space="0" w:color="auto"/>
        <w:right w:val="none" w:sz="0" w:space="0" w:color="auto"/>
      </w:divBdr>
    </w:div>
    <w:div w:id="1051536516">
      <w:bodyDiv w:val="1"/>
      <w:marLeft w:val="0"/>
      <w:marRight w:val="0"/>
      <w:marTop w:val="0"/>
      <w:marBottom w:val="0"/>
      <w:divBdr>
        <w:top w:val="none" w:sz="0" w:space="0" w:color="auto"/>
        <w:left w:val="none" w:sz="0" w:space="0" w:color="auto"/>
        <w:bottom w:val="none" w:sz="0" w:space="0" w:color="auto"/>
        <w:right w:val="none" w:sz="0" w:space="0" w:color="auto"/>
      </w:divBdr>
    </w:div>
    <w:div w:id="1057631708">
      <w:bodyDiv w:val="1"/>
      <w:marLeft w:val="0"/>
      <w:marRight w:val="0"/>
      <w:marTop w:val="0"/>
      <w:marBottom w:val="0"/>
      <w:divBdr>
        <w:top w:val="none" w:sz="0" w:space="0" w:color="auto"/>
        <w:left w:val="none" w:sz="0" w:space="0" w:color="auto"/>
        <w:bottom w:val="none" w:sz="0" w:space="0" w:color="auto"/>
        <w:right w:val="none" w:sz="0" w:space="0" w:color="auto"/>
      </w:divBdr>
      <w:divsChild>
        <w:div w:id="1206333666">
          <w:marLeft w:val="0"/>
          <w:marRight w:val="0"/>
          <w:marTop w:val="0"/>
          <w:marBottom w:val="0"/>
          <w:divBdr>
            <w:top w:val="none" w:sz="0" w:space="0" w:color="auto"/>
            <w:left w:val="none" w:sz="0" w:space="0" w:color="auto"/>
            <w:bottom w:val="none" w:sz="0" w:space="0" w:color="auto"/>
            <w:right w:val="none" w:sz="0" w:space="0" w:color="auto"/>
          </w:divBdr>
        </w:div>
        <w:div w:id="1568565271">
          <w:marLeft w:val="0"/>
          <w:marRight w:val="0"/>
          <w:marTop w:val="0"/>
          <w:marBottom w:val="0"/>
          <w:divBdr>
            <w:top w:val="none" w:sz="0" w:space="0" w:color="auto"/>
            <w:left w:val="none" w:sz="0" w:space="0" w:color="auto"/>
            <w:bottom w:val="none" w:sz="0" w:space="0" w:color="auto"/>
            <w:right w:val="none" w:sz="0" w:space="0" w:color="auto"/>
          </w:divBdr>
        </w:div>
        <w:div w:id="1460029127">
          <w:marLeft w:val="0"/>
          <w:marRight w:val="0"/>
          <w:marTop w:val="0"/>
          <w:marBottom w:val="0"/>
          <w:divBdr>
            <w:top w:val="none" w:sz="0" w:space="0" w:color="auto"/>
            <w:left w:val="none" w:sz="0" w:space="0" w:color="auto"/>
            <w:bottom w:val="none" w:sz="0" w:space="0" w:color="auto"/>
            <w:right w:val="none" w:sz="0" w:space="0" w:color="auto"/>
          </w:divBdr>
        </w:div>
        <w:div w:id="1379013255">
          <w:marLeft w:val="0"/>
          <w:marRight w:val="0"/>
          <w:marTop w:val="0"/>
          <w:marBottom w:val="0"/>
          <w:divBdr>
            <w:top w:val="none" w:sz="0" w:space="0" w:color="auto"/>
            <w:left w:val="none" w:sz="0" w:space="0" w:color="auto"/>
            <w:bottom w:val="none" w:sz="0" w:space="0" w:color="auto"/>
            <w:right w:val="none" w:sz="0" w:space="0" w:color="auto"/>
          </w:divBdr>
        </w:div>
        <w:div w:id="1702364575">
          <w:marLeft w:val="0"/>
          <w:marRight w:val="0"/>
          <w:marTop w:val="0"/>
          <w:marBottom w:val="0"/>
          <w:divBdr>
            <w:top w:val="none" w:sz="0" w:space="0" w:color="auto"/>
            <w:left w:val="none" w:sz="0" w:space="0" w:color="auto"/>
            <w:bottom w:val="none" w:sz="0" w:space="0" w:color="auto"/>
            <w:right w:val="none" w:sz="0" w:space="0" w:color="auto"/>
          </w:divBdr>
        </w:div>
      </w:divsChild>
    </w:div>
    <w:div w:id="1065297587">
      <w:bodyDiv w:val="1"/>
      <w:marLeft w:val="0"/>
      <w:marRight w:val="0"/>
      <w:marTop w:val="0"/>
      <w:marBottom w:val="0"/>
      <w:divBdr>
        <w:top w:val="none" w:sz="0" w:space="0" w:color="auto"/>
        <w:left w:val="none" w:sz="0" w:space="0" w:color="auto"/>
        <w:bottom w:val="none" w:sz="0" w:space="0" w:color="auto"/>
        <w:right w:val="none" w:sz="0" w:space="0" w:color="auto"/>
      </w:divBdr>
    </w:div>
    <w:div w:id="1137071700">
      <w:bodyDiv w:val="1"/>
      <w:marLeft w:val="0"/>
      <w:marRight w:val="0"/>
      <w:marTop w:val="0"/>
      <w:marBottom w:val="0"/>
      <w:divBdr>
        <w:top w:val="none" w:sz="0" w:space="0" w:color="auto"/>
        <w:left w:val="none" w:sz="0" w:space="0" w:color="auto"/>
        <w:bottom w:val="none" w:sz="0" w:space="0" w:color="auto"/>
        <w:right w:val="none" w:sz="0" w:space="0" w:color="auto"/>
      </w:divBdr>
    </w:div>
    <w:div w:id="1157380355">
      <w:bodyDiv w:val="1"/>
      <w:marLeft w:val="0"/>
      <w:marRight w:val="0"/>
      <w:marTop w:val="0"/>
      <w:marBottom w:val="0"/>
      <w:divBdr>
        <w:top w:val="none" w:sz="0" w:space="0" w:color="auto"/>
        <w:left w:val="none" w:sz="0" w:space="0" w:color="auto"/>
        <w:bottom w:val="none" w:sz="0" w:space="0" w:color="auto"/>
        <w:right w:val="none" w:sz="0" w:space="0" w:color="auto"/>
      </w:divBdr>
    </w:div>
    <w:div w:id="1230310779">
      <w:bodyDiv w:val="1"/>
      <w:marLeft w:val="0"/>
      <w:marRight w:val="0"/>
      <w:marTop w:val="0"/>
      <w:marBottom w:val="0"/>
      <w:divBdr>
        <w:top w:val="none" w:sz="0" w:space="0" w:color="auto"/>
        <w:left w:val="none" w:sz="0" w:space="0" w:color="auto"/>
        <w:bottom w:val="none" w:sz="0" w:space="0" w:color="auto"/>
        <w:right w:val="none" w:sz="0" w:space="0" w:color="auto"/>
      </w:divBdr>
    </w:div>
    <w:div w:id="1275941459">
      <w:bodyDiv w:val="1"/>
      <w:marLeft w:val="0"/>
      <w:marRight w:val="0"/>
      <w:marTop w:val="0"/>
      <w:marBottom w:val="0"/>
      <w:divBdr>
        <w:top w:val="none" w:sz="0" w:space="0" w:color="auto"/>
        <w:left w:val="none" w:sz="0" w:space="0" w:color="auto"/>
        <w:bottom w:val="none" w:sz="0" w:space="0" w:color="auto"/>
        <w:right w:val="none" w:sz="0" w:space="0" w:color="auto"/>
      </w:divBdr>
    </w:div>
    <w:div w:id="1298682281">
      <w:bodyDiv w:val="1"/>
      <w:marLeft w:val="0"/>
      <w:marRight w:val="0"/>
      <w:marTop w:val="0"/>
      <w:marBottom w:val="0"/>
      <w:divBdr>
        <w:top w:val="none" w:sz="0" w:space="0" w:color="auto"/>
        <w:left w:val="none" w:sz="0" w:space="0" w:color="auto"/>
        <w:bottom w:val="none" w:sz="0" w:space="0" w:color="auto"/>
        <w:right w:val="none" w:sz="0" w:space="0" w:color="auto"/>
      </w:divBdr>
    </w:div>
    <w:div w:id="1318680647">
      <w:bodyDiv w:val="1"/>
      <w:marLeft w:val="0"/>
      <w:marRight w:val="0"/>
      <w:marTop w:val="0"/>
      <w:marBottom w:val="0"/>
      <w:divBdr>
        <w:top w:val="none" w:sz="0" w:space="0" w:color="auto"/>
        <w:left w:val="none" w:sz="0" w:space="0" w:color="auto"/>
        <w:bottom w:val="none" w:sz="0" w:space="0" w:color="auto"/>
        <w:right w:val="none" w:sz="0" w:space="0" w:color="auto"/>
      </w:divBdr>
    </w:div>
    <w:div w:id="1335689710">
      <w:bodyDiv w:val="1"/>
      <w:marLeft w:val="0"/>
      <w:marRight w:val="0"/>
      <w:marTop w:val="0"/>
      <w:marBottom w:val="0"/>
      <w:divBdr>
        <w:top w:val="none" w:sz="0" w:space="0" w:color="auto"/>
        <w:left w:val="none" w:sz="0" w:space="0" w:color="auto"/>
        <w:bottom w:val="none" w:sz="0" w:space="0" w:color="auto"/>
        <w:right w:val="none" w:sz="0" w:space="0" w:color="auto"/>
      </w:divBdr>
    </w:div>
    <w:div w:id="1419790434">
      <w:bodyDiv w:val="1"/>
      <w:marLeft w:val="0"/>
      <w:marRight w:val="0"/>
      <w:marTop w:val="0"/>
      <w:marBottom w:val="0"/>
      <w:divBdr>
        <w:top w:val="none" w:sz="0" w:space="0" w:color="auto"/>
        <w:left w:val="none" w:sz="0" w:space="0" w:color="auto"/>
        <w:bottom w:val="none" w:sz="0" w:space="0" w:color="auto"/>
        <w:right w:val="none" w:sz="0" w:space="0" w:color="auto"/>
      </w:divBdr>
    </w:div>
    <w:div w:id="1426271666">
      <w:bodyDiv w:val="1"/>
      <w:marLeft w:val="0"/>
      <w:marRight w:val="0"/>
      <w:marTop w:val="0"/>
      <w:marBottom w:val="0"/>
      <w:divBdr>
        <w:top w:val="none" w:sz="0" w:space="0" w:color="auto"/>
        <w:left w:val="none" w:sz="0" w:space="0" w:color="auto"/>
        <w:bottom w:val="none" w:sz="0" w:space="0" w:color="auto"/>
        <w:right w:val="none" w:sz="0" w:space="0" w:color="auto"/>
      </w:divBdr>
    </w:div>
    <w:div w:id="1515878670">
      <w:bodyDiv w:val="1"/>
      <w:marLeft w:val="0"/>
      <w:marRight w:val="0"/>
      <w:marTop w:val="0"/>
      <w:marBottom w:val="0"/>
      <w:divBdr>
        <w:top w:val="none" w:sz="0" w:space="0" w:color="auto"/>
        <w:left w:val="none" w:sz="0" w:space="0" w:color="auto"/>
        <w:bottom w:val="none" w:sz="0" w:space="0" w:color="auto"/>
        <w:right w:val="none" w:sz="0" w:space="0" w:color="auto"/>
      </w:divBdr>
    </w:div>
    <w:div w:id="1838112524">
      <w:bodyDiv w:val="1"/>
      <w:marLeft w:val="0"/>
      <w:marRight w:val="0"/>
      <w:marTop w:val="0"/>
      <w:marBottom w:val="0"/>
      <w:divBdr>
        <w:top w:val="none" w:sz="0" w:space="0" w:color="auto"/>
        <w:left w:val="none" w:sz="0" w:space="0" w:color="auto"/>
        <w:bottom w:val="none" w:sz="0" w:space="0" w:color="auto"/>
        <w:right w:val="none" w:sz="0" w:space="0" w:color="auto"/>
      </w:divBdr>
    </w:div>
    <w:div w:id="1888688046">
      <w:bodyDiv w:val="1"/>
      <w:marLeft w:val="0"/>
      <w:marRight w:val="0"/>
      <w:marTop w:val="0"/>
      <w:marBottom w:val="0"/>
      <w:divBdr>
        <w:top w:val="none" w:sz="0" w:space="0" w:color="auto"/>
        <w:left w:val="none" w:sz="0" w:space="0" w:color="auto"/>
        <w:bottom w:val="none" w:sz="0" w:space="0" w:color="auto"/>
        <w:right w:val="none" w:sz="0" w:space="0" w:color="auto"/>
      </w:divBdr>
    </w:div>
    <w:div w:id="2115511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731-corte-idh-caso-de-las-masacres-de-ituango-vs-colombia-sentencia-de-1-de-julio-de-2006-serie-c-no-148" TargetMode="External"/><Relationship Id="rId2"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 Id="rId1"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737D79FA-86F2-440A-934F-AADF2449E8B4}">
  <ds:schemaRefs>
    <ds:schemaRef ds:uri="http://schemas.microsoft.com/sharepoint/v3/contenttype/forms"/>
  </ds:schemaRefs>
</ds:datastoreItem>
</file>

<file path=customXml/itemProps2.xml><?xml version="1.0" encoding="utf-8"?>
<ds:datastoreItem xmlns:ds="http://schemas.openxmlformats.org/officeDocument/2006/customXml" ds:itemID="{BD22BE3B-48CB-44FF-90C6-26B7EA388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9DDC1-7E8E-4DD5-A9E2-868844DF4F19}">
  <ds:schemaRefs>
    <ds:schemaRef ds:uri="http://schemas.openxmlformats.org/officeDocument/2006/bibliography"/>
  </ds:schemaRefs>
</ds:datastoreItem>
</file>

<file path=customXml/itemProps4.xml><?xml version="1.0" encoding="utf-8"?>
<ds:datastoreItem xmlns:ds="http://schemas.openxmlformats.org/officeDocument/2006/customXml" ds:itemID="{264FD387-A768-4FE4-ABDF-8C8B8404331C}">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9578</Words>
  <Characters>54595</Characters>
  <Application>Microsoft Office Word</Application>
  <DocSecurity>0</DocSecurity>
  <Lines>454</Lines>
  <Paragraphs>128</Paragraphs>
  <ScaleCrop>false</ScaleCrop>
  <Company/>
  <LinksUpToDate>false</LinksUpToDate>
  <CharactersWithSpaces>64045</CharactersWithSpaces>
  <SharedDoc>false</SharedDoc>
  <HLinks>
    <vt:vector size="108" baseType="variant">
      <vt:variant>
        <vt:i4>1703988</vt:i4>
      </vt:variant>
      <vt:variant>
        <vt:i4>104</vt:i4>
      </vt:variant>
      <vt:variant>
        <vt:i4>0</vt:i4>
      </vt:variant>
      <vt:variant>
        <vt:i4>5</vt:i4>
      </vt:variant>
      <vt:variant>
        <vt:lpwstr/>
      </vt:variant>
      <vt:variant>
        <vt:lpwstr>_Toc16691220</vt:lpwstr>
      </vt:variant>
      <vt:variant>
        <vt:i4>1245239</vt:i4>
      </vt:variant>
      <vt:variant>
        <vt:i4>98</vt:i4>
      </vt:variant>
      <vt:variant>
        <vt:i4>0</vt:i4>
      </vt:variant>
      <vt:variant>
        <vt:i4>5</vt:i4>
      </vt:variant>
      <vt:variant>
        <vt:lpwstr/>
      </vt:variant>
      <vt:variant>
        <vt:lpwstr>_Toc16691219</vt:lpwstr>
      </vt:variant>
      <vt:variant>
        <vt:i4>1179703</vt:i4>
      </vt:variant>
      <vt:variant>
        <vt:i4>92</vt:i4>
      </vt:variant>
      <vt:variant>
        <vt:i4>0</vt:i4>
      </vt:variant>
      <vt:variant>
        <vt:i4>5</vt:i4>
      </vt:variant>
      <vt:variant>
        <vt:lpwstr/>
      </vt:variant>
      <vt:variant>
        <vt:lpwstr>_Toc16691218</vt:lpwstr>
      </vt:variant>
      <vt:variant>
        <vt:i4>1900599</vt:i4>
      </vt:variant>
      <vt:variant>
        <vt:i4>86</vt:i4>
      </vt:variant>
      <vt:variant>
        <vt:i4>0</vt:i4>
      </vt:variant>
      <vt:variant>
        <vt:i4>5</vt:i4>
      </vt:variant>
      <vt:variant>
        <vt:lpwstr/>
      </vt:variant>
      <vt:variant>
        <vt:lpwstr>_Toc16691217</vt:lpwstr>
      </vt:variant>
      <vt:variant>
        <vt:i4>1835063</vt:i4>
      </vt:variant>
      <vt:variant>
        <vt:i4>80</vt:i4>
      </vt:variant>
      <vt:variant>
        <vt:i4>0</vt:i4>
      </vt:variant>
      <vt:variant>
        <vt:i4>5</vt:i4>
      </vt:variant>
      <vt:variant>
        <vt:lpwstr/>
      </vt:variant>
      <vt:variant>
        <vt:lpwstr>_Toc16691216</vt:lpwstr>
      </vt:variant>
      <vt:variant>
        <vt:i4>2031671</vt:i4>
      </vt:variant>
      <vt:variant>
        <vt:i4>74</vt:i4>
      </vt:variant>
      <vt:variant>
        <vt:i4>0</vt:i4>
      </vt:variant>
      <vt:variant>
        <vt:i4>5</vt:i4>
      </vt:variant>
      <vt:variant>
        <vt:lpwstr/>
      </vt:variant>
      <vt:variant>
        <vt:lpwstr>_Toc16691215</vt:lpwstr>
      </vt:variant>
      <vt:variant>
        <vt:i4>1966135</vt:i4>
      </vt:variant>
      <vt:variant>
        <vt:i4>68</vt:i4>
      </vt:variant>
      <vt:variant>
        <vt:i4>0</vt:i4>
      </vt:variant>
      <vt:variant>
        <vt:i4>5</vt:i4>
      </vt:variant>
      <vt:variant>
        <vt:lpwstr/>
      </vt:variant>
      <vt:variant>
        <vt:lpwstr>_Toc16691214</vt:lpwstr>
      </vt:variant>
      <vt:variant>
        <vt:i4>1638455</vt:i4>
      </vt:variant>
      <vt:variant>
        <vt:i4>62</vt:i4>
      </vt:variant>
      <vt:variant>
        <vt:i4>0</vt:i4>
      </vt:variant>
      <vt:variant>
        <vt:i4>5</vt:i4>
      </vt:variant>
      <vt:variant>
        <vt:lpwstr/>
      </vt:variant>
      <vt:variant>
        <vt:lpwstr>_Toc16691213</vt:lpwstr>
      </vt:variant>
      <vt:variant>
        <vt:i4>1638455</vt:i4>
      </vt:variant>
      <vt:variant>
        <vt:i4>56</vt:i4>
      </vt:variant>
      <vt:variant>
        <vt:i4>0</vt:i4>
      </vt:variant>
      <vt:variant>
        <vt:i4>5</vt:i4>
      </vt:variant>
      <vt:variant>
        <vt:lpwstr/>
      </vt:variant>
      <vt:variant>
        <vt:lpwstr>_Toc16691213</vt:lpwstr>
      </vt:variant>
      <vt:variant>
        <vt:i4>1572919</vt:i4>
      </vt:variant>
      <vt:variant>
        <vt:i4>50</vt:i4>
      </vt:variant>
      <vt:variant>
        <vt:i4>0</vt:i4>
      </vt:variant>
      <vt:variant>
        <vt:i4>5</vt:i4>
      </vt:variant>
      <vt:variant>
        <vt:lpwstr/>
      </vt:variant>
      <vt:variant>
        <vt:lpwstr>_Toc16691212</vt:lpwstr>
      </vt:variant>
      <vt:variant>
        <vt:i4>1769527</vt:i4>
      </vt:variant>
      <vt:variant>
        <vt:i4>44</vt:i4>
      </vt:variant>
      <vt:variant>
        <vt:i4>0</vt:i4>
      </vt:variant>
      <vt:variant>
        <vt:i4>5</vt:i4>
      </vt:variant>
      <vt:variant>
        <vt:lpwstr/>
      </vt:variant>
      <vt:variant>
        <vt:lpwstr>_Toc16691211</vt:lpwstr>
      </vt:variant>
      <vt:variant>
        <vt:i4>1703991</vt:i4>
      </vt:variant>
      <vt:variant>
        <vt:i4>38</vt:i4>
      </vt:variant>
      <vt:variant>
        <vt:i4>0</vt:i4>
      </vt:variant>
      <vt:variant>
        <vt:i4>5</vt:i4>
      </vt:variant>
      <vt:variant>
        <vt:lpwstr/>
      </vt:variant>
      <vt:variant>
        <vt:lpwstr>_Toc16691210</vt:lpwstr>
      </vt:variant>
      <vt:variant>
        <vt:i4>1245238</vt:i4>
      </vt:variant>
      <vt:variant>
        <vt:i4>32</vt:i4>
      </vt:variant>
      <vt:variant>
        <vt:i4>0</vt:i4>
      </vt:variant>
      <vt:variant>
        <vt:i4>5</vt:i4>
      </vt:variant>
      <vt:variant>
        <vt:lpwstr/>
      </vt:variant>
      <vt:variant>
        <vt:lpwstr>_Toc16691209</vt:lpwstr>
      </vt:variant>
      <vt:variant>
        <vt:i4>1179702</vt:i4>
      </vt:variant>
      <vt:variant>
        <vt:i4>26</vt:i4>
      </vt:variant>
      <vt:variant>
        <vt:i4>0</vt:i4>
      </vt:variant>
      <vt:variant>
        <vt:i4>5</vt:i4>
      </vt:variant>
      <vt:variant>
        <vt:lpwstr/>
      </vt:variant>
      <vt:variant>
        <vt:lpwstr>_Toc16691208</vt:lpwstr>
      </vt:variant>
      <vt:variant>
        <vt:i4>1900598</vt:i4>
      </vt:variant>
      <vt:variant>
        <vt:i4>20</vt:i4>
      </vt:variant>
      <vt:variant>
        <vt:i4>0</vt:i4>
      </vt:variant>
      <vt:variant>
        <vt:i4>5</vt:i4>
      </vt:variant>
      <vt:variant>
        <vt:lpwstr/>
      </vt:variant>
      <vt:variant>
        <vt:lpwstr>_Toc16691207</vt:lpwstr>
      </vt:variant>
      <vt:variant>
        <vt:i4>1835062</vt:i4>
      </vt:variant>
      <vt:variant>
        <vt:i4>14</vt:i4>
      </vt:variant>
      <vt:variant>
        <vt:i4>0</vt:i4>
      </vt:variant>
      <vt:variant>
        <vt:i4>5</vt:i4>
      </vt:variant>
      <vt:variant>
        <vt:lpwstr/>
      </vt:variant>
      <vt:variant>
        <vt:lpwstr>_Toc16691206</vt:lpwstr>
      </vt:variant>
      <vt:variant>
        <vt:i4>2031670</vt:i4>
      </vt:variant>
      <vt:variant>
        <vt:i4>8</vt:i4>
      </vt:variant>
      <vt:variant>
        <vt:i4>0</vt:i4>
      </vt:variant>
      <vt:variant>
        <vt:i4>5</vt:i4>
      </vt:variant>
      <vt:variant>
        <vt:lpwstr/>
      </vt:variant>
      <vt:variant>
        <vt:lpwstr>_Toc16691205</vt:lpwstr>
      </vt:variant>
      <vt:variant>
        <vt:i4>1966134</vt:i4>
      </vt:variant>
      <vt:variant>
        <vt:i4>2</vt:i4>
      </vt:variant>
      <vt:variant>
        <vt:i4>0</vt:i4>
      </vt:variant>
      <vt:variant>
        <vt:i4>5</vt:i4>
      </vt:variant>
      <vt:variant>
        <vt:lpwstr/>
      </vt:variant>
      <vt:variant>
        <vt:lpwstr>_Toc16691204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2025-07-31T14:30:00Z</dcterms:created>
  <dcterms:modified xsi:type="dcterms:W3CDTF">2025-07-31T14:30:00Z</dcterms:modified>
</cp:coreProperties>
</file>