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B5D3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18C08B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C6C9D">
                              <w:rPr>
                                <w:rFonts w:asciiTheme="majorHAnsi" w:hAnsiTheme="majorHAnsi" w:cs="Arial"/>
                                <w:b/>
                                <w:bCs/>
                                <w:color w:val="0D0D0D" w:themeColor="text1" w:themeTint="F2"/>
                                <w:sz w:val="36"/>
                                <w:szCs w:val="22"/>
                                <w:lang w:val="es-ES_tradnl"/>
                              </w:rPr>
                              <w:t>292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9A8084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D5496">
                              <w:rPr>
                                <w:rFonts w:asciiTheme="majorHAnsi" w:hAnsiTheme="majorHAnsi" w:cs="Arial"/>
                                <w:b/>
                                <w:color w:val="0D0D0D" w:themeColor="text1" w:themeTint="F2"/>
                                <w:sz w:val="36"/>
                                <w:szCs w:val="22"/>
                                <w:lang w:val="es-ES_tradnl"/>
                              </w:rPr>
                              <w:t>1508-17</w:t>
                            </w:r>
                          </w:p>
                          <w:p w14:paraId="188B4303" w14:textId="0E51A093"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55C6D075" w:rsidR="005B52B0" w:rsidRPr="0010736F" w:rsidRDefault="00D20426"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REMEDIOS</w:t>
                            </w:r>
                            <w:r w:rsidR="00FD5496">
                              <w:rPr>
                                <w:rFonts w:asciiTheme="majorHAnsi" w:hAnsiTheme="majorHAnsi" w:cs="Arial"/>
                                <w:color w:val="0D0D0D" w:themeColor="text1" w:themeTint="F2"/>
                                <w:szCs w:val="22"/>
                                <w:lang w:val="es-ES_tradnl"/>
                              </w:rPr>
                              <w:t xml:space="preserve"> E HIJA</w:t>
                            </w:r>
                          </w:p>
                          <w:bookmarkEnd w:id="0"/>
                          <w:p w14:paraId="0B9F7D22" w14:textId="5C396087" w:rsidR="005B52B0" w:rsidRPr="00F56ECB" w:rsidRDefault="00FD549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318C08B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C6C9D">
                        <w:rPr>
                          <w:rFonts w:asciiTheme="majorHAnsi" w:hAnsiTheme="majorHAnsi" w:cs="Arial"/>
                          <w:b/>
                          <w:bCs/>
                          <w:color w:val="0D0D0D" w:themeColor="text1" w:themeTint="F2"/>
                          <w:sz w:val="36"/>
                          <w:szCs w:val="22"/>
                          <w:lang w:val="es-ES_tradnl"/>
                        </w:rPr>
                        <w:t>292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9A8084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D5496">
                        <w:rPr>
                          <w:rFonts w:asciiTheme="majorHAnsi" w:hAnsiTheme="majorHAnsi" w:cs="Arial"/>
                          <w:b/>
                          <w:color w:val="0D0D0D" w:themeColor="text1" w:themeTint="F2"/>
                          <w:sz w:val="36"/>
                          <w:szCs w:val="22"/>
                          <w:lang w:val="es-ES_tradnl"/>
                        </w:rPr>
                        <w:t>1508-17</w:t>
                      </w:r>
                    </w:p>
                    <w:p w14:paraId="188B4303" w14:textId="0E51A093"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55C6D075" w:rsidR="005B52B0" w:rsidRPr="0010736F" w:rsidRDefault="00D20426"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REMEDIOS</w:t>
                      </w:r>
                      <w:r w:rsidR="00FD5496">
                        <w:rPr>
                          <w:rFonts w:asciiTheme="majorHAnsi" w:hAnsiTheme="majorHAnsi" w:cs="Arial"/>
                          <w:color w:val="0D0D0D" w:themeColor="text1" w:themeTint="F2"/>
                          <w:szCs w:val="22"/>
                          <w:lang w:val="es-ES_tradnl"/>
                        </w:rPr>
                        <w:t xml:space="preserve"> E HIJA</w:t>
                      </w:r>
                    </w:p>
                    <w:bookmarkEnd w:id="1"/>
                    <w:p w14:paraId="0B9F7D22" w14:textId="5C396087" w:rsidR="005B52B0" w:rsidRPr="00F56ECB" w:rsidRDefault="00FD5496"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C9ED111" w:rsidR="00627C9F" w:rsidRPr="00C92490" w:rsidRDefault="00834D49" w:rsidP="007A5817">
                            <w:pPr>
                              <w:spacing w:line="276" w:lineRule="auto"/>
                              <w:jc w:val="right"/>
                              <w:rPr>
                                <w:rFonts w:asciiTheme="minorHAnsi" w:hAnsiTheme="minorHAnsi"/>
                                <w:color w:val="FFFFFF" w:themeColor="background1"/>
                                <w:sz w:val="22"/>
                                <w:lang w:val="pt-BR"/>
                              </w:rPr>
                            </w:pPr>
                            <w:r w:rsidRPr="00C92490">
                              <w:rPr>
                                <w:rFonts w:asciiTheme="minorHAnsi" w:hAnsiTheme="minorHAnsi"/>
                                <w:color w:val="FFFFFF" w:themeColor="background1"/>
                                <w:sz w:val="22"/>
                                <w:lang w:val="pt-BR"/>
                              </w:rPr>
                              <w:t>OEA/Se</w:t>
                            </w:r>
                            <w:r w:rsidR="00017E17" w:rsidRPr="00C92490">
                              <w:rPr>
                                <w:rFonts w:asciiTheme="minorHAnsi" w:hAnsiTheme="minorHAnsi"/>
                                <w:color w:val="FFFFFF" w:themeColor="background1"/>
                                <w:sz w:val="22"/>
                                <w:lang w:val="pt-BR"/>
                              </w:rPr>
                              <w:t>r.</w:t>
                            </w:r>
                            <w:r w:rsidRPr="00C92490">
                              <w:rPr>
                                <w:rFonts w:asciiTheme="minorHAnsi" w:hAnsiTheme="minorHAnsi"/>
                                <w:color w:val="FFFFFF" w:themeColor="background1"/>
                                <w:sz w:val="22"/>
                                <w:lang w:val="pt-BR"/>
                              </w:rPr>
                              <w:t>L/V/II.</w:t>
                            </w:r>
                          </w:p>
                          <w:p w14:paraId="71D2D5D2" w14:textId="03CED33C" w:rsidR="00627C9F" w:rsidRPr="00C92490" w:rsidRDefault="00627C9F" w:rsidP="007A5817">
                            <w:pPr>
                              <w:spacing w:line="276" w:lineRule="auto"/>
                              <w:jc w:val="right"/>
                              <w:rPr>
                                <w:rFonts w:asciiTheme="minorHAnsi" w:hAnsiTheme="minorHAnsi"/>
                                <w:color w:val="FFFFFF" w:themeColor="background1"/>
                                <w:sz w:val="22"/>
                                <w:lang w:val="pt-BR"/>
                              </w:rPr>
                            </w:pPr>
                            <w:r w:rsidRPr="00C92490">
                              <w:rPr>
                                <w:rFonts w:asciiTheme="minorHAnsi" w:hAnsiTheme="minorHAnsi"/>
                                <w:color w:val="FFFFFF" w:themeColor="background1"/>
                                <w:sz w:val="22"/>
                                <w:lang w:val="pt-BR"/>
                              </w:rPr>
                              <w:t xml:space="preserve">Doc. </w:t>
                            </w:r>
                            <w:r w:rsidR="000D445B">
                              <w:rPr>
                                <w:rFonts w:asciiTheme="minorHAnsi" w:hAnsiTheme="minorHAnsi"/>
                                <w:color w:val="FFFFFF" w:themeColor="background1"/>
                                <w:sz w:val="22"/>
                                <w:lang w:val="pt-BR"/>
                              </w:rPr>
                              <w:t>307</w:t>
                            </w:r>
                          </w:p>
                          <w:p w14:paraId="4061DBBD" w14:textId="74BA6DEC" w:rsidR="00627C9F" w:rsidRPr="00C25ADB" w:rsidRDefault="00CC6C9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C9ED111" w:rsidR="00627C9F" w:rsidRPr="00C92490" w:rsidRDefault="00834D49" w:rsidP="007A5817">
                      <w:pPr>
                        <w:spacing w:line="276" w:lineRule="auto"/>
                        <w:jc w:val="right"/>
                        <w:rPr>
                          <w:rFonts w:asciiTheme="minorHAnsi" w:hAnsiTheme="minorHAnsi"/>
                          <w:color w:val="FFFFFF" w:themeColor="background1"/>
                          <w:sz w:val="22"/>
                          <w:lang w:val="pt-BR"/>
                        </w:rPr>
                      </w:pPr>
                      <w:r w:rsidRPr="00C92490">
                        <w:rPr>
                          <w:rFonts w:asciiTheme="minorHAnsi" w:hAnsiTheme="minorHAnsi"/>
                          <w:color w:val="FFFFFF" w:themeColor="background1"/>
                          <w:sz w:val="22"/>
                          <w:lang w:val="pt-BR"/>
                        </w:rPr>
                        <w:t>OEA/Se</w:t>
                      </w:r>
                      <w:r w:rsidR="00017E17" w:rsidRPr="00C92490">
                        <w:rPr>
                          <w:rFonts w:asciiTheme="minorHAnsi" w:hAnsiTheme="minorHAnsi"/>
                          <w:color w:val="FFFFFF" w:themeColor="background1"/>
                          <w:sz w:val="22"/>
                          <w:lang w:val="pt-BR"/>
                        </w:rPr>
                        <w:t>r.</w:t>
                      </w:r>
                      <w:r w:rsidRPr="00C92490">
                        <w:rPr>
                          <w:rFonts w:asciiTheme="minorHAnsi" w:hAnsiTheme="minorHAnsi"/>
                          <w:color w:val="FFFFFF" w:themeColor="background1"/>
                          <w:sz w:val="22"/>
                          <w:lang w:val="pt-BR"/>
                        </w:rPr>
                        <w:t>L/V/II.</w:t>
                      </w:r>
                    </w:p>
                    <w:p w14:paraId="71D2D5D2" w14:textId="03CED33C" w:rsidR="00627C9F" w:rsidRPr="00C92490" w:rsidRDefault="00627C9F" w:rsidP="007A5817">
                      <w:pPr>
                        <w:spacing w:line="276" w:lineRule="auto"/>
                        <w:jc w:val="right"/>
                        <w:rPr>
                          <w:rFonts w:asciiTheme="minorHAnsi" w:hAnsiTheme="minorHAnsi"/>
                          <w:color w:val="FFFFFF" w:themeColor="background1"/>
                          <w:sz w:val="22"/>
                          <w:lang w:val="pt-BR"/>
                        </w:rPr>
                      </w:pPr>
                      <w:r w:rsidRPr="00C92490">
                        <w:rPr>
                          <w:rFonts w:asciiTheme="minorHAnsi" w:hAnsiTheme="minorHAnsi"/>
                          <w:color w:val="FFFFFF" w:themeColor="background1"/>
                          <w:sz w:val="22"/>
                          <w:lang w:val="pt-BR"/>
                        </w:rPr>
                        <w:t xml:space="preserve">Doc. </w:t>
                      </w:r>
                      <w:r w:rsidR="000D445B">
                        <w:rPr>
                          <w:rFonts w:asciiTheme="minorHAnsi" w:hAnsiTheme="minorHAnsi"/>
                          <w:color w:val="FFFFFF" w:themeColor="background1"/>
                          <w:sz w:val="22"/>
                          <w:lang w:val="pt-BR"/>
                        </w:rPr>
                        <w:t>307</w:t>
                      </w:r>
                    </w:p>
                    <w:p w14:paraId="4061DBBD" w14:textId="74BA6DEC" w:rsidR="00627C9F" w:rsidRPr="00C25ADB" w:rsidRDefault="00CC6C9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6F6BDD3"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A79A9">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BA79A9">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6F6BDD3"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A79A9">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BA79A9">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36B97457"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A79A9" w:rsidRPr="00BA79A9">
                              <w:rPr>
                                <w:rFonts w:asciiTheme="majorHAnsi" w:hAnsiTheme="majorHAnsi"/>
                                <w:color w:val="595959" w:themeColor="text1" w:themeTint="A6"/>
                                <w:sz w:val="18"/>
                                <w:szCs w:val="18"/>
                                <w:lang w:val="pt-PT"/>
                              </w:rPr>
                              <w:t>292</w:t>
                            </w:r>
                            <w:r w:rsidR="007B05C4" w:rsidRPr="00BA79A9">
                              <w:rPr>
                                <w:rFonts w:asciiTheme="majorHAnsi" w:hAnsiTheme="majorHAnsi"/>
                                <w:color w:val="595959" w:themeColor="text1" w:themeTint="A6"/>
                                <w:sz w:val="18"/>
                                <w:szCs w:val="18"/>
                                <w:lang w:val="pt-PT"/>
                              </w:rPr>
                              <w:t>/</w:t>
                            </w:r>
                            <w:r w:rsidR="00BA79A9" w:rsidRPr="00BA79A9">
                              <w:rPr>
                                <w:rFonts w:asciiTheme="majorHAnsi" w:hAnsiTheme="majorHAnsi"/>
                                <w:color w:val="595959" w:themeColor="text1" w:themeTint="A6"/>
                                <w:sz w:val="18"/>
                                <w:szCs w:val="18"/>
                                <w:lang w:val="pt-PT"/>
                              </w:rPr>
                              <w:t>25</w:t>
                            </w:r>
                            <w:r w:rsidRPr="00BA79A9">
                              <w:rPr>
                                <w:rFonts w:asciiTheme="majorHAnsi" w:hAnsiTheme="majorHAnsi"/>
                                <w:color w:val="595959" w:themeColor="text1" w:themeTint="A6"/>
                                <w:sz w:val="18"/>
                                <w:szCs w:val="18"/>
                                <w:lang w:val="pt-PT"/>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7174D">
                              <w:rPr>
                                <w:rFonts w:asciiTheme="majorHAnsi" w:hAnsiTheme="majorHAnsi"/>
                                <w:color w:val="595959" w:themeColor="text1" w:themeTint="A6"/>
                                <w:sz w:val="18"/>
                                <w:szCs w:val="18"/>
                                <w:lang w:val="es-ES"/>
                              </w:rPr>
                              <w:t>1508</w:t>
                            </w:r>
                            <w:r w:rsidR="000433C9">
                              <w:rPr>
                                <w:rFonts w:asciiTheme="majorHAnsi" w:hAnsiTheme="majorHAnsi"/>
                                <w:color w:val="595959" w:themeColor="text1" w:themeTint="A6"/>
                                <w:sz w:val="18"/>
                                <w:szCs w:val="18"/>
                                <w:lang w:val="es-ES"/>
                              </w:rPr>
                              <w:t>-</w:t>
                            </w:r>
                            <w:r w:rsidR="00C7174D">
                              <w:rPr>
                                <w:rFonts w:asciiTheme="majorHAnsi" w:hAnsiTheme="majorHAnsi"/>
                                <w:color w:val="595959" w:themeColor="text1" w:themeTint="A6"/>
                                <w:sz w:val="18"/>
                                <w:szCs w:val="18"/>
                                <w:lang w:val="es-ES"/>
                              </w:rPr>
                              <w:t>17</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C7174D">
                              <w:rPr>
                                <w:rFonts w:asciiTheme="majorHAnsi" w:hAnsiTheme="majorHAnsi"/>
                                <w:color w:val="595959" w:themeColor="text1" w:themeTint="A6"/>
                                <w:sz w:val="18"/>
                                <w:szCs w:val="18"/>
                                <w:lang w:val="es-ES_tradnl"/>
                              </w:rPr>
                              <w:t>Remedios e hija</w:t>
                            </w:r>
                            <w:r w:rsidRPr="00890650">
                              <w:rPr>
                                <w:rFonts w:asciiTheme="majorHAnsi" w:hAnsiTheme="majorHAnsi"/>
                                <w:color w:val="595959" w:themeColor="text1" w:themeTint="A6"/>
                                <w:sz w:val="18"/>
                                <w:szCs w:val="18"/>
                                <w:lang w:val="es-ES_tradnl"/>
                              </w:rPr>
                              <w:t xml:space="preserve">. </w:t>
                            </w:r>
                            <w:r w:rsidR="00C311A0">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C311A0">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36B97457"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A79A9" w:rsidRPr="00BA79A9">
                        <w:rPr>
                          <w:rFonts w:asciiTheme="majorHAnsi" w:hAnsiTheme="majorHAnsi"/>
                          <w:color w:val="595959" w:themeColor="text1" w:themeTint="A6"/>
                          <w:sz w:val="18"/>
                          <w:szCs w:val="18"/>
                          <w:lang w:val="pt-PT"/>
                        </w:rPr>
                        <w:t>292</w:t>
                      </w:r>
                      <w:r w:rsidR="007B05C4" w:rsidRPr="00BA79A9">
                        <w:rPr>
                          <w:rFonts w:asciiTheme="majorHAnsi" w:hAnsiTheme="majorHAnsi"/>
                          <w:color w:val="595959" w:themeColor="text1" w:themeTint="A6"/>
                          <w:sz w:val="18"/>
                          <w:szCs w:val="18"/>
                          <w:lang w:val="pt-PT"/>
                        </w:rPr>
                        <w:t>/</w:t>
                      </w:r>
                      <w:r w:rsidR="00BA79A9" w:rsidRPr="00BA79A9">
                        <w:rPr>
                          <w:rFonts w:asciiTheme="majorHAnsi" w:hAnsiTheme="majorHAnsi"/>
                          <w:color w:val="595959" w:themeColor="text1" w:themeTint="A6"/>
                          <w:sz w:val="18"/>
                          <w:szCs w:val="18"/>
                          <w:lang w:val="pt-PT"/>
                        </w:rPr>
                        <w:t>25</w:t>
                      </w:r>
                      <w:r w:rsidRPr="00BA79A9">
                        <w:rPr>
                          <w:rFonts w:asciiTheme="majorHAnsi" w:hAnsiTheme="majorHAnsi"/>
                          <w:color w:val="595959" w:themeColor="text1" w:themeTint="A6"/>
                          <w:sz w:val="18"/>
                          <w:szCs w:val="18"/>
                          <w:lang w:val="pt-PT"/>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C7174D">
                        <w:rPr>
                          <w:rFonts w:asciiTheme="majorHAnsi" w:hAnsiTheme="majorHAnsi"/>
                          <w:color w:val="595959" w:themeColor="text1" w:themeTint="A6"/>
                          <w:sz w:val="18"/>
                          <w:szCs w:val="18"/>
                          <w:lang w:val="es-ES"/>
                        </w:rPr>
                        <w:t>1508</w:t>
                      </w:r>
                      <w:r w:rsidR="000433C9">
                        <w:rPr>
                          <w:rFonts w:asciiTheme="majorHAnsi" w:hAnsiTheme="majorHAnsi"/>
                          <w:color w:val="595959" w:themeColor="text1" w:themeTint="A6"/>
                          <w:sz w:val="18"/>
                          <w:szCs w:val="18"/>
                          <w:lang w:val="es-ES"/>
                        </w:rPr>
                        <w:t>-</w:t>
                      </w:r>
                      <w:r w:rsidR="00C7174D">
                        <w:rPr>
                          <w:rFonts w:asciiTheme="majorHAnsi" w:hAnsiTheme="majorHAnsi"/>
                          <w:color w:val="595959" w:themeColor="text1" w:themeTint="A6"/>
                          <w:sz w:val="18"/>
                          <w:szCs w:val="18"/>
                          <w:lang w:val="es-ES"/>
                        </w:rPr>
                        <w:t>17</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r w:rsidR="00C7174D">
                        <w:rPr>
                          <w:rFonts w:asciiTheme="majorHAnsi" w:hAnsiTheme="majorHAnsi"/>
                          <w:color w:val="595959" w:themeColor="text1" w:themeTint="A6"/>
                          <w:sz w:val="18"/>
                          <w:szCs w:val="18"/>
                          <w:lang w:val="es-ES_tradnl"/>
                        </w:rPr>
                        <w:t>Remedios e hija</w:t>
                      </w:r>
                      <w:r w:rsidRPr="00890650">
                        <w:rPr>
                          <w:rFonts w:asciiTheme="majorHAnsi" w:hAnsiTheme="majorHAnsi"/>
                          <w:color w:val="595959" w:themeColor="text1" w:themeTint="A6"/>
                          <w:sz w:val="18"/>
                          <w:szCs w:val="18"/>
                          <w:lang w:val="es-ES_tradnl"/>
                        </w:rPr>
                        <w:t xml:space="preserve">. </w:t>
                      </w:r>
                      <w:r w:rsidR="00C311A0">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C311A0">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07A27" w14:textId="532FF1B7" w:rsidR="006B534F" w:rsidRDefault="006B534F" w:rsidP="00F02AD1">
                            <w:pPr>
                              <w:rPr>
                                <w:noProof/>
                                <w:color w:val="FFFFFF" w:themeColor="background1"/>
                              </w:rPr>
                            </w:pPr>
                            <w:r>
                              <w:rPr>
                                <w:noProof/>
                                <w:color w:val="FFFFFF" w:themeColor="background1"/>
                              </w:rPr>
                              <w:drawing>
                                <wp:inline distT="0" distB="0" distL="0" distR="0" wp14:anchorId="7158DE68" wp14:editId="79592F51">
                                  <wp:extent cx="1199072" cy="469265"/>
                                  <wp:effectExtent l="0" t="0" r="1270"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4274"/>
                                          <a:stretch>
                                            <a:fillRect/>
                                          </a:stretch>
                                        </pic:blipFill>
                                        <pic:spPr bwMode="auto">
                                          <a:xfrm>
                                            <a:off x="0" y="0"/>
                                            <a:ext cx="1199072" cy="469265"/>
                                          </a:xfrm>
                                          <a:prstGeom prst="rect">
                                            <a:avLst/>
                                          </a:prstGeom>
                                          <a:ln>
                                            <a:noFill/>
                                          </a:ln>
                                          <a:extLst>
                                            <a:ext uri="{53640926-AAD7-44D8-BBD7-CCE9431645EC}">
                                              <a14:shadowObscured xmlns:a14="http://schemas.microsoft.com/office/drawing/2010/main"/>
                                            </a:ext>
                                          </a:extLst>
                                        </pic:spPr>
                                      </pic:pic>
                                    </a:graphicData>
                                  </a:graphic>
                                </wp:inline>
                              </w:drawing>
                            </w:r>
                          </w:p>
                          <w:p w14:paraId="16E85441" w14:textId="1A34FBAF"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54607A27" w14:textId="532FF1B7" w:rsidR="006B534F" w:rsidRDefault="006B534F" w:rsidP="00F02AD1">
                      <w:pPr>
                        <w:rPr>
                          <w:noProof/>
                          <w:color w:val="FFFFFF" w:themeColor="background1"/>
                        </w:rPr>
                      </w:pPr>
                      <w:r>
                        <w:rPr>
                          <w:noProof/>
                          <w:color w:val="FFFFFF" w:themeColor="background1"/>
                        </w:rPr>
                        <w:drawing>
                          <wp:inline distT="0" distB="0" distL="0" distR="0" wp14:anchorId="7158DE68" wp14:editId="79592F51">
                            <wp:extent cx="1199072" cy="469265"/>
                            <wp:effectExtent l="0" t="0" r="1270"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4274"/>
                                    <a:stretch>
                                      <a:fillRect/>
                                    </a:stretch>
                                  </pic:blipFill>
                                  <pic:spPr bwMode="auto">
                                    <a:xfrm>
                                      <a:off x="0" y="0"/>
                                      <a:ext cx="1199072" cy="469265"/>
                                    </a:xfrm>
                                    <a:prstGeom prst="rect">
                                      <a:avLst/>
                                    </a:prstGeom>
                                    <a:ln>
                                      <a:noFill/>
                                    </a:ln>
                                    <a:extLst>
                                      <a:ext uri="{53640926-AAD7-44D8-BBD7-CCE9431645EC}">
                                        <a14:shadowObscured xmlns:a14="http://schemas.microsoft.com/office/drawing/2010/main"/>
                                      </a:ext>
                                    </a:extLst>
                                  </pic:spPr>
                                </pic:pic>
                              </a:graphicData>
                            </a:graphic>
                          </wp:inline>
                        </w:drawing>
                      </w:r>
                    </w:p>
                    <w:p w14:paraId="16E85441" w14:textId="1A34FBAF" w:rsidR="00D72DC6" w:rsidRPr="00D72DC6" w:rsidRDefault="00D72DC6" w:rsidP="00F02AD1">
                      <w:pPr>
                        <w:rPr>
                          <w:color w:val="FFFFFF" w:themeColor="background1"/>
                          <w14:textFill>
                            <w14:noFill/>
                          </w14:textFill>
                        </w:rPr>
                      </w:pP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1ECAA721" w:rsidR="003239B8" w:rsidRPr="000D05CB" w:rsidRDefault="00FD5496" w:rsidP="008D2290">
            <w:pPr>
              <w:jc w:val="both"/>
              <w:rPr>
                <w:rFonts w:ascii="Cambria" w:hAnsi="Cambria"/>
                <w:bCs/>
                <w:sz w:val="20"/>
                <w:szCs w:val="20"/>
              </w:rPr>
            </w:pPr>
            <w:r>
              <w:rPr>
                <w:rFonts w:ascii="Cambria" w:hAnsi="Cambria"/>
                <w:bCs/>
                <w:sz w:val="20"/>
                <w:szCs w:val="20"/>
              </w:rPr>
              <w:t>Women’s Link Worldwide</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6402BE"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29AEFB90" w:rsidR="003239B8" w:rsidRPr="000D05CB" w:rsidRDefault="00D20426" w:rsidP="008D2290">
            <w:pPr>
              <w:jc w:val="both"/>
              <w:rPr>
                <w:rFonts w:ascii="Cambria" w:hAnsi="Cambria"/>
                <w:bCs/>
                <w:sz w:val="20"/>
                <w:szCs w:val="20"/>
                <w:lang w:val="es-ES"/>
              </w:rPr>
            </w:pPr>
            <w:r>
              <w:rPr>
                <w:rFonts w:ascii="Cambria" w:hAnsi="Cambria"/>
                <w:bCs/>
                <w:i/>
                <w:iCs/>
                <w:sz w:val="20"/>
                <w:szCs w:val="20"/>
                <w:lang w:val="es-ES"/>
              </w:rPr>
              <w:t>Remedios</w:t>
            </w:r>
            <w:r w:rsidR="00FD5496">
              <w:rPr>
                <w:rFonts w:ascii="Cambria" w:hAnsi="Cambria"/>
                <w:bCs/>
                <w:sz w:val="20"/>
                <w:szCs w:val="20"/>
                <w:lang w:val="es-ES"/>
              </w:rPr>
              <w:t xml:space="preserve"> e hija</w:t>
            </w:r>
            <w:r w:rsidR="00FD5496">
              <w:rPr>
                <w:rStyle w:val="FootnoteReference"/>
                <w:rFonts w:ascii="Cambria" w:hAnsi="Cambria"/>
                <w:bCs/>
                <w:sz w:val="20"/>
                <w:szCs w:val="20"/>
                <w:lang w:val="es-ES"/>
              </w:rPr>
              <w:footnoteReference w:id="2"/>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78FCAE1B" w:rsidR="003239B8" w:rsidRPr="000D05CB" w:rsidRDefault="009A2A2C"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9E05D0"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564A2D79" w:rsidR="00223A29" w:rsidRPr="008E66D8" w:rsidRDefault="00510819" w:rsidP="008D2290">
            <w:pPr>
              <w:jc w:val="both"/>
              <w:rPr>
                <w:rFonts w:ascii="Cambria" w:hAnsi="Cambria"/>
                <w:bCs/>
                <w:sz w:val="20"/>
                <w:szCs w:val="20"/>
                <w:lang w:val="es-CO"/>
              </w:rPr>
            </w:pPr>
            <w:r w:rsidRPr="00AF6261">
              <w:rPr>
                <w:rFonts w:ascii="Cambria" w:hAnsi="Cambria"/>
                <w:bCs/>
                <w:sz w:val="20"/>
                <w:szCs w:val="20"/>
                <w:lang w:val="es-US"/>
              </w:rPr>
              <w:t xml:space="preserve">Artículos </w:t>
            </w:r>
            <w:r w:rsidR="00D97A65" w:rsidRPr="00AF6261">
              <w:rPr>
                <w:rFonts w:ascii="Cambria" w:hAnsi="Cambria"/>
                <w:bCs/>
                <w:sz w:val="20"/>
                <w:szCs w:val="20"/>
                <w:lang w:val="es-US"/>
              </w:rPr>
              <w:t>5 (integridad personal), 6 (</w:t>
            </w:r>
            <w:r w:rsidR="00AF6261" w:rsidRPr="00AF6261">
              <w:rPr>
                <w:rFonts w:ascii="Cambria" w:hAnsi="Cambria"/>
                <w:bCs/>
                <w:sz w:val="20"/>
                <w:szCs w:val="20"/>
                <w:lang w:val="es-US"/>
              </w:rPr>
              <w:t>prohibición d</w:t>
            </w:r>
            <w:r w:rsidR="00AF6261">
              <w:rPr>
                <w:rFonts w:ascii="Cambria" w:hAnsi="Cambria"/>
                <w:bCs/>
                <w:sz w:val="20"/>
                <w:szCs w:val="20"/>
                <w:lang w:val="es-US"/>
              </w:rPr>
              <w:t xml:space="preserve">e la esclavitud y servidumbre), 7 (libertad personal), 8 (garantías judiciales), </w:t>
            </w:r>
            <w:r w:rsidR="006B7DD1">
              <w:rPr>
                <w:rFonts w:ascii="Cambria" w:hAnsi="Cambria"/>
                <w:bCs/>
                <w:sz w:val="20"/>
                <w:szCs w:val="20"/>
                <w:lang w:val="es-US"/>
              </w:rPr>
              <w:t>11 (protección de la honra y de la dignidad),</w:t>
            </w:r>
            <w:r w:rsidR="005A5A77">
              <w:rPr>
                <w:rFonts w:ascii="Cambria" w:hAnsi="Cambria"/>
                <w:bCs/>
                <w:sz w:val="20"/>
                <w:szCs w:val="20"/>
                <w:lang w:val="es-US"/>
              </w:rPr>
              <w:t xml:space="preserve"> 19 (derechos del niño)</w:t>
            </w:r>
            <w:r w:rsidR="00CA620A">
              <w:rPr>
                <w:rFonts w:ascii="Cambria" w:hAnsi="Cambria"/>
                <w:bCs/>
                <w:sz w:val="20"/>
                <w:szCs w:val="20"/>
                <w:lang w:val="es-US"/>
              </w:rPr>
              <w:t>,</w:t>
            </w:r>
            <w:r w:rsidR="006B7DD1">
              <w:rPr>
                <w:rFonts w:ascii="Cambria" w:hAnsi="Cambria"/>
                <w:bCs/>
                <w:sz w:val="20"/>
                <w:szCs w:val="20"/>
                <w:lang w:val="es-US"/>
              </w:rPr>
              <w:t xml:space="preserve"> 20 (nacionalidad) y 22 (circulación </w:t>
            </w:r>
            <w:r w:rsidR="002049CA">
              <w:rPr>
                <w:rFonts w:ascii="Cambria" w:hAnsi="Cambria"/>
                <w:bCs/>
                <w:sz w:val="20"/>
                <w:szCs w:val="20"/>
                <w:lang w:val="es-US"/>
              </w:rPr>
              <w:t>y residencia) de la Convención Americana sobre Derechos Humanos</w:t>
            </w:r>
            <w:r w:rsidR="006559F0">
              <w:rPr>
                <w:rStyle w:val="FootnoteReference"/>
                <w:rFonts w:ascii="Cambria" w:hAnsi="Cambria"/>
                <w:bCs/>
                <w:sz w:val="20"/>
                <w:szCs w:val="20"/>
                <w:lang w:val="es-US"/>
              </w:rPr>
              <w:footnoteReference w:id="4"/>
            </w:r>
            <w:r w:rsidR="006559F0">
              <w:rPr>
                <w:rFonts w:ascii="Cambria" w:hAnsi="Cambria"/>
                <w:bCs/>
                <w:sz w:val="20"/>
                <w:szCs w:val="20"/>
                <w:lang w:val="es-US"/>
              </w:rPr>
              <w:t xml:space="preserve">; y el artículo 7 de la </w:t>
            </w:r>
            <w:r w:rsidR="008E66D8" w:rsidRPr="008E66D8">
              <w:rPr>
                <w:rFonts w:ascii="Cambria" w:hAnsi="Cambria"/>
                <w:bCs/>
                <w:sz w:val="20"/>
                <w:szCs w:val="20"/>
                <w:lang w:val="es-US"/>
              </w:rPr>
              <w:t>Convención Interamericana para Prevenir, Sancionar y Erradicar la Violencia contra la Mujer</w:t>
            </w:r>
            <w:r w:rsidR="008E66D8">
              <w:rPr>
                <w:rStyle w:val="FootnoteReference"/>
                <w:rFonts w:ascii="Cambria" w:hAnsi="Cambria"/>
                <w:bCs/>
                <w:sz w:val="20"/>
                <w:szCs w:val="20"/>
                <w:lang w:val="es-US"/>
              </w:rPr>
              <w:footnoteReference w:id="5"/>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6"/>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2186DC06" w:rsidR="004C2312" w:rsidRPr="003239B8" w:rsidRDefault="002049CA" w:rsidP="002625EA">
            <w:pPr>
              <w:jc w:val="both"/>
              <w:rPr>
                <w:rFonts w:ascii="Cambria" w:hAnsi="Cambria"/>
                <w:bCs/>
                <w:sz w:val="20"/>
                <w:szCs w:val="20"/>
                <w:lang w:val="es-ES"/>
              </w:rPr>
            </w:pPr>
            <w:r>
              <w:rPr>
                <w:rFonts w:ascii="Cambria" w:hAnsi="Cambria"/>
                <w:bCs/>
                <w:sz w:val="20"/>
                <w:szCs w:val="20"/>
                <w:lang w:val="es-ES"/>
              </w:rPr>
              <w:t>10 de agosto de 2017</w:t>
            </w:r>
            <w:r>
              <w:rPr>
                <w:rStyle w:val="FootnoteReference"/>
                <w:rFonts w:ascii="Cambria" w:hAnsi="Cambria"/>
                <w:bCs/>
                <w:sz w:val="20"/>
                <w:szCs w:val="20"/>
                <w:lang w:val="es-ES"/>
              </w:rPr>
              <w:footnoteReference w:id="7"/>
            </w:r>
          </w:p>
        </w:tc>
      </w:tr>
      <w:tr w:rsidR="00131425" w:rsidRPr="009E05D0"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3F3EBBE6" w:rsidR="00131425" w:rsidRPr="004C7AE1" w:rsidRDefault="00C07187" w:rsidP="002625EA">
            <w:pPr>
              <w:jc w:val="both"/>
              <w:rPr>
                <w:rFonts w:ascii="Cambria" w:hAnsi="Cambria"/>
                <w:bCs/>
                <w:sz w:val="20"/>
                <w:szCs w:val="20"/>
                <w:lang w:val="es-US"/>
              </w:rPr>
            </w:pPr>
            <w:r w:rsidRPr="004C7AE1">
              <w:rPr>
                <w:rFonts w:ascii="Cambria" w:hAnsi="Cambria"/>
                <w:bCs/>
                <w:sz w:val="20"/>
                <w:szCs w:val="20"/>
                <w:lang w:val="es-US"/>
              </w:rPr>
              <w:t>30 de agosto de 2017</w:t>
            </w:r>
            <w:r w:rsidR="00B801DF" w:rsidRPr="004C7AE1">
              <w:rPr>
                <w:rFonts w:ascii="Cambria" w:hAnsi="Cambria"/>
                <w:bCs/>
                <w:sz w:val="20"/>
                <w:szCs w:val="20"/>
                <w:lang w:val="es-US"/>
              </w:rPr>
              <w:t>, 14 de diciembre de 2018</w:t>
            </w:r>
            <w:r w:rsidR="00067028">
              <w:rPr>
                <w:rFonts w:ascii="Cambria" w:hAnsi="Cambria"/>
                <w:bCs/>
                <w:sz w:val="20"/>
                <w:szCs w:val="20"/>
                <w:lang w:val="es-US"/>
              </w:rPr>
              <w:t xml:space="preserve"> y</w:t>
            </w:r>
            <w:r w:rsidR="004C7AE1" w:rsidRPr="004C7AE1">
              <w:rPr>
                <w:rFonts w:ascii="Cambria" w:hAnsi="Cambria"/>
                <w:bCs/>
                <w:sz w:val="20"/>
                <w:szCs w:val="20"/>
                <w:lang w:val="es-US"/>
              </w:rPr>
              <w:t xml:space="preserve"> 26 de febrero</w:t>
            </w:r>
            <w:r w:rsidR="004C7AE1">
              <w:rPr>
                <w:rFonts w:ascii="Cambria" w:hAnsi="Cambria"/>
                <w:bCs/>
                <w:sz w:val="20"/>
                <w:szCs w:val="20"/>
                <w:lang w:val="es-US"/>
              </w:rPr>
              <w:t xml:space="preserve"> de 2020</w:t>
            </w:r>
          </w:p>
        </w:tc>
      </w:tr>
      <w:tr w:rsidR="004C2312" w:rsidRPr="00FD5496"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6A780DBE" w:rsidR="004C2312" w:rsidRPr="003239B8" w:rsidRDefault="00067028" w:rsidP="008D2290">
            <w:pPr>
              <w:jc w:val="both"/>
              <w:rPr>
                <w:rFonts w:ascii="Cambria" w:hAnsi="Cambria"/>
                <w:bCs/>
                <w:sz w:val="20"/>
                <w:szCs w:val="20"/>
                <w:lang w:val="es-ES"/>
              </w:rPr>
            </w:pPr>
            <w:r>
              <w:rPr>
                <w:rFonts w:ascii="Cambria" w:hAnsi="Cambria"/>
                <w:bCs/>
                <w:sz w:val="20"/>
                <w:szCs w:val="20"/>
                <w:lang w:val="es-ES"/>
              </w:rPr>
              <w:t>20 de marzo de 2020</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1C6BDFE5" w:rsidR="004C2312" w:rsidRPr="003239B8" w:rsidRDefault="0097172D"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0F873B1E" w:rsidR="004C2312" w:rsidRPr="003239B8" w:rsidRDefault="00B979F0" w:rsidP="008D2290">
            <w:pPr>
              <w:jc w:val="both"/>
              <w:rPr>
                <w:rFonts w:ascii="Cambria" w:hAnsi="Cambria"/>
                <w:bCs/>
                <w:sz w:val="20"/>
                <w:szCs w:val="20"/>
                <w:lang w:val="es-ES"/>
              </w:rPr>
            </w:pPr>
            <w:r>
              <w:rPr>
                <w:rFonts w:ascii="Cambria" w:hAnsi="Cambria"/>
                <w:bCs/>
                <w:sz w:val="20"/>
                <w:szCs w:val="20"/>
                <w:lang w:val="es-ES"/>
              </w:rPr>
              <w:t>30 de marzo de 2020</w:t>
            </w:r>
          </w:p>
        </w:tc>
      </w:tr>
      <w:tr w:rsidR="004C2312" w:rsidRPr="00FD5496"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E9E2461" w:rsidR="004C2312" w:rsidRPr="003239B8" w:rsidRDefault="00B979F0" w:rsidP="008D2290">
            <w:pPr>
              <w:jc w:val="both"/>
              <w:rPr>
                <w:rFonts w:ascii="Cambria" w:hAnsi="Cambria"/>
                <w:bCs/>
                <w:sz w:val="20"/>
                <w:szCs w:val="20"/>
                <w:lang w:val="es-ES"/>
              </w:rPr>
            </w:pPr>
            <w:r>
              <w:rPr>
                <w:rFonts w:ascii="Cambria" w:hAnsi="Cambria"/>
                <w:bCs/>
                <w:sz w:val="20"/>
                <w:szCs w:val="20"/>
                <w:lang w:val="es-ES"/>
              </w:rPr>
              <w:t>29 de enero de 2021</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17C4C481" w:rsidR="001E49E7" w:rsidRPr="003239B8" w:rsidRDefault="00014271" w:rsidP="002625EA">
            <w:pPr>
              <w:jc w:val="both"/>
              <w:rPr>
                <w:rFonts w:ascii="Cambria" w:hAnsi="Cambria"/>
                <w:bCs/>
                <w:sz w:val="20"/>
                <w:szCs w:val="20"/>
                <w:lang w:val="es-ES"/>
              </w:rPr>
            </w:pPr>
            <w:r>
              <w:rPr>
                <w:rFonts w:ascii="Cambria" w:hAnsi="Cambria"/>
                <w:bCs/>
                <w:sz w:val="20"/>
                <w:szCs w:val="20"/>
                <w:lang w:val="es-ES"/>
              </w:rPr>
              <w:t>3 de enero de 202</w:t>
            </w:r>
            <w:r w:rsidR="000D6FBA">
              <w:rPr>
                <w:rFonts w:ascii="Cambria" w:hAnsi="Cambria"/>
                <w:bCs/>
                <w:sz w:val="20"/>
                <w:szCs w:val="20"/>
                <w:lang w:val="es-ES"/>
              </w:rPr>
              <w:t>4</w:t>
            </w:r>
          </w:p>
        </w:tc>
      </w:tr>
      <w:tr w:rsidR="001E49E7" w:rsidRPr="00FD5496"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286F7861" w:rsidR="001E49E7" w:rsidRPr="003239B8" w:rsidRDefault="000D6FBA" w:rsidP="002625EA">
            <w:pPr>
              <w:jc w:val="both"/>
              <w:rPr>
                <w:rFonts w:ascii="Cambria" w:hAnsi="Cambria"/>
                <w:bCs/>
                <w:sz w:val="20"/>
                <w:szCs w:val="20"/>
                <w:lang w:val="es-ES"/>
              </w:rPr>
            </w:pPr>
            <w:r>
              <w:rPr>
                <w:rFonts w:ascii="Cambria" w:hAnsi="Cambria"/>
                <w:bCs/>
                <w:sz w:val="20"/>
                <w:szCs w:val="20"/>
                <w:lang w:val="es-ES"/>
              </w:rPr>
              <w:t>15 de enero de 2024</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4AB9672" w:rsidR="003239B8" w:rsidRPr="00B3745F" w:rsidRDefault="008E1ECA"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24D6971A" w:rsidR="003239B8" w:rsidRPr="00B3745F" w:rsidRDefault="008E1ECA"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04F1678" w:rsidR="003239B8" w:rsidRPr="00B3745F" w:rsidRDefault="008E1ECA" w:rsidP="008D2290">
            <w:pPr>
              <w:rPr>
                <w:rFonts w:ascii="Cambria" w:hAnsi="Cambria"/>
                <w:bCs/>
                <w:sz w:val="20"/>
                <w:szCs w:val="20"/>
              </w:rPr>
            </w:pPr>
            <w:r>
              <w:rPr>
                <w:rFonts w:ascii="Cambria" w:hAnsi="Cambria"/>
                <w:bCs/>
                <w:sz w:val="20"/>
                <w:szCs w:val="20"/>
              </w:rPr>
              <w:t>Sí</w:t>
            </w:r>
          </w:p>
        </w:tc>
      </w:tr>
      <w:tr w:rsidR="003239B8" w:rsidRPr="009E05D0"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12AF44CF" w:rsidR="003239B8" w:rsidRPr="00B3745F" w:rsidRDefault="00AD2A99" w:rsidP="008D2290">
            <w:pPr>
              <w:jc w:val="both"/>
              <w:rPr>
                <w:rFonts w:ascii="Cambria" w:hAnsi="Cambria"/>
                <w:bCs/>
                <w:sz w:val="20"/>
                <w:szCs w:val="20"/>
                <w:lang w:val="es-ES"/>
              </w:rPr>
            </w:pPr>
            <w:r w:rsidRPr="007E054F">
              <w:rPr>
                <w:rFonts w:ascii="Cambria" w:hAnsi="Cambria"/>
                <w:bCs/>
                <w:sz w:val="20"/>
                <w:szCs w:val="20"/>
                <w:lang w:val="es-419" w:bidi="es-ES"/>
              </w:rPr>
              <w:t>Sí, la Convención Americana (depósito de</w:t>
            </w:r>
            <w:r>
              <w:rPr>
                <w:rFonts w:ascii="Cambria" w:hAnsi="Cambria"/>
                <w:bCs/>
                <w:sz w:val="20"/>
                <w:szCs w:val="20"/>
                <w:lang w:val="es-419" w:bidi="es-ES"/>
              </w:rPr>
              <w:t>l</w:t>
            </w:r>
            <w:r w:rsidRPr="007E054F">
              <w:rPr>
                <w:rFonts w:ascii="Cambria" w:hAnsi="Cambria"/>
                <w:bCs/>
                <w:sz w:val="20"/>
                <w:szCs w:val="20"/>
                <w:lang w:val="es-419" w:bidi="es-ES"/>
              </w:rPr>
              <w:t xml:space="preserve"> instrumento </w:t>
            </w:r>
            <w:r>
              <w:rPr>
                <w:rFonts w:ascii="Cambria" w:hAnsi="Cambria"/>
                <w:bCs/>
                <w:sz w:val="20"/>
                <w:szCs w:val="20"/>
                <w:lang w:val="es-419" w:bidi="es-ES"/>
              </w:rPr>
              <w:t xml:space="preserve">de ratificación </w:t>
            </w:r>
            <w:r w:rsidRPr="007E054F">
              <w:rPr>
                <w:rFonts w:ascii="Cambria" w:hAnsi="Cambria"/>
                <w:bCs/>
                <w:sz w:val="20"/>
                <w:szCs w:val="20"/>
                <w:lang w:val="es-419" w:bidi="es-ES"/>
              </w:rPr>
              <w:t>realizado el 31 de julio de 1973)</w:t>
            </w:r>
            <w:r>
              <w:rPr>
                <w:rFonts w:ascii="Cambria" w:hAnsi="Cambria"/>
                <w:bCs/>
                <w:sz w:val="20"/>
                <w:szCs w:val="20"/>
                <w:lang w:val="es-419" w:bidi="es-ES"/>
              </w:rPr>
              <w:t xml:space="preserve"> y </w:t>
            </w:r>
            <w:r w:rsidR="00673E35">
              <w:rPr>
                <w:rFonts w:ascii="Cambria" w:hAnsi="Cambria"/>
                <w:bCs/>
                <w:sz w:val="20"/>
                <w:szCs w:val="20"/>
                <w:lang w:val="es-419" w:bidi="es-ES"/>
              </w:rPr>
              <w:t xml:space="preserve">la </w:t>
            </w:r>
            <w:r>
              <w:rPr>
                <w:rFonts w:ascii="Cambria" w:hAnsi="Cambria"/>
                <w:bCs/>
                <w:sz w:val="20"/>
                <w:szCs w:val="20"/>
                <w:lang w:val="es-419" w:bidi="es-ES"/>
              </w:rPr>
              <w:t>Convención de Belem do Pará (</w:t>
            </w:r>
            <w:r w:rsidRPr="007E054F">
              <w:rPr>
                <w:rFonts w:ascii="Cambria" w:hAnsi="Cambria"/>
                <w:bCs/>
                <w:sz w:val="20"/>
                <w:szCs w:val="20"/>
                <w:lang w:val="es-419" w:bidi="es-ES"/>
              </w:rPr>
              <w:t>depósito de</w:t>
            </w:r>
            <w:r>
              <w:rPr>
                <w:rFonts w:ascii="Cambria" w:hAnsi="Cambria"/>
                <w:bCs/>
                <w:sz w:val="20"/>
                <w:szCs w:val="20"/>
                <w:lang w:val="es-419" w:bidi="es-ES"/>
              </w:rPr>
              <w:t>l</w:t>
            </w:r>
            <w:r w:rsidRPr="007E054F">
              <w:rPr>
                <w:rFonts w:ascii="Cambria" w:hAnsi="Cambria"/>
                <w:bCs/>
                <w:sz w:val="20"/>
                <w:szCs w:val="20"/>
                <w:lang w:val="es-419" w:bidi="es-ES"/>
              </w:rPr>
              <w:t xml:space="preserve"> instrumento </w:t>
            </w:r>
            <w:r>
              <w:rPr>
                <w:rFonts w:ascii="Cambria" w:hAnsi="Cambria"/>
                <w:bCs/>
                <w:sz w:val="20"/>
                <w:szCs w:val="20"/>
                <w:lang w:val="es-419" w:bidi="es-ES"/>
              </w:rPr>
              <w:t xml:space="preserve">de ratificación </w:t>
            </w:r>
            <w:r w:rsidRPr="007E054F">
              <w:rPr>
                <w:rFonts w:ascii="Cambria" w:hAnsi="Cambria"/>
                <w:bCs/>
                <w:sz w:val="20"/>
                <w:szCs w:val="20"/>
                <w:lang w:val="es-419" w:bidi="es-ES"/>
              </w:rPr>
              <w:t>realizado el</w:t>
            </w:r>
            <w:r>
              <w:rPr>
                <w:rFonts w:ascii="Cambria" w:hAnsi="Cambria"/>
                <w:bCs/>
                <w:sz w:val="20"/>
                <w:szCs w:val="20"/>
                <w:lang w:val="es-419" w:bidi="es-ES"/>
              </w:rPr>
              <w:t xml:space="preserve"> </w:t>
            </w:r>
            <w:r w:rsidR="0062396E">
              <w:rPr>
                <w:rFonts w:ascii="Cambria" w:hAnsi="Cambria"/>
                <w:bCs/>
                <w:sz w:val="20"/>
                <w:szCs w:val="20"/>
                <w:lang w:val="es-419" w:bidi="es-ES"/>
              </w:rPr>
              <w:t xml:space="preserve">15 de </w:t>
            </w:r>
            <w:r w:rsidR="003C1E19">
              <w:rPr>
                <w:rFonts w:ascii="Cambria" w:hAnsi="Cambria"/>
                <w:bCs/>
                <w:sz w:val="20"/>
                <w:szCs w:val="20"/>
                <w:lang w:val="es-419" w:bidi="es-ES"/>
              </w:rPr>
              <w:t>noviembre de 1996)</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lastRenderedPageBreak/>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3"/>
        <w:gridCol w:w="5679"/>
      </w:tblGrid>
      <w:tr w:rsidR="00EE00E9" w:rsidRPr="006F68D2"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5BEDB988" w:rsidR="00EE00E9" w:rsidRPr="00DC24E3" w:rsidRDefault="001A7B03" w:rsidP="008D2290">
            <w:pPr>
              <w:jc w:val="both"/>
              <w:rPr>
                <w:rFonts w:ascii="Cambria" w:hAnsi="Cambria"/>
                <w:bCs/>
                <w:sz w:val="20"/>
                <w:szCs w:val="20"/>
                <w:lang w:val="es-ES"/>
              </w:rPr>
            </w:pPr>
            <w:r>
              <w:rPr>
                <w:rFonts w:ascii="Cambria" w:hAnsi="Cambria"/>
                <w:bCs/>
                <w:sz w:val="20"/>
                <w:szCs w:val="20"/>
                <w:lang w:val="es-ES"/>
              </w:rPr>
              <w:t>No</w:t>
            </w:r>
          </w:p>
        </w:tc>
      </w:tr>
      <w:tr w:rsidR="003239B8" w:rsidRPr="009E05D0"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347A6526" w:rsidR="003239B8" w:rsidRPr="009F4DFD" w:rsidRDefault="009F4DFD" w:rsidP="008D2290">
            <w:pPr>
              <w:jc w:val="both"/>
              <w:rPr>
                <w:rFonts w:ascii="Cambria" w:hAnsi="Cambria"/>
                <w:bCs/>
                <w:sz w:val="20"/>
                <w:szCs w:val="20"/>
                <w:lang w:val="es-CO"/>
              </w:rPr>
            </w:pPr>
            <w:r w:rsidRPr="009F4DFD">
              <w:rPr>
                <w:rFonts w:ascii="Cambria" w:hAnsi="Cambria"/>
                <w:bCs/>
                <w:sz w:val="20"/>
                <w:szCs w:val="20"/>
                <w:lang w:val="es-CO"/>
              </w:rPr>
              <w:t xml:space="preserve">Artículos </w:t>
            </w:r>
            <w:r w:rsidRPr="00AF6261">
              <w:rPr>
                <w:rFonts w:ascii="Cambria" w:hAnsi="Cambria"/>
                <w:bCs/>
                <w:sz w:val="20"/>
                <w:szCs w:val="20"/>
                <w:lang w:val="es-US"/>
              </w:rPr>
              <w:t>5 (integridad personal), 6 (prohibición d</w:t>
            </w:r>
            <w:r>
              <w:rPr>
                <w:rFonts w:ascii="Cambria" w:hAnsi="Cambria"/>
                <w:bCs/>
                <w:sz w:val="20"/>
                <w:szCs w:val="20"/>
                <w:lang w:val="es-US"/>
              </w:rPr>
              <w:t>e la esclavitud y servidumbre), 7 (libertad personal), 8 (garantías judiciales), 11 (protección de la honra y de la dignidad), 19 (derechos del niño), 20 (nacionalidad), 22 (circulación y residencia),</w:t>
            </w:r>
            <w:r w:rsidR="002E651D">
              <w:rPr>
                <w:rFonts w:ascii="Cambria" w:hAnsi="Cambria"/>
                <w:bCs/>
                <w:sz w:val="20"/>
                <w:szCs w:val="20"/>
                <w:lang w:val="es-US"/>
              </w:rPr>
              <w:t xml:space="preserve"> 24 (igualdad ante la ley),</w:t>
            </w:r>
            <w:r>
              <w:rPr>
                <w:rFonts w:ascii="Cambria" w:hAnsi="Cambria"/>
                <w:bCs/>
                <w:sz w:val="20"/>
                <w:szCs w:val="20"/>
                <w:lang w:val="es-US"/>
              </w:rPr>
              <w:t xml:space="preserve"> 25 (protección judicial) y 26 (derechos económicos, sociales y culturales) de la Convención Americana</w:t>
            </w:r>
            <w:r w:rsidR="000F5E6E">
              <w:rPr>
                <w:rFonts w:ascii="Cambria" w:hAnsi="Cambria"/>
                <w:bCs/>
                <w:sz w:val="20"/>
                <w:szCs w:val="20"/>
                <w:lang w:val="es-US"/>
              </w:rPr>
              <w:t xml:space="preserve">, en relación con su artículo 1.1 (obligación de respetar los derechos), </w:t>
            </w:r>
            <w:r>
              <w:rPr>
                <w:rFonts w:ascii="Cambria" w:hAnsi="Cambria"/>
                <w:bCs/>
                <w:sz w:val="20"/>
                <w:szCs w:val="20"/>
                <w:lang w:val="es-US"/>
              </w:rPr>
              <w:t xml:space="preserve">y el artículo 7 de la </w:t>
            </w:r>
            <w:r w:rsidRPr="008E66D8">
              <w:rPr>
                <w:rFonts w:ascii="Cambria" w:hAnsi="Cambria"/>
                <w:bCs/>
                <w:sz w:val="20"/>
                <w:szCs w:val="20"/>
                <w:lang w:val="es-US"/>
              </w:rPr>
              <w:t>Convención</w:t>
            </w:r>
            <w:r w:rsidR="00F4412B">
              <w:rPr>
                <w:rFonts w:ascii="Cambria" w:hAnsi="Cambria"/>
                <w:bCs/>
                <w:sz w:val="20"/>
                <w:szCs w:val="20"/>
                <w:lang w:val="es-US"/>
              </w:rPr>
              <w:t xml:space="preserve"> de Belem do Pará</w:t>
            </w:r>
          </w:p>
        </w:tc>
      </w:tr>
      <w:tr w:rsidR="003239B8" w:rsidRPr="006F68D2"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7A4C105A" w:rsidR="003239B8" w:rsidRPr="00DC24E3" w:rsidRDefault="00F4412B" w:rsidP="008D2290">
            <w:pPr>
              <w:rPr>
                <w:rFonts w:ascii="Cambria" w:hAnsi="Cambria"/>
                <w:bCs/>
                <w:sz w:val="20"/>
                <w:szCs w:val="20"/>
                <w:lang w:val="es-ES"/>
              </w:rPr>
            </w:pPr>
            <w:r>
              <w:rPr>
                <w:rFonts w:ascii="Cambria" w:hAnsi="Cambria"/>
                <w:bCs/>
                <w:sz w:val="20"/>
                <w:szCs w:val="20"/>
                <w:lang w:val="es-ES"/>
              </w:rPr>
              <w:t>Sí</w:t>
            </w:r>
          </w:p>
        </w:tc>
      </w:tr>
      <w:tr w:rsidR="003239B8" w:rsidRPr="00F4412B"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5FC96642" w:rsidR="003239B8" w:rsidRPr="00F4412B" w:rsidRDefault="00F4412B" w:rsidP="008D2290">
            <w:pPr>
              <w:rPr>
                <w:rFonts w:ascii="Cambria" w:hAnsi="Cambria"/>
                <w:bCs/>
                <w:sz w:val="20"/>
                <w:szCs w:val="20"/>
                <w:lang w:val="es-CO"/>
              </w:rPr>
            </w:pPr>
            <w:r w:rsidRPr="00F4412B">
              <w:rPr>
                <w:rFonts w:ascii="Cambria" w:hAnsi="Cambria"/>
                <w:bCs/>
                <w:sz w:val="20"/>
                <w:szCs w:val="20"/>
                <w:lang w:val="es-CO"/>
              </w:rPr>
              <w:t>Sí</w:t>
            </w:r>
          </w:p>
        </w:tc>
      </w:tr>
    </w:tbl>
    <w:p w14:paraId="56FD5D57" w14:textId="252B1FD5" w:rsidR="003239B8" w:rsidRPr="00131BD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131BD8">
        <w:rPr>
          <w:rFonts w:asciiTheme="majorHAnsi" w:hAnsiTheme="majorHAnsi"/>
          <w:b/>
          <w:sz w:val="20"/>
          <w:szCs w:val="20"/>
          <w:lang w:val="es-UY"/>
        </w:rPr>
        <w:t>POSICIÓN DE LAS PARTES</w:t>
      </w:r>
      <w:r w:rsidR="003239B8" w:rsidRPr="00131BD8">
        <w:rPr>
          <w:rFonts w:asciiTheme="majorHAnsi" w:hAnsiTheme="majorHAnsi"/>
          <w:b/>
          <w:sz w:val="20"/>
          <w:szCs w:val="20"/>
          <w:lang w:val="es-UY"/>
        </w:rPr>
        <w:t xml:space="preserve"> </w:t>
      </w:r>
    </w:p>
    <w:p w14:paraId="6901F992" w14:textId="2868F9D8" w:rsidR="0008158C" w:rsidRPr="00131BD8" w:rsidRDefault="00125980" w:rsidP="002E5A4F">
      <w:pPr>
        <w:pStyle w:val="ListParagraph"/>
        <w:numPr>
          <w:ilvl w:val="0"/>
          <w:numId w:val="0"/>
        </w:numPr>
        <w:ind w:left="720"/>
        <w:jc w:val="both"/>
        <w:rPr>
          <w:rFonts w:asciiTheme="majorHAnsi" w:hAnsiTheme="majorHAnsi"/>
          <w:b/>
          <w:sz w:val="20"/>
          <w:szCs w:val="20"/>
          <w:lang w:val="es-UY"/>
        </w:rPr>
      </w:pPr>
      <w:r w:rsidRPr="00131BD8">
        <w:rPr>
          <w:rFonts w:asciiTheme="majorHAnsi" w:hAnsiTheme="majorHAnsi"/>
          <w:b/>
          <w:sz w:val="20"/>
          <w:szCs w:val="20"/>
          <w:lang w:val="es-UY"/>
        </w:rPr>
        <w:t>La p</w:t>
      </w:r>
      <w:r w:rsidR="0008158C" w:rsidRPr="00131BD8">
        <w:rPr>
          <w:rFonts w:asciiTheme="majorHAnsi" w:hAnsiTheme="majorHAnsi"/>
          <w:b/>
          <w:sz w:val="20"/>
          <w:szCs w:val="20"/>
          <w:lang w:val="es-UY"/>
        </w:rPr>
        <w:t>arte peticionaria</w:t>
      </w:r>
    </w:p>
    <w:p w14:paraId="53BD3EF6" w14:textId="0BCFAEC8" w:rsidR="006E621A" w:rsidRPr="00131BD8" w:rsidRDefault="005E0F1E" w:rsidP="006E621A">
      <w:pPr>
        <w:pStyle w:val="ListParagraph"/>
        <w:numPr>
          <w:ilvl w:val="0"/>
          <w:numId w:val="61"/>
        </w:numPr>
        <w:ind w:left="0" w:firstLine="720"/>
        <w:jc w:val="both"/>
        <w:rPr>
          <w:rFonts w:asciiTheme="majorHAnsi" w:hAnsiTheme="majorHAnsi"/>
          <w:bCs/>
          <w:sz w:val="20"/>
          <w:szCs w:val="20"/>
          <w:lang w:val="es-UY"/>
        </w:rPr>
      </w:pPr>
      <w:r w:rsidRPr="00131BD8">
        <w:rPr>
          <w:sz w:val="20"/>
          <w:szCs w:val="20"/>
          <w:lang w:val="es-AR"/>
        </w:rPr>
        <w:t xml:space="preserve">La parte peticionaria denuncia la falta de atención integral </w:t>
      </w:r>
      <w:r w:rsidR="00652C7A" w:rsidRPr="00131BD8">
        <w:rPr>
          <w:sz w:val="20"/>
          <w:szCs w:val="20"/>
          <w:lang w:val="es-AR"/>
        </w:rPr>
        <w:t xml:space="preserve">a una adolescente víctima de trata de </w:t>
      </w:r>
      <w:r w:rsidR="0016416C" w:rsidRPr="00131BD8">
        <w:rPr>
          <w:sz w:val="20"/>
          <w:szCs w:val="20"/>
          <w:lang w:val="es-AR"/>
        </w:rPr>
        <w:t>personas con fines de explotación sexual</w:t>
      </w:r>
      <w:r w:rsidR="00AC3210" w:rsidRPr="00131BD8">
        <w:rPr>
          <w:sz w:val="20"/>
          <w:szCs w:val="20"/>
          <w:lang w:val="es-AR"/>
        </w:rPr>
        <w:t xml:space="preserve"> y la falta de protocolos para protegerla de una posible revictimización, así como la ausencia de una reparación integral a su favor y de su hija.</w:t>
      </w:r>
    </w:p>
    <w:p w14:paraId="035332DA" w14:textId="577ED3D9" w:rsidR="000B16A6" w:rsidRPr="00131BD8" w:rsidRDefault="00084D85" w:rsidP="000B16A6">
      <w:pPr>
        <w:pStyle w:val="ListParagraph"/>
        <w:numPr>
          <w:ilvl w:val="0"/>
          <w:numId w:val="61"/>
        </w:numPr>
        <w:ind w:left="0" w:firstLine="720"/>
        <w:jc w:val="both"/>
        <w:rPr>
          <w:sz w:val="20"/>
          <w:szCs w:val="20"/>
          <w:lang w:val="es-CO"/>
        </w:rPr>
      </w:pPr>
      <w:r w:rsidRPr="00131BD8">
        <w:rPr>
          <w:sz w:val="20"/>
          <w:szCs w:val="20"/>
          <w:lang w:val="es-AR"/>
        </w:rPr>
        <w:t xml:space="preserve">La organización peticionaria relata que </w:t>
      </w:r>
      <w:r w:rsidR="00D20426" w:rsidRPr="00131BD8">
        <w:rPr>
          <w:i/>
          <w:iCs/>
          <w:sz w:val="20"/>
          <w:szCs w:val="20"/>
          <w:lang w:val="es-AR"/>
        </w:rPr>
        <w:t>Remedios</w:t>
      </w:r>
      <w:r w:rsidRPr="00131BD8">
        <w:rPr>
          <w:sz w:val="20"/>
          <w:szCs w:val="20"/>
          <w:lang w:val="es-AR"/>
        </w:rPr>
        <w:t xml:space="preserve"> </w:t>
      </w:r>
      <w:r w:rsidR="006B3D41" w:rsidRPr="00131BD8">
        <w:rPr>
          <w:sz w:val="20"/>
          <w:szCs w:val="20"/>
          <w:lang w:val="es-AR"/>
        </w:rPr>
        <w:t xml:space="preserve">nació el 11 de abril de 2002 en </w:t>
      </w:r>
      <w:r w:rsidR="005909E6" w:rsidRPr="00131BD8">
        <w:rPr>
          <w:sz w:val="20"/>
          <w:szCs w:val="20"/>
          <w:lang w:val="es-AR"/>
        </w:rPr>
        <w:t xml:space="preserve">la ciudad de Apure, Venezuela, </w:t>
      </w:r>
      <w:r w:rsidR="00995154" w:rsidRPr="00131BD8">
        <w:rPr>
          <w:sz w:val="20"/>
          <w:szCs w:val="20"/>
          <w:lang w:val="es-AR"/>
        </w:rPr>
        <w:t>de padres colombianos</w:t>
      </w:r>
      <w:r w:rsidR="00F04DB7" w:rsidRPr="00131BD8">
        <w:rPr>
          <w:sz w:val="20"/>
          <w:szCs w:val="20"/>
          <w:lang w:val="es-AR"/>
        </w:rPr>
        <w:t xml:space="preserve">, y tenía </w:t>
      </w:r>
      <w:r w:rsidR="00E67E16" w:rsidRPr="00131BD8">
        <w:rPr>
          <w:sz w:val="20"/>
          <w:szCs w:val="20"/>
          <w:lang w:val="es-AR"/>
        </w:rPr>
        <w:t xml:space="preserve">13 </w:t>
      </w:r>
      <w:r w:rsidR="00F04DB7" w:rsidRPr="00131BD8">
        <w:rPr>
          <w:sz w:val="20"/>
          <w:szCs w:val="20"/>
          <w:lang w:val="es-AR"/>
        </w:rPr>
        <w:t>años al momento de los hechos</w:t>
      </w:r>
      <w:r w:rsidR="00995154" w:rsidRPr="00131BD8">
        <w:rPr>
          <w:sz w:val="20"/>
          <w:szCs w:val="20"/>
          <w:lang w:val="es-AR"/>
        </w:rPr>
        <w:t xml:space="preserve">. </w:t>
      </w:r>
      <w:r w:rsidR="007C16BB" w:rsidRPr="00131BD8">
        <w:rPr>
          <w:sz w:val="20"/>
          <w:szCs w:val="20"/>
          <w:lang w:val="es-AR"/>
        </w:rPr>
        <w:t>A principios de</w:t>
      </w:r>
      <w:r w:rsidR="002D2D15" w:rsidRPr="00131BD8">
        <w:rPr>
          <w:sz w:val="20"/>
          <w:szCs w:val="20"/>
          <w:lang w:val="es-AR"/>
        </w:rPr>
        <w:t xml:space="preserve"> 2016, </w:t>
      </w:r>
      <w:r w:rsidR="000F0043" w:rsidRPr="00131BD8">
        <w:rPr>
          <w:sz w:val="20"/>
          <w:szCs w:val="20"/>
          <w:lang w:val="es-AR"/>
        </w:rPr>
        <w:t>su</w:t>
      </w:r>
      <w:r w:rsidR="007C57F0" w:rsidRPr="00131BD8">
        <w:rPr>
          <w:sz w:val="20"/>
          <w:szCs w:val="20"/>
          <w:lang w:val="es-AR"/>
        </w:rPr>
        <w:t xml:space="preserve"> padre </w:t>
      </w:r>
      <w:r w:rsidR="005F5B27" w:rsidRPr="00131BD8">
        <w:rPr>
          <w:sz w:val="20"/>
          <w:szCs w:val="20"/>
          <w:lang w:val="es-AR"/>
        </w:rPr>
        <w:t xml:space="preserve">se la llevó </w:t>
      </w:r>
      <w:r w:rsidR="007C57F0" w:rsidRPr="00131BD8">
        <w:rPr>
          <w:sz w:val="20"/>
          <w:szCs w:val="20"/>
          <w:lang w:val="es-AR"/>
        </w:rPr>
        <w:t>a Colombia donde</w:t>
      </w:r>
      <w:r w:rsidR="005F5B27" w:rsidRPr="00131BD8">
        <w:rPr>
          <w:sz w:val="20"/>
          <w:szCs w:val="20"/>
          <w:lang w:val="es-AR"/>
        </w:rPr>
        <w:t>, según la petición,</w:t>
      </w:r>
      <w:r w:rsidR="007C57F0" w:rsidRPr="00131BD8">
        <w:rPr>
          <w:sz w:val="20"/>
          <w:szCs w:val="20"/>
          <w:lang w:val="es-AR"/>
        </w:rPr>
        <w:t xml:space="preserve"> “</w:t>
      </w:r>
      <w:r w:rsidR="005F5B27" w:rsidRPr="00131BD8">
        <w:rPr>
          <w:sz w:val="20"/>
          <w:szCs w:val="20"/>
          <w:lang w:val="es-AR"/>
        </w:rPr>
        <w:t xml:space="preserve">la </w:t>
      </w:r>
      <w:r w:rsidR="007C57F0" w:rsidRPr="00131BD8">
        <w:rPr>
          <w:sz w:val="20"/>
          <w:szCs w:val="20"/>
          <w:lang w:val="es-AR"/>
        </w:rPr>
        <w:t xml:space="preserve">vendía en cantinas” con fines de explotación sexual. </w:t>
      </w:r>
      <w:r w:rsidR="00C874A8" w:rsidRPr="00131BD8">
        <w:rPr>
          <w:sz w:val="20"/>
          <w:szCs w:val="20"/>
          <w:lang w:val="es-AR"/>
        </w:rPr>
        <w:t xml:space="preserve">Como consecuencia de los repetidos actos de violencia sexual a los que fue sometida, la parte peticionaria informa que </w:t>
      </w:r>
      <w:r w:rsidR="00D20426" w:rsidRPr="00131BD8">
        <w:rPr>
          <w:i/>
          <w:iCs/>
          <w:sz w:val="20"/>
          <w:szCs w:val="20"/>
          <w:lang w:val="es-AR"/>
        </w:rPr>
        <w:t>Remedios</w:t>
      </w:r>
      <w:r w:rsidR="00B62D79" w:rsidRPr="00131BD8">
        <w:rPr>
          <w:sz w:val="20"/>
          <w:szCs w:val="20"/>
          <w:lang w:val="es-AR"/>
        </w:rPr>
        <w:t xml:space="preserve"> </w:t>
      </w:r>
      <w:r w:rsidR="00C874A8" w:rsidRPr="00131BD8">
        <w:rPr>
          <w:sz w:val="20"/>
          <w:szCs w:val="20"/>
          <w:lang w:val="es-AR"/>
        </w:rPr>
        <w:t>quedó e</w:t>
      </w:r>
      <w:r w:rsidR="00C4780A" w:rsidRPr="00131BD8">
        <w:rPr>
          <w:sz w:val="20"/>
          <w:szCs w:val="20"/>
          <w:lang w:val="es-AR"/>
        </w:rPr>
        <w:t>mbaraz</w:t>
      </w:r>
      <w:r w:rsidR="00E65752" w:rsidRPr="00131BD8">
        <w:rPr>
          <w:sz w:val="20"/>
          <w:szCs w:val="20"/>
          <w:lang w:val="es-AR"/>
        </w:rPr>
        <w:t>ada</w:t>
      </w:r>
      <w:r w:rsidR="00C4780A" w:rsidRPr="00131BD8">
        <w:rPr>
          <w:sz w:val="20"/>
          <w:szCs w:val="20"/>
          <w:lang w:val="es-AR"/>
        </w:rPr>
        <w:t xml:space="preserve">. </w:t>
      </w:r>
      <w:r w:rsidR="00D526E0" w:rsidRPr="00131BD8">
        <w:rPr>
          <w:sz w:val="20"/>
          <w:szCs w:val="20"/>
          <w:lang w:val="es-AR"/>
        </w:rPr>
        <w:t>El 1° de marzo de 2016 fue encontrada por las autoridades en la ciudad de Arauca, y entró en custodia del Instituto Colombiano de Bienestar Familiar (en adelante “ICBF”)</w:t>
      </w:r>
      <w:r w:rsidR="00493DFC" w:rsidRPr="00131BD8">
        <w:rPr>
          <w:sz w:val="20"/>
          <w:szCs w:val="20"/>
          <w:lang w:val="es-AR"/>
        </w:rPr>
        <w:t>.</w:t>
      </w:r>
      <w:r w:rsidR="004F78F2" w:rsidRPr="00131BD8">
        <w:rPr>
          <w:sz w:val="20"/>
          <w:szCs w:val="20"/>
          <w:lang w:val="es-AR"/>
        </w:rPr>
        <w:t xml:space="preserve"> </w:t>
      </w:r>
      <w:r w:rsidR="00493DFC" w:rsidRPr="00131BD8">
        <w:rPr>
          <w:sz w:val="20"/>
          <w:szCs w:val="20"/>
          <w:lang w:val="es-AR"/>
        </w:rPr>
        <w:t>C</w:t>
      </w:r>
      <w:r w:rsidR="002C5428" w:rsidRPr="00131BD8">
        <w:rPr>
          <w:sz w:val="20"/>
          <w:szCs w:val="20"/>
          <w:lang w:val="es-AR"/>
        </w:rPr>
        <w:t xml:space="preserve">omo medida de protección </w:t>
      </w:r>
      <w:r w:rsidR="00493DFC" w:rsidRPr="00131BD8">
        <w:rPr>
          <w:sz w:val="20"/>
          <w:szCs w:val="20"/>
          <w:lang w:val="es-AR"/>
        </w:rPr>
        <w:t>esta</w:t>
      </w:r>
      <w:r w:rsidR="004F78F2" w:rsidRPr="00131BD8">
        <w:rPr>
          <w:sz w:val="20"/>
          <w:szCs w:val="20"/>
          <w:lang w:val="es-AR"/>
        </w:rPr>
        <w:t xml:space="preserve"> entidad </w:t>
      </w:r>
      <w:r w:rsidR="007D2B82" w:rsidRPr="00131BD8">
        <w:rPr>
          <w:sz w:val="20"/>
          <w:szCs w:val="20"/>
          <w:lang w:val="es-AR"/>
        </w:rPr>
        <w:t>ordenó ubicar</w:t>
      </w:r>
      <w:r w:rsidR="004F78F2" w:rsidRPr="00131BD8">
        <w:rPr>
          <w:sz w:val="20"/>
          <w:szCs w:val="20"/>
          <w:lang w:val="es-AR"/>
        </w:rPr>
        <w:t>l</w:t>
      </w:r>
      <w:r w:rsidR="007D2B82" w:rsidRPr="00131BD8">
        <w:rPr>
          <w:sz w:val="20"/>
          <w:szCs w:val="20"/>
          <w:lang w:val="es-AR"/>
        </w:rPr>
        <w:t>a en un hogar sustituto.</w:t>
      </w:r>
    </w:p>
    <w:p w14:paraId="2363B780" w14:textId="379202E6" w:rsidR="00A80E61" w:rsidRPr="00131BD8" w:rsidRDefault="00611A9D" w:rsidP="000B16A6">
      <w:pPr>
        <w:pStyle w:val="ListParagraph"/>
        <w:numPr>
          <w:ilvl w:val="0"/>
          <w:numId w:val="61"/>
        </w:numPr>
        <w:ind w:left="0" w:firstLine="720"/>
        <w:jc w:val="both"/>
        <w:rPr>
          <w:sz w:val="20"/>
          <w:szCs w:val="20"/>
          <w:lang w:val="es-CO"/>
        </w:rPr>
      </w:pPr>
      <w:r w:rsidRPr="00131BD8">
        <w:rPr>
          <w:sz w:val="20"/>
          <w:szCs w:val="20"/>
          <w:lang w:val="es-CO"/>
        </w:rPr>
        <w:t xml:space="preserve">La parte peticionaria narra que el 31 de marzo de 2016 la Defensoría del Pueblo Regional Arauca </w:t>
      </w:r>
      <w:r w:rsidR="00A04A32" w:rsidRPr="00131BD8">
        <w:rPr>
          <w:sz w:val="20"/>
          <w:szCs w:val="20"/>
          <w:lang w:val="es-CO"/>
        </w:rPr>
        <w:t xml:space="preserve">fue informada del caso de </w:t>
      </w:r>
      <w:r w:rsidR="00753ECA" w:rsidRPr="00131BD8">
        <w:rPr>
          <w:i/>
          <w:iCs/>
          <w:sz w:val="20"/>
          <w:szCs w:val="20"/>
          <w:lang w:val="es-CO"/>
        </w:rPr>
        <w:t>Remedios</w:t>
      </w:r>
      <w:r w:rsidR="00791EC4" w:rsidRPr="00131BD8">
        <w:rPr>
          <w:sz w:val="20"/>
          <w:szCs w:val="20"/>
          <w:lang w:val="es-CO"/>
        </w:rPr>
        <w:t xml:space="preserve">; sin embargo, omitió informarle del derecho que le asistía a </w:t>
      </w:r>
      <w:r w:rsidR="00D87075" w:rsidRPr="00131BD8">
        <w:rPr>
          <w:sz w:val="20"/>
          <w:szCs w:val="20"/>
          <w:lang w:val="es-CO"/>
        </w:rPr>
        <w:t>la Interrupción Voluntaria del Embarazo</w:t>
      </w:r>
      <w:r w:rsidR="004D4C6C" w:rsidRPr="00131BD8">
        <w:rPr>
          <w:sz w:val="20"/>
          <w:szCs w:val="20"/>
          <w:lang w:val="es-CO"/>
        </w:rPr>
        <w:t xml:space="preserve"> (“IVE”)</w:t>
      </w:r>
      <w:r w:rsidR="00D504E3" w:rsidRPr="00131BD8">
        <w:rPr>
          <w:rStyle w:val="FootnoteReference"/>
          <w:sz w:val="20"/>
          <w:szCs w:val="20"/>
          <w:lang w:val="es-CO"/>
        </w:rPr>
        <w:footnoteReference w:id="8"/>
      </w:r>
      <w:r w:rsidR="00D123D7" w:rsidRPr="00131BD8">
        <w:rPr>
          <w:sz w:val="20"/>
          <w:szCs w:val="20"/>
          <w:lang w:val="es-CO"/>
        </w:rPr>
        <w:t xml:space="preserve">, </w:t>
      </w:r>
      <w:r w:rsidR="00661D2A" w:rsidRPr="00131BD8">
        <w:rPr>
          <w:sz w:val="20"/>
          <w:szCs w:val="20"/>
          <w:lang w:val="es-CO"/>
        </w:rPr>
        <w:t xml:space="preserve">y </w:t>
      </w:r>
      <w:r w:rsidR="00E84421" w:rsidRPr="00131BD8">
        <w:rPr>
          <w:sz w:val="20"/>
          <w:szCs w:val="20"/>
          <w:lang w:val="es-CO"/>
        </w:rPr>
        <w:t xml:space="preserve">brindarle una </w:t>
      </w:r>
      <w:r w:rsidR="00D123D7" w:rsidRPr="00131BD8">
        <w:rPr>
          <w:sz w:val="20"/>
          <w:szCs w:val="20"/>
          <w:lang w:val="es-CO"/>
        </w:rPr>
        <w:t>asesoría adecuada que le permitiera tomar una decisión libre al respecto</w:t>
      </w:r>
      <w:r w:rsidR="00514B87" w:rsidRPr="00131BD8">
        <w:rPr>
          <w:sz w:val="20"/>
          <w:szCs w:val="20"/>
          <w:lang w:val="es-CO"/>
        </w:rPr>
        <w:t xml:space="preserve">, por lo cual </w:t>
      </w:r>
      <w:r w:rsidR="00096AC0" w:rsidRPr="00131BD8">
        <w:rPr>
          <w:sz w:val="20"/>
          <w:szCs w:val="20"/>
          <w:lang w:val="es-CO"/>
        </w:rPr>
        <w:t>la adolescente desisti</w:t>
      </w:r>
      <w:r w:rsidR="00765F5E" w:rsidRPr="00131BD8">
        <w:rPr>
          <w:sz w:val="20"/>
          <w:szCs w:val="20"/>
          <w:lang w:val="es-CO"/>
        </w:rPr>
        <w:t>ó</w:t>
      </w:r>
      <w:r w:rsidR="00096AC0" w:rsidRPr="00131BD8">
        <w:rPr>
          <w:sz w:val="20"/>
          <w:szCs w:val="20"/>
          <w:lang w:val="es-CO"/>
        </w:rPr>
        <w:t xml:space="preserve"> de practicarse </w:t>
      </w:r>
      <w:r w:rsidR="00765F5E" w:rsidRPr="00131BD8">
        <w:rPr>
          <w:sz w:val="20"/>
          <w:szCs w:val="20"/>
          <w:lang w:val="es-CO"/>
        </w:rPr>
        <w:t>dich</w:t>
      </w:r>
      <w:r w:rsidR="00096AC0" w:rsidRPr="00131BD8">
        <w:rPr>
          <w:sz w:val="20"/>
          <w:szCs w:val="20"/>
          <w:lang w:val="es-CO"/>
        </w:rPr>
        <w:t>a intervención</w:t>
      </w:r>
      <w:r w:rsidR="00D123D7" w:rsidRPr="00131BD8">
        <w:rPr>
          <w:sz w:val="20"/>
          <w:szCs w:val="20"/>
          <w:lang w:val="es-CO"/>
        </w:rPr>
        <w:t>.</w:t>
      </w:r>
      <w:r w:rsidR="009C0D41" w:rsidRPr="00131BD8">
        <w:rPr>
          <w:sz w:val="20"/>
          <w:szCs w:val="20"/>
          <w:lang w:val="es-CO"/>
        </w:rPr>
        <w:t xml:space="preserve"> </w:t>
      </w:r>
      <w:r w:rsidR="00816DB3" w:rsidRPr="00131BD8">
        <w:rPr>
          <w:sz w:val="20"/>
          <w:szCs w:val="20"/>
          <w:lang w:val="es-CO"/>
        </w:rPr>
        <w:t xml:space="preserve">También indica que la Defensoría del Pueblo </w:t>
      </w:r>
      <w:r w:rsidR="00514B87" w:rsidRPr="00131BD8">
        <w:rPr>
          <w:sz w:val="20"/>
          <w:szCs w:val="20"/>
          <w:lang w:val="es-CO"/>
        </w:rPr>
        <w:t xml:space="preserve">se contactó en repetidas ocasiones con el ICBF </w:t>
      </w:r>
      <w:r w:rsidR="00F67CD3" w:rsidRPr="00131BD8">
        <w:rPr>
          <w:sz w:val="20"/>
          <w:szCs w:val="20"/>
          <w:lang w:val="es-CO"/>
        </w:rPr>
        <w:t xml:space="preserve">para obtener más información sobre la situación de </w:t>
      </w:r>
      <w:r w:rsidR="00753ECA" w:rsidRPr="00131BD8">
        <w:rPr>
          <w:i/>
          <w:iCs/>
          <w:sz w:val="20"/>
          <w:szCs w:val="20"/>
          <w:lang w:val="es-CO"/>
        </w:rPr>
        <w:t>Remedios</w:t>
      </w:r>
      <w:r w:rsidR="00C205BE" w:rsidRPr="00131BD8">
        <w:rPr>
          <w:sz w:val="20"/>
          <w:szCs w:val="20"/>
          <w:lang w:val="es-CO"/>
        </w:rPr>
        <w:t>; pero</w:t>
      </w:r>
      <w:r w:rsidR="00F67CD3" w:rsidRPr="00131BD8">
        <w:rPr>
          <w:sz w:val="20"/>
          <w:szCs w:val="20"/>
          <w:lang w:val="es-CO"/>
        </w:rPr>
        <w:t xml:space="preserve"> en una respuesta </w:t>
      </w:r>
      <w:r w:rsidR="007B2815" w:rsidRPr="00131BD8">
        <w:rPr>
          <w:sz w:val="20"/>
          <w:szCs w:val="20"/>
          <w:lang w:val="es-CO"/>
        </w:rPr>
        <w:t>esta</w:t>
      </w:r>
      <w:r w:rsidR="00F67CD3" w:rsidRPr="00131BD8">
        <w:rPr>
          <w:sz w:val="20"/>
          <w:szCs w:val="20"/>
          <w:lang w:val="es-CO"/>
        </w:rPr>
        <w:t xml:space="preserve"> entidad le </w:t>
      </w:r>
      <w:r w:rsidR="00604788" w:rsidRPr="00131BD8">
        <w:rPr>
          <w:sz w:val="20"/>
          <w:szCs w:val="20"/>
          <w:lang w:val="es-CO"/>
        </w:rPr>
        <w:t xml:space="preserve">respondió </w:t>
      </w:r>
      <w:r w:rsidR="00F67CD3" w:rsidRPr="00131BD8">
        <w:rPr>
          <w:sz w:val="20"/>
          <w:szCs w:val="20"/>
          <w:lang w:val="es-CO"/>
        </w:rPr>
        <w:t>que por tratarse de una adolescente de nacionalidad venezolana</w:t>
      </w:r>
      <w:r w:rsidR="0095662A" w:rsidRPr="00131BD8">
        <w:rPr>
          <w:sz w:val="20"/>
          <w:szCs w:val="20"/>
          <w:lang w:val="es-CO"/>
        </w:rPr>
        <w:t xml:space="preserve"> sería trasladada a una institución de protección de</w:t>
      </w:r>
      <w:r w:rsidR="007B2815" w:rsidRPr="00131BD8">
        <w:rPr>
          <w:sz w:val="20"/>
          <w:szCs w:val="20"/>
          <w:lang w:val="es-CO"/>
        </w:rPr>
        <w:t xml:space="preserve"> ese</w:t>
      </w:r>
      <w:r w:rsidR="0095662A" w:rsidRPr="00131BD8">
        <w:rPr>
          <w:sz w:val="20"/>
          <w:szCs w:val="20"/>
          <w:lang w:val="es-CO"/>
        </w:rPr>
        <w:t xml:space="preserve"> país.</w:t>
      </w:r>
    </w:p>
    <w:p w14:paraId="257C2899" w14:textId="2B8932CC" w:rsidR="00780325" w:rsidRPr="00131BD8" w:rsidRDefault="002826F6" w:rsidP="00FE2E9A">
      <w:pPr>
        <w:pStyle w:val="ListParagraph"/>
        <w:numPr>
          <w:ilvl w:val="0"/>
          <w:numId w:val="61"/>
        </w:numPr>
        <w:ind w:left="0" w:firstLine="720"/>
        <w:jc w:val="both"/>
        <w:rPr>
          <w:sz w:val="20"/>
          <w:szCs w:val="20"/>
          <w:lang w:val="es-CO"/>
        </w:rPr>
      </w:pPr>
      <w:r w:rsidRPr="00131BD8">
        <w:rPr>
          <w:sz w:val="20"/>
          <w:szCs w:val="20"/>
          <w:lang w:val="es-CO"/>
        </w:rPr>
        <w:t>L</w:t>
      </w:r>
      <w:r w:rsidR="00E8259A" w:rsidRPr="00131BD8">
        <w:rPr>
          <w:sz w:val="20"/>
          <w:szCs w:val="20"/>
          <w:lang w:val="es-CO"/>
        </w:rPr>
        <w:t xml:space="preserve">a parte peticionaria señala que </w:t>
      </w:r>
      <w:r w:rsidR="005D116C" w:rsidRPr="00131BD8">
        <w:rPr>
          <w:sz w:val="20"/>
          <w:szCs w:val="20"/>
          <w:lang w:val="es-CO"/>
        </w:rPr>
        <w:t xml:space="preserve">la Defensoría </w:t>
      </w:r>
      <w:r w:rsidR="007B2815" w:rsidRPr="00131BD8">
        <w:rPr>
          <w:sz w:val="20"/>
          <w:szCs w:val="20"/>
          <w:lang w:val="es-CO"/>
        </w:rPr>
        <w:t xml:space="preserve">del Pueblo </w:t>
      </w:r>
      <w:r w:rsidR="007851FE" w:rsidRPr="00131BD8">
        <w:rPr>
          <w:sz w:val="20"/>
          <w:szCs w:val="20"/>
          <w:lang w:val="es-CO"/>
        </w:rPr>
        <w:t xml:space="preserve">efectuó varias </w:t>
      </w:r>
      <w:r w:rsidR="005D116C" w:rsidRPr="00131BD8">
        <w:rPr>
          <w:sz w:val="20"/>
          <w:szCs w:val="20"/>
          <w:lang w:val="es-CO"/>
        </w:rPr>
        <w:t>reuniones con el ICBF</w:t>
      </w:r>
      <w:r w:rsidR="0013148F" w:rsidRPr="00131BD8">
        <w:rPr>
          <w:sz w:val="20"/>
          <w:szCs w:val="20"/>
          <w:lang w:val="es-CO"/>
        </w:rPr>
        <w:t xml:space="preserve"> para </w:t>
      </w:r>
      <w:r w:rsidR="007851FE" w:rsidRPr="00131BD8">
        <w:rPr>
          <w:sz w:val="20"/>
          <w:szCs w:val="20"/>
          <w:lang w:val="es-CO"/>
        </w:rPr>
        <w:t xml:space="preserve">articular acciones relacionadas con la IVE de </w:t>
      </w:r>
      <w:r w:rsidR="00753ECA" w:rsidRPr="00131BD8">
        <w:rPr>
          <w:i/>
          <w:iCs/>
          <w:sz w:val="20"/>
          <w:szCs w:val="20"/>
          <w:lang w:val="es-CO"/>
        </w:rPr>
        <w:t>Remedios</w:t>
      </w:r>
      <w:r w:rsidR="007851FE" w:rsidRPr="00131BD8">
        <w:rPr>
          <w:sz w:val="20"/>
          <w:szCs w:val="20"/>
          <w:lang w:val="es-CO"/>
        </w:rPr>
        <w:t>, quien en un principio manifestó que no quería practicársela, pero</w:t>
      </w:r>
      <w:r w:rsidR="00541622" w:rsidRPr="00131BD8">
        <w:rPr>
          <w:sz w:val="20"/>
          <w:szCs w:val="20"/>
          <w:lang w:val="es-CO"/>
        </w:rPr>
        <w:t xml:space="preserve"> que</w:t>
      </w:r>
      <w:r w:rsidR="001C73F3" w:rsidRPr="00131BD8">
        <w:rPr>
          <w:sz w:val="20"/>
          <w:szCs w:val="20"/>
          <w:lang w:val="es-CO"/>
        </w:rPr>
        <w:t xml:space="preserve"> posteriormente expresó su intención de acceder al procedimiento cuando tenía 12 semanas de gestación. </w:t>
      </w:r>
      <w:r w:rsidR="00FC2658" w:rsidRPr="00131BD8">
        <w:rPr>
          <w:sz w:val="20"/>
          <w:szCs w:val="20"/>
          <w:lang w:val="es-CO"/>
        </w:rPr>
        <w:t xml:space="preserve">El ICBF </w:t>
      </w:r>
      <w:r w:rsidR="00C67194" w:rsidRPr="00131BD8">
        <w:rPr>
          <w:sz w:val="20"/>
          <w:szCs w:val="20"/>
          <w:lang w:val="es-CO"/>
        </w:rPr>
        <w:t xml:space="preserve">se negó a permitir la entrevista de la adolescente con funcionarios de la Defensoría </w:t>
      </w:r>
      <w:r w:rsidR="00541622" w:rsidRPr="00131BD8">
        <w:rPr>
          <w:sz w:val="20"/>
          <w:szCs w:val="20"/>
          <w:lang w:val="es-CO"/>
        </w:rPr>
        <w:t>del Pueblo</w:t>
      </w:r>
      <w:r w:rsidR="00787CEF" w:rsidRPr="00131BD8">
        <w:rPr>
          <w:sz w:val="20"/>
          <w:szCs w:val="20"/>
          <w:lang w:val="es-CO"/>
        </w:rPr>
        <w:t>,</w:t>
      </w:r>
      <w:r w:rsidR="00541622" w:rsidRPr="00131BD8">
        <w:rPr>
          <w:sz w:val="20"/>
          <w:szCs w:val="20"/>
          <w:lang w:val="es-CO"/>
        </w:rPr>
        <w:t xml:space="preserve"> </w:t>
      </w:r>
      <w:r w:rsidR="00C67194" w:rsidRPr="00131BD8">
        <w:rPr>
          <w:sz w:val="20"/>
          <w:szCs w:val="20"/>
          <w:lang w:val="es-CO"/>
        </w:rPr>
        <w:t>y aseguró que ella pretendía continuar con el embarazo</w:t>
      </w:r>
      <w:r w:rsidR="00815216" w:rsidRPr="00131BD8">
        <w:rPr>
          <w:sz w:val="20"/>
          <w:szCs w:val="20"/>
          <w:lang w:val="es-CO"/>
        </w:rPr>
        <w:t xml:space="preserve">. </w:t>
      </w:r>
      <w:r w:rsidR="00C86CB5" w:rsidRPr="00131BD8">
        <w:rPr>
          <w:sz w:val="20"/>
          <w:szCs w:val="20"/>
          <w:lang w:val="es-CO"/>
        </w:rPr>
        <w:t xml:space="preserve">Adicionalmente, dicha entidad comenzó las gestiones </w:t>
      </w:r>
      <w:r w:rsidR="00E01258" w:rsidRPr="00131BD8">
        <w:rPr>
          <w:sz w:val="20"/>
          <w:szCs w:val="20"/>
          <w:lang w:val="es-CO"/>
        </w:rPr>
        <w:t xml:space="preserve">para obtener la partida de bautismo de </w:t>
      </w:r>
      <w:r w:rsidR="00753ECA" w:rsidRPr="00131BD8">
        <w:rPr>
          <w:i/>
          <w:iCs/>
          <w:sz w:val="20"/>
          <w:szCs w:val="20"/>
          <w:lang w:val="es-CO"/>
        </w:rPr>
        <w:t>Remedios</w:t>
      </w:r>
      <w:r w:rsidR="00E01258" w:rsidRPr="00131BD8">
        <w:rPr>
          <w:sz w:val="20"/>
          <w:szCs w:val="20"/>
          <w:lang w:val="es-CO"/>
        </w:rPr>
        <w:t xml:space="preserve"> a fin de verificar su nacionalidad y obtuvo los datos de ubicación de su madre del Consejo de Protección de Niños, Niñas y Adolescentes de la República Bolivariana de Venezuela</w:t>
      </w:r>
      <w:r w:rsidR="0000575E" w:rsidRPr="00131BD8">
        <w:rPr>
          <w:sz w:val="20"/>
          <w:szCs w:val="20"/>
          <w:lang w:val="es-CO"/>
        </w:rPr>
        <w:t xml:space="preserve"> para iniciar los trámites de traslado de la adolescente</w:t>
      </w:r>
      <w:r w:rsidR="00F31A2B" w:rsidRPr="00131BD8">
        <w:rPr>
          <w:sz w:val="20"/>
          <w:szCs w:val="20"/>
          <w:lang w:val="es-CO"/>
        </w:rPr>
        <w:t>,</w:t>
      </w:r>
      <w:r w:rsidR="0000575E" w:rsidRPr="00131BD8">
        <w:rPr>
          <w:sz w:val="20"/>
          <w:szCs w:val="20"/>
          <w:lang w:val="es-CO"/>
        </w:rPr>
        <w:t xml:space="preserve"> para que su madre se encargara de ella.</w:t>
      </w:r>
      <w:r w:rsidR="00780325" w:rsidRPr="00131BD8">
        <w:rPr>
          <w:sz w:val="20"/>
          <w:szCs w:val="20"/>
          <w:lang w:val="es-CO"/>
        </w:rPr>
        <w:t xml:space="preserve"> </w:t>
      </w:r>
      <w:r w:rsidR="002456EB" w:rsidRPr="00131BD8">
        <w:rPr>
          <w:sz w:val="20"/>
          <w:szCs w:val="20"/>
          <w:lang w:val="es-CO"/>
        </w:rPr>
        <w:t>No obstante, el 13 de abril de 2016 la adolescente manifestó en un</w:t>
      </w:r>
      <w:r w:rsidR="00251B92" w:rsidRPr="00131BD8">
        <w:rPr>
          <w:sz w:val="20"/>
          <w:szCs w:val="20"/>
          <w:lang w:val="es-CO"/>
        </w:rPr>
        <w:t>a</w:t>
      </w:r>
      <w:r w:rsidR="002456EB" w:rsidRPr="00131BD8">
        <w:rPr>
          <w:sz w:val="20"/>
          <w:szCs w:val="20"/>
          <w:lang w:val="es-CO"/>
        </w:rPr>
        <w:t xml:space="preserve"> entrevista en el ICBF </w:t>
      </w:r>
      <w:r w:rsidR="002456EB" w:rsidRPr="00131BD8">
        <w:rPr>
          <w:sz w:val="20"/>
          <w:szCs w:val="20"/>
          <w:lang w:val="es-CO"/>
        </w:rPr>
        <w:lastRenderedPageBreak/>
        <w:t xml:space="preserve">su deseo </w:t>
      </w:r>
      <w:r w:rsidR="003340A4" w:rsidRPr="00131BD8">
        <w:rPr>
          <w:sz w:val="20"/>
          <w:szCs w:val="20"/>
          <w:lang w:val="es-CO"/>
        </w:rPr>
        <w:t xml:space="preserve">de no </w:t>
      </w:r>
      <w:r w:rsidR="00EA6536" w:rsidRPr="00131BD8">
        <w:rPr>
          <w:sz w:val="20"/>
          <w:szCs w:val="20"/>
          <w:lang w:val="es-CO"/>
        </w:rPr>
        <w:t xml:space="preserve">ser </w:t>
      </w:r>
      <w:r w:rsidR="00782DE3" w:rsidRPr="00131BD8">
        <w:rPr>
          <w:sz w:val="20"/>
          <w:szCs w:val="20"/>
          <w:lang w:val="es-CO"/>
        </w:rPr>
        <w:t>devuelta</w:t>
      </w:r>
      <w:r w:rsidR="00EA6536" w:rsidRPr="00131BD8">
        <w:rPr>
          <w:sz w:val="20"/>
          <w:szCs w:val="20"/>
          <w:lang w:val="es-CO"/>
        </w:rPr>
        <w:t xml:space="preserve"> a su </w:t>
      </w:r>
      <w:r w:rsidR="003340A4" w:rsidRPr="00131BD8">
        <w:rPr>
          <w:sz w:val="20"/>
          <w:szCs w:val="20"/>
          <w:lang w:val="es-CO"/>
        </w:rPr>
        <w:t xml:space="preserve">madre </w:t>
      </w:r>
      <w:r w:rsidR="00CF1A47" w:rsidRPr="00131BD8">
        <w:rPr>
          <w:sz w:val="20"/>
          <w:szCs w:val="20"/>
          <w:lang w:val="es-CO"/>
        </w:rPr>
        <w:t>en Venezuela</w:t>
      </w:r>
      <w:r w:rsidR="00836881" w:rsidRPr="00131BD8">
        <w:rPr>
          <w:sz w:val="20"/>
          <w:szCs w:val="20"/>
          <w:lang w:val="es-CO"/>
        </w:rPr>
        <w:t xml:space="preserve"> por</w:t>
      </w:r>
      <w:r w:rsidR="00251B92" w:rsidRPr="00131BD8">
        <w:rPr>
          <w:sz w:val="20"/>
          <w:szCs w:val="20"/>
          <w:lang w:val="es-CO"/>
        </w:rPr>
        <w:t xml:space="preserve"> temor a amenazas de su padre ante un eventual retorno a su casa.</w:t>
      </w:r>
    </w:p>
    <w:p w14:paraId="519EF65B" w14:textId="0DEFE346" w:rsidR="000C0AE5" w:rsidRPr="00131BD8" w:rsidRDefault="000C0AE5" w:rsidP="00250DBC">
      <w:pPr>
        <w:pStyle w:val="ListParagraph"/>
        <w:numPr>
          <w:ilvl w:val="0"/>
          <w:numId w:val="61"/>
        </w:numPr>
        <w:ind w:left="0" w:firstLine="720"/>
        <w:jc w:val="both"/>
        <w:rPr>
          <w:sz w:val="20"/>
          <w:szCs w:val="20"/>
          <w:lang w:val="es-CO"/>
        </w:rPr>
      </w:pPr>
      <w:r w:rsidRPr="00131BD8">
        <w:rPr>
          <w:color w:val="auto"/>
          <w:sz w:val="20"/>
          <w:szCs w:val="20"/>
          <w:lang w:val="es-CO"/>
        </w:rPr>
        <w:t xml:space="preserve">La </w:t>
      </w:r>
      <w:r w:rsidRPr="00131BD8">
        <w:rPr>
          <w:sz w:val="20"/>
          <w:szCs w:val="20"/>
          <w:lang w:val="es-CO"/>
        </w:rPr>
        <w:t xml:space="preserve">parte peticionaria cuenta que el 25 de abril de 2016 la Defensoría del Pueblo Regional Arauca interpuso una acción de tutela </w:t>
      </w:r>
      <w:r w:rsidR="00891F95" w:rsidRPr="00131BD8">
        <w:rPr>
          <w:sz w:val="20"/>
          <w:szCs w:val="20"/>
          <w:lang w:val="es-CO"/>
        </w:rPr>
        <w:t xml:space="preserve">a favor de </w:t>
      </w:r>
      <w:r w:rsidR="004779C4" w:rsidRPr="00131BD8">
        <w:rPr>
          <w:i/>
          <w:iCs/>
          <w:sz w:val="20"/>
          <w:szCs w:val="20"/>
          <w:lang w:val="es-CO"/>
        </w:rPr>
        <w:t>Remedios</w:t>
      </w:r>
      <w:r w:rsidR="00891F95" w:rsidRPr="00131BD8">
        <w:rPr>
          <w:sz w:val="20"/>
          <w:szCs w:val="20"/>
          <w:lang w:val="es-CO"/>
        </w:rPr>
        <w:t xml:space="preserve"> </w:t>
      </w:r>
      <w:r w:rsidRPr="00131BD8">
        <w:rPr>
          <w:sz w:val="20"/>
          <w:szCs w:val="20"/>
          <w:lang w:val="es-CO"/>
        </w:rPr>
        <w:t>contra la Registraduría Nacional del Estado Civil, la Secretaría Departamental de Arauca y el ICBF por la presunta vulneración de los derechos fundamentales de</w:t>
      </w:r>
      <w:r w:rsidR="00227203" w:rsidRPr="00131BD8">
        <w:rPr>
          <w:sz w:val="20"/>
          <w:szCs w:val="20"/>
          <w:lang w:val="es-CO"/>
        </w:rPr>
        <w:t xml:space="preserve"> </w:t>
      </w:r>
      <w:r w:rsidR="004779C4" w:rsidRPr="00131BD8">
        <w:rPr>
          <w:i/>
          <w:iCs/>
          <w:sz w:val="20"/>
          <w:szCs w:val="20"/>
          <w:lang w:val="es-CO"/>
        </w:rPr>
        <w:t>Remedios</w:t>
      </w:r>
      <w:r w:rsidR="00227203" w:rsidRPr="00131BD8">
        <w:rPr>
          <w:sz w:val="20"/>
          <w:szCs w:val="20"/>
          <w:lang w:val="es-CO"/>
        </w:rPr>
        <w:t xml:space="preserve"> </w:t>
      </w:r>
      <w:r w:rsidRPr="00131BD8">
        <w:rPr>
          <w:sz w:val="20"/>
          <w:szCs w:val="20"/>
          <w:lang w:val="es-CO"/>
        </w:rPr>
        <w:t>a la nacionalidad, a la vida, a la salud, a la dignidad, a la personalidad, a la autonomía reproductiva y a la IVE. En ella, solicitó que se le permitiera a su equipo realizar una entrevista con</w:t>
      </w:r>
      <w:r w:rsidR="00227203" w:rsidRPr="00131BD8">
        <w:rPr>
          <w:sz w:val="20"/>
          <w:szCs w:val="20"/>
          <w:lang w:val="es-CO"/>
        </w:rPr>
        <w:t xml:space="preserve"> ella </w:t>
      </w:r>
      <w:r w:rsidRPr="00131BD8">
        <w:rPr>
          <w:sz w:val="20"/>
          <w:szCs w:val="20"/>
          <w:lang w:val="es-CO"/>
        </w:rPr>
        <w:t>para informarle sobre su derecho a la IVE, que se le ordenara a la Registraduría expedir su documento de identificación colombiano</w:t>
      </w:r>
      <w:r w:rsidR="00B13D1F" w:rsidRPr="00131BD8">
        <w:rPr>
          <w:sz w:val="20"/>
          <w:szCs w:val="20"/>
          <w:lang w:val="es-CO"/>
        </w:rPr>
        <w:t xml:space="preserve"> dado que sus padres tenían nacionalidad colombiana</w:t>
      </w:r>
      <w:r w:rsidR="005249FC" w:rsidRPr="00131BD8">
        <w:rPr>
          <w:sz w:val="20"/>
          <w:szCs w:val="20"/>
          <w:lang w:val="es-CO"/>
        </w:rPr>
        <w:t>,</w:t>
      </w:r>
      <w:r w:rsidRPr="00131BD8">
        <w:rPr>
          <w:sz w:val="20"/>
          <w:szCs w:val="20"/>
          <w:lang w:val="es-CO"/>
        </w:rPr>
        <w:t xml:space="preserve"> y que se le garantizara el acceso a un aborto seguro y oportuno en caso de que ella decidiera acceder a </w:t>
      </w:r>
      <w:r w:rsidR="00866835" w:rsidRPr="00131BD8">
        <w:rPr>
          <w:sz w:val="20"/>
          <w:szCs w:val="20"/>
          <w:lang w:val="es-CO"/>
        </w:rPr>
        <w:t>l</w:t>
      </w:r>
      <w:r w:rsidRPr="00131BD8">
        <w:rPr>
          <w:sz w:val="20"/>
          <w:szCs w:val="20"/>
          <w:lang w:val="es-CO"/>
        </w:rPr>
        <w:t xml:space="preserve">a IVE. </w:t>
      </w:r>
    </w:p>
    <w:p w14:paraId="6AFF90E4" w14:textId="43F2ACAA" w:rsidR="000C0AE5" w:rsidRPr="00131BD8" w:rsidRDefault="001B6F76" w:rsidP="00FE2E9A">
      <w:pPr>
        <w:pStyle w:val="ListParagraph"/>
        <w:numPr>
          <w:ilvl w:val="0"/>
          <w:numId w:val="61"/>
        </w:numPr>
        <w:ind w:left="0" w:firstLine="720"/>
        <w:jc w:val="both"/>
        <w:rPr>
          <w:sz w:val="20"/>
          <w:szCs w:val="20"/>
          <w:lang w:val="es-CO"/>
        </w:rPr>
      </w:pPr>
      <w:r w:rsidRPr="00131BD8">
        <w:rPr>
          <w:sz w:val="20"/>
          <w:szCs w:val="20"/>
          <w:lang w:val="es-CO"/>
        </w:rPr>
        <w:t xml:space="preserve">Refiere que el 29 de abril de 2016 el Tribunal Superior del Distrito Judicial de Arauca emitió sentencia de </w:t>
      </w:r>
      <w:r w:rsidR="00E97C32" w:rsidRPr="00131BD8">
        <w:rPr>
          <w:sz w:val="20"/>
          <w:szCs w:val="20"/>
          <w:lang w:val="es-CO"/>
        </w:rPr>
        <w:t xml:space="preserve">primera instancia en el proceso, mediante la cual </w:t>
      </w:r>
      <w:r w:rsidR="00094D80" w:rsidRPr="00131BD8">
        <w:rPr>
          <w:sz w:val="20"/>
          <w:szCs w:val="20"/>
          <w:lang w:val="es-CO"/>
        </w:rPr>
        <w:t xml:space="preserve">amparó los derechos de </w:t>
      </w:r>
      <w:r w:rsidR="004779C4" w:rsidRPr="00131BD8">
        <w:rPr>
          <w:i/>
          <w:iCs/>
          <w:sz w:val="20"/>
          <w:szCs w:val="20"/>
          <w:lang w:val="es-CO"/>
        </w:rPr>
        <w:t>Remedios</w:t>
      </w:r>
      <w:r w:rsidR="00094D80" w:rsidRPr="00131BD8">
        <w:rPr>
          <w:sz w:val="20"/>
          <w:szCs w:val="20"/>
          <w:lang w:val="es-CO"/>
        </w:rPr>
        <w:t xml:space="preserve"> a la salud, a la dignidad, al libre desarrollo de la personalidad, a la nacionalidad y a la IVE</w:t>
      </w:r>
      <w:r w:rsidR="00C2174A" w:rsidRPr="00131BD8">
        <w:rPr>
          <w:sz w:val="20"/>
          <w:szCs w:val="20"/>
          <w:lang w:val="es-CO"/>
        </w:rPr>
        <w:t xml:space="preserve">, y ordenó al ICBF continuar con las gestiones necesarias para garantizar el restablecimiento de sus derechos, incluyendo darle acceso a una IVE si así lo solicitaba. </w:t>
      </w:r>
      <w:r w:rsidR="00952F49" w:rsidRPr="00131BD8">
        <w:rPr>
          <w:sz w:val="20"/>
          <w:szCs w:val="20"/>
          <w:lang w:val="es-CO"/>
        </w:rPr>
        <w:t xml:space="preserve">También </w:t>
      </w:r>
      <w:r w:rsidR="00B415CC" w:rsidRPr="00131BD8">
        <w:rPr>
          <w:sz w:val="20"/>
          <w:szCs w:val="20"/>
          <w:lang w:val="es-CO"/>
        </w:rPr>
        <w:t xml:space="preserve">le ordenó a dicha entidad adelantar el trámite correspondiente ante la Registraduría Nacional del Estado Civil de Colombia para obtener la nacionalidad </w:t>
      </w:r>
      <w:r w:rsidR="00F402C7" w:rsidRPr="00131BD8">
        <w:rPr>
          <w:sz w:val="20"/>
          <w:szCs w:val="20"/>
          <w:lang w:val="es-CO"/>
        </w:rPr>
        <w:t xml:space="preserve">y el documento de identidad </w:t>
      </w:r>
      <w:r w:rsidR="00B415CC" w:rsidRPr="00131BD8">
        <w:rPr>
          <w:sz w:val="20"/>
          <w:szCs w:val="20"/>
          <w:lang w:val="es-CO"/>
        </w:rPr>
        <w:t>colombian</w:t>
      </w:r>
      <w:r w:rsidR="00F402C7" w:rsidRPr="00131BD8">
        <w:rPr>
          <w:sz w:val="20"/>
          <w:szCs w:val="20"/>
          <w:lang w:val="es-CO"/>
        </w:rPr>
        <w:t>os</w:t>
      </w:r>
      <w:r w:rsidR="00B415CC" w:rsidRPr="00131BD8">
        <w:rPr>
          <w:sz w:val="20"/>
          <w:szCs w:val="20"/>
          <w:lang w:val="es-CO"/>
        </w:rPr>
        <w:t>.</w:t>
      </w:r>
    </w:p>
    <w:p w14:paraId="070887B7" w14:textId="74AEB548" w:rsidR="0000575E" w:rsidRPr="00131BD8" w:rsidRDefault="00D90494" w:rsidP="00FE2E9A">
      <w:pPr>
        <w:pStyle w:val="ListParagraph"/>
        <w:numPr>
          <w:ilvl w:val="0"/>
          <w:numId w:val="61"/>
        </w:numPr>
        <w:ind w:left="0" w:firstLine="720"/>
        <w:jc w:val="both"/>
        <w:rPr>
          <w:sz w:val="20"/>
          <w:szCs w:val="20"/>
          <w:lang w:val="es-CO"/>
        </w:rPr>
      </w:pPr>
      <w:r w:rsidRPr="00131BD8">
        <w:rPr>
          <w:sz w:val="20"/>
          <w:szCs w:val="20"/>
          <w:lang w:val="es-CO"/>
        </w:rPr>
        <w:t xml:space="preserve">La parte peticionaria </w:t>
      </w:r>
      <w:r w:rsidR="003F3898" w:rsidRPr="00131BD8">
        <w:rPr>
          <w:sz w:val="20"/>
          <w:szCs w:val="20"/>
          <w:lang w:val="es-CO"/>
        </w:rPr>
        <w:t xml:space="preserve">recuenta </w:t>
      </w:r>
      <w:r w:rsidR="00C64CBE" w:rsidRPr="00131BD8">
        <w:rPr>
          <w:sz w:val="20"/>
          <w:szCs w:val="20"/>
          <w:lang w:val="es-CO"/>
        </w:rPr>
        <w:t>que,</w:t>
      </w:r>
      <w:r w:rsidR="003F3898" w:rsidRPr="00131BD8">
        <w:rPr>
          <w:sz w:val="20"/>
          <w:szCs w:val="20"/>
          <w:lang w:val="es-CO"/>
        </w:rPr>
        <w:t xml:space="preserve"> pese a las órdenes de tutela</w:t>
      </w:r>
      <w:r w:rsidR="00826B7D" w:rsidRPr="00131BD8">
        <w:rPr>
          <w:sz w:val="20"/>
          <w:szCs w:val="20"/>
          <w:lang w:val="es-CO"/>
        </w:rPr>
        <w:t xml:space="preserve"> y los deseos expresados de la adolescente de no querer retornar con su madre</w:t>
      </w:r>
      <w:r w:rsidR="003F3898" w:rsidRPr="00131BD8">
        <w:rPr>
          <w:sz w:val="20"/>
          <w:szCs w:val="20"/>
          <w:lang w:val="es-CO"/>
        </w:rPr>
        <w:t>, e</w:t>
      </w:r>
      <w:r w:rsidR="00251B92" w:rsidRPr="00131BD8">
        <w:rPr>
          <w:sz w:val="20"/>
          <w:szCs w:val="20"/>
          <w:lang w:val="es-CO"/>
        </w:rPr>
        <w:t xml:space="preserve">l 23 de mayo de 2016 el ICBF ordenó </w:t>
      </w:r>
      <w:r w:rsidR="00826B7D" w:rsidRPr="00131BD8">
        <w:rPr>
          <w:sz w:val="20"/>
          <w:szCs w:val="20"/>
          <w:lang w:val="es-CO"/>
        </w:rPr>
        <w:t xml:space="preserve">su </w:t>
      </w:r>
      <w:r w:rsidR="00251B92" w:rsidRPr="00131BD8">
        <w:rPr>
          <w:sz w:val="20"/>
          <w:szCs w:val="20"/>
          <w:lang w:val="es-CO"/>
        </w:rPr>
        <w:t xml:space="preserve">traslado al Consejo de Protección de </w:t>
      </w:r>
      <w:r w:rsidR="00BA51E7" w:rsidRPr="00131BD8">
        <w:rPr>
          <w:sz w:val="20"/>
          <w:szCs w:val="20"/>
          <w:lang w:val="es-CO"/>
        </w:rPr>
        <w:t>Niños, Niñas y Adolescentes de Venezuela</w:t>
      </w:r>
      <w:r w:rsidR="00826B7D" w:rsidRPr="00131BD8">
        <w:rPr>
          <w:sz w:val="20"/>
          <w:szCs w:val="20"/>
          <w:lang w:val="es-CO"/>
        </w:rPr>
        <w:t xml:space="preserve">, aduciendo que </w:t>
      </w:r>
      <w:r w:rsidR="00597C5A" w:rsidRPr="00131BD8">
        <w:rPr>
          <w:sz w:val="20"/>
          <w:szCs w:val="20"/>
          <w:lang w:val="es-CO"/>
        </w:rPr>
        <w:t>ésa era la medida de restablecimiento del derecho que procedía para el caso</w:t>
      </w:r>
      <w:r w:rsidR="00BA51E7" w:rsidRPr="00131BD8">
        <w:rPr>
          <w:sz w:val="20"/>
          <w:szCs w:val="20"/>
          <w:lang w:val="es-CO"/>
        </w:rPr>
        <w:t>.</w:t>
      </w:r>
      <w:r w:rsidR="00821E10" w:rsidRPr="00131BD8">
        <w:rPr>
          <w:sz w:val="20"/>
          <w:szCs w:val="20"/>
          <w:lang w:val="es-CO"/>
        </w:rPr>
        <w:t xml:space="preserve"> </w:t>
      </w:r>
      <w:r w:rsidR="00E9151E" w:rsidRPr="00131BD8">
        <w:rPr>
          <w:sz w:val="20"/>
          <w:szCs w:val="20"/>
          <w:lang w:val="es-CO"/>
        </w:rPr>
        <w:t xml:space="preserve">El 30 de agosto de 2016 la Corte Constitucional escogió </w:t>
      </w:r>
      <w:r w:rsidR="002D22A6" w:rsidRPr="00131BD8">
        <w:rPr>
          <w:sz w:val="20"/>
          <w:szCs w:val="20"/>
          <w:lang w:val="es-CO"/>
        </w:rPr>
        <w:t xml:space="preserve">el expediente de tutela de </w:t>
      </w:r>
      <w:r w:rsidR="006453F8" w:rsidRPr="00131BD8">
        <w:rPr>
          <w:i/>
          <w:iCs/>
          <w:sz w:val="20"/>
          <w:szCs w:val="20"/>
          <w:lang w:val="es-CO"/>
        </w:rPr>
        <w:t>Remedios</w:t>
      </w:r>
      <w:r w:rsidR="002D22A6" w:rsidRPr="00131BD8">
        <w:rPr>
          <w:sz w:val="20"/>
          <w:szCs w:val="20"/>
          <w:lang w:val="es-CO"/>
        </w:rPr>
        <w:t xml:space="preserve"> para revisión.</w:t>
      </w:r>
      <w:r w:rsidR="00814123" w:rsidRPr="00131BD8">
        <w:rPr>
          <w:sz w:val="20"/>
          <w:szCs w:val="20"/>
          <w:lang w:val="es-CO"/>
        </w:rPr>
        <w:t xml:space="preserve"> En su respuesta a la Corte Constitucional, el ICBF </w:t>
      </w:r>
      <w:r w:rsidR="002139E2" w:rsidRPr="00131BD8">
        <w:rPr>
          <w:sz w:val="20"/>
          <w:szCs w:val="20"/>
          <w:lang w:val="es-CO"/>
        </w:rPr>
        <w:t>informó,</w:t>
      </w:r>
      <w:r w:rsidR="00814123" w:rsidRPr="00131BD8">
        <w:rPr>
          <w:sz w:val="20"/>
          <w:szCs w:val="20"/>
          <w:lang w:val="es-CO"/>
        </w:rPr>
        <w:t xml:space="preserve"> además, que el padre de </w:t>
      </w:r>
      <w:r w:rsidR="006453F8" w:rsidRPr="00131BD8">
        <w:rPr>
          <w:i/>
          <w:iCs/>
          <w:sz w:val="20"/>
          <w:szCs w:val="20"/>
          <w:lang w:val="es-CO"/>
        </w:rPr>
        <w:t>Remedios</w:t>
      </w:r>
      <w:r w:rsidR="00814123" w:rsidRPr="00131BD8">
        <w:rPr>
          <w:sz w:val="20"/>
          <w:szCs w:val="20"/>
          <w:lang w:val="es-CO"/>
        </w:rPr>
        <w:t xml:space="preserve"> se presentó a sus instalaciones </w:t>
      </w:r>
      <w:r w:rsidR="00241091" w:rsidRPr="00131BD8">
        <w:rPr>
          <w:sz w:val="20"/>
          <w:szCs w:val="20"/>
          <w:lang w:val="es-CO"/>
        </w:rPr>
        <w:t>e indicó que había cambiado su residencia a Colombia desde hacía un mes.</w:t>
      </w:r>
      <w:r w:rsidR="00EB2F8F" w:rsidRPr="00131BD8">
        <w:rPr>
          <w:sz w:val="20"/>
          <w:szCs w:val="20"/>
          <w:lang w:val="es-CO"/>
        </w:rPr>
        <w:t xml:space="preserve"> El 15 de noviembre de 2016 la entidad ordenó que la adolescente y su hija fueran trasladadas a un hogar sustituto como medida de protección, ya que estaba viviendo con su posible agresor, y había sufrido violencia sexual desde edad temprana </w:t>
      </w:r>
      <w:r w:rsidR="001C4642" w:rsidRPr="00131BD8">
        <w:rPr>
          <w:sz w:val="20"/>
          <w:szCs w:val="20"/>
          <w:lang w:val="es-CO"/>
        </w:rPr>
        <w:t>originada en su núcleo familia</w:t>
      </w:r>
      <w:r w:rsidR="00F44A21" w:rsidRPr="00131BD8">
        <w:rPr>
          <w:sz w:val="20"/>
          <w:szCs w:val="20"/>
          <w:lang w:val="es-CO"/>
        </w:rPr>
        <w:t>r.</w:t>
      </w:r>
    </w:p>
    <w:p w14:paraId="21D239AF" w14:textId="066BE4F3" w:rsidR="001C4642" w:rsidRPr="00131BD8" w:rsidRDefault="00CC7D2C" w:rsidP="00FE2E9A">
      <w:pPr>
        <w:pStyle w:val="ListParagraph"/>
        <w:numPr>
          <w:ilvl w:val="0"/>
          <w:numId w:val="61"/>
        </w:numPr>
        <w:ind w:left="0" w:firstLine="720"/>
        <w:jc w:val="both"/>
        <w:rPr>
          <w:sz w:val="20"/>
          <w:szCs w:val="20"/>
          <w:lang w:val="es-CO"/>
        </w:rPr>
      </w:pPr>
      <w:r w:rsidRPr="00131BD8">
        <w:rPr>
          <w:sz w:val="20"/>
          <w:szCs w:val="20"/>
          <w:lang w:val="es-CO"/>
        </w:rPr>
        <w:t xml:space="preserve">La organización peticionaria señala que el 13 de diciembre de 2016 </w:t>
      </w:r>
      <w:r w:rsidR="00F44609" w:rsidRPr="00131BD8">
        <w:rPr>
          <w:sz w:val="20"/>
          <w:szCs w:val="20"/>
          <w:lang w:val="es-CO"/>
        </w:rPr>
        <w:t xml:space="preserve">la </w:t>
      </w:r>
      <w:r w:rsidR="00E158CE" w:rsidRPr="00131BD8">
        <w:rPr>
          <w:sz w:val="20"/>
          <w:szCs w:val="20"/>
          <w:lang w:val="es-CO"/>
        </w:rPr>
        <w:t>Corte Constitucional profirió la Sentencia T-697</w:t>
      </w:r>
      <w:r w:rsidR="00F44609" w:rsidRPr="00131BD8">
        <w:rPr>
          <w:sz w:val="20"/>
          <w:szCs w:val="20"/>
          <w:lang w:val="es-CO"/>
        </w:rPr>
        <w:t>, por la cual revisó la causa y confirmó la decisión de a</w:t>
      </w:r>
      <w:r w:rsidR="00074DD1" w:rsidRPr="00131BD8">
        <w:rPr>
          <w:sz w:val="20"/>
          <w:szCs w:val="20"/>
          <w:lang w:val="es-CO"/>
        </w:rPr>
        <w:t>m</w:t>
      </w:r>
      <w:r w:rsidR="00F44609" w:rsidRPr="00131BD8">
        <w:rPr>
          <w:sz w:val="20"/>
          <w:szCs w:val="20"/>
          <w:lang w:val="es-CO"/>
        </w:rPr>
        <w:t xml:space="preserve">parar los derechos fundamentales de </w:t>
      </w:r>
      <w:r w:rsidR="006453F8" w:rsidRPr="00131BD8">
        <w:rPr>
          <w:i/>
          <w:iCs/>
          <w:sz w:val="20"/>
          <w:szCs w:val="20"/>
          <w:lang w:val="es-CO"/>
        </w:rPr>
        <w:t>Remedios</w:t>
      </w:r>
      <w:r w:rsidR="00A0740B" w:rsidRPr="00131BD8">
        <w:rPr>
          <w:sz w:val="20"/>
          <w:szCs w:val="20"/>
          <w:lang w:val="es-CO"/>
        </w:rPr>
        <w:t xml:space="preserve"> a la salud, a la dignidad, al libre desarrollo de la personalidad, </w:t>
      </w:r>
      <w:r w:rsidR="00441D81" w:rsidRPr="00131BD8">
        <w:rPr>
          <w:sz w:val="20"/>
          <w:szCs w:val="20"/>
          <w:lang w:val="es-CO"/>
        </w:rPr>
        <w:t>a la IVE y a la nacionalidad.</w:t>
      </w:r>
      <w:r w:rsidR="002F3C4B" w:rsidRPr="00131BD8">
        <w:rPr>
          <w:sz w:val="20"/>
          <w:szCs w:val="20"/>
          <w:lang w:val="es-CO"/>
        </w:rPr>
        <w:t xml:space="preserve"> </w:t>
      </w:r>
      <w:r w:rsidR="00665B12" w:rsidRPr="00131BD8">
        <w:rPr>
          <w:sz w:val="20"/>
          <w:szCs w:val="20"/>
          <w:lang w:val="es-CO"/>
        </w:rPr>
        <w:t>En el fallo, la Corte Constitucional concluyó que el ICBF no había</w:t>
      </w:r>
      <w:r w:rsidR="000E0F49" w:rsidRPr="00131BD8">
        <w:rPr>
          <w:sz w:val="20"/>
          <w:szCs w:val="20"/>
          <w:lang w:val="es-CO"/>
        </w:rPr>
        <w:t xml:space="preserve"> obstruido u omitido funciones legales, pese a que no cumplió con el término de cinco días para resolver la petición de</w:t>
      </w:r>
      <w:r w:rsidR="00F62B6A" w:rsidRPr="00131BD8">
        <w:rPr>
          <w:sz w:val="20"/>
          <w:szCs w:val="20"/>
          <w:lang w:val="es-CO"/>
        </w:rPr>
        <w:t xml:space="preserve"> la práctica de IVE, y a los diez días realizó una nueva entrevista en la que la adolescente expresó su deseo de continuar con el embarazo, </w:t>
      </w:r>
      <w:r w:rsidR="00C969E7" w:rsidRPr="00131BD8">
        <w:rPr>
          <w:sz w:val="20"/>
          <w:szCs w:val="20"/>
          <w:lang w:val="es-CO"/>
        </w:rPr>
        <w:t xml:space="preserve">pero determinó que la violación </w:t>
      </w:r>
      <w:r w:rsidR="00DC000C" w:rsidRPr="00131BD8">
        <w:rPr>
          <w:sz w:val="20"/>
          <w:szCs w:val="20"/>
          <w:lang w:val="es-CO"/>
        </w:rPr>
        <w:t>a</w:t>
      </w:r>
      <w:r w:rsidR="00C969E7" w:rsidRPr="00131BD8">
        <w:rPr>
          <w:sz w:val="20"/>
          <w:szCs w:val="20"/>
          <w:lang w:val="es-CO"/>
        </w:rPr>
        <w:t xml:space="preserve"> los derechos de </w:t>
      </w:r>
      <w:r w:rsidR="006453F8" w:rsidRPr="00131BD8">
        <w:rPr>
          <w:i/>
          <w:iCs/>
          <w:sz w:val="20"/>
          <w:szCs w:val="20"/>
          <w:lang w:val="es-CO"/>
        </w:rPr>
        <w:t>Remedios</w:t>
      </w:r>
      <w:r w:rsidR="00C969E7" w:rsidRPr="00131BD8">
        <w:rPr>
          <w:sz w:val="20"/>
          <w:szCs w:val="20"/>
          <w:lang w:val="es-CO"/>
        </w:rPr>
        <w:t xml:space="preserve"> se configuró por la espera del registro civil de la adolescente para que accediera a los servicios de IVE.</w:t>
      </w:r>
      <w:r w:rsidR="00AB0BD0" w:rsidRPr="00131BD8">
        <w:rPr>
          <w:sz w:val="20"/>
          <w:szCs w:val="20"/>
          <w:lang w:val="es-CO"/>
        </w:rPr>
        <w:t xml:space="preserve"> Indica que la Sentencia T-697 fue notificada el 9 de febrero de 2017.</w:t>
      </w:r>
    </w:p>
    <w:p w14:paraId="2053FE20" w14:textId="4B83AEAB" w:rsidR="005B526A" w:rsidRPr="00131BD8" w:rsidRDefault="00E31A4B" w:rsidP="00C745C4">
      <w:pPr>
        <w:pStyle w:val="ListParagraph"/>
        <w:numPr>
          <w:ilvl w:val="0"/>
          <w:numId w:val="61"/>
        </w:numPr>
        <w:ind w:left="0" w:firstLine="720"/>
        <w:jc w:val="both"/>
        <w:rPr>
          <w:sz w:val="20"/>
          <w:szCs w:val="20"/>
          <w:lang w:val="es-ES"/>
        </w:rPr>
      </w:pPr>
      <w:r w:rsidRPr="00131BD8">
        <w:rPr>
          <w:sz w:val="20"/>
          <w:szCs w:val="20"/>
          <w:lang w:val="es-CO"/>
        </w:rPr>
        <w:t xml:space="preserve">Sin embargo, la parte peticionaria </w:t>
      </w:r>
      <w:r w:rsidR="00707109" w:rsidRPr="00131BD8">
        <w:rPr>
          <w:sz w:val="20"/>
          <w:szCs w:val="20"/>
          <w:lang w:val="es-CO"/>
        </w:rPr>
        <w:t>cuestiona</w:t>
      </w:r>
      <w:r w:rsidRPr="00131BD8">
        <w:rPr>
          <w:sz w:val="20"/>
          <w:szCs w:val="20"/>
          <w:lang w:val="es-CO"/>
        </w:rPr>
        <w:t xml:space="preserve"> que la Corte Constitucional no se pronunció sobre el hecho de que </w:t>
      </w:r>
      <w:r w:rsidR="006453F8" w:rsidRPr="00131BD8">
        <w:rPr>
          <w:i/>
          <w:iCs/>
          <w:sz w:val="20"/>
          <w:szCs w:val="20"/>
          <w:lang w:val="es-CO"/>
        </w:rPr>
        <w:t>Remedios</w:t>
      </w:r>
      <w:r w:rsidRPr="00131BD8">
        <w:rPr>
          <w:sz w:val="20"/>
          <w:szCs w:val="20"/>
          <w:lang w:val="es-CO"/>
        </w:rPr>
        <w:t xml:space="preserve"> fuera víctima del delito de trata de personas</w:t>
      </w:r>
      <w:r w:rsidR="00CE1874" w:rsidRPr="00131BD8">
        <w:rPr>
          <w:sz w:val="20"/>
          <w:szCs w:val="20"/>
          <w:lang w:val="es-CO"/>
        </w:rPr>
        <w:t xml:space="preserve">, a pesar de que el Defensor del Pueblo hizo un llamado para que </w:t>
      </w:r>
      <w:r w:rsidR="00821DB1" w:rsidRPr="00131BD8">
        <w:rPr>
          <w:sz w:val="20"/>
          <w:szCs w:val="20"/>
          <w:lang w:val="es-CO"/>
        </w:rPr>
        <w:t xml:space="preserve">lo hiciera, y el reconocimiento de este crimen hubiera llevado a la activación de protocolos para la atención integral y </w:t>
      </w:r>
      <w:r w:rsidR="003D444D" w:rsidRPr="00131BD8">
        <w:rPr>
          <w:sz w:val="20"/>
          <w:szCs w:val="20"/>
          <w:lang w:val="es-CO"/>
        </w:rPr>
        <w:t>a una mayor</w:t>
      </w:r>
      <w:r w:rsidR="00821DB1" w:rsidRPr="00131BD8">
        <w:rPr>
          <w:sz w:val="20"/>
          <w:szCs w:val="20"/>
          <w:lang w:val="es-CO"/>
        </w:rPr>
        <w:t xml:space="preserve"> protección </w:t>
      </w:r>
      <w:r w:rsidR="003D444D" w:rsidRPr="00131BD8">
        <w:rPr>
          <w:sz w:val="20"/>
          <w:szCs w:val="20"/>
          <w:lang w:val="es-CO"/>
        </w:rPr>
        <w:t>para</w:t>
      </w:r>
      <w:r w:rsidR="00821DB1" w:rsidRPr="00131BD8">
        <w:rPr>
          <w:sz w:val="20"/>
          <w:szCs w:val="20"/>
          <w:lang w:val="es-CO"/>
        </w:rPr>
        <w:t xml:space="preserve"> </w:t>
      </w:r>
      <w:r w:rsidR="006453F8" w:rsidRPr="00131BD8">
        <w:rPr>
          <w:i/>
          <w:iCs/>
          <w:sz w:val="20"/>
          <w:szCs w:val="20"/>
          <w:lang w:val="es-CO"/>
        </w:rPr>
        <w:t>Remedios</w:t>
      </w:r>
      <w:r w:rsidR="006453F8" w:rsidRPr="00131BD8">
        <w:rPr>
          <w:sz w:val="20"/>
          <w:szCs w:val="20"/>
          <w:lang w:val="es-CO"/>
        </w:rPr>
        <w:t>.</w:t>
      </w:r>
      <w:r w:rsidR="00821DB1" w:rsidRPr="00131BD8">
        <w:rPr>
          <w:sz w:val="20"/>
          <w:szCs w:val="20"/>
          <w:lang w:val="es-CO"/>
        </w:rPr>
        <w:t xml:space="preserve"> En ese sentido, </w:t>
      </w:r>
      <w:r w:rsidR="00A7222B" w:rsidRPr="00131BD8">
        <w:rPr>
          <w:sz w:val="20"/>
          <w:szCs w:val="20"/>
          <w:lang w:val="es-CO"/>
        </w:rPr>
        <w:t xml:space="preserve">subraya que si bien </w:t>
      </w:r>
      <w:r w:rsidR="000B16A6" w:rsidRPr="00131BD8">
        <w:rPr>
          <w:sz w:val="20"/>
          <w:szCs w:val="20"/>
          <w:lang w:val="es-CO"/>
        </w:rPr>
        <w:t>Colombia cuenta con un marco normativo que está adaptado a los estándares internacionales y que contempla las labores de identificación y asistencia, no</w:t>
      </w:r>
      <w:r w:rsidR="00A7222B" w:rsidRPr="00131BD8">
        <w:rPr>
          <w:sz w:val="20"/>
          <w:szCs w:val="20"/>
          <w:lang w:val="es-CO"/>
        </w:rPr>
        <w:t xml:space="preserve"> existe </w:t>
      </w:r>
      <w:r w:rsidR="000B16A6" w:rsidRPr="00131BD8">
        <w:rPr>
          <w:sz w:val="20"/>
          <w:szCs w:val="20"/>
          <w:lang w:val="es-CO"/>
        </w:rPr>
        <w:t>una normativa que regule el proceso de identificación de las víctimas</w:t>
      </w:r>
      <w:r w:rsidR="00A7222B" w:rsidRPr="00131BD8">
        <w:rPr>
          <w:sz w:val="20"/>
          <w:szCs w:val="20"/>
          <w:lang w:val="es-CO"/>
        </w:rPr>
        <w:t xml:space="preserve"> de trata de personas</w:t>
      </w:r>
      <w:r w:rsidR="000B16A6" w:rsidRPr="00131BD8">
        <w:rPr>
          <w:sz w:val="20"/>
          <w:szCs w:val="20"/>
          <w:lang w:val="es-CO"/>
        </w:rPr>
        <w:t xml:space="preserve">, </w:t>
      </w:r>
      <w:r w:rsidR="00A7222B" w:rsidRPr="00131BD8">
        <w:rPr>
          <w:sz w:val="20"/>
          <w:szCs w:val="20"/>
          <w:lang w:val="es-CO"/>
        </w:rPr>
        <w:t xml:space="preserve">ni </w:t>
      </w:r>
      <w:r w:rsidR="000B16A6" w:rsidRPr="00131BD8">
        <w:rPr>
          <w:sz w:val="20"/>
          <w:szCs w:val="20"/>
          <w:lang w:val="es-CO"/>
        </w:rPr>
        <w:t>tampoco protocolos y/o rutas que indiquen cu</w:t>
      </w:r>
      <w:r w:rsidR="00B65D26" w:rsidRPr="00131BD8">
        <w:rPr>
          <w:sz w:val="20"/>
          <w:szCs w:val="20"/>
          <w:lang w:val="es-CO"/>
        </w:rPr>
        <w:t>á</w:t>
      </w:r>
      <w:r w:rsidR="000B16A6" w:rsidRPr="00131BD8">
        <w:rPr>
          <w:sz w:val="20"/>
          <w:szCs w:val="20"/>
          <w:lang w:val="es-CO"/>
        </w:rPr>
        <w:t>les son los procedimientos que se deben seguir para la identificación de una posible o potencial víctima de trata.</w:t>
      </w:r>
      <w:r w:rsidR="00D23BE3" w:rsidRPr="00131BD8">
        <w:rPr>
          <w:sz w:val="20"/>
          <w:szCs w:val="20"/>
          <w:lang w:val="es-CO"/>
        </w:rPr>
        <w:t xml:space="preserve"> De igual modo, no hay claridad sobre cuáles son las autoridades competentes para desarrollar las tareas de identificar, reconocer, atender y asistir a las víctimas de trata</w:t>
      </w:r>
      <w:r w:rsidR="005B526A" w:rsidRPr="00131BD8">
        <w:rPr>
          <w:sz w:val="20"/>
          <w:szCs w:val="20"/>
          <w:lang w:val="es-CO"/>
        </w:rPr>
        <w:t>.</w:t>
      </w:r>
    </w:p>
    <w:p w14:paraId="5148C9F8" w14:textId="43322075" w:rsidR="005B526A" w:rsidRPr="00131BD8" w:rsidRDefault="009E626B" w:rsidP="005B526A">
      <w:pPr>
        <w:pStyle w:val="ListParagraph"/>
        <w:numPr>
          <w:ilvl w:val="0"/>
          <w:numId w:val="61"/>
        </w:numPr>
        <w:ind w:left="0" w:firstLine="720"/>
        <w:jc w:val="both"/>
        <w:rPr>
          <w:sz w:val="20"/>
          <w:szCs w:val="20"/>
          <w:lang w:val="es-CO"/>
        </w:rPr>
      </w:pPr>
      <w:r w:rsidRPr="00131BD8">
        <w:rPr>
          <w:sz w:val="20"/>
          <w:szCs w:val="20"/>
          <w:lang w:val="es-CO"/>
        </w:rPr>
        <w:t>La parte peticionaria arguye que</w:t>
      </w:r>
      <w:r w:rsidR="005B526A" w:rsidRPr="00131BD8">
        <w:rPr>
          <w:sz w:val="20"/>
          <w:szCs w:val="20"/>
          <w:lang w:val="es-CO"/>
        </w:rPr>
        <w:t xml:space="preserve"> en Colombia existe un desconocimiento sobre la trata </w:t>
      </w:r>
      <w:r w:rsidRPr="00131BD8">
        <w:rPr>
          <w:sz w:val="20"/>
          <w:szCs w:val="20"/>
          <w:lang w:val="es-CO"/>
        </w:rPr>
        <w:t xml:space="preserve">de personas </w:t>
      </w:r>
      <w:r w:rsidR="005B526A" w:rsidRPr="00131BD8">
        <w:rPr>
          <w:sz w:val="20"/>
          <w:szCs w:val="20"/>
          <w:lang w:val="es-CO"/>
        </w:rPr>
        <w:t>interna</w:t>
      </w:r>
      <w:r w:rsidR="009A7492" w:rsidRPr="00131BD8">
        <w:rPr>
          <w:sz w:val="20"/>
          <w:szCs w:val="20"/>
          <w:lang w:val="es-CO"/>
        </w:rPr>
        <w:t>,</w:t>
      </w:r>
      <w:r w:rsidR="005B526A" w:rsidRPr="00131BD8">
        <w:rPr>
          <w:sz w:val="20"/>
          <w:szCs w:val="20"/>
          <w:lang w:val="es-CO"/>
        </w:rPr>
        <w:t xml:space="preserve"> lo que genera </w:t>
      </w:r>
      <w:r w:rsidR="00AE56CD" w:rsidRPr="00131BD8">
        <w:rPr>
          <w:sz w:val="20"/>
          <w:szCs w:val="20"/>
          <w:lang w:val="es-CO"/>
        </w:rPr>
        <w:t>que</w:t>
      </w:r>
      <w:r w:rsidR="005B526A" w:rsidRPr="00131BD8">
        <w:rPr>
          <w:sz w:val="20"/>
          <w:szCs w:val="20"/>
          <w:lang w:val="es-CO"/>
        </w:rPr>
        <w:t xml:space="preserve"> al momento de evaluar la situación de las víctimas las autoridades confundan la trata de personas con otros delitos como la explotación sexual. Adicionalmente, </w:t>
      </w:r>
      <w:r w:rsidRPr="00131BD8">
        <w:rPr>
          <w:sz w:val="20"/>
          <w:szCs w:val="20"/>
          <w:lang w:val="es-CO"/>
        </w:rPr>
        <w:t xml:space="preserve">sostiene que </w:t>
      </w:r>
      <w:r w:rsidR="005B526A" w:rsidRPr="00131BD8">
        <w:rPr>
          <w:sz w:val="20"/>
          <w:szCs w:val="20"/>
          <w:lang w:val="es-CO"/>
        </w:rPr>
        <w:t xml:space="preserve">no existen lugares de acogida o albergues que estén destinados a recibir las víctimas de trata y que cuenten con </w:t>
      </w:r>
      <w:r w:rsidR="005B526A" w:rsidRPr="00131BD8">
        <w:rPr>
          <w:sz w:val="20"/>
          <w:szCs w:val="20"/>
          <w:lang w:val="es-CO"/>
        </w:rPr>
        <w:lastRenderedPageBreak/>
        <w:t xml:space="preserve">las condiciones necesarias para atender sus necesidades y especificidades. </w:t>
      </w:r>
      <w:r w:rsidR="005A7F59" w:rsidRPr="00131BD8">
        <w:rPr>
          <w:sz w:val="20"/>
          <w:szCs w:val="20"/>
          <w:lang w:val="es-CO"/>
        </w:rPr>
        <w:t>Además</w:t>
      </w:r>
      <w:r w:rsidR="005B526A" w:rsidRPr="00131BD8">
        <w:rPr>
          <w:sz w:val="20"/>
          <w:szCs w:val="20"/>
          <w:lang w:val="es-CO"/>
        </w:rPr>
        <w:t xml:space="preserve">, no </w:t>
      </w:r>
      <w:r w:rsidR="005D1F89" w:rsidRPr="00131BD8">
        <w:rPr>
          <w:sz w:val="20"/>
          <w:szCs w:val="20"/>
          <w:lang w:val="es-CO"/>
        </w:rPr>
        <w:t>disponen</w:t>
      </w:r>
      <w:r w:rsidR="005B526A" w:rsidRPr="00131BD8">
        <w:rPr>
          <w:sz w:val="20"/>
          <w:szCs w:val="20"/>
          <w:lang w:val="es-CO"/>
        </w:rPr>
        <w:t xml:space="preserve"> </w:t>
      </w:r>
      <w:r w:rsidR="005D1F89" w:rsidRPr="00131BD8">
        <w:rPr>
          <w:sz w:val="20"/>
          <w:szCs w:val="20"/>
          <w:lang w:val="es-CO"/>
        </w:rPr>
        <w:t>d</w:t>
      </w:r>
      <w:r w:rsidR="005B526A" w:rsidRPr="00131BD8">
        <w:rPr>
          <w:sz w:val="20"/>
          <w:szCs w:val="20"/>
          <w:lang w:val="es-CO"/>
        </w:rPr>
        <w:t xml:space="preserve">el personal adecuado que garantice su seguridad y atención, ni tampoco </w:t>
      </w:r>
      <w:r w:rsidR="008F3089" w:rsidRPr="00131BD8">
        <w:rPr>
          <w:sz w:val="20"/>
          <w:szCs w:val="20"/>
          <w:lang w:val="es-CO"/>
        </w:rPr>
        <w:t xml:space="preserve">de </w:t>
      </w:r>
      <w:r w:rsidR="005B526A" w:rsidRPr="00131BD8">
        <w:rPr>
          <w:sz w:val="20"/>
          <w:szCs w:val="20"/>
          <w:lang w:val="es-CO"/>
        </w:rPr>
        <w:t>enfoques de abordaje diferencial.</w:t>
      </w:r>
    </w:p>
    <w:p w14:paraId="5F7451BF" w14:textId="703524DB" w:rsidR="00456C97" w:rsidRPr="00131BD8" w:rsidRDefault="00314E48" w:rsidP="00456C97">
      <w:pPr>
        <w:pStyle w:val="ListParagraph"/>
        <w:numPr>
          <w:ilvl w:val="0"/>
          <w:numId w:val="61"/>
        </w:numPr>
        <w:ind w:left="0" w:firstLine="720"/>
        <w:jc w:val="both"/>
        <w:rPr>
          <w:rFonts w:asciiTheme="majorHAnsi" w:hAnsiTheme="majorHAnsi"/>
          <w:bCs/>
          <w:sz w:val="20"/>
          <w:szCs w:val="20"/>
          <w:lang w:val="es-CO"/>
        </w:rPr>
      </w:pPr>
      <w:r w:rsidRPr="00131BD8">
        <w:rPr>
          <w:sz w:val="20"/>
          <w:szCs w:val="20"/>
          <w:lang w:val="es-CO"/>
        </w:rPr>
        <w:t>En este sentido, la parte peticionaria alega</w:t>
      </w:r>
      <w:r w:rsidR="00A3643E" w:rsidRPr="00131BD8">
        <w:rPr>
          <w:sz w:val="20"/>
          <w:szCs w:val="20"/>
          <w:lang w:val="es-CO"/>
        </w:rPr>
        <w:t xml:space="preserve"> </w:t>
      </w:r>
      <w:r w:rsidR="005A7F59" w:rsidRPr="00131BD8">
        <w:rPr>
          <w:sz w:val="20"/>
          <w:szCs w:val="20"/>
          <w:lang w:val="es-CO"/>
        </w:rPr>
        <w:t>que,</w:t>
      </w:r>
      <w:r w:rsidR="00A3643E" w:rsidRPr="00131BD8">
        <w:rPr>
          <w:sz w:val="20"/>
          <w:szCs w:val="20"/>
          <w:lang w:val="es-CO"/>
        </w:rPr>
        <w:t xml:space="preserve"> en otros casos de trata de personas interna, el </w:t>
      </w:r>
      <w:r w:rsidR="005B526A" w:rsidRPr="00131BD8">
        <w:rPr>
          <w:sz w:val="20"/>
          <w:szCs w:val="20"/>
          <w:lang w:val="es-CO"/>
        </w:rPr>
        <w:t>Estado colombiano ha realizado retornos de las víctimas a sus lugares de origen sin una adecuada evaluación del riesgo</w:t>
      </w:r>
      <w:r w:rsidR="008F3089" w:rsidRPr="00131BD8">
        <w:rPr>
          <w:sz w:val="20"/>
          <w:szCs w:val="20"/>
          <w:lang w:val="es-CO"/>
        </w:rPr>
        <w:t>;</w:t>
      </w:r>
      <w:r w:rsidR="005B526A" w:rsidRPr="00131BD8">
        <w:rPr>
          <w:sz w:val="20"/>
          <w:szCs w:val="20"/>
          <w:lang w:val="es-CO"/>
        </w:rPr>
        <w:t xml:space="preserve"> lo que pone en situación de mayor vulnerabilidad a las víctimas, pues se ven expuestas a situaciones revictimizantes y/o a nuevos peligros por las redes tratantes quienes pueden captarlas de nuevo. </w:t>
      </w:r>
      <w:r w:rsidR="00456C97" w:rsidRPr="00131BD8">
        <w:rPr>
          <w:sz w:val="20"/>
          <w:szCs w:val="20"/>
          <w:lang w:val="es-CO"/>
        </w:rPr>
        <w:t xml:space="preserve">Por ello, </w:t>
      </w:r>
      <w:r w:rsidR="0077731A" w:rsidRPr="00131BD8">
        <w:rPr>
          <w:sz w:val="20"/>
          <w:szCs w:val="20"/>
          <w:lang w:val="es-CO"/>
        </w:rPr>
        <w:t>remarca</w:t>
      </w:r>
      <w:r w:rsidR="0077731A" w:rsidRPr="00131BD8">
        <w:rPr>
          <w:rFonts w:asciiTheme="majorHAnsi" w:hAnsiTheme="majorHAnsi"/>
          <w:bCs/>
          <w:sz w:val="20"/>
          <w:szCs w:val="20"/>
          <w:lang w:val="es-UY"/>
        </w:rPr>
        <w:t xml:space="preserve"> </w:t>
      </w:r>
      <w:r w:rsidR="00456C97" w:rsidRPr="00131BD8">
        <w:rPr>
          <w:rFonts w:asciiTheme="majorHAnsi" w:hAnsiTheme="majorHAnsi"/>
          <w:bCs/>
          <w:sz w:val="20"/>
          <w:szCs w:val="20"/>
          <w:lang w:val="es-UY"/>
        </w:rPr>
        <w:t>la violación del derecho a la nacionalidad y los derechos de la niñez</w:t>
      </w:r>
      <w:r w:rsidR="000563B6" w:rsidRPr="00131BD8">
        <w:rPr>
          <w:rFonts w:asciiTheme="majorHAnsi" w:hAnsiTheme="majorHAnsi"/>
          <w:bCs/>
          <w:sz w:val="20"/>
          <w:szCs w:val="20"/>
          <w:lang w:val="es-UY"/>
        </w:rPr>
        <w:t>,</w:t>
      </w:r>
      <w:r w:rsidR="00456C97" w:rsidRPr="00131BD8">
        <w:rPr>
          <w:rFonts w:asciiTheme="majorHAnsi" w:hAnsiTheme="majorHAnsi"/>
          <w:bCs/>
          <w:sz w:val="20"/>
          <w:szCs w:val="20"/>
          <w:lang w:val="es-UY"/>
        </w:rPr>
        <w:t xml:space="preserve"> </w:t>
      </w:r>
      <w:r w:rsidR="00AE3209" w:rsidRPr="00131BD8">
        <w:rPr>
          <w:rFonts w:asciiTheme="majorHAnsi" w:hAnsiTheme="majorHAnsi"/>
          <w:bCs/>
          <w:sz w:val="20"/>
          <w:szCs w:val="20"/>
          <w:lang w:val="es-UY"/>
        </w:rPr>
        <w:t>dado que</w:t>
      </w:r>
      <w:r w:rsidR="00456C97" w:rsidRPr="00131BD8">
        <w:rPr>
          <w:rFonts w:asciiTheme="majorHAnsi" w:hAnsiTheme="majorHAnsi"/>
          <w:bCs/>
          <w:sz w:val="20"/>
          <w:szCs w:val="20"/>
          <w:lang w:val="es-UY"/>
        </w:rPr>
        <w:t xml:space="preserve"> no es procedente </w:t>
      </w:r>
      <w:r w:rsidR="00456C97" w:rsidRPr="00131BD8">
        <w:rPr>
          <w:rFonts w:asciiTheme="majorHAnsi" w:hAnsiTheme="majorHAnsi"/>
          <w:bCs/>
          <w:sz w:val="20"/>
          <w:szCs w:val="20"/>
          <w:lang w:val="es-CO"/>
        </w:rPr>
        <w:t>exigir formalismos a los niños, niñas y adolescentes para acreditar su nacionalidad</w:t>
      </w:r>
      <w:r w:rsidR="000563B6" w:rsidRPr="00131BD8">
        <w:rPr>
          <w:rFonts w:asciiTheme="majorHAnsi" w:hAnsiTheme="majorHAnsi"/>
          <w:bCs/>
          <w:sz w:val="20"/>
          <w:szCs w:val="20"/>
          <w:lang w:val="es-CO"/>
        </w:rPr>
        <w:t>;</w:t>
      </w:r>
      <w:r w:rsidR="00456C97" w:rsidRPr="00131BD8">
        <w:rPr>
          <w:rFonts w:asciiTheme="majorHAnsi" w:hAnsiTheme="majorHAnsi"/>
          <w:bCs/>
          <w:sz w:val="20"/>
          <w:szCs w:val="20"/>
          <w:lang w:val="es-CO"/>
        </w:rPr>
        <w:t xml:space="preserve"> en la medida en que impiden la protección efectiva de sus derechos. </w:t>
      </w:r>
      <w:r w:rsidRPr="00131BD8">
        <w:rPr>
          <w:rFonts w:asciiTheme="majorHAnsi" w:hAnsiTheme="majorHAnsi"/>
          <w:bCs/>
          <w:sz w:val="20"/>
          <w:szCs w:val="20"/>
          <w:lang w:val="es-CO"/>
        </w:rPr>
        <w:t>E</w:t>
      </w:r>
      <w:r w:rsidR="00456C97" w:rsidRPr="00131BD8">
        <w:rPr>
          <w:rFonts w:asciiTheme="majorHAnsi" w:hAnsiTheme="majorHAnsi"/>
          <w:bCs/>
          <w:sz w:val="20"/>
          <w:szCs w:val="20"/>
          <w:lang w:val="es-CO"/>
        </w:rPr>
        <w:t>n el presente caso</w:t>
      </w:r>
      <w:r w:rsidR="00216DCB" w:rsidRPr="00131BD8">
        <w:rPr>
          <w:rFonts w:asciiTheme="majorHAnsi" w:hAnsiTheme="majorHAnsi"/>
          <w:bCs/>
          <w:sz w:val="20"/>
          <w:szCs w:val="20"/>
          <w:lang w:val="es-CO"/>
        </w:rPr>
        <w:t>, sostiene que,</w:t>
      </w:r>
      <w:r w:rsidR="00456C97" w:rsidRPr="00131BD8">
        <w:rPr>
          <w:rFonts w:asciiTheme="majorHAnsi" w:hAnsiTheme="majorHAnsi"/>
          <w:bCs/>
          <w:sz w:val="20"/>
          <w:szCs w:val="20"/>
          <w:lang w:val="es-CO"/>
        </w:rPr>
        <w:t xml:space="preserve"> cuando el ICBF y la Defensoría del Pueblo tomaron conocimiento de la doble nacionalidad de la adolescente, debieron </w:t>
      </w:r>
      <w:r w:rsidR="00C5070B" w:rsidRPr="00131BD8">
        <w:rPr>
          <w:rFonts w:asciiTheme="majorHAnsi" w:hAnsiTheme="majorHAnsi"/>
          <w:bCs/>
          <w:sz w:val="20"/>
          <w:szCs w:val="20"/>
          <w:lang w:val="es-CO"/>
        </w:rPr>
        <w:t>adelantar</w:t>
      </w:r>
      <w:r w:rsidR="00456C97" w:rsidRPr="00131BD8">
        <w:rPr>
          <w:rFonts w:asciiTheme="majorHAnsi" w:hAnsiTheme="majorHAnsi"/>
          <w:bCs/>
          <w:sz w:val="20"/>
          <w:szCs w:val="20"/>
          <w:lang w:val="es-CO"/>
        </w:rPr>
        <w:t xml:space="preserve"> los procedimientos administrativos necesarios para otorgarle su nacionalidad por tratarse de una niña en situación de riesgo.</w:t>
      </w:r>
      <w:r w:rsidR="00967B7E" w:rsidRPr="00131BD8">
        <w:rPr>
          <w:rFonts w:asciiTheme="majorHAnsi" w:hAnsiTheme="majorHAnsi"/>
          <w:bCs/>
          <w:sz w:val="20"/>
          <w:szCs w:val="20"/>
          <w:lang w:val="es-CO"/>
        </w:rPr>
        <w:t xml:space="preserve"> </w:t>
      </w:r>
      <w:r w:rsidR="00E713D7" w:rsidRPr="00131BD8">
        <w:rPr>
          <w:rFonts w:asciiTheme="majorHAnsi" w:hAnsiTheme="majorHAnsi"/>
          <w:bCs/>
          <w:sz w:val="20"/>
          <w:szCs w:val="20"/>
          <w:lang w:val="es-CO"/>
        </w:rPr>
        <w:t>L</w:t>
      </w:r>
      <w:r w:rsidR="00C5070B" w:rsidRPr="00131BD8">
        <w:rPr>
          <w:rFonts w:asciiTheme="majorHAnsi" w:hAnsiTheme="majorHAnsi"/>
          <w:bCs/>
          <w:sz w:val="20"/>
          <w:szCs w:val="20"/>
          <w:lang w:val="es-CO"/>
        </w:rPr>
        <w:t xml:space="preserve">a parte peticionaria </w:t>
      </w:r>
      <w:r w:rsidR="00E713D7" w:rsidRPr="00131BD8">
        <w:rPr>
          <w:rFonts w:asciiTheme="majorHAnsi" w:hAnsiTheme="majorHAnsi"/>
          <w:bCs/>
          <w:sz w:val="20"/>
          <w:szCs w:val="20"/>
          <w:lang w:val="es-CO"/>
        </w:rPr>
        <w:t>agrega</w:t>
      </w:r>
      <w:r w:rsidR="00A67EE3" w:rsidRPr="00131BD8">
        <w:rPr>
          <w:rFonts w:asciiTheme="majorHAnsi" w:hAnsiTheme="majorHAnsi"/>
          <w:bCs/>
          <w:sz w:val="20"/>
          <w:szCs w:val="20"/>
          <w:lang w:val="es-CO"/>
        </w:rPr>
        <w:t xml:space="preserve"> la violación de su derecho a la libre circulación y a ser oída en los procesos de migración y asilo</w:t>
      </w:r>
      <w:r w:rsidR="00471D84" w:rsidRPr="00131BD8">
        <w:rPr>
          <w:rFonts w:asciiTheme="majorHAnsi" w:hAnsiTheme="majorHAnsi"/>
          <w:bCs/>
          <w:sz w:val="20"/>
          <w:szCs w:val="20"/>
          <w:lang w:val="es-CO"/>
        </w:rPr>
        <w:t>,</w:t>
      </w:r>
      <w:r w:rsidR="00A67EE3" w:rsidRPr="00131BD8">
        <w:rPr>
          <w:rFonts w:asciiTheme="majorHAnsi" w:hAnsiTheme="majorHAnsi"/>
          <w:bCs/>
          <w:sz w:val="20"/>
          <w:szCs w:val="20"/>
          <w:lang w:val="es-CO"/>
        </w:rPr>
        <w:t xml:space="preserve"> </w:t>
      </w:r>
      <w:r w:rsidR="00454651" w:rsidRPr="00131BD8">
        <w:rPr>
          <w:rFonts w:asciiTheme="majorHAnsi" w:hAnsiTheme="majorHAnsi"/>
          <w:bCs/>
          <w:sz w:val="20"/>
          <w:szCs w:val="20"/>
          <w:lang w:val="es-CO"/>
        </w:rPr>
        <w:t xml:space="preserve">ya </w:t>
      </w:r>
      <w:r w:rsidR="00916912" w:rsidRPr="00131BD8">
        <w:rPr>
          <w:rFonts w:asciiTheme="majorHAnsi" w:hAnsiTheme="majorHAnsi"/>
          <w:bCs/>
          <w:sz w:val="20"/>
          <w:szCs w:val="20"/>
          <w:lang w:val="es-CO"/>
        </w:rPr>
        <w:t>que el ICBF no tom</w:t>
      </w:r>
      <w:r w:rsidR="00454651" w:rsidRPr="00131BD8">
        <w:rPr>
          <w:rFonts w:asciiTheme="majorHAnsi" w:hAnsiTheme="majorHAnsi"/>
          <w:bCs/>
          <w:sz w:val="20"/>
          <w:szCs w:val="20"/>
          <w:lang w:val="es-CO"/>
        </w:rPr>
        <w:t>ó</w:t>
      </w:r>
      <w:r w:rsidR="00916912" w:rsidRPr="00131BD8">
        <w:rPr>
          <w:rFonts w:asciiTheme="majorHAnsi" w:hAnsiTheme="majorHAnsi"/>
          <w:bCs/>
          <w:sz w:val="20"/>
          <w:szCs w:val="20"/>
          <w:lang w:val="es-CO"/>
        </w:rPr>
        <w:t xml:space="preserve"> en consideración su deseo de no ser retornada a Venezuela y orden</w:t>
      </w:r>
      <w:r w:rsidR="00453E2F" w:rsidRPr="00131BD8">
        <w:rPr>
          <w:rFonts w:asciiTheme="majorHAnsi" w:hAnsiTheme="majorHAnsi"/>
          <w:bCs/>
          <w:sz w:val="20"/>
          <w:szCs w:val="20"/>
          <w:lang w:val="es-CO"/>
        </w:rPr>
        <w:t>ó</w:t>
      </w:r>
      <w:r w:rsidR="00916912" w:rsidRPr="00131BD8">
        <w:rPr>
          <w:rFonts w:asciiTheme="majorHAnsi" w:hAnsiTheme="majorHAnsi"/>
          <w:bCs/>
          <w:sz w:val="20"/>
          <w:szCs w:val="20"/>
          <w:lang w:val="es-CO"/>
        </w:rPr>
        <w:t xml:space="preserve"> su regreso antes de la emisión de la sentencia de la Corte Constitucional.</w:t>
      </w:r>
    </w:p>
    <w:p w14:paraId="28150051" w14:textId="15E1936B" w:rsidR="006A0AA4" w:rsidRPr="00131BD8" w:rsidRDefault="00C20C0B" w:rsidP="002B2C49">
      <w:pPr>
        <w:pStyle w:val="ListParagraph"/>
        <w:numPr>
          <w:ilvl w:val="0"/>
          <w:numId w:val="61"/>
        </w:numPr>
        <w:ind w:left="0" w:firstLine="720"/>
        <w:jc w:val="both"/>
        <w:rPr>
          <w:sz w:val="20"/>
          <w:szCs w:val="20"/>
          <w:lang w:val="es-CO"/>
        </w:rPr>
      </w:pPr>
      <w:r w:rsidRPr="00131BD8">
        <w:rPr>
          <w:sz w:val="20"/>
          <w:szCs w:val="20"/>
          <w:lang w:val="es-CO"/>
        </w:rPr>
        <w:t xml:space="preserve">La organización peticionaria </w:t>
      </w:r>
      <w:r w:rsidR="00802144" w:rsidRPr="00131BD8">
        <w:rPr>
          <w:sz w:val="20"/>
          <w:szCs w:val="20"/>
          <w:lang w:val="es-CO"/>
        </w:rPr>
        <w:t>a su vez</w:t>
      </w:r>
      <w:r w:rsidR="000255CB" w:rsidRPr="00131BD8">
        <w:rPr>
          <w:sz w:val="20"/>
          <w:szCs w:val="20"/>
          <w:lang w:val="es-CO"/>
        </w:rPr>
        <w:t xml:space="preserve"> </w:t>
      </w:r>
      <w:r w:rsidR="000563B6" w:rsidRPr="00131BD8">
        <w:rPr>
          <w:sz w:val="20"/>
          <w:szCs w:val="20"/>
          <w:lang w:val="es-CO"/>
        </w:rPr>
        <w:t xml:space="preserve">aduce </w:t>
      </w:r>
      <w:r w:rsidR="005327C0" w:rsidRPr="00131BD8">
        <w:rPr>
          <w:sz w:val="20"/>
          <w:szCs w:val="20"/>
          <w:lang w:val="es-CO"/>
        </w:rPr>
        <w:t xml:space="preserve">que el Estado </w:t>
      </w:r>
      <w:r w:rsidR="000255CB" w:rsidRPr="00131BD8">
        <w:rPr>
          <w:sz w:val="20"/>
          <w:szCs w:val="20"/>
          <w:lang w:val="es-CO"/>
        </w:rPr>
        <w:t>e</w:t>
      </w:r>
      <w:r w:rsidR="005327C0" w:rsidRPr="00131BD8">
        <w:rPr>
          <w:sz w:val="20"/>
          <w:szCs w:val="20"/>
          <w:lang w:val="es-CO"/>
        </w:rPr>
        <w:t xml:space="preserve">s responsable de la violación de </w:t>
      </w:r>
      <w:r w:rsidR="007E4CD0" w:rsidRPr="00131BD8">
        <w:rPr>
          <w:sz w:val="20"/>
          <w:szCs w:val="20"/>
          <w:lang w:val="es-CO"/>
        </w:rPr>
        <w:t xml:space="preserve">su derecho al interés superior y de acceso a la justicia por cuanto el ICBF denunció ante la fiscalía los delitos de explotación y violencia sexual, mas </w:t>
      </w:r>
      <w:r w:rsidR="009451F0" w:rsidRPr="00131BD8">
        <w:rPr>
          <w:sz w:val="20"/>
          <w:szCs w:val="20"/>
          <w:lang w:val="es-CO"/>
        </w:rPr>
        <w:t xml:space="preserve">no </w:t>
      </w:r>
      <w:r w:rsidR="007E4CD0" w:rsidRPr="00131BD8">
        <w:rPr>
          <w:sz w:val="20"/>
          <w:szCs w:val="20"/>
          <w:lang w:val="es-CO"/>
        </w:rPr>
        <w:t>el de trata de personas</w:t>
      </w:r>
      <w:r w:rsidR="009451F0" w:rsidRPr="00131BD8">
        <w:rPr>
          <w:sz w:val="20"/>
          <w:szCs w:val="20"/>
          <w:lang w:val="es-CO"/>
        </w:rPr>
        <w:t>. De igual manera, la Corte Constitucional también omitió compulsar copias a la fiscalía para l</w:t>
      </w:r>
      <w:r w:rsidR="00851B12" w:rsidRPr="00131BD8">
        <w:rPr>
          <w:sz w:val="20"/>
          <w:szCs w:val="20"/>
          <w:lang w:val="es-CO"/>
        </w:rPr>
        <w:t>a</w:t>
      </w:r>
      <w:r w:rsidR="009451F0" w:rsidRPr="00131BD8">
        <w:rPr>
          <w:sz w:val="20"/>
          <w:szCs w:val="20"/>
          <w:lang w:val="es-CO"/>
        </w:rPr>
        <w:t xml:space="preserve"> investigación de este delito, </w:t>
      </w:r>
      <w:r w:rsidR="00851B12" w:rsidRPr="00131BD8">
        <w:rPr>
          <w:sz w:val="20"/>
          <w:szCs w:val="20"/>
          <w:lang w:val="es-CO"/>
        </w:rPr>
        <w:t>y en ningún momento, alguna de las autoridades que intervino en el proceso le brindó as</w:t>
      </w:r>
      <w:r w:rsidR="00EB02EA" w:rsidRPr="00131BD8">
        <w:rPr>
          <w:sz w:val="20"/>
          <w:szCs w:val="20"/>
          <w:lang w:val="es-CO"/>
        </w:rPr>
        <w:t>istencia jurídica a la adolescente para interponer recursos, solicitar reparaciones y la atención integral que le correspondía, en violación de sus derechos a la niñez</w:t>
      </w:r>
      <w:r w:rsidR="001569F1" w:rsidRPr="00131BD8">
        <w:rPr>
          <w:sz w:val="20"/>
          <w:szCs w:val="20"/>
          <w:lang w:val="es-CO"/>
        </w:rPr>
        <w:t xml:space="preserve"> y</w:t>
      </w:r>
      <w:r w:rsidR="00EB02EA" w:rsidRPr="00131BD8">
        <w:rPr>
          <w:sz w:val="20"/>
          <w:szCs w:val="20"/>
          <w:lang w:val="es-CO"/>
        </w:rPr>
        <w:t xml:space="preserve"> a ser oída.</w:t>
      </w:r>
      <w:r w:rsidR="001C591E" w:rsidRPr="00131BD8">
        <w:rPr>
          <w:sz w:val="20"/>
          <w:szCs w:val="20"/>
          <w:lang w:val="es-CO"/>
        </w:rPr>
        <w:t xml:space="preserve"> Asimismo, </w:t>
      </w:r>
      <w:r w:rsidR="003B2A54" w:rsidRPr="00131BD8">
        <w:rPr>
          <w:sz w:val="20"/>
          <w:szCs w:val="20"/>
          <w:lang w:val="es-CO"/>
        </w:rPr>
        <w:t>argumenta que el Estado violó la prohibición de esclavitud y servidumbre en la medida en que no investigó el caso como trata de personas, ni lo analizó como tal en sus pronunciamientos judiciales, ni adoptó las medidas necesarias para evitar su repetición</w:t>
      </w:r>
      <w:r w:rsidR="00E713D7" w:rsidRPr="00131BD8">
        <w:rPr>
          <w:sz w:val="20"/>
          <w:szCs w:val="20"/>
          <w:lang w:val="es-CO"/>
        </w:rPr>
        <w:t>;</w:t>
      </w:r>
      <w:r w:rsidR="00710785" w:rsidRPr="00131BD8">
        <w:rPr>
          <w:sz w:val="20"/>
          <w:szCs w:val="20"/>
          <w:lang w:val="es-CO"/>
        </w:rPr>
        <w:t xml:space="preserve"> lo que, a su vez, redunda en la violación de la prohibición de la violencia contra la mujer, consagrada en el artículo 7 de la Convención de Belém do Para.</w:t>
      </w:r>
      <w:r w:rsidR="006B55DD" w:rsidRPr="00131BD8">
        <w:rPr>
          <w:sz w:val="20"/>
          <w:szCs w:val="20"/>
          <w:lang w:val="es-CO"/>
        </w:rPr>
        <w:t xml:space="preserve"> Ello por cuanto </w:t>
      </w:r>
      <w:r w:rsidR="00716324" w:rsidRPr="00131BD8">
        <w:rPr>
          <w:sz w:val="20"/>
          <w:szCs w:val="20"/>
          <w:lang w:val="es-CO"/>
        </w:rPr>
        <w:t>no desplegó las actuaciones de investigación con la debida diligencia reforzada, ni el enfoque de género</w:t>
      </w:r>
      <w:r w:rsidR="00BF3980" w:rsidRPr="00131BD8">
        <w:rPr>
          <w:sz w:val="20"/>
          <w:szCs w:val="20"/>
          <w:lang w:val="es-CO"/>
        </w:rPr>
        <w:t xml:space="preserve"> e interseccional</w:t>
      </w:r>
      <w:r w:rsidR="00C64A27" w:rsidRPr="00131BD8">
        <w:rPr>
          <w:sz w:val="20"/>
          <w:szCs w:val="20"/>
          <w:lang w:val="es-CO"/>
        </w:rPr>
        <w:t xml:space="preserve"> </w:t>
      </w:r>
      <w:r w:rsidR="00716324" w:rsidRPr="00131BD8">
        <w:rPr>
          <w:sz w:val="20"/>
          <w:szCs w:val="20"/>
          <w:lang w:val="es-CO"/>
        </w:rPr>
        <w:t>que requería el caso</w:t>
      </w:r>
      <w:r w:rsidR="00C64A27" w:rsidRPr="00131BD8">
        <w:rPr>
          <w:sz w:val="20"/>
          <w:szCs w:val="20"/>
          <w:lang w:val="es-CO"/>
        </w:rPr>
        <w:t xml:space="preserve"> por tratarse de una adolescente migrante</w:t>
      </w:r>
      <w:r w:rsidR="00716324" w:rsidRPr="00131BD8">
        <w:rPr>
          <w:sz w:val="20"/>
          <w:szCs w:val="20"/>
          <w:lang w:val="es-CO"/>
        </w:rPr>
        <w:t>.</w:t>
      </w:r>
    </w:p>
    <w:p w14:paraId="7CFB56BF" w14:textId="770AAFB4" w:rsidR="006E621A" w:rsidRPr="00131BD8" w:rsidRDefault="00442161" w:rsidP="006E621A">
      <w:pPr>
        <w:pStyle w:val="ListParagraph"/>
        <w:numPr>
          <w:ilvl w:val="0"/>
          <w:numId w:val="61"/>
        </w:numPr>
        <w:ind w:left="0" w:firstLine="720"/>
        <w:jc w:val="both"/>
        <w:rPr>
          <w:rFonts w:asciiTheme="majorHAnsi" w:hAnsiTheme="majorHAnsi"/>
          <w:bCs/>
          <w:sz w:val="20"/>
          <w:szCs w:val="20"/>
          <w:lang w:val="es-UY"/>
        </w:rPr>
      </w:pPr>
      <w:r w:rsidRPr="00131BD8">
        <w:rPr>
          <w:rFonts w:asciiTheme="majorHAnsi" w:hAnsiTheme="majorHAnsi"/>
          <w:bCs/>
          <w:sz w:val="20"/>
          <w:szCs w:val="20"/>
          <w:lang w:val="es-UY"/>
        </w:rPr>
        <w:t xml:space="preserve">En vista de lo anterior, </w:t>
      </w:r>
      <w:r w:rsidR="00393CD2" w:rsidRPr="00131BD8">
        <w:rPr>
          <w:rFonts w:asciiTheme="majorHAnsi" w:hAnsiTheme="majorHAnsi"/>
          <w:bCs/>
          <w:sz w:val="20"/>
          <w:szCs w:val="20"/>
          <w:lang w:val="es-UY"/>
        </w:rPr>
        <w:t xml:space="preserve">la parte peticionaria aduce que el Estado es responsable de la violación de los derechos </w:t>
      </w:r>
      <w:r w:rsidR="00494019" w:rsidRPr="00131BD8">
        <w:rPr>
          <w:rFonts w:asciiTheme="majorHAnsi" w:hAnsiTheme="majorHAnsi"/>
          <w:bCs/>
          <w:sz w:val="20"/>
          <w:szCs w:val="20"/>
          <w:lang w:val="es-UY"/>
        </w:rPr>
        <w:t xml:space="preserve">de </w:t>
      </w:r>
      <w:r w:rsidR="00142329" w:rsidRPr="00131BD8">
        <w:rPr>
          <w:rFonts w:asciiTheme="majorHAnsi" w:hAnsiTheme="majorHAnsi"/>
          <w:bCs/>
          <w:i/>
          <w:iCs/>
          <w:sz w:val="20"/>
          <w:szCs w:val="20"/>
          <w:lang w:val="es-UY"/>
        </w:rPr>
        <w:t>Remedios</w:t>
      </w:r>
      <w:r w:rsidR="00D325E5" w:rsidRPr="00131BD8">
        <w:rPr>
          <w:rFonts w:asciiTheme="majorHAnsi" w:hAnsiTheme="majorHAnsi"/>
          <w:bCs/>
          <w:i/>
          <w:iCs/>
          <w:sz w:val="20"/>
          <w:szCs w:val="20"/>
          <w:lang w:val="es-UY"/>
        </w:rPr>
        <w:t>,</w:t>
      </w:r>
      <w:r w:rsidR="00494019" w:rsidRPr="00131BD8">
        <w:rPr>
          <w:rFonts w:asciiTheme="majorHAnsi" w:hAnsiTheme="majorHAnsi"/>
          <w:bCs/>
          <w:sz w:val="20"/>
          <w:szCs w:val="20"/>
          <w:lang w:val="es-UY"/>
        </w:rPr>
        <w:t xml:space="preserve"> toda vez que omitió identificarla como víctima de trata de personas</w:t>
      </w:r>
      <w:r w:rsidR="0088289A" w:rsidRPr="00131BD8">
        <w:rPr>
          <w:rFonts w:asciiTheme="majorHAnsi" w:hAnsiTheme="majorHAnsi"/>
          <w:bCs/>
          <w:sz w:val="20"/>
          <w:szCs w:val="20"/>
          <w:lang w:val="es-UY"/>
        </w:rPr>
        <w:t>, dar una respuesta</w:t>
      </w:r>
      <w:r w:rsidR="00494019" w:rsidRPr="00131BD8">
        <w:rPr>
          <w:rFonts w:asciiTheme="majorHAnsi" w:hAnsiTheme="majorHAnsi"/>
          <w:bCs/>
          <w:sz w:val="20"/>
          <w:szCs w:val="20"/>
          <w:lang w:val="es-UY"/>
        </w:rPr>
        <w:t xml:space="preserve"> </w:t>
      </w:r>
      <w:r w:rsidR="0088289A" w:rsidRPr="00131BD8">
        <w:rPr>
          <w:rFonts w:asciiTheme="majorHAnsi" w:hAnsiTheme="majorHAnsi"/>
          <w:bCs/>
          <w:sz w:val="20"/>
          <w:szCs w:val="20"/>
          <w:lang w:val="es-UY"/>
        </w:rPr>
        <w:t xml:space="preserve">integral al caso </w:t>
      </w:r>
      <w:r w:rsidR="00494019" w:rsidRPr="00131BD8">
        <w:rPr>
          <w:rFonts w:asciiTheme="majorHAnsi" w:hAnsiTheme="majorHAnsi"/>
          <w:bCs/>
          <w:sz w:val="20"/>
          <w:szCs w:val="20"/>
          <w:lang w:val="es-UY"/>
        </w:rPr>
        <w:t xml:space="preserve">y seguir los protocolos de atención en salud, albergue y protección de la adolescente y de su hija, </w:t>
      </w:r>
      <w:r w:rsidR="000D37E0" w:rsidRPr="00131BD8">
        <w:rPr>
          <w:rFonts w:asciiTheme="majorHAnsi" w:hAnsiTheme="majorHAnsi"/>
          <w:bCs/>
          <w:sz w:val="20"/>
          <w:szCs w:val="20"/>
          <w:lang w:val="es-UY"/>
        </w:rPr>
        <w:t xml:space="preserve">pese al agotamiento de la acción de tutela como mecanismo a través del cual se planteó el reclamo ante la Corte Constitucional para el manejo adecuado del caso. </w:t>
      </w:r>
      <w:r w:rsidR="00F669CB" w:rsidRPr="00131BD8">
        <w:rPr>
          <w:rFonts w:asciiTheme="majorHAnsi" w:hAnsiTheme="majorHAnsi"/>
          <w:bCs/>
          <w:sz w:val="20"/>
          <w:szCs w:val="20"/>
          <w:lang w:val="es-UY"/>
        </w:rPr>
        <w:t>En tal sentido, afirma que los recursos internos quedaron agotados con la sentencia de dicho tribunal, que fue notificada el 9 de febrero de 2017, por lo cual, la petición cumple con los requisitos de admisibilidad y de agotamiento y plazo de presentación.</w:t>
      </w:r>
    </w:p>
    <w:p w14:paraId="0CF2EE98" w14:textId="09E124B3" w:rsidR="001D6B14" w:rsidRPr="00131BD8" w:rsidRDefault="00F669CB" w:rsidP="00D52539">
      <w:pPr>
        <w:pStyle w:val="ListParagraph"/>
        <w:numPr>
          <w:ilvl w:val="0"/>
          <w:numId w:val="61"/>
        </w:numPr>
        <w:ind w:left="0" w:firstLine="720"/>
        <w:jc w:val="both"/>
        <w:rPr>
          <w:rFonts w:asciiTheme="majorHAnsi" w:hAnsiTheme="majorHAnsi"/>
          <w:bCs/>
          <w:sz w:val="20"/>
          <w:szCs w:val="20"/>
          <w:lang w:val="es-UY"/>
        </w:rPr>
      </w:pPr>
      <w:r w:rsidRPr="00131BD8">
        <w:rPr>
          <w:rFonts w:asciiTheme="majorHAnsi" w:hAnsiTheme="majorHAnsi"/>
          <w:bCs/>
          <w:sz w:val="20"/>
          <w:szCs w:val="20"/>
          <w:lang w:val="es-UY"/>
        </w:rPr>
        <w:t xml:space="preserve">En comunicaciones posteriores, la parte peticionaria informa a la CIDH de la imposibilidad de establecer comunicación con </w:t>
      </w:r>
      <w:r w:rsidR="00142329" w:rsidRPr="00131BD8">
        <w:rPr>
          <w:rFonts w:asciiTheme="majorHAnsi" w:hAnsiTheme="majorHAnsi"/>
          <w:bCs/>
          <w:i/>
          <w:iCs/>
          <w:sz w:val="20"/>
          <w:szCs w:val="20"/>
          <w:lang w:val="es-UY"/>
        </w:rPr>
        <w:t>Remedios</w:t>
      </w:r>
      <w:r w:rsidR="00C63E04" w:rsidRPr="00131BD8">
        <w:rPr>
          <w:rFonts w:asciiTheme="majorHAnsi" w:hAnsiTheme="majorHAnsi"/>
          <w:bCs/>
          <w:sz w:val="20"/>
          <w:szCs w:val="20"/>
          <w:lang w:val="es-UY"/>
        </w:rPr>
        <w:t xml:space="preserve"> por falta de permisos del ICBF</w:t>
      </w:r>
      <w:r w:rsidR="00E31539" w:rsidRPr="00131BD8">
        <w:rPr>
          <w:rFonts w:asciiTheme="majorHAnsi" w:hAnsiTheme="majorHAnsi"/>
          <w:bCs/>
          <w:sz w:val="20"/>
          <w:szCs w:val="20"/>
          <w:lang w:val="es-UY"/>
        </w:rPr>
        <w:t xml:space="preserve"> para acceder a entrevistas con ella en el internado para adolescentes y madres mayores de </w:t>
      </w:r>
      <w:r w:rsidR="00D325E5" w:rsidRPr="00131BD8">
        <w:rPr>
          <w:rFonts w:asciiTheme="majorHAnsi" w:hAnsiTheme="majorHAnsi"/>
          <w:bCs/>
          <w:sz w:val="20"/>
          <w:szCs w:val="20"/>
          <w:lang w:val="es-UY"/>
        </w:rPr>
        <w:t xml:space="preserve">18 </w:t>
      </w:r>
      <w:r w:rsidR="00E31539" w:rsidRPr="00131BD8">
        <w:rPr>
          <w:rFonts w:asciiTheme="majorHAnsi" w:hAnsiTheme="majorHAnsi"/>
          <w:bCs/>
          <w:sz w:val="20"/>
          <w:szCs w:val="20"/>
          <w:lang w:val="es-UY"/>
        </w:rPr>
        <w:t>años gestantes.</w:t>
      </w:r>
      <w:r w:rsidR="00EE613A" w:rsidRPr="00131BD8">
        <w:rPr>
          <w:rFonts w:asciiTheme="majorHAnsi" w:hAnsiTheme="majorHAnsi"/>
          <w:bCs/>
          <w:sz w:val="20"/>
          <w:szCs w:val="20"/>
          <w:lang w:val="es-UY"/>
        </w:rPr>
        <w:t xml:space="preserve"> </w:t>
      </w:r>
      <w:r w:rsidR="00B70ACC" w:rsidRPr="00131BD8">
        <w:rPr>
          <w:rFonts w:asciiTheme="majorHAnsi" w:hAnsiTheme="majorHAnsi"/>
          <w:bCs/>
          <w:sz w:val="20"/>
          <w:szCs w:val="20"/>
          <w:lang w:val="es-UY"/>
        </w:rPr>
        <w:t>En l</w:t>
      </w:r>
      <w:r w:rsidR="00EE613A" w:rsidRPr="00131BD8">
        <w:rPr>
          <w:rFonts w:asciiTheme="majorHAnsi" w:hAnsiTheme="majorHAnsi"/>
          <w:bCs/>
          <w:sz w:val="20"/>
          <w:szCs w:val="20"/>
          <w:lang w:val="es-UY"/>
        </w:rPr>
        <w:t xml:space="preserve">a última comunicación recibida </w:t>
      </w:r>
      <w:r w:rsidR="00C90CD2" w:rsidRPr="00131BD8">
        <w:rPr>
          <w:rFonts w:asciiTheme="majorHAnsi" w:hAnsiTheme="majorHAnsi"/>
          <w:bCs/>
          <w:sz w:val="20"/>
          <w:szCs w:val="20"/>
          <w:lang w:val="es-UY"/>
        </w:rPr>
        <w:t xml:space="preserve">de la parte peticionaria en enero de 2024, </w:t>
      </w:r>
      <w:r w:rsidR="00B70ACC" w:rsidRPr="00131BD8">
        <w:rPr>
          <w:rFonts w:asciiTheme="majorHAnsi" w:hAnsiTheme="majorHAnsi"/>
          <w:bCs/>
          <w:sz w:val="20"/>
          <w:szCs w:val="20"/>
          <w:lang w:val="es-UY"/>
        </w:rPr>
        <w:t xml:space="preserve">Women’s Link Worlwide pone en conocimiento de la Comisión que perdieron contacto con </w:t>
      </w:r>
      <w:r w:rsidR="00142329" w:rsidRPr="00131BD8">
        <w:rPr>
          <w:rFonts w:asciiTheme="majorHAnsi" w:hAnsiTheme="majorHAnsi"/>
          <w:bCs/>
          <w:i/>
          <w:iCs/>
          <w:sz w:val="20"/>
          <w:szCs w:val="20"/>
          <w:lang w:val="es-UY"/>
        </w:rPr>
        <w:t>Remedios</w:t>
      </w:r>
      <w:r w:rsidR="0009349B" w:rsidRPr="00131BD8">
        <w:rPr>
          <w:rFonts w:asciiTheme="majorHAnsi" w:hAnsiTheme="majorHAnsi"/>
          <w:bCs/>
          <w:sz w:val="20"/>
          <w:szCs w:val="20"/>
          <w:lang w:val="es-UY"/>
        </w:rPr>
        <w:t xml:space="preserve"> desde hacía varios meses</w:t>
      </w:r>
      <w:r w:rsidR="0024275E" w:rsidRPr="00131BD8">
        <w:rPr>
          <w:rFonts w:asciiTheme="majorHAnsi" w:hAnsiTheme="majorHAnsi"/>
          <w:bCs/>
          <w:sz w:val="20"/>
          <w:szCs w:val="20"/>
          <w:lang w:val="es-UY"/>
        </w:rPr>
        <w:t xml:space="preserve">, y </w:t>
      </w:r>
      <w:r w:rsidR="0009349B" w:rsidRPr="00131BD8">
        <w:rPr>
          <w:rFonts w:asciiTheme="majorHAnsi" w:hAnsiTheme="majorHAnsi"/>
          <w:bCs/>
          <w:sz w:val="20"/>
          <w:szCs w:val="20"/>
          <w:lang w:val="es-UY"/>
        </w:rPr>
        <w:t>estim</w:t>
      </w:r>
      <w:r w:rsidR="0024275E" w:rsidRPr="00131BD8">
        <w:rPr>
          <w:rFonts w:asciiTheme="majorHAnsi" w:hAnsiTheme="majorHAnsi"/>
          <w:bCs/>
          <w:sz w:val="20"/>
          <w:szCs w:val="20"/>
          <w:lang w:val="es-UY"/>
        </w:rPr>
        <w:t>an que “</w:t>
      </w:r>
      <w:r w:rsidR="0024275E" w:rsidRPr="00131BD8">
        <w:rPr>
          <w:rFonts w:asciiTheme="majorHAnsi" w:hAnsiTheme="majorHAnsi"/>
          <w:bCs/>
          <w:i/>
          <w:iCs/>
          <w:sz w:val="20"/>
          <w:szCs w:val="20"/>
          <w:lang w:val="es-UY"/>
        </w:rPr>
        <w:t>existen indicios suficientes para considerar que esto obedece a que ella se encuentra nuevamente en una situación de trata de personas. Al respecto, el 20 de diciembre de 2023 hemos interpuesto la denuncia correspondiente ante las autoridades competentes</w:t>
      </w:r>
      <w:r w:rsidR="0024275E" w:rsidRPr="00131BD8">
        <w:rPr>
          <w:rFonts w:asciiTheme="majorHAnsi" w:hAnsiTheme="majorHAnsi"/>
          <w:bCs/>
          <w:sz w:val="20"/>
          <w:szCs w:val="20"/>
          <w:lang w:val="es-UY"/>
        </w:rPr>
        <w:t>”.</w:t>
      </w:r>
      <w:r w:rsidR="001D6B14" w:rsidRPr="00131BD8">
        <w:rPr>
          <w:rFonts w:asciiTheme="majorHAnsi" w:hAnsiTheme="majorHAnsi"/>
          <w:bCs/>
          <w:sz w:val="20"/>
          <w:szCs w:val="20"/>
          <w:lang w:val="es-UY"/>
        </w:rPr>
        <w:t xml:space="preserve"> El Estado no se ha pronunciado respecto de esta situación actual.</w:t>
      </w:r>
    </w:p>
    <w:p w14:paraId="142267EB" w14:textId="76C75939" w:rsidR="00890DA0" w:rsidRPr="00131BD8" w:rsidRDefault="00125980" w:rsidP="002E5A4F">
      <w:pPr>
        <w:pStyle w:val="ListParagraph"/>
        <w:numPr>
          <w:ilvl w:val="0"/>
          <w:numId w:val="0"/>
        </w:numPr>
        <w:ind w:left="720"/>
        <w:jc w:val="both"/>
        <w:rPr>
          <w:rFonts w:asciiTheme="majorHAnsi" w:hAnsiTheme="majorHAnsi"/>
          <w:b/>
          <w:bCs/>
          <w:sz w:val="20"/>
          <w:szCs w:val="20"/>
          <w:lang w:val="es-UY"/>
        </w:rPr>
      </w:pPr>
      <w:r w:rsidRPr="00131BD8">
        <w:rPr>
          <w:b/>
          <w:bCs/>
          <w:sz w:val="20"/>
          <w:szCs w:val="20"/>
          <w:lang w:val="es-AR"/>
        </w:rPr>
        <w:t xml:space="preserve">El </w:t>
      </w:r>
      <w:r w:rsidR="00890DA0" w:rsidRPr="00131BD8">
        <w:rPr>
          <w:b/>
          <w:bCs/>
          <w:sz w:val="20"/>
          <w:szCs w:val="20"/>
          <w:lang w:val="es-AR"/>
        </w:rPr>
        <w:t>Estado</w:t>
      </w:r>
      <w:r w:rsidRPr="00131BD8">
        <w:rPr>
          <w:b/>
          <w:bCs/>
          <w:sz w:val="20"/>
          <w:szCs w:val="20"/>
          <w:lang w:val="es-AR"/>
        </w:rPr>
        <w:t xml:space="preserve"> </w:t>
      </w:r>
      <w:r w:rsidR="00946970" w:rsidRPr="00131BD8">
        <w:rPr>
          <w:b/>
          <w:bCs/>
          <w:sz w:val="20"/>
          <w:szCs w:val="20"/>
          <w:lang w:val="es-AR"/>
        </w:rPr>
        <w:t>colombiano</w:t>
      </w:r>
    </w:p>
    <w:p w14:paraId="6DDE4A73" w14:textId="76C9A561" w:rsidR="006656D7" w:rsidRPr="00131BD8" w:rsidRDefault="00705002" w:rsidP="006E621A">
      <w:pPr>
        <w:pStyle w:val="ListParagraph"/>
        <w:numPr>
          <w:ilvl w:val="0"/>
          <w:numId w:val="61"/>
        </w:numPr>
        <w:ind w:left="0" w:firstLine="720"/>
        <w:jc w:val="both"/>
        <w:rPr>
          <w:rFonts w:asciiTheme="majorHAnsi" w:hAnsiTheme="majorHAnsi"/>
          <w:bCs/>
          <w:sz w:val="20"/>
          <w:szCs w:val="20"/>
          <w:lang w:val="es-UY"/>
        </w:rPr>
      </w:pPr>
      <w:r w:rsidRPr="00131BD8">
        <w:rPr>
          <w:sz w:val="20"/>
          <w:szCs w:val="20"/>
          <w:lang w:val="es-AR"/>
        </w:rPr>
        <w:t>E</w:t>
      </w:r>
      <w:r w:rsidR="00B93D7F" w:rsidRPr="00131BD8">
        <w:rPr>
          <w:sz w:val="20"/>
          <w:szCs w:val="20"/>
          <w:lang w:val="es-AR"/>
        </w:rPr>
        <w:t>l Es</w:t>
      </w:r>
      <w:r w:rsidR="003F5154" w:rsidRPr="00131BD8">
        <w:rPr>
          <w:sz w:val="20"/>
          <w:szCs w:val="20"/>
          <w:lang w:val="es-AR"/>
        </w:rPr>
        <w:t xml:space="preserve">tado, </w:t>
      </w:r>
      <w:r w:rsidRPr="00131BD8">
        <w:rPr>
          <w:sz w:val="20"/>
          <w:szCs w:val="20"/>
          <w:lang w:val="es-AR"/>
        </w:rPr>
        <w:t>por su parte</w:t>
      </w:r>
      <w:r w:rsidR="00D75AC9" w:rsidRPr="00131BD8">
        <w:rPr>
          <w:sz w:val="20"/>
          <w:szCs w:val="20"/>
          <w:lang w:val="es-AR"/>
        </w:rPr>
        <w:t>,</w:t>
      </w:r>
      <w:r w:rsidR="009578A4" w:rsidRPr="00131BD8">
        <w:rPr>
          <w:sz w:val="20"/>
          <w:szCs w:val="20"/>
          <w:lang w:val="es-AR"/>
        </w:rPr>
        <w:t xml:space="preserve"> </w:t>
      </w:r>
      <w:r w:rsidR="006656D7" w:rsidRPr="00131BD8">
        <w:rPr>
          <w:sz w:val="20"/>
          <w:szCs w:val="20"/>
          <w:lang w:val="es-AR"/>
        </w:rPr>
        <w:t>replica que la presente petición es inadmisible por falta de agotamiento de los recursos internos y por la configuración de la denominada “fórmula de la cuarta instancia internacional”.</w:t>
      </w:r>
    </w:p>
    <w:p w14:paraId="68A417B2" w14:textId="6720CB83" w:rsidR="00B93D7F" w:rsidRPr="00131BD8" w:rsidRDefault="006656D7" w:rsidP="004F0168">
      <w:pPr>
        <w:pStyle w:val="ListParagraph"/>
        <w:numPr>
          <w:ilvl w:val="0"/>
          <w:numId w:val="61"/>
        </w:numPr>
        <w:ind w:left="0" w:firstLine="720"/>
        <w:jc w:val="both"/>
        <w:rPr>
          <w:rFonts w:asciiTheme="majorHAnsi" w:hAnsiTheme="majorHAnsi"/>
          <w:bCs/>
          <w:sz w:val="20"/>
          <w:szCs w:val="20"/>
          <w:lang w:val="es-UY"/>
        </w:rPr>
      </w:pPr>
      <w:r w:rsidRPr="00131BD8">
        <w:rPr>
          <w:sz w:val="20"/>
          <w:szCs w:val="20"/>
          <w:lang w:val="es-UY"/>
        </w:rPr>
        <w:t xml:space="preserve">Con respecto a los hechos denunciados, </w:t>
      </w:r>
      <w:r w:rsidR="00F574BA" w:rsidRPr="00131BD8">
        <w:rPr>
          <w:sz w:val="20"/>
          <w:szCs w:val="20"/>
          <w:lang w:val="es-AR"/>
        </w:rPr>
        <w:t xml:space="preserve">informa en su comunicación de </w:t>
      </w:r>
      <w:r w:rsidR="00C86D8B" w:rsidRPr="00131BD8">
        <w:rPr>
          <w:sz w:val="20"/>
          <w:szCs w:val="20"/>
          <w:lang w:val="es-AR"/>
        </w:rPr>
        <w:t>enero de 2021</w:t>
      </w:r>
      <w:r w:rsidR="00FB48CA" w:rsidRPr="00131BD8">
        <w:rPr>
          <w:sz w:val="20"/>
          <w:szCs w:val="20"/>
          <w:lang w:val="es-AR"/>
        </w:rPr>
        <w:t xml:space="preserve"> que el 21 de septiembre de 2017 el ICBF dispuso que </w:t>
      </w:r>
      <w:r w:rsidR="00142329" w:rsidRPr="00131BD8">
        <w:rPr>
          <w:i/>
          <w:iCs/>
          <w:sz w:val="20"/>
          <w:szCs w:val="20"/>
          <w:lang w:val="es-AR"/>
        </w:rPr>
        <w:t>Remedios</w:t>
      </w:r>
      <w:r w:rsidR="00FB48CA" w:rsidRPr="00131BD8">
        <w:rPr>
          <w:sz w:val="20"/>
          <w:szCs w:val="20"/>
          <w:lang w:val="es-AR"/>
        </w:rPr>
        <w:t xml:space="preserve"> asistiera </w:t>
      </w:r>
      <w:r w:rsidR="006D2A62" w:rsidRPr="00131BD8">
        <w:rPr>
          <w:sz w:val="20"/>
          <w:szCs w:val="20"/>
          <w:lang w:val="es-AR"/>
        </w:rPr>
        <w:t>a un internado, y desde entonces ha recibido atención integral por parte del equipo interdisciplinario de la entidad</w:t>
      </w:r>
      <w:r w:rsidR="003F5154" w:rsidRPr="00131BD8">
        <w:rPr>
          <w:sz w:val="20"/>
          <w:szCs w:val="20"/>
          <w:lang w:val="es-AR"/>
        </w:rPr>
        <w:t>.</w:t>
      </w:r>
      <w:r w:rsidR="006534C2" w:rsidRPr="00131BD8">
        <w:rPr>
          <w:sz w:val="20"/>
          <w:szCs w:val="20"/>
          <w:lang w:val="es-AR"/>
        </w:rPr>
        <w:t xml:space="preserve"> </w:t>
      </w:r>
      <w:r w:rsidR="00C92BC9" w:rsidRPr="00131BD8">
        <w:rPr>
          <w:sz w:val="20"/>
          <w:szCs w:val="20"/>
          <w:lang w:val="es-AR"/>
        </w:rPr>
        <w:t xml:space="preserve">Reseña que la </w:t>
      </w:r>
      <w:r w:rsidR="00F44440" w:rsidRPr="00131BD8">
        <w:rPr>
          <w:sz w:val="20"/>
          <w:szCs w:val="20"/>
          <w:lang w:val="es-AR"/>
        </w:rPr>
        <w:t>F</w:t>
      </w:r>
      <w:r w:rsidR="00C92BC9" w:rsidRPr="00131BD8">
        <w:rPr>
          <w:sz w:val="20"/>
          <w:szCs w:val="20"/>
          <w:lang w:val="es-AR"/>
        </w:rPr>
        <w:t xml:space="preserve">iscalía </w:t>
      </w:r>
      <w:r w:rsidR="00F44440" w:rsidRPr="00131BD8">
        <w:rPr>
          <w:sz w:val="20"/>
          <w:szCs w:val="20"/>
          <w:lang w:val="es-AR"/>
        </w:rPr>
        <w:t xml:space="preserve">5 Seccional de </w:t>
      </w:r>
      <w:r w:rsidR="00F44440" w:rsidRPr="00131BD8">
        <w:rPr>
          <w:sz w:val="20"/>
          <w:szCs w:val="20"/>
          <w:lang w:val="es-AR"/>
        </w:rPr>
        <w:lastRenderedPageBreak/>
        <w:t xml:space="preserve">Arauca </w:t>
      </w:r>
      <w:r w:rsidR="00C92BC9" w:rsidRPr="00131BD8">
        <w:rPr>
          <w:sz w:val="20"/>
          <w:szCs w:val="20"/>
          <w:lang w:val="es-AR"/>
        </w:rPr>
        <w:t>inició una investigación penal mediante la noticia criminal no. 81001600113201600279</w:t>
      </w:r>
      <w:r w:rsidR="00F44440" w:rsidRPr="00131BD8">
        <w:rPr>
          <w:sz w:val="20"/>
          <w:szCs w:val="20"/>
          <w:lang w:val="es-AR"/>
        </w:rPr>
        <w:t xml:space="preserve"> que se encuentra activa por el delito de acceso carnal abusivo </w:t>
      </w:r>
      <w:r w:rsidR="00B87DE0" w:rsidRPr="00131BD8">
        <w:rPr>
          <w:sz w:val="20"/>
          <w:szCs w:val="20"/>
          <w:lang w:val="es-AR"/>
        </w:rPr>
        <w:t xml:space="preserve">agravado. En el marco de este proceso, se identificó al sospechoso, se ordenó su detención y se impuso medida de aseguramiento con detención preventiva. Al momento de presentación de las observaciones, el Estado indica que </w:t>
      </w:r>
      <w:r w:rsidR="0072782A" w:rsidRPr="00131BD8">
        <w:rPr>
          <w:sz w:val="20"/>
          <w:szCs w:val="20"/>
          <w:lang w:val="es-AR"/>
        </w:rPr>
        <w:t>la fiscalía había presentado un escrito de acusación y el proceso estaba en conocimiento del Juzgado Segunda Penal del circuito de Arauca.</w:t>
      </w:r>
      <w:r w:rsidR="008162B4" w:rsidRPr="00131BD8">
        <w:rPr>
          <w:sz w:val="20"/>
          <w:szCs w:val="20"/>
          <w:lang w:val="es-AR"/>
        </w:rPr>
        <w:t xml:space="preserve"> </w:t>
      </w:r>
      <w:r w:rsidR="006534C2" w:rsidRPr="00131BD8">
        <w:rPr>
          <w:sz w:val="20"/>
          <w:szCs w:val="20"/>
          <w:lang w:val="es-AR"/>
        </w:rPr>
        <w:t xml:space="preserve">Aunado a ello, señala que </w:t>
      </w:r>
      <w:r w:rsidR="00D83C05" w:rsidRPr="00131BD8">
        <w:rPr>
          <w:sz w:val="20"/>
          <w:szCs w:val="20"/>
          <w:lang w:val="es-AR"/>
        </w:rPr>
        <w:t>e</w:t>
      </w:r>
      <w:r w:rsidR="00925550" w:rsidRPr="00131BD8">
        <w:rPr>
          <w:sz w:val="20"/>
          <w:szCs w:val="20"/>
          <w:lang w:val="es-AR"/>
        </w:rPr>
        <w:t xml:space="preserve">l 20 de mayo de 2016 se inscribió en el registro civil </w:t>
      </w:r>
      <w:r w:rsidR="002E640A" w:rsidRPr="00131BD8">
        <w:rPr>
          <w:sz w:val="20"/>
          <w:szCs w:val="20"/>
          <w:lang w:val="es-AR"/>
        </w:rPr>
        <w:t>colombiano su nacimiento y el 15 de noviembre de ese año</w:t>
      </w:r>
      <w:r w:rsidR="00D65862" w:rsidRPr="00131BD8">
        <w:rPr>
          <w:sz w:val="20"/>
          <w:szCs w:val="20"/>
          <w:lang w:val="es-AR"/>
        </w:rPr>
        <w:t xml:space="preserve"> se solicitó la expedición de su tarjeta de identidad</w:t>
      </w:r>
      <w:r w:rsidR="00FF5023" w:rsidRPr="00131BD8">
        <w:rPr>
          <w:sz w:val="20"/>
          <w:szCs w:val="20"/>
          <w:lang w:val="es-AR"/>
        </w:rPr>
        <w:t>, la cual fue entregada el 27 de febrero de 20</w:t>
      </w:r>
      <w:r w:rsidR="0011111B" w:rsidRPr="00131BD8">
        <w:rPr>
          <w:sz w:val="20"/>
          <w:szCs w:val="20"/>
          <w:lang w:val="es-AR"/>
        </w:rPr>
        <w:t>1</w:t>
      </w:r>
      <w:r w:rsidR="00FF5023" w:rsidRPr="00131BD8">
        <w:rPr>
          <w:sz w:val="20"/>
          <w:szCs w:val="20"/>
          <w:lang w:val="es-AR"/>
        </w:rPr>
        <w:t>7</w:t>
      </w:r>
      <w:r w:rsidR="00986B53" w:rsidRPr="00131BD8">
        <w:rPr>
          <w:sz w:val="20"/>
          <w:szCs w:val="20"/>
          <w:lang w:val="es-AR"/>
        </w:rPr>
        <w:t>. También se expidió el registro civil de su hija el 17 de febrero de 2017.</w:t>
      </w:r>
    </w:p>
    <w:p w14:paraId="1B1FCF80" w14:textId="77AED83A" w:rsidR="003C0EBE" w:rsidRPr="00131BD8" w:rsidRDefault="008162B4" w:rsidP="006E621A">
      <w:pPr>
        <w:pStyle w:val="ListParagraph"/>
        <w:numPr>
          <w:ilvl w:val="0"/>
          <w:numId w:val="61"/>
        </w:numPr>
        <w:ind w:left="0" w:firstLine="720"/>
        <w:jc w:val="both"/>
        <w:rPr>
          <w:rFonts w:asciiTheme="majorHAnsi" w:hAnsiTheme="majorHAnsi"/>
          <w:bCs/>
          <w:sz w:val="20"/>
          <w:szCs w:val="20"/>
          <w:lang w:val="es-UY"/>
        </w:rPr>
      </w:pPr>
      <w:r w:rsidRPr="00131BD8">
        <w:rPr>
          <w:rFonts w:asciiTheme="majorHAnsi" w:hAnsiTheme="majorHAnsi"/>
          <w:bCs/>
          <w:sz w:val="20"/>
          <w:szCs w:val="20"/>
          <w:lang w:val="es-UY"/>
        </w:rPr>
        <w:t xml:space="preserve">En primer lugar, </w:t>
      </w:r>
      <w:r w:rsidR="004472D3" w:rsidRPr="00131BD8">
        <w:rPr>
          <w:rFonts w:asciiTheme="majorHAnsi" w:hAnsiTheme="majorHAnsi"/>
          <w:bCs/>
          <w:sz w:val="20"/>
          <w:szCs w:val="20"/>
          <w:lang w:val="es-UY"/>
        </w:rPr>
        <w:t xml:space="preserve">Colombia recuerda que </w:t>
      </w:r>
      <w:r w:rsidR="00C904BA" w:rsidRPr="00131BD8">
        <w:rPr>
          <w:rFonts w:asciiTheme="majorHAnsi" w:hAnsiTheme="majorHAnsi"/>
          <w:bCs/>
          <w:sz w:val="20"/>
          <w:szCs w:val="20"/>
          <w:lang w:val="es-UY"/>
        </w:rPr>
        <w:t>el artículo 46.1.a) de la Convención Americana dispone el requisito de previo agotamiento de los recursos internos</w:t>
      </w:r>
      <w:r w:rsidR="00A35477" w:rsidRPr="00131BD8">
        <w:rPr>
          <w:rFonts w:asciiTheme="majorHAnsi" w:hAnsiTheme="majorHAnsi"/>
          <w:bCs/>
          <w:sz w:val="20"/>
          <w:szCs w:val="20"/>
          <w:lang w:val="es-UY"/>
        </w:rPr>
        <w:t xml:space="preserve"> </w:t>
      </w:r>
      <w:r w:rsidR="004521B0" w:rsidRPr="00131BD8">
        <w:rPr>
          <w:rFonts w:asciiTheme="majorHAnsi" w:hAnsiTheme="majorHAnsi"/>
          <w:bCs/>
          <w:sz w:val="20"/>
          <w:szCs w:val="20"/>
          <w:lang w:val="es-UY"/>
        </w:rPr>
        <w:t xml:space="preserve">como una condición de admisibilidad, pero también como una garantía a favor del Estado </w:t>
      </w:r>
      <w:r w:rsidR="007E0540" w:rsidRPr="00131BD8">
        <w:rPr>
          <w:rFonts w:asciiTheme="majorHAnsi" w:hAnsiTheme="majorHAnsi"/>
          <w:bCs/>
          <w:sz w:val="20"/>
          <w:szCs w:val="20"/>
          <w:lang w:val="es-UY"/>
        </w:rPr>
        <w:t>para que éste tenga la oportunidad de remediar los reclamos de violaciones de derechos humanos por sus propios medios.</w:t>
      </w:r>
      <w:r w:rsidR="00DA061F" w:rsidRPr="00131BD8">
        <w:rPr>
          <w:rFonts w:asciiTheme="majorHAnsi" w:hAnsiTheme="majorHAnsi"/>
          <w:bCs/>
          <w:sz w:val="20"/>
          <w:szCs w:val="20"/>
          <w:lang w:val="es-UY"/>
        </w:rPr>
        <w:t xml:space="preserve"> En el presente caso, asegura que la parte p</w:t>
      </w:r>
      <w:r w:rsidR="0031521C" w:rsidRPr="00131BD8">
        <w:rPr>
          <w:rFonts w:asciiTheme="majorHAnsi" w:hAnsiTheme="majorHAnsi"/>
          <w:bCs/>
          <w:sz w:val="20"/>
          <w:szCs w:val="20"/>
          <w:lang w:val="es-UY"/>
        </w:rPr>
        <w:t>e</w:t>
      </w:r>
      <w:r w:rsidR="00DA061F" w:rsidRPr="00131BD8">
        <w:rPr>
          <w:rFonts w:asciiTheme="majorHAnsi" w:hAnsiTheme="majorHAnsi"/>
          <w:bCs/>
          <w:sz w:val="20"/>
          <w:szCs w:val="20"/>
          <w:lang w:val="es-UY"/>
        </w:rPr>
        <w:t>ticionari</w:t>
      </w:r>
      <w:r w:rsidR="0031521C" w:rsidRPr="00131BD8">
        <w:rPr>
          <w:rFonts w:asciiTheme="majorHAnsi" w:hAnsiTheme="majorHAnsi"/>
          <w:bCs/>
          <w:sz w:val="20"/>
          <w:szCs w:val="20"/>
          <w:lang w:val="es-UY"/>
        </w:rPr>
        <w:t xml:space="preserve">a no ha agotado el proceso penal que se adelanta por el delito de acceso carnal abusivo, </w:t>
      </w:r>
      <w:r w:rsidR="00195899" w:rsidRPr="00131BD8">
        <w:rPr>
          <w:rFonts w:asciiTheme="majorHAnsi" w:hAnsiTheme="majorHAnsi"/>
          <w:bCs/>
          <w:sz w:val="20"/>
          <w:szCs w:val="20"/>
          <w:lang w:val="es-UY"/>
        </w:rPr>
        <w:t>pues la denuncia fue radicada en marzo de 2016 y, para el 2021, se encontraba en etapa de acusación.</w:t>
      </w:r>
      <w:r w:rsidR="0018370F" w:rsidRPr="00131BD8">
        <w:rPr>
          <w:rFonts w:asciiTheme="majorHAnsi" w:hAnsiTheme="majorHAnsi"/>
          <w:bCs/>
          <w:sz w:val="20"/>
          <w:szCs w:val="20"/>
          <w:lang w:val="es-UY"/>
        </w:rPr>
        <w:t xml:space="preserve"> En ese marco, recuenta que la fiscalía desplegó </w:t>
      </w:r>
      <w:r w:rsidR="00EC3696" w:rsidRPr="00131BD8">
        <w:rPr>
          <w:rFonts w:asciiTheme="majorHAnsi" w:hAnsiTheme="majorHAnsi"/>
          <w:bCs/>
          <w:sz w:val="20"/>
          <w:szCs w:val="20"/>
          <w:lang w:val="es-UY"/>
        </w:rPr>
        <w:t xml:space="preserve">varias actividades investigativas que incluyeron </w:t>
      </w:r>
      <w:r w:rsidR="00761253" w:rsidRPr="00131BD8">
        <w:rPr>
          <w:rFonts w:asciiTheme="majorHAnsi" w:hAnsiTheme="majorHAnsi"/>
          <w:bCs/>
          <w:sz w:val="20"/>
          <w:szCs w:val="20"/>
          <w:lang w:val="es-UY"/>
        </w:rPr>
        <w:t>una visita domiciliaria, entrevistas a testigos, entrevista forense a la adolescente, “labores de vecindarios” y recolección de documentos</w:t>
      </w:r>
      <w:r w:rsidR="00EE78BC" w:rsidRPr="00131BD8">
        <w:rPr>
          <w:rFonts w:asciiTheme="majorHAnsi" w:hAnsiTheme="majorHAnsi"/>
          <w:bCs/>
          <w:sz w:val="20"/>
          <w:szCs w:val="20"/>
          <w:lang w:val="es-UY"/>
        </w:rPr>
        <w:t>.</w:t>
      </w:r>
    </w:p>
    <w:p w14:paraId="1801D51B" w14:textId="1D499CAE" w:rsidR="003400A6" w:rsidRPr="00131BD8" w:rsidRDefault="00C00D9A" w:rsidP="006E621A">
      <w:pPr>
        <w:pStyle w:val="ListParagraph"/>
        <w:numPr>
          <w:ilvl w:val="0"/>
          <w:numId w:val="61"/>
        </w:numPr>
        <w:ind w:left="0" w:firstLine="720"/>
        <w:jc w:val="both"/>
        <w:rPr>
          <w:rFonts w:asciiTheme="majorHAnsi" w:hAnsiTheme="majorHAnsi"/>
          <w:bCs/>
          <w:sz w:val="20"/>
          <w:szCs w:val="20"/>
          <w:lang w:val="es-UY"/>
        </w:rPr>
      </w:pPr>
      <w:r w:rsidRPr="00131BD8">
        <w:rPr>
          <w:rFonts w:asciiTheme="majorHAnsi" w:hAnsiTheme="majorHAnsi"/>
          <w:bCs/>
          <w:sz w:val="20"/>
          <w:szCs w:val="20"/>
          <w:lang w:val="es-UY"/>
        </w:rPr>
        <w:t>Indica</w:t>
      </w:r>
      <w:r w:rsidR="002C642E" w:rsidRPr="00131BD8">
        <w:rPr>
          <w:rFonts w:asciiTheme="majorHAnsi" w:hAnsiTheme="majorHAnsi"/>
          <w:bCs/>
          <w:sz w:val="20"/>
          <w:szCs w:val="20"/>
          <w:lang w:val="es-UY"/>
        </w:rPr>
        <w:t>, además</w:t>
      </w:r>
      <w:r w:rsidR="001F1456" w:rsidRPr="00131BD8">
        <w:rPr>
          <w:rFonts w:asciiTheme="majorHAnsi" w:hAnsiTheme="majorHAnsi"/>
          <w:bCs/>
          <w:sz w:val="20"/>
          <w:szCs w:val="20"/>
          <w:lang w:val="es-UY"/>
        </w:rPr>
        <w:t>,</w:t>
      </w:r>
      <w:r w:rsidR="002C642E" w:rsidRPr="00131BD8">
        <w:rPr>
          <w:rFonts w:asciiTheme="majorHAnsi" w:hAnsiTheme="majorHAnsi"/>
          <w:bCs/>
          <w:sz w:val="20"/>
          <w:szCs w:val="20"/>
          <w:lang w:val="es-UY"/>
        </w:rPr>
        <w:t xml:space="preserve"> que la fiscalía </w:t>
      </w:r>
      <w:r w:rsidR="009E46A7" w:rsidRPr="00131BD8">
        <w:rPr>
          <w:rFonts w:asciiTheme="majorHAnsi" w:hAnsiTheme="majorHAnsi"/>
          <w:bCs/>
          <w:sz w:val="20"/>
          <w:szCs w:val="20"/>
          <w:lang w:val="es-UY"/>
        </w:rPr>
        <w:t xml:space="preserve">ordenó la ruptura de la investigación para tramitar dos procesos distintos: uno contra el padre de la hija de </w:t>
      </w:r>
      <w:r w:rsidR="003D3C36" w:rsidRPr="00131BD8">
        <w:rPr>
          <w:rFonts w:asciiTheme="majorHAnsi" w:hAnsiTheme="majorHAnsi"/>
          <w:bCs/>
          <w:i/>
          <w:iCs/>
          <w:sz w:val="20"/>
          <w:szCs w:val="20"/>
          <w:lang w:val="es-UY"/>
        </w:rPr>
        <w:t>Remedios</w:t>
      </w:r>
      <w:r w:rsidR="009E46A7" w:rsidRPr="00131BD8">
        <w:rPr>
          <w:rFonts w:asciiTheme="majorHAnsi" w:hAnsiTheme="majorHAnsi"/>
          <w:bCs/>
          <w:sz w:val="20"/>
          <w:szCs w:val="20"/>
          <w:lang w:val="es-UY"/>
        </w:rPr>
        <w:t xml:space="preserve"> </w:t>
      </w:r>
      <w:r w:rsidR="00F15E9A" w:rsidRPr="00131BD8">
        <w:rPr>
          <w:rFonts w:asciiTheme="majorHAnsi" w:hAnsiTheme="majorHAnsi"/>
          <w:bCs/>
          <w:sz w:val="20"/>
          <w:szCs w:val="20"/>
          <w:lang w:val="es-UY"/>
        </w:rPr>
        <w:t xml:space="preserve">y otros posibles responsables </w:t>
      </w:r>
      <w:r w:rsidR="009E46A7" w:rsidRPr="00131BD8">
        <w:rPr>
          <w:rFonts w:asciiTheme="majorHAnsi" w:hAnsiTheme="majorHAnsi"/>
          <w:bCs/>
          <w:sz w:val="20"/>
          <w:szCs w:val="20"/>
          <w:lang w:val="es-UY"/>
        </w:rPr>
        <w:t>por el delito de ac</w:t>
      </w:r>
      <w:r w:rsidR="00BD62FA" w:rsidRPr="00131BD8">
        <w:rPr>
          <w:rFonts w:asciiTheme="majorHAnsi" w:hAnsiTheme="majorHAnsi"/>
          <w:bCs/>
          <w:sz w:val="20"/>
          <w:szCs w:val="20"/>
          <w:lang w:val="es-UY"/>
        </w:rPr>
        <w:t xml:space="preserve">ceso carnal abusivo con menor de </w:t>
      </w:r>
      <w:r w:rsidR="00FE5EE4" w:rsidRPr="00131BD8">
        <w:rPr>
          <w:rFonts w:asciiTheme="majorHAnsi" w:hAnsiTheme="majorHAnsi"/>
          <w:bCs/>
          <w:sz w:val="20"/>
          <w:szCs w:val="20"/>
          <w:lang w:val="es-UY"/>
        </w:rPr>
        <w:t xml:space="preserve">14 </w:t>
      </w:r>
      <w:r w:rsidR="00BD62FA" w:rsidRPr="00131BD8">
        <w:rPr>
          <w:rFonts w:asciiTheme="majorHAnsi" w:hAnsiTheme="majorHAnsi"/>
          <w:bCs/>
          <w:sz w:val="20"/>
          <w:szCs w:val="20"/>
          <w:lang w:val="es-UY"/>
        </w:rPr>
        <w:t xml:space="preserve">años, y otro contra el padre de </w:t>
      </w:r>
      <w:r w:rsidR="003D3C36" w:rsidRPr="00131BD8">
        <w:rPr>
          <w:rFonts w:asciiTheme="majorHAnsi" w:hAnsiTheme="majorHAnsi"/>
          <w:bCs/>
          <w:i/>
          <w:iCs/>
          <w:sz w:val="20"/>
          <w:szCs w:val="20"/>
          <w:lang w:val="es-UY"/>
        </w:rPr>
        <w:t>Remedios</w:t>
      </w:r>
      <w:r w:rsidR="003D3C36" w:rsidRPr="00131BD8">
        <w:rPr>
          <w:rFonts w:asciiTheme="majorHAnsi" w:hAnsiTheme="majorHAnsi"/>
          <w:bCs/>
          <w:sz w:val="20"/>
          <w:szCs w:val="20"/>
          <w:lang w:val="es-UY"/>
        </w:rPr>
        <w:t>.</w:t>
      </w:r>
      <w:r w:rsidR="00D21F0E" w:rsidRPr="00131BD8">
        <w:rPr>
          <w:rFonts w:asciiTheme="majorHAnsi" w:hAnsiTheme="majorHAnsi"/>
          <w:bCs/>
          <w:sz w:val="20"/>
          <w:szCs w:val="20"/>
          <w:lang w:val="es-UY"/>
        </w:rPr>
        <w:t xml:space="preserve"> Destaca que ambos se encuentran pendientes de </w:t>
      </w:r>
      <w:r w:rsidR="003D3C36" w:rsidRPr="00131BD8">
        <w:rPr>
          <w:rFonts w:asciiTheme="majorHAnsi" w:hAnsiTheme="majorHAnsi"/>
          <w:bCs/>
          <w:sz w:val="20"/>
          <w:szCs w:val="20"/>
          <w:lang w:val="es-UY"/>
        </w:rPr>
        <w:t>concluir.</w:t>
      </w:r>
      <w:r w:rsidR="002B1A53" w:rsidRPr="00131BD8">
        <w:rPr>
          <w:rFonts w:asciiTheme="majorHAnsi" w:hAnsiTheme="majorHAnsi"/>
          <w:bCs/>
          <w:sz w:val="20"/>
          <w:szCs w:val="20"/>
          <w:lang w:val="es-UY"/>
        </w:rPr>
        <w:t xml:space="preserve"> Ahora bien, el Estado </w:t>
      </w:r>
      <w:r w:rsidR="00EF7962" w:rsidRPr="00131BD8">
        <w:rPr>
          <w:rFonts w:asciiTheme="majorHAnsi" w:hAnsiTheme="majorHAnsi"/>
          <w:bCs/>
          <w:sz w:val="20"/>
          <w:szCs w:val="20"/>
          <w:lang w:val="es-UY"/>
        </w:rPr>
        <w:t xml:space="preserve">aduce que ambas investigaciones </w:t>
      </w:r>
      <w:r w:rsidR="00745B1D" w:rsidRPr="00131BD8">
        <w:rPr>
          <w:rFonts w:asciiTheme="majorHAnsi" w:hAnsiTheme="majorHAnsi"/>
          <w:bCs/>
          <w:sz w:val="20"/>
          <w:szCs w:val="20"/>
          <w:lang w:val="es-UY"/>
        </w:rPr>
        <w:t>han sido adelantadas con la debida diligencia</w:t>
      </w:r>
      <w:r w:rsidR="00880938" w:rsidRPr="00131BD8">
        <w:rPr>
          <w:rFonts w:asciiTheme="majorHAnsi" w:hAnsiTheme="majorHAnsi"/>
          <w:bCs/>
          <w:sz w:val="20"/>
          <w:szCs w:val="20"/>
          <w:lang w:val="es-UY"/>
        </w:rPr>
        <w:t xml:space="preserve"> y dentro de un plazo razonable</w:t>
      </w:r>
      <w:r w:rsidR="0058628A" w:rsidRPr="00131BD8">
        <w:rPr>
          <w:rFonts w:asciiTheme="majorHAnsi" w:hAnsiTheme="majorHAnsi"/>
          <w:bCs/>
          <w:sz w:val="20"/>
          <w:szCs w:val="20"/>
          <w:lang w:val="es-UY"/>
        </w:rPr>
        <w:t xml:space="preserve"> considerando la complejidad del caso</w:t>
      </w:r>
      <w:r w:rsidR="00CE044F" w:rsidRPr="00131BD8">
        <w:rPr>
          <w:rFonts w:asciiTheme="majorHAnsi" w:hAnsiTheme="majorHAnsi"/>
          <w:bCs/>
          <w:sz w:val="20"/>
          <w:szCs w:val="20"/>
          <w:lang w:val="es-UY"/>
        </w:rPr>
        <w:t>,</w:t>
      </w:r>
      <w:r w:rsidR="00880938" w:rsidRPr="00131BD8">
        <w:rPr>
          <w:rFonts w:asciiTheme="majorHAnsi" w:hAnsiTheme="majorHAnsi"/>
          <w:bCs/>
          <w:sz w:val="20"/>
          <w:szCs w:val="20"/>
          <w:lang w:val="es-UY"/>
        </w:rPr>
        <w:t xml:space="preserve"> sin que pueda predicarse que existe un retardo injustificado</w:t>
      </w:r>
      <w:r w:rsidR="0011192F" w:rsidRPr="00131BD8">
        <w:rPr>
          <w:rFonts w:asciiTheme="majorHAnsi" w:hAnsiTheme="majorHAnsi"/>
          <w:bCs/>
          <w:sz w:val="20"/>
          <w:szCs w:val="20"/>
          <w:lang w:val="es-UY"/>
        </w:rPr>
        <w:t>.</w:t>
      </w:r>
      <w:r w:rsidR="00255CFD" w:rsidRPr="00131BD8">
        <w:rPr>
          <w:rFonts w:asciiTheme="majorHAnsi" w:hAnsiTheme="majorHAnsi"/>
          <w:bCs/>
          <w:sz w:val="20"/>
          <w:szCs w:val="20"/>
          <w:lang w:val="es-UY"/>
        </w:rPr>
        <w:t xml:space="preserve"> </w:t>
      </w:r>
      <w:r w:rsidR="0011192F" w:rsidRPr="00131BD8">
        <w:rPr>
          <w:rFonts w:asciiTheme="majorHAnsi" w:hAnsiTheme="majorHAnsi"/>
          <w:bCs/>
          <w:sz w:val="20"/>
          <w:szCs w:val="20"/>
          <w:lang w:val="es-UY"/>
        </w:rPr>
        <w:t>S</w:t>
      </w:r>
      <w:r w:rsidR="00255CFD" w:rsidRPr="00131BD8">
        <w:rPr>
          <w:rFonts w:asciiTheme="majorHAnsi" w:hAnsiTheme="majorHAnsi"/>
          <w:bCs/>
          <w:sz w:val="20"/>
          <w:szCs w:val="20"/>
          <w:lang w:val="es-UY"/>
        </w:rPr>
        <w:t>ubraya que la obligación de investigar es de medio y no de resultado,</w:t>
      </w:r>
      <w:r w:rsidR="0011192F" w:rsidRPr="00131BD8">
        <w:rPr>
          <w:rFonts w:asciiTheme="majorHAnsi" w:hAnsiTheme="majorHAnsi"/>
          <w:bCs/>
          <w:sz w:val="20"/>
          <w:szCs w:val="20"/>
          <w:lang w:val="es-UY"/>
        </w:rPr>
        <w:t xml:space="preserve"> y aduce que las autoridades han tomado las decisiones conducentes para determinar las responsabilidades individuales con el objetivo de otorgar las reparaciones correspondientes,</w:t>
      </w:r>
      <w:r w:rsidR="00CE044F" w:rsidRPr="00131BD8">
        <w:rPr>
          <w:rFonts w:asciiTheme="majorHAnsi" w:hAnsiTheme="majorHAnsi"/>
          <w:bCs/>
          <w:sz w:val="20"/>
          <w:szCs w:val="20"/>
          <w:lang w:val="es-UY"/>
        </w:rPr>
        <w:t xml:space="preserve"> por lo que no</w:t>
      </w:r>
      <w:r w:rsidR="00255CFD" w:rsidRPr="00131BD8">
        <w:rPr>
          <w:rFonts w:asciiTheme="majorHAnsi" w:hAnsiTheme="majorHAnsi"/>
          <w:bCs/>
          <w:sz w:val="20"/>
          <w:szCs w:val="20"/>
          <w:lang w:val="es-UY"/>
        </w:rPr>
        <w:t xml:space="preserve"> procede ninguna de las excepciones al agotamiento de los recursos internos en relación con las investigaciones penales.</w:t>
      </w:r>
      <w:r w:rsidR="0011192F" w:rsidRPr="00131BD8">
        <w:rPr>
          <w:rFonts w:asciiTheme="majorHAnsi" w:hAnsiTheme="majorHAnsi"/>
          <w:bCs/>
          <w:sz w:val="20"/>
          <w:szCs w:val="20"/>
          <w:lang w:val="es-UY"/>
        </w:rPr>
        <w:t xml:space="preserve"> Por estas razones, solicita a la CIDH declarar la inadmisibilidad de la petición por incumplimiento del requisito contenido en el artículo 46.1.a) de la Convención.</w:t>
      </w:r>
    </w:p>
    <w:p w14:paraId="698D6F07" w14:textId="03E4E081" w:rsidR="0011192F" w:rsidRPr="00131BD8" w:rsidRDefault="0011192F" w:rsidP="006E621A">
      <w:pPr>
        <w:pStyle w:val="ListParagraph"/>
        <w:numPr>
          <w:ilvl w:val="0"/>
          <w:numId w:val="61"/>
        </w:numPr>
        <w:ind w:left="0" w:firstLine="720"/>
        <w:jc w:val="both"/>
        <w:rPr>
          <w:rFonts w:asciiTheme="majorHAnsi" w:hAnsiTheme="majorHAnsi"/>
          <w:bCs/>
          <w:sz w:val="20"/>
          <w:szCs w:val="20"/>
          <w:lang w:val="es-UY"/>
        </w:rPr>
      </w:pPr>
      <w:r w:rsidRPr="00131BD8">
        <w:rPr>
          <w:rFonts w:asciiTheme="majorHAnsi" w:hAnsiTheme="majorHAnsi"/>
          <w:bCs/>
          <w:sz w:val="20"/>
          <w:szCs w:val="20"/>
          <w:lang w:val="es-UY"/>
        </w:rPr>
        <w:t xml:space="preserve">Por otro lado, </w:t>
      </w:r>
      <w:r w:rsidR="009F0382" w:rsidRPr="00131BD8">
        <w:rPr>
          <w:bCs/>
          <w:sz w:val="20"/>
          <w:szCs w:val="20"/>
          <w:lang w:val="es-CO"/>
        </w:rPr>
        <w:t>el Estado plantea que la presente petición es inadmisible porque incurre en la denominada “fórmula de la cuarta instancia internacional”. Recuerda que, según ésta, los órganos del Sistema Interamericano de Derechos Humanos no pueden revisar las providencias dictadas por los jueces nacionales que actúen en la esfera de su competencia, a menos que se establezca la existencia de una violación de derechos humanos. En esta línea, una petición resulta inadmisible, de conformidad con el artículo 47.b de la Convención Americana, cuando se limita a afirmar que el fallo fue equivocado o injusto en sí mismo, pues la función de la CIDH es garantizar la observancia de las obligaciones asumidas por los Estados y no hacer las veces de tribunal de alzada para examinar supuestos errores de hecho o de derecho.</w:t>
      </w:r>
    </w:p>
    <w:p w14:paraId="5DE3C0CF" w14:textId="2C0C74C9" w:rsidR="008C5AE1" w:rsidRPr="00131BD8" w:rsidRDefault="008C5AE1"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 xml:space="preserve">En el presente caso, </w:t>
      </w:r>
      <w:r w:rsidR="00202579" w:rsidRPr="00131BD8">
        <w:rPr>
          <w:bCs/>
          <w:sz w:val="20"/>
          <w:szCs w:val="20"/>
          <w:lang w:val="es-CO"/>
        </w:rPr>
        <w:t xml:space="preserve">Colombia asegura que las autoridades han implementado las medidas necesarias </w:t>
      </w:r>
      <w:r w:rsidR="00C246FA" w:rsidRPr="00131BD8">
        <w:rPr>
          <w:bCs/>
          <w:sz w:val="20"/>
          <w:szCs w:val="20"/>
          <w:lang w:val="es-CO"/>
        </w:rPr>
        <w:t xml:space="preserve">para garantizar el derecho a la salud y a la IVE de </w:t>
      </w:r>
      <w:r w:rsidR="003309D1" w:rsidRPr="00131BD8">
        <w:rPr>
          <w:bCs/>
          <w:i/>
          <w:iCs/>
          <w:sz w:val="20"/>
          <w:szCs w:val="20"/>
          <w:lang w:val="es-CO"/>
        </w:rPr>
        <w:t>Remedios</w:t>
      </w:r>
      <w:r w:rsidR="00C246FA" w:rsidRPr="00131BD8">
        <w:rPr>
          <w:bCs/>
          <w:sz w:val="20"/>
          <w:szCs w:val="20"/>
          <w:lang w:val="es-CO"/>
        </w:rPr>
        <w:t xml:space="preserve">, así como su derecho a la nacionalidad </w:t>
      </w:r>
      <w:r w:rsidR="00E20EE8" w:rsidRPr="00131BD8">
        <w:rPr>
          <w:bCs/>
          <w:sz w:val="20"/>
          <w:szCs w:val="20"/>
          <w:lang w:val="es-CO"/>
        </w:rPr>
        <w:t>e</w:t>
      </w:r>
      <w:r w:rsidR="00C246FA" w:rsidRPr="00131BD8">
        <w:rPr>
          <w:bCs/>
          <w:sz w:val="20"/>
          <w:szCs w:val="20"/>
          <w:lang w:val="es-CO"/>
        </w:rPr>
        <w:t xml:space="preserve"> identidad</w:t>
      </w:r>
      <w:r w:rsidR="002A215E" w:rsidRPr="00131BD8">
        <w:rPr>
          <w:bCs/>
          <w:sz w:val="20"/>
          <w:szCs w:val="20"/>
          <w:lang w:val="es-CO"/>
        </w:rPr>
        <w:t>.</w:t>
      </w:r>
      <w:r w:rsidR="00166440" w:rsidRPr="00131BD8">
        <w:rPr>
          <w:bCs/>
          <w:sz w:val="20"/>
          <w:szCs w:val="20"/>
          <w:lang w:val="es-CO"/>
        </w:rPr>
        <w:t xml:space="preserve"> A este respecto </w:t>
      </w:r>
      <w:r w:rsidR="00C13A47" w:rsidRPr="00131BD8">
        <w:rPr>
          <w:bCs/>
          <w:sz w:val="20"/>
          <w:szCs w:val="20"/>
          <w:lang w:val="es-CO"/>
        </w:rPr>
        <w:t>aclara que</w:t>
      </w:r>
      <w:r w:rsidR="004D101C" w:rsidRPr="00131BD8">
        <w:rPr>
          <w:bCs/>
          <w:sz w:val="20"/>
          <w:szCs w:val="20"/>
          <w:lang w:val="es-CO"/>
        </w:rPr>
        <w:t>,</w:t>
      </w:r>
      <w:r w:rsidR="00C13A47" w:rsidRPr="00131BD8">
        <w:rPr>
          <w:bCs/>
          <w:sz w:val="20"/>
          <w:szCs w:val="20"/>
          <w:lang w:val="es-CO"/>
        </w:rPr>
        <w:t xml:space="preserve"> </w:t>
      </w:r>
      <w:r w:rsidR="004F1474" w:rsidRPr="00131BD8">
        <w:rPr>
          <w:bCs/>
          <w:sz w:val="20"/>
          <w:szCs w:val="20"/>
          <w:lang w:val="es-CO"/>
        </w:rPr>
        <w:t>desde el 9 de marzo de 2016</w:t>
      </w:r>
      <w:r w:rsidR="004D101C" w:rsidRPr="00131BD8">
        <w:rPr>
          <w:bCs/>
          <w:sz w:val="20"/>
          <w:szCs w:val="20"/>
          <w:lang w:val="es-CO"/>
        </w:rPr>
        <w:t>,</w:t>
      </w:r>
      <w:r w:rsidR="004F1474" w:rsidRPr="00131BD8">
        <w:rPr>
          <w:bCs/>
          <w:sz w:val="20"/>
          <w:szCs w:val="20"/>
          <w:lang w:val="es-CO"/>
        </w:rPr>
        <w:t xml:space="preserve"> la adolescente fue valorada en psicología y psiquiatría </w:t>
      </w:r>
      <w:r w:rsidR="00B72F9B" w:rsidRPr="00131BD8">
        <w:rPr>
          <w:bCs/>
          <w:sz w:val="20"/>
          <w:szCs w:val="20"/>
          <w:lang w:val="es-CO"/>
        </w:rPr>
        <w:t xml:space="preserve">en el hospital donde fue encontrada, momento en el cual manifestó que deseaba continuar con su embarazo. Posteriormente, en una entrevista </w:t>
      </w:r>
      <w:r w:rsidR="002916A1" w:rsidRPr="00131BD8">
        <w:rPr>
          <w:bCs/>
          <w:sz w:val="20"/>
          <w:szCs w:val="20"/>
          <w:lang w:val="es-CO"/>
        </w:rPr>
        <w:t xml:space="preserve">con una psicóloga del ICBF, </w:t>
      </w:r>
      <w:r w:rsidR="00846B7A" w:rsidRPr="00131BD8">
        <w:rPr>
          <w:bCs/>
          <w:sz w:val="20"/>
          <w:szCs w:val="20"/>
          <w:lang w:val="es-CO"/>
        </w:rPr>
        <w:t>realizada el 29 de marzo de 2016</w:t>
      </w:r>
      <w:r w:rsidR="002916A1" w:rsidRPr="00131BD8">
        <w:rPr>
          <w:bCs/>
          <w:sz w:val="20"/>
          <w:szCs w:val="20"/>
          <w:lang w:val="es-CO"/>
        </w:rPr>
        <w:t>, cambió de opinión e indicó su intención de acceder al procedimiento</w:t>
      </w:r>
      <w:r w:rsidR="00A01AB8" w:rsidRPr="00131BD8">
        <w:rPr>
          <w:bCs/>
          <w:sz w:val="20"/>
          <w:szCs w:val="20"/>
          <w:lang w:val="es-CO"/>
        </w:rPr>
        <w:t xml:space="preserve"> de IVE</w:t>
      </w:r>
      <w:r w:rsidR="002916A1" w:rsidRPr="00131BD8">
        <w:rPr>
          <w:bCs/>
          <w:sz w:val="20"/>
          <w:szCs w:val="20"/>
          <w:lang w:val="es-CO"/>
        </w:rPr>
        <w:t xml:space="preserve">. </w:t>
      </w:r>
      <w:r w:rsidR="00F137C7" w:rsidRPr="00131BD8">
        <w:rPr>
          <w:bCs/>
          <w:sz w:val="20"/>
          <w:szCs w:val="20"/>
          <w:lang w:val="es-CO"/>
        </w:rPr>
        <w:t xml:space="preserve">Sin embargo, en una entrevista </w:t>
      </w:r>
      <w:r w:rsidR="00EF5B43" w:rsidRPr="00131BD8">
        <w:rPr>
          <w:bCs/>
          <w:sz w:val="20"/>
          <w:szCs w:val="20"/>
          <w:lang w:val="es-CO"/>
        </w:rPr>
        <w:t>d</w:t>
      </w:r>
      <w:r w:rsidR="00F137C7" w:rsidRPr="00131BD8">
        <w:rPr>
          <w:bCs/>
          <w:sz w:val="20"/>
          <w:szCs w:val="20"/>
          <w:lang w:val="es-CO"/>
        </w:rPr>
        <w:t xml:space="preserve">e 13 de abril de 2016 con el defensor de familia, </w:t>
      </w:r>
      <w:r w:rsidR="00135F2C" w:rsidRPr="00131BD8">
        <w:rPr>
          <w:bCs/>
          <w:sz w:val="20"/>
          <w:szCs w:val="20"/>
          <w:lang w:val="es-CO"/>
        </w:rPr>
        <w:t>manifestó que no estaba dispuesta a practicarse la IVE, y para entonces ya contaba con cinco meses de gestación.</w:t>
      </w:r>
      <w:r w:rsidR="00EE3B22" w:rsidRPr="00131BD8">
        <w:rPr>
          <w:bCs/>
          <w:sz w:val="20"/>
          <w:szCs w:val="20"/>
          <w:lang w:val="es-CO"/>
        </w:rPr>
        <w:t xml:space="preserve"> Finalmente, el 11 de mayo de 2016 </w:t>
      </w:r>
      <w:r w:rsidR="003309D1" w:rsidRPr="00131BD8">
        <w:rPr>
          <w:bCs/>
          <w:i/>
          <w:iCs/>
          <w:sz w:val="20"/>
          <w:szCs w:val="20"/>
          <w:lang w:val="es-CO"/>
        </w:rPr>
        <w:t>Remedios</w:t>
      </w:r>
      <w:r w:rsidR="006B36D5" w:rsidRPr="00131BD8">
        <w:rPr>
          <w:bCs/>
          <w:sz w:val="20"/>
          <w:szCs w:val="20"/>
          <w:lang w:val="es-CO"/>
        </w:rPr>
        <w:t xml:space="preserve"> reiteró ante los profesionales del ICBF que quería continuar con su embarazo, aduciendo que tenía cinco meses de gestación y </w:t>
      </w:r>
      <w:r w:rsidR="00B11F31" w:rsidRPr="00131BD8">
        <w:rPr>
          <w:bCs/>
          <w:sz w:val="20"/>
          <w:szCs w:val="20"/>
          <w:lang w:val="es-CO"/>
        </w:rPr>
        <w:t>sentía afecto hacia el feto.</w:t>
      </w:r>
    </w:p>
    <w:p w14:paraId="59DD38DB" w14:textId="4562E93C" w:rsidR="00ED083E" w:rsidRPr="00131BD8" w:rsidRDefault="00ED083E"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Sobre</w:t>
      </w:r>
      <w:r w:rsidR="00BB3DB8" w:rsidRPr="00131BD8">
        <w:rPr>
          <w:bCs/>
          <w:sz w:val="20"/>
          <w:szCs w:val="20"/>
          <w:lang w:val="es-CO"/>
        </w:rPr>
        <w:t xml:space="preserve"> las medidas </w:t>
      </w:r>
      <w:r w:rsidR="007A5DEB" w:rsidRPr="00131BD8">
        <w:rPr>
          <w:bCs/>
          <w:sz w:val="20"/>
          <w:szCs w:val="20"/>
          <w:lang w:val="es-CO"/>
        </w:rPr>
        <w:t xml:space="preserve">adoptadas para garantizar su derecho a la nacionalidad, el Estado recalca que </w:t>
      </w:r>
      <w:r w:rsidR="00605652" w:rsidRPr="00131BD8">
        <w:rPr>
          <w:bCs/>
          <w:sz w:val="20"/>
          <w:szCs w:val="20"/>
          <w:lang w:val="es-CO"/>
        </w:rPr>
        <w:t xml:space="preserve">no tiene </w:t>
      </w:r>
      <w:r w:rsidR="00FE5DD6" w:rsidRPr="00131BD8">
        <w:rPr>
          <w:bCs/>
          <w:sz w:val="20"/>
          <w:szCs w:val="20"/>
          <w:lang w:val="es-CO"/>
        </w:rPr>
        <w:t xml:space="preserve">registros de que antes de la acción de tutela, la adolescente solicitara </w:t>
      </w:r>
      <w:r w:rsidR="0043452B" w:rsidRPr="00131BD8">
        <w:rPr>
          <w:bCs/>
          <w:sz w:val="20"/>
          <w:szCs w:val="20"/>
          <w:lang w:val="es-CO"/>
        </w:rPr>
        <w:t xml:space="preserve">la nacionalidad colombiana, </w:t>
      </w:r>
      <w:r w:rsidR="00902B08" w:rsidRPr="00131BD8">
        <w:rPr>
          <w:bCs/>
          <w:sz w:val="20"/>
          <w:szCs w:val="20"/>
          <w:lang w:val="es-CO"/>
        </w:rPr>
        <w:t>por lo que no resulta veraz la afirmación de la parte peticionaria de que las autoridades le exigían requisitos desproporcionados para acceder a ella.</w:t>
      </w:r>
      <w:r w:rsidR="007A5DEB" w:rsidRPr="00131BD8">
        <w:rPr>
          <w:bCs/>
          <w:sz w:val="20"/>
          <w:szCs w:val="20"/>
          <w:lang w:val="es-CO"/>
        </w:rPr>
        <w:t xml:space="preserve"> </w:t>
      </w:r>
      <w:r w:rsidR="008748FE" w:rsidRPr="00131BD8">
        <w:rPr>
          <w:bCs/>
          <w:sz w:val="20"/>
          <w:szCs w:val="20"/>
          <w:lang w:val="es-CO"/>
        </w:rPr>
        <w:t xml:space="preserve">Asimismo, reseña que el ICBF adelantó el proceso de registro tanto de </w:t>
      </w:r>
      <w:r w:rsidR="00A81FB8" w:rsidRPr="00131BD8">
        <w:rPr>
          <w:bCs/>
          <w:i/>
          <w:iCs/>
          <w:sz w:val="20"/>
          <w:szCs w:val="20"/>
          <w:lang w:val="es-CO"/>
        </w:rPr>
        <w:lastRenderedPageBreak/>
        <w:t>Remedios</w:t>
      </w:r>
      <w:r w:rsidR="008748FE" w:rsidRPr="00131BD8">
        <w:rPr>
          <w:bCs/>
          <w:sz w:val="20"/>
          <w:szCs w:val="20"/>
          <w:lang w:val="es-CO"/>
        </w:rPr>
        <w:t xml:space="preserve"> como de su hija, y ambas fueron debidamente notificadas de su registro y de la expedición de su documento de identidad.</w:t>
      </w:r>
    </w:p>
    <w:p w14:paraId="0F719636" w14:textId="4CE1FF1F" w:rsidR="00A33D9F" w:rsidRPr="00131BD8" w:rsidRDefault="006903CD"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 xml:space="preserve">En cuanto al procedimiento de restitución de </w:t>
      </w:r>
      <w:r w:rsidR="003309D1" w:rsidRPr="00131BD8">
        <w:rPr>
          <w:bCs/>
          <w:i/>
          <w:iCs/>
          <w:sz w:val="20"/>
          <w:szCs w:val="20"/>
          <w:lang w:val="es-CO"/>
        </w:rPr>
        <w:t>Remedios</w:t>
      </w:r>
      <w:r w:rsidRPr="00131BD8">
        <w:rPr>
          <w:bCs/>
          <w:sz w:val="20"/>
          <w:szCs w:val="20"/>
          <w:lang w:val="es-CO"/>
        </w:rPr>
        <w:t xml:space="preserve"> con su madre en Venezuela, </w:t>
      </w:r>
      <w:r w:rsidR="00696F5C" w:rsidRPr="00131BD8">
        <w:rPr>
          <w:bCs/>
          <w:sz w:val="20"/>
          <w:szCs w:val="20"/>
          <w:lang w:val="es-CO"/>
        </w:rPr>
        <w:t xml:space="preserve">Colombia </w:t>
      </w:r>
      <w:r w:rsidR="00FE6515" w:rsidRPr="00131BD8">
        <w:rPr>
          <w:bCs/>
          <w:sz w:val="20"/>
          <w:szCs w:val="20"/>
          <w:lang w:val="es-CO"/>
        </w:rPr>
        <w:t xml:space="preserve">relata que el ICBF </w:t>
      </w:r>
      <w:r w:rsidR="00640074" w:rsidRPr="00131BD8">
        <w:rPr>
          <w:bCs/>
          <w:sz w:val="20"/>
          <w:szCs w:val="20"/>
          <w:lang w:val="es-CO"/>
        </w:rPr>
        <w:t xml:space="preserve">inició gestiones con este objetivo </w:t>
      </w:r>
      <w:r w:rsidR="001419D5" w:rsidRPr="00131BD8">
        <w:rPr>
          <w:bCs/>
          <w:sz w:val="20"/>
          <w:szCs w:val="20"/>
          <w:lang w:val="es-CO"/>
        </w:rPr>
        <w:t>el 3 de abril de 2016</w:t>
      </w:r>
      <w:r w:rsidR="00422FDD" w:rsidRPr="00131BD8">
        <w:rPr>
          <w:bCs/>
          <w:sz w:val="20"/>
          <w:szCs w:val="20"/>
          <w:lang w:val="es-CO"/>
        </w:rPr>
        <w:t>,</w:t>
      </w:r>
      <w:r w:rsidR="001419D5" w:rsidRPr="00131BD8">
        <w:rPr>
          <w:bCs/>
          <w:sz w:val="20"/>
          <w:szCs w:val="20"/>
          <w:lang w:val="es-CO"/>
        </w:rPr>
        <w:t xml:space="preserve"> </w:t>
      </w:r>
      <w:r w:rsidR="00422FDD" w:rsidRPr="00131BD8">
        <w:rPr>
          <w:bCs/>
          <w:sz w:val="20"/>
          <w:szCs w:val="20"/>
          <w:lang w:val="es-CO"/>
        </w:rPr>
        <w:t xml:space="preserve">por lo que coordinó con la entidad homologa en Venezuela a fin de asegurar que </w:t>
      </w:r>
      <w:r w:rsidR="0010492F" w:rsidRPr="00131BD8">
        <w:rPr>
          <w:bCs/>
          <w:sz w:val="20"/>
          <w:szCs w:val="20"/>
          <w:lang w:val="es-CO"/>
        </w:rPr>
        <w:t>su madre biológica y su entorno familiar serían garantes del</w:t>
      </w:r>
      <w:r w:rsidR="00E544A3" w:rsidRPr="00131BD8">
        <w:rPr>
          <w:bCs/>
          <w:sz w:val="20"/>
          <w:szCs w:val="20"/>
          <w:lang w:val="es-CO"/>
        </w:rPr>
        <w:t xml:space="preserve"> cuidado y protección</w:t>
      </w:r>
      <w:r w:rsidR="0010492F" w:rsidRPr="00131BD8">
        <w:rPr>
          <w:bCs/>
          <w:sz w:val="20"/>
          <w:szCs w:val="20"/>
          <w:lang w:val="es-CO"/>
        </w:rPr>
        <w:t xml:space="preserve"> de la adolescente. </w:t>
      </w:r>
      <w:r w:rsidR="00145610" w:rsidRPr="00131BD8">
        <w:rPr>
          <w:bCs/>
          <w:sz w:val="20"/>
          <w:szCs w:val="20"/>
          <w:lang w:val="es-CO"/>
        </w:rPr>
        <w:t xml:space="preserve">Así, el 23 de mayo de 2016 efectuó el traslado de </w:t>
      </w:r>
      <w:r w:rsidR="003309D1" w:rsidRPr="00131BD8">
        <w:rPr>
          <w:bCs/>
          <w:i/>
          <w:iCs/>
          <w:sz w:val="20"/>
          <w:szCs w:val="20"/>
          <w:lang w:val="es-CO"/>
        </w:rPr>
        <w:t>Remedios</w:t>
      </w:r>
      <w:r w:rsidR="00145610" w:rsidRPr="00131BD8">
        <w:rPr>
          <w:bCs/>
          <w:sz w:val="20"/>
          <w:szCs w:val="20"/>
          <w:lang w:val="es-CO"/>
        </w:rPr>
        <w:t xml:space="preserve"> hacia </w:t>
      </w:r>
      <w:r w:rsidR="00FD2B5C" w:rsidRPr="00131BD8">
        <w:rPr>
          <w:bCs/>
          <w:sz w:val="20"/>
          <w:szCs w:val="20"/>
          <w:lang w:val="es-CO"/>
        </w:rPr>
        <w:t>aquel</w:t>
      </w:r>
      <w:r w:rsidR="00E23891" w:rsidRPr="00131BD8">
        <w:rPr>
          <w:bCs/>
          <w:sz w:val="20"/>
          <w:szCs w:val="20"/>
          <w:lang w:val="es-CO"/>
        </w:rPr>
        <w:t xml:space="preserve"> país</w:t>
      </w:r>
      <w:r w:rsidR="00145610" w:rsidRPr="00131BD8">
        <w:rPr>
          <w:bCs/>
          <w:sz w:val="20"/>
          <w:szCs w:val="20"/>
          <w:lang w:val="es-CO"/>
        </w:rPr>
        <w:t>.</w:t>
      </w:r>
      <w:r w:rsidR="00B53C1F" w:rsidRPr="00131BD8">
        <w:rPr>
          <w:bCs/>
          <w:sz w:val="20"/>
          <w:szCs w:val="20"/>
          <w:lang w:val="es-CO"/>
        </w:rPr>
        <w:t xml:space="preserve"> No obstante, el 11 de noviembre de 2016 la psicóloga del ICBF entró en contacto con ella nuevamente porque estaba viviendo en Arauca junto a su padre y a su hija de cuatro meses</w:t>
      </w:r>
      <w:r w:rsidR="00413EB5" w:rsidRPr="00131BD8">
        <w:rPr>
          <w:bCs/>
          <w:sz w:val="20"/>
          <w:szCs w:val="20"/>
          <w:lang w:val="es-CO"/>
        </w:rPr>
        <w:t xml:space="preserve"> hacía un mes y medio</w:t>
      </w:r>
      <w:r w:rsidR="00B53C1F" w:rsidRPr="00131BD8">
        <w:rPr>
          <w:bCs/>
          <w:sz w:val="20"/>
          <w:szCs w:val="20"/>
          <w:lang w:val="es-CO"/>
        </w:rPr>
        <w:t>.</w:t>
      </w:r>
      <w:r w:rsidR="00053135" w:rsidRPr="00131BD8">
        <w:rPr>
          <w:bCs/>
          <w:sz w:val="20"/>
          <w:szCs w:val="20"/>
          <w:lang w:val="es-CO"/>
        </w:rPr>
        <w:t xml:space="preserve"> La adolescente expresó </w:t>
      </w:r>
      <w:r w:rsidR="00F068BF" w:rsidRPr="00131BD8">
        <w:rPr>
          <w:bCs/>
          <w:sz w:val="20"/>
          <w:szCs w:val="20"/>
          <w:lang w:val="es-CO"/>
        </w:rPr>
        <w:t xml:space="preserve">que consideraba continuar la convivencia con su progenitor porque le había pedido perdón, ante lo cual, el ICBF alertó al defensor de familia del riesgo de que la adolescente conviviera con su presunto </w:t>
      </w:r>
      <w:r w:rsidR="003309D1" w:rsidRPr="00131BD8">
        <w:rPr>
          <w:bCs/>
          <w:sz w:val="20"/>
          <w:szCs w:val="20"/>
          <w:lang w:val="es-CO"/>
        </w:rPr>
        <w:t>agresor.</w:t>
      </w:r>
      <w:r w:rsidR="000870AB" w:rsidRPr="00131BD8">
        <w:rPr>
          <w:bCs/>
          <w:sz w:val="20"/>
          <w:szCs w:val="20"/>
          <w:lang w:val="es-CO"/>
        </w:rPr>
        <w:t xml:space="preserve"> </w:t>
      </w:r>
      <w:r w:rsidR="00C642E7" w:rsidRPr="00131BD8">
        <w:rPr>
          <w:bCs/>
          <w:sz w:val="20"/>
          <w:szCs w:val="20"/>
          <w:lang w:val="es-CO"/>
        </w:rPr>
        <w:t xml:space="preserve">El 15 de noviembre </w:t>
      </w:r>
      <w:r w:rsidR="00287385" w:rsidRPr="00131BD8">
        <w:rPr>
          <w:bCs/>
          <w:sz w:val="20"/>
          <w:szCs w:val="20"/>
          <w:lang w:val="es-CO"/>
        </w:rPr>
        <w:t xml:space="preserve">de 2016 </w:t>
      </w:r>
      <w:r w:rsidR="00C642E7" w:rsidRPr="00131BD8">
        <w:rPr>
          <w:bCs/>
          <w:sz w:val="20"/>
          <w:szCs w:val="20"/>
          <w:lang w:val="es-CO"/>
        </w:rPr>
        <w:t xml:space="preserve">el defensor de familia </w:t>
      </w:r>
      <w:r w:rsidR="00287385" w:rsidRPr="00131BD8">
        <w:rPr>
          <w:bCs/>
          <w:sz w:val="20"/>
          <w:szCs w:val="20"/>
          <w:lang w:val="es-CO"/>
        </w:rPr>
        <w:t xml:space="preserve">asignó a </w:t>
      </w:r>
      <w:r w:rsidR="00F678FA" w:rsidRPr="00131BD8">
        <w:rPr>
          <w:bCs/>
          <w:i/>
          <w:iCs/>
          <w:sz w:val="20"/>
          <w:szCs w:val="20"/>
          <w:lang w:val="es-CO"/>
        </w:rPr>
        <w:t>Remedios</w:t>
      </w:r>
      <w:r w:rsidR="00287385" w:rsidRPr="00131BD8">
        <w:rPr>
          <w:bCs/>
          <w:sz w:val="20"/>
          <w:szCs w:val="20"/>
          <w:lang w:val="es-CO"/>
        </w:rPr>
        <w:t xml:space="preserve"> a un hogar sustituto y el 6 de febrero de 2017 solicitó su </w:t>
      </w:r>
      <w:r w:rsidR="000E799E" w:rsidRPr="00131BD8">
        <w:rPr>
          <w:bCs/>
          <w:sz w:val="20"/>
          <w:szCs w:val="20"/>
          <w:lang w:val="es-CO"/>
        </w:rPr>
        <w:t>afiliación al sistema educativo.</w:t>
      </w:r>
    </w:p>
    <w:p w14:paraId="0DC631F1" w14:textId="1CDC5B3E" w:rsidR="001F323E" w:rsidRPr="00131BD8" w:rsidRDefault="00676A17"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E</w:t>
      </w:r>
      <w:r w:rsidR="007A501E" w:rsidRPr="00131BD8">
        <w:rPr>
          <w:bCs/>
          <w:sz w:val="20"/>
          <w:szCs w:val="20"/>
          <w:lang w:val="es-CO"/>
        </w:rPr>
        <w:t xml:space="preserve">l </w:t>
      </w:r>
      <w:r w:rsidR="008961D2" w:rsidRPr="00131BD8">
        <w:rPr>
          <w:bCs/>
          <w:sz w:val="20"/>
          <w:szCs w:val="20"/>
          <w:lang w:val="es-CO"/>
        </w:rPr>
        <w:t xml:space="preserve">14 de marzo de 2017 la responsable del hogar sustituto de </w:t>
      </w:r>
      <w:r w:rsidR="001C27EF" w:rsidRPr="00131BD8">
        <w:rPr>
          <w:bCs/>
          <w:i/>
          <w:iCs/>
          <w:sz w:val="20"/>
          <w:szCs w:val="20"/>
          <w:lang w:val="es-CO"/>
        </w:rPr>
        <w:t>Remedios</w:t>
      </w:r>
      <w:r w:rsidR="008961D2" w:rsidRPr="00131BD8">
        <w:rPr>
          <w:bCs/>
          <w:sz w:val="20"/>
          <w:szCs w:val="20"/>
          <w:lang w:val="es-CO"/>
        </w:rPr>
        <w:t xml:space="preserve"> informó que la adolescente había escapado junto a su hija,</w:t>
      </w:r>
      <w:r w:rsidR="00FD10CC" w:rsidRPr="00131BD8">
        <w:rPr>
          <w:bCs/>
          <w:sz w:val="20"/>
          <w:szCs w:val="20"/>
          <w:lang w:val="es-CO"/>
        </w:rPr>
        <w:t xml:space="preserve"> por lo que la Policía de Infancia y Adolescencia inició labores de búsqueda y las encontró en casa de</w:t>
      </w:r>
      <w:r w:rsidR="00111DEB" w:rsidRPr="00131BD8">
        <w:rPr>
          <w:bCs/>
          <w:sz w:val="20"/>
          <w:szCs w:val="20"/>
          <w:lang w:val="es-CO"/>
        </w:rPr>
        <w:t xml:space="preserve">l padre de </w:t>
      </w:r>
      <w:r w:rsidR="00111DEB" w:rsidRPr="00131BD8">
        <w:rPr>
          <w:bCs/>
          <w:i/>
          <w:iCs/>
          <w:sz w:val="20"/>
          <w:szCs w:val="20"/>
          <w:lang w:val="es-CO"/>
        </w:rPr>
        <w:t>Remedios</w:t>
      </w:r>
      <w:r w:rsidR="001C27EF" w:rsidRPr="00131BD8">
        <w:rPr>
          <w:bCs/>
          <w:sz w:val="20"/>
          <w:szCs w:val="20"/>
          <w:lang w:val="es-CO"/>
        </w:rPr>
        <w:t>.</w:t>
      </w:r>
      <w:r w:rsidR="00FD10CC" w:rsidRPr="00131BD8">
        <w:rPr>
          <w:bCs/>
          <w:sz w:val="20"/>
          <w:szCs w:val="20"/>
          <w:lang w:val="es-CO"/>
        </w:rPr>
        <w:t xml:space="preserve"> </w:t>
      </w:r>
      <w:r w:rsidR="00FB5F1C" w:rsidRPr="00131BD8">
        <w:rPr>
          <w:bCs/>
          <w:sz w:val="20"/>
          <w:szCs w:val="20"/>
          <w:lang w:val="es-CO"/>
        </w:rPr>
        <w:t>Ante ello el 17 de abril de 2017 el defensor de familia decretó la ubicación de la adolescente y de su hija “</w:t>
      </w:r>
      <w:r w:rsidR="00FB5F1C" w:rsidRPr="00131BD8">
        <w:rPr>
          <w:bCs/>
          <w:i/>
          <w:iCs/>
          <w:sz w:val="20"/>
          <w:szCs w:val="20"/>
          <w:lang w:val="es-CO"/>
        </w:rPr>
        <w:t>en medio familiar en cabeza de su progenitor</w:t>
      </w:r>
      <w:r w:rsidR="00FB5F1C" w:rsidRPr="00131BD8">
        <w:rPr>
          <w:bCs/>
          <w:sz w:val="20"/>
          <w:szCs w:val="20"/>
          <w:lang w:val="es-CO"/>
        </w:rPr>
        <w:t>”.</w:t>
      </w:r>
      <w:r w:rsidR="004E23E0" w:rsidRPr="00131BD8">
        <w:rPr>
          <w:bCs/>
          <w:sz w:val="20"/>
          <w:szCs w:val="20"/>
          <w:lang w:val="es-CO"/>
        </w:rPr>
        <w:t xml:space="preserve"> Sin embargo, </w:t>
      </w:r>
      <w:r w:rsidR="00BB473F" w:rsidRPr="00131BD8">
        <w:rPr>
          <w:bCs/>
          <w:sz w:val="20"/>
          <w:szCs w:val="20"/>
          <w:lang w:val="es-CO"/>
        </w:rPr>
        <w:t>el 19 de septiembre de 201</w:t>
      </w:r>
      <w:r w:rsidR="00F14A2F" w:rsidRPr="00131BD8">
        <w:rPr>
          <w:bCs/>
          <w:sz w:val="20"/>
          <w:szCs w:val="20"/>
          <w:lang w:val="es-CO"/>
        </w:rPr>
        <w:t>7</w:t>
      </w:r>
      <w:r w:rsidR="00BB473F" w:rsidRPr="00131BD8">
        <w:rPr>
          <w:bCs/>
          <w:sz w:val="20"/>
          <w:szCs w:val="20"/>
          <w:lang w:val="es-CO"/>
        </w:rPr>
        <w:t xml:space="preserve"> el Comité Técnico Consultivo del ICBF con</w:t>
      </w:r>
      <w:r w:rsidR="008D1749" w:rsidRPr="00131BD8">
        <w:rPr>
          <w:bCs/>
          <w:sz w:val="20"/>
          <w:szCs w:val="20"/>
          <w:lang w:val="es-CO"/>
        </w:rPr>
        <w:t>c</w:t>
      </w:r>
      <w:r w:rsidR="00BB473F" w:rsidRPr="00131BD8">
        <w:rPr>
          <w:bCs/>
          <w:sz w:val="20"/>
          <w:szCs w:val="20"/>
          <w:lang w:val="es-CO"/>
        </w:rPr>
        <w:t xml:space="preserve">luyó la necesidad inminente del cambio de medida de ubicación </w:t>
      </w:r>
      <w:r w:rsidR="00FD24E3" w:rsidRPr="00131BD8">
        <w:rPr>
          <w:bCs/>
          <w:sz w:val="20"/>
          <w:szCs w:val="20"/>
          <w:lang w:val="es-CO"/>
        </w:rPr>
        <w:t>en un internado para adolescentes y mayores de 18 años gestantes o en periodo de lactancia.</w:t>
      </w:r>
      <w:r w:rsidR="00D770F9" w:rsidRPr="00131BD8">
        <w:rPr>
          <w:bCs/>
          <w:sz w:val="20"/>
          <w:szCs w:val="20"/>
          <w:lang w:val="es-CO"/>
        </w:rPr>
        <w:t xml:space="preserve"> Esa medida se ejecutó el 2 de octubre de 2017.</w:t>
      </w:r>
    </w:p>
    <w:p w14:paraId="59A61443" w14:textId="74E917FC" w:rsidR="008A1701" w:rsidRPr="00131BD8" w:rsidRDefault="008E1C56"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Al momento de presentación de sus observaciones en enero de 2021, el Estado inform</w:t>
      </w:r>
      <w:r w:rsidR="00121786" w:rsidRPr="00131BD8">
        <w:rPr>
          <w:bCs/>
          <w:sz w:val="20"/>
          <w:szCs w:val="20"/>
          <w:lang w:val="es-CO"/>
        </w:rPr>
        <w:t>a</w:t>
      </w:r>
      <w:r w:rsidRPr="00131BD8">
        <w:rPr>
          <w:bCs/>
          <w:sz w:val="20"/>
          <w:szCs w:val="20"/>
          <w:lang w:val="es-CO"/>
        </w:rPr>
        <w:t xml:space="preserve"> que </w:t>
      </w:r>
      <w:r w:rsidR="001C27EF" w:rsidRPr="00131BD8">
        <w:rPr>
          <w:bCs/>
          <w:i/>
          <w:iCs/>
          <w:sz w:val="20"/>
          <w:szCs w:val="20"/>
          <w:lang w:val="es-CO"/>
        </w:rPr>
        <w:t>Remedios</w:t>
      </w:r>
      <w:r w:rsidRPr="00131BD8">
        <w:rPr>
          <w:bCs/>
          <w:sz w:val="20"/>
          <w:szCs w:val="20"/>
          <w:lang w:val="es-CO"/>
        </w:rPr>
        <w:t xml:space="preserve"> estaba cursando el grado décimo de bachillerato en el internado </w:t>
      </w:r>
      <w:r w:rsidR="00DC532E" w:rsidRPr="00131BD8">
        <w:rPr>
          <w:bCs/>
          <w:sz w:val="20"/>
          <w:szCs w:val="20"/>
          <w:lang w:val="es-CO"/>
        </w:rPr>
        <w:t>y su hija estaba registrada en un jardín infantil de la Secretaría Distrital de Integración Social</w:t>
      </w:r>
      <w:r w:rsidR="000A3D8E" w:rsidRPr="00131BD8">
        <w:rPr>
          <w:bCs/>
          <w:sz w:val="20"/>
          <w:szCs w:val="20"/>
          <w:lang w:val="es-CO"/>
        </w:rPr>
        <w:t>.</w:t>
      </w:r>
      <w:r w:rsidR="004F576D" w:rsidRPr="00131BD8">
        <w:rPr>
          <w:bCs/>
          <w:sz w:val="20"/>
          <w:szCs w:val="20"/>
          <w:lang w:val="es-CO"/>
        </w:rPr>
        <w:t xml:space="preserve"> </w:t>
      </w:r>
      <w:r w:rsidR="001C27EF" w:rsidRPr="00131BD8">
        <w:rPr>
          <w:bCs/>
          <w:i/>
          <w:iCs/>
          <w:sz w:val="20"/>
          <w:szCs w:val="20"/>
          <w:lang w:val="es-CO"/>
        </w:rPr>
        <w:t xml:space="preserve">Remedios </w:t>
      </w:r>
      <w:r w:rsidR="000A3D8E" w:rsidRPr="00131BD8">
        <w:rPr>
          <w:bCs/>
          <w:sz w:val="20"/>
          <w:szCs w:val="20"/>
          <w:lang w:val="es-CO"/>
        </w:rPr>
        <w:t xml:space="preserve">a su vez </w:t>
      </w:r>
      <w:r w:rsidR="004F576D" w:rsidRPr="00131BD8">
        <w:rPr>
          <w:bCs/>
          <w:sz w:val="20"/>
          <w:szCs w:val="20"/>
          <w:lang w:val="es-CO"/>
        </w:rPr>
        <w:t>recib</w:t>
      </w:r>
      <w:r w:rsidR="00B873C3" w:rsidRPr="00131BD8">
        <w:rPr>
          <w:bCs/>
          <w:sz w:val="20"/>
          <w:szCs w:val="20"/>
          <w:lang w:val="es-CO"/>
        </w:rPr>
        <w:t>ía</w:t>
      </w:r>
      <w:r w:rsidR="004F576D" w:rsidRPr="00131BD8">
        <w:rPr>
          <w:bCs/>
          <w:sz w:val="20"/>
          <w:szCs w:val="20"/>
          <w:lang w:val="es-CO"/>
        </w:rPr>
        <w:t xml:space="preserve"> atención terapéutica especializada de una asociación en Bogotá y </w:t>
      </w:r>
      <w:r w:rsidR="004448AB" w:rsidRPr="00131BD8">
        <w:rPr>
          <w:bCs/>
          <w:sz w:val="20"/>
          <w:szCs w:val="20"/>
          <w:lang w:val="es-CO"/>
        </w:rPr>
        <w:t xml:space="preserve">la organización Women’s Link Worldwide realizaba visitas periódicas de seguimiento </w:t>
      </w:r>
      <w:r w:rsidR="00031369" w:rsidRPr="00131BD8">
        <w:rPr>
          <w:bCs/>
          <w:sz w:val="20"/>
          <w:szCs w:val="20"/>
          <w:lang w:val="es-CO"/>
        </w:rPr>
        <w:t>en la institución educativa en la que recibía protección.</w:t>
      </w:r>
      <w:r w:rsidR="00477CEE" w:rsidRPr="00131BD8">
        <w:rPr>
          <w:bCs/>
          <w:sz w:val="20"/>
          <w:szCs w:val="20"/>
          <w:lang w:val="es-CO"/>
        </w:rPr>
        <w:t xml:space="preserve"> Finalmente, re</w:t>
      </w:r>
      <w:r w:rsidR="00F912A5" w:rsidRPr="00131BD8">
        <w:rPr>
          <w:bCs/>
          <w:sz w:val="20"/>
          <w:szCs w:val="20"/>
          <w:lang w:val="es-CO"/>
        </w:rPr>
        <w:t>cuenta</w:t>
      </w:r>
      <w:r w:rsidR="00477CEE" w:rsidRPr="00131BD8">
        <w:rPr>
          <w:bCs/>
          <w:sz w:val="20"/>
          <w:szCs w:val="20"/>
          <w:lang w:val="es-CO"/>
        </w:rPr>
        <w:t xml:space="preserve"> que el 2 de agosto de 2019 </w:t>
      </w:r>
      <w:r w:rsidR="009B6A68" w:rsidRPr="00131BD8">
        <w:rPr>
          <w:bCs/>
          <w:sz w:val="20"/>
          <w:szCs w:val="20"/>
          <w:lang w:val="es-CO"/>
        </w:rPr>
        <w:t xml:space="preserve">el Juzgado 22 de Familia declaró a </w:t>
      </w:r>
      <w:r w:rsidR="001C27EF" w:rsidRPr="00131BD8">
        <w:rPr>
          <w:bCs/>
          <w:i/>
          <w:iCs/>
          <w:sz w:val="20"/>
          <w:szCs w:val="20"/>
          <w:lang w:val="es-CO"/>
        </w:rPr>
        <w:t>Remedios</w:t>
      </w:r>
      <w:r w:rsidR="00477CEE" w:rsidRPr="00131BD8">
        <w:rPr>
          <w:bCs/>
          <w:sz w:val="20"/>
          <w:szCs w:val="20"/>
          <w:lang w:val="es-CO"/>
        </w:rPr>
        <w:t xml:space="preserve"> </w:t>
      </w:r>
      <w:r w:rsidR="009B6A68" w:rsidRPr="00131BD8">
        <w:rPr>
          <w:bCs/>
          <w:sz w:val="20"/>
          <w:szCs w:val="20"/>
          <w:lang w:val="es-CO"/>
        </w:rPr>
        <w:t xml:space="preserve">en situación de adoptabilidad y le otorgó la custodia sobre su hija y declaró a favor de ambas </w:t>
      </w:r>
      <w:r w:rsidR="008B750F" w:rsidRPr="00131BD8">
        <w:rPr>
          <w:bCs/>
          <w:sz w:val="20"/>
          <w:szCs w:val="20"/>
          <w:lang w:val="es-CO"/>
        </w:rPr>
        <w:t>que continuara</w:t>
      </w:r>
      <w:r w:rsidR="001E77E8" w:rsidRPr="00131BD8">
        <w:rPr>
          <w:bCs/>
          <w:sz w:val="20"/>
          <w:szCs w:val="20"/>
          <w:lang w:val="es-CO"/>
        </w:rPr>
        <w:t>n</w:t>
      </w:r>
      <w:r w:rsidR="008B750F" w:rsidRPr="00131BD8">
        <w:rPr>
          <w:bCs/>
          <w:sz w:val="20"/>
          <w:szCs w:val="20"/>
          <w:lang w:val="es-CO"/>
        </w:rPr>
        <w:t xml:space="preserve"> con medidas de protección.</w:t>
      </w:r>
    </w:p>
    <w:p w14:paraId="7224F502" w14:textId="43A6F970" w:rsidR="008B750F" w:rsidRPr="00131BD8" w:rsidRDefault="009A020F" w:rsidP="006E621A">
      <w:pPr>
        <w:pStyle w:val="ListParagraph"/>
        <w:numPr>
          <w:ilvl w:val="0"/>
          <w:numId w:val="61"/>
        </w:numPr>
        <w:ind w:left="0" w:firstLine="720"/>
        <w:jc w:val="both"/>
        <w:rPr>
          <w:rFonts w:asciiTheme="majorHAnsi" w:hAnsiTheme="majorHAnsi"/>
          <w:bCs/>
          <w:sz w:val="20"/>
          <w:szCs w:val="20"/>
          <w:lang w:val="es-UY"/>
        </w:rPr>
      </w:pPr>
      <w:r w:rsidRPr="00131BD8">
        <w:rPr>
          <w:bCs/>
          <w:sz w:val="20"/>
          <w:szCs w:val="20"/>
          <w:lang w:val="es-CO"/>
        </w:rPr>
        <w:t xml:space="preserve">Conforme a lo anterior, el Estado colombiano concluye que </w:t>
      </w:r>
      <w:r w:rsidR="00497B3F" w:rsidRPr="00131BD8">
        <w:rPr>
          <w:bCs/>
          <w:sz w:val="20"/>
          <w:szCs w:val="20"/>
          <w:lang w:val="es-CO"/>
        </w:rPr>
        <w:t xml:space="preserve">en el presente asunto se configura la causal de inadmisibilidad referente a </w:t>
      </w:r>
      <w:r w:rsidR="0007169C" w:rsidRPr="00131BD8">
        <w:rPr>
          <w:bCs/>
          <w:sz w:val="20"/>
          <w:szCs w:val="20"/>
          <w:lang w:val="es-CO"/>
        </w:rPr>
        <w:t xml:space="preserve">la “fórmula de la cuarta instancia internacional”, ya que el proceso administrativo de restablecimiento de derecho tramitado por el ICBF </w:t>
      </w:r>
      <w:r w:rsidR="00D93FF9" w:rsidRPr="00131BD8">
        <w:rPr>
          <w:bCs/>
          <w:sz w:val="20"/>
          <w:szCs w:val="20"/>
          <w:lang w:val="es-CO"/>
        </w:rPr>
        <w:t xml:space="preserve">a favor de </w:t>
      </w:r>
      <w:r w:rsidR="002D3CF8" w:rsidRPr="00131BD8">
        <w:rPr>
          <w:bCs/>
          <w:i/>
          <w:iCs/>
          <w:sz w:val="20"/>
          <w:szCs w:val="20"/>
          <w:lang w:val="es-CO"/>
        </w:rPr>
        <w:t>Remedios</w:t>
      </w:r>
      <w:r w:rsidR="00D93FF9" w:rsidRPr="00131BD8">
        <w:rPr>
          <w:bCs/>
          <w:sz w:val="20"/>
          <w:szCs w:val="20"/>
          <w:lang w:val="es-CO"/>
        </w:rPr>
        <w:t xml:space="preserve"> y su hija </w:t>
      </w:r>
      <w:r w:rsidR="00116019" w:rsidRPr="00131BD8">
        <w:rPr>
          <w:bCs/>
          <w:sz w:val="20"/>
          <w:szCs w:val="20"/>
          <w:lang w:val="es-CO"/>
        </w:rPr>
        <w:t xml:space="preserve">concluyó </w:t>
      </w:r>
      <w:r w:rsidR="004A7714" w:rsidRPr="00131BD8">
        <w:rPr>
          <w:bCs/>
          <w:sz w:val="20"/>
          <w:szCs w:val="20"/>
          <w:lang w:val="es-CO"/>
        </w:rPr>
        <w:t>con la protección de ambas</w:t>
      </w:r>
      <w:r w:rsidR="00116019" w:rsidRPr="00131BD8">
        <w:rPr>
          <w:bCs/>
          <w:sz w:val="20"/>
          <w:szCs w:val="20"/>
          <w:lang w:val="es-CO"/>
        </w:rPr>
        <w:t>.</w:t>
      </w:r>
      <w:r w:rsidR="004A7714" w:rsidRPr="00131BD8">
        <w:rPr>
          <w:bCs/>
          <w:sz w:val="20"/>
          <w:szCs w:val="20"/>
          <w:lang w:val="es-CO"/>
        </w:rPr>
        <w:t xml:space="preserve"> El Estado no presenta observaciones acerca de la última información aportada por la parte peticionaria sobre la posible revictimización de </w:t>
      </w:r>
      <w:r w:rsidR="002D3CF8" w:rsidRPr="00131BD8">
        <w:rPr>
          <w:bCs/>
          <w:i/>
          <w:iCs/>
          <w:sz w:val="20"/>
          <w:szCs w:val="20"/>
          <w:lang w:val="es-CO"/>
        </w:rPr>
        <w:t>Remedios</w:t>
      </w:r>
      <w:r w:rsidR="004A7714" w:rsidRPr="00131BD8">
        <w:rPr>
          <w:bCs/>
          <w:sz w:val="20"/>
          <w:szCs w:val="20"/>
          <w:lang w:val="es-CO"/>
        </w:rPr>
        <w:t xml:space="preserve"> </w:t>
      </w:r>
      <w:r w:rsidR="00001E9E" w:rsidRPr="00131BD8">
        <w:rPr>
          <w:bCs/>
          <w:sz w:val="20"/>
          <w:szCs w:val="20"/>
          <w:lang w:val="es-CO"/>
        </w:rPr>
        <w:t>en hechos de posible trata de personas y/o explotación sexual a partir de 2023.</w:t>
      </w:r>
    </w:p>
    <w:p w14:paraId="51F68C92" w14:textId="3D4E675A" w:rsidR="003239B8" w:rsidRPr="00131BD8" w:rsidRDefault="003239B8" w:rsidP="003239B8">
      <w:pPr>
        <w:spacing w:before="240" w:after="240"/>
        <w:ind w:firstLine="720"/>
        <w:jc w:val="both"/>
        <w:rPr>
          <w:rFonts w:ascii="Cambria" w:hAnsi="Cambria"/>
          <w:sz w:val="20"/>
          <w:szCs w:val="20"/>
          <w:lang w:val="es-UY"/>
        </w:rPr>
      </w:pPr>
      <w:r w:rsidRPr="00131BD8">
        <w:rPr>
          <w:rFonts w:asciiTheme="majorHAnsi" w:eastAsia="Cambria" w:hAnsiTheme="majorHAnsi" w:cs="Cambria"/>
          <w:b/>
          <w:bCs/>
          <w:color w:val="000000"/>
          <w:sz w:val="20"/>
          <w:szCs w:val="20"/>
          <w:u w:color="000000"/>
          <w:lang w:val="es-ES" w:eastAsia="es-ES"/>
        </w:rPr>
        <w:t>VI.</w:t>
      </w:r>
      <w:r w:rsidRPr="00131BD8">
        <w:rPr>
          <w:rFonts w:asciiTheme="majorHAnsi" w:eastAsia="Cambria" w:hAnsiTheme="majorHAnsi" w:cs="Cambria"/>
          <w:b/>
          <w:bCs/>
          <w:color w:val="000000"/>
          <w:sz w:val="20"/>
          <w:szCs w:val="20"/>
          <w:u w:color="000000"/>
          <w:lang w:val="es-ES" w:eastAsia="es-ES"/>
        </w:rPr>
        <w:tab/>
      </w:r>
      <w:r w:rsidR="004A6A54" w:rsidRPr="00131BD8">
        <w:rPr>
          <w:rFonts w:asciiTheme="majorHAnsi" w:hAnsiTheme="majorHAnsi"/>
          <w:b/>
          <w:bCs/>
          <w:sz w:val="20"/>
          <w:szCs w:val="20"/>
          <w:lang w:val="es-ES_tradnl"/>
        </w:rPr>
        <w:t xml:space="preserve">ANÁLISIS DE </w:t>
      </w:r>
      <w:r w:rsidR="00C21FEF" w:rsidRPr="00131BD8">
        <w:rPr>
          <w:rFonts w:asciiTheme="majorHAnsi" w:hAnsiTheme="majorHAnsi"/>
          <w:b/>
          <w:sz w:val="20"/>
          <w:szCs w:val="20"/>
          <w:lang w:val="es-ES"/>
        </w:rPr>
        <w:t>AGOTAMIENTO DE LOS RECURSOS INTERNOS Y PLAZO DE PRESENTACIÓN</w:t>
      </w:r>
    </w:p>
    <w:p w14:paraId="7A7BA3C3" w14:textId="2D4A1E00" w:rsidR="006C0ECF" w:rsidRPr="00131BD8" w:rsidRDefault="008609EE"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La presente petición versa sobre </w:t>
      </w:r>
      <w:r w:rsidR="002A2085" w:rsidRPr="00131BD8">
        <w:rPr>
          <w:sz w:val="20"/>
          <w:szCs w:val="20"/>
          <w:lang w:val="es-ES"/>
        </w:rPr>
        <w:t>la alegada falta de atención integral a una</w:t>
      </w:r>
      <w:r w:rsidR="003A109D" w:rsidRPr="00131BD8">
        <w:rPr>
          <w:sz w:val="20"/>
          <w:szCs w:val="20"/>
          <w:lang w:val="es-ES"/>
        </w:rPr>
        <w:t xml:space="preserve"> </w:t>
      </w:r>
      <w:r w:rsidR="002A2085" w:rsidRPr="00131BD8">
        <w:rPr>
          <w:sz w:val="20"/>
          <w:szCs w:val="20"/>
          <w:lang w:val="es-ES"/>
        </w:rPr>
        <w:t xml:space="preserve">adolescente </w:t>
      </w:r>
      <w:r w:rsidR="003F711C" w:rsidRPr="00131BD8">
        <w:rPr>
          <w:sz w:val="20"/>
          <w:szCs w:val="20"/>
          <w:lang w:val="es-ES"/>
        </w:rPr>
        <w:t xml:space="preserve">víctima </w:t>
      </w:r>
      <w:r w:rsidR="002A2085" w:rsidRPr="00131BD8">
        <w:rPr>
          <w:sz w:val="20"/>
          <w:szCs w:val="20"/>
          <w:lang w:val="es-ES"/>
        </w:rPr>
        <w:t xml:space="preserve">de trata de personas con fines de explotación sexual y </w:t>
      </w:r>
      <w:r w:rsidR="00F4764A" w:rsidRPr="00131BD8">
        <w:rPr>
          <w:sz w:val="20"/>
          <w:szCs w:val="20"/>
          <w:lang w:val="es-ES"/>
        </w:rPr>
        <w:t>la posible repetición de estos hechos</w:t>
      </w:r>
      <w:r w:rsidR="002A2085" w:rsidRPr="00131BD8">
        <w:rPr>
          <w:sz w:val="20"/>
          <w:szCs w:val="20"/>
          <w:lang w:val="es-ES"/>
        </w:rPr>
        <w:t>.</w:t>
      </w:r>
      <w:r w:rsidR="00376A28" w:rsidRPr="00131BD8">
        <w:rPr>
          <w:sz w:val="20"/>
          <w:szCs w:val="20"/>
          <w:lang w:val="es-ES"/>
        </w:rPr>
        <w:t xml:space="preserve"> El Estado </w:t>
      </w:r>
      <w:r w:rsidR="00263BB6" w:rsidRPr="00131BD8">
        <w:rPr>
          <w:sz w:val="20"/>
          <w:szCs w:val="20"/>
          <w:lang w:val="es-ES"/>
        </w:rPr>
        <w:t xml:space="preserve">replica que la parte peticionaria no ha agotado los recursos internos porque las investigaciones penales por el delito de acceso carnal abusivo con menor de </w:t>
      </w:r>
      <w:r w:rsidR="005A6AB7" w:rsidRPr="00131BD8">
        <w:rPr>
          <w:sz w:val="20"/>
          <w:szCs w:val="20"/>
          <w:lang w:val="es-ES"/>
        </w:rPr>
        <w:t xml:space="preserve">14 </w:t>
      </w:r>
      <w:r w:rsidR="00CB2B95" w:rsidRPr="00131BD8">
        <w:rPr>
          <w:sz w:val="20"/>
          <w:szCs w:val="20"/>
          <w:lang w:val="es-ES"/>
        </w:rPr>
        <w:t>años</w:t>
      </w:r>
      <w:r w:rsidR="00045DD4" w:rsidRPr="00131BD8">
        <w:rPr>
          <w:sz w:val="20"/>
          <w:szCs w:val="20"/>
          <w:lang w:val="es-ES"/>
        </w:rPr>
        <w:t xml:space="preserve"> continúan en trámite.</w:t>
      </w:r>
    </w:p>
    <w:p w14:paraId="056B535B" w14:textId="77777777" w:rsidR="006D2D6C" w:rsidRPr="00131BD8" w:rsidRDefault="00E73BB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CO"/>
        </w:rPr>
        <w:t>E</w:t>
      </w:r>
      <w:r w:rsidRPr="00131BD8">
        <w:rPr>
          <w:sz w:val="20"/>
          <w:szCs w:val="20"/>
          <w:lang w:val="es-ES"/>
        </w:rPr>
        <w:t>l artículo 46.1.a) de la Convención Americana dispone que para que una petición sea admitida se requiere que “</w:t>
      </w:r>
      <w:r w:rsidRPr="00131BD8">
        <w:rPr>
          <w:i/>
          <w:iCs/>
          <w:sz w:val="20"/>
          <w:szCs w:val="20"/>
          <w:lang w:val="es-ES"/>
        </w:rPr>
        <w:t>se hayan interpuesto y agotado los recursos de jurisdicción interna, conforme a los principios del Derecho Internacional generalmente reconocidos</w:t>
      </w:r>
      <w:r w:rsidRPr="00131BD8">
        <w:rPr>
          <w:sz w:val="20"/>
          <w:szCs w:val="20"/>
          <w:lang w:val="es-ES"/>
        </w:rPr>
        <w:t>”.</w:t>
      </w:r>
      <w:r w:rsidR="00CB2330" w:rsidRPr="00131BD8">
        <w:rPr>
          <w:sz w:val="20"/>
          <w:szCs w:val="20"/>
          <w:lang w:val="es-ES"/>
        </w:rPr>
        <w:t xml:space="preserve"> </w:t>
      </w:r>
      <w:r w:rsidR="006D2D6C" w:rsidRPr="00131BD8">
        <w:rPr>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w:t>
      </w:r>
      <w:r w:rsidR="006D2D6C" w:rsidRPr="00131BD8">
        <w:rPr>
          <w:sz w:val="20"/>
          <w:szCs w:val="20"/>
          <w:lang w:val="es-ES"/>
        </w:rPr>
        <w:lastRenderedPageBreak/>
        <w:t>oportunidad real para que la alegada lesión a los derechos humanos sea remediada y resuelta por las autoridades nacionales antes de que se pueda acudir al Sistema Interamericano de protección</w:t>
      </w:r>
      <w:r w:rsidR="006D2D6C" w:rsidRPr="00131BD8">
        <w:rPr>
          <w:sz w:val="20"/>
          <w:szCs w:val="20"/>
          <w:vertAlign w:val="superscript"/>
          <w:lang w:val="es-ES_tradnl"/>
        </w:rPr>
        <w:footnoteReference w:id="9"/>
      </w:r>
      <w:r w:rsidR="006D2D6C" w:rsidRPr="00131BD8">
        <w:rPr>
          <w:sz w:val="20"/>
          <w:szCs w:val="20"/>
          <w:lang w:val="es-ES_tradnl"/>
        </w:rPr>
        <w:t>.</w:t>
      </w:r>
    </w:p>
    <w:p w14:paraId="7446712A" w14:textId="0F6DBECB" w:rsidR="00ED5E10" w:rsidRPr="00131BD8" w:rsidRDefault="007329A9"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En </w:t>
      </w:r>
      <w:r w:rsidR="000E05FC" w:rsidRPr="00131BD8">
        <w:rPr>
          <w:sz w:val="20"/>
          <w:szCs w:val="20"/>
          <w:lang w:val="es-ES"/>
        </w:rPr>
        <w:t xml:space="preserve">ese sentido, </w:t>
      </w:r>
      <w:r w:rsidR="008D571F" w:rsidRPr="00131BD8">
        <w:rPr>
          <w:sz w:val="20"/>
          <w:szCs w:val="20"/>
          <w:lang w:val="es-ES"/>
        </w:rPr>
        <w:t>la CIDH advierte que el objeto principal de la presente petición es la ausencia de activación de las rutas de atención a víctimas de trata de personas</w:t>
      </w:r>
      <w:r w:rsidR="0014170B" w:rsidRPr="00131BD8">
        <w:rPr>
          <w:sz w:val="20"/>
          <w:szCs w:val="20"/>
          <w:lang w:val="es-ES"/>
        </w:rPr>
        <w:t xml:space="preserve"> para </w:t>
      </w:r>
      <w:r w:rsidR="0014170B" w:rsidRPr="00131BD8">
        <w:rPr>
          <w:i/>
          <w:iCs/>
          <w:sz w:val="20"/>
          <w:szCs w:val="20"/>
          <w:lang w:val="es-ES"/>
        </w:rPr>
        <w:t>Remedios</w:t>
      </w:r>
      <w:r w:rsidR="00D62792" w:rsidRPr="00131BD8">
        <w:rPr>
          <w:sz w:val="20"/>
          <w:szCs w:val="20"/>
          <w:lang w:val="es-ES"/>
        </w:rPr>
        <w:t>. Esta omisión</w:t>
      </w:r>
      <w:r w:rsidR="0014170B" w:rsidRPr="00131BD8">
        <w:rPr>
          <w:sz w:val="20"/>
          <w:szCs w:val="20"/>
          <w:lang w:val="es-ES"/>
        </w:rPr>
        <w:t xml:space="preserve"> habría generado su retorno a Venezuela sin evaluación de riesgo y la </w:t>
      </w:r>
      <w:r w:rsidR="00E40D68" w:rsidRPr="00131BD8">
        <w:rPr>
          <w:sz w:val="20"/>
          <w:szCs w:val="20"/>
          <w:lang w:val="es-ES"/>
        </w:rPr>
        <w:t xml:space="preserve">posterior </w:t>
      </w:r>
      <w:r w:rsidR="0014170B" w:rsidRPr="00131BD8">
        <w:rPr>
          <w:sz w:val="20"/>
          <w:szCs w:val="20"/>
          <w:lang w:val="es-ES"/>
        </w:rPr>
        <w:t>convivencia con quien la habría explotado y abusado</w:t>
      </w:r>
      <w:r w:rsidR="00D44F07" w:rsidRPr="00131BD8">
        <w:rPr>
          <w:sz w:val="20"/>
          <w:szCs w:val="20"/>
          <w:lang w:val="es-ES"/>
        </w:rPr>
        <w:t>;</w:t>
      </w:r>
      <w:r w:rsidR="0014170B" w:rsidRPr="00131BD8">
        <w:rPr>
          <w:sz w:val="20"/>
          <w:szCs w:val="20"/>
          <w:lang w:val="es-ES"/>
        </w:rPr>
        <w:t xml:space="preserve"> y, eventualmente, según la última información recibida, su </w:t>
      </w:r>
      <w:r w:rsidR="00764D55" w:rsidRPr="00131BD8">
        <w:rPr>
          <w:sz w:val="20"/>
          <w:szCs w:val="20"/>
          <w:lang w:val="es-ES"/>
        </w:rPr>
        <w:t xml:space="preserve">reintegración </w:t>
      </w:r>
      <w:r w:rsidR="00353105" w:rsidRPr="00131BD8">
        <w:rPr>
          <w:sz w:val="20"/>
          <w:szCs w:val="20"/>
          <w:lang w:val="es-ES"/>
        </w:rPr>
        <w:t xml:space="preserve">a </w:t>
      </w:r>
      <w:r w:rsidR="00764D55" w:rsidRPr="00131BD8">
        <w:rPr>
          <w:sz w:val="20"/>
          <w:szCs w:val="20"/>
          <w:lang w:val="es-ES"/>
        </w:rPr>
        <w:t>la trata de personas.</w:t>
      </w:r>
      <w:r w:rsidR="00077D1F" w:rsidRPr="00131BD8">
        <w:rPr>
          <w:sz w:val="20"/>
          <w:szCs w:val="20"/>
          <w:lang w:val="es-ES"/>
        </w:rPr>
        <w:t xml:space="preserve"> Bajo este entendido, la Defensoría del Pueblo interpuso la acción de tutela y solicitó a la Corte Constitucional que se pronunciara sobre </w:t>
      </w:r>
      <w:r w:rsidR="00D0583B" w:rsidRPr="00131BD8">
        <w:rPr>
          <w:sz w:val="20"/>
          <w:szCs w:val="20"/>
          <w:lang w:val="es-ES"/>
        </w:rPr>
        <w:t xml:space="preserve">el reconocimiento de </w:t>
      </w:r>
      <w:r w:rsidR="00D0583B" w:rsidRPr="00131BD8">
        <w:rPr>
          <w:i/>
          <w:iCs/>
          <w:sz w:val="20"/>
          <w:szCs w:val="20"/>
          <w:lang w:val="es-ES"/>
        </w:rPr>
        <w:t xml:space="preserve">Remedios </w:t>
      </w:r>
      <w:r w:rsidR="00D0583B" w:rsidRPr="00131BD8">
        <w:rPr>
          <w:sz w:val="20"/>
          <w:szCs w:val="20"/>
          <w:lang w:val="es-ES"/>
        </w:rPr>
        <w:t>como víctima de trata de personas y la procedencia de las rutas de atención específica</w:t>
      </w:r>
      <w:r w:rsidR="00A92656" w:rsidRPr="00131BD8">
        <w:rPr>
          <w:sz w:val="20"/>
          <w:szCs w:val="20"/>
          <w:lang w:val="es-ES"/>
        </w:rPr>
        <w:t xml:space="preserve"> a su favor, sin obtener ninguna respuesta por parte de los tribunales a nivel interno</w:t>
      </w:r>
      <w:r w:rsidR="00D0583B" w:rsidRPr="00131BD8">
        <w:rPr>
          <w:sz w:val="20"/>
          <w:szCs w:val="20"/>
          <w:lang w:val="es-ES"/>
        </w:rPr>
        <w:t>.</w:t>
      </w:r>
    </w:p>
    <w:p w14:paraId="552482C1" w14:textId="003D2E98" w:rsidR="00D0583B" w:rsidRPr="00131BD8" w:rsidRDefault="00A92656"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L</w:t>
      </w:r>
      <w:r w:rsidR="00F074FB" w:rsidRPr="00131BD8">
        <w:rPr>
          <w:sz w:val="20"/>
          <w:szCs w:val="20"/>
          <w:lang w:val="es-ES"/>
        </w:rPr>
        <w:t>a Comisión considera que la acción de tutela sí fue un recurso adecuado</w:t>
      </w:r>
      <w:r w:rsidR="007837AE" w:rsidRPr="00131BD8">
        <w:rPr>
          <w:sz w:val="20"/>
          <w:szCs w:val="20"/>
          <w:lang w:val="es-ES"/>
        </w:rPr>
        <w:t>,</w:t>
      </w:r>
      <w:r w:rsidR="00F074FB" w:rsidRPr="00131BD8">
        <w:rPr>
          <w:sz w:val="20"/>
          <w:szCs w:val="20"/>
          <w:lang w:val="es-ES"/>
        </w:rPr>
        <w:t xml:space="preserve"> por medio del cual la Defensoría planteó este reclamo </w:t>
      </w:r>
      <w:r w:rsidR="00AD7259" w:rsidRPr="00131BD8">
        <w:rPr>
          <w:sz w:val="20"/>
          <w:szCs w:val="20"/>
          <w:lang w:val="es-ES"/>
        </w:rPr>
        <w:t>ante las autoridades colombianas, pese a que éste fue desoído por la Corte Constitucional y otras entidades de control y protección.</w:t>
      </w:r>
      <w:r w:rsidR="009B4772" w:rsidRPr="00131BD8">
        <w:rPr>
          <w:sz w:val="20"/>
          <w:szCs w:val="20"/>
          <w:lang w:val="es-ES"/>
        </w:rPr>
        <w:t xml:space="preserve"> En </w:t>
      </w:r>
      <w:r w:rsidR="00657846" w:rsidRPr="00131BD8">
        <w:rPr>
          <w:sz w:val="20"/>
          <w:szCs w:val="20"/>
          <w:lang w:val="es-ES"/>
        </w:rPr>
        <w:t xml:space="preserve">esa medida, advierte que los recursos internos quedaron agotados con </w:t>
      </w:r>
      <w:r w:rsidR="00F421D2" w:rsidRPr="00131BD8">
        <w:rPr>
          <w:sz w:val="20"/>
          <w:szCs w:val="20"/>
          <w:lang w:val="es-ES"/>
        </w:rPr>
        <w:t xml:space="preserve">la Sentencia T-697 de 13 de diciembre de 2016, notificada el 9 de febrero de 2017. </w:t>
      </w:r>
      <w:r w:rsidR="00457427" w:rsidRPr="00131BD8">
        <w:rPr>
          <w:sz w:val="20"/>
          <w:szCs w:val="20"/>
          <w:lang w:val="es-ES"/>
        </w:rPr>
        <w:t>Y, dado que la petición fue presentada el 9 de agosto de 2017, la CIDH concluye que cumple con los requisitos establecidos en los artículos 46.1.a) y b) de la Convención Americana.</w:t>
      </w:r>
    </w:p>
    <w:p w14:paraId="68BBF528" w14:textId="1439FBBC" w:rsidR="00457427" w:rsidRPr="00131BD8" w:rsidRDefault="00457427"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Asimismo, </w:t>
      </w:r>
      <w:r w:rsidR="0051206D" w:rsidRPr="00131BD8">
        <w:rPr>
          <w:sz w:val="20"/>
          <w:szCs w:val="20"/>
          <w:lang w:val="es-ES"/>
        </w:rPr>
        <w:t xml:space="preserve">con relación a los procesos penales, cuya falta de agotamiento </w:t>
      </w:r>
      <w:r w:rsidR="00C86540" w:rsidRPr="00131BD8">
        <w:rPr>
          <w:sz w:val="20"/>
          <w:szCs w:val="20"/>
          <w:lang w:val="es-ES"/>
        </w:rPr>
        <w:t>invoc</w:t>
      </w:r>
      <w:r w:rsidR="0051206D" w:rsidRPr="00131BD8">
        <w:rPr>
          <w:sz w:val="20"/>
          <w:szCs w:val="20"/>
          <w:lang w:val="es-ES"/>
        </w:rPr>
        <w:t xml:space="preserve">a el Estado, </w:t>
      </w:r>
      <w:r w:rsidR="00F779DE" w:rsidRPr="00131BD8">
        <w:rPr>
          <w:sz w:val="20"/>
          <w:szCs w:val="20"/>
          <w:lang w:val="es-ES"/>
        </w:rPr>
        <w:t xml:space="preserve">en vista de que la parte peticionaria </w:t>
      </w:r>
      <w:r w:rsidR="00131BD8" w:rsidRPr="00131BD8">
        <w:rPr>
          <w:sz w:val="20"/>
          <w:szCs w:val="20"/>
          <w:lang w:val="es-ES"/>
        </w:rPr>
        <w:t>aduce</w:t>
      </w:r>
      <w:r w:rsidR="004E4D38" w:rsidRPr="00131BD8">
        <w:rPr>
          <w:sz w:val="20"/>
          <w:szCs w:val="20"/>
          <w:lang w:val="es-ES"/>
        </w:rPr>
        <w:t xml:space="preserve"> violaciones cometidas </w:t>
      </w:r>
      <w:r w:rsidR="00A21169" w:rsidRPr="00131BD8">
        <w:rPr>
          <w:sz w:val="20"/>
          <w:szCs w:val="20"/>
          <w:lang w:val="es-ES"/>
        </w:rPr>
        <w:t>en el marco de las investigaciones penales</w:t>
      </w:r>
      <w:r w:rsidR="00846514" w:rsidRPr="00131BD8">
        <w:rPr>
          <w:sz w:val="20"/>
          <w:szCs w:val="20"/>
          <w:lang w:val="es-ES"/>
        </w:rPr>
        <w:t xml:space="preserve">, toda vez que </w:t>
      </w:r>
      <w:r w:rsidR="001C0D2F" w:rsidRPr="00131BD8">
        <w:rPr>
          <w:sz w:val="20"/>
          <w:szCs w:val="20"/>
          <w:lang w:val="es-ES"/>
        </w:rPr>
        <w:t xml:space="preserve">éstas </w:t>
      </w:r>
      <w:r w:rsidR="00846514" w:rsidRPr="00131BD8">
        <w:rPr>
          <w:sz w:val="20"/>
          <w:szCs w:val="20"/>
          <w:lang w:val="es-ES"/>
        </w:rPr>
        <w:t>no se adelantan por el delito de trata de personas</w:t>
      </w:r>
      <w:r w:rsidR="00E9344C" w:rsidRPr="00131BD8">
        <w:rPr>
          <w:sz w:val="20"/>
          <w:szCs w:val="20"/>
          <w:lang w:val="es-ES"/>
        </w:rPr>
        <w:t>;</w:t>
      </w:r>
      <w:r w:rsidR="00846514" w:rsidRPr="00131BD8">
        <w:rPr>
          <w:sz w:val="20"/>
          <w:szCs w:val="20"/>
          <w:lang w:val="es-ES"/>
        </w:rPr>
        <w:t xml:space="preserve"> la Comisión estima aplicable la excepción al agotamiento prevista en el artículo</w:t>
      </w:r>
      <w:r w:rsidR="00017DCE" w:rsidRPr="00131BD8">
        <w:rPr>
          <w:sz w:val="20"/>
          <w:szCs w:val="20"/>
          <w:lang w:val="es-ES"/>
        </w:rPr>
        <w:t xml:space="preserve"> 46.2.a) de la Convención Americana</w:t>
      </w:r>
      <w:r w:rsidR="007F1C7D" w:rsidRPr="00131BD8">
        <w:rPr>
          <w:sz w:val="20"/>
          <w:szCs w:val="20"/>
          <w:lang w:val="es-ES"/>
        </w:rPr>
        <w:t>. Ello por cuanto</w:t>
      </w:r>
      <w:r w:rsidR="00EC27BA" w:rsidRPr="00131BD8">
        <w:rPr>
          <w:sz w:val="20"/>
          <w:szCs w:val="20"/>
          <w:lang w:val="es-ES"/>
        </w:rPr>
        <w:t xml:space="preserve"> no es posible determinar que hayan constituido un recurso idóneo para analizar las </w:t>
      </w:r>
      <w:r w:rsidR="009D7DEA" w:rsidRPr="00131BD8">
        <w:rPr>
          <w:sz w:val="20"/>
          <w:szCs w:val="20"/>
          <w:lang w:val="es-ES"/>
        </w:rPr>
        <w:t xml:space="preserve">eventuales </w:t>
      </w:r>
      <w:r w:rsidR="00EC27BA" w:rsidRPr="00131BD8">
        <w:rPr>
          <w:sz w:val="20"/>
          <w:szCs w:val="20"/>
          <w:lang w:val="es-ES"/>
        </w:rPr>
        <w:t xml:space="preserve">violaciones </w:t>
      </w:r>
      <w:r w:rsidR="00120408" w:rsidRPr="00131BD8">
        <w:rPr>
          <w:sz w:val="20"/>
          <w:szCs w:val="20"/>
          <w:lang w:val="es-ES"/>
        </w:rPr>
        <w:t xml:space="preserve">de derechos humanos </w:t>
      </w:r>
      <w:r w:rsidR="00E9344C" w:rsidRPr="00131BD8">
        <w:rPr>
          <w:sz w:val="20"/>
          <w:szCs w:val="20"/>
          <w:lang w:val="es-ES"/>
        </w:rPr>
        <w:t xml:space="preserve">y la situación concreta </w:t>
      </w:r>
      <w:r w:rsidR="00120408" w:rsidRPr="00131BD8">
        <w:rPr>
          <w:sz w:val="20"/>
          <w:szCs w:val="20"/>
          <w:lang w:val="es-ES"/>
        </w:rPr>
        <w:t>de</w:t>
      </w:r>
      <w:r w:rsidR="00E9344C" w:rsidRPr="00131BD8">
        <w:rPr>
          <w:sz w:val="20"/>
          <w:szCs w:val="20"/>
          <w:lang w:val="es-ES"/>
        </w:rPr>
        <w:t xml:space="preserve"> vulnerabilidad en que se encontraba</w:t>
      </w:r>
      <w:r w:rsidR="00120408" w:rsidRPr="00131BD8">
        <w:rPr>
          <w:sz w:val="20"/>
          <w:szCs w:val="20"/>
          <w:lang w:val="es-ES"/>
        </w:rPr>
        <w:t xml:space="preserve"> </w:t>
      </w:r>
      <w:r w:rsidR="00120408" w:rsidRPr="00131BD8">
        <w:rPr>
          <w:i/>
          <w:iCs/>
          <w:sz w:val="20"/>
          <w:szCs w:val="20"/>
          <w:lang w:val="es-ES"/>
        </w:rPr>
        <w:t>Remedios</w:t>
      </w:r>
      <w:r w:rsidR="001164C5" w:rsidRPr="00131BD8">
        <w:rPr>
          <w:i/>
          <w:iCs/>
          <w:sz w:val="20"/>
          <w:szCs w:val="20"/>
          <w:lang w:val="es-ES"/>
        </w:rPr>
        <w:t xml:space="preserve"> </w:t>
      </w:r>
      <w:r w:rsidR="001164C5" w:rsidRPr="00131BD8">
        <w:rPr>
          <w:sz w:val="20"/>
          <w:szCs w:val="20"/>
          <w:lang w:val="es-ES"/>
        </w:rPr>
        <w:t>como adolescente migrante</w:t>
      </w:r>
      <w:r w:rsidR="00120408" w:rsidRPr="00131BD8">
        <w:rPr>
          <w:sz w:val="20"/>
          <w:szCs w:val="20"/>
          <w:lang w:val="es-ES"/>
        </w:rPr>
        <w:t>.</w:t>
      </w:r>
    </w:p>
    <w:p w14:paraId="15B14AAC" w14:textId="468AB187" w:rsidR="00212AA2" w:rsidRPr="00131BD8" w:rsidRDefault="00212AA2"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iCs/>
          <w:sz w:val="20"/>
          <w:szCs w:val="20"/>
          <w:lang w:val="es-ES"/>
        </w:rPr>
        <w:t xml:space="preserve">En el presente caso, la Comisión observa que los hechos denunciados relativos a la trata de personas a la que habría sido sometida </w:t>
      </w:r>
      <w:r w:rsidRPr="00131BD8">
        <w:rPr>
          <w:i/>
          <w:sz w:val="20"/>
          <w:szCs w:val="20"/>
          <w:lang w:val="es-ES"/>
        </w:rPr>
        <w:t>Remedios</w:t>
      </w:r>
      <w:r w:rsidRPr="00131BD8">
        <w:rPr>
          <w:iCs/>
          <w:sz w:val="20"/>
          <w:szCs w:val="20"/>
          <w:lang w:val="es-ES"/>
        </w:rPr>
        <w:t xml:space="preserve"> ocurrieron en marzo de 2016; </w:t>
      </w:r>
      <w:r w:rsidR="005841DD" w:rsidRPr="00131BD8">
        <w:rPr>
          <w:iCs/>
          <w:sz w:val="20"/>
          <w:szCs w:val="20"/>
          <w:lang w:val="es-ES"/>
        </w:rPr>
        <w:t>las autoridades colombian</w:t>
      </w:r>
      <w:r w:rsidR="00936265" w:rsidRPr="00131BD8">
        <w:rPr>
          <w:iCs/>
          <w:sz w:val="20"/>
          <w:szCs w:val="20"/>
          <w:lang w:val="es-ES"/>
        </w:rPr>
        <w:t>a</w:t>
      </w:r>
      <w:r w:rsidR="005841DD" w:rsidRPr="00131BD8">
        <w:rPr>
          <w:iCs/>
          <w:sz w:val="20"/>
          <w:szCs w:val="20"/>
          <w:lang w:val="es-ES"/>
        </w:rPr>
        <w:t xml:space="preserve">s iniciaron gestiones de protección </w:t>
      </w:r>
      <w:r w:rsidR="00EF5033" w:rsidRPr="00131BD8">
        <w:rPr>
          <w:iCs/>
          <w:sz w:val="20"/>
          <w:szCs w:val="20"/>
          <w:lang w:val="es-ES"/>
        </w:rPr>
        <w:t>e identificación de la adolescente y su hija en noviembre de ese año</w:t>
      </w:r>
      <w:r w:rsidRPr="00131BD8">
        <w:rPr>
          <w:iCs/>
          <w:sz w:val="20"/>
          <w:szCs w:val="20"/>
          <w:lang w:val="es-ES"/>
        </w:rPr>
        <w:t xml:space="preserve">; </w:t>
      </w:r>
      <w:r w:rsidR="00EF5033" w:rsidRPr="00131BD8">
        <w:rPr>
          <w:iCs/>
          <w:sz w:val="20"/>
          <w:szCs w:val="20"/>
          <w:lang w:val="es-ES"/>
        </w:rPr>
        <w:t xml:space="preserve">y </w:t>
      </w:r>
      <w:r w:rsidRPr="00131BD8">
        <w:rPr>
          <w:iCs/>
          <w:sz w:val="20"/>
          <w:szCs w:val="20"/>
          <w:lang w:val="es-ES"/>
        </w:rPr>
        <w:t xml:space="preserve">las consecuencias de estos hechos, en términos de la </w:t>
      </w:r>
      <w:r w:rsidR="00EF5033" w:rsidRPr="00131BD8">
        <w:rPr>
          <w:iCs/>
          <w:sz w:val="20"/>
          <w:szCs w:val="20"/>
          <w:lang w:val="es-ES"/>
        </w:rPr>
        <w:t xml:space="preserve">posible revictimización </w:t>
      </w:r>
      <w:r w:rsidR="00B62449" w:rsidRPr="00131BD8">
        <w:rPr>
          <w:iCs/>
          <w:sz w:val="20"/>
          <w:szCs w:val="20"/>
          <w:lang w:val="es-ES"/>
        </w:rPr>
        <w:t xml:space="preserve">por falta de prevención, </w:t>
      </w:r>
      <w:r w:rsidRPr="00131BD8">
        <w:rPr>
          <w:iCs/>
          <w:sz w:val="20"/>
          <w:szCs w:val="20"/>
          <w:lang w:val="es-ES"/>
        </w:rPr>
        <w:t>se extenderían hasta el presente, por lo que</w:t>
      </w:r>
      <w:r w:rsidR="00F5660C" w:rsidRPr="00131BD8">
        <w:rPr>
          <w:iCs/>
          <w:sz w:val="20"/>
          <w:szCs w:val="20"/>
          <w:lang w:val="es-ES"/>
        </w:rPr>
        <w:t>,</w:t>
      </w:r>
      <w:r w:rsidRPr="00131BD8">
        <w:rPr>
          <w:iCs/>
          <w:sz w:val="20"/>
          <w:szCs w:val="20"/>
          <w:lang w:val="es-ES"/>
        </w:rPr>
        <w:t xml:space="preserve"> la Comisión considera que la presente petición fue presentada dentro de un plazo razonable en los términos del artículo 32.2 de la Convención Americana.</w:t>
      </w:r>
    </w:p>
    <w:p w14:paraId="673598AF" w14:textId="77777777" w:rsidR="003239B8" w:rsidRPr="00131BD8" w:rsidRDefault="003239B8" w:rsidP="002E5A4F">
      <w:pPr>
        <w:pStyle w:val="ListParagraph"/>
        <w:numPr>
          <w:ilvl w:val="0"/>
          <w:numId w:val="0"/>
        </w:numPr>
        <w:ind w:left="720"/>
        <w:jc w:val="both"/>
        <w:rPr>
          <w:rFonts w:asciiTheme="majorHAnsi" w:hAnsiTheme="majorHAnsi"/>
          <w:b/>
          <w:bCs/>
          <w:sz w:val="20"/>
          <w:szCs w:val="20"/>
          <w:lang w:val="es-UY"/>
        </w:rPr>
      </w:pPr>
      <w:r w:rsidRPr="00131BD8">
        <w:rPr>
          <w:rFonts w:asciiTheme="majorHAnsi" w:hAnsiTheme="majorHAnsi"/>
          <w:b/>
          <w:bCs/>
          <w:sz w:val="20"/>
          <w:szCs w:val="20"/>
          <w:lang w:val="es-ES"/>
        </w:rPr>
        <w:t>VII.</w:t>
      </w:r>
      <w:r w:rsidRPr="00131BD8">
        <w:rPr>
          <w:rFonts w:asciiTheme="majorHAnsi" w:hAnsiTheme="majorHAnsi"/>
          <w:b/>
          <w:bCs/>
          <w:sz w:val="20"/>
          <w:szCs w:val="20"/>
          <w:lang w:val="es-ES"/>
        </w:rPr>
        <w:tab/>
      </w:r>
      <w:r w:rsidR="004A6A54" w:rsidRPr="00131BD8">
        <w:rPr>
          <w:rFonts w:asciiTheme="majorHAnsi" w:hAnsiTheme="majorHAnsi"/>
          <w:b/>
          <w:bCs/>
          <w:sz w:val="20"/>
          <w:szCs w:val="20"/>
          <w:lang w:val="es-ES_tradnl"/>
        </w:rPr>
        <w:t xml:space="preserve">ANÁLISIS DE </w:t>
      </w:r>
      <w:r w:rsidR="00C21FEF" w:rsidRPr="00131BD8">
        <w:rPr>
          <w:rFonts w:asciiTheme="majorHAnsi" w:hAnsiTheme="majorHAnsi"/>
          <w:b/>
          <w:bCs/>
          <w:sz w:val="20"/>
          <w:szCs w:val="20"/>
          <w:lang w:val="es-ES"/>
        </w:rPr>
        <w:t xml:space="preserve">CARACTERIZACIÓN </w:t>
      </w:r>
      <w:r w:rsidR="00C21FEF" w:rsidRPr="00131BD8">
        <w:rPr>
          <w:rFonts w:asciiTheme="majorHAnsi" w:hAnsiTheme="majorHAnsi"/>
          <w:b/>
          <w:bCs/>
          <w:sz w:val="20"/>
          <w:szCs w:val="20"/>
          <w:lang w:val="es-UY"/>
        </w:rPr>
        <w:t>DE LOS HECHOS ALEGADOS</w:t>
      </w:r>
    </w:p>
    <w:p w14:paraId="2DDF1999" w14:textId="3D8444A6" w:rsidR="006E621A" w:rsidRPr="00131BD8"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La Comisión observa que la presente petición inclu</w:t>
      </w:r>
      <w:r w:rsidR="004B421C" w:rsidRPr="00131BD8">
        <w:rPr>
          <w:sz w:val="20"/>
          <w:szCs w:val="20"/>
          <w:lang w:val="es-ES"/>
        </w:rPr>
        <w:t>ye alega</w:t>
      </w:r>
      <w:r w:rsidR="006343BE" w:rsidRPr="00131BD8">
        <w:rPr>
          <w:sz w:val="20"/>
          <w:szCs w:val="20"/>
          <w:lang w:val="es-ES"/>
        </w:rPr>
        <w:t>to</w:t>
      </w:r>
      <w:r w:rsidR="004B421C" w:rsidRPr="00131BD8">
        <w:rPr>
          <w:sz w:val="20"/>
          <w:szCs w:val="20"/>
          <w:lang w:val="es-ES"/>
        </w:rPr>
        <w:t xml:space="preserve">s con respecto a </w:t>
      </w:r>
      <w:r w:rsidR="00B7056C" w:rsidRPr="00131BD8">
        <w:rPr>
          <w:sz w:val="20"/>
          <w:szCs w:val="20"/>
          <w:lang w:val="es-ES"/>
        </w:rPr>
        <w:t xml:space="preserve">la falta de atención integral </w:t>
      </w:r>
      <w:r w:rsidR="00446387" w:rsidRPr="00131BD8">
        <w:rPr>
          <w:sz w:val="20"/>
          <w:szCs w:val="20"/>
          <w:lang w:val="es-ES"/>
        </w:rPr>
        <w:t xml:space="preserve">a una presunta víctima de trata de personas, lo que habría derivado en </w:t>
      </w:r>
      <w:r w:rsidR="00784BD7" w:rsidRPr="00131BD8">
        <w:rPr>
          <w:sz w:val="20"/>
          <w:szCs w:val="20"/>
          <w:lang w:val="es-ES"/>
        </w:rPr>
        <w:t xml:space="preserve">una posible </w:t>
      </w:r>
      <w:r w:rsidR="00446387" w:rsidRPr="00131BD8">
        <w:rPr>
          <w:sz w:val="20"/>
          <w:szCs w:val="20"/>
          <w:lang w:val="es-ES"/>
        </w:rPr>
        <w:t>nueva captación con fines de explotación sexual.</w:t>
      </w:r>
      <w:r w:rsidR="00C627D3" w:rsidRPr="00131BD8">
        <w:rPr>
          <w:sz w:val="20"/>
          <w:szCs w:val="20"/>
          <w:lang w:val="es-ES"/>
        </w:rPr>
        <w:t xml:space="preserve"> El Estado sostiene que la petición incurre en la denominada “fórmula de la cuarta instancia internacional”</w:t>
      </w:r>
      <w:r w:rsidR="00893ABD" w:rsidRPr="00131BD8">
        <w:rPr>
          <w:sz w:val="20"/>
          <w:szCs w:val="20"/>
          <w:lang w:val="es-ES"/>
        </w:rPr>
        <w:t>,</w:t>
      </w:r>
      <w:r w:rsidR="00C627D3" w:rsidRPr="00131BD8">
        <w:rPr>
          <w:sz w:val="20"/>
          <w:szCs w:val="20"/>
          <w:lang w:val="es-ES"/>
        </w:rPr>
        <w:t xml:space="preserve"> por cuanto proveyó de protección a </w:t>
      </w:r>
      <w:r w:rsidR="00C627D3" w:rsidRPr="00131BD8">
        <w:rPr>
          <w:i/>
          <w:iCs/>
          <w:sz w:val="20"/>
          <w:szCs w:val="20"/>
          <w:lang w:val="es-ES"/>
        </w:rPr>
        <w:t>Remedios</w:t>
      </w:r>
      <w:r w:rsidR="00C627D3" w:rsidRPr="00131BD8">
        <w:rPr>
          <w:sz w:val="20"/>
          <w:szCs w:val="20"/>
          <w:lang w:val="es-ES"/>
        </w:rPr>
        <w:t xml:space="preserve"> y a su hija en un internado a cargo del ICBF.</w:t>
      </w:r>
    </w:p>
    <w:p w14:paraId="6EB7ACE2" w14:textId="3C56FD06" w:rsidR="00697949" w:rsidRPr="00131BD8" w:rsidRDefault="00D469B9" w:rsidP="00697949">
      <w:pPr>
        <w:pStyle w:val="ListParagraph"/>
        <w:numPr>
          <w:ilvl w:val="0"/>
          <w:numId w:val="61"/>
        </w:numPr>
        <w:suppressAutoHyphens/>
        <w:ind w:left="0" w:firstLine="720"/>
        <w:jc w:val="both"/>
        <w:rPr>
          <w:sz w:val="20"/>
          <w:szCs w:val="20"/>
          <w:lang w:val="es-ES"/>
        </w:rPr>
      </w:pPr>
      <w:r w:rsidRPr="00131BD8">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131BD8">
        <w:rPr>
          <w:i/>
          <w:iCs/>
          <w:sz w:val="20"/>
          <w:szCs w:val="20"/>
          <w:lang w:val="es-CO"/>
        </w:rPr>
        <w:t>prima facie</w:t>
      </w:r>
      <w:r w:rsidRPr="00131BD8">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416716B" w14:textId="19C3AF50" w:rsidR="00065E0D" w:rsidRPr="00131BD8" w:rsidRDefault="00953CC2" w:rsidP="005F24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lastRenderedPageBreak/>
        <w:t>E</w:t>
      </w:r>
      <w:r w:rsidR="005F247F" w:rsidRPr="00131BD8">
        <w:rPr>
          <w:sz w:val="20"/>
          <w:szCs w:val="20"/>
          <w:lang w:val="es-ES"/>
        </w:rPr>
        <w:t xml:space="preserve">l Protocolo para prevenir, reprimir y sancionar la trata de personas, especialmente mujeres y niños, que complementa la </w:t>
      </w:r>
      <w:r w:rsidR="006E1576" w:rsidRPr="00131BD8">
        <w:rPr>
          <w:sz w:val="20"/>
          <w:szCs w:val="20"/>
          <w:lang w:val="es-ES"/>
        </w:rPr>
        <w:t>C</w:t>
      </w:r>
      <w:r w:rsidR="005F247F" w:rsidRPr="00131BD8">
        <w:rPr>
          <w:sz w:val="20"/>
          <w:szCs w:val="20"/>
          <w:lang w:val="es-ES"/>
        </w:rPr>
        <w:t xml:space="preserve">onvención de las </w:t>
      </w:r>
      <w:r w:rsidR="006E1576" w:rsidRPr="00131BD8">
        <w:rPr>
          <w:sz w:val="20"/>
          <w:szCs w:val="20"/>
          <w:lang w:val="es-ES"/>
        </w:rPr>
        <w:t>N</w:t>
      </w:r>
      <w:r w:rsidR="005F247F" w:rsidRPr="00131BD8">
        <w:rPr>
          <w:sz w:val="20"/>
          <w:szCs w:val="20"/>
          <w:lang w:val="es-ES"/>
        </w:rPr>
        <w:t xml:space="preserve">aciones </w:t>
      </w:r>
      <w:r w:rsidR="006E1576" w:rsidRPr="00131BD8">
        <w:rPr>
          <w:sz w:val="20"/>
          <w:szCs w:val="20"/>
          <w:lang w:val="es-ES"/>
        </w:rPr>
        <w:t>U</w:t>
      </w:r>
      <w:r w:rsidR="005F247F" w:rsidRPr="00131BD8">
        <w:rPr>
          <w:sz w:val="20"/>
          <w:szCs w:val="20"/>
          <w:lang w:val="es-ES"/>
        </w:rPr>
        <w:t xml:space="preserve">nidas contra la </w:t>
      </w:r>
      <w:r w:rsidR="006E1576" w:rsidRPr="00131BD8">
        <w:rPr>
          <w:sz w:val="20"/>
          <w:szCs w:val="20"/>
          <w:lang w:val="es-ES"/>
        </w:rPr>
        <w:t>D</w:t>
      </w:r>
      <w:r w:rsidR="005F247F" w:rsidRPr="00131BD8">
        <w:rPr>
          <w:sz w:val="20"/>
          <w:szCs w:val="20"/>
          <w:lang w:val="es-ES"/>
        </w:rPr>
        <w:t xml:space="preserve">elincuencia </w:t>
      </w:r>
      <w:r w:rsidR="006E1576" w:rsidRPr="00131BD8">
        <w:rPr>
          <w:sz w:val="20"/>
          <w:szCs w:val="20"/>
          <w:lang w:val="es-ES"/>
        </w:rPr>
        <w:t>O</w:t>
      </w:r>
      <w:r w:rsidR="005F247F" w:rsidRPr="00131BD8">
        <w:rPr>
          <w:sz w:val="20"/>
          <w:szCs w:val="20"/>
          <w:lang w:val="es-ES"/>
        </w:rPr>
        <w:t xml:space="preserve">rganizada </w:t>
      </w:r>
      <w:r w:rsidR="006E1576" w:rsidRPr="00131BD8">
        <w:rPr>
          <w:sz w:val="20"/>
          <w:szCs w:val="20"/>
          <w:lang w:val="es-ES"/>
        </w:rPr>
        <w:t>T</w:t>
      </w:r>
      <w:r w:rsidR="005F247F" w:rsidRPr="00131BD8">
        <w:rPr>
          <w:sz w:val="20"/>
          <w:szCs w:val="20"/>
          <w:lang w:val="es-ES"/>
        </w:rPr>
        <w:t>ransnacional</w:t>
      </w:r>
      <w:r w:rsidR="006E1576" w:rsidRPr="00131BD8">
        <w:rPr>
          <w:sz w:val="20"/>
          <w:szCs w:val="20"/>
          <w:lang w:val="es-ES"/>
        </w:rPr>
        <w:t xml:space="preserve"> (en adelante “el Protocolo de Palermo”)</w:t>
      </w:r>
      <w:r w:rsidR="00473C1F" w:rsidRPr="00131BD8">
        <w:rPr>
          <w:sz w:val="20"/>
          <w:szCs w:val="20"/>
          <w:lang w:val="es-ES"/>
        </w:rPr>
        <w:t xml:space="preserve"> establece: </w:t>
      </w:r>
    </w:p>
    <w:p w14:paraId="30245221" w14:textId="77777777" w:rsidR="008D7543" w:rsidRPr="00131BD8" w:rsidRDefault="00473C1F" w:rsidP="00E94573">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sz w:val="18"/>
          <w:szCs w:val="18"/>
          <w:lang w:val="es-CO"/>
        </w:rPr>
      </w:pPr>
      <w:r w:rsidRPr="00131BD8">
        <w:rPr>
          <w:sz w:val="18"/>
          <w:szCs w:val="18"/>
          <w:lang w:val="es-CO"/>
        </w:rPr>
        <w:t xml:space="preserve">a) Por "trata de personas" se entenderá la captación, el transporte,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 Esa explotación incluirá, como mínimo, la explotación de la prostitución ajena u otras formas de explotación sexual, los trabajos o servicios forzados, la esclavitud o las prácticas análogas a la esclavitud, la servidumbre o la extracción de órganos; </w:t>
      </w:r>
    </w:p>
    <w:p w14:paraId="01BFEF5A" w14:textId="77777777" w:rsidR="008D7543" w:rsidRPr="00131BD8" w:rsidRDefault="008D7543" w:rsidP="00E94573">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sz w:val="18"/>
          <w:szCs w:val="18"/>
          <w:lang w:val="es-CO"/>
        </w:rPr>
      </w:pPr>
      <w:r w:rsidRPr="00131BD8">
        <w:rPr>
          <w:sz w:val="18"/>
          <w:szCs w:val="18"/>
          <w:lang w:val="es-CO"/>
        </w:rPr>
        <w:t xml:space="preserve">[…] </w:t>
      </w:r>
      <w:r w:rsidR="00473C1F" w:rsidRPr="00131BD8">
        <w:rPr>
          <w:sz w:val="18"/>
          <w:szCs w:val="18"/>
          <w:lang w:val="es-CO"/>
        </w:rPr>
        <w:t>c) La captación, el transporte, el traslado, la acogida o la recepción de un niño con fines de explotación se considerará "trata de personas" incluso cuando no se recurra a ninguno de los medios enunciados en el apartado a) del presente artículo;</w:t>
      </w:r>
    </w:p>
    <w:p w14:paraId="6978B5B4" w14:textId="0E3FE174" w:rsidR="00473C1F" w:rsidRPr="00131BD8" w:rsidRDefault="00473C1F" w:rsidP="00E94573">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sz w:val="18"/>
          <w:szCs w:val="18"/>
          <w:lang w:val="es-ES"/>
        </w:rPr>
      </w:pPr>
      <w:r w:rsidRPr="00131BD8">
        <w:rPr>
          <w:sz w:val="18"/>
          <w:szCs w:val="18"/>
          <w:lang w:val="es-CO"/>
        </w:rPr>
        <w:t>d) Por "niño" se entenderá toda persona menor de 18 años</w:t>
      </w:r>
      <w:r w:rsidR="009F060A" w:rsidRPr="00131BD8">
        <w:rPr>
          <w:rStyle w:val="FootnoteReference"/>
          <w:sz w:val="18"/>
          <w:szCs w:val="18"/>
          <w:lang w:val="es-CO"/>
        </w:rPr>
        <w:footnoteReference w:id="10"/>
      </w:r>
      <w:r w:rsidR="00E94573" w:rsidRPr="00131BD8">
        <w:rPr>
          <w:sz w:val="18"/>
          <w:szCs w:val="18"/>
          <w:lang w:val="es-CO"/>
        </w:rPr>
        <w:t>.</w:t>
      </w:r>
    </w:p>
    <w:p w14:paraId="45FB885E" w14:textId="17B320BF" w:rsidR="00913D6D" w:rsidRPr="00131BD8" w:rsidRDefault="00EB35FE" w:rsidP="000A460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CO"/>
        </w:rPr>
      </w:pPr>
      <w:r w:rsidRPr="00131BD8">
        <w:rPr>
          <w:sz w:val="20"/>
          <w:szCs w:val="20"/>
          <w:lang w:val="es-CO"/>
        </w:rPr>
        <w:t xml:space="preserve">A su turno, la Corte Interamericana de Derechos Humanos ha entendido </w:t>
      </w:r>
      <w:r w:rsidR="00E377B9" w:rsidRPr="00131BD8">
        <w:rPr>
          <w:sz w:val="20"/>
          <w:szCs w:val="20"/>
          <w:lang w:val="es-CO"/>
        </w:rPr>
        <w:t xml:space="preserve">que </w:t>
      </w:r>
      <w:r w:rsidRPr="00131BD8">
        <w:rPr>
          <w:sz w:val="20"/>
          <w:szCs w:val="20"/>
          <w:lang w:val="es-CO"/>
        </w:rPr>
        <w:t>la prohibición de</w:t>
      </w:r>
      <w:r w:rsidR="00E377B9" w:rsidRPr="00131BD8">
        <w:rPr>
          <w:sz w:val="20"/>
          <w:szCs w:val="20"/>
          <w:lang w:val="es-CO"/>
        </w:rPr>
        <w:t xml:space="preserve"> “la trata de esclavos y la trata de mujeres” contenida en el artículo 6.1 de la Convención Americana, interpretada conforme a la evolución del Derecho Internacional, se refiere a la prohibición de la trata de personas, y </w:t>
      </w:r>
      <w:r w:rsidR="00913D6D" w:rsidRPr="00131BD8">
        <w:rPr>
          <w:sz w:val="20"/>
          <w:szCs w:val="20"/>
          <w:lang w:val="es-CO"/>
        </w:rPr>
        <w:t>está compuesta por tres elementos: “i) la captación, el transporte, el traslado, la acogida o la recepción de personas; ii)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Para los menores de 18 años estos requisitos no son condición necesaria para la caracterización de trata; iii) con cualquier fin de explotación”</w:t>
      </w:r>
      <w:r w:rsidR="00913D6D" w:rsidRPr="00131BD8">
        <w:rPr>
          <w:rStyle w:val="FootnoteReference"/>
          <w:sz w:val="20"/>
          <w:szCs w:val="20"/>
          <w:lang w:val="es-CO"/>
        </w:rPr>
        <w:footnoteReference w:id="11"/>
      </w:r>
      <w:r w:rsidR="00913D6D" w:rsidRPr="00131BD8">
        <w:rPr>
          <w:sz w:val="20"/>
          <w:szCs w:val="20"/>
          <w:lang w:val="es-CO"/>
        </w:rPr>
        <w:t>.</w:t>
      </w:r>
    </w:p>
    <w:p w14:paraId="69E82242" w14:textId="55D0BDE8" w:rsidR="00533369" w:rsidRPr="00131BD8" w:rsidRDefault="00ED0458" w:rsidP="005F24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Bajo estos términos es claro que </w:t>
      </w:r>
      <w:r w:rsidRPr="00131BD8">
        <w:rPr>
          <w:i/>
          <w:iCs/>
          <w:sz w:val="20"/>
          <w:szCs w:val="20"/>
          <w:lang w:val="es-ES"/>
        </w:rPr>
        <w:t>Remedios</w:t>
      </w:r>
      <w:r w:rsidRPr="00131BD8">
        <w:rPr>
          <w:sz w:val="20"/>
          <w:szCs w:val="20"/>
          <w:lang w:val="es-ES"/>
        </w:rPr>
        <w:t xml:space="preserve"> fue </w:t>
      </w:r>
      <w:r w:rsidR="008F5F07" w:rsidRPr="00131BD8">
        <w:rPr>
          <w:sz w:val="20"/>
          <w:szCs w:val="20"/>
          <w:lang w:val="es-ES"/>
        </w:rPr>
        <w:t xml:space="preserve">trasladada </w:t>
      </w:r>
      <w:r w:rsidR="0005552A" w:rsidRPr="00131BD8">
        <w:rPr>
          <w:sz w:val="20"/>
          <w:szCs w:val="20"/>
          <w:lang w:val="es-ES"/>
        </w:rPr>
        <w:t xml:space="preserve">de Venezuela a Colombia por su padre, en su condición de niña, </w:t>
      </w:r>
      <w:r w:rsidR="000130D2" w:rsidRPr="00131BD8">
        <w:rPr>
          <w:sz w:val="20"/>
          <w:szCs w:val="20"/>
          <w:lang w:val="es-ES"/>
        </w:rPr>
        <w:t>con fines de explotación</w:t>
      </w:r>
      <w:r w:rsidR="0005552A" w:rsidRPr="00131BD8">
        <w:rPr>
          <w:sz w:val="20"/>
          <w:szCs w:val="20"/>
          <w:lang w:val="es-ES"/>
        </w:rPr>
        <w:t xml:space="preserve"> sexual</w:t>
      </w:r>
      <w:r w:rsidR="00CC2883" w:rsidRPr="00131BD8">
        <w:rPr>
          <w:sz w:val="20"/>
          <w:szCs w:val="20"/>
          <w:lang w:val="es-ES"/>
        </w:rPr>
        <w:t>.</w:t>
      </w:r>
      <w:r w:rsidR="0069750F" w:rsidRPr="00131BD8">
        <w:rPr>
          <w:sz w:val="20"/>
          <w:szCs w:val="20"/>
          <w:lang w:val="es-ES"/>
        </w:rPr>
        <w:t xml:space="preserve"> </w:t>
      </w:r>
      <w:r w:rsidR="00CC2883" w:rsidRPr="00131BD8">
        <w:rPr>
          <w:sz w:val="20"/>
          <w:szCs w:val="20"/>
          <w:lang w:val="es-ES"/>
        </w:rPr>
        <w:t>D</w:t>
      </w:r>
      <w:r w:rsidR="0069750F" w:rsidRPr="00131BD8">
        <w:rPr>
          <w:sz w:val="20"/>
          <w:szCs w:val="20"/>
          <w:lang w:val="es-ES"/>
        </w:rPr>
        <w:t xml:space="preserve">e manera que, </w:t>
      </w:r>
      <w:r w:rsidR="0069750F" w:rsidRPr="00131BD8">
        <w:rPr>
          <w:i/>
          <w:iCs/>
          <w:sz w:val="20"/>
          <w:szCs w:val="20"/>
          <w:lang w:val="es-ES"/>
        </w:rPr>
        <w:t>prima facie</w:t>
      </w:r>
      <w:r w:rsidR="0069750F" w:rsidRPr="00131BD8">
        <w:rPr>
          <w:sz w:val="20"/>
          <w:szCs w:val="20"/>
          <w:lang w:val="es-ES"/>
        </w:rPr>
        <w:t xml:space="preserve">, </w:t>
      </w:r>
      <w:r w:rsidR="0026092A" w:rsidRPr="00131BD8">
        <w:rPr>
          <w:sz w:val="20"/>
          <w:szCs w:val="20"/>
          <w:lang w:val="es-ES"/>
        </w:rPr>
        <w:t>pudiera concluirse</w:t>
      </w:r>
      <w:r w:rsidR="00CE3281" w:rsidRPr="00131BD8">
        <w:rPr>
          <w:sz w:val="20"/>
          <w:szCs w:val="20"/>
          <w:lang w:val="es-ES"/>
        </w:rPr>
        <w:t>,</w:t>
      </w:r>
      <w:r w:rsidR="00430948" w:rsidRPr="00131BD8">
        <w:rPr>
          <w:sz w:val="20"/>
          <w:szCs w:val="20"/>
          <w:lang w:val="es-ES"/>
        </w:rPr>
        <w:t xml:space="preserve"> </w:t>
      </w:r>
      <w:r w:rsidR="00A46761" w:rsidRPr="00131BD8">
        <w:rPr>
          <w:sz w:val="20"/>
          <w:szCs w:val="20"/>
          <w:lang w:val="es-ES"/>
        </w:rPr>
        <w:t xml:space="preserve">si se </w:t>
      </w:r>
      <w:r w:rsidR="00430948" w:rsidRPr="00131BD8">
        <w:rPr>
          <w:sz w:val="20"/>
          <w:szCs w:val="20"/>
          <w:lang w:val="es-ES"/>
        </w:rPr>
        <w:t>corrobora</w:t>
      </w:r>
      <w:r w:rsidR="00A46761" w:rsidRPr="00131BD8">
        <w:rPr>
          <w:sz w:val="20"/>
          <w:szCs w:val="20"/>
          <w:lang w:val="es-ES"/>
        </w:rPr>
        <w:t>n</w:t>
      </w:r>
      <w:r w:rsidR="00430948" w:rsidRPr="00131BD8">
        <w:rPr>
          <w:sz w:val="20"/>
          <w:szCs w:val="20"/>
          <w:lang w:val="es-ES"/>
        </w:rPr>
        <w:t xml:space="preserve"> como ciertos los hechos denunciados,</w:t>
      </w:r>
      <w:r w:rsidR="00CC2883" w:rsidRPr="00131BD8">
        <w:rPr>
          <w:sz w:val="20"/>
          <w:szCs w:val="20"/>
          <w:lang w:val="es-ES"/>
        </w:rPr>
        <w:t xml:space="preserve"> que </w:t>
      </w:r>
      <w:r w:rsidR="00CC2883" w:rsidRPr="00131BD8">
        <w:rPr>
          <w:i/>
          <w:iCs/>
          <w:sz w:val="20"/>
          <w:szCs w:val="20"/>
          <w:lang w:val="es-ES"/>
        </w:rPr>
        <w:t>Remedios</w:t>
      </w:r>
      <w:r w:rsidR="00CC2883" w:rsidRPr="00131BD8">
        <w:rPr>
          <w:sz w:val="20"/>
          <w:szCs w:val="20"/>
          <w:lang w:val="es-ES"/>
        </w:rPr>
        <w:t xml:space="preserve"> </w:t>
      </w:r>
      <w:r w:rsidR="0069750F" w:rsidRPr="00131BD8">
        <w:rPr>
          <w:sz w:val="20"/>
          <w:szCs w:val="20"/>
          <w:lang w:val="es-ES"/>
        </w:rPr>
        <w:t xml:space="preserve">habría sido víctima de trata de personas. </w:t>
      </w:r>
      <w:r w:rsidR="0044560E" w:rsidRPr="00131BD8">
        <w:rPr>
          <w:sz w:val="20"/>
          <w:szCs w:val="20"/>
          <w:lang w:val="es-ES"/>
        </w:rPr>
        <w:t>E</w:t>
      </w:r>
      <w:r w:rsidR="00290D92" w:rsidRPr="00131BD8">
        <w:rPr>
          <w:sz w:val="20"/>
          <w:szCs w:val="20"/>
          <w:lang w:val="es-ES"/>
        </w:rPr>
        <w:t>sta determinación</w:t>
      </w:r>
      <w:r w:rsidR="006E62FB" w:rsidRPr="00131BD8">
        <w:rPr>
          <w:sz w:val="20"/>
          <w:szCs w:val="20"/>
          <w:lang w:val="es-ES"/>
        </w:rPr>
        <w:t xml:space="preserve"> requiere</w:t>
      </w:r>
      <w:r w:rsidR="00961F29" w:rsidRPr="00131BD8">
        <w:rPr>
          <w:sz w:val="20"/>
          <w:szCs w:val="20"/>
          <w:lang w:val="es-ES"/>
        </w:rPr>
        <w:t xml:space="preserve"> además</w:t>
      </w:r>
      <w:r w:rsidR="006E62FB" w:rsidRPr="00131BD8">
        <w:rPr>
          <w:sz w:val="20"/>
          <w:szCs w:val="20"/>
          <w:lang w:val="es-ES"/>
        </w:rPr>
        <w:t xml:space="preserve"> </w:t>
      </w:r>
      <w:r w:rsidR="00290D92" w:rsidRPr="00131BD8">
        <w:rPr>
          <w:sz w:val="20"/>
          <w:szCs w:val="20"/>
          <w:lang w:val="es-ES"/>
        </w:rPr>
        <w:t>un análisis</w:t>
      </w:r>
      <w:r w:rsidR="0044560E" w:rsidRPr="00131BD8">
        <w:rPr>
          <w:sz w:val="20"/>
          <w:szCs w:val="20"/>
          <w:lang w:val="es-ES"/>
        </w:rPr>
        <w:t xml:space="preserve"> </w:t>
      </w:r>
      <w:r w:rsidR="00397730" w:rsidRPr="00131BD8">
        <w:rPr>
          <w:sz w:val="20"/>
          <w:szCs w:val="20"/>
          <w:lang w:val="es-ES"/>
        </w:rPr>
        <w:t xml:space="preserve">de los </w:t>
      </w:r>
      <w:r w:rsidR="0044560E" w:rsidRPr="00131BD8">
        <w:rPr>
          <w:sz w:val="20"/>
          <w:szCs w:val="20"/>
          <w:lang w:val="es-ES"/>
        </w:rPr>
        <w:t xml:space="preserve">factores de discriminación interseccional que </w:t>
      </w:r>
      <w:r w:rsidR="00397730" w:rsidRPr="00131BD8">
        <w:rPr>
          <w:sz w:val="20"/>
          <w:szCs w:val="20"/>
          <w:lang w:val="es-ES"/>
        </w:rPr>
        <w:t xml:space="preserve">causaron </w:t>
      </w:r>
      <w:r w:rsidR="00954D97" w:rsidRPr="00131BD8">
        <w:rPr>
          <w:sz w:val="20"/>
          <w:szCs w:val="20"/>
          <w:lang w:val="es-ES"/>
        </w:rPr>
        <w:t xml:space="preserve">su </w:t>
      </w:r>
      <w:r w:rsidR="00B203E6" w:rsidRPr="00131BD8">
        <w:rPr>
          <w:sz w:val="20"/>
          <w:szCs w:val="20"/>
          <w:lang w:val="es-ES"/>
        </w:rPr>
        <w:t>victimización</w:t>
      </w:r>
      <w:r w:rsidR="00954D97" w:rsidRPr="00131BD8">
        <w:rPr>
          <w:sz w:val="20"/>
          <w:szCs w:val="20"/>
          <w:lang w:val="es-ES"/>
        </w:rPr>
        <w:t xml:space="preserve"> </w:t>
      </w:r>
      <w:r w:rsidR="0044560E" w:rsidRPr="00131BD8">
        <w:rPr>
          <w:sz w:val="20"/>
          <w:szCs w:val="20"/>
          <w:lang w:val="es-ES"/>
        </w:rPr>
        <w:t>y de una atención especializad</w:t>
      </w:r>
      <w:r w:rsidR="00954D97" w:rsidRPr="00131BD8">
        <w:rPr>
          <w:sz w:val="20"/>
          <w:szCs w:val="20"/>
          <w:lang w:val="es-ES"/>
        </w:rPr>
        <w:t>a</w:t>
      </w:r>
      <w:r w:rsidR="0044560E" w:rsidRPr="00131BD8">
        <w:rPr>
          <w:sz w:val="20"/>
          <w:szCs w:val="20"/>
          <w:lang w:val="es-ES"/>
        </w:rPr>
        <w:t xml:space="preserve"> con enfoque de niñez</w:t>
      </w:r>
      <w:r w:rsidR="000E61CE" w:rsidRPr="00131BD8">
        <w:rPr>
          <w:sz w:val="20"/>
          <w:szCs w:val="20"/>
          <w:lang w:val="es-ES"/>
        </w:rPr>
        <w:t xml:space="preserve"> y de</w:t>
      </w:r>
      <w:r w:rsidR="0044560E" w:rsidRPr="00131BD8">
        <w:rPr>
          <w:sz w:val="20"/>
          <w:szCs w:val="20"/>
          <w:lang w:val="es-ES"/>
        </w:rPr>
        <w:t xml:space="preserve"> género</w:t>
      </w:r>
      <w:r w:rsidR="000E61CE" w:rsidRPr="00131BD8">
        <w:rPr>
          <w:sz w:val="20"/>
          <w:szCs w:val="20"/>
          <w:lang w:val="es-ES"/>
        </w:rPr>
        <w:t xml:space="preserve">, tomando en consideración su </w:t>
      </w:r>
      <w:r w:rsidR="00B52CA5" w:rsidRPr="00131BD8">
        <w:rPr>
          <w:sz w:val="20"/>
          <w:szCs w:val="20"/>
          <w:lang w:val="es-ES"/>
        </w:rPr>
        <w:t>situación socioeconómica</w:t>
      </w:r>
      <w:r w:rsidR="0044560E" w:rsidRPr="00131BD8">
        <w:rPr>
          <w:sz w:val="20"/>
          <w:szCs w:val="20"/>
          <w:lang w:val="es-ES"/>
        </w:rPr>
        <w:t xml:space="preserve"> y </w:t>
      </w:r>
      <w:r w:rsidR="0061182A" w:rsidRPr="00131BD8">
        <w:rPr>
          <w:sz w:val="20"/>
          <w:szCs w:val="20"/>
          <w:lang w:val="es-ES"/>
        </w:rPr>
        <w:t>estatus migratorio.</w:t>
      </w:r>
      <w:r w:rsidR="00F170E6" w:rsidRPr="00131BD8">
        <w:rPr>
          <w:sz w:val="20"/>
          <w:szCs w:val="20"/>
          <w:lang w:val="es-ES"/>
        </w:rPr>
        <w:t xml:space="preserve"> E</w:t>
      </w:r>
      <w:r w:rsidR="00ED419E" w:rsidRPr="00131BD8">
        <w:rPr>
          <w:sz w:val="20"/>
          <w:szCs w:val="20"/>
          <w:lang w:val="es-ES"/>
        </w:rPr>
        <w:t xml:space="preserve">l Comité </w:t>
      </w:r>
      <w:r w:rsidR="00082158" w:rsidRPr="00131BD8">
        <w:rPr>
          <w:sz w:val="20"/>
          <w:szCs w:val="20"/>
          <w:lang w:val="es-ES"/>
        </w:rPr>
        <w:t>de la Convención sobre la Eliminación de Todas las Formas de Discriminación contra la Mujer (en adelante “Comité de la CEDAW”)</w:t>
      </w:r>
      <w:r w:rsidR="0050332E" w:rsidRPr="00131BD8">
        <w:rPr>
          <w:sz w:val="20"/>
          <w:szCs w:val="20"/>
          <w:lang w:val="es-ES"/>
        </w:rPr>
        <w:t xml:space="preserve"> </w:t>
      </w:r>
      <w:r w:rsidR="00C849E6" w:rsidRPr="00131BD8">
        <w:rPr>
          <w:sz w:val="20"/>
          <w:szCs w:val="20"/>
          <w:lang w:val="es-ES"/>
        </w:rPr>
        <w:t>ha precisado que “</w:t>
      </w:r>
      <w:r w:rsidR="00C849E6" w:rsidRPr="00131BD8">
        <w:rPr>
          <w:i/>
          <w:iCs/>
          <w:sz w:val="20"/>
          <w:szCs w:val="20"/>
          <w:lang w:val="es-CO"/>
        </w:rPr>
        <w:t>una respuesta eficaz contra la trata que garantice que las mujeres y las niñas puedan ejercer sus derechos fundamentales debe servirse de todas las disposiciones sustantivas de la Convención</w:t>
      </w:r>
      <w:r w:rsidR="00C849E6" w:rsidRPr="00131BD8">
        <w:rPr>
          <w:sz w:val="20"/>
          <w:szCs w:val="20"/>
          <w:lang w:val="es-CO"/>
        </w:rPr>
        <w:t xml:space="preserve"> [CEDAW] </w:t>
      </w:r>
      <w:r w:rsidR="00C849E6" w:rsidRPr="00131BD8">
        <w:rPr>
          <w:i/>
          <w:iCs/>
          <w:sz w:val="20"/>
          <w:szCs w:val="20"/>
          <w:lang w:val="es-CO"/>
        </w:rPr>
        <w:t>e interpretarse en el marco de los tratados internacionales de derechos humanos</w:t>
      </w:r>
      <w:r w:rsidR="00C849E6" w:rsidRPr="00131BD8">
        <w:rPr>
          <w:sz w:val="20"/>
          <w:szCs w:val="20"/>
          <w:lang w:val="es-CO"/>
        </w:rPr>
        <w:t>”</w:t>
      </w:r>
      <w:r w:rsidR="00C64821" w:rsidRPr="00131BD8">
        <w:rPr>
          <w:rStyle w:val="FootnoteReference"/>
          <w:sz w:val="20"/>
          <w:szCs w:val="20"/>
          <w:lang w:val="es-CO"/>
        </w:rPr>
        <w:footnoteReference w:id="12"/>
      </w:r>
      <w:r w:rsidR="00D01C38" w:rsidRPr="00131BD8">
        <w:rPr>
          <w:sz w:val="20"/>
          <w:szCs w:val="20"/>
          <w:lang w:val="es-CO"/>
        </w:rPr>
        <w:t>.</w:t>
      </w:r>
    </w:p>
    <w:p w14:paraId="119EF789" w14:textId="0B7FF3B6" w:rsidR="005F5EDA" w:rsidRPr="00131BD8" w:rsidRDefault="005F5EDA" w:rsidP="005F24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CO"/>
        </w:rPr>
        <w:t>El primer paso para la atención de personas víctima de trata consiste en identificarla y detectar e</w:t>
      </w:r>
      <w:r w:rsidR="00A52F84" w:rsidRPr="00131BD8">
        <w:rPr>
          <w:sz w:val="20"/>
          <w:szCs w:val="20"/>
          <w:lang w:val="es-CO"/>
        </w:rPr>
        <w:t>ste</w:t>
      </w:r>
      <w:r w:rsidRPr="00131BD8">
        <w:rPr>
          <w:sz w:val="20"/>
          <w:szCs w:val="20"/>
          <w:lang w:val="es-CO"/>
        </w:rPr>
        <w:t xml:space="preserve"> fenómeno, como lo</w:t>
      </w:r>
      <w:r w:rsidR="00A52F84" w:rsidRPr="00131BD8">
        <w:rPr>
          <w:sz w:val="20"/>
          <w:szCs w:val="20"/>
          <w:lang w:val="es-CO"/>
        </w:rPr>
        <w:t xml:space="preserve"> explica el Comité de la CEDAW:</w:t>
      </w:r>
    </w:p>
    <w:p w14:paraId="048B52CC" w14:textId="78D5FC26" w:rsidR="00B52819" w:rsidRPr="00131BD8" w:rsidRDefault="00B2578D" w:rsidP="00961F29">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sz w:val="18"/>
          <w:szCs w:val="18"/>
          <w:lang w:val="es-CO"/>
        </w:rPr>
      </w:pPr>
      <w:r w:rsidRPr="00131BD8">
        <w:rPr>
          <w:sz w:val="18"/>
          <w:szCs w:val="18"/>
          <w:lang w:val="es-CO"/>
        </w:rPr>
        <w:t xml:space="preserve">El derecho internacional de los derechos humanos impone a los Estados obligaciones positivas de detectar a las víctimas de la trata, un deber que les incumbe firmemente, independientemente de si la víctima no se identifica a sí misma como tal. Con frecuencia, las víctimas están ocultas en zonas no públicas, como residencias particulares, fábricas y granjas aisladas, y prostíbulos. Los profesionales de primera línea suelen carecer de la formación necesaria para comprender y detectar todos los tipos de víctimas, incluidas las supervivientes de la explotación sexual, y atender a las víctimas adecuadamente y actuar en respuesta a las formas interseccionales de explotación. </w:t>
      </w:r>
      <w:r w:rsidR="00697E2E" w:rsidRPr="00131BD8">
        <w:rPr>
          <w:sz w:val="18"/>
          <w:szCs w:val="18"/>
          <w:lang w:val="es-CO"/>
        </w:rPr>
        <w:t>[…]</w:t>
      </w:r>
    </w:p>
    <w:p w14:paraId="5E8D4F12" w14:textId="750B1426" w:rsidR="000D326B" w:rsidRPr="00131BD8" w:rsidRDefault="000D326B" w:rsidP="00961F29">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sz w:val="18"/>
          <w:szCs w:val="18"/>
          <w:lang w:val="es-CO"/>
        </w:rPr>
      </w:pPr>
      <w:r w:rsidRPr="00131BD8">
        <w:rPr>
          <w:sz w:val="18"/>
          <w:szCs w:val="18"/>
          <w:lang w:val="es-CO"/>
        </w:rPr>
        <w:t xml:space="preserve">Las víctimas de la trata de personas tienen una condición especial y derecho a recibir asistencia y medidas de protección especiales del Estado. Las medidas contra la trata no suelen incluir medidas de asistencia y protección a largo plazo amplias, en función de las necesidades y centradas en las víctimas </w:t>
      </w:r>
      <w:r w:rsidRPr="00131BD8">
        <w:rPr>
          <w:sz w:val="18"/>
          <w:szCs w:val="18"/>
          <w:lang w:val="es-CO"/>
        </w:rPr>
        <w:lastRenderedPageBreak/>
        <w:t>debido a las deficiencias en la detección de las víctimas y a la definición insuficiente de la trata de personas en la legislación nacional y su aplicación</w:t>
      </w:r>
      <w:r w:rsidRPr="00131BD8">
        <w:rPr>
          <w:rStyle w:val="FootnoteReference"/>
          <w:sz w:val="18"/>
          <w:szCs w:val="18"/>
          <w:lang w:val="es-CO"/>
        </w:rPr>
        <w:footnoteReference w:id="13"/>
      </w:r>
      <w:r w:rsidR="00961F29" w:rsidRPr="00131BD8">
        <w:rPr>
          <w:sz w:val="18"/>
          <w:szCs w:val="18"/>
          <w:lang w:val="es-CO"/>
        </w:rPr>
        <w:t>.</w:t>
      </w:r>
    </w:p>
    <w:p w14:paraId="411FF58D" w14:textId="5ED48207" w:rsidR="008D7543" w:rsidRPr="00131BD8" w:rsidRDefault="00510D67" w:rsidP="0057184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CO"/>
        </w:rPr>
        <w:t xml:space="preserve">Por esta razón, el Protocolo de Palermo prevé </w:t>
      </w:r>
      <w:r w:rsidR="00A02DA6" w:rsidRPr="00131BD8">
        <w:rPr>
          <w:sz w:val="20"/>
          <w:szCs w:val="20"/>
          <w:lang w:val="es-CO"/>
        </w:rPr>
        <w:t>que los Estados adopt</w:t>
      </w:r>
      <w:r w:rsidR="007F01B1" w:rsidRPr="00131BD8">
        <w:rPr>
          <w:sz w:val="20"/>
          <w:szCs w:val="20"/>
          <w:lang w:val="es-CO"/>
        </w:rPr>
        <w:t>en</w:t>
      </w:r>
      <w:r w:rsidR="00A02DA6" w:rsidRPr="00131BD8">
        <w:rPr>
          <w:sz w:val="20"/>
          <w:szCs w:val="20"/>
          <w:lang w:val="es-CO"/>
        </w:rPr>
        <w:t xml:space="preserve"> </w:t>
      </w:r>
      <w:r w:rsidR="00105540" w:rsidRPr="00131BD8">
        <w:rPr>
          <w:sz w:val="20"/>
          <w:szCs w:val="20"/>
          <w:lang w:val="es-CO"/>
        </w:rPr>
        <w:t xml:space="preserve">medidas de asistencia, protección y prevención a favor de las víctimas de trata de personas. </w:t>
      </w:r>
      <w:r w:rsidR="00CD17CA" w:rsidRPr="00131BD8">
        <w:rPr>
          <w:sz w:val="20"/>
          <w:szCs w:val="20"/>
          <w:lang w:val="es-ES"/>
        </w:rPr>
        <w:t xml:space="preserve">Si bien la Comisión </w:t>
      </w:r>
      <w:r w:rsidR="003C5A89" w:rsidRPr="00131BD8">
        <w:rPr>
          <w:sz w:val="20"/>
          <w:szCs w:val="20"/>
          <w:lang w:val="es-ES"/>
        </w:rPr>
        <w:t xml:space="preserve">carece de competencia para analizar posibles violaciones del Protocolo de Palermo, </w:t>
      </w:r>
      <w:r w:rsidR="00CD17CA" w:rsidRPr="00131BD8">
        <w:rPr>
          <w:sz w:val="20"/>
          <w:szCs w:val="20"/>
          <w:lang w:val="es-ES"/>
        </w:rPr>
        <w:t xml:space="preserve">de conformidad con el artículo 29 de la Convención Americana, puede tomar en cuenta </w:t>
      </w:r>
      <w:r w:rsidR="008E01BE" w:rsidRPr="00131BD8">
        <w:rPr>
          <w:sz w:val="20"/>
          <w:szCs w:val="20"/>
          <w:lang w:val="es-ES"/>
        </w:rPr>
        <w:t xml:space="preserve">diversos instrumentos internacionales </w:t>
      </w:r>
      <w:r w:rsidR="00CD17CA" w:rsidRPr="00131BD8">
        <w:rPr>
          <w:sz w:val="20"/>
          <w:szCs w:val="20"/>
          <w:lang w:val="es-ES"/>
        </w:rPr>
        <w:t xml:space="preserve">para interpretar y </w:t>
      </w:r>
      <w:r w:rsidR="008E01BE" w:rsidRPr="00131BD8">
        <w:rPr>
          <w:sz w:val="20"/>
          <w:szCs w:val="20"/>
          <w:lang w:val="es-ES"/>
        </w:rPr>
        <w:t xml:space="preserve">dar alcance a las obligaciones emanadas de </w:t>
      </w:r>
      <w:r w:rsidR="00CD17CA" w:rsidRPr="00131BD8">
        <w:rPr>
          <w:sz w:val="20"/>
          <w:szCs w:val="20"/>
          <w:lang w:val="es-ES"/>
        </w:rPr>
        <w:t>la Convención Americana.</w:t>
      </w:r>
      <w:r w:rsidR="008E01BE" w:rsidRPr="00131BD8">
        <w:rPr>
          <w:sz w:val="20"/>
          <w:szCs w:val="20"/>
          <w:lang w:val="es-ES"/>
        </w:rPr>
        <w:t xml:space="preserve"> En el presente c</w:t>
      </w:r>
      <w:r w:rsidR="00281C73" w:rsidRPr="00131BD8">
        <w:rPr>
          <w:sz w:val="20"/>
          <w:szCs w:val="20"/>
          <w:lang w:val="es-ES"/>
        </w:rPr>
        <w:t xml:space="preserve">aso, </w:t>
      </w:r>
      <w:r w:rsidR="006E4CA6" w:rsidRPr="00131BD8">
        <w:rPr>
          <w:sz w:val="20"/>
          <w:szCs w:val="20"/>
          <w:lang w:val="es-ES"/>
        </w:rPr>
        <w:t>las disposiciones del Protocolo de Palermo relativas a la atención integral de víctimas de trata de personas y</w:t>
      </w:r>
      <w:r w:rsidR="00024B8C" w:rsidRPr="00131BD8">
        <w:rPr>
          <w:sz w:val="20"/>
          <w:szCs w:val="20"/>
          <w:lang w:val="es-ES"/>
        </w:rPr>
        <w:t xml:space="preserve"> </w:t>
      </w:r>
      <w:r w:rsidR="00A06685" w:rsidRPr="00131BD8">
        <w:rPr>
          <w:sz w:val="20"/>
          <w:szCs w:val="20"/>
          <w:lang w:val="es-ES"/>
        </w:rPr>
        <w:t>a</w:t>
      </w:r>
      <w:r w:rsidR="006E4CA6" w:rsidRPr="00131BD8">
        <w:rPr>
          <w:sz w:val="20"/>
          <w:szCs w:val="20"/>
          <w:lang w:val="es-ES"/>
        </w:rPr>
        <w:t xml:space="preserve"> la prevención del delito resultan </w:t>
      </w:r>
      <w:r w:rsidR="002E651D" w:rsidRPr="00131BD8">
        <w:rPr>
          <w:sz w:val="20"/>
          <w:szCs w:val="20"/>
          <w:lang w:val="es-ES"/>
        </w:rPr>
        <w:t xml:space="preserve">ser un marco normativo más </w:t>
      </w:r>
      <w:r w:rsidR="007050FD" w:rsidRPr="00131BD8">
        <w:rPr>
          <w:sz w:val="20"/>
          <w:szCs w:val="20"/>
          <w:lang w:val="es-ES"/>
        </w:rPr>
        <w:t>específico</w:t>
      </w:r>
      <w:r w:rsidR="002E651D" w:rsidRPr="00131BD8">
        <w:rPr>
          <w:sz w:val="20"/>
          <w:szCs w:val="20"/>
          <w:lang w:val="es-ES"/>
        </w:rPr>
        <w:t xml:space="preserve"> para dar alcance a los derechos a la integridad personal (artículo 5), a la prohibición de esclavitud o servidumbre (artículo 6), </w:t>
      </w:r>
      <w:r w:rsidR="00B64D82" w:rsidRPr="00131BD8">
        <w:rPr>
          <w:sz w:val="20"/>
          <w:szCs w:val="20"/>
          <w:lang w:val="es-ES"/>
        </w:rPr>
        <w:t>a la libertad y seguridad personales (artículo 7)</w:t>
      </w:r>
      <w:r w:rsidR="004A4779" w:rsidRPr="00131BD8">
        <w:rPr>
          <w:sz w:val="20"/>
          <w:szCs w:val="20"/>
          <w:lang w:val="es-ES"/>
        </w:rPr>
        <w:t xml:space="preserve">, a la niñez (artículo 19), </w:t>
      </w:r>
      <w:r w:rsidR="00010EA9" w:rsidRPr="00131BD8">
        <w:rPr>
          <w:sz w:val="20"/>
          <w:szCs w:val="20"/>
          <w:lang w:val="es-ES"/>
        </w:rPr>
        <w:t xml:space="preserve">a la libre circulación y residencia </w:t>
      </w:r>
      <w:r w:rsidR="00024B8C" w:rsidRPr="00131BD8">
        <w:rPr>
          <w:sz w:val="20"/>
          <w:szCs w:val="20"/>
          <w:lang w:val="es-ES"/>
        </w:rPr>
        <w:t>(artículo 22)</w:t>
      </w:r>
      <w:r w:rsidR="00E26EB7" w:rsidRPr="00131BD8">
        <w:rPr>
          <w:sz w:val="20"/>
          <w:szCs w:val="20"/>
          <w:lang w:val="es-ES"/>
        </w:rPr>
        <w:t xml:space="preserve">, de acceso a la justicia (artículos 8 y 25) y </w:t>
      </w:r>
      <w:r w:rsidR="001B0101" w:rsidRPr="00131BD8">
        <w:rPr>
          <w:sz w:val="20"/>
          <w:szCs w:val="20"/>
          <w:lang w:val="es-ES"/>
        </w:rPr>
        <w:t>la obligación de erradicar la violencia contra la mujer (artículo 7 de la Convención de Belém do Pará)</w:t>
      </w:r>
      <w:r w:rsidR="00544C4D" w:rsidRPr="00131BD8">
        <w:rPr>
          <w:sz w:val="20"/>
          <w:szCs w:val="20"/>
          <w:lang w:val="es-ES"/>
        </w:rPr>
        <w:t>,</w:t>
      </w:r>
      <w:r w:rsidR="003011DB" w:rsidRPr="00131BD8">
        <w:rPr>
          <w:sz w:val="20"/>
          <w:szCs w:val="20"/>
          <w:lang w:val="es-ES"/>
        </w:rPr>
        <w:t xml:space="preserve"> en cabeza</w:t>
      </w:r>
      <w:r w:rsidR="00544C4D" w:rsidRPr="00131BD8">
        <w:rPr>
          <w:sz w:val="20"/>
          <w:szCs w:val="20"/>
          <w:lang w:val="es-ES"/>
        </w:rPr>
        <w:t xml:space="preserve"> de las personas sometidas a trata.</w:t>
      </w:r>
    </w:p>
    <w:p w14:paraId="269E43CF" w14:textId="77777777" w:rsidR="00C1142C" w:rsidRPr="00131BD8" w:rsidRDefault="00BC3F98" w:rsidP="005F24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Entre las medidas </w:t>
      </w:r>
      <w:r w:rsidR="00482E4B" w:rsidRPr="00131BD8">
        <w:rPr>
          <w:sz w:val="20"/>
          <w:szCs w:val="20"/>
          <w:lang w:val="es-ES"/>
        </w:rPr>
        <w:t xml:space="preserve">de atención integral a víctimas de trata que contempla el Protocolo de Palermo, se encuentran: </w:t>
      </w:r>
      <w:r w:rsidR="00CA7CC6" w:rsidRPr="00131BD8">
        <w:rPr>
          <w:sz w:val="20"/>
          <w:szCs w:val="20"/>
          <w:lang w:val="es-ES"/>
        </w:rPr>
        <w:t xml:space="preserve">alojamiento adecuado, asesoramiento </w:t>
      </w:r>
      <w:r w:rsidR="00DC663C" w:rsidRPr="00131BD8">
        <w:rPr>
          <w:sz w:val="20"/>
          <w:szCs w:val="20"/>
          <w:lang w:val="es-ES"/>
        </w:rPr>
        <w:t>jurídico e información, asistencia médica, psicológica y material, oportunidades de educación, empleo y capa</w:t>
      </w:r>
      <w:r w:rsidR="00BA20AD" w:rsidRPr="00131BD8">
        <w:rPr>
          <w:sz w:val="20"/>
          <w:szCs w:val="20"/>
          <w:lang w:val="es-ES"/>
        </w:rPr>
        <w:t>ci</w:t>
      </w:r>
      <w:r w:rsidR="00DC663C" w:rsidRPr="00131BD8">
        <w:rPr>
          <w:sz w:val="20"/>
          <w:szCs w:val="20"/>
          <w:lang w:val="es-ES"/>
        </w:rPr>
        <w:t xml:space="preserve">tación, </w:t>
      </w:r>
      <w:r w:rsidR="00BA20AD" w:rsidRPr="00131BD8">
        <w:rPr>
          <w:sz w:val="20"/>
          <w:szCs w:val="20"/>
          <w:lang w:val="es-ES"/>
        </w:rPr>
        <w:t xml:space="preserve">medidas para a seguridad física, permiso de permanencia en el territorio cuando proceda, </w:t>
      </w:r>
      <w:r w:rsidR="00FF1B94" w:rsidRPr="00131BD8">
        <w:rPr>
          <w:sz w:val="20"/>
          <w:szCs w:val="20"/>
          <w:lang w:val="es-ES"/>
        </w:rPr>
        <w:t>evaluación de riesgos ante</w:t>
      </w:r>
      <w:r w:rsidR="007F0541" w:rsidRPr="00131BD8">
        <w:rPr>
          <w:sz w:val="20"/>
          <w:szCs w:val="20"/>
          <w:lang w:val="es-ES"/>
        </w:rPr>
        <w:t>s de decretar</w:t>
      </w:r>
      <w:r w:rsidR="00FF1B94" w:rsidRPr="00131BD8">
        <w:rPr>
          <w:sz w:val="20"/>
          <w:szCs w:val="20"/>
          <w:lang w:val="es-ES"/>
        </w:rPr>
        <w:t xml:space="preserve"> la rep</w:t>
      </w:r>
      <w:r w:rsidR="007F0541" w:rsidRPr="00131BD8">
        <w:rPr>
          <w:sz w:val="20"/>
          <w:szCs w:val="20"/>
          <w:lang w:val="es-ES"/>
        </w:rPr>
        <w:t>a</w:t>
      </w:r>
      <w:r w:rsidR="00FF1B94" w:rsidRPr="00131BD8">
        <w:rPr>
          <w:sz w:val="20"/>
          <w:szCs w:val="20"/>
          <w:lang w:val="es-ES"/>
        </w:rPr>
        <w:t>triación</w:t>
      </w:r>
      <w:r w:rsidR="007F0541" w:rsidRPr="00131BD8">
        <w:rPr>
          <w:sz w:val="20"/>
          <w:szCs w:val="20"/>
          <w:lang w:val="es-ES"/>
        </w:rPr>
        <w:t>,</w:t>
      </w:r>
      <w:r w:rsidR="00DC0953" w:rsidRPr="00131BD8">
        <w:rPr>
          <w:sz w:val="20"/>
          <w:szCs w:val="20"/>
          <w:lang w:val="es-ES"/>
        </w:rPr>
        <w:t xml:space="preserve"> y medidas de protección</w:t>
      </w:r>
      <w:r w:rsidR="00AE55B6" w:rsidRPr="00131BD8">
        <w:rPr>
          <w:rStyle w:val="FootnoteReference"/>
          <w:sz w:val="20"/>
          <w:szCs w:val="20"/>
          <w:lang w:val="es-ES"/>
        </w:rPr>
        <w:footnoteReference w:id="14"/>
      </w:r>
      <w:r w:rsidR="00DC0953" w:rsidRPr="00131BD8">
        <w:rPr>
          <w:sz w:val="20"/>
          <w:szCs w:val="20"/>
          <w:lang w:val="es-ES"/>
        </w:rPr>
        <w:t>.</w:t>
      </w:r>
    </w:p>
    <w:p w14:paraId="394E6AEA" w14:textId="2902032E" w:rsidR="006D2AEB" w:rsidRPr="00131BD8" w:rsidRDefault="005F66E2" w:rsidP="005F24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Adicionalmente, </w:t>
      </w:r>
      <w:r w:rsidR="00C1142C" w:rsidRPr="00131BD8">
        <w:rPr>
          <w:sz w:val="20"/>
          <w:szCs w:val="20"/>
          <w:lang w:val="es-ES"/>
        </w:rPr>
        <w:t xml:space="preserve">en virtud de la condición de adolescente y madre gestante que tenía </w:t>
      </w:r>
      <w:r w:rsidR="00C1142C" w:rsidRPr="00131BD8">
        <w:rPr>
          <w:i/>
          <w:iCs/>
          <w:sz w:val="20"/>
          <w:szCs w:val="20"/>
          <w:lang w:val="es-ES"/>
        </w:rPr>
        <w:t>Remedios</w:t>
      </w:r>
      <w:r w:rsidR="00C1142C" w:rsidRPr="00131BD8">
        <w:rPr>
          <w:sz w:val="20"/>
          <w:szCs w:val="20"/>
          <w:lang w:val="es-ES"/>
        </w:rPr>
        <w:t xml:space="preserve"> al momento de su atención</w:t>
      </w:r>
      <w:r w:rsidR="002A2752" w:rsidRPr="00131BD8">
        <w:rPr>
          <w:sz w:val="20"/>
          <w:szCs w:val="20"/>
          <w:lang w:val="es-ES"/>
        </w:rPr>
        <w:t xml:space="preserve"> ante las autoridades colombianas, </w:t>
      </w:r>
      <w:r w:rsidR="007343F8" w:rsidRPr="00131BD8">
        <w:rPr>
          <w:sz w:val="20"/>
          <w:szCs w:val="20"/>
          <w:lang w:val="es-ES"/>
        </w:rPr>
        <w:t>las obligaciones generales se veían reforzadas</w:t>
      </w:r>
      <w:r w:rsidR="00BE7E83" w:rsidRPr="00131BD8">
        <w:rPr>
          <w:sz w:val="20"/>
          <w:szCs w:val="20"/>
          <w:lang w:val="es-ES"/>
        </w:rPr>
        <w:t>, de conformidad con los artículos 19 y 24 de la Convención Americana</w:t>
      </w:r>
      <w:r w:rsidR="000F3E90" w:rsidRPr="00131BD8">
        <w:rPr>
          <w:sz w:val="20"/>
          <w:szCs w:val="20"/>
          <w:lang w:val="es-ES"/>
        </w:rPr>
        <w:t>, puesto que “</w:t>
      </w:r>
      <w:r w:rsidR="000F3E90" w:rsidRPr="00131BD8">
        <w:rPr>
          <w:i/>
          <w:iCs/>
          <w:sz w:val="20"/>
          <w:szCs w:val="20"/>
          <w:lang w:val="es-CO"/>
        </w:rPr>
        <w:t>los Estados están obligados a adoptar medidas positivas para revertir o cambiar situaciones discriminatorias existentes en sus sociedades, en perjuicio de determinado grupo de personas. Esto implica el deber especial de protección que el Estado debe ejercer respecto de actuaciones y prácticas de terceros que, bajo su tolerancia o aquiescencia, creen, mantengan o favorezcan las situaciones discriminatorias</w:t>
      </w:r>
      <w:r w:rsidR="00655D8E" w:rsidRPr="00131BD8">
        <w:rPr>
          <w:sz w:val="20"/>
          <w:szCs w:val="20"/>
          <w:lang w:val="es-CO"/>
        </w:rPr>
        <w:t>”</w:t>
      </w:r>
      <w:r w:rsidR="00670DDA" w:rsidRPr="00131BD8">
        <w:rPr>
          <w:rStyle w:val="FootnoteReference"/>
          <w:sz w:val="20"/>
          <w:szCs w:val="20"/>
          <w:lang w:val="es-CO"/>
        </w:rPr>
        <w:footnoteReference w:id="15"/>
      </w:r>
      <w:r w:rsidR="00655D8E" w:rsidRPr="00131BD8">
        <w:rPr>
          <w:sz w:val="20"/>
          <w:szCs w:val="20"/>
          <w:lang w:val="es-CO"/>
        </w:rPr>
        <w:t>.</w:t>
      </w:r>
    </w:p>
    <w:p w14:paraId="01433E56" w14:textId="47419DCA" w:rsidR="006D4729" w:rsidRPr="00131BD8" w:rsidRDefault="006D4729"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La CIDH nota que subsiste un debate entre las partes acerca de si la atención y las medidas implementadas por el ICBF y otras entidades </w:t>
      </w:r>
      <w:r w:rsidR="005014D2" w:rsidRPr="00131BD8">
        <w:rPr>
          <w:sz w:val="20"/>
          <w:szCs w:val="20"/>
          <w:lang w:val="es-ES"/>
        </w:rPr>
        <w:t xml:space="preserve">a favor de </w:t>
      </w:r>
      <w:r w:rsidR="005014D2" w:rsidRPr="00131BD8">
        <w:rPr>
          <w:i/>
          <w:iCs/>
          <w:sz w:val="20"/>
          <w:szCs w:val="20"/>
          <w:lang w:val="es-ES"/>
        </w:rPr>
        <w:t>Remedios</w:t>
      </w:r>
      <w:r w:rsidR="005014D2" w:rsidRPr="00131BD8">
        <w:rPr>
          <w:sz w:val="20"/>
          <w:szCs w:val="20"/>
          <w:lang w:val="es-ES"/>
        </w:rPr>
        <w:t xml:space="preserve"> </w:t>
      </w:r>
      <w:r w:rsidRPr="00131BD8">
        <w:rPr>
          <w:sz w:val="20"/>
          <w:szCs w:val="20"/>
          <w:lang w:val="es-ES"/>
        </w:rPr>
        <w:t xml:space="preserve">cumplieron con los estándares de atención integral y prevención para las víctimas de trata de personas. </w:t>
      </w:r>
      <w:r w:rsidR="00EA314D" w:rsidRPr="00131BD8">
        <w:rPr>
          <w:sz w:val="20"/>
          <w:szCs w:val="20"/>
          <w:lang w:val="es-ES"/>
        </w:rPr>
        <w:t>Asimismo, en vista de que la parte peticionaria alega que las entidades no actuaron con perspectiva de género, niñez y estatus migratorio</w:t>
      </w:r>
      <w:r w:rsidR="00B557F0" w:rsidRPr="00131BD8">
        <w:rPr>
          <w:sz w:val="20"/>
          <w:szCs w:val="20"/>
          <w:lang w:val="es-ES"/>
        </w:rPr>
        <w:t>, y habrían impedido su acceso a la IVE</w:t>
      </w:r>
      <w:r w:rsidR="00EA314D" w:rsidRPr="00131BD8">
        <w:rPr>
          <w:sz w:val="20"/>
          <w:szCs w:val="20"/>
          <w:lang w:val="es-ES"/>
        </w:rPr>
        <w:t xml:space="preserve">, </w:t>
      </w:r>
      <w:r w:rsidR="00B557F0" w:rsidRPr="00131BD8">
        <w:rPr>
          <w:sz w:val="20"/>
          <w:szCs w:val="20"/>
          <w:lang w:val="es-ES"/>
        </w:rPr>
        <w:t xml:space="preserve">la Comisión admitirá los artículos 24 (igualdad ante la ley), 25 (protección judicial) y 26 (derecho a la salud) de la Convención Americana, para su </w:t>
      </w:r>
      <w:r w:rsidR="00B30649" w:rsidRPr="00131BD8">
        <w:rPr>
          <w:sz w:val="20"/>
          <w:szCs w:val="20"/>
          <w:lang w:val="es-ES"/>
        </w:rPr>
        <w:t xml:space="preserve">estudio </w:t>
      </w:r>
      <w:r w:rsidR="00B557F0" w:rsidRPr="00131BD8">
        <w:rPr>
          <w:sz w:val="20"/>
          <w:szCs w:val="20"/>
          <w:lang w:val="es-ES"/>
        </w:rPr>
        <w:t>en la etapa de fondo.</w:t>
      </w:r>
    </w:p>
    <w:p w14:paraId="35CD31D6" w14:textId="081CA79C" w:rsidR="006E621A" w:rsidRPr="00131BD8"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En aten</w:t>
      </w:r>
      <w:r w:rsidR="00C25ADB" w:rsidRPr="00131BD8">
        <w:rPr>
          <w:sz w:val="20"/>
          <w:szCs w:val="20"/>
          <w:lang w:val="es-ES"/>
        </w:rPr>
        <w:t>ción a estas consideraciones</w:t>
      </w:r>
      <w:r w:rsidR="00067E64" w:rsidRPr="00131BD8">
        <w:rPr>
          <w:sz w:val="20"/>
          <w:szCs w:val="20"/>
          <w:lang w:val="es-ES"/>
        </w:rPr>
        <w:t>,</w:t>
      </w:r>
      <w:r w:rsidR="00C25ADB" w:rsidRPr="00131BD8">
        <w:rPr>
          <w:sz w:val="20"/>
          <w:szCs w:val="20"/>
          <w:lang w:val="es-ES"/>
        </w:rPr>
        <w:t xml:space="preserve"> y </w:t>
      </w:r>
      <w:r w:rsidRPr="00131BD8">
        <w:rPr>
          <w:sz w:val="20"/>
          <w:szCs w:val="20"/>
          <w:lang w:val="es-ES"/>
        </w:rPr>
        <w:t>tras examinar los elementos de hecho y de derecho expuestos por las partes</w:t>
      </w:r>
      <w:r w:rsidR="006D4729" w:rsidRPr="00131BD8">
        <w:rPr>
          <w:sz w:val="20"/>
          <w:szCs w:val="20"/>
          <w:lang w:val="es-ES"/>
        </w:rPr>
        <w:t>,</w:t>
      </w:r>
      <w:r w:rsidRPr="00131BD8">
        <w:rPr>
          <w:sz w:val="20"/>
          <w:szCs w:val="20"/>
          <w:lang w:val="es-ES"/>
        </w:rPr>
        <w:t xml:space="preserve"> la Comisión estima que </w:t>
      </w:r>
      <w:r w:rsidR="00131BD8" w:rsidRPr="00131BD8">
        <w:rPr>
          <w:sz w:val="20"/>
          <w:szCs w:val="20"/>
          <w:lang w:val="es-ES"/>
        </w:rPr>
        <w:t>los reclamos</w:t>
      </w:r>
      <w:r w:rsidRPr="00131BD8">
        <w:rPr>
          <w:sz w:val="20"/>
          <w:szCs w:val="20"/>
          <w:lang w:val="es-ES"/>
        </w:rPr>
        <w:t xml:space="preserve"> de la parte peticionaria no resultan manifiestamente infundadas y requieren un estudio de fondo</w:t>
      </w:r>
      <w:r w:rsidR="00394073" w:rsidRPr="00131BD8">
        <w:rPr>
          <w:sz w:val="20"/>
          <w:szCs w:val="20"/>
          <w:lang w:val="es-ES"/>
        </w:rPr>
        <w:t>;</w:t>
      </w:r>
      <w:r w:rsidRPr="00131BD8">
        <w:rPr>
          <w:sz w:val="20"/>
          <w:szCs w:val="20"/>
          <w:lang w:val="es-ES"/>
        </w:rPr>
        <w:t xml:space="preserve"> pues los hechos </w:t>
      </w:r>
      <w:r w:rsidR="0002605B" w:rsidRPr="00131BD8">
        <w:rPr>
          <w:sz w:val="20"/>
          <w:szCs w:val="20"/>
          <w:lang w:val="es-ES"/>
        </w:rPr>
        <w:t>denunciados</w:t>
      </w:r>
      <w:r w:rsidRPr="00131BD8">
        <w:rPr>
          <w:sz w:val="20"/>
          <w:szCs w:val="20"/>
          <w:lang w:val="es-ES"/>
        </w:rPr>
        <w:t>, de corroborarse como ciertos</w:t>
      </w:r>
      <w:r w:rsidR="00394073" w:rsidRPr="00131BD8">
        <w:rPr>
          <w:sz w:val="20"/>
          <w:szCs w:val="20"/>
          <w:lang w:val="es-ES"/>
        </w:rPr>
        <w:t>,</w:t>
      </w:r>
      <w:r w:rsidRPr="00131BD8">
        <w:rPr>
          <w:sz w:val="20"/>
          <w:szCs w:val="20"/>
          <w:lang w:val="es-ES"/>
        </w:rPr>
        <w:t xml:space="preserve"> podrían caracteri</w:t>
      </w:r>
      <w:r w:rsidR="004B421C" w:rsidRPr="00131BD8">
        <w:rPr>
          <w:sz w:val="20"/>
          <w:szCs w:val="20"/>
          <w:lang w:val="es-ES"/>
        </w:rPr>
        <w:t>zar violaciones a los artículos</w:t>
      </w:r>
      <w:r w:rsidR="00394073" w:rsidRPr="00131BD8">
        <w:rPr>
          <w:sz w:val="20"/>
          <w:szCs w:val="20"/>
          <w:lang w:val="es-ES"/>
        </w:rPr>
        <w:t xml:space="preserve"> </w:t>
      </w:r>
      <w:r w:rsidR="00592377" w:rsidRPr="00131BD8">
        <w:rPr>
          <w:bCs/>
          <w:sz w:val="20"/>
          <w:szCs w:val="20"/>
          <w:lang w:val="es-US"/>
        </w:rPr>
        <w:t xml:space="preserve">5 (integridad personal), 6 (prohibición de la esclavitud y servidumbre), 7 (libertad personal), 8 (garantías judiciales), 11 (protección de la honra y de la dignidad), 19 (derechos del niño), 20 (nacionalidad), 22 (circulación y residencia), </w:t>
      </w:r>
      <w:r w:rsidR="00CD4336" w:rsidRPr="00131BD8">
        <w:rPr>
          <w:bCs/>
          <w:sz w:val="20"/>
          <w:szCs w:val="20"/>
          <w:lang w:val="es-US"/>
        </w:rPr>
        <w:t xml:space="preserve">24 (igualdad ante la ley), </w:t>
      </w:r>
      <w:r w:rsidR="00592377" w:rsidRPr="00131BD8">
        <w:rPr>
          <w:bCs/>
          <w:sz w:val="20"/>
          <w:szCs w:val="20"/>
          <w:lang w:val="es-US"/>
        </w:rPr>
        <w:t>25 (protección judicial) y 26 (derechos económicos, sociales y culturales) de la Convención Americana; y el artículo 7 de la Convención de Belem do Pará</w:t>
      </w:r>
      <w:r w:rsidR="00394073" w:rsidRPr="00131BD8">
        <w:rPr>
          <w:sz w:val="20"/>
          <w:szCs w:val="20"/>
          <w:lang w:val="es-ES"/>
        </w:rPr>
        <w:t xml:space="preserve"> en perjuicio de </w:t>
      </w:r>
      <w:r w:rsidR="00592377" w:rsidRPr="00131BD8">
        <w:rPr>
          <w:i/>
          <w:iCs/>
          <w:sz w:val="20"/>
          <w:szCs w:val="20"/>
          <w:lang w:val="es-ES"/>
        </w:rPr>
        <w:t>Remedios</w:t>
      </w:r>
      <w:r w:rsidR="00592377" w:rsidRPr="00131BD8">
        <w:rPr>
          <w:sz w:val="20"/>
          <w:szCs w:val="20"/>
          <w:lang w:val="es-ES"/>
        </w:rPr>
        <w:t xml:space="preserve"> y su hija </w:t>
      </w:r>
      <w:r w:rsidR="00394073" w:rsidRPr="00131BD8">
        <w:rPr>
          <w:sz w:val="20"/>
          <w:szCs w:val="20"/>
          <w:lang w:val="es-US"/>
        </w:rPr>
        <w:t>en los términos del presente informe</w:t>
      </w:r>
      <w:r w:rsidR="00394073" w:rsidRPr="00131BD8">
        <w:rPr>
          <w:sz w:val="20"/>
          <w:szCs w:val="20"/>
          <w:lang w:val="es-ES"/>
        </w:rPr>
        <w:t>.</w:t>
      </w:r>
    </w:p>
    <w:p w14:paraId="15C10453" w14:textId="5496CC5B" w:rsidR="00334D8F" w:rsidRPr="00131BD8" w:rsidRDefault="00334D8F"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131BD8">
        <w:rPr>
          <w:sz w:val="20"/>
          <w:szCs w:val="20"/>
          <w:lang w:val="es-ES"/>
        </w:rPr>
        <w:t xml:space="preserve">En la etapa de fondo del presente caso, la CIDH ciertamente valorará </w:t>
      </w:r>
      <w:r w:rsidR="009E26F2" w:rsidRPr="00131BD8">
        <w:rPr>
          <w:sz w:val="20"/>
          <w:szCs w:val="20"/>
          <w:lang w:val="es-ES"/>
        </w:rPr>
        <w:t xml:space="preserve">en su análisis </w:t>
      </w:r>
      <w:r w:rsidRPr="00131BD8">
        <w:rPr>
          <w:sz w:val="20"/>
          <w:szCs w:val="20"/>
          <w:lang w:val="es-ES"/>
        </w:rPr>
        <w:t xml:space="preserve">las medidas </w:t>
      </w:r>
      <w:r w:rsidR="009E26F2" w:rsidRPr="00131BD8">
        <w:rPr>
          <w:sz w:val="20"/>
          <w:szCs w:val="20"/>
          <w:lang w:val="es-ES"/>
        </w:rPr>
        <w:t>que ha adoptado el Estado colombiano en favor de la presunta víctima.</w:t>
      </w:r>
    </w:p>
    <w:p w14:paraId="53DF90BF" w14:textId="77777777" w:rsidR="009E26F2" w:rsidRPr="00131BD8" w:rsidRDefault="009E26F2" w:rsidP="002E5A4F">
      <w:pPr>
        <w:pStyle w:val="ListParagraph"/>
        <w:numPr>
          <w:ilvl w:val="0"/>
          <w:numId w:val="0"/>
        </w:numPr>
        <w:ind w:left="720"/>
        <w:jc w:val="both"/>
        <w:rPr>
          <w:rFonts w:asciiTheme="majorHAnsi" w:hAnsiTheme="majorHAnsi"/>
          <w:b/>
          <w:bCs/>
          <w:sz w:val="20"/>
          <w:szCs w:val="20"/>
          <w:lang w:val="es-ES"/>
        </w:rPr>
      </w:pPr>
    </w:p>
    <w:p w14:paraId="445BF42E" w14:textId="382A8FE8" w:rsidR="003239B8" w:rsidRPr="00131BD8" w:rsidRDefault="003239B8" w:rsidP="002E5A4F">
      <w:pPr>
        <w:pStyle w:val="ListParagraph"/>
        <w:numPr>
          <w:ilvl w:val="0"/>
          <w:numId w:val="0"/>
        </w:numPr>
        <w:ind w:left="720"/>
        <w:jc w:val="both"/>
        <w:rPr>
          <w:rFonts w:asciiTheme="majorHAnsi" w:hAnsiTheme="majorHAnsi"/>
          <w:b/>
          <w:bCs/>
          <w:sz w:val="20"/>
          <w:szCs w:val="20"/>
          <w:lang w:val="es-ES"/>
        </w:rPr>
      </w:pPr>
      <w:r w:rsidRPr="00131BD8">
        <w:rPr>
          <w:rFonts w:asciiTheme="majorHAnsi" w:hAnsiTheme="majorHAnsi"/>
          <w:b/>
          <w:bCs/>
          <w:sz w:val="20"/>
          <w:szCs w:val="20"/>
          <w:lang w:val="es-ES"/>
        </w:rPr>
        <w:t xml:space="preserve">VIII. </w:t>
      </w:r>
      <w:r w:rsidRPr="00131BD8">
        <w:rPr>
          <w:rFonts w:asciiTheme="majorHAnsi" w:hAnsiTheme="majorHAnsi"/>
          <w:b/>
          <w:bCs/>
          <w:sz w:val="20"/>
          <w:szCs w:val="20"/>
          <w:lang w:val="es-ES"/>
        </w:rPr>
        <w:tab/>
        <w:t>DECISIÓN</w:t>
      </w:r>
    </w:p>
    <w:p w14:paraId="16B36F97" w14:textId="4AA84E15" w:rsidR="003239B8" w:rsidRPr="00131BD8"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131BD8">
        <w:rPr>
          <w:rFonts w:asciiTheme="majorHAnsi" w:hAnsiTheme="majorHAnsi"/>
          <w:sz w:val="20"/>
          <w:szCs w:val="20"/>
          <w:lang w:val="es-ES"/>
        </w:rPr>
        <w:t>Declarar admisible la presente petición en relación con</w:t>
      </w:r>
      <w:r w:rsidR="001D7F96" w:rsidRPr="00131BD8">
        <w:rPr>
          <w:rFonts w:asciiTheme="majorHAnsi" w:hAnsiTheme="majorHAnsi"/>
          <w:sz w:val="20"/>
          <w:szCs w:val="20"/>
          <w:lang w:val="es-ES"/>
        </w:rPr>
        <w:t xml:space="preserve"> </w:t>
      </w:r>
      <w:r w:rsidR="00EB26AF" w:rsidRPr="00131BD8">
        <w:rPr>
          <w:rFonts w:asciiTheme="majorHAnsi" w:hAnsiTheme="majorHAnsi"/>
          <w:sz w:val="20"/>
          <w:szCs w:val="20"/>
          <w:lang w:val="es-ES"/>
        </w:rPr>
        <w:t xml:space="preserve">los </w:t>
      </w:r>
      <w:r w:rsidR="00B96D93" w:rsidRPr="00131BD8">
        <w:rPr>
          <w:rFonts w:ascii="Cambria" w:hAnsi="Cambria"/>
          <w:bCs/>
          <w:sz w:val="20"/>
          <w:szCs w:val="20"/>
          <w:lang w:val="es-CO"/>
        </w:rPr>
        <w:t>artículos</w:t>
      </w:r>
      <w:r w:rsidR="00EB26AF" w:rsidRPr="00131BD8">
        <w:rPr>
          <w:rFonts w:ascii="Cambria" w:hAnsi="Cambria"/>
          <w:bCs/>
          <w:sz w:val="20"/>
          <w:szCs w:val="20"/>
          <w:lang w:val="es-CO"/>
        </w:rPr>
        <w:t xml:space="preserve"> </w:t>
      </w:r>
      <w:r w:rsidR="00EB26AF" w:rsidRPr="00131BD8">
        <w:rPr>
          <w:rFonts w:ascii="Cambria" w:hAnsi="Cambria"/>
          <w:bCs/>
          <w:sz w:val="20"/>
          <w:szCs w:val="20"/>
          <w:lang w:val="es-US"/>
        </w:rPr>
        <w:t xml:space="preserve">5, 6, 7, 8, 11, 19, 20, 22, </w:t>
      </w:r>
      <w:r w:rsidR="00686C3A" w:rsidRPr="00131BD8">
        <w:rPr>
          <w:rFonts w:ascii="Cambria" w:hAnsi="Cambria"/>
          <w:bCs/>
          <w:sz w:val="20"/>
          <w:szCs w:val="20"/>
          <w:lang w:val="es-US"/>
        </w:rPr>
        <w:t xml:space="preserve">24, </w:t>
      </w:r>
      <w:r w:rsidR="00EB26AF" w:rsidRPr="00131BD8">
        <w:rPr>
          <w:rFonts w:ascii="Cambria" w:hAnsi="Cambria"/>
          <w:bCs/>
          <w:sz w:val="20"/>
          <w:szCs w:val="20"/>
          <w:lang w:val="es-US"/>
        </w:rPr>
        <w:t>25 y 26 de la Convención Americana</w:t>
      </w:r>
      <w:r w:rsidR="00B77EAB" w:rsidRPr="00131BD8">
        <w:rPr>
          <w:rFonts w:ascii="Cambria" w:hAnsi="Cambria"/>
          <w:bCs/>
          <w:sz w:val="20"/>
          <w:szCs w:val="20"/>
          <w:lang w:val="es-US"/>
        </w:rPr>
        <w:t xml:space="preserve"> en concordancia con su artículo 1.1</w:t>
      </w:r>
      <w:r w:rsidR="00EB26AF" w:rsidRPr="00131BD8">
        <w:rPr>
          <w:rFonts w:ascii="Cambria" w:hAnsi="Cambria"/>
          <w:bCs/>
          <w:sz w:val="20"/>
          <w:szCs w:val="20"/>
          <w:lang w:val="es-US"/>
        </w:rPr>
        <w:t>; y el artículo 7 de la Convención de Belem do Pará</w:t>
      </w:r>
      <w:r w:rsidR="00A758AA" w:rsidRPr="00131BD8">
        <w:rPr>
          <w:rFonts w:asciiTheme="majorHAnsi" w:hAnsiTheme="majorHAnsi"/>
          <w:sz w:val="20"/>
          <w:szCs w:val="20"/>
          <w:lang w:val="es-ES"/>
        </w:rPr>
        <w:t>;</w:t>
      </w:r>
      <w:r w:rsidR="007B76D3" w:rsidRPr="00131BD8">
        <w:rPr>
          <w:rFonts w:asciiTheme="majorHAnsi" w:hAnsiTheme="majorHAnsi"/>
          <w:sz w:val="20"/>
          <w:szCs w:val="20"/>
          <w:lang w:val="es-ES"/>
        </w:rPr>
        <w:t xml:space="preserve"> y</w:t>
      </w:r>
    </w:p>
    <w:p w14:paraId="02C904B2" w14:textId="2053DB51" w:rsidR="009A56CE" w:rsidRDefault="004A6A54" w:rsidP="0066499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131BD8">
        <w:rPr>
          <w:rFonts w:asciiTheme="majorHAnsi" w:hAnsiTheme="majorHAnsi"/>
          <w:sz w:val="20"/>
          <w:szCs w:val="20"/>
          <w:lang w:val="es-ES"/>
        </w:rPr>
        <w:t xml:space="preserve">Notificar a las partes la presente decisión; </w:t>
      </w:r>
      <w:r w:rsidRPr="00131BD8">
        <w:rPr>
          <w:rFonts w:asciiTheme="majorHAnsi" w:hAnsiTheme="majorHAnsi"/>
          <w:color w:val="auto"/>
          <w:sz w:val="20"/>
          <w:szCs w:val="20"/>
          <w:lang w:val="es-ES"/>
        </w:rPr>
        <w:t>continuar con el análisis del fondo de la cuestión</w:t>
      </w:r>
      <w:r w:rsidRPr="00131BD8">
        <w:rPr>
          <w:rFonts w:asciiTheme="majorHAnsi" w:hAnsiTheme="majorHAnsi"/>
          <w:sz w:val="20"/>
          <w:szCs w:val="20"/>
          <w:lang w:val="es-ES"/>
        </w:rPr>
        <w:t>; y publicar esta decisión e incluirla en su Informe Anual a la Asamblea General de la Organización de los Estados Americanos.</w:t>
      </w:r>
    </w:p>
    <w:p w14:paraId="215AF94B" w14:textId="655765DA" w:rsidR="00122AF9" w:rsidRPr="00C311A0" w:rsidRDefault="00525D18" w:rsidP="00C311A0">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w:t>
      </w:r>
      <w:r w:rsidRPr="00E3095B">
        <w:rPr>
          <w:rStyle w:val="normaltextrun"/>
          <w:rFonts w:ascii="Cambria" w:hAnsi="Cambria" w:cs="Segoe UI"/>
          <w:sz w:val="20"/>
          <w:szCs w:val="20"/>
          <w:lang w:val="es-CL"/>
        </w:rPr>
        <w:t xml:space="preserve">Humanos a los </w:t>
      </w:r>
      <w:r w:rsidR="00334C2E" w:rsidRPr="00E3095B">
        <w:rPr>
          <w:rStyle w:val="normaltextrun"/>
          <w:rFonts w:ascii="Cambria" w:hAnsi="Cambria" w:cs="Segoe UI"/>
          <w:sz w:val="20"/>
          <w:szCs w:val="20"/>
          <w:lang w:val="es-CL"/>
        </w:rPr>
        <w:t>15</w:t>
      </w:r>
      <w:r w:rsidRPr="00E3095B">
        <w:rPr>
          <w:rStyle w:val="normaltextrun"/>
          <w:rFonts w:ascii="Cambria" w:hAnsi="Cambria" w:cs="Segoe UI"/>
          <w:sz w:val="20"/>
          <w:szCs w:val="20"/>
          <w:lang w:val="es-CL"/>
        </w:rPr>
        <w:t xml:space="preserve"> días del mes de </w:t>
      </w:r>
      <w:r w:rsidR="00334C2E" w:rsidRPr="00E3095B">
        <w:rPr>
          <w:rStyle w:val="normaltextrun"/>
          <w:rFonts w:ascii="Cambria" w:hAnsi="Cambria" w:cs="Segoe UI"/>
          <w:sz w:val="20"/>
          <w:szCs w:val="20"/>
          <w:lang w:val="es-CL"/>
        </w:rPr>
        <w:t>diciembre</w:t>
      </w:r>
      <w:r w:rsidRPr="00E3095B">
        <w:rPr>
          <w:rStyle w:val="normaltextrun"/>
          <w:rFonts w:ascii="Cambria" w:hAnsi="Cambria" w:cs="Segoe UI"/>
          <w:sz w:val="20"/>
          <w:szCs w:val="20"/>
          <w:lang w:val="es-CL"/>
        </w:rPr>
        <w:t xml:space="preserve"> de 20</w:t>
      </w:r>
      <w:r w:rsidR="00334C2E" w:rsidRPr="00E3095B">
        <w:rPr>
          <w:rStyle w:val="normaltextrun"/>
          <w:rFonts w:ascii="Cambria" w:hAnsi="Cambria" w:cs="Segoe UI"/>
          <w:sz w:val="20"/>
          <w:szCs w:val="20"/>
          <w:lang w:val="es-CL"/>
        </w:rPr>
        <w:t>25</w:t>
      </w:r>
      <w:r w:rsidRPr="00E3095B">
        <w:rPr>
          <w:rStyle w:val="normaltextrun"/>
          <w:rFonts w:ascii="Cambria" w:hAnsi="Cambria" w:cs="Segoe UI"/>
          <w:sz w:val="20"/>
          <w:szCs w:val="20"/>
          <w:lang w:val="es-CL"/>
        </w:rPr>
        <w:t xml:space="preserve">.  (Firmado): José Luis Caballero Ochoa, Presidente; Andrea Pochak, Primera Vicepresidenta; Roberta Clarke y Gloria Monique de Mees, </w:t>
      </w:r>
      <w:r w:rsidR="00C311A0">
        <w:rPr>
          <w:rStyle w:val="normaltextrun"/>
          <w:rFonts w:ascii="Cambria" w:hAnsi="Cambria" w:cs="Segoe UI"/>
          <w:sz w:val="20"/>
          <w:szCs w:val="20"/>
          <w:lang w:val="es-CL"/>
        </w:rPr>
        <w:t>m</w:t>
      </w:r>
      <w:r w:rsidRPr="00E3095B">
        <w:rPr>
          <w:rStyle w:val="normaltextrun"/>
          <w:rFonts w:ascii="Cambria" w:hAnsi="Cambria" w:cs="Segoe UI"/>
          <w:sz w:val="20"/>
          <w:szCs w:val="20"/>
          <w:lang w:val="es-CL"/>
        </w:rPr>
        <w:t>iembros de la Comisión.</w:t>
      </w:r>
    </w:p>
    <w:sectPr w:rsidR="00122AF9" w:rsidRPr="00C311A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7AFC" w14:textId="77777777" w:rsidR="00671B10" w:rsidRDefault="00671B10">
      <w:r>
        <w:separator/>
      </w:r>
    </w:p>
  </w:endnote>
  <w:endnote w:type="continuationSeparator" w:id="0">
    <w:p w14:paraId="426F24A7" w14:textId="77777777" w:rsidR="00671B10" w:rsidRDefault="00671B10">
      <w:r>
        <w:continuationSeparator/>
      </w:r>
    </w:p>
  </w:endnote>
  <w:endnote w:type="continuationNotice" w:id="1">
    <w:p w14:paraId="28678301" w14:textId="77777777" w:rsidR="00671B10" w:rsidRDefault="00671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9888" w14:textId="77777777" w:rsidR="00671B10" w:rsidRPr="000F35ED" w:rsidRDefault="00671B1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FAF77AA" w14:textId="77777777" w:rsidR="00671B10" w:rsidRPr="000F35ED" w:rsidRDefault="00671B10" w:rsidP="000F35ED">
      <w:pPr>
        <w:rPr>
          <w:rFonts w:asciiTheme="majorHAnsi" w:hAnsiTheme="majorHAnsi"/>
          <w:sz w:val="16"/>
          <w:szCs w:val="16"/>
        </w:rPr>
      </w:pPr>
      <w:r w:rsidRPr="000F35ED">
        <w:rPr>
          <w:rFonts w:asciiTheme="majorHAnsi" w:hAnsiTheme="majorHAnsi"/>
          <w:sz w:val="16"/>
          <w:szCs w:val="16"/>
        </w:rPr>
        <w:separator/>
      </w:r>
    </w:p>
    <w:p w14:paraId="598E5FC4" w14:textId="77777777" w:rsidR="00671B10" w:rsidRPr="000F35ED" w:rsidRDefault="00671B1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D47F257" w14:textId="77777777" w:rsidR="00671B10" w:rsidRPr="000F35ED" w:rsidRDefault="00671B10"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82BB2F2" w14:textId="3504F50D" w:rsidR="00FD5496" w:rsidRPr="00FF25BA" w:rsidRDefault="00FD5496" w:rsidP="00B6503C">
      <w:pPr>
        <w:pStyle w:val="FootnoteText"/>
        <w:ind w:firstLine="720"/>
        <w:jc w:val="both"/>
        <w:rPr>
          <w:rStyle w:val="NotasalpieChar"/>
          <w:lang w:val="es-CO"/>
        </w:rPr>
      </w:pPr>
      <w:r w:rsidRPr="00996F08">
        <w:rPr>
          <w:rStyle w:val="NotasalpieChar"/>
          <w:vertAlign w:val="superscript"/>
        </w:rPr>
        <w:footnoteRef/>
      </w:r>
      <w:r w:rsidRPr="00B6503C">
        <w:rPr>
          <w:lang w:val="es-US"/>
        </w:rPr>
        <w:t xml:space="preserve"> </w:t>
      </w:r>
      <w:r w:rsidR="00B6503C">
        <w:rPr>
          <w:rFonts w:asciiTheme="majorHAnsi" w:hAnsiTheme="majorHAnsi"/>
          <w:sz w:val="16"/>
          <w:szCs w:val="16"/>
          <w:lang w:val="es-CO"/>
        </w:rPr>
        <w:t>A solicitud de la parte peticionaria, la Comisión Interamericana aplicará la restricción de identidad de la</w:t>
      </w:r>
      <w:r w:rsidR="00996F08">
        <w:rPr>
          <w:rFonts w:asciiTheme="majorHAnsi" w:hAnsiTheme="majorHAnsi"/>
          <w:sz w:val="16"/>
          <w:szCs w:val="16"/>
          <w:lang w:val="es-CO"/>
        </w:rPr>
        <w:t>s</w:t>
      </w:r>
      <w:r w:rsidR="00B6503C">
        <w:rPr>
          <w:rFonts w:asciiTheme="majorHAnsi" w:hAnsiTheme="majorHAnsi"/>
          <w:sz w:val="16"/>
          <w:szCs w:val="16"/>
          <w:lang w:val="es-CO"/>
        </w:rPr>
        <w:t xml:space="preserve"> presunta</w:t>
      </w:r>
      <w:r w:rsidR="00996F08">
        <w:rPr>
          <w:rFonts w:asciiTheme="majorHAnsi" w:hAnsiTheme="majorHAnsi"/>
          <w:sz w:val="16"/>
          <w:szCs w:val="16"/>
          <w:lang w:val="es-CO"/>
        </w:rPr>
        <w:t>s</w:t>
      </w:r>
      <w:r w:rsidR="00B6503C">
        <w:rPr>
          <w:rFonts w:asciiTheme="majorHAnsi" w:hAnsiTheme="majorHAnsi"/>
          <w:sz w:val="16"/>
          <w:szCs w:val="16"/>
          <w:lang w:val="es-CO"/>
        </w:rPr>
        <w:t xml:space="preserve"> víctima</w:t>
      </w:r>
      <w:r w:rsidR="00996F08">
        <w:rPr>
          <w:rFonts w:asciiTheme="majorHAnsi" w:hAnsiTheme="majorHAnsi"/>
          <w:sz w:val="16"/>
          <w:szCs w:val="16"/>
          <w:lang w:val="es-CO"/>
        </w:rPr>
        <w:t>s</w:t>
      </w:r>
      <w:r w:rsidR="00B6503C">
        <w:rPr>
          <w:rFonts w:asciiTheme="majorHAnsi" w:hAnsiTheme="majorHAnsi"/>
          <w:sz w:val="16"/>
          <w:szCs w:val="16"/>
          <w:lang w:val="es-CO"/>
        </w:rPr>
        <w:t xml:space="preserve"> </w:t>
      </w:r>
      <w:r w:rsidR="00996F08">
        <w:rPr>
          <w:rStyle w:val="NotasalpieChar"/>
          <w:lang w:val="es-US"/>
        </w:rPr>
        <w:t>p</w:t>
      </w:r>
      <w:r w:rsidR="00996F08" w:rsidRPr="00996F08">
        <w:rPr>
          <w:rStyle w:val="NotasalpieChar"/>
          <w:lang w:val="es-US"/>
        </w:rPr>
        <w:t xml:space="preserve">or tratarse de dos mujeres con menos de </w:t>
      </w:r>
      <w:r w:rsidR="00004983">
        <w:rPr>
          <w:rStyle w:val="NotasalpieChar"/>
          <w:lang w:val="es-US"/>
        </w:rPr>
        <w:t>18</w:t>
      </w:r>
      <w:r w:rsidR="00996F08" w:rsidRPr="00996F08">
        <w:rPr>
          <w:rStyle w:val="NotasalpieChar"/>
          <w:lang w:val="es-US"/>
        </w:rPr>
        <w:t xml:space="preserve"> años, y de un caso de trata de personas con fines de explotación sexual, </w:t>
      </w:r>
      <w:r w:rsidR="00951E20">
        <w:rPr>
          <w:rFonts w:asciiTheme="majorHAnsi" w:hAnsiTheme="majorHAnsi"/>
          <w:sz w:val="16"/>
          <w:szCs w:val="16"/>
          <w:lang w:val="es-CO"/>
        </w:rPr>
        <w:t xml:space="preserve">a fin de </w:t>
      </w:r>
      <w:r w:rsidR="00B6503C">
        <w:rPr>
          <w:rFonts w:asciiTheme="majorHAnsi" w:hAnsiTheme="majorHAnsi"/>
          <w:sz w:val="16"/>
          <w:szCs w:val="16"/>
          <w:lang w:val="es-CO"/>
        </w:rPr>
        <w:t>evitar su revictimización y posibles afectaciones a su vida privada</w:t>
      </w:r>
      <w:r w:rsidR="00655C57" w:rsidRPr="00996F08">
        <w:rPr>
          <w:rStyle w:val="NotasalpieChar"/>
          <w:lang w:val="es-US"/>
        </w:rPr>
        <w:t>.</w:t>
      </w:r>
      <w:r w:rsidR="00FF25BA">
        <w:rPr>
          <w:rStyle w:val="NotasalpieChar"/>
          <w:lang w:val="es-US"/>
        </w:rPr>
        <w:t xml:space="preserve"> </w:t>
      </w:r>
      <w:r w:rsidR="00D20426">
        <w:rPr>
          <w:rStyle w:val="NotasalpieChar"/>
          <w:i/>
          <w:iCs/>
          <w:lang w:val="es-US"/>
        </w:rPr>
        <w:t>Remedios</w:t>
      </w:r>
      <w:r w:rsidR="00FF25BA">
        <w:rPr>
          <w:rStyle w:val="NotasalpieChar"/>
          <w:lang w:val="es-US"/>
        </w:rPr>
        <w:t xml:space="preserve"> es </w:t>
      </w:r>
      <w:r w:rsidR="002A2FA1">
        <w:rPr>
          <w:rStyle w:val="NotasalpieChar"/>
          <w:lang w:val="es-US"/>
        </w:rPr>
        <w:t xml:space="preserve">el seudónimo que la organización peticionaria </w:t>
      </w:r>
      <w:r w:rsidR="00506392">
        <w:rPr>
          <w:rStyle w:val="NotasalpieChar"/>
          <w:lang w:val="es-US"/>
        </w:rPr>
        <w:t xml:space="preserve">solicitó que su usara para referirse </w:t>
      </w:r>
      <w:r w:rsidR="002A2FA1">
        <w:rPr>
          <w:rStyle w:val="NotasalpieChar"/>
          <w:lang w:val="es-US"/>
        </w:rPr>
        <w:t xml:space="preserve">a la </w:t>
      </w:r>
      <w:r w:rsidR="00A5565E">
        <w:rPr>
          <w:rStyle w:val="NotasalpieChar"/>
          <w:lang w:val="es-US"/>
        </w:rPr>
        <w:t>presunta víctima del caso.</w:t>
      </w:r>
    </w:p>
  </w:footnote>
  <w:footnote w:id="3">
    <w:p w14:paraId="66E930B8" w14:textId="04873041"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9A2A2C">
        <w:t>Carlos Bernal Pulido</w:t>
      </w:r>
      <w:r w:rsidRPr="00306F33">
        <w:t xml:space="preserve">, de nacionalidad </w:t>
      </w:r>
      <w:r w:rsidR="009A2A2C">
        <w:t>colombiana</w:t>
      </w:r>
      <w:r w:rsidRPr="00306F33">
        <w:t>, no participó en el debate ni en la decisión del presente asunto.</w:t>
      </w:r>
    </w:p>
  </w:footnote>
  <w:footnote w:id="4">
    <w:p w14:paraId="363F0E16" w14:textId="09085EE9" w:rsidR="006559F0" w:rsidRPr="006559F0" w:rsidRDefault="006559F0" w:rsidP="006559F0">
      <w:pPr>
        <w:pStyle w:val="Notasalpie"/>
      </w:pPr>
      <w:r>
        <w:rPr>
          <w:rStyle w:val="FootnoteReference"/>
        </w:rPr>
        <w:footnoteRef/>
      </w:r>
      <w:r w:rsidRPr="006559F0">
        <w:t xml:space="preserve"> </w:t>
      </w:r>
      <w:r>
        <w:t>En adelante “la Convención Americana” o “la Convención”.</w:t>
      </w:r>
    </w:p>
  </w:footnote>
  <w:footnote w:id="5">
    <w:p w14:paraId="171CCF97" w14:textId="1B42D471" w:rsidR="008E66D8" w:rsidRPr="008E66D8" w:rsidRDefault="008E66D8" w:rsidP="008E66D8">
      <w:pPr>
        <w:pStyle w:val="Notasalpie"/>
      </w:pPr>
      <w:r>
        <w:rPr>
          <w:rStyle w:val="FootnoteReference"/>
        </w:rPr>
        <w:footnoteRef/>
      </w:r>
      <w:r w:rsidRPr="008E66D8">
        <w:t xml:space="preserve"> </w:t>
      </w:r>
      <w:r>
        <w:t>En adelante “la Convención de Belem do Pará”.</w:t>
      </w:r>
    </w:p>
  </w:footnote>
  <w:footnote w:id="6">
    <w:p w14:paraId="1AFEF3B0" w14:textId="52F9E125" w:rsidR="008E3BFE" w:rsidRDefault="008E3BFE" w:rsidP="00306F33">
      <w:pPr>
        <w:pStyle w:val="FootnoteText"/>
        <w:ind w:firstLine="720"/>
        <w:jc w:val="both"/>
        <w:rPr>
          <w:rFonts w:asciiTheme="majorHAnsi" w:hAnsiTheme="majorHAnsi"/>
          <w:sz w:val="16"/>
          <w:szCs w:val="16"/>
          <w:lang w:val="es-ES"/>
        </w:rPr>
      </w:pPr>
      <w:r w:rsidRPr="00C3001F">
        <w:rPr>
          <w:rStyle w:val="FootnoteReference"/>
          <w:rFonts w:asciiTheme="majorHAnsi" w:hAnsiTheme="majorHAnsi"/>
          <w:sz w:val="16"/>
          <w:szCs w:val="16"/>
        </w:rPr>
        <w:footnoteRef/>
      </w:r>
      <w:r w:rsidRPr="00C3001F">
        <w:rPr>
          <w:rFonts w:asciiTheme="majorHAnsi" w:hAnsiTheme="majorHAnsi"/>
          <w:sz w:val="16"/>
          <w:szCs w:val="16"/>
          <w:lang w:val="es-ES"/>
        </w:rPr>
        <w:t xml:space="preserve"> Las observaciones de cada parte fueron debidamente trasladadas a la parte contraria.</w:t>
      </w:r>
      <w:r w:rsidR="009A56CE" w:rsidRPr="00C3001F">
        <w:rPr>
          <w:rFonts w:asciiTheme="majorHAnsi" w:hAnsiTheme="majorHAnsi"/>
          <w:sz w:val="16"/>
          <w:szCs w:val="16"/>
          <w:lang w:val="es-ES"/>
        </w:rPr>
        <w:t xml:space="preserve"> </w:t>
      </w:r>
      <w:r w:rsidR="004107C0" w:rsidRPr="00C3001F">
        <w:rPr>
          <w:rFonts w:asciiTheme="majorHAnsi" w:hAnsiTheme="majorHAnsi"/>
          <w:sz w:val="16"/>
          <w:szCs w:val="16"/>
          <w:lang w:val="es-ES"/>
        </w:rPr>
        <w:t>El</w:t>
      </w:r>
      <w:r w:rsidR="004107C0">
        <w:rPr>
          <w:rFonts w:asciiTheme="majorHAnsi" w:hAnsiTheme="majorHAnsi"/>
          <w:sz w:val="16"/>
          <w:szCs w:val="16"/>
          <w:lang w:val="es-ES"/>
        </w:rPr>
        <w:t xml:space="preserve"> 14 de diciembre de 2018</w:t>
      </w:r>
      <w:r w:rsidR="00D57951">
        <w:rPr>
          <w:rFonts w:asciiTheme="majorHAnsi" w:hAnsiTheme="majorHAnsi"/>
          <w:sz w:val="16"/>
          <w:szCs w:val="16"/>
          <w:lang w:val="es-ES"/>
        </w:rPr>
        <w:t xml:space="preserve"> la parte peticionaria solicitó la suspensión del trámite de la petición por dificultades en la comunicación con la presunta víctima</w:t>
      </w:r>
      <w:r w:rsidR="006603D5">
        <w:rPr>
          <w:rFonts w:asciiTheme="majorHAnsi" w:hAnsiTheme="majorHAnsi"/>
          <w:sz w:val="16"/>
          <w:szCs w:val="16"/>
          <w:lang w:val="es-ES"/>
        </w:rPr>
        <w:t xml:space="preserve">, y el 26 de febrero de 2020 solicitó la continuación después de haber confirmado con </w:t>
      </w:r>
      <w:r w:rsidR="005B7C43" w:rsidRPr="005B7C43">
        <w:rPr>
          <w:rFonts w:asciiTheme="majorHAnsi" w:hAnsiTheme="majorHAnsi"/>
          <w:i/>
          <w:iCs/>
          <w:sz w:val="16"/>
          <w:szCs w:val="16"/>
          <w:lang w:val="es-ES"/>
        </w:rPr>
        <w:t>Remedios</w:t>
      </w:r>
      <w:r w:rsidR="006603D5">
        <w:rPr>
          <w:rFonts w:asciiTheme="majorHAnsi" w:hAnsiTheme="majorHAnsi"/>
          <w:sz w:val="16"/>
          <w:szCs w:val="16"/>
          <w:lang w:val="es-ES"/>
        </w:rPr>
        <w:t xml:space="preserve"> su interés en </w:t>
      </w:r>
      <w:r w:rsidR="008A700B">
        <w:rPr>
          <w:rFonts w:asciiTheme="majorHAnsi" w:hAnsiTheme="majorHAnsi"/>
          <w:sz w:val="16"/>
          <w:szCs w:val="16"/>
          <w:lang w:val="es-ES"/>
        </w:rPr>
        <w:t xml:space="preserve">el proceso. La CIDH suspendió la notificación de la petición al Estado hasta </w:t>
      </w:r>
      <w:r w:rsidR="009C54BA">
        <w:rPr>
          <w:rFonts w:asciiTheme="majorHAnsi" w:hAnsiTheme="majorHAnsi"/>
          <w:sz w:val="16"/>
          <w:szCs w:val="16"/>
          <w:lang w:val="es-ES"/>
        </w:rPr>
        <w:t>entonces</w:t>
      </w:r>
      <w:r w:rsidR="008A700B">
        <w:rPr>
          <w:rFonts w:asciiTheme="majorHAnsi" w:hAnsiTheme="majorHAnsi"/>
          <w:sz w:val="16"/>
          <w:szCs w:val="16"/>
          <w:lang w:val="es-ES"/>
        </w:rPr>
        <w:t>.</w:t>
      </w:r>
    </w:p>
    <w:p w14:paraId="67B231A7" w14:textId="1A39C852" w:rsidR="00353B6D" w:rsidRPr="00306F33" w:rsidRDefault="00353B6D" w:rsidP="00306F33">
      <w:pPr>
        <w:pStyle w:val="FootnoteText"/>
        <w:ind w:firstLine="720"/>
        <w:jc w:val="both"/>
        <w:rPr>
          <w:rFonts w:asciiTheme="majorHAnsi" w:hAnsiTheme="majorHAnsi"/>
          <w:sz w:val="16"/>
          <w:szCs w:val="16"/>
          <w:lang w:val="es-ES"/>
        </w:rPr>
      </w:pPr>
      <w:r>
        <w:rPr>
          <w:rFonts w:asciiTheme="majorHAnsi" w:hAnsiTheme="majorHAnsi"/>
          <w:sz w:val="16"/>
          <w:szCs w:val="16"/>
          <w:lang w:val="es-ES"/>
        </w:rPr>
        <w:t xml:space="preserve">Por otro lado, la parte peticionaria solicitó el otorgamiento de Medidas Cautelares de la Comisión Interamericana a favor de </w:t>
      </w:r>
      <w:r w:rsidR="00C051C6" w:rsidRPr="00C051C6">
        <w:rPr>
          <w:rFonts w:asciiTheme="majorHAnsi" w:hAnsiTheme="majorHAnsi"/>
          <w:i/>
          <w:iCs/>
          <w:sz w:val="16"/>
          <w:szCs w:val="16"/>
          <w:lang w:val="es-ES"/>
        </w:rPr>
        <w:t>Remedios</w:t>
      </w:r>
      <w:r>
        <w:rPr>
          <w:rFonts w:asciiTheme="majorHAnsi" w:hAnsiTheme="majorHAnsi"/>
          <w:sz w:val="16"/>
          <w:szCs w:val="16"/>
          <w:lang w:val="es-ES"/>
        </w:rPr>
        <w:t xml:space="preserve"> y de su hija</w:t>
      </w:r>
      <w:r w:rsidR="00663D57">
        <w:rPr>
          <w:rFonts w:asciiTheme="majorHAnsi" w:hAnsiTheme="majorHAnsi"/>
          <w:sz w:val="16"/>
          <w:szCs w:val="16"/>
          <w:lang w:val="es-ES"/>
        </w:rPr>
        <w:t xml:space="preserve"> debido a que consideraba que la custodia del Instituto Colombiano de Bienestar Familiar no garantizaba su protección frente a riesgos de revictimización. El trámite de esta solicitud recibió el radicado MC-576-17. Después de </w:t>
      </w:r>
      <w:r w:rsidR="00404541">
        <w:rPr>
          <w:rFonts w:asciiTheme="majorHAnsi" w:hAnsiTheme="majorHAnsi"/>
          <w:sz w:val="16"/>
          <w:szCs w:val="16"/>
          <w:lang w:val="es-ES"/>
        </w:rPr>
        <w:t xml:space="preserve">que el Estado presentara observaciones al respecto y de que la parte peticionaria confirmara que </w:t>
      </w:r>
      <w:r w:rsidR="00C051C6" w:rsidRPr="00C051C6">
        <w:rPr>
          <w:rFonts w:asciiTheme="majorHAnsi" w:hAnsiTheme="majorHAnsi"/>
          <w:i/>
          <w:iCs/>
          <w:sz w:val="16"/>
          <w:szCs w:val="16"/>
          <w:lang w:val="es-ES"/>
        </w:rPr>
        <w:t>Remedios</w:t>
      </w:r>
      <w:r w:rsidR="00404541">
        <w:rPr>
          <w:rFonts w:asciiTheme="majorHAnsi" w:hAnsiTheme="majorHAnsi"/>
          <w:sz w:val="16"/>
          <w:szCs w:val="16"/>
          <w:lang w:val="es-ES"/>
        </w:rPr>
        <w:t xml:space="preserve"> </w:t>
      </w:r>
      <w:r w:rsidR="00E876B5">
        <w:rPr>
          <w:rFonts w:asciiTheme="majorHAnsi" w:hAnsiTheme="majorHAnsi"/>
          <w:sz w:val="16"/>
          <w:szCs w:val="16"/>
          <w:lang w:val="es-ES"/>
        </w:rPr>
        <w:t xml:space="preserve">fue ubicada en un internado especializado </w:t>
      </w:r>
      <w:r w:rsidR="00897876">
        <w:rPr>
          <w:rFonts w:asciiTheme="majorHAnsi" w:hAnsiTheme="majorHAnsi"/>
          <w:sz w:val="16"/>
          <w:szCs w:val="16"/>
          <w:lang w:val="es-ES"/>
        </w:rPr>
        <w:t xml:space="preserve">para adolescentes y madres gestantes mayores de </w:t>
      </w:r>
      <w:r w:rsidR="00AB0C40">
        <w:rPr>
          <w:rFonts w:asciiTheme="majorHAnsi" w:hAnsiTheme="majorHAnsi"/>
          <w:sz w:val="16"/>
          <w:szCs w:val="16"/>
          <w:lang w:val="es-ES"/>
        </w:rPr>
        <w:t>18</w:t>
      </w:r>
      <w:r w:rsidR="00897876">
        <w:rPr>
          <w:rFonts w:asciiTheme="majorHAnsi" w:hAnsiTheme="majorHAnsi"/>
          <w:sz w:val="16"/>
          <w:szCs w:val="16"/>
          <w:lang w:val="es-ES"/>
        </w:rPr>
        <w:t xml:space="preserve"> años, y contaba con protección y</w:t>
      </w:r>
      <w:r w:rsidR="009F535C">
        <w:rPr>
          <w:rFonts w:asciiTheme="majorHAnsi" w:hAnsiTheme="majorHAnsi"/>
          <w:sz w:val="16"/>
          <w:szCs w:val="16"/>
          <w:lang w:val="es-ES"/>
        </w:rPr>
        <w:t xml:space="preserve"> condiciones de vida adecuadas, el 19 de junio de 2018 la CIDH decidió no otorgar las Medidas Cautelares solicitadas.</w:t>
      </w:r>
    </w:p>
  </w:footnote>
  <w:footnote w:id="7">
    <w:p w14:paraId="4DB3A606" w14:textId="685D314B" w:rsidR="002049CA" w:rsidRPr="002049CA" w:rsidRDefault="002049CA" w:rsidP="002049CA">
      <w:pPr>
        <w:pStyle w:val="Notasalpie"/>
        <w:rPr>
          <w:lang w:val="es-CO"/>
        </w:rPr>
      </w:pPr>
      <w:r>
        <w:rPr>
          <w:rStyle w:val="FootnoteReference"/>
        </w:rPr>
        <w:footnoteRef/>
      </w:r>
      <w:r>
        <w:t xml:space="preserve"> </w:t>
      </w:r>
      <w:r w:rsidR="00CB48C6">
        <w:t xml:space="preserve">La parte peticionaria informó que el 9 de agosto de 2017 intentó presentar la petición a través del Portal de Peticiones y Casos, pero debido a fallas en la página, no fue posible. Envió constancia de un correo </w:t>
      </w:r>
      <w:r w:rsidR="00AA6464">
        <w:t xml:space="preserve">electrónico de 9 de agosto de 2017 dirigido a la CIDH informando </w:t>
      </w:r>
      <w:r w:rsidR="00107590">
        <w:t>sobr</w:t>
      </w:r>
      <w:r w:rsidR="00AA6464">
        <w:t>e dichas fallas</w:t>
      </w:r>
      <w:r w:rsidR="00107590">
        <w:t>.</w:t>
      </w:r>
    </w:p>
  </w:footnote>
  <w:footnote w:id="8">
    <w:p w14:paraId="40A7EC73" w14:textId="75E4B4DF" w:rsidR="00D504E3" w:rsidRPr="00D504E3" w:rsidRDefault="00D504E3" w:rsidP="00D504E3">
      <w:pPr>
        <w:pStyle w:val="Notasalpie"/>
        <w:rPr>
          <w:lang w:val="es-CO"/>
        </w:rPr>
      </w:pPr>
      <w:r>
        <w:rPr>
          <w:rStyle w:val="FootnoteReference"/>
        </w:rPr>
        <w:footnoteRef/>
      </w:r>
      <w:r>
        <w:t xml:space="preserve"> Bajo el derecho interno</w:t>
      </w:r>
      <w:r w:rsidR="00F70221">
        <w:t xml:space="preserve"> colombiano</w:t>
      </w:r>
      <w:r>
        <w:t xml:space="preserve">, la “IVE” es la figura jurídica </w:t>
      </w:r>
      <w:r w:rsidR="00632D7E">
        <w:t xml:space="preserve">para el aborto </w:t>
      </w:r>
      <w:r>
        <w:t>legal</w:t>
      </w:r>
      <w:r w:rsidR="00632D7E">
        <w:t xml:space="preserve">, que, para le época de los hechos, </w:t>
      </w:r>
      <w:r w:rsidR="00BA58F2">
        <w:t xml:space="preserve">estaba permitida en tres supuestos de acuerdo con la jurisprudencia constitucional: i) cuando el embarazo fuera producto de violencia sexual o incesto; ii) </w:t>
      </w:r>
      <w:r w:rsidR="00CB0BBB">
        <w:t xml:space="preserve">ante el riesgo a la salud de la madre gestante; o, iii) </w:t>
      </w:r>
      <w:r w:rsidR="00B32E7C">
        <w:t>graves</w:t>
      </w:r>
      <w:r w:rsidR="00CB0BBB">
        <w:t xml:space="preserve"> malformaciones del feto</w:t>
      </w:r>
      <w:r w:rsidR="00B32E7C">
        <w:t xml:space="preserve"> que hicieran inviable su vida extrauterina</w:t>
      </w:r>
      <w:r w:rsidR="00CB0BBB">
        <w:t>.</w:t>
      </w:r>
    </w:p>
  </w:footnote>
  <w:footnote w:id="9">
    <w:p w14:paraId="09698991" w14:textId="13468A98" w:rsidR="006D2D6C" w:rsidRPr="00650C83" w:rsidRDefault="006D2D6C" w:rsidP="00EB26AF">
      <w:pPr>
        <w:pStyle w:val="FootnoteText"/>
        <w:ind w:firstLine="720"/>
        <w:jc w:val="both"/>
        <w:rPr>
          <w:rFonts w:asciiTheme="majorHAnsi" w:hAnsiTheme="majorHAnsi"/>
          <w:sz w:val="16"/>
          <w:szCs w:val="16"/>
          <w:lang w:val="es-CO"/>
        </w:rPr>
      </w:pPr>
      <w:r w:rsidRPr="00650C83">
        <w:rPr>
          <w:rStyle w:val="FootnoteReference"/>
          <w:rFonts w:asciiTheme="majorHAnsi" w:hAnsiTheme="majorHAnsi"/>
          <w:sz w:val="16"/>
          <w:szCs w:val="16"/>
        </w:rPr>
        <w:footnoteRef/>
      </w:r>
      <w:r w:rsidRPr="00650C83">
        <w:rPr>
          <w:rFonts w:asciiTheme="majorHAnsi" w:hAnsiTheme="majorHAnsi"/>
          <w:sz w:val="16"/>
          <w:szCs w:val="16"/>
          <w:lang w:val="es-CO"/>
        </w:rPr>
        <w:t xml:space="preserve"> </w:t>
      </w:r>
      <w:r w:rsidR="00735AAB" w:rsidRPr="000F5E6E">
        <w:rPr>
          <w:rFonts w:asciiTheme="majorHAnsi" w:hAnsiTheme="majorHAnsi"/>
          <w:sz w:val="16"/>
          <w:szCs w:val="16"/>
          <w:lang w:val="es-ES"/>
        </w:rPr>
        <w:t>CIDH, Informe No. 214/24</w:t>
      </w:r>
      <w:r w:rsidR="00CF00CC">
        <w:rPr>
          <w:rFonts w:asciiTheme="majorHAnsi" w:hAnsiTheme="majorHAnsi"/>
          <w:sz w:val="16"/>
          <w:szCs w:val="16"/>
          <w:lang w:val="es-ES"/>
        </w:rPr>
        <w:t>,</w:t>
      </w:r>
      <w:r w:rsidR="00735AAB" w:rsidRPr="000F5E6E">
        <w:rPr>
          <w:rFonts w:asciiTheme="majorHAnsi" w:hAnsiTheme="majorHAnsi"/>
          <w:sz w:val="16"/>
          <w:szCs w:val="16"/>
          <w:lang w:val="es-ES"/>
        </w:rPr>
        <w:t xml:space="preserve"> </w:t>
      </w:r>
      <w:r w:rsidR="00735AAB" w:rsidRPr="00735AAB">
        <w:rPr>
          <w:rFonts w:asciiTheme="majorHAnsi" w:hAnsiTheme="majorHAnsi"/>
          <w:sz w:val="16"/>
          <w:szCs w:val="16"/>
          <w:lang w:val="es-CO"/>
        </w:rPr>
        <w:t>Petición 1717-18</w:t>
      </w:r>
      <w:r w:rsidR="00CF00CC">
        <w:rPr>
          <w:rFonts w:asciiTheme="majorHAnsi" w:hAnsiTheme="majorHAnsi"/>
          <w:sz w:val="16"/>
          <w:szCs w:val="16"/>
          <w:lang w:val="es-CO"/>
        </w:rPr>
        <w:t>,</w:t>
      </w:r>
      <w:r w:rsidR="00735AAB" w:rsidRPr="00735AAB">
        <w:rPr>
          <w:rFonts w:asciiTheme="majorHAnsi" w:hAnsiTheme="majorHAnsi"/>
          <w:sz w:val="16"/>
          <w:szCs w:val="16"/>
          <w:lang w:val="es-CO"/>
        </w:rPr>
        <w:t xml:space="preserve"> Admisibilidad</w:t>
      </w:r>
      <w:r w:rsidR="00CF00CC">
        <w:rPr>
          <w:rFonts w:asciiTheme="majorHAnsi" w:hAnsiTheme="majorHAnsi"/>
          <w:sz w:val="16"/>
          <w:szCs w:val="16"/>
          <w:lang w:val="es-CO"/>
        </w:rPr>
        <w:t>,</w:t>
      </w:r>
      <w:r w:rsidR="00735AAB" w:rsidRPr="00735AAB">
        <w:rPr>
          <w:rFonts w:asciiTheme="majorHAnsi" w:hAnsiTheme="majorHAnsi"/>
          <w:sz w:val="16"/>
          <w:szCs w:val="16"/>
          <w:lang w:val="es-CO"/>
        </w:rPr>
        <w:t xml:space="preserve"> L.J.S.H. y familia. Colombia. 27 de noviembre de 2024</w:t>
      </w:r>
      <w:r w:rsidR="00735AAB">
        <w:rPr>
          <w:rFonts w:asciiTheme="majorHAnsi" w:hAnsiTheme="majorHAnsi"/>
          <w:sz w:val="16"/>
          <w:szCs w:val="16"/>
          <w:lang w:val="es-CO"/>
        </w:rPr>
        <w:t xml:space="preserve">, </w:t>
      </w:r>
      <w:r w:rsidR="00EB26AF">
        <w:rPr>
          <w:rFonts w:asciiTheme="majorHAnsi" w:hAnsiTheme="majorHAnsi"/>
          <w:sz w:val="16"/>
          <w:szCs w:val="16"/>
          <w:lang w:val="es-CO"/>
        </w:rPr>
        <w:t xml:space="preserve">párr. </w:t>
      </w:r>
      <w:r w:rsidR="00735AAB">
        <w:rPr>
          <w:rFonts w:asciiTheme="majorHAnsi" w:hAnsiTheme="majorHAnsi"/>
          <w:sz w:val="16"/>
          <w:szCs w:val="16"/>
          <w:lang w:val="es-CO"/>
        </w:rPr>
        <w:t>16</w:t>
      </w:r>
      <w:r w:rsidR="00EB26AF">
        <w:rPr>
          <w:rFonts w:asciiTheme="majorHAnsi" w:hAnsiTheme="majorHAnsi"/>
          <w:sz w:val="16"/>
          <w:szCs w:val="16"/>
          <w:lang w:val="es-CO"/>
        </w:rPr>
        <w:t xml:space="preserve">: </w:t>
      </w:r>
      <w:r w:rsidRPr="00650C83">
        <w:rPr>
          <w:rFonts w:asciiTheme="majorHAnsi" w:hAnsiTheme="majorHAnsi"/>
          <w:sz w:val="16"/>
          <w:szCs w:val="16"/>
          <w:lang w:val="es-CO"/>
        </w:rPr>
        <w:t>Informe No. 279/21, Petición 2106-12, Admisibilidad, Comunidades Huitosachi, Mogótavo y Bacajípare del pueblo indígena Rarámuri, México, 29 de octubre de 2021, párr. 29.</w:t>
      </w:r>
    </w:p>
  </w:footnote>
  <w:footnote w:id="10">
    <w:p w14:paraId="1B289331" w14:textId="0C4588BA" w:rsidR="009F060A" w:rsidRPr="009F060A" w:rsidRDefault="009F060A" w:rsidP="009F060A">
      <w:pPr>
        <w:pStyle w:val="Notasalpie"/>
        <w:rPr>
          <w:lang w:val="es-CO"/>
        </w:rPr>
      </w:pPr>
      <w:r>
        <w:rPr>
          <w:rStyle w:val="FootnoteReference"/>
        </w:rPr>
        <w:footnoteRef/>
      </w:r>
      <w:r>
        <w:t xml:space="preserve"> Artículo</w:t>
      </w:r>
      <w:r w:rsidR="0054637D">
        <w:t>s</w:t>
      </w:r>
      <w:r>
        <w:t xml:space="preserve"> 3.a), c) y d) del Protocolo de Palermo.</w:t>
      </w:r>
    </w:p>
  </w:footnote>
  <w:footnote w:id="11">
    <w:p w14:paraId="4DFC079E" w14:textId="2DA3B807" w:rsidR="00913D6D" w:rsidRPr="00913D6D" w:rsidRDefault="00913D6D" w:rsidP="002F0C4F">
      <w:pPr>
        <w:pStyle w:val="Notasalpie"/>
        <w:rPr>
          <w:lang w:val="es-CO"/>
        </w:rPr>
      </w:pPr>
      <w:r>
        <w:rPr>
          <w:rStyle w:val="FootnoteReference"/>
        </w:rPr>
        <w:footnoteRef/>
      </w:r>
      <w:r>
        <w:t xml:space="preserve"> </w:t>
      </w:r>
      <w:r w:rsidR="002F0C4F" w:rsidRPr="002F0C4F">
        <w:rPr>
          <w:lang w:val="es-CO"/>
        </w:rPr>
        <w:t>Corte IDH</w:t>
      </w:r>
      <w:r w:rsidR="00F921D9">
        <w:rPr>
          <w:lang w:val="es-CO"/>
        </w:rPr>
        <w:t>,</w:t>
      </w:r>
      <w:r w:rsidR="002F0C4F" w:rsidRPr="002F0C4F">
        <w:rPr>
          <w:lang w:val="es-CO"/>
        </w:rPr>
        <w:t xml:space="preserve"> Caso Trabajadores de la Hacienda Brasil Verde Vs. Brasil</w:t>
      </w:r>
      <w:r w:rsidR="00F921D9">
        <w:rPr>
          <w:lang w:val="es-CO"/>
        </w:rPr>
        <w:t>,</w:t>
      </w:r>
      <w:r w:rsidR="002F0C4F" w:rsidRPr="002F0C4F">
        <w:rPr>
          <w:lang w:val="es-CO"/>
        </w:rPr>
        <w:t xml:space="preserve"> Excepciones Preliminares, Fondo, Reparaciones y Costas</w:t>
      </w:r>
      <w:r w:rsidR="00F921D9">
        <w:rPr>
          <w:lang w:val="es-CO"/>
        </w:rPr>
        <w:t>,</w:t>
      </w:r>
      <w:r w:rsidR="002F0C4F" w:rsidRPr="002F0C4F">
        <w:rPr>
          <w:lang w:val="es-CO"/>
        </w:rPr>
        <w:t xml:space="preserve"> </w:t>
      </w:r>
      <w:r w:rsidR="002F0C4F" w:rsidRPr="000F5E6E">
        <w:t>Sentencia de 20 de octubre de 2016</w:t>
      </w:r>
      <w:r w:rsidR="00F921D9">
        <w:t>,</w:t>
      </w:r>
      <w:r w:rsidR="002F0C4F" w:rsidRPr="000F5E6E">
        <w:t xml:space="preserve"> Serie C No. 318, párr. 290.</w:t>
      </w:r>
    </w:p>
  </w:footnote>
  <w:footnote w:id="12">
    <w:p w14:paraId="52E15E3B" w14:textId="39D5E77A" w:rsidR="00C64821" w:rsidRPr="00E22008" w:rsidRDefault="00C64821" w:rsidP="00C64821">
      <w:pPr>
        <w:pStyle w:val="Notasalpie"/>
        <w:rPr>
          <w:lang w:val="es-CO"/>
        </w:rPr>
      </w:pPr>
      <w:r>
        <w:rPr>
          <w:rStyle w:val="FootnoteReference"/>
        </w:rPr>
        <w:footnoteRef/>
      </w:r>
      <w:r>
        <w:t xml:space="preserve"> Comité CEDAW, </w:t>
      </w:r>
      <w:r w:rsidR="00E22008" w:rsidRPr="00E22008">
        <w:rPr>
          <w:lang w:val="es-CO"/>
        </w:rPr>
        <w:t>Recomendación general núm. 38 (2020), relativa a la trata de mujeres y niñas en el contexto de la migración mundial</w:t>
      </w:r>
      <w:r w:rsidR="00E22008">
        <w:rPr>
          <w:lang w:val="es-CO"/>
        </w:rPr>
        <w:t>, 20 de noviembre de 2020, párr. 19.</w:t>
      </w:r>
    </w:p>
  </w:footnote>
  <w:footnote w:id="13">
    <w:p w14:paraId="17CC7E68" w14:textId="4812CDF2" w:rsidR="000D326B" w:rsidRPr="000D326B" w:rsidRDefault="000D326B" w:rsidP="000D326B">
      <w:pPr>
        <w:pStyle w:val="Notasalpie"/>
        <w:rPr>
          <w:lang w:val="es-CO"/>
        </w:rPr>
      </w:pPr>
      <w:r>
        <w:rPr>
          <w:rStyle w:val="FootnoteReference"/>
        </w:rPr>
        <w:footnoteRef/>
      </w:r>
      <w:r>
        <w:t xml:space="preserve"> Comité CEDAW, </w:t>
      </w:r>
      <w:r w:rsidRPr="00E22008">
        <w:rPr>
          <w:lang w:val="es-CO"/>
        </w:rPr>
        <w:t>Recomendación general n</w:t>
      </w:r>
      <w:r w:rsidR="00C92490">
        <w:rPr>
          <w:lang w:val="es-CO"/>
        </w:rPr>
        <w:t>ro.</w:t>
      </w:r>
      <w:r w:rsidRPr="00E22008">
        <w:rPr>
          <w:lang w:val="es-CO"/>
        </w:rPr>
        <w:t xml:space="preserve"> 38 (2020), relativa a la trata de mujeres y niñas en el contexto de la migración mundial</w:t>
      </w:r>
      <w:r>
        <w:rPr>
          <w:lang w:val="es-CO"/>
        </w:rPr>
        <w:t>, 20 de noviembre de 2020, párrs. 38-39.</w:t>
      </w:r>
    </w:p>
  </w:footnote>
  <w:footnote w:id="14">
    <w:p w14:paraId="24B860AB" w14:textId="7E291C28" w:rsidR="00AE55B6" w:rsidRPr="00AE55B6" w:rsidRDefault="00AE55B6" w:rsidP="00AE55B6">
      <w:pPr>
        <w:pStyle w:val="Notasalpie"/>
        <w:rPr>
          <w:lang w:val="es-CO"/>
        </w:rPr>
      </w:pPr>
      <w:r>
        <w:rPr>
          <w:rStyle w:val="FootnoteReference"/>
        </w:rPr>
        <w:footnoteRef/>
      </w:r>
      <w:r>
        <w:t xml:space="preserve"> Artículos 6-9 del Protocolo de Palermo.</w:t>
      </w:r>
    </w:p>
  </w:footnote>
  <w:footnote w:id="15">
    <w:p w14:paraId="4D40B9C0" w14:textId="30E98CC6" w:rsidR="00670DDA" w:rsidRPr="00670DDA" w:rsidRDefault="00670DDA" w:rsidP="00670DDA">
      <w:pPr>
        <w:pStyle w:val="Notasalpie"/>
        <w:rPr>
          <w:lang w:val="es-CO"/>
        </w:rPr>
      </w:pPr>
      <w:r>
        <w:rPr>
          <w:rStyle w:val="FootnoteReference"/>
        </w:rPr>
        <w:footnoteRef/>
      </w:r>
      <w:r>
        <w:t xml:space="preserve"> </w:t>
      </w:r>
      <w:r w:rsidR="008B6328" w:rsidRPr="008B6328">
        <w:rPr>
          <w:lang w:val="es-CO"/>
        </w:rPr>
        <w:t>Corte IDH</w:t>
      </w:r>
      <w:r w:rsidR="00F921D9">
        <w:rPr>
          <w:lang w:val="es-CO"/>
        </w:rPr>
        <w:t>,</w:t>
      </w:r>
      <w:r w:rsidR="008B6328" w:rsidRPr="008B6328">
        <w:rPr>
          <w:lang w:val="es-CO"/>
        </w:rPr>
        <w:t xml:space="preserve"> Caso de los Empleados de la Fábrica de Fuegos de Santo Antônio de Jesus y sus familiares Vs. Brasil</w:t>
      </w:r>
      <w:r w:rsidR="00F921D9">
        <w:rPr>
          <w:lang w:val="es-CO"/>
        </w:rPr>
        <w:t>,</w:t>
      </w:r>
      <w:r w:rsidR="008B6328" w:rsidRPr="008B6328">
        <w:rPr>
          <w:lang w:val="es-CO"/>
        </w:rPr>
        <w:t xml:space="preserve"> Excepciones Preliminares, Fondo, Reparaciones y Costas</w:t>
      </w:r>
      <w:r w:rsidR="00F921D9">
        <w:rPr>
          <w:lang w:val="es-CO"/>
        </w:rPr>
        <w:t>,</w:t>
      </w:r>
      <w:r w:rsidR="008B6328" w:rsidRPr="008B6328">
        <w:rPr>
          <w:lang w:val="es-CO"/>
        </w:rPr>
        <w:t xml:space="preserve"> Sentencia de 15 de julio de 2020</w:t>
      </w:r>
      <w:r w:rsidR="00F921D9">
        <w:rPr>
          <w:lang w:val="es-CO"/>
        </w:rPr>
        <w:t>,</w:t>
      </w:r>
      <w:r w:rsidR="008B6328" w:rsidRPr="008B6328">
        <w:rPr>
          <w:lang w:val="es-CO"/>
        </w:rPr>
        <w:t xml:space="preserve"> </w:t>
      </w:r>
      <w:r w:rsidR="008B6328" w:rsidRPr="00F921D9">
        <w:t>Serie C No. 407, párr. 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6402BE"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1E9E"/>
    <w:rsid w:val="00004983"/>
    <w:rsid w:val="0000575E"/>
    <w:rsid w:val="00006E1F"/>
    <w:rsid w:val="000070D7"/>
    <w:rsid w:val="00010EA9"/>
    <w:rsid w:val="000122E4"/>
    <w:rsid w:val="000130D2"/>
    <w:rsid w:val="00014271"/>
    <w:rsid w:val="0001788C"/>
    <w:rsid w:val="00017DCE"/>
    <w:rsid w:val="00017E17"/>
    <w:rsid w:val="0002349D"/>
    <w:rsid w:val="00024B8C"/>
    <w:rsid w:val="000255CB"/>
    <w:rsid w:val="0002605B"/>
    <w:rsid w:val="00031369"/>
    <w:rsid w:val="000337EF"/>
    <w:rsid w:val="00035107"/>
    <w:rsid w:val="00040C3A"/>
    <w:rsid w:val="000412F8"/>
    <w:rsid w:val="000419AD"/>
    <w:rsid w:val="00041D1C"/>
    <w:rsid w:val="000433C9"/>
    <w:rsid w:val="00045DD4"/>
    <w:rsid w:val="00051341"/>
    <w:rsid w:val="00053135"/>
    <w:rsid w:val="0005552A"/>
    <w:rsid w:val="000563B6"/>
    <w:rsid w:val="000619E3"/>
    <w:rsid w:val="00065E0D"/>
    <w:rsid w:val="00067028"/>
    <w:rsid w:val="00067E64"/>
    <w:rsid w:val="00071174"/>
    <w:rsid w:val="0007169C"/>
    <w:rsid w:val="000716C5"/>
    <w:rsid w:val="00074DD1"/>
    <w:rsid w:val="00075E23"/>
    <w:rsid w:val="00075F2D"/>
    <w:rsid w:val="00077D1F"/>
    <w:rsid w:val="0008158C"/>
    <w:rsid w:val="00082158"/>
    <w:rsid w:val="00084D85"/>
    <w:rsid w:val="000870AB"/>
    <w:rsid w:val="0009344A"/>
    <w:rsid w:val="0009349B"/>
    <w:rsid w:val="00094D80"/>
    <w:rsid w:val="00096AC0"/>
    <w:rsid w:val="000A392E"/>
    <w:rsid w:val="000A3D8E"/>
    <w:rsid w:val="000A575F"/>
    <w:rsid w:val="000B1631"/>
    <w:rsid w:val="000B16A6"/>
    <w:rsid w:val="000C0AE5"/>
    <w:rsid w:val="000D05CB"/>
    <w:rsid w:val="000D10DB"/>
    <w:rsid w:val="000D326B"/>
    <w:rsid w:val="000D37E0"/>
    <w:rsid w:val="000D445B"/>
    <w:rsid w:val="000D6FBA"/>
    <w:rsid w:val="000E05FC"/>
    <w:rsid w:val="000E0F49"/>
    <w:rsid w:val="000E5EB5"/>
    <w:rsid w:val="000E61CE"/>
    <w:rsid w:val="000E799E"/>
    <w:rsid w:val="000F0043"/>
    <w:rsid w:val="000F35ED"/>
    <w:rsid w:val="000F3E90"/>
    <w:rsid w:val="000F5E6E"/>
    <w:rsid w:val="001004FE"/>
    <w:rsid w:val="0010492F"/>
    <w:rsid w:val="00105540"/>
    <w:rsid w:val="00107131"/>
    <w:rsid w:val="0010736F"/>
    <w:rsid w:val="00107590"/>
    <w:rsid w:val="0011111B"/>
    <w:rsid w:val="0011192F"/>
    <w:rsid w:val="00111DEB"/>
    <w:rsid w:val="00113887"/>
    <w:rsid w:val="00113F73"/>
    <w:rsid w:val="00116019"/>
    <w:rsid w:val="001164C5"/>
    <w:rsid w:val="00120408"/>
    <w:rsid w:val="00121786"/>
    <w:rsid w:val="00121CC2"/>
    <w:rsid w:val="00122AF9"/>
    <w:rsid w:val="00125980"/>
    <w:rsid w:val="001260BB"/>
    <w:rsid w:val="00126D2E"/>
    <w:rsid w:val="00131425"/>
    <w:rsid w:val="0013148F"/>
    <w:rsid w:val="00131BD8"/>
    <w:rsid w:val="00133EE5"/>
    <w:rsid w:val="00135F2C"/>
    <w:rsid w:val="00137AB3"/>
    <w:rsid w:val="00137F84"/>
    <w:rsid w:val="0014170B"/>
    <w:rsid w:val="001419D5"/>
    <w:rsid w:val="00142329"/>
    <w:rsid w:val="00145610"/>
    <w:rsid w:val="001569F1"/>
    <w:rsid w:val="00161DD6"/>
    <w:rsid w:val="0016416C"/>
    <w:rsid w:val="00166440"/>
    <w:rsid w:val="00167A34"/>
    <w:rsid w:val="001832E9"/>
    <w:rsid w:val="0018370F"/>
    <w:rsid w:val="00195899"/>
    <w:rsid w:val="00197589"/>
    <w:rsid w:val="001977A8"/>
    <w:rsid w:val="001A520D"/>
    <w:rsid w:val="001A7870"/>
    <w:rsid w:val="001A7B03"/>
    <w:rsid w:val="001B0101"/>
    <w:rsid w:val="001B1EE2"/>
    <w:rsid w:val="001B3A00"/>
    <w:rsid w:val="001B478B"/>
    <w:rsid w:val="001B6F76"/>
    <w:rsid w:val="001C0D2F"/>
    <w:rsid w:val="001C1B41"/>
    <w:rsid w:val="001C27EF"/>
    <w:rsid w:val="001C3979"/>
    <w:rsid w:val="001C4642"/>
    <w:rsid w:val="001C591E"/>
    <w:rsid w:val="001C73F3"/>
    <w:rsid w:val="001D65EF"/>
    <w:rsid w:val="001D6B14"/>
    <w:rsid w:val="001D7BC6"/>
    <w:rsid w:val="001D7F96"/>
    <w:rsid w:val="001E49E7"/>
    <w:rsid w:val="001E77E8"/>
    <w:rsid w:val="001F0C0A"/>
    <w:rsid w:val="001F1456"/>
    <w:rsid w:val="001F323E"/>
    <w:rsid w:val="001F6171"/>
    <w:rsid w:val="001F7201"/>
    <w:rsid w:val="00200EF2"/>
    <w:rsid w:val="00202579"/>
    <w:rsid w:val="00202A21"/>
    <w:rsid w:val="002049CA"/>
    <w:rsid w:val="0021034F"/>
    <w:rsid w:val="0021098D"/>
    <w:rsid w:val="00211BD7"/>
    <w:rsid w:val="00212AA2"/>
    <w:rsid w:val="00212AE2"/>
    <w:rsid w:val="002139E2"/>
    <w:rsid w:val="00216DCB"/>
    <w:rsid w:val="00223A29"/>
    <w:rsid w:val="002250A3"/>
    <w:rsid w:val="00227203"/>
    <w:rsid w:val="00235217"/>
    <w:rsid w:val="002378BD"/>
    <w:rsid w:val="00241091"/>
    <w:rsid w:val="0024275E"/>
    <w:rsid w:val="002456EB"/>
    <w:rsid w:val="00245C2E"/>
    <w:rsid w:val="00246D1F"/>
    <w:rsid w:val="00247403"/>
    <w:rsid w:val="00247542"/>
    <w:rsid w:val="00247993"/>
    <w:rsid w:val="00251B92"/>
    <w:rsid w:val="002543F0"/>
    <w:rsid w:val="00255CFD"/>
    <w:rsid w:val="0026092A"/>
    <w:rsid w:val="00260B02"/>
    <w:rsid w:val="00263BB6"/>
    <w:rsid w:val="00266B61"/>
    <w:rsid w:val="0026712A"/>
    <w:rsid w:val="002704DB"/>
    <w:rsid w:val="002705BF"/>
    <w:rsid w:val="00281C73"/>
    <w:rsid w:val="002826F6"/>
    <w:rsid w:val="00287385"/>
    <w:rsid w:val="00290D92"/>
    <w:rsid w:val="002916A1"/>
    <w:rsid w:val="002A0AAE"/>
    <w:rsid w:val="002A2085"/>
    <w:rsid w:val="002A215E"/>
    <w:rsid w:val="002A2752"/>
    <w:rsid w:val="002A2FA1"/>
    <w:rsid w:val="002A5820"/>
    <w:rsid w:val="002B1A53"/>
    <w:rsid w:val="002B2C49"/>
    <w:rsid w:val="002B3880"/>
    <w:rsid w:val="002C5428"/>
    <w:rsid w:val="002C642E"/>
    <w:rsid w:val="002D22A6"/>
    <w:rsid w:val="002D2B26"/>
    <w:rsid w:val="002D2D15"/>
    <w:rsid w:val="002D3567"/>
    <w:rsid w:val="002D3CF8"/>
    <w:rsid w:val="002D5DAB"/>
    <w:rsid w:val="002D7EA2"/>
    <w:rsid w:val="002E187C"/>
    <w:rsid w:val="002E1AE0"/>
    <w:rsid w:val="002E220A"/>
    <w:rsid w:val="002E5A4F"/>
    <w:rsid w:val="002E640A"/>
    <w:rsid w:val="002E651D"/>
    <w:rsid w:val="002E7BF9"/>
    <w:rsid w:val="002F0C4F"/>
    <w:rsid w:val="002F3C4B"/>
    <w:rsid w:val="003011DB"/>
    <w:rsid w:val="003020A6"/>
    <w:rsid w:val="00302733"/>
    <w:rsid w:val="00305835"/>
    <w:rsid w:val="00306F33"/>
    <w:rsid w:val="00314078"/>
    <w:rsid w:val="00314E48"/>
    <w:rsid w:val="0031521C"/>
    <w:rsid w:val="0031535D"/>
    <w:rsid w:val="003239B8"/>
    <w:rsid w:val="00323DD5"/>
    <w:rsid w:val="003309D1"/>
    <w:rsid w:val="0033169F"/>
    <w:rsid w:val="003340A4"/>
    <w:rsid w:val="00334C2E"/>
    <w:rsid w:val="00334D8F"/>
    <w:rsid w:val="00335D68"/>
    <w:rsid w:val="003400A6"/>
    <w:rsid w:val="00344977"/>
    <w:rsid w:val="00346C95"/>
    <w:rsid w:val="00353105"/>
    <w:rsid w:val="00353B6D"/>
    <w:rsid w:val="00356185"/>
    <w:rsid w:val="00360380"/>
    <w:rsid w:val="0037519E"/>
    <w:rsid w:val="00376A28"/>
    <w:rsid w:val="00386CF0"/>
    <w:rsid w:val="00393CD2"/>
    <w:rsid w:val="00394073"/>
    <w:rsid w:val="00397730"/>
    <w:rsid w:val="003A109D"/>
    <w:rsid w:val="003B2A54"/>
    <w:rsid w:val="003B4ACF"/>
    <w:rsid w:val="003B70FB"/>
    <w:rsid w:val="003B795E"/>
    <w:rsid w:val="003C0EBE"/>
    <w:rsid w:val="003C1E19"/>
    <w:rsid w:val="003C5A89"/>
    <w:rsid w:val="003C676B"/>
    <w:rsid w:val="003D3566"/>
    <w:rsid w:val="003D3BC2"/>
    <w:rsid w:val="003D3C36"/>
    <w:rsid w:val="003D444D"/>
    <w:rsid w:val="003E6CA1"/>
    <w:rsid w:val="003F0E3A"/>
    <w:rsid w:val="003F27AE"/>
    <w:rsid w:val="003F3898"/>
    <w:rsid w:val="003F5154"/>
    <w:rsid w:val="003F711C"/>
    <w:rsid w:val="00404541"/>
    <w:rsid w:val="00405F9C"/>
    <w:rsid w:val="004065A8"/>
    <w:rsid w:val="004107C0"/>
    <w:rsid w:val="00413EB5"/>
    <w:rsid w:val="00414C6D"/>
    <w:rsid w:val="004165C2"/>
    <w:rsid w:val="00422FDD"/>
    <w:rsid w:val="004241A0"/>
    <w:rsid w:val="004276FB"/>
    <w:rsid w:val="00430948"/>
    <w:rsid w:val="0043452B"/>
    <w:rsid w:val="00441D81"/>
    <w:rsid w:val="00441ECB"/>
    <w:rsid w:val="00442161"/>
    <w:rsid w:val="004448AB"/>
    <w:rsid w:val="00444915"/>
    <w:rsid w:val="00445193"/>
    <w:rsid w:val="0044560E"/>
    <w:rsid w:val="00446387"/>
    <w:rsid w:val="004472D3"/>
    <w:rsid w:val="0044739A"/>
    <w:rsid w:val="004521B0"/>
    <w:rsid w:val="00453451"/>
    <w:rsid w:val="00453E2F"/>
    <w:rsid w:val="00454651"/>
    <w:rsid w:val="00456C97"/>
    <w:rsid w:val="00457427"/>
    <w:rsid w:val="00462C1B"/>
    <w:rsid w:val="00467B7E"/>
    <w:rsid w:val="00470F81"/>
    <w:rsid w:val="00471D84"/>
    <w:rsid w:val="00473BB4"/>
    <w:rsid w:val="00473C1F"/>
    <w:rsid w:val="00477592"/>
    <w:rsid w:val="00477887"/>
    <w:rsid w:val="004779C4"/>
    <w:rsid w:val="00477CEE"/>
    <w:rsid w:val="00480A05"/>
    <w:rsid w:val="00482E4B"/>
    <w:rsid w:val="00484D5D"/>
    <w:rsid w:val="00486F1C"/>
    <w:rsid w:val="0049003A"/>
    <w:rsid w:val="004927CB"/>
    <w:rsid w:val="00493DFC"/>
    <w:rsid w:val="00494019"/>
    <w:rsid w:val="0049419D"/>
    <w:rsid w:val="00494BA7"/>
    <w:rsid w:val="00494D17"/>
    <w:rsid w:val="00496042"/>
    <w:rsid w:val="00497B3F"/>
    <w:rsid w:val="004A057B"/>
    <w:rsid w:val="004A4779"/>
    <w:rsid w:val="004A5BE3"/>
    <w:rsid w:val="004A6A54"/>
    <w:rsid w:val="004A7714"/>
    <w:rsid w:val="004B14AB"/>
    <w:rsid w:val="004B421C"/>
    <w:rsid w:val="004B42AA"/>
    <w:rsid w:val="004C20D2"/>
    <w:rsid w:val="004C2312"/>
    <w:rsid w:val="004C4B62"/>
    <w:rsid w:val="004C54C9"/>
    <w:rsid w:val="004C7AE1"/>
    <w:rsid w:val="004D101C"/>
    <w:rsid w:val="004D4ABA"/>
    <w:rsid w:val="004D4C6C"/>
    <w:rsid w:val="004D6025"/>
    <w:rsid w:val="004E23E0"/>
    <w:rsid w:val="004E2649"/>
    <w:rsid w:val="004E4D38"/>
    <w:rsid w:val="004F1474"/>
    <w:rsid w:val="004F4D71"/>
    <w:rsid w:val="004F576D"/>
    <w:rsid w:val="004F626F"/>
    <w:rsid w:val="004F78F2"/>
    <w:rsid w:val="00501399"/>
    <w:rsid w:val="005014D2"/>
    <w:rsid w:val="00501679"/>
    <w:rsid w:val="00501F56"/>
    <w:rsid w:val="0050332E"/>
    <w:rsid w:val="005047ED"/>
    <w:rsid w:val="0050633D"/>
    <w:rsid w:val="00506392"/>
    <w:rsid w:val="005066B9"/>
    <w:rsid w:val="00507BC4"/>
    <w:rsid w:val="00510819"/>
    <w:rsid w:val="00510D67"/>
    <w:rsid w:val="0051206D"/>
    <w:rsid w:val="005120A7"/>
    <w:rsid w:val="005128E4"/>
    <w:rsid w:val="005133DB"/>
    <w:rsid w:val="00514504"/>
    <w:rsid w:val="00514B87"/>
    <w:rsid w:val="005173A3"/>
    <w:rsid w:val="00521E1F"/>
    <w:rsid w:val="005249FC"/>
    <w:rsid w:val="00525560"/>
    <w:rsid w:val="00525D18"/>
    <w:rsid w:val="005327C0"/>
    <w:rsid w:val="00533369"/>
    <w:rsid w:val="00541622"/>
    <w:rsid w:val="00544C49"/>
    <w:rsid w:val="00544C4D"/>
    <w:rsid w:val="0054637D"/>
    <w:rsid w:val="005516A1"/>
    <w:rsid w:val="005559EF"/>
    <w:rsid w:val="00563557"/>
    <w:rsid w:val="00564579"/>
    <w:rsid w:val="0057402A"/>
    <w:rsid w:val="00574C49"/>
    <w:rsid w:val="00576BD2"/>
    <w:rsid w:val="005771D0"/>
    <w:rsid w:val="00581A69"/>
    <w:rsid w:val="005841DD"/>
    <w:rsid w:val="005851FF"/>
    <w:rsid w:val="0058628A"/>
    <w:rsid w:val="00586E74"/>
    <w:rsid w:val="005909E6"/>
    <w:rsid w:val="0059191A"/>
    <w:rsid w:val="005921FF"/>
    <w:rsid w:val="00592377"/>
    <w:rsid w:val="005949AD"/>
    <w:rsid w:val="00597C5A"/>
    <w:rsid w:val="005A24ED"/>
    <w:rsid w:val="005A5A77"/>
    <w:rsid w:val="005A6673"/>
    <w:rsid w:val="005A6AB7"/>
    <w:rsid w:val="005A6D0E"/>
    <w:rsid w:val="005A7F59"/>
    <w:rsid w:val="005B526A"/>
    <w:rsid w:val="005B52B0"/>
    <w:rsid w:val="005B6806"/>
    <w:rsid w:val="005B7C43"/>
    <w:rsid w:val="005C4225"/>
    <w:rsid w:val="005D080C"/>
    <w:rsid w:val="005D116C"/>
    <w:rsid w:val="005D1F89"/>
    <w:rsid w:val="005E0F1E"/>
    <w:rsid w:val="005F0DAD"/>
    <w:rsid w:val="005F0F33"/>
    <w:rsid w:val="005F1845"/>
    <w:rsid w:val="005F247F"/>
    <w:rsid w:val="005F5B27"/>
    <w:rsid w:val="005F5EDA"/>
    <w:rsid w:val="005F66E2"/>
    <w:rsid w:val="00600DEB"/>
    <w:rsid w:val="00601BD4"/>
    <w:rsid w:val="00604788"/>
    <w:rsid w:val="00605652"/>
    <w:rsid w:val="006068BB"/>
    <w:rsid w:val="00610BC1"/>
    <w:rsid w:val="0061182A"/>
    <w:rsid w:val="00611A9D"/>
    <w:rsid w:val="0062396E"/>
    <w:rsid w:val="00627C9F"/>
    <w:rsid w:val="006311E9"/>
    <w:rsid w:val="00632354"/>
    <w:rsid w:val="00632D7E"/>
    <w:rsid w:val="006343BE"/>
    <w:rsid w:val="00635421"/>
    <w:rsid w:val="00640074"/>
    <w:rsid w:val="006402BE"/>
    <w:rsid w:val="00642810"/>
    <w:rsid w:val="006453F8"/>
    <w:rsid w:val="00652333"/>
    <w:rsid w:val="00652C7A"/>
    <w:rsid w:val="006534C2"/>
    <w:rsid w:val="006559F0"/>
    <w:rsid w:val="00655C57"/>
    <w:rsid w:val="00655D8E"/>
    <w:rsid w:val="00657846"/>
    <w:rsid w:val="006603D5"/>
    <w:rsid w:val="00661D2A"/>
    <w:rsid w:val="00663D57"/>
    <w:rsid w:val="006656D7"/>
    <w:rsid w:val="00665B12"/>
    <w:rsid w:val="00667CD2"/>
    <w:rsid w:val="00670DDA"/>
    <w:rsid w:val="00671B10"/>
    <w:rsid w:val="00673E35"/>
    <w:rsid w:val="00674E3D"/>
    <w:rsid w:val="00676A17"/>
    <w:rsid w:val="0068009E"/>
    <w:rsid w:val="006845D1"/>
    <w:rsid w:val="00686C3A"/>
    <w:rsid w:val="00687240"/>
    <w:rsid w:val="006903CD"/>
    <w:rsid w:val="00692219"/>
    <w:rsid w:val="00696F5C"/>
    <w:rsid w:val="0069750F"/>
    <w:rsid w:val="00697949"/>
    <w:rsid w:val="00697E2E"/>
    <w:rsid w:val="006A0AA4"/>
    <w:rsid w:val="006A17D2"/>
    <w:rsid w:val="006A73E6"/>
    <w:rsid w:val="006B2D5C"/>
    <w:rsid w:val="006B36D5"/>
    <w:rsid w:val="006B3D41"/>
    <w:rsid w:val="006B534F"/>
    <w:rsid w:val="006B55DD"/>
    <w:rsid w:val="006B7DD1"/>
    <w:rsid w:val="006C0ECF"/>
    <w:rsid w:val="006C4EB1"/>
    <w:rsid w:val="006D2A62"/>
    <w:rsid w:val="006D2AEB"/>
    <w:rsid w:val="006D2D6C"/>
    <w:rsid w:val="006D4729"/>
    <w:rsid w:val="006E0166"/>
    <w:rsid w:val="006E1576"/>
    <w:rsid w:val="006E2FFB"/>
    <w:rsid w:val="006E4CA6"/>
    <w:rsid w:val="006E621A"/>
    <w:rsid w:val="006E62FB"/>
    <w:rsid w:val="006E7A0C"/>
    <w:rsid w:val="006E7B34"/>
    <w:rsid w:val="006F68D2"/>
    <w:rsid w:val="00705002"/>
    <w:rsid w:val="007050FD"/>
    <w:rsid w:val="0070697F"/>
    <w:rsid w:val="00707109"/>
    <w:rsid w:val="00707111"/>
    <w:rsid w:val="007103C4"/>
    <w:rsid w:val="00710785"/>
    <w:rsid w:val="00711F0C"/>
    <w:rsid w:val="00716324"/>
    <w:rsid w:val="007170E2"/>
    <w:rsid w:val="0072199C"/>
    <w:rsid w:val="00722C9F"/>
    <w:rsid w:val="007253B8"/>
    <w:rsid w:val="0072782A"/>
    <w:rsid w:val="007329A9"/>
    <w:rsid w:val="007343F8"/>
    <w:rsid w:val="00735AAB"/>
    <w:rsid w:val="0073741F"/>
    <w:rsid w:val="00745B1D"/>
    <w:rsid w:val="00753ECA"/>
    <w:rsid w:val="00757B7B"/>
    <w:rsid w:val="00761253"/>
    <w:rsid w:val="00764D55"/>
    <w:rsid w:val="00765F5E"/>
    <w:rsid w:val="0076643F"/>
    <w:rsid w:val="00772AFD"/>
    <w:rsid w:val="0077731A"/>
    <w:rsid w:val="00777F63"/>
    <w:rsid w:val="00780325"/>
    <w:rsid w:val="00782DE3"/>
    <w:rsid w:val="007837AE"/>
    <w:rsid w:val="00784BD7"/>
    <w:rsid w:val="007851FE"/>
    <w:rsid w:val="00787CEF"/>
    <w:rsid w:val="00790E3E"/>
    <w:rsid w:val="0079188B"/>
    <w:rsid w:val="00791EC4"/>
    <w:rsid w:val="00793934"/>
    <w:rsid w:val="007A501E"/>
    <w:rsid w:val="007A5817"/>
    <w:rsid w:val="007A5DEB"/>
    <w:rsid w:val="007B05C4"/>
    <w:rsid w:val="007B2815"/>
    <w:rsid w:val="007B60E9"/>
    <w:rsid w:val="007B6CC3"/>
    <w:rsid w:val="007B76D3"/>
    <w:rsid w:val="007C16BB"/>
    <w:rsid w:val="007C2C05"/>
    <w:rsid w:val="007C3334"/>
    <w:rsid w:val="007C57F0"/>
    <w:rsid w:val="007C72C7"/>
    <w:rsid w:val="007D0E3C"/>
    <w:rsid w:val="007D2B82"/>
    <w:rsid w:val="007D2B98"/>
    <w:rsid w:val="007E0540"/>
    <w:rsid w:val="007E21BC"/>
    <w:rsid w:val="007E4CD0"/>
    <w:rsid w:val="007E7C82"/>
    <w:rsid w:val="007F01B1"/>
    <w:rsid w:val="007F0541"/>
    <w:rsid w:val="007F1C7D"/>
    <w:rsid w:val="007F2AA1"/>
    <w:rsid w:val="007F588D"/>
    <w:rsid w:val="00802144"/>
    <w:rsid w:val="00803F1C"/>
    <w:rsid w:val="0080600E"/>
    <w:rsid w:val="008075DC"/>
    <w:rsid w:val="00814123"/>
    <w:rsid w:val="00814688"/>
    <w:rsid w:val="00815216"/>
    <w:rsid w:val="00815913"/>
    <w:rsid w:val="008162B4"/>
    <w:rsid w:val="00816DB3"/>
    <w:rsid w:val="00817612"/>
    <w:rsid w:val="00821DB1"/>
    <w:rsid w:val="00821E10"/>
    <w:rsid w:val="00826B7D"/>
    <w:rsid w:val="008338A4"/>
    <w:rsid w:val="00834D49"/>
    <w:rsid w:val="00836881"/>
    <w:rsid w:val="00837C45"/>
    <w:rsid w:val="00844730"/>
    <w:rsid w:val="00845126"/>
    <w:rsid w:val="008457C2"/>
    <w:rsid w:val="00846514"/>
    <w:rsid w:val="00846B7A"/>
    <w:rsid w:val="00851B12"/>
    <w:rsid w:val="00857A82"/>
    <w:rsid w:val="008609EE"/>
    <w:rsid w:val="00866835"/>
    <w:rsid w:val="00873836"/>
    <w:rsid w:val="008748FE"/>
    <w:rsid w:val="00880938"/>
    <w:rsid w:val="0088289A"/>
    <w:rsid w:val="00885737"/>
    <w:rsid w:val="00890650"/>
    <w:rsid w:val="00890A6A"/>
    <w:rsid w:val="00890DA0"/>
    <w:rsid w:val="00891F95"/>
    <w:rsid w:val="00893ABD"/>
    <w:rsid w:val="008944DC"/>
    <w:rsid w:val="008961D2"/>
    <w:rsid w:val="00897876"/>
    <w:rsid w:val="00897E12"/>
    <w:rsid w:val="008A1701"/>
    <w:rsid w:val="008A6731"/>
    <w:rsid w:val="008A700B"/>
    <w:rsid w:val="008A7E0F"/>
    <w:rsid w:val="008B12F5"/>
    <w:rsid w:val="008B6328"/>
    <w:rsid w:val="008B750F"/>
    <w:rsid w:val="008C5AE1"/>
    <w:rsid w:val="008C5E2D"/>
    <w:rsid w:val="008D1749"/>
    <w:rsid w:val="008D571F"/>
    <w:rsid w:val="008D7543"/>
    <w:rsid w:val="008D768D"/>
    <w:rsid w:val="008E01BE"/>
    <w:rsid w:val="008E1C56"/>
    <w:rsid w:val="008E1ECA"/>
    <w:rsid w:val="008E3759"/>
    <w:rsid w:val="008E3BFE"/>
    <w:rsid w:val="008E5B12"/>
    <w:rsid w:val="008E66D8"/>
    <w:rsid w:val="008F0ED3"/>
    <w:rsid w:val="008F1912"/>
    <w:rsid w:val="008F3089"/>
    <w:rsid w:val="008F5F07"/>
    <w:rsid w:val="00901503"/>
    <w:rsid w:val="0090270B"/>
    <w:rsid w:val="00902B08"/>
    <w:rsid w:val="009038B4"/>
    <w:rsid w:val="009041DC"/>
    <w:rsid w:val="00912F11"/>
    <w:rsid w:val="00913D6D"/>
    <w:rsid w:val="009144C0"/>
    <w:rsid w:val="00916912"/>
    <w:rsid w:val="00917B5A"/>
    <w:rsid w:val="00920A58"/>
    <w:rsid w:val="00920A8C"/>
    <w:rsid w:val="00925550"/>
    <w:rsid w:val="00934761"/>
    <w:rsid w:val="00934A2C"/>
    <w:rsid w:val="00936265"/>
    <w:rsid w:val="00944930"/>
    <w:rsid w:val="009451F0"/>
    <w:rsid w:val="00946970"/>
    <w:rsid w:val="00947D59"/>
    <w:rsid w:val="00950C33"/>
    <w:rsid w:val="00951E20"/>
    <w:rsid w:val="00952F49"/>
    <w:rsid w:val="00953CC2"/>
    <w:rsid w:val="00954D97"/>
    <w:rsid w:val="0095662A"/>
    <w:rsid w:val="009578A4"/>
    <w:rsid w:val="00961F29"/>
    <w:rsid w:val="00964932"/>
    <w:rsid w:val="0096706E"/>
    <w:rsid w:val="00967B7E"/>
    <w:rsid w:val="0097172D"/>
    <w:rsid w:val="00974276"/>
    <w:rsid w:val="00974491"/>
    <w:rsid w:val="00975AE3"/>
    <w:rsid w:val="00975C4E"/>
    <w:rsid w:val="00981FBA"/>
    <w:rsid w:val="00986B53"/>
    <w:rsid w:val="009901FF"/>
    <w:rsid w:val="00995154"/>
    <w:rsid w:val="00996F08"/>
    <w:rsid w:val="00997BC5"/>
    <w:rsid w:val="009A020F"/>
    <w:rsid w:val="009A0DE7"/>
    <w:rsid w:val="009A2A2C"/>
    <w:rsid w:val="009A4F41"/>
    <w:rsid w:val="009A56CE"/>
    <w:rsid w:val="009A7492"/>
    <w:rsid w:val="009B381B"/>
    <w:rsid w:val="009B4772"/>
    <w:rsid w:val="009B6A68"/>
    <w:rsid w:val="009C0D41"/>
    <w:rsid w:val="009C54BA"/>
    <w:rsid w:val="009D1753"/>
    <w:rsid w:val="009D7611"/>
    <w:rsid w:val="009D7DEA"/>
    <w:rsid w:val="009E05D0"/>
    <w:rsid w:val="009E0B61"/>
    <w:rsid w:val="009E26F2"/>
    <w:rsid w:val="009E46A7"/>
    <w:rsid w:val="009E4EBF"/>
    <w:rsid w:val="009E53DE"/>
    <w:rsid w:val="009E626B"/>
    <w:rsid w:val="009F0382"/>
    <w:rsid w:val="009F060A"/>
    <w:rsid w:val="009F4DFD"/>
    <w:rsid w:val="009F535C"/>
    <w:rsid w:val="00A01AB8"/>
    <w:rsid w:val="00A02DA6"/>
    <w:rsid w:val="00A03F6A"/>
    <w:rsid w:val="00A04A32"/>
    <w:rsid w:val="00A06685"/>
    <w:rsid w:val="00A0740B"/>
    <w:rsid w:val="00A11212"/>
    <w:rsid w:val="00A11E44"/>
    <w:rsid w:val="00A15562"/>
    <w:rsid w:val="00A21169"/>
    <w:rsid w:val="00A261C2"/>
    <w:rsid w:val="00A30100"/>
    <w:rsid w:val="00A328B3"/>
    <w:rsid w:val="00A33D9F"/>
    <w:rsid w:val="00A35477"/>
    <w:rsid w:val="00A3643E"/>
    <w:rsid w:val="00A46761"/>
    <w:rsid w:val="00A50FCF"/>
    <w:rsid w:val="00A528D1"/>
    <w:rsid w:val="00A52F84"/>
    <w:rsid w:val="00A537E1"/>
    <w:rsid w:val="00A5565E"/>
    <w:rsid w:val="00A57247"/>
    <w:rsid w:val="00A607B9"/>
    <w:rsid w:val="00A610CD"/>
    <w:rsid w:val="00A631AB"/>
    <w:rsid w:val="00A67EE3"/>
    <w:rsid w:val="00A71910"/>
    <w:rsid w:val="00A7222B"/>
    <w:rsid w:val="00A758AA"/>
    <w:rsid w:val="00A80E61"/>
    <w:rsid w:val="00A81FB8"/>
    <w:rsid w:val="00A92656"/>
    <w:rsid w:val="00A927D0"/>
    <w:rsid w:val="00AA09A2"/>
    <w:rsid w:val="00AA1C37"/>
    <w:rsid w:val="00AA6464"/>
    <w:rsid w:val="00AA675A"/>
    <w:rsid w:val="00AA7996"/>
    <w:rsid w:val="00AB0BD0"/>
    <w:rsid w:val="00AB0C40"/>
    <w:rsid w:val="00AB7D56"/>
    <w:rsid w:val="00AC11A4"/>
    <w:rsid w:val="00AC19CB"/>
    <w:rsid w:val="00AC3210"/>
    <w:rsid w:val="00AC40C7"/>
    <w:rsid w:val="00AD2A99"/>
    <w:rsid w:val="00AD7259"/>
    <w:rsid w:val="00AE3209"/>
    <w:rsid w:val="00AE5488"/>
    <w:rsid w:val="00AE55B6"/>
    <w:rsid w:val="00AE56CD"/>
    <w:rsid w:val="00AE628D"/>
    <w:rsid w:val="00AE6F91"/>
    <w:rsid w:val="00AF5571"/>
    <w:rsid w:val="00AF6261"/>
    <w:rsid w:val="00B04818"/>
    <w:rsid w:val="00B07341"/>
    <w:rsid w:val="00B11F31"/>
    <w:rsid w:val="00B13D1F"/>
    <w:rsid w:val="00B143C2"/>
    <w:rsid w:val="00B203E6"/>
    <w:rsid w:val="00B2578D"/>
    <w:rsid w:val="00B30539"/>
    <w:rsid w:val="00B30649"/>
    <w:rsid w:val="00B3140A"/>
    <w:rsid w:val="00B314DB"/>
    <w:rsid w:val="00B32E7C"/>
    <w:rsid w:val="00B361F2"/>
    <w:rsid w:val="00B364C8"/>
    <w:rsid w:val="00B3718B"/>
    <w:rsid w:val="00B3745F"/>
    <w:rsid w:val="00B415CC"/>
    <w:rsid w:val="00B4286B"/>
    <w:rsid w:val="00B4632A"/>
    <w:rsid w:val="00B52819"/>
    <w:rsid w:val="00B52CA5"/>
    <w:rsid w:val="00B530F1"/>
    <w:rsid w:val="00B53C1F"/>
    <w:rsid w:val="00B557F0"/>
    <w:rsid w:val="00B62449"/>
    <w:rsid w:val="00B62D79"/>
    <w:rsid w:val="00B62E41"/>
    <w:rsid w:val="00B64D82"/>
    <w:rsid w:val="00B6503C"/>
    <w:rsid w:val="00B65D26"/>
    <w:rsid w:val="00B6765D"/>
    <w:rsid w:val="00B7056C"/>
    <w:rsid w:val="00B70ACC"/>
    <w:rsid w:val="00B70BB9"/>
    <w:rsid w:val="00B72F9B"/>
    <w:rsid w:val="00B771B7"/>
    <w:rsid w:val="00B77C4B"/>
    <w:rsid w:val="00B77EAB"/>
    <w:rsid w:val="00B801DF"/>
    <w:rsid w:val="00B80A2C"/>
    <w:rsid w:val="00B873C3"/>
    <w:rsid w:val="00B87DE0"/>
    <w:rsid w:val="00B93D7F"/>
    <w:rsid w:val="00B96D93"/>
    <w:rsid w:val="00B979F0"/>
    <w:rsid w:val="00BA049E"/>
    <w:rsid w:val="00BA20AD"/>
    <w:rsid w:val="00BA276C"/>
    <w:rsid w:val="00BA51E7"/>
    <w:rsid w:val="00BA58F2"/>
    <w:rsid w:val="00BA79A9"/>
    <w:rsid w:val="00BA7FA4"/>
    <w:rsid w:val="00BB019D"/>
    <w:rsid w:val="00BB306F"/>
    <w:rsid w:val="00BB3DB8"/>
    <w:rsid w:val="00BB473F"/>
    <w:rsid w:val="00BC3F98"/>
    <w:rsid w:val="00BD0FF5"/>
    <w:rsid w:val="00BD4B89"/>
    <w:rsid w:val="00BD529E"/>
    <w:rsid w:val="00BD5922"/>
    <w:rsid w:val="00BD62FA"/>
    <w:rsid w:val="00BE03D8"/>
    <w:rsid w:val="00BE7E83"/>
    <w:rsid w:val="00BF02CB"/>
    <w:rsid w:val="00BF134A"/>
    <w:rsid w:val="00BF3980"/>
    <w:rsid w:val="00BF60CD"/>
    <w:rsid w:val="00BF6FD8"/>
    <w:rsid w:val="00C00D9A"/>
    <w:rsid w:val="00C03680"/>
    <w:rsid w:val="00C051C6"/>
    <w:rsid w:val="00C054DF"/>
    <w:rsid w:val="00C07187"/>
    <w:rsid w:val="00C10469"/>
    <w:rsid w:val="00C1142C"/>
    <w:rsid w:val="00C13A47"/>
    <w:rsid w:val="00C1410B"/>
    <w:rsid w:val="00C14800"/>
    <w:rsid w:val="00C205BE"/>
    <w:rsid w:val="00C20C0B"/>
    <w:rsid w:val="00C2174A"/>
    <w:rsid w:val="00C21762"/>
    <w:rsid w:val="00C21FEF"/>
    <w:rsid w:val="00C23BA4"/>
    <w:rsid w:val="00C24543"/>
    <w:rsid w:val="00C246FA"/>
    <w:rsid w:val="00C256A2"/>
    <w:rsid w:val="00C25ADB"/>
    <w:rsid w:val="00C3001F"/>
    <w:rsid w:val="00C311A0"/>
    <w:rsid w:val="00C32882"/>
    <w:rsid w:val="00C36AA8"/>
    <w:rsid w:val="00C36F3C"/>
    <w:rsid w:val="00C4780A"/>
    <w:rsid w:val="00C5070B"/>
    <w:rsid w:val="00C51515"/>
    <w:rsid w:val="00C5660B"/>
    <w:rsid w:val="00C627D3"/>
    <w:rsid w:val="00C63E04"/>
    <w:rsid w:val="00C642E7"/>
    <w:rsid w:val="00C64821"/>
    <w:rsid w:val="00C64A27"/>
    <w:rsid w:val="00C64CBE"/>
    <w:rsid w:val="00C66B72"/>
    <w:rsid w:val="00C67194"/>
    <w:rsid w:val="00C7174D"/>
    <w:rsid w:val="00C755E0"/>
    <w:rsid w:val="00C84658"/>
    <w:rsid w:val="00C849E6"/>
    <w:rsid w:val="00C86540"/>
    <w:rsid w:val="00C86CB5"/>
    <w:rsid w:val="00C86D8B"/>
    <w:rsid w:val="00C874A8"/>
    <w:rsid w:val="00C87AC4"/>
    <w:rsid w:val="00C904BA"/>
    <w:rsid w:val="00C90CD2"/>
    <w:rsid w:val="00C92490"/>
    <w:rsid w:val="00C92BC9"/>
    <w:rsid w:val="00C9567A"/>
    <w:rsid w:val="00C969E7"/>
    <w:rsid w:val="00CA620A"/>
    <w:rsid w:val="00CA7CC6"/>
    <w:rsid w:val="00CA7ECB"/>
    <w:rsid w:val="00CB0BBB"/>
    <w:rsid w:val="00CB183E"/>
    <w:rsid w:val="00CB212D"/>
    <w:rsid w:val="00CB2330"/>
    <w:rsid w:val="00CB2660"/>
    <w:rsid w:val="00CB2B95"/>
    <w:rsid w:val="00CB48C6"/>
    <w:rsid w:val="00CB504F"/>
    <w:rsid w:val="00CC2883"/>
    <w:rsid w:val="00CC5E90"/>
    <w:rsid w:val="00CC6C9D"/>
    <w:rsid w:val="00CC7D2C"/>
    <w:rsid w:val="00CD046C"/>
    <w:rsid w:val="00CD17CA"/>
    <w:rsid w:val="00CD4336"/>
    <w:rsid w:val="00CD607F"/>
    <w:rsid w:val="00CE044F"/>
    <w:rsid w:val="00CE076C"/>
    <w:rsid w:val="00CE1874"/>
    <w:rsid w:val="00CE3281"/>
    <w:rsid w:val="00CE5199"/>
    <w:rsid w:val="00CE66D5"/>
    <w:rsid w:val="00CF00CC"/>
    <w:rsid w:val="00CF1A47"/>
    <w:rsid w:val="00CF5B60"/>
    <w:rsid w:val="00CF637A"/>
    <w:rsid w:val="00CF70C0"/>
    <w:rsid w:val="00D01C38"/>
    <w:rsid w:val="00D049A2"/>
    <w:rsid w:val="00D0583B"/>
    <w:rsid w:val="00D059DE"/>
    <w:rsid w:val="00D05ABD"/>
    <w:rsid w:val="00D123D7"/>
    <w:rsid w:val="00D13FCE"/>
    <w:rsid w:val="00D20426"/>
    <w:rsid w:val="00D21F0E"/>
    <w:rsid w:val="00D23BE3"/>
    <w:rsid w:val="00D306D1"/>
    <w:rsid w:val="00D30800"/>
    <w:rsid w:val="00D325E5"/>
    <w:rsid w:val="00D34786"/>
    <w:rsid w:val="00D37BFC"/>
    <w:rsid w:val="00D4293B"/>
    <w:rsid w:val="00D4365A"/>
    <w:rsid w:val="00D44F07"/>
    <w:rsid w:val="00D469B9"/>
    <w:rsid w:val="00D47A8E"/>
    <w:rsid w:val="00D504E3"/>
    <w:rsid w:val="00D526E0"/>
    <w:rsid w:val="00D52D14"/>
    <w:rsid w:val="00D57951"/>
    <w:rsid w:val="00D57D40"/>
    <w:rsid w:val="00D62792"/>
    <w:rsid w:val="00D65862"/>
    <w:rsid w:val="00D712D3"/>
    <w:rsid w:val="00D71422"/>
    <w:rsid w:val="00D72DC6"/>
    <w:rsid w:val="00D7558D"/>
    <w:rsid w:val="00D75AC9"/>
    <w:rsid w:val="00D770F9"/>
    <w:rsid w:val="00D81D92"/>
    <w:rsid w:val="00D82FEC"/>
    <w:rsid w:val="00D83C05"/>
    <w:rsid w:val="00D87075"/>
    <w:rsid w:val="00D876F9"/>
    <w:rsid w:val="00D90494"/>
    <w:rsid w:val="00D9203F"/>
    <w:rsid w:val="00D93FF9"/>
    <w:rsid w:val="00D97A65"/>
    <w:rsid w:val="00DA061F"/>
    <w:rsid w:val="00DA7B5F"/>
    <w:rsid w:val="00DB772F"/>
    <w:rsid w:val="00DC000C"/>
    <w:rsid w:val="00DC0953"/>
    <w:rsid w:val="00DC0D1A"/>
    <w:rsid w:val="00DC11E7"/>
    <w:rsid w:val="00DC24E3"/>
    <w:rsid w:val="00DC532E"/>
    <w:rsid w:val="00DC663C"/>
    <w:rsid w:val="00DC7023"/>
    <w:rsid w:val="00DC769A"/>
    <w:rsid w:val="00DD3D86"/>
    <w:rsid w:val="00DD4AD2"/>
    <w:rsid w:val="00DD629A"/>
    <w:rsid w:val="00DE2862"/>
    <w:rsid w:val="00DF1EC4"/>
    <w:rsid w:val="00E01258"/>
    <w:rsid w:val="00E0340B"/>
    <w:rsid w:val="00E03973"/>
    <w:rsid w:val="00E04A90"/>
    <w:rsid w:val="00E0551F"/>
    <w:rsid w:val="00E158CE"/>
    <w:rsid w:val="00E20EE8"/>
    <w:rsid w:val="00E219C7"/>
    <w:rsid w:val="00E22008"/>
    <w:rsid w:val="00E23891"/>
    <w:rsid w:val="00E26EB7"/>
    <w:rsid w:val="00E305EB"/>
    <w:rsid w:val="00E3095B"/>
    <w:rsid w:val="00E31539"/>
    <w:rsid w:val="00E31749"/>
    <w:rsid w:val="00E31A4B"/>
    <w:rsid w:val="00E346EA"/>
    <w:rsid w:val="00E377B9"/>
    <w:rsid w:val="00E40D68"/>
    <w:rsid w:val="00E4118C"/>
    <w:rsid w:val="00E43157"/>
    <w:rsid w:val="00E461CE"/>
    <w:rsid w:val="00E4729B"/>
    <w:rsid w:val="00E544A3"/>
    <w:rsid w:val="00E573E4"/>
    <w:rsid w:val="00E64C3D"/>
    <w:rsid w:val="00E65752"/>
    <w:rsid w:val="00E66075"/>
    <w:rsid w:val="00E67E16"/>
    <w:rsid w:val="00E713D7"/>
    <w:rsid w:val="00E720CA"/>
    <w:rsid w:val="00E73BBD"/>
    <w:rsid w:val="00E8259A"/>
    <w:rsid w:val="00E84421"/>
    <w:rsid w:val="00E84EB5"/>
    <w:rsid w:val="00E85662"/>
    <w:rsid w:val="00E876B5"/>
    <w:rsid w:val="00E8789F"/>
    <w:rsid w:val="00E9151E"/>
    <w:rsid w:val="00E9344C"/>
    <w:rsid w:val="00E94573"/>
    <w:rsid w:val="00E97B71"/>
    <w:rsid w:val="00E97C32"/>
    <w:rsid w:val="00EA314D"/>
    <w:rsid w:val="00EA3D34"/>
    <w:rsid w:val="00EA4F24"/>
    <w:rsid w:val="00EA6536"/>
    <w:rsid w:val="00EB02EA"/>
    <w:rsid w:val="00EB26AF"/>
    <w:rsid w:val="00EB2F8F"/>
    <w:rsid w:val="00EB35FE"/>
    <w:rsid w:val="00EB454D"/>
    <w:rsid w:val="00EC27BA"/>
    <w:rsid w:val="00EC3696"/>
    <w:rsid w:val="00ED0458"/>
    <w:rsid w:val="00ED083E"/>
    <w:rsid w:val="00ED419E"/>
    <w:rsid w:val="00ED549D"/>
    <w:rsid w:val="00ED5E10"/>
    <w:rsid w:val="00ED76BE"/>
    <w:rsid w:val="00EE00E9"/>
    <w:rsid w:val="00EE03E6"/>
    <w:rsid w:val="00EE3B22"/>
    <w:rsid w:val="00EE613A"/>
    <w:rsid w:val="00EE78BC"/>
    <w:rsid w:val="00EE7D1D"/>
    <w:rsid w:val="00EF1AAA"/>
    <w:rsid w:val="00EF5033"/>
    <w:rsid w:val="00EF5B43"/>
    <w:rsid w:val="00EF619B"/>
    <w:rsid w:val="00EF7962"/>
    <w:rsid w:val="00F009CA"/>
    <w:rsid w:val="00F00B55"/>
    <w:rsid w:val="00F02AD1"/>
    <w:rsid w:val="00F04DB7"/>
    <w:rsid w:val="00F068BF"/>
    <w:rsid w:val="00F074FB"/>
    <w:rsid w:val="00F137C7"/>
    <w:rsid w:val="00F1381B"/>
    <w:rsid w:val="00F14A2F"/>
    <w:rsid w:val="00F15E9A"/>
    <w:rsid w:val="00F170E6"/>
    <w:rsid w:val="00F250E6"/>
    <w:rsid w:val="00F253CC"/>
    <w:rsid w:val="00F31A2B"/>
    <w:rsid w:val="00F37106"/>
    <w:rsid w:val="00F402C7"/>
    <w:rsid w:val="00F421D2"/>
    <w:rsid w:val="00F427B1"/>
    <w:rsid w:val="00F4412B"/>
    <w:rsid w:val="00F44440"/>
    <w:rsid w:val="00F44609"/>
    <w:rsid w:val="00F44A21"/>
    <w:rsid w:val="00F44E25"/>
    <w:rsid w:val="00F4764A"/>
    <w:rsid w:val="00F519CF"/>
    <w:rsid w:val="00F5660C"/>
    <w:rsid w:val="00F56BA5"/>
    <w:rsid w:val="00F56ECB"/>
    <w:rsid w:val="00F574BA"/>
    <w:rsid w:val="00F60E22"/>
    <w:rsid w:val="00F62B6A"/>
    <w:rsid w:val="00F645CD"/>
    <w:rsid w:val="00F64D9A"/>
    <w:rsid w:val="00F669CB"/>
    <w:rsid w:val="00F678FA"/>
    <w:rsid w:val="00F67CD3"/>
    <w:rsid w:val="00F70221"/>
    <w:rsid w:val="00F73651"/>
    <w:rsid w:val="00F779DE"/>
    <w:rsid w:val="00F81395"/>
    <w:rsid w:val="00F81BB8"/>
    <w:rsid w:val="00F90C64"/>
    <w:rsid w:val="00F912A5"/>
    <w:rsid w:val="00F917D1"/>
    <w:rsid w:val="00F921D9"/>
    <w:rsid w:val="00F9653B"/>
    <w:rsid w:val="00FB48CA"/>
    <w:rsid w:val="00FB5F1C"/>
    <w:rsid w:val="00FB62CF"/>
    <w:rsid w:val="00FC2658"/>
    <w:rsid w:val="00FD10CC"/>
    <w:rsid w:val="00FD24E3"/>
    <w:rsid w:val="00FD2B5C"/>
    <w:rsid w:val="00FD3C3B"/>
    <w:rsid w:val="00FD5496"/>
    <w:rsid w:val="00FE07DD"/>
    <w:rsid w:val="00FE120F"/>
    <w:rsid w:val="00FE54AB"/>
    <w:rsid w:val="00FE5DD6"/>
    <w:rsid w:val="00FE5EE4"/>
    <w:rsid w:val="00FE6515"/>
    <w:rsid w:val="00FE6B45"/>
    <w:rsid w:val="00FF1B94"/>
    <w:rsid w:val="00FF25BA"/>
    <w:rsid w:val="00FF5023"/>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unhideWhenUsed/>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styleId="CommentText">
    <w:name w:val="annotation text"/>
    <w:basedOn w:val="Normal"/>
    <w:link w:val="CommentTextChar"/>
    <w:uiPriority w:val="99"/>
    <w:unhideWhenUsed/>
    <w:rsid w:val="005D080C"/>
    <w:rPr>
      <w:sz w:val="20"/>
      <w:szCs w:val="20"/>
    </w:rPr>
  </w:style>
  <w:style w:type="character" w:customStyle="1" w:styleId="CommentTextChar">
    <w:name w:val="Comment Text Char"/>
    <w:basedOn w:val="DefaultParagraphFont"/>
    <w:link w:val="CommentText"/>
    <w:uiPriority w:val="99"/>
    <w:rsid w:val="005D080C"/>
    <w:rPr>
      <w:lang w:val="en-US" w:eastAsia="en-US"/>
    </w:rPr>
  </w:style>
  <w:style w:type="paragraph" w:styleId="CommentSubject">
    <w:name w:val="annotation subject"/>
    <w:basedOn w:val="CommentText"/>
    <w:next w:val="CommentText"/>
    <w:link w:val="CommentSubjectChar"/>
    <w:uiPriority w:val="99"/>
    <w:semiHidden/>
    <w:unhideWhenUsed/>
    <w:rsid w:val="005D080C"/>
    <w:rPr>
      <w:b/>
      <w:bCs/>
    </w:rPr>
  </w:style>
  <w:style w:type="character" w:customStyle="1" w:styleId="CommentSubjectChar">
    <w:name w:val="Comment Subject Char"/>
    <w:basedOn w:val="CommentTextChar"/>
    <w:link w:val="CommentSubject"/>
    <w:uiPriority w:val="99"/>
    <w:semiHidden/>
    <w:rsid w:val="005D080C"/>
    <w:rPr>
      <w:b/>
      <w:bCs/>
      <w:lang w:val="en-US" w:eastAsia="en-US"/>
    </w:rPr>
  </w:style>
  <w:style w:type="paragraph" w:styleId="Revision">
    <w:name w:val="Revision"/>
    <w:hidden/>
    <w:uiPriority w:val="99"/>
    <w:semiHidden/>
    <w:rsid w:val="00C1480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525D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25D18"/>
  </w:style>
  <w:style w:type="character" w:customStyle="1" w:styleId="eop">
    <w:name w:val="eop"/>
    <w:basedOn w:val="DefaultParagraphFont"/>
    <w:rsid w:val="0052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5107"/>
    <w:rsid w:val="00066A7A"/>
    <w:rsid w:val="00075F2D"/>
    <w:rsid w:val="00126D2E"/>
    <w:rsid w:val="00137F84"/>
    <w:rsid w:val="00200821"/>
    <w:rsid w:val="0021034F"/>
    <w:rsid w:val="00211BD7"/>
    <w:rsid w:val="0025245B"/>
    <w:rsid w:val="002705BF"/>
    <w:rsid w:val="002A3923"/>
    <w:rsid w:val="00323DD5"/>
    <w:rsid w:val="00335D68"/>
    <w:rsid w:val="00394049"/>
    <w:rsid w:val="003B0C71"/>
    <w:rsid w:val="003B795E"/>
    <w:rsid w:val="003E2DD8"/>
    <w:rsid w:val="0043736E"/>
    <w:rsid w:val="004B14AB"/>
    <w:rsid w:val="004B5BBB"/>
    <w:rsid w:val="004F2DF8"/>
    <w:rsid w:val="004F49F9"/>
    <w:rsid w:val="00517E2A"/>
    <w:rsid w:val="005949AD"/>
    <w:rsid w:val="006D3128"/>
    <w:rsid w:val="006E7A0C"/>
    <w:rsid w:val="006F24A1"/>
    <w:rsid w:val="007C72C7"/>
    <w:rsid w:val="00875B8A"/>
    <w:rsid w:val="008937F7"/>
    <w:rsid w:val="008953BC"/>
    <w:rsid w:val="008E5B12"/>
    <w:rsid w:val="00901503"/>
    <w:rsid w:val="0094636E"/>
    <w:rsid w:val="00964932"/>
    <w:rsid w:val="009A261B"/>
    <w:rsid w:val="009E4EBF"/>
    <w:rsid w:val="009E6219"/>
    <w:rsid w:val="00AA2E17"/>
    <w:rsid w:val="00AB7D56"/>
    <w:rsid w:val="00AC15A4"/>
    <w:rsid w:val="00AE628D"/>
    <w:rsid w:val="00B0336C"/>
    <w:rsid w:val="00B063A2"/>
    <w:rsid w:val="00B4286B"/>
    <w:rsid w:val="00B77C4B"/>
    <w:rsid w:val="00BC521F"/>
    <w:rsid w:val="00CB504F"/>
    <w:rsid w:val="00D10AA5"/>
    <w:rsid w:val="00D241E9"/>
    <w:rsid w:val="00D3126A"/>
    <w:rsid w:val="00D7750D"/>
    <w:rsid w:val="00D85D33"/>
    <w:rsid w:val="00DD629A"/>
    <w:rsid w:val="00E66075"/>
    <w:rsid w:val="00EA4F24"/>
    <w:rsid w:val="00EE7D1D"/>
    <w:rsid w:val="00F00D2F"/>
    <w:rsid w:val="00F128DF"/>
    <w:rsid w:val="00F64D9A"/>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04F644E6-E918-4521-95E3-8BA45B4B5E59}">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C98FF9F-7ADD-49D1-A44E-3723F72F7F93}">
  <ds:schemaRefs>
    <ds:schemaRef ds:uri="http://schemas.microsoft.com/sharepoint/v3/contenttype/forms"/>
  </ds:schemaRefs>
</ds:datastoreItem>
</file>

<file path=customXml/itemProps4.xml><?xml version="1.0" encoding="utf-8"?>
<ds:datastoreItem xmlns:ds="http://schemas.openxmlformats.org/officeDocument/2006/customXml" ds:itemID="{2589206D-E108-4592-8A4F-9AFAA6E1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5583</Words>
  <Characters>31824</Characters>
  <Application>Microsoft Office Word</Application>
  <DocSecurity>0</DocSecurity>
  <Lines>265</Lines>
  <Paragraphs>74</Paragraphs>
  <ScaleCrop>false</ScaleCrop>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