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C84B87D">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4511E6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4EC2196E"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78447F">
                              <w:rPr>
                                <w:rFonts w:asciiTheme="majorHAnsi" w:hAnsiTheme="majorHAnsi" w:cs="Arial"/>
                                <w:b/>
                                <w:bCs/>
                                <w:color w:val="0D0D0D" w:themeColor="text1" w:themeTint="F2"/>
                                <w:sz w:val="36"/>
                                <w:szCs w:val="22"/>
                                <w:lang w:val="es-ES_tradnl"/>
                              </w:rPr>
                              <w:t>156</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2E53BAE5"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632A2E">
                              <w:rPr>
                                <w:rFonts w:asciiTheme="majorHAnsi" w:hAnsiTheme="majorHAnsi" w:cs="Arial"/>
                                <w:b/>
                                <w:color w:val="0D0D0D" w:themeColor="text1" w:themeTint="F2"/>
                                <w:sz w:val="36"/>
                                <w:szCs w:val="22"/>
                                <w:lang w:val="es-ES_tradnl"/>
                              </w:rPr>
                              <w:t>1849-15</w:t>
                            </w:r>
                          </w:p>
                          <w:p w14:paraId="188B4303" w14:textId="6770CA5B"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160DBC90" w14:textId="594F6097" w:rsidR="00632A2E" w:rsidRDefault="00632A2E" w:rsidP="00F56ECB">
                            <w:pPr>
                              <w:spacing w:line="276" w:lineRule="auto"/>
                              <w:rPr>
                                <w:rFonts w:asciiTheme="majorHAnsi" w:hAnsiTheme="majorHAnsi" w:cs="Arial"/>
                                <w:color w:val="0D0D0D" w:themeColor="text1" w:themeTint="F2"/>
                                <w:szCs w:val="22"/>
                                <w:lang w:val="es-ES_tradnl"/>
                              </w:rPr>
                            </w:pPr>
                            <w:r w:rsidRPr="00632A2E">
                              <w:rPr>
                                <w:rFonts w:asciiTheme="majorHAnsi" w:hAnsiTheme="majorHAnsi" w:cs="Arial"/>
                                <w:color w:val="0D0D0D" w:themeColor="text1" w:themeTint="F2"/>
                                <w:szCs w:val="22"/>
                                <w:lang w:val="es-ES_tradnl"/>
                              </w:rPr>
                              <w:t>FRANCISCO ANTONIO MOLINA GUERRERO Y FAMILIA</w:t>
                            </w:r>
                          </w:p>
                          <w:p w14:paraId="0B9F7D22" w14:textId="3A815966" w:rsidR="005B52B0" w:rsidRPr="00F56ECB" w:rsidRDefault="00632A2E"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4EC2196E"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78447F">
                        <w:rPr>
                          <w:rFonts w:asciiTheme="majorHAnsi" w:hAnsiTheme="majorHAnsi" w:cs="Arial"/>
                          <w:b/>
                          <w:bCs/>
                          <w:color w:val="0D0D0D" w:themeColor="text1" w:themeTint="F2"/>
                          <w:sz w:val="36"/>
                          <w:szCs w:val="22"/>
                          <w:lang w:val="es-ES_tradnl"/>
                        </w:rPr>
                        <w:t>156</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2E53BAE5"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632A2E">
                        <w:rPr>
                          <w:rFonts w:asciiTheme="majorHAnsi" w:hAnsiTheme="majorHAnsi" w:cs="Arial"/>
                          <w:b/>
                          <w:color w:val="0D0D0D" w:themeColor="text1" w:themeTint="F2"/>
                          <w:sz w:val="36"/>
                          <w:szCs w:val="22"/>
                          <w:lang w:val="es-ES_tradnl"/>
                        </w:rPr>
                        <w:t>1849-15</w:t>
                      </w:r>
                    </w:p>
                    <w:p w14:paraId="188B4303" w14:textId="6770CA5B"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160DBC90" w14:textId="594F6097" w:rsidR="00632A2E" w:rsidRDefault="00632A2E" w:rsidP="00F56ECB">
                      <w:pPr>
                        <w:spacing w:line="276" w:lineRule="auto"/>
                        <w:rPr>
                          <w:rFonts w:asciiTheme="majorHAnsi" w:hAnsiTheme="majorHAnsi" w:cs="Arial"/>
                          <w:color w:val="0D0D0D" w:themeColor="text1" w:themeTint="F2"/>
                          <w:szCs w:val="22"/>
                          <w:lang w:val="es-ES_tradnl"/>
                        </w:rPr>
                      </w:pPr>
                      <w:r w:rsidRPr="00632A2E">
                        <w:rPr>
                          <w:rFonts w:asciiTheme="majorHAnsi" w:hAnsiTheme="majorHAnsi" w:cs="Arial"/>
                          <w:color w:val="0D0D0D" w:themeColor="text1" w:themeTint="F2"/>
                          <w:szCs w:val="22"/>
                          <w:lang w:val="es-ES_tradnl"/>
                        </w:rPr>
                        <w:t>FRANCISCO ANTONIO MOLINA GUERRERO Y FAMILIA</w:t>
                      </w:r>
                    </w:p>
                    <w:p w14:paraId="0B9F7D22" w14:textId="3A815966" w:rsidR="005B52B0" w:rsidRPr="00F56ECB" w:rsidRDefault="00632A2E"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075663FC" w:rsidR="00627C9F" w:rsidRPr="004E2375" w:rsidRDefault="00834D49" w:rsidP="007A5817">
                            <w:pPr>
                              <w:spacing w:line="276" w:lineRule="auto"/>
                              <w:jc w:val="right"/>
                              <w:rPr>
                                <w:rFonts w:asciiTheme="minorHAnsi" w:hAnsiTheme="minorHAnsi"/>
                                <w:color w:val="FFFFFF" w:themeColor="background1"/>
                                <w:sz w:val="22"/>
                                <w:lang w:val="es-ES"/>
                              </w:rPr>
                            </w:pPr>
                            <w:r w:rsidRPr="004E2375">
                              <w:rPr>
                                <w:rFonts w:asciiTheme="minorHAnsi" w:hAnsiTheme="minorHAnsi"/>
                                <w:color w:val="FFFFFF" w:themeColor="background1"/>
                                <w:sz w:val="22"/>
                                <w:lang w:val="es-ES"/>
                              </w:rPr>
                              <w:t>OEA/Ser.L/V/II</w:t>
                            </w:r>
                          </w:p>
                          <w:p w14:paraId="71D2D5D2" w14:textId="06C7984F" w:rsidR="00627C9F" w:rsidRPr="004E2375" w:rsidRDefault="00627C9F" w:rsidP="007A5817">
                            <w:pPr>
                              <w:spacing w:line="276" w:lineRule="auto"/>
                              <w:jc w:val="right"/>
                              <w:rPr>
                                <w:rFonts w:asciiTheme="minorHAnsi" w:hAnsiTheme="minorHAnsi"/>
                                <w:color w:val="FFFFFF" w:themeColor="background1"/>
                                <w:sz w:val="22"/>
                                <w:lang w:val="es-ES"/>
                              </w:rPr>
                            </w:pPr>
                            <w:r w:rsidRPr="004E2375">
                              <w:rPr>
                                <w:rFonts w:asciiTheme="minorHAnsi" w:hAnsiTheme="minorHAnsi"/>
                                <w:color w:val="FFFFFF" w:themeColor="background1"/>
                                <w:sz w:val="22"/>
                                <w:lang w:val="es-ES"/>
                              </w:rPr>
                              <w:t xml:space="preserve">Doc. </w:t>
                            </w:r>
                            <w:r w:rsidR="0078447F" w:rsidRPr="004E2375">
                              <w:rPr>
                                <w:rFonts w:asciiTheme="minorHAnsi" w:hAnsiTheme="minorHAnsi"/>
                                <w:color w:val="FFFFFF" w:themeColor="background1"/>
                                <w:sz w:val="22"/>
                                <w:lang w:val="es-ES"/>
                              </w:rPr>
                              <w:t>167</w:t>
                            </w:r>
                          </w:p>
                          <w:p w14:paraId="4061DBBD" w14:textId="70C2CF2E" w:rsidR="00627C9F" w:rsidRPr="00C25ADB" w:rsidRDefault="0078447F"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 septiembre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075663FC" w:rsidR="00627C9F" w:rsidRPr="004E2375" w:rsidRDefault="00834D49" w:rsidP="007A5817">
                      <w:pPr>
                        <w:spacing w:line="276" w:lineRule="auto"/>
                        <w:jc w:val="right"/>
                        <w:rPr>
                          <w:rFonts w:asciiTheme="minorHAnsi" w:hAnsiTheme="minorHAnsi"/>
                          <w:color w:val="FFFFFF" w:themeColor="background1"/>
                          <w:sz w:val="22"/>
                          <w:lang w:val="es-ES"/>
                        </w:rPr>
                      </w:pPr>
                      <w:r w:rsidRPr="004E2375">
                        <w:rPr>
                          <w:rFonts w:asciiTheme="minorHAnsi" w:hAnsiTheme="minorHAnsi"/>
                          <w:color w:val="FFFFFF" w:themeColor="background1"/>
                          <w:sz w:val="22"/>
                          <w:lang w:val="es-ES"/>
                        </w:rPr>
                        <w:t>OEA/Ser.L/V/II</w:t>
                      </w:r>
                    </w:p>
                    <w:p w14:paraId="71D2D5D2" w14:textId="06C7984F" w:rsidR="00627C9F" w:rsidRPr="004E2375" w:rsidRDefault="00627C9F" w:rsidP="007A5817">
                      <w:pPr>
                        <w:spacing w:line="276" w:lineRule="auto"/>
                        <w:jc w:val="right"/>
                        <w:rPr>
                          <w:rFonts w:asciiTheme="minorHAnsi" w:hAnsiTheme="minorHAnsi"/>
                          <w:color w:val="FFFFFF" w:themeColor="background1"/>
                          <w:sz w:val="22"/>
                          <w:lang w:val="es-ES"/>
                        </w:rPr>
                      </w:pPr>
                      <w:r w:rsidRPr="004E2375">
                        <w:rPr>
                          <w:rFonts w:asciiTheme="minorHAnsi" w:hAnsiTheme="minorHAnsi"/>
                          <w:color w:val="FFFFFF" w:themeColor="background1"/>
                          <w:sz w:val="22"/>
                          <w:lang w:val="es-ES"/>
                        </w:rPr>
                        <w:t xml:space="preserve">Doc. </w:t>
                      </w:r>
                      <w:r w:rsidR="0078447F" w:rsidRPr="004E2375">
                        <w:rPr>
                          <w:rFonts w:asciiTheme="minorHAnsi" w:hAnsiTheme="minorHAnsi"/>
                          <w:color w:val="FFFFFF" w:themeColor="background1"/>
                          <w:sz w:val="22"/>
                          <w:lang w:val="es-ES"/>
                        </w:rPr>
                        <w:t>167</w:t>
                      </w:r>
                    </w:p>
                    <w:p w14:paraId="4061DBBD" w14:textId="70C2CF2E" w:rsidR="00627C9F" w:rsidRPr="00C25ADB" w:rsidRDefault="0078447F"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 septiembre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02081F6C"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4E2375">
                              <w:rPr>
                                <w:rFonts w:asciiTheme="majorHAnsi" w:hAnsiTheme="majorHAnsi"/>
                                <w:color w:val="0D0D0D" w:themeColor="text1" w:themeTint="F2"/>
                                <w:sz w:val="18"/>
                                <w:szCs w:val="22"/>
                                <w:lang w:val="es-ES"/>
                              </w:rPr>
                              <w:t>1</w:t>
                            </w:r>
                            <w:r w:rsidRPr="00890650">
                              <w:rPr>
                                <w:rFonts w:asciiTheme="majorHAnsi" w:hAnsiTheme="majorHAnsi"/>
                                <w:color w:val="0D0D0D" w:themeColor="text1" w:themeTint="F2"/>
                                <w:sz w:val="18"/>
                                <w:szCs w:val="22"/>
                                <w:lang w:val="es-ES"/>
                              </w:rPr>
                              <w:t xml:space="preserve"> de </w:t>
                            </w:r>
                            <w:r w:rsidR="004E2375">
                              <w:rPr>
                                <w:rFonts w:asciiTheme="majorHAnsi" w:hAnsiTheme="majorHAnsi"/>
                                <w:color w:val="0D0D0D" w:themeColor="text1" w:themeTint="F2"/>
                                <w:sz w:val="18"/>
                                <w:szCs w:val="22"/>
                                <w:lang w:val="es-ES"/>
                              </w:rPr>
                              <w:t>septiembre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4E2375">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02081F6C"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4E2375">
                        <w:rPr>
                          <w:rFonts w:asciiTheme="majorHAnsi" w:hAnsiTheme="majorHAnsi"/>
                          <w:color w:val="0D0D0D" w:themeColor="text1" w:themeTint="F2"/>
                          <w:sz w:val="18"/>
                          <w:szCs w:val="22"/>
                          <w:lang w:val="es-ES"/>
                        </w:rPr>
                        <w:t>1</w:t>
                      </w:r>
                      <w:r w:rsidRPr="00890650">
                        <w:rPr>
                          <w:rFonts w:asciiTheme="majorHAnsi" w:hAnsiTheme="majorHAnsi"/>
                          <w:color w:val="0D0D0D" w:themeColor="text1" w:themeTint="F2"/>
                          <w:sz w:val="18"/>
                          <w:szCs w:val="22"/>
                          <w:lang w:val="es-ES"/>
                        </w:rPr>
                        <w:t xml:space="preserve"> de </w:t>
                      </w:r>
                      <w:r w:rsidR="004E2375">
                        <w:rPr>
                          <w:rFonts w:asciiTheme="majorHAnsi" w:hAnsiTheme="majorHAnsi"/>
                          <w:color w:val="0D0D0D" w:themeColor="text1" w:themeTint="F2"/>
                          <w:sz w:val="18"/>
                          <w:szCs w:val="22"/>
                          <w:lang w:val="es-ES"/>
                        </w:rPr>
                        <w:t>septiembre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4E2375">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77785" w14:textId="52A73D6E"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4E2375" w:rsidRPr="004E2375">
                              <w:rPr>
                                <w:rFonts w:asciiTheme="majorHAnsi" w:hAnsiTheme="majorHAnsi"/>
                                <w:color w:val="595959" w:themeColor="text1" w:themeTint="A6"/>
                                <w:sz w:val="18"/>
                                <w:szCs w:val="18"/>
                                <w:lang w:val="pt-BR"/>
                              </w:rPr>
                              <w:t>156</w:t>
                            </w:r>
                            <w:r w:rsidR="007B05C4" w:rsidRPr="004E2375">
                              <w:rPr>
                                <w:rFonts w:asciiTheme="majorHAnsi" w:hAnsiTheme="majorHAnsi"/>
                                <w:color w:val="595959" w:themeColor="text1" w:themeTint="A6"/>
                                <w:sz w:val="18"/>
                                <w:szCs w:val="18"/>
                                <w:lang w:val="pt-BR"/>
                              </w:rPr>
                              <w:t>/</w:t>
                            </w:r>
                            <w:r w:rsidR="004E2375" w:rsidRPr="004E2375">
                              <w:rPr>
                                <w:rFonts w:asciiTheme="majorHAnsi" w:hAnsiTheme="majorHAnsi"/>
                                <w:color w:val="595959" w:themeColor="text1" w:themeTint="A6"/>
                                <w:sz w:val="18"/>
                                <w:szCs w:val="18"/>
                                <w:lang w:val="pt-BR"/>
                              </w:rPr>
                              <w:t>25</w:t>
                            </w:r>
                            <w:r w:rsidRPr="004E2375">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4E2375">
                              <w:rPr>
                                <w:rFonts w:asciiTheme="majorHAnsi" w:hAnsiTheme="majorHAnsi"/>
                                <w:color w:val="595959" w:themeColor="text1" w:themeTint="A6"/>
                                <w:sz w:val="18"/>
                                <w:szCs w:val="18"/>
                                <w:lang w:val="es-ES"/>
                              </w:rPr>
                              <w:t>1849</w:t>
                            </w:r>
                            <w:r w:rsidR="000433C9">
                              <w:rPr>
                                <w:rFonts w:asciiTheme="majorHAnsi" w:hAnsiTheme="majorHAnsi"/>
                                <w:color w:val="595959" w:themeColor="text1" w:themeTint="A6"/>
                                <w:sz w:val="18"/>
                                <w:szCs w:val="18"/>
                                <w:lang w:val="es-ES"/>
                              </w:rPr>
                              <w:t>-</w:t>
                            </w:r>
                            <w:r w:rsidR="004E2375">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r w:rsidR="004E2375">
                              <w:rPr>
                                <w:rFonts w:asciiTheme="majorHAnsi" w:hAnsiTheme="majorHAnsi"/>
                                <w:color w:val="595959" w:themeColor="text1" w:themeTint="A6"/>
                                <w:sz w:val="18"/>
                                <w:szCs w:val="18"/>
                                <w:lang w:val="es-ES_tradnl"/>
                              </w:rPr>
                              <w:t>Francisco Antonio Molina Guerrero y familia</w:t>
                            </w:r>
                            <w:r w:rsidRPr="00890650">
                              <w:rPr>
                                <w:rFonts w:asciiTheme="majorHAnsi" w:hAnsiTheme="majorHAnsi"/>
                                <w:color w:val="595959" w:themeColor="text1" w:themeTint="A6"/>
                                <w:sz w:val="18"/>
                                <w:szCs w:val="18"/>
                                <w:lang w:val="es-ES_tradnl"/>
                              </w:rPr>
                              <w:t xml:space="preserve">. </w:t>
                            </w:r>
                            <w:r w:rsidR="004E2375">
                              <w:rPr>
                                <w:rFonts w:asciiTheme="majorHAnsi" w:hAnsiTheme="majorHAnsi"/>
                                <w:color w:val="595959" w:themeColor="text1" w:themeTint="A6"/>
                                <w:sz w:val="18"/>
                                <w:szCs w:val="18"/>
                                <w:lang w:val="es-ES_tradnl"/>
                              </w:rPr>
                              <w:t>Colombia</w:t>
                            </w:r>
                            <w:r w:rsidRPr="00890650">
                              <w:rPr>
                                <w:rFonts w:asciiTheme="majorHAnsi" w:hAnsiTheme="majorHAnsi"/>
                                <w:color w:val="595959" w:themeColor="text1" w:themeTint="A6"/>
                                <w:sz w:val="18"/>
                                <w:szCs w:val="18"/>
                                <w:lang w:val="es-ES_tradnl"/>
                              </w:rPr>
                              <w:t xml:space="preserve">. </w:t>
                            </w:r>
                            <w:r w:rsidR="004E2375">
                              <w:rPr>
                                <w:rFonts w:asciiTheme="majorHAnsi" w:hAnsiTheme="majorHAnsi"/>
                                <w:color w:val="595959" w:themeColor="text1" w:themeTint="A6"/>
                                <w:sz w:val="18"/>
                                <w:szCs w:val="18"/>
                                <w:lang w:val="es-ES"/>
                              </w:rPr>
                              <w:t>1 de septiembre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FD77785" w14:textId="52A73D6E"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4E2375" w:rsidRPr="004E2375">
                        <w:rPr>
                          <w:rFonts w:asciiTheme="majorHAnsi" w:hAnsiTheme="majorHAnsi"/>
                          <w:color w:val="595959" w:themeColor="text1" w:themeTint="A6"/>
                          <w:sz w:val="18"/>
                          <w:szCs w:val="18"/>
                          <w:lang w:val="pt-BR"/>
                        </w:rPr>
                        <w:t>156</w:t>
                      </w:r>
                      <w:r w:rsidR="007B05C4" w:rsidRPr="004E2375">
                        <w:rPr>
                          <w:rFonts w:asciiTheme="majorHAnsi" w:hAnsiTheme="majorHAnsi"/>
                          <w:color w:val="595959" w:themeColor="text1" w:themeTint="A6"/>
                          <w:sz w:val="18"/>
                          <w:szCs w:val="18"/>
                          <w:lang w:val="pt-BR"/>
                        </w:rPr>
                        <w:t>/</w:t>
                      </w:r>
                      <w:r w:rsidR="004E2375" w:rsidRPr="004E2375">
                        <w:rPr>
                          <w:rFonts w:asciiTheme="majorHAnsi" w:hAnsiTheme="majorHAnsi"/>
                          <w:color w:val="595959" w:themeColor="text1" w:themeTint="A6"/>
                          <w:sz w:val="18"/>
                          <w:szCs w:val="18"/>
                          <w:lang w:val="pt-BR"/>
                        </w:rPr>
                        <w:t>25</w:t>
                      </w:r>
                      <w:r w:rsidRPr="004E2375">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4E2375">
                        <w:rPr>
                          <w:rFonts w:asciiTheme="majorHAnsi" w:hAnsiTheme="majorHAnsi"/>
                          <w:color w:val="595959" w:themeColor="text1" w:themeTint="A6"/>
                          <w:sz w:val="18"/>
                          <w:szCs w:val="18"/>
                          <w:lang w:val="es-ES"/>
                        </w:rPr>
                        <w:t>1849</w:t>
                      </w:r>
                      <w:r w:rsidR="000433C9">
                        <w:rPr>
                          <w:rFonts w:asciiTheme="majorHAnsi" w:hAnsiTheme="majorHAnsi"/>
                          <w:color w:val="595959" w:themeColor="text1" w:themeTint="A6"/>
                          <w:sz w:val="18"/>
                          <w:szCs w:val="18"/>
                          <w:lang w:val="es-ES"/>
                        </w:rPr>
                        <w:t>-</w:t>
                      </w:r>
                      <w:r w:rsidR="004E2375">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r w:rsidR="004E2375">
                        <w:rPr>
                          <w:rFonts w:asciiTheme="majorHAnsi" w:hAnsiTheme="majorHAnsi"/>
                          <w:color w:val="595959" w:themeColor="text1" w:themeTint="A6"/>
                          <w:sz w:val="18"/>
                          <w:szCs w:val="18"/>
                          <w:lang w:val="es-ES_tradnl"/>
                        </w:rPr>
                        <w:t>Francisco Antonio Molina Guerrero y familia</w:t>
                      </w:r>
                      <w:r w:rsidRPr="00890650">
                        <w:rPr>
                          <w:rFonts w:asciiTheme="majorHAnsi" w:hAnsiTheme="majorHAnsi"/>
                          <w:color w:val="595959" w:themeColor="text1" w:themeTint="A6"/>
                          <w:sz w:val="18"/>
                          <w:szCs w:val="18"/>
                          <w:lang w:val="es-ES_tradnl"/>
                        </w:rPr>
                        <w:t xml:space="preserve">. </w:t>
                      </w:r>
                      <w:r w:rsidR="004E2375">
                        <w:rPr>
                          <w:rFonts w:asciiTheme="majorHAnsi" w:hAnsiTheme="majorHAnsi"/>
                          <w:color w:val="595959" w:themeColor="text1" w:themeTint="A6"/>
                          <w:sz w:val="18"/>
                          <w:szCs w:val="18"/>
                          <w:lang w:val="es-ES_tradnl"/>
                        </w:rPr>
                        <w:t>Colombia</w:t>
                      </w:r>
                      <w:r w:rsidRPr="00890650">
                        <w:rPr>
                          <w:rFonts w:asciiTheme="majorHAnsi" w:hAnsiTheme="majorHAnsi"/>
                          <w:color w:val="595959" w:themeColor="text1" w:themeTint="A6"/>
                          <w:sz w:val="18"/>
                          <w:szCs w:val="18"/>
                          <w:lang w:val="es-ES_tradnl"/>
                        </w:rPr>
                        <w:t xml:space="preserve">. </w:t>
                      </w:r>
                      <w:r w:rsidR="004E2375">
                        <w:rPr>
                          <w:rFonts w:asciiTheme="majorHAnsi" w:hAnsiTheme="majorHAnsi"/>
                          <w:color w:val="595959" w:themeColor="text1" w:themeTint="A6"/>
                          <w:sz w:val="18"/>
                          <w:szCs w:val="18"/>
                          <w:lang w:val="es-ES"/>
                        </w:rPr>
                        <w:t>1 de septiembre de 2025</w:t>
                      </w:r>
                      <w:r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2C08A6E3"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4BBB9917" wp14:editId="3E9107D6">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62F7269C" w:rsidR="0070697F" w:rsidRDefault="004E2375"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5D37EBA2" wp14:editId="5F3CBE55">
                <wp:simplePos x="0" y="0"/>
                <wp:positionH relativeFrom="column">
                  <wp:posOffset>1292062</wp:posOffset>
                </wp:positionH>
                <wp:positionV relativeFrom="paragraph">
                  <wp:posOffset>488950</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1.75pt;margin-top:38.5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rsidRPr="00F83924"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3A518885" w:rsidR="003239B8" w:rsidRPr="00F83924" w:rsidRDefault="00F83924">
            <w:pPr>
              <w:jc w:val="both"/>
              <w:rPr>
                <w:rFonts w:ascii="Cambria" w:hAnsi="Cambria"/>
                <w:bCs/>
                <w:sz w:val="20"/>
                <w:szCs w:val="20"/>
                <w:lang w:val="es-CO"/>
              </w:rPr>
            </w:pPr>
            <w:r w:rsidRPr="00456677">
              <w:rPr>
                <w:rFonts w:ascii="Cambria" w:hAnsi="Cambria"/>
                <w:bCs/>
                <w:sz w:val="20"/>
                <w:szCs w:val="20"/>
                <w:lang w:val="es-CO"/>
              </w:rPr>
              <w:t>Magdalena Guerrero Montenegro</w:t>
            </w:r>
            <w:r>
              <w:rPr>
                <w:rFonts w:ascii="Cambria" w:hAnsi="Cambria"/>
                <w:bCs/>
                <w:sz w:val="20"/>
                <w:szCs w:val="20"/>
                <w:lang w:val="es-CO"/>
              </w:rPr>
              <w:t>, Fabio Enrique Molina Guerrero, Jorge Alberto Molina Guerrero</w:t>
            </w:r>
            <w:r w:rsidRPr="00F83924">
              <w:rPr>
                <w:rFonts w:ascii="Cambria" w:hAnsi="Cambria"/>
                <w:bCs/>
                <w:sz w:val="20"/>
                <w:szCs w:val="20"/>
                <w:lang w:val="es-CO"/>
              </w:rPr>
              <w:t xml:space="preserve"> y </w:t>
            </w:r>
            <w:r w:rsidR="00FA1337" w:rsidRPr="00F83924">
              <w:rPr>
                <w:rFonts w:ascii="Cambria" w:hAnsi="Cambria"/>
                <w:bCs/>
                <w:sz w:val="20"/>
                <w:szCs w:val="20"/>
                <w:lang w:val="es-CO"/>
              </w:rPr>
              <w:t>Carlos Rodríguez Mejía</w:t>
            </w:r>
            <w:r>
              <w:rPr>
                <w:rStyle w:val="FootnoteReference"/>
                <w:rFonts w:ascii="Cambria" w:hAnsi="Cambria"/>
                <w:bCs/>
                <w:sz w:val="20"/>
                <w:szCs w:val="20"/>
                <w:lang w:val="es-CO"/>
              </w:rPr>
              <w:footnoteReference w:id="2"/>
            </w:r>
          </w:p>
        </w:tc>
      </w:tr>
      <w:tr w:rsidR="003239B8" w:rsidRPr="003F2AFE"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7777777" w:rsidR="003239B8" w:rsidRPr="000D05CB" w:rsidRDefault="0016114F">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647" w:type="dxa"/>
            <w:vAlign w:val="center"/>
          </w:tcPr>
          <w:p w14:paraId="143D44A8" w14:textId="36F85041" w:rsidR="003239B8" w:rsidRPr="00456677" w:rsidRDefault="003F2AFE">
            <w:pPr>
              <w:jc w:val="both"/>
              <w:rPr>
                <w:rFonts w:ascii="Cambria" w:hAnsi="Cambria"/>
                <w:bCs/>
                <w:sz w:val="20"/>
                <w:szCs w:val="20"/>
                <w:lang w:val="es-CO"/>
              </w:rPr>
            </w:pPr>
            <w:r w:rsidRPr="003F2AFE">
              <w:rPr>
                <w:rFonts w:ascii="Cambria" w:hAnsi="Cambria"/>
                <w:bCs/>
                <w:sz w:val="20"/>
                <w:szCs w:val="20"/>
                <w:lang w:val="es-ES"/>
              </w:rPr>
              <w:t>Francisco Antonio Molina Guerrero</w:t>
            </w:r>
            <w:r w:rsidR="00D0290A">
              <w:rPr>
                <w:rFonts w:ascii="Cambria" w:hAnsi="Cambria"/>
                <w:bCs/>
                <w:sz w:val="20"/>
                <w:szCs w:val="20"/>
                <w:lang w:val="es-ES"/>
              </w:rPr>
              <w:t>,</w:t>
            </w:r>
            <w:r w:rsidRPr="003F2AFE">
              <w:rPr>
                <w:rFonts w:ascii="Cambria" w:hAnsi="Cambria"/>
                <w:bCs/>
                <w:sz w:val="20"/>
                <w:szCs w:val="20"/>
                <w:lang w:val="es-ES"/>
              </w:rPr>
              <w:t xml:space="preserve"> </w:t>
            </w:r>
            <w:r w:rsidR="00456677" w:rsidRPr="00456677">
              <w:rPr>
                <w:rFonts w:ascii="Cambria" w:hAnsi="Cambria"/>
                <w:bCs/>
                <w:sz w:val="20"/>
                <w:szCs w:val="20"/>
                <w:lang w:val="es-CO"/>
              </w:rPr>
              <w:t>Magdalena Guerrero Montenegro</w:t>
            </w:r>
            <w:r w:rsidR="00D0290A">
              <w:rPr>
                <w:rFonts w:ascii="Cambria" w:hAnsi="Cambria"/>
                <w:bCs/>
                <w:sz w:val="20"/>
                <w:szCs w:val="20"/>
                <w:lang w:val="es-CO"/>
              </w:rPr>
              <w:t xml:space="preserve">, Fabio Enrique Molina Guerrero y Jorge Alberto Molina </w:t>
            </w:r>
            <w:r w:rsidR="0022183C">
              <w:rPr>
                <w:rFonts w:ascii="Cambria" w:hAnsi="Cambria"/>
                <w:bCs/>
                <w:sz w:val="20"/>
                <w:szCs w:val="20"/>
                <w:lang w:val="es-CO"/>
              </w:rPr>
              <w:t>Guerrero</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3EAC3B91" w:rsidR="003239B8" w:rsidRPr="000D05CB" w:rsidRDefault="003F2AFE">
            <w:pPr>
              <w:jc w:val="both"/>
              <w:rPr>
                <w:rFonts w:ascii="Cambria" w:hAnsi="Cambria"/>
                <w:bCs/>
                <w:sz w:val="20"/>
                <w:szCs w:val="20"/>
              </w:rPr>
            </w:pPr>
            <w:r>
              <w:rPr>
                <w:rFonts w:ascii="Cambria" w:hAnsi="Cambria"/>
                <w:bCs/>
                <w:sz w:val="20"/>
                <w:szCs w:val="20"/>
              </w:rPr>
              <w:t>Colombia</w:t>
            </w:r>
            <w:r w:rsidR="004A6A54" w:rsidRPr="000D05CB">
              <w:rPr>
                <w:rStyle w:val="FootnoteReference"/>
                <w:rFonts w:ascii="Cambria" w:hAnsi="Cambria"/>
                <w:bCs/>
                <w:sz w:val="20"/>
                <w:szCs w:val="20"/>
              </w:rPr>
              <w:footnoteReference w:id="3"/>
            </w:r>
          </w:p>
        </w:tc>
      </w:tr>
      <w:tr w:rsidR="00223A29" w:rsidRPr="0066409E"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3A5D3D90" w:rsidR="00223A29" w:rsidRPr="00954A2B" w:rsidRDefault="00954A2B">
            <w:pPr>
              <w:jc w:val="both"/>
              <w:rPr>
                <w:rFonts w:ascii="Cambria" w:hAnsi="Cambria"/>
                <w:bCs/>
                <w:sz w:val="20"/>
                <w:szCs w:val="20"/>
                <w:lang w:val="es-CO"/>
              </w:rPr>
            </w:pPr>
            <w:r w:rsidRPr="002C6FBF">
              <w:rPr>
                <w:rFonts w:ascii="Cambria" w:hAnsi="Cambria"/>
                <w:bCs/>
                <w:sz w:val="20"/>
                <w:szCs w:val="20"/>
                <w:lang w:val="es-CO"/>
              </w:rPr>
              <w:t>Artículos</w:t>
            </w:r>
            <w:r>
              <w:rPr>
                <w:rFonts w:ascii="Cambria" w:hAnsi="Cambria"/>
                <w:bCs/>
                <w:sz w:val="20"/>
                <w:szCs w:val="20"/>
                <w:lang w:val="es-CO"/>
              </w:rPr>
              <w:t xml:space="preserve"> 4 (vida),</w:t>
            </w:r>
            <w:r w:rsidRPr="002C6FBF">
              <w:rPr>
                <w:rFonts w:ascii="Cambria" w:hAnsi="Cambria"/>
                <w:bCs/>
                <w:sz w:val="20"/>
                <w:szCs w:val="20"/>
                <w:lang w:val="es-CO"/>
              </w:rPr>
              <w:t xml:space="preserve"> 8 </w:t>
            </w:r>
            <w:r>
              <w:rPr>
                <w:rFonts w:ascii="Cambria" w:hAnsi="Cambria"/>
                <w:bCs/>
                <w:sz w:val="20"/>
                <w:szCs w:val="20"/>
                <w:lang w:val="es-CO"/>
              </w:rPr>
              <w:t>(garantías judiciales) y 25 (protección judicial) de la Convención Americana sobre Derechos Humanos</w:t>
            </w:r>
            <w:r>
              <w:rPr>
                <w:rStyle w:val="FootnoteReference"/>
                <w:rFonts w:ascii="Cambria" w:hAnsi="Cambria"/>
                <w:bCs/>
                <w:sz w:val="20"/>
                <w:szCs w:val="20"/>
                <w:lang w:val="es-CO"/>
              </w:rPr>
              <w:footnoteReference w:id="4"/>
            </w:r>
            <w:r w:rsidR="000A551D">
              <w:rPr>
                <w:rFonts w:ascii="Cambria" w:hAnsi="Cambria"/>
                <w:bCs/>
                <w:sz w:val="20"/>
                <w:szCs w:val="20"/>
                <w:lang w:val="es-CO"/>
              </w:rPr>
              <w:t xml:space="preserve"> en relación </w:t>
            </w:r>
            <w:r w:rsidR="00564852">
              <w:rPr>
                <w:rFonts w:ascii="Cambria" w:hAnsi="Cambria"/>
                <w:bCs/>
                <w:sz w:val="20"/>
                <w:szCs w:val="20"/>
                <w:lang w:val="es-CO"/>
              </w:rPr>
              <w:t>con su artículo 1.1 (obligación de respetar los derechos)</w:t>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5"/>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44E0ADFD" w:rsidR="004C2312" w:rsidRPr="003239B8" w:rsidRDefault="00C06A28">
            <w:pPr>
              <w:jc w:val="both"/>
              <w:rPr>
                <w:rFonts w:ascii="Cambria" w:hAnsi="Cambria"/>
                <w:bCs/>
                <w:sz w:val="20"/>
                <w:szCs w:val="20"/>
                <w:lang w:val="es-ES"/>
              </w:rPr>
            </w:pPr>
            <w:r>
              <w:rPr>
                <w:rFonts w:ascii="Cambria" w:hAnsi="Cambria"/>
                <w:bCs/>
                <w:sz w:val="20"/>
                <w:szCs w:val="20"/>
                <w:lang w:val="es-ES"/>
              </w:rPr>
              <w:t>3 de noviembre de 2015</w:t>
            </w:r>
          </w:p>
        </w:tc>
      </w:tr>
      <w:tr w:rsidR="00131425" w:rsidRPr="00652675"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4FAC9BC8"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 xml:space="preserve">Información adicional recibida durante la etapa de </w:t>
            </w:r>
            <w:r w:rsidR="00335399">
              <w:rPr>
                <w:rFonts w:ascii="Cambria" w:hAnsi="Cambria"/>
                <w:b/>
                <w:bCs/>
                <w:color w:val="FFFFFF" w:themeColor="background1"/>
                <w:sz w:val="20"/>
                <w:szCs w:val="20"/>
                <w:lang w:val="es-ES"/>
              </w:rPr>
              <w:t>admisibilidad</w:t>
            </w:r>
            <w:r>
              <w:rPr>
                <w:rFonts w:ascii="Cambria" w:hAnsi="Cambria"/>
                <w:b/>
                <w:bCs/>
                <w:color w:val="FFFFFF" w:themeColor="background1"/>
                <w:sz w:val="20"/>
                <w:szCs w:val="20"/>
                <w:lang w:val="es-ES"/>
              </w:rPr>
              <w:t>:</w:t>
            </w:r>
          </w:p>
        </w:tc>
        <w:tc>
          <w:tcPr>
            <w:tcW w:w="5647" w:type="dxa"/>
            <w:vAlign w:val="center"/>
          </w:tcPr>
          <w:p w14:paraId="65CBC29E" w14:textId="507910B0" w:rsidR="00131425" w:rsidRPr="003239B8" w:rsidRDefault="00335399">
            <w:pPr>
              <w:jc w:val="both"/>
              <w:rPr>
                <w:rFonts w:ascii="Cambria" w:hAnsi="Cambria"/>
                <w:bCs/>
                <w:sz w:val="20"/>
                <w:szCs w:val="20"/>
                <w:lang w:val="es-ES"/>
              </w:rPr>
            </w:pPr>
            <w:r>
              <w:rPr>
                <w:rFonts w:ascii="Cambria" w:hAnsi="Cambria"/>
                <w:bCs/>
                <w:sz w:val="20"/>
                <w:szCs w:val="20"/>
                <w:lang w:val="es-ES"/>
              </w:rPr>
              <w:t>27 de enero de 2024</w:t>
            </w:r>
          </w:p>
        </w:tc>
      </w:tr>
      <w:tr w:rsidR="004C2312" w:rsidRPr="00652675"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129E23E6" w:rsidR="004C2312" w:rsidRPr="003239B8" w:rsidRDefault="005B3913">
            <w:pPr>
              <w:jc w:val="both"/>
              <w:rPr>
                <w:rFonts w:ascii="Cambria" w:hAnsi="Cambria"/>
                <w:bCs/>
                <w:sz w:val="20"/>
                <w:szCs w:val="20"/>
                <w:lang w:val="es-ES"/>
              </w:rPr>
            </w:pPr>
            <w:r>
              <w:rPr>
                <w:rFonts w:ascii="Cambria" w:hAnsi="Cambria"/>
                <w:bCs/>
                <w:sz w:val="20"/>
                <w:szCs w:val="20"/>
                <w:lang w:val="es-ES"/>
              </w:rPr>
              <w:t>29 de abril de 2022</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7BAD132D" w:rsidR="004C2312" w:rsidRPr="003239B8" w:rsidRDefault="00274BAC"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R</w:t>
            </w:r>
            <w:r w:rsidR="004C2312" w:rsidRPr="003239B8">
              <w:rPr>
                <w:rFonts w:ascii="Cambria" w:hAnsi="Cambria"/>
                <w:b/>
                <w:color w:val="FFFFFF" w:themeColor="background1"/>
                <w:sz w:val="20"/>
                <w:szCs w:val="20"/>
                <w:lang w:val="es-ES"/>
              </w:rPr>
              <w:t>espuesta del Estado:</w:t>
            </w:r>
          </w:p>
        </w:tc>
        <w:tc>
          <w:tcPr>
            <w:tcW w:w="5647" w:type="dxa"/>
            <w:vAlign w:val="center"/>
          </w:tcPr>
          <w:p w14:paraId="6B47064C" w14:textId="7BA2A465" w:rsidR="004C2312" w:rsidRPr="003239B8" w:rsidRDefault="00274BAC">
            <w:pPr>
              <w:jc w:val="both"/>
              <w:rPr>
                <w:rFonts w:ascii="Cambria" w:hAnsi="Cambria"/>
                <w:bCs/>
                <w:sz w:val="20"/>
                <w:szCs w:val="20"/>
                <w:lang w:val="es-ES"/>
              </w:rPr>
            </w:pPr>
            <w:r>
              <w:rPr>
                <w:rFonts w:ascii="Cambria" w:hAnsi="Cambria"/>
                <w:bCs/>
                <w:sz w:val="20"/>
                <w:szCs w:val="20"/>
                <w:lang w:val="es-ES"/>
              </w:rPr>
              <w:t>31 de agosto de 2022</w:t>
            </w:r>
          </w:p>
        </w:tc>
      </w:tr>
      <w:tr w:rsidR="001E49E7" w:rsidRPr="007B76D3" w14:paraId="0F2C6E3B" w14:textId="77777777" w:rsidTr="00394073">
        <w:tc>
          <w:tcPr>
            <w:tcW w:w="3600" w:type="dxa"/>
            <w:tcBorders>
              <w:top w:val="single" w:sz="6" w:space="0" w:color="auto"/>
              <w:bottom w:val="single" w:sz="6" w:space="0" w:color="auto"/>
            </w:tcBorders>
            <w:shd w:val="clear" w:color="auto" w:fill="386294"/>
            <w:vAlign w:val="center"/>
          </w:tcPr>
          <w:p w14:paraId="23F9FF77" w14:textId="77777777" w:rsidR="001E49E7" w:rsidRPr="003239B8" w:rsidRDefault="004A6A54" w:rsidP="00DD4AD2">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001E49E7" w:rsidRPr="003239B8">
              <w:rPr>
                <w:rFonts w:ascii="Cambria" w:hAnsi="Cambria"/>
                <w:b/>
                <w:bCs/>
                <w:color w:val="FFFFFF" w:themeColor="background1"/>
                <w:sz w:val="20"/>
                <w:szCs w:val="20"/>
                <w:lang w:val="es-ES"/>
              </w:rPr>
              <w:t>dvertencia sobre posible archivo:</w:t>
            </w:r>
          </w:p>
        </w:tc>
        <w:tc>
          <w:tcPr>
            <w:tcW w:w="5647" w:type="dxa"/>
            <w:vAlign w:val="center"/>
          </w:tcPr>
          <w:p w14:paraId="48CA2CFB" w14:textId="088363F4" w:rsidR="001E49E7" w:rsidRPr="003239B8" w:rsidRDefault="0085466E">
            <w:pPr>
              <w:jc w:val="both"/>
              <w:rPr>
                <w:rFonts w:ascii="Cambria" w:hAnsi="Cambria"/>
                <w:bCs/>
                <w:sz w:val="20"/>
                <w:szCs w:val="20"/>
                <w:lang w:val="es-ES"/>
              </w:rPr>
            </w:pPr>
            <w:r>
              <w:rPr>
                <w:rFonts w:ascii="Cambria" w:hAnsi="Cambria"/>
                <w:bCs/>
                <w:sz w:val="20"/>
                <w:szCs w:val="20"/>
                <w:lang w:val="es-ES"/>
              </w:rPr>
              <w:t>7 de diciembre de 2020</w:t>
            </w:r>
          </w:p>
        </w:tc>
      </w:tr>
      <w:tr w:rsidR="001E49E7" w:rsidRPr="00652675" w14:paraId="1EC61DBE" w14:textId="77777777" w:rsidTr="00394073">
        <w:tc>
          <w:tcPr>
            <w:tcW w:w="3600" w:type="dxa"/>
            <w:tcBorders>
              <w:top w:val="single" w:sz="6" w:space="0" w:color="auto"/>
              <w:bottom w:val="single" w:sz="6" w:space="0" w:color="auto"/>
            </w:tcBorders>
            <w:shd w:val="clear" w:color="auto" w:fill="386294"/>
            <w:vAlign w:val="center"/>
          </w:tcPr>
          <w:p w14:paraId="368D8721" w14:textId="77777777" w:rsidR="001E49E7"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001E49E7" w:rsidRPr="003239B8">
              <w:rPr>
                <w:rFonts w:ascii="Cambria" w:hAnsi="Cambria"/>
                <w:b/>
                <w:bCs/>
                <w:color w:val="FFFFFF" w:themeColor="background1"/>
                <w:sz w:val="20"/>
                <w:szCs w:val="20"/>
                <w:lang w:val="es-ES"/>
              </w:rPr>
              <w:t xml:space="preserve">espuesta de la parte peticionaria ante advertencia </w:t>
            </w:r>
            <w:r w:rsidR="00DD4AD2">
              <w:rPr>
                <w:rFonts w:ascii="Cambria" w:hAnsi="Cambria"/>
                <w:b/>
                <w:bCs/>
                <w:color w:val="FFFFFF" w:themeColor="background1"/>
                <w:sz w:val="20"/>
                <w:szCs w:val="20"/>
                <w:lang w:val="es-ES"/>
              </w:rPr>
              <w:t xml:space="preserve">de </w:t>
            </w:r>
            <w:r w:rsidR="001E49E7" w:rsidRPr="003239B8">
              <w:rPr>
                <w:rFonts w:ascii="Cambria" w:hAnsi="Cambria"/>
                <w:b/>
                <w:bCs/>
                <w:color w:val="FFFFFF" w:themeColor="background1"/>
                <w:sz w:val="20"/>
                <w:szCs w:val="20"/>
                <w:lang w:val="es-ES"/>
              </w:rPr>
              <w:t>posible archivo:</w:t>
            </w:r>
          </w:p>
        </w:tc>
        <w:tc>
          <w:tcPr>
            <w:tcW w:w="5647" w:type="dxa"/>
            <w:vAlign w:val="center"/>
          </w:tcPr>
          <w:p w14:paraId="6E85D194" w14:textId="43BBFDD6" w:rsidR="001E49E7" w:rsidRPr="003239B8" w:rsidRDefault="00AC1544">
            <w:pPr>
              <w:jc w:val="both"/>
              <w:rPr>
                <w:rFonts w:ascii="Cambria" w:hAnsi="Cambria"/>
                <w:bCs/>
                <w:sz w:val="20"/>
                <w:szCs w:val="20"/>
                <w:lang w:val="es-ES"/>
              </w:rPr>
            </w:pPr>
            <w:r>
              <w:rPr>
                <w:rFonts w:ascii="Cambria" w:hAnsi="Cambria"/>
                <w:bCs/>
                <w:sz w:val="20"/>
                <w:szCs w:val="20"/>
                <w:lang w:val="es-ES"/>
              </w:rPr>
              <w:t>7 de junio de 2021</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31DC2545" w:rsidR="003239B8" w:rsidRPr="00B3745F" w:rsidRDefault="001050F2">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6A1A7E2F" w:rsidR="003239B8" w:rsidRPr="00B3745F" w:rsidRDefault="00E917C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4A3089D6" w:rsidR="003239B8" w:rsidRPr="00B3745F" w:rsidRDefault="00E917C0">
            <w:pPr>
              <w:rPr>
                <w:rFonts w:ascii="Cambria" w:hAnsi="Cambria"/>
                <w:bCs/>
                <w:sz w:val="20"/>
                <w:szCs w:val="20"/>
              </w:rPr>
            </w:pPr>
            <w:r>
              <w:rPr>
                <w:rFonts w:ascii="Cambria" w:hAnsi="Cambria"/>
                <w:bCs/>
                <w:sz w:val="20"/>
                <w:szCs w:val="20"/>
              </w:rPr>
              <w:t>Sí</w:t>
            </w:r>
          </w:p>
        </w:tc>
      </w:tr>
      <w:tr w:rsidR="003239B8" w:rsidRPr="0066409E"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63CD0AB9" w:rsidR="003239B8" w:rsidRPr="00B3745F" w:rsidRDefault="00850206">
            <w:pPr>
              <w:jc w:val="both"/>
              <w:rPr>
                <w:rFonts w:ascii="Cambria" w:hAnsi="Cambria"/>
                <w:bCs/>
                <w:sz w:val="20"/>
                <w:szCs w:val="20"/>
                <w:lang w:val="es-ES"/>
              </w:rPr>
            </w:pPr>
            <w:r w:rsidRPr="004F6FF8">
              <w:rPr>
                <w:rFonts w:ascii="Cambria" w:hAnsi="Cambria"/>
                <w:bCs/>
                <w:sz w:val="20"/>
                <w:szCs w:val="20"/>
                <w:lang w:val="es-419"/>
              </w:rPr>
              <w:t>Sí, la Convención Americana (depósito de instrumento realizado el 31 de julio de 1973)</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2"/>
        <w:gridCol w:w="5680"/>
      </w:tblGrid>
      <w:tr w:rsidR="00EE00E9" w:rsidRPr="00652675"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010503E8" w:rsidR="00EE00E9" w:rsidRPr="00DC24E3" w:rsidRDefault="00F9631E">
            <w:pPr>
              <w:jc w:val="both"/>
              <w:rPr>
                <w:rFonts w:ascii="Cambria" w:hAnsi="Cambria"/>
                <w:bCs/>
                <w:sz w:val="20"/>
                <w:szCs w:val="20"/>
                <w:lang w:val="es-ES"/>
              </w:rPr>
            </w:pPr>
            <w:r>
              <w:rPr>
                <w:rFonts w:ascii="Cambria" w:hAnsi="Cambria"/>
                <w:bCs/>
                <w:sz w:val="20"/>
                <w:szCs w:val="20"/>
                <w:lang w:val="es-ES"/>
              </w:rPr>
              <w:t>No</w:t>
            </w:r>
          </w:p>
        </w:tc>
      </w:tr>
      <w:tr w:rsidR="003239B8" w:rsidRPr="0066409E"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601D136E" w:rsidR="003239B8" w:rsidRPr="00427197" w:rsidRDefault="00427197">
            <w:pPr>
              <w:jc w:val="both"/>
              <w:rPr>
                <w:rFonts w:ascii="Cambria" w:hAnsi="Cambria"/>
                <w:bCs/>
                <w:sz w:val="20"/>
                <w:szCs w:val="20"/>
                <w:lang w:val="es-CO"/>
              </w:rPr>
            </w:pPr>
            <w:r w:rsidRPr="00427197">
              <w:rPr>
                <w:rFonts w:ascii="Cambria" w:hAnsi="Cambria"/>
                <w:bCs/>
                <w:sz w:val="20"/>
                <w:szCs w:val="20"/>
                <w:lang w:val="es-CO"/>
              </w:rPr>
              <w:t>Artículos 3 (reconocimiento de la p</w:t>
            </w:r>
            <w:r>
              <w:rPr>
                <w:rFonts w:ascii="Cambria" w:hAnsi="Cambria"/>
                <w:bCs/>
                <w:sz w:val="20"/>
                <w:szCs w:val="20"/>
                <w:lang w:val="es-CO"/>
              </w:rPr>
              <w:t xml:space="preserve">ersonalidad jurídica), 4 (vida), </w:t>
            </w:r>
            <w:r w:rsidR="00AF5419" w:rsidRPr="002C6FBF">
              <w:rPr>
                <w:rFonts w:ascii="Cambria" w:hAnsi="Cambria"/>
                <w:bCs/>
                <w:sz w:val="20"/>
                <w:szCs w:val="20"/>
                <w:lang w:val="es-CO"/>
              </w:rPr>
              <w:t xml:space="preserve">8 </w:t>
            </w:r>
            <w:r w:rsidR="00AF5419">
              <w:rPr>
                <w:rFonts w:ascii="Cambria" w:hAnsi="Cambria"/>
                <w:bCs/>
                <w:sz w:val="20"/>
                <w:szCs w:val="20"/>
                <w:lang w:val="es-CO"/>
              </w:rPr>
              <w:t>(garantías judiciales) y 25 (protección judicial) de la Convención Americana en relación con su artículo 1.1 (obligación de respetar los derechos)</w:t>
            </w:r>
          </w:p>
        </w:tc>
      </w:tr>
      <w:tr w:rsidR="003239B8" w:rsidRPr="00652675"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6F84FA01" w:rsidR="003239B8" w:rsidRPr="00DC24E3" w:rsidRDefault="00AF5419">
            <w:pPr>
              <w:rPr>
                <w:rFonts w:ascii="Cambria" w:hAnsi="Cambria"/>
                <w:bCs/>
                <w:sz w:val="20"/>
                <w:szCs w:val="20"/>
                <w:lang w:val="es-ES"/>
              </w:rPr>
            </w:pPr>
            <w:r>
              <w:rPr>
                <w:rFonts w:ascii="Cambria" w:hAnsi="Cambria"/>
                <w:bCs/>
                <w:sz w:val="20"/>
                <w:szCs w:val="20"/>
                <w:lang w:val="es-ES"/>
              </w:rPr>
              <w:t>Sí</w:t>
            </w:r>
          </w:p>
        </w:tc>
      </w:tr>
      <w:tr w:rsidR="003239B8" w:rsidRPr="0066409E"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7720ECF1" w:rsidR="003239B8" w:rsidRPr="00AF5419" w:rsidRDefault="00AF5419">
            <w:pPr>
              <w:rPr>
                <w:rFonts w:ascii="Cambria" w:hAnsi="Cambria"/>
                <w:bCs/>
                <w:sz w:val="20"/>
                <w:szCs w:val="20"/>
                <w:lang w:val="es-CO"/>
              </w:rPr>
            </w:pPr>
            <w:r w:rsidRPr="00AF5419">
              <w:rPr>
                <w:rFonts w:ascii="Cambria" w:hAnsi="Cambria"/>
                <w:bCs/>
                <w:sz w:val="20"/>
                <w:szCs w:val="20"/>
                <w:lang w:val="es-CO"/>
              </w:rPr>
              <w:t>Sí, el 20 de mayo d</w:t>
            </w:r>
            <w:r>
              <w:rPr>
                <w:rFonts w:ascii="Cambria" w:hAnsi="Cambria"/>
                <w:bCs/>
                <w:sz w:val="20"/>
                <w:szCs w:val="20"/>
                <w:lang w:val="es-CO"/>
              </w:rPr>
              <w:t>e 2015</w:t>
            </w:r>
          </w:p>
        </w:tc>
      </w:tr>
    </w:tbl>
    <w:p w14:paraId="4344FF25" w14:textId="77777777" w:rsidR="004046C3" w:rsidRDefault="004046C3" w:rsidP="003239B8">
      <w:pPr>
        <w:spacing w:before="240" w:after="240"/>
        <w:ind w:firstLine="720"/>
        <w:jc w:val="both"/>
        <w:rPr>
          <w:rFonts w:asciiTheme="majorHAnsi" w:hAnsiTheme="majorHAnsi"/>
          <w:b/>
          <w:sz w:val="20"/>
          <w:szCs w:val="20"/>
          <w:lang w:val="es-UY"/>
        </w:rPr>
      </w:pPr>
    </w:p>
    <w:p w14:paraId="56FD5D57" w14:textId="2189EC8F" w:rsidR="003239B8" w:rsidRDefault="00223A29" w:rsidP="00142ED1">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lastRenderedPageBreak/>
        <w:t xml:space="preserve">V. </w:t>
      </w:r>
      <w:r>
        <w:rPr>
          <w:rFonts w:asciiTheme="majorHAnsi" w:hAnsiTheme="majorHAnsi"/>
          <w:b/>
          <w:sz w:val="20"/>
          <w:szCs w:val="20"/>
          <w:lang w:val="es-UY"/>
        </w:rPr>
        <w:tab/>
      </w:r>
      <w:r w:rsidR="004241A0">
        <w:rPr>
          <w:rFonts w:asciiTheme="majorHAnsi" w:hAnsiTheme="majorHAnsi"/>
          <w:b/>
          <w:sz w:val="20"/>
          <w:szCs w:val="20"/>
          <w:lang w:val="es-UY"/>
        </w:rPr>
        <w:t>POSICIÓN DE LAS PARTES</w:t>
      </w:r>
      <w:r w:rsidR="003239B8">
        <w:rPr>
          <w:rFonts w:asciiTheme="majorHAnsi" w:hAnsiTheme="majorHAnsi"/>
          <w:b/>
          <w:sz w:val="20"/>
          <w:szCs w:val="20"/>
          <w:lang w:val="es-UY"/>
        </w:rPr>
        <w:t xml:space="preserve"> </w:t>
      </w:r>
    </w:p>
    <w:p w14:paraId="6901F992" w14:textId="2868F9D8" w:rsidR="0008158C" w:rsidRPr="00125980" w:rsidRDefault="00125980" w:rsidP="00142ED1">
      <w:pPr>
        <w:pStyle w:val="ListParagraph"/>
        <w:numPr>
          <w:ilvl w:val="0"/>
          <w:numId w:val="0"/>
        </w:numPr>
        <w:ind w:left="720"/>
        <w:jc w:val="both"/>
        <w:rPr>
          <w:rFonts w:asciiTheme="majorHAnsi" w:hAnsiTheme="majorHAnsi"/>
          <w:b/>
          <w:sz w:val="20"/>
          <w:szCs w:val="20"/>
          <w:lang w:val="es-UY"/>
        </w:rPr>
      </w:pPr>
      <w:r>
        <w:rPr>
          <w:rFonts w:asciiTheme="majorHAnsi" w:hAnsiTheme="majorHAnsi"/>
          <w:b/>
          <w:sz w:val="20"/>
          <w:szCs w:val="20"/>
          <w:lang w:val="es-UY"/>
        </w:rPr>
        <w:t>La p</w:t>
      </w:r>
      <w:r w:rsidR="0008158C" w:rsidRPr="00125980">
        <w:rPr>
          <w:rFonts w:asciiTheme="majorHAnsi" w:hAnsiTheme="majorHAnsi"/>
          <w:b/>
          <w:sz w:val="20"/>
          <w:szCs w:val="20"/>
          <w:lang w:val="es-UY"/>
        </w:rPr>
        <w:t>arte peticionaria</w:t>
      </w:r>
    </w:p>
    <w:p w14:paraId="53BD3EF6" w14:textId="7FF3114A" w:rsidR="006E621A" w:rsidRPr="006E621A" w:rsidRDefault="0057276B" w:rsidP="00142ED1">
      <w:pPr>
        <w:pStyle w:val="ListParagraph"/>
        <w:numPr>
          <w:ilvl w:val="0"/>
          <w:numId w:val="61"/>
        </w:numPr>
        <w:ind w:left="0" w:firstLine="720"/>
        <w:jc w:val="both"/>
        <w:rPr>
          <w:rFonts w:asciiTheme="majorHAnsi" w:hAnsiTheme="majorHAnsi"/>
          <w:bCs/>
          <w:sz w:val="20"/>
          <w:szCs w:val="20"/>
          <w:lang w:val="es-UY"/>
        </w:rPr>
      </w:pPr>
      <w:r>
        <w:rPr>
          <w:sz w:val="20"/>
          <w:szCs w:val="20"/>
          <w:lang w:val="es-AR"/>
        </w:rPr>
        <w:t xml:space="preserve">La parte peticionaria </w:t>
      </w:r>
      <w:r w:rsidR="009C114D">
        <w:rPr>
          <w:sz w:val="20"/>
          <w:szCs w:val="20"/>
          <w:lang w:val="es-AR"/>
        </w:rPr>
        <w:t>alega la responsabilidad del Estado por el asesinato del teniente Francisco Antonio Molina Guerrero</w:t>
      </w:r>
      <w:r w:rsidR="00513C64">
        <w:rPr>
          <w:sz w:val="20"/>
          <w:szCs w:val="20"/>
          <w:lang w:val="es-AR"/>
        </w:rPr>
        <w:t xml:space="preserve"> (en adelante “el teniente Molina Guerrero” o “la presunta víctima”)</w:t>
      </w:r>
      <w:r w:rsidR="009C114D">
        <w:rPr>
          <w:sz w:val="20"/>
          <w:szCs w:val="20"/>
          <w:lang w:val="es-AR"/>
        </w:rPr>
        <w:t xml:space="preserve">, dado que </w:t>
      </w:r>
      <w:r w:rsidR="00875811">
        <w:rPr>
          <w:sz w:val="20"/>
          <w:szCs w:val="20"/>
          <w:lang w:val="es-AR"/>
        </w:rPr>
        <w:t xml:space="preserve">soldados del ejército </w:t>
      </w:r>
      <w:r w:rsidR="009C114D">
        <w:rPr>
          <w:sz w:val="20"/>
          <w:szCs w:val="20"/>
          <w:lang w:val="es-AR"/>
        </w:rPr>
        <w:t xml:space="preserve">habrían planeado </w:t>
      </w:r>
      <w:r w:rsidR="00E93F82">
        <w:rPr>
          <w:sz w:val="20"/>
          <w:szCs w:val="20"/>
          <w:lang w:val="es-AR"/>
        </w:rPr>
        <w:t xml:space="preserve">el crimen </w:t>
      </w:r>
      <w:r w:rsidR="009C114D">
        <w:rPr>
          <w:sz w:val="20"/>
          <w:szCs w:val="20"/>
          <w:lang w:val="es-AR"/>
        </w:rPr>
        <w:t xml:space="preserve">y </w:t>
      </w:r>
      <w:r w:rsidR="00694E36">
        <w:rPr>
          <w:sz w:val="20"/>
          <w:szCs w:val="20"/>
          <w:lang w:val="es-AR"/>
        </w:rPr>
        <w:t>denuncia la impunidad que rodea el caso.</w:t>
      </w:r>
    </w:p>
    <w:p w14:paraId="7CFB56BF" w14:textId="11848BC5" w:rsidR="006E621A" w:rsidRPr="00973A16" w:rsidRDefault="00064E9E" w:rsidP="00142ED1">
      <w:pPr>
        <w:pStyle w:val="ListParagraph"/>
        <w:numPr>
          <w:ilvl w:val="0"/>
          <w:numId w:val="61"/>
        </w:numPr>
        <w:ind w:left="0" w:firstLine="720"/>
        <w:jc w:val="both"/>
        <w:rPr>
          <w:rFonts w:asciiTheme="majorHAnsi" w:hAnsiTheme="majorHAnsi"/>
          <w:bCs/>
          <w:sz w:val="20"/>
          <w:szCs w:val="20"/>
          <w:lang w:val="es-UY"/>
        </w:rPr>
      </w:pPr>
      <w:r>
        <w:rPr>
          <w:sz w:val="20"/>
          <w:szCs w:val="20"/>
          <w:lang w:val="es-AR"/>
        </w:rPr>
        <w:t>A m</w:t>
      </w:r>
      <w:r w:rsidR="00DE0726">
        <w:rPr>
          <w:sz w:val="20"/>
          <w:szCs w:val="20"/>
          <w:lang w:val="es-AR"/>
        </w:rPr>
        <w:t>odo</w:t>
      </w:r>
      <w:r>
        <w:rPr>
          <w:sz w:val="20"/>
          <w:szCs w:val="20"/>
          <w:lang w:val="es-AR"/>
        </w:rPr>
        <w:t xml:space="preserve"> de contexto, la parte peticionaria expone que</w:t>
      </w:r>
      <w:r w:rsidR="00667EAD">
        <w:rPr>
          <w:sz w:val="20"/>
          <w:szCs w:val="20"/>
          <w:lang w:val="es-AR"/>
        </w:rPr>
        <w:t xml:space="preserve"> ha existido una </w:t>
      </w:r>
      <w:r w:rsidR="00381F34">
        <w:rPr>
          <w:sz w:val="20"/>
          <w:szCs w:val="20"/>
          <w:lang w:val="es-AR"/>
        </w:rPr>
        <w:t>articulación histórica entre la fuerza pública y las estructuras narco</w:t>
      </w:r>
      <w:r w:rsidR="00CE19EE">
        <w:rPr>
          <w:sz w:val="20"/>
          <w:szCs w:val="20"/>
          <w:lang w:val="es-AR"/>
        </w:rPr>
        <w:t xml:space="preserve">-paramilitares, particularmente en el departamento de Norte de Santander </w:t>
      </w:r>
      <w:r w:rsidR="00CD76ED">
        <w:rPr>
          <w:sz w:val="20"/>
          <w:szCs w:val="20"/>
          <w:lang w:val="es-AR"/>
        </w:rPr>
        <w:t>protagon</w:t>
      </w:r>
      <w:r w:rsidR="00AB5176">
        <w:rPr>
          <w:sz w:val="20"/>
          <w:szCs w:val="20"/>
          <w:lang w:val="es-AR"/>
        </w:rPr>
        <w:t>i</w:t>
      </w:r>
      <w:r w:rsidR="00CD76ED">
        <w:rPr>
          <w:sz w:val="20"/>
          <w:szCs w:val="20"/>
          <w:lang w:val="es-AR"/>
        </w:rPr>
        <w:t>zada</w:t>
      </w:r>
      <w:r w:rsidR="00CE19EE">
        <w:rPr>
          <w:sz w:val="20"/>
          <w:szCs w:val="20"/>
          <w:lang w:val="es-AR"/>
        </w:rPr>
        <w:t xml:space="preserve"> por el </w:t>
      </w:r>
      <w:r w:rsidR="00541EC9">
        <w:rPr>
          <w:sz w:val="20"/>
          <w:szCs w:val="20"/>
          <w:lang w:val="es-AR"/>
        </w:rPr>
        <w:t>G</w:t>
      </w:r>
      <w:r w:rsidR="00CE19EE">
        <w:rPr>
          <w:sz w:val="20"/>
          <w:szCs w:val="20"/>
          <w:lang w:val="es-AR"/>
        </w:rPr>
        <w:t xml:space="preserve">rupo de </w:t>
      </w:r>
      <w:r w:rsidR="00541EC9">
        <w:rPr>
          <w:sz w:val="20"/>
          <w:szCs w:val="20"/>
          <w:lang w:val="es-AR"/>
        </w:rPr>
        <w:t>C</w:t>
      </w:r>
      <w:r w:rsidR="00CE19EE">
        <w:rPr>
          <w:sz w:val="20"/>
          <w:szCs w:val="20"/>
          <w:lang w:val="es-AR"/>
        </w:rPr>
        <w:t xml:space="preserve">aballería </w:t>
      </w:r>
      <w:r w:rsidR="00541EC9">
        <w:rPr>
          <w:sz w:val="20"/>
          <w:szCs w:val="20"/>
          <w:lang w:val="es-AR"/>
        </w:rPr>
        <w:t>M</w:t>
      </w:r>
      <w:r w:rsidR="00CE19EE">
        <w:rPr>
          <w:sz w:val="20"/>
          <w:szCs w:val="20"/>
          <w:lang w:val="es-AR"/>
        </w:rPr>
        <w:t>ecanizado número 5 “Hé</w:t>
      </w:r>
      <w:r w:rsidR="00C309A2">
        <w:rPr>
          <w:sz w:val="20"/>
          <w:szCs w:val="20"/>
          <w:lang w:val="es-AR"/>
        </w:rPr>
        <w:t>rmogenes Maza”.</w:t>
      </w:r>
      <w:r w:rsidR="00AB5176">
        <w:rPr>
          <w:sz w:val="20"/>
          <w:szCs w:val="20"/>
          <w:lang w:val="es-AR"/>
        </w:rPr>
        <w:t xml:space="preserve"> Sostiene que esta vinculación obedec</w:t>
      </w:r>
      <w:r w:rsidR="0031316F">
        <w:rPr>
          <w:sz w:val="20"/>
          <w:szCs w:val="20"/>
          <w:lang w:val="es-AR"/>
        </w:rPr>
        <w:t>e</w:t>
      </w:r>
      <w:r w:rsidR="00AB5176">
        <w:rPr>
          <w:sz w:val="20"/>
          <w:szCs w:val="20"/>
          <w:lang w:val="es-AR"/>
        </w:rPr>
        <w:t xml:space="preserve"> a una política institucional</w:t>
      </w:r>
      <w:r w:rsidR="0031316F">
        <w:rPr>
          <w:sz w:val="20"/>
          <w:szCs w:val="20"/>
          <w:lang w:val="es-AR"/>
        </w:rPr>
        <w:t xml:space="preserve"> y no </w:t>
      </w:r>
      <w:r w:rsidR="004046C3">
        <w:rPr>
          <w:sz w:val="20"/>
          <w:szCs w:val="20"/>
          <w:lang w:val="es-AR"/>
        </w:rPr>
        <w:t>a</w:t>
      </w:r>
      <w:r w:rsidR="0031316F">
        <w:rPr>
          <w:sz w:val="20"/>
          <w:szCs w:val="20"/>
          <w:lang w:val="es-AR"/>
        </w:rPr>
        <w:t xml:space="preserve"> actos aislados.</w:t>
      </w:r>
      <w:r w:rsidR="00EB0001">
        <w:rPr>
          <w:sz w:val="20"/>
          <w:szCs w:val="20"/>
          <w:lang w:val="es-AR"/>
        </w:rPr>
        <w:t xml:space="preserve"> </w:t>
      </w:r>
      <w:r w:rsidR="004046C3">
        <w:rPr>
          <w:sz w:val="20"/>
          <w:szCs w:val="20"/>
          <w:lang w:val="es-AR"/>
        </w:rPr>
        <w:t>En este contexto</w:t>
      </w:r>
      <w:r w:rsidR="009D2702">
        <w:rPr>
          <w:sz w:val="20"/>
          <w:szCs w:val="20"/>
          <w:lang w:val="es-AR"/>
        </w:rPr>
        <w:t xml:space="preserve">, </w:t>
      </w:r>
      <w:r w:rsidR="004046C3">
        <w:rPr>
          <w:sz w:val="20"/>
          <w:szCs w:val="20"/>
          <w:lang w:val="es-AR"/>
        </w:rPr>
        <w:t>a</w:t>
      </w:r>
      <w:r w:rsidR="009D2702">
        <w:rPr>
          <w:sz w:val="20"/>
          <w:szCs w:val="20"/>
          <w:lang w:val="es-AR"/>
        </w:rPr>
        <w:t xml:space="preserve"> inicios de 1995,</w:t>
      </w:r>
      <w:r w:rsidR="00EB0001">
        <w:rPr>
          <w:sz w:val="20"/>
          <w:szCs w:val="20"/>
          <w:lang w:val="es-AR"/>
        </w:rPr>
        <w:t xml:space="preserve"> </w:t>
      </w:r>
      <w:r w:rsidR="00DC3FF5">
        <w:rPr>
          <w:sz w:val="20"/>
          <w:szCs w:val="20"/>
          <w:lang w:val="es-AR"/>
        </w:rPr>
        <w:t xml:space="preserve">el </w:t>
      </w:r>
      <w:r w:rsidR="00CD3322">
        <w:rPr>
          <w:sz w:val="20"/>
          <w:szCs w:val="20"/>
          <w:lang w:val="es-AR"/>
        </w:rPr>
        <w:t>teniente</w:t>
      </w:r>
      <w:r w:rsidR="00DC3FF5">
        <w:rPr>
          <w:sz w:val="20"/>
          <w:szCs w:val="20"/>
          <w:lang w:val="es-AR"/>
        </w:rPr>
        <w:t xml:space="preserve"> Molina Guerrero </w:t>
      </w:r>
      <w:r w:rsidR="00F658DB">
        <w:rPr>
          <w:sz w:val="20"/>
          <w:szCs w:val="20"/>
          <w:lang w:val="es-AR"/>
        </w:rPr>
        <w:t xml:space="preserve">prestaba sus servicios en </w:t>
      </w:r>
      <w:r w:rsidR="00CD3322">
        <w:rPr>
          <w:sz w:val="20"/>
          <w:szCs w:val="20"/>
          <w:lang w:val="es-AR"/>
        </w:rPr>
        <w:t>el Grupo de Caballería Mecanizado No. 5 en la ciudad de San José de Cúcuta</w:t>
      </w:r>
      <w:r w:rsidR="009D2702">
        <w:rPr>
          <w:sz w:val="20"/>
          <w:szCs w:val="20"/>
          <w:lang w:val="es-AR"/>
        </w:rPr>
        <w:t>, y</w:t>
      </w:r>
      <w:r w:rsidR="00BB7EA1">
        <w:rPr>
          <w:sz w:val="20"/>
          <w:szCs w:val="20"/>
          <w:lang w:val="es-AR"/>
        </w:rPr>
        <w:t xml:space="preserve"> realizaba una investigación sobre los vínculos del Grupo CAES o S2 de dicha unidad con </w:t>
      </w:r>
      <w:r w:rsidR="006A00B1">
        <w:rPr>
          <w:sz w:val="20"/>
          <w:szCs w:val="20"/>
          <w:lang w:val="es-AR"/>
        </w:rPr>
        <w:t>un reconocido narcotraficante de la ciudad</w:t>
      </w:r>
      <w:r w:rsidR="0093099A">
        <w:rPr>
          <w:sz w:val="20"/>
          <w:szCs w:val="20"/>
          <w:lang w:val="es-AR"/>
        </w:rPr>
        <w:t>, alias Pap</w:t>
      </w:r>
      <w:r w:rsidR="00973A16">
        <w:rPr>
          <w:sz w:val="20"/>
          <w:szCs w:val="20"/>
          <w:lang w:val="es-AR"/>
        </w:rPr>
        <w:t>o</w:t>
      </w:r>
      <w:r w:rsidR="006A00B1">
        <w:rPr>
          <w:sz w:val="20"/>
          <w:szCs w:val="20"/>
          <w:lang w:val="es-AR"/>
        </w:rPr>
        <w:t>.</w:t>
      </w:r>
      <w:r w:rsidR="00AB293E">
        <w:rPr>
          <w:sz w:val="20"/>
          <w:szCs w:val="20"/>
          <w:lang w:val="es-AR"/>
        </w:rPr>
        <w:t xml:space="preserve"> </w:t>
      </w:r>
      <w:r w:rsidR="004046C3">
        <w:rPr>
          <w:sz w:val="20"/>
          <w:szCs w:val="20"/>
          <w:lang w:val="es-AR"/>
        </w:rPr>
        <w:t>D</w:t>
      </w:r>
      <w:r w:rsidR="00ED16E3">
        <w:rPr>
          <w:sz w:val="20"/>
          <w:szCs w:val="20"/>
          <w:lang w:val="es-AR"/>
        </w:rPr>
        <w:t xml:space="preserve">icha investigación habría sido </w:t>
      </w:r>
      <w:r w:rsidR="00D95AA9">
        <w:rPr>
          <w:sz w:val="20"/>
          <w:szCs w:val="20"/>
          <w:lang w:val="es-AR"/>
        </w:rPr>
        <w:t xml:space="preserve">ordenada por el comandante del Batallón, pero luego harían parecer que el teniente la </w:t>
      </w:r>
      <w:r w:rsidR="00460138">
        <w:rPr>
          <w:sz w:val="20"/>
          <w:szCs w:val="20"/>
          <w:lang w:val="es-AR"/>
        </w:rPr>
        <w:t>ejecutó por iniciativa propia.</w:t>
      </w:r>
    </w:p>
    <w:p w14:paraId="5E17B9CD" w14:textId="3ACD57E8" w:rsidR="001E57A8" w:rsidRPr="00142ED1" w:rsidRDefault="004046C3" w:rsidP="00142ED1">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La parte peticionaria r</w:t>
      </w:r>
      <w:r w:rsidR="00C05A13" w:rsidRPr="007A3158">
        <w:rPr>
          <w:rFonts w:asciiTheme="majorHAnsi" w:hAnsiTheme="majorHAnsi"/>
          <w:bCs/>
          <w:sz w:val="20"/>
          <w:szCs w:val="20"/>
          <w:lang w:val="es-UY"/>
        </w:rPr>
        <w:t>elata que</w:t>
      </w:r>
      <w:r w:rsidR="00003EA8" w:rsidRPr="007A3158">
        <w:rPr>
          <w:rFonts w:asciiTheme="majorHAnsi" w:hAnsiTheme="majorHAnsi"/>
          <w:bCs/>
          <w:sz w:val="20"/>
          <w:szCs w:val="20"/>
          <w:lang w:val="es-UY"/>
        </w:rPr>
        <w:t xml:space="preserve"> </w:t>
      </w:r>
      <w:r w:rsidR="00C05A13" w:rsidRPr="007A3158">
        <w:rPr>
          <w:rFonts w:asciiTheme="majorHAnsi" w:hAnsiTheme="majorHAnsi"/>
          <w:bCs/>
          <w:sz w:val="20"/>
          <w:szCs w:val="20"/>
          <w:lang w:val="es-UY"/>
        </w:rPr>
        <w:t xml:space="preserve">el 14 de marzo de 1995 </w:t>
      </w:r>
      <w:r w:rsidR="00003EA8" w:rsidRPr="007A3158">
        <w:rPr>
          <w:rFonts w:asciiTheme="majorHAnsi" w:hAnsiTheme="majorHAnsi"/>
          <w:bCs/>
          <w:sz w:val="20"/>
          <w:szCs w:val="20"/>
          <w:lang w:val="es-UY"/>
        </w:rPr>
        <w:t xml:space="preserve">la presunta víctima informó por teléfono a su madre que estaría teniendo graves problemas al interior del Grupo “Maza”, por lo cual le habían negado un permiso solicitado para ir a Bogotá a visitar a su familia. </w:t>
      </w:r>
      <w:r>
        <w:rPr>
          <w:rFonts w:asciiTheme="majorHAnsi" w:hAnsiTheme="majorHAnsi"/>
          <w:bCs/>
          <w:sz w:val="20"/>
          <w:szCs w:val="20"/>
          <w:lang w:val="es-UY"/>
        </w:rPr>
        <w:t>E</w:t>
      </w:r>
      <w:r w:rsidR="00003EA8" w:rsidRPr="007A3158">
        <w:rPr>
          <w:rFonts w:asciiTheme="majorHAnsi" w:hAnsiTheme="majorHAnsi"/>
          <w:bCs/>
          <w:sz w:val="20"/>
          <w:szCs w:val="20"/>
          <w:lang w:val="es-UY"/>
        </w:rPr>
        <w:t xml:space="preserve">sa misma noche, en desarrollo de la investigación, </w:t>
      </w:r>
      <w:r w:rsidR="00912761" w:rsidRPr="007A3158">
        <w:rPr>
          <w:rFonts w:asciiTheme="majorHAnsi" w:hAnsiTheme="majorHAnsi"/>
          <w:bCs/>
          <w:sz w:val="20"/>
          <w:szCs w:val="20"/>
          <w:lang w:val="es-UY"/>
        </w:rPr>
        <w:t xml:space="preserve">se </w:t>
      </w:r>
      <w:r w:rsidR="002D4F0A" w:rsidRPr="007A3158">
        <w:rPr>
          <w:rFonts w:asciiTheme="majorHAnsi" w:hAnsiTheme="majorHAnsi"/>
          <w:bCs/>
          <w:sz w:val="20"/>
          <w:szCs w:val="20"/>
          <w:lang w:val="es-UY"/>
        </w:rPr>
        <w:t>reuni</w:t>
      </w:r>
      <w:r w:rsidR="00912761" w:rsidRPr="007A3158">
        <w:rPr>
          <w:rFonts w:asciiTheme="majorHAnsi" w:hAnsiTheme="majorHAnsi"/>
          <w:bCs/>
          <w:sz w:val="20"/>
          <w:szCs w:val="20"/>
          <w:lang w:val="es-UY"/>
        </w:rPr>
        <w:t>ó</w:t>
      </w:r>
      <w:r w:rsidR="002D4F0A" w:rsidRPr="007A3158">
        <w:rPr>
          <w:rFonts w:asciiTheme="majorHAnsi" w:hAnsiTheme="majorHAnsi"/>
          <w:bCs/>
          <w:sz w:val="20"/>
          <w:szCs w:val="20"/>
          <w:lang w:val="es-UY"/>
        </w:rPr>
        <w:t xml:space="preserve"> en un bar </w:t>
      </w:r>
      <w:r w:rsidR="002D4F0A" w:rsidRPr="00142ED1">
        <w:rPr>
          <w:rFonts w:asciiTheme="majorHAnsi" w:hAnsiTheme="majorHAnsi"/>
          <w:bCs/>
          <w:sz w:val="20"/>
          <w:szCs w:val="20"/>
          <w:lang w:val="es-UY"/>
        </w:rPr>
        <w:t>con un</w:t>
      </w:r>
      <w:r w:rsidR="0090425C" w:rsidRPr="00142ED1">
        <w:rPr>
          <w:rFonts w:asciiTheme="majorHAnsi" w:hAnsiTheme="majorHAnsi"/>
          <w:bCs/>
          <w:sz w:val="20"/>
          <w:szCs w:val="20"/>
          <w:lang w:val="es-UY"/>
        </w:rPr>
        <w:t>a</w:t>
      </w:r>
      <w:r w:rsidR="002D4F0A" w:rsidRPr="00142ED1">
        <w:rPr>
          <w:rFonts w:asciiTheme="majorHAnsi" w:hAnsiTheme="majorHAnsi"/>
          <w:bCs/>
          <w:sz w:val="20"/>
          <w:szCs w:val="20"/>
          <w:lang w:val="es-UY"/>
        </w:rPr>
        <w:t xml:space="preserve"> informante de la organización criminal de alias Papo</w:t>
      </w:r>
      <w:r w:rsidR="00D37E45" w:rsidRPr="00142ED1">
        <w:rPr>
          <w:rFonts w:asciiTheme="majorHAnsi" w:hAnsiTheme="majorHAnsi"/>
          <w:bCs/>
          <w:sz w:val="20"/>
          <w:szCs w:val="20"/>
          <w:lang w:val="es-UY"/>
        </w:rPr>
        <w:t xml:space="preserve">, quien le suministró alucinógenos, </w:t>
      </w:r>
      <w:r w:rsidR="004A1BC9" w:rsidRPr="00142ED1">
        <w:rPr>
          <w:rFonts w:asciiTheme="majorHAnsi" w:hAnsiTheme="majorHAnsi"/>
          <w:bCs/>
          <w:sz w:val="20"/>
          <w:szCs w:val="20"/>
          <w:lang w:val="es-UY"/>
        </w:rPr>
        <w:t xml:space="preserve">y lo llevó en compañía de dos hombres </w:t>
      </w:r>
      <w:r w:rsidR="00186747" w:rsidRPr="00142ED1">
        <w:rPr>
          <w:rFonts w:asciiTheme="majorHAnsi" w:hAnsiTheme="majorHAnsi"/>
          <w:bCs/>
          <w:sz w:val="20"/>
          <w:szCs w:val="20"/>
          <w:lang w:val="es-UY"/>
        </w:rPr>
        <w:t>a un basurero a las afueras del municipio de El Zulia donde fue asesinado.</w:t>
      </w:r>
      <w:r w:rsidR="007A3158" w:rsidRPr="00142ED1">
        <w:rPr>
          <w:rFonts w:asciiTheme="majorHAnsi" w:hAnsiTheme="majorHAnsi"/>
          <w:bCs/>
          <w:sz w:val="20"/>
          <w:szCs w:val="20"/>
          <w:lang w:val="es-UY"/>
        </w:rPr>
        <w:t xml:space="preserve"> </w:t>
      </w:r>
      <w:r w:rsidR="001E57A8" w:rsidRPr="00142ED1">
        <w:rPr>
          <w:rFonts w:asciiTheme="majorHAnsi" w:hAnsiTheme="majorHAnsi"/>
          <w:bCs/>
          <w:sz w:val="20"/>
          <w:szCs w:val="20"/>
          <w:lang w:val="es-UY"/>
        </w:rPr>
        <w:t>La parte peticionaria destaca que</w:t>
      </w:r>
      <w:r w:rsidR="008B6AF4" w:rsidRPr="00142ED1">
        <w:rPr>
          <w:rFonts w:asciiTheme="majorHAnsi" w:hAnsiTheme="majorHAnsi"/>
          <w:bCs/>
          <w:sz w:val="20"/>
          <w:szCs w:val="20"/>
          <w:lang w:val="es-UY"/>
        </w:rPr>
        <w:t xml:space="preserve"> en el proceso penal se comprobó que fueron miembros del Grupo de Caballería Mecanizada quienes ordenaron el homicidio del </w:t>
      </w:r>
      <w:r w:rsidR="007A3158" w:rsidRPr="00142ED1">
        <w:rPr>
          <w:rFonts w:asciiTheme="majorHAnsi" w:hAnsiTheme="majorHAnsi"/>
          <w:bCs/>
          <w:sz w:val="20"/>
          <w:szCs w:val="20"/>
          <w:lang w:val="es-UY"/>
        </w:rPr>
        <w:t>teniente</w:t>
      </w:r>
      <w:r w:rsidR="008B6AF4" w:rsidRPr="00142ED1">
        <w:rPr>
          <w:rFonts w:asciiTheme="majorHAnsi" w:hAnsiTheme="majorHAnsi"/>
          <w:bCs/>
          <w:sz w:val="20"/>
          <w:szCs w:val="20"/>
          <w:lang w:val="es-UY"/>
        </w:rPr>
        <w:t xml:space="preserve"> Molina Guerrero</w:t>
      </w:r>
      <w:r w:rsidR="00E31045" w:rsidRPr="00142ED1">
        <w:rPr>
          <w:rFonts w:asciiTheme="majorHAnsi" w:hAnsiTheme="majorHAnsi"/>
          <w:bCs/>
          <w:sz w:val="20"/>
          <w:szCs w:val="20"/>
          <w:lang w:val="es-UY"/>
        </w:rPr>
        <w:t xml:space="preserve"> y contrataron a una banda criminal para </w:t>
      </w:r>
      <w:r w:rsidR="00D7783F" w:rsidRPr="00142ED1">
        <w:rPr>
          <w:rFonts w:asciiTheme="majorHAnsi" w:hAnsiTheme="majorHAnsi"/>
          <w:bCs/>
          <w:sz w:val="20"/>
          <w:szCs w:val="20"/>
          <w:lang w:val="es-UY"/>
        </w:rPr>
        <w:t>ejecuta</w:t>
      </w:r>
      <w:r w:rsidR="00E31045" w:rsidRPr="00142ED1">
        <w:rPr>
          <w:rFonts w:asciiTheme="majorHAnsi" w:hAnsiTheme="majorHAnsi"/>
          <w:bCs/>
          <w:sz w:val="20"/>
          <w:szCs w:val="20"/>
          <w:lang w:val="es-UY"/>
        </w:rPr>
        <w:t>rlo.</w:t>
      </w:r>
    </w:p>
    <w:p w14:paraId="4D2DB366" w14:textId="5CFAF023" w:rsidR="007A3158" w:rsidRDefault="00175523" w:rsidP="00142ED1">
      <w:pPr>
        <w:pStyle w:val="ListParagraph"/>
        <w:numPr>
          <w:ilvl w:val="0"/>
          <w:numId w:val="61"/>
        </w:numPr>
        <w:ind w:left="0" w:firstLine="720"/>
        <w:jc w:val="both"/>
        <w:rPr>
          <w:rFonts w:asciiTheme="majorHAnsi" w:hAnsiTheme="majorHAnsi"/>
          <w:bCs/>
          <w:sz w:val="20"/>
          <w:szCs w:val="20"/>
          <w:lang w:val="es-UY"/>
        </w:rPr>
      </w:pPr>
      <w:r w:rsidRPr="00142ED1">
        <w:rPr>
          <w:rFonts w:asciiTheme="majorHAnsi" w:hAnsiTheme="majorHAnsi"/>
          <w:bCs/>
          <w:sz w:val="20"/>
          <w:szCs w:val="20"/>
          <w:lang w:val="es-UY"/>
        </w:rPr>
        <w:t xml:space="preserve">Después de varios días sin saber de la presunta víctima, </w:t>
      </w:r>
      <w:r w:rsidR="00A441FC" w:rsidRPr="00142ED1">
        <w:rPr>
          <w:rFonts w:asciiTheme="majorHAnsi" w:hAnsiTheme="majorHAnsi"/>
          <w:bCs/>
          <w:sz w:val="20"/>
          <w:szCs w:val="20"/>
          <w:lang w:val="es-UY"/>
        </w:rPr>
        <w:t>l</w:t>
      </w:r>
      <w:r w:rsidR="004046C3" w:rsidRPr="00142ED1">
        <w:rPr>
          <w:rFonts w:asciiTheme="majorHAnsi" w:hAnsiTheme="majorHAnsi"/>
          <w:bCs/>
          <w:sz w:val="20"/>
          <w:szCs w:val="20"/>
          <w:lang w:val="es-UY"/>
        </w:rPr>
        <w:t>os peticionarios sostienen</w:t>
      </w:r>
      <w:r w:rsidR="007A3158" w:rsidRPr="00142ED1">
        <w:rPr>
          <w:rFonts w:asciiTheme="majorHAnsi" w:hAnsiTheme="majorHAnsi"/>
          <w:bCs/>
          <w:sz w:val="20"/>
          <w:szCs w:val="20"/>
          <w:lang w:val="es-UY"/>
        </w:rPr>
        <w:t xml:space="preserve"> que</w:t>
      </w:r>
      <w:r w:rsidR="00291E03" w:rsidRPr="00142ED1">
        <w:rPr>
          <w:rFonts w:asciiTheme="majorHAnsi" w:hAnsiTheme="majorHAnsi"/>
          <w:bCs/>
          <w:sz w:val="20"/>
          <w:szCs w:val="20"/>
          <w:lang w:val="es-UY"/>
        </w:rPr>
        <w:t xml:space="preserve"> </w:t>
      </w:r>
      <w:r w:rsidR="00141C1C" w:rsidRPr="00142ED1">
        <w:rPr>
          <w:rFonts w:asciiTheme="majorHAnsi" w:hAnsiTheme="majorHAnsi"/>
          <w:bCs/>
          <w:sz w:val="20"/>
          <w:szCs w:val="20"/>
          <w:lang w:val="es-UY"/>
        </w:rPr>
        <w:t>los superiores de la presunta víctima del grupo S2</w:t>
      </w:r>
      <w:r w:rsidR="007A3158" w:rsidRPr="00142ED1">
        <w:rPr>
          <w:rFonts w:asciiTheme="majorHAnsi" w:hAnsiTheme="majorHAnsi"/>
          <w:bCs/>
          <w:sz w:val="20"/>
          <w:szCs w:val="20"/>
          <w:lang w:val="es-UY"/>
        </w:rPr>
        <w:t xml:space="preserve"> </w:t>
      </w:r>
      <w:r w:rsidR="00141C1C" w:rsidRPr="00142ED1">
        <w:rPr>
          <w:rFonts w:asciiTheme="majorHAnsi" w:hAnsiTheme="majorHAnsi"/>
          <w:bCs/>
          <w:sz w:val="20"/>
          <w:szCs w:val="20"/>
          <w:lang w:val="es-UY"/>
        </w:rPr>
        <w:t xml:space="preserve">proporcionaron </w:t>
      </w:r>
      <w:r w:rsidR="00085EFD" w:rsidRPr="00142ED1">
        <w:rPr>
          <w:rFonts w:asciiTheme="majorHAnsi" w:hAnsiTheme="majorHAnsi"/>
          <w:bCs/>
          <w:sz w:val="20"/>
          <w:szCs w:val="20"/>
          <w:lang w:val="es-UY"/>
        </w:rPr>
        <w:t xml:space="preserve">información </w:t>
      </w:r>
      <w:r w:rsidR="00632C03" w:rsidRPr="00142ED1">
        <w:rPr>
          <w:rFonts w:asciiTheme="majorHAnsi" w:hAnsiTheme="majorHAnsi"/>
          <w:bCs/>
          <w:sz w:val="20"/>
          <w:szCs w:val="20"/>
          <w:lang w:val="es-UY"/>
        </w:rPr>
        <w:t xml:space="preserve">falsa </w:t>
      </w:r>
      <w:r w:rsidR="00085EFD" w:rsidRPr="00142ED1">
        <w:rPr>
          <w:rFonts w:asciiTheme="majorHAnsi" w:hAnsiTheme="majorHAnsi"/>
          <w:bCs/>
          <w:sz w:val="20"/>
          <w:szCs w:val="20"/>
          <w:lang w:val="es-UY"/>
        </w:rPr>
        <w:t>a su familia</w:t>
      </w:r>
      <w:r w:rsidR="00632C03" w:rsidRPr="00142ED1">
        <w:rPr>
          <w:rFonts w:asciiTheme="majorHAnsi" w:hAnsiTheme="majorHAnsi"/>
          <w:bCs/>
          <w:sz w:val="20"/>
          <w:szCs w:val="20"/>
          <w:lang w:val="es-UY"/>
        </w:rPr>
        <w:t xml:space="preserve"> sobre su paradero</w:t>
      </w:r>
      <w:r w:rsidR="00A441FC" w:rsidRPr="00142ED1">
        <w:rPr>
          <w:rFonts w:asciiTheme="majorHAnsi" w:hAnsiTheme="majorHAnsi"/>
          <w:bCs/>
          <w:sz w:val="20"/>
          <w:szCs w:val="20"/>
          <w:lang w:val="es-UY"/>
        </w:rPr>
        <w:t>, lo que, en su opinión configura una</w:t>
      </w:r>
      <w:r w:rsidR="00085EFD" w:rsidRPr="00142ED1">
        <w:rPr>
          <w:rFonts w:asciiTheme="majorHAnsi" w:hAnsiTheme="majorHAnsi"/>
          <w:bCs/>
          <w:sz w:val="20"/>
          <w:szCs w:val="20"/>
          <w:lang w:val="es-UY"/>
        </w:rPr>
        <w:t xml:space="preserve"> </w:t>
      </w:r>
      <w:r w:rsidR="00141C1C" w:rsidRPr="00142ED1">
        <w:rPr>
          <w:rFonts w:asciiTheme="majorHAnsi" w:hAnsiTheme="majorHAnsi"/>
          <w:bCs/>
          <w:sz w:val="20"/>
          <w:szCs w:val="20"/>
          <w:lang w:val="es-UY"/>
        </w:rPr>
        <w:t>desaparición</w:t>
      </w:r>
      <w:r w:rsidR="008E6435" w:rsidRPr="00142ED1">
        <w:rPr>
          <w:rFonts w:asciiTheme="majorHAnsi" w:hAnsiTheme="majorHAnsi"/>
          <w:bCs/>
          <w:sz w:val="20"/>
          <w:szCs w:val="20"/>
          <w:lang w:val="es-UY"/>
        </w:rPr>
        <w:t xml:space="preserve"> </w:t>
      </w:r>
      <w:r w:rsidR="00A441FC" w:rsidRPr="00142ED1">
        <w:rPr>
          <w:rFonts w:asciiTheme="majorHAnsi" w:hAnsiTheme="majorHAnsi"/>
          <w:bCs/>
          <w:sz w:val="20"/>
          <w:szCs w:val="20"/>
          <w:lang w:val="es-UY"/>
        </w:rPr>
        <w:t xml:space="preserve">forzada. Además, aseguran que </w:t>
      </w:r>
      <w:r w:rsidR="006F0179" w:rsidRPr="00142ED1">
        <w:rPr>
          <w:rFonts w:asciiTheme="majorHAnsi" w:hAnsiTheme="majorHAnsi"/>
          <w:bCs/>
          <w:sz w:val="20"/>
          <w:szCs w:val="20"/>
          <w:lang w:val="es-UY"/>
        </w:rPr>
        <w:t xml:space="preserve">los militares </w:t>
      </w:r>
      <w:r w:rsidR="0054501F" w:rsidRPr="00142ED1">
        <w:rPr>
          <w:rFonts w:asciiTheme="majorHAnsi" w:hAnsiTheme="majorHAnsi"/>
          <w:bCs/>
          <w:sz w:val="20"/>
          <w:szCs w:val="20"/>
          <w:lang w:val="es-UY"/>
        </w:rPr>
        <w:t xml:space="preserve">obstruyeron </w:t>
      </w:r>
      <w:r w:rsidR="00944316" w:rsidRPr="00142ED1">
        <w:rPr>
          <w:rFonts w:asciiTheme="majorHAnsi" w:hAnsiTheme="majorHAnsi"/>
          <w:bCs/>
          <w:sz w:val="20"/>
          <w:szCs w:val="20"/>
          <w:lang w:val="es-UY"/>
        </w:rPr>
        <w:t>su</w:t>
      </w:r>
      <w:r w:rsidR="0054501F" w:rsidRPr="00142ED1">
        <w:rPr>
          <w:rFonts w:asciiTheme="majorHAnsi" w:hAnsiTheme="majorHAnsi"/>
          <w:bCs/>
          <w:sz w:val="20"/>
          <w:szCs w:val="20"/>
          <w:lang w:val="es-UY"/>
        </w:rPr>
        <w:t xml:space="preserve">s gestiones de búsqueda </w:t>
      </w:r>
      <w:r w:rsidR="008E6435" w:rsidRPr="00142ED1">
        <w:rPr>
          <w:rFonts w:asciiTheme="majorHAnsi" w:hAnsiTheme="majorHAnsi"/>
          <w:bCs/>
          <w:sz w:val="20"/>
          <w:szCs w:val="20"/>
          <w:lang w:val="es-UY"/>
        </w:rPr>
        <w:t xml:space="preserve">mediante </w:t>
      </w:r>
      <w:r w:rsidR="00ED6A7B" w:rsidRPr="00142ED1">
        <w:rPr>
          <w:rFonts w:asciiTheme="majorHAnsi" w:hAnsiTheme="majorHAnsi"/>
          <w:bCs/>
          <w:sz w:val="20"/>
          <w:szCs w:val="20"/>
          <w:lang w:val="es-UY"/>
        </w:rPr>
        <w:t xml:space="preserve">la alteración de los libros </w:t>
      </w:r>
      <w:r w:rsidR="009B20BF" w:rsidRPr="00142ED1">
        <w:rPr>
          <w:rFonts w:asciiTheme="majorHAnsi" w:hAnsiTheme="majorHAnsi"/>
          <w:bCs/>
          <w:sz w:val="20"/>
          <w:szCs w:val="20"/>
          <w:lang w:val="es-UY"/>
        </w:rPr>
        <w:t xml:space="preserve">de anotaciones y la emisión de </w:t>
      </w:r>
      <w:r w:rsidR="00944316" w:rsidRPr="00142ED1">
        <w:rPr>
          <w:rFonts w:asciiTheme="majorHAnsi" w:hAnsiTheme="majorHAnsi"/>
          <w:bCs/>
          <w:sz w:val="20"/>
          <w:szCs w:val="20"/>
          <w:lang w:val="es-UY"/>
        </w:rPr>
        <w:t>amenazas de muerte contra la madre y los hermanos del teniente.</w:t>
      </w:r>
      <w:r w:rsidR="00B7065F" w:rsidRPr="00142ED1">
        <w:rPr>
          <w:rFonts w:asciiTheme="majorHAnsi" w:hAnsiTheme="majorHAnsi"/>
          <w:bCs/>
          <w:sz w:val="20"/>
          <w:szCs w:val="20"/>
          <w:lang w:val="es-UY"/>
        </w:rPr>
        <w:t xml:space="preserve"> </w:t>
      </w:r>
      <w:r w:rsidR="008B3076" w:rsidRPr="00142ED1">
        <w:rPr>
          <w:rFonts w:asciiTheme="majorHAnsi" w:hAnsiTheme="majorHAnsi"/>
          <w:bCs/>
          <w:sz w:val="20"/>
          <w:szCs w:val="20"/>
          <w:lang w:val="es-UY"/>
        </w:rPr>
        <w:t>Narr</w:t>
      </w:r>
      <w:r w:rsidR="00622DEC" w:rsidRPr="00142ED1">
        <w:rPr>
          <w:rFonts w:asciiTheme="majorHAnsi" w:hAnsiTheme="majorHAnsi"/>
          <w:bCs/>
          <w:sz w:val="20"/>
          <w:szCs w:val="20"/>
          <w:lang w:val="es-UY"/>
        </w:rPr>
        <w:t>a que</w:t>
      </w:r>
      <w:r w:rsidR="00331260" w:rsidRPr="00142ED1">
        <w:rPr>
          <w:rFonts w:asciiTheme="majorHAnsi" w:hAnsiTheme="majorHAnsi"/>
          <w:bCs/>
          <w:sz w:val="20"/>
          <w:szCs w:val="20"/>
          <w:lang w:val="es-UY"/>
        </w:rPr>
        <w:t xml:space="preserve"> el 22 de marzo de 1995, </w:t>
      </w:r>
      <w:r w:rsidR="00064655" w:rsidRPr="00142ED1">
        <w:rPr>
          <w:rFonts w:asciiTheme="majorHAnsi" w:hAnsiTheme="majorHAnsi"/>
          <w:bCs/>
          <w:sz w:val="20"/>
          <w:szCs w:val="20"/>
          <w:lang w:val="es-UY"/>
        </w:rPr>
        <w:t xml:space="preserve">su cadáver fue </w:t>
      </w:r>
      <w:r w:rsidR="00331260" w:rsidRPr="00142ED1">
        <w:rPr>
          <w:rFonts w:asciiTheme="majorHAnsi" w:hAnsiTheme="majorHAnsi"/>
          <w:bCs/>
          <w:sz w:val="20"/>
          <w:szCs w:val="20"/>
          <w:lang w:val="es-UY"/>
        </w:rPr>
        <w:t xml:space="preserve">hallado e </w:t>
      </w:r>
      <w:r w:rsidR="00064655" w:rsidRPr="00142ED1">
        <w:rPr>
          <w:rFonts w:asciiTheme="majorHAnsi" w:hAnsiTheme="majorHAnsi"/>
          <w:bCs/>
          <w:sz w:val="20"/>
          <w:szCs w:val="20"/>
          <w:lang w:val="es-UY"/>
        </w:rPr>
        <w:t xml:space="preserve">identificado, </w:t>
      </w:r>
      <w:r w:rsidR="0054748A" w:rsidRPr="00142ED1">
        <w:rPr>
          <w:rFonts w:asciiTheme="majorHAnsi" w:hAnsiTheme="majorHAnsi"/>
          <w:bCs/>
          <w:sz w:val="20"/>
          <w:szCs w:val="20"/>
          <w:lang w:val="es-UY"/>
        </w:rPr>
        <w:t xml:space="preserve">y desde entonces </w:t>
      </w:r>
      <w:r w:rsidR="00064655" w:rsidRPr="00142ED1">
        <w:rPr>
          <w:rFonts w:asciiTheme="majorHAnsi" w:hAnsiTheme="majorHAnsi"/>
          <w:bCs/>
          <w:sz w:val="20"/>
          <w:szCs w:val="20"/>
          <w:lang w:val="es-UY"/>
        </w:rPr>
        <w:t>los funcionarios del batallón al que pertenecía cerraron toda comunicación con sus familiares</w:t>
      </w:r>
      <w:r w:rsidR="0054748A" w:rsidRPr="00142ED1">
        <w:rPr>
          <w:rFonts w:asciiTheme="majorHAnsi" w:hAnsiTheme="majorHAnsi"/>
          <w:bCs/>
          <w:sz w:val="20"/>
          <w:szCs w:val="20"/>
          <w:lang w:val="es-UY"/>
        </w:rPr>
        <w:t>.</w:t>
      </w:r>
      <w:r w:rsidR="00064655" w:rsidRPr="00142ED1">
        <w:rPr>
          <w:rFonts w:asciiTheme="majorHAnsi" w:hAnsiTheme="majorHAnsi"/>
          <w:bCs/>
          <w:sz w:val="20"/>
          <w:szCs w:val="20"/>
          <w:lang w:val="es-UY"/>
        </w:rPr>
        <w:t xml:space="preserve"> </w:t>
      </w:r>
      <w:r w:rsidR="0054748A" w:rsidRPr="00142ED1">
        <w:rPr>
          <w:rFonts w:asciiTheme="majorHAnsi" w:hAnsiTheme="majorHAnsi"/>
          <w:bCs/>
          <w:sz w:val="20"/>
          <w:szCs w:val="20"/>
          <w:lang w:val="es-UY"/>
        </w:rPr>
        <w:t>D</w:t>
      </w:r>
      <w:r w:rsidR="00622DEC" w:rsidRPr="00142ED1">
        <w:rPr>
          <w:rFonts w:asciiTheme="majorHAnsi" w:hAnsiTheme="majorHAnsi"/>
          <w:bCs/>
          <w:sz w:val="20"/>
          <w:szCs w:val="20"/>
          <w:lang w:val="es-UY"/>
        </w:rPr>
        <w:t xml:space="preserve">adas </w:t>
      </w:r>
      <w:r w:rsidR="00064655" w:rsidRPr="00142ED1">
        <w:rPr>
          <w:rFonts w:asciiTheme="majorHAnsi" w:hAnsiTheme="majorHAnsi"/>
          <w:bCs/>
          <w:sz w:val="20"/>
          <w:szCs w:val="20"/>
          <w:lang w:val="es-UY"/>
        </w:rPr>
        <w:t>su</w:t>
      </w:r>
      <w:r w:rsidR="00622DEC" w:rsidRPr="00142ED1">
        <w:rPr>
          <w:rFonts w:asciiTheme="majorHAnsi" w:hAnsiTheme="majorHAnsi"/>
          <w:bCs/>
          <w:sz w:val="20"/>
          <w:szCs w:val="20"/>
          <w:lang w:val="es-UY"/>
        </w:rPr>
        <w:t xml:space="preserve">s crecientes sospechas </w:t>
      </w:r>
      <w:r w:rsidR="00064655" w:rsidRPr="00142ED1">
        <w:rPr>
          <w:rFonts w:asciiTheme="majorHAnsi" w:hAnsiTheme="majorHAnsi"/>
          <w:bCs/>
          <w:sz w:val="20"/>
          <w:szCs w:val="20"/>
          <w:lang w:val="es-UY"/>
        </w:rPr>
        <w:t xml:space="preserve">sobre las circunstancias que rodearon la muerte de la presunta víctima, </w:t>
      </w:r>
      <w:r w:rsidR="004046C3" w:rsidRPr="00142ED1">
        <w:rPr>
          <w:rFonts w:asciiTheme="majorHAnsi" w:hAnsiTheme="majorHAnsi"/>
          <w:bCs/>
          <w:sz w:val="20"/>
          <w:szCs w:val="20"/>
          <w:lang w:val="es-UY"/>
        </w:rPr>
        <w:t>los familiares</w:t>
      </w:r>
      <w:r w:rsidR="00064655" w:rsidRPr="00142ED1">
        <w:rPr>
          <w:rFonts w:asciiTheme="majorHAnsi" w:hAnsiTheme="majorHAnsi"/>
          <w:bCs/>
          <w:sz w:val="20"/>
          <w:szCs w:val="20"/>
          <w:lang w:val="es-UY"/>
        </w:rPr>
        <w:t xml:space="preserve"> denunciaron su homicidio</w:t>
      </w:r>
      <w:r w:rsidR="00064655">
        <w:rPr>
          <w:rFonts w:asciiTheme="majorHAnsi" w:hAnsiTheme="majorHAnsi"/>
          <w:bCs/>
          <w:sz w:val="20"/>
          <w:szCs w:val="20"/>
          <w:lang w:val="es-UY"/>
        </w:rPr>
        <w:t xml:space="preserve"> ante la fiscalía seccional de Cúcuta</w:t>
      </w:r>
      <w:r w:rsidR="008B3076">
        <w:rPr>
          <w:rFonts w:asciiTheme="majorHAnsi" w:hAnsiTheme="majorHAnsi"/>
          <w:bCs/>
          <w:sz w:val="20"/>
          <w:szCs w:val="20"/>
          <w:lang w:val="es-UY"/>
        </w:rPr>
        <w:t xml:space="preserve"> y </w:t>
      </w:r>
      <w:r w:rsidR="003601F2">
        <w:rPr>
          <w:rFonts w:asciiTheme="majorHAnsi" w:hAnsiTheme="majorHAnsi"/>
          <w:bCs/>
          <w:sz w:val="20"/>
          <w:szCs w:val="20"/>
          <w:lang w:val="es-UY"/>
        </w:rPr>
        <w:t>señalaron como determinadores a los miembros de</w:t>
      </w:r>
      <w:r w:rsidR="0083741F">
        <w:rPr>
          <w:rFonts w:asciiTheme="majorHAnsi" w:hAnsiTheme="majorHAnsi"/>
          <w:bCs/>
          <w:sz w:val="20"/>
          <w:szCs w:val="20"/>
          <w:lang w:val="es-UY"/>
        </w:rPr>
        <w:t>l grupo de Caballería Mecanizado No. 5.</w:t>
      </w:r>
    </w:p>
    <w:p w14:paraId="327D75D7" w14:textId="32D39BB2" w:rsidR="00560EBD" w:rsidRDefault="005C5210" w:rsidP="00142ED1">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La parte peticionaria </w:t>
      </w:r>
      <w:r w:rsidR="006A2B26">
        <w:rPr>
          <w:rFonts w:asciiTheme="majorHAnsi" w:hAnsiTheme="majorHAnsi"/>
          <w:bCs/>
          <w:sz w:val="20"/>
          <w:szCs w:val="20"/>
          <w:lang w:val="es-UY"/>
        </w:rPr>
        <w:t>aduce que desde la interposición de la denuncia el 22 de marzo de 1995 y durante 15 años la investigación penal no tuv</w:t>
      </w:r>
      <w:r w:rsidR="00C22D07">
        <w:rPr>
          <w:rFonts w:asciiTheme="majorHAnsi" w:hAnsiTheme="majorHAnsi"/>
          <w:bCs/>
          <w:sz w:val="20"/>
          <w:szCs w:val="20"/>
          <w:lang w:val="es-UY"/>
        </w:rPr>
        <w:t>o</w:t>
      </w:r>
      <w:r w:rsidR="006A2B26">
        <w:rPr>
          <w:rFonts w:asciiTheme="majorHAnsi" w:hAnsiTheme="majorHAnsi"/>
          <w:bCs/>
          <w:sz w:val="20"/>
          <w:szCs w:val="20"/>
          <w:lang w:val="es-UY"/>
        </w:rPr>
        <w:t xml:space="preserve"> </w:t>
      </w:r>
      <w:r w:rsidR="00942107">
        <w:rPr>
          <w:rFonts w:asciiTheme="majorHAnsi" w:hAnsiTheme="majorHAnsi"/>
          <w:bCs/>
          <w:sz w:val="20"/>
          <w:szCs w:val="20"/>
          <w:lang w:val="es-UY"/>
        </w:rPr>
        <w:t xml:space="preserve">ningún avance y las únicas actuaciones fueron la reasignación de fiscales. </w:t>
      </w:r>
      <w:r w:rsidR="00157524">
        <w:rPr>
          <w:rFonts w:asciiTheme="majorHAnsi" w:hAnsiTheme="majorHAnsi"/>
          <w:bCs/>
          <w:sz w:val="20"/>
          <w:szCs w:val="20"/>
          <w:lang w:val="es-UY"/>
        </w:rPr>
        <w:t xml:space="preserve">Refiere que sólo desde el 2010, año en que los familiares de la presunta víctima </w:t>
      </w:r>
      <w:r w:rsidR="00135B3B">
        <w:rPr>
          <w:rFonts w:asciiTheme="majorHAnsi" w:hAnsiTheme="majorHAnsi"/>
          <w:bCs/>
          <w:sz w:val="20"/>
          <w:szCs w:val="20"/>
          <w:lang w:val="es-UY"/>
        </w:rPr>
        <w:t>designaron</w:t>
      </w:r>
      <w:r w:rsidR="00047E72">
        <w:rPr>
          <w:rFonts w:asciiTheme="majorHAnsi" w:hAnsiTheme="majorHAnsi"/>
          <w:bCs/>
          <w:sz w:val="20"/>
          <w:szCs w:val="20"/>
          <w:lang w:val="es-UY"/>
        </w:rPr>
        <w:t xml:space="preserve"> </w:t>
      </w:r>
      <w:r w:rsidR="00480492">
        <w:rPr>
          <w:rFonts w:asciiTheme="majorHAnsi" w:hAnsiTheme="majorHAnsi"/>
          <w:bCs/>
          <w:sz w:val="20"/>
          <w:szCs w:val="20"/>
          <w:lang w:val="es-UY"/>
        </w:rPr>
        <w:t>su</w:t>
      </w:r>
      <w:r w:rsidR="00047E72">
        <w:rPr>
          <w:rFonts w:asciiTheme="majorHAnsi" w:hAnsiTheme="majorHAnsi"/>
          <w:bCs/>
          <w:sz w:val="20"/>
          <w:szCs w:val="20"/>
          <w:lang w:val="es-UY"/>
        </w:rPr>
        <w:t xml:space="preserve"> representación judicial </w:t>
      </w:r>
      <w:r w:rsidR="00480492">
        <w:rPr>
          <w:rFonts w:asciiTheme="majorHAnsi" w:hAnsiTheme="majorHAnsi"/>
          <w:bCs/>
          <w:sz w:val="20"/>
          <w:szCs w:val="20"/>
          <w:lang w:val="es-UY"/>
        </w:rPr>
        <w:t xml:space="preserve">por medio </w:t>
      </w:r>
      <w:r w:rsidR="00047E72">
        <w:rPr>
          <w:rFonts w:asciiTheme="majorHAnsi" w:hAnsiTheme="majorHAnsi"/>
          <w:bCs/>
          <w:sz w:val="20"/>
          <w:szCs w:val="20"/>
          <w:lang w:val="es-UY"/>
        </w:rPr>
        <w:t xml:space="preserve">la organización no gubernamental Corporación </w:t>
      </w:r>
      <w:r w:rsidR="006F4A35">
        <w:rPr>
          <w:rFonts w:asciiTheme="majorHAnsi" w:hAnsiTheme="majorHAnsi"/>
          <w:bCs/>
          <w:sz w:val="20"/>
          <w:szCs w:val="20"/>
          <w:lang w:val="es-UY"/>
        </w:rPr>
        <w:t>Colectivo de Abogados José Alvear Restrepo, y por solicitud de ésta la fiscalía vincu</w:t>
      </w:r>
      <w:r w:rsidR="00AE3235">
        <w:rPr>
          <w:rFonts w:asciiTheme="majorHAnsi" w:hAnsiTheme="majorHAnsi"/>
          <w:bCs/>
          <w:sz w:val="20"/>
          <w:szCs w:val="20"/>
          <w:lang w:val="es-UY"/>
        </w:rPr>
        <w:t>l</w:t>
      </w:r>
      <w:r w:rsidR="006F4A35">
        <w:rPr>
          <w:rFonts w:asciiTheme="majorHAnsi" w:hAnsiTheme="majorHAnsi"/>
          <w:bCs/>
          <w:sz w:val="20"/>
          <w:szCs w:val="20"/>
          <w:lang w:val="es-UY"/>
        </w:rPr>
        <w:t xml:space="preserve">ó </w:t>
      </w:r>
      <w:r w:rsidR="00AE3235">
        <w:rPr>
          <w:rFonts w:asciiTheme="majorHAnsi" w:hAnsiTheme="majorHAnsi"/>
          <w:bCs/>
          <w:sz w:val="20"/>
          <w:szCs w:val="20"/>
          <w:lang w:val="es-UY"/>
        </w:rPr>
        <w:t>mediante indagatoria a tres miembros del Grupo de Caballería Mecanizado No. 5 “Maza” de Cúcuta.</w:t>
      </w:r>
      <w:r w:rsidR="008B5D63">
        <w:rPr>
          <w:rFonts w:asciiTheme="majorHAnsi" w:hAnsiTheme="majorHAnsi"/>
          <w:bCs/>
          <w:sz w:val="20"/>
          <w:szCs w:val="20"/>
          <w:lang w:val="es-UY"/>
        </w:rPr>
        <w:t xml:space="preserve"> </w:t>
      </w:r>
      <w:r w:rsidR="002C34AA">
        <w:rPr>
          <w:rFonts w:asciiTheme="majorHAnsi" w:hAnsiTheme="majorHAnsi"/>
          <w:bCs/>
          <w:sz w:val="20"/>
          <w:szCs w:val="20"/>
          <w:lang w:val="es-UY"/>
        </w:rPr>
        <w:t>E</w:t>
      </w:r>
      <w:r w:rsidR="00E57B97">
        <w:rPr>
          <w:rFonts w:asciiTheme="majorHAnsi" w:hAnsiTheme="majorHAnsi"/>
          <w:bCs/>
          <w:sz w:val="20"/>
          <w:szCs w:val="20"/>
          <w:lang w:val="es-UY"/>
        </w:rPr>
        <w:t xml:space="preserve">ntre abril y julio de </w:t>
      </w:r>
      <w:r w:rsidR="008B5D63">
        <w:rPr>
          <w:rFonts w:asciiTheme="majorHAnsi" w:hAnsiTheme="majorHAnsi"/>
          <w:bCs/>
          <w:sz w:val="20"/>
          <w:szCs w:val="20"/>
          <w:lang w:val="es-UY"/>
        </w:rPr>
        <w:t xml:space="preserve">2013 </w:t>
      </w:r>
      <w:r w:rsidR="000F21FB">
        <w:rPr>
          <w:rFonts w:asciiTheme="majorHAnsi" w:hAnsiTheme="majorHAnsi"/>
          <w:bCs/>
          <w:sz w:val="20"/>
          <w:szCs w:val="20"/>
          <w:lang w:val="es-UY"/>
        </w:rPr>
        <w:t>la fiscalía formalizó la apertura de la investigaci</w:t>
      </w:r>
      <w:r w:rsidR="00E57B97">
        <w:rPr>
          <w:rFonts w:asciiTheme="majorHAnsi" w:hAnsiTheme="majorHAnsi"/>
          <w:bCs/>
          <w:sz w:val="20"/>
          <w:szCs w:val="20"/>
          <w:lang w:val="es-UY"/>
        </w:rPr>
        <w:t>ó</w:t>
      </w:r>
      <w:r w:rsidR="000F21FB">
        <w:rPr>
          <w:rFonts w:asciiTheme="majorHAnsi" w:hAnsiTheme="majorHAnsi"/>
          <w:bCs/>
          <w:sz w:val="20"/>
          <w:szCs w:val="20"/>
          <w:lang w:val="es-UY"/>
        </w:rPr>
        <w:t xml:space="preserve">n </w:t>
      </w:r>
      <w:r w:rsidR="00E57B97">
        <w:rPr>
          <w:rFonts w:asciiTheme="majorHAnsi" w:hAnsiTheme="majorHAnsi"/>
          <w:bCs/>
          <w:sz w:val="20"/>
          <w:szCs w:val="20"/>
          <w:lang w:val="es-UY"/>
        </w:rPr>
        <w:t>contra los tres vinculados</w:t>
      </w:r>
      <w:r w:rsidR="00FB496B">
        <w:rPr>
          <w:rFonts w:asciiTheme="majorHAnsi" w:hAnsiTheme="majorHAnsi"/>
          <w:bCs/>
          <w:sz w:val="20"/>
          <w:szCs w:val="20"/>
          <w:lang w:val="es-UY"/>
        </w:rPr>
        <w:t>, por lo cual la representación civil solicitó la resolución de su situación jurídica</w:t>
      </w:r>
      <w:r w:rsidR="002D27CC">
        <w:rPr>
          <w:rFonts w:asciiTheme="majorHAnsi" w:hAnsiTheme="majorHAnsi"/>
          <w:bCs/>
          <w:sz w:val="20"/>
          <w:szCs w:val="20"/>
          <w:lang w:val="es-UY"/>
        </w:rPr>
        <w:t xml:space="preserve">. </w:t>
      </w:r>
      <w:r w:rsidR="006A41A2">
        <w:rPr>
          <w:rFonts w:asciiTheme="majorHAnsi" w:hAnsiTheme="majorHAnsi"/>
          <w:bCs/>
          <w:sz w:val="20"/>
          <w:szCs w:val="20"/>
          <w:lang w:val="es-UY"/>
        </w:rPr>
        <w:t>L</w:t>
      </w:r>
      <w:r w:rsidR="002D27CC">
        <w:rPr>
          <w:rFonts w:asciiTheme="majorHAnsi" w:hAnsiTheme="majorHAnsi"/>
          <w:bCs/>
          <w:sz w:val="20"/>
          <w:szCs w:val="20"/>
          <w:lang w:val="es-UY"/>
        </w:rPr>
        <w:t xml:space="preserve">a fiscalía disponía de 10 días para determinarla, pero </w:t>
      </w:r>
      <w:r w:rsidR="007F7025">
        <w:rPr>
          <w:rFonts w:asciiTheme="majorHAnsi" w:hAnsiTheme="majorHAnsi"/>
          <w:bCs/>
          <w:sz w:val="20"/>
          <w:szCs w:val="20"/>
          <w:lang w:val="es-UY"/>
        </w:rPr>
        <w:t>la solicitud fue atendida transcurridos dos años, el 31 de diciembre de 2014</w:t>
      </w:r>
      <w:r w:rsidR="00A5236A">
        <w:rPr>
          <w:rFonts w:asciiTheme="majorHAnsi" w:hAnsiTheme="majorHAnsi"/>
          <w:bCs/>
          <w:sz w:val="20"/>
          <w:szCs w:val="20"/>
          <w:lang w:val="es-UY"/>
        </w:rPr>
        <w:t>, ante lo</w:t>
      </w:r>
      <w:r w:rsidR="00356FD2">
        <w:rPr>
          <w:rFonts w:asciiTheme="majorHAnsi" w:hAnsiTheme="majorHAnsi"/>
          <w:bCs/>
          <w:sz w:val="20"/>
          <w:szCs w:val="20"/>
          <w:lang w:val="es-UY"/>
        </w:rPr>
        <w:t xml:space="preserve"> cual</w:t>
      </w:r>
      <w:r w:rsidR="00872531">
        <w:rPr>
          <w:rFonts w:asciiTheme="majorHAnsi" w:hAnsiTheme="majorHAnsi"/>
          <w:bCs/>
          <w:sz w:val="20"/>
          <w:szCs w:val="20"/>
          <w:lang w:val="es-UY"/>
        </w:rPr>
        <w:t xml:space="preserve"> la representación de víctimas apeló y el 19 de marzo de 2015</w:t>
      </w:r>
      <w:r w:rsidR="00D27015">
        <w:rPr>
          <w:rFonts w:asciiTheme="majorHAnsi" w:hAnsiTheme="majorHAnsi"/>
          <w:bCs/>
          <w:sz w:val="20"/>
          <w:szCs w:val="20"/>
          <w:lang w:val="es-UY"/>
        </w:rPr>
        <w:t xml:space="preserve"> </w:t>
      </w:r>
      <w:r w:rsidR="00C67673">
        <w:rPr>
          <w:rFonts w:asciiTheme="majorHAnsi" w:hAnsiTheme="majorHAnsi"/>
          <w:bCs/>
          <w:sz w:val="20"/>
          <w:szCs w:val="20"/>
          <w:lang w:val="es-UY"/>
        </w:rPr>
        <w:t>la Fiscalía Primera delegada ante el Tribunal Superior de Cúcuta declaró la preclusión de la investigación penal por pres</w:t>
      </w:r>
      <w:r w:rsidR="0015459E">
        <w:rPr>
          <w:rFonts w:asciiTheme="majorHAnsi" w:hAnsiTheme="majorHAnsi"/>
          <w:bCs/>
          <w:sz w:val="20"/>
          <w:szCs w:val="20"/>
          <w:lang w:val="es-UY"/>
        </w:rPr>
        <w:t>cripción de la acción.</w:t>
      </w:r>
    </w:p>
    <w:p w14:paraId="30538E3C" w14:textId="3556CCDD" w:rsidR="0015459E" w:rsidRDefault="00A715FE" w:rsidP="00142ED1">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Por otro lado, l</w:t>
      </w:r>
      <w:r w:rsidR="0015459E">
        <w:rPr>
          <w:rFonts w:asciiTheme="majorHAnsi" w:hAnsiTheme="majorHAnsi"/>
          <w:bCs/>
          <w:sz w:val="20"/>
          <w:szCs w:val="20"/>
          <w:lang w:val="es-UY"/>
        </w:rPr>
        <w:t>a parte peticionaria</w:t>
      </w:r>
      <w:r w:rsidR="00EF38D3">
        <w:rPr>
          <w:rFonts w:asciiTheme="majorHAnsi" w:hAnsiTheme="majorHAnsi"/>
          <w:bCs/>
          <w:sz w:val="20"/>
          <w:szCs w:val="20"/>
          <w:lang w:val="es-UY"/>
        </w:rPr>
        <w:t xml:space="preserve"> </w:t>
      </w:r>
      <w:r w:rsidR="00404351">
        <w:rPr>
          <w:rFonts w:asciiTheme="majorHAnsi" w:hAnsiTheme="majorHAnsi"/>
          <w:bCs/>
          <w:sz w:val="20"/>
          <w:szCs w:val="20"/>
          <w:lang w:val="es-UY"/>
        </w:rPr>
        <w:t>inform</w:t>
      </w:r>
      <w:r w:rsidR="00EF38D3">
        <w:rPr>
          <w:rFonts w:asciiTheme="majorHAnsi" w:hAnsiTheme="majorHAnsi"/>
          <w:bCs/>
          <w:sz w:val="20"/>
          <w:szCs w:val="20"/>
          <w:lang w:val="es-UY"/>
        </w:rPr>
        <w:t xml:space="preserve">a que el 21 de marzo de 1995 </w:t>
      </w:r>
      <w:r w:rsidR="00404351">
        <w:rPr>
          <w:rFonts w:asciiTheme="majorHAnsi" w:hAnsiTheme="majorHAnsi"/>
          <w:bCs/>
          <w:sz w:val="20"/>
          <w:szCs w:val="20"/>
          <w:lang w:val="es-UY"/>
        </w:rPr>
        <w:t xml:space="preserve">los familiares del teniente Molina Guerrero </w:t>
      </w:r>
      <w:r w:rsidR="00EF38D3">
        <w:rPr>
          <w:rFonts w:asciiTheme="majorHAnsi" w:hAnsiTheme="majorHAnsi"/>
          <w:bCs/>
          <w:sz w:val="20"/>
          <w:szCs w:val="20"/>
          <w:lang w:val="es-UY"/>
        </w:rPr>
        <w:t>present</w:t>
      </w:r>
      <w:r w:rsidR="00404351">
        <w:rPr>
          <w:rFonts w:asciiTheme="majorHAnsi" w:hAnsiTheme="majorHAnsi"/>
          <w:bCs/>
          <w:sz w:val="20"/>
          <w:szCs w:val="20"/>
          <w:lang w:val="es-UY"/>
        </w:rPr>
        <w:t>aron</w:t>
      </w:r>
      <w:r w:rsidR="00EF38D3">
        <w:rPr>
          <w:rFonts w:asciiTheme="majorHAnsi" w:hAnsiTheme="majorHAnsi"/>
          <w:bCs/>
          <w:sz w:val="20"/>
          <w:szCs w:val="20"/>
          <w:lang w:val="es-UY"/>
        </w:rPr>
        <w:t xml:space="preserve"> una queja disciplinaria ante la Procuraduría </w:t>
      </w:r>
      <w:r w:rsidR="009F224F">
        <w:rPr>
          <w:rFonts w:asciiTheme="majorHAnsi" w:hAnsiTheme="majorHAnsi"/>
          <w:bCs/>
          <w:sz w:val="20"/>
          <w:szCs w:val="20"/>
          <w:lang w:val="es-UY"/>
        </w:rPr>
        <w:t>contra los tres soldados vinculados a la investigación penal</w:t>
      </w:r>
      <w:r w:rsidR="00404351">
        <w:rPr>
          <w:rFonts w:asciiTheme="majorHAnsi" w:hAnsiTheme="majorHAnsi"/>
          <w:bCs/>
          <w:sz w:val="20"/>
          <w:szCs w:val="20"/>
          <w:lang w:val="es-UY"/>
        </w:rPr>
        <w:t xml:space="preserve">, la cual culminó </w:t>
      </w:r>
      <w:r w:rsidR="002274F7">
        <w:rPr>
          <w:rFonts w:asciiTheme="majorHAnsi" w:hAnsiTheme="majorHAnsi"/>
          <w:bCs/>
          <w:sz w:val="20"/>
          <w:szCs w:val="20"/>
          <w:lang w:val="es-UY"/>
        </w:rPr>
        <w:t xml:space="preserve">el </w:t>
      </w:r>
      <w:r w:rsidR="00E912A3">
        <w:rPr>
          <w:rFonts w:asciiTheme="majorHAnsi" w:hAnsiTheme="majorHAnsi"/>
          <w:bCs/>
          <w:sz w:val="20"/>
          <w:szCs w:val="20"/>
          <w:lang w:val="es-UY"/>
        </w:rPr>
        <w:t>19</w:t>
      </w:r>
      <w:r w:rsidR="002274F7">
        <w:rPr>
          <w:rFonts w:asciiTheme="majorHAnsi" w:hAnsiTheme="majorHAnsi"/>
          <w:bCs/>
          <w:sz w:val="20"/>
          <w:szCs w:val="20"/>
          <w:lang w:val="es-UY"/>
        </w:rPr>
        <w:t xml:space="preserve"> de </w:t>
      </w:r>
      <w:r w:rsidR="00E912A3">
        <w:rPr>
          <w:rFonts w:asciiTheme="majorHAnsi" w:hAnsiTheme="majorHAnsi"/>
          <w:bCs/>
          <w:sz w:val="20"/>
          <w:szCs w:val="20"/>
          <w:lang w:val="es-UY"/>
        </w:rPr>
        <w:t>ener</w:t>
      </w:r>
      <w:r w:rsidR="002274F7">
        <w:rPr>
          <w:rFonts w:asciiTheme="majorHAnsi" w:hAnsiTheme="majorHAnsi"/>
          <w:bCs/>
          <w:sz w:val="20"/>
          <w:szCs w:val="20"/>
          <w:lang w:val="es-UY"/>
        </w:rPr>
        <w:t xml:space="preserve">o de </w:t>
      </w:r>
      <w:r w:rsidR="00E912A3">
        <w:rPr>
          <w:rFonts w:asciiTheme="majorHAnsi" w:hAnsiTheme="majorHAnsi"/>
          <w:bCs/>
          <w:sz w:val="20"/>
          <w:szCs w:val="20"/>
          <w:lang w:val="es-UY"/>
        </w:rPr>
        <w:t>2000</w:t>
      </w:r>
      <w:r w:rsidR="002274F7">
        <w:rPr>
          <w:rFonts w:asciiTheme="majorHAnsi" w:hAnsiTheme="majorHAnsi"/>
          <w:bCs/>
          <w:sz w:val="20"/>
          <w:szCs w:val="20"/>
          <w:lang w:val="es-UY"/>
        </w:rPr>
        <w:t xml:space="preserve"> </w:t>
      </w:r>
      <w:r w:rsidR="00E912A3">
        <w:rPr>
          <w:rFonts w:asciiTheme="majorHAnsi" w:hAnsiTheme="majorHAnsi"/>
          <w:bCs/>
          <w:sz w:val="20"/>
          <w:szCs w:val="20"/>
          <w:lang w:val="es-UY"/>
        </w:rPr>
        <w:t xml:space="preserve">en segunda instancia </w:t>
      </w:r>
      <w:r w:rsidR="00404351">
        <w:rPr>
          <w:rFonts w:asciiTheme="majorHAnsi" w:hAnsiTheme="majorHAnsi"/>
          <w:bCs/>
          <w:sz w:val="20"/>
          <w:szCs w:val="20"/>
          <w:lang w:val="es-UY"/>
        </w:rPr>
        <w:t>con la imposición de la sanción disciplinaria de separación absoluta de</w:t>
      </w:r>
      <w:r w:rsidR="006A44B3">
        <w:rPr>
          <w:rFonts w:asciiTheme="majorHAnsi" w:hAnsiTheme="majorHAnsi"/>
          <w:bCs/>
          <w:sz w:val="20"/>
          <w:szCs w:val="20"/>
          <w:lang w:val="es-UY"/>
        </w:rPr>
        <w:t xml:space="preserve"> las fuerzas militares</w:t>
      </w:r>
      <w:r w:rsidR="002274F7">
        <w:rPr>
          <w:rFonts w:asciiTheme="majorHAnsi" w:hAnsiTheme="majorHAnsi"/>
          <w:bCs/>
          <w:sz w:val="20"/>
          <w:szCs w:val="20"/>
          <w:lang w:val="es-UY"/>
        </w:rPr>
        <w:t xml:space="preserve"> por la comisión de </w:t>
      </w:r>
      <w:r w:rsidR="00A80E9F">
        <w:rPr>
          <w:rFonts w:asciiTheme="majorHAnsi" w:hAnsiTheme="majorHAnsi"/>
          <w:bCs/>
          <w:sz w:val="20"/>
          <w:szCs w:val="20"/>
          <w:lang w:val="es-UY"/>
        </w:rPr>
        <w:t xml:space="preserve">faltas disciplinarias, y </w:t>
      </w:r>
      <w:r w:rsidR="00D731ED">
        <w:rPr>
          <w:rFonts w:asciiTheme="majorHAnsi" w:hAnsiTheme="majorHAnsi"/>
          <w:bCs/>
          <w:sz w:val="20"/>
          <w:szCs w:val="20"/>
          <w:lang w:val="es-UY"/>
        </w:rPr>
        <w:t xml:space="preserve">en </w:t>
      </w:r>
      <w:r w:rsidR="00A80E9F">
        <w:rPr>
          <w:rFonts w:asciiTheme="majorHAnsi" w:hAnsiTheme="majorHAnsi"/>
          <w:bCs/>
          <w:sz w:val="20"/>
          <w:szCs w:val="20"/>
          <w:lang w:val="es-UY"/>
        </w:rPr>
        <w:t>la decisión</w:t>
      </w:r>
      <w:r w:rsidR="00D731ED">
        <w:rPr>
          <w:rFonts w:asciiTheme="majorHAnsi" w:hAnsiTheme="majorHAnsi"/>
          <w:bCs/>
          <w:sz w:val="20"/>
          <w:szCs w:val="20"/>
          <w:lang w:val="es-UY"/>
        </w:rPr>
        <w:t>, también d</w:t>
      </w:r>
      <w:r w:rsidR="00B715E5">
        <w:rPr>
          <w:rFonts w:asciiTheme="majorHAnsi" w:hAnsiTheme="majorHAnsi"/>
          <w:bCs/>
          <w:sz w:val="20"/>
          <w:szCs w:val="20"/>
          <w:lang w:val="es-UY"/>
        </w:rPr>
        <w:t>ispuso</w:t>
      </w:r>
      <w:r w:rsidR="00A80E9F">
        <w:rPr>
          <w:rFonts w:asciiTheme="majorHAnsi" w:hAnsiTheme="majorHAnsi"/>
          <w:bCs/>
          <w:sz w:val="20"/>
          <w:szCs w:val="20"/>
          <w:lang w:val="es-UY"/>
        </w:rPr>
        <w:t xml:space="preserve"> compulsar copias a la Unidad Nacional de Derechos Humanos de la Fiscalía General de la Nación.</w:t>
      </w:r>
    </w:p>
    <w:p w14:paraId="42BE0031" w14:textId="528D2EFC" w:rsidR="00D3327C" w:rsidRDefault="00D3327C" w:rsidP="00142ED1">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lastRenderedPageBreak/>
        <w:t>Adicionalmente</w:t>
      </w:r>
      <w:r w:rsidR="00B530DD">
        <w:rPr>
          <w:rFonts w:asciiTheme="majorHAnsi" w:hAnsiTheme="majorHAnsi"/>
          <w:bCs/>
          <w:sz w:val="20"/>
          <w:szCs w:val="20"/>
          <w:lang w:val="es-UY"/>
        </w:rPr>
        <w:t xml:space="preserve">, </w:t>
      </w:r>
      <w:r w:rsidR="004419DF">
        <w:rPr>
          <w:rFonts w:asciiTheme="majorHAnsi" w:hAnsiTheme="majorHAnsi"/>
          <w:bCs/>
          <w:sz w:val="20"/>
          <w:szCs w:val="20"/>
          <w:lang w:val="es-UY"/>
        </w:rPr>
        <w:t xml:space="preserve">la parte peticionaria remite </w:t>
      </w:r>
      <w:r w:rsidR="00720B79">
        <w:rPr>
          <w:rFonts w:asciiTheme="majorHAnsi" w:hAnsiTheme="majorHAnsi"/>
          <w:bCs/>
          <w:sz w:val="20"/>
          <w:szCs w:val="20"/>
          <w:lang w:val="es-UY"/>
        </w:rPr>
        <w:t xml:space="preserve">la última decisión adoptada en el proceso contencioso-administrativo promovido por las presuntas víctimas contra la Nación colombiana de fecha 19 de octubre de 2023, mediante la cual, el Consejo de Estado confirmó en segunda instancia la denegación de las </w:t>
      </w:r>
      <w:r w:rsidR="007B4E68">
        <w:rPr>
          <w:rFonts w:asciiTheme="majorHAnsi" w:hAnsiTheme="majorHAnsi"/>
          <w:bCs/>
          <w:sz w:val="20"/>
          <w:szCs w:val="20"/>
          <w:lang w:val="es-UY"/>
        </w:rPr>
        <w:t xml:space="preserve">pretensiones porque no se comprobó que el teniente Molina Guerrero asumió los riesgos propios de </w:t>
      </w:r>
      <w:r w:rsidR="00FA0DF6">
        <w:rPr>
          <w:rFonts w:asciiTheme="majorHAnsi" w:hAnsiTheme="majorHAnsi"/>
          <w:bCs/>
          <w:sz w:val="20"/>
          <w:szCs w:val="20"/>
          <w:lang w:val="es-UY"/>
        </w:rPr>
        <w:t>su profesión.</w:t>
      </w:r>
    </w:p>
    <w:p w14:paraId="28D54B2D" w14:textId="1C198DE9" w:rsidR="001C490C" w:rsidRPr="007A3158" w:rsidRDefault="001C490C" w:rsidP="00142ED1">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En cuanto a los requisitos de admisibilidad, la parte peticionaria </w:t>
      </w:r>
      <w:r w:rsidR="00966A72">
        <w:rPr>
          <w:rFonts w:asciiTheme="majorHAnsi" w:hAnsiTheme="majorHAnsi"/>
          <w:bCs/>
          <w:sz w:val="20"/>
          <w:szCs w:val="20"/>
          <w:lang w:val="es-UY"/>
        </w:rPr>
        <w:t xml:space="preserve">arguye que resulta aplicable la excepción de retardo injustificado en la resolución de los recursos internos, </w:t>
      </w:r>
      <w:r w:rsidR="007E31AD">
        <w:rPr>
          <w:rFonts w:asciiTheme="majorHAnsi" w:hAnsiTheme="majorHAnsi"/>
          <w:bCs/>
          <w:sz w:val="20"/>
          <w:szCs w:val="20"/>
          <w:lang w:val="es-UY"/>
        </w:rPr>
        <w:t>prevista</w:t>
      </w:r>
      <w:r w:rsidR="00880C19">
        <w:rPr>
          <w:rFonts w:asciiTheme="majorHAnsi" w:hAnsiTheme="majorHAnsi"/>
          <w:bCs/>
          <w:sz w:val="20"/>
          <w:szCs w:val="20"/>
          <w:lang w:val="es-UY"/>
        </w:rPr>
        <w:t xml:space="preserve"> en el artículo 46.2.c) de la Convención, </w:t>
      </w:r>
      <w:r w:rsidR="00966A72">
        <w:rPr>
          <w:rFonts w:asciiTheme="majorHAnsi" w:hAnsiTheme="majorHAnsi"/>
          <w:bCs/>
          <w:sz w:val="20"/>
          <w:szCs w:val="20"/>
          <w:lang w:val="es-UY"/>
        </w:rPr>
        <w:t>ya que</w:t>
      </w:r>
      <w:r w:rsidR="009F7F60">
        <w:rPr>
          <w:rFonts w:asciiTheme="majorHAnsi" w:hAnsiTheme="majorHAnsi"/>
          <w:bCs/>
          <w:sz w:val="20"/>
          <w:szCs w:val="20"/>
          <w:lang w:val="es-UY"/>
        </w:rPr>
        <w:t xml:space="preserve">, por más de diez años, </w:t>
      </w:r>
      <w:r w:rsidR="00CB628E">
        <w:rPr>
          <w:rFonts w:asciiTheme="majorHAnsi" w:hAnsiTheme="majorHAnsi"/>
          <w:bCs/>
          <w:sz w:val="20"/>
          <w:szCs w:val="20"/>
          <w:lang w:val="es-UY"/>
        </w:rPr>
        <w:t>la fiscalía omitió vincular a la investigación a los tres oficiales del ejército sancionados por la Procuraduría en enero del 2000</w:t>
      </w:r>
      <w:r w:rsidR="009F7F60">
        <w:rPr>
          <w:rFonts w:asciiTheme="majorHAnsi" w:hAnsiTheme="majorHAnsi"/>
          <w:bCs/>
          <w:sz w:val="20"/>
          <w:szCs w:val="20"/>
          <w:lang w:val="es-UY"/>
        </w:rPr>
        <w:t xml:space="preserve">, así como se tardó casi tres años en resolver su situación jurídica y </w:t>
      </w:r>
      <w:r w:rsidR="007951C9">
        <w:rPr>
          <w:rFonts w:asciiTheme="majorHAnsi" w:hAnsiTheme="majorHAnsi"/>
          <w:bCs/>
          <w:sz w:val="20"/>
          <w:szCs w:val="20"/>
          <w:lang w:val="es-UY"/>
        </w:rPr>
        <w:t>dejó pasar más de cuatro meses si</w:t>
      </w:r>
      <w:r w:rsidR="007E31AD">
        <w:rPr>
          <w:rFonts w:asciiTheme="majorHAnsi" w:hAnsiTheme="majorHAnsi"/>
          <w:bCs/>
          <w:sz w:val="20"/>
          <w:szCs w:val="20"/>
          <w:lang w:val="es-UY"/>
        </w:rPr>
        <w:t>n</w:t>
      </w:r>
      <w:r w:rsidR="007951C9">
        <w:rPr>
          <w:rFonts w:asciiTheme="majorHAnsi" w:hAnsiTheme="majorHAnsi"/>
          <w:bCs/>
          <w:sz w:val="20"/>
          <w:szCs w:val="20"/>
          <w:lang w:val="es-UY"/>
        </w:rPr>
        <w:t xml:space="preserve"> resolver el recurso de apelación para terminar declarando la prescripción del caso.</w:t>
      </w:r>
      <w:r w:rsidR="00DA66B8">
        <w:rPr>
          <w:rFonts w:asciiTheme="majorHAnsi" w:hAnsiTheme="majorHAnsi"/>
          <w:bCs/>
          <w:sz w:val="20"/>
          <w:szCs w:val="20"/>
          <w:lang w:val="es-UY"/>
        </w:rPr>
        <w:t xml:space="preserve"> </w:t>
      </w:r>
      <w:r w:rsidR="009339C7">
        <w:rPr>
          <w:rFonts w:asciiTheme="majorHAnsi" w:hAnsiTheme="majorHAnsi"/>
          <w:bCs/>
          <w:sz w:val="20"/>
          <w:szCs w:val="20"/>
          <w:lang w:val="es-UY"/>
        </w:rPr>
        <w:t xml:space="preserve">Asimismo, alega la responsabilidad internacional del Estado por la violación de los derechos a la vida, a las garantías judiciales y a la protección judicial en perjuicio del señor Francisco Antonio Molina Guerrero y </w:t>
      </w:r>
      <w:r w:rsidR="00671C68">
        <w:rPr>
          <w:rFonts w:asciiTheme="majorHAnsi" w:hAnsiTheme="majorHAnsi"/>
          <w:bCs/>
          <w:sz w:val="20"/>
          <w:szCs w:val="20"/>
          <w:lang w:val="es-UY"/>
        </w:rPr>
        <w:t xml:space="preserve">de </w:t>
      </w:r>
      <w:r w:rsidR="009339C7">
        <w:rPr>
          <w:rFonts w:asciiTheme="majorHAnsi" w:hAnsiTheme="majorHAnsi"/>
          <w:bCs/>
          <w:sz w:val="20"/>
          <w:szCs w:val="20"/>
          <w:lang w:val="es-UY"/>
        </w:rPr>
        <w:t>su familia.</w:t>
      </w:r>
    </w:p>
    <w:p w14:paraId="142267EB" w14:textId="1A0C176D" w:rsidR="00890DA0" w:rsidRPr="00125980" w:rsidRDefault="00125980" w:rsidP="00142ED1">
      <w:pPr>
        <w:pStyle w:val="ListParagraph"/>
        <w:numPr>
          <w:ilvl w:val="0"/>
          <w:numId w:val="0"/>
        </w:numPr>
        <w:ind w:left="720"/>
        <w:jc w:val="both"/>
        <w:rPr>
          <w:rFonts w:asciiTheme="majorHAnsi" w:hAnsiTheme="majorHAnsi"/>
          <w:b/>
          <w:bCs/>
          <w:sz w:val="20"/>
          <w:szCs w:val="20"/>
          <w:lang w:val="es-UY"/>
        </w:rPr>
      </w:pPr>
      <w:r>
        <w:rPr>
          <w:b/>
          <w:bCs/>
          <w:sz w:val="20"/>
          <w:szCs w:val="20"/>
          <w:lang w:val="es-AR"/>
        </w:rPr>
        <w:t xml:space="preserve">El </w:t>
      </w:r>
      <w:r w:rsidR="00890DA0" w:rsidRPr="00125980">
        <w:rPr>
          <w:b/>
          <w:bCs/>
          <w:sz w:val="20"/>
          <w:szCs w:val="20"/>
          <w:lang w:val="es-AR"/>
        </w:rPr>
        <w:t>Estado</w:t>
      </w:r>
      <w:r>
        <w:rPr>
          <w:b/>
          <w:bCs/>
          <w:sz w:val="20"/>
          <w:szCs w:val="20"/>
          <w:lang w:val="es-AR"/>
        </w:rPr>
        <w:t xml:space="preserve"> </w:t>
      </w:r>
      <w:r w:rsidR="009D7FCC">
        <w:rPr>
          <w:b/>
          <w:bCs/>
          <w:sz w:val="20"/>
          <w:szCs w:val="20"/>
          <w:lang w:val="es-AR"/>
        </w:rPr>
        <w:t>colombiano</w:t>
      </w:r>
    </w:p>
    <w:p w14:paraId="68A417B2" w14:textId="1C2A4BF9" w:rsidR="00B93D7F" w:rsidRPr="00741ED7" w:rsidRDefault="00B93D7F" w:rsidP="00142ED1">
      <w:pPr>
        <w:pStyle w:val="ListParagraph"/>
        <w:numPr>
          <w:ilvl w:val="0"/>
          <w:numId w:val="61"/>
        </w:numPr>
        <w:ind w:left="0" w:firstLine="720"/>
        <w:jc w:val="both"/>
        <w:rPr>
          <w:rFonts w:asciiTheme="majorHAnsi" w:hAnsiTheme="majorHAnsi"/>
          <w:bCs/>
          <w:sz w:val="20"/>
          <w:szCs w:val="20"/>
          <w:lang w:val="es-UY"/>
        </w:rPr>
      </w:pPr>
      <w:r w:rsidRPr="006E621A">
        <w:rPr>
          <w:sz w:val="20"/>
          <w:szCs w:val="20"/>
          <w:lang w:val="es-AR"/>
        </w:rPr>
        <w:t>Po</w:t>
      </w:r>
      <w:r w:rsidR="00A75613">
        <w:rPr>
          <w:sz w:val="20"/>
          <w:szCs w:val="20"/>
          <w:lang w:val="es-AR"/>
        </w:rPr>
        <w:t xml:space="preserve">r su parte, </w:t>
      </w:r>
      <w:r w:rsidRPr="006E621A">
        <w:rPr>
          <w:sz w:val="20"/>
          <w:szCs w:val="20"/>
          <w:lang w:val="es-AR"/>
        </w:rPr>
        <w:t>el Es</w:t>
      </w:r>
      <w:r w:rsidR="003F5154" w:rsidRPr="006E621A">
        <w:rPr>
          <w:sz w:val="20"/>
          <w:szCs w:val="20"/>
          <w:lang w:val="es-AR"/>
        </w:rPr>
        <w:t>tado</w:t>
      </w:r>
      <w:r w:rsidR="00A75613">
        <w:rPr>
          <w:sz w:val="20"/>
          <w:szCs w:val="20"/>
          <w:lang w:val="es-AR"/>
        </w:rPr>
        <w:t xml:space="preserve"> colombiano replica que la presente petición es inadmisible por la configuración de la denominada ‘fórmula de la cuarta instancia internacional’ </w:t>
      </w:r>
      <w:r w:rsidR="00E452F6">
        <w:rPr>
          <w:sz w:val="20"/>
          <w:szCs w:val="20"/>
          <w:lang w:val="es-AR"/>
        </w:rPr>
        <w:t>frente al proceso penal.</w:t>
      </w:r>
    </w:p>
    <w:p w14:paraId="0EF4829D" w14:textId="6D537446" w:rsidR="00741ED7" w:rsidRPr="007453DE" w:rsidRDefault="00637D1D" w:rsidP="00142ED1">
      <w:pPr>
        <w:pStyle w:val="ListParagraph"/>
        <w:numPr>
          <w:ilvl w:val="0"/>
          <w:numId w:val="61"/>
        </w:numPr>
        <w:ind w:left="0" w:firstLine="720"/>
        <w:jc w:val="both"/>
        <w:rPr>
          <w:rFonts w:asciiTheme="majorHAnsi" w:hAnsiTheme="majorHAnsi"/>
          <w:bCs/>
          <w:sz w:val="20"/>
          <w:szCs w:val="20"/>
          <w:lang w:val="es-UY"/>
        </w:rPr>
      </w:pPr>
      <w:r>
        <w:rPr>
          <w:sz w:val="20"/>
          <w:szCs w:val="20"/>
          <w:lang w:val="es-AR"/>
        </w:rPr>
        <w:t xml:space="preserve">Con respecto a los hechos, </w:t>
      </w:r>
      <w:r w:rsidR="00C82A9F">
        <w:rPr>
          <w:sz w:val="20"/>
          <w:szCs w:val="20"/>
          <w:lang w:val="es-AR"/>
        </w:rPr>
        <w:t>Colombia explica</w:t>
      </w:r>
      <w:r w:rsidR="00140A23">
        <w:rPr>
          <w:sz w:val="20"/>
          <w:szCs w:val="20"/>
          <w:lang w:val="es-AR"/>
        </w:rPr>
        <w:t xml:space="preserve"> que </w:t>
      </w:r>
      <w:r w:rsidR="00AF6ACF">
        <w:rPr>
          <w:sz w:val="20"/>
          <w:szCs w:val="20"/>
          <w:lang w:val="es-AR"/>
        </w:rPr>
        <w:t>e</w:t>
      </w:r>
      <w:r w:rsidR="00E5653D">
        <w:rPr>
          <w:sz w:val="20"/>
          <w:szCs w:val="20"/>
          <w:lang w:val="es-AR"/>
        </w:rPr>
        <w:t xml:space="preserve">l teniente </w:t>
      </w:r>
      <w:r w:rsidR="00AF6ACF">
        <w:rPr>
          <w:sz w:val="20"/>
          <w:szCs w:val="20"/>
          <w:lang w:val="es-AR"/>
        </w:rPr>
        <w:t>Molina Guerrero</w:t>
      </w:r>
      <w:r w:rsidR="00A77802">
        <w:rPr>
          <w:sz w:val="20"/>
          <w:szCs w:val="20"/>
          <w:lang w:val="es-AR"/>
        </w:rPr>
        <w:t xml:space="preserve"> </w:t>
      </w:r>
      <w:r w:rsidR="007D5FAB">
        <w:rPr>
          <w:sz w:val="20"/>
          <w:szCs w:val="20"/>
          <w:lang w:val="es-AR"/>
        </w:rPr>
        <w:t>se desempeñaba como ejecutivo del Grupo Antiextorsión y Secuestro “CAES”</w:t>
      </w:r>
      <w:r w:rsidR="00EF6A43">
        <w:rPr>
          <w:sz w:val="20"/>
          <w:szCs w:val="20"/>
          <w:lang w:val="es-AR"/>
        </w:rPr>
        <w:t>,</w:t>
      </w:r>
      <w:r w:rsidR="007D5FAB">
        <w:rPr>
          <w:sz w:val="20"/>
          <w:szCs w:val="20"/>
          <w:lang w:val="es-AR"/>
        </w:rPr>
        <w:t xml:space="preserve"> </w:t>
      </w:r>
      <w:r w:rsidR="006B609B">
        <w:rPr>
          <w:sz w:val="20"/>
          <w:szCs w:val="20"/>
          <w:lang w:val="es-AR"/>
        </w:rPr>
        <w:t xml:space="preserve">y </w:t>
      </w:r>
      <w:r w:rsidR="00EF6A43">
        <w:rPr>
          <w:sz w:val="20"/>
          <w:szCs w:val="20"/>
          <w:lang w:val="es-AR"/>
        </w:rPr>
        <w:t xml:space="preserve">que </w:t>
      </w:r>
      <w:r w:rsidR="006B609B">
        <w:rPr>
          <w:sz w:val="20"/>
          <w:szCs w:val="20"/>
          <w:lang w:val="es-AR"/>
        </w:rPr>
        <w:t xml:space="preserve">la noche del 14 de marzo de 1995 salió de las instalaciones de dicha unidad en </w:t>
      </w:r>
      <w:r w:rsidR="00384B19">
        <w:rPr>
          <w:sz w:val="20"/>
          <w:szCs w:val="20"/>
          <w:lang w:val="es-AR"/>
        </w:rPr>
        <w:t xml:space="preserve">un </w:t>
      </w:r>
      <w:r w:rsidR="006B609B">
        <w:rPr>
          <w:sz w:val="20"/>
          <w:szCs w:val="20"/>
          <w:lang w:val="es-AR"/>
        </w:rPr>
        <w:t>vehículo de su propiedad</w:t>
      </w:r>
      <w:r w:rsidR="005C7EBA">
        <w:rPr>
          <w:sz w:val="20"/>
          <w:szCs w:val="20"/>
          <w:lang w:val="es-AR"/>
        </w:rPr>
        <w:t>, portando su arma de dotación</w:t>
      </w:r>
      <w:r w:rsidR="00D55103">
        <w:rPr>
          <w:sz w:val="20"/>
          <w:szCs w:val="20"/>
          <w:lang w:val="es-AR"/>
        </w:rPr>
        <w:t>.</w:t>
      </w:r>
      <w:r w:rsidR="005C7EBA">
        <w:rPr>
          <w:sz w:val="20"/>
          <w:szCs w:val="20"/>
          <w:lang w:val="es-AR"/>
        </w:rPr>
        <w:t xml:space="preserve"> </w:t>
      </w:r>
      <w:r w:rsidR="00EF6A43">
        <w:rPr>
          <w:sz w:val="20"/>
          <w:szCs w:val="20"/>
          <w:lang w:val="es-AR"/>
        </w:rPr>
        <w:t>S</w:t>
      </w:r>
      <w:r w:rsidR="00913F7C">
        <w:rPr>
          <w:sz w:val="20"/>
          <w:szCs w:val="20"/>
          <w:lang w:val="es-AR"/>
        </w:rPr>
        <w:t xml:space="preserve">egún lo establecido </w:t>
      </w:r>
      <w:r w:rsidR="00A65948">
        <w:rPr>
          <w:sz w:val="20"/>
          <w:szCs w:val="20"/>
          <w:lang w:val="es-AR"/>
        </w:rPr>
        <w:t xml:space="preserve">en </w:t>
      </w:r>
      <w:r w:rsidR="00913F7C">
        <w:rPr>
          <w:sz w:val="20"/>
          <w:szCs w:val="20"/>
          <w:lang w:val="es-AR"/>
        </w:rPr>
        <w:t>la investigación penal</w:t>
      </w:r>
      <w:r w:rsidR="00A65948">
        <w:rPr>
          <w:sz w:val="20"/>
          <w:szCs w:val="20"/>
          <w:lang w:val="es-AR"/>
        </w:rPr>
        <w:t xml:space="preserve">, falleció por el suministro de una sustancia conocida como “burundanga” por parte una adolescente que ejercía </w:t>
      </w:r>
      <w:r w:rsidR="00B06804">
        <w:rPr>
          <w:sz w:val="20"/>
          <w:szCs w:val="20"/>
          <w:lang w:val="es-AR"/>
        </w:rPr>
        <w:t>como trabajadora sexual</w:t>
      </w:r>
      <w:r w:rsidR="0019550D">
        <w:rPr>
          <w:sz w:val="20"/>
          <w:szCs w:val="20"/>
          <w:lang w:val="es-AR"/>
        </w:rPr>
        <w:t>, que</w:t>
      </w:r>
      <w:r w:rsidR="00015B33">
        <w:rPr>
          <w:sz w:val="20"/>
          <w:szCs w:val="20"/>
          <w:lang w:val="es-AR"/>
        </w:rPr>
        <w:t xml:space="preserve"> pertenecía a una banda dedi</w:t>
      </w:r>
      <w:r w:rsidR="00982F50">
        <w:rPr>
          <w:sz w:val="20"/>
          <w:szCs w:val="20"/>
          <w:lang w:val="es-AR"/>
        </w:rPr>
        <w:t>cada al hurto de vehículos, compuesta por otros dos hombres, uno de ellos condenado por el</w:t>
      </w:r>
      <w:r w:rsidR="007453DE">
        <w:rPr>
          <w:sz w:val="20"/>
          <w:szCs w:val="20"/>
          <w:lang w:val="es-AR"/>
        </w:rPr>
        <w:t xml:space="preserve"> </w:t>
      </w:r>
      <w:r w:rsidR="00982F50">
        <w:rPr>
          <w:sz w:val="20"/>
          <w:szCs w:val="20"/>
          <w:lang w:val="es-AR"/>
        </w:rPr>
        <w:t>homicidio de la presunta víctima.</w:t>
      </w:r>
      <w:r w:rsidR="00702414">
        <w:rPr>
          <w:sz w:val="20"/>
          <w:szCs w:val="20"/>
          <w:lang w:val="es-AR"/>
        </w:rPr>
        <w:t xml:space="preserve"> </w:t>
      </w:r>
      <w:r w:rsidR="00B43148">
        <w:rPr>
          <w:sz w:val="20"/>
          <w:szCs w:val="20"/>
          <w:lang w:val="es-AR"/>
        </w:rPr>
        <w:t>Colombia i</w:t>
      </w:r>
      <w:r w:rsidR="00702414">
        <w:rPr>
          <w:sz w:val="20"/>
          <w:szCs w:val="20"/>
          <w:lang w:val="es-AR"/>
        </w:rPr>
        <w:t xml:space="preserve">nforma que </w:t>
      </w:r>
      <w:r w:rsidR="002D4A85">
        <w:rPr>
          <w:sz w:val="20"/>
          <w:szCs w:val="20"/>
          <w:lang w:val="es-AR"/>
        </w:rPr>
        <w:t>el</w:t>
      </w:r>
      <w:r w:rsidR="00702414">
        <w:rPr>
          <w:sz w:val="20"/>
          <w:szCs w:val="20"/>
          <w:lang w:val="es-AR"/>
        </w:rPr>
        <w:t xml:space="preserve"> cadáver </w:t>
      </w:r>
      <w:r w:rsidR="00050D15">
        <w:rPr>
          <w:sz w:val="20"/>
          <w:szCs w:val="20"/>
          <w:lang w:val="es-AR"/>
        </w:rPr>
        <w:t xml:space="preserve">del teniente </w:t>
      </w:r>
      <w:r w:rsidR="00702414">
        <w:rPr>
          <w:sz w:val="20"/>
          <w:szCs w:val="20"/>
          <w:lang w:val="es-AR"/>
        </w:rPr>
        <w:t>fue hallado el 17 de marzo de 1995</w:t>
      </w:r>
      <w:r w:rsidR="0074353B">
        <w:rPr>
          <w:sz w:val="20"/>
          <w:szCs w:val="20"/>
          <w:lang w:val="es-AR"/>
        </w:rPr>
        <w:t>, fue sepultado como “N.N.” en el cementerio central de Cúcuta y el 23 de marzo se realizó su exhumación e identificación.</w:t>
      </w:r>
    </w:p>
    <w:p w14:paraId="4BA69BDD" w14:textId="4647FDCE" w:rsidR="007453DE" w:rsidRPr="000868CF" w:rsidRDefault="007453DE" w:rsidP="00142ED1">
      <w:pPr>
        <w:pStyle w:val="ListParagraph"/>
        <w:numPr>
          <w:ilvl w:val="0"/>
          <w:numId w:val="61"/>
        </w:numPr>
        <w:ind w:left="0" w:firstLine="720"/>
        <w:jc w:val="both"/>
        <w:rPr>
          <w:rFonts w:asciiTheme="majorHAnsi" w:hAnsiTheme="majorHAnsi"/>
          <w:bCs/>
          <w:sz w:val="20"/>
          <w:szCs w:val="20"/>
          <w:lang w:val="es-UY"/>
        </w:rPr>
      </w:pPr>
      <w:r>
        <w:rPr>
          <w:sz w:val="20"/>
          <w:szCs w:val="20"/>
          <w:lang w:val="es-AR"/>
        </w:rPr>
        <w:t xml:space="preserve">El Estado </w:t>
      </w:r>
      <w:r w:rsidR="00B67EAE">
        <w:rPr>
          <w:sz w:val="20"/>
          <w:szCs w:val="20"/>
          <w:lang w:val="es-AR"/>
        </w:rPr>
        <w:t>refiere</w:t>
      </w:r>
      <w:r>
        <w:rPr>
          <w:sz w:val="20"/>
          <w:szCs w:val="20"/>
          <w:lang w:val="es-AR"/>
        </w:rPr>
        <w:t xml:space="preserve"> que la investigación de la fiscalía se adelantó bajo el radicado no. 121 </w:t>
      </w:r>
      <w:r w:rsidR="00287A1A">
        <w:rPr>
          <w:sz w:val="20"/>
          <w:szCs w:val="20"/>
          <w:lang w:val="es-AR"/>
        </w:rPr>
        <w:t>por los delitos de homicidio y hurto.</w:t>
      </w:r>
      <w:r w:rsidR="00C41EDF">
        <w:rPr>
          <w:sz w:val="20"/>
          <w:szCs w:val="20"/>
          <w:lang w:val="es-AR"/>
        </w:rPr>
        <w:t xml:space="preserve"> Señala que el 19 de marzo de 2015 la Fiscalía Primera delegada ante el Tribunal Superior de Cúcuta decretó la preclusión y archivo de las diligencias porque la acción penal se encontraba prescrita. Ante ello, </w:t>
      </w:r>
      <w:r w:rsidR="00A72C70">
        <w:rPr>
          <w:sz w:val="20"/>
          <w:szCs w:val="20"/>
          <w:lang w:val="es-AR"/>
        </w:rPr>
        <w:t xml:space="preserve">reseña que </w:t>
      </w:r>
      <w:r w:rsidR="004003D3">
        <w:rPr>
          <w:sz w:val="20"/>
          <w:szCs w:val="20"/>
          <w:lang w:val="es-AR"/>
        </w:rPr>
        <w:t xml:space="preserve">el representante de la parte civil </w:t>
      </w:r>
      <w:r w:rsidR="00A72C70">
        <w:rPr>
          <w:sz w:val="20"/>
          <w:szCs w:val="20"/>
          <w:lang w:val="es-AR"/>
        </w:rPr>
        <w:t xml:space="preserve">interpuso un recurso de reposición en el que </w:t>
      </w:r>
      <w:r w:rsidR="004003D3">
        <w:rPr>
          <w:sz w:val="20"/>
          <w:szCs w:val="20"/>
          <w:lang w:val="es-AR"/>
        </w:rPr>
        <w:t>solicitó que el crimen fuera declarado de lesa humanidad, pero mediante auto de 20 de mayo de 2015, la fiscalía denegó dicha solici</w:t>
      </w:r>
      <w:r w:rsidR="0060491C">
        <w:rPr>
          <w:sz w:val="20"/>
          <w:szCs w:val="20"/>
          <w:lang w:val="es-AR"/>
        </w:rPr>
        <w:t>tud</w:t>
      </w:r>
      <w:r w:rsidR="00146378">
        <w:rPr>
          <w:sz w:val="20"/>
          <w:szCs w:val="20"/>
          <w:lang w:val="es-AR"/>
        </w:rPr>
        <w:t>, manteniendo en firme su decisión de preclusión</w:t>
      </w:r>
      <w:r w:rsidR="0060491C">
        <w:rPr>
          <w:sz w:val="20"/>
          <w:szCs w:val="20"/>
          <w:lang w:val="es-AR"/>
        </w:rPr>
        <w:t>.</w:t>
      </w:r>
    </w:p>
    <w:p w14:paraId="7DB41A9A" w14:textId="20802980" w:rsidR="000868CF" w:rsidRDefault="005115A3" w:rsidP="00142ED1">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Ahora bien, e</w:t>
      </w:r>
      <w:r w:rsidR="00315813">
        <w:rPr>
          <w:rFonts w:asciiTheme="majorHAnsi" w:hAnsiTheme="majorHAnsi"/>
          <w:bCs/>
          <w:sz w:val="20"/>
          <w:szCs w:val="20"/>
          <w:lang w:val="es-UY"/>
        </w:rPr>
        <w:t xml:space="preserve">n relación con la denominada ‘fórmula de la cuarta instancia internacional’, el Estado </w:t>
      </w:r>
      <w:r w:rsidR="007D7FCF">
        <w:rPr>
          <w:rFonts w:asciiTheme="majorHAnsi" w:hAnsiTheme="majorHAnsi"/>
          <w:bCs/>
          <w:sz w:val="20"/>
          <w:szCs w:val="20"/>
          <w:lang w:val="es-UY"/>
        </w:rPr>
        <w:t>recalc</w:t>
      </w:r>
      <w:r w:rsidR="00315813">
        <w:rPr>
          <w:rFonts w:asciiTheme="majorHAnsi" w:hAnsiTheme="majorHAnsi"/>
          <w:bCs/>
          <w:sz w:val="20"/>
          <w:szCs w:val="20"/>
          <w:lang w:val="es-UY"/>
        </w:rPr>
        <w:t xml:space="preserve">a que, según ésta, </w:t>
      </w:r>
      <w:r w:rsidR="00FE3E0A">
        <w:rPr>
          <w:rFonts w:asciiTheme="majorHAnsi" w:hAnsiTheme="majorHAnsi"/>
          <w:bCs/>
          <w:sz w:val="20"/>
          <w:szCs w:val="20"/>
          <w:lang w:val="es-UY"/>
        </w:rPr>
        <w:t xml:space="preserve">la CIDH no tiene la facultad de revisar las providencias emanadas de los tribunales nacionales que actúen en la esfera de su competencia y en aplicación de las garantías judiciales. Ello en vista de que la función de la Comisión </w:t>
      </w:r>
      <w:r w:rsidR="00601329">
        <w:rPr>
          <w:rFonts w:asciiTheme="majorHAnsi" w:hAnsiTheme="majorHAnsi"/>
          <w:bCs/>
          <w:sz w:val="20"/>
          <w:szCs w:val="20"/>
          <w:lang w:val="es-UY"/>
        </w:rPr>
        <w:t>consist</w:t>
      </w:r>
      <w:r w:rsidR="00FE3E0A">
        <w:rPr>
          <w:rFonts w:asciiTheme="majorHAnsi" w:hAnsiTheme="majorHAnsi"/>
          <w:bCs/>
          <w:sz w:val="20"/>
          <w:szCs w:val="20"/>
          <w:lang w:val="es-UY"/>
        </w:rPr>
        <w:t>e</w:t>
      </w:r>
      <w:r w:rsidR="00601329">
        <w:rPr>
          <w:rFonts w:asciiTheme="majorHAnsi" w:hAnsiTheme="majorHAnsi"/>
          <w:bCs/>
          <w:sz w:val="20"/>
          <w:szCs w:val="20"/>
          <w:lang w:val="es-UY"/>
        </w:rPr>
        <w:t xml:space="preserve"> en</w:t>
      </w:r>
      <w:r w:rsidR="00FE3E0A">
        <w:rPr>
          <w:rFonts w:asciiTheme="majorHAnsi" w:hAnsiTheme="majorHAnsi"/>
          <w:bCs/>
          <w:sz w:val="20"/>
          <w:szCs w:val="20"/>
          <w:lang w:val="es-UY"/>
        </w:rPr>
        <w:t xml:space="preserve"> garantiza</w:t>
      </w:r>
      <w:r w:rsidR="00601329">
        <w:rPr>
          <w:rFonts w:asciiTheme="majorHAnsi" w:hAnsiTheme="majorHAnsi"/>
          <w:bCs/>
          <w:sz w:val="20"/>
          <w:szCs w:val="20"/>
          <w:lang w:val="es-UY"/>
        </w:rPr>
        <w:t>r</w:t>
      </w:r>
      <w:r w:rsidR="00FE3E0A">
        <w:rPr>
          <w:rFonts w:asciiTheme="majorHAnsi" w:hAnsiTheme="majorHAnsi"/>
          <w:bCs/>
          <w:sz w:val="20"/>
          <w:szCs w:val="20"/>
          <w:lang w:val="es-UY"/>
        </w:rPr>
        <w:t xml:space="preserve"> la observa</w:t>
      </w:r>
      <w:r w:rsidR="007D7FCF">
        <w:rPr>
          <w:rFonts w:asciiTheme="majorHAnsi" w:hAnsiTheme="majorHAnsi"/>
          <w:bCs/>
          <w:sz w:val="20"/>
          <w:szCs w:val="20"/>
          <w:lang w:val="es-UY"/>
        </w:rPr>
        <w:t>ncia</w:t>
      </w:r>
      <w:r w:rsidR="00FE3E0A">
        <w:rPr>
          <w:rFonts w:asciiTheme="majorHAnsi" w:hAnsiTheme="majorHAnsi"/>
          <w:bCs/>
          <w:sz w:val="20"/>
          <w:szCs w:val="20"/>
          <w:lang w:val="es-UY"/>
        </w:rPr>
        <w:t xml:space="preserve"> de las obligaciones asumidas por los Estados Parte de la Convención Americana, sin hacer las veces de tribunal de alzada internacional para examinar supuestos errores de hecho o de derecho que puedan haber cometido los tribunales domésticos.</w:t>
      </w:r>
    </w:p>
    <w:p w14:paraId="772CBBA8" w14:textId="7473CB0A" w:rsidR="00B2242D" w:rsidRPr="006E621A" w:rsidRDefault="00B2242D" w:rsidP="00142ED1">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Así</w:t>
      </w:r>
      <w:r w:rsidR="007D7FCF">
        <w:rPr>
          <w:rFonts w:asciiTheme="majorHAnsi" w:hAnsiTheme="majorHAnsi"/>
          <w:bCs/>
          <w:sz w:val="20"/>
          <w:szCs w:val="20"/>
          <w:lang w:val="es-UY"/>
        </w:rPr>
        <w:t xml:space="preserve">, plantea que en el presente caso </w:t>
      </w:r>
      <w:r w:rsidR="008972D3">
        <w:rPr>
          <w:rFonts w:asciiTheme="majorHAnsi" w:hAnsiTheme="majorHAnsi"/>
          <w:bCs/>
          <w:sz w:val="20"/>
          <w:szCs w:val="20"/>
          <w:lang w:val="es-UY"/>
        </w:rPr>
        <w:t xml:space="preserve">el Estado identificó, investigó y sancionó </w:t>
      </w:r>
      <w:r w:rsidR="00C3173C">
        <w:rPr>
          <w:rFonts w:asciiTheme="majorHAnsi" w:hAnsiTheme="majorHAnsi"/>
          <w:bCs/>
          <w:sz w:val="20"/>
          <w:szCs w:val="20"/>
          <w:lang w:val="es-UY"/>
        </w:rPr>
        <w:t>a los autores del homicidio del teniente Molina Guerrero, y actuó con la debida diligencia, puesto que uno de los autores materiales fue condenado</w:t>
      </w:r>
      <w:r w:rsidR="007D5D28">
        <w:rPr>
          <w:rFonts w:asciiTheme="majorHAnsi" w:hAnsiTheme="majorHAnsi"/>
          <w:bCs/>
          <w:sz w:val="20"/>
          <w:szCs w:val="20"/>
          <w:lang w:val="es-UY"/>
        </w:rPr>
        <w:t>;</w:t>
      </w:r>
      <w:r w:rsidR="00C3173C">
        <w:rPr>
          <w:rFonts w:asciiTheme="majorHAnsi" w:hAnsiTheme="majorHAnsi"/>
          <w:bCs/>
          <w:sz w:val="20"/>
          <w:szCs w:val="20"/>
          <w:lang w:val="es-UY"/>
        </w:rPr>
        <w:t xml:space="preserve"> otra permaneció en detención preventiva y se precluyó el proceso a su favor</w:t>
      </w:r>
      <w:r w:rsidR="00A675A6">
        <w:rPr>
          <w:rFonts w:asciiTheme="majorHAnsi" w:hAnsiTheme="majorHAnsi"/>
          <w:bCs/>
          <w:sz w:val="20"/>
          <w:szCs w:val="20"/>
          <w:lang w:val="es-UY"/>
        </w:rPr>
        <w:t>;</w:t>
      </w:r>
      <w:r w:rsidR="00C3173C">
        <w:rPr>
          <w:rFonts w:asciiTheme="majorHAnsi" w:hAnsiTheme="majorHAnsi"/>
          <w:bCs/>
          <w:sz w:val="20"/>
          <w:szCs w:val="20"/>
          <w:lang w:val="es-UY"/>
        </w:rPr>
        <w:t xml:space="preserve"> se compulsaron copias en la jurisdicción especial para la adolescente involucrada</w:t>
      </w:r>
      <w:r w:rsidR="00A675A6">
        <w:rPr>
          <w:rFonts w:asciiTheme="majorHAnsi" w:hAnsiTheme="majorHAnsi"/>
          <w:bCs/>
          <w:sz w:val="20"/>
          <w:szCs w:val="20"/>
          <w:lang w:val="es-UY"/>
        </w:rPr>
        <w:t>;</w:t>
      </w:r>
      <w:r w:rsidR="00C3173C">
        <w:rPr>
          <w:rFonts w:asciiTheme="majorHAnsi" w:hAnsiTheme="majorHAnsi"/>
          <w:bCs/>
          <w:sz w:val="20"/>
          <w:szCs w:val="20"/>
          <w:lang w:val="es-UY"/>
        </w:rPr>
        <w:t xml:space="preserve"> y </w:t>
      </w:r>
      <w:r w:rsidR="0066482B">
        <w:rPr>
          <w:rFonts w:asciiTheme="majorHAnsi" w:hAnsiTheme="majorHAnsi"/>
          <w:bCs/>
          <w:sz w:val="20"/>
          <w:szCs w:val="20"/>
          <w:lang w:val="es-UY"/>
        </w:rPr>
        <w:t>luego</w:t>
      </w:r>
      <w:r w:rsidR="00126529">
        <w:rPr>
          <w:rFonts w:asciiTheme="majorHAnsi" w:hAnsiTheme="majorHAnsi"/>
          <w:bCs/>
          <w:sz w:val="20"/>
          <w:szCs w:val="20"/>
          <w:lang w:val="es-UY"/>
        </w:rPr>
        <w:t>,</w:t>
      </w:r>
      <w:r w:rsidR="00C3173C">
        <w:rPr>
          <w:rFonts w:asciiTheme="majorHAnsi" w:hAnsiTheme="majorHAnsi"/>
          <w:bCs/>
          <w:sz w:val="20"/>
          <w:szCs w:val="20"/>
          <w:lang w:val="es-UY"/>
        </w:rPr>
        <w:t xml:space="preserve"> la fiscalía vinculó a tres militares del batallón de Cúcuta al que perten</w:t>
      </w:r>
      <w:r w:rsidR="00BE4526">
        <w:rPr>
          <w:rFonts w:asciiTheme="majorHAnsi" w:hAnsiTheme="majorHAnsi"/>
          <w:bCs/>
          <w:sz w:val="20"/>
          <w:szCs w:val="20"/>
          <w:lang w:val="es-UY"/>
        </w:rPr>
        <w:t>e</w:t>
      </w:r>
      <w:r w:rsidR="00C3173C">
        <w:rPr>
          <w:rFonts w:asciiTheme="majorHAnsi" w:hAnsiTheme="majorHAnsi"/>
          <w:bCs/>
          <w:sz w:val="20"/>
          <w:szCs w:val="20"/>
          <w:lang w:val="es-UY"/>
        </w:rPr>
        <w:t>cía la presunta víctima.</w:t>
      </w:r>
      <w:r w:rsidR="009C5FCE">
        <w:rPr>
          <w:rFonts w:asciiTheme="majorHAnsi" w:hAnsiTheme="majorHAnsi"/>
          <w:bCs/>
          <w:sz w:val="20"/>
          <w:szCs w:val="20"/>
          <w:lang w:val="es-UY"/>
        </w:rPr>
        <w:t xml:space="preserve"> </w:t>
      </w:r>
      <w:r w:rsidR="00126529">
        <w:rPr>
          <w:rFonts w:asciiTheme="majorHAnsi" w:hAnsiTheme="majorHAnsi"/>
          <w:bCs/>
          <w:sz w:val="20"/>
          <w:szCs w:val="20"/>
          <w:lang w:val="es-UY"/>
        </w:rPr>
        <w:t xml:space="preserve">Con estas actuaciones, Colombia asevera que las autoridades actuaron con la debida diligencia, </w:t>
      </w:r>
      <w:r w:rsidR="009C7FDD">
        <w:rPr>
          <w:rFonts w:asciiTheme="majorHAnsi" w:hAnsiTheme="majorHAnsi"/>
          <w:bCs/>
          <w:sz w:val="20"/>
          <w:szCs w:val="20"/>
          <w:lang w:val="es-UY"/>
        </w:rPr>
        <w:t xml:space="preserve">pues </w:t>
      </w:r>
      <w:r w:rsidR="009C5FCE">
        <w:rPr>
          <w:rFonts w:asciiTheme="majorHAnsi" w:hAnsiTheme="majorHAnsi"/>
          <w:bCs/>
          <w:sz w:val="20"/>
          <w:szCs w:val="20"/>
          <w:lang w:val="es-UY"/>
        </w:rPr>
        <w:t>dich</w:t>
      </w:r>
      <w:r w:rsidR="009C7FDD">
        <w:rPr>
          <w:rFonts w:asciiTheme="majorHAnsi" w:hAnsiTheme="majorHAnsi"/>
          <w:bCs/>
          <w:sz w:val="20"/>
          <w:szCs w:val="20"/>
          <w:lang w:val="es-UY"/>
        </w:rPr>
        <w:t xml:space="preserve">a obligación es de medio y no de resultado. De tal manera, </w:t>
      </w:r>
      <w:r w:rsidR="0066482B">
        <w:rPr>
          <w:rFonts w:asciiTheme="majorHAnsi" w:hAnsiTheme="majorHAnsi"/>
          <w:bCs/>
          <w:sz w:val="20"/>
          <w:szCs w:val="20"/>
          <w:lang w:val="es-UY"/>
        </w:rPr>
        <w:t>aduce</w:t>
      </w:r>
      <w:r w:rsidR="009C7FDD">
        <w:rPr>
          <w:rFonts w:asciiTheme="majorHAnsi" w:hAnsiTheme="majorHAnsi"/>
          <w:bCs/>
          <w:sz w:val="20"/>
          <w:szCs w:val="20"/>
          <w:lang w:val="es-UY"/>
        </w:rPr>
        <w:t xml:space="preserve"> que</w:t>
      </w:r>
      <w:r w:rsidR="004646ED">
        <w:rPr>
          <w:rFonts w:asciiTheme="majorHAnsi" w:hAnsiTheme="majorHAnsi"/>
          <w:bCs/>
          <w:sz w:val="20"/>
          <w:szCs w:val="20"/>
          <w:lang w:val="es-UY"/>
        </w:rPr>
        <w:t xml:space="preserve"> la parte peticionaria </w:t>
      </w:r>
      <w:r w:rsidR="009C7FDD">
        <w:rPr>
          <w:rFonts w:asciiTheme="majorHAnsi" w:hAnsiTheme="majorHAnsi"/>
          <w:bCs/>
          <w:sz w:val="20"/>
          <w:szCs w:val="20"/>
          <w:lang w:val="es-UY"/>
        </w:rPr>
        <w:t xml:space="preserve">presenta una mera inconformidad </w:t>
      </w:r>
      <w:r w:rsidR="00E9394C">
        <w:rPr>
          <w:rFonts w:asciiTheme="majorHAnsi" w:hAnsiTheme="majorHAnsi"/>
          <w:bCs/>
          <w:sz w:val="20"/>
          <w:szCs w:val="20"/>
          <w:lang w:val="es-UY"/>
        </w:rPr>
        <w:t xml:space="preserve">con la decisión de cierre del proceso, pese que </w:t>
      </w:r>
      <w:r w:rsidR="003929EA">
        <w:rPr>
          <w:rFonts w:asciiTheme="majorHAnsi" w:hAnsiTheme="majorHAnsi"/>
          <w:bCs/>
          <w:sz w:val="20"/>
          <w:szCs w:val="20"/>
          <w:lang w:val="es-UY"/>
        </w:rPr>
        <w:t>éste no fue contraria a la Convención Americana, toda vez que estuvo debidamente motivada, y sustentada en las cuestiones fácticas y jurídicas desarrolladas a nivel interno.</w:t>
      </w:r>
      <w:r w:rsidR="00BD672C">
        <w:rPr>
          <w:rFonts w:asciiTheme="majorHAnsi" w:hAnsiTheme="majorHAnsi"/>
          <w:bCs/>
          <w:sz w:val="20"/>
          <w:szCs w:val="20"/>
          <w:lang w:val="es-UY"/>
        </w:rPr>
        <w:t xml:space="preserve"> Por ello, solicita a la CIDH declarar la inadmisibilidad de la presente petición, de conformidad con lo di</w:t>
      </w:r>
      <w:r w:rsidR="00A472D2">
        <w:rPr>
          <w:rFonts w:asciiTheme="majorHAnsi" w:hAnsiTheme="majorHAnsi"/>
          <w:bCs/>
          <w:sz w:val="20"/>
          <w:szCs w:val="20"/>
          <w:lang w:val="es-UY"/>
        </w:rPr>
        <w:t>s</w:t>
      </w:r>
      <w:r w:rsidR="00BD672C">
        <w:rPr>
          <w:rFonts w:asciiTheme="majorHAnsi" w:hAnsiTheme="majorHAnsi"/>
          <w:bCs/>
          <w:sz w:val="20"/>
          <w:szCs w:val="20"/>
          <w:lang w:val="es-UY"/>
        </w:rPr>
        <w:t>puesto en el artículo 47.b</w:t>
      </w:r>
      <w:r w:rsidR="0066482B">
        <w:rPr>
          <w:rFonts w:asciiTheme="majorHAnsi" w:hAnsiTheme="majorHAnsi"/>
          <w:bCs/>
          <w:sz w:val="20"/>
          <w:szCs w:val="20"/>
          <w:lang w:val="es-UY"/>
        </w:rPr>
        <w:t>)</w:t>
      </w:r>
      <w:r w:rsidR="00BD672C">
        <w:rPr>
          <w:rFonts w:asciiTheme="majorHAnsi" w:hAnsiTheme="majorHAnsi"/>
          <w:bCs/>
          <w:sz w:val="20"/>
          <w:szCs w:val="20"/>
          <w:lang w:val="es-UY"/>
        </w:rPr>
        <w:t xml:space="preserve"> de la Convención Americana.</w:t>
      </w:r>
    </w:p>
    <w:p w14:paraId="51F68C92" w14:textId="77777777" w:rsidR="003239B8" w:rsidRPr="00E64C3D" w:rsidRDefault="003239B8" w:rsidP="00142ED1">
      <w:pPr>
        <w:spacing w:before="240" w:after="240"/>
        <w:ind w:firstLine="720"/>
        <w:jc w:val="both"/>
        <w:rPr>
          <w:rFonts w:ascii="Cambria" w:hAnsi="Cambria"/>
          <w:sz w:val="20"/>
          <w:szCs w:val="20"/>
          <w:lang w:val="es-UY"/>
        </w:rPr>
      </w:pPr>
      <w:r w:rsidRPr="00E64C3D">
        <w:rPr>
          <w:rFonts w:asciiTheme="majorHAnsi" w:eastAsia="Cambria" w:hAnsiTheme="majorHAnsi" w:cs="Cambria"/>
          <w:b/>
          <w:bCs/>
          <w:color w:val="000000"/>
          <w:sz w:val="20"/>
          <w:szCs w:val="20"/>
          <w:u w:color="000000"/>
          <w:lang w:val="es-ES" w:eastAsia="es-ES"/>
        </w:rPr>
        <w:lastRenderedPageBreak/>
        <w:t>VI.</w:t>
      </w:r>
      <w:r w:rsidRPr="00E64C3D">
        <w:rPr>
          <w:rFonts w:asciiTheme="majorHAnsi" w:eastAsia="Cambria" w:hAnsiTheme="majorHAnsi" w:cs="Cambria"/>
          <w:b/>
          <w:bCs/>
          <w:color w:val="000000"/>
          <w:sz w:val="20"/>
          <w:szCs w:val="20"/>
          <w:u w:color="000000"/>
          <w:lang w:val="es-ES" w:eastAsia="es-ES"/>
        </w:rPr>
        <w:tab/>
      </w:r>
      <w:r w:rsidR="004A6A54" w:rsidRPr="00E64C3D">
        <w:rPr>
          <w:rFonts w:asciiTheme="majorHAnsi" w:hAnsiTheme="majorHAnsi"/>
          <w:b/>
          <w:bCs/>
          <w:sz w:val="20"/>
          <w:szCs w:val="20"/>
          <w:lang w:val="es-ES_tradnl"/>
        </w:rPr>
        <w:t xml:space="preserve">ANÁLISIS DE </w:t>
      </w:r>
      <w:r w:rsidR="00C21FEF" w:rsidRPr="00E64C3D">
        <w:rPr>
          <w:rFonts w:asciiTheme="majorHAnsi" w:hAnsiTheme="majorHAnsi"/>
          <w:b/>
          <w:sz w:val="20"/>
          <w:szCs w:val="20"/>
          <w:lang w:val="es-ES"/>
        </w:rPr>
        <w:t>AGOTAMIENTO DE LOS RECURSOS INTERNOS Y PLAZO DE PRESENTACIÓN</w:t>
      </w:r>
      <w:r w:rsidR="00C21FEF" w:rsidRPr="00E64C3D">
        <w:rPr>
          <w:rFonts w:asciiTheme="majorHAnsi" w:eastAsia="Cambria" w:hAnsiTheme="majorHAnsi" w:cs="Cambria"/>
          <w:b/>
          <w:bCs/>
          <w:color w:val="000000"/>
          <w:sz w:val="20"/>
          <w:szCs w:val="20"/>
          <w:u w:color="000000"/>
          <w:lang w:val="es-ES" w:eastAsia="es-ES"/>
        </w:rPr>
        <w:t xml:space="preserve"> </w:t>
      </w:r>
    </w:p>
    <w:p w14:paraId="7A7BA3C3" w14:textId="0CFF2775" w:rsidR="006C0ECF" w:rsidRDefault="00832E30" w:rsidP="00142ED1">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sz w:val="20"/>
          <w:szCs w:val="20"/>
          <w:lang w:val="es-ES"/>
        </w:rPr>
        <w:t xml:space="preserve">La parte peticionaria alega la responsabilidad del Estado en el homicidio del teniente Molina Guerrero porque miembros del ejército habría planeado su </w:t>
      </w:r>
      <w:r w:rsidR="00F47C9F">
        <w:rPr>
          <w:sz w:val="20"/>
          <w:szCs w:val="20"/>
          <w:lang w:val="es-ES"/>
        </w:rPr>
        <w:t xml:space="preserve">ejecución, </w:t>
      </w:r>
      <w:r>
        <w:rPr>
          <w:sz w:val="20"/>
          <w:szCs w:val="20"/>
          <w:lang w:val="es-ES"/>
        </w:rPr>
        <w:t xml:space="preserve">y </w:t>
      </w:r>
      <w:r w:rsidR="00F47C9F">
        <w:rPr>
          <w:sz w:val="20"/>
          <w:szCs w:val="20"/>
          <w:lang w:val="es-ES"/>
        </w:rPr>
        <w:t xml:space="preserve">también denuncia </w:t>
      </w:r>
      <w:r>
        <w:rPr>
          <w:sz w:val="20"/>
          <w:szCs w:val="20"/>
          <w:lang w:val="es-ES"/>
        </w:rPr>
        <w:t xml:space="preserve">la falta de sanción </w:t>
      </w:r>
      <w:r w:rsidR="00F47C9F">
        <w:rPr>
          <w:sz w:val="20"/>
          <w:szCs w:val="20"/>
          <w:lang w:val="es-ES"/>
        </w:rPr>
        <w:t xml:space="preserve">contra los servidores públicos </w:t>
      </w:r>
      <w:r w:rsidR="00691065">
        <w:rPr>
          <w:sz w:val="20"/>
          <w:szCs w:val="20"/>
          <w:lang w:val="es-ES"/>
        </w:rPr>
        <w:t>involucrados</w:t>
      </w:r>
      <w:r w:rsidR="00C826E9">
        <w:rPr>
          <w:sz w:val="20"/>
          <w:szCs w:val="20"/>
          <w:lang w:val="es-ES"/>
        </w:rPr>
        <w:t xml:space="preserve"> en el suceso</w:t>
      </w:r>
      <w:r w:rsidR="00691065">
        <w:rPr>
          <w:sz w:val="20"/>
          <w:szCs w:val="20"/>
          <w:lang w:val="es-ES"/>
        </w:rPr>
        <w:t>.</w:t>
      </w:r>
      <w:r w:rsidR="00C826E9">
        <w:rPr>
          <w:sz w:val="20"/>
          <w:szCs w:val="20"/>
          <w:lang w:val="es-ES"/>
        </w:rPr>
        <w:t xml:space="preserve"> </w:t>
      </w:r>
      <w:r w:rsidR="005D4B5F">
        <w:rPr>
          <w:sz w:val="20"/>
          <w:szCs w:val="20"/>
          <w:lang w:val="es-ES"/>
        </w:rPr>
        <w:t>Sostiene que, en el presente caso, resulta aplicable la excepción de retardo injustificado en la resolución de los recursos internos. El Estado, por su parte, no presenta observaciones sobre el agotamiento de los recursos internos.</w:t>
      </w:r>
    </w:p>
    <w:p w14:paraId="1DFC8946" w14:textId="69480D43" w:rsidR="005D4B5F" w:rsidRPr="0066409E" w:rsidRDefault="00550EA2" w:rsidP="2BF99238">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sz w:val="20"/>
          <w:szCs w:val="20"/>
          <w:lang w:val="es-ES"/>
        </w:rPr>
      </w:pPr>
      <w:r w:rsidRPr="0066409E">
        <w:rPr>
          <w:rFonts w:asciiTheme="majorHAnsi" w:hAnsiTheme="majorHAnsi"/>
          <w:sz w:val="20"/>
          <w:szCs w:val="20"/>
          <w:lang w:val="es-ES"/>
        </w:rPr>
        <w:t>El artículo 46.1.a) de la Convención Americana dispone que para que una petición sea admitida se requiere “</w:t>
      </w:r>
      <w:r w:rsidRPr="0066409E">
        <w:rPr>
          <w:rFonts w:asciiTheme="majorHAnsi" w:hAnsiTheme="majorHAnsi"/>
          <w:i/>
          <w:iCs/>
          <w:sz w:val="20"/>
          <w:szCs w:val="20"/>
          <w:lang w:val="es-ES"/>
        </w:rPr>
        <w:t>que se hayan interpuesto y agotado los recursos de jurisdicción interna, conforme a los principios del Derecho Internacional generalmente reconocidos</w:t>
      </w:r>
      <w:r w:rsidRPr="0066409E">
        <w:rPr>
          <w:rFonts w:asciiTheme="majorHAnsi" w:hAnsiTheme="majorHAnsi"/>
          <w:sz w:val="20"/>
          <w:szCs w:val="20"/>
          <w:lang w:val="es-ES"/>
        </w:rPr>
        <w:t>”.</w:t>
      </w:r>
      <w:r w:rsidR="006A2961" w:rsidRPr="0066409E">
        <w:rPr>
          <w:rFonts w:asciiTheme="majorHAnsi" w:hAnsiTheme="majorHAnsi"/>
          <w:sz w:val="20"/>
          <w:szCs w:val="20"/>
          <w:lang w:val="es-ES"/>
        </w:rPr>
        <w:t xml:space="preserve"> La Comisión reitera que, en casos de graves violaciones de derechos humanos, como las relacionadas con el derecho a la vida, que constituyen delitos perseguibles de oficio, los recursos internos que deben tomarse en cuenta a efectos de la admisibilidad son los relacionados con el proceso penal, ya que es la vía idónea para esclarecer los hechos y establecer las sanciones penales correspondientes, además de posibilitar otros modos de reparación de tipo pecuniario</w:t>
      </w:r>
      <w:r w:rsidR="006A2961" w:rsidRPr="2BF99238">
        <w:rPr>
          <w:rFonts w:asciiTheme="majorHAnsi" w:hAnsiTheme="majorHAnsi"/>
          <w:sz w:val="20"/>
          <w:szCs w:val="20"/>
          <w:vertAlign w:val="superscript"/>
        </w:rPr>
        <w:footnoteReference w:id="6"/>
      </w:r>
      <w:r w:rsidR="006A2961" w:rsidRPr="0066409E">
        <w:rPr>
          <w:rFonts w:asciiTheme="majorHAnsi" w:hAnsiTheme="majorHAnsi"/>
          <w:sz w:val="20"/>
          <w:szCs w:val="20"/>
          <w:lang w:val="es-ES"/>
        </w:rPr>
        <w:t>.</w:t>
      </w:r>
    </w:p>
    <w:p w14:paraId="0FE5235A" w14:textId="0D4164F1" w:rsidR="00E664E5" w:rsidRPr="00B844F0" w:rsidRDefault="00660500" w:rsidP="00142ED1">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sz w:val="20"/>
          <w:szCs w:val="20"/>
          <w:lang w:val="es-ES"/>
        </w:rPr>
        <w:t xml:space="preserve">Si bien la parte peticionaria </w:t>
      </w:r>
      <w:r w:rsidR="00105750">
        <w:rPr>
          <w:sz w:val="20"/>
          <w:szCs w:val="20"/>
          <w:lang w:val="es-ES"/>
        </w:rPr>
        <w:t>propone la aplicación de la excepción de retardo injustificado, la CIDH advierte que el proceso penal ya culminó definitivamente</w:t>
      </w:r>
      <w:r w:rsidR="00B844F0">
        <w:rPr>
          <w:sz w:val="20"/>
          <w:szCs w:val="20"/>
          <w:lang w:val="es-ES"/>
        </w:rPr>
        <w:t xml:space="preserve">. A este respecto, </w:t>
      </w:r>
      <w:r w:rsidR="00B844F0" w:rsidRPr="00A11B3B">
        <w:rPr>
          <w:sz w:val="20"/>
          <w:szCs w:val="20"/>
          <w:lang w:val="es-ES_tradnl"/>
        </w:rPr>
        <w:t xml:space="preserve">es pertinente recordar que </w:t>
      </w:r>
      <w:r w:rsidR="00B844F0" w:rsidRPr="00A11B3B">
        <w:rPr>
          <w:sz w:val="20"/>
          <w:szCs w:val="20"/>
          <w:lang w:val="es-CO"/>
        </w:rPr>
        <w:t>el artículo 46.2 de la Convención, por su naturaleza y objeto, es una norma con contenido autónomo frente a las normas sustantivas de la Convención Americana. Por lo tanto, la determinación de si las excepciones a la regla de agotamiento de los recursos internos resultan aplicables al caso en cuestión debe llevarse a cabo de manera previa y separada del análisis del fondo del asunto, ya que depende de un estándar de apreciación distinto de aquél utilizado para determinar la posible violación de los artículos 8 y 25 de la Convención.</w:t>
      </w:r>
    </w:p>
    <w:p w14:paraId="4DBE1E37" w14:textId="448C5B8B" w:rsidR="00B844F0" w:rsidRPr="006A2961" w:rsidRDefault="00CA56E4" w:rsidP="00142ED1">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sz w:val="20"/>
          <w:szCs w:val="20"/>
          <w:lang w:val="es-CO"/>
        </w:rPr>
        <w:t xml:space="preserve">Así, la Comisión </w:t>
      </w:r>
      <w:r w:rsidR="00F01335">
        <w:rPr>
          <w:sz w:val="20"/>
          <w:szCs w:val="20"/>
          <w:lang w:val="es-CO"/>
        </w:rPr>
        <w:t>not</w:t>
      </w:r>
      <w:r>
        <w:rPr>
          <w:sz w:val="20"/>
          <w:szCs w:val="20"/>
          <w:lang w:val="es-CO"/>
        </w:rPr>
        <w:t xml:space="preserve">a que </w:t>
      </w:r>
      <w:r w:rsidR="00F01335">
        <w:rPr>
          <w:sz w:val="20"/>
          <w:szCs w:val="20"/>
          <w:lang w:val="es-CO"/>
        </w:rPr>
        <w:t xml:space="preserve">la decisión que puso fin al proceso penal fue la proferida por la Fiscalía Primera delegada ante el Tribunal Superior de Cúcuta el </w:t>
      </w:r>
      <w:r w:rsidR="00F373AD">
        <w:rPr>
          <w:sz w:val="20"/>
          <w:szCs w:val="20"/>
          <w:lang w:val="es-CO"/>
        </w:rPr>
        <w:t xml:space="preserve">20 de mayo de 2015. Y, dado </w:t>
      </w:r>
      <w:r w:rsidR="0087497B">
        <w:rPr>
          <w:sz w:val="20"/>
          <w:szCs w:val="20"/>
          <w:lang w:val="es-CO"/>
        </w:rPr>
        <w:t xml:space="preserve">que la petición fue presentada el 3 de noviembre de 2015, </w:t>
      </w:r>
      <w:r w:rsidR="00A05466">
        <w:rPr>
          <w:sz w:val="20"/>
          <w:szCs w:val="20"/>
          <w:lang w:val="es-CO"/>
        </w:rPr>
        <w:t xml:space="preserve">concluye que cumple con los requisitos establecidos en </w:t>
      </w:r>
      <w:r w:rsidR="001A391A">
        <w:rPr>
          <w:sz w:val="20"/>
          <w:szCs w:val="20"/>
          <w:lang w:val="es-CO"/>
        </w:rPr>
        <w:t>los artículos</w:t>
      </w:r>
      <w:r w:rsidR="00A05466">
        <w:rPr>
          <w:sz w:val="20"/>
          <w:szCs w:val="20"/>
          <w:lang w:val="es-CO"/>
        </w:rPr>
        <w:t xml:space="preserve"> 46.1</w:t>
      </w:r>
      <w:r w:rsidR="000576E3">
        <w:rPr>
          <w:sz w:val="20"/>
          <w:szCs w:val="20"/>
          <w:lang w:val="es-CO"/>
        </w:rPr>
        <w:t>a</w:t>
      </w:r>
      <w:r w:rsidR="00A05466">
        <w:rPr>
          <w:sz w:val="20"/>
          <w:szCs w:val="20"/>
          <w:lang w:val="es-CO"/>
        </w:rPr>
        <w:t>) y b) de la Convención Americana.</w:t>
      </w:r>
    </w:p>
    <w:p w14:paraId="673598AF" w14:textId="77777777" w:rsidR="003239B8" w:rsidRDefault="003239B8" w:rsidP="00142ED1">
      <w:pPr>
        <w:pStyle w:val="ListParagraph"/>
        <w:numPr>
          <w:ilvl w:val="0"/>
          <w:numId w:val="0"/>
        </w:numPr>
        <w:ind w:left="720"/>
        <w:jc w:val="both"/>
        <w:rPr>
          <w:rFonts w:asciiTheme="majorHAnsi" w:hAnsiTheme="majorHAnsi"/>
          <w:b/>
          <w:bCs/>
          <w:sz w:val="20"/>
          <w:szCs w:val="20"/>
          <w:lang w:val="es-UY"/>
        </w:rPr>
      </w:pPr>
      <w:r w:rsidRPr="00E64C3D">
        <w:rPr>
          <w:rFonts w:asciiTheme="majorHAnsi" w:hAnsiTheme="majorHAnsi"/>
          <w:b/>
          <w:bCs/>
          <w:sz w:val="20"/>
          <w:szCs w:val="20"/>
          <w:lang w:val="es-ES"/>
        </w:rPr>
        <w:t>VII.</w:t>
      </w:r>
      <w:r w:rsidRPr="00E64C3D">
        <w:rPr>
          <w:rFonts w:asciiTheme="majorHAnsi" w:hAnsiTheme="majorHAnsi"/>
          <w:b/>
          <w:bCs/>
          <w:sz w:val="20"/>
          <w:szCs w:val="20"/>
          <w:lang w:val="es-ES"/>
        </w:rPr>
        <w:tab/>
      </w:r>
      <w:r w:rsidR="004A6A54" w:rsidRPr="000E55E0">
        <w:rPr>
          <w:rFonts w:asciiTheme="majorHAnsi" w:hAnsiTheme="majorHAnsi"/>
          <w:b/>
          <w:bCs/>
          <w:color w:val="auto"/>
          <w:sz w:val="20"/>
          <w:szCs w:val="20"/>
          <w:lang w:val="es-ES_tradnl"/>
        </w:rPr>
        <w:t xml:space="preserve">ANÁLISIS </w:t>
      </w:r>
      <w:r w:rsidR="004A6A54" w:rsidRPr="00E64C3D">
        <w:rPr>
          <w:rFonts w:asciiTheme="majorHAnsi" w:hAnsiTheme="majorHAnsi"/>
          <w:b/>
          <w:bCs/>
          <w:sz w:val="20"/>
          <w:szCs w:val="20"/>
          <w:lang w:val="es-ES_tradnl"/>
        </w:rPr>
        <w:t xml:space="preserve">DE </w:t>
      </w:r>
      <w:r w:rsidR="00C21FEF" w:rsidRPr="00E64C3D">
        <w:rPr>
          <w:rFonts w:asciiTheme="majorHAnsi" w:hAnsiTheme="majorHAnsi"/>
          <w:b/>
          <w:bCs/>
          <w:sz w:val="20"/>
          <w:szCs w:val="20"/>
          <w:lang w:val="es-ES"/>
        </w:rPr>
        <w:t xml:space="preserve">CARACTERIZACIÓN </w:t>
      </w:r>
      <w:r w:rsidR="00C21FEF" w:rsidRPr="00E64C3D">
        <w:rPr>
          <w:rFonts w:asciiTheme="majorHAnsi" w:hAnsiTheme="majorHAnsi"/>
          <w:b/>
          <w:bCs/>
          <w:sz w:val="20"/>
          <w:szCs w:val="20"/>
          <w:lang w:val="es-UY"/>
        </w:rPr>
        <w:t>DE LOS HECHOS ALEGADOS</w:t>
      </w:r>
    </w:p>
    <w:p w14:paraId="2DDF1999" w14:textId="03E82FAD" w:rsidR="006E621A" w:rsidRDefault="008C5E2D" w:rsidP="00142ED1">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6E621A">
        <w:rPr>
          <w:sz w:val="20"/>
          <w:szCs w:val="20"/>
          <w:lang w:val="es-ES"/>
        </w:rPr>
        <w:t>La Comisión observa que la presente petición inclu</w:t>
      </w:r>
      <w:r w:rsidR="004B421C" w:rsidRPr="006E621A">
        <w:rPr>
          <w:sz w:val="20"/>
          <w:szCs w:val="20"/>
          <w:lang w:val="es-ES"/>
        </w:rPr>
        <w:t>ye alega</w:t>
      </w:r>
      <w:r w:rsidR="00524730">
        <w:rPr>
          <w:sz w:val="20"/>
          <w:szCs w:val="20"/>
          <w:lang w:val="es-ES"/>
        </w:rPr>
        <w:t>t</w:t>
      </w:r>
      <w:r w:rsidR="004B421C" w:rsidRPr="006E621A">
        <w:rPr>
          <w:sz w:val="20"/>
          <w:szCs w:val="20"/>
          <w:lang w:val="es-ES"/>
        </w:rPr>
        <w:t xml:space="preserve">os con respecto a </w:t>
      </w:r>
      <w:r w:rsidR="00733DF7">
        <w:rPr>
          <w:sz w:val="20"/>
          <w:szCs w:val="20"/>
          <w:lang w:val="es-ES"/>
        </w:rPr>
        <w:t xml:space="preserve">la planeación por parte de agentes estatales del asesinato del teniente Molina Guerrero, </w:t>
      </w:r>
      <w:r w:rsidR="001C3900">
        <w:rPr>
          <w:sz w:val="20"/>
          <w:szCs w:val="20"/>
          <w:lang w:val="es-ES"/>
        </w:rPr>
        <w:t xml:space="preserve">y la impunidad frente a éstos. El Estado replica que la petición </w:t>
      </w:r>
      <w:r w:rsidR="008E584A">
        <w:rPr>
          <w:sz w:val="20"/>
          <w:szCs w:val="20"/>
          <w:lang w:val="es-ES"/>
        </w:rPr>
        <w:t>incurre en la denominada ‘fórmula de la cuarta instancia internacional’, porque las autoridades actuaron con debida diligencia y adoptaron las decisiones conforme a la garantía de motivación.</w:t>
      </w:r>
    </w:p>
    <w:p w14:paraId="6EB7ACE2" w14:textId="3C56FD06" w:rsidR="00697949" w:rsidRPr="007B3007" w:rsidRDefault="00D469B9" w:rsidP="00142ED1">
      <w:pPr>
        <w:pStyle w:val="ListParagraph"/>
        <w:numPr>
          <w:ilvl w:val="0"/>
          <w:numId w:val="61"/>
        </w:numPr>
        <w:suppressAutoHyphens/>
        <w:ind w:left="0" w:firstLine="720"/>
        <w:jc w:val="both"/>
        <w:rPr>
          <w:sz w:val="20"/>
          <w:szCs w:val="20"/>
          <w:lang w:val="es-ES"/>
        </w:rPr>
      </w:pPr>
      <w:r w:rsidRPr="00B80A2C">
        <w:rPr>
          <w:sz w:val="20"/>
          <w:szCs w:val="20"/>
          <w:lang w:val="es-CO"/>
        </w:rPr>
        <w:t xml:space="preserve">La Comisión reitera que el criterio de evaluación de la fase de admisibilidad difiere del que se utiliza para pronunciarse sobre el fondo de una petición; la CIDH debe realizar en esta etapa una evaluación </w:t>
      </w:r>
      <w:r w:rsidRPr="00B80A2C">
        <w:rPr>
          <w:i/>
          <w:iCs/>
          <w:sz w:val="20"/>
          <w:szCs w:val="20"/>
          <w:lang w:val="es-CO"/>
        </w:rPr>
        <w:t>prima facie</w:t>
      </w:r>
      <w:r w:rsidRPr="00B80A2C">
        <w:rPr>
          <w:sz w:val="20"/>
          <w:szCs w:val="20"/>
          <w:lang w:val="es-CO"/>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2E953B6B" w14:textId="77777777" w:rsidR="00521A94" w:rsidRPr="00521A94" w:rsidRDefault="00AF3DC5" w:rsidP="00142ED1">
      <w:pPr>
        <w:pStyle w:val="ListParagraph"/>
        <w:numPr>
          <w:ilvl w:val="0"/>
          <w:numId w:val="61"/>
        </w:numPr>
        <w:suppressAutoHyphens/>
        <w:ind w:left="0" w:firstLine="720"/>
        <w:jc w:val="both"/>
        <w:rPr>
          <w:sz w:val="20"/>
          <w:szCs w:val="20"/>
          <w:lang w:val="es-ES"/>
        </w:rPr>
      </w:pPr>
      <w:r>
        <w:rPr>
          <w:sz w:val="20"/>
          <w:szCs w:val="20"/>
          <w:lang w:val="es-CO"/>
        </w:rPr>
        <w:t xml:space="preserve">En esa medida, </w:t>
      </w:r>
      <w:r w:rsidR="00ED1949" w:rsidRPr="00ED1949">
        <w:rPr>
          <w:sz w:val="20"/>
          <w:szCs w:val="20"/>
          <w:lang w:val="es-ES_tradnl"/>
        </w:rPr>
        <w:t>con respecto al argumento de la “fórmula de la cuarta instancia”, la Comisión subraya el carácter complementario del sistema interamericano y resalta que, según lo ha indicado la Corte Interamericana</w:t>
      </w:r>
      <w:r w:rsidR="00ED1949">
        <w:rPr>
          <w:sz w:val="20"/>
          <w:szCs w:val="20"/>
          <w:lang w:val="es-ES_tradnl"/>
        </w:rPr>
        <w:t xml:space="preserve"> de Derechos Humanos</w:t>
      </w:r>
      <w:r w:rsidR="00ED1949" w:rsidRPr="00ED1949">
        <w:rPr>
          <w:sz w:val="20"/>
          <w:szCs w:val="20"/>
          <w:lang w:val="es-ES_tradnl"/>
        </w:rPr>
        <w:t xml:space="preserve">, para que proceda una excepción de “cuarta instancia” sería necesario </w:t>
      </w:r>
      <w:r w:rsidR="00ED1949" w:rsidRPr="00ED1949">
        <w:rPr>
          <w:sz w:val="20"/>
          <w:szCs w:val="20"/>
          <w:lang w:val="es-ES_tradnl"/>
        </w:rPr>
        <w:lastRenderedPageBreak/>
        <w:t>que se “</w:t>
      </w:r>
      <w:r w:rsidR="00ED1949" w:rsidRPr="00EC6BEB">
        <w:rPr>
          <w:i/>
          <w:iCs/>
          <w:sz w:val="20"/>
          <w:szCs w:val="20"/>
          <w:lang w:val="es-ES_tradnl"/>
        </w:rPr>
        <w:t>busque que […][se]  revise el fallo de un tribunal interno en virtud de su incorrecta apreciación de la prueba, los hechos o el derecho interno, sin que, a la vez, se alegue que tal fallo incurrió en una violación de tratados internacionales [ …]</w:t>
      </w:r>
      <w:r w:rsidR="00ED1949" w:rsidRPr="00ED1949">
        <w:rPr>
          <w:sz w:val="20"/>
          <w:szCs w:val="20"/>
          <w:lang w:val="es-ES_tradnl"/>
        </w:rPr>
        <w:t>”</w:t>
      </w:r>
      <w:r w:rsidR="00ED1949" w:rsidRPr="00ED1949">
        <w:rPr>
          <w:sz w:val="20"/>
          <w:szCs w:val="20"/>
          <w:vertAlign w:val="superscript"/>
          <w:lang w:val="es-ES_tradnl"/>
        </w:rPr>
        <w:footnoteReference w:id="7"/>
      </w:r>
      <w:r w:rsidR="00ED1949" w:rsidRPr="00ED1949">
        <w:rPr>
          <w:sz w:val="20"/>
          <w:szCs w:val="20"/>
          <w:lang w:val="es-ES_tradnl"/>
        </w:rPr>
        <w:t xml:space="preserve">. </w:t>
      </w:r>
    </w:p>
    <w:p w14:paraId="72FE9423" w14:textId="510B2FC9" w:rsidR="00445052" w:rsidRPr="00142ED1" w:rsidRDefault="00ED1949" w:rsidP="00142ED1">
      <w:pPr>
        <w:pStyle w:val="ListParagraph"/>
        <w:numPr>
          <w:ilvl w:val="0"/>
          <w:numId w:val="61"/>
        </w:numPr>
        <w:suppressAutoHyphens/>
        <w:ind w:left="0" w:firstLine="720"/>
        <w:jc w:val="both"/>
        <w:rPr>
          <w:sz w:val="20"/>
          <w:szCs w:val="20"/>
          <w:lang w:val="es-ES"/>
        </w:rPr>
      </w:pPr>
      <w:r w:rsidRPr="00142ED1">
        <w:rPr>
          <w:sz w:val="20"/>
          <w:szCs w:val="20"/>
          <w:lang w:val="es-ES_tradnl"/>
        </w:rPr>
        <w:t>En el presente caso, la Comisión considera que</w:t>
      </w:r>
      <w:r w:rsidR="008F1ED6" w:rsidRPr="00142ED1">
        <w:rPr>
          <w:sz w:val="20"/>
          <w:szCs w:val="20"/>
          <w:lang w:val="es-ES_tradnl"/>
        </w:rPr>
        <w:t xml:space="preserve"> le </w:t>
      </w:r>
      <w:r w:rsidRPr="00142ED1">
        <w:rPr>
          <w:sz w:val="20"/>
          <w:szCs w:val="20"/>
          <w:lang w:val="es-ES_tradnl"/>
        </w:rPr>
        <w:t>compete verificar “si las actuaciones de órganos judiciales constituyen o no una violación de las obligaciones internacionales del Estado, [lo cual]</w:t>
      </w:r>
      <w:r w:rsidR="00A67E2D" w:rsidRPr="00142ED1">
        <w:rPr>
          <w:sz w:val="20"/>
          <w:szCs w:val="20"/>
          <w:lang w:val="es-ES_tradnl"/>
        </w:rPr>
        <w:t xml:space="preserve"> </w:t>
      </w:r>
      <w:r w:rsidRPr="00142ED1">
        <w:rPr>
          <w:sz w:val="20"/>
          <w:szCs w:val="20"/>
          <w:lang w:val="es-ES_tradnl"/>
        </w:rPr>
        <w:t>puede conducir a que […] deba ocuparse de examinar los respectivos procesos internos para establecer su compatibilidad con la Convención Americana”</w:t>
      </w:r>
      <w:r w:rsidRPr="00142ED1">
        <w:rPr>
          <w:sz w:val="20"/>
          <w:szCs w:val="20"/>
          <w:vertAlign w:val="superscript"/>
        </w:rPr>
        <w:footnoteReference w:id="8"/>
      </w:r>
      <w:r w:rsidRPr="00142ED1">
        <w:rPr>
          <w:sz w:val="20"/>
          <w:szCs w:val="20"/>
          <w:lang w:val="es-ES_tradnl"/>
        </w:rPr>
        <w:t>.</w:t>
      </w:r>
      <w:r w:rsidR="004001CB" w:rsidRPr="00142ED1">
        <w:rPr>
          <w:sz w:val="20"/>
          <w:szCs w:val="20"/>
          <w:lang w:val="es-ES_tradnl"/>
        </w:rPr>
        <w:t xml:space="preserve"> </w:t>
      </w:r>
      <w:r w:rsidR="002B6364" w:rsidRPr="00142ED1">
        <w:rPr>
          <w:sz w:val="20"/>
          <w:szCs w:val="20"/>
          <w:lang w:val="es-ES_tradnl"/>
        </w:rPr>
        <w:t xml:space="preserve">En particular, </w:t>
      </w:r>
      <w:r w:rsidR="002B6364" w:rsidRPr="00142ED1">
        <w:rPr>
          <w:sz w:val="20"/>
          <w:szCs w:val="20"/>
          <w:lang w:val="es-CO"/>
        </w:rPr>
        <w:t>a</w:t>
      </w:r>
      <w:r w:rsidR="00271E86" w:rsidRPr="00142ED1">
        <w:rPr>
          <w:sz w:val="20"/>
          <w:szCs w:val="20"/>
          <w:lang w:val="es-CO"/>
        </w:rPr>
        <w:t>cerca de la falta de investigación cuando existen indicios de participación de agentes estatales, los órganos del Sistema Interamericano han reiterado que ésta “</w:t>
      </w:r>
      <w:r w:rsidR="00271E86" w:rsidRPr="00142ED1">
        <w:rPr>
          <w:i/>
          <w:iCs/>
          <w:sz w:val="20"/>
          <w:szCs w:val="20"/>
          <w:lang w:val="es-CO"/>
        </w:rPr>
        <w:t xml:space="preserve">impide que el Estado presente una explicación satisfactoria y convincente de los </w:t>
      </w:r>
      <w:r w:rsidR="00271E86" w:rsidRPr="00142ED1">
        <w:rPr>
          <w:sz w:val="20"/>
          <w:szCs w:val="20"/>
          <w:lang w:val="es-CO"/>
        </w:rPr>
        <w:t>[hechos]</w:t>
      </w:r>
      <w:r w:rsidR="00271E86" w:rsidRPr="00142ED1">
        <w:rPr>
          <w:i/>
          <w:iCs/>
          <w:sz w:val="20"/>
          <w:szCs w:val="20"/>
          <w:lang w:val="es-CO"/>
        </w:rPr>
        <w:t xml:space="preserve"> alegados y desvirtuar las alegaciones sobre su responsabilidad, mediante elementos probatorios adecuados</w:t>
      </w:r>
      <w:r w:rsidR="00271E86" w:rsidRPr="00142ED1">
        <w:rPr>
          <w:sz w:val="20"/>
          <w:szCs w:val="20"/>
          <w:lang w:val="es-CO"/>
        </w:rPr>
        <w:t>”</w:t>
      </w:r>
      <w:r w:rsidR="00271E86" w:rsidRPr="00142ED1">
        <w:rPr>
          <w:sz w:val="20"/>
          <w:szCs w:val="20"/>
          <w:vertAlign w:val="superscript"/>
          <w:lang w:val="es-ES"/>
        </w:rPr>
        <w:footnoteReference w:id="9"/>
      </w:r>
      <w:r w:rsidR="00271E86" w:rsidRPr="00142ED1">
        <w:rPr>
          <w:sz w:val="20"/>
          <w:szCs w:val="20"/>
          <w:lang w:val="es-CO"/>
        </w:rPr>
        <w:t>.</w:t>
      </w:r>
    </w:p>
    <w:p w14:paraId="4D4A6AB5" w14:textId="6F47DD9F" w:rsidR="00014D85" w:rsidRPr="00142ED1" w:rsidRDefault="00ED1949" w:rsidP="00142ED1">
      <w:pPr>
        <w:pStyle w:val="ListParagraph"/>
        <w:numPr>
          <w:ilvl w:val="0"/>
          <w:numId w:val="61"/>
        </w:numPr>
        <w:suppressAutoHyphens/>
        <w:ind w:left="0" w:firstLine="720"/>
        <w:jc w:val="both"/>
        <w:rPr>
          <w:sz w:val="20"/>
          <w:szCs w:val="20"/>
          <w:lang w:val="es-ES"/>
        </w:rPr>
      </w:pPr>
      <w:r w:rsidRPr="00142ED1">
        <w:rPr>
          <w:sz w:val="20"/>
          <w:szCs w:val="20"/>
          <w:lang w:val="es-ES_tradnl"/>
        </w:rPr>
        <w:t xml:space="preserve">En este sentido, </w:t>
      </w:r>
      <w:r w:rsidR="00907506" w:rsidRPr="00142ED1">
        <w:rPr>
          <w:sz w:val="20"/>
          <w:szCs w:val="20"/>
          <w:lang w:val="es-ES_tradnl"/>
        </w:rPr>
        <w:t xml:space="preserve">corresponde a la Comisión analizar </w:t>
      </w:r>
      <w:r w:rsidR="000B528E" w:rsidRPr="00142ED1">
        <w:rPr>
          <w:sz w:val="20"/>
          <w:szCs w:val="20"/>
          <w:lang w:val="es-ES_tradnl"/>
        </w:rPr>
        <w:t xml:space="preserve">si el </w:t>
      </w:r>
      <w:r w:rsidRPr="00142ED1">
        <w:rPr>
          <w:sz w:val="20"/>
          <w:szCs w:val="20"/>
          <w:lang w:val="es-ES_tradnl"/>
        </w:rPr>
        <w:t xml:space="preserve">Estado </w:t>
      </w:r>
      <w:r w:rsidR="00615017" w:rsidRPr="00142ED1">
        <w:rPr>
          <w:sz w:val="20"/>
          <w:szCs w:val="20"/>
          <w:lang w:val="es-ES_tradnl"/>
        </w:rPr>
        <w:t xml:space="preserve">colombiano </w:t>
      </w:r>
      <w:r w:rsidR="000B528E" w:rsidRPr="00142ED1">
        <w:rPr>
          <w:sz w:val="20"/>
          <w:szCs w:val="20"/>
          <w:lang w:val="es-ES_tradnl"/>
        </w:rPr>
        <w:t xml:space="preserve">actuó con </w:t>
      </w:r>
      <w:r w:rsidR="0033366F" w:rsidRPr="00142ED1">
        <w:rPr>
          <w:sz w:val="20"/>
          <w:szCs w:val="20"/>
          <w:lang w:val="es-ES_tradnl"/>
        </w:rPr>
        <w:t>l</w:t>
      </w:r>
      <w:r w:rsidR="000B528E" w:rsidRPr="00142ED1">
        <w:rPr>
          <w:sz w:val="20"/>
          <w:szCs w:val="20"/>
          <w:lang w:val="es-ES_tradnl"/>
        </w:rPr>
        <w:t>a deb</w:t>
      </w:r>
      <w:r w:rsidR="0033366F" w:rsidRPr="00142ED1">
        <w:rPr>
          <w:sz w:val="20"/>
          <w:szCs w:val="20"/>
          <w:lang w:val="es-ES_tradnl"/>
        </w:rPr>
        <w:t>i</w:t>
      </w:r>
      <w:r w:rsidR="000B528E" w:rsidRPr="00142ED1">
        <w:rPr>
          <w:sz w:val="20"/>
          <w:szCs w:val="20"/>
          <w:lang w:val="es-ES_tradnl"/>
        </w:rPr>
        <w:t xml:space="preserve">da diligencia en </w:t>
      </w:r>
      <w:r w:rsidR="0033366F" w:rsidRPr="00142ED1">
        <w:rPr>
          <w:sz w:val="20"/>
          <w:szCs w:val="20"/>
          <w:lang w:val="es-ES_tradnl"/>
        </w:rPr>
        <w:t xml:space="preserve">el proceso </w:t>
      </w:r>
      <w:r w:rsidR="000B528E" w:rsidRPr="00142ED1">
        <w:rPr>
          <w:sz w:val="20"/>
          <w:szCs w:val="20"/>
          <w:lang w:val="es-ES_tradnl"/>
        </w:rPr>
        <w:t>penal</w:t>
      </w:r>
      <w:r w:rsidR="00060F52" w:rsidRPr="00142ED1">
        <w:rPr>
          <w:sz w:val="20"/>
          <w:szCs w:val="20"/>
          <w:lang w:val="es-ES_tradnl"/>
        </w:rPr>
        <w:t xml:space="preserve"> adelantado</w:t>
      </w:r>
      <w:r w:rsidR="000B528E" w:rsidRPr="00142ED1">
        <w:rPr>
          <w:sz w:val="20"/>
          <w:szCs w:val="20"/>
          <w:lang w:val="es-ES_tradnl"/>
        </w:rPr>
        <w:t xml:space="preserve"> por el homicidio del teniente Molina Guerrero, </w:t>
      </w:r>
      <w:r w:rsidR="0033366F" w:rsidRPr="00142ED1">
        <w:rPr>
          <w:sz w:val="20"/>
          <w:szCs w:val="20"/>
          <w:lang w:val="es-ES_tradnl"/>
        </w:rPr>
        <w:t>conforme a la “</w:t>
      </w:r>
      <w:r w:rsidR="0033366F" w:rsidRPr="00142ED1">
        <w:rPr>
          <w:bCs/>
          <w:i/>
          <w:iCs/>
          <w:sz w:val="20"/>
          <w:szCs w:val="20"/>
          <w:lang w:val="es-ES"/>
        </w:rPr>
        <w:t xml:space="preserve">obligación de impulsar ex officio una investigación </w:t>
      </w:r>
      <w:r w:rsidR="0033366F" w:rsidRPr="00142ED1">
        <w:rPr>
          <w:bCs/>
          <w:i/>
          <w:iCs/>
          <w:sz w:val="20"/>
          <w:szCs w:val="20"/>
          <w:lang w:val="es-CO"/>
        </w:rPr>
        <w:t xml:space="preserve">seria, imparcial y efectiva </w:t>
      </w:r>
      <w:r w:rsidR="0033366F" w:rsidRPr="00142ED1">
        <w:rPr>
          <w:bCs/>
          <w:i/>
          <w:iCs/>
          <w:sz w:val="20"/>
          <w:szCs w:val="20"/>
          <w:lang w:val="es-ES"/>
        </w:rPr>
        <w:t xml:space="preserve">conforme a las garantías judiciales para que las presuntas víctimas o sus familiares puedan conocer la verdad de lo sucedido </w:t>
      </w:r>
      <w:r w:rsidR="0033366F" w:rsidRPr="00142ED1">
        <w:rPr>
          <w:bCs/>
          <w:i/>
          <w:iCs/>
          <w:sz w:val="20"/>
          <w:szCs w:val="20"/>
          <w:lang w:val="es-CO"/>
        </w:rPr>
        <w:t>y a la persecución, captura y eventual enjuiciamiento y castigo de los autores</w:t>
      </w:r>
      <w:r w:rsidR="00EC2163" w:rsidRPr="00142ED1">
        <w:rPr>
          <w:bCs/>
          <w:sz w:val="20"/>
          <w:szCs w:val="20"/>
          <w:lang w:val="es-CO"/>
        </w:rPr>
        <w:t>”</w:t>
      </w:r>
      <w:r w:rsidR="0033366F" w:rsidRPr="00142ED1">
        <w:rPr>
          <w:bCs/>
          <w:sz w:val="20"/>
          <w:szCs w:val="20"/>
          <w:vertAlign w:val="superscript"/>
          <w:lang w:val="es-ES"/>
        </w:rPr>
        <w:footnoteReference w:id="10"/>
      </w:r>
      <w:r w:rsidR="00F90666" w:rsidRPr="00142ED1">
        <w:rPr>
          <w:bCs/>
          <w:sz w:val="20"/>
          <w:szCs w:val="20"/>
          <w:lang w:val="es-CO"/>
        </w:rPr>
        <w:t xml:space="preserve">. </w:t>
      </w:r>
      <w:r w:rsidR="00C73DBE" w:rsidRPr="00142ED1">
        <w:rPr>
          <w:bCs/>
          <w:sz w:val="20"/>
          <w:szCs w:val="20"/>
          <w:lang w:val="es-CO"/>
        </w:rPr>
        <w:t>Si la fiscalía no actuó con debida diligencia en la investigación de los funcionarios públicos que podrían estar involucrados, el</w:t>
      </w:r>
      <w:r w:rsidR="00EC2163" w:rsidRPr="00142ED1">
        <w:rPr>
          <w:bCs/>
          <w:sz w:val="20"/>
          <w:szCs w:val="20"/>
          <w:lang w:val="es-ES"/>
        </w:rPr>
        <w:t xml:space="preserve">lo podría configurar </w:t>
      </w:r>
      <w:r w:rsidR="00DD0F84" w:rsidRPr="00142ED1">
        <w:rPr>
          <w:bCs/>
          <w:sz w:val="20"/>
          <w:szCs w:val="20"/>
          <w:lang w:val="es-ES"/>
        </w:rPr>
        <w:t>un</w:t>
      </w:r>
      <w:r w:rsidR="00EC2163" w:rsidRPr="00142ED1">
        <w:rPr>
          <w:bCs/>
          <w:sz w:val="20"/>
          <w:szCs w:val="20"/>
          <w:lang w:val="es-ES"/>
        </w:rPr>
        <w:t xml:space="preserve">a posible </w:t>
      </w:r>
      <w:r w:rsidRPr="00142ED1">
        <w:rPr>
          <w:sz w:val="20"/>
          <w:szCs w:val="20"/>
          <w:lang w:val="es-ES_tradnl"/>
        </w:rPr>
        <w:t>violaci</w:t>
      </w:r>
      <w:r w:rsidR="00DD0F84" w:rsidRPr="00142ED1">
        <w:rPr>
          <w:sz w:val="20"/>
          <w:szCs w:val="20"/>
          <w:lang w:val="es-ES_tradnl"/>
        </w:rPr>
        <w:t>ón de los derechos invocados</w:t>
      </w:r>
      <w:r w:rsidR="00F92EB3" w:rsidRPr="00142ED1">
        <w:rPr>
          <w:sz w:val="20"/>
          <w:szCs w:val="20"/>
          <w:lang w:val="es-ES_tradnl"/>
        </w:rPr>
        <w:t xml:space="preserve"> por la parte peticionaria</w:t>
      </w:r>
      <w:r w:rsidR="004001CB" w:rsidRPr="00142ED1">
        <w:rPr>
          <w:sz w:val="20"/>
          <w:szCs w:val="20"/>
          <w:lang w:val="es-ES_tradnl"/>
        </w:rPr>
        <w:t>.</w:t>
      </w:r>
    </w:p>
    <w:p w14:paraId="04F6969B" w14:textId="330E1C11" w:rsidR="00AF3DC5" w:rsidRPr="00142ED1" w:rsidRDefault="00014D85" w:rsidP="00142ED1">
      <w:pPr>
        <w:pStyle w:val="ListParagraph"/>
        <w:numPr>
          <w:ilvl w:val="0"/>
          <w:numId w:val="61"/>
        </w:numPr>
        <w:suppressAutoHyphens/>
        <w:ind w:left="0" w:firstLine="720"/>
        <w:jc w:val="both"/>
        <w:rPr>
          <w:sz w:val="20"/>
          <w:szCs w:val="20"/>
          <w:lang w:val="es-ES"/>
        </w:rPr>
      </w:pPr>
      <w:r w:rsidRPr="00142ED1">
        <w:rPr>
          <w:sz w:val="20"/>
          <w:szCs w:val="20"/>
          <w:lang w:val="es-ES_tradnl"/>
        </w:rPr>
        <w:t>Ahora bien, l</w:t>
      </w:r>
      <w:r w:rsidR="004C5676" w:rsidRPr="00142ED1">
        <w:rPr>
          <w:sz w:val="20"/>
          <w:szCs w:val="20"/>
          <w:lang w:val="es-ES_tradnl"/>
        </w:rPr>
        <w:t xml:space="preserve">a CIDH toma nota de las gestiones emprendidas a nivel interno y de la condena alcanzada en el marco de la investigación. Sin embargo, resta </w:t>
      </w:r>
      <w:r w:rsidR="00303D23" w:rsidRPr="00142ED1">
        <w:rPr>
          <w:sz w:val="20"/>
          <w:szCs w:val="20"/>
          <w:lang w:val="es-ES_tradnl"/>
        </w:rPr>
        <w:t>examinar si existe impunidad parcial en el presente caso y si ésta se debe a faltas en la debida diligencia de la investigación.</w:t>
      </w:r>
      <w:r w:rsidRPr="00142ED1">
        <w:rPr>
          <w:sz w:val="20"/>
          <w:szCs w:val="20"/>
          <w:lang w:val="es-ES_tradnl"/>
        </w:rPr>
        <w:t xml:space="preserve"> </w:t>
      </w:r>
      <w:r w:rsidR="001F60D9" w:rsidRPr="00142ED1">
        <w:rPr>
          <w:sz w:val="20"/>
          <w:szCs w:val="20"/>
          <w:lang w:val="es-ES_tradnl"/>
        </w:rPr>
        <w:t xml:space="preserve">Asimismo, la Comisión incluirá el artículo 3 (reconocimiento de la personalidad jurídica) para su estudio en la etapa de fondo dados los alegatos relacionados con la desaparición forzada </w:t>
      </w:r>
      <w:r w:rsidR="00662ECA" w:rsidRPr="00142ED1">
        <w:rPr>
          <w:sz w:val="20"/>
          <w:szCs w:val="20"/>
          <w:lang w:val="es-ES_tradnl"/>
        </w:rPr>
        <w:t>posterior al asesinato de la presunta víctima.</w:t>
      </w:r>
    </w:p>
    <w:p w14:paraId="35CD31D6" w14:textId="69B53D39" w:rsidR="006E621A" w:rsidRDefault="008C5E2D" w:rsidP="00142ED1">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142ED1">
        <w:rPr>
          <w:sz w:val="20"/>
          <w:szCs w:val="20"/>
          <w:lang w:val="es-ES"/>
        </w:rPr>
        <w:t>En aten</w:t>
      </w:r>
      <w:r w:rsidR="00C25ADB" w:rsidRPr="00142ED1">
        <w:rPr>
          <w:sz w:val="20"/>
          <w:szCs w:val="20"/>
          <w:lang w:val="es-ES"/>
        </w:rPr>
        <w:t xml:space="preserve">ción a estas consideraciones y </w:t>
      </w:r>
      <w:r w:rsidRPr="00142ED1">
        <w:rPr>
          <w:sz w:val="20"/>
          <w:szCs w:val="20"/>
          <w:lang w:val="es-ES"/>
        </w:rPr>
        <w:t>tras examinar los elementos de hecho y</w:t>
      </w:r>
      <w:r w:rsidRPr="006E621A">
        <w:rPr>
          <w:sz w:val="20"/>
          <w:szCs w:val="20"/>
          <w:lang w:val="es-ES"/>
        </w:rPr>
        <w:t xml:space="preserve"> de derecho expuestos por las partes la Comisión estima que las alegaciones de la parte peticionaria no resultan manifiestamente infundadas y requieren un estudio de fondo</w:t>
      </w:r>
      <w:r w:rsidR="00394073" w:rsidRPr="006E621A">
        <w:rPr>
          <w:sz w:val="20"/>
          <w:szCs w:val="20"/>
          <w:lang w:val="es-ES"/>
        </w:rPr>
        <w:t>;</w:t>
      </w:r>
      <w:r w:rsidRPr="006E621A">
        <w:rPr>
          <w:sz w:val="20"/>
          <w:szCs w:val="20"/>
          <w:lang w:val="es-ES"/>
        </w:rPr>
        <w:t xml:space="preserve"> pues los hechos alegados, de corroborarse como ciertos</w:t>
      </w:r>
      <w:r w:rsidR="00394073" w:rsidRPr="006E621A">
        <w:rPr>
          <w:sz w:val="20"/>
          <w:szCs w:val="20"/>
          <w:lang w:val="es-ES"/>
        </w:rPr>
        <w:t>,</w:t>
      </w:r>
      <w:r w:rsidRPr="006E621A">
        <w:rPr>
          <w:sz w:val="20"/>
          <w:szCs w:val="20"/>
          <w:lang w:val="es-ES"/>
        </w:rPr>
        <w:t xml:space="preserve"> podrían caracteri</w:t>
      </w:r>
      <w:r w:rsidR="004B421C" w:rsidRPr="006E621A">
        <w:rPr>
          <w:sz w:val="20"/>
          <w:szCs w:val="20"/>
          <w:lang w:val="es-ES"/>
        </w:rPr>
        <w:t>zar violaciones a los artículos</w:t>
      </w:r>
      <w:r w:rsidR="00394073" w:rsidRPr="006E621A">
        <w:rPr>
          <w:sz w:val="20"/>
          <w:szCs w:val="20"/>
          <w:lang w:val="es-ES"/>
        </w:rPr>
        <w:t xml:space="preserve"> </w:t>
      </w:r>
      <w:r w:rsidR="003D25D3" w:rsidRPr="00427197">
        <w:rPr>
          <w:bCs/>
          <w:sz w:val="20"/>
          <w:szCs w:val="20"/>
          <w:lang w:val="es-CO"/>
        </w:rPr>
        <w:t>3 (reconocimiento de la p</w:t>
      </w:r>
      <w:r w:rsidR="003D25D3">
        <w:rPr>
          <w:bCs/>
          <w:sz w:val="20"/>
          <w:szCs w:val="20"/>
          <w:lang w:val="es-CO"/>
        </w:rPr>
        <w:t xml:space="preserve">ersonalidad jurídica), 4 (vida), </w:t>
      </w:r>
      <w:r w:rsidR="003D25D3" w:rsidRPr="002C6FBF">
        <w:rPr>
          <w:bCs/>
          <w:sz w:val="20"/>
          <w:szCs w:val="20"/>
          <w:lang w:val="es-CO"/>
        </w:rPr>
        <w:t xml:space="preserve">8 </w:t>
      </w:r>
      <w:r w:rsidR="003D25D3">
        <w:rPr>
          <w:bCs/>
          <w:sz w:val="20"/>
          <w:szCs w:val="20"/>
          <w:lang w:val="es-CO"/>
        </w:rPr>
        <w:t>(garantías judiciales) y 25 (protección judicial) de la Convención Americana,</w:t>
      </w:r>
      <w:r w:rsidR="00394073" w:rsidRPr="006E621A">
        <w:rPr>
          <w:sz w:val="20"/>
          <w:szCs w:val="20"/>
          <w:lang w:val="es-ES"/>
        </w:rPr>
        <w:t xml:space="preserve"> </w:t>
      </w:r>
      <w:r w:rsidR="00394073" w:rsidRPr="003D25D3">
        <w:rPr>
          <w:sz w:val="20"/>
          <w:szCs w:val="20"/>
          <w:lang w:val="es-ES"/>
        </w:rPr>
        <w:t xml:space="preserve">en perjuicio de </w:t>
      </w:r>
      <w:r w:rsidR="003D25D3" w:rsidRPr="003D25D3">
        <w:rPr>
          <w:bCs/>
          <w:sz w:val="20"/>
          <w:szCs w:val="20"/>
          <w:lang w:val="es-ES"/>
        </w:rPr>
        <w:t xml:space="preserve">Francisco Antonio Molina Guerrero, </w:t>
      </w:r>
      <w:r w:rsidR="003D25D3" w:rsidRPr="003D25D3">
        <w:rPr>
          <w:bCs/>
          <w:sz w:val="20"/>
          <w:szCs w:val="20"/>
          <w:lang w:val="es-CO"/>
        </w:rPr>
        <w:t>Magdalena Guerrero Montenegro, Fabio Enrique Molina Guerrero y Jorge Alberto Molina Guerrero</w:t>
      </w:r>
      <w:r w:rsidR="003D25D3" w:rsidRPr="003D25D3">
        <w:rPr>
          <w:sz w:val="20"/>
          <w:szCs w:val="20"/>
          <w:lang w:val="es-US"/>
        </w:rPr>
        <w:t xml:space="preserve"> </w:t>
      </w:r>
      <w:r w:rsidR="00394073" w:rsidRPr="003D25D3">
        <w:rPr>
          <w:sz w:val="20"/>
          <w:szCs w:val="20"/>
          <w:lang w:val="es-US"/>
        </w:rPr>
        <w:t>en los términos del presente informe</w:t>
      </w:r>
      <w:r w:rsidR="00394073" w:rsidRPr="006E621A">
        <w:rPr>
          <w:sz w:val="20"/>
          <w:szCs w:val="20"/>
          <w:lang w:val="es-ES"/>
        </w:rPr>
        <w:t>.</w:t>
      </w:r>
    </w:p>
    <w:p w14:paraId="445BF42E" w14:textId="77777777" w:rsidR="003239B8" w:rsidRPr="0078770A" w:rsidRDefault="003239B8" w:rsidP="00142ED1">
      <w:pPr>
        <w:pStyle w:val="ListParagraph"/>
        <w:numPr>
          <w:ilvl w:val="0"/>
          <w:numId w:val="0"/>
        </w:numPr>
        <w:ind w:left="720"/>
        <w:jc w:val="both"/>
        <w:rPr>
          <w:rFonts w:asciiTheme="majorHAnsi" w:hAnsiTheme="majorHAnsi"/>
          <w:b/>
          <w:bCs/>
          <w:sz w:val="20"/>
          <w:szCs w:val="20"/>
          <w:lang w:val="es-ES"/>
        </w:rPr>
      </w:pPr>
      <w:r w:rsidRPr="0078770A">
        <w:rPr>
          <w:rFonts w:asciiTheme="majorHAnsi" w:hAnsiTheme="majorHAnsi"/>
          <w:b/>
          <w:bCs/>
          <w:sz w:val="20"/>
          <w:szCs w:val="20"/>
          <w:lang w:val="es-ES"/>
        </w:rPr>
        <w:t xml:space="preserve">VIII. </w:t>
      </w:r>
      <w:r>
        <w:rPr>
          <w:rFonts w:asciiTheme="majorHAnsi" w:hAnsiTheme="majorHAnsi"/>
          <w:b/>
          <w:bCs/>
          <w:sz w:val="20"/>
          <w:szCs w:val="20"/>
          <w:lang w:val="es-ES"/>
        </w:rPr>
        <w:tab/>
      </w:r>
      <w:r w:rsidRPr="0078770A">
        <w:rPr>
          <w:rFonts w:asciiTheme="majorHAnsi" w:hAnsiTheme="majorHAnsi"/>
          <w:b/>
          <w:bCs/>
          <w:sz w:val="20"/>
          <w:szCs w:val="20"/>
          <w:lang w:val="es-ES"/>
        </w:rPr>
        <w:t>DECISIÓN</w:t>
      </w:r>
    </w:p>
    <w:p w14:paraId="16B36F97" w14:textId="1FB11A26" w:rsidR="003239B8" w:rsidRPr="000419AD" w:rsidRDefault="003239B8" w:rsidP="00142ED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3239B8">
        <w:rPr>
          <w:rFonts w:asciiTheme="majorHAnsi" w:hAnsiTheme="majorHAnsi"/>
          <w:sz w:val="20"/>
          <w:szCs w:val="20"/>
          <w:lang w:val="es-ES"/>
        </w:rPr>
        <w:t>Declarar admisible la presente petición en relación con</w:t>
      </w:r>
      <w:r w:rsidR="001D7F96">
        <w:rPr>
          <w:rFonts w:asciiTheme="majorHAnsi" w:hAnsiTheme="majorHAnsi"/>
          <w:sz w:val="20"/>
          <w:szCs w:val="20"/>
          <w:lang w:val="es-ES"/>
        </w:rPr>
        <w:t xml:space="preserve"> </w:t>
      </w:r>
      <w:r w:rsidR="00756EC0">
        <w:rPr>
          <w:rFonts w:asciiTheme="majorHAnsi" w:hAnsiTheme="majorHAnsi"/>
          <w:sz w:val="20"/>
          <w:szCs w:val="20"/>
          <w:lang w:val="es-ES"/>
        </w:rPr>
        <w:t>los artículos 3, 4, 8 y 25 de la Convención Americana en concordancia con el artículo 1.1 del mismo instrumento</w:t>
      </w:r>
      <w:r w:rsidR="00A758AA">
        <w:rPr>
          <w:rFonts w:asciiTheme="majorHAnsi" w:hAnsiTheme="majorHAnsi"/>
          <w:sz w:val="20"/>
          <w:szCs w:val="20"/>
          <w:lang w:val="es-ES"/>
        </w:rPr>
        <w:t>;</w:t>
      </w:r>
      <w:r w:rsidR="007B76D3">
        <w:rPr>
          <w:rFonts w:asciiTheme="majorHAnsi" w:hAnsiTheme="majorHAnsi"/>
          <w:sz w:val="20"/>
          <w:szCs w:val="20"/>
          <w:lang w:val="es-ES"/>
        </w:rPr>
        <w:t xml:space="preserve"> y</w:t>
      </w:r>
    </w:p>
    <w:p w14:paraId="02C904B2" w14:textId="4994BC2E" w:rsidR="009A56CE" w:rsidRDefault="004A6A54" w:rsidP="00142ED1">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r w:rsidRPr="00756EC0">
        <w:rPr>
          <w:rFonts w:asciiTheme="majorHAnsi" w:hAnsiTheme="majorHAnsi"/>
          <w:sz w:val="20"/>
          <w:szCs w:val="20"/>
          <w:lang w:val="es-ES"/>
        </w:rPr>
        <w:t xml:space="preserve">Notificar a las partes la presente decisión; </w:t>
      </w:r>
      <w:r w:rsidRPr="00756EC0">
        <w:rPr>
          <w:rFonts w:asciiTheme="majorHAnsi" w:hAnsiTheme="majorHAnsi"/>
          <w:color w:val="auto"/>
          <w:sz w:val="20"/>
          <w:szCs w:val="20"/>
          <w:lang w:val="es-ES"/>
        </w:rPr>
        <w:t>continuar con el análisis del fondo de la cuestión</w:t>
      </w:r>
      <w:r w:rsidRPr="00756EC0">
        <w:rPr>
          <w:rFonts w:asciiTheme="majorHAnsi" w:hAnsiTheme="majorHAnsi"/>
          <w:sz w:val="20"/>
          <w:szCs w:val="20"/>
          <w:lang w:val="es-ES"/>
        </w:rPr>
        <w:t>; y publicar esta decisión e incluirla en su Informe Anual a la Asamblea General de la Organización de los Estados Americanos.</w:t>
      </w:r>
    </w:p>
    <w:p w14:paraId="383FB9A9" w14:textId="5331D59A" w:rsidR="0078447F" w:rsidRPr="009A5389" w:rsidRDefault="0078447F" w:rsidP="009A5389">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lastRenderedPageBreak/>
        <w:t>Aprobado por la Comisión Inte</w:t>
      </w:r>
      <w:r w:rsidRPr="000B5813">
        <w:rPr>
          <w:rStyle w:val="normaltextrun"/>
          <w:rFonts w:ascii="Cambria" w:hAnsi="Cambria" w:cs="Segoe UI"/>
          <w:color w:val="000000" w:themeColor="text1"/>
          <w:sz w:val="20"/>
          <w:szCs w:val="20"/>
          <w:lang w:val="es-CL"/>
        </w:rPr>
        <w:t>ramericana de Derechos Humanos a</w:t>
      </w:r>
      <w:r w:rsidR="00F36BD0">
        <w:rPr>
          <w:rStyle w:val="normaltextrun"/>
          <w:rFonts w:ascii="Cambria" w:hAnsi="Cambria" w:cs="Segoe UI"/>
          <w:color w:val="000000" w:themeColor="text1"/>
          <w:sz w:val="20"/>
          <w:szCs w:val="20"/>
          <w:lang w:val="es-CL"/>
        </w:rPr>
        <w:t>l primer</w:t>
      </w:r>
      <w:r w:rsidRPr="000B5813">
        <w:rPr>
          <w:rStyle w:val="normaltextrun"/>
          <w:rFonts w:ascii="Cambria" w:hAnsi="Cambria" w:cs="Segoe UI"/>
          <w:color w:val="000000" w:themeColor="text1"/>
          <w:sz w:val="20"/>
          <w:szCs w:val="20"/>
          <w:lang w:val="es-CL"/>
        </w:rPr>
        <w:t xml:space="preserve"> día del mes de </w:t>
      </w:r>
      <w:r w:rsidR="00F36BD0">
        <w:rPr>
          <w:rStyle w:val="normaltextrun"/>
          <w:rFonts w:ascii="Cambria" w:hAnsi="Cambria" w:cs="Segoe UI"/>
          <w:color w:val="000000" w:themeColor="text1"/>
          <w:sz w:val="20"/>
          <w:szCs w:val="20"/>
          <w:lang w:val="es-CL"/>
        </w:rPr>
        <w:t>septiembre</w:t>
      </w:r>
      <w:r w:rsidRPr="000B5813">
        <w:rPr>
          <w:rStyle w:val="normaltextrun"/>
          <w:rFonts w:ascii="Cambria" w:hAnsi="Cambria" w:cs="Segoe UI"/>
          <w:color w:val="000000" w:themeColor="text1"/>
          <w:sz w:val="20"/>
          <w:szCs w:val="20"/>
          <w:lang w:val="es-CL"/>
        </w:rPr>
        <w:t xml:space="preserve"> de 2025.  (Firmado): José Luis Caballero Ochoa, Presidente; Arif Bulkan, Segundo Vicepresidente; Roberta Clarke y Gloria Monique de Mees, </w:t>
      </w:r>
      <w:r w:rsidR="007A608F">
        <w:rPr>
          <w:rStyle w:val="normaltextrun"/>
          <w:rFonts w:ascii="Cambria" w:hAnsi="Cambria" w:cs="Segoe UI"/>
          <w:color w:val="000000" w:themeColor="text1"/>
          <w:sz w:val="20"/>
          <w:szCs w:val="20"/>
          <w:lang w:val="es-CL"/>
        </w:rPr>
        <w:t>m</w:t>
      </w:r>
      <w:r w:rsidRPr="000B5813">
        <w:rPr>
          <w:rStyle w:val="normaltextrun"/>
          <w:rFonts w:ascii="Cambria" w:hAnsi="Cambria" w:cs="Segoe UI"/>
          <w:color w:val="000000" w:themeColor="text1"/>
          <w:sz w:val="20"/>
          <w:szCs w:val="20"/>
          <w:lang w:val="es-CL"/>
        </w:rPr>
        <w:t>iembros de la Comisión.</w:t>
      </w:r>
    </w:p>
    <w:sectPr w:rsidR="0078447F" w:rsidRPr="009A5389"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255A9" w14:textId="77777777" w:rsidR="00450305" w:rsidRDefault="00450305">
      <w:r>
        <w:separator/>
      </w:r>
    </w:p>
  </w:endnote>
  <w:endnote w:type="continuationSeparator" w:id="0">
    <w:p w14:paraId="1856F71E" w14:textId="77777777" w:rsidR="00450305" w:rsidRDefault="0045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A0429" w14:textId="77777777" w:rsidR="00450305" w:rsidRPr="000F35ED" w:rsidRDefault="00450305">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24B28933" w14:textId="77777777" w:rsidR="00450305" w:rsidRPr="000F35ED" w:rsidRDefault="00450305" w:rsidP="000F35ED">
      <w:pPr>
        <w:rPr>
          <w:rFonts w:asciiTheme="majorHAnsi" w:hAnsiTheme="majorHAnsi"/>
          <w:sz w:val="16"/>
          <w:szCs w:val="16"/>
        </w:rPr>
      </w:pPr>
      <w:r w:rsidRPr="000F35ED">
        <w:rPr>
          <w:rFonts w:asciiTheme="majorHAnsi" w:hAnsiTheme="majorHAnsi"/>
          <w:sz w:val="16"/>
          <w:szCs w:val="16"/>
        </w:rPr>
        <w:separator/>
      </w:r>
    </w:p>
    <w:p w14:paraId="70461D8E" w14:textId="77777777" w:rsidR="00450305" w:rsidRPr="000F35ED" w:rsidRDefault="00450305"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18782FDC" w14:textId="77777777" w:rsidR="00450305" w:rsidRPr="000F35ED" w:rsidRDefault="00450305"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4EF170D" w14:textId="207754A6" w:rsidR="00F83924" w:rsidRPr="00F83924" w:rsidRDefault="00F83924" w:rsidP="00F83924">
      <w:pPr>
        <w:pStyle w:val="Notasalpie"/>
        <w:rPr>
          <w:rStyle w:val="FootnoteReference"/>
          <w:lang w:val="es-CO"/>
        </w:rPr>
      </w:pPr>
      <w:r>
        <w:rPr>
          <w:rStyle w:val="FootnoteReference"/>
        </w:rPr>
        <w:footnoteRef/>
      </w:r>
      <w:r w:rsidRPr="00F83924">
        <w:t xml:space="preserve"> </w:t>
      </w:r>
      <w:r>
        <w:t>La petición inicial fue presentada por los familiares de Francisco Antonio Molina Guerrero, pero, posteriormente, el abogado Carlos Mejía Rodríguez asumió su representación ante el Siste</w:t>
      </w:r>
      <w:r w:rsidR="00EE374F">
        <w:t>m</w:t>
      </w:r>
      <w:r>
        <w:t>a Interamericano como parte peticionaria.</w:t>
      </w:r>
    </w:p>
  </w:footnote>
  <w:footnote w:id="3">
    <w:p w14:paraId="66E930B8" w14:textId="50EC8810" w:rsidR="004A6A54" w:rsidRPr="00306F33" w:rsidRDefault="004A6A54" w:rsidP="009901FF">
      <w:pPr>
        <w:pStyle w:val="Notasalpie"/>
      </w:pPr>
      <w:r w:rsidRPr="00306F33">
        <w:rPr>
          <w:rStyle w:val="FootnoteReference"/>
        </w:rPr>
        <w:footnoteRef/>
      </w:r>
      <w:r w:rsidRPr="00306F33">
        <w:t xml:space="preserve"> Conforme a lo dispuesto en el artículo 17.2.a del Reglamento de la Comisión, el Comisionado </w:t>
      </w:r>
      <w:r w:rsidR="003F2AFE">
        <w:t>Carlos Bernal Pulido</w:t>
      </w:r>
      <w:r w:rsidRPr="00306F33">
        <w:t xml:space="preserve">, de nacionalidad </w:t>
      </w:r>
      <w:r w:rsidR="003F2AFE">
        <w:t>colombiana</w:t>
      </w:r>
      <w:r w:rsidRPr="00306F33">
        <w:t>, no participó en el debate ni en la decisión del presente asunto.</w:t>
      </w:r>
    </w:p>
  </w:footnote>
  <w:footnote w:id="4">
    <w:p w14:paraId="2128F9B6" w14:textId="77777777" w:rsidR="00954A2B" w:rsidRPr="0051696A" w:rsidRDefault="00954A2B" w:rsidP="00954A2B">
      <w:pPr>
        <w:pStyle w:val="Notasalpie"/>
      </w:pPr>
      <w:r w:rsidRPr="0051696A">
        <w:rPr>
          <w:rStyle w:val="FootnoteReference"/>
        </w:rPr>
        <w:footnoteRef/>
      </w:r>
      <w:r w:rsidRPr="0051696A">
        <w:t xml:space="preserve"> En adelante “la Convención Americana” o “la Convención”.</w:t>
      </w:r>
    </w:p>
  </w:footnote>
  <w:footnote w:id="5">
    <w:p w14:paraId="1AFEF3B0" w14:textId="3F51FDCF" w:rsidR="008E3BFE" w:rsidRPr="00306F33" w:rsidRDefault="008E3BFE" w:rsidP="00306F33">
      <w:pPr>
        <w:pStyle w:val="FootnoteText"/>
        <w:ind w:firstLine="720"/>
        <w:jc w:val="both"/>
        <w:rPr>
          <w:rFonts w:asciiTheme="majorHAnsi" w:hAnsiTheme="majorHAnsi"/>
          <w:sz w:val="16"/>
          <w:szCs w:val="16"/>
          <w:lang w:val="es-ES"/>
        </w:rPr>
      </w:pPr>
      <w:r w:rsidRPr="00494A68">
        <w:rPr>
          <w:rStyle w:val="FootnoteReference"/>
          <w:rFonts w:asciiTheme="majorHAnsi" w:hAnsiTheme="majorHAnsi"/>
          <w:sz w:val="16"/>
          <w:szCs w:val="16"/>
        </w:rPr>
        <w:footnoteRef/>
      </w:r>
      <w:r w:rsidRPr="00494A68">
        <w:rPr>
          <w:rFonts w:asciiTheme="majorHAnsi" w:hAnsiTheme="majorHAnsi"/>
          <w:sz w:val="16"/>
          <w:szCs w:val="16"/>
          <w:lang w:val="es-ES"/>
        </w:rPr>
        <w:t xml:space="preserve"> Las observaciones de cada parte fueron debidamente trasladadas a la parte contraria.</w:t>
      </w:r>
    </w:p>
  </w:footnote>
  <w:footnote w:id="6">
    <w:p w14:paraId="408BC2FD" w14:textId="1B542420" w:rsidR="006A2961" w:rsidRPr="00BA7A59" w:rsidRDefault="006A2961" w:rsidP="006A2961">
      <w:pPr>
        <w:pStyle w:val="FootnoteText"/>
        <w:ind w:firstLine="720"/>
        <w:jc w:val="both"/>
        <w:rPr>
          <w:rFonts w:ascii="Cambria" w:hAnsi="Cambria"/>
          <w:lang w:val="es-CO"/>
        </w:rPr>
      </w:pPr>
      <w:r w:rsidRPr="005F4796">
        <w:rPr>
          <w:rStyle w:val="FootnoteReference"/>
          <w:rFonts w:ascii="Cambria" w:hAnsi="Cambria"/>
          <w:sz w:val="16"/>
          <w:szCs w:val="16"/>
        </w:rPr>
        <w:footnoteRef/>
      </w:r>
      <w:r w:rsidRPr="00AD0ABB">
        <w:rPr>
          <w:rFonts w:ascii="Cambria" w:hAnsi="Cambria"/>
          <w:sz w:val="16"/>
          <w:szCs w:val="16"/>
          <w:lang w:val="es-CO"/>
        </w:rPr>
        <w:t xml:space="preserve"> </w:t>
      </w:r>
      <w:r w:rsidRPr="00EF3277">
        <w:rPr>
          <w:rFonts w:ascii="Cambria" w:hAnsi="Cambria"/>
          <w:sz w:val="16"/>
          <w:szCs w:val="16"/>
          <w:lang w:val="es-CO"/>
        </w:rPr>
        <w:t xml:space="preserve">CIDH, </w:t>
      </w:r>
      <w:r w:rsidR="00C903C3" w:rsidRPr="00C903C3">
        <w:rPr>
          <w:rFonts w:ascii="Cambria" w:hAnsi="Cambria"/>
          <w:sz w:val="16"/>
          <w:szCs w:val="16"/>
          <w:lang w:val="es-CO"/>
        </w:rPr>
        <w:t xml:space="preserve">Informe No. 168/24. Petición 483-14. Admisibilidad. Ricardo Julio Villa Salcedo y familia. </w:t>
      </w:r>
      <w:r w:rsidR="00C903C3" w:rsidRPr="006F3FEC">
        <w:rPr>
          <w:rFonts w:ascii="Cambria" w:hAnsi="Cambria"/>
          <w:sz w:val="16"/>
          <w:szCs w:val="16"/>
          <w:lang w:val="es-CO"/>
        </w:rPr>
        <w:t>Colombia. 24 de octubre de 2024</w:t>
      </w:r>
      <w:r w:rsidR="00E11A32" w:rsidRPr="006F3FEC">
        <w:rPr>
          <w:rFonts w:ascii="Cambria" w:hAnsi="Cambria"/>
          <w:sz w:val="16"/>
          <w:szCs w:val="16"/>
          <w:lang w:val="es-CO"/>
        </w:rPr>
        <w:t xml:space="preserve">, párr. 18; </w:t>
      </w:r>
      <w:r w:rsidRPr="00EF3277">
        <w:rPr>
          <w:rFonts w:ascii="Cambria" w:hAnsi="Cambria"/>
          <w:sz w:val="16"/>
          <w:szCs w:val="16"/>
          <w:lang w:val="es-CO"/>
        </w:rPr>
        <w:t xml:space="preserve">Informe No. 60/24. Petición 1995-14. Admisibilidad. Masacre de San Carlos de Guaroa. </w:t>
      </w:r>
      <w:r w:rsidRPr="00FD2FFF">
        <w:rPr>
          <w:rFonts w:ascii="Cambria" w:hAnsi="Cambria"/>
          <w:sz w:val="16"/>
          <w:szCs w:val="16"/>
          <w:lang w:val="es-CO"/>
        </w:rPr>
        <w:t>Colombia. 16 de mayo de 2024, párr. 19; Informe No. 293/23. Petición 1015-13. Admisibilidad. Jaime Eduardo Bedoya Arias y familiares. Colombia. 20 de noviembre de 2023</w:t>
      </w:r>
      <w:r>
        <w:rPr>
          <w:rFonts w:ascii="Cambria" w:hAnsi="Cambria"/>
          <w:sz w:val="16"/>
          <w:szCs w:val="16"/>
          <w:lang w:val="es-CO"/>
        </w:rPr>
        <w:t xml:space="preserve">, párr. 15; </w:t>
      </w:r>
      <w:r w:rsidRPr="00E960C9">
        <w:rPr>
          <w:rFonts w:ascii="Cambria" w:hAnsi="Cambria"/>
          <w:sz w:val="16"/>
          <w:szCs w:val="16"/>
          <w:lang w:val="es-CO"/>
        </w:rPr>
        <w:t xml:space="preserve">Informe No. 370/22. Petición 1886-10. Admisibilidad. Samuel Lombana Morales y familia. </w:t>
      </w:r>
      <w:r w:rsidRPr="00EC0A3D">
        <w:rPr>
          <w:rFonts w:ascii="Cambria" w:hAnsi="Cambria"/>
          <w:sz w:val="16"/>
          <w:szCs w:val="16"/>
          <w:lang w:val="es-ES"/>
        </w:rPr>
        <w:t xml:space="preserve">Colombia. 19 de diciembre de 2022, párr. 11; </w:t>
      </w:r>
      <w:r w:rsidR="00E11A32">
        <w:rPr>
          <w:rFonts w:ascii="Cambria" w:hAnsi="Cambria"/>
          <w:sz w:val="16"/>
          <w:szCs w:val="16"/>
          <w:lang w:val="es-CO"/>
        </w:rPr>
        <w:t>e</w:t>
      </w:r>
      <w:r w:rsidRPr="00AD0ABB">
        <w:rPr>
          <w:rFonts w:ascii="Cambria" w:hAnsi="Cambria"/>
          <w:sz w:val="16"/>
          <w:szCs w:val="16"/>
          <w:lang w:val="es-CO"/>
        </w:rPr>
        <w:t xml:space="preserve">, Informe No. 131/21. Petición 784-10. Admisibilidad. Wilson Mario Taborda Cardona y familia. </w:t>
      </w:r>
      <w:r w:rsidRPr="009D1F86">
        <w:rPr>
          <w:rFonts w:ascii="Cambria" w:hAnsi="Cambria"/>
          <w:sz w:val="16"/>
          <w:szCs w:val="16"/>
          <w:lang w:val="es-CO"/>
        </w:rPr>
        <w:t>Colombia. 13 de mayo de 2021, párr. 12.</w:t>
      </w:r>
    </w:p>
  </w:footnote>
  <w:footnote w:id="7">
    <w:p w14:paraId="54FB5AF5" w14:textId="77777777" w:rsidR="00ED1949" w:rsidRPr="00A11B3B" w:rsidRDefault="00ED1949" w:rsidP="00ED1949">
      <w:pPr>
        <w:pStyle w:val="FootnoteText"/>
        <w:ind w:firstLine="720"/>
        <w:jc w:val="both"/>
        <w:rPr>
          <w:rFonts w:ascii="Cambria" w:hAnsi="Cambria"/>
          <w:sz w:val="16"/>
          <w:szCs w:val="16"/>
          <w:lang w:val="es-ES_tradnl"/>
        </w:rPr>
      </w:pPr>
      <w:r w:rsidRPr="00A11B3B">
        <w:rPr>
          <w:rStyle w:val="FootnoteReference"/>
          <w:rFonts w:ascii="Cambria" w:hAnsi="Cambria"/>
          <w:sz w:val="16"/>
          <w:szCs w:val="16"/>
        </w:rPr>
        <w:footnoteRef/>
      </w:r>
      <w:r w:rsidRPr="00A11B3B">
        <w:rPr>
          <w:rFonts w:ascii="Cambria" w:hAnsi="Cambria"/>
          <w:sz w:val="16"/>
          <w:szCs w:val="16"/>
          <w:lang w:val="es-ES_tradnl"/>
        </w:rPr>
        <w:t xml:space="preserve"> Corte IDH. Caso Cabrera García y Montiel Flores Vs. México. Excepción Preliminar, Fondo, Reparaciones y Costas. Sentencia de 26 de noviembre de 2010. Serie C No. 220, párr. 18.</w:t>
      </w:r>
    </w:p>
  </w:footnote>
  <w:footnote w:id="8">
    <w:p w14:paraId="475495E9" w14:textId="77777777" w:rsidR="00ED1949" w:rsidRPr="00A11B3B" w:rsidRDefault="00ED1949" w:rsidP="00ED1949">
      <w:pPr>
        <w:pStyle w:val="FootnoteText"/>
        <w:ind w:firstLine="720"/>
        <w:jc w:val="both"/>
        <w:rPr>
          <w:rFonts w:ascii="Cambria" w:hAnsi="Cambria"/>
          <w:sz w:val="16"/>
          <w:szCs w:val="16"/>
          <w:lang w:val="es-ES_tradnl"/>
        </w:rPr>
      </w:pPr>
      <w:r w:rsidRPr="00A11B3B">
        <w:rPr>
          <w:rStyle w:val="FootnoteReference"/>
          <w:rFonts w:ascii="Cambria" w:hAnsi="Cambria"/>
          <w:sz w:val="16"/>
          <w:szCs w:val="16"/>
        </w:rPr>
        <w:footnoteRef/>
      </w:r>
      <w:r w:rsidRPr="00A11B3B">
        <w:rPr>
          <w:rFonts w:ascii="Cambria" w:hAnsi="Cambria"/>
          <w:sz w:val="16"/>
          <w:szCs w:val="16"/>
          <w:lang w:val="es-ES_tradnl"/>
        </w:rPr>
        <w:t xml:space="preserve"> Corte IDH. Caso Palma Mendoza y otros Vs. Ecuador. Excepción Preliminar y Fondo. Sentencia de 3 de septiembre de 2012. </w:t>
      </w:r>
      <w:r w:rsidRPr="0078447F">
        <w:rPr>
          <w:rFonts w:ascii="Cambria" w:hAnsi="Cambria"/>
          <w:sz w:val="16"/>
          <w:szCs w:val="16"/>
          <w:lang w:val="es-ES"/>
        </w:rPr>
        <w:t xml:space="preserve">Serie C No. 247, párr. 18; Corte IDH. Caso Rosadio Villavicencio Vs. </w:t>
      </w:r>
      <w:r w:rsidRPr="00A11B3B">
        <w:rPr>
          <w:rFonts w:ascii="Cambria" w:hAnsi="Cambria"/>
          <w:sz w:val="16"/>
          <w:szCs w:val="16"/>
          <w:lang w:val="es-ES_tradnl"/>
        </w:rPr>
        <w:t xml:space="preserve">Perú. Excepciones Preliminares, Fondo, Reparaciones y Costas. </w:t>
      </w:r>
      <w:r w:rsidRPr="00A11B3B">
        <w:rPr>
          <w:rFonts w:ascii="Cambria" w:hAnsi="Cambria"/>
          <w:sz w:val="16"/>
          <w:szCs w:val="16"/>
          <w:lang w:val="es-US"/>
        </w:rPr>
        <w:t xml:space="preserve">Sentencia de 14 de octubre de 2019. Serie C No. 388., párr. 24; </w:t>
      </w:r>
      <w:r w:rsidRPr="00A11B3B">
        <w:rPr>
          <w:rFonts w:ascii="Cambria" w:hAnsi="Cambria"/>
          <w:sz w:val="16"/>
          <w:szCs w:val="16"/>
          <w:lang w:val="es-ES_tradnl"/>
        </w:rPr>
        <w:t xml:space="preserve">Corte IDH. Caso Cabrera García y Montiel Flores Vs. México. Excepción Preliminar, Fondo, Reparaciones y Costas. </w:t>
      </w:r>
      <w:r w:rsidRPr="00A11B3B">
        <w:rPr>
          <w:rFonts w:ascii="Cambria" w:hAnsi="Cambria"/>
          <w:sz w:val="16"/>
          <w:szCs w:val="16"/>
          <w:lang w:val="es-US"/>
        </w:rPr>
        <w:t>Sentencia de 26 de noviembre de 2010. Serie C No. 220, párr. 19.</w:t>
      </w:r>
    </w:p>
  </w:footnote>
  <w:footnote w:id="9">
    <w:p w14:paraId="2799E40E" w14:textId="77777777" w:rsidR="00271E86" w:rsidRPr="00663FDD" w:rsidRDefault="00271E86" w:rsidP="00271E86">
      <w:pPr>
        <w:pStyle w:val="Notasalpie"/>
        <w:rPr>
          <w:color w:val="auto"/>
        </w:rPr>
      </w:pPr>
      <w:r w:rsidRPr="00663FDD">
        <w:rPr>
          <w:rStyle w:val="FootnoteReference"/>
          <w:color w:val="auto"/>
        </w:rPr>
        <w:footnoteRef/>
      </w:r>
      <w:r w:rsidRPr="0078447F">
        <w:rPr>
          <w:color w:val="auto"/>
        </w:rPr>
        <w:t xml:space="preserve"> Corte IDH, </w:t>
      </w:r>
      <w:hyperlink r:id="rId1" w:history="1">
        <w:r w:rsidRPr="0078447F">
          <w:rPr>
            <w:rStyle w:val="Hyperlink"/>
            <w:color w:val="auto"/>
            <w:u w:val="none"/>
            <w:shd w:val="clear" w:color="auto" w:fill="FFFFFF"/>
          </w:rPr>
          <w:t xml:space="preserve">Caso J. Vs. </w:t>
        </w:r>
        <w:r w:rsidRPr="00663FDD">
          <w:rPr>
            <w:rStyle w:val="Hyperlink"/>
            <w:color w:val="auto"/>
            <w:u w:val="none"/>
            <w:shd w:val="clear" w:color="auto" w:fill="FFFFFF"/>
            <w:lang w:val="es-CO"/>
          </w:rPr>
          <w:t>Perú. Excepción Preliminar, Fondo, Reparaciones y Costas. Sentencia de 27 de noviembre de 2013. Serie C No. 275</w:t>
        </w:r>
      </w:hyperlink>
      <w:r w:rsidRPr="00663FDD">
        <w:rPr>
          <w:color w:val="auto"/>
          <w:lang w:val="es-CO"/>
        </w:rPr>
        <w:t xml:space="preserve">, párr. </w:t>
      </w:r>
      <w:r w:rsidRPr="00663FDD">
        <w:rPr>
          <w:color w:val="auto"/>
        </w:rPr>
        <w:t>353.</w:t>
      </w:r>
    </w:p>
  </w:footnote>
  <w:footnote w:id="10">
    <w:p w14:paraId="7061E5AB" w14:textId="77777777" w:rsidR="0033366F" w:rsidRPr="00DE24D3" w:rsidRDefault="0033366F" w:rsidP="0033366F">
      <w:pPr>
        <w:pStyle w:val="Notasalpie"/>
        <w:rPr>
          <w:rFonts w:ascii="Cambria" w:hAnsi="Cambria"/>
        </w:rPr>
      </w:pPr>
      <w:r w:rsidRPr="00DE24D3">
        <w:rPr>
          <w:rStyle w:val="FootnoteReference"/>
          <w:rFonts w:ascii="Cambria" w:hAnsi="Cambria"/>
        </w:rPr>
        <w:footnoteRef/>
      </w:r>
      <w:r w:rsidRPr="006170FF">
        <w:rPr>
          <w:rFonts w:ascii="Cambria" w:hAnsi="Cambria"/>
        </w:rPr>
        <w:t xml:space="preserve"> </w:t>
      </w:r>
      <w:r w:rsidRPr="00D01915">
        <w:t>Corte IDH. Caso Leguizamón Zaván y otros Vs. Paraguay. Fondo, Reparaciones y Costas. Sentencia de 15 de noviembre de 2022. Serie C No. 473</w:t>
      </w:r>
      <w:r>
        <w:t xml:space="preserve">, párr. 70; </w:t>
      </w:r>
      <w:r w:rsidRPr="002161FD">
        <w:t xml:space="preserve">Caso Sales Pimenta Vs. Brasil. Excepciones Preliminares, Fondo, Reparaciones y Costas. Sentencia de 30 de junio de 2022. </w:t>
      </w:r>
      <w:r w:rsidRPr="00DC6B0C">
        <w:t>Serie C No. 454, párr. 85</w:t>
      </w:r>
      <w:r>
        <w:t xml:space="preserve">; y, </w:t>
      </w:r>
      <w:r w:rsidRPr="000568B1">
        <w:rPr>
          <w:rFonts w:ascii="Cambria" w:hAnsi="Cambria"/>
        </w:rPr>
        <w:t>Caso Mota Abarullo y otros Vs. Venezuela. Fondo, Reparaciones y Costas. Sentencia de 18 de noviembre de 2020. Serie C No. 417</w:t>
      </w:r>
      <w:r>
        <w:rPr>
          <w:rFonts w:ascii="Cambria" w:hAnsi="Cambria"/>
        </w:rPr>
        <w:t>, párrs. 120</w:t>
      </w:r>
      <w:r w:rsidRPr="000568B1">
        <w:rPr>
          <w:rFonts w:ascii="Cambria" w:hAnsi="Cambr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16114F"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6ED81597"/>
    <w:multiLevelType w:val="hybridMultilevel"/>
    <w:tmpl w:val="13CA9C6C"/>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7"/>
  </w:num>
  <w:num w:numId="4" w16cid:durableId="2018339747">
    <w:abstractNumId w:val="21"/>
  </w:num>
  <w:num w:numId="5" w16cid:durableId="368341374">
    <w:abstractNumId w:val="50"/>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49"/>
  </w:num>
  <w:num w:numId="42" w16cid:durableId="910309630">
    <w:abstractNumId w:val="51"/>
  </w:num>
  <w:num w:numId="43" w16cid:durableId="221603102">
    <w:abstractNumId w:val="52"/>
  </w:num>
  <w:num w:numId="44" w16cid:durableId="779104680">
    <w:abstractNumId w:val="55"/>
  </w:num>
  <w:num w:numId="45" w16cid:durableId="1713115894">
    <w:abstractNumId w:val="56"/>
  </w:num>
  <w:num w:numId="46" w16cid:durableId="1387951419">
    <w:abstractNumId w:val="58"/>
  </w:num>
  <w:num w:numId="47" w16cid:durableId="648510715">
    <w:abstractNumId w:val="59"/>
  </w:num>
  <w:num w:numId="48" w16cid:durableId="1806315575">
    <w:abstractNumId w:val="60"/>
  </w:num>
  <w:num w:numId="49" w16cid:durableId="1682586011">
    <w:abstractNumId w:val="61"/>
  </w:num>
  <w:num w:numId="50" w16cid:durableId="2025083079">
    <w:abstractNumId w:val="62"/>
  </w:num>
  <w:num w:numId="51" w16cid:durableId="530342504">
    <w:abstractNumId w:val="20"/>
  </w:num>
  <w:num w:numId="52" w16cid:durableId="955454438">
    <w:abstractNumId w:val="43"/>
  </w:num>
  <w:num w:numId="53" w16cid:durableId="586957926">
    <w:abstractNumId w:val="54"/>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3"/>
  </w:num>
  <w:num w:numId="62" w16cid:durableId="362898492">
    <w:abstractNumId w:val="6"/>
  </w:num>
  <w:num w:numId="63" w16cid:durableId="413744366">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3EA8"/>
    <w:rsid w:val="00006E1F"/>
    <w:rsid w:val="000070D7"/>
    <w:rsid w:val="00014D85"/>
    <w:rsid w:val="00015B33"/>
    <w:rsid w:val="0001788C"/>
    <w:rsid w:val="0002349D"/>
    <w:rsid w:val="00030E45"/>
    <w:rsid w:val="000337EF"/>
    <w:rsid w:val="000373D0"/>
    <w:rsid w:val="00040C3A"/>
    <w:rsid w:val="000419AD"/>
    <w:rsid w:val="000433C9"/>
    <w:rsid w:val="00047E72"/>
    <w:rsid w:val="00050D15"/>
    <w:rsid w:val="000576E3"/>
    <w:rsid w:val="00060F52"/>
    <w:rsid w:val="000619E3"/>
    <w:rsid w:val="00064655"/>
    <w:rsid w:val="00064E9E"/>
    <w:rsid w:val="00071174"/>
    <w:rsid w:val="000716C5"/>
    <w:rsid w:val="00075E23"/>
    <w:rsid w:val="0008158C"/>
    <w:rsid w:val="00085EFD"/>
    <w:rsid w:val="000868CF"/>
    <w:rsid w:val="0009344A"/>
    <w:rsid w:val="000A392E"/>
    <w:rsid w:val="000A551D"/>
    <w:rsid w:val="000A575F"/>
    <w:rsid w:val="000B528E"/>
    <w:rsid w:val="000C558E"/>
    <w:rsid w:val="000D05CB"/>
    <w:rsid w:val="000D10DB"/>
    <w:rsid w:val="000E1559"/>
    <w:rsid w:val="000E25EC"/>
    <w:rsid w:val="000E55E0"/>
    <w:rsid w:val="000E5EB5"/>
    <w:rsid w:val="000F21FB"/>
    <w:rsid w:val="000F35ED"/>
    <w:rsid w:val="001004FE"/>
    <w:rsid w:val="00103D67"/>
    <w:rsid w:val="001050F2"/>
    <w:rsid w:val="00105397"/>
    <w:rsid w:val="00105750"/>
    <w:rsid w:val="00107131"/>
    <w:rsid w:val="0010736F"/>
    <w:rsid w:val="00113F73"/>
    <w:rsid w:val="00121CC2"/>
    <w:rsid w:val="00125980"/>
    <w:rsid w:val="00126529"/>
    <w:rsid w:val="00131425"/>
    <w:rsid w:val="00133EE5"/>
    <w:rsid w:val="00135B3B"/>
    <w:rsid w:val="00140A23"/>
    <w:rsid w:val="00141C1C"/>
    <w:rsid w:val="00142ED1"/>
    <w:rsid w:val="00146378"/>
    <w:rsid w:val="0015459E"/>
    <w:rsid w:val="00157524"/>
    <w:rsid w:val="0016114F"/>
    <w:rsid w:val="00163DAF"/>
    <w:rsid w:val="00167A34"/>
    <w:rsid w:val="00175523"/>
    <w:rsid w:val="001760AD"/>
    <w:rsid w:val="00183C3E"/>
    <w:rsid w:val="00186747"/>
    <w:rsid w:val="001946D4"/>
    <w:rsid w:val="0019550D"/>
    <w:rsid w:val="001A391A"/>
    <w:rsid w:val="001A520D"/>
    <w:rsid w:val="001A7870"/>
    <w:rsid w:val="001B3A00"/>
    <w:rsid w:val="001B478B"/>
    <w:rsid w:val="001C1B41"/>
    <w:rsid w:val="001C3900"/>
    <w:rsid w:val="001C490C"/>
    <w:rsid w:val="001D3A1B"/>
    <w:rsid w:val="001D65EF"/>
    <w:rsid w:val="001D7F96"/>
    <w:rsid w:val="001E49E7"/>
    <w:rsid w:val="001E57A8"/>
    <w:rsid w:val="001F60D9"/>
    <w:rsid w:val="001F7201"/>
    <w:rsid w:val="00200EF2"/>
    <w:rsid w:val="002209FB"/>
    <w:rsid w:val="0022183C"/>
    <w:rsid w:val="00223A29"/>
    <w:rsid w:val="002250A3"/>
    <w:rsid w:val="002274F7"/>
    <w:rsid w:val="00235217"/>
    <w:rsid w:val="002378BD"/>
    <w:rsid w:val="002408AF"/>
    <w:rsid w:val="00245C2E"/>
    <w:rsid w:val="00246D1F"/>
    <w:rsid w:val="00247403"/>
    <w:rsid w:val="00247542"/>
    <w:rsid w:val="002543F0"/>
    <w:rsid w:val="00266B61"/>
    <w:rsid w:val="0026712A"/>
    <w:rsid w:val="002704DB"/>
    <w:rsid w:val="00271E86"/>
    <w:rsid w:val="00274BAC"/>
    <w:rsid w:val="00287A1A"/>
    <w:rsid w:val="00291E03"/>
    <w:rsid w:val="00292637"/>
    <w:rsid w:val="002A0AAE"/>
    <w:rsid w:val="002A421F"/>
    <w:rsid w:val="002A5820"/>
    <w:rsid w:val="002B6364"/>
    <w:rsid w:val="002C34AA"/>
    <w:rsid w:val="002C4267"/>
    <w:rsid w:val="002D27CC"/>
    <w:rsid w:val="002D2B26"/>
    <w:rsid w:val="002D4A85"/>
    <w:rsid w:val="002D4F0A"/>
    <w:rsid w:val="002D7EA2"/>
    <w:rsid w:val="002E187C"/>
    <w:rsid w:val="002E5A4F"/>
    <w:rsid w:val="00302733"/>
    <w:rsid w:val="00303D23"/>
    <w:rsid w:val="00305835"/>
    <w:rsid w:val="00306F33"/>
    <w:rsid w:val="0031316F"/>
    <w:rsid w:val="00314078"/>
    <w:rsid w:val="0031535D"/>
    <w:rsid w:val="00315813"/>
    <w:rsid w:val="003239B8"/>
    <w:rsid w:val="00323DD5"/>
    <w:rsid w:val="00331260"/>
    <w:rsid w:val="0033169F"/>
    <w:rsid w:val="0033366F"/>
    <w:rsid w:val="00335399"/>
    <w:rsid w:val="00335D68"/>
    <w:rsid w:val="00344977"/>
    <w:rsid w:val="00346C95"/>
    <w:rsid w:val="00356185"/>
    <w:rsid w:val="00356FD2"/>
    <w:rsid w:val="003601F2"/>
    <w:rsid w:val="00360380"/>
    <w:rsid w:val="0037519E"/>
    <w:rsid w:val="00381F34"/>
    <w:rsid w:val="00384B19"/>
    <w:rsid w:val="00386CF0"/>
    <w:rsid w:val="003929EA"/>
    <w:rsid w:val="00394049"/>
    <w:rsid w:val="00394073"/>
    <w:rsid w:val="003B70FB"/>
    <w:rsid w:val="003B795E"/>
    <w:rsid w:val="003C1071"/>
    <w:rsid w:val="003C676B"/>
    <w:rsid w:val="003D25D3"/>
    <w:rsid w:val="003D3566"/>
    <w:rsid w:val="003D3BC2"/>
    <w:rsid w:val="003E4000"/>
    <w:rsid w:val="003E6CA1"/>
    <w:rsid w:val="003F27AE"/>
    <w:rsid w:val="003F2AFE"/>
    <w:rsid w:val="003F5154"/>
    <w:rsid w:val="004001CB"/>
    <w:rsid w:val="004003D3"/>
    <w:rsid w:val="00404351"/>
    <w:rsid w:val="004046C3"/>
    <w:rsid w:val="00405F9C"/>
    <w:rsid w:val="004065A8"/>
    <w:rsid w:val="00414C6D"/>
    <w:rsid w:val="004165C2"/>
    <w:rsid w:val="004241A0"/>
    <w:rsid w:val="00427197"/>
    <w:rsid w:val="004419DF"/>
    <w:rsid w:val="00441ECB"/>
    <w:rsid w:val="00445052"/>
    <w:rsid w:val="00445193"/>
    <w:rsid w:val="00450305"/>
    <w:rsid w:val="00456677"/>
    <w:rsid w:val="00460138"/>
    <w:rsid w:val="00462C1B"/>
    <w:rsid w:val="00463F0F"/>
    <w:rsid w:val="004646ED"/>
    <w:rsid w:val="00467B7E"/>
    <w:rsid w:val="00473BB4"/>
    <w:rsid w:val="00477592"/>
    <w:rsid w:val="00477887"/>
    <w:rsid w:val="00480492"/>
    <w:rsid w:val="00486F1C"/>
    <w:rsid w:val="0049003A"/>
    <w:rsid w:val="0049419D"/>
    <w:rsid w:val="00494A68"/>
    <w:rsid w:val="004A057B"/>
    <w:rsid w:val="004A1BC9"/>
    <w:rsid w:val="004A6A54"/>
    <w:rsid w:val="004B421C"/>
    <w:rsid w:val="004C20D2"/>
    <w:rsid w:val="004C2312"/>
    <w:rsid w:val="004C2619"/>
    <w:rsid w:val="004C4B62"/>
    <w:rsid w:val="004C54C9"/>
    <w:rsid w:val="004C5676"/>
    <w:rsid w:val="004D4ABA"/>
    <w:rsid w:val="004D6025"/>
    <w:rsid w:val="004E2375"/>
    <w:rsid w:val="004E2649"/>
    <w:rsid w:val="004F626F"/>
    <w:rsid w:val="00501399"/>
    <w:rsid w:val="005047ED"/>
    <w:rsid w:val="0050633D"/>
    <w:rsid w:val="00507BC4"/>
    <w:rsid w:val="005115A3"/>
    <w:rsid w:val="005128E4"/>
    <w:rsid w:val="005133DB"/>
    <w:rsid w:val="00513C64"/>
    <w:rsid w:val="00514504"/>
    <w:rsid w:val="005173A3"/>
    <w:rsid w:val="00521A94"/>
    <w:rsid w:val="00521E1F"/>
    <w:rsid w:val="00524730"/>
    <w:rsid w:val="00525560"/>
    <w:rsid w:val="00530933"/>
    <w:rsid w:val="00541EC9"/>
    <w:rsid w:val="00544C49"/>
    <w:rsid w:val="0054501F"/>
    <w:rsid w:val="0054748A"/>
    <w:rsid w:val="00550EA2"/>
    <w:rsid w:val="005516A1"/>
    <w:rsid w:val="005559EF"/>
    <w:rsid w:val="00560EBD"/>
    <w:rsid w:val="00563557"/>
    <w:rsid w:val="00564852"/>
    <w:rsid w:val="0057276B"/>
    <w:rsid w:val="0057402A"/>
    <w:rsid w:val="00576BD2"/>
    <w:rsid w:val="005771D0"/>
    <w:rsid w:val="00580421"/>
    <w:rsid w:val="005851FF"/>
    <w:rsid w:val="0059191A"/>
    <w:rsid w:val="005921FF"/>
    <w:rsid w:val="005A24ED"/>
    <w:rsid w:val="005A6D0E"/>
    <w:rsid w:val="005B3913"/>
    <w:rsid w:val="005B52B0"/>
    <w:rsid w:val="005B6806"/>
    <w:rsid w:val="005C4225"/>
    <w:rsid w:val="005C5210"/>
    <w:rsid w:val="005C7EBA"/>
    <w:rsid w:val="005D4B5F"/>
    <w:rsid w:val="005F0DAD"/>
    <w:rsid w:val="005F0F33"/>
    <w:rsid w:val="005F270F"/>
    <w:rsid w:val="00600DEB"/>
    <w:rsid w:val="00601329"/>
    <w:rsid w:val="0060491C"/>
    <w:rsid w:val="00615017"/>
    <w:rsid w:val="00622DEC"/>
    <w:rsid w:val="00627C9F"/>
    <w:rsid w:val="006311E9"/>
    <w:rsid w:val="00632354"/>
    <w:rsid w:val="00632A2E"/>
    <w:rsid w:val="00632C03"/>
    <w:rsid w:val="00635421"/>
    <w:rsid w:val="00637D1D"/>
    <w:rsid w:val="00642810"/>
    <w:rsid w:val="00643DA6"/>
    <w:rsid w:val="00652333"/>
    <w:rsid w:val="00652675"/>
    <w:rsid w:val="00660500"/>
    <w:rsid w:val="00662ECA"/>
    <w:rsid w:val="0066409E"/>
    <w:rsid w:val="0066482B"/>
    <w:rsid w:val="00667EAD"/>
    <w:rsid w:val="00671C68"/>
    <w:rsid w:val="0068009E"/>
    <w:rsid w:val="0068288A"/>
    <w:rsid w:val="00683D5E"/>
    <w:rsid w:val="006845D1"/>
    <w:rsid w:val="00691065"/>
    <w:rsid w:val="00692219"/>
    <w:rsid w:val="00694E36"/>
    <w:rsid w:val="00697949"/>
    <w:rsid w:val="006A00B1"/>
    <w:rsid w:val="006A17D2"/>
    <w:rsid w:val="006A2961"/>
    <w:rsid w:val="006A2B26"/>
    <w:rsid w:val="006A41A2"/>
    <w:rsid w:val="006A44B3"/>
    <w:rsid w:val="006A73E6"/>
    <w:rsid w:val="006B2D5C"/>
    <w:rsid w:val="006B609B"/>
    <w:rsid w:val="006C0ECF"/>
    <w:rsid w:val="006C4EB1"/>
    <w:rsid w:val="006E0166"/>
    <w:rsid w:val="006E2FFB"/>
    <w:rsid w:val="006E621A"/>
    <w:rsid w:val="006E7B34"/>
    <w:rsid w:val="006F0179"/>
    <w:rsid w:val="006F3FEC"/>
    <w:rsid w:val="006F4A35"/>
    <w:rsid w:val="00702414"/>
    <w:rsid w:val="0070697F"/>
    <w:rsid w:val="007103C4"/>
    <w:rsid w:val="00720B79"/>
    <w:rsid w:val="0072199C"/>
    <w:rsid w:val="00722C9F"/>
    <w:rsid w:val="007253B8"/>
    <w:rsid w:val="00733DF7"/>
    <w:rsid w:val="0073741F"/>
    <w:rsid w:val="00741ED7"/>
    <w:rsid w:val="0074353B"/>
    <w:rsid w:val="007453DE"/>
    <w:rsid w:val="00756EC0"/>
    <w:rsid w:val="0076643F"/>
    <w:rsid w:val="00772AFD"/>
    <w:rsid w:val="00777F63"/>
    <w:rsid w:val="0078447F"/>
    <w:rsid w:val="0079188B"/>
    <w:rsid w:val="007951C9"/>
    <w:rsid w:val="007A3158"/>
    <w:rsid w:val="007A5817"/>
    <w:rsid w:val="007A608F"/>
    <w:rsid w:val="007B05C4"/>
    <w:rsid w:val="007B3007"/>
    <w:rsid w:val="007B4E68"/>
    <w:rsid w:val="007B60E9"/>
    <w:rsid w:val="007B6CC3"/>
    <w:rsid w:val="007B76D3"/>
    <w:rsid w:val="007C3334"/>
    <w:rsid w:val="007C72C7"/>
    <w:rsid w:val="007D2B98"/>
    <w:rsid w:val="007D5D28"/>
    <w:rsid w:val="007D5FAB"/>
    <w:rsid w:val="007D7FCF"/>
    <w:rsid w:val="007E21BC"/>
    <w:rsid w:val="007E31AD"/>
    <w:rsid w:val="007E42A5"/>
    <w:rsid w:val="007E4F97"/>
    <w:rsid w:val="007E6E04"/>
    <w:rsid w:val="007E7C82"/>
    <w:rsid w:val="007F2AA1"/>
    <w:rsid w:val="007F588D"/>
    <w:rsid w:val="007F7025"/>
    <w:rsid w:val="00803F1C"/>
    <w:rsid w:val="0080600E"/>
    <w:rsid w:val="00814688"/>
    <w:rsid w:val="00817612"/>
    <w:rsid w:val="008221AB"/>
    <w:rsid w:val="00832E30"/>
    <w:rsid w:val="008338A4"/>
    <w:rsid w:val="00834D49"/>
    <w:rsid w:val="0083741F"/>
    <w:rsid w:val="00837C45"/>
    <w:rsid w:val="00844730"/>
    <w:rsid w:val="008457C2"/>
    <w:rsid w:val="00850206"/>
    <w:rsid w:val="0085466E"/>
    <w:rsid w:val="00857A82"/>
    <w:rsid w:val="00872531"/>
    <w:rsid w:val="00873836"/>
    <w:rsid w:val="0087497B"/>
    <w:rsid w:val="00875811"/>
    <w:rsid w:val="00880C19"/>
    <w:rsid w:val="00885737"/>
    <w:rsid w:val="00890650"/>
    <w:rsid w:val="00890DA0"/>
    <w:rsid w:val="008944DC"/>
    <w:rsid w:val="008972D3"/>
    <w:rsid w:val="00897E12"/>
    <w:rsid w:val="008A6151"/>
    <w:rsid w:val="008A7E0F"/>
    <w:rsid w:val="008B12F5"/>
    <w:rsid w:val="008B3076"/>
    <w:rsid w:val="008B5D63"/>
    <w:rsid w:val="008B6AF4"/>
    <w:rsid w:val="008C5E2D"/>
    <w:rsid w:val="008D35DE"/>
    <w:rsid w:val="008D6806"/>
    <w:rsid w:val="008D768D"/>
    <w:rsid w:val="008E3759"/>
    <w:rsid w:val="008E3BFE"/>
    <w:rsid w:val="008E584A"/>
    <w:rsid w:val="008E6435"/>
    <w:rsid w:val="008F1912"/>
    <w:rsid w:val="008F1ED6"/>
    <w:rsid w:val="00901503"/>
    <w:rsid w:val="0090270B"/>
    <w:rsid w:val="009041DC"/>
    <w:rsid w:val="0090425C"/>
    <w:rsid w:val="00907506"/>
    <w:rsid w:val="00912761"/>
    <w:rsid w:val="00913F7C"/>
    <w:rsid w:val="00917B5A"/>
    <w:rsid w:val="00920A58"/>
    <w:rsid w:val="00920A8C"/>
    <w:rsid w:val="0093099A"/>
    <w:rsid w:val="009339C7"/>
    <w:rsid w:val="00934A2C"/>
    <w:rsid w:val="00942107"/>
    <w:rsid w:val="00944316"/>
    <w:rsid w:val="00950C33"/>
    <w:rsid w:val="00954A2B"/>
    <w:rsid w:val="00966A72"/>
    <w:rsid w:val="0096706E"/>
    <w:rsid w:val="00973A16"/>
    <w:rsid w:val="00974276"/>
    <w:rsid w:val="00974491"/>
    <w:rsid w:val="00975AE3"/>
    <w:rsid w:val="00975C4E"/>
    <w:rsid w:val="00981FBA"/>
    <w:rsid w:val="00982184"/>
    <w:rsid w:val="00982F50"/>
    <w:rsid w:val="00984AC5"/>
    <w:rsid w:val="009901FF"/>
    <w:rsid w:val="00991F26"/>
    <w:rsid w:val="00997BC5"/>
    <w:rsid w:val="009A4F41"/>
    <w:rsid w:val="009A5389"/>
    <w:rsid w:val="009A56CE"/>
    <w:rsid w:val="009B20BF"/>
    <w:rsid w:val="009B381B"/>
    <w:rsid w:val="009C114D"/>
    <w:rsid w:val="009C5FCE"/>
    <w:rsid w:val="009C7FDD"/>
    <w:rsid w:val="009D1753"/>
    <w:rsid w:val="009D2702"/>
    <w:rsid w:val="009D7611"/>
    <w:rsid w:val="009D7FCC"/>
    <w:rsid w:val="009E0B61"/>
    <w:rsid w:val="009E4EBF"/>
    <w:rsid w:val="009E53DE"/>
    <w:rsid w:val="009F224F"/>
    <w:rsid w:val="009F227B"/>
    <w:rsid w:val="009F7F60"/>
    <w:rsid w:val="00A03F6A"/>
    <w:rsid w:val="00A05466"/>
    <w:rsid w:val="00A11212"/>
    <w:rsid w:val="00A11E44"/>
    <w:rsid w:val="00A15562"/>
    <w:rsid w:val="00A25E1F"/>
    <w:rsid w:val="00A30100"/>
    <w:rsid w:val="00A328B3"/>
    <w:rsid w:val="00A3754A"/>
    <w:rsid w:val="00A441FC"/>
    <w:rsid w:val="00A472D2"/>
    <w:rsid w:val="00A50501"/>
    <w:rsid w:val="00A50FCF"/>
    <w:rsid w:val="00A5236A"/>
    <w:rsid w:val="00A528D1"/>
    <w:rsid w:val="00A601E6"/>
    <w:rsid w:val="00A610CD"/>
    <w:rsid w:val="00A65948"/>
    <w:rsid w:val="00A675A6"/>
    <w:rsid w:val="00A67E2D"/>
    <w:rsid w:val="00A715FE"/>
    <w:rsid w:val="00A72C70"/>
    <w:rsid w:val="00A75613"/>
    <w:rsid w:val="00A758AA"/>
    <w:rsid w:val="00A77802"/>
    <w:rsid w:val="00A80E9F"/>
    <w:rsid w:val="00AA09A2"/>
    <w:rsid w:val="00AA7996"/>
    <w:rsid w:val="00AB293E"/>
    <w:rsid w:val="00AB5176"/>
    <w:rsid w:val="00AC1544"/>
    <w:rsid w:val="00AC19CB"/>
    <w:rsid w:val="00AD66F7"/>
    <w:rsid w:val="00AE3235"/>
    <w:rsid w:val="00AE5488"/>
    <w:rsid w:val="00AE628D"/>
    <w:rsid w:val="00AE6F91"/>
    <w:rsid w:val="00AF3DC5"/>
    <w:rsid w:val="00AF5419"/>
    <w:rsid w:val="00AF5571"/>
    <w:rsid w:val="00AF6ACF"/>
    <w:rsid w:val="00B04818"/>
    <w:rsid w:val="00B06804"/>
    <w:rsid w:val="00B07341"/>
    <w:rsid w:val="00B15F5C"/>
    <w:rsid w:val="00B2242D"/>
    <w:rsid w:val="00B30539"/>
    <w:rsid w:val="00B314DB"/>
    <w:rsid w:val="00B34807"/>
    <w:rsid w:val="00B361F2"/>
    <w:rsid w:val="00B3718B"/>
    <w:rsid w:val="00B3745F"/>
    <w:rsid w:val="00B43148"/>
    <w:rsid w:val="00B4632A"/>
    <w:rsid w:val="00B530DD"/>
    <w:rsid w:val="00B530F1"/>
    <w:rsid w:val="00B6765D"/>
    <w:rsid w:val="00B67EAE"/>
    <w:rsid w:val="00B7065F"/>
    <w:rsid w:val="00B715E5"/>
    <w:rsid w:val="00B80A2C"/>
    <w:rsid w:val="00B844F0"/>
    <w:rsid w:val="00B93D7F"/>
    <w:rsid w:val="00BA058C"/>
    <w:rsid w:val="00BA276C"/>
    <w:rsid w:val="00BB019D"/>
    <w:rsid w:val="00BB306F"/>
    <w:rsid w:val="00BB7EA1"/>
    <w:rsid w:val="00BC490C"/>
    <w:rsid w:val="00BD0FF5"/>
    <w:rsid w:val="00BD4B89"/>
    <w:rsid w:val="00BD5922"/>
    <w:rsid w:val="00BD672C"/>
    <w:rsid w:val="00BE4526"/>
    <w:rsid w:val="00BF02CB"/>
    <w:rsid w:val="00BF134A"/>
    <w:rsid w:val="00BF2C6F"/>
    <w:rsid w:val="00BF6FD8"/>
    <w:rsid w:val="00C003A9"/>
    <w:rsid w:val="00C01499"/>
    <w:rsid w:val="00C03680"/>
    <w:rsid w:val="00C054DF"/>
    <w:rsid w:val="00C05A13"/>
    <w:rsid w:val="00C06A28"/>
    <w:rsid w:val="00C21762"/>
    <w:rsid w:val="00C21FEF"/>
    <w:rsid w:val="00C22D07"/>
    <w:rsid w:val="00C23BA4"/>
    <w:rsid w:val="00C24543"/>
    <w:rsid w:val="00C256A2"/>
    <w:rsid w:val="00C25ADB"/>
    <w:rsid w:val="00C309A2"/>
    <w:rsid w:val="00C3173C"/>
    <w:rsid w:val="00C41EDF"/>
    <w:rsid w:val="00C51515"/>
    <w:rsid w:val="00C515D6"/>
    <w:rsid w:val="00C5660B"/>
    <w:rsid w:val="00C66B72"/>
    <w:rsid w:val="00C67673"/>
    <w:rsid w:val="00C73DBE"/>
    <w:rsid w:val="00C826E9"/>
    <w:rsid w:val="00C82A9F"/>
    <w:rsid w:val="00C87AC4"/>
    <w:rsid w:val="00C903C3"/>
    <w:rsid w:val="00C9567A"/>
    <w:rsid w:val="00CA03BC"/>
    <w:rsid w:val="00CA56E4"/>
    <w:rsid w:val="00CB183E"/>
    <w:rsid w:val="00CB212D"/>
    <w:rsid w:val="00CB2660"/>
    <w:rsid w:val="00CB628E"/>
    <w:rsid w:val="00CC5E90"/>
    <w:rsid w:val="00CD046C"/>
    <w:rsid w:val="00CD3322"/>
    <w:rsid w:val="00CD607F"/>
    <w:rsid w:val="00CD76ED"/>
    <w:rsid w:val="00CE076C"/>
    <w:rsid w:val="00CE19EE"/>
    <w:rsid w:val="00CE5199"/>
    <w:rsid w:val="00CE66D5"/>
    <w:rsid w:val="00CF637A"/>
    <w:rsid w:val="00D0290A"/>
    <w:rsid w:val="00D049A2"/>
    <w:rsid w:val="00D059DE"/>
    <w:rsid w:val="00D05ABD"/>
    <w:rsid w:val="00D12043"/>
    <w:rsid w:val="00D13FCE"/>
    <w:rsid w:val="00D27015"/>
    <w:rsid w:val="00D306D1"/>
    <w:rsid w:val="00D30800"/>
    <w:rsid w:val="00D3327C"/>
    <w:rsid w:val="00D34786"/>
    <w:rsid w:val="00D37BFC"/>
    <w:rsid w:val="00D37E45"/>
    <w:rsid w:val="00D4293B"/>
    <w:rsid w:val="00D469B9"/>
    <w:rsid w:val="00D47A8E"/>
    <w:rsid w:val="00D52D14"/>
    <w:rsid w:val="00D55103"/>
    <w:rsid w:val="00D712D3"/>
    <w:rsid w:val="00D71422"/>
    <w:rsid w:val="00D72DC6"/>
    <w:rsid w:val="00D731ED"/>
    <w:rsid w:val="00D7558D"/>
    <w:rsid w:val="00D7783F"/>
    <w:rsid w:val="00D81D92"/>
    <w:rsid w:val="00D82015"/>
    <w:rsid w:val="00D876F9"/>
    <w:rsid w:val="00D95AA9"/>
    <w:rsid w:val="00DA66B8"/>
    <w:rsid w:val="00DA7B5F"/>
    <w:rsid w:val="00DB772F"/>
    <w:rsid w:val="00DC0D1A"/>
    <w:rsid w:val="00DC11E7"/>
    <w:rsid w:val="00DC24E3"/>
    <w:rsid w:val="00DC3FF5"/>
    <w:rsid w:val="00DC7023"/>
    <w:rsid w:val="00DC769A"/>
    <w:rsid w:val="00DD0F84"/>
    <w:rsid w:val="00DD3902"/>
    <w:rsid w:val="00DD3D86"/>
    <w:rsid w:val="00DD4AD2"/>
    <w:rsid w:val="00DD629A"/>
    <w:rsid w:val="00DE0726"/>
    <w:rsid w:val="00DE2862"/>
    <w:rsid w:val="00DE3F29"/>
    <w:rsid w:val="00DF1EC4"/>
    <w:rsid w:val="00E0340B"/>
    <w:rsid w:val="00E03973"/>
    <w:rsid w:val="00E04A90"/>
    <w:rsid w:val="00E0551F"/>
    <w:rsid w:val="00E11A32"/>
    <w:rsid w:val="00E219C7"/>
    <w:rsid w:val="00E305EB"/>
    <w:rsid w:val="00E31045"/>
    <w:rsid w:val="00E31749"/>
    <w:rsid w:val="00E34329"/>
    <w:rsid w:val="00E4118C"/>
    <w:rsid w:val="00E43157"/>
    <w:rsid w:val="00E452F6"/>
    <w:rsid w:val="00E461CE"/>
    <w:rsid w:val="00E4729B"/>
    <w:rsid w:val="00E5653D"/>
    <w:rsid w:val="00E573E4"/>
    <w:rsid w:val="00E57B97"/>
    <w:rsid w:val="00E60D08"/>
    <w:rsid w:val="00E64C3D"/>
    <w:rsid w:val="00E66075"/>
    <w:rsid w:val="00E664E5"/>
    <w:rsid w:val="00E720CA"/>
    <w:rsid w:val="00E84EB5"/>
    <w:rsid w:val="00E85662"/>
    <w:rsid w:val="00E8789F"/>
    <w:rsid w:val="00E912A3"/>
    <w:rsid w:val="00E917C0"/>
    <w:rsid w:val="00E9394C"/>
    <w:rsid w:val="00E93F82"/>
    <w:rsid w:val="00E97B71"/>
    <w:rsid w:val="00EA187C"/>
    <w:rsid w:val="00EA3D34"/>
    <w:rsid w:val="00EA4F24"/>
    <w:rsid w:val="00EA56FE"/>
    <w:rsid w:val="00EA7A34"/>
    <w:rsid w:val="00EB0001"/>
    <w:rsid w:val="00EB0797"/>
    <w:rsid w:val="00EB454D"/>
    <w:rsid w:val="00EC2163"/>
    <w:rsid w:val="00EC3674"/>
    <w:rsid w:val="00EC6BEB"/>
    <w:rsid w:val="00ED16E3"/>
    <w:rsid w:val="00ED1949"/>
    <w:rsid w:val="00ED549D"/>
    <w:rsid w:val="00ED5E10"/>
    <w:rsid w:val="00ED6A7B"/>
    <w:rsid w:val="00ED76BE"/>
    <w:rsid w:val="00EE00E9"/>
    <w:rsid w:val="00EE374F"/>
    <w:rsid w:val="00EF1AAA"/>
    <w:rsid w:val="00EF38D3"/>
    <w:rsid w:val="00EF619B"/>
    <w:rsid w:val="00EF6A43"/>
    <w:rsid w:val="00F00B55"/>
    <w:rsid w:val="00F01335"/>
    <w:rsid w:val="00F02AD1"/>
    <w:rsid w:val="00F253CC"/>
    <w:rsid w:val="00F30F41"/>
    <w:rsid w:val="00F36BD0"/>
    <w:rsid w:val="00F37106"/>
    <w:rsid w:val="00F373AD"/>
    <w:rsid w:val="00F404B3"/>
    <w:rsid w:val="00F44E25"/>
    <w:rsid w:val="00F47C9F"/>
    <w:rsid w:val="00F519CF"/>
    <w:rsid w:val="00F56BA5"/>
    <w:rsid w:val="00F56ECB"/>
    <w:rsid w:val="00F60E22"/>
    <w:rsid w:val="00F645B2"/>
    <w:rsid w:val="00F658DB"/>
    <w:rsid w:val="00F738A2"/>
    <w:rsid w:val="00F81395"/>
    <w:rsid w:val="00F81BB8"/>
    <w:rsid w:val="00F83924"/>
    <w:rsid w:val="00F90666"/>
    <w:rsid w:val="00F90C64"/>
    <w:rsid w:val="00F917D1"/>
    <w:rsid w:val="00F92EB3"/>
    <w:rsid w:val="00F9631E"/>
    <w:rsid w:val="00F9653B"/>
    <w:rsid w:val="00FA0DF6"/>
    <w:rsid w:val="00FA1337"/>
    <w:rsid w:val="00FB496B"/>
    <w:rsid w:val="00FB62CF"/>
    <w:rsid w:val="00FD3C3B"/>
    <w:rsid w:val="00FE07DD"/>
    <w:rsid w:val="00FE3E0A"/>
    <w:rsid w:val="00FE54AB"/>
    <w:rsid w:val="00FE6B45"/>
    <w:rsid w:val="00FF55F3"/>
    <w:rsid w:val="00FF5851"/>
    <w:rsid w:val="00FF7B79"/>
    <w:rsid w:val="2BF9923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954A2B"/>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customStyle="1" w:styleId="paragraph">
    <w:name w:val="paragraph"/>
    <w:basedOn w:val="Normal"/>
    <w:rsid w:val="0078447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78447F"/>
  </w:style>
  <w:style w:type="character" w:customStyle="1" w:styleId="eop">
    <w:name w:val="eop"/>
    <w:basedOn w:val="DefaultParagraphFont"/>
    <w:rsid w:val="00784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joomla.corteidh.or.cr:8080/joomla/es/casos-contenciosos/38-jurisprudencia/2120-corte-idh-caso-j-vs-peru-excepcion-preliminar-fondo-reparaciones-y-costas-sentencia-de-27-de-noviembre-de-2013-serie-c-no-2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105397"/>
    <w:rsid w:val="001946D4"/>
    <w:rsid w:val="00200821"/>
    <w:rsid w:val="002209FB"/>
    <w:rsid w:val="0025245B"/>
    <w:rsid w:val="002A3923"/>
    <w:rsid w:val="00323DD5"/>
    <w:rsid w:val="00335D68"/>
    <w:rsid w:val="00394049"/>
    <w:rsid w:val="003B0C71"/>
    <w:rsid w:val="003B795E"/>
    <w:rsid w:val="003E2DD8"/>
    <w:rsid w:val="004B5BBB"/>
    <w:rsid w:val="004F2DF8"/>
    <w:rsid w:val="00517E2A"/>
    <w:rsid w:val="006D3128"/>
    <w:rsid w:val="006F24A1"/>
    <w:rsid w:val="007C72C7"/>
    <w:rsid w:val="007E4F97"/>
    <w:rsid w:val="00875B8A"/>
    <w:rsid w:val="008937F7"/>
    <w:rsid w:val="008953BC"/>
    <w:rsid w:val="00901503"/>
    <w:rsid w:val="009A261B"/>
    <w:rsid w:val="009E4EBF"/>
    <w:rsid w:val="00AA2E17"/>
    <w:rsid w:val="00AC15A4"/>
    <w:rsid w:val="00AE628D"/>
    <w:rsid w:val="00B0336C"/>
    <w:rsid w:val="00B15F5C"/>
    <w:rsid w:val="00C515D6"/>
    <w:rsid w:val="00D10372"/>
    <w:rsid w:val="00D11DC1"/>
    <w:rsid w:val="00D241E9"/>
    <w:rsid w:val="00D3126A"/>
    <w:rsid w:val="00D7750D"/>
    <w:rsid w:val="00DD629A"/>
    <w:rsid w:val="00DE3F29"/>
    <w:rsid w:val="00E34329"/>
    <w:rsid w:val="00E44F70"/>
    <w:rsid w:val="00E66075"/>
    <w:rsid w:val="00EA4F24"/>
    <w:rsid w:val="00F00D2F"/>
    <w:rsid w:val="00F128DF"/>
    <w:rsid w:val="00F71794"/>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01689ECE-7AE4-4181-B545-9DA1BD478B85}">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6ABAAFAA-BA20-4BF6-8A81-CC54D4A95B3F}">
  <ds:schemaRefs>
    <ds:schemaRef ds:uri="http://schemas.microsoft.com/sharepoint/v3/contenttype/forms"/>
  </ds:schemaRefs>
</ds:datastoreItem>
</file>

<file path=customXml/itemProps4.xml><?xml version="1.0" encoding="utf-8"?>
<ds:datastoreItem xmlns:ds="http://schemas.openxmlformats.org/officeDocument/2006/customXml" ds:itemID="{BF546889-7604-44C6-868B-ADF4F3F54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2791</Words>
  <Characters>15911</Characters>
  <Application>Microsoft Office Word</Application>
  <DocSecurity>0</DocSecurity>
  <Lines>132</Lines>
  <Paragraphs>37</Paragraphs>
  <ScaleCrop>false</ScaleCrop>
  <Company/>
  <LinksUpToDate>false</LinksUpToDate>
  <CharactersWithSpaces>18665</CharactersWithSpaces>
  <SharedDoc>false</SharedDoc>
  <HLinks>
    <vt:vector size="6" baseType="variant">
      <vt:variant>
        <vt:i4>3932286</vt:i4>
      </vt:variant>
      <vt:variant>
        <vt:i4>0</vt:i4>
      </vt:variant>
      <vt:variant>
        <vt:i4>0</vt:i4>
      </vt:variant>
      <vt:variant>
        <vt:i4>5</vt:i4>
      </vt:variant>
      <vt:variant>
        <vt:lpwstr>http://joomla.corteidh.or.cr:8080/joomla/es/casos-contenciosos/38-jurisprudencia/2120-corte-idh-caso-j-vs-peru-excepcion-preliminar-fondo-reparaciones-y-costas-sentencia-de-27-de-noviembre-de-2013-serie-c-no-275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2025-10-17T15:42:00Z</dcterms:created>
  <dcterms:modified xsi:type="dcterms:W3CDTF">2025-10-17T15:42:00Z</dcterms:modified>
</cp:coreProperties>
</file>