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A07D30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17768F62">
                <wp:simplePos x="0" y="0"/>
                <wp:positionH relativeFrom="column">
                  <wp:posOffset>1353787</wp:posOffset>
                </wp:positionH>
                <wp:positionV relativeFrom="paragraph">
                  <wp:posOffset>109344</wp:posOffset>
                </wp:positionV>
                <wp:extent cx="5278582"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78582"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AA847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02B2">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C3DCB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885">
                              <w:rPr>
                                <w:rFonts w:asciiTheme="majorHAnsi" w:hAnsiTheme="majorHAnsi" w:cs="Arial"/>
                                <w:b/>
                                <w:color w:val="0D0D0D" w:themeColor="text1" w:themeTint="F2"/>
                                <w:sz w:val="36"/>
                                <w:szCs w:val="22"/>
                                <w:lang w:val="es-ES_tradnl"/>
                              </w:rPr>
                              <w:t>193-15</w:t>
                            </w:r>
                          </w:p>
                          <w:p w14:paraId="188B4303" w14:textId="687439E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080611D" w:rsidR="005B52B0" w:rsidRPr="00891885" w:rsidRDefault="00891885" w:rsidP="00997BC5">
                            <w:pPr>
                              <w:spacing w:line="276" w:lineRule="auto"/>
                              <w:rPr>
                                <w:rFonts w:asciiTheme="majorHAnsi" w:hAnsiTheme="majorHAnsi" w:cs="Arial"/>
                                <w:color w:val="0D0D0D" w:themeColor="text1" w:themeTint="F2"/>
                                <w:szCs w:val="22"/>
                                <w:lang w:val="pt-BR"/>
                              </w:rPr>
                            </w:pPr>
                            <w:r w:rsidRPr="00891885">
                              <w:rPr>
                                <w:rFonts w:asciiTheme="majorHAnsi" w:hAnsiTheme="majorHAnsi" w:cs="Arial"/>
                                <w:color w:val="0D0D0D" w:themeColor="text1" w:themeTint="F2"/>
                                <w:szCs w:val="22"/>
                                <w:lang w:val="pt-BR"/>
                              </w:rPr>
                              <w:t>HENRY DE JESÚS CASTAÑ</w:t>
                            </w:r>
                            <w:r w:rsidR="00E473B6">
                              <w:rPr>
                                <w:rFonts w:asciiTheme="majorHAnsi" w:hAnsiTheme="majorHAnsi" w:cs="Arial"/>
                                <w:color w:val="0D0D0D" w:themeColor="text1" w:themeTint="F2"/>
                                <w:szCs w:val="22"/>
                                <w:lang w:val="pt-BR"/>
                              </w:rPr>
                              <w:t>O</w:t>
                            </w:r>
                            <w:r w:rsidRPr="00891885">
                              <w:rPr>
                                <w:rFonts w:asciiTheme="majorHAnsi" w:hAnsiTheme="majorHAnsi" w:cs="Arial"/>
                                <w:color w:val="0D0D0D" w:themeColor="text1" w:themeTint="F2"/>
                                <w:szCs w:val="22"/>
                                <w:lang w:val="pt-BR"/>
                              </w:rPr>
                              <w:t xml:space="preserve"> R</w:t>
                            </w:r>
                            <w:r>
                              <w:rPr>
                                <w:rFonts w:asciiTheme="majorHAnsi" w:hAnsiTheme="majorHAnsi" w:cs="Arial"/>
                                <w:color w:val="0D0D0D" w:themeColor="text1" w:themeTint="F2"/>
                                <w:szCs w:val="22"/>
                                <w:lang w:val="pt-BR"/>
                              </w:rPr>
                              <w:t>IOS, ALEXANDER CASTAÑO RIOS Y FAMILIARES</w:t>
                            </w:r>
                          </w:p>
                          <w:bookmarkEnd w:id="0"/>
                          <w:p w14:paraId="0B9F7D22" w14:textId="78F99605" w:rsidR="005B52B0" w:rsidRPr="00891885" w:rsidRDefault="00891885" w:rsidP="00F56EC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6pt;margin-top:8.6pt;width:415.6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" filled="f" stroked="f" strokeweight=".5pt">
                <v:textbox>
                  <w:txbxContent>
                    <w:p w14:paraId="7D7328D9" w14:textId="4AA847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02B2">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C3DCB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885">
                        <w:rPr>
                          <w:rFonts w:asciiTheme="majorHAnsi" w:hAnsiTheme="majorHAnsi" w:cs="Arial"/>
                          <w:b/>
                          <w:color w:val="0D0D0D" w:themeColor="text1" w:themeTint="F2"/>
                          <w:sz w:val="36"/>
                          <w:szCs w:val="22"/>
                          <w:lang w:val="es-ES_tradnl"/>
                        </w:rPr>
                        <w:t>193-15</w:t>
                      </w:r>
                    </w:p>
                    <w:p w14:paraId="188B4303" w14:textId="687439E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080611D" w:rsidR="005B52B0" w:rsidRPr="00891885" w:rsidRDefault="00891885" w:rsidP="00997BC5">
                      <w:pPr>
                        <w:spacing w:line="276" w:lineRule="auto"/>
                        <w:rPr>
                          <w:rFonts w:asciiTheme="majorHAnsi" w:hAnsiTheme="majorHAnsi" w:cs="Arial"/>
                          <w:color w:val="0D0D0D" w:themeColor="text1" w:themeTint="F2"/>
                          <w:szCs w:val="22"/>
                          <w:lang w:val="pt-BR"/>
                        </w:rPr>
                      </w:pPr>
                      <w:r w:rsidRPr="00891885">
                        <w:rPr>
                          <w:rFonts w:asciiTheme="majorHAnsi" w:hAnsiTheme="majorHAnsi" w:cs="Arial"/>
                          <w:color w:val="0D0D0D" w:themeColor="text1" w:themeTint="F2"/>
                          <w:szCs w:val="22"/>
                          <w:lang w:val="pt-BR"/>
                        </w:rPr>
                        <w:t>HENRY DE JESÚS CASTAÑ</w:t>
                      </w:r>
                      <w:r w:rsidR="00E473B6">
                        <w:rPr>
                          <w:rFonts w:asciiTheme="majorHAnsi" w:hAnsiTheme="majorHAnsi" w:cs="Arial"/>
                          <w:color w:val="0D0D0D" w:themeColor="text1" w:themeTint="F2"/>
                          <w:szCs w:val="22"/>
                          <w:lang w:val="pt-BR"/>
                        </w:rPr>
                        <w:t>O</w:t>
                      </w:r>
                      <w:r w:rsidRPr="00891885">
                        <w:rPr>
                          <w:rFonts w:asciiTheme="majorHAnsi" w:hAnsiTheme="majorHAnsi" w:cs="Arial"/>
                          <w:color w:val="0D0D0D" w:themeColor="text1" w:themeTint="F2"/>
                          <w:szCs w:val="22"/>
                          <w:lang w:val="pt-BR"/>
                        </w:rPr>
                        <w:t xml:space="preserve"> R</w:t>
                      </w:r>
                      <w:r>
                        <w:rPr>
                          <w:rFonts w:asciiTheme="majorHAnsi" w:hAnsiTheme="majorHAnsi" w:cs="Arial"/>
                          <w:color w:val="0D0D0D" w:themeColor="text1" w:themeTint="F2"/>
                          <w:szCs w:val="22"/>
                          <w:lang w:val="pt-BR"/>
                        </w:rPr>
                        <w:t>IOS, ALEXANDER CASTAÑO RIOS Y FAMILIARES</w:t>
                      </w:r>
                    </w:p>
                    <w:bookmarkEnd w:id="1"/>
                    <w:p w14:paraId="0B9F7D22" w14:textId="78F99605" w:rsidR="005B52B0" w:rsidRPr="00891885" w:rsidRDefault="00891885" w:rsidP="00F56EC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4D67789" w:rsidR="00627C9F" w:rsidRPr="00477282" w:rsidRDefault="00834D49" w:rsidP="007A5817">
                            <w:pPr>
                              <w:spacing w:line="276" w:lineRule="auto"/>
                              <w:jc w:val="right"/>
                              <w:rPr>
                                <w:rFonts w:asciiTheme="minorHAnsi" w:hAnsiTheme="minorHAnsi"/>
                                <w:color w:val="FFFFFF" w:themeColor="background1"/>
                                <w:sz w:val="22"/>
                                <w:lang w:val="es-ES"/>
                              </w:rPr>
                            </w:pPr>
                            <w:r w:rsidRPr="00477282">
                              <w:rPr>
                                <w:rFonts w:asciiTheme="minorHAnsi" w:hAnsiTheme="minorHAnsi"/>
                                <w:color w:val="FFFFFF" w:themeColor="background1"/>
                                <w:sz w:val="22"/>
                                <w:lang w:val="es-ES"/>
                              </w:rPr>
                              <w:t>OEA/Ser.L/V/II</w:t>
                            </w:r>
                          </w:p>
                          <w:p w14:paraId="71D2D5D2" w14:textId="4037A780" w:rsidR="00627C9F" w:rsidRPr="00477282" w:rsidRDefault="00627C9F" w:rsidP="007A5817">
                            <w:pPr>
                              <w:spacing w:line="276" w:lineRule="auto"/>
                              <w:jc w:val="right"/>
                              <w:rPr>
                                <w:rFonts w:asciiTheme="minorHAnsi" w:hAnsiTheme="minorHAnsi"/>
                                <w:color w:val="FFFFFF" w:themeColor="background1"/>
                                <w:sz w:val="22"/>
                                <w:lang w:val="es-ES"/>
                              </w:rPr>
                            </w:pPr>
                            <w:r w:rsidRPr="00477282">
                              <w:rPr>
                                <w:rFonts w:asciiTheme="minorHAnsi" w:hAnsiTheme="minorHAnsi"/>
                                <w:color w:val="FFFFFF" w:themeColor="background1"/>
                                <w:sz w:val="22"/>
                                <w:lang w:val="es-ES"/>
                              </w:rPr>
                              <w:t xml:space="preserve">Doc. </w:t>
                            </w:r>
                            <w:r w:rsidR="00BE5E77" w:rsidRPr="00477282">
                              <w:rPr>
                                <w:rFonts w:asciiTheme="minorHAnsi" w:hAnsiTheme="minorHAnsi"/>
                                <w:color w:val="FFFFFF" w:themeColor="background1"/>
                                <w:sz w:val="22"/>
                                <w:lang w:val="es-ES"/>
                              </w:rPr>
                              <w:t>67</w:t>
                            </w:r>
                          </w:p>
                          <w:p w14:paraId="4061DBBD" w14:textId="19670290" w:rsidR="00627C9F" w:rsidRPr="00C25ADB" w:rsidRDefault="00BE5E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4D67789" w:rsidR="00627C9F" w:rsidRPr="00477282" w:rsidRDefault="00834D49" w:rsidP="007A5817">
                      <w:pPr>
                        <w:spacing w:line="276" w:lineRule="auto"/>
                        <w:jc w:val="right"/>
                        <w:rPr>
                          <w:rFonts w:asciiTheme="minorHAnsi" w:hAnsiTheme="minorHAnsi"/>
                          <w:color w:val="FFFFFF" w:themeColor="background1"/>
                          <w:sz w:val="22"/>
                          <w:lang w:val="es-ES"/>
                        </w:rPr>
                      </w:pPr>
                      <w:r w:rsidRPr="00477282">
                        <w:rPr>
                          <w:rFonts w:asciiTheme="minorHAnsi" w:hAnsiTheme="minorHAnsi"/>
                          <w:color w:val="FFFFFF" w:themeColor="background1"/>
                          <w:sz w:val="22"/>
                          <w:lang w:val="es-ES"/>
                        </w:rPr>
                        <w:t>OEA/Ser.L/V/II</w:t>
                      </w:r>
                    </w:p>
                    <w:p w14:paraId="71D2D5D2" w14:textId="4037A780" w:rsidR="00627C9F" w:rsidRPr="00477282" w:rsidRDefault="00627C9F" w:rsidP="007A5817">
                      <w:pPr>
                        <w:spacing w:line="276" w:lineRule="auto"/>
                        <w:jc w:val="right"/>
                        <w:rPr>
                          <w:rFonts w:asciiTheme="minorHAnsi" w:hAnsiTheme="minorHAnsi"/>
                          <w:color w:val="FFFFFF" w:themeColor="background1"/>
                          <w:sz w:val="22"/>
                          <w:lang w:val="es-ES"/>
                        </w:rPr>
                      </w:pPr>
                      <w:r w:rsidRPr="00477282">
                        <w:rPr>
                          <w:rFonts w:asciiTheme="minorHAnsi" w:hAnsiTheme="minorHAnsi"/>
                          <w:color w:val="FFFFFF" w:themeColor="background1"/>
                          <w:sz w:val="22"/>
                          <w:lang w:val="es-ES"/>
                        </w:rPr>
                        <w:t xml:space="preserve">Doc. </w:t>
                      </w:r>
                      <w:r w:rsidR="00BE5E77" w:rsidRPr="00477282">
                        <w:rPr>
                          <w:rFonts w:asciiTheme="minorHAnsi" w:hAnsiTheme="minorHAnsi"/>
                          <w:color w:val="FFFFFF" w:themeColor="background1"/>
                          <w:sz w:val="22"/>
                          <w:lang w:val="es-ES"/>
                        </w:rPr>
                        <w:t>67</w:t>
                      </w:r>
                    </w:p>
                    <w:p w14:paraId="4061DBBD" w14:textId="19670290" w:rsidR="00627C9F" w:rsidRPr="00C25ADB" w:rsidRDefault="00BE5E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1BE8B2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7282">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7728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E0D8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1BE8B2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7282">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7728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E0D8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076FBD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417C" w:rsidRPr="0016056A">
                              <w:rPr>
                                <w:rFonts w:asciiTheme="majorHAnsi" w:hAnsiTheme="majorHAnsi"/>
                                <w:color w:val="595959" w:themeColor="text1" w:themeTint="A6"/>
                                <w:sz w:val="18"/>
                                <w:szCs w:val="18"/>
                                <w:lang w:val="pt-BR"/>
                              </w:rPr>
                              <w:t>64</w:t>
                            </w:r>
                            <w:r w:rsidR="007B05C4" w:rsidRPr="0016056A">
                              <w:rPr>
                                <w:rFonts w:asciiTheme="majorHAnsi" w:hAnsiTheme="majorHAnsi"/>
                                <w:color w:val="595959" w:themeColor="text1" w:themeTint="A6"/>
                                <w:sz w:val="18"/>
                                <w:szCs w:val="18"/>
                                <w:lang w:val="pt-BR"/>
                              </w:rPr>
                              <w:t>/</w:t>
                            </w:r>
                            <w:r w:rsidR="0076417C" w:rsidRPr="0016056A">
                              <w:rPr>
                                <w:rFonts w:asciiTheme="majorHAnsi" w:hAnsiTheme="majorHAnsi"/>
                                <w:color w:val="595959" w:themeColor="text1" w:themeTint="A6"/>
                                <w:sz w:val="18"/>
                                <w:szCs w:val="18"/>
                                <w:lang w:val="pt-BR"/>
                              </w:rPr>
                              <w:t>25</w:t>
                            </w:r>
                            <w:r w:rsidRPr="0016056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0CFE">
                              <w:rPr>
                                <w:rFonts w:asciiTheme="majorHAnsi" w:hAnsiTheme="majorHAnsi"/>
                                <w:color w:val="595959" w:themeColor="text1" w:themeTint="A6"/>
                                <w:sz w:val="18"/>
                                <w:szCs w:val="18"/>
                                <w:lang w:val="es-ES"/>
                              </w:rPr>
                              <w:t>193-15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0CFE">
                              <w:rPr>
                                <w:rFonts w:asciiTheme="majorHAnsi" w:hAnsiTheme="majorHAnsi"/>
                                <w:color w:val="595959" w:themeColor="text1" w:themeTint="A6"/>
                                <w:sz w:val="18"/>
                                <w:szCs w:val="18"/>
                                <w:lang w:val="es-ES_tradnl"/>
                              </w:rPr>
                              <w:t>Henry de Jesús Castaño Ríos, Alexander Castaño Ríos y familiares</w:t>
                            </w:r>
                            <w:r w:rsidRPr="00890650">
                              <w:rPr>
                                <w:rFonts w:asciiTheme="majorHAnsi" w:hAnsiTheme="majorHAnsi"/>
                                <w:color w:val="595959" w:themeColor="text1" w:themeTint="A6"/>
                                <w:sz w:val="18"/>
                                <w:szCs w:val="18"/>
                                <w:lang w:val="es-ES_tradnl"/>
                              </w:rPr>
                              <w:t xml:space="preserve">. </w:t>
                            </w:r>
                            <w:r w:rsidR="007B0CF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138A">
                              <w:rPr>
                                <w:rFonts w:asciiTheme="majorHAnsi" w:hAnsiTheme="majorHAnsi"/>
                                <w:color w:val="595959" w:themeColor="text1" w:themeTint="A6"/>
                                <w:sz w:val="18"/>
                                <w:szCs w:val="18"/>
                                <w:lang w:val="es-ES"/>
                              </w:rPr>
                              <w:t>28 de abril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076FBD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417C" w:rsidRPr="0016056A">
                        <w:rPr>
                          <w:rFonts w:asciiTheme="majorHAnsi" w:hAnsiTheme="majorHAnsi"/>
                          <w:color w:val="595959" w:themeColor="text1" w:themeTint="A6"/>
                          <w:sz w:val="18"/>
                          <w:szCs w:val="18"/>
                          <w:lang w:val="pt-BR"/>
                        </w:rPr>
                        <w:t>64</w:t>
                      </w:r>
                      <w:r w:rsidR="007B05C4" w:rsidRPr="0016056A">
                        <w:rPr>
                          <w:rFonts w:asciiTheme="majorHAnsi" w:hAnsiTheme="majorHAnsi"/>
                          <w:color w:val="595959" w:themeColor="text1" w:themeTint="A6"/>
                          <w:sz w:val="18"/>
                          <w:szCs w:val="18"/>
                          <w:lang w:val="pt-BR"/>
                        </w:rPr>
                        <w:t>/</w:t>
                      </w:r>
                      <w:r w:rsidR="0076417C" w:rsidRPr="0016056A">
                        <w:rPr>
                          <w:rFonts w:asciiTheme="majorHAnsi" w:hAnsiTheme="majorHAnsi"/>
                          <w:color w:val="595959" w:themeColor="text1" w:themeTint="A6"/>
                          <w:sz w:val="18"/>
                          <w:szCs w:val="18"/>
                          <w:lang w:val="pt-BR"/>
                        </w:rPr>
                        <w:t>25</w:t>
                      </w:r>
                      <w:r w:rsidRPr="0016056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0CFE">
                        <w:rPr>
                          <w:rFonts w:asciiTheme="majorHAnsi" w:hAnsiTheme="majorHAnsi"/>
                          <w:color w:val="595959" w:themeColor="text1" w:themeTint="A6"/>
                          <w:sz w:val="18"/>
                          <w:szCs w:val="18"/>
                          <w:lang w:val="es-ES"/>
                        </w:rPr>
                        <w:t>193-15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0CFE">
                        <w:rPr>
                          <w:rFonts w:asciiTheme="majorHAnsi" w:hAnsiTheme="majorHAnsi"/>
                          <w:color w:val="595959" w:themeColor="text1" w:themeTint="A6"/>
                          <w:sz w:val="18"/>
                          <w:szCs w:val="18"/>
                          <w:lang w:val="es-ES_tradnl"/>
                        </w:rPr>
                        <w:t>Henry de Jesús Castaño Ríos, Alexander Castaño Ríos y familiares</w:t>
                      </w:r>
                      <w:r w:rsidRPr="00890650">
                        <w:rPr>
                          <w:rFonts w:asciiTheme="majorHAnsi" w:hAnsiTheme="majorHAnsi"/>
                          <w:color w:val="595959" w:themeColor="text1" w:themeTint="A6"/>
                          <w:sz w:val="18"/>
                          <w:szCs w:val="18"/>
                          <w:lang w:val="es-ES_tradnl"/>
                        </w:rPr>
                        <w:t xml:space="preserve">. </w:t>
                      </w:r>
                      <w:r w:rsidR="007B0CF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138A">
                        <w:rPr>
                          <w:rFonts w:asciiTheme="majorHAnsi" w:hAnsiTheme="majorHAnsi"/>
                          <w:color w:val="595959" w:themeColor="text1" w:themeTint="A6"/>
                          <w:sz w:val="18"/>
                          <w:szCs w:val="18"/>
                          <w:lang w:val="es-ES"/>
                        </w:rPr>
                        <w:t>28 de abril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3A76EF5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736499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FC8D8E8" w:rsidR="0070697F" w:rsidRDefault="00BC138A"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26E6F2B">
                <wp:simplePos x="0" y="0"/>
                <wp:positionH relativeFrom="column">
                  <wp:posOffset>1329386</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iD3KA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5352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CFE1595" w:rsidR="003239B8" w:rsidRPr="002465A7" w:rsidRDefault="00D333C0" w:rsidP="008D2290">
            <w:pPr>
              <w:jc w:val="both"/>
              <w:rPr>
                <w:rFonts w:ascii="Cambria" w:hAnsi="Cambria"/>
                <w:bCs/>
                <w:sz w:val="20"/>
                <w:szCs w:val="20"/>
                <w:lang w:val="es-CO"/>
              </w:rPr>
            </w:pPr>
            <w:r w:rsidRPr="002465A7">
              <w:rPr>
                <w:rFonts w:ascii="Cambria" w:hAnsi="Cambria"/>
                <w:bCs/>
                <w:sz w:val="20"/>
                <w:szCs w:val="20"/>
                <w:lang w:val="es-CO"/>
              </w:rPr>
              <w:t>Henry de Jesús Castaño Ríos</w:t>
            </w:r>
            <w:r w:rsidR="002465A7" w:rsidRPr="002465A7">
              <w:rPr>
                <w:rFonts w:ascii="Cambria" w:hAnsi="Cambria"/>
                <w:bCs/>
                <w:sz w:val="20"/>
                <w:szCs w:val="20"/>
                <w:lang w:val="es-CO"/>
              </w:rPr>
              <w:t xml:space="preserve"> y</w:t>
            </w:r>
            <w:r w:rsidR="002465A7">
              <w:rPr>
                <w:rFonts w:ascii="Cambria" w:hAnsi="Cambria"/>
                <w:bCs/>
                <w:sz w:val="20"/>
                <w:szCs w:val="20"/>
                <w:lang w:val="es-CO"/>
              </w:rPr>
              <w:t xml:space="preserve"> </w:t>
            </w:r>
            <w:r w:rsidR="002465A7" w:rsidRPr="00153BC5">
              <w:rPr>
                <w:rFonts w:ascii="Cambria" w:hAnsi="Cambria"/>
                <w:bCs/>
                <w:sz w:val="20"/>
                <w:szCs w:val="20"/>
                <w:lang w:val="es-CO"/>
              </w:rPr>
              <w:t>Alexander Castaño Ríos</w:t>
            </w:r>
            <w:r w:rsidR="00E02C52">
              <w:rPr>
                <w:rStyle w:val="FootnoteReference"/>
                <w:rFonts w:ascii="Cambria" w:hAnsi="Cambria"/>
                <w:bCs/>
                <w:sz w:val="20"/>
                <w:szCs w:val="20"/>
                <w:lang w:val="es-CO"/>
              </w:rPr>
              <w:footnoteReference w:id="2"/>
            </w:r>
          </w:p>
        </w:tc>
      </w:tr>
      <w:tr w:rsidR="003239B8" w:rsidRPr="0025352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33B9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934A10E" w:rsidR="003239B8" w:rsidRPr="00153BC5" w:rsidRDefault="00D333C0" w:rsidP="008D2290">
            <w:pPr>
              <w:jc w:val="both"/>
              <w:rPr>
                <w:rFonts w:ascii="Cambria" w:hAnsi="Cambria"/>
                <w:bCs/>
                <w:sz w:val="20"/>
                <w:szCs w:val="20"/>
                <w:lang w:val="es-CO"/>
              </w:rPr>
            </w:pPr>
            <w:r w:rsidRPr="00153BC5">
              <w:rPr>
                <w:rFonts w:ascii="Cambria" w:hAnsi="Cambria"/>
                <w:bCs/>
                <w:sz w:val="20"/>
                <w:szCs w:val="20"/>
                <w:lang w:val="es-CO"/>
              </w:rPr>
              <w:t xml:space="preserve">Henry de Jesús Castaño Ríos, Alexander Castaño Ríos, </w:t>
            </w:r>
            <w:r w:rsidR="00FF3ACA" w:rsidRPr="00153BC5">
              <w:rPr>
                <w:rFonts w:ascii="Cambria" w:hAnsi="Cambria"/>
                <w:bCs/>
                <w:sz w:val="20"/>
                <w:szCs w:val="20"/>
                <w:lang w:val="es-CO"/>
              </w:rPr>
              <w:t xml:space="preserve">Paola </w:t>
            </w:r>
            <w:r w:rsidR="00AB5D19" w:rsidRPr="00153BC5">
              <w:rPr>
                <w:rFonts w:ascii="Cambria" w:hAnsi="Cambria"/>
                <w:bCs/>
                <w:sz w:val="20"/>
                <w:szCs w:val="20"/>
                <w:lang w:val="es-CO"/>
              </w:rPr>
              <w:t xml:space="preserve">Yisset Palomo Cortés, María Adriana Castaño Ríos, </w:t>
            </w:r>
            <w:r w:rsidR="003C06D5" w:rsidRPr="00153BC5">
              <w:rPr>
                <w:rFonts w:ascii="Cambria" w:hAnsi="Cambria"/>
                <w:bCs/>
                <w:sz w:val="20"/>
                <w:szCs w:val="20"/>
                <w:lang w:val="es-CO"/>
              </w:rPr>
              <w:t>Viviana Patricia Pamplona Ortiz</w:t>
            </w:r>
            <w:r w:rsidR="00A75107" w:rsidRPr="00153BC5">
              <w:rPr>
                <w:rFonts w:ascii="Cambria" w:hAnsi="Cambria"/>
                <w:bCs/>
                <w:sz w:val="20"/>
                <w:szCs w:val="20"/>
                <w:lang w:val="es-CO"/>
              </w:rPr>
              <w:t xml:space="preserve"> y</w:t>
            </w:r>
            <w:r w:rsidR="003C06D5" w:rsidRPr="00153BC5">
              <w:rPr>
                <w:rFonts w:ascii="Cambria" w:hAnsi="Cambria"/>
                <w:bCs/>
                <w:sz w:val="20"/>
                <w:szCs w:val="20"/>
                <w:lang w:val="es-CO"/>
              </w:rPr>
              <w:t xml:space="preserve"> Alejandra Castaño Acosta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F9F1562" w:rsidR="003239B8" w:rsidRPr="000D05CB" w:rsidRDefault="00A3449F"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25352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32A0B40" w:rsidR="00223A29" w:rsidRPr="00CB01DF" w:rsidRDefault="00153BC5" w:rsidP="008D2290">
            <w:pPr>
              <w:jc w:val="both"/>
              <w:rPr>
                <w:rFonts w:ascii="Cambria" w:hAnsi="Cambria"/>
                <w:bCs/>
                <w:sz w:val="20"/>
                <w:szCs w:val="20"/>
                <w:lang w:val="es-CO"/>
              </w:rPr>
            </w:pPr>
            <w:r w:rsidRPr="00CB01DF">
              <w:rPr>
                <w:rFonts w:ascii="Cambria" w:hAnsi="Cambria"/>
                <w:bCs/>
                <w:sz w:val="20"/>
                <w:szCs w:val="20"/>
                <w:lang w:val="es-CO"/>
              </w:rPr>
              <w:t xml:space="preserve">Artículos 4 (vida), 5 (integridad personal), </w:t>
            </w:r>
            <w:r w:rsidR="00CB01DF" w:rsidRPr="00CB01DF">
              <w:rPr>
                <w:rFonts w:ascii="Cambria" w:hAnsi="Cambria"/>
                <w:bCs/>
                <w:sz w:val="20"/>
                <w:szCs w:val="20"/>
                <w:lang w:val="es-CO"/>
              </w:rPr>
              <w:t>7 (l</w:t>
            </w:r>
            <w:r w:rsidR="00CB01DF">
              <w:rPr>
                <w:rFonts w:ascii="Cambria" w:hAnsi="Cambria"/>
                <w:bCs/>
                <w:sz w:val="20"/>
                <w:szCs w:val="20"/>
                <w:lang w:val="es-CO"/>
              </w:rPr>
              <w:t xml:space="preserve">ibertad personal), 11 (protección </w:t>
            </w:r>
            <w:r w:rsidR="00282A25">
              <w:rPr>
                <w:rFonts w:ascii="Cambria" w:hAnsi="Cambria"/>
                <w:bCs/>
                <w:sz w:val="20"/>
                <w:szCs w:val="20"/>
                <w:lang w:val="es-CO"/>
              </w:rPr>
              <w:t>de</w:t>
            </w:r>
            <w:r w:rsidR="00CB01DF">
              <w:rPr>
                <w:rFonts w:ascii="Cambria" w:hAnsi="Cambria"/>
                <w:bCs/>
                <w:sz w:val="20"/>
                <w:szCs w:val="20"/>
                <w:lang w:val="es-CO"/>
              </w:rPr>
              <w:t xml:space="preserve"> la </w:t>
            </w:r>
            <w:r w:rsidR="00F2152C">
              <w:rPr>
                <w:rFonts w:ascii="Cambria" w:hAnsi="Cambria"/>
                <w:bCs/>
                <w:sz w:val="20"/>
                <w:szCs w:val="20"/>
                <w:lang w:val="es-CO"/>
              </w:rPr>
              <w:t>honra</w:t>
            </w:r>
            <w:r w:rsidR="00CB01DF">
              <w:rPr>
                <w:rFonts w:ascii="Cambria" w:hAnsi="Cambria"/>
                <w:bCs/>
                <w:sz w:val="20"/>
                <w:szCs w:val="20"/>
                <w:lang w:val="es-CO"/>
              </w:rPr>
              <w:t xml:space="preserve"> y </w:t>
            </w:r>
            <w:r w:rsidR="00282A25">
              <w:rPr>
                <w:rFonts w:ascii="Cambria" w:hAnsi="Cambria"/>
                <w:bCs/>
                <w:sz w:val="20"/>
                <w:szCs w:val="20"/>
                <w:lang w:val="es-CO"/>
              </w:rPr>
              <w:t xml:space="preserve">de </w:t>
            </w:r>
            <w:r w:rsidR="00CB01DF">
              <w:rPr>
                <w:rFonts w:ascii="Cambria" w:hAnsi="Cambria"/>
                <w:bCs/>
                <w:sz w:val="20"/>
                <w:szCs w:val="20"/>
                <w:lang w:val="es-CO"/>
              </w:rPr>
              <w:t>dignidad)</w:t>
            </w:r>
            <w:r w:rsidR="00F2152C">
              <w:rPr>
                <w:rFonts w:ascii="Cambria" w:hAnsi="Cambria"/>
                <w:bCs/>
                <w:sz w:val="20"/>
                <w:szCs w:val="20"/>
                <w:lang w:val="es-CO"/>
              </w:rPr>
              <w:t xml:space="preserve">, </w:t>
            </w:r>
            <w:r w:rsidR="0080029C">
              <w:rPr>
                <w:rFonts w:ascii="Cambria" w:hAnsi="Cambria"/>
                <w:bCs/>
                <w:sz w:val="20"/>
                <w:szCs w:val="20"/>
                <w:lang w:val="es-CO"/>
              </w:rPr>
              <w:t xml:space="preserve">13 (libertad de pensamiento y de expresión), </w:t>
            </w:r>
            <w:r w:rsidR="00F2152C">
              <w:rPr>
                <w:rFonts w:ascii="Cambria" w:hAnsi="Cambria"/>
                <w:bCs/>
                <w:sz w:val="20"/>
                <w:szCs w:val="20"/>
                <w:lang w:val="es-CO"/>
              </w:rPr>
              <w:t>17 (protección a la familia)</w:t>
            </w:r>
            <w:r w:rsidR="00282A25">
              <w:rPr>
                <w:rFonts w:ascii="Cambria" w:hAnsi="Cambria"/>
                <w:bCs/>
                <w:sz w:val="20"/>
                <w:szCs w:val="20"/>
                <w:lang w:val="es-CO"/>
              </w:rPr>
              <w:t>, 19 (derechos del niño)</w:t>
            </w:r>
            <w:r w:rsidR="00CC4194">
              <w:rPr>
                <w:rFonts w:ascii="Cambria" w:hAnsi="Cambria"/>
                <w:bCs/>
                <w:sz w:val="20"/>
                <w:szCs w:val="20"/>
                <w:lang w:val="es-CO"/>
              </w:rPr>
              <w:t>,</w:t>
            </w:r>
            <w:r w:rsidR="005A1531">
              <w:rPr>
                <w:rFonts w:ascii="Cambria" w:hAnsi="Cambria"/>
                <w:bCs/>
                <w:sz w:val="20"/>
                <w:szCs w:val="20"/>
                <w:lang w:val="es-CO"/>
              </w:rPr>
              <w:t xml:space="preserve"> </w:t>
            </w:r>
            <w:r w:rsidR="003650F7">
              <w:rPr>
                <w:rFonts w:ascii="Cambria" w:hAnsi="Cambria"/>
                <w:bCs/>
                <w:sz w:val="20"/>
                <w:szCs w:val="20"/>
                <w:lang w:val="es-CO"/>
              </w:rPr>
              <w:t xml:space="preserve">21 (propiedad privada), </w:t>
            </w:r>
            <w:r w:rsidR="005A1531">
              <w:rPr>
                <w:rFonts w:ascii="Cambria" w:hAnsi="Cambria"/>
                <w:bCs/>
                <w:sz w:val="20"/>
                <w:szCs w:val="20"/>
                <w:lang w:val="es-CO"/>
              </w:rPr>
              <w:t>22 (circulación y residencia)</w:t>
            </w:r>
            <w:r w:rsidR="00496391">
              <w:rPr>
                <w:rFonts w:ascii="Cambria" w:hAnsi="Cambria"/>
                <w:bCs/>
                <w:sz w:val="20"/>
                <w:szCs w:val="20"/>
                <w:lang w:val="es-CO"/>
              </w:rPr>
              <w:t>, 23 (derechos políticos),</w:t>
            </w:r>
            <w:r w:rsidR="00CC4194">
              <w:rPr>
                <w:rFonts w:ascii="Cambria" w:hAnsi="Cambria"/>
                <w:bCs/>
                <w:sz w:val="20"/>
                <w:szCs w:val="20"/>
                <w:lang w:val="es-CO"/>
              </w:rPr>
              <w:t xml:space="preserve"> </w:t>
            </w:r>
            <w:r w:rsidR="00496391">
              <w:rPr>
                <w:rFonts w:ascii="Cambria" w:hAnsi="Cambria"/>
                <w:bCs/>
                <w:sz w:val="20"/>
                <w:szCs w:val="20"/>
                <w:lang w:val="es-CO"/>
              </w:rPr>
              <w:t>2</w:t>
            </w:r>
            <w:r w:rsidR="00CC4194">
              <w:rPr>
                <w:rFonts w:ascii="Cambria" w:hAnsi="Cambria"/>
                <w:bCs/>
                <w:sz w:val="20"/>
                <w:szCs w:val="20"/>
                <w:lang w:val="es-CO"/>
              </w:rPr>
              <w:t xml:space="preserve">4 (igualdad ante la ley) </w:t>
            </w:r>
            <w:r w:rsidR="00496391">
              <w:rPr>
                <w:rFonts w:ascii="Cambria" w:hAnsi="Cambria"/>
                <w:bCs/>
                <w:sz w:val="20"/>
                <w:szCs w:val="20"/>
                <w:lang w:val="es-CO"/>
              </w:rPr>
              <w:t xml:space="preserve">y 25 (protección judicial) </w:t>
            </w:r>
            <w:r w:rsidR="00B06E90" w:rsidRPr="00AE4154">
              <w:rPr>
                <w:rFonts w:ascii="Cambria" w:hAnsi="Cambria"/>
                <w:bCs/>
                <w:sz w:val="20"/>
                <w:szCs w:val="20"/>
                <w:lang w:val="es-419"/>
              </w:rPr>
              <w:t>de la Convención Americana sobre Derechos Humano</w:t>
            </w:r>
            <w:r w:rsidR="00B06E90">
              <w:rPr>
                <w:rFonts w:ascii="Cambria" w:hAnsi="Cambria"/>
                <w:bCs/>
                <w:sz w:val="20"/>
                <w:szCs w:val="20"/>
                <w:lang w:val="es-419"/>
              </w:rPr>
              <w:t>s</w:t>
            </w:r>
            <w:r w:rsidR="00B06E90" w:rsidRPr="00AE4154">
              <w:rPr>
                <w:rStyle w:val="FootnoteReference"/>
                <w:rFonts w:ascii="Cambria" w:hAnsi="Cambria"/>
                <w:bCs/>
                <w:sz w:val="20"/>
                <w:szCs w:val="20"/>
                <w:lang w:val="es-419"/>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018D9FE" w:rsidR="004C2312" w:rsidRPr="003239B8" w:rsidRDefault="00CC0537" w:rsidP="002625EA">
            <w:pPr>
              <w:jc w:val="both"/>
              <w:rPr>
                <w:rFonts w:ascii="Cambria" w:hAnsi="Cambria"/>
                <w:bCs/>
                <w:sz w:val="20"/>
                <w:szCs w:val="20"/>
                <w:lang w:val="es-ES"/>
              </w:rPr>
            </w:pPr>
            <w:r>
              <w:rPr>
                <w:rFonts w:ascii="Cambria" w:hAnsi="Cambria"/>
                <w:bCs/>
                <w:sz w:val="20"/>
                <w:szCs w:val="20"/>
                <w:lang w:val="es-ES"/>
              </w:rPr>
              <w:t>24 de marzo de 2015</w:t>
            </w:r>
          </w:p>
        </w:tc>
      </w:tr>
      <w:tr w:rsidR="00131425" w:rsidRPr="00253528"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CB3576C" w:rsidR="00131425" w:rsidRPr="003239B8" w:rsidRDefault="00F80AB6" w:rsidP="002625EA">
            <w:pPr>
              <w:jc w:val="both"/>
              <w:rPr>
                <w:rFonts w:ascii="Cambria" w:hAnsi="Cambria"/>
                <w:bCs/>
                <w:sz w:val="20"/>
                <w:szCs w:val="20"/>
                <w:lang w:val="es-ES"/>
              </w:rPr>
            </w:pPr>
            <w:r>
              <w:rPr>
                <w:rFonts w:ascii="Cambria" w:hAnsi="Cambria"/>
                <w:bCs/>
                <w:sz w:val="20"/>
                <w:szCs w:val="20"/>
                <w:lang w:val="es-ES"/>
              </w:rPr>
              <w:t xml:space="preserve">24 de junio de 2015, </w:t>
            </w:r>
            <w:r w:rsidR="00894895">
              <w:rPr>
                <w:rFonts w:ascii="Cambria" w:hAnsi="Cambria"/>
                <w:bCs/>
                <w:sz w:val="20"/>
                <w:szCs w:val="20"/>
                <w:lang w:val="es-ES"/>
              </w:rPr>
              <w:t xml:space="preserve">15 de marzo de 2016, </w:t>
            </w:r>
            <w:r w:rsidR="00334D9D">
              <w:rPr>
                <w:rFonts w:ascii="Cambria" w:hAnsi="Cambria"/>
                <w:bCs/>
                <w:sz w:val="20"/>
                <w:szCs w:val="20"/>
                <w:lang w:val="es-ES"/>
              </w:rPr>
              <w:t xml:space="preserve">8 de septiembre de 2016, </w:t>
            </w:r>
            <w:r w:rsidR="00CC72BD">
              <w:rPr>
                <w:rFonts w:ascii="Cambria" w:hAnsi="Cambria"/>
                <w:bCs/>
                <w:sz w:val="20"/>
                <w:szCs w:val="20"/>
                <w:lang w:val="es-ES"/>
              </w:rPr>
              <w:t xml:space="preserve">19 de enero de 2017, </w:t>
            </w:r>
            <w:r w:rsidR="00C86E09">
              <w:rPr>
                <w:rFonts w:ascii="Cambria" w:hAnsi="Cambria"/>
                <w:bCs/>
                <w:sz w:val="20"/>
                <w:szCs w:val="20"/>
                <w:lang w:val="es-ES"/>
              </w:rPr>
              <w:t xml:space="preserve">8 de febrero de 2017, </w:t>
            </w:r>
            <w:r w:rsidR="00B76383">
              <w:rPr>
                <w:rFonts w:ascii="Cambria" w:hAnsi="Cambria"/>
                <w:bCs/>
                <w:sz w:val="20"/>
                <w:szCs w:val="20"/>
                <w:lang w:val="es-ES"/>
              </w:rPr>
              <w:t xml:space="preserve">13 de febrero de 2017, </w:t>
            </w:r>
            <w:r w:rsidR="00CC72BD">
              <w:rPr>
                <w:rFonts w:ascii="Cambria" w:hAnsi="Cambria"/>
                <w:bCs/>
                <w:sz w:val="20"/>
                <w:szCs w:val="20"/>
                <w:lang w:val="es-ES"/>
              </w:rPr>
              <w:t xml:space="preserve">20 de febrero de 2017, </w:t>
            </w:r>
            <w:r w:rsidR="00123D92">
              <w:rPr>
                <w:rFonts w:ascii="Cambria" w:hAnsi="Cambria"/>
                <w:bCs/>
                <w:sz w:val="20"/>
                <w:szCs w:val="20"/>
                <w:lang w:val="es-ES"/>
              </w:rPr>
              <w:t xml:space="preserve">2 de marzo de 2017, </w:t>
            </w:r>
            <w:r w:rsidR="00714A6F">
              <w:rPr>
                <w:rFonts w:ascii="Cambria" w:hAnsi="Cambria"/>
                <w:bCs/>
                <w:sz w:val="20"/>
                <w:szCs w:val="20"/>
                <w:lang w:val="es-ES"/>
              </w:rPr>
              <w:t xml:space="preserve">3 de marzo de 2017, </w:t>
            </w:r>
            <w:r w:rsidR="00B9128D">
              <w:rPr>
                <w:rFonts w:ascii="Cambria" w:hAnsi="Cambria"/>
                <w:bCs/>
                <w:sz w:val="20"/>
                <w:szCs w:val="20"/>
                <w:lang w:val="es-ES"/>
              </w:rPr>
              <w:t>5 de junio de 2018</w:t>
            </w:r>
            <w:r w:rsidR="002365BC">
              <w:rPr>
                <w:rFonts w:ascii="Cambria" w:hAnsi="Cambria"/>
                <w:bCs/>
                <w:sz w:val="20"/>
                <w:szCs w:val="20"/>
                <w:lang w:val="es-ES"/>
              </w:rPr>
              <w:t>,</w:t>
            </w:r>
            <w:r w:rsidR="00B9128D">
              <w:rPr>
                <w:rFonts w:ascii="Cambria" w:hAnsi="Cambria"/>
                <w:bCs/>
                <w:sz w:val="20"/>
                <w:szCs w:val="20"/>
                <w:lang w:val="es-ES"/>
              </w:rPr>
              <w:t xml:space="preserve"> </w:t>
            </w:r>
            <w:r w:rsidR="004C4AAB">
              <w:rPr>
                <w:rFonts w:ascii="Cambria" w:hAnsi="Cambria"/>
                <w:bCs/>
                <w:sz w:val="20"/>
                <w:szCs w:val="20"/>
                <w:lang w:val="es-ES"/>
              </w:rPr>
              <w:t>19 de octubre de 2021</w:t>
            </w:r>
            <w:r w:rsidR="005E60C9">
              <w:rPr>
                <w:rFonts w:ascii="Cambria" w:hAnsi="Cambria"/>
                <w:bCs/>
                <w:sz w:val="20"/>
                <w:szCs w:val="20"/>
                <w:lang w:val="es-ES"/>
              </w:rPr>
              <w:t xml:space="preserve"> y 7 de marzo de 2025</w:t>
            </w:r>
          </w:p>
        </w:tc>
      </w:tr>
      <w:tr w:rsidR="004C2312" w:rsidRPr="0089188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ECE8CA5" w:rsidR="004C2312" w:rsidRPr="003239B8" w:rsidRDefault="0005075F" w:rsidP="008D2290">
            <w:pPr>
              <w:jc w:val="both"/>
              <w:rPr>
                <w:rFonts w:ascii="Cambria" w:hAnsi="Cambria"/>
                <w:bCs/>
                <w:sz w:val="20"/>
                <w:szCs w:val="20"/>
                <w:lang w:val="es-ES"/>
              </w:rPr>
            </w:pPr>
            <w:r>
              <w:rPr>
                <w:rFonts w:ascii="Cambria" w:hAnsi="Cambria"/>
                <w:bCs/>
                <w:sz w:val="20"/>
                <w:szCs w:val="20"/>
                <w:lang w:val="es-ES"/>
              </w:rPr>
              <w:t>9 de diciembre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A291B97" w:rsidR="004C2312" w:rsidRPr="003239B8" w:rsidRDefault="004D4998" w:rsidP="008D2290">
            <w:pPr>
              <w:jc w:val="both"/>
              <w:rPr>
                <w:rFonts w:ascii="Cambria" w:hAnsi="Cambria"/>
                <w:bCs/>
                <w:sz w:val="20"/>
                <w:szCs w:val="20"/>
                <w:lang w:val="es-ES"/>
              </w:rPr>
            </w:pPr>
            <w:r>
              <w:rPr>
                <w:rFonts w:ascii="Cambria" w:hAnsi="Cambria"/>
                <w:bCs/>
                <w:sz w:val="20"/>
                <w:szCs w:val="20"/>
                <w:lang w:val="es-ES"/>
              </w:rPr>
              <w:t>7 de diciembre de 2021</w:t>
            </w:r>
          </w:p>
        </w:tc>
      </w:tr>
      <w:tr w:rsidR="004C2312" w:rsidRPr="0089188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838F67D" w:rsidR="004C2312" w:rsidRPr="003239B8" w:rsidRDefault="00D3698D" w:rsidP="008D2290">
            <w:pPr>
              <w:jc w:val="both"/>
              <w:rPr>
                <w:rFonts w:ascii="Cambria" w:hAnsi="Cambria"/>
                <w:bCs/>
                <w:sz w:val="20"/>
                <w:szCs w:val="20"/>
                <w:lang w:val="es-ES"/>
              </w:rPr>
            </w:pPr>
            <w:r>
              <w:rPr>
                <w:rFonts w:ascii="Cambria" w:hAnsi="Cambria"/>
                <w:bCs/>
                <w:sz w:val="20"/>
                <w:szCs w:val="20"/>
                <w:lang w:val="es-ES"/>
              </w:rPr>
              <w:t>3 de enero de 2022</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455A1A66" w:rsidR="004C2312" w:rsidRPr="009111EC" w:rsidRDefault="002755EC" w:rsidP="008D2290">
            <w:pPr>
              <w:jc w:val="both"/>
              <w:rPr>
                <w:rFonts w:ascii="Cambria" w:hAnsi="Cambria"/>
                <w:bCs/>
                <w:sz w:val="20"/>
                <w:szCs w:val="20"/>
              </w:rPr>
            </w:pPr>
            <w:r>
              <w:rPr>
                <w:rFonts w:ascii="Cambria" w:hAnsi="Cambria"/>
                <w:bCs/>
                <w:sz w:val="20"/>
                <w:szCs w:val="20"/>
              </w:rPr>
              <w:t>31 de marzo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B551E3C" w:rsidR="003239B8" w:rsidRPr="00B3745F" w:rsidRDefault="00CC72BD"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38233B7" w:rsidR="003239B8" w:rsidRPr="00B3745F" w:rsidRDefault="00CC72BD"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FAF4398" w:rsidR="003239B8" w:rsidRPr="00B3745F" w:rsidRDefault="00CC72BD" w:rsidP="008D2290">
            <w:pPr>
              <w:rPr>
                <w:rFonts w:ascii="Cambria" w:hAnsi="Cambria"/>
                <w:bCs/>
                <w:sz w:val="20"/>
                <w:szCs w:val="20"/>
              </w:rPr>
            </w:pPr>
            <w:r>
              <w:rPr>
                <w:rFonts w:ascii="Cambria" w:hAnsi="Cambria"/>
                <w:bCs/>
                <w:sz w:val="20"/>
                <w:szCs w:val="20"/>
              </w:rPr>
              <w:t>Sí</w:t>
            </w:r>
          </w:p>
        </w:tc>
      </w:tr>
      <w:tr w:rsidR="003239B8" w:rsidRPr="0025352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F16376E" w:rsidR="003239B8" w:rsidRPr="00B3745F" w:rsidRDefault="00CC72BD" w:rsidP="008D2290">
            <w:pPr>
              <w:jc w:val="both"/>
              <w:rPr>
                <w:rFonts w:ascii="Cambria" w:hAnsi="Cambria"/>
                <w:bCs/>
                <w:sz w:val="20"/>
                <w:szCs w:val="20"/>
                <w:lang w:val="es-ES"/>
              </w:rPr>
            </w:pPr>
            <w:r w:rsidRPr="00CB26AC">
              <w:rPr>
                <w:rFonts w:ascii="Cambria" w:hAnsi="Cambria"/>
                <w:bCs/>
                <w:sz w:val="20"/>
                <w:szCs w:val="20"/>
                <w:lang w:val="es-ES"/>
              </w:rPr>
              <w:t>Sí, 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9188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BF7117F" w:rsidR="00EE00E9" w:rsidRPr="00DC24E3" w:rsidRDefault="00156E0C" w:rsidP="008D2290">
            <w:pPr>
              <w:jc w:val="both"/>
              <w:rPr>
                <w:rFonts w:ascii="Cambria" w:hAnsi="Cambria"/>
                <w:bCs/>
                <w:sz w:val="20"/>
                <w:szCs w:val="20"/>
                <w:lang w:val="es-ES"/>
              </w:rPr>
            </w:pPr>
            <w:r>
              <w:rPr>
                <w:rFonts w:ascii="Cambria" w:hAnsi="Cambria"/>
                <w:bCs/>
                <w:sz w:val="20"/>
                <w:szCs w:val="20"/>
                <w:lang w:val="es-ES"/>
              </w:rPr>
              <w:t>No</w:t>
            </w:r>
          </w:p>
        </w:tc>
      </w:tr>
      <w:tr w:rsidR="003239B8" w:rsidRPr="00253528"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CF8C4F2" w:rsidR="003239B8" w:rsidRPr="0024140A" w:rsidRDefault="00B6538B" w:rsidP="008D2290">
            <w:pPr>
              <w:jc w:val="both"/>
              <w:rPr>
                <w:rFonts w:ascii="Cambria" w:hAnsi="Cambria"/>
                <w:bCs/>
                <w:sz w:val="20"/>
                <w:szCs w:val="20"/>
                <w:lang w:val="es-ES"/>
              </w:rPr>
            </w:pPr>
            <w:r w:rsidRPr="00B6538B">
              <w:rPr>
                <w:rFonts w:ascii="Cambria" w:hAnsi="Cambria"/>
                <w:bCs/>
                <w:sz w:val="20"/>
                <w:szCs w:val="20"/>
                <w:lang w:val="es-CO"/>
              </w:rPr>
              <w:t xml:space="preserve">Artículos </w:t>
            </w:r>
            <w:r w:rsidRPr="00CB01DF">
              <w:rPr>
                <w:rFonts w:ascii="Cambria" w:hAnsi="Cambria"/>
                <w:bCs/>
                <w:sz w:val="20"/>
                <w:szCs w:val="20"/>
                <w:lang w:val="es-CO"/>
              </w:rPr>
              <w:t>5 (integridad personal), 7 (l</w:t>
            </w:r>
            <w:r>
              <w:rPr>
                <w:rFonts w:ascii="Cambria" w:hAnsi="Cambria"/>
                <w:bCs/>
                <w:sz w:val="20"/>
                <w:szCs w:val="20"/>
                <w:lang w:val="es-CO"/>
              </w:rPr>
              <w:t xml:space="preserve">ibertad personal), 11 (protección de la honra y de dignidad), 13 (libertad de pensamiento y de expresión), </w:t>
            </w:r>
            <w:r w:rsidR="00FA1DC7">
              <w:rPr>
                <w:rFonts w:ascii="Cambria" w:hAnsi="Cambria"/>
                <w:bCs/>
                <w:sz w:val="20"/>
                <w:szCs w:val="20"/>
                <w:lang w:val="es-CO"/>
              </w:rPr>
              <w:t xml:space="preserve">17 </w:t>
            </w:r>
            <w:r w:rsidR="000436C5">
              <w:rPr>
                <w:rFonts w:ascii="Cambria" w:hAnsi="Cambria"/>
                <w:bCs/>
                <w:sz w:val="20"/>
                <w:szCs w:val="20"/>
                <w:lang w:val="es-CO"/>
              </w:rPr>
              <w:t xml:space="preserve">(protección de la familia), </w:t>
            </w:r>
            <w:r>
              <w:rPr>
                <w:rFonts w:ascii="Cambria" w:hAnsi="Cambria"/>
                <w:bCs/>
                <w:sz w:val="20"/>
                <w:szCs w:val="20"/>
                <w:lang w:val="es-CO"/>
              </w:rPr>
              <w:t xml:space="preserve">22 (circulación y residencia) y 25 (protección judicial) </w:t>
            </w:r>
            <w:r w:rsidRPr="00AE4154">
              <w:rPr>
                <w:rFonts w:ascii="Cambria" w:hAnsi="Cambria"/>
                <w:bCs/>
                <w:sz w:val="20"/>
                <w:szCs w:val="20"/>
                <w:lang w:val="es-419"/>
              </w:rPr>
              <w:t>de la Convención Americana</w:t>
            </w:r>
            <w:r w:rsidR="0024140A">
              <w:rPr>
                <w:rFonts w:ascii="Cambria" w:hAnsi="Cambria"/>
                <w:bCs/>
                <w:sz w:val="20"/>
                <w:szCs w:val="20"/>
                <w:lang w:val="es-419"/>
              </w:rPr>
              <w:t>, en relaci</w:t>
            </w:r>
            <w:r w:rsidR="00E12452">
              <w:rPr>
                <w:rFonts w:ascii="Cambria" w:hAnsi="Cambria"/>
                <w:bCs/>
                <w:sz w:val="20"/>
                <w:szCs w:val="20"/>
                <w:lang w:val="es-ES"/>
              </w:rPr>
              <w:t xml:space="preserve">ón </w:t>
            </w:r>
            <w:r w:rsidR="00491EF5">
              <w:rPr>
                <w:rFonts w:ascii="Cambria" w:hAnsi="Cambria"/>
                <w:bCs/>
                <w:sz w:val="20"/>
                <w:szCs w:val="20"/>
                <w:lang w:val="es-ES"/>
              </w:rPr>
              <w:t>con su artículo 1.1 (obligación de respetar los derechos)</w:t>
            </w:r>
          </w:p>
        </w:tc>
      </w:tr>
      <w:tr w:rsidR="003239B8" w:rsidRPr="0025352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392E7A61" w:rsidR="003239B8" w:rsidRPr="00DC24E3" w:rsidRDefault="00B6538B"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25352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EB43B39" w:rsidR="003239B8" w:rsidRPr="00B6538B" w:rsidRDefault="00B6538B"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56FD5D57" w14:textId="252B1FD5" w:rsidR="003239B8" w:rsidRPr="00825F96" w:rsidRDefault="00223A29" w:rsidP="003239B8">
      <w:pPr>
        <w:spacing w:before="240" w:after="240"/>
        <w:ind w:firstLine="720"/>
        <w:jc w:val="both"/>
        <w:rPr>
          <w:rFonts w:asciiTheme="majorHAnsi" w:hAnsiTheme="majorHAnsi"/>
          <w:b/>
          <w:sz w:val="20"/>
          <w:szCs w:val="20"/>
          <w:lang w:val="es-CO"/>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2E5A4F">
      <w:pPr>
        <w:pStyle w:val="ListParagraph"/>
        <w:numPr>
          <w:ilvl w:val="0"/>
          <w:numId w:val="0"/>
        </w:numPr>
        <w:ind w:left="720"/>
        <w:rPr>
          <w:rFonts w:asciiTheme="majorHAnsi" w:hAnsiTheme="majorHAnsi"/>
          <w:b/>
          <w:szCs w:val="20"/>
          <w:lang w:val="es-UY"/>
        </w:rPr>
      </w:pPr>
      <w:r>
        <w:rPr>
          <w:rFonts w:asciiTheme="majorHAnsi" w:hAnsiTheme="majorHAnsi"/>
          <w:b/>
          <w:szCs w:val="20"/>
          <w:lang w:val="es-UY"/>
        </w:rPr>
        <w:t>La p</w:t>
      </w:r>
      <w:r w:rsidR="0008158C" w:rsidRPr="00125980">
        <w:rPr>
          <w:rFonts w:asciiTheme="majorHAnsi" w:hAnsiTheme="majorHAnsi"/>
          <w:b/>
          <w:szCs w:val="20"/>
          <w:lang w:val="es-UY"/>
        </w:rPr>
        <w:t>arte peticionaria</w:t>
      </w:r>
    </w:p>
    <w:p w14:paraId="53BD3EF6" w14:textId="12A7AC12" w:rsidR="006E621A" w:rsidRPr="006E621A" w:rsidRDefault="002D4732" w:rsidP="006E621A">
      <w:pPr>
        <w:pStyle w:val="ListParagraph"/>
        <w:numPr>
          <w:ilvl w:val="0"/>
          <w:numId w:val="61"/>
        </w:numPr>
        <w:ind w:left="0" w:firstLine="720"/>
        <w:rPr>
          <w:rFonts w:asciiTheme="majorHAnsi" w:hAnsiTheme="majorHAnsi"/>
          <w:bCs/>
          <w:szCs w:val="20"/>
          <w:lang w:val="es-UY"/>
        </w:rPr>
      </w:pPr>
      <w:r>
        <w:rPr>
          <w:szCs w:val="20"/>
          <w:lang w:val="es-AR"/>
        </w:rPr>
        <w:t xml:space="preserve">Los hermanos Henry de Jesús y Alexander Castaño Ríos </w:t>
      </w:r>
      <w:r w:rsidR="00C13F03">
        <w:rPr>
          <w:szCs w:val="20"/>
          <w:lang w:val="es-AR"/>
        </w:rPr>
        <w:t xml:space="preserve">(en adelante “los peticionarios” o “las presuntas víctimas”) </w:t>
      </w:r>
      <w:r w:rsidR="00CD3094">
        <w:rPr>
          <w:szCs w:val="20"/>
          <w:lang w:val="es-AR"/>
        </w:rPr>
        <w:t xml:space="preserve">alegan la violación de sus derechos y los de su familia por la persecución y acoso laboral que habrían sufrido en el ejército nacional </w:t>
      </w:r>
      <w:r w:rsidR="00491EF5">
        <w:rPr>
          <w:szCs w:val="20"/>
          <w:lang w:val="es-AR"/>
        </w:rPr>
        <w:t>por</w:t>
      </w:r>
      <w:r w:rsidR="00935F28">
        <w:rPr>
          <w:szCs w:val="20"/>
          <w:lang w:val="es-AR"/>
        </w:rPr>
        <w:t xml:space="preserve"> la p</w:t>
      </w:r>
      <w:r w:rsidR="00B45873">
        <w:rPr>
          <w:szCs w:val="20"/>
          <w:lang w:val="es-AR"/>
        </w:rPr>
        <w:t>ublica</w:t>
      </w:r>
      <w:r w:rsidR="00935F28">
        <w:rPr>
          <w:szCs w:val="20"/>
          <w:lang w:val="es-AR"/>
        </w:rPr>
        <w:t xml:space="preserve">ción de denuncias </w:t>
      </w:r>
      <w:r w:rsidR="00AA4F63">
        <w:rPr>
          <w:szCs w:val="20"/>
          <w:lang w:val="es-AR"/>
        </w:rPr>
        <w:t>de</w:t>
      </w:r>
      <w:r w:rsidR="00935F28">
        <w:rPr>
          <w:szCs w:val="20"/>
          <w:lang w:val="es-AR"/>
        </w:rPr>
        <w:t xml:space="preserve"> </w:t>
      </w:r>
      <w:r w:rsidR="004D20B4">
        <w:rPr>
          <w:szCs w:val="20"/>
          <w:lang w:val="es-AR"/>
        </w:rPr>
        <w:t>tortura</w:t>
      </w:r>
      <w:r w:rsidR="00935F28">
        <w:rPr>
          <w:szCs w:val="20"/>
          <w:lang w:val="es-AR"/>
        </w:rPr>
        <w:t xml:space="preserve"> al interior de dicha institución, lo que habría derivado en amenazas de muerte y atentados contra su vida que los</w:t>
      </w:r>
      <w:r w:rsidR="00CD34F4">
        <w:rPr>
          <w:szCs w:val="20"/>
          <w:lang w:val="es-AR"/>
        </w:rPr>
        <w:t xml:space="preserve"> llev</w:t>
      </w:r>
      <w:r w:rsidR="00AE486D">
        <w:rPr>
          <w:szCs w:val="20"/>
          <w:lang w:val="es-AR"/>
        </w:rPr>
        <w:t>aron</w:t>
      </w:r>
      <w:r w:rsidR="00CD34F4">
        <w:rPr>
          <w:szCs w:val="20"/>
          <w:lang w:val="es-AR"/>
        </w:rPr>
        <w:t xml:space="preserve"> al exilio.</w:t>
      </w:r>
    </w:p>
    <w:p w14:paraId="4A98E180" w14:textId="76047313" w:rsidR="00EE07F2" w:rsidRPr="00F801D9" w:rsidRDefault="00EE07F2" w:rsidP="006E621A">
      <w:pPr>
        <w:pStyle w:val="ListParagraph"/>
        <w:numPr>
          <w:ilvl w:val="0"/>
          <w:numId w:val="61"/>
        </w:numPr>
        <w:ind w:left="0" w:firstLine="720"/>
        <w:rPr>
          <w:rFonts w:asciiTheme="majorHAnsi" w:hAnsiTheme="majorHAnsi"/>
          <w:bCs/>
          <w:szCs w:val="20"/>
          <w:lang w:val="es-UY"/>
        </w:rPr>
      </w:pPr>
      <w:r>
        <w:rPr>
          <w:szCs w:val="20"/>
          <w:lang w:val="es-AR"/>
        </w:rPr>
        <w:t>El señor Alexander Castaño narra que</w:t>
      </w:r>
      <w:r w:rsidR="008F00D8">
        <w:rPr>
          <w:szCs w:val="20"/>
          <w:lang w:val="es-AR"/>
        </w:rPr>
        <w:t xml:space="preserve"> ingresó a trabajar en el ejército en </w:t>
      </w:r>
      <w:r w:rsidR="00F802A1">
        <w:rPr>
          <w:szCs w:val="20"/>
          <w:lang w:val="es-AR"/>
        </w:rPr>
        <w:t xml:space="preserve">2005 en calidad de aspirante a suboficial administrativo y para el 15 de </w:t>
      </w:r>
      <w:r w:rsidR="00361DEA">
        <w:rPr>
          <w:szCs w:val="20"/>
          <w:lang w:val="es-AR"/>
        </w:rPr>
        <w:t xml:space="preserve">diciembre de ese año ascendió </w:t>
      </w:r>
      <w:r w:rsidR="002C3F58">
        <w:rPr>
          <w:szCs w:val="20"/>
          <w:lang w:val="es-AR"/>
        </w:rPr>
        <w:t>a</w:t>
      </w:r>
      <w:r w:rsidR="00962610">
        <w:rPr>
          <w:szCs w:val="20"/>
          <w:lang w:val="es-AR"/>
        </w:rPr>
        <w:t xml:space="preserve"> cabo tercer</w:t>
      </w:r>
      <w:r w:rsidR="000B030E">
        <w:rPr>
          <w:szCs w:val="20"/>
          <w:lang w:val="es-AR"/>
        </w:rPr>
        <w:t>o</w:t>
      </w:r>
      <w:r w:rsidR="00B25EB5">
        <w:rPr>
          <w:szCs w:val="20"/>
          <w:lang w:val="es-AR"/>
        </w:rPr>
        <w:t xml:space="preserve"> en el Batallón de Policía Militar No. 15 “Cacique Bacatá” de Bogotá</w:t>
      </w:r>
      <w:r w:rsidR="00962610">
        <w:rPr>
          <w:szCs w:val="20"/>
          <w:lang w:val="es-AR"/>
        </w:rPr>
        <w:t>. Explica que</w:t>
      </w:r>
      <w:r w:rsidR="00825F96">
        <w:rPr>
          <w:szCs w:val="20"/>
          <w:lang w:val="es-AR"/>
        </w:rPr>
        <w:t>,</w:t>
      </w:r>
      <w:r w:rsidR="00BD01E9">
        <w:rPr>
          <w:szCs w:val="20"/>
          <w:lang w:val="es-AR"/>
        </w:rPr>
        <w:t xml:space="preserve"> </w:t>
      </w:r>
      <w:r w:rsidR="00C56F78">
        <w:rPr>
          <w:szCs w:val="20"/>
          <w:lang w:val="es-AR"/>
        </w:rPr>
        <w:t xml:space="preserve">en su condición de suboficial del cuerpo administrativo no tenía mando de tropa, </w:t>
      </w:r>
      <w:r w:rsidR="00FC25B4">
        <w:rPr>
          <w:szCs w:val="20"/>
          <w:lang w:val="es-AR"/>
        </w:rPr>
        <w:t>y debía sólo ejecutar las funciones para las que había ascendido, que en su caso era</w:t>
      </w:r>
      <w:r w:rsidR="00C80043">
        <w:rPr>
          <w:szCs w:val="20"/>
          <w:lang w:val="es-AR"/>
        </w:rPr>
        <w:t>n</w:t>
      </w:r>
      <w:r w:rsidR="00FC25B4">
        <w:rPr>
          <w:szCs w:val="20"/>
          <w:lang w:val="es-AR"/>
        </w:rPr>
        <w:t xml:space="preserve"> de músico encargado de </w:t>
      </w:r>
      <w:r w:rsidR="004A1AE2">
        <w:rPr>
          <w:szCs w:val="20"/>
          <w:lang w:val="es-AR"/>
        </w:rPr>
        <w:t>la banda del batallón</w:t>
      </w:r>
      <w:r w:rsidR="00797743">
        <w:rPr>
          <w:szCs w:val="20"/>
          <w:lang w:val="es-AR"/>
        </w:rPr>
        <w:t>.</w:t>
      </w:r>
      <w:r w:rsidR="004A1AE2">
        <w:rPr>
          <w:szCs w:val="20"/>
          <w:lang w:val="es-AR"/>
        </w:rPr>
        <w:t xml:space="preserve"> </w:t>
      </w:r>
      <w:r w:rsidR="00797743">
        <w:rPr>
          <w:szCs w:val="20"/>
          <w:lang w:val="es-AR"/>
        </w:rPr>
        <w:t>S</w:t>
      </w:r>
      <w:r w:rsidR="004A1AE2">
        <w:rPr>
          <w:szCs w:val="20"/>
          <w:lang w:val="es-AR"/>
        </w:rPr>
        <w:t xml:space="preserve">in embargo, </w:t>
      </w:r>
      <w:r w:rsidR="009B6414">
        <w:rPr>
          <w:szCs w:val="20"/>
          <w:lang w:val="es-AR"/>
        </w:rPr>
        <w:t>asegura que los batallones no respetaban las normas y le asignaban otras responsabilidades, entre ellas realizar las actas de derechos humanos</w:t>
      </w:r>
      <w:r w:rsidR="00A37D80">
        <w:rPr>
          <w:szCs w:val="20"/>
          <w:lang w:val="es-AR"/>
        </w:rPr>
        <w:t xml:space="preserve"> porque él era el único suboficial con formación en </w:t>
      </w:r>
      <w:r w:rsidR="00797743">
        <w:rPr>
          <w:szCs w:val="20"/>
          <w:lang w:val="es-AR"/>
        </w:rPr>
        <w:t>esta materia</w:t>
      </w:r>
      <w:r w:rsidR="00A37D80">
        <w:rPr>
          <w:szCs w:val="20"/>
          <w:lang w:val="es-AR"/>
        </w:rPr>
        <w:t xml:space="preserve"> y </w:t>
      </w:r>
      <w:r w:rsidR="00B25EB5">
        <w:rPr>
          <w:szCs w:val="20"/>
          <w:lang w:val="es-AR"/>
        </w:rPr>
        <w:t>el comandante del batallón</w:t>
      </w:r>
      <w:r w:rsidR="0083382B">
        <w:rPr>
          <w:szCs w:val="20"/>
          <w:lang w:val="es-AR"/>
        </w:rPr>
        <w:t xml:space="preserve"> le ordenó pasar un reporte mensual en el que certificara que la unidad militar respetaba los derechos humanos, sin</w:t>
      </w:r>
      <w:r w:rsidR="00F801D9">
        <w:rPr>
          <w:szCs w:val="20"/>
          <w:lang w:val="es-AR"/>
        </w:rPr>
        <w:t xml:space="preserve"> importar lo que </w:t>
      </w:r>
      <w:r w:rsidR="00797743">
        <w:rPr>
          <w:szCs w:val="20"/>
          <w:lang w:val="es-AR"/>
        </w:rPr>
        <w:t>viera</w:t>
      </w:r>
      <w:r w:rsidR="00F801D9">
        <w:rPr>
          <w:szCs w:val="20"/>
          <w:lang w:val="es-AR"/>
        </w:rPr>
        <w:t>, “</w:t>
      </w:r>
      <w:r w:rsidR="00F801D9" w:rsidRPr="00F801D9">
        <w:rPr>
          <w:i/>
          <w:iCs/>
          <w:szCs w:val="20"/>
          <w:lang w:val="es-AR"/>
        </w:rPr>
        <w:t>o estará en riesgo su carrera</w:t>
      </w:r>
      <w:r w:rsidR="00F801D9">
        <w:rPr>
          <w:szCs w:val="20"/>
          <w:lang w:val="es-AR"/>
        </w:rPr>
        <w:t>”.</w:t>
      </w:r>
    </w:p>
    <w:p w14:paraId="157A4BF2" w14:textId="19E8B7A7" w:rsidR="004A0EFC" w:rsidRPr="0012608B" w:rsidRDefault="00E860B2" w:rsidP="00D51937">
      <w:pPr>
        <w:pStyle w:val="ListParagraph"/>
        <w:numPr>
          <w:ilvl w:val="0"/>
          <w:numId w:val="61"/>
        </w:numPr>
        <w:ind w:left="0" w:firstLine="720"/>
        <w:rPr>
          <w:rFonts w:asciiTheme="majorHAnsi" w:hAnsiTheme="majorHAnsi"/>
          <w:bCs/>
          <w:szCs w:val="20"/>
          <w:lang w:val="es-UY"/>
        </w:rPr>
      </w:pPr>
      <w:r w:rsidRPr="00B4027D">
        <w:rPr>
          <w:szCs w:val="20"/>
          <w:lang w:val="es-AR"/>
        </w:rPr>
        <w:t xml:space="preserve">No obstante, el peticionario afirma que presenció </w:t>
      </w:r>
      <w:r w:rsidR="00505C75" w:rsidRPr="00B4027D">
        <w:rPr>
          <w:szCs w:val="20"/>
          <w:lang w:val="es-AR"/>
        </w:rPr>
        <w:t xml:space="preserve">graves actos de tortura y maltrato cometidos contra </w:t>
      </w:r>
      <w:r w:rsidR="00620B7D" w:rsidRPr="00B4027D">
        <w:rPr>
          <w:szCs w:val="20"/>
          <w:lang w:val="es-AR"/>
        </w:rPr>
        <w:t>los soldados, al punto que comenzaron a circular reportes de altas tasas de suicidios y deserciones</w:t>
      </w:r>
      <w:r w:rsidR="009F7736">
        <w:rPr>
          <w:szCs w:val="20"/>
          <w:lang w:val="es-AR"/>
        </w:rPr>
        <w:t>.</w:t>
      </w:r>
      <w:r w:rsidR="0000793F" w:rsidRPr="00B4027D">
        <w:rPr>
          <w:szCs w:val="20"/>
          <w:lang w:val="es-AR"/>
        </w:rPr>
        <w:t xml:space="preserve"> </w:t>
      </w:r>
      <w:r w:rsidR="009F7736">
        <w:rPr>
          <w:szCs w:val="20"/>
          <w:lang w:val="es-AR"/>
        </w:rPr>
        <w:t>E</w:t>
      </w:r>
      <w:r w:rsidR="0000793F" w:rsidRPr="00B4027D">
        <w:rPr>
          <w:szCs w:val="20"/>
          <w:lang w:val="es-AR"/>
        </w:rPr>
        <w:t xml:space="preserve">n particular, cuenta que fue testigo de dos suicidios, de numerosas deserciones y de </w:t>
      </w:r>
      <w:r w:rsidR="007641E4" w:rsidRPr="00B4027D">
        <w:rPr>
          <w:szCs w:val="20"/>
          <w:lang w:val="es-AR"/>
        </w:rPr>
        <w:t>diferentes tipos de malos tratos y castigos</w:t>
      </w:r>
      <w:r w:rsidR="00AA18F2" w:rsidRPr="00B4027D">
        <w:rPr>
          <w:szCs w:val="20"/>
          <w:lang w:val="es-AR"/>
        </w:rPr>
        <w:t xml:space="preserve"> crueles</w:t>
      </w:r>
      <w:r w:rsidR="007641E4" w:rsidRPr="00B4027D">
        <w:rPr>
          <w:szCs w:val="20"/>
          <w:lang w:val="es-AR"/>
        </w:rPr>
        <w:t xml:space="preserve"> a soldados.</w:t>
      </w:r>
      <w:r w:rsidR="002C600F" w:rsidRPr="00B4027D">
        <w:rPr>
          <w:szCs w:val="20"/>
          <w:lang w:val="es-AR"/>
        </w:rPr>
        <w:t xml:space="preserve"> </w:t>
      </w:r>
      <w:r w:rsidR="003E2826" w:rsidRPr="00B4027D">
        <w:rPr>
          <w:szCs w:val="20"/>
          <w:lang w:val="es-AR"/>
        </w:rPr>
        <w:t xml:space="preserve">Relata que </w:t>
      </w:r>
      <w:r w:rsidR="00A955DA" w:rsidRPr="00B4027D">
        <w:rPr>
          <w:szCs w:val="20"/>
          <w:lang w:val="es-AR"/>
        </w:rPr>
        <w:t xml:space="preserve">en octubre de 2006 </w:t>
      </w:r>
      <w:r w:rsidR="00B4027D" w:rsidRPr="00B4027D">
        <w:rPr>
          <w:szCs w:val="20"/>
          <w:lang w:val="es-AR"/>
        </w:rPr>
        <w:t xml:space="preserve">decidió denunciar la situación ante </w:t>
      </w:r>
      <w:r w:rsidR="00A955DA" w:rsidRPr="00B4027D">
        <w:rPr>
          <w:szCs w:val="20"/>
          <w:lang w:val="es-AR"/>
        </w:rPr>
        <w:t xml:space="preserve">el brigadier general </w:t>
      </w:r>
      <w:r w:rsidR="00B4027D" w:rsidRPr="00B4027D">
        <w:rPr>
          <w:szCs w:val="20"/>
          <w:lang w:val="es-AR"/>
        </w:rPr>
        <w:t xml:space="preserve">durante </w:t>
      </w:r>
      <w:r w:rsidR="00A955DA" w:rsidRPr="00B4027D">
        <w:rPr>
          <w:szCs w:val="20"/>
          <w:lang w:val="es-AR"/>
        </w:rPr>
        <w:t xml:space="preserve">una reunión de personal </w:t>
      </w:r>
      <w:r w:rsidR="00B4027D" w:rsidRPr="00B4027D">
        <w:rPr>
          <w:szCs w:val="20"/>
          <w:lang w:val="es-AR"/>
        </w:rPr>
        <w:t xml:space="preserve">en la </w:t>
      </w:r>
      <w:r w:rsidR="00BC3AFE" w:rsidRPr="00B4027D">
        <w:rPr>
          <w:szCs w:val="20"/>
          <w:lang w:val="es-AR"/>
        </w:rPr>
        <w:t xml:space="preserve">que </w:t>
      </w:r>
      <w:r w:rsidR="00B4027D" w:rsidRPr="00B4027D">
        <w:rPr>
          <w:szCs w:val="20"/>
          <w:lang w:val="es-AR"/>
        </w:rPr>
        <w:t xml:space="preserve">este </w:t>
      </w:r>
      <w:r w:rsidR="00BC3AFE" w:rsidRPr="00B4027D">
        <w:rPr>
          <w:szCs w:val="20"/>
          <w:lang w:val="es-AR"/>
        </w:rPr>
        <w:t xml:space="preserve">lo increpó como suboficial </w:t>
      </w:r>
      <w:r w:rsidR="00946CDF" w:rsidRPr="00B4027D">
        <w:rPr>
          <w:szCs w:val="20"/>
          <w:lang w:val="es-AR"/>
        </w:rPr>
        <w:t>responsable de las actas</w:t>
      </w:r>
      <w:r w:rsidR="00BC3AFE" w:rsidRPr="00B4027D">
        <w:rPr>
          <w:szCs w:val="20"/>
          <w:lang w:val="es-AR"/>
        </w:rPr>
        <w:t xml:space="preserve"> de derechos humanos</w:t>
      </w:r>
      <w:r w:rsidR="004A0EFC" w:rsidRPr="00B4027D">
        <w:rPr>
          <w:szCs w:val="20"/>
          <w:lang w:val="es-AR"/>
        </w:rPr>
        <w:t>.</w:t>
      </w:r>
      <w:r w:rsidR="00B4027D" w:rsidRPr="00B4027D">
        <w:rPr>
          <w:szCs w:val="20"/>
          <w:lang w:val="es-AR"/>
        </w:rPr>
        <w:t xml:space="preserve"> </w:t>
      </w:r>
      <w:r w:rsidR="00B13EEB">
        <w:rPr>
          <w:szCs w:val="20"/>
          <w:lang w:val="es-AR"/>
        </w:rPr>
        <w:t xml:space="preserve">Así, el </w:t>
      </w:r>
      <w:r w:rsidR="00422E36">
        <w:rPr>
          <w:szCs w:val="20"/>
          <w:lang w:val="es-AR"/>
        </w:rPr>
        <w:t>Sr.</w:t>
      </w:r>
      <w:r w:rsidR="00B13EEB">
        <w:rPr>
          <w:szCs w:val="20"/>
          <w:lang w:val="es-AR"/>
        </w:rPr>
        <w:t xml:space="preserve"> Castaño Ríos preparó </w:t>
      </w:r>
      <w:r w:rsidR="00157709">
        <w:rPr>
          <w:szCs w:val="20"/>
          <w:lang w:val="es-AR"/>
        </w:rPr>
        <w:t xml:space="preserve">una denuncia formal a petición del brigadier general en la que recopiló testimonios e incluso un video de las golpizas colectivas, </w:t>
      </w:r>
      <w:r w:rsidR="00F12982">
        <w:rPr>
          <w:szCs w:val="20"/>
          <w:lang w:val="es-AR"/>
        </w:rPr>
        <w:t xml:space="preserve">y </w:t>
      </w:r>
      <w:r w:rsidR="00157709">
        <w:rPr>
          <w:szCs w:val="20"/>
          <w:lang w:val="es-AR"/>
        </w:rPr>
        <w:t xml:space="preserve">que presentó </w:t>
      </w:r>
      <w:r w:rsidR="00FB7E8F">
        <w:rPr>
          <w:szCs w:val="20"/>
          <w:lang w:val="es-AR"/>
        </w:rPr>
        <w:t xml:space="preserve">el 9 de diciembre de 2006 ante la justicia penal militar. En ese contexto, refiere que el 30 de noviembre fue </w:t>
      </w:r>
      <w:r w:rsidR="006C20EC">
        <w:rPr>
          <w:szCs w:val="20"/>
          <w:lang w:val="es-AR"/>
        </w:rPr>
        <w:t>atacado y “</w:t>
      </w:r>
      <w:r w:rsidR="006C20EC" w:rsidRPr="00103C37">
        <w:rPr>
          <w:i/>
          <w:iCs/>
          <w:szCs w:val="20"/>
          <w:lang w:val="es-AR"/>
        </w:rPr>
        <w:t>brutalmente golpeado</w:t>
      </w:r>
      <w:r w:rsidR="006C20EC">
        <w:rPr>
          <w:szCs w:val="20"/>
          <w:lang w:val="es-AR"/>
        </w:rPr>
        <w:t>” mientras caminaba en la calle con su esposa “</w:t>
      </w:r>
      <w:r w:rsidR="006C20EC" w:rsidRPr="00103C37">
        <w:rPr>
          <w:i/>
          <w:iCs/>
          <w:szCs w:val="20"/>
          <w:lang w:val="es-AR"/>
        </w:rPr>
        <w:t xml:space="preserve">por parte de sujetos </w:t>
      </w:r>
      <w:r w:rsidR="00103C37" w:rsidRPr="00103C37">
        <w:rPr>
          <w:i/>
          <w:iCs/>
          <w:szCs w:val="20"/>
          <w:lang w:val="es-AR"/>
        </w:rPr>
        <w:t xml:space="preserve">que tenían un </w:t>
      </w:r>
      <w:r w:rsidR="006C20EC" w:rsidRPr="00103C37">
        <w:rPr>
          <w:i/>
          <w:iCs/>
          <w:szCs w:val="20"/>
          <w:lang w:val="es-AR"/>
        </w:rPr>
        <w:t>corte militar</w:t>
      </w:r>
      <w:r w:rsidR="006C20EC">
        <w:rPr>
          <w:szCs w:val="20"/>
          <w:lang w:val="es-AR"/>
        </w:rPr>
        <w:t>”</w:t>
      </w:r>
      <w:r w:rsidR="00103C37">
        <w:rPr>
          <w:szCs w:val="20"/>
          <w:lang w:val="es-AR"/>
        </w:rPr>
        <w:t>.</w:t>
      </w:r>
    </w:p>
    <w:p w14:paraId="58A25883" w14:textId="4515517F" w:rsidR="0012608B" w:rsidRPr="00B4027D" w:rsidRDefault="002A5133" w:rsidP="00D51937">
      <w:pPr>
        <w:pStyle w:val="ListParagraph"/>
        <w:numPr>
          <w:ilvl w:val="0"/>
          <w:numId w:val="61"/>
        </w:numPr>
        <w:ind w:left="0" w:firstLine="720"/>
        <w:rPr>
          <w:rFonts w:asciiTheme="majorHAnsi" w:hAnsiTheme="majorHAnsi"/>
          <w:bCs/>
          <w:szCs w:val="20"/>
          <w:lang w:val="es-UY"/>
        </w:rPr>
      </w:pPr>
      <w:r>
        <w:rPr>
          <w:szCs w:val="20"/>
          <w:lang w:val="es-AR"/>
        </w:rPr>
        <w:t>El peticionario afirma que el brigadier le había prometido reservar su identidad, pero le indicó que una vez iniciara el proceso ésta sería develada, con lo cual, en el marco de</w:t>
      </w:r>
      <w:r w:rsidR="004D6FF6">
        <w:rPr>
          <w:szCs w:val="20"/>
          <w:lang w:val="es-AR"/>
        </w:rPr>
        <w:t xml:space="preserve"> la tramitación inicial el señor Alexander Castaño comenzó a recibir amenazas de muerte por teléfono</w:t>
      </w:r>
      <w:r w:rsidR="00E40775">
        <w:rPr>
          <w:szCs w:val="20"/>
          <w:lang w:val="es-AR"/>
        </w:rPr>
        <w:t xml:space="preserve"> diciéndole que desistiera de su denuncia</w:t>
      </w:r>
      <w:r w:rsidR="002930B5">
        <w:rPr>
          <w:szCs w:val="20"/>
          <w:lang w:val="es-AR"/>
        </w:rPr>
        <w:t xml:space="preserve"> y el propio capitán le ofreció dinero para ello</w:t>
      </w:r>
      <w:r w:rsidR="000A5740">
        <w:rPr>
          <w:szCs w:val="20"/>
          <w:lang w:val="es-AR"/>
        </w:rPr>
        <w:t>.</w:t>
      </w:r>
      <w:r w:rsidR="002930B5">
        <w:rPr>
          <w:szCs w:val="20"/>
          <w:lang w:val="es-AR"/>
        </w:rPr>
        <w:t xml:space="preserve"> </w:t>
      </w:r>
      <w:r w:rsidR="00FE58B1">
        <w:rPr>
          <w:szCs w:val="20"/>
          <w:lang w:val="es-AR"/>
        </w:rPr>
        <w:t>Por esta raz</w:t>
      </w:r>
      <w:r w:rsidR="00DA5050">
        <w:rPr>
          <w:szCs w:val="20"/>
          <w:lang w:val="es-AR"/>
        </w:rPr>
        <w:t>ón</w:t>
      </w:r>
      <w:r w:rsidR="00FE58B1">
        <w:rPr>
          <w:szCs w:val="20"/>
          <w:lang w:val="es-AR"/>
        </w:rPr>
        <w:t>, señala que presentó una carta de retiro del servicio</w:t>
      </w:r>
      <w:r w:rsidR="006B128D">
        <w:rPr>
          <w:szCs w:val="20"/>
          <w:lang w:val="es-AR"/>
        </w:rPr>
        <w:t>, pero ésta fue rechazada</w:t>
      </w:r>
      <w:r w:rsidR="00C516EA">
        <w:rPr>
          <w:szCs w:val="20"/>
          <w:lang w:val="es-AR"/>
        </w:rPr>
        <w:t xml:space="preserve"> y el 2 de enero de 2007 el jefe del Estado Mayor lo notificó de medidas de </w:t>
      </w:r>
      <w:r w:rsidR="00DA5050">
        <w:rPr>
          <w:szCs w:val="20"/>
          <w:lang w:val="es-AR"/>
        </w:rPr>
        <w:t>precaución que se dictaron para proteger su vida.</w:t>
      </w:r>
    </w:p>
    <w:p w14:paraId="0CF5E85D" w14:textId="65E93467" w:rsidR="00551E10" w:rsidRDefault="005D3FB3" w:rsidP="00A27EE1">
      <w:pPr>
        <w:pStyle w:val="ListParagraph"/>
        <w:numPr>
          <w:ilvl w:val="0"/>
          <w:numId w:val="61"/>
        </w:numPr>
        <w:ind w:left="0" w:firstLine="720"/>
        <w:rPr>
          <w:rFonts w:asciiTheme="majorHAnsi" w:hAnsiTheme="majorHAnsi"/>
          <w:bCs/>
          <w:szCs w:val="20"/>
          <w:lang w:val="es-UY"/>
        </w:rPr>
      </w:pPr>
      <w:r w:rsidRPr="00AA2E15">
        <w:rPr>
          <w:szCs w:val="20"/>
          <w:lang w:val="es-AR"/>
        </w:rPr>
        <w:t xml:space="preserve">Los peticionarios </w:t>
      </w:r>
      <w:r w:rsidR="00EE07F2" w:rsidRPr="00AA2E15">
        <w:rPr>
          <w:szCs w:val="20"/>
          <w:lang w:val="es-AR"/>
        </w:rPr>
        <w:t xml:space="preserve">señalan que </w:t>
      </w:r>
      <w:r w:rsidR="00C13F03" w:rsidRPr="00AA2E15">
        <w:rPr>
          <w:szCs w:val="20"/>
          <w:lang w:val="es-AR"/>
        </w:rPr>
        <w:t xml:space="preserve">el </w:t>
      </w:r>
      <w:r w:rsidR="00A560A4" w:rsidRPr="00AA2E15">
        <w:rPr>
          <w:szCs w:val="20"/>
          <w:lang w:val="es-AR"/>
        </w:rPr>
        <w:t>3</w:t>
      </w:r>
      <w:r w:rsidR="00C13F03" w:rsidRPr="00AA2E15">
        <w:rPr>
          <w:szCs w:val="20"/>
          <w:lang w:val="es-AR"/>
        </w:rPr>
        <w:t xml:space="preserve"> de enero de 2007</w:t>
      </w:r>
      <w:r w:rsidR="00B45873" w:rsidRPr="00AA2E15">
        <w:rPr>
          <w:szCs w:val="20"/>
          <w:lang w:val="es-AR"/>
        </w:rPr>
        <w:t xml:space="preserve"> el señor</w:t>
      </w:r>
      <w:r w:rsidR="00C13F03" w:rsidRPr="00AA2E15">
        <w:rPr>
          <w:szCs w:val="20"/>
          <w:lang w:val="es-AR"/>
        </w:rPr>
        <w:t xml:space="preserve"> Alexander Castaño Ríos</w:t>
      </w:r>
      <w:r w:rsidR="000A300F" w:rsidRPr="00AA2E15">
        <w:rPr>
          <w:szCs w:val="20"/>
          <w:lang w:val="es-AR"/>
        </w:rPr>
        <w:t xml:space="preserve"> </w:t>
      </w:r>
      <w:r w:rsidR="00A560A4" w:rsidRPr="00AA2E15">
        <w:rPr>
          <w:szCs w:val="20"/>
          <w:lang w:val="es-AR"/>
        </w:rPr>
        <w:t xml:space="preserve">formuló la respectiva </w:t>
      </w:r>
      <w:r w:rsidR="000A300F" w:rsidRPr="00AA2E15">
        <w:rPr>
          <w:szCs w:val="20"/>
          <w:lang w:val="es-AR"/>
        </w:rPr>
        <w:t>denunci</w:t>
      </w:r>
      <w:r w:rsidR="00A560A4" w:rsidRPr="00AA2E15">
        <w:rPr>
          <w:szCs w:val="20"/>
          <w:lang w:val="es-AR"/>
        </w:rPr>
        <w:t>a ante la fiscalía</w:t>
      </w:r>
      <w:r w:rsidR="003D0050" w:rsidRPr="00AA2E15">
        <w:rPr>
          <w:szCs w:val="20"/>
          <w:lang w:val="es-AR"/>
        </w:rPr>
        <w:t xml:space="preserve"> por el delito de “amenazas a testigos”</w:t>
      </w:r>
      <w:r w:rsidR="008D54D6">
        <w:rPr>
          <w:szCs w:val="20"/>
          <w:lang w:val="es-AR"/>
        </w:rPr>
        <w:t>,</w:t>
      </w:r>
      <w:r w:rsidR="003D0050" w:rsidRPr="00AA2E15">
        <w:rPr>
          <w:szCs w:val="20"/>
          <w:lang w:val="es-AR"/>
        </w:rPr>
        <w:t xml:space="preserve"> y el 4 de enero </w:t>
      </w:r>
      <w:r w:rsidR="00F6132C">
        <w:rPr>
          <w:szCs w:val="20"/>
          <w:lang w:val="es-AR"/>
        </w:rPr>
        <w:t xml:space="preserve">reveló </w:t>
      </w:r>
      <w:r w:rsidR="000A300F" w:rsidRPr="00AA2E15">
        <w:rPr>
          <w:szCs w:val="20"/>
          <w:lang w:val="es-AR"/>
        </w:rPr>
        <w:t xml:space="preserve">ante </w:t>
      </w:r>
      <w:r w:rsidR="00FB6F36" w:rsidRPr="00AA2E15">
        <w:rPr>
          <w:szCs w:val="20"/>
          <w:lang w:val="es-AR"/>
        </w:rPr>
        <w:t xml:space="preserve">los </w:t>
      </w:r>
      <w:r w:rsidR="000A300F" w:rsidRPr="00AA2E15">
        <w:rPr>
          <w:szCs w:val="20"/>
          <w:lang w:val="es-AR"/>
        </w:rPr>
        <w:t xml:space="preserve">medios de comunicación </w:t>
      </w:r>
      <w:r w:rsidR="00284DE2" w:rsidRPr="00AA2E15">
        <w:rPr>
          <w:szCs w:val="20"/>
          <w:lang w:val="es-AR"/>
        </w:rPr>
        <w:t xml:space="preserve">los actos </w:t>
      </w:r>
      <w:r w:rsidR="00C72543" w:rsidRPr="00AA2E15">
        <w:rPr>
          <w:szCs w:val="20"/>
          <w:lang w:val="es-AR"/>
        </w:rPr>
        <w:t xml:space="preserve">de tortura </w:t>
      </w:r>
      <w:r w:rsidR="00284DE2" w:rsidRPr="00AA2E15">
        <w:rPr>
          <w:szCs w:val="20"/>
          <w:lang w:val="es-AR"/>
        </w:rPr>
        <w:t>que empleaba su capit</w:t>
      </w:r>
      <w:r w:rsidR="00926882" w:rsidRPr="00AA2E15">
        <w:rPr>
          <w:szCs w:val="20"/>
          <w:lang w:val="es-AR"/>
        </w:rPr>
        <w:t>án</w:t>
      </w:r>
      <w:r w:rsidR="00284DE2" w:rsidRPr="00AA2E15">
        <w:rPr>
          <w:szCs w:val="20"/>
          <w:lang w:val="es-AR"/>
        </w:rPr>
        <w:t xml:space="preserve"> </w:t>
      </w:r>
      <w:r w:rsidR="00C72543" w:rsidRPr="00AA2E15">
        <w:rPr>
          <w:szCs w:val="20"/>
          <w:lang w:val="es-AR"/>
        </w:rPr>
        <w:t>contra sus subalternos</w:t>
      </w:r>
      <w:r w:rsidR="00151421" w:rsidRPr="00AA2E15">
        <w:rPr>
          <w:szCs w:val="20"/>
          <w:lang w:val="es-AR"/>
        </w:rPr>
        <w:t xml:space="preserve"> en el Batallón de Policía Militar No. 15 de Bogotá</w:t>
      </w:r>
      <w:r w:rsidR="00C256ED" w:rsidRPr="00AA2E15">
        <w:rPr>
          <w:szCs w:val="20"/>
          <w:lang w:val="es-AR"/>
        </w:rPr>
        <w:t>, lo que derivó en un escándalo nacional</w:t>
      </w:r>
      <w:r w:rsidR="00C72543" w:rsidRPr="00AA2E15">
        <w:rPr>
          <w:szCs w:val="20"/>
          <w:lang w:val="es-AR"/>
        </w:rPr>
        <w:t>.</w:t>
      </w:r>
      <w:r w:rsidR="00813B00" w:rsidRPr="00AA2E15">
        <w:rPr>
          <w:szCs w:val="20"/>
          <w:lang w:val="es-AR"/>
        </w:rPr>
        <w:t xml:space="preserve"> </w:t>
      </w:r>
      <w:r w:rsidR="00A26A71" w:rsidRPr="00AA2E15">
        <w:rPr>
          <w:szCs w:val="20"/>
          <w:lang w:val="es-AR"/>
        </w:rPr>
        <w:t xml:space="preserve">El día que salió la noticia, el </w:t>
      </w:r>
      <w:r w:rsidR="00A171DA">
        <w:rPr>
          <w:szCs w:val="20"/>
          <w:lang w:val="es-AR"/>
        </w:rPr>
        <w:t>5</w:t>
      </w:r>
      <w:r w:rsidR="00A26A71" w:rsidRPr="00AA2E15">
        <w:rPr>
          <w:szCs w:val="20"/>
          <w:lang w:val="es-AR"/>
        </w:rPr>
        <w:t xml:space="preserve"> de enero, recuenta que se encontraba en las instalaciones del </w:t>
      </w:r>
      <w:r w:rsidR="007C0B9B" w:rsidRPr="00AA2E15">
        <w:rPr>
          <w:szCs w:val="20"/>
          <w:lang w:val="es-AR"/>
        </w:rPr>
        <w:t xml:space="preserve">Grupo de Acción Unificada por la Libertad Personal (“GAULA”) </w:t>
      </w:r>
      <w:r w:rsidR="00A26A71" w:rsidRPr="00AA2E15">
        <w:rPr>
          <w:szCs w:val="20"/>
          <w:lang w:val="es-AR"/>
        </w:rPr>
        <w:t>cuando recibió una llamad</w:t>
      </w:r>
      <w:r w:rsidR="003779D2" w:rsidRPr="00AA2E15">
        <w:rPr>
          <w:szCs w:val="20"/>
          <w:lang w:val="es-AR"/>
        </w:rPr>
        <w:t>a</w:t>
      </w:r>
      <w:r w:rsidR="00A26A71" w:rsidRPr="00AA2E15">
        <w:rPr>
          <w:szCs w:val="20"/>
          <w:lang w:val="es-AR"/>
        </w:rPr>
        <w:t xml:space="preserve"> de un general para que se presentara ante el comandante del</w:t>
      </w:r>
      <w:r w:rsidR="003779D2" w:rsidRPr="00AA2E15">
        <w:rPr>
          <w:szCs w:val="20"/>
          <w:lang w:val="es-AR"/>
        </w:rPr>
        <w:t xml:space="preserve"> ejército</w:t>
      </w:r>
      <w:r w:rsidR="00B04833" w:rsidRPr="00AA2E15">
        <w:rPr>
          <w:szCs w:val="20"/>
          <w:lang w:val="es-AR"/>
        </w:rPr>
        <w:t>, y le instruyó que un vehículo lo recogería. Ens</w:t>
      </w:r>
      <w:r w:rsidR="00C4267F" w:rsidRPr="00AA2E15">
        <w:rPr>
          <w:szCs w:val="20"/>
          <w:lang w:val="es-AR"/>
        </w:rPr>
        <w:t>eguida</w:t>
      </w:r>
      <w:r w:rsidR="00B04833" w:rsidRPr="00AA2E15">
        <w:rPr>
          <w:szCs w:val="20"/>
          <w:lang w:val="es-AR"/>
        </w:rPr>
        <w:t xml:space="preserve"> su hermano, Henry de Jesús Castaño Ríos, quien se </w:t>
      </w:r>
      <w:r w:rsidR="00B04833" w:rsidRPr="00AA2E15">
        <w:rPr>
          <w:szCs w:val="20"/>
          <w:lang w:val="es-AR"/>
        </w:rPr>
        <w:lastRenderedPageBreak/>
        <w:t xml:space="preserve">desempeñaba como sargento viceprimero </w:t>
      </w:r>
      <w:r w:rsidR="00957BCD" w:rsidRPr="00AA2E15">
        <w:rPr>
          <w:szCs w:val="20"/>
          <w:lang w:val="es-AR"/>
        </w:rPr>
        <w:t>lo llamó y le dijo que tenía que huir porque planeaban desaparecerlo.</w:t>
      </w:r>
      <w:r w:rsidR="007A4736" w:rsidRPr="00AA2E15">
        <w:rPr>
          <w:szCs w:val="20"/>
          <w:lang w:val="es-AR"/>
        </w:rPr>
        <w:t xml:space="preserve"> Relata que logró salir del lugar, pese a que intentaron retenerlo e incluso dispararon contra su moto, posteriormente fue dado de baja después de una reunión con </w:t>
      </w:r>
      <w:r w:rsidR="00DC36DE" w:rsidRPr="00AA2E15">
        <w:rPr>
          <w:szCs w:val="20"/>
          <w:lang w:val="es-AR"/>
        </w:rPr>
        <w:t xml:space="preserve">un general y un comandante, y recibió llamadas amenazantes en las que le indicaban que sería más fácil asesinarlo fuera del ejército, </w:t>
      </w:r>
      <w:r w:rsidR="00F50A9D" w:rsidRPr="00AA2E15">
        <w:rPr>
          <w:szCs w:val="20"/>
          <w:lang w:val="es-AR"/>
        </w:rPr>
        <w:t xml:space="preserve">por lo que se escondió junto con su familia en </w:t>
      </w:r>
      <w:r w:rsidR="00343B96" w:rsidRPr="00AA2E15">
        <w:rPr>
          <w:szCs w:val="20"/>
          <w:lang w:val="es-AR"/>
        </w:rPr>
        <w:t xml:space="preserve">diferentes </w:t>
      </w:r>
      <w:r w:rsidR="00F50A9D" w:rsidRPr="00AA2E15">
        <w:rPr>
          <w:szCs w:val="20"/>
          <w:lang w:val="es-AR"/>
        </w:rPr>
        <w:t xml:space="preserve">ciudades </w:t>
      </w:r>
      <w:r w:rsidR="00343B96" w:rsidRPr="00AA2E15">
        <w:rPr>
          <w:szCs w:val="20"/>
          <w:lang w:val="es-AR"/>
        </w:rPr>
        <w:t>durante varios meses</w:t>
      </w:r>
      <w:r w:rsidR="00F50A9D" w:rsidRPr="00AA2E15">
        <w:rPr>
          <w:szCs w:val="20"/>
          <w:lang w:val="es-AR"/>
        </w:rPr>
        <w:t>.</w:t>
      </w:r>
      <w:r w:rsidR="00343B96" w:rsidRPr="00AA2E15">
        <w:rPr>
          <w:szCs w:val="20"/>
          <w:lang w:val="es-AR"/>
        </w:rPr>
        <w:t xml:space="preserve"> </w:t>
      </w:r>
      <w:r w:rsidR="006C66F1">
        <w:rPr>
          <w:szCs w:val="20"/>
          <w:lang w:val="es-AR"/>
        </w:rPr>
        <w:t>E</w:t>
      </w:r>
      <w:r w:rsidR="00724499" w:rsidRPr="00AA2E15">
        <w:rPr>
          <w:szCs w:val="20"/>
          <w:lang w:val="es-AR"/>
        </w:rPr>
        <w:t xml:space="preserve">n ese periodo, su primo que prestaba el servicio militar obligatorio, Douglas Rentería </w:t>
      </w:r>
      <w:r w:rsidR="00061E0F" w:rsidRPr="00AA2E15">
        <w:rPr>
          <w:szCs w:val="20"/>
          <w:lang w:val="es-AR"/>
        </w:rPr>
        <w:t xml:space="preserve">Agudelo, </w:t>
      </w:r>
      <w:r w:rsidR="00983D3C" w:rsidRPr="00AA2E15">
        <w:rPr>
          <w:szCs w:val="20"/>
          <w:lang w:val="es-AR"/>
        </w:rPr>
        <w:t xml:space="preserve">fue asesinado dentro del Batallón </w:t>
      </w:r>
      <w:r w:rsidR="003D6AEB" w:rsidRPr="00AA2E15">
        <w:rPr>
          <w:szCs w:val="20"/>
          <w:lang w:val="es-AR"/>
        </w:rPr>
        <w:t xml:space="preserve">Agustín </w:t>
      </w:r>
      <w:r w:rsidR="00983D3C" w:rsidRPr="00AA2E15">
        <w:rPr>
          <w:szCs w:val="20"/>
          <w:lang w:val="es-AR"/>
        </w:rPr>
        <w:t xml:space="preserve">Codazzi de Palmira </w:t>
      </w:r>
      <w:r w:rsidR="00AF29B9" w:rsidRPr="00AA2E15">
        <w:rPr>
          <w:szCs w:val="20"/>
          <w:lang w:val="es-AR"/>
        </w:rPr>
        <w:t>por otros soldados que le prendieron fuego mientras dormía</w:t>
      </w:r>
      <w:r w:rsidR="00914BFB" w:rsidRPr="00AA2E15">
        <w:rPr>
          <w:szCs w:val="20"/>
          <w:lang w:val="es-AR"/>
        </w:rPr>
        <w:t>, lo que, según el peticionario, sucedió como retaliación de sus denuncias</w:t>
      </w:r>
      <w:r w:rsidR="00AF29B9" w:rsidRPr="00AA2E15">
        <w:rPr>
          <w:szCs w:val="20"/>
          <w:lang w:val="es-AR"/>
        </w:rPr>
        <w:t>.</w:t>
      </w:r>
      <w:r w:rsidR="00AA2E15" w:rsidRPr="00AA2E15">
        <w:rPr>
          <w:szCs w:val="20"/>
          <w:lang w:val="es-AR"/>
        </w:rPr>
        <w:t xml:space="preserve"> </w:t>
      </w:r>
      <w:r w:rsidR="0067228F" w:rsidRPr="00AA2E15">
        <w:rPr>
          <w:rFonts w:asciiTheme="majorHAnsi" w:hAnsiTheme="majorHAnsi"/>
          <w:bCs/>
          <w:szCs w:val="20"/>
          <w:lang w:val="es-UY"/>
        </w:rPr>
        <w:t xml:space="preserve">Después de realizar varias gestiones de asilo </w:t>
      </w:r>
      <w:r w:rsidR="00254B94">
        <w:rPr>
          <w:rFonts w:asciiTheme="majorHAnsi" w:hAnsiTheme="majorHAnsi"/>
          <w:bCs/>
          <w:szCs w:val="20"/>
          <w:lang w:val="es-UY"/>
        </w:rPr>
        <w:t>y protección</w:t>
      </w:r>
      <w:r w:rsidR="002A14E4" w:rsidRPr="00AA2E15">
        <w:rPr>
          <w:rFonts w:asciiTheme="majorHAnsi" w:hAnsiTheme="majorHAnsi"/>
          <w:bCs/>
          <w:szCs w:val="20"/>
          <w:lang w:val="es-UY"/>
        </w:rPr>
        <w:t>; el señor Alexander Castaño Ríos señala que la embajada de Francia recibió su solicitud de asilo político y de su familia, por lo que viajó a dicho país el 27 de agosto de 2007 donde se reconoció a su favor el estatus de refugiado.</w:t>
      </w:r>
    </w:p>
    <w:p w14:paraId="32475731" w14:textId="3263A7DA" w:rsidR="00AA2E15" w:rsidRDefault="00A56F98" w:rsidP="00A27EE1">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Por otra parte, después de la publicación de las denuncias el 5 de enero d</w:t>
      </w:r>
      <w:r w:rsidR="00682EA5">
        <w:rPr>
          <w:rFonts w:asciiTheme="majorHAnsi" w:hAnsiTheme="majorHAnsi"/>
          <w:bCs/>
          <w:szCs w:val="20"/>
          <w:lang w:val="es-UY"/>
        </w:rPr>
        <w:t xml:space="preserve">e 2007 en medios de comunicación, su hermano Henry de Jesús Castaño Ríos </w:t>
      </w:r>
      <w:r w:rsidR="00320FAB">
        <w:rPr>
          <w:rFonts w:asciiTheme="majorHAnsi" w:hAnsiTheme="majorHAnsi"/>
          <w:bCs/>
          <w:szCs w:val="20"/>
          <w:lang w:val="es-UY"/>
        </w:rPr>
        <w:t>afirma que comenzó a sufrir acoso laboral en el ejército</w:t>
      </w:r>
      <w:r w:rsidR="005C7344">
        <w:rPr>
          <w:rFonts w:asciiTheme="majorHAnsi" w:hAnsiTheme="majorHAnsi"/>
          <w:bCs/>
          <w:szCs w:val="20"/>
          <w:lang w:val="es-UY"/>
        </w:rPr>
        <w:t xml:space="preserve">, pues primero le ordenaron </w:t>
      </w:r>
      <w:r w:rsidR="0035091E">
        <w:rPr>
          <w:rFonts w:asciiTheme="majorHAnsi" w:hAnsiTheme="majorHAnsi"/>
          <w:bCs/>
          <w:szCs w:val="20"/>
          <w:lang w:val="es-UY"/>
        </w:rPr>
        <w:t xml:space="preserve">permanecer en la sala de espera del brigadier general que había atendido la denuncia de </w:t>
      </w:r>
      <w:r w:rsidR="00901A9B">
        <w:rPr>
          <w:rFonts w:asciiTheme="majorHAnsi" w:hAnsiTheme="majorHAnsi"/>
          <w:bCs/>
          <w:szCs w:val="20"/>
          <w:lang w:val="es-UY"/>
        </w:rPr>
        <w:t xml:space="preserve">su hermano, durante 15 días. </w:t>
      </w:r>
      <w:r w:rsidR="005B053F">
        <w:rPr>
          <w:rFonts w:asciiTheme="majorHAnsi" w:hAnsiTheme="majorHAnsi"/>
          <w:bCs/>
          <w:szCs w:val="20"/>
          <w:lang w:val="es-UY"/>
        </w:rPr>
        <w:t>A</w:t>
      </w:r>
      <w:r w:rsidR="002E4D74">
        <w:rPr>
          <w:rFonts w:asciiTheme="majorHAnsi" w:hAnsiTheme="majorHAnsi"/>
          <w:bCs/>
          <w:szCs w:val="20"/>
          <w:lang w:val="es-UY"/>
        </w:rPr>
        <w:t>demás,</w:t>
      </w:r>
      <w:r w:rsidR="005B053F">
        <w:rPr>
          <w:rFonts w:asciiTheme="majorHAnsi" w:hAnsiTheme="majorHAnsi"/>
          <w:bCs/>
          <w:szCs w:val="20"/>
          <w:lang w:val="es-UY"/>
        </w:rPr>
        <w:t xml:space="preserve"> en su batallón empezó a recibir insultos y acusaciones de que, al igual que su hermano hacía grabaciones y denunciaba maltratos</w:t>
      </w:r>
      <w:r w:rsidR="000E14A5">
        <w:rPr>
          <w:rFonts w:asciiTheme="majorHAnsi" w:hAnsiTheme="majorHAnsi"/>
          <w:bCs/>
          <w:szCs w:val="20"/>
          <w:lang w:val="es-UY"/>
        </w:rPr>
        <w:t>;</w:t>
      </w:r>
      <w:r w:rsidR="005B053F">
        <w:rPr>
          <w:rFonts w:asciiTheme="majorHAnsi" w:hAnsiTheme="majorHAnsi"/>
          <w:bCs/>
          <w:szCs w:val="20"/>
          <w:lang w:val="es-UY"/>
        </w:rPr>
        <w:t xml:space="preserve"> y</w:t>
      </w:r>
      <w:r w:rsidR="00901A9B">
        <w:rPr>
          <w:rFonts w:asciiTheme="majorHAnsi" w:hAnsiTheme="majorHAnsi"/>
          <w:bCs/>
          <w:szCs w:val="20"/>
          <w:lang w:val="es-UY"/>
        </w:rPr>
        <w:t xml:space="preserve"> mientras se encontraba </w:t>
      </w:r>
      <w:r w:rsidR="000E14A5">
        <w:rPr>
          <w:rFonts w:asciiTheme="majorHAnsi" w:hAnsiTheme="majorHAnsi"/>
          <w:bCs/>
          <w:szCs w:val="20"/>
          <w:lang w:val="es-UY"/>
        </w:rPr>
        <w:t>de</w:t>
      </w:r>
      <w:r w:rsidR="00901A9B">
        <w:rPr>
          <w:rFonts w:asciiTheme="majorHAnsi" w:hAnsiTheme="majorHAnsi"/>
          <w:bCs/>
          <w:szCs w:val="20"/>
          <w:lang w:val="es-UY"/>
        </w:rPr>
        <w:t xml:space="preserve"> vacaciones en mayo de 2007</w:t>
      </w:r>
      <w:r w:rsidR="005B053F">
        <w:rPr>
          <w:rFonts w:asciiTheme="majorHAnsi" w:hAnsiTheme="majorHAnsi"/>
          <w:bCs/>
          <w:szCs w:val="20"/>
          <w:lang w:val="es-UY"/>
        </w:rPr>
        <w:t xml:space="preserve">, fue trasladado </w:t>
      </w:r>
      <w:r w:rsidR="00AA7A08">
        <w:rPr>
          <w:rFonts w:asciiTheme="majorHAnsi" w:hAnsiTheme="majorHAnsi"/>
          <w:bCs/>
          <w:szCs w:val="20"/>
          <w:lang w:val="es-UY"/>
        </w:rPr>
        <w:t xml:space="preserve">a la ciudad de Pamplona </w:t>
      </w:r>
      <w:r w:rsidR="005B053F">
        <w:rPr>
          <w:rFonts w:asciiTheme="majorHAnsi" w:hAnsiTheme="majorHAnsi"/>
          <w:bCs/>
          <w:szCs w:val="20"/>
          <w:lang w:val="es-UY"/>
        </w:rPr>
        <w:t xml:space="preserve">contra el protocolo </w:t>
      </w:r>
      <w:r w:rsidR="00AA7A08">
        <w:rPr>
          <w:rFonts w:asciiTheme="majorHAnsi" w:hAnsiTheme="majorHAnsi"/>
          <w:bCs/>
          <w:szCs w:val="20"/>
          <w:lang w:val="es-UY"/>
        </w:rPr>
        <w:t>y contra las órdenes del inspector general del ejército</w:t>
      </w:r>
      <w:r w:rsidR="009317F4">
        <w:rPr>
          <w:rFonts w:asciiTheme="majorHAnsi" w:hAnsiTheme="majorHAnsi"/>
          <w:bCs/>
          <w:szCs w:val="20"/>
          <w:lang w:val="es-UY"/>
        </w:rPr>
        <w:t>.</w:t>
      </w:r>
      <w:r w:rsidR="00AA7A08">
        <w:rPr>
          <w:rFonts w:asciiTheme="majorHAnsi" w:hAnsiTheme="majorHAnsi"/>
          <w:bCs/>
          <w:szCs w:val="20"/>
          <w:lang w:val="es-UY"/>
        </w:rPr>
        <w:t xml:space="preserve"> </w:t>
      </w:r>
      <w:r w:rsidR="0063516A">
        <w:rPr>
          <w:rFonts w:asciiTheme="majorHAnsi" w:hAnsiTheme="majorHAnsi"/>
          <w:bCs/>
          <w:szCs w:val="20"/>
          <w:lang w:val="es-UY"/>
        </w:rPr>
        <w:t xml:space="preserve">Ante sus objeciones de realizar funciones ajenas a su puesto administrativo como músico, </w:t>
      </w:r>
      <w:r w:rsidR="00A81FCB">
        <w:rPr>
          <w:rFonts w:asciiTheme="majorHAnsi" w:hAnsiTheme="majorHAnsi"/>
          <w:bCs/>
          <w:szCs w:val="20"/>
          <w:lang w:val="es-UY"/>
        </w:rPr>
        <w:t>fue trasladado nuevamente en agosto de 2007</w:t>
      </w:r>
      <w:r w:rsidR="001C2412">
        <w:rPr>
          <w:rFonts w:asciiTheme="majorHAnsi" w:hAnsiTheme="majorHAnsi"/>
          <w:bCs/>
          <w:szCs w:val="20"/>
          <w:lang w:val="es-UY"/>
        </w:rPr>
        <w:t xml:space="preserve">, y durante el trayecto en el que se trasladaba con su familia, </w:t>
      </w:r>
      <w:r w:rsidR="00182BCF">
        <w:rPr>
          <w:rFonts w:asciiTheme="majorHAnsi" w:hAnsiTheme="majorHAnsi"/>
          <w:bCs/>
          <w:szCs w:val="20"/>
          <w:lang w:val="es-UY"/>
        </w:rPr>
        <w:t xml:space="preserve">dos hombres dispararon contra su </w:t>
      </w:r>
      <w:r w:rsidR="001C2412">
        <w:rPr>
          <w:rFonts w:asciiTheme="majorHAnsi" w:hAnsiTheme="majorHAnsi"/>
          <w:bCs/>
          <w:szCs w:val="20"/>
          <w:lang w:val="es-UY"/>
        </w:rPr>
        <w:t>vehículo</w:t>
      </w:r>
      <w:r w:rsidR="00ED4F25">
        <w:rPr>
          <w:rFonts w:asciiTheme="majorHAnsi" w:hAnsiTheme="majorHAnsi"/>
          <w:bCs/>
          <w:szCs w:val="20"/>
          <w:lang w:val="es-UY"/>
        </w:rPr>
        <w:t xml:space="preserve">, </w:t>
      </w:r>
      <w:r w:rsidR="00A768DF">
        <w:rPr>
          <w:rFonts w:asciiTheme="majorHAnsi" w:hAnsiTheme="majorHAnsi"/>
          <w:bCs/>
          <w:szCs w:val="20"/>
          <w:lang w:val="es-UY"/>
        </w:rPr>
        <w:t xml:space="preserve">pero los esquivaron sin </w:t>
      </w:r>
      <w:r w:rsidR="00BE56EA">
        <w:rPr>
          <w:rFonts w:asciiTheme="majorHAnsi" w:hAnsiTheme="majorHAnsi"/>
          <w:bCs/>
          <w:szCs w:val="20"/>
          <w:lang w:val="es-UY"/>
        </w:rPr>
        <w:t>resul</w:t>
      </w:r>
      <w:r w:rsidR="00581BAB">
        <w:rPr>
          <w:rFonts w:asciiTheme="majorHAnsi" w:hAnsiTheme="majorHAnsi"/>
          <w:bCs/>
          <w:szCs w:val="20"/>
          <w:lang w:val="es-UY"/>
        </w:rPr>
        <w:t>t</w:t>
      </w:r>
      <w:r w:rsidR="00BE56EA">
        <w:rPr>
          <w:rFonts w:asciiTheme="majorHAnsi" w:hAnsiTheme="majorHAnsi"/>
          <w:bCs/>
          <w:szCs w:val="20"/>
          <w:lang w:val="es-UY"/>
        </w:rPr>
        <w:t xml:space="preserve">ar </w:t>
      </w:r>
      <w:r w:rsidR="00ED4F25">
        <w:rPr>
          <w:rFonts w:asciiTheme="majorHAnsi" w:hAnsiTheme="majorHAnsi"/>
          <w:bCs/>
          <w:szCs w:val="20"/>
          <w:lang w:val="es-UY"/>
        </w:rPr>
        <w:t>heridos.</w:t>
      </w:r>
      <w:r w:rsidR="00600F4B">
        <w:rPr>
          <w:rFonts w:asciiTheme="majorHAnsi" w:hAnsiTheme="majorHAnsi"/>
          <w:bCs/>
          <w:szCs w:val="20"/>
          <w:lang w:val="es-UY"/>
        </w:rPr>
        <w:t xml:space="preserve"> </w:t>
      </w:r>
      <w:r w:rsidR="00460E1F">
        <w:rPr>
          <w:rFonts w:asciiTheme="majorHAnsi" w:hAnsiTheme="majorHAnsi"/>
          <w:bCs/>
          <w:szCs w:val="20"/>
          <w:lang w:val="es-UY"/>
        </w:rPr>
        <w:t>Relata que solicitó su retiro del ejér</w:t>
      </w:r>
      <w:r w:rsidR="002054F9">
        <w:rPr>
          <w:rFonts w:asciiTheme="majorHAnsi" w:hAnsiTheme="majorHAnsi"/>
          <w:bCs/>
          <w:szCs w:val="20"/>
          <w:lang w:val="es-UY"/>
        </w:rPr>
        <w:t xml:space="preserve">cito, </w:t>
      </w:r>
      <w:r w:rsidR="00BC3CFC">
        <w:rPr>
          <w:rFonts w:asciiTheme="majorHAnsi" w:hAnsiTheme="majorHAnsi"/>
          <w:bCs/>
          <w:szCs w:val="20"/>
          <w:lang w:val="es-UY"/>
        </w:rPr>
        <w:t>y éste</w:t>
      </w:r>
      <w:r w:rsidR="002054F9">
        <w:rPr>
          <w:rFonts w:asciiTheme="majorHAnsi" w:hAnsiTheme="majorHAnsi"/>
          <w:bCs/>
          <w:szCs w:val="20"/>
          <w:lang w:val="es-UY"/>
        </w:rPr>
        <w:t xml:space="preserve"> fue </w:t>
      </w:r>
      <w:r w:rsidR="00A768DF">
        <w:rPr>
          <w:rFonts w:asciiTheme="majorHAnsi" w:hAnsiTheme="majorHAnsi"/>
          <w:bCs/>
          <w:szCs w:val="20"/>
          <w:lang w:val="es-UY"/>
        </w:rPr>
        <w:t xml:space="preserve">finalmente </w:t>
      </w:r>
      <w:r w:rsidR="002054F9">
        <w:rPr>
          <w:rFonts w:asciiTheme="majorHAnsi" w:hAnsiTheme="majorHAnsi"/>
          <w:bCs/>
          <w:szCs w:val="20"/>
          <w:lang w:val="es-UY"/>
        </w:rPr>
        <w:t>concedido el 19 de septiembre de 2007</w:t>
      </w:r>
      <w:r w:rsidR="00F652A4">
        <w:rPr>
          <w:rFonts w:asciiTheme="majorHAnsi" w:hAnsiTheme="majorHAnsi"/>
          <w:bCs/>
          <w:szCs w:val="20"/>
          <w:lang w:val="es-UY"/>
        </w:rPr>
        <w:t>, y en el mis</w:t>
      </w:r>
      <w:r w:rsidR="00085C22">
        <w:rPr>
          <w:rFonts w:asciiTheme="majorHAnsi" w:hAnsiTheme="majorHAnsi"/>
          <w:bCs/>
          <w:szCs w:val="20"/>
          <w:lang w:val="es-UY"/>
        </w:rPr>
        <w:t>m</w:t>
      </w:r>
      <w:r w:rsidR="00F652A4">
        <w:rPr>
          <w:rFonts w:asciiTheme="majorHAnsi" w:hAnsiTheme="majorHAnsi"/>
          <w:bCs/>
          <w:szCs w:val="20"/>
          <w:lang w:val="es-UY"/>
        </w:rPr>
        <w:t xml:space="preserve">o mes, la embajada de Francia </w:t>
      </w:r>
      <w:r w:rsidR="007F28AC">
        <w:rPr>
          <w:rFonts w:asciiTheme="majorHAnsi" w:hAnsiTheme="majorHAnsi"/>
          <w:bCs/>
          <w:szCs w:val="20"/>
          <w:lang w:val="es-UY"/>
        </w:rPr>
        <w:t xml:space="preserve">también </w:t>
      </w:r>
      <w:r w:rsidR="00F652A4">
        <w:rPr>
          <w:rFonts w:asciiTheme="majorHAnsi" w:hAnsiTheme="majorHAnsi"/>
          <w:bCs/>
          <w:szCs w:val="20"/>
          <w:lang w:val="es-UY"/>
        </w:rPr>
        <w:t>le otorgó asilo a él y a su familia.</w:t>
      </w:r>
      <w:r w:rsidR="00FA7587">
        <w:rPr>
          <w:rFonts w:asciiTheme="majorHAnsi" w:hAnsiTheme="majorHAnsi"/>
          <w:bCs/>
          <w:szCs w:val="20"/>
          <w:lang w:val="es-UY"/>
        </w:rPr>
        <w:t xml:space="preserve"> </w:t>
      </w:r>
      <w:r w:rsidR="00177DE1">
        <w:rPr>
          <w:rFonts w:asciiTheme="majorHAnsi" w:hAnsiTheme="majorHAnsi"/>
          <w:bCs/>
          <w:szCs w:val="20"/>
          <w:lang w:val="es-UY"/>
        </w:rPr>
        <w:t xml:space="preserve">Añade </w:t>
      </w:r>
      <w:r w:rsidR="00FA7587">
        <w:rPr>
          <w:rFonts w:asciiTheme="majorHAnsi" w:hAnsiTheme="majorHAnsi"/>
          <w:bCs/>
          <w:szCs w:val="20"/>
          <w:lang w:val="es-UY"/>
        </w:rPr>
        <w:t xml:space="preserve">que </w:t>
      </w:r>
      <w:r w:rsidR="0072216B">
        <w:rPr>
          <w:rFonts w:asciiTheme="majorHAnsi" w:hAnsiTheme="majorHAnsi"/>
          <w:bCs/>
          <w:szCs w:val="20"/>
          <w:lang w:val="es-UY"/>
        </w:rPr>
        <w:t>presentó</w:t>
      </w:r>
      <w:r w:rsidR="00177DE1">
        <w:rPr>
          <w:rFonts w:asciiTheme="majorHAnsi" w:hAnsiTheme="majorHAnsi"/>
          <w:bCs/>
          <w:szCs w:val="20"/>
          <w:lang w:val="es-UY"/>
        </w:rPr>
        <w:t xml:space="preserve"> una denuncia ante la fiscalía por el atentado contra su vida y de su familia el 10 de octubre de 2007.</w:t>
      </w:r>
    </w:p>
    <w:p w14:paraId="7830CA2C" w14:textId="2E4F9929" w:rsidR="00295B97" w:rsidRDefault="00295B97" w:rsidP="00A27EE1">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Ambos peticionarios </w:t>
      </w:r>
      <w:r w:rsidR="00177DE1">
        <w:rPr>
          <w:rFonts w:asciiTheme="majorHAnsi" w:hAnsiTheme="majorHAnsi"/>
          <w:bCs/>
          <w:szCs w:val="20"/>
          <w:lang w:val="es-UY"/>
        </w:rPr>
        <w:t>in</w:t>
      </w:r>
      <w:r w:rsidR="00B03061">
        <w:rPr>
          <w:rFonts w:asciiTheme="majorHAnsi" w:hAnsiTheme="majorHAnsi"/>
          <w:bCs/>
          <w:szCs w:val="20"/>
          <w:lang w:val="es-UY"/>
        </w:rPr>
        <w:t>dic</w:t>
      </w:r>
      <w:r w:rsidR="00177DE1">
        <w:rPr>
          <w:rFonts w:asciiTheme="majorHAnsi" w:hAnsiTheme="majorHAnsi"/>
          <w:bCs/>
          <w:szCs w:val="20"/>
          <w:lang w:val="es-UY"/>
        </w:rPr>
        <w:t>an que</w:t>
      </w:r>
      <w:r w:rsidR="005722FD">
        <w:rPr>
          <w:rFonts w:asciiTheme="majorHAnsi" w:hAnsiTheme="majorHAnsi"/>
          <w:bCs/>
          <w:szCs w:val="20"/>
          <w:lang w:val="es-UY"/>
        </w:rPr>
        <w:t xml:space="preserve"> antes de salir del país otorgaron poder a una abogada para que interpusiera una demanda de reparación directa</w:t>
      </w:r>
      <w:r w:rsidR="00E2425A" w:rsidRPr="00E2425A">
        <w:rPr>
          <w:rFonts w:asciiTheme="majorHAnsi" w:hAnsiTheme="majorHAnsi"/>
          <w:bCs/>
          <w:szCs w:val="20"/>
          <w:lang w:val="es-UY"/>
        </w:rPr>
        <w:t xml:space="preserve"> </w:t>
      </w:r>
      <w:r w:rsidR="00E2425A">
        <w:rPr>
          <w:rFonts w:asciiTheme="majorHAnsi" w:hAnsiTheme="majorHAnsi"/>
          <w:bCs/>
          <w:szCs w:val="20"/>
          <w:lang w:val="es-UY"/>
        </w:rPr>
        <w:t>en su nombre</w:t>
      </w:r>
      <w:r w:rsidR="005722FD">
        <w:rPr>
          <w:rFonts w:asciiTheme="majorHAnsi" w:hAnsiTheme="majorHAnsi"/>
          <w:bCs/>
          <w:szCs w:val="20"/>
          <w:lang w:val="es-UY"/>
        </w:rPr>
        <w:t>; sin embargo, esto nunca ocurrió</w:t>
      </w:r>
      <w:r w:rsidR="00B03061">
        <w:rPr>
          <w:rFonts w:asciiTheme="majorHAnsi" w:hAnsiTheme="majorHAnsi"/>
          <w:bCs/>
          <w:szCs w:val="20"/>
          <w:lang w:val="es-UY"/>
        </w:rPr>
        <w:t>, se venció el plazo para hacerlo y perdieron contacto con ella.</w:t>
      </w:r>
      <w:r w:rsidR="006579B4">
        <w:rPr>
          <w:rFonts w:asciiTheme="majorHAnsi" w:hAnsiTheme="majorHAnsi"/>
          <w:bCs/>
          <w:szCs w:val="20"/>
          <w:lang w:val="es-UY"/>
        </w:rPr>
        <w:t xml:space="preserve"> </w:t>
      </w:r>
      <w:r w:rsidR="00532825">
        <w:rPr>
          <w:rFonts w:asciiTheme="majorHAnsi" w:hAnsiTheme="majorHAnsi"/>
          <w:bCs/>
          <w:szCs w:val="20"/>
          <w:lang w:val="es-UY"/>
        </w:rPr>
        <w:t xml:space="preserve">Informan que </w:t>
      </w:r>
      <w:r w:rsidR="006579B4">
        <w:rPr>
          <w:rFonts w:asciiTheme="majorHAnsi" w:hAnsiTheme="majorHAnsi"/>
          <w:bCs/>
          <w:szCs w:val="20"/>
          <w:lang w:val="es-UY"/>
        </w:rPr>
        <w:t xml:space="preserve">en febrero de 2012 el señor Alexander Cataño Ríos regresó a Colombia, habiendo obtenido la ciudadanía francesa, porque su madre se encontraba en delicado estado de salud. Una vez allí y cuando se disponía a retornar a Francia, fue detenido en el aeropuerto de Pereira </w:t>
      </w:r>
      <w:r w:rsidR="00F73413">
        <w:rPr>
          <w:rFonts w:asciiTheme="majorHAnsi" w:hAnsiTheme="majorHAnsi"/>
          <w:bCs/>
          <w:szCs w:val="20"/>
          <w:lang w:val="es-UY"/>
        </w:rPr>
        <w:t>por una orden de captura que pesaba en su contra dictada por la justicia penal militar</w:t>
      </w:r>
      <w:r w:rsidR="008B694B" w:rsidRPr="008B694B">
        <w:rPr>
          <w:rFonts w:asciiTheme="majorHAnsi" w:hAnsiTheme="majorHAnsi"/>
          <w:bCs/>
          <w:szCs w:val="20"/>
          <w:lang w:val="es-UY"/>
        </w:rPr>
        <w:t xml:space="preserve"> </w:t>
      </w:r>
      <w:r w:rsidR="008B694B">
        <w:rPr>
          <w:rFonts w:asciiTheme="majorHAnsi" w:hAnsiTheme="majorHAnsi"/>
          <w:bCs/>
          <w:szCs w:val="20"/>
          <w:lang w:val="es-UY"/>
        </w:rPr>
        <w:t>y durante el tiempo que permaneció en la celda fue amenazado por los policías</w:t>
      </w:r>
      <w:r w:rsidR="00F73413">
        <w:rPr>
          <w:rFonts w:asciiTheme="majorHAnsi" w:hAnsiTheme="majorHAnsi"/>
          <w:bCs/>
          <w:szCs w:val="20"/>
          <w:lang w:val="es-UY"/>
        </w:rPr>
        <w:t xml:space="preserve">. </w:t>
      </w:r>
      <w:r w:rsidR="008B694B">
        <w:rPr>
          <w:rFonts w:asciiTheme="majorHAnsi" w:hAnsiTheme="majorHAnsi"/>
          <w:bCs/>
          <w:szCs w:val="20"/>
          <w:lang w:val="es-UY"/>
        </w:rPr>
        <w:t>Señal</w:t>
      </w:r>
      <w:r w:rsidR="00B3444D">
        <w:rPr>
          <w:rFonts w:asciiTheme="majorHAnsi" w:hAnsiTheme="majorHAnsi"/>
          <w:bCs/>
          <w:szCs w:val="20"/>
          <w:lang w:val="es-UY"/>
        </w:rPr>
        <w:t>a que, gracias a la intervención de la embajada de Francia, la policía dispuso su libertad unas horas después</w:t>
      </w:r>
      <w:r w:rsidR="008B694B">
        <w:rPr>
          <w:rFonts w:asciiTheme="majorHAnsi" w:hAnsiTheme="majorHAnsi"/>
          <w:bCs/>
          <w:szCs w:val="20"/>
          <w:lang w:val="es-UY"/>
        </w:rPr>
        <w:t xml:space="preserve"> y</w:t>
      </w:r>
      <w:r w:rsidR="005A6DDA">
        <w:rPr>
          <w:rFonts w:asciiTheme="majorHAnsi" w:hAnsiTheme="majorHAnsi"/>
          <w:bCs/>
          <w:szCs w:val="20"/>
          <w:lang w:val="es-UY"/>
        </w:rPr>
        <w:t xml:space="preserve"> pudo viajar </w:t>
      </w:r>
      <w:r w:rsidR="007D1594">
        <w:rPr>
          <w:rFonts w:asciiTheme="majorHAnsi" w:hAnsiTheme="majorHAnsi"/>
          <w:bCs/>
          <w:szCs w:val="20"/>
          <w:lang w:val="es-UY"/>
        </w:rPr>
        <w:t>de regreso</w:t>
      </w:r>
      <w:r w:rsidR="005A6DDA">
        <w:rPr>
          <w:rFonts w:asciiTheme="majorHAnsi" w:hAnsiTheme="majorHAnsi"/>
          <w:bCs/>
          <w:szCs w:val="20"/>
          <w:lang w:val="es-UY"/>
        </w:rPr>
        <w:t>.</w:t>
      </w:r>
    </w:p>
    <w:p w14:paraId="45E29584" w14:textId="17C4502D" w:rsidR="00CB1F97" w:rsidRPr="00AA2E15" w:rsidRDefault="00CB1F97" w:rsidP="00A27EE1">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En respuesta a las observaciones del Estado, los peticionarios aducen que tanto Alexander como Henry de Jesús, ambos de apellido Castaño Ríos, son presuntas víctimas en el presente trámite, y </w:t>
      </w:r>
      <w:r w:rsidR="004C03B0">
        <w:rPr>
          <w:rFonts w:asciiTheme="majorHAnsi" w:hAnsiTheme="majorHAnsi"/>
          <w:bCs/>
          <w:szCs w:val="20"/>
          <w:lang w:val="es-UY"/>
        </w:rPr>
        <w:t>sostienen</w:t>
      </w:r>
      <w:r w:rsidR="005240BF">
        <w:rPr>
          <w:rFonts w:asciiTheme="majorHAnsi" w:hAnsiTheme="majorHAnsi"/>
          <w:bCs/>
          <w:szCs w:val="20"/>
          <w:lang w:val="es-UY"/>
        </w:rPr>
        <w:t xml:space="preserve"> que si bien la fiscalía y la procuraduría archivaron las investigaciones penales y disciplinarias por ellos promovidas por las amenazas y el acoso laboral</w:t>
      </w:r>
      <w:r w:rsidR="00F2377B">
        <w:rPr>
          <w:rFonts w:asciiTheme="majorHAnsi" w:hAnsiTheme="majorHAnsi"/>
          <w:bCs/>
          <w:szCs w:val="20"/>
          <w:lang w:val="es-UY"/>
        </w:rPr>
        <w:t xml:space="preserve">; </w:t>
      </w:r>
      <w:r w:rsidR="00452C11">
        <w:rPr>
          <w:rFonts w:asciiTheme="majorHAnsi" w:hAnsiTheme="majorHAnsi"/>
          <w:bCs/>
          <w:szCs w:val="20"/>
          <w:lang w:val="es-UY"/>
        </w:rPr>
        <w:t>se vieron imposibilitados de impugnar dichas resoluciones desde Francia, pues les era prohibido acudir a las oficinas diplomáticas colombianas por su condición de refugiados, y la abogada a la cual le habían otorgado poder para actuar en su representación en el país</w:t>
      </w:r>
      <w:r w:rsidR="002C0BEB">
        <w:rPr>
          <w:rFonts w:asciiTheme="majorHAnsi" w:hAnsiTheme="majorHAnsi"/>
          <w:bCs/>
          <w:szCs w:val="20"/>
          <w:lang w:val="es-UY"/>
        </w:rPr>
        <w:t xml:space="preserve"> no respondió a sus requerimientos, ni </w:t>
      </w:r>
      <w:r w:rsidR="00FB3E71">
        <w:rPr>
          <w:rFonts w:asciiTheme="majorHAnsi" w:hAnsiTheme="majorHAnsi"/>
          <w:bCs/>
          <w:szCs w:val="20"/>
          <w:lang w:val="es-UY"/>
        </w:rPr>
        <w:t>contest</w:t>
      </w:r>
      <w:r w:rsidR="002C0BEB">
        <w:rPr>
          <w:rFonts w:asciiTheme="majorHAnsi" w:hAnsiTheme="majorHAnsi"/>
          <w:bCs/>
          <w:szCs w:val="20"/>
          <w:lang w:val="es-UY"/>
        </w:rPr>
        <w:t xml:space="preserve">ó </w:t>
      </w:r>
      <w:r w:rsidR="00FB3E71">
        <w:rPr>
          <w:rFonts w:asciiTheme="majorHAnsi" w:hAnsiTheme="majorHAnsi"/>
          <w:bCs/>
          <w:szCs w:val="20"/>
          <w:lang w:val="es-UY"/>
        </w:rPr>
        <w:t xml:space="preserve">a </w:t>
      </w:r>
      <w:r w:rsidR="002C0BEB">
        <w:rPr>
          <w:rFonts w:asciiTheme="majorHAnsi" w:hAnsiTheme="majorHAnsi"/>
          <w:bCs/>
          <w:szCs w:val="20"/>
          <w:lang w:val="es-UY"/>
        </w:rPr>
        <w:t xml:space="preserve">sus </w:t>
      </w:r>
      <w:r w:rsidR="0073598C">
        <w:rPr>
          <w:rFonts w:asciiTheme="majorHAnsi" w:hAnsiTheme="majorHAnsi"/>
          <w:bCs/>
          <w:szCs w:val="20"/>
          <w:lang w:val="es-UY"/>
        </w:rPr>
        <w:t xml:space="preserve">comunicaciones. También alegan que enviaron varias cartas en 2015 y 2017 a la Presidencia de la República a fin de </w:t>
      </w:r>
      <w:r w:rsidR="00B7578B">
        <w:rPr>
          <w:rFonts w:asciiTheme="majorHAnsi" w:hAnsiTheme="majorHAnsi"/>
          <w:bCs/>
          <w:szCs w:val="20"/>
          <w:lang w:val="es-UY"/>
        </w:rPr>
        <w:t>denunciar lo sucedido y llegar a un acuerdo para solucionar la situación, sin obtener respuesta alguna.</w:t>
      </w:r>
    </w:p>
    <w:p w14:paraId="142267EB" w14:textId="67C8FD37" w:rsidR="00890DA0" w:rsidRPr="00125980" w:rsidRDefault="00125980" w:rsidP="002E5A4F">
      <w:pPr>
        <w:pStyle w:val="ListParagraph"/>
        <w:numPr>
          <w:ilvl w:val="0"/>
          <w:numId w:val="0"/>
        </w:numPr>
        <w:ind w:left="720"/>
        <w:rPr>
          <w:rFonts w:asciiTheme="majorHAnsi" w:hAnsiTheme="majorHAnsi"/>
          <w:b/>
          <w:bCs/>
          <w:szCs w:val="20"/>
          <w:lang w:val="es-UY"/>
        </w:rPr>
      </w:pPr>
      <w:r>
        <w:rPr>
          <w:b/>
          <w:bCs/>
          <w:szCs w:val="20"/>
          <w:lang w:val="es-AR"/>
        </w:rPr>
        <w:t xml:space="preserve">El </w:t>
      </w:r>
      <w:r w:rsidR="00890DA0" w:rsidRPr="00125980">
        <w:rPr>
          <w:b/>
          <w:bCs/>
          <w:szCs w:val="20"/>
          <w:lang w:val="es-AR"/>
        </w:rPr>
        <w:t>Estado</w:t>
      </w:r>
      <w:r>
        <w:rPr>
          <w:b/>
          <w:bCs/>
          <w:szCs w:val="20"/>
          <w:lang w:val="es-AR"/>
        </w:rPr>
        <w:t xml:space="preserve"> </w:t>
      </w:r>
      <w:r w:rsidR="002D18B2">
        <w:rPr>
          <w:b/>
          <w:bCs/>
          <w:szCs w:val="20"/>
          <w:lang w:val="es-AR"/>
        </w:rPr>
        <w:t>colombiano</w:t>
      </w:r>
    </w:p>
    <w:p w14:paraId="68A417B2" w14:textId="11AE80CD" w:rsidR="00B93D7F" w:rsidRPr="00CC6B7D" w:rsidRDefault="0018680B" w:rsidP="006E621A">
      <w:pPr>
        <w:pStyle w:val="ListParagraph"/>
        <w:numPr>
          <w:ilvl w:val="0"/>
          <w:numId w:val="61"/>
        </w:numPr>
        <w:ind w:left="0" w:firstLine="720"/>
        <w:rPr>
          <w:rFonts w:asciiTheme="majorHAnsi" w:hAnsiTheme="majorHAnsi"/>
          <w:bCs/>
          <w:szCs w:val="20"/>
          <w:lang w:val="es-UY"/>
        </w:rPr>
      </w:pPr>
      <w:r>
        <w:rPr>
          <w:szCs w:val="20"/>
          <w:lang w:val="es-AR"/>
        </w:rPr>
        <w:t>E</w:t>
      </w:r>
      <w:r w:rsidR="00B93D7F" w:rsidRPr="006E621A">
        <w:rPr>
          <w:szCs w:val="20"/>
          <w:lang w:val="es-AR"/>
        </w:rPr>
        <w:t>l Es</w:t>
      </w:r>
      <w:r w:rsidR="003F5154" w:rsidRPr="006E621A">
        <w:rPr>
          <w:szCs w:val="20"/>
          <w:lang w:val="es-AR"/>
        </w:rPr>
        <w:t xml:space="preserve">tado, </w:t>
      </w:r>
      <w:r>
        <w:rPr>
          <w:szCs w:val="20"/>
          <w:lang w:val="es-AR"/>
        </w:rPr>
        <w:t xml:space="preserve">por su parte, </w:t>
      </w:r>
      <w:r w:rsidR="003F0B30">
        <w:rPr>
          <w:szCs w:val="20"/>
          <w:lang w:val="es-AR"/>
        </w:rPr>
        <w:t xml:space="preserve">sostiene que la presente petición es inadmisible, toda vez que </w:t>
      </w:r>
      <w:r w:rsidR="00636744">
        <w:rPr>
          <w:szCs w:val="20"/>
          <w:lang w:val="es-AR"/>
        </w:rPr>
        <w:t>es extemporánea</w:t>
      </w:r>
      <w:r w:rsidR="00CE040C">
        <w:rPr>
          <w:szCs w:val="20"/>
          <w:lang w:val="es-AR"/>
        </w:rPr>
        <w:t>.</w:t>
      </w:r>
      <w:r w:rsidR="00636744">
        <w:rPr>
          <w:szCs w:val="20"/>
          <w:lang w:val="es-AR"/>
        </w:rPr>
        <w:t xml:space="preserve"> </w:t>
      </w:r>
      <w:r w:rsidR="00CE040C">
        <w:rPr>
          <w:szCs w:val="20"/>
          <w:lang w:val="es-AR"/>
        </w:rPr>
        <w:t>D</w:t>
      </w:r>
      <w:r w:rsidR="00636744">
        <w:rPr>
          <w:szCs w:val="20"/>
          <w:lang w:val="es-AR"/>
        </w:rPr>
        <w:t>e manera subsidiaria,</w:t>
      </w:r>
      <w:r w:rsidR="000E7056">
        <w:rPr>
          <w:szCs w:val="20"/>
          <w:lang w:val="es-AR"/>
        </w:rPr>
        <w:t xml:space="preserve"> alega que</w:t>
      </w:r>
      <w:r w:rsidR="00636744">
        <w:rPr>
          <w:szCs w:val="20"/>
          <w:lang w:val="es-AR"/>
        </w:rPr>
        <w:t xml:space="preserve"> </w:t>
      </w:r>
      <w:r w:rsidR="00B457FC">
        <w:rPr>
          <w:szCs w:val="20"/>
          <w:lang w:val="es-AR"/>
        </w:rPr>
        <w:t>los peticionarios no agotaron los recursos de jurisdicción interna</w:t>
      </w:r>
      <w:r w:rsidR="0002204C">
        <w:rPr>
          <w:szCs w:val="20"/>
          <w:lang w:val="es-AR"/>
        </w:rPr>
        <w:t>,</w:t>
      </w:r>
      <w:r w:rsidR="00B457FC">
        <w:rPr>
          <w:szCs w:val="20"/>
          <w:lang w:val="es-AR"/>
        </w:rPr>
        <w:t xml:space="preserve"> y </w:t>
      </w:r>
      <w:r w:rsidR="00F03053">
        <w:rPr>
          <w:szCs w:val="20"/>
          <w:lang w:val="es-AR"/>
        </w:rPr>
        <w:t>plantea</w:t>
      </w:r>
      <w:r w:rsidR="00803F84">
        <w:rPr>
          <w:szCs w:val="20"/>
          <w:lang w:val="es-AR"/>
        </w:rPr>
        <w:t xml:space="preserve"> que </w:t>
      </w:r>
      <w:r w:rsidR="00C144FF">
        <w:rPr>
          <w:szCs w:val="20"/>
          <w:lang w:val="es-AR"/>
        </w:rPr>
        <w:t xml:space="preserve">incurre en la denominada ‘fórmula de la cuarta instancia internacional’ y </w:t>
      </w:r>
      <w:r w:rsidR="00EB4D3E">
        <w:rPr>
          <w:szCs w:val="20"/>
          <w:lang w:val="es-AR"/>
        </w:rPr>
        <w:t xml:space="preserve">que </w:t>
      </w:r>
      <w:r w:rsidR="00B457FC">
        <w:rPr>
          <w:szCs w:val="20"/>
          <w:lang w:val="es-AR"/>
        </w:rPr>
        <w:t>contiene alegatos manifiestamente infundados en los términos del artículo 47</w:t>
      </w:r>
      <w:r w:rsidR="00F064E0">
        <w:rPr>
          <w:szCs w:val="20"/>
          <w:lang w:val="es-AR"/>
        </w:rPr>
        <w:t>.c) de la Convención Americana.</w:t>
      </w:r>
    </w:p>
    <w:p w14:paraId="66307AA4" w14:textId="062B2E0B" w:rsidR="00452ACC" w:rsidRDefault="00A247B4" w:rsidP="00266F45">
      <w:pPr>
        <w:pStyle w:val="ListParagraph"/>
        <w:numPr>
          <w:ilvl w:val="0"/>
          <w:numId w:val="61"/>
        </w:numPr>
        <w:ind w:left="0" w:firstLine="720"/>
        <w:rPr>
          <w:rFonts w:asciiTheme="majorHAnsi" w:hAnsiTheme="majorHAnsi"/>
          <w:bCs/>
          <w:szCs w:val="20"/>
          <w:lang w:val="es-UY"/>
        </w:rPr>
      </w:pPr>
      <w:r w:rsidRPr="00300750">
        <w:rPr>
          <w:szCs w:val="20"/>
          <w:lang w:val="es-AR"/>
        </w:rPr>
        <w:t xml:space="preserve">En primer lugar, </w:t>
      </w:r>
      <w:r w:rsidR="00E66BDE" w:rsidRPr="00300750">
        <w:rPr>
          <w:szCs w:val="20"/>
          <w:lang w:val="es-AR"/>
        </w:rPr>
        <w:t xml:space="preserve">Colombia aclara que considera como única presunta víctima del caso al señor Henry de Jesús Castaño Ríos por cuanto </w:t>
      </w:r>
      <w:r w:rsidR="004670CF" w:rsidRPr="00300750">
        <w:rPr>
          <w:szCs w:val="20"/>
          <w:lang w:val="es-AR"/>
        </w:rPr>
        <w:t xml:space="preserve">la primera petición trasladada al Estado sólo </w:t>
      </w:r>
      <w:r w:rsidR="00262B22">
        <w:rPr>
          <w:szCs w:val="20"/>
          <w:lang w:val="es-AR"/>
        </w:rPr>
        <w:t>se refería</w:t>
      </w:r>
      <w:r w:rsidR="004670CF" w:rsidRPr="00300750">
        <w:rPr>
          <w:szCs w:val="20"/>
          <w:lang w:val="es-AR"/>
        </w:rPr>
        <w:t xml:space="preserve"> a </w:t>
      </w:r>
      <w:r w:rsidR="00A404E3" w:rsidRPr="00300750">
        <w:rPr>
          <w:szCs w:val="20"/>
          <w:lang w:val="es-AR"/>
        </w:rPr>
        <w:t xml:space="preserve">éste. </w:t>
      </w:r>
      <w:r w:rsidR="00293516" w:rsidRPr="00300750">
        <w:rPr>
          <w:szCs w:val="20"/>
          <w:lang w:val="es-AR"/>
        </w:rPr>
        <w:t xml:space="preserve">No obstante, </w:t>
      </w:r>
      <w:r w:rsidR="007F34D1" w:rsidRPr="00300750">
        <w:rPr>
          <w:szCs w:val="20"/>
          <w:lang w:val="es-AR"/>
        </w:rPr>
        <w:t xml:space="preserve">señala que </w:t>
      </w:r>
      <w:r w:rsidR="00044299" w:rsidRPr="00300750">
        <w:rPr>
          <w:szCs w:val="20"/>
          <w:lang w:val="es-AR"/>
        </w:rPr>
        <w:t>p</w:t>
      </w:r>
      <w:r w:rsidR="008E35DB">
        <w:rPr>
          <w:szCs w:val="20"/>
          <w:lang w:val="es-AR"/>
        </w:rPr>
        <w:t>resent</w:t>
      </w:r>
      <w:r w:rsidR="00044299" w:rsidRPr="00300750">
        <w:rPr>
          <w:szCs w:val="20"/>
          <w:lang w:val="es-AR"/>
        </w:rPr>
        <w:t xml:space="preserve">a </w:t>
      </w:r>
      <w:r w:rsidR="007F34D1" w:rsidRPr="00300750">
        <w:rPr>
          <w:szCs w:val="20"/>
          <w:lang w:val="es-AR"/>
        </w:rPr>
        <w:t xml:space="preserve">sus observaciones </w:t>
      </w:r>
      <w:r w:rsidR="00044299" w:rsidRPr="00300750">
        <w:rPr>
          <w:szCs w:val="20"/>
          <w:lang w:val="es-AR"/>
        </w:rPr>
        <w:t xml:space="preserve">sobre ambos. </w:t>
      </w:r>
      <w:r w:rsidR="006B22E4" w:rsidRPr="00300750">
        <w:rPr>
          <w:szCs w:val="20"/>
          <w:lang w:val="es-AR"/>
        </w:rPr>
        <w:t xml:space="preserve">En segundo lugar, </w:t>
      </w:r>
      <w:r w:rsidR="00DC7D89">
        <w:rPr>
          <w:szCs w:val="20"/>
          <w:lang w:val="es-AR"/>
        </w:rPr>
        <w:t>aduce</w:t>
      </w:r>
      <w:r w:rsidR="006B22E4" w:rsidRPr="00300750">
        <w:rPr>
          <w:szCs w:val="20"/>
          <w:lang w:val="es-AR"/>
        </w:rPr>
        <w:t xml:space="preserve"> que ambas peticiones fueron presentadas de manera extemporánea, pues sobrepasaron el plazo de seis meses</w:t>
      </w:r>
      <w:r w:rsidR="00C1103E" w:rsidRPr="00300750">
        <w:rPr>
          <w:szCs w:val="20"/>
          <w:lang w:val="es-AR"/>
        </w:rPr>
        <w:t xml:space="preserve"> a partir de la decisión que agotó los recursos internos</w:t>
      </w:r>
      <w:r w:rsidR="006B22E4" w:rsidRPr="00300750">
        <w:rPr>
          <w:szCs w:val="20"/>
          <w:lang w:val="es-AR"/>
        </w:rPr>
        <w:t>, previsto en el artículo 46.1.b) de la Convención Americana.</w:t>
      </w:r>
      <w:r w:rsidR="00C1103E" w:rsidRPr="00300750">
        <w:rPr>
          <w:szCs w:val="20"/>
          <w:lang w:val="es-AR"/>
        </w:rPr>
        <w:t xml:space="preserve"> Así, </w:t>
      </w:r>
      <w:r w:rsidR="00EA0DA5">
        <w:rPr>
          <w:szCs w:val="20"/>
          <w:lang w:val="es-AR"/>
        </w:rPr>
        <w:t>afirm</w:t>
      </w:r>
      <w:r w:rsidR="00C1103E" w:rsidRPr="00300750">
        <w:rPr>
          <w:szCs w:val="20"/>
          <w:lang w:val="es-AR"/>
        </w:rPr>
        <w:t xml:space="preserve">a que la </w:t>
      </w:r>
      <w:r w:rsidR="00C1103E" w:rsidRPr="00300750">
        <w:rPr>
          <w:szCs w:val="20"/>
          <w:lang w:val="es-AR"/>
        </w:rPr>
        <w:lastRenderedPageBreak/>
        <w:t xml:space="preserve">petición de Henry </w:t>
      </w:r>
      <w:r w:rsidR="00425A9A" w:rsidRPr="00300750">
        <w:rPr>
          <w:szCs w:val="20"/>
          <w:lang w:val="es-AR"/>
        </w:rPr>
        <w:t xml:space="preserve">de Jesús Castaño fue interpuesta el 24 de marzo de 2015, mientras que </w:t>
      </w:r>
      <w:r w:rsidR="00514B7E" w:rsidRPr="00300750">
        <w:rPr>
          <w:szCs w:val="20"/>
          <w:lang w:val="es-AR"/>
        </w:rPr>
        <w:t xml:space="preserve">el 29 de febrero de 2008 </w:t>
      </w:r>
      <w:r w:rsidR="00425A9A" w:rsidRPr="00300750">
        <w:rPr>
          <w:szCs w:val="20"/>
          <w:lang w:val="es-AR"/>
        </w:rPr>
        <w:t xml:space="preserve">la fiscalía profirió </w:t>
      </w:r>
      <w:r w:rsidR="00514B7E" w:rsidRPr="00300750">
        <w:rPr>
          <w:szCs w:val="20"/>
          <w:lang w:val="es-AR"/>
        </w:rPr>
        <w:t>l</w:t>
      </w:r>
      <w:r w:rsidR="00425A9A" w:rsidRPr="00300750">
        <w:rPr>
          <w:szCs w:val="20"/>
          <w:lang w:val="es-AR"/>
        </w:rPr>
        <w:t xml:space="preserve">a resolución inhibitoria </w:t>
      </w:r>
      <w:r w:rsidR="00514B7E" w:rsidRPr="00300750">
        <w:rPr>
          <w:szCs w:val="20"/>
          <w:lang w:val="es-AR"/>
        </w:rPr>
        <w:t>no. 059 respecto del hecho de amenazas denunciadas por este.</w:t>
      </w:r>
      <w:r w:rsidR="000C2650" w:rsidRPr="00300750">
        <w:rPr>
          <w:szCs w:val="20"/>
          <w:lang w:val="es-AR"/>
        </w:rPr>
        <w:t xml:space="preserve"> De suerte que transcurrieron siete años y 24 días desde la última decisión en el proceso. </w:t>
      </w:r>
      <w:r w:rsidR="0004046D" w:rsidRPr="00300750">
        <w:rPr>
          <w:szCs w:val="20"/>
          <w:lang w:val="es-AR"/>
        </w:rPr>
        <w:t>En igual sentido</w:t>
      </w:r>
      <w:r w:rsidR="005E1FA3" w:rsidRPr="00300750">
        <w:rPr>
          <w:szCs w:val="20"/>
          <w:lang w:val="es-AR"/>
        </w:rPr>
        <w:t xml:space="preserve">, </w:t>
      </w:r>
      <w:r w:rsidR="00DA420D" w:rsidRPr="00300750">
        <w:rPr>
          <w:szCs w:val="20"/>
          <w:lang w:val="es-AR"/>
        </w:rPr>
        <w:t xml:space="preserve">reseña que </w:t>
      </w:r>
      <w:r w:rsidR="00C804E8" w:rsidRPr="00300750">
        <w:rPr>
          <w:szCs w:val="20"/>
          <w:lang w:val="es-AR"/>
        </w:rPr>
        <w:t xml:space="preserve">la Comisión recibió la petición de Alexander Castaño Ríos el 24 de junio de 2015 y </w:t>
      </w:r>
      <w:r w:rsidR="007D2ABC" w:rsidRPr="00300750">
        <w:rPr>
          <w:szCs w:val="20"/>
          <w:lang w:val="es-AR"/>
        </w:rPr>
        <w:t>las decisiones de archivo en la fiscalía y en la justicia penal militar fueron emitidas el 16 y el 29 de mayo de 2009, respectivamente</w:t>
      </w:r>
      <w:r w:rsidR="00452ACC" w:rsidRPr="00300750">
        <w:rPr>
          <w:szCs w:val="20"/>
          <w:lang w:val="es-AR"/>
        </w:rPr>
        <w:t>;</w:t>
      </w:r>
      <w:r w:rsidR="007D2ABC" w:rsidRPr="00300750">
        <w:rPr>
          <w:szCs w:val="20"/>
          <w:lang w:val="es-AR"/>
        </w:rPr>
        <w:t xml:space="preserve"> </w:t>
      </w:r>
      <w:r w:rsidR="00452ACC" w:rsidRPr="00300750">
        <w:rPr>
          <w:szCs w:val="20"/>
          <w:lang w:val="es-AR"/>
        </w:rPr>
        <w:t>e</w:t>
      </w:r>
      <w:r w:rsidR="007D2ABC" w:rsidRPr="00300750">
        <w:rPr>
          <w:szCs w:val="20"/>
          <w:lang w:val="es-AR"/>
        </w:rPr>
        <w:t xml:space="preserve">s decir, </w:t>
      </w:r>
      <w:r w:rsidR="00452ACC" w:rsidRPr="00300750">
        <w:rPr>
          <w:szCs w:val="20"/>
          <w:lang w:val="es-AR"/>
        </w:rPr>
        <w:t>seis años, un mes y ocho días antes de que acudiera al Sistema Interamericano.</w:t>
      </w:r>
      <w:r w:rsidR="00300750" w:rsidRPr="00300750">
        <w:rPr>
          <w:szCs w:val="20"/>
          <w:lang w:val="es-AR"/>
        </w:rPr>
        <w:t xml:space="preserve"> </w:t>
      </w:r>
      <w:r w:rsidR="00610D12" w:rsidRPr="00300750">
        <w:rPr>
          <w:rFonts w:asciiTheme="majorHAnsi" w:hAnsiTheme="majorHAnsi"/>
          <w:bCs/>
          <w:szCs w:val="20"/>
          <w:lang w:val="es-UY"/>
        </w:rPr>
        <w:t xml:space="preserve">En todo caso, el </w:t>
      </w:r>
      <w:r w:rsidR="00445C74" w:rsidRPr="00300750">
        <w:rPr>
          <w:rFonts w:asciiTheme="majorHAnsi" w:hAnsiTheme="majorHAnsi"/>
          <w:bCs/>
          <w:szCs w:val="20"/>
          <w:lang w:val="es-UY"/>
        </w:rPr>
        <w:t>Estado añade que si la Comisión considera aplicable alguna excepción al agotamiento de los recursos internos; ambas peticiones son extemporáneas, puesto que no fueron presentadas dentro de un plazo razonable, conforme al artículo 32.2 del Reglamento de la CIDH</w:t>
      </w:r>
      <w:r w:rsidR="008174B7">
        <w:rPr>
          <w:rFonts w:asciiTheme="majorHAnsi" w:hAnsiTheme="majorHAnsi"/>
          <w:bCs/>
          <w:szCs w:val="20"/>
          <w:lang w:val="es-UY"/>
        </w:rPr>
        <w:t>,</w:t>
      </w:r>
      <w:r w:rsidR="00A000F7">
        <w:rPr>
          <w:rFonts w:asciiTheme="majorHAnsi" w:hAnsiTheme="majorHAnsi"/>
          <w:bCs/>
          <w:szCs w:val="20"/>
          <w:lang w:val="es-UY"/>
        </w:rPr>
        <w:t xml:space="preserve"> </w:t>
      </w:r>
      <w:r w:rsidR="008174B7">
        <w:rPr>
          <w:rFonts w:asciiTheme="majorHAnsi" w:hAnsiTheme="majorHAnsi"/>
          <w:bCs/>
          <w:szCs w:val="20"/>
          <w:lang w:val="es-UY"/>
        </w:rPr>
        <w:t xml:space="preserve">ya que </w:t>
      </w:r>
      <w:r w:rsidR="00924F00">
        <w:rPr>
          <w:rFonts w:asciiTheme="majorHAnsi" w:hAnsiTheme="majorHAnsi"/>
          <w:bCs/>
          <w:szCs w:val="20"/>
          <w:lang w:val="es-UY"/>
        </w:rPr>
        <w:t>los peticionarios</w:t>
      </w:r>
      <w:r w:rsidR="00A000F7">
        <w:rPr>
          <w:rFonts w:asciiTheme="majorHAnsi" w:hAnsiTheme="majorHAnsi"/>
          <w:bCs/>
          <w:szCs w:val="20"/>
          <w:lang w:val="es-UY"/>
        </w:rPr>
        <w:t xml:space="preserve"> se demoraron siete y seis años en acudir al Sistema Interamericano y no ofrecieron una explicación </w:t>
      </w:r>
      <w:r w:rsidR="00924F00">
        <w:rPr>
          <w:rFonts w:asciiTheme="majorHAnsi" w:hAnsiTheme="majorHAnsi"/>
          <w:bCs/>
          <w:szCs w:val="20"/>
          <w:lang w:val="es-UY"/>
        </w:rPr>
        <w:t xml:space="preserve">acerca </w:t>
      </w:r>
      <w:r w:rsidR="00A000F7">
        <w:rPr>
          <w:rFonts w:asciiTheme="majorHAnsi" w:hAnsiTheme="majorHAnsi"/>
          <w:bCs/>
          <w:szCs w:val="20"/>
          <w:lang w:val="es-UY"/>
        </w:rPr>
        <w:t xml:space="preserve">de por qué </w:t>
      </w:r>
      <w:r w:rsidR="001A5531">
        <w:rPr>
          <w:rFonts w:asciiTheme="majorHAnsi" w:hAnsiTheme="majorHAnsi"/>
          <w:bCs/>
          <w:szCs w:val="20"/>
          <w:lang w:val="es-UY"/>
        </w:rPr>
        <w:t>tardaron tanto.</w:t>
      </w:r>
    </w:p>
    <w:p w14:paraId="12CC7C2F" w14:textId="33F3810D" w:rsidR="00300750" w:rsidRDefault="000C02E9" w:rsidP="00266F45">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Por otro lado, </w:t>
      </w:r>
      <w:r w:rsidR="00F87D18">
        <w:rPr>
          <w:rFonts w:asciiTheme="majorHAnsi" w:hAnsiTheme="majorHAnsi"/>
          <w:bCs/>
          <w:szCs w:val="20"/>
          <w:lang w:val="es-UY"/>
        </w:rPr>
        <w:t>Colombia a</w:t>
      </w:r>
      <w:r w:rsidR="00AB43CB">
        <w:rPr>
          <w:rFonts w:asciiTheme="majorHAnsi" w:hAnsiTheme="majorHAnsi"/>
          <w:bCs/>
          <w:szCs w:val="20"/>
          <w:lang w:val="es-UY"/>
        </w:rPr>
        <w:t>rguye</w:t>
      </w:r>
      <w:r w:rsidR="00F87D18">
        <w:rPr>
          <w:rFonts w:asciiTheme="majorHAnsi" w:hAnsiTheme="majorHAnsi"/>
          <w:bCs/>
          <w:szCs w:val="20"/>
          <w:lang w:val="es-UY"/>
        </w:rPr>
        <w:t xml:space="preserve"> que </w:t>
      </w:r>
      <w:r w:rsidR="00116BE9">
        <w:rPr>
          <w:rFonts w:asciiTheme="majorHAnsi" w:hAnsiTheme="majorHAnsi"/>
          <w:bCs/>
          <w:szCs w:val="20"/>
          <w:lang w:val="es-UY"/>
        </w:rPr>
        <w:t xml:space="preserve">los peticionarios no agotaron el recurso interno de la </w:t>
      </w:r>
      <w:r w:rsidR="000E3794">
        <w:rPr>
          <w:rFonts w:asciiTheme="majorHAnsi" w:hAnsiTheme="majorHAnsi"/>
          <w:bCs/>
          <w:szCs w:val="20"/>
          <w:lang w:val="es-UY"/>
        </w:rPr>
        <w:t>acción</w:t>
      </w:r>
      <w:r w:rsidR="00116BE9">
        <w:rPr>
          <w:rFonts w:asciiTheme="majorHAnsi" w:hAnsiTheme="majorHAnsi"/>
          <w:bCs/>
          <w:szCs w:val="20"/>
          <w:lang w:val="es-UY"/>
        </w:rPr>
        <w:t xml:space="preserve"> de reparación directa</w:t>
      </w:r>
      <w:r w:rsidR="000E3794">
        <w:rPr>
          <w:rFonts w:asciiTheme="majorHAnsi" w:hAnsiTheme="majorHAnsi"/>
          <w:bCs/>
          <w:szCs w:val="20"/>
          <w:lang w:val="es-UY"/>
        </w:rPr>
        <w:t xml:space="preserve"> por medio de la cual podían reclamar una indemnización </w:t>
      </w:r>
      <w:r w:rsidR="00067DA4">
        <w:rPr>
          <w:rFonts w:asciiTheme="majorHAnsi" w:hAnsiTheme="majorHAnsi"/>
          <w:bCs/>
          <w:szCs w:val="20"/>
          <w:lang w:val="es-UY"/>
        </w:rPr>
        <w:t xml:space="preserve">por posibles violaciones de derechos humanos cometidas por agentes u órganos </w:t>
      </w:r>
      <w:r w:rsidR="00EF1BB0">
        <w:rPr>
          <w:rFonts w:asciiTheme="majorHAnsi" w:hAnsiTheme="majorHAnsi"/>
          <w:bCs/>
          <w:szCs w:val="20"/>
          <w:lang w:val="es-UY"/>
        </w:rPr>
        <w:t>estatales</w:t>
      </w:r>
      <w:r w:rsidR="00067DA4">
        <w:rPr>
          <w:rFonts w:asciiTheme="majorHAnsi" w:hAnsiTheme="majorHAnsi"/>
          <w:bCs/>
          <w:szCs w:val="20"/>
          <w:lang w:val="es-UY"/>
        </w:rPr>
        <w:t>.</w:t>
      </w:r>
      <w:r w:rsidR="00EF1BB0">
        <w:rPr>
          <w:rFonts w:asciiTheme="majorHAnsi" w:hAnsiTheme="majorHAnsi"/>
          <w:bCs/>
          <w:szCs w:val="20"/>
          <w:lang w:val="es-UY"/>
        </w:rPr>
        <w:t xml:space="preserve"> </w:t>
      </w:r>
      <w:r w:rsidR="00163C6D">
        <w:rPr>
          <w:rFonts w:asciiTheme="majorHAnsi" w:hAnsiTheme="majorHAnsi"/>
          <w:bCs/>
          <w:szCs w:val="20"/>
          <w:lang w:val="es-UY"/>
        </w:rPr>
        <w:t xml:space="preserve">Aduce que se trata de un recurso adecuado y efectivo </w:t>
      </w:r>
      <w:r w:rsidR="00BE713D">
        <w:rPr>
          <w:rFonts w:asciiTheme="majorHAnsi" w:hAnsiTheme="majorHAnsi"/>
          <w:bCs/>
          <w:szCs w:val="20"/>
          <w:lang w:val="es-UY"/>
        </w:rPr>
        <w:t>a nivel interno frente a presuntas violaciones de derechos</w:t>
      </w:r>
      <w:r w:rsidR="00921FEF">
        <w:rPr>
          <w:rFonts w:asciiTheme="majorHAnsi" w:hAnsiTheme="majorHAnsi"/>
          <w:bCs/>
          <w:szCs w:val="20"/>
          <w:lang w:val="es-UY"/>
        </w:rPr>
        <w:t xml:space="preserve">. A pesar de ello, asegura que los hermanos Castaño Ríos </w:t>
      </w:r>
      <w:r w:rsidR="004F6EE0">
        <w:rPr>
          <w:rFonts w:asciiTheme="majorHAnsi" w:hAnsiTheme="majorHAnsi"/>
          <w:bCs/>
          <w:szCs w:val="20"/>
          <w:lang w:val="es-UY"/>
        </w:rPr>
        <w:t>no ejercieron este recurso, en contravención del requisito de previo agotamiento, dispuesto en el artículo 46.</w:t>
      </w:r>
      <w:r w:rsidR="007E35F0">
        <w:rPr>
          <w:rFonts w:asciiTheme="majorHAnsi" w:hAnsiTheme="majorHAnsi"/>
          <w:bCs/>
          <w:szCs w:val="20"/>
          <w:lang w:val="es-UY"/>
        </w:rPr>
        <w:t>1.a) de la Convención Americana.</w:t>
      </w:r>
    </w:p>
    <w:p w14:paraId="7F4B8994" w14:textId="6584602C" w:rsidR="004863A4" w:rsidRDefault="00DB0220" w:rsidP="00266F45">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Aunado a lo anterior, el Estado </w:t>
      </w:r>
      <w:r w:rsidR="00252CDF">
        <w:rPr>
          <w:rFonts w:asciiTheme="majorHAnsi" w:hAnsiTheme="majorHAnsi"/>
          <w:bCs/>
          <w:szCs w:val="20"/>
          <w:lang w:val="es-UY"/>
        </w:rPr>
        <w:t xml:space="preserve">plantea la configuración de la denominada </w:t>
      </w:r>
      <w:r w:rsidR="006443FB">
        <w:rPr>
          <w:rFonts w:asciiTheme="majorHAnsi" w:hAnsiTheme="majorHAnsi"/>
          <w:bCs/>
          <w:szCs w:val="20"/>
          <w:lang w:val="es-UY"/>
        </w:rPr>
        <w:t>‘</w:t>
      </w:r>
      <w:r w:rsidR="00252CDF">
        <w:rPr>
          <w:rFonts w:asciiTheme="majorHAnsi" w:hAnsiTheme="majorHAnsi"/>
          <w:bCs/>
          <w:szCs w:val="20"/>
          <w:lang w:val="es-UY"/>
        </w:rPr>
        <w:t>fórmula de la cuarta instancia’ en el presente caso</w:t>
      </w:r>
      <w:r w:rsidR="0072417B">
        <w:rPr>
          <w:rFonts w:asciiTheme="majorHAnsi" w:hAnsiTheme="majorHAnsi"/>
          <w:bCs/>
          <w:szCs w:val="20"/>
          <w:lang w:val="es-UY"/>
        </w:rPr>
        <w:t xml:space="preserve"> </w:t>
      </w:r>
      <w:r w:rsidR="00561994">
        <w:rPr>
          <w:rFonts w:asciiTheme="majorHAnsi" w:hAnsiTheme="majorHAnsi"/>
          <w:bCs/>
          <w:szCs w:val="20"/>
          <w:lang w:val="es-UY"/>
        </w:rPr>
        <w:t>respecto d</w:t>
      </w:r>
      <w:r w:rsidR="0072417B">
        <w:rPr>
          <w:rFonts w:asciiTheme="majorHAnsi" w:hAnsiTheme="majorHAnsi"/>
          <w:bCs/>
          <w:szCs w:val="20"/>
          <w:lang w:val="es-UY"/>
        </w:rPr>
        <w:t xml:space="preserve">el proceso adelantado en la justicia penal militar y </w:t>
      </w:r>
      <w:r w:rsidR="00284FFA">
        <w:rPr>
          <w:rFonts w:asciiTheme="majorHAnsi" w:hAnsiTheme="majorHAnsi"/>
          <w:bCs/>
          <w:szCs w:val="20"/>
          <w:lang w:val="es-UY"/>
        </w:rPr>
        <w:t>d</w:t>
      </w:r>
      <w:r w:rsidR="0072417B">
        <w:rPr>
          <w:rFonts w:asciiTheme="majorHAnsi" w:hAnsiTheme="majorHAnsi"/>
          <w:bCs/>
          <w:szCs w:val="20"/>
          <w:lang w:val="es-UY"/>
        </w:rPr>
        <w:t>e la decisión de archivo de la investigación de fiscalía.</w:t>
      </w:r>
      <w:r w:rsidR="00D42DFE">
        <w:rPr>
          <w:rFonts w:asciiTheme="majorHAnsi" w:hAnsiTheme="majorHAnsi"/>
          <w:bCs/>
          <w:szCs w:val="20"/>
          <w:lang w:val="es-UY"/>
        </w:rPr>
        <w:t xml:space="preserve"> </w:t>
      </w:r>
      <w:r w:rsidR="002B2450">
        <w:rPr>
          <w:rFonts w:asciiTheme="majorHAnsi" w:hAnsiTheme="majorHAnsi"/>
          <w:bCs/>
          <w:szCs w:val="20"/>
          <w:lang w:val="es-UY"/>
        </w:rPr>
        <w:t>Informa que</w:t>
      </w:r>
      <w:r w:rsidR="00752D9F">
        <w:rPr>
          <w:rFonts w:asciiTheme="majorHAnsi" w:hAnsiTheme="majorHAnsi"/>
          <w:bCs/>
          <w:szCs w:val="20"/>
          <w:lang w:val="es-UY"/>
        </w:rPr>
        <w:t xml:space="preserve"> el proceso penal militar culminó con la condena del capitán denunciado por Alexander Castaño Ríos</w:t>
      </w:r>
      <w:r w:rsidR="002F3F34">
        <w:rPr>
          <w:rFonts w:asciiTheme="majorHAnsi" w:hAnsiTheme="majorHAnsi"/>
          <w:bCs/>
          <w:szCs w:val="20"/>
          <w:lang w:val="es-UY"/>
        </w:rPr>
        <w:t>, decisión que fue debidamente motivada y cuya eventual revisión por la CIDH derivaría en la configuración</w:t>
      </w:r>
      <w:r w:rsidR="007E10E4">
        <w:rPr>
          <w:rFonts w:asciiTheme="majorHAnsi" w:hAnsiTheme="majorHAnsi"/>
          <w:bCs/>
          <w:szCs w:val="20"/>
          <w:lang w:val="es-UY"/>
        </w:rPr>
        <w:t xml:space="preserve"> de la fórmula de la cuarta instancia. Por otro </w:t>
      </w:r>
      <w:r w:rsidR="00827FC0">
        <w:rPr>
          <w:rFonts w:asciiTheme="majorHAnsi" w:hAnsiTheme="majorHAnsi"/>
          <w:bCs/>
          <w:szCs w:val="20"/>
          <w:lang w:val="es-UY"/>
        </w:rPr>
        <w:t>parte</w:t>
      </w:r>
      <w:r w:rsidR="007E10E4">
        <w:rPr>
          <w:rFonts w:asciiTheme="majorHAnsi" w:hAnsiTheme="majorHAnsi"/>
          <w:bCs/>
          <w:szCs w:val="20"/>
          <w:lang w:val="es-UY"/>
        </w:rPr>
        <w:t xml:space="preserve">, </w:t>
      </w:r>
      <w:r w:rsidR="009744DD">
        <w:rPr>
          <w:rFonts w:asciiTheme="majorHAnsi" w:hAnsiTheme="majorHAnsi"/>
          <w:bCs/>
          <w:szCs w:val="20"/>
          <w:lang w:val="es-UY"/>
        </w:rPr>
        <w:t xml:space="preserve">en cuanto </w:t>
      </w:r>
      <w:r w:rsidR="007C0EAB">
        <w:rPr>
          <w:rFonts w:asciiTheme="majorHAnsi" w:hAnsiTheme="majorHAnsi"/>
          <w:bCs/>
          <w:szCs w:val="20"/>
          <w:lang w:val="es-UY"/>
        </w:rPr>
        <w:t>a la investigación en fiscalía</w:t>
      </w:r>
      <w:r w:rsidR="0016210C">
        <w:rPr>
          <w:rFonts w:asciiTheme="majorHAnsi" w:hAnsiTheme="majorHAnsi"/>
          <w:bCs/>
          <w:szCs w:val="20"/>
          <w:lang w:val="es-UY"/>
        </w:rPr>
        <w:t xml:space="preserve"> por las amenazas y el atentado a los peticionarios</w:t>
      </w:r>
      <w:r w:rsidR="007C0EAB">
        <w:rPr>
          <w:rFonts w:asciiTheme="majorHAnsi" w:hAnsiTheme="majorHAnsi"/>
          <w:bCs/>
          <w:szCs w:val="20"/>
          <w:lang w:val="es-UY"/>
        </w:rPr>
        <w:t xml:space="preserve">, </w:t>
      </w:r>
      <w:r w:rsidR="009841F3">
        <w:rPr>
          <w:rFonts w:asciiTheme="majorHAnsi" w:hAnsiTheme="majorHAnsi"/>
          <w:bCs/>
          <w:szCs w:val="20"/>
          <w:lang w:val="es-UY"/>
        </w:rPr>
        <w:t xml:space="preserve">Colombia </w:t>
      </w:r>
      <w:r w:rsidR="00D6267A">
        <w:rPr>
          <w:rFonts w:asciiTheme="majorHAnsi" w:hAnsiTheme="majorHAnsi"/>
          <w:bCs/>
          <w:szCs w:val="20"/>
          <w:lang w:val="es-UY"/>
        </w:rPr>
        <w:t>sostiene</w:t>
      </w:r>
      <w:r w:rsidR="009841F3">
        <w:rPr>
          <w:rFonts w:asciiTheme="majorHAnsi" w:hAnsiTheme="majorHAnsi"/>
          <w:bCs/>
          <w:szCs w:val="20"/>
          <w:lang w:val="es-UY"/>
        </w:rPr>
        <w:t xml:space="preserve"> que dicha entidad gestionó diversas diligencias, pero </w:t>
      </w:r>
      <w:r w:rsidR="00861628">
        <w:rPr>
          <w:rFonts w:asciiTheme="majorHAnsi" w:hAnsiTheme="majorHAnsi"/>
          <w:bCs/>
          <w:szCs w:val="20"/>
          <w:lang w:val="es-UY"/>
        </w:rPr>
        <w:t xml:space="preserve">concluyó que </w:t>
      </w:r>
      <w:r w:rsidR="001A1311">
        <w:rPr>
          <w:rFonts w:asciiTheme="majorHAnsi" w:hAnsiTheme="majorHAnsi"/>
          <w:bCs/>
          <w:szCs w:val="20"/>
          <w:lang w:val="es-UY"/>
        </w:rPr>
        <w:t>no existía conducta delictiva por parte del capitán denunciado por Alexander Castaño Ríos porque “</w:t>
      </w:r>
      <w:r w:rsidR="00D0458F" w:rsidRPr="003F1817">
        <w:rPr>
          <w:rFonts w:asciiTheme="majorHAnsi" w:hAnsiTheme="majorHAnsi"/>
          <w:bCs/>
          <w:i/>
          <w:iCs/>
          <w:szCs w:val="20"/>
          <w:lang w:val="es-UY"/>
        </w:rPr>
        <w:t>no se demostró que la llamada la haya hecho</w:t>
      </w:r>
      <w:r w:rsidR="00D0458F">
        <w:rPr>
          <w:rFonts w:asciiTheme="majorHAnsi" w:hAnsiTheme="majorHAnsi"/>
          <w:bCs/>
          <w:szCs w:val="20"/>
          <w:lang w:val="es-UY"/>
        </w:rPr>
        <w:t>” el sospechoso y “[u]</w:t>
      </w:r>
      <w:r w:rsidR="00D0458F" w:rsidRPr="003F1817">
        <w:rPr>
          <w:rFonts w:asciiTheme="majorHAnsi" w:hAnsiTheme="majorHAnsi"/>
          <w:bCs/>
          <w:i/>
          <w:iCs/>
          <w:szCs w:val="20"/>
          <w:lang w:val="es-UY"/>
        </w:rPr>
        <w:t>na llamada telefónica no es el medio por el cual se ejerce la amenaza</w:t>
      </w:r>
      <w:r w:rsidR="00D0458F">
        <w:rPr>
          <w:rFonts w:asciiTheme="majorHAnsi" w:hAnsiTheme="majorHAnsi"/>
          <w:bCs/>
          <w:szCs w:val="20"/>
          <w:lang w:val="es-UY"/>
        </w:rPr>
        <w:t xml:space="preserve"> [refiriéndose al delito de amenazas a testigo]</w:t>
      </w:r>
      <w:r w:rsidR="003F1817" w:rsidRPr="003F1817">
        <w:rPr>
          <w:rFonts w:asciiTheme="majorHAnsi" w:hAnsiTheme="majorHAnsi"/>
          <w:bCs/>
          <w:i/>
          <w:iCs/>
          <w:szCs w:val="20"/>
          <w:lang w:val="es-UY"/>
        </w:rPr>
        <w:t xml:space="preserve">. Debe ser un medio idóneo </w:t>
      </w:r>
      <w:r w:rsidR="003F1817">
        <w:rPr>
          <w:rFonts w:asciiTheme="majorHAnsi" w:hAnsiTheme="majorHAnsi"/>
          <w:bCs/>
          <w:szCs w:val="20"/>
          <w:lang w:val="es-UY"/>
        </w:rPr>
        <w:t>[…]”</w:t>
      </w:r>
      <w:r w:rsidR="0035179C">
        <w:rPr>
          <w:rFonts w:asciiTheme="majorHAnsi" w:hAnsiTheme="majorHAnsi"/>
          <w:bCs/>
          <w:szCs w:val="20"/>
          <w:lang w:val="es-UY"/>
        </w:rPr>
        <w:t xml:space="preserve">. Con ello, asegura que la decisión de archivo se dictó con base en la normatividad interna y </w:t>
      </w:r>
      <w:r w:rsidR="003471E1">
        <w:rPr>
          <w:rFonts w:asciiTheme="majorHAnsi" w:hAnsiTheme="majorHAnsi"/>
          <w:bCs/>
          <w:szCs w:val="20"/>
          <w:lang w:val="es-UY"/>
        </w:rPr>
        <w:t xml:space="preserve">en </w:t>
      </w:r>
      <w:r w:rsidR="0035179C">
        <w:rPr>
          <w:rFonts w:asciiTheme="majorHAnsi" w:hAnsiTheme="majorHAnsi"/>
          <w:bCs/>
          <w:szCs w:val="20"/>
          <w:lang w:val="es-UY"/>
        </w:rPr>
        <w:t>las pruebas recolectadas.</w:t>
      </w:r>
    </w:p>
    <w:p w14:paraId="18154B0F" w14:textId="7CD40486" w:rsidR="009B5298" w:rsidRDefault="00A40D2B" w:rsidP="00266F45">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Por último, </w:t>
      </w:r>
      <w:r w:rsidR="00D6267A">
        <w:rPr>
          <w:rFonts w:asciiTheme="majorHAnsi" w:hAnsiTheme="majorHAnsi"/>
          <w:bCs/>
          <w:szCs w:val="20"/>
          <w:lang w:val="es-UY"/>
        </w:rPr>
        <w:t xml:space="preserve">Colombia </w:t>
      </w:r>
      <w:r w:rsidR="002D6DCE">
        <w:rPr>
          <w:rFonts w:asciiTheme="majorHAnsi" w:hAnsiTheme="majorHAnsi"/>
          <w:bCs/>
          <w:szCs w:val="20"/>
          <w:lang w:val="es-UY"/>
        </w:rPr>
        <w:t xml:space="preserve">aduce que </w:t>
      </w:r>
      <w:r w:rsidR="00C8392C">
        <w:rPr>
          <w:rFonts w:asciiTheme="majorHAnsi" w:hAnsiTheme="majorHAnsi"/>
          <w:bCs/>
          <w:szCs w:val="20"/>
          <w:lang w:val="es-UY"/>
        </w:rPr>
        <w:t xml:space="preserve">la parte peticionaria no aporta evidencia que sustente los hechos </w:t>
      </w:r>
      <w:r w:rsidR="00C621B4">
        <w:rPr>
          <w:rFonts w:asciiTheme="majorHAnsi" w:hAnsiTheme="majorHAnsi"/>
          <w:bCs/>
          <w:szCs w:val="20"/>
          <w:lang w:val="es-UY"/>
        </w:rPr>
        <w:t>puedan ser</w:t>
      </w:r>
      <w:r w:rsidR="00D6267A">
        <w:rPr>
          <w:rFonts w:asciiTheme="majorHAnsi" w:hAnsiTheme="majorHAnsi"/>
          <w:bCs/>
          <w:szCs w:val="20"/>
          <w:lang w:val="es-UY"/>
        </w:rPr>
        <w:t>le</w:t>
      </w:r>
      <w:r w:rsidR="00C621B4">
        <w:rPr>
          <w:rFonts w:asciiTheme="majorHAnsi" w:hAnsiTheme="majorHAnsi"/>
          <w:bCs/>
          <w:szCs w:val="20"/>
          <w:lang w:val="es-UY"/>
        </w:rPr>
        <w:t xml:space="preserve"> atribuidos</w:t>
      </w:r>
      <w:r w:rsidR="00096AE6">
        <w:rPr>
          <w:rFonts w:asciiTheme="majorHAnsi" w:hAnsiTheme="majorHAnsi"/>
          <w:bCs/>
          <w:szCs w:val="20"/>
          <w:lang w:val="es-UY"/>
        </w:rPr>
        <w:t xml:space="preserve">, pues </w:t>
      </w:r>
      <w:r w:rsidR="007E50B8">
        <w:rPr>
          <w:rFonts w:asciiTheme="majorHAnsi" w:hAnsiTheme="majorHAnsi"/>
          <w:bCs/>
          <w:szCs w:val="20"/>
          <w:lang w:val="es-UY"/>
        </w:rPr>
        <w:t>las</w:t>
      </w:r>
      <w:r w:rsidR="00F87A37">
        <w:rPr>
          <w:rFonts w:asciiTheme="majorHAnsi" w:hAnsiTheme="majorHAnsi"/>
          <w:bCs/>
          <w:szCs w:val="20"/>
          <w:lang w:val="es-UY"/>
        </w:rPr>
        <w:t xml:space="preserve"> </w:t>
      </w:r>
      <w:r w:rsidR="00096AE6">
        <w:rPr>
          <w:rFonts w:asciiTheme="majorHAnsi" w:hAnsiTheme="majorHAnsi"/>
          <w:bCs/>
          <w:szCs w:val="20"/>
          <w:lang w:val="es-UY"/>
        </w:rPr>
        <w:t>amenazas</w:t>
      </w:r>
      <w:r w:rsidR="007E50B8">
        <w:rPr>
          <w:rFonts w:asciiTheme="majorHAnsi" w:hAnsiTheme="majorHAnsi"/>
          <w:bCs/>
          <w:szCs w:val="20"/>
          <w:lang w:val="es-UY"/>
        </w:rPr>
        <w:t xml:space="preserve"> a las presuntas víctimas</w:t>
      </w:r>
      <w:r w:rsidR="00F87A37">
        <w:rPr>
          <w:rFonts w:asciiTheme="majorHAnsi" w:hAnsiTheme="majorHAnsi"/>
          <w:bCs/>
          <w:szCs w:val="20"/>
          <w:lang w:val="es-UY"/>
        </w:rPr>
        <w:t xml:space="preserve"> </w:t>
      </w:r>
      <w:r w:rsidR="00096AE6">
        <w:rPr>
          <w:rFonts w:asciiTheme="majorHAnsi" w:hAnsiTheme="majorHAnsi"/>
          <w:bCs/>
          <w:szCs w:val="20"/>
          <w:lang w:val="es-UY"/>
        </w:rPr>
        <w:t xml:space="preserve">no </w:t>
      </w:r>
      <w:r w:rsidR="00F87A37">
        <w:rPr>
          <w:rFonts w:asciiTheme="majorHAnsi" w:hAnsiTheme="majorHAnsi"/>
          <w:bCs/>
          <w:szCs w:val="20"/>
          <w:lang w:val="es-UY"/>
        </w:rPr>
        <w:t>fueron atribuid</w:t>
      </w:r>
      <w:r w:rsidR="007E50B8">
        <w:rPr>
          <w:rFonts w:asciiTheme="majorHAnsi" w:hAnsiTheme="majorHAnsi"/>
          <w:bCs/>
          <w:szCs w:val="20"/>
          <w:lang w:val="es-UY"/>
        </w:rPr>
        <w:t>a</w:t>
      </w:r>
      <w:r w:rsidR="00F87A37">
        <w:rPr>
          <w:rFonts w:asciiTheme="majorHAnsi" w:hAnsiTheme="majorHAnsi"/>
          <w:bCs/>
          <w:szCs w:val="20"/>
          <w:lang w:val="es-UY"/>
        </w:rPr>
        <w:t xml:space="preserve">s a agentes </w:t>
      </w:r>
      <w:r w:rsidR="00541843">
        <w:rPr>
          <w:rFonts w:asciiTheme="majorHAnsi" w:hAnsiTheme="majorHAnsi"/>
          <w:bCs/>
          <w:szCs w:val="20"/>
          <w:lang w:val="es-UY"/>
        </w:rPr>
        <w:t>estatales</w:t>
      </w:r>
      <w:r w:rsidR="00F87A37">
        <w:rPr>
          <w:rFonts w:asciiTheme="majorHAnsi" w:hAnsiTheme="majorHAnsi"/>
          <w:bCs/>
          <w:szCs w:val="20"/>
          <w:lang w:val="es-UY"/>
        </w:rPr>
        <w:t xml:space="preserve">, y </w:t>
      </w:r>
      <w:r w:rsidR="00541843">
        <w:rPr>
          <w:rFonts w:asciiTheme="majorHAnsi" w:hAnsiTheme="majorHAnsi"/>
          <w:bCs/>
          <w:szCs w:val="20"/>
          <w:lang w:val="es-UY"/>
        </w:rPr>
        <w:t>la fiscalía actuó con la debida diligencia en su investigación.</w:t>
      </w:r>
      <w:r w:rsidR="0058141A">
        <w:rPr>
          <w:rFonts w:asciiTheme="majorHAnsi" w:hAnsiTheme="majorHAnsi"/>
          <w:bCs/>
          <w:szCs w:val="20"/>
          <w:lang w:val="es-UY"/>
        </w:rPr>
        <w:t xml:space="preserve"> Explica que la fiscalía inició la investigación de radicado no. 151854 por el delito de amenazas </w:t>
      </w:r>
      <w:r w:rsidR="00BD4787">
        <w:rPr>
          <w:rFonts w:asciiTheme="majorHAnsi" w:hAnsiTheme="majorHAnsi"/>
          <w:bCs/>
          <w:szCs w:val="20"/>
          <w:lang w:val="es-UY"/>
        </w:rPr>
        <w:t>contra el señor Henry de Jesús Castaño Ríos</w:t>
      </w:r>
      <w:r w:rsidR="003C6893">
        <w:rPr>
          <w:rFonts w:asciiTheme="majorHAnsi" w:hAnsiTheme="majorHAnsi"/>
          <w:bCs/>
          <w:szCs w:val="20"/>
          <w:lang w:val="es-UY"/>
        </w:rPr>
        <w:t xml:space="preserve">, y no </w:t>
      </w:r>
      <w:r w:rsidR="009B5298">
        <w:rPr>
          <w:rFonts w:asciiTheme="majorHAnsi" w:hAnsiTheme="majorHAnsi"/>
          <w:bCs/>
          <w:szCs w:val="20"/>
          <w:lang w:val="es-UY"/>
        </w:rPr>
        <w:t>obstante</w:t>
      </w:r>
      <w:r w:rsidR="003C6893">
        <w:rPr>
          <w:rFonts w:asciiTheme="majorHAnsi" w:hAnsiTheme="majorHAnsi"/>
          <w:bCs/>
          <w:szCs w:val="20"/>
          <w:lang w:val="es-UY"/>
        </w:rPr>
        <w:t xml:space="preserve"> las actividades desplegadas no fue posible identificar a los autores de estos hechos</w:t>
      </w:r>
      <w:r w:rsidR="004B2086">
        <w:rPr>
          <w:rFonts w:asciiTheme="majorHAnsi" w:hAnsiTheme="majorHAnsi"/>
          <w:bCs/>
          <w:szCs w:val="20"/>
          <w:lang w:val="es-UY"/>
        </w:rPr>
        <w:t>;</w:t>
      </w:r>
      <w:r w:rsidR="003C6893">
        <w:rPr>
          <w:rFonts w:asciiTheme="majorHAnsi" w:hAnsiTheme="majorHAnsi"/>
          <w:bCs/>
          <w:szCs w:val="20"/>
          <w:lang w:val="es-UY"/>
        </w:rPr>
        <w:t xml:space="preserve"> por lo cual, la entidad se inhibió de continuar con el procedimiento mediante resolución no. 059 de 29 de febrero de 2008.</w:t>
      </w:r>
    </w:p>
    <w:p w14:paraId="623F8709" w14:textId="646A0224" w:rsidR="00CC7AF2" w:rsidRPr="00300750" w:rsidRDefault="009B5298" w:rsidP="00266F45">
      <w:pPr>
        <w:pStyle w:val="ListParagraph"/>
        <w:numPr>
          <w:ilvl w:val="0"/>
          <w:numId w:val="61"/>
        </w:numPr>
        <w:ind w:left="0" w:firstLine="720"/>
        <w:rPr>
          <w:rFonts w:asciiTheme="majorHAnsi" w:hAnsiTheme="majorHAnsi"/>
          <w:bCs/>
          <w:szCs w:val="20"/>
          <w:lang w:val="es-UY"/>
        </w:rPr>
      </w:pPr>
      <w:r>
        <w:rPr>
          <w:rFonts w:asciiTheme="majorHAnsi" w:hAnsiTheme="majorHAnsi"/>
          <w:bCs/>
          <w:szCs w:val="20"/>
          <w:lang w:val="es-UY"/>
        </w:rPr>
        <w:t xml:space="preserve">Con fundamento en estas consideraciones, el Estado solicita a la CIDH </w:t>
      </w:r>
      <w:r w:rsidR="00BA5C20">
        <w:rPr>
          <w:rFonts w:asciiTheme="majorHAnsi" w:hAnsiTheme="majorHAnsi"/>
          <w:bCs/>
          <w:szCs w:val="20"/>
          <w:lang w:val="es-UY"/>
        </w:rPr>
        <w:t xml:space="preserve">que limite los hechos a los relacionados con la presunta víctima Henry de Jesús Castillo Ríos, y que </w:t>
      </w:r>
      <w:r>
        <w:rPr>
          <w:rFonts w:asciiTheme="majorHAnsi" w:hAnsiTheme="majorHAnsi"/>
          <w:bCs/>
          <w:szCs w:val="20"/>
          <w:lang w:val="es-UY"/>
        </w:rPr>
        <w:t>declar</w:t>
      </w:r>
      <w:r w:rsidR="00BA5C20">
        <w:rPr>
          <w:rFonts w:asciiTheme="majorHAnsi" w:hAnsiTheme="majorHAnsi"/>
          <w:bCs/>
          <w:szCs w:val="20"/>
          <w:lang w:val="es-UY"/>
        </w:rPr>
        <w:t>e</w:t>
      </w:r>
      <w:r>
        <w:rPr>
          <w:rFonts w:asciiTheme="majorHAnsi" w:hAnsiTheme="majorHAnsi"/>
          <w:bCs/>
          <w:szCs w:val="20"/>
          <w:lang w:val="es-UY"/>
        </w:rPr>
        <w:t xml:space="preserve"> </w:t>
      </w:r>
      <w:r w:rsidR="00BA5C20">
        <w:rPr>
          <w:rFonts w:asciiTheme="majorHAnsi" w:hAnsiTheme="majorHAnsi"/>
          <w:bCs/>
          <w:szCs w:val="20"/>
          <w:lang w:val="es-UY"/>
        </w:rPr>
        <w:t xml:space="preserve">inadmisible </w:t>
      </w:r>
      <w:r>
        <w:rPr>
          <w:rFonts w:asciiTheme="majorHAnsi" w:hAnsiTheme="majorHAnsi"/>
          <w:bCs/>
          <w:szCs w:val="20"/>
          <w:lang w:val="es-UY"/>
        </w:rPr>
        <w:t>la presente petición</w:t>
      </w:r>
      <w:r w:rsidR="00FD2326">
        <w:rPr>
          <w:rFonts w:asciiTheme="majorHAnsi" w:hAnsiTheme="majorHAnsi"/>
          <w:bCs/>
          <w:szCs w:val="20"/>
          <w:lang w:val="es-UY"/>
        </w:rPr>
        <w:t xml:space="preserve"> por las causales invocadas</w:t>
      </w:r>
      <w:r>
        <w:rPr>
          <w:rFonts w:asciiTheme="majorHAnsi" w:hAnsiTheme="majorHAnsi"/>
          <w:bCs/>
          <w:szCs w:val="20"/>
          <w:lang w:val="es-UY"/>
        </w:rPr>
        <w:t>.</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1790445" w14:textId="6E7A770F" w:rsidR="00154E96" w:rsidRDefault="00154E96" w:rsidP="00154E96">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b/>
          <w:bCs/>
          <w:szCs w:val="20"/>
          <w:lang w:val="es-ES"/>
        </w:rPr>
      </w:pPr>
      <w:r>
        <w:rPr>
          <w:b/>
          <w:bCs/>
          <w:szCs w:val="20"/>
          <w:lang w:val="es-ES"/>
        </w:rPr>
        <w:t>Cuestión preliminar</w:t>
      </w:r>
    </w:p>
    <w:p w14:paraId="552B3D90" w14:textId="3BFD0D96" w:rsidR="00154E96" w:rsidRDefault="004169B8"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ES"/>
        </w:rPr>
        <w:t xml:space="preserve">El Estado solicita a la CIDH limitar los hechos a la petición inicial presentada por Henry de Jesús Castaño Ríos, </w:t>
      </w:r>
      <w:r w:rsidR="008509D7">
        <w:rPr>
          <w:szCs w:val="20"/>
          <w:lang w:val="es-ES"/>
        </w:rPr>
        <w:t xml:space="preserve">y no tener en cuenta la interpuesta por su hermano, Alexander Castaño Ríos. </w:t>
      </w:r>
      <w:r w:rsidR="00726F8C">
        <w:rPr>
          <w:szCs w:val="20"/>
          <w:lang w:val="es-ES"/>
        </w:rPr>
        <w:t>La Comisión reitera que decidió acumular ambos trámites, de conformidad con el artículo 29.5</w:t>
      </w:r>
      <w:r w:rsidR="00411211">
        <w:rPr>
          <w:rStyle w:val="FootnoteReference"/>
          <w:szCs w:val="20"/>
          <w:lang w:val="es-ES"/>
        </w:rPr>
        <w:footnoteReference w:id="6"/>
      </w:r>
      <w:r w:rsidR="00726F8C">
        <w:rPr>
          <w:szCs w:val="20"/>
          <w:lang w:val="es-ES"/>
        </w:rPr>
        <w:t xml:space="preserve"> de su Reglamento Interno, </w:t>
      </w:r>
      <w:r w:rsidR="00AE15C0">
        <w:rPr>
          <w:szCs w:val="20"/>
          <w:lang w:val="es-ES"/>
        </w:rPr>
        <w:t xml:space="preserve">porque </w:t>
      </w:r>
      <w:r w:rsidR="00594DFE">
        <w:rPr>
          <w:szCs w:val="20"/>
          <w:lang w:val="es-ES"/>
        </w:rPr>
        <w:t>trata</w:t>
      </w:r>
      <w:r w:rsidR="001B007B">
        <w:rPr>
          <w:szCs w:val="20"/>
          <w:lang w:val="es-ES"/>
        </w:rPr>
        <w:t>ba</w:t>
      </w:r>
      <w:r w:rsidR="00594DFE">
        <w:rPr>
          <w:szCs w:val="20"/>
          <w:lang w:val="es-ES"/>
        </w:rPr>
        <w:t>n de hechos similares derivados de un mismo patrón de conducta,</w:t>
      </w:r>
      <w:r w:rsidR="001B007B">
        <w:rPr>
          <w:szCs w:val="20"/>
          <w:lang w:val="es-ES"/>
        </w:rPr>
        <w:t xml:space="preserve"> por lo que </w:t>
      </w:r>
      <w:r w:rsidR="00762E51">
        <w:rPr>
          <w:szCs w:val="20"/>
          <w:lang w:val="es-ES"/>
        </w:rPr>
        <w:t>los tramitó dentro del primer expediente</w:t>
      </w:r>
      <w:r w:rsidR="00594DFE">
        <w:rPr>
          <w:szCs w:val="20"/>
          <w:lang w:val="es-ES"/>
        </w:rPr>
        <w:t xml:space="preserve"> </w:t>
      </w:r>
      <w:r w:rsidR="001B007B">
        <w:rPr>
          <w:szCs w:val="20"/>
          <w:lang w:val="es-ES"/>
        </w:rPr>
        <w:t xml:space="preserve">y notificó </w:t>
      </w:r>
      <w:r w:rsidR="00762E51">
        <w:rPr>
          <w:szCs w:val="20"/>
          <w:lang w:val="es-ES"/>
        </w:rPr>
        <w:t xml:space="preserve">ambas comunicaciones al Estado </w:t>
      </w:r>
      <w:r w:rsidR="00A5350C">
        <w:rPr>
          <w:szCs w:val="20"/>
          <w:lang w:val="es-ES"/>
        </w:rPr>
        <w:t xml:space="preserve">el 9 de diciembre de 2019. De manera que éste ha tenido la oportunidad de pronunciarse sobre los argumentos </w:t>
      </w:r>
      <w:r w:rsidR="001975B2">
        <w:rPr>
          <w:szCs w:val="20"/>
          <w:lang w:val="es-ES"/>
        </w:rPr>
        <w:t xml:space="preserve">fácticos y jurídicos </w:t>
      </w:r>
      <w:r w:rsidR="00B84D63">
        <w:rPr>
          <w:szCs w:val="20"/>
          <w:lang w:val="es-ES"/>
        </w:rPr>
        <w:t xml:space="preserve">formulados en ambas, y así lo ha hecho, </w:t>
      </w:r>
      <w:r w:rsidR="00D5530A">
        <w:rPr>
          <w:szCs w:val="20"/>
          <w:lang w:val="es-ES"/>
        </w:rPr>
        <w:t xml:space="preserve">por ende, </w:t>
      </w:r>
      <w:r w:rsidR="00F53B4F">
        <w:rPr>
          <w:szCs w:val="20"/>
          <w:lang w:val="es-ES"/>
        </w:rPr>
        <w:t xml:space="preserve">la CIDH </w:t>
      </w:r>
      <w:r w:rsidR="00FA1E85">
        <w:rPr>
          <w:szCs w:val="20"/>
          <w:lang w:val="es-ES"/>
        </w:rPr>
        <w:t xml:space="preserve">continuará el análisis de ambos casos acumulados dentro del presente </w:t>
      </w:r>
      <w:r w:rsidR="00FA1E85">
        <w:rPr>
          <w:szCs w:val="20"/>
          <w:lang w:val="es-ES"/>
        </w:rPr>
        <w:lastRenderedPageBreak/>
        <w:t xml:space="preserve">trámite, teniendo como presuntas víctimas </w:t>
      </w:r>
      <w:r w:rsidR="001D3956">
        <w:rPr>
          <w:szCs w:val="20"/>
          <w:lang w:val="es-ES"/>
        </w:rPr>
        <w:t xml:space="preserve">del mismo </w:t>
      </w:r>
      <w:r w:rsidR="00FA1E85">
        <w:rPr>
          <w:szCs w:val="20"/>
          <w:lang w:val="es-ES"/>
        </w:rPr>
        <w:t>a los hermanos Henry de Jesús y Alexander Castaño Ríos y a sus familiares.</w:t>
      </w:r>
    </w:p>
    <w:p w14:paraId="1FABD1D2" w14:textId="50DC02AC" w:rsidR="008509D7" w:rsidRPr="008509D7" w:rsidRDefault="008509D7" w:rsidP="008509D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b/>
          <w:bCs/>
          <w:szCs w:val="20"/>
          <w:lang w:val="es-ES"/>
        </w:rPr>
      </w:pPr>
      <w:r w:rsidRPr="008509D7">
        <w:rPr>
          <w:b/>
          <w:bCs/>
          <w:szCs w:val="20"/>
          <w:lang w:val="es-ES"/>
        </w:rPr>
        <w:t>Análisis de agotamiento y plazo de presentación</w:t>
      </w:r>
    </w:p>
    <w:p w14:paraId="7A7BA3C3" w14:textId="03C50004" w:rsidR="006C0ECF" w:rsidRDefault="00A15958"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ES"/>
        </w:rPr>
        <w:t xml:space="preserve">La </w:t>
      </w:r>
      <w:r w:rsidR="00955016">
        <w:rPr>
          <w:szCs w:val="20"/>
          <w:lang w:val="es-ES"/>
        </w:rPr>
        <w:t xml:space="preserve">presente petición versa sobre las amenazas y atentados </w:t>
      </w:r>
      <w:r w:rsidR="001A2A58">
        <w:rPr>
          <w:szCs w:val="20"/>
          <w:lang w:val="es-ES"/>
        </w:rPr>
        <w:t>sufri</w:t>
      </w:r>
      <w:r w:rsidR="00415D02">
        <w:rPr>
          <w:szCs w:val="20"/>
          <w:lang w:val="es-ES"/>
        </w:rPr>
        <w:t xml:space="preserve">dos por Henry de Jesús y Alexander Castaño Ríos </w:t>
      </w:r>
      <w:r w:rsidR="00545DD3">
        <w:rPr>
          <w:szCs w:val="20"/>
          <w:lang w:val="es-ES"/>
        </w:rPr>
        <w:t xml:space="preserve">dentro y fuera </w:t>
      </w:r>
      <w:r w:rsidR="00415D02">
        <w:rPr>
          <w:szCs w:val="20"/>
          <w:lang w:val="es-ES"/>
        </w:rPr>
        <w:t xml:space="preserve">del ejército </w:t>
      </w:r>
      <w:r w:rsidR="003F36A8">
        <w:rPr>
          <w:szCs w:val="20"/>
          <w:lang w:val="es-ES"/>
        </w:rPr>
        <w:t>debido a</w:t>
      </w:r>
      <w:r w:rsidR="00415D02">
        <w:rPr>
          <w:szCs w:val="20"/>
          <w:lang w:val="es-ES"/>
        </w:rPr>
        <w:t xml:space="preserve"> las denuncias públicas de torturas y malos tratos </w:t>
      </w:r>
      <w:r w:rsidR="0024144A">
        <w:rPr>
          <w:szCs w:val="20"/>
          <w:lang w:val="es-ES"/>
        </w:rPr>
        <w:t xml:space="preserve">al interior de la institución </w:t>
      </w:r>
      <w:r w:rsidR="00415D02">
        <w:rPr>
          <w:szCs w:val="20"/>
          <w:lang w:val="es-ES"/>
        </w:rPr>
        <w:t xml:space="preserve">presentadas por </w:t>
      </w:r>
      <w:r w:rsidR="000B40F5">
        <w:rPr>
          <w:szCs w:val="20"/>
          <w:lang w:val="es-ES"/>
        </w:rPr>
        <w:t>este</w:t>
      </w:r>
      <w:r w:rsidR="00415D02">
        <w:rPr>
          <w:szCs w:val="20"/>
          <w:lang w:val="es-ES"/>
        </w:rPr>
        <w:t xml:space="preserve"> último, </w:t>
      </w:r>
      <w:r w:rsidR="000B40F5">
        <w:rPr>
          <w:szCs w:val="20"/>
          <w:lang w:val="es-ES"/>
        </w:rPr>
        <w:t xml:space="preserve">que los llevaron al exilio en Francia. Los peticionarios alegan que se vieron imposibilitados de agotar los recursos internos </w:t>
      </w:r>
      <w:r w:rsidR="00704ADE">
        <w:rPr>
          <w:szCs w:val="20"/>
          <w:lang w:val="es-ES"/>
        </w:rPr>
        <w:t>debido a su desplazamiento forzado</w:t>
      </w:r>
      <w:r w:rsidR="0024144A">
        <w:rPr>
          <w:szCs w:val="20"/>
          <w:lang w:val="es-ES"/>
        </w:rPr>
        <w:t xml:space="preserve"> en 2007</w:t>
      </w:r>
      <w:r w:rsidR="00704ADE">
        <w:rPr>
          <w:szCs w:val="20"/>
          <w:lang w:val="es-ES"/>
        </w:rPr>
        <w:t>, lo que les impidió mantener contacto con su abogada y conocer el estado de las investigaciones</w:t>
      </w:r>
      <w:r w:rsidR="00154E96">
        <w:rPr>
          <w:szCs w:val="20"/>
          <w:lang w:val="es-ES"/>
        </w:rPr>
        <w:t xml:space="preserve"> adelantadas por los órganos internos. El Estado replica </w:t>
      </w:r>
      <w:r w:rsidR="00873BC3">
        <w:rPr>
          <w:szCs w:val="20"/>
          <w:lang w:val="es-ES"/>
        </w:rPr>
        <w:t xml:space="preserve">que </w:t>
      </w:r>
      <w:r w:rsidR="00154E96">
        <w:rPr>
          <w:szCs w:val="20"/>
          <w:lang w:val="es-ES"/>
        </w:rPr>
        <w:t>la petición es extemporánea</w:t>
      </w:r>
      <w:r w:rsidR="006264D4">
        <w:rPr>
          <w:szCs w:val="20"/>
          <w:lang w:val="es-ES"/>
        </w:rPr>
        <w:t xml:space="preserve"> porque los procesos penales adelantados por sus denuncias habían sido archivados seis y siete años antes de la presentación de su denuncia ante la CIDH; y sostiene, de manera subsidiaria, que no agotaron la acción de reparación directa como recurso adecuado y efectivo para remediar las violaciones alegadas.</w:t>
      </w:r>
    </w:p>
    <w:p w14:paraId="0381B4AD" w14:textId="3ABCD555" w:rsidR="004C0DD6" w:rsidRPr="004C0DD6" w:rsidRDefault="004C0DD6" w:rsidP="004C0DD6">
      <w:pPr>
        <w:pStyle w:val="ListParagraph"/>
        <w:numPr>
          <w:ilvl w:val="0"/>
          <w:numId w:val="61"/>
        </w:numPr>
        <w:ind w:left="0" w:firstLine="720"/>
        <w:rPr>
          <w:lang w:val="es-CO"/>
        </w:rPr>
      </w:pPr>
      <w:r w:rsidRPr="004C0DD6">
        <w:rPr>
          <w:lang w:val="es-CO"/>
        </w:rPr>
        <w:t>E</w:t>
      </w:r>
      <w:r w:rsidRPr="005D4EE8">
        <w:rPr>
          <w:lang w:val="es-ES"/>
        </w:rPr>
        <w:t xml:space="preserve">l artículo 46.1.a) de la Convención Americana dispone que para que una petición sea admitida se requiere que se hayan interpuesto y agotado los recursos de jurisdicción interna conforme a los principios del Derecho Internacional generalmente reconocidos. </w:t>
      </w:r>
      <w:r>
        <w:rPr>
          <w:lang w:val="es-ES"/>
        </w:rPr>
        <w:t>P</w:t>
      </w:r>
      <w:r w:rsidRPr="005D4EE8">
        <w:rPr>
          <w:iCs/>
          <w:lang w:val="es-ES_tradnl"/>
        </w:rPr>
        <w:t>ara el análisis del agotamiento de los recursos domésticos en el presente asunto,</w:t>
      </w:r>
      <w:r>
        <w:rPr>
          <w:iCs/>
          <w:lang w:val="es-ES_tradnl"/>
        </w:rPr>
        <w:t xml:space="preserve"> l</w:t>
      </w:r>
      <w:r w:rsidRPr="004C0DD6">
        <w:rPr>
          <w:lang w:val="es-CO"/>
        </w:rPr>
        <w:t xml:space="preserve">a Comisión Interamericana </w:t>
      </w:r>
      <w:r w:rsidRPr="00823079">
        <w:rPr>
          <w:rFonts w:asciiTheme="majorHAnsi" w:hAnsiTheme="majorHAnsi"/>
          <w:szCs w:val="20"/>
          <w:lang w:val="es-ES"/>
        </w:rPr>
        <w:t>re</w:t>
      </w:r>
      <w:r>
        <w:rPr>
          <w:rFonts w:asciiTheme="majorHAnsi" w:hAnsiTheme="majorHAnsi"/>
          <w:szCs w:val="20"/>
          <w:lang w:val="es-ES"/>
        </w:rPr>
        <w:t>iter</w:t>
      </w:r>
      <w:r w:rsidRPr="00823079">
        <w:rPr>
          <w:rFonts w:asciiTheme="majorHAnsi" w:hAnsiTheme="majorHAnsi"/>
          <w:szCs w:val="20"/>
          <w:lang w:val="es-ES"/>
        </w:rPr>
        <w:t>a que</w:t>
      </w:r>
      <w:r w:rsidR="000B05C3" w:rsidRPr="000B05C3">
        <w:rPr>
          <w:rFonts w:asciiTheme="majorHAnsi" w:hAnsiTheme="majorHAnsi"/>
          <w:szCs w:val="20"/>
          <w:lang w:val="es-VE"/>
        </w:rPr>
        <w:t xml:space="preserve"> </w:t>
      </w:r>
      <w:r w:rsidR="000B05C3" w:rsidRPr="000B05C3">
        <w:rPr>
          <w:rFonts w:asciiTheme="majorHAnsi" w:hAnsiTheme="majorHAnsi"/>
          <w:szCs w:val="20"/>
          <w:lang w:val="es-419"/>
        </w:rPr>
        <w:t xml:space="preserve">el recurso idóneo a agotar con relación </w:t>
      </w:r>
      <w:r w:rsidR="000B05C3" w:rsidRPr="000B05C3">
        <w:rPr>
          <w:rFonts w:asciiTheme="majorHAnsi" w:hAnsiTheme="majorHAnsi"/>
          <w:szCs w:val="20"/>
          <w:lang w:val="es-VE"/>
        </w:rPr>
        <w:t xml:space="preserve">a </w:t>
      </w:r>
      <w:r w:rsidR="000B05C3" w:rsidRPr="000B05C3">
        <w:rPr>
          <w:rFonts w:asciiTheme="majorHAnsi" w:hAnsiTheme="majorHAnsi"/>
          <w:szCs w:val="20"/>
          <w:lang w:val="es-419"/>
        </w:rPr>
        <w:t>presuntos ataques o afectaciones a la vida e integridad de una persona</w:t>
      </w:r>
      <w:r w:rsidR="000B05C3" w:rsidRPr="000B05C3">
        <w:rPr>
          <w:rFonts w:asciiTheme="majorHAnsi" w:hAnsiTheme="majorHAnsi"/>
          <w:szCs w:val="20"/>
          <w:lang w:val="es-VE"/>
        </w:rPr>
        <w:t>, así como frente a hechos de desplazamiento forzado, es la acción pena</w:t>
      </w:r>
      <w:r w:rsidR="001454A8">
        <w:rPr>
          <w:rFonts w:asciiTheme="majorHAnsi" w:hAnsiTheme="majorHAnsi"/>
          <w:szCs w:val="20"/>
          <w:lang w:val="es-VE"/>
        </w:rPr>
        <w:t>l</w:t>
      </w:r>
      <w:r w:rsidR="000B05C3" w:rsidRPr="000B05C3">
        <w:rPr>
          <w:rFonts w:asciiTheme="majorHAnsi" w:hAnsiTheme="majorHAnsi"/>
          <w:szCs w:val="20"/>
          <w:vertAlign w:val="superscript"/>
          <w:lang w:val="es-VE"/>
        </w:rPr>
        <w:footnoteReference w:id="7"/>
      </w:r>
      <w:r w:rsidR="000B05C3" w:rsidRPr="000B05C3">
        <w:rPr>
          <w:rFonts w:asciiTheme="majorHAnsi" w:hAnsiTheme="majorHAnsi"/>
          <w:szCs w:val="20"/>
          <w:lang w:val="es-VE"/>
        </w:rPr>
        <w:t xml:space="preserve">. </w:t>
      </w:r>
      <w:r w:rsidR="000B05C3" w:rsidRPr="000B05C3">
        <w:rPr>
          <w:rFonts w:asciiTheme="majorHAnsi" w:hAnsiTheme="majorHAnsi"/>
          <w:szCs w:val="20"/>
          <w:lang w:val="es-CO"/>
        </w:rPr>
        <w:t>En particular, re</w:t>
      </w:r>
      <w:r w:rsidR="000B05C3">
        <w:rPr>
          <w:rFonts w:asciiTheme="majorHAnsi" w:hAnsiTheme="majorHAnsi"/>
          <w:szCs w:val="20"/>
          <w:lang w:val="es-CO"/>
        </w:rPr>
        <w:t>cuerd</w:t>
      </w:r>
      <w:r w:rsidR="000B05C3" w:rsidRPr="000B05C3">
        <w:rPr>
          <w:rFonts w:asciiTheme="majorHAnsi" w:hAnsiTheme="majorHAnsi"/>
          <w:szCs w:val="20"/>
          <w:lang w:val="es-CO"/>
        </w:rPr>
        <w:t>a que el Estado debe asumir las amenazas de muerte contra personas defensoras de derechos humanos de manera diligente, tanto desde el ámbito preventivo a través de la investigación efectiva sobre la responsabilidad de estos hechos, como en el ámbito reactivo mediante otorgamiento de medidas de protección que sean adecuadas y efectivas</w:t>
      </w:r>
      <w:r w:rsidR="000B05C3" w:rsidRPr="000B05C3">
        <w:rPr>
          <w:rFonts w:asciiTheme="majorHAnsi" w:hAnsiTheme="majorHAnsi"/>
          <w:szCs w:val="20"/>
          <w:vertAlign w:val="superscript"/>
          <w:lang w:val="es-CO"/>
        </w:rPr>
        <w:footnoteReference w:id="8"/>
      </w:r>
      <w:r w:rsidR="000B05C3" w:rsidRPr="000B05C3">
        <w:rPr>
          <w:rFonts w:asciiTheme="majorHAnsi" w:hAnsiTheme="majorHAnsi"/>
          <w:szCs w:val="20"/>
          <w:lang w:val="es-CO"/>
        </w:rPr>
        <w:t>.</w:t>
      </w:r>
    </w:p>
    <w:p w14:paraId="6B6F0B28" w14:textId="0B0356BA" w:rsidR="00F303FF" w:rsidRPr="00F303FF" w:rsidRDefault="00547F5C"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ES"/>
        </w:rPr>
        <w:t xml:space="preserve">A este respecto, la Comisión considera que </w:t>
      </w:r>
      <w:r w:rsidR="00D173A0">
        <w:rPr>
          <w:szCs w:val="20"/>
          <w:lang w:val="es-ES"/>
        </w:rPr>
        <w:t>las denuncias públicas d</w:t>
      </w:r>
      <w:r w:rsidR="00AE7A5C">
        <w:rPr>
          <w:szCs w:val="20"/>
          <w:lang w:val="es-ES"/>
        </w:rPr>
        <w:t xml:space="preserve">el señor Alexander Castaño Ríos </w:t>
      </w:r>
      <w:r w:rsidR="00D173A0">
        <w:rPr>
          <w:szCs w:val="20"/>
          <w:lang w:val="es-ES"/>
        </w:rPr>
        <w:t xml:space="preserve">representaron </w:t>
      </w:r>
      <w:r w:rsidR="0035236F">
        <w:rPr>
          <w:szCs w:val="20"/>
          <w:lang w:val="es-ES"/>
        </w:rPr>
        <w:t xml:space="preserve">actos en defensa de los derechos humanos de sus colegas de brigada, </w:t>
      </w:r>
      <w:r w:rsidR="00EC50BA">
        <w:rPr>
          <w:szCs w:val="20"/>
          <w:lang w:val="es-ES"/>
        </w:rPr>
        <w:t xml:space="preserve">pues la </w:t>
      </w:r>
      <w:r w:rsidRPr="00547F5C">
        <w:rPr>
          <w:szCs w:val="20"/>
          <w:lang w:val="es-CO"/>
        </w:rPr>
        <w:t xml:space="preserve">labor </w:t>
      </w:r>
      <w:r w:rsidR="0035236F">
        <w:rPr>
          <w:szCs w:val="20"/>
          <w:lang w:val="es-CO"/>
        </w:rPr>
        <w:t xml:space="preserve">de </w:t>
      </w:r>
      <w:r w:rsidR="00A90B8C">
        <w:rPr>
          <w:szCs w:val="20"/>
          <w:lang w:val="es-CO"/>
        </w:rPr>
        <w:t>defensa “</w:t>
      </w:r>
      <w:r w:rsidRPr="00B553F0">
        <w:rPr>
          <w:i/>
          <w:iCs/>
          <w:szCs w:val="20"/>
          <w:lang w:val="es-CO"/>
        </w:rPr>
        <w:t>consiste precisamente en promover la aplicación de los derechos humanos dentro del Estado y ejerce</w:t>
      </w:r>
      <w:r w:rsidR="00A90B8C" w:rsidRPr="00B553F0">
        <w:rPr>
          <w:i/>
          <w:iCs/>
          <w:szCs w:val="20"/>
          <w:lang w:val="es-CO"/>
        </w:rPr>
        <w:t>[r]</w:t>
      </w:r>
      <w:r w:rsidRPr="00B553F0">
        <w:rPr>
          <w:i/>
          <w:iCs/>
          <w:szCs w:val="20"/>
          <w:lang w:val="es-CO"/>
        </w:rPr>
        <w:t xml:space="preserve"> un papel de control y denuncia sobre la actuación estatal</w:t>
      </w:r>
      <w:r w:rsidR="00A90B8C">
        <w:rPr>
          <w:szCs w:val="20"/>
          <w:lang w:val="es-CO"/>
        </w:rPr>
        <w:t>”</w:t>
      </w:r>
      <w:r w:rsidRPr="00547F5C">
        <w:rPr>
          <w:szCs w:val="20"/>
          <w:vertAlign w:val="superscript"/>
        </w:rPr>
        <w:footnoteReference w:id="9"/>
      </w:r>
      <w:r w:rsidR="00A90B8C">
        <w:rPr>
          <w:szCs w:val="20"/>
          <w:lang w:val="es-CO"/>
        </w:rPr>
        <w:t>.</w:t>
      </w:r>
      <w:r w:rsidR="004144E6">
        <w:rPr>
          <w:szCs w:val="20"/>
          <w:lang w:val="es-CO"/>
        </w:rPr>
        <w:t xml:space="preserve"> </w:t>
      </w:r>
      <w:r w:rsidR="00337085">
        <w:rPr>
          <w:szCs w:val="20"/>
          <w:lang w:val="es-CO"/>
        </w:rPr>
        <w:t>Bajo ese entendido</w:t>
      </w:r>
      <w:r w:rsidR="004144E6">
        <w:rPr>
          <w:szCs w:val="20"/>
          <w:lang w:val="es-CO"/>
        </w:rPr>
        <w:t xml:space="preserve">, su condición requería de medidas de protección, </w:t>
      </w:r>
      <w:r w:rsidR="007A700B">
        <w:rPr>
          <w:szCs w:val="20"/>
          <w:lang w:val="es-CO"/>
        </w:rPr>
        <w:t>dado que</w:t>
      </w:r>
      <w:r w:rsidR="004144E6">
        <w:rPr>
          <w:szCs w:val="20"/>
          <w:lang w:val="es-CO"/>
        </w:rPr>
        <w:t xml:space="preserve"> él y su familia </w:t>
      </w:r>
      <w:r w:rsidR="00BE2F42">
        <w:rPr>
          <w:szCs w:val="20"/>
          <w:lang w:val="es-CO"/>
        </w:rPr>
        <w:t>(</w:t>
      </w:r>
      <w:r w:rsidR="004144E6">
        <w:rPr>
          <w:szCs w:val="20"/>
          <w:lang w:val="es-CO"/>
        </w:rPr>
        <w:t>incluido su hermano Henry de Jesús Castaño Ríos</w:t>
      </w:r>
      <w:r w:rsidR="00BE2F42">
        <w:rPr>
          <w:szCs w:val="20"/>
          <w:lang w:val="es-CO"/>
        </w:rPr>
        <w:t>)</w:t>
      </w:r>
      <w:r w:rsidR="004144E6">
        <w:rPr>
          <w:szCs w:val="20"/>
          <w:lang w:val="es-CO"/>
        </w:rPr>
        <w:t xml:space="preserve"> comenzaron a recibir amenazas de muerte con ocasión de esta labor; y, a su </w:t>
      </w:r>
      <w:r w:rsidR="00FE3BD3">
        <w:rPr>
          <w:szCs w:val="20"/>
          <w:lang w:val="es-CO"/>
        </w:rPr>
        <w:t>vez</w:t>
      </w:r>
      <w:r w:rsidR="004144E6">
        <w:rPr>
          <w:szCs w:val="20"/>
          <w:lang w:val="es-CO"/>
        </w:rPr>
        <w:t xml:space="preserve">, </w:t>
      </w:r>
      <w:r w:rsidR="00FE3BD3">
        <w:rPr>
          <w:szCs w:val="20"/>
          <w:lang w:val="es-CO"/>
        </w:rPr>
        <w:t xml:space="preserve">también </w:t>
      </w:r>
      <w:r w:rsidR="00BE2F42">
        <w:rPr>
          <w:szCs w:val="20"/>
          <w:lang w:val="es-CO"/>
        </w:rPr>
        <w:t xml:space="preserve">era necesaria </w:t>
      </w:r>
      <w:r w:rsidR="00FE3BD3">
        <w:rPr>
          <w:szCs w:val="20"/>
          <w:lang w:val="es-CO"/>
        </w:rPr>
        <w:t>una investigación diligente a fin de determinar la fuente de las amenazas y del riesgo contra su vida</w:t>
      </w:r>
      <w:r w:rsidR="003E5B27">
        <w:rPr>
          <w:szCs w:val="20"/>
          <w:lang w:val="es-CO"/>
        </w:rPr>
        <w:t xml:space="preserve">; </w:t>
      </w:r>
      <w:r w:rsidR="00CF075B">
        <w:rPr>
          <w:szCs w:val="20"/>
          <w:lang w:val="es-CO"/>
        </w:rPr>
        <w:t xml:space="preserve">con el objetivo </w:t>
      </w:r>
      <w:r w:rsidR="003E5B27">
        <w:rPr>
          <w:szCs w:val="20"/>
          <w:lang w:val="es-CO"/>
        </w:rPr>
        <w:t xml:space="preserve">de ofrecer un </w:t>
      </w:r>
      <w:r w:rsidR="009A7AF9">
        <w:rPr>
          <w:szCs w:val="20"/>
          <w:lang w:val="es-CO"/>
        </w:rPr>
        <w:t>remedio integral para prevenir la concreción de ataques contra su integridad</w:t>
      </w:r>
      <w:r w:rsidR="009A7AF9" w:rsidRPr="00B31C33">
        <w:rPr>
          <w:rStyle w:val="FootnoteReference"/>
          <w:lang w:val="es-CO"/>
        </w:rPr>
        <w:footnoteReference w:id="10"/>
      </w:r>
      <w:r w:rsidR="00FE3BD3">
        <w:rPr>
          <w:szCs w:val="20"/>
          <w:lang w:val="es-CO"/>
        </w:rPr>
        <w:t>.</w:t>
      </w:r>
    </w:p>
    <w:p w14:paraId="21A30B4D" w14:textId="5E984988" w:rsidR="006264D4" w:rsidRDefault="00E82933"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CO"/>
        </w:rPr>
        <w:t xml:space="preserve">De manera que el proceso penal resultaba ser el mecanismo adecuado para obtener ambas </w:t>
      </w:r>
      <w:r w:rsidR="007E16AE">
        <w:rPr>
          <w:szCs w:val="20"/>
          <w:lang w:val="es-CO"/>
        </w:rPr>
        <w:t>formas de protección</w:t>
      </w:r>
      <w:r>
        <w:rPr>
          <w:szCs w:val="20"/>
          <w:lang w:val="es-CO"/>
        </w:rPr>
        <w:t>.</w:t>
      </w:r>
      <w:r w:rsidR="00F303FF">
        <w:rPr>
          <w:szCs w:val="20"/>
          <w:lang w:val="es-CO"/>
        </w:rPr>
        <w:t xml:space="preserve"> Por ello, e</w:t>
      </w:r>
      <w:r w:rsidR="00F303FF" w:rsidRPr="00F303FF">
        <w:rPr>
          <w:szCs w:val="20"/>
          <w:lang w:val="es-ES"/>
        </w:rPr>
        <w:t>n relación con los argumentos del Estado frente a la falta de agotamiento de la acción de reparación directa, la Comisión ha sostenido consistentemente que dicha vía no constituye un recurso idóneo a efectos de analizar la admisibilidad de un reclamo de la naturaleza del presente</w:t>
      </w:r>
      <w:r w:rsidR="00F303FF" w:rsidRPr="00F303FF">
        <w:rPr>
          <w:szCs w:val="20"/>
          <w:vertAlign w:val="superscript"/>
          <w:lang w:val="es-ES"/>
        </w:rPr>
        <w:footnoteReference w:id="11"/>
      </w:r>
      <w:r w:rsidR="00F303FF" w:rsidRPr="00F303FF">
        <w:rPr>
          <w:szCs w:val="20"/>
          <w:lang w:val="es-ES"/>
        </w:rPr>
        <w:t>, ya que la misma no es adecuada para proporcionar una reparación integral y justicia a los familiares</w:t>
      </w:r>
      <w:r w:rsidR="00BA2DC9">
        <w:rPr>
          <w:szCs w:val="20"/>
          <w:lang w:val="es-ES"/>
        </w:rPr>
        <w:t>.</w:t>
      </w:r>
    </w:p>
    <w:p w14:paraId="11B6E7A9" w14:textId="77777777" w:rsidR="00337933" w:rsidRPr="00337933" w:rsidRDefault="00337933" w:rsidP="00337933">
      <w:pPr>
        <w:pBdr>
          <w:top w:val="none" w:sz="0" w:space="0" w:color="auto"/>
          <w:left w:val="none" w:sz="0" w:space="0" w:color="auto"/>
          <w:bottom w:val="none" w:sz="0" w:space="0" w:color="auto"/>
          <w:right w:val="none" w:sz="0" w:space="0" w:color="auto"/>
          <w:between w:val="none" w:sz="0" w:space="0" w:color="auto"/>
          <w:bar w:val="none" w:sz="0" w:color="auto"/>
        </w:pBdr>
        <w:suppressAutoHyphens/>
        <w:rPr>
          <w:szCs w:val="20"/>
          <w:lang w:val="es-ES"/>
        </w:rPr>
      </w:pPr>
    </w:p>
    <w:p w14:paraId="0DA5354A" w14:textId="55E1404F" w:rsidR="00ED01FC" w:rsidRPr="00FE3BD3" w:rsidRDefault="00ED01FC"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ES"/>
        </w:rPr>
        <w:lastRenderedPageBreak/>
        <w:t xml:space="preserve">Ahora bien, </w:t>
      </w:r>
      <w:r w:rsidR="00C127F5">
        <w:rPr>
          <w:szCs w:val="20"/>
          <w:lang w:val="es-ES"/>
        </w:rPr>
        <w:t xml:space="preserve">la CIDH nota que ambas denuncias penales culminaron con una decisión de archivo por parte de la fiscalía, </w:t>
      </w:r>
      <w:r w:rsidR="00192E6F">
        <w:rPr>
          <w:szCs w:val="20"/>
          <w:lang w:val="es-ES"/>
        </w:rPr>
        <w:t xml:space="preserve">emitidas </w:t>
      </w:r>
      <w:r w:rsidR="00C127F5">
        <w:rPr>
          <w:szCs w:val="20"/>
          <w:lang w:val="es-ES"/>
        </w:rPr>
        <w:t xml:space="preserve">el 29 de febrero de 2008 </w:t>
      </w:r>
      <w:r w:rsidR="00192E6F">
        <w:rPr>
          <w:szCs w:val="20"/>
          <w:lang w:val="es-ES"/>
        </w:rPr>
        <w:t xml:space="preserve">en </w:t>
      </w:r>
      <w:r w:rsidR="00C127F5">
        <w:rPr>
          <w:szCs w:val="20"/>
          <w:lang w:val="es-ES"/>
        </w:rPr>
        <w:t xml:space="preserve">el caso de Henry de Jesús Castaño Ríos y el 16 de mayo de 2009 </w:t>
      </w:r>
      <w:r w:rsidR="00192E6F">
        <w:rPr>
          <w:szCs w:val="20"/>
          <w:lang w:val="es-ES"/>
        </w:rPr>
        <w:t xml:space="preserve">en el de </w:t>
      </w:r>
      <w:r w:rsidR="00C127F5">
        <w:rPr>
          <w:szCs w:val="20"/>
          <w:lang w:val="es-ES"/>
        </w:rPr>
        <w:t>Alexander Castaño Ríos.</w:t>
      </w:r>
      <w:r w:rsidR="007165F1">
        <w:rPr>
          <w:szCs w:val="20"/>
          <w:lang w:val="es-ES"/>
        </w:rPr>
        <w:t xml:space="preserve"> Los peticionarios </w:t>
      </w:r>
      <w:r w:rsidR="00D67F6B">
        <w:rPr>
          <w:szCs w:val="20"/>
          <w:lang w:val="es-ES"/>
        </w:rPr>
        <w:t>sostiene</w:t>
      </w:r>
      <w:r w:rsidR="007165F1">
        <w:rPr>
          <w:szCs w:val="20"/>
          <w:lang w:val="es-ES"/>
        </w:rPr>
        <w:t xml:space="preserve">n que </w:t>
      </w:r>
      <w:r w:rsidR="00D67F6B">
        <w:rPr>
          <w:szCs w:val="20"/>
          <w:lang w:val="es-ES"/>
        </w:rPr>
        <w:t xml:space="preserve">no pudieron mantener el contacto con su abogada una vez dejaron el país, ni tampoco podían acercarse al consulado a solicitar información; con lo cual, </w:t>
      </w:r>
      <w:r w:rsidR="00171F04">
        <w:rPr>
          <w:szCs w:val="20"/>
          <w:lang w:val="es-ES"/>
        </w:rPr>
        <w:t>se desprende que no fueron notificados de estas decisiones de archivo. De manera que se vieron impedidos de impugnarla</w:t>
      </w:r>
      <w:r w:rsidR="0072692C">
        <w:rPr>
          <w:szCs w:val="20"/>
          <w:lang w:val="es-ES"/>
        </w:rPr>
        <w:t>. En estas circunstancias, la CIDH estima aplicable la excepción al agotamiento de los recursos internos, prevista en el artículo 46.2.b) de la Convención Americana</w:t>
      </w:r>
      <w:r w:rsidR="00051224">
        <w:rPr>
          <w:szCs w:val="20"/>
          <w:lang w:val="es-ES"/>
        </w:rPr>
        <w:t>.</w:t>
      </w:r>
    </w:p>
    <w:p w14:paraId="5A494B3B" w14:textId="0BF0C4B3" w:rsidR="00103515" w:rsidRPr="00103515" w:rsidRDefault="00103515" w:rsidP="0010351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b/>
          <w:bCs/>
          <w:szCs w:val="20"/>
          <w:lang w:val="es-UY"/>
        </w:rPr>
      </w:pPr>
      <w:r w:rsidRPr="00DD6137">
        <w:rPr>
          <w:szCs w:val="20"/>
          <w:lang w:val="es-VE"/>
        </w:rPr>
        <w:t xml:space="preserve">En </w:t>
      </w:r>
      <w:r w:rsidR="00F02EAA">
        <w:rPr>
          <w:szCs w:val="20"/>
          <w:lang w:val="es-VE"/>
        </w:rPr>
        <w:t>cuanto al alegato del Estado relativo a que seis y siete años sobrepasan el plazo razonable de presentación;</w:t>
      </w:r>
      <w:r w:rsidR="00586675">
        <w:rPr>
          <w:szCs w:val="20"/>
          <w:lang w:val="es-VE"/>
        </w:rPr>
        <w:t xml:space="preserve"> la Comisión</w:t>
      </w:r>
      <w:r w:rsidRPr="00DD6137">
        <w:rPr>
          <w:szCs w:val="20"/>
          <w:lang w:val="es-VE"/>
        </w:rPr>
        <w:t xml:space="preserve"> </w:t>
      </w:r>
      <w:r w:rsidR="00F02EAA">
        <w:rPr>
          <w:szCs w:val="20"/>
          <w:lang w:val="es-VE"/>
        </w:rPr>
        <w:t xml:space="preserve">advierte </w:t>
      </w:r>
      <w:r w:rsidRPr="00DD6137">
        <w:rPr>
          <w:szCs w:val="20"/>
          <w:lang w:val="es-VE"/>
        </w:rPr>
        <w:t>que</w:t>
      </w:r>
      <w:r w:rsidR="00586675">
        <w:rPr>
          <w:szCs w:val="20"/>
          <w:lang w:val="es-VE"/>
        </w:rPr>
        <w:t xml:space="preserve">, </w:t>
      </w:r>
      <w:r w:rsidR="00E26A89">
        <w:rPr>
          <w:szCs w:val="20"/>
          <w:lang w:val="es-VE"/>
        </w:rPr>
        <w:t xml:space="preserve">las presuntas víctimas </w:t>
      </w:r>
      <w:r w:rsidR="00586675">
        <w:rPr>
          <w:szCs w:val="20"/>
          <w:lang w:val="es-VE"/>
        </w:rPr>
        <w:t xml:space="preserve">no contaban con la posibilidad de dirigirse a ninguna autoridad colombiana </w:t>
      </w:r>
      <w:r w:rsidR="00E26A89">
        <w:rPr>
          <w:szCs w:val="20"/>
          <w:lang w:val="es-VE"/>
        </w:rPr>
        <w:t xml:space="preserve">durante cinco años </w:t>
      </w:r>
      <w:r w:rsidR="00586675">
        <w:rPr>
          <w:szCs w:val="20"/>
          <w:lang w:val="es-VE"/>
        </w:rPr>
        <w:t>para averiguar el estado del proceso, y</w:t>
      </w:r>
      <w:r w:rsidR="00B74C04">
        <w:rPr>
          <w:szCs w:val="20"/>
          <w:lang w:val="es-VE"/>
        </w:rPr>
        <w:t xml:space="preserve"> que</w:t>
      </w:r>
      <w:r w:rsidR="00586675">
        <w:rPr>
          <w:szCs w:val="20"/>
          <w:lang w:val="es-VE"/>
        </w:rPr>
        <w:t xml:space="preserve"> después de que Alexander Cast</w:t>
      </w:r>
      <w:r w:rsidR="007F2ABB">
        <w:rPr>
          <w:szCs w:val="20"/>
          <w:lang w:val="es-VE"/>
        </w:rPr>
        <w:t>a</w:t>
      </w:r>
      <w:r w:rsidR="00586675">
        <w:rPr>
          <w:szCs w:val="20"/>
          <w:lang w:val="es-VE"/>
        </w:rPr>
        <w:t>ño Ríos regresó y fue detenido</w:t>
      </w:r>
      <w:r w:rsidR="00E26A89">
        <w:rPr>
          <w:szCs w:val="20"/>
          <w:lang w:val="es-VE"/>
        </w:rPr>
        <w:t xml:space="preserve"> </w:t>
      </w:r>
      <w:r w:rsidR="00586675">
        <w:rPr>
          <w:szCs w:val="20"/>
          <w:lang w:val="es-VE"/>
        </w:rPr>
        <w:t xml:space="preserve">en Colombia en 2012, </w:t>
      </w:r>
      <w:r w:rsidR="0057360B">
        <w:rPr>
          <w:szCs w:val="20"/>
          <w:lang w:val="es-VE"/>
        </w:rPr>
        <w:t xml:space="preserve">tenían un temor fundado </w:t>
      </w:r>
      <w:r w:rsidR="007F2ABB">
        <w:rPr>
          <w:szCs w:val="20"/>
          <w:lang w:val="es-VE"/>
        </w:rPr>
        <w:t xml:space="preserve">de </w:t>
      </w:r>
      <w:r w:rsidR="0057360B">
        <w:rPr>
          <w:szCs w:val="20"/>
          <w:lang w:val="es-VE"/>
        </w:rPr>
        <w:t>dirigirse a las autoridades en el país.</w:t>
      </w:r>
      <w:r w:rsidRPr="00DD6137">
        <w:rPr>
          <w:szCs w:val="20"/>
          <w:lang w:val="es-VE"/>
        </w:rPr>
        <w:t xml:space="preserve"> </w:t>
      </w:r>
      <w:r w:rsidR="007F2ABB">
        <w:rPr>
          <w:szCs w:val="20"/>
          <w:lang w:val="es-VE"/>
        </w:rPr>
        <w:t>Aunado a ello, no tenían conocimiento del archivo de las diligencias</w:t>
      </w:r>
      <w:r w:rsidR="00B47581">
        <w:rPr>
          <w:szCs w:val="20"/>
          <w:lang w:val="es-VE"/>
        </w:rPr>
        <w:t>.</w:t>
      </w:r>
      <w:r w:rsidR="007F2ABB">
        <w:rPr>
          <w:szCs w:val="20"/>
          <w:lang w:val="es-VE"/>
        </w:rPr>
        <w:t xml:space="preserve"> </w:t>
      </w:r>
      <w:r w:rsidR="00B47581">
        <w:rPr>
          <w:szCs w:val="20"/>
          <w:lang w:val="es-VE"/>
        </w:rPr>
        <w:t xml:space="preserve">De modo que </w:t>
      </w:r>
      <w:r w:rsidR="00F65810">
        <w:rPr>
          <w:szCs w:val="20"/>
          <w:lang w:val="es-VE"/>
        </w:rPr>
        <w:t xml:space="preserve">la presentación de la </w:t>
      </w:r>
      <w:r w:rsidRPr="00DD6137">
        <w:rPr>
          <w:rStyle w:val="normaltextrun"/>
          <w:szCs w:val="20"/>
          <w:shd w:val="clear" w:color="auto" w:fill="FFFFFF"/>
          <w:lang w:val="es-VE"/>
        </w:rPr>
        <w:t xml:space="preserve">petición </w:t>
      </w:r>
      <w:r w:rsidR="00F65810">
        <w:rPr>
          <w:rStyle w:val="normaltextrun"/>
          <w:szCs w:val="20"/>
          <w:shd w:val="clear" w:color="auto" w:fill="FFFFFF"/>
          <w:lang w:val="es-VE"/>
        </w:rPr>
        <w:t xml:space="preserve">ante </w:t>
      </w:r>
      <w:r w:rsidRPr="00DD6137">
        <w:rPr>
          <w:rStyle w:val="normaltextrun"/>
          <w:szCs w:val="20"/>
          <w:shd w:val="clear" w:color="auto" w:fill="FFFFFF"/>
          <w:lang w:val="es-VE"/>
        </w:rPr>
        <w:t xml:space="preserve">la Comisión Interamericana </w:t>
      </w:r>
      <w:r w:rsidR="00B47581">
        <w:rPr>
          <w:rStyle w:val="normaltextrun"/>
          <w:szCs w:val="20"/>
          <w:shd w:val="clear" w:color="auto" w:fill="FFFFFF"/>
          <w:lang w:val="es-VE"/>
        </w:rPr>
        <w:t xml:space="preserve">realizada </w:t>
      </w:r>
      <w:r w:rsidRPr="00DD6137">
        <w:rPr>
          <w:rStyle w:val="normaltextrun"/>
          <w:szCs w:val="20"/>
          <w:shd w:val="clear" w:color="auto" w:fill="FFFFFF"/>
          <w:lang w:val="es-VE"/>
        </w:rPr>
        <w:t xml:space="preserve">el </w:t>
      </w:r>
      <w:r w:rsidRPr="00DD6137">
        <w:rPr>
          <w:bCs/>
          <w:szCs w:val="20"/>
          <w:shd w:val="clear" w:color="auto" w:fill="FFFFFF"/>
          <w:lang w:val="es-VE"/>
        </w:rPr>
        <w:t>2</w:t>
      </w:r>
      <w:r w:rsidR="00586675">
        <w:rPr>
          <w:bCs/>
          <w:szCs w:val="20"/>
          <w:shd w:val="clear" w:color="auto" w:fill="FFFFFF"/>
          <w:lang w:val="es-VE"/>
        </w:rPr>
        <w:t>4</w:t>
      </w:r>
      <w:r w:rsidRPr="00DD6137">
        <w:rPr>
          <w:bCs/>
          <w:szCs w:val="20"/>
          <w:shd w:val="clear" w:color="auto" w:fill="FFFFFF"/>
          <w:lang w:val="es-VE"/>
        </w:rPr>
        <w:t xml:space="preserve"> de ma</w:t>
      </w:r>
      <w:r w:rsidR="00586675">
        <w:rPr>
          <w:bCs/>
          <w:szCs w:val="20"/>
          <w:shd w:val="clear" w:color="auto" w:fill="FFFFFF"/>
          <w:lang w:val="es-VE"/>
        </w:rPr>
        <w:t>rzo</w:t>
      </w:r>
      <w:r w:rsidRPr="00DD6137">
        <w:rPr>
          <w:bCs/>
          <w:szCs w:val="20"/>
          <w:shd w:val="clear" w:color="auto" w:fill="FFFFFF"/>
          <w:lang w:val="es-VE"/>
        </w:rPr>
        <w:t xml:space="preserve"> de 201</w:t>
      </w:r>
      <w:r w:rsidR="00586675">
        <w:rPr>
          <w:bCs/>
          <w:szCs w:val="20"/>
          <w:shd w:val="clear" w:color="auto" w:fill="FFFFFF"/>
          <w:lang w:val="es-VE"/>
        </w:rPr>
        <w:t>5</w:t>
      </w:r>
      <w:r w:rsidR="00B47581">
        <w:rPr>
          <w:bCs/>
          <w:szCs w:val="20"/>
          <w:shd w:val="clear" w:color="auto" w:fill="FFFFFF"/>
          <w:lang w:val="es-VE"/>
        </w:rPr>
        <w:t xml:space="preserve"> obedeció a un estimado</w:t>
      </w:r>
      <w:r w:rsidR="0036564C">
        <w:rPr>
          <w:bCs/>
          <w:szCs w:val="20"/>
          <w:shd w:val="clear" w:color="auto" w:fill="FFFFFF"/>
          <w:lang w:val="es-VE"/>
        </w:rPr>
        <w:t xml:space="preserve"> de tiempo de los peticionarios sobre el avance del proceso a nivel interno</w:t>
      </w:r>
      <w:r w:rsidRPr="00DD6137">
        <w:rPr>
          <w:rStyle w:val="normaltextrun"/>
          <w:szCs w:val="20"/>
          <w:shd w:val="clear" w:color="auto" w:fill="FFFFFF"/>
          <w:lang w:val="es-VE"/>
        </w:rPr>
        <w:t xml:space="preserve">; y </w:t>
      </w:r>
      <w:r w:rsidR="0036564C">
        <w:rPr>
          <w:rStyle w:val="normaltextrun"/>
          <w:szCs w:val="20"/>
          <w:shd w:val="clear" w:color="auto" w:fill="FFFFFF"/>
          <w:lang w:val="es-VE"/>
        </w:rPr>
        <w:t xml:space="preserve">dado </w:t>
      </w:r>
      <w:r w:rsidRPr="00DD6137">
        <w:rPr>
          <w:rStyle w:val="normaltextrun"/>
          <w:szCs w:val="20"/>
          <w:shd w:val="clear" w:color="auto" w:fill="FFFFFF"/>
          <w:lang w:val="es-VE"/>
        </w:rPr>
        <w:t xml:space="preserve">que </w:t>
      </w:r>
      <w:r w:rsidR="009505C1">
        <w:rPr>
          <w:rStyle w:val="normaltextrun"/>
          <w:szCs w:val="20"/>
          <w:shd w:val="clear" w:color="auto" w:fill="FFFFFF"/>
          <w:lang w:val="es-VE"/>
        </w:rPr>
        <w:t xml:space="preserve">los hechos de amenazas permanecen en la impunidad y el riesgo de las presuntas </w:t>
      </w:r>
      <w:r w:rsidR="00B013E2">
        <w:rPr>
          <w:rStyle w:val="normaltextrun"/>
          <w:szCs w:val="20"/>
          <w:shd w:val="clear" w:color="auto" w:fill="FFFFFF"/>
          <w:lang w:val="es-VE"/>
        </w:rPr>
        <w:t xml:space="preserve">víctimas en Colombia </w:t>
      </w:r>
      <w:r w:rsidRPr="00DD6137">
        <w:rPr>
          <w:rStyle w:val="normaltextrun"/>
          <w:szCs w:val="20"/>
          <w:shd w:val="clear" w:color="auto" w:fill="FFFFFF"/>
          <w:lang w:val="es-VE"/>
        </w:rPr>
        <w:t xml:space="preserve">se mantiene </w:t>
      </w:r>
      <w:r w:rsidR="00E2458A">
        <w:rPr>
          <w:rStyle w:val="normaltextrun"/>
          <w:szCs w:val="20"/>
          <w:shd w:val="clear" w:color="auto" w:fill="FFFFFF"/>
          <w:lang w:val="es-VE"/>
        </w:rPr>
        <w:t>h</w:t>
      </w:r>
      <w:r w:rsidRPr="00DD6137">
        <w:rPr>
          <w:rStyle w:val="normaltextrun"/>
          <w:szCs w:val="20"/>
          <w:shd w:val="clear" w:color="auto" w:fill="FFFFFF"/>
          <w:lang w:val="es-VE"/>
        </w:rPr>
        <w:t>asta hoy, la C</w:t>
      </w:r>
      <w:r w:rsidR="00E2458A">
        <w:rPr>
          <w:rStyle w:val="normaltextrun"/>
          <w:szCs w:val="20"/>
          <w:shd w:val="clear" w:color="auto" w:fill="FFFFFF"/>
          <w:lang w:val="es-VE"/>
        </w:rPr>
        <w:t>IDH</w:t>
      </w:r>
      <w:r w:rsidRPr="00DD6137">
        <w:rPr>
          <w:rStyle w:val="normaltextrun"/>
          <w:szCs w:val="20"/>
          <w:shd w:val="clear" w:color="auto" w:fill="FFFFFF"/>
          <w:lang w:val="es-VE"/>
        </w:rPr>
        <w:t xml:space="preserve"> considera que la petición fue presentada dentro de plazo razonable en los términos del artículo 32.2 de su Reglamento</w:t>
      </w:r>
      <w:r w:rsidR="00BD549A">
        <w:rPr>
          <w:rStyle w:val="normaltextrun"/>
          <w:szCs w:val="20"/>
          <w:shd w:val="clear" w:color="auto" w:fill="FFFFFF"/>
          <w:lang w:val="es-VE"/>
        </w:rPr>
        <w:t>.</w:t>
      </w:r>
    </w:p>
    <w:p w14:paraId="673598AF" w14:textId="65467026" w:rsidR="003239B8" w:rsidRDefault="003239B8" w:rsidP="00103515">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hAnsiTheme="majorHAnsi"/>
          <w:b/>
          <w:bCs/>
          <w:szCs w:val="20"/>
          <w:lang w:val="es-UY"/>
        </w:rPr>
      </w:pPr>
      <w:r w:rsidRPr="00E64C3D">
        <w:rPr>
          <w:rFonts w:asciiTheme="majorHAnsi" w:hAnsiTheme="majorHAnsi"/>
          <w:b/>
          <w:bCs/>
          <w:szCs w:val="20"/>
          <w:lang w:val="es-ES"/>
        </w:rPr>
        <w:t>VII.</w:t>
      </w:r>
      <w:r w:rsidRPr="00E64C3D">
        <w:rPr>
          <w:rFonts w:asciiTheme="majorHAnsi" w:hAnsiTheme="majorHAnsi"/>
          <w:b/>
          <w:bCs/>
          <w:szCs w:val="20"/>
          <w:lang w:val="es-ES"/>
        </w:rPr>
        <w:tab/>
      </w:r>
      <w:r w:rsidR="004A6A54" w:rsidRPr="00E64C3D">
        <w:rPr>
          <w:rFonts w:asciiTheme="majorHAnsi" w:hAnsiTheme="majorHAnsi"/>
          <w:b/>
          <w:bCs/>
          <w:szCs w:val="20"/>
          <w:lang w:val="es-ES_tradnl"/>
        </w:rPr>
        <w:t xml:space="preserve">ANÁLISIS DE </w:t>
      </w:r>
      <w:r w:rsidR="00C21FEF" w:rsidRPr="00E64C3D">
        <w:rPr>
          <w:rFonts w:asciiTheme="majorHAnsi" w:hAnsiTheme="majorHAnsi"/>
          <w:b/>
          <w:bCs/>
          <w:szCs w:val="20"/>
          <w:lang w:val="es-ES"/>
        </w:rPr>
        <w:t xml:space="preserve">CARACTERIZACIÓN </w:t>
      </w:r>
      <w:r w:rsidR="00C21FEF" w:rsidRPr="00E64C3D">
        <w:rPr>
          <w:rFonts w:asciiTheme="majorHAnsi" w:hAnsiTheme="majorHAnsi"/>
          <w:b/>
          <w:bCs/>
          <w:szCs w:val="20"/>
          <w:lang w:val="es-UY"/>
        </w:rPr>
        <w:t>DE LOS HECHOS ALEGADOS</w:t>
      </w:r>
    </w:p>
    <w:p w14:paraId="2DDF1999" w14:textId="783DF3DF" w:rsidR="006E621A"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sidRPr="006E621A">
        <w:rPr>
          <w:szCs w:val="20"/>
          <w:lang w:val="es-ES"/>
        </w:rPr>
        <w:t>La Comisión observa que la presente petición inclu</w:t>
      </w:r>
      <w:r w:rsidR="004B421C" w:rsidRPr="006E621A">
        <w:rPr>
          <w:szCs w:val="20"/>
          <w:lang w:val="es-ES"/>
        </w:rPr>
        <w:t>ye alega</w:t>
      </w:r>
      <w:r w:rsidR="00B41EF4">
        <w:rPr>
          <w:szCs w:val="20"/>
          <w:lang w:val="es-ES"/>
        </w:rPr>
        <w:t>to</w:t>
      </w:r>
      <w:r w:rsidR="004B421C" w:rsidRPr="006E621A">
        <w:rPr>
          <w:szCs w:val="20"/>
          <w:lang w:val="es-ES"/>
        </w:rPr>
        <w:t xml:space="preserve">s </w:t>
      </w:r>
      <w:r w:rsidR="00E1514C">
        <w:rPr>
          <w:szCs w:val="20"/>
          <w:lang w:val="es-ES"/>
        </w:rPr>
        <w:t xml:space="preserve">sobre </w:t>
      </w:r>
      <w:r w:rsidR="00144893">
        <w:rPr>
          <w:szCs w:val="20"/>
          <w:lang w:val="es-ES"/>
        </w:rPr>
        <w:t xml:space="preserve">amenazas y atentados perpetrados contra las presuntas víctimas dentro y fuera del ejército </w:t>
      </w:r>
      <w:r w:rsidR="00701C57">
        <w:rPr>
          <w:szCs w:val="20"/>
          <w:lang w:val="es-ES"/>
        </w:rPr>
        <w:t xml:space="preserve">con ocasión de las denuncias presentadas por </w:t>
      </w:r>
      <w:r w:rsidR="00144893">
        <w:rPr>
          <w:szCs w:val="20"/>
          <w:lang w:val="es-ES"/>
        </w:rPr>
        <w:t xml:space="preserve">Alexander Castaño Ríos </w:t>
      </w:r>
      <w:r w:rsidR="00701C57">
        <w:rPr>
          <w:szCs w:val="20"/>
          <w:lang w:val="es-ES"/>
        </w:rPr>
        <w:t xml:space="preserve">de </w:t>
      </w:r>
      <w:r w:rsidR="009C3E53">
        <w:rPr>
          <w:szCs w:val="20"/>
          <w:lang w:val="es-ES"/>
        </w:rPr>
        <w:t xml:space="preserve">graves </w:t>
      </w:r>
      <w:r w:rsidR="00144893">
        <w:rPr>
          <w:szCs w:val="20"/>
          <w:lang w:val="es-ES"/>
        </w:rPr>
        <w:t>violaciones</w:t>
      </w:r>
      <w:r w:rsidR="009C3E53">
        <w:rPr>
          <w:szCs w:val="20"/>
          <w:lang w:val="es-ES"/>
        </w:rPr>
        <w:t xml:space="preserve"> de derechos humanos al interior de la institución. </w:t>
      </w:r>
      <w:r w:rsidR="008918B5">
        <w:rPr>
          <w:szCs w:val="20"/>
          <w:lang w:val="es-ES"/>
        </w:rPr>
        <w:t>Colombia</w:t>
      </w:r>
      <w:r w:rsidR="00DD44A4">
        <w:rPr>
          <w:szCs w:val="20"/>
          <w:lang w:val="es-ES"/>
        </w:rPr>
        <w:t xml:space="preserve"> manifiesta que la presente petición incurre en la fórmula de la cuarta instancia internacional respecto de la condena del capitán denunciado en la justicia penal militar y del archivo de las investigaciones en la justicia ordinaria. También a</w:t>
      </w:r>
      <w:r w:rsidR="00722A8F">
        <w:rPr>
          <w:szCs w:val="20"/>
          <w:lang w:val="es-ES"/>
        </w:rPr>
        <w:t>severa</w:t>
      </w:r>
      <w:r w:rsidR="00DD44A4">
        <w:rPr>
          <w:szCs w:val="20"/>
          <w:lang w:val="es-ES"/>
        </w:rPr>
        <w:t xml:space="preserve"> que </w:t>
      </w:r>
      <w:r w:rsidR="00EF52E4">
        <w:rPr>
          <w:szCs w:val="20"/>
          <w:lang w:val="es-ES"/>
        </w:rPr>
        <w:t xml:space="preserve">los hechos son </w:t>
      </w:r>
      <w:r w:rsidR="008918B5">
        <w:rPr>
          <w:szCs w:val="20"/>
          <w:lang w:val="es-ES"/>
        </w:rPr>
        <w:t>manifiestamente</w:t>
      </w:r>
      <w:r w:rsidR="00EF52E4">
        <w:rPr>
          <w:szCs w:val="20"/>
          <w:lang w:val="es-ES"/>
        </w:rPr>
        <w:t xml:space="preserve"> infundados porque no s</w:t>
      </w:r>
      <w:r w:rsidR="008918B5">
        <w:rPr>
          <w:szCs w:val="20"/>
          <w:lang w:val="es-ES"/>
        </w:rPr>
        <w:t>on</w:t>
      </w:r>
      <w:r w:rsidR="00EF52E4">
        <w:rPr>
          <w:szCs w:val="20"/>
          <w:lang w:val="es-ES"/>
        </w:rPr>
        <w:t xml:space="preserve"> </w:t>
      </w:r>
      <w:r w:rsidR="008918B5">
        <w:rPr>
          <w:szCs w:val="20"/>
          <w:lang w:val="es-ES"/>
        </w:rPr>
        <w:t>atribuibles</w:t>
      </w:r>
      <w:r w:rsidR="00EF52E4">
        <w:rPr>
          <w:szCs w:val="20"/>
          <w:lang w:val="es-ES"/>
        </w:rPr>
        <w:t xml:space="preserve"> al Estado.</w:t>
      </w:r>
    </w:p>
    <w:p w14:paraId="623FE111" w14:textId="082B3088" w:rsidR="00D4293B" w:rsidRDefault="00D4293B" w:rsidP="00D4293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sidRPr="006E621A">
        <w:rPr>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Pr>
          <w:szCs w:val="20"/>
          <w:lang w:val="es-ES"/>
        </w:rPr>
        <w:t xml:space="preserve"> A este respecto</w:t>
      </w:r>
      <w:r w:rsidRPr="006E621A">
        <w:rPr>
          <w:szCs w:val="20"/>
          <w:lang w:val="es-ES"/>
        </w:rPr>
        <w:t xml:space="preserve">, la Comisión reitera que el criterio de evaluación de la fase de admisibilidad difiere del que se utiliza para pronunciarse sobre el fondo de una petición; la CIDH debe realizar en esta etapa una evaluación </w:t>
      </w:r>
      <w:r w:rsidRPr="006E621A">
        <w:rPr>
          <w:i/>
          <w:iCs/>
          <w:szCs w:val="20"/>
          <w:lang w:val="es-ES"/>
        </w:rPr>
        <w:t>prima facie</w:t>
      </w:r>
      <w:r w:rsidRPr="006E621A">
        <w:rPr>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p>
    <w:p w14:paraId="503D3C5C" w14:textId="3BCB0A8B" w:rsidR="007B396E" w:rsidRPr="007B396E" w:rsidRDefault="000D4BFD" w:rsidP="007B396E">
      <w:pPr>
        <w:pStyle w:val="paragraph"/>
        <w:numPr>
          <w:ilvl w:val="0"/>
          <w:numId w:val="61"/>
        </w:numPr>
        <w:suppressAutoHyphens/>
        <w:spacing w:before="0" w:beforeAutospacing="0" w:after="0" w:afterAutospacing="0"/>
        <w:ind w:left="0" w:firstLine="720"/>
        <w:jc w:val="both"/>
        <w:textAlignment w:val="baseline"/>
        <w:rPr>
          <w:sz w:val="20"/>
          <w:szCs w:val="20"/>
          <w:lang w:val="es-ES"/>
        </w:rPr>
      </w:pPr>
      <w:r w:rsidRPr="002602C9">
        <w:rPr>
          <w:rFonts w:asciiTheme="majorHAnsi" w:hAnsiTheme="majorHAnsi"/>
          <w:sz w:val="20"/>
          <w:szCs w:val="20"/>
          <w:lang w:val="es-ES"/>
        </w:rPr>
        <w:t>La Comisión recuerda que la falta de investigación sobre los ataques cometidos contra personas defensoras de derechos humanos y funcionarios judiciales representa uno de los grandes impedimentos para el libre ejercicio de sus actividades, al ser la investigación un medio fundamental para prevenir la ocurrencia de estos delitos</w:t>
      </w:r>
      <w:r w:rsidRPr="000D4BFD">
        <w:rPr>
          <w:rStyle w:val="FootnoteReference"/>
          <w:rFonts w:asciiTheme="majorHAnsi" w:eastAsia="Trebuchet MS" w:hAnsiTheme="majorHAnsi"/>
          <w:sz w:val="20"/>
          <w:szCs w:val="20"/>
          <w:lang w:val="es-ES"/>
        </w:rPr>
        <w:footnoteReference w:id="12"/>
      </w:r>
      <w:r w:rsidRPr="002602C9">
        <w:rPr>
          <w:rFonts w:asciiTheme="majorHAnsi" w:hAnsiTheme="majorHAnsi"/>
          <w:sz w:val="20"/>
          <w:szCs w:val="20"/>
          <w:lang w:val="es-ES"/>
        </w:rPr>
        <w:t>. En esa medida, la CIDH estudiará en etapa de fondo si el Estado ha cumplido con el deber de prevención y protección bajo los estándares de debida diligencia en la investigación de las denuncias y en la determinación de las medidas de seguridad asignadas a favor de la presunta víctima y de su familia.</w:t>
      </w:r>
      <w:r w:rsidR="004E5CB8">
        <w:rPr>
          <w:rFonts w:asciiTheme="majorHAnsi" w:hAnsiTheme="majorHAnsi"/>
          <w:sz w:val="20"/>
          <w:szCs w:val="20"/>
          <w:lang w:val="es-ES"/>
        </w:rPr>
        <w:t xml:space="preserve"> </w:t>
      </w:r>
      <w:r w:rsidR="004E5CB8" w:rsidRPr="004E5CB8">
        <w:rPr>
          <w:rFonts w:asciiTheme="majorHAnsi" w:hAnsiTheme="majorHAnsi"/>
          <w:sz w:val="20"/>
          <w:szCs w:val="20"/>
          <w:lang w:val="es-CO"/>
        </w:rPr>
        <w:t>De igual forma, la Comisión considera que la responsabilidad internacional del Estado puede verse comprometida debido a la alegada impunidad derivada de los procesos penales internos</w:t>
      </w:r>
      <w:r w:rsidR="004E5CB8">
        <w:rPr>
          <w:rFonts w:asciiTheme="majorHAnsi" w:hAnsiTheme="majorHAnsi"/>
          <w:sz w:val="20"/>
          <w:szCs w:val="20"/>
          <w:lang w:val="es-CO"/>
        </w:rPr>
        <w:t>.</w:t>
      </w:r>
    </w:p>
    <w:p w14:paraId="0533CDA5" w14:textId="3B8655DB" w:rsidR="00137431" w:rsidRPr="00137431" w:rsidRDefault="00137431" w:rsidP="00177E1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VE"/>
        </w:rPr>
      </w:pPr>
      <w:r w:rsidRPr="00137431">
        <w:rPr>
          <w:szCs w:val="20"/>
          <w:lang w:val="es-VE"/>
        </w:rPr>
        <w:t>A este respecto, sobre la denominada excepción de la “cuarta instancia internacional”, la Comisión subraya el carácter complementario del Sistema Interamericano y resalta que, según lo ha indicado la Corte Interamericana</w:t>
      </w:r>
      <w:r w:rsidR="0019665B" w:rsidRPr="0019665B">
        <w:rPr>
          <w:szCs w:val="20"/>
          <w:lang w:val="es-VE"/>
        </w:rPr>
        <w:t xml:space="preserve"> </w:t>
      </w:r>
      <w:r w:rsidR="0019665B" w:rsidRPr="00137431">
        <w:rPr>
          <w:szCs w:val="20"/>
          <w:lang w:val="es-VE"/>
        </w:rPr>
        <w:t xml:space="preserve">de Derechos Humanos (en adelante “la Corte Interamericana”, “la Corte” o “a Corte </w:t>
      </w:r>
      <w:r w:rsidR="0019665B" w:rsidRPr="00137431">
        <w:rPr>
          <w:szCs w:val="20"/>
          <w:lang w:val="es-VE"/>
        </w:rPr>
        <w:lastRenderedPageBreak/>
        <w:t>IDH”)</w:t>
      </w:r>
      <w:r w:rsidRPr="00137431">
        <w:rPr>
          <w:szCs w:val="20"/>
          <w:lang w:val="es-VE"/>
        </w:rPr>
        <w:t>, para que ésta proceda sería necesario que se “</w:t>
      </w:r>
      <w:r w:rsidRPr="0019665B">
        <w:rPr>
          <w:i/>
          <w:iCs/>
          <w:szCs w:val="20"/>
          <w:lang w:val="es-VE"/>
        </w:rPr>
        <w:t>busque que</w:t>
      </w:r>
      <w:r w:rsidRPr="00137431">
        <w:rPr>
          <w:szCs w:val="20"/>
          <w:lang w:val="es-VE"/>
        </w:rPr>
        <w:t xml:space="preserve"> […][se] </w:t>
      </w:r>
      <w:r w:rsidRPr="0019665B">
        <w:rPr>
          <w:i/>
          <w:iCs/>
          <w:szCs w:val="20"/>
          <w:lang w:val="es-VE"/>
        </w:rPr>
        <w:t>revise el fallo de un tribunal interno en virtud de su incorrecta apreciación de la prueba, los hechos o el derecho interno, sin que, a la vez, se alegue que tal fallo incurrió en una violación de tratados internacionales</w:t>
      </w:r>
      <w:r w:rsidRPr="00137431">
        <w:rPr>
          <w:szCs w:val="20"/>
          <w:lang w:val="es-VE"/>
        </w:rPr>
        <w:t xml:space="preserve"> [ …]”</w:t>
      </w:r>
      <w:r w:rsidR="0019665B" w:rsidRPr="009218C6">
        <w:rPr>
          <w:rStyle w:val="FootnoteReference"/>
          <w:lang w:val="es-ES_tradnl"/>
        </w:rPr>
        <w:footnoteReference w:id="13"/>
      </w:r>
      <w:r w:rsidRPr="00137431">
        <w:rPr>
          <w:szCs w:val="20"/>
          <w:lang w:val="es-VE"/>
        </w:rPr>
        <w:t>.</w:t>
      </w:r>
      <w:r>
        <w:rPr>
          <w:szCs w:val="20"/>
          <w:lang w:val="es-VE"/>
        </w:rPr>
        <w:t xml:space="preserve"> </w:t>
      </w:r>
      <w:r w:rsidRPr="00137431">
        <w:rPr>
          <w:szCs w:val="20"/>
          <w:lang w:val="es-VE"/>
        </w:rPr>
        <w:t>En el presente caso, la CIDH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137431">
        <w:rPr>
          <w:szCs w:val="20"/>
          <w:vertAlign w:val="superscript"/>
          <w:lang w:val="es-VE"/>
        </w:rPr>
        <w:t xml:space="preserve"> </w:t>
      </w:r>
      <w:r w:rsidRPr="00137431">
        <w:rPr>
          <w:szCs w:val="20"/>
          <w:vertAlign w:val="superscript"/>
          <w:lang w:val="es-VE"/>
        </w:rPr>
        <w:footnoteReference w:id="14"/>
      </w:r>
      <w:r w:rsidRPr="00137431">
        <w:rPr>
          <w:szCs w:val="20"/>
          <w:lang w:val="es-VE"/>
        </w:rPr>
        <w:t>. Asimismo, le corresponde examinar “si las actuaciones de órganos judiciales constituyen o no una violación de las obligaciones internacionales del Estado, [lo cual]</w:t>
      </w:r>
      <w:r w:rsidR="00587D20">
        <w:rPr>
          <w:szCs w:val="20"/>
          <w:lang w:val="es-VE"/>
        </w:rPr>
        <w:t xml:space="preserve"> </w:t>
      </w:r>
      <w:r w:rsidRPr="00137431">
        <w:rPr>
          <w:szCs w:val="20"/>
          <w:lang w:val="es-VE"/>
        </w:rPr>
        <w:t>puede conducir a que […] deba ocuparse de examinar los respectivos procesos internos para establecer su compatibilidad con la Convención Americana”</w:t>
      </w:r>
      <w:r w:rsidRPr="00137431">
        <w:rPr>
          <w:szCs w:val="20"/>
          <w:vertAlign w:val="superscript"/>
          <w:lang w:val="es-VE"/>
        </w:rPr>
        <w:footnoteReference w:id="15"/>
      </w:r>
      <w:r w:rsidR="00E706A0">
        <w:rPr>
          <w:szCs w:val="20"/>
          <w:lang w:val="es-VE"/>
        </w:rPr>
        <w:t>, particularmente, en relación con la posible impunidad de los hechos y la debida diligencia en la investigación de las amenazas de muerte denunciadas por los peticionarios</w:t>
      </w:r>
      <w:r w:rsidRPr="00137431">
        <w:rPr>
          <w:szCs w:val="20"/>
          <w:lang w:val="es-VE"/>
        </w:rPr>
        <w:t>.</w:t>
      </w:r>
    </w:p>
    <w:p w14:paraId="417E8CE0" w14:textId="281182CB" w:rsidR="007B396E" w:rsidRPr="003346C7" w:rsidRDefault="0008397C" w:rsidP="007032A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Pr>
          <w:szCs w:val="20"/>
          <w:lang w:val="es-ES"/>
        </w:rPr>
        <w:t>Por último</w:t>
      </w:r>
      <w:r w:rsidR="007B396E" w:rsidRPr="003346C7">
        <w:rPr>
          <w:szCs w:val="20"/>
          <w:lang w:val="es-ES"/>
        </w:rPr>
        <w:t xml:space="preserve">, </w:t>
      </w:r>
      <w:r w:rsidR="007B396E" w:rsidRPr="003346C7">
        <w:rPr>
          <w:szCs w:val="20"/>
          <w:lang w:val="es-CL"/>
        </w:rPr>
        <w:t>la Comisión re</w:t>
      </w:r>
      <w:r>
        <w:rPr>
          <w:szCs w:val="20"/>
          <w:lang w:val="es-CL"/>
        </w:rPr>
        <w:t>cuerd</w:t>
      </w:r>
      <w:r w:rsidR="007B396E" w:rsidRPr="003346C7">
        <w:rPr>
          <w:szCs w:val="20"/>
          <w:lang w:val="es-CL"/>
        </w:rPr>
        <w:t xml:space="preserve">a que el derecho a la libertad de circulación y residencia </w:t>
      </w:r>
      <w:r w:rsidR="003346C7" w:rsidRPr="003346C7">
        <w:rPr>
          <w:szCs w:val="20"/>
          <w:lang w:val="es-CL"/>
        </w:rPr>
        <w:t xml:space="preserve">permite a </w:t>
      </w:r>
      <w:r w:rsidR="007B396E" w:rsidRPr="003346C7">
        <w:rPr>
          <w:szCs w:val="20"/>
          <w:lang w:val="es-CL"/>
        </w:rPr>
        <w:t xml:space="preserve">las personas que se encuentran legalmente en un Estado a circular libremente en su territorio y el </w:t>
      </w:r>
      <w:r w:rsidR="003346C7" w:rsidRPr="003346C7">
        <w:rPr>
          <w:szCs w:val="20"/>
          <w:lang w:val="es-CL"/>
        </w:rPr>
        <w:t xml:space="preserve">derecho </w:t>
      </w:r>
      <w:r w:rsidR="007B396E" w:rsidRPr="003346C7">
        <w:rPr>
          <w:szCs w:val="20"/>
          <w:lang w:val="es-CL"/>
        </w:rPr>
        <w:t>de ingresar, permanecer o salir de él sin interferencia legal, y ello, a su vez, es una condición indispensable para el libre desarrollo de la persona</w:t>
      </w:r>
      <w:r w:rsidR="007B396E" w:rsidRPr="007B396E">
        <w:rPr>
          <w:szCs w:val="20"/>
          <w:vertAlign w:val="superscript"/>
          <w:lang w:val="es-CL"/>
        </w:rPr>
        <w:footnoteReference w:id="16"/>
      </w:r>
      <w:r w:rsidR="007B396E" w:rsidRPr="003346C7">
        <w:rPr>
          <w:szCs w:val="20"/>
          <w:lang w:val="es-CL"/>
        </w:rPr>
        <w:t>.</w:t>
      </w:r>
      <w:r w:rsidR="003346C7" w:rsidRPr="003346C7">
        <w:rPr>
          <w:szCs w:val="20"/>
          <w:lang w:val="es-CL"/>
        </w:rPr>
        <w:t xml:space="preserve"> </w:t>
      </w:r>
      <w:r w:rsidR="007B396E" w:rsidRPr="003346C7">
        <w:rPr>
          <w:szCs w:val="20"/>
          <w:lang w:val="es-CO"/>
        </w:rPr>
        <w:t xml:space="preserve">En consecuencia, este derecho </w:t>
      </w:r>
      <w:r w:rsidR="003346C7">
        <w:rPr>
          <w:szCs w:val="20"/>
          <w:lang w:val="es-CO"/>
        </w:rPr>
        <w:t>puede ser</w:t>
      </w:r>
      <w:r w:rsidR="007B396E" w:rsidRPr="003346C7">
        <w:rPr>
          <w:szCs w:val="20"/>
          <w:lang w:val="es-CO"/>
        </w:rPr>
        <w:t xml:space="preserve"> vulnerado “</w:t>
      </w:r>
      <w:r w:rsidR="007B396E" w:rsidRPr="003346C7">
        <w:rPr>
          <w:i/>
          <w:iCs/>
          <w:szCs w:val="20"/>
          <w:lang w:val="es-CO"/>
        </w:rPr>
        <w:t>por restricciones de facto si el Estado no ha establecido las condiciones ni provisto los medios que permiten ejercerlo</w:t>
      </w:r>
      <w:r w:rsidR="007B396E" w:rsidRPr="003346C7">
        <w:rPr>
          <w:szCs w:val="20"/>
          <w:lang w:val="es-CO"/>
        </w:rPr>
        <w:t>”</w:t>
      </w:r>
      <w:r w:rsidR="007B396E" w:rsidRPr="007B396E">
        <w:rPr>
          <w:szCs w:val="20"/>
          <w:vertAlign w:val="superscript"/>
          <w:lang w:val="es-CO"/>
        </w:rPr>
        <w:footnoteReference w:id="17"/>
      </w:r>
      <w:r w:rsidR="007B396E" w:rsidRPr="003346C7">
        <w:rPr>
          <w:szCs w:val="20"/>
          <w:lang w:val="es-CO"/>
        </w:rPr>
        <w:t>. De manera</w:t>
      </w:r>
      <w:r w:rsidR="003346C7">
        <w:rPr>
          <w:szCs w:val="20"/>
          <w:lang w:val="es-CO"/>
        </w:rPr>
        <w:t xml:space="preserve"> que</w:t>
      </w:r>
      <w:r w:rsidR="007B396E" w:rsidRPr="003346C7">
        <w:rPr>
          <w:szCs w:val="20"/>
          <w:lang w:val="es-CO"/>
        </w:rPr>
        <w:t xml:space="preserve"> si una persona es víctima de amenazas u hostigamientos y el Estado no provee las garantías necesarias para que pueda transitar y residir libremente en el territorio, se configura una afectación a este derecho, incluso cuando las amenazas y hostigamientos provienen de actores no estatales</w:t>
      </w:r>
      <w:r w:rsidR="007B396E" w:rsidRPr="007B396E">
        <w:rPr>
          <w:szCs w:val="20"/>
          <w:vertAlign w:val="superscript"/>
          <w:lang w:val="es-CO"/>
        </w:rPr>
        <w:footnoteReference w:id="18"/>
      </w:r>
      <w:r w:rsidR="007B396E" w:rsidRPr="003346C7">
        <w:rPr>
          <w:szCs w:val="20"/>
          <w:lang w:val="es-CO"/>
        </w:rPr>
        <w:t>.</w:t>
      </w:r>
    </w:p>
    <w:p w14:paraId="35CD31D6" w14:textId="0210905A" w:rsidR="006E621A"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sidRPr="006E621A">
        <w:rPr>
          <w:szCs w:val="20"/>
          <w:lang w:val="es-ES"/>
        </w:rPr>
        <w:t>En aten</w:t>
      </w:r>
      <w:r w:rsidR="00C25ADB" w:rsidRPr="006E621A">
        <w:rPr>
          <w:szCs w:val="20"/>
          <w:lang w:val="es-ES"/>
        </w:rPr>
        <w:t xml:space="preserve">ción a estas consideraciones y </w:t>
      </w:r>
      <w:r w:rsidRPr="006E621A">
        <w:rPr>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6E621A">
        <w:rPr>
          <w:szCs w:val="20"/>
          <w:lang w:val="es-ES"/>
        </w:rPr>
        <w:t>;</w:t>
      </w:r>
      <w:r w:rsidRPr="006E621A">
        <w:rPr>
          <w:szCs w:val="20"/>
          <w:lang w:val="es-ES"/>
        </w:rPr>
        <w:t xml:space="preserve"> pues los hechos alegados, de corroborarse como ciertos</w:t>
      </w:r>
      <w:r w:rsidR="00394073" w:rsidRPr="006E621A">
        <w:rPr>
          <w:szCs w:val="20"/>
          <w:lang w:val="es-ES"/>
        </w:rPr>
        <w:t>,</w:t>
      </w:r>
      <w:r w:rsidRPr="006E621A">
        <w:rPr>
          <w:szCs w:val="20"/>
          <w:lang w:val="es-ES"/>
        </w:rPr>
        <w:t xml:space="preserve"> podrían caracteri</w:t>
      </w:r>
      <w:r w:rsidR="004B421C" w:rsidRPr="006E621A">
        <w:rPr>
          <w:szCs w:val="20"/>
          <w:lang w:val="es-ES"/>
        </w:rPr>
        <w:t>zar violaciones a los artículos</w:t>
      </w:r>
      <w:r w:rsidR="00394073" w:rsidRPr="006E621A">
        <w:rPr>
          <w:szCs w:val="20"/>
          <w:lang w:val="es-ES"/>
        </w:rPr>
        <w:t xml:space="preserve"> </w:t>
      </w:r>
      <w:r w:rsidR="00330937">
        <w:rPr>
          <w:szCs w:val="20"/>
          <w:lang w:val="es-ES"/>
        </w:rPr>
        <w:t xml:space="preserve">5 (integridad personal), 7 (libertad personal), 8 (garantías judiciales), </w:t>
      </w:r>
      <w:r w:rsidR="003B605D">
        <w:rPr>
          <w:szCs w:val="20"/>
          <w:lang w:val="es-ES"/>
        </w:rPr>
        <w:t xml:space="preserve">11 (protección de la honra y de la dignidad), </w:t>
      </w:r>
      <w:r w:rsidR="00330937">
        <w:rPr>
          <w:szCs w:val="20"/>
          <w:lang w:val="es-ES"/>
        </w:rPr>
        <w:t xml:space="preserve">13 (libertad de pensamiento y expresión), </w:t>
      </w:r>
      <w:r w:rsidR="007157F9">
        <w:rPr>
          <w:szCs w:val="20"/>
          <w:lang w:val="es-ES"/>
        </w:rPr>
        <w:t xml:space="preserve">17 (protección de la familia), </w:t>
      </w:r>
      <w:r w:rsidR="0010097F">
        <w:rPr>
          <w:bCs/>
          <w:szCs w:val="20"/>
          <w:lang w:val="es-CO"/>
        </w:rPr>
        <w:t>22 (circulación y residencia) y 25 (protección judicial)</w:t>
      </w:r>
      <w:r w:rsidR="00394073" w:rsidRPr="006E621A">
        <w:rPr>
          <w:szCs w:val="20"/>
          <w:lang w:val="es-ES"/>
        </w:rPr>
        <w:t xml:space="preserve"> </w:t>
      </w:r>
      <w:r w:rsidR="00394073" w:rsidRPr="00330937">
        <w:rPr>
          <w:szCs w:val="20"/>
          <w:lang w:val="es-ES"/>
        </w:rPr>
        <w:t xml:space="preserve">en perjuicio de </w:t>
      </w:r>
      <w:r w:rsidR="00330937" w:rsidRPr="00330937">
        <w:rPr>
          <w:bCs/>
          <w:szCs w:val="20"/>
          <w:lang w:val="es-CO"/>
        </w:rPr>
        <w:t>Henry de Jesús Castaño Ríos</w:t>
      </w:r>
      <w:r w:rsidR="000E1ED6">
        <w:rPr>
          <w:bCs/>
          <w:szCs w:val="20"/>
          <w:lang w:val="es-CO"/>
        </w:rPr>
        <w:t xml:space="preserve"> y</w:t>
      </w:r>
      <w:r w:rsidR="00330937" w:rsidRPr="00330937">
        <w:rPr>
          <w:bCs/>
          <w:szCs w:val="20"/>
          <w:lang w:val="es-CO"/>
        </w:rPr>
        <w:t xml:space="preserve"> su esposa Paola Yisset Palomo Cortés</w:t>
      </w:r>
      <w:r w:rsidR="000E1ED6">
        <w:rPr>
          <w:bCs/>
          <w:szCs w:val="20"/>
          <w:lang w:val="es-CO"/>
        </w:rPr>
        <w:t>;</w:t>
      </w:r>
      <w:r w:rsidR="00330937" w:rsidRPr="00330937">
        <w:rPr>
          <w:bCs/>
          <w:szCs w:val="20"/>
          <w:lang w:val="es-CO"/>
        </w:rPr>
        <w:t xml:space="preserve"> Alexander Castaño Ríos, su esposa Viviana Patricia Pamplona Ortiz, su hija Alejandra Castaño Acosta,</w:t>
      </w:r>
      <w:r w:rsidR="00394073" w:rsidRPr="00330937">
        <w:rPr>
          <w:szCs w:val="20"/>
          <w:lang w:val="es-US"/>
        </w:rPr>
        <w:t xml:space="preserve"> </w:t>
      </w:r>
      <w:r w:rsidR="00330937" w:rsidRPr="00330937">
        <w:rPr>
          <w:szCs w:val="20"/>
          <w:lang w:val="es-US"/>
        </w:rPr>
        <w:t xml:space="preserve">y la hermana de ambos, </w:t>
      </w:r>
      <w:r w:rsidR="00330937" w:rsidRPr="00330937">
        <w:rPr>
          <w:bCs/>
          <w:szCs w:val="20"/>
          <w:lang w:val="es-CO"/>
        </w:rPr>
        <w:t xml:space="preserve">María Adriana Castaño Ríos, </w:t>
      </w:r>
      <w:r w:rsidR="00394073" w:rsidRPr="00330937">
        <w:rPr>
          <w:szCs w:val="20"/>
          <w:lang w:val="es-US"/>
        </w:rPr>
        <w:t>en los términos del presente informe</w:t>
      </w:r>
      <w:r w:rsidR="00394073" w:rsidRPr="006E621A">
        <w:rPr>
          <w:szCs w:val="20"/>
          <w:lang w:val="es-ES"/>
        </w:rPr>
        <w:t>.</w:t>
      </w:r>
    </w:p>
    <w:p w14:paraId="091888D2" w14:textId="3624B106" w:rsidR="008C5E2D" w:rsidRPr="00B72099" w:rsidRDefault="002807CA" w:rsidP="00EF788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szCs w:val="20"/>
          <w:lang w:val="es-ES"/>
        </w:rPr>
      </w:pPr>
      <w:r w:rsidRPr="00B72099">
        <w:rPr>
          <w:szCs w:val="20"/>
          <w:lang w:val="es-ES_tradnl"/>
        </w:rPr>
        <w:t xml:space="preserve">En cuanto al reclamo sobre la presunta violación de los artículos 4 (derecho a la vida), </w:t>
      </w:r>
      <w:r w:rsidR="002A37AE" w:rsidRPr="00B72099">
        <w:rPr>
          <w:bCs/>
          <w:szCs w:val="20"/>
          <w:lang w:val="es-CO"/>
        </w:rPr>
        <w:t xml:space="preserve">19 (derechos del niño), </w:t>
      </w:r>
      <w:r w:rsidR="00573DE6">
        <w:rPr>
          <w:bCs/>
          <w:szCs w:val="20"/>
          <w:lang w:val="es-CO"/>
        </w:rPr>
        <w:t xml:space="preserve">21 (propiedad privada), </w:t>
      </w:r>
      <w:r w:rsidR="002A37AE" w:rsidRPr="00B72099">
        <w:rPr>
          <w:bCs/>
          <w:szCs w:val="20"/>
          <w:lang w:val="es-CO"/>
        </w:rPr>
        <w:t>23 (derechos políticos)</w:t>
      </w:r>
      <w:r w:rsidRPr="00B72099">
        <w:rPr>
          <w:szCs w:val="20"/>
          <w:lang w:val="es-ES_tradnl"/>
        </w:rPr>
        <w:t xml:space="preserve"> </w:t>
      </w:r>
      <w:r w:rsidR="002A37AE" w:rsidRPr="00B72099">
        <w:rPr>
          <w:szCs w:val="20"/>
          <w:lang w:val="es-ES_tradnl"/>
        </w:rPr>
        <w:t xml:space="preserve">y 24 (igualdad ante la ley) </w:t>
      </w:r>
      <w:r w:rsidRPr="00B72099">
        <w:rPr>
          <w:szCs w:val="20"/>
          <w:lang w:val="es-ES_tradnl"/>
        </w:rPr>
        <w:t xml:space="preserve">de la Convención Americana; la Comisión observa que los peticionarios no han ofrecido alegatos o sustento suficiente que permita considerar </w:t>
      </w:r>
      <w:r w:rsidRPr="00B72099">
        <w:rPr>
          <w:i/>
          <w:szCs w:val="20"/>
          <w:lang w:val="es-ES_tradnl"/>
        </w:rPr>
        <w:t>prima facie</w:t>
      </w:r>
      <w:r w:rsidRPr="00B72099">
        <w:rPr>
          <w:szCs w:val="20"/>
          <w:lang w:val="es-ES_tradnl"/>
        </w:rPr>
        <w:t xml:space="preserve"> su posible violación.</w:t>
      </w:r>
    </w:p>
    <w:p w14:paraId="5C7B0432" w14:textId="77777777" w:rsidR="009D59B9" w:rsidRDefault="009D59B9" w:rsidP="002E5A4F">
      <w:pPr>
        <w:pStyle w:val="ListParagraph"/>
        <w:numPr>
          <w:ilvl w:val="0"/>
          <w:numId w:val="0"/>
        </w:numPr>
        <w:ind w:left="720"/>
        <w:rPr>
          <w:rFonts w:asciiTheme="majorHAnsi" w:hAnsiTheme="majorHAnsi"/>
          <w:b/>
          <w:bCs/>
          <w:szCs w:val="20"/>
          <w:lang w:val="es-ES"/>
        </w:rPr>
      </w:pPr>
    </w:p>
    <w:p w14:paraId="60FF948D" w14:textId="77777777" w:rsidR="009D59B9" w:rsidRDefault="009D59B9" w:rsidP="002E5A4F">
      <w:pPr>
        <w:pStyle w:val="ListParagraph"/>
        <w:numPr>
          <w:ilvl w:val="0"/>
          <w:numId w:val="0"/>
        </w:numPr>
        <w:ind w:left="720"/>
        <w:rPr>
          <w:rFonts w:asciiTheme="majorHAnsi" w:hAnsiTheme="majorHAnsi"/>
          <w:b/>
          <w:bCs/>
          <w:szCs w:val="20"/>
          <w:lang w:val="es-ES"/>
        </w:rPr>
      </w:pPr>
    </w:p>
    <w:p w14:paraId="49057E8D" w14:textId="77777777" w:rsidR="009D59B9" w:rsidRDefault="009D59B9" w:rsidP="002E5A4F">
      <w:pPr>
        <w:pStyle w:val="ListParagraph"/>
        <w:numPr>
          <w:ilvl w:val="0"/>
          <w:numId w:val="0"/>
        </w:numPr>
        <w:ind w:left="720"/>
        <w:rPr>
          <w:rFonts w:asciiTheme="majorHAnsi" w:hAnsiTheme="majorHAnsi"/>
          <w:b/>
          <w:bCs/>
          <w:szCs w:val="20"/>
          <w:lang w:val="es-ES"/>
        </w:rPr>
      </w:pPr>
    </w:p>
    <w:p w14:paraId="445BF42E" w14:textId="47F2CF3F" w:rsidR="003239B8" w:rsidRPr="0078770A" w:rsidRDefault="003239B8" w:rsidP="002E5A4F">
      <w:pPr>
        <w:pStyle w:val="ListParagraph"/>
        <w:numPr>
          <w:ilvl w:val="0"/>
          <w:numId w:val="0"/>
        </w:numPr>
        <w:ind w:left="720"/>
        <w:rPr>
          <w:rFonts w:asciiTheme="majorHAnsi" w:hAnsiTheme="majorHAnsi"/>
          <w:b/>
          <w:bCs/>
          <w:szCs w:val="20"/>
          <w:lang w:val="es-ES"/>
        </w:rPr>
      </w:pPr>
      <w:r w:rsidRPr="0078770A">
        <w:rPr>
          <w:rFonts w:asciiTheme="majorHAnsi" w:hAnsiTheme="majorHAnsi"/>
          <w:b/>
          <w:bCs/>
          <w:szCs w:val="20"/>
          <w:lang w:val="es-ES"/>
        </w:rPr>
        <w:lastRenderedPageBreak/>
        <w:t xml:space="preserve">VIII. </w:t>
      </w:r>
      <w:r>
        <w:rPr>
          <w:rFonts w:asciiTheme="majorHAnsi" w:hAnsiTheme="majorHAnsi"/>
          <w:b/>
          <w:bCs/>
          <w:szCs w:val="20"/>
          <w:lang w:val="es-ES"/>
        </w:rPr>
        <w:tab/>
      </w:r>
      <w:r w:rsidRPr="0078770A">
        <w:rPr>
          <w:rFonts w:asciiTheme="majorHAnsi" w:hAnsiTheme="majorHAnsi"/>
          <w:b/>
          <w:bCs/>
          <w:szCs w:val="20"/>
          <w:lang w:val="es-ES"/>
        </w:rPr>
        <w:t>DECISIÓN</w:t>
      </w:r>
    </w:p>
    <w:p w14:paraId="16B36F97" w14:textId="68905DC6"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D23730">
        <w:rPr>
          <w:rFonts w:asciiTheme="majorHAnsi" w:hAnsiTheme="majorHAnsi"/>
          <w:sz w:val="20"/>
          <w:szCs w:val="20"/>
          <w:lang w:val="es-ES"/>
        </w:rPr>
        <w:t xml:space="preserve">los artículos 5, 7, 8, 11, 13, </w:t>
      </w:r>
      <w:r w:rsidR="009674C6">
        <w:rPr>
          <w:rFonts w:asciiTheme="majorHAnsi" w:hAnsiTheme="majorHAnsi"/>
          <w:sz w:val="20"/>
          <w:szCs w:val="20"/>
          <w:lang w:val="es-ES"/>
        </w:rPr>
        <w:t xml:space="preserve">17, </w:t>
      </w:r>
      <w:r w:rsidR="00D23730">
        <w:rPr>
          <w:rFonts w:asciiTheme="majorHAnsi" w:hAnsiTheme="majorHAnsi"/>
          <w:sz w:val="20"/>
          <w:szCs w:val="20"/>
          <w:lang w:val="es-ES"/>
        </w:rPr>
        <w:t>21, 22 y 25 de la Convención Americana, en concordancia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47DFF8E" w14:textId="52181446" w:rsidR="000419AD" w:rsidRPr="005173A3" w:rsidRDefault="000419AD" w:rsidP="000419AD">
      <w:pPr>
        <w:pStyle w:val="ListParagraph"/>
        <w:numPr>
          <w:ilvl w:val="0"/>
          <w:numId w:val="55"/>
        </w:numPr>
        <w:rPr>
          <w:rFonts w:eastAsia="Arial Unicode MS" w:cs="Times New Roman"/>
          <w:color w:val="auto"/>
          <w:szCs w:val="20"/>
          <w:lang w:val="es-ES" w:eastAsia="en-US"/>
        </w:rPr>
      </w:pPr>
      <w:r w:rsidRPr="000419AD">
        <w:rPr>
          <w:rFonts w:eastAsia="Arial Unicode MS" w:cs="Times New Roman"/>
          <w:color w:val="auto"/>
          <w:szCs w:val="20"/>
          <w:lang w:val="es-ES" w:eastAsia="en-US"/>
        </w:rPr>
        <w:t xml:space="preserve">Declarar </w:t>
      </w:r>
      <w:r w:rsidRPr="00D23730">
        <w:rPr>
          <w:rFonts w:eastAsia="Arial Unicode MS" w:cs="Times New Roman"/>
          <w:color w:val="auto"/>
          <w:szCs w:val="20"/>
          <w:lang w:val="es-ES" w:eastAsia="en-US"/>
        </w:rPr>
        <w:t xml:space="preserve">inadmisible </w:t>
      </w:r>
      <w:r w:rsidRPr="000419AD">
        <w:rPr>
          <w:rFonts w:eastAsia="Arial Unicode MS" w:cs="Times New Roman"/>
          <w:color w:val="auto"/>
          <w:szCs w:val="20"/>
          <w:lang w:val="es-ES" w:eastAsia="en-US"/>
        </w:rPr>
        <w:t xml:space="preserve">la presente petición en relación con </w:t>
      </w:r>
      <w:r w:rsidR="00D23730">
        <w:rPr>
          <w:rFonts w:eastAsia="Arial Unicode MS" w:cs="Times New Roman"/>
          <w:color w:val="auto"/>
          <w:szCs w:val="20"/>
          <w:lang w:val="es-ES" w:eastAsia="en-US"/>
        </w:rPr>
        <w:t>los artículos 4, 19, 23 y 24 de la Convención</w:t>
      </w:r>
      <w:r w:rsidR="00337933">
        <w:rPr>
          <w:rFonts w:eastAsia="Arial Unicode MS" w:cs="Times New Roman"/>
          <w:color w:val="auto"/>
          <w:szCs w:val="20"/>
          <w:lang w:val="es-ES" w:eastAsia="en-US"/>
        </w:rPr>
        <w:t>, y;</w:t>
      </w:r>
    </w:p>
    <w:p w14:paraId="02C904B2" w14:textId="5301CE68"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B72099">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11C590A1" w14:textId="5B97156C" w:rsidR="00337933" w:rsidRPr="00253528" w:rsidRDefault="00267127" w:rsidP="00253528">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w:t>
      </w:r>
      <w:r w:rsidRPr="00E07FB7">
        <w:rPr>
          <w:rStyle w:val="normaltextrun"/>
          <w:rFonts w:ascii="Cambria" w:hAnsi="Cambria" w:cs="Segoe UI"/>
          <w:sz w:val="20"/>
          <w:szCs w:val="20"/>
          <w:lang w:val="es-CL"/>
        </w:rPr>
        <w:t>na de Derechos Humanos a los 28 días del mes de abril de 20</w:t>
      </w:r>
      <w:r w:rsidR="00E07FB7" w:rsidRPr="00E07FB7">
        <w:rPr>
          <w:rStyle w:val="normaltextrun"/>
          <w:rFonts w:ascii="Cambria" w:hAnsi="Cambria" w:cs="Segoe UI"/>
          <w:sz w:val="20"/>
          <w:szCs w:val="20"/>
          <w:lang w:val="es-CL"/>
        </w:rPr>
        <w:t>25</w:t>
      </w:r>
      <w:r w:rsidRPr="00E07FB7">
        <w:rPr>
          <w:rStyle w:val="normaltextrun"/>
          <w:rFonts w:ascii="Cambria" w:hAnsi="Cambria" w:cs="Segoe UI"/>
          <w:sz w:val="20"/>
          <w:szCs w:val="20"/>
          <w:lang w:val="es-CL"/>
        </w:rPr>
        <w:t>.  (Firmado): José Luis Caballero Ochoa, Presidente; Arif Bulkan, Segundo Vicepresidente; Roberta Clarke</w:t>
      </w:r>
      <w:r w:rsidR="00E07FB7" w:rsidRPr="00E07FB7">
        <w:rPr>
          <w:rStyle w:val="normaltextrun"/>
          <w:rFonts w:ascii="Cambria" w:hAnsi="Cambria" w:cs="Segoe UI"/>
          <w:sz w:val="20"/>
          <w:szCs w:val="20"/>
          <w:lang w:val="es-CL"/>
        </w:rPr>
        <w:t xml:space="preserve"> </w:t>
      </w:r>
      <w:r w:rsidRPr="00E07FB7">
        <w:rPr>
          <w:rStyle w:val="normaltextrun"/>
          <w:rFonts w:ascii="Cambria" w:hAnsi="Cambria" w:cs="Segoe UI"/>
          <w:sz w:val="20"/>
          <w:szCs w:val="20"/>
          <w:lang w:val="es-CL"/>
        </w:rPr>
        <w:t xml:space="preserve">y Gloria Monique de Mees, </w:t>
      </w:r>
      <w:r w:rsidR="00BF4DFC">
        <w:rPr>
          <w:rStyle w:val="normaltextrun"/>
          <w:rFonts w:ascii="Cambria" w:hAnsi="Cambria" w:cs="Segoe UI"/>
          <w:sz w:val="20"/>
          <w:szCs w:val="20"/>
          <w:lang w:val="es-CL"/>
        </w:rPr>
        <w:t>m</w:t>
      </w:r>
      <w:r w:rsidRPr="00E07FB7">
        <w:rPr>
          <w:rStyle w:val="normaltextrun"/>
          <w:rFonts w:ascii="Cambria" w:hAnsi="Cambria" w:cs="Segoe UI"/>
          <w:sz w:val="20"/>
          <w:szCs w:val="20"/>
          <w:lang w:val="es-CL"/>
        </w:rPr>
        <w:t>iembros de la Comisión.</w:t>
      </w:r>
    </w:p>
    <w:sectPr w:rsidR="00337933" w:rsidRPr="0025352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E916" w14:textId="77777777" w:rsidR="00D23505" w:rsidRDefault="00D23505">
      <w:r>
        <w:separator/>
      </w:r>
    </w:p>
  </w:endnote>
  <w:endnote w:type="continuationSeparator" w:id="0">
    <w:p w14:paraId="45471EF0" w14:textId="77777777" w:rsidR="00D23505" w:rsidRDefault="00D2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3DEA" w14:textId="77777777" w:rsidR="00D23505" w:rsidRPr="000F35ED" w:rsidRDefault="00D235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40B7C2" w14:textId="77777777" w:rsidR="00D23505" w:rsidRPr="000F35ED" w:rsidRDefault="00D23505" w:rsidP="000F35ED">
      <w:pPr>
        <w:rPr>
          <w:rFonts w:asciiTheme="majorHAnsi" w:hAnsiTheme="majorHAnsi"/>
          <w:sz w:val="16"/>
          <w:szCs w:val="16"/>
        </w:rPr>
      </w:pPr>
      <w:r w:rsidRPr="000F35ED">
        <w:rPr>
          <w:rFonts w:asciiTheme="majorHAnsi" w:hAnsiTheme="majorHAnsi"/>
          <w:sz w:val="16"/>
          <w:szCs w:val="16"/>
        </w:rPr>
        <w:separator/>
      </w:r>
    </w:p>
    <w:p w14:paraId="0BD65F74" w14:textId="77777777" w:rsidR="00D23505" w:rsidRPr="000F35ED" w:rsidRDefault="00D235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0009F3" w14:textId="77777777" w:rsidR="00D23505" w:rsidRPr="000F35ED" w:rsidRDefault="00D235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A8EAADB" w14:textId="12EAE71D" w:rsidR="00E02C52" w:rsidRPr="00E02C52" w:rsidRDefault="00E02C52" w:rsidP="00E02C52">
      <w:pPr>
        <w:pStyle w:val="Notasalpie"/>
      </w:pPr>
      <w:r>
        <w:rPr>
          <w:rStyle w:val="FootnoteReference"/>
        </w:rPr>
        <w:footnoteRef/>
      </w:r>
      <w:r w:rsidRPr="00E02C52">
        <w:t xml:space="preserve"> </w:t>
      </w:r>
      <w:r>
        <w:t xml:space="preserve">El 24 de marzo de 2015 la CIDH recibió una petición de parte de Henry de Jesús Castaño Ríos </w:t>
      </w:r>
      <w:r w:rsidR="00B62316">
        <w:t xml:space="preserve">registrada como Petición 193-15 </w:t>
      </w:r>
      <w:r>
        <w:t>y el 24 de junio del mismo año</w:t>
      </w:r>
      <w:r w:rsidR="00B62316">
        <w:t xml:space="preserve"> recibió</w:t>
      </w:r>
      <w:r>
        <w:t xml:space="preserve"> otra a nombre de Alexander Castaño Ríos </w:t>
      </w:r>
      <w:r w:rsidR="00B62316">
        <w:t xml:space="preserve">bajo el trámite </w:t>
      </w:r>
      <w:r w:rsidR="00204D14">
        <w:t xml:space="preserve">de Petición 363-15 </w:t>
      </w:r>
      <w:r>
        <w:t xml:space="preserve">por los mismos hechos. </w:t>
      </w:r>
      <w:r w:rsidR="00204D14">
        <w:t>La Comisión decidió acumularlas</w:t>
      </w:r>
      <w:r w:rsidR="00AD362F">
        <w:t xml:space="preserve"> en la etapa de admisibilidad</w:t>
      </w:r>
      <w:r w:rsidR="00204D14">
        <w:t>, de conformidad con el</w:t>
      </w:r>
      <w:r w:rsidR="002A40FA">
        <w:t xml:space="preserve"> </w:t>
      </w:r>
      <w:r w:rsidR="00204D14">
        <w:t xml:space="preserve">artículo </w:t>
      </w:r>
      <w:r w:rsidR="002C172D">
        <w:t>29.5 de su Reglamento Interno</w:t>
      </w:r>
      <w:r w:rsidR="002A40FA">
        <w:t>.</w:t>
      </w:r>
      <w:r>
        <w:t xml:space="preserve"> </w:t>
      </w:r>
      <w:r w:rsidR="002A40FA">
        <w:t>Inicialmente, e</w:t>
      </w:r>
      <w:r>
        <w:t>l señor Henry de Jesús Castaño Ríos solicitó reserva de identidad</w:t>
      </w:r>
      <w:r w:rsidR="004A12BB">
        <w:t xml:space="preserve">, pero el </w:t>
      </w:r>
      <w:r w:rsidR="00CA748B">
        <w:t>2 de marzo de 2017 autorizó el levantamiento de dicha reserva.</w:t>
      </w:r>
    </w:p>
  </w:footnote>
  <w:footnote w:id="3">
    <w:p w14:paraId="66E930B8" w14:textId="044DAEB5" w:rsidR="004A6A54" w:rsidRPr="00306F33" w:rsidRDefault="004A6A54" w:rsidP="00F369E9">
      <w:pPr>
        <w:pStyle w:val="Notasalpie"/>
      </w:pPr>
      <w:r w:rsidRPr="00306F33">
        <w:rPr>
          <w:rStyle w:val="FootnoteReference"/>
        </w:rPr>
        <w:footnoteRef/>
      </w:r>
      <w:r w:rsidRPr="00306F33">
        <w:t xml:space="preserve"> Conforme a lo dispuesto en el artículo 17.2.a del Reglamento de la Comisión, el Comisionado </w:t>
      </w:r>
      <w:r w:rsidR="00F369E9">
        <w:t>Carlos Bernal Pulido</w:t>
      </w:r>
      <w:r w:rsidRPr="00306F33">
        <w:t xml:space="preserve">, de nacionalidad </w:t>
      </w:r>
      <w:r w:rsidR="00F369E9">
        <w:t>colombiana</w:t>
      </w:r>
      <w:r w:rsidRPr="00306F33">
        <w:t>, no participó en el debate ni en la decisión del presente asunto.</w:t>
      </w:r>
    </w:p>
  </w:footnote>
  <w:footnote w:id="4">
    <w:p w14:paraId="27E8FDDE" w14:textId="77777777" w:rsidR="00B06E90" w:rsidRPr="0096689B" w:rsidRDefault="00B06E90" w:rsidP="00B06E90">
      <w:pPr>
        <w:pStyle w:val="FootnoteText"/>
        <w:ind w:firstLine="720"/>
        <w:jc w:val="both"/>
        <w:rPr>
          <w:rFonts w:ascii="Cambria" w:hAnsi="Cambria"/>
          <w:sz w:val="16"/>
          <w:szCs w:val="16"/>
          <w:lang w:val="es-419"/>
        </w:rPr>
      </w:pPr>
      <w:r w:rsidRPr="00AE4154">
        <w:rPr>
          <w:rStyle w:val="FootnoteReference"/>
          <w:rFonts w:ascii="Cambria" w:hAnsi="Cambria"/>
          <w:sz w:val="16"/>
          <w:szCs w:val="16"/>
        </w:rPr>
        <w:footnoteRef/>
      </w:r>
      <w:r w:rsidRPr="00AE4154">
        <w:rPr>
          <w:rFonts w:ascii="Cambria" w:hAnsi="Cambria"/>
          <w:sz w:val="16"/>
          <w:szCs w:val="16"/>
          <w:lang w:val="es-419"/>
        </w:rPr>
        <w:t xml:space="preserve"> En adelante “</w:t>
      </w:r>
      <w:r w:rsidRPr="00B91776">
        <w:rPr>
          <w:rFonts w:ascii="Cambria" w:hAnsi="Cambria"/>
          <w:sz w:val="16"/>
          <w:szCs w:val="16"/>
          <w:lang w:val="es-419"/>
        </w:rPr>
        <w:t>la Convención” o “Convención</w:t>
      </w:r>
      <w:r w:rsidRPr="0096689B">
        <w:rPr>
          <w:rFonts w:ascii="Cambria" w:hAnsi="Cambria"/>
          <w:sz w:val="16"/>
          <w:szCs w:val="16"/>
          <w:lang w:val="es-419"/>
        </w:rPr>
        <w:t>”.</w:t>
      </w:r>
    </w:p>
  </w:footnote>
  <w:footnote w:id="5">
    <w:p w14:paraId="1AFEF3B0" w14:textId="284D25E6" w:rsidR="008E3BFE" w:rsidRPr="00306F33" w:rsidRDefault="008E3BFE" w:rsidP="00306F33">
      <w:pPr>
        <w:pStyle w:val="FootnoteText"/>
        <w:ind w:firstLine="720"/>
        <w:jc w:val="both"/>
        <w:rPr>
          <w:rFonts w:asciiTheme="majorHAnsi" w:hAnsiTheme="majorHAnsi"/>
          <w:sz w:val="16"/>
          <w:szCs w:val="16"/>
          <w:lang w:val="es-ES"/>
        </w:rPr>
      </w:pPr>
      <w:r w:rsidRPr="00145D8D">
        <w:rPr>
          <w:rStyle w:val="FootnoteReference"/>
          <w:rFonts w:asciiTheme="majorHAnsi" w:hAnsiTheme="majorHAnsi"/>
          <w:sz w:val="16"/>
          <w:szCs w:val="16"/>
        </w:rPr>
        <w:footnoteRef/>
      </w:r>
      <w:r w:rsidRPr="00145D8D">
        <w:rPr>
          <w:rFonts w:asciiTheme="majorHAnsi" w:hAnsiTheme="majorHAnsi"/>
          <w:sz w:val="16"/>
          <w:szCs w:val="16"/>
          <w:lang w:val="es-ES"/>
        </w:rPr>
        <w:t xml:space="preserve"> Las observaciones de cada parte fueron debidamente trasladadas a la parte contraria.</w:t>
      </w:r>
      <w:r w:rsidR="00934004">
        <w:rPr>
          <w:rFonts w:asciiTheme="majorHAnsi" w:hAnsiTheme="majorHAnsi"/>
          <w:sz w:val="16"/>
          <w:szCs w:val="16"/>
          <w:lang w:val="es-ES"/>
        </w:rPr>
        <w:t xml:space="preserve"> </w:t>
      </w:r>
    </w:p>
  </w:footnote>
  <w:footnote w:id="6">
    <w:p w14:paraId="5D34267E" w14:textId="1976DCE5" w:rsidR="00411211" w:rsidRPr="00411211" w:rsidRDefault="00411211" w:rsidP="00411211">
      <w:pPr>
        <w:pStyle w:val="Notasalpie"/>
        <w:rPr>
          <w:lang w:val="es-CO"/>
        </w:rPr>
      </w:pPr>
      <w:r>
        <w:rPr>
          <w:rStyle w:val="FootnoteReference"/>
        </w:rPr>
        <w:footnoteRef/>
      </w:r>
      <w:r>
        <w:t xml:space="preserve"> El artículo 29.5 del Reglamento dispone: </w:t>
      </w:r>
      <w:r w:rsidR="00682A6C">
        <w:t>“</w:t>
      </w:r>
      <w:r w:rsidRPr="00411211">
        <w:rPr>
          <w:lang w:val="es-CO"/>
        </w:rPr>
        <w:t>Si dos o más peticiones versan sobre hechos similares, involucran a las mismas personas, o si revelan el mismo patrón de conducta, la Comisión las podrá acumular y tramitar en un mismo expediente</w:t>
      </w:r>
      <w:r w:rsidR="00682A6C">
        <w:rPr>
          <w:lang w:val="es-CO"/>
        </w:rPr>
        <w:t>”</w:t>
      </w:r>
      <w:r>
        <w:rPr>
          <w:lang w:val="es-CO"/>
        </w:rPr>
        <w:t>.</w:t>
      </w:r>
    </w:p>
  </w:footnote>
  <w:footnote w:id="7">
    <w:p w14:paraId="17AAC946" w14:textId="6C2501D0" w:rsidR="000B05C3" w:rsidRPr="00C2554E" w:rsidRDefault="000B05C3" w:rsidP="000B05C3">
      <w:pPr>
        <w:pStyle w:val="FootnoteText"/>
        <w:ind w:firstLine="720"/>
        <w:jc w:val="both"/>
        <w:rPr>
          <w:rFonts w:ascii="Cambria" w:hAnsi="Cambria"/>
          <w:color w:val="auto"/>
          <w:lang w:val="es-VE"/>
        </w:rPr>
      </w:pPr>
      <w:r w:rsidRPr="00C2554E">
        <w:rPr>
          <w:rStyle w:val="FootnoteReference"/>
          <w:rFonts w:ascii="Cambria" w:hAnsi="Cambria"/>
          <w:color w:val="auto"/>
          <w:sz w:val="16"/>
          <w:szCs w:val="16"/>
        </w:rPr>
        <w:footnoteRef/>
      </w:r>
      <w:r w:rsidRPr="00C2554E">
        <w:rPr>
          <w:rFonts w:ascii="Cambria" w:hAnsi="Cambria"/>
          <w:color w:val="auto"/>
          <w:sz w:val="16"/>
          <w:szCs w:val="16"/>
          <w:lang w:val="es-VE"/>
        </w:rPr>
        <w:t xml:space="preserve"> </w:t>
      </w:r>
      <w:r w:rsidR="0061770C" w:rsidRPr="0061770C">
        <w:rPr>
          <w:rFonts w:ascii="Cambria" w:hAnsi="Cambria"/>
          <w:color w:val="auto"/>
          <w:sz w:val="16"/>
          <w:szCs w:val="16"/>
          <w:lang w:val="es-CO"/>
        </w:rPr>
        <w:t xml:space="preserve">CIDH, Informe No. 372/22. Petición 750-14. Admisibilidad. Martha González Rodríguez, Álvaro González Santana y familia. </w:t>
      </w:r>
      <w:r w:rsidR="0061770C" w:rsidRPr="0024140A">
        <w:rPr>
          <w:rFonts w:ascii="Cambria" w:hAnsi="Cambria"/>
          <w:color w:val="auto"/>
          <w:sz w:val="16"/>
          <w:szCs w:val="16"/>
          <w:lang w:val="es-ES"/>
        </w:rPr>
        <w:t xml:space="preserve">Colombia. 19 de diciembre de 2022, párr. 32; </w:t>
      </w:r>
      <w:r w:rsidRPr="00C2554E">
        <w:rPr>
          <w:rFonts w:ascii="Cambria" w:hAnsi="Cambria"/>
          <w:color w:val="auto"/>
          <w:sz w:val="16"/>
          <w:szCs w:val="16"/>
          <w:lang w:val="es-VE"/>
        </w:rPr>
        <w:t xml:space="preserve">CIDH, Informe No. 89/18. Petición 1110-07. Admisibilidad. Juan Simón Cantillo Raigoza, Keyla Sandrith Cantillo Vides y Familia. Colombia. 27 de julio de 2018, párr. 10; CIDH, Informe No. 44/18. Admisibilidad. Masacre de Pijiguay. Colombia. 4 de mayo de 2018, párr. 11; </w:t>
      </w:r>
      <w:r w:rsidRPr="00C2554E">
        <w:rPr>
          <w:rFonts w:ascii="Cambria" w:hAnsi="Cambria"/>
          <w:color w:val="auto"/>
          <w:sz w:val="16"/>
          <w:szCs w:val="16"/>
          <w:lang w:val="es-ES"/>
        </w:rPr>
        <w:t xml:space="preserve">CIDH, Informe No. 27/17, Petición 1653-07. Admisibilidad. Desplazamiento Forzado en Nueva Venecia, Caño El Clarín y Buena Vista. Colombia. 18 de marzo de 2017, párr.10; y </w:t>
      </w:r>
      <w:r w:rsidRPr="00C2554E">
        <w:rPr>
          <w:rFonts w:ascii="Cambria" w:hAnsi="Cambria"/>
          <w:color w:val="auto"/>
          <w:sz w:val="16"/>
          <w:szCs w:val="16"/>
          <w:lang w:val="es-VE"/>
        </w:rPr>
        <w:t>CIDH, Informe No. 11/17. Admisibilidad. María Hilaria González Sierra y otros. Colombia. 27 de enero de 2017, párr. 4.</w:t>
      </w:r>
    </w:p>
  </w:footnote>
  <w:footnote w:id="8">
    <w:p w14:paraId="595F6347" w14:textId="769B97BB" w:rsidR="000B05C3" w:rsidRPr="00BF59D2" w:rsidRDefault="000B05C3" w:rsidP="000B05C3">
      <w:pPr>
        <w:pStyle w:val="FootnoteText"/>
        <w:ind w:firstLine="720"/>
        <w:jc w:val="both"/>
        <w:rPr>
          <w:rFonts w:asciiTheme="majorHAnsi" w:hAnsiTheme="majorHAnsi"/>
          <w:lang w:val="es-CO"/>
        </w:rPr>
      </w:pPr>
      <w:r w:rsidRPr="000A2352">
        <w:rPr>
          <w:rStyle w:val="FootnoteReference"/>
          <w:rFonts w:asciiTheme="majorHAnsi" w:hAnsiTheme="majorHAnsi"/>
          <w:sz w:val="16"/>
          <w:szCs w:val="16"/>
        </w:rPr>
        <w:footnoteRef/>
      </w:r>
      <w:r w:rsidR="003323F3" w:rsidRPr="003323F3">
        <w:rPr>
          <w:rFonts w:asciiTheme="majorHAnsi" w:hAnsiTheme="majorHAnsi"/>
          <w:sz w:val="16"/>
          <w:szCs w:val="16"/>
          <w:lang w:val="es-CO"/>
        </w:rPr>
        <w:t xml:space="preserve">CIDH, Informe No. 372/22. Petición 750-14. Admisibilidad. Martha González Rodríguez, Álvaro González Santana y familia. </w:t>
      </w:r>
      <w:r w:rsidR="003323F3" w:rsidRPr="0024140A">
        <w:rPr>
          <w:rFonts w:asciiTheme="majorHAnsi" w:hAnsiTheme="majorHAnsi"/>
          <w:sz w:val="16"/>
          <w:szCs w:val="16"/>
          <w:lang w:val="es-ES"/>
        </w:rPr>
        <w:t>Colombia. 19 de diciembre de 2022, párr. 32;</w:t>
      </w:r>
      <w:r w:rsidR="00C73243" w:rsidRPr="0024140A">
        <w:rPr>
          <w:rFonts w:asciiTheme="majorHAnsi" w:hAnsiTheme="majorHAnsi"/>
          <w:sz w:val="16"/>
          <w:szCs w:val="16"/>
          <w:lang w:val="es-ES"/>
        </w:rPr>
        <w:t xml:space="preserve"> y,</w:t>
      </w:r>
      <w:r w:rsidRPr="000D6605">
        <w:rPr>
          <w:rFonts w:asciiTheme="majorHAnsi" w:hAnsiTheme="majorHAnsi"/>
          <w:sz w:val="16"/>
          <w:szCs w:val="16"/>
          <w:lang w:val="es-CO"/>
        </w:rPr>
        <w:t xml:space="preserve"> CIDH, Informe No. 235/22. Petición. 991-10. Admisibilidad. Fabián Andrés Cáceres </w:t>
      </w:r>
      <w:r w:rsidRPr="00BF59D2">
        <w:rPr>
          <w:rFonts w:asciiTheme="majorHAnsi" w:hAnsiTheme="majorHAnsi"/>
          <w:sz w:val="16"/>
          <w:szCs w:val="16"/>
          <w:lang w:val="es-CO"/>
        </w:rPr>
        <w:t>Palencia. Colombia. 15 de septiembre de 2022</w:t>
      </w:r>
      <w:r>
        <w:rPr>
          <w:rFonts w:asciiTheme="majorHAnsi" w:hAnsiTheme="majorHAnsi"/>
          <w:sz w:val="16"/>
          <w:szCs w:val="16"/>
          <w:lang w:val="es-CO"/>
        </w:rPr>
        <w:t>, párr. 28.</w:t>
      </w:r>
    </w:p>
  </w:footnote>
  <w:footnote w:id="9">
    <w:p w14:paraId="09D1199C" w14:textId="0924FCA2" w:rsidR="00547F5C" w:rsidRPr="00D11FF4" w:rsidRDefault="00547F5C" w:rsidP="003E5B27">
      <w:pPr>
        <w:pStyle w:val="Notasalpie"/>
      </w:pPr>
      <w:r w:rsidRPr="00D11FF4">
        <w:rPr>
          <w:rStyle w:val="FootnoteReference"/>
        </w:rPr>
        <w:footnoteRef/>
      </w:r>
      <w:r w:rsidRPr="00D11FF4">
        <w:t xml:space="preserve"> Corte IDH. Caso Cuéllar Sandoval y otros Vs. El Salvador. Fondo, Reparaciones y Costas. Sentencia de 18 de marzo de 2024. Serie C No. 521, párr. 77</w:t>
      </w:r>
      <w:r w:rsidR="003E5B27">
        <w:t>.</w:t>
      </w:r>
    </w:p>
  </w:footnote>
  <w:footnote w:id="10">
    <w:p w14:paraId="18732D64" w14:textId="427DE76C" w:rsidR="009A7AF9" w:rsidRPr="00C85461" w:rsidRDefault="009A7AF9" w:rsidP="009A7AF9">
      <w:pPr>
        <w:pStyle w:val="Notasalpie"/>
      </w:pPr>
      <w:r>
        <w:rPr>
          <w:rStyle w:val="FootnoteReference"/>
        </w:rPr>
        <w:footnoteRef/>
      </w:r>
      <w:r w:rsidRPr="00C85461">
        <w:t xml:space="preserve"> </w:t>
      </w:r>
      <w:r>
        <w:t xml:space="preserve">Ver: CIDH, </w:t>
      </w:r>
      <w:r w:rsidRPr="00134393">
        <w:t>Hacia una política integral de protección a personas defensoras de derechos humanos</w:t>
      </w:r>
      <w:r>
        <w:t>, 30 de diciembre de 2017, párr. 115.</w:t>
      </w:r>
    </w:p>
  </w:footnote>
  <w:footnote w:id="11">
    <w:p w14:paraId="0EA580E8" w14:textId="0CB9481C" w:rsidR="00F303FF" w:rsidRPr="00F61B64" w:rsidRDefault="00F303FF" w:rsidP="00F303FF">
      <w:pPr>
        <w:pStyle w:val="FootnoteText"/>
        <w:ind w:firstLine="720"/>
        <w:jc w:val="both"/>
        <w:rPr>
          <w:rFonts w:ascii="Cambria" w:hAnsi="Cambria"/>
          <w:lang w:val="es-CO"/>
        </w:rPr>
      </w:pPr>
      <w:r w:rsidRPr="00844BEC">
        <w:rPr>
          <w:rStyle w:val="FootnoteReference"/>
          <w:rFonts w:ascii="Cambria" w:hAnsi="Cambria"/>
          <w:sz w:val="16"/>
          <w:szCs w:val="16"/>
        </w:rPr>
        <w:footnoteRef/>
      </w:r>
      <w:r w:rsidR="001C54CC">
        <w:rPr>
          <w:rFonts w:ascii="Cambria" w:hAnsi="Cambria"/>
          <w:sz w:val="16"/>
          <w:szCs w:val="16"/>
          <w:lang w:val="es-CO"/>
        </w:rPr>
        <w:t xml:space="preserve"> </w:t>
      </w:r>
      <w:r w:rsidR="001C54CC" w:rsidRPr="001C54CC">
        <w:rPr>
          <w:rFonts w:ascii="Cambria" w:hAnsi="Cambria"/>
          <w:sz w:val="16"/>
          <w:szCs w:val="16"/>
          <w:lang w:val="es-CO"/>
        </w:rPr>
        <w:t xml:space="preserve">CIDH, Informe No. 235/22. Petición. 991-10. Admisibilidad. Fabián Andrés Cáceres Palencia. Colombia. </w:t>
      </w:r>
      <w:r w:rsidR="001C54CC" w:rsidRPr="0024140A">
        <w:rPr>
          <w:rFonts w:ascii="Cambria" w:hAnsi="Cambria"/>
          <w:sz w:val="16"/>
          <w:szCs w:val="16"/>
          <w:lang w:val="es-ES"/>
        </w:rPr>
        <w:t>15 de septiembre de 2022</w:t>
      </w:r>
      <w:r w:rsidR="006928BB" w:rsidRPr="0024140A">
        <w:rPr>
          <w:rFonts w:ascii="Cambria" w:hAnsi="Cambria"/>
          <w:sz w:val="16"/>
          <w:szCs w:val="16"/>
          <w:lang w:val="es-ES"/>
        </w:rPr>
        <w:t>, párr. 24</w:t>
      </w:r>
      <w:r w:rsidRPr="00F61B64">
        <w:rPr>
          <w:rFonts w:ascii="Cambria" w:hAnsi="Cambria"/>
          <w:sz w:val="16"/>
          <w:szCs w:val="16"/>
          <w:lang w:val="es-CO"/>
        </w:rPr>
        <w:t>.</w:t>
      </w:r>
    </w:p>
  </w:footnote>
  <w:footnote w:id="12">
    <w:p w14:paraId="5F0BA5F4" w14:textId="77777777" w:rsidR="000D4BFD" w:rsidRPr="00F92122" w:rsidRDefault="000D4BFD" w:rsidP="000D4BFD">
      <w:pPr>
        <w:pStyle w:val="FootnoteText"/>
        <w:ind w:firstLine="720"/>
        <w:jc w:val="both"/>
        <w:rPr>
          <w:rFonts w:asciiTheme="majorHAnsi" w:hAnsiTheme="majorHAnsi"/>
          <w:lang w:val="es-CO"/>
        </w:rPr>
      </w:pPr>
      <w:r w:rsidRPr="00F92122">
        <w:rPr>
          <w:rStyle w:val="FootnoteReference"/>
          <w:rFonts w:asciiTheme="majorHAnsi" w:hAnsiTheme="majorHAnsi"/>
          <w:sz w:val="16"/>
          <w:szCs w:val="16"/>
        </w:rPr>
        <w:footnoteRef/>
      </w:r>
      <w:r w:rsidRPr="00692802">
        <w:rPr>
          <w:rFonts w:asciiTheme="majorHAnsi" w:hAnsiTheme="majorHAnsi"/>
          <w:sz w:val="16"/>
          <w:szCs w:val="16"/>
          <w:lang w:val="es-CO"/>
        </w:rPr>
        <w:t xml:space="preserve"> </w:t>
      </w:r>
      <w:r>
        <w:rPr>
          <w:rFonts w:asciiTheme="majorHAnsi" w:hAnsiTheme="majorHAnsi"/>
          <w:sz w:val="16"/>
          <w:szCs w:val="16"/>
          <w:lang w:val="es-CO"/>
        </w:rPr>
        <w:t xml:space="preserve">CIDH, </w:t>
      </w:r>
      <w:r w:rsidRPr="004F6B8D">
        <w:rPr>
          <w:rFonts w:asciiTheme="majorHAnsi" w:hAnsiTheme="majorHAnsi"/>
          <w:sz w:val="16"/>
          <w:szCs w:val="16"/>
          <w:lang w:val="es-CO"/>
        </w:rPr>
        <w:t>Informe sobre la situación de personas defensoras de derechos humanos y líderes sociales en Colombi</w:t>
      </w:r>
      <w:r>
        <w:rPr>
          <w:rFonts w:asciiTheme="majorHAnsi" w:hAnsiTheme="majorHAnsi"/>
          <w:sz w:val="16"/>
          <w:szCs w:val="16"/>
          <w:lang w:val="es-CO"/>
        </w:rPr>
        <w:t xml:space="preserve">a, </w:t>
      </w:r>
      <w:r w:rsidRPr="0057654B">
        <w:rPr>
          <w:rFonts w:asciiTheme="majorHAnsi" w:hAnsiTheme="majorHAnsi"/>
          <w:sz w:val="16"/>
          <w:szCs w:val="16"/>
          <w:lang w:val="es-CO"/>
        </w:rPr>
        <w:t>OEA/Ser.L/V/II. Doc.262/19</w:t>
      </w:r>
      <w:r>
        <w:rPr>
          <w:rFonts w:asciiTheme="majorHAnsi" w:hAnsiTheme="majorHAnsi"/>
          <w:sz w:val="16"/>
          <w:szCs w:val="16"/>
          <w:lang w:val="es-CO"/>
        </w:rPr>
        <w:t>, 6 de diciembre de 2019, párr. 95, p</w:t>
      </w:r>
      <w:r w:rsidRPr="00692802">
        <w:rPr>
          <w:rFonts w:asciiTheme="majorHAnsi" w:hAnsiTheme="majorHAnsi"/>
          <w:sz w:val="16"/>
          <w:szCs w:val="16"/>
          <w:lang w:val="es-CO"/>
        </w:rPr>
        <w:t>árr. 155, citando</w:t>
      </w:r>
      <w:r>
        <w:rPr>
          <w:rFonts w:asciiTheme="majorHAnsi" w:hAnsiTheme="majorHAnsi"/>
          <w:sz w:val="16"/>
          <w:szCs w:val="16"/>
          <w:lang w:val="es-CO"/>
        </w:rPr>
        <w:t>:</w:t>
      </w:r>
      <w:r w:rsidRPr="00692802">
        <w:rPr>
          <w:rFonts w:asciiTheme="majorHAnsi" w:hAnsiTheme="majorHAnsi"/>
          <w:sz w:val="16"/>
          <w:szCs w:val="16"/>
          <w:lang w:val="es-CO"/>
        </w:rPr>
        <w:t xml:space="preserve"> CIDH, Informe sobre la situación de las defensoras y defensores de los derechos humanos en las Américas, OEA/Ser.L/V/II.124, 7 marzo 2006, párr. </w:t>
      </w:r>
      <w:r w:rsidRPr="00C84BF5">
        <w:rPr>
          <w:rFonts w:asciiTheme="majorHAnsi" w:hAnsiTheme="majorHAnsi"/>
          <w:sz w:val="16"/>
          <w:szCs w:val="16"/>
          <w:lang w:val="es-CO"/>
        </w:rPr>
        <w:t>202 y 203.</w:t>
      </w:r>
    </w:p>
  </w:footnote>
  <w:footnote w:id="13">
    <w:p w14:paraId="3B531AFF" w14:textId="77777777" w:rsidR="0019665B" w:rsidRPr="00A11B3B" w:rsidRDefault="0019665B" w:rsidP="005F351F">
      <w:pPr>
        <w:pStyle w:val="Notasalpie"/>
      </w:pPr>
      <w:r w:rsidRPr="00A11B3B">
        <w:rPr>
          <w:rStyle w:val="FootnoteReference"/>
          <w:rFonts w:ascii="Cambria" w:hAnsi="Cambria"/>
        </w:rPr>
        <w:footnoteRef/>
      </w:r>
      <w:r w:rsidRPr="00A11B3B">
        <w:t xml:space="preserve"> Corte IDH</w:t>
      </w:r>
      <w:r>
        <w:t>,</w:t>
      </w:r>
      <w:r w:rsidRPr="00A11B3B">
        <w:t xml:space="preserve"> Caso Cabrera García y Montiel Flores Vs. México</w:t>
      </w:r>
      <w:r>
        <w:t>,</w:t>
      </w:r>
      <w:r w:rsidRPr="00A11B3B">
        <w:t xml:space="preserve"> Excepción Preliminar, Fondo, Reparaciones y Costas</w:t>
      </w:r>
      <w:r>
        <w:t>,</w:t>
      </w:r>
      <w:r w:rsidRPr="00A11B3B">
        <w:t xml:space="preserve"> Sentencia de 26 de noviembre de 2010</w:t>
      </w:r>
      <w:r>
        <w:t>,</w:t>
      </w:r>
      <w:r w:rsidRPr="00A11B3B">
        <w:t xml:space="preserve"> Serie C No. 220, párr. 18.</w:t>
      </w:r>
    </w:p>
  </w:footnote>
  <w:footnote w:id="14">
    <w:p w14:paraId="6FC36B74" w14:textId="77777777" w:rsidR="00137431" w:rsidRPr="00A11B3B" w:rsidRDefault="00137431" w:rsidP="005F351F">
      <w:pPr>
        <w:pStyle w:val="Notasalpie"/>
      </w:pPr>
      <w:r w:rsidRPr="00A11B3B">
        <w:rPr>
          <w:rStyle w:val="FootnoteReference"/>
          <w:rFonts w:ascii="Cambria" w:hAnsi="Cambria"/>
        </w:rPr>
        <w:footnoteRef/>
      </w:r>
      <w:r w:rsidRPr="00A11B3B">
        <w:t xml:space="preserve"> Corte IDH</w:t>
      </w:r>
      <w:r>
        <w:t>,</w:t>
      </w:r>
      <w:r w:rsidRPr="00A11B3B">
        <w:t xml:space="preserve"> Caso Cabrera García y Montiel Flores Vs. México</w:t>
      </w:r>
      <w:r>
        <w:t>,</w:t>
      </w:r>
      <w:r w:rsidRPr="00A11B3B">
        <w:t xml:space="preserve"> Excepción Preliminar, Fondo, Reparaciones y Costas</w:t>
      </w:r>
      <w:r>
        <w:t>,</w:t>
      </w:r>
      <w:r w:rsidRPr="00A11B3B">
        <w:t xml:space="preserve"> Sentencia de 26 de noviembre de 2010</w:t>
      </w:r>
      <w:r>
        <w:t>,</w:t>
      </w:r>
      <w:r w:rsidRPr="00A11B3B">
        <w:t xml:space="preserve"> Serie C No. 220, párr. 19.</w:t>
      </w:r>
    </w:p>
  </w:footnote>
  <w:footnote w:id="15">
    <w:p w14:paraId="36FE3F65" w14:textId="77777777" w:rsidR="00137431" w:rsidRPr="00A11B3B" w:rsidRDefault="00137431" w:rsidP="005F351F">
      <w:pPr>
        <w:pStyle w:val="Notasalpie"/>
      </w:pPr>
      <w:r w:rsidRPr="00A11B3B">
        <w:rPr>
          <w:rStyle w:val="FootnoteReference"/>
          <w:rFonts w:ascii="Cambria" w:hAnsi="Cambria"/>
        </w:rPr>
        <w:footnoteRef/>
      </w:r>
      <w:r w:rsidRPr="00A11B3B">
        <w:t xml:space="preserve"> Corte IDH. Caso Palma Mendoza y otros Vs. Ecuador. Excepción Preliminar y Fondo. Sentencia de 3 de septiembre de 2012. </w:t>
      </w:r>
      <w:r w:rsidRPr="00477282">
        <w:t xml:space="preserve">Serie C No. 247, párr. 18; Corte IDH . Caso Rosadio Villavicencio Vs. </w:t>
      </w:r>
      <w:r w:rsidRPr="00A11B3B">
        <w:t xml:space="preserve">Perú. Excepciones Preliminares, Fondo, Reparaciones y Costas. </w:t>
      </w:r>
      <w:r w:rsidRPr="00A11B3B">
        <w:rPr>
          <w:lang w:val="es-US"/>
        </w:rPr>
        <w:t xml:space="preserve">Sentencia de 14 de octubre de 2019. Serie C No. 388., párr. 24; </w:t>
      </w:r>
      <w:r w:rsidRPr="00A11B3B">
        <w:t xml:space="preserve">Corte IDH. Caso Cabrera García y Montiel Flores Vs. México. Excepción Preliminar, Fondo, Reparaciones y Costas. </w:t>
      </w:r>
      <w:r w:rsidRPr="00A11B3B">
        <w:rPr>
          <w:lang w:val="es-US"/>
        </w:rPr>
        <w:t>Sentencia de 26 de noviembre de 2010. Serie C No. 220, párr. 19.</w:t>
      </w:r>
    </w:p>
  </w:footnote>
  <w:footnote w:id="16">
    <w:p w14:paraId="16D3C84D" w14:textId="77777777" w:rsidR="007B396E" w:rsidRPr="00656834" w:rsidRDefault="007B396E" w:rsidP="003346C7">
      <w:pPr>
        <w:pStyle w:val="Notasalpie"/>
      </w:pPr>
      <w:r>
        <w:rPr>
          <w:rStyle w:val="FootnoteReference"/>
        </w:rPr>
        <w:footnoteRef/>
      </w:r>
      <w:r w:rsidRPr="003C2920">
        <w:t xml:space="preserve"> </w:t>
      </w:r>
      <w:r>
        <w:t xml:space="preserve">Corte IDH. </w:t>
      </w:r>
      <w:r w:rsidRPr="003C2920">
        <w:t xml:space="preserve">Caso Palacio Urrutia y otros Vs. Ecuador. Fondo, Reparaciones y Costas. </w:t>
      </w:r>
      <w:r w:rsidRPr="00287A70">
        <w:t>Sentencia de 24 de noviembre de 2021. Serie C No. 446, párr. 145.</w:t>
      </w:r>
    </w:p>
  </w:footnote>
  <w:footnote w:id="17">
    <w:p w14:paraId="55B7DDA8" w14:textId="77777777" w:rsidR="007B396E" w:rsidRPr="000C44B5" w:rsidRDefault="007B396E" w:rsidP="004D045F">
      <w:pPr>
        <w:pStyle w:val="Notasalpie"/>
      </w:pPr>
      <w:r>
        <w:rPr>
          <w:rStyle w:val="FootnoteReference"/>
        </w:rPr>
        <w:footnoteRef/>
      </w:r>
      <w:r w:rsidRPr="0021402E">
        <w:t xml:space="preserve"> Corte IDH. Caso Integrantes y Militantes de la Unión Patriótica Vs. Colombia. Excepciones Preliminares, Fondo, Reparaciones y Costas. Sentencia de 27 de julio de 2022. </w:t>
      </w:r>
      <w:r w:rsidRPr="00755130">
        <w:t xml:space="preserve">Serie C No. 455, párr. 383; y, Caso Valle Jaramillo y otros Vs. Colombia. Fondo, Reparaciones y Costas. Sentencia de 27 de noviembre de 2008. </w:t>
      </w:r>
      <w:r w:rsidRPr="00287A70">
        <w:t xml:space="preserve">Serie C No. 192, párr. </w:t>
      </w:r>
      <w:r w:rsidRPr="008C7FA5">
        <w:t>139.</w:t>
      </w:r>
    </w:p>
  </w:footnote>
  <w:footnote w:id="18">
    <w:p w14:paraId="09BF4BE7" w14:textId="77777777" w:rsidR="007B396E" w:rsidRPr="00112FC8" w:rsidRDefault="007B396E" w:rsidP="004D045F">
      <w:pPr>
        <w:pStyle w:val="Notasalpie"/>
      </w:pPr>
      <w:r>
        <w:rPr>
          <w:rStyle w:val="FootnoteReference"/>
        </w:rPr>
        <w:footnoteRef/>
      </w:r>
      <w:r w:rsidRPr="00EF765E">
        <w:t xml:space="preserve"> </w:t>
      </w:r>
      <w:r w:rsidRPr="005E037D">
        <w:t xml:space="preserve">Corte IDH. Caso Baptiste y otros Vs. </w:t>
      </w:r>
      <w:r w:rsidRPr="00DC74CF">
        <w:t xml:space="preserve">Haití. Fondo y Reparaciones. Sentencia de 1 de septiembre de 2023. </w:t>
      </w:r>
      <w:r w:rsidRPr="00287A70">
        <w:t>Serie C No. 503, párr.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33B9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7E0C22F8"/>
    <w:lvl w:ilvl="0" w:tplc="CD2CCFA6">
      <w:start w:val="1"/>
      <w:numFmt w:val="decimal"/>
      <w:pStyle w:val="parrafos"/>
      <w:lvlText w:val="%1."/>
      <w:lvlJc w:val="left"/>
      <w:pPr>
        <w:ind w:left="360" w:hanging="360"/>
      </w:pPr>
      <w:rPr>
        <w:rFonts w:ascii="Cambria" w:hAnsi="Cambria" w:hint="default"/>
        <w:b w:val="0"/>
        <w:sz w:val="20"/>
        <w:szCs w:val="20"/>
        <w:lang w:val="es-C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7AD83588"/>
    <w:lvl w:ilvl="0" w:tplc="EE24A05C">
      <w:start w:val="1"/>
      <w:numFmt w:val="decimal"/>
      <w:lvlText w:val="%1."/>
      <w:lvlJc w:val="left"/>
      <w:pPr>
        <w:ind w:left="1440" w:hanging="720"/>
      </w:pPr>
      <w:rPr>
        <w:rFonts w:asciiTheme="majorHAnsi" w:hAnsiTheme="majorHAnsi" w:hint="default"/>
        <w:b w:val="0"/>
        <w:bCs w:val="0"/>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CC3363"/>
    <w:multiLevelType w:val="multilevel"/>
    <w:tmpl w:val="094030E4"/>
    <w:lvl w:ilvl="0">
      <w:start w:val="3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9"/>
  </w:num>
  <w:num w:numId="4" w16cid:durableId="2018339747">
    <w:abstractNumId w:val="21"/>
  </w:num>
  <w:num w:numId="5" w16cid:durableId="368341374">
    <w:abstractNumId w:val="51"/>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8"/>
  </w:num>
  <w:num w:numId="46" w16cid:durableId="1387951419">
    <w:abstractNumId w:val="60"/>
  </w:num>
  <w:num w:numId="47" w16cid:durableId="648510715">
    <w:abstractNumId w:val="61"/>
  </w:num>
  <w:num w:numId="48" w16cid:durableId="1806315575">
    <w:abstractNumId w:val="62"/>
  </w:num>
  <w:num w:numId="49" w16cid:durableId="1682586011">
    <w:abstractNumId w:val="63"/>
  </w:num>
  <w:num w:numId="50" w16cid:durableId="2025083079">
    <w:abstractNumId w:val="64"/>
  </w:num>
  <w:num w:numId="51" w16cid:durableId="530342504">
    <w:abstractNumId w:val="20"/>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413744366">
    <w:abstractNumId w:val="22"/>
  </w:num>
  <w:num w:numId="64" w16cid:durableId="2036494085">
    <w:abstractNumId w:val="57"/>
  </w:num>
  <w:num w:numId="65"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0793F"/>
    <w:rsid w:val="00010066"/>
    <w:rsid w:val="0001788C"/>
    <w:rsid w:val="0002204C"/>
    <w:rsid w:val="0002349D"/>
    <w:rsid w:val="00023E87"/>
    <w:rsid w:val="000337EF"/>
    <w:rsid w:val="0004046D"/>
    <w:rsid w:val="00040C3A"/>
    <w:rsid w:val="000419AD"/>
    <w:rsid w:val="000433C9"/>
    <w:rsid w:val="000436C5"/>
    <w:rsid w:val="00044299"/>
    <w:rsid w:val="0005075F"/>
    <w:rsid w:val="00051224"/>
    <w:rsid w:val="000619E3"/>
    <w:rsid w:val="00061E0F"/>
    <w:rsid w:val="00067DA4"/>
    <w:rsid w:val="00071174"/>
    <w:rsid w:val="000716C5"/>
    <w:rsid w:val="00075E23"/>
    <w:rsid w:val="0008158C"/>
    <w:rsid w:val="0008397C"/>
    <w:rsid w:val="00085C22"/>
    <w:rsid w:val="00085E47"/>
    <w:rsid w:val="0009344A"/>
    <w:rsid w:val="00096AE6"/>
    <w:rsid w:val="000A300F"/>
    <w:rsid w:val="000A392E"/>
    <w:rsid w:val="000A539A"/>
    <w:rsid w:val="000A5740"/>
    <w:rsid w:val="000A575F"/>
    <w:rsid w:val="000B030E"/>
    <w:rsid w:val="000B05C3"/>
    <w:rsid w:val="000B40F5"/>
    <w:rsid w:val="000C02E9"/>
    <w:rsid w:val="000C2650"/>
    <w:rsid w:val="000C2A03"/>
    <w:rsid w:val="000D05CB"/>
    <w:rsid w:val="000D10DB"/>
    <w:rsid w:val="000D4BFD"/>
    <w:rsid w:val="000E14A5"/>
    <w:rsid w:val="000E1ED6"/>
    <w:rsid w:val="000E3794"/>
    <w:rsid w:val="000E5EB5"/>
    <w:rsid w:val="000E7056"/>
    <w:rsid w:val="000F35ED"/>
    <w:rsid w:val="000F3898"/>
    <w:rsid w:val="000F3DB9"/>
    <w:rsid w:val="001004FE"/>
    <w:rsid w:val="0010097F"/>
    <w:rsid w:val="00103515"/>
    <w:rsid w:val="00103C37"/>
    <w:rsid w:val="00107131"/>
    <w:rsid w:val="0010736F"/>
    <w:rsid w:val="00113F73"/>
    <w:rsid w:val="00116BE9"/>
    <w:rsid w:val="00121CC2"/>
    <w:rsid w:val="00123D92"/>
    <w:rsid w:val="00125980"/>
    <w:rsid w:val="0012608B"/>
    <w:rsid w:val="00131425"/>
    <w:rsid w:val="00133EE5"/>
    <w:rsid w:val="00137431"/>
    <w:rsid w:val="00144893"/>
    <w:rsid w:val="001454A8"/>
    <w:rsid w:val="00145D8D"/>
    <w:rsid w:val="00151421"/>
    <w:rsid w:val="00153BC5"/>
    <w:rsid w:val="00154BEB"/>
    <w:rsid w:val="00154E96"/>
    <w:rsid w:val="00156E0C"/>
    <w:rsid w:val="00157709"/>
    <w:rsid w:val="0016056A"/>
    <w:rsid w:val="0016210C"/>
    <w:rsid w:val="00163C6D"/>
    <w:rsid w:val="001641D9"/>
    <w:rsid w:val="00167A34"/>
    <w:rsid w:val="00171F04"/>
    <w:rsid w:val="00177DE1"/>
    <w:rsid w:val="00182BCF"/>
    <w:rsid w:val="0018680B"/>
    <w:rsid w:val="00192E6F"/>
    <w:rsid w:val="0019665B"/>
    <w:rsid w:val="001975B2"/>
    <w:rsid w:val="001A1311"/>
    <w:rsid w:val="001A2A58"/>
    <w:rsid w:val="001A520D"/>
    <w:rsid w:val="001A5531"/>
    <w:rsid w:val="001A7870"/>
    <w:rsid w:val="001B007B"/>
    <w:rsid w:val="001B3611"/>
    <w:rsid w:val="001B3A00"/>
    <w:rsid w:val="001B478B"/>
    <w:rsid w:val="001B75B3"/>
    <w:rsid w:val="001C1B41"/>
    <w:rsid w:val="001C2412"/>
    <w:rsid w:val="001C54CC"/>
    <w:rsid w:val="001D3956"/>
    <w:rsid w:val="001D65EF"/>
    <w:rsid w:val="001D7F96"/>
    <w:rsid w:val="001E49E7"/>
    <w:rsid w:val="001F7201"/>
    <w:rsid w:val="00204D14"/>
    <w:rsid w:val="002054F9"/>
    <w:rsid w:val="00223A29"/>
    <w:rsid w:val="002250A3"/>
    <w:rsid w:val="00235217"/>
    <w:rsid w:val="002365BC"/>
    <w:rsid w:val="002378BD"/>
    <w:rsid w:val="00240461"/>
    <w:rsid w:val="0024140A"/>
    <w:rsid w:val="0024144A"/>
    <w:rsid w:val="002465A7"/>
    <w:rsid w:val="00246D1F"/>
    <w:rsid w:val="00247403"/>
    <w:rsid w:val="00247542"/>
    <w:rsid w:val="00252CDF"/>
    <w:rsid w:val="00253528"/>
    <w:rsid w:val="00254B94"/>
    <w:rsid w:val="002602C9"/>
    <w:rsid w:val="00262B22"/>
    <w:rsid w:val="00266B61"/>
    <w:rsid w:val="00267127"/>
    <w:rsid w:val="0026712A"/>
    <w:rsid w:val="002704DB"/>
    <w:rsid w:val="002755EC"/>
    <w:rsid w:val="002807CA"/>
    <w:rsid w:val="00282A25"/>
    <w:rsid w:val="00284DE2"/>
    <w:rsid w:val="00284FFA"/>
    <w:rsid w:val="00290748"/>
    <w:rsid w:val="002930B5"/>
    <w:rsid w:val="00293516"/>
    <w:rsid w:val="00295B97"/>
    <w:rsid w:val="002A0AAE"/>
    <w:rsid w:val="002A14E4"/>
    <w:rsid w:val="002A37AE"/>
    <w:rsid w:val="002A40FA"/>
    <w:rsid w:val="002A5133"/>
    <w:rsid w:val="002A5820"/>
    <w:rsid w:val="002B2450"/>
    <w:rsid w:val="002C0BEB"/>
    <w:rsid w:val="002C172D"/>
    <w:rsid w:val="002C3F58"/>
    <w:rsid w:val="002C5904"/>
    <w:rsid w:val="002C600F"/>
    <w:rsid w:val="002C7890"/>
    <w:rsid w:val="002D18B2"/>
    <w:rsid w:val="002D2B26"/>
    <w:rsid w:val="002D4732"/>
    <w:rsid w:val="002D6DCE"/>
    <w:rsid w:val="002D70A3"/>
    <w:rsid w:val="002D7EA2"/>
    <w:rsid w:val="002E187C"/>
    <w:rsid w:val="002E4D74"/>
    <w:rsid w:val="002E5A4F"/>
    <w:rsid w:val="002F3F34"/>
    <w:rsid w:val="00300750"/>
    <w:rsid w:val="00302733"/>
    <w:rsid w:val="00305835"/>
    <w:rsid w:val="00306F33"/>
    <w:rsid w:val="00314078"/>
    <w:rsid w:val="0031535D"/>
    <w:rsid w:val="00315DA0"/>
    <w:rsid w:val="00320FAB"/>
    <w:rsid w:val="003239B8"/>
    <w:rsid w:val="00323DD5"/>
    <w:rsid w:val="00324E25"/>
    <w:rsid w:val="00330937"/>
    <w:rsid w:val="0033169F"/>
    <w:rsid w:val="003323F3"/>
    <w:rsid w:val="00333BF3"/>
    <w:rsid w:val="003346C7"/>
    <w:rsid w:val="00334D9D"/>
    <w:rsid w:val="00335D68"/>
    <w:rsid w:val="00337085"/>
    <w:rsid w:val="00337933"/>
    <w:rsid w:val="00343B96"/>
    <w:rsid w:val="00344977"/>
    <w:rsid w:val="00346C95"/>
    <w:rsid w:val="003471E1"/>
    <w:rsid w:val="0035091E"/>
    <w:rsid w:val="0035179C"/>
    <w:rsid w:val="0035236F"/>
    <w:rsid w:val="00356185"/>
    <w:rsid w:val="00360380"/>
    <w:rsid w:val="00361DEA"/>
    <w:rsid w:val="003650F7"/>
    <w:rsid w:val="0036564C"/>
    <w:rsid w:val="0037519E"/>
    <w:rsid w:val="003779D2"/>
    <w:rsid w:val="00386CF0"/>
    <w:rsid w:val="00394073"/>
    <w:rsid w:val="003B43E3"/>
    <w:rsid w:val="003B605D"/>
    <w:rsid w:val="003B70FB"/>
    <w:rsid w:val="003B795E"/>
    <w:rsid w:val="003C06D5"/>
    <w:rsid w:val="003C676B"/>
    <w:rsid w:val="003C6893"/>
    <w:rsid w:val="003D0050"/>
    <w:rsid w:val="003D2F4A"/>
    <w:rsid w:val="003D3566"/>
    <w:rsid w:val="003D3BC2"/>
    <w:rsid w:val="003D481C"/>
    <w:rsid w:val="003D6AEB"/>
    <w:rsid w:val="003E2826"/>
    <w:rsid w:val="003E5B27"/>
    <w:rsid w:val="003E6CA1"/>
    <w:rsid w:val="003F0B30"/>
    <w:rsid w:val="003F1817"/>
    <w:rsid w:val="003F27AE"/>
    <w:rsid w:val="003F36A8"/>
    <w:rsid w:val="003F5154"/>
    <w:rsid w:val="00405F9C"/>
    <w:rsid w:val="004065A8"/>
    <w:rsid w:val="00411211"/>
    <w:rsid w:val="004144E6"/>
    <w:rsid w:val="00414C6D"/>
    <w:rsid w:val="00415D02"/>
    <w:rsid w:val="004165C2"/>
    <w:rsid w:val="004169B8"/>
    <w:rsid w:val="0042039A"/>
    <w:rsid w:val="00422E36"/>
    <w:rsid w:val="004241A0"/>
    <w:rsid w:val="00425A9A"/>
    <w:rsid w:val="00425BAB"/>
    <w:rsid w:val="00441ECB"/>
    <w:rsid w:val="00445193"/>
    <w:rsid w:val="00445C74"/>
    <w:rsid w:val="00452ACC"/>
    <w:rsid w:val="00452C11"/>
    <w:rsid w:val="00457E4E"/>
    <w:rsid w:val="00460E1F"/>
    <w:rsid w:val="00462C1B"/>
    <w:rsid w:val="004670CF"/>
    <w:rsid w:val="00467B7E"/>
    <w:rsid w:val="00473BB4"/>
    <w:rsid w:val="00477282"/>
    <w:rsid w:val="00477592"/>
    <w:rsid w:val="00477887"/>
    <w:rsid w:val="004863A4"/>
    <w:rsid w:val="00486F1C"/>
    <w:rsid w:val="0049003A"/>
    <w:rsid w:val="00491EF5"/>
    <w:rsid w:val="0049419D"/>
    <w:rsid w:val="00496391"/>
    <w:rsid w:val="00496454"/>
    <w:rsid w:val="004A057B"/>
    <w:rsid w:val="004A0EFC"/>
    <w:rsid w:val="004A118D"/>
    <w:rsid w:val="004A12BB"/>
    <w:rsid w:val="004A1413"/>
    <w:rsid w:val="004A1AE2"/>
    <w:rsid w:val="004A6A54"/>
    <w:rsid w:val="004B2086"/>
    <w:rsid w:val="004B421C"/>
    <w:rsid w:val="004C03B0"/>
    <w:rsid w:val="004C0DD6"/>
    <w:rsid w:val="004C20D2"/>
    <w:rsid w:val="004C2312"/>
    <w:rsid w:val="004C4AAB"/>
    <w:rsid w:val="004C4B62"/>
    <w:rsid w:val="004C54C9"/>
    <w:rsid w:val="004D045F"/>
    <w:rsid w:val="004D20B4"/>
    <w:rsid w:val="004D4998"/>
    <w:rsid w:val="004D4ABA"/>
    <w:rsid w:val="004D6025"/>
    <w:rsid w:val="004D6FF6"/>
    <w:rsid w:val="004E2649"/>
    <w:rsid w:val="004E5CB8"/>
    <w:rsid w:val="004F4BC2"/>
    <w:rsid w:val="004F626F"/>
    <w:rsid w:val="004F6EE0"/>
    <w:rsid w:val="00501399"/>
    <w:rsid w:val="005047ED"/>
    <w:rsid w:val="00505C75"/>
    <w:rsid w:val="0050633D"/>
    <w:rsid w:val="00507BC4"/>
    <w:rsid w:val="005128E4"/>
    <w:rsid w:val="005133DB"/>
    <w:rsid w:val="00514504"/>
    <w:rsid w:val="00514B7E"/>
    <w:rsid w:val="005173A3"/>
    <w:rsid w:val="0052017D"/>
    <w:rsid w:val="00521E1F"/>
    <w:rsid w:val="005240BF"/>
    <w:rsid w:val="00525560"/>
    <w:rsid w:val="00532825"/>
    <w:rsid w:val="00541843"/>
    <w:rsid w:val="00544C49"/>
    <w:rsid w:val="00545DD3"/>
    <w:rsid w:val="00547F5C"/>
    <w:rsid w:val="005516A1"/>
    <w:rsid w:val="00551E10"/>
    <w:rsid w:val="005559EF"/>
    <w:rsid w:val="00556A78"/>
    <w:rsid w:val="00561994"/>
    <w:rsid w:val="00563557"/>
    <w:rsid w:val="005722FD"/>
    <w:rsid w:val="0057360B"/>
    <w:rsid w:val="00573DE6"/>
    <w:rsid w:val="0057402A"/>
    <w:rsid w:val="00576BD2"/>
    <w:rsid w:val="005771D0"/>
    <w:rsid w:val="0058141A"/>
    <w:rsid w:val="00581BAB"/>
    <w:rsid w:val="005851FF"/>
    <w:rsid w:val="00586675"/>
    <w:rsid w:val="00587D20"/>
    <w:rsid w:val="0059191A"/>
    <w:rsid w:val="005921FF"/>
    <w:rsid w:val="00594DFE"/>
    <w:rsid w:val="005A02B2"/>
    <w:rsid w:val="005A1531"/>
    <w:rsid w:val="005A24ED"/>
    <w:rsid w:val="005A5C8A"/>
    <w:rsid w:val="005A6D0E"/>
    <w:rsid w:val="005A6DDA"/>
    <w:rsid w:val="005B053F"/>
    <w:rsid w:val="005B0E99"/>
    <w:rsid w:val="005B52B0"/>
    <w:rsid w:val="005B53CA"/>
    <w:rsid w:val="005B6806"/>
    <w:rsid w:val="005C4225"/>
    <w:rsid w:val="005C7344"/>
    <w:rsid w:val="005D3FB3"/>
    <w:rsid w:val="005E1FA3"/>
    <w:rsid w:val="005E60C9"/>
    <w:rsid w:val="005F0DAD"/>
    <w:rsid w:val="005F0F33"/>
    <w:rsid w:val="005F13D9"/>
    <w:rsid w:val="005F351F"/>
    <w:rsid w:val="00600DEB"/>
    <w:rsid w:val="00600F4B"/>
    <w:rsid w:val="006054A1"/>
    <w:rsid w:val="00610D12"/>
    <w:rsid w:val="0061770C"/>
    <w:rsid w:val="00620B7D"/>
    <w:rsid w:val="006264D4"/>
    <w:rsid w:val="00627C9F"/>
    <w:rsid w:val="00630F26"/>
    <w:rsid w:val="006311E9"/>
    <w:rsid w:val="00632354"/>
    <w:rsid w:val="0063516A"/>
    <w:rsid w:val="00635421"/>
    <w:rsid w:val="00636744"/>
    <w:rsid w:val="00642810"/>
    <w:rsid w:val="006443FB"/>
    <w:rsid w:val="00651BB3"/>
    <w:rsid w:val="00652333"/>
    <w:rsid w:val="006579B4"/>
    <w:rsid w:val="006721CA"/>
    <w:rsid w:val="0067228F"/>
    <w:rsid w:val="0067758E"/>
    <w:rsid w:val="0068009E"/>
    <w:rsid w:val="00682A6C"/>
    <w:rsid w:val="00682EA5"/>
    <w:rsid w:val="006845D1"/>
    <w:rsid w:val="00692219"/>
    <w:rsid w:val="006928BB"/>
    <w:rsid w:val="00695EF7"/>
    <w:rsid w:val="006A17D2"/>
    <w:rsid w:val="006A73E6"/>
    <w:rsid w:val="006B128D"/>
    <w:rsid w:val="006B1349"/>
    <w:rsid w:val="006B22E4"/>
    <w:rsid w:val="006B2D5C"/>
    <w:rsid w:val="006C0ECF"/>
    <w:rsid w:val="006C20EC"/>
    <w:rsid w:val="006C4EB1"/>
    <w:rsid w:val="006C62A5"/>
    <w:rsid w:val="006C66F1"/>
    <w:rsid w:val="006E0166"/>
    <w:rsid w:val="006E2FFB"/>
    <w:rsid w:val="006E621A"/>
    <w:rsid w:val="006E7B34"/>
    <w:rsid w:val="00701C57"/>
    <w:rsid w:val="00704ADE"/>
    <w:rsid w:val="0070697F"/>
    <w:rsid w:val="007103C4"/>
    <w:rsid w:val="00714A6F"/>
    <w:rsid w:val="007157F9"/>
    <w:rsid w:val="007165F1"/>
    <w:rsid w:val="0072199C"/>
    <w:rsid w:val="0072216B"/>
    <w:rsid w:val="007221E9"/>
    <w:rsid w:val="00722A8F"/>
    <w:rsid w:val="00722C9F"/>
    <w:rsid w:val="0072417B"/>
    <w:rsid w:val="00724499"/>
    <w:rsid w:val="007253B8"/>
    <w:rsid w:val="0072692C"/>
    <w:rsid w:val="00726F8C"/>
    <w:rsid w:val="00733BA0"/>
    <w:rsid w:val="0073598C"/>
    <w:rsid w:val="0073741F"/>
    <w:rsid w:val="007510DF"/>
    <w:rsid w:val="00752D9F"/>
    <w:rsid w:val="00762E51"/>
    <w:rsid w:val="0076417C"/>
    <w:rsid w:val="007641E4"/>
    <w:rsid w:val="0076643F"/>
    <w:rsid w:val="00772AFD"/>
    <w:rsid w:val="00775BC2"/>
    <w:rsid w:val="00777278"/>
    <w:rsid w:val="00777F63"/>
    <w:rsid w:val="00782DF6"/>
    <w:rsid w:val="0079188B"/>
    <w:rsid w:val="00797743"/>
    <w:rsid w:val="007A4736"/>
    <w:rsid w:val="007A5817"/>
    <w:rsid w:val="007A700B"/>
    <w:rsid w:val="007B05C4"/>
    <w:rsid w:val="007B0CFE"/>
    <w:rsid w:val="007B396E"/>
    <w:rsid w:val="007B60E9"/>
    <w:rsid w:val="007B6CC3"/>
    <w:rsid w:val="007B76D3"/>
    <w:rsid w:val="007C0B9B"/>
    <w:rsid w:val="007C0EAB"/>
    <w:rsid w:val="007C3334"/>
    <w:rsid w:val="007C72C7"/>
    <w:rsid w:val="007D1594"/>
    <w:rsid w:val="007D2ABC"/>
    <w:rsid w:val="007D2B98"/>
    <w:rsid w:val="007E10E4"/>
    <w:rsid w:val="007E16AE"/>
    <w:rsid w:val="007E21BC"/>
    <w:rsid w:val="007E35F0"/>
    <w:rsid w:val="007E50B8"/>
    <w:rsid w:val="007E7C82"/>
    <w:rsid w:val="007F28AC"/>
    <w:rsid w:val="007F2AA1"/>
    <w:rsid w:val="007F2ABB"/>
    <w:rsid w:val="007F34D1"/>
    <w:rsid w:val="007F588D"/>
    <w:rsid w:val="0080029C"/>
    <w:rsid w:val="00801F26"/>
    <w:rsid w:val="00803F1C"/>
    <w:rsid w:val="00803F84"/>
    <w:rsid w:val="0080600E"/>
    <w:rsid w:val="00813B00"/>
    <w:rsid w:val="00814688"/>
    <w:rsid w:val="008174B7"/>
    <w:rsid w:val="00817612"/>
    <w:rsid w:val="00825DFD"/>
    <w:rsid w:val="00825F96"/>
    <w:rsid w:val="008274E7"/>
    <w:rsid w:val="00827FC0"/>
    <w:rsid w:val="0083382B"/>
    <w:rsid w:val="008338A4"/>
    <w:rsid w:val="00834D49"/>
    <w:rsid w:val="00837C45"/>
    <w:rsid w:val="00844730"/>
    <w:rsid w:val="008457C2"/>
    <w:rsid w:val="00850739"/>
    <w:rsid w:val="008509D7"/>
    <w:rsid w:val="00853368"/>
    <w:rsid w:val="00857A82"/>
    <w:rsid w:val="00861628"/>
    <w:rsid w:val="00873836"/>
    <w:rsid w:val="00873BC3"/>
    <w:rsid w:val="008816F1"/>
    <w:rsid w:val="00885737"/>
    <w:rsid w:val="00890650"/>
    <w:rsid w:val="00890DA0"/>
    <w:rsid w:val="00891885"/>
    <w:rsid w:val="008918B5"/>
    <w:rsid w:val="008944DC"/>
    <w:rsid w:val="00894895"/>
    <w:rsid w:val="00897E12"/>
    <w:rsid w:val="008A7E0F"/>
    <w:rsid w:val="008B12F5"/>
    <w:rsid w:val="008B694B"/>
    <w:rsid w:val="008C5E2D"/>
    <w:rsid w:val="008D42FF"/>
    <w:rsid w:val="008D54D6"/>
    <w:rsid w:val="008D768D"/>
    <w:rsid w:val="008E35DB"/>
    <w:rsid w:val="008E3759"/>
    <w:rsid w:val="008E3BFE"/>
    <w:rsid w:val="008E3D48"/>
    <w:rsid w:val="008F00D8"/>
    <w:rsid w:val="008F1912"/>
    <w:rsid w:val="00901503"/>
    <w:rsid w:val="00901A9B"/>
    <w:rsid w:val="0090270B"/>
    <w:rsid w:val="009041DC"/>
    <w:rsid w:val="00914BFB"/>
    <w:rsid w:val="00917B5A"/>
    <w:rsid w:val="00920A58"/>
    <w:rsid w:val="00920A8C"/>
    <w:rsid w:val="00921FEF"/>
    <w:rsid w:val="00924F00"/>
    <w:rsid w:val="00926882"/>
    <w:rsid w:val="009317F4"/>
    <w:rsid w:val="00934004"/>
    <w:rsid w:val="00934A2C"/>
    <w:rsid w:val="00935F28"/>
    <w:rsid w:val="00946CDF"/>
    <w:rsid w:val="009505C1"/>
    <w:rsid w:val="00950C33"/>
    <w:rsid w:val="00955016"/>
    <w:rsid w:val="00957BCD"/>
    <w:rsid w:val="00962610"/>
    <w:rsid w:val="009660AD"/>
    <w:rsid w:val="00966898"/>
    <w:rsid w:val="0096706E"/>
    <w:rsid w:val="009674C6"/>
    <w:rsid w:val="00972426"/>
    <w:rsid w:val="00974276"/>
    <w:rsid w:val="00974491"/>
    <w:rsid w:val="009744DD"/>
    <w:rsid w:val="00975AE3"/>
    <w:rsid w:val="00975C4E"/>
    <w:rsid w:val="00981FBA"/>
    <w:rsid w:val="00983D3C"/>
    <w:rsid w:val="009841F3"/>
    <w:rsid w:val="009901FF"/>
    <w:rsid w:val="00997BC5"/>
    <w:rsid w:val="009A4F41"/>
    <w:rsid w:val="009A56CE"/>
    <w:rsid w:val="009A7AF9"/>
    <w:rsid w:val="009B381B"/>
    <w:rsid w:val="009B5298"/>
    <w:rsid w:val="009B6414"/>
    <w:rsid w:val="009C3E53"/>
    <w:rsid w:val="009D1753"/>
    <w:rsid w:val="009D59B9"/>
    <w:rsid w:val="009D7611"/>
    <w:rsid w:val="009E0B61"/>
    <w:rsid w:val="009E4EBF"/>
    <w:rsid w:val="009E53DE"/>
    <w:rsid w:val="009F7736"/>
    <w:rsid w:val="00A000F7"/>
    <w:rsid w:val="00A03F6A"/>
    <w:rsid w:val="00A11212"/>
    <w:rsid w:val="00A11E44"/>
    <w:rsid w:val="00A15562"/>
    <w:rsid w:val="00A15958"/>
    <w:rsid w:val="00A171DA"/>
    <w:rsid w:val="00A247B4"/>
    <w:rsid w:val="00A26A71"/>
    <w:rsid w:val="00A30100"/>
    <w:rsid w:val="00A328B3"/>
    <w:rsid w:val="00A3449F"/>
    <w:rsid w:val="00A37D80"/>
    <w:rsid w:val="00A404E3"/>
    <w:rsid w:val="00A40D2B"/>
    <w:rsid w:val="00A50FCF"/>
    <w:rsid w:val="00A528D1"/>
    <w:rsid w:val="00A5350C"/>
    <w:rsid w:val="00A560A4"/>
    <w:rsid w:val="00A56F98"/>
    <w:rsid w:val="00A610CD"/>
    <w:rsid w:val="00A725A0"/>
    <w:rsid w:val="00A75107"/>
    <w:rsid w:val="00A758AA"/>
    <w:rsid w:val="00A768DF"/>
    <w:rsid w:val="00A81FCB"/>
    <w:rsid w:val="00A90B8C"/>
    <w:rsid w:val="00A955DA"/>
    <w:rsid w:val="00A95C23"/>
    <w:rsid w:val="00AA09A2"/>
    <w:rsid w:val="00AA18F2"/>
    <w:rsid w:val="00AA2E15"/>
    <w:rsid w:val="00AA4F63"/>
    <w:rsid w:val="00AA7996"/>
    <w:rsid w:val="00AA7A08"/>
    <w:rsid w:val="00AB43CB"/>
    <w:rsid w:val="00AB5D19"/>
    <w:rsid w:val="00AC19CB"/>
    <w:rsid w:val="00AD362F"/>
    <w:rsid w:val="00AE15C0"/>
    <w:rsid w:val="00AE31BB"/>
    <w:rsid w:val="00AE4012"/>
    <w:rsid w:val="00AE486D"/>
    <w:rsid w:val="00AE5488"/>
    <w:rsid w:val="00AE628D"/>
    <w:rsid w:val="00AE6F91"/>
    <w:rsid w:val="00AE7A5C"/>
    <w:rsid w:val="00AF29B9"/>
    <w:rsid w:val="00AF5571"/>
    <w:rsid w:val="00B013E2"/>
    <w:rsid w:val="00B03061"/>
    <w:rsid w:val="00B04818"/>
    <w:rsid w:val="00B04833"/>
    <w:rsid w:val="00B06E90"/>
    <w:rsid w:val="00B07341"/>
    <w:rsid w:val="00B1054D"/>
    <w:rsid w:val="00B1205A"/>
    <w:rsid w:val="00B13EEB"/>
    <w:rsid w:val="00B25EB5"/>
    <w:rsid w:val="00B30539"/>
    <w:rsid w:val="00B314DB"/>
    <w:rsid w:val="00B33B91"/>
    <w:rsid w:val="00B3444D"/>
    <w:rsid w:val="00B361F2"/>
    <w:rsid w:val="00B3718B"/>
    <w:rsid w:val="00B3745F"/>
    <w:rsid w:val="00B4027D"/>
    <w:rsid w:val="00B41355"/>
    <w:rsid w:val="00B41EF4"/>
    <w:rsid w:val="00B457FC"/>
    <w:rsid w:val="00B45873"/>
    <w:rsid w:val="00B4632A"/>
    <w:rsid w:val="00B47581"/>
    <w:rsid w:val="00B530F1"/>
    <w:rsid w:val="00B553F0"/>
    <w:rsid w:val="00B55FCD"/>
    <w:rsid w:val="00B62316"/>
    <w:rsid w:val="00B6538B"/>
    <w:rsid w:val="00B72099"/>
    <w:rsid w:val="00B73F5F"/>
    <w:rsid w:val="00B74C04"/>
    <w:rsid w:val="00B7578B"/>
    <w:rsid w:val="00B76383"/>
    <w:rsid w:val="00B84D63"/>
    <w:rsid w:val="00B87107"/>
    <w:rsid w:val="00B9128D"/>
    <w:rsid w:val="00B93D7F"/>
    <w:rsid w:val="00BA276C"/>
    <w:rsid w:val="00BA2DC9"/>
    <w:rsid w:val="00BA5C20"/>
    <w:rsid w:val="00BB019D"/>
    <w:rsid w:val="00BB306F"/>
    <w:rsid w:val="00BB6912"/>
    <w:rsid w:val="00BC138A"/>
    <w:rsid w:val="00BC161A"/>
    <w:rsid w:val="00BC3AFE"/>
    <w:rsid w:val="00BC3CFC"/>
    <w:rsid w:val="00BD01E9"/>
    <w:rsid w:val="00BD0FF5"/>
    <w:rsid w:val="00BD4787"/>
    <w:rsid w:val="00BD4B89"/>
    <w:rsid w:val="00BD549A"/>
    <w:rsid w:val="00BD5922"/>
    <w:rsid w:val="00BE0D82"/>
    <w:rsid w:val="00BE2F42"/>
    <w:rsid w:val="00BE335C"/>
    <w:rsid w:val="00BE56EA"/>
    <w:rsid w:val="00BE5CF8"/>
    <w:rsid w:val="00BE5E77"/>
    <w:rsid w:val="00BE713D"/>
    <w:rsid w:val="00BF02CB"/>
    <w:rsid w:val="00BF134A"/>
    <w:rsid w:val="00BF4DFC"/>
    <w:rsid w:val="00BF6FD8"/>
    <w:rsid w:val="00C03680"/>
    <w:rsid w:val="00C054DF"/>
    <w:rsid w:val="00C1103E"/>
    <w:rsid w:val="00C127F5"/>
    <w:rsid w:val="00C13F03"/>
    <w:rsid w:val="00C144FF"/>
    <w:rsid w:val="00C21762"/>
    <w:rsid w:val="00C21FEF"/>
    <w:rsid w:val="00C23BA4"/>
    <w:rsid w:val="00C24543"/>
    <w:rsid w:val="00C256A2"/>
    <w:rsid w:val="00C256ED"/>
    <w:rsid w:val="00C25ADB"/>
    <w:rsid w:val="00C31B4F"/>
    <w:rsid w:val="00C34864"/>
    <w:rsid w:val="00C4267F"/>
    <w:rsid w:val="00C43B09"/>
    <w:rsid w:val="00C51515"/>
    <w:rsid w:val="00C516EA"/>
    <w:rsid w:val="00C5660B"/>
    <w:rsid w:val="00C56F78"/>
    <w:rsid w:val="00C621B4"/>
    <w:rsid w:val="00C66B72"/>
    <w:rsid w:val="00C72543"/>
    <w:rsid w:val="00C73243"/>
    <w:rsid w:val="00C80043"/>
    <w:rsid w:val="00C804E8"/>
    <w:rsid w:val="00C8392C"/>
    <w:rsid w:val="00C86E09"/>
    <w:rsid w:val="00C87AC4"/>
    <w:rsid w:val="00C9184F"/>
    <w:rsid w:val="00C920DB"/>
    <w:rsid w:val="00C9567A"/>
    <w:rsid w:val="00CA05E1"/>
    <w:rsid w:val="00CA748B"/>
    <w:rsid w:val="00CB01DF"/>
    <w:rsid w:val="00CB183E"/>
    <w:rsid w:val="00CB1F97"/>
    <w:rsid w:val="00CB212D"/>
    <w:rsid w:val="00CB2660"/>
    <w:rsid w:val="00CC0537"/>
    <w:rsid w:val="00CC4194"/>
    <w:rsid w:val="00CC5E90"/>
    <w:rsid w:val="00CC6B7D"/>
    <w:rsid w:val="00CC72BD"/>
    <w:rsid w:val="00CC7AF2"/>
    <w:rsid w:val="00CD046C"/>
    <w:rsid w:val="00CD3094"/>
    <w:rsid w:val="00CD34F4"/>
    <w:rsid w:val="00CD607F"/>
    <w:rsid w:val="00CE040C"/>
    <w:rsid w:val="00CE076C"/>
    <w:rsid w:val="00CE2918"/>
    <w:rsid w:val="00CE4DE6"/>
    <w:rsid w:val="00CE5199"/>
    <w:rsid w:val="00CE66D5"/>
    <w:rsid w:val="00CF075B"/>
    <w:rsid w:val="00CF637A"/>
    <w:rsid w:val="00D015FA"/>
    <w:rsid w:val="00D0458F"/>
    <w:rsid w:val="00D049A2"/>
    <w:rsid w:val="00D059DE"/>
    <w:rsid w:val="00D05ABD"/>
    <w:rsid w:val="00D13FCE"/>
    <w:rsid w:val="00D173A0"/>
    <w:rsid w:val="00D23505"/>
    <w:rsid w:val="00D23730"/>
    <w:rsid w:val="00D306D1"/>
    <w:rsid w:val="00D30800"/>
    <w:rsid w:val="00D333C0"/>
    <w:rsid w:val="00D34786"/>
    <w:rsid w:val="00D3698D"/>
    <w:rsid w:val="00D37BFC"/>
    <w:rsid w:val="00D4293B"/>
    <w:rsid w:val="00D42DFE"/>
    <w:rsid w:val="00D47A8E"/>
    <w:rsid w:val="00D52D14"/>
    <w:rsid w:val="00D5530A"/>
    <w:rsid w:val="00D6267A"/>
    <w:rsid w:val="00D67F6B"/>
    <w:rsid w:val="00D712D3"/>
    <w:rsid w:val="00D71422"/>
    <w:rsid w:val="00D72DC6"/>
    <w:rsid w:val="00D7558D"/>
    <w:rsid w:val="00D81D92"/>
    <w:rsid w:val="00D876F9"/>
    <w:rsid w:val="00D973D1"/>
    <w:rsid w:val="00DA420D"/>
    <w:rsid w:val="00DA5050"/>
    <w:rsid w:val="00DA7B5F"/>
    <w:rsid w:val="00DB0220"/>
    <w:rsid w:val="00DB7255"/>
    <w:rsid w:val="00DB772F"/>
    <w:rsid w:val="00DC0D1A"/>
    <w:rsid w:val="00DC11E7"/>
    <w:rsid w:val="00DC24E3"/>
    <w:rsid w:val="00DC36DE"/>
    <w:rsid w:val="00DC7023"/>
    <w:rsid w:val="00DC769A"/>
    <w:rsid w:val="00DC7D89"/>
    <w:rsid w:val="00DD3D86"/>
    <w:rsid w:val="00DD44A4"/>
    <w:rsid w:val="00DD4AD2"/>
    <w:rsid w:val="00DE2862"/>
    <w:rsid w:val="00DF1EC4"/>
    <w:rsid w:val="00E02C52"/>
    <w:rsid w:val="00E0340B"/>
    <w:rsid w:val="00E03973"/>
    <w:rsid w:val="00E04121"/>
    <w:rsid w:val="00E04A90"/>
    <w:rsid w:val="00E0551F"/>
    <w:rsid w:val="00E07FB7"/>
    <w:rsid w:val="00E12452"/>
    <w:rsid w:val="00E1514C"/>
    <w:rsid w:val="00E219C7"/>
    <w:rsid w:val="00E2425A"/>
    <w:rsid w:val="00E2458A"/>
    <w:rsid w:val="00E26A89"/>
    <w:rsid w:val="00E31749"/>
    <w:rsid w:val="00E40775"/>
    <w:rsid w:val="00E4118C"/>
    <w:rsid w:val="00E43157"/>
    <w:rsid w:val="00E4475D"/>
    <w:rsid w:val="00E461CE"/>
    <w:rsid w:val="00E4729B"/>
    <w:rsid w:val="00E473B6"/>
    <w:rsid w:val="00E573E4"/>
    <w:rsid w:val="00E64C3D"/>
    <w:rsid w:val="00E66075"/>
    <w:rsid w:val="00E66BDE"/>
    <w:rsid w:val="00E706A0"/>
    <w:rsid w:val="00E720CA"/>
    <w:rsid w:val="00E82933"/>
    <w:rsid w:val="00E84EB5"/>
    <w:rsid w:val="00E85662"/>
    <w:rsid w:val="00E860B2"/>
    <w:rsid w:val="00E8789F"/>
    <w:rsid w:val="00E90946"/>
    <w:rsid w:val="00E97B71"/>
    <w:rsid w:val="00EA0DA5"/>
    <w:rsid w:val="00EA3D34"/>
    <w:rsid w:val="00EA4F24"/>
    <w:rsid w:val="00EB454D"/>
    <w:rsid w:val="00EB4D3E"/>
    <w:rsid w:val="00EC36FC"/>
    <w:rsid w:val="00EC50BA"/>
    <w:rsid w:val="00ED01FC"/>
    <w:rsid w:val="00ED4F25"/>
    <w:rsid w:val="00ED549D"/>
    <w:rsid w:val="00ED5E10"/>
    <w:rsid w:val="00ED76BE"/>
    <w:rsid w:val="00EE00E9"/>
    <w:rsid w:val="00EE07F2"/>
    <w:rsid w:val="00EF1AAA"/>
    <w:rsid w:val="00EF1BB0"/>
    <w:rsid w:val="00EF52E4"/>
    <w:rsid w:val="00EF619B"/>
    <w:rsid w:val="00F00B55"/>
    <w:rsid w:val="00F02AD1"/>
    <w:rsid w:val="00F02EAA"/>
    <w:rsid w:val="00F03053"/>
    <w:rsid w:val="00F064E0"/>
    <w:rsid w:val="00F12982"/>
    <w:rsid w:val="00F2152C"/>
    <w:rsid w:val="00F2377B"/>
    <w:rsid w:val="00F253CC"/>
    <w:rsid w:val="00F303FF"/>
    <w:rsid w:val="00F369E9"/>
    <w:rsid w:val="00F37106"/>
    <w:rsid w:val="00F44E25"/>
    <w:rsid w:val="00F50A9D"/>
    <w:rsid w:val="00F519CF"/>
    <w:rsid w:val="00F53B4F"/>
    <w:rsid w:val="00F553B6"/>
    <w:rsid w:val="00F56BA5"/>
    <w:rsid w:val="00F56ECB"/>
    <w:rsid w:val="00F60E22"/>
    <w:rsid w:val="00F6132C"/>
    <w:rsid w:val="00F652A4"/>
    <w:rsid w:val="00F65810"/>
    <w:rsid w:val="00F73413"/>
    <w:rsid w:val="00F801D9"/>
    <w:rsid w:val="00F802A1"/>
    <w:rsid w:val="00F80AB6"/>
    <w:rsid w:val="00F80DBE"/>
    <w:rsid w:val="00F81395"/>
    <w:rsid w:val="00F81BB8"/>
    <w:rsid w:val="00F84816"/>
    <w:rsid w:val="00F87A37"/>
    <w:rsid w:val="00F87D18"/>
    <w:rsid w:val="00F90C64"/>
    <w:rsid w:val="00F917D1"/>
    <w:rsid w:val="00F9653B"/>
    <w:rsid w:val="00FA1DC7"/>
    <w:rsid w:val="00FA1E85"/>
    <w:rsid w:val="00FA7587"/>
    <w:rsid w:val="00FB3E71"/>
    <w:rsid w:val="00FB62CF"/>
    <w:rsid w:val="00FB6F36"/>
    <w:rsid w:val="00FB7536"/>
    <w:rsid w:val="00FB7E8F"/>
    <w:rsid w:val="00FC1FC2"/>
    <w:rsid w:val="00FC25B4"/>
    <w:rsid w:val="00FC748E"/>
    <w:rsid w:val="00FD2326"/>
    <w:rsid w:val="00FD3C3B"/>
    <w:rsid w:val="00FE07DD"/>
    <w:rsid w:val="00FE3BD3"/>
    <w:rsid w:val="00FE58B1"/>
    <w:rsid w:val="00FE6B45"/>
    <w:rsid w:val="00FE7B58"/>
    <w:rsid w:val="00FF3AC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4C0DD6"/>
    <w:pPr>
      <w:numPr>
        <w:numId w:val="63"/>
      </w:numPr>
      <w:spacing w:before="240" w:after="240"/>
      <w:ind w:left="0" w:firstLine="72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06E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9A7AF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103515"/>
  </w:style>
  <w:style w:type="character" w:customStyle="1" w:styleId="eop">
    <w:name w:val="eop"/>
    <w:basedOn w:val="DefaultParagraphFont"/>
    <w:rsid w:val="00103515"/>
  </w:style>
  <w:style w:type="paragraph" w:customStyle="1" w:styleId="paragraph">
    <w:name w:val="paragraph"/>
    <w:basedOn w:val="Normal"/>
    <w:rsid w:val="000D4B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rafos">
    <w:name w:val="parrafos"/>
    <w:basedOn w:val="Normal"/>
    <w:qFormat/>
    <w:rsid w:val="007B396E"/>
    <w:pPr>
      <w:numPr>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240" w:after="240"/>
      <w:ind w:left="0" w:firstLine="0"/>
      <w:jc w:val="both"/>
    </w:pPr>
    <w:rPr>
      <w:rFonts w:asciiTheme="majorHAnsi" w:hAnsiTheme="majorHAnsi"/>
      <w:color w:val="000000" w:themeColor="text1"/>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A7BD8"/>
    <w:rsid w:val="000F3DB9"/>
    <w:rsid w:val="00200821"/>
    <w:rsid w:val="0025245B"/>
    <w:rsid w:val="002A3923"/>
    <w:rsid w:val="00323DD5"/>
    <w:rsid w:val="00335D68"/>
    <w:rsid w:val="00394049"/>
    <w:rsid w:val="0039437C"/>
    <w:rsid w:val="003B0C71"/>
    <w:rsid w:val="003B43E3"/>
    <w:rsid w:val="003B795E"/>
    <w:rsid w:val="003E2DD8"/>
    <w:rsid w:val="0049343F"/>
    <w:rsid w:val="004B5BBB"/>
    <w:rsid w:val="004F2DF8"/>
    <w:rsid w:val="00517E2A"/>
    <w:rsid w:val="006D3128"/>
    <w:rsid w:val="006F24A1"/>
    <w:rsid w:val="007510DF"/>
    <w:rsid w:val="007C72C7"/>
    <w:rsid w:val="00875B8A"/>
    <w:rsid w:val="008937F7"/>
    <w:rsid w:val="008953BC"/>
    <w:rsid w:val="00901503"/>
    <w:rsid w:val="009A261B"/>
    <w:rsid w:val="009E4EBF"/>
    <w:rsid w:val="00AA2E17"/>
    <w:rsid w:val="00AC15A4"/>
    <w:rsid w:val="00AE628D"/>
    <w:rsid w:val="00B0336C"/>
    <w:rsid w:val="00B1205A"/>
    <w:rsid w:val="00B73F5F"/>
    <w:rsid w:val="00BB6912"/>
    <w:rsid w:val="00D241E9"/>
    <w:rsid w:val="00D3126A"/>
    <w:rsid w:val="00D7750D"/>
    <w:rsid w:val="00E66075"/>
    <w:rsid w:val="00EA4F24"/>
    <w:rsid w:val="00F00D2F"/>
    <w:rsid w:val="00F128DF"/>
    <w:rsid w:val="00FE7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B9CFC-5646-46E2-91EA-02CA3E294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CA83661C-05E1-48E9-B857-F1EFE46170B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7D70394E-F199-4827-804E-EA824FDA6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4090</Words>
  <Characters>23315</Characters>
  <Application>Microsoft Office Word</Application>
  <DocSecurity>0</DocSecurity>
  <Lines>194</Lines>
  <Paragraphs>54</Paragraphs>
  <ScaleCrop>false</ScaleCrop>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