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0BC49E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1BB1" w14:textId="77777777" w:rsidR="00C55107" w:rsidRPr="004E2649" w:rsidRDefault="00C55107" w:rsidP="00C55107">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35/25</w:t>
                            </w:r>
                          </w:p>
                          <w:p w14:paraId="1B492088" w14:textId="77777777" w:rsidR="00C55107" w:rsidRDefault="00C55107" w:rsidP="00C55107">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80-15</w:t>
                            </w:r>
                          </w:p>
                          <w:p w14:paraId="5F71C2F8" w14:textId="77777777" w:rsidR="00C55107" w:rsidRPr="0010736F" w:rsidRDefault="00C55107" w:rsidP="00C5510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A517B76" w14:textId="77777777" w:rsidR="00C55107" w:rsidRPr="0010736F" w:rsidRDefault="00C55107" w:rsidP="00C55107">
                            <w:pPr>
                              <w:spacing w:line="276" w:lineRule="auto"/>
                              <w:rPr>
                                <w:rFonts w:asciiTheme="majorHAnsi" w:hAnsiTheme="majorHAnsi" w:cs="Arial"/>
                                <w:color w:val="0D0D0D" w:themeColor="text1" w:themeTint="F2"/>
                                <w:szCs w:val="22"/>
                                <w:lang w:val="es-ES_tradnl"/>
                              </w:rPr>
                            </w:pPr>
                            <w:bookmarkStart w:id="0" w:name="_ftnref1"/>
                          </w:p>
                          <w:bookmarkEnd w:id="0"/>
                          <w:p w14:paraId="12FA2FC4" w14:textId="77777777" w:rsidR="00C55107" w:rsidRPr="00402BF5" w:rsidRDefault="00C55107" w:rsidP="00C55107">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DANIEL GUTIÉRREZ</w:t>
                            </w:r>
                            <w:r w:rsidRPr="00402BF5">
                              <w:rPr>
                                <w:rFonts w:asciiTheme="majorHAnsi" w:hAnsiTheme="majorHAnsi" w:cs="Arial"/>
                                <w:color w:val="0D0D0D" w:themeColor="text1" w:themeTint="F2"/>
                                <w:szCs w:val="22"/>
                                <w:lang w:val="es-CO"/>
                              </w:rPr>
                              <w:t xml:space="preserve"> Y OTROS</w:t>
                            </w:r>
                          </w:p>
                          <w:p w14:paraId="23073A23" w14:textId="77777777" w:rsidR="00C55107" w:rsidRPr="00F56ECB" w:rsidRDefault="00C55107" w:rsidP="00C5510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B9F7D22" w14:textId="37FB4EE3" w:rsidR="005B52B0" w:rsidRPr="00F56ECB" w:rsidRDefault="005B52B0" w:rsidP="00F56ECB">
                            <w:pPr>
                              <w:spacing w:line="276" w:lineRule="auto"/>
                              <w:rPr>
                                <w:rFonts w:asciiTheme="majorHAnsi" w:hAnsiTheme="majorHAnsi" w:cs="Arial"/>
                                <w:color w:val="0D0D0D" w:themeColor="text1" w:themeTint="F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F0E1BB1" w14:textId="77777777" w:rsidR="00C55107" w:rsidRPr="004E2649" w:rsidRDefault="00C55107" w:rsidP="00C55107">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35/25</w:t>
                      </w:r>
                    </w:p>
                    <w:p w14:paraId="1B492088" w14:textId="77777777" w:rsidR="00C55107" w:rsidRDefault="00C55107" w:rsidP="00C55107">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80-15</w:t>
                      </w:r>
                    </w:p>
                    <w:p w14:paraId="5F71C2F8" w14:textId="77777777" w:rsidR="00C55107" w:rsidRPr="0010736F" w:rsidRDefault="00C55107" w:rsidP="00C5510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A517B76" w14:textId="77777777" w:rsidR="00C55107" w:rsidRPr="0010736F" w:rsidRDefault="00C55107" w:rsidP="00C55107">
                      <w:pPr>
                        <w:spacing w:line="276" w:lineRule="auto"/>
                        <w:rPr>
                          <w:rFonts w:asciiTheme="majorHAnsi" w:hAnsiTheme="majorHAnsi" w:cs="Arial"/>
                          <w:color w:val="0D0D0D" w:themeColor="text1" w:themeTint="F2"/>
                          <w:szCs w:val="22"/>
                          <w:lang w:val="es-ES_tradnl"/>
                        </w:rPr>
                      </w:pPr>
                      <w:bookmarkStart w:id="1" w:name="_ftnref1"/>
                    </w:p>
                    <w:bookmarkEnd w:id="1"/>
                    <w:p w14:paraId="12FA2FC4" w14:textId="77777777" w:rsidR="00C55107" w:rsidRPr="00402BF5" w:rsidRDefault="00C55107" w:rsidP="00C55107">
                      <w:pPr>
                        <w:spacing w:line="276" w:lineRule="auto"/>
                        <w:rPr>
                          <w:rFonts w:asciiTheme="majorHAnsi" w:hAnsiTheme="majorHAnsi" w:cs="Arial"/>
                          <w:color w:val="0D0D0D" w:themeColor="text1" w:themeTint="F2"/>
                          <w:szCs w:val="22"/>
                          <w:lang w:val="es-CO"/>
                        </w:rPr>
                      </w:pPr>
                      <w:r>
                        <w:rPr>
                          <w:rFonts w:asciiTheme="majorHAnsi" w:hAnsiTheme="majorHAnsi" w:cs="Arial"/>
                          <w:color w:val="0D0D0D" w:themeColor="text1" w:themeTint="F2"/>
                          <w:szCs w:val="22"/>
                          <w:lang w:val="es-CO"/>
                        </w:rPr>
                        <w:t>DANIEL GUTIÉRREZ</w:t>
                      </w:r>
                      <w:r w:rsidRPr="00402BF5">
                        <w:rPr>
                          <w:rFonts w:asciiTheme="majorHAnsi" w:hAnsiTheme="majorHAnsi" w:cs="Arial"/>
                          <w:color w:val="0D0D0D" w:themeColor="text1" w:themeTint="F2"/>
                          <w:szCs w:val="22"/>
                          <w:lang w:val="es-CO"/>
                        </w:rPr>
                        <w:t xml:space="preserve"> Y OTROS</w:t>
                      </w:r>
                    </w:p>
                    <w:p w14:paraId="23073A23" w14:textId="77777777" w:rsidR="00C55107" w:rsidRPr="00F56ECB" w:rsidRDefault="00C55107" w:rsidP="00C55107">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B9F7D22" w14:textId="37FB4EE3" w:rsidR="005B52B0" w:rsidRPr="00F56ECB" w:rsidRDefault="005B52B0" w:rsidP="00F56ECB">
                      <w:pPr>
                        <w:spacing w:line="276" w:lineRule="auto"/>
                        <w:rPr>
                          <w:rFonts w:asciiTheme="majorHAnsi" w:hAnsiTheme="majorHAnsi" w:cs="Arial"/>
                          <w:color w:val="0D0D0D" w:themeColor="text1" w:themeTint="F2"/>
                          <w:szCs w:val="2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C84D7" w14:textId="77777777" w:rsidR="00BB4AD3" w:rsidRPr="00BB4AD3" w:rsidRDefault="00BB4AD3" w:rsidP="00BB4AD3">
                            <w:pPr>
                              <w:spacing w:line="276" w:lineRule="auto"/>
                              <w:jc w:val="right"/>
                              <w:rPr>
                                <w:rFonts w:asciiTheme="minorHAnsi" w:hAnsiTheme="minorHAnsi"/>
                                <w:color w:val="FFFFFF" w:themeColor="background1"/>
                                <w:sz w:val="22"/>
                                <w:lang w:val="es-ES"/>
                              </w:rPr>
                            </w:pPr>
                            <w:r w:rsidRPr="00BB4AD3">
                              <w:rPr>
                                <w:rFonts w:asciiTheme="minorHAnsi" w:hAnsiTheme="minorHAnsi"/>
                                <w:color w:val="FFFFFF" w:themeColor="background1"/>
                                <w:sz w:val="22"/>
                                <w:lang w:val="es-ES"/>
                              </w:rPr>
                              <w:t>OEA/Ser.L/V/II</w:t>
                            </w:r>
                          </w:p>
                          <w:p w14:paraId="2DF0F89C" w14:textId="77777777" w:rsidR="00BB4AD3" w:rsidRPr="00BB4AD3" w:rsidRDefault="00BB4AD3" w:rsidP="00BB4AD3">
                            <w:pPr>
                              <w:spacing w:line="276" w:lineRule="auto"/>
                              <w:jc w:val="right"/>
                              <w:rPr>
                                <w:rFonts w:asciiTheme="minorHAnsi" w:hAnsiTheme="minorHAnsi"/>
                                <w:color w:val="FFFFFF" w:themeColor="background1"/>
                                <w:sz w:val="22"/>
                                <w:lang w:val="es-ES"/>
                              </w:rPr>
                            </w:pPr>
                            <w:r w:rsidRPr="00BB4AD3">
                              <w:rPr>
                                <w:rFonts w:asciiTheme="minorHAnsi" w:hAnsiTheme="minorHAnsi"/>
                                <w:color w:val="FFFFFF" w:themeColor="background1"/>
                                <w:sz w:val="22"/>
                                <w:lang w:val="es-ES"/>
                              </w:rPr>
                              <w:t>Doc. 37</w:t>
                            </w:r>
                          </w:p>
                          <w:p w14:paraId="107E3D9C" w14:textId="77777777" w:rsidR="00BB4AD3" w:rsidRPr="00C25ADB" w:rsidRDefault="00BB4AD3" w:rsidP="00BB4AD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marzo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5</w:t>
                            </w:r>
                          </w:p>
                          <w:p w14:paraId="560E4158" w14:textId="77777777" w:rsidR="00BB4AD3" w:rsidRPr="00C25ADB" w:rsidRDefault="00BB4AD3" w:rsidP="00BB4AD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537C4A5" w14:textId="1D9FB697" w:rsidR="00627C9F" w:rsidRPr="00C25ADB" w:rsidRDefault="00627C9F" w:rsidP="007A5817">
                            <w:pPr>
                              <w:spacing w:line="276" w:lineRule="auto"/>
                              <w:jc w:val="right"/>
                              <w:rPr>
                                <w:rFonts w:asciiTheme="minorHAnsi" w:hAnsiTheme="minorHAnsi"/>
                                <w:color w:val="FFFFFF" w:themeColor="background1"/>
                                <w:sz w:val="22"/>
                                <w:lang w:val="es-P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32C84D7" w14:textId="77777777" w:rsidR="00BB4AD3" w:rsidRPr="00BB4AD3" w:rsidRDefault="00BB4AD3" w:rsidP="00BB4AD3">
                      <w:pPr>
                        <w:spacing w:line="276" w:lineRule="auto"/>
                        <w:jc w:val="right"/>
                        <w:rPr>
                          <w:rFonts w:asciiTheme="minorHAnsi" w:hAnsiTheme="minorHAnsi"/>
                          <w:color w:val="FFFFFF" w:themeColor="background1"/>
                          <w:sz w:val="22"/>
                          <w:lang w:val="es-ES"/>
                        </w:rPr>
                      </w:pPr>
                      <w:r w:rsidRPr="00BB4AD3">
                        <w:rPr>
                          <w:rFonts w:asciiTheme="minorHAnsi" w:hAnsiTheme="minorHAnsi"/>
                          <w:color w:val="FFFFFF" w:themeColor="background1"/>
                          <w:sz w:val="22"/>
                          <w:lang w:val="es-ES"/>
                        </w:rPr>
                        <w:t>OEA/Ser.L/V/II</w:t>
                      </w:r>
                    </w:p>
                    <w:p w14:paraId="2DF0F89C" w14:textId="77777777" w:rsidR="00BB4AD3" w:rsidRPr="00BB4AD3" w:rsidRDefault="00BB4AD3" w:rsidP="00BB4AD3">
                      <w:pPr>
                        <w:spacing w:line="276" w:lineRule="auto"/>
                        <w:jc w:val="right"/>
                        <w:rPr>
                          <w:rFonts w:asciiTheme="minorHAnsi" w:hAnsiTheme="minorHAnsi"/>
                          <w:color w:val="FFFFFF" w:themeColor="background1"/>
                          <w:sz w:val="22"/>
                          <w:lang w:val="es-ES"/>
                        </w:rPr>
                      </w:pPr>
                      <w:r w:rsidRPr="00BB4AD3">
                        <w:rPr>
                          <w:rFonts w:asciiTheme="minorHAnsi" w:hAnsiTheme="minorHAnsi"/>
                          <w:color w:val="FFFFFF" w:themeColor="background1"/>
                          <w:sz w:val="22"/>
                          <w:lang w:val="es-ES"/>
                        </w:rPr>
                        <w:t>Doc. 37</w:t>
                      </w:r>
                    </w:p>
                    <w:p w14:paraId="107E3D9C" w14:textId="77777777" w:rsidR="00BB4AD3" w:rsidRPr="00C25ADB" w:rsidRDefault="00BB4AD3" w:rsidP="00BB4AD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marzo</w:t>
                      </w:r>
                      <w:r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5</w:t>
                      </w:r>
                    </w:p>
                    <w:p w14:paraId="560E4158" w14:textId="77777777" w:rsidR="00BB4AD3" w:rsidRPr="00C25ADB" w:rsidRDefault="00BB4AD3" w:rsidP="00BB4AD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p w14:paraId="0537C4A5" w14:textId="1D9FB697" w:rsidR="00627C9F" w:rsidRPr="00C25ADB" w:rsidRDefault="00627C9F" w:rsidP="007A5817">
                      <w:pPr>
                        <w:spacing w:line="276" w:lineRule="auto"/>
                        <w:jc w:val="right"/>
                        <w:rPr>
                          <w:rFonts w:asciiTheme="minorHAnsi" w:hAnsiTheme="minorHAnsi"/>
                          <w:color w:val="FFFFFF" w:themeColor="background1"/>
                          <w:sz w:val="22"/>
                          <w:lang w:val="es-PA"/>
                        </w:rPr>
                      </w:pP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0121D" w14:textId="77777777" w:rsidR="00E24F11" w:rsidRPr="00890650" w:rsidRDefault="00E24F11" w:rsidP="00E24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marzo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B40121D" w14:textId="77777777" w:rsidR="00E24F11" w:rsidRPr="00890650" w:rsidRDefault="00E24F11" w:rsidP="00E24F11">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marzo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E9B13" w14:textId="77777777" w:rsidR="00736C3C" w:rsidRDefault="00736C3C" w:rsidP="00736C3C">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8C46BF">
                              <w:rPr>
                                <w:rFonts w:asciiTheme="majorHAnsi" w:hAnsiTheme="majorHAnsi"/>
                                <w:color w:val="595959" w:themeColor="text1" w:themeTint="A6"/>
                                <w:sz w:val="18"/>
                                <w:szCs w:val="18"/>
                                <w:lang w:val="pt-BR"/>
                              </w:rPr>
                              <w:t xml:space="preserve">35/25.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80-15. </w:t>
                            </w:r>
                            <w:r w:rsidRPr="00890650">
                              <w:rPr>
                                <w:rFonts w:asciiTheme="majorHAnsi" w:hAnsiTheme="majorHAnsi"/>
                                <w:color w:val="595959" w:themeColor="text1" w:themeTint="A6"/>
                                <w:sz w:val="18"/>
                                <w:szCs w:val="18"/>
                                <w:lang w:val="es-ES_tradnl"/>
                              </w:rPr>
                              <w:t xml:space="preserve">Admisibilidad. </w:t>
                            </w:r>
                          </w:p>
                          <w:p w14:paraId="13F00E55" w14:textId="77777777" w:rsidR="00736C3C" w:rsidRPr="007B05C4" w:rsidRDefault="00736C3C" w:rsidP="00736C3C">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Daniel Gutiérrez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26 de marzo de 2025</w:t>
                            </w:r>
                            <w:r w:rsidRPr="007B05C4">
                              <w:rPr>
                                <w:rFonts w:asciiTheme="majorHAnsi" w:hAnsiTheme="majorHAnsi"/>
                                <w:color w:val="595959" w:themeColor="text1" w:themeTint="A6"/>
                                <w:sz w:val="18"/>
                                <w:szCs w:val="18"/>
                                <w:lang w:val="es-ES"/>
                              </w:rPr>
                              <w:t>.</w:t>
                            </w:r>
                          </w:p>
                          <w:p w14:paraId="7FD77785" w14:textId="10AC6D02" w:rsidR="00113F73" w:rsidRPr="007B05C4" w:rsidRDefault="00113F73"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1DE9B13" w14:textId="77777777" w:rsidR="00736C3C" w:rsidRDefault="00736C3C" w:rsidP="00736C3C">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8C46BF">
                        <w:rPr>
                          <w:rFonts w:asciiTheme="majorHAnsi" w:hAnsiTheme="majorHAnsi"/>
                          <w:color w:val="595959" w:themeColor="text1" w:themeTint="A6"/>
                          <w:sz w:val="18"/>
                          <w:szCs w:val="18"/>
                          <w:lang w:val="pt-BR"/>
                        </w:rPr>
                        <w:t xml:space="preserve">35/25.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80-15. </w:t>
                      </w:r>
                      <w:r w:rsidRPr="00890650">
                        <w:rPr>
                          <w:rFonts w:asciiTheme="majorHAnsi" w:hAnsiTheme="majorHAnsi"/>
                          <w:color w:val="595959" w:themeColor="text1" w:themeTint="A6"/>
                          <w:sz w:val="18"/>
                          <w:szCs w:val="18"/>
                          <w:lang w:val="es-ES_tradnl"/>
                        </w:rPr>
                        <w:t xml:space="preserve">Admisibilidad. </w:t>
                      </w:r>
                    </w:p>
                    <w:p w14:paraId="13F00E55" w14:textId="77777777" w:rsidR="00736C3C" w:rsidRPr="007B05C4" w:rsidRDefault="00736C3C" w:rsidP="00736C3C">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Daniel Gutiérrez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26 de marzo de 2025</w:t>
                      </w:r>
                      <w:r w:rsidRPr="007B05C4">
                        <w:rPr>
                          <w:rFonts w:asciiTheme="majorHAnsi" w:hAnsiTheme="majorHAnsi"/>
                          <w:color w:val="595959" w:themeColor="text1" w:themeTint="A6"/>
                          <w:sz w:val="18"/>
                          <w:szCs w:val="18"/>
                          <w:lang w:val="es-ES"/>
                        </w:rPr>
                        <w:t>.</w:t>
                      </w:r>
                    </w:p>
                    <w:p w14:paraId="7FD77785" w14:textId="10AC6D02" w:rsidR="00113F73" w:rsidRPr="007B05C4" w:rsidRDefault="00113F73"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606C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6908CD35" w:rsidR="003239B8" w:rsidRPr="003F4B11" w:rsidRDefault="003F4B11" w:rsidP="008D2290">
            <w:pPr>
              <w:jc w:val="both"/>
              <w:rPr>
                <w:rFonts w:ascii="Cambria" w:hAnsi="Cambria"/>
                <w:bCs/>
                <w:sz w:val="20"/>
                <w:szCs w:val="20"/>
                <w:lang w:val="es-CO"/>
              </w:rPr>
            </w:pPr>
            <w:r w:rsidRPr="003F4B11">
              <w:rPr>
                <w:rFonts w:ascii="Cambria" w:hAnsi="Cambria"/>
                <w:bCs/>
                <w:sz w:val="20"/>
                <w:szCs w:val="20"/>
                <w:lang w:val="es-CO"/>
              </w:rPr>
              <w:t>Corporación de Abogados Indígenas d</w:t>
            </w:r>
            <w:r>
              <w:rPr>
                <w:rFonts w:ascii="Cambria" w:hAnsi="Cambria"/>
                <w:bCs/>
                <w:sz w:val="20"/>
                <w:szCs w:val="20"/>
                <w:lang w:val="es-CO"/>
              </w:rPr>
              <w:t>e Panamá</w:t>
            </w:r>
          </w:p>
        </w:tc>
      </w:tr>
      <w:tr w:rsidR="003239B8" w:rsidRPr="004606C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98302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488EA864" w:rsidR="003239B8" w:rsidRPr="000D05CB" w:rsidRDefault="00681D8E" w:rsidP="008D2290">
            <w:pPr>
              <w:jc w:val="both"/>
              <w:rPr>
                <w:rFonts w:ascii="Cambria" w:hAnsi="Cambria"/>
                <w:bCs/>
                <w:sz w:val="20"/>
                <w:szCs w:val="20"/>
                <w:lang w:val="es-ES"/>
              </w:rPr>
            </w:pPr>
            <w:r w:rsidRPr="000B63E8">
              <w:rPr>
                <w:rFonts w:ascii="Cambria" w:hAnsi="Cambria"/>
                <w:bCs/>
                <w:sz w:val="20"/>
                <w:szCs w:val="20"/>
                <w:lang w:val="es-ES"/>
              </w:rPr>
              <w:t>Sagla Ernesto Ayala, San Pascual Ayala Gutiérrez, Luis Enrique Martínez Ayala, Gilberto Vásquez</w:t>
            </w:r>
            <w:r w:rsidRPr="000B63E8">
              <w:rPr>
                <w:rFonts w:ascii="Cambria" w:hAnsi="Cambria"/>
                <w:bCs/>
                <w:sz w:val="20"/>
                <w:szCs w:val="20"/>
                <w:lang w:val="es-UY"/>
              </w:rPr>
              <w:t xml:space="preserve"> y Casildo Ayala Ayala y familiares</w:t>
            </w:r>
            <w:r w:rsidRPr="000B63E8">
              <w:rPr>
                <w:rStyle w:val="FootnoteReference"/>
                <w:rFonts w:ascii="Cambria" w:hAnsi="Cambria"/>
                <w:bCs/>
                <w:sz w:val="20"/>
                <w:szCs w:val="20"/>
                <w:lang w:val="es-UY"/>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8C9BBC2" w:rsidR="003239B8" w:rsidRPr="000D05CB" w:rsidRDefault="00BA54C0"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4606C7"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8F43A3C" w:rsidR="00223A29" w:rsidRPr="006F5B5B" w:rsidRDefault="006F5B5B" w:rsidP="008D2290">
            <w:pPr>
              <w:jc w:val="both"/>
              <w:rPr>
                <w:rFonts w:ascii="Cambria" w:hAnsi="Cambria"/>
                <w:bCs/>
                <w:sz w:val="20"/>
                <w:szCs w:val="20"/>
                <w:lang w:val="es-CO"/>
              </w:rPr>
            </w:pPr>
            <w:r w:rsidRPr="00AE4154">
              <w:rPr>
                <w:rFonts w:ascii="Cambria" w:hAnsi="Cambria"/>
                <w:bCs/>
                <w:sz w:val="20"/>
                <w:szCs w:val="20"/>
                <w:lang w:val="es-419"/>
              </w:rPr>
              <w:t>Artículos 4 (vida), 5 (integridad personal), 7 (libertad personal), 8 (garantías judiciales), 10 (indemnización), 12 (libertad de religión), 17 (protección a la familia), 19 (derechos del niño), 24 (igualdad ante la ley) y 25 (protección judicial) de la Convención Americana sobre Derechos Humano</w:t>
            </w:r>
            <w:r w:rsidR="007F5CAA">
              <w:rPr>
                <w:rFonts w:ascii="Cambria" w:hAnsi="Cambria"/>
                <w:bCs/>
                <w:sz w:val="20"/>
                <w:szCs w:val="20"/>
                <w:lang w:val="es-419"/>
              </w:rPr>
              <w:t>s</w:t>
            </w:r>
            <w:r w:rsidRPr="00AE4154">
              <w:rPr>
                <w:rStyle w:val="FootnoteReference"/>
                <w:rFonts w:ascii="Cambria" w:hAnsi="Cambria"/>
                <w:bCs/>
                <w:sz w:val="20"/>
                <w:szCs w:val="20"/>
                <w:lang w:val="es-419"/>
              </w:rPr>
              <w:footnoteReference w:id="4"/>
            </w:r>
            <w:r>
              <w:rPr>
                <w:rFonts w:ascii="Cambria" w:hAnsi="Cambria"/>
                <w:bCs/>
                <w:sz w:val="20"/>
                <w:szCs w:val="20"/>
                <w:lang w:val="es-419"/>
              </w:rPr>
              <w:t>,</w:t>
            </w:r>
            <w:r w:rsidRPr="00AE4154">
              <w:rPr>
                <w:rFonts w:ascii="Cambria" w:hAnsi="Cambria"/>
                <w:bCs/>
                <w:sz w:val="20"/>
                <w:szCs w:val="20"/>
                <w:lang w:val="es-419"/>
              </w:rPr>
              <w:t xml:space="preserve"> </w:t>
            </w:r>
            <w:r w:rsidR="00043892">
              <w:rPr>
                <w:rFonts w:ascii="Cambria" w:hAnsi="Cambria"/>
                <w:bCs/>
                <w:sz w:val="20"/>
                <w:szCs w:val="20"/>
                <w:lang w:val="es-419"/>
              </w:rPr>
              <w:t>en</w:t>
            </w:r>
            <w:r w:rsidRPr="00AE4154">
              <w:rPr>
                <w:rFonts w:ascii="Cambria" w:hAnsi="Cambria"/>
                <w:bCs/>
                <w:sz w:val="20"/>
                <w:szCs w:val="20"/>
                <w:lang w:val="es-419"/>
              </w:rPr>
              <w:t xml:space="preserve"> relación </w:t>
            </w:r>
            <w:r>
              <w:rPr>
                <w:rFonts w:ascii="Cambria" w:hAnsi="Cambria"/>
                <w:bCs/>
                <w:sz w:val="20"/>
                <w:szCs w:val="20"/>
                <w:lang w:val="es-419"/>
              </w:rPr>
              <w:t>con sus</w:t>
            </w:r>
            <w:r w:rsidRPr="00AE4154">
              <w:rPr>
                <w:rFonts w:ascii="Cambria" w:hAnsi="Cambria"/>
                <w:bCs/>
                <w:sz w:val="20"/>
                <w:szCs w:val="20"/>
                <w:lang w:val="es-419"/>
              </w:rPr>
              <w:t xml:space="preserve"> artículos </w:t>
            </w:r>
            <w:r w:rsidRPr="00AE4154">
              <w:rPr>
                <w:rFonts w:ascii="Cambria" w:hAnsi="Cambria"/>
                <w:bCs/>
                <w:sz w:val="20"/>
                <w:szCs w:val="20"/>
                <w:lang w:val="es-ES"/>
              </w:rPr>
              <w:t>1.1 (obligación de respetar los derechos)</w:t>
            </w:r>
            <w:r w:rsidRPr="00AE4154">
              <w:rPr>
                <w:rFonts w:ascii="Cambria" w:hAnsi="Cambria"/>
                <w:bCs/>
                <w:sz w:val="20"/>
                <w:szCs w:val="20"/>
                <w:lang w:val="es-419"/>
              </w:rPr>
              <w:t xml:space="preserve"> y 2 (deber de adoptar disposiciones de derecho interno); y</w:t>
            </w:r>
            <w:r w:rsidR="00043892">
              <w:rPr>
                <w:rFonts w:ascii="Cambria" w:hAnsi="Cambria"/>
                <w:bCs/>
                <w:sz w:val="20"/>
                <w:szCs w:val="20"/>
                <w:lang w:val="es-419"/>
              </w:rPr>
              <w:t xml:space="preserve"> los</w:t>
            </w:r>
            <w:r w:rsidRPr="00AE4154">
              <w:rPr>
                <w:rFonts w:ascii="Cambria" w:hAnsi="Cambria"/>
                <w:bCs/>
                <w:sz w:val="20"/>
                <w:szCs w:val="20"/>
                <w:lang w:val="es-419"/>
              </w:rPr>
              <w:t xml:space="preserve"> artículos I, II, V, VI, VIII, IX, XI, XVIII, XXI, XXIII y XIV de la Declaración Americana sobre Derechos y Deberes del Hombre</w:t>
            </w:r>
            <w:r w:rsidRPr="00AE4154">
              <w:rPr>
                <w:rStyle w:val="FootnoteReference"/>
                <w:rFonts w:ascii="Cambria" w:hAnsi="Cambria"/>
                <w:bCs/>
                <w:sz w:val="20"/>
                <w:szCs w:val="20"/>
                <w:lang w:val="es-419"/>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9D2326E" w:rsidR="004C2312" w:rsidRPr="003239B8" w:rsidRDefault="00C27A41" w:rsidP="002625EA">
            <w:pPr>
              <w:jc w:val="both"/>
              <w:rPr>
                <w:rFonts w:ascii="Cambria" w:hAnsi="Cambria"/>
                <w:bCs/>
                <w:sz w:val="20"/>
                <w:szCs w:val="20"/>
                <w:lang w:val="es-ES"/>
              </w:rPr>
            </w:pPr>
            <w:r>
              <w:rPr>
                <w:rFonts w:ascii="Cambria" w:hAnsi="Cambria"/>
                <w:bCs/>
                <w:sz w:val="20"/>
                <w:szCs w:val="20"/>
                <w:lang w:val="es-ES"/>
              </w:rPr>
              <w:t>12 de febrero de 2015</w:t>
            </w:r>
          </w:p>
        </w:tc>
      </w:tr>
      <w:tr w:rsidR="00131425" w:rsidRPr="000D5C1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77C7A3BC" w:rsidR="00131425" w:rsidRPr="003239B8" w:rsidRDefault="00E575B2" w:rsidP="002625EA">
            <w:pPr>
              <w:jc w:val="both"/>
              <w:rPr>
                <w:rFonts w:ascii="Cambria" w:hAnsi="Cambria"/>
                <w:bCs/>
                <w:sz w:val="20"/>
                <w:szCs w:val="20"/>
                <w:lang w:val="es-ES"/>
              </w:rPr>
            </w:pPr>
            <w:r>
              <w:rPr>
                <w:rFonts w:ascii="Cambria" w:hAnsi="Cambria"/>
                <w:bCs/>
                <w:sz w:val="20"/>
                <w:szCs w:val="20"/>
                <w:lang w:val="es-ES"/>
              </w:rPr>
              <w:t>6 de agosto de 2018</w:t>
            </w:r>
          </w:p>
        </w:tc>
      </w:tr>
      <w:tr w:rsidR="004C2312" w:rsidRPr="000D5C1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6C79B3B1" w:rsidR="004C2312" w:rsidRPr="003239B8" w:rsidRDefault="00862E8C" w:rsidP="008D2290">
            <w:pPr>
              <w:jc w:val="both"/>
              <w:rPr>
                <w:rFonts w:ascii="Cambria" w:hAnsi="Cambria"/>
                <w:bCs/>
                <w:sz w:val="20"/>
                <w:szCs w:val="20"/>
                <w:lang w:val="es-ES"/>
              </w:rPr>
            </w:pPr>
            <w:r>
              <w:rPr>
                <w:rFonts w:ascii="Cambria" w:hAnsi="Cambria"/>
                <w:bCs/>
                <w:sz w:val="20"/>
                <w:szCs w:val="20"/>
                <w:lang w:val="es-ES"/>
              </w:rPr>
              <w:t>1</w:t>
            </w:r>
            <w:r w:rsidR="00446139">
              <w:rPr>
                <w:rFonts w:ascii="Cambria" w:hAnsi="Cambria"/>
                <w:bCs/>
                <w:sz w:val="20"/>
                <w:szCs w:val="20"/>
                <w:lang w:val="es-ES"/>
              </w:rPr>
              <w:t>8</w:t>
            </w:r>
            <w:r>
              <w:rPr>
                <w:rFonts w:ascii="Cambria" w:hAnsi="Cambria"/>
                <w:bCs/>
                <w:sz w:val="20"/>
                <w:szCs w:val="20"/>
                <w:lang w:val="es-ES"/>
              </w:rPr>
              <w:t xml:space="preserve"> de febrero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05D9C7FB" w:rsidR="004C2312" w:rsidRPr="003239B8" w:rsidRDefault="00862E8C"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R</w:t>
            </w:r>
            <w:r w:rsidR="004C2312" w:rsidRPr="003239B8">
              <w:rPr>
                <w:rFonts w:ascii="Cambria" w:hAnsi="Cambria"/>
                <w:b/>
                <w:color w:val="FFFFFF" w:themeColor="background1"/>
                <w:sz w:val="20"/>
                <w:szCs w:val="20"/>
                <w:lang w:val="es-ES"/>
              </w:rPr>
              <w:t>espuesta del Estado:</w:t>
            </w:r>
          </w:p>
        </w:tc>
        <w:tc>
          <w:tcPr>
            <w:tcW w:w="5647" w:type="dxa"/>
            <w:vAlign w:val="center"/>
          </w:tcPr>
          <w:p w14:paraId="6B47064C" w14:textId="63631778" w:rsidR="004C2312" w:rsidRPr="003239B8" w:rsidRDefault="00DA2191" w:rsidP="008D2290">
            <w:pPr>
              <w:jc w:val="both"/>
              <w:rPr>
                <w:rFonts w:ascii="Cambria" w:hAnsi="Cambria"/>
                <w:bCs/>
                <w:sz w:val="20"/>
                <w:szCs w:val="20"/>
                <w:lang w:val="es-ES"/>
              </w:rPr>
            </w:pPr>
            <w:r>
              <w:rPr>
                <w:rFonts w:ascii="Cambria" w:hAnsi="Cambria"/>
                <w:bCs/>
                <w:sz w:val="20"/>
                <w:szCs w:val="20"/>
                <w:lang w:val="es-ES"/>
              </w:rPr>
              <w:t>2</w:t>
            </w:r>
            <w:r w:rsidR="00D22CC4">
              <w:rPr>
                <w:rFonts w:ascii="Cambria" w:hAnsi="Cambria"/>
                <w:bCs/>
                <w:sz w:val="20"/>
                <w:szCs w:val="20"/>
                <w:lang w:val="es-ES"/>
              </w:rPr>
              <w:t xml:space="preserve"> de diciembre de 2020</w:t>
            </w:r>
          </w:p>
        </w:tc>
      </w:tr>
      <w:tr w:rsidR="004C2312" w:rsidRPr="000D5C1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407EA48" w:rsidR="004C2312" w:rsidRPr="003239B8" w:rsidRDefault="008217ED" w:rsidP="008D2290">
            <w:pPr>
              <w:jc w:val="both"/>
              <w:rPr>
                <w:rFonts w:ascii="Cambria" w:hAnsi="Cambria"/>
                <w:bCs/>
                <w:sz w:val="20"/>
                <w:szCs w:val="20"/>
                <w:lang w:val="es-ES"/>
              </w:rPr>
            </w:pPr>
            <w:r>
              <w:rPr>
                <w:rFonts w:ascii="Cambria" w:hAnsi="Cambria"/>
                <w:bCs/>
                <w:sz w:val="20"/>
                <w:szCs w:val="20"/>
                <w:lang w:val="es-ES"/>
              </w:rPr>
              <w:t>2 de mayo de 2023</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2C5C1B57" w:rsidR="001E49E7" w:rsidRPr="003239B8" w:rsidRDefault="00F07A7A" w:rsidP="002625EA">
            <w:pPr>
              <w:jc w:val="both"/>
              <w:rPr>
                <w:rFonts w:ascii="Cambria" w:hAnsi="Cambria"/>
                <w:bCs/>
                <w:sz w:val="20"/>
                <w:szCs w:val="20"/>
                <w:lang w:val="es-ES"/>
              </w:rPr>
            </w:pPr>
            <w:r>
              <w:rPr>
                <w:rFonts w:ascii="Cambria" w:hAnsi="Cambria"/>
                <w:bCs/>
                <w:sz w:val="20"/>
                <w:szCs w:val="20"/>
                <w:lang w:val="es-ES"/>
              </w:rPr>
              <w:t>1</w:t>
            </w:r>
            <w:r w:rsidR="008217ED">
              <w:rPr>
                <w:rFonts w:ascii="Cambria" w:hAnsi="Cambria"/>
                <w:bCs/>
                <w:sz w:val="20"/>
                <w:szCs w:val="20"/>
                <w:lang w:val="es-ES"/>
              </w:rPr>
              <w:t>1</w:t>
            </w:r>
            <w:r w:rsidR="007E1BB2">
              <w:rPr>
                <w:rFonts w:ascii="Cambria" w:hAnsi="Cambria"/>
                <w:bCs/>
                <w:sz w:val="20"/>
                <w:szCs w:val="20"/>
                <w:lang w:val="es-ES"/>
              </w:rPr>
              <w:t xml:space="preserve"> de </w:t>
            </w:r>
            <w:r w:rsidR="008217ED">
              <w:rPr>
                <w:rFonts w:ascii="Cambria" w:hAnsi="Cambria"/>
                <w:bCs/>
                <w:sz w:val="20"/>
                <w:szCs w:val="20"/>
                <w:lang w:val="es-ES"/>
              </w:rPr>
              <w:t xml:space="preserve">noviembre </w:t>
            </w:r>
            <w:r w:rsidR="007E1BB2">
              <w:rPr>
                <w:rFonts w:ascii="Cambria" w:hAnsi="Cambria"/>
                <w:bCs/>
                <w:sz w:val="20"/>
                <w:szCs w:val="20"/>
                <w:lang w:val="es-ES"/>
              </w:rPr>
              <w:t>de 202</w:t>
            </w:r>
            <w:r>
              <w:rPr>
                <w:rFonts w:ascii="Cambria" w:hAnsi="Cambria"/>
                <w:bCs/>
                <w:sz w:val="20"/>
                <w:szCs w:val="20"/>
                <w:lang w:val="es-ES"/>
              </w:rPr>
              <w:t>1</w:t>
            </w:r>
          </w:p>
        </w:tc>
      </w:tr>
      <w:tr w:rsidR="001E49E7" w:rsidRPr="000D5C1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7CB771B7" w:rsidR="001E49E7" w:rsidRPr="003239B8" w:rsidRDefault="008217ED" w:rsidP="002625EA">
            <w:pPr>
              <w:jc w:val="both"/>
              <w:rPr>
                <w:rFonts w:ascii="Cambria" w:hAnsi="Cambria"/>
                <w:bCs/>
                <w:sz w:val="20"/>
                <w:szCs w:val="20"/>
                <w:lang w:val="es-ES"/>
              </w:rPr>
            </w:pPr>
            <w:r>
              <w:rPr>
                <w:rFonts w:ascii="Cambria" w:hAnsi="Cambria"/>
                <w:bCs/>
                <w:sz w:val="20"/>
                <w:szCs w:val="20"/>
                <w:lang w:val="es-ES"/>
              </w:rPr>
              <w:t>2 de mayo de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1CD19D70" w:rsidR="003239B8" w:rsidRPr="00B3745F" w:rsidRDefault="00E541C9" w:rsidP="008D2290">
            <w:pPr>
              <w:rPr>
                <w:rFonts w:ascii="Cambria" w:hAnsi="Cambria"/>
                <w:bCs/>
                <w:sz w:val="20"/>
                <w:szCs w:val="20"/>
              </w:rPr>
            </w:pPr>
            <w:r>
              <w:rPr>
                <w:rFonts w:ascii="Cambria" w:hAnsi="Cambria"/>
                <w:bCs/>
                <w:sz w:val="20"/>
                <w:szCs w:val="20"/>
              </w:rPr>
              <w:t>Sí</w:t>
            </w:r>
          </w:p>
        </w:tc>
      </w:tr>
      <w:tr w:rsidR="003239B8" w:rsidRPr="004606C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E2DDB97" w:rsidR="003239B8" w:rsidRPr="00EE4A38" w:rsidRDefault="00E541C9" w:rsidP="008D2290">
            <w:pPr>
              <w:rPr>
                <w:rFonts w:ascii="Cambria" w:hAnsi="Cambria"/>
                <w:bCs/>
                <w:sz w:val="20"/>
                <w:szCs w:val="20"/>
                <w:lang w:val="es-CO"/>
              </w:rPr>
            </w:pPr>
            <w:r w:rsidRPr="00EE4A38">
              <w:rPr>
                <w:rFonts w:ascii="Cambria" w:hAnsi="Cambria"/>
                <w:bCs/>
                <w:sz w:val="20"/>
                <w:szCs w:val="20"/>
                <w:lang w:val="es-CO"/>
              </w:rPr>
              <w:t>Sí</w:t>
            </w:r>
            <w:r w:rsidR="00EE4A38" w:rsidRPr="00EE4A38">
              <w:rPr>
                <w:rFonts w:ascii="Cambria" w:hAnsi="Cambria"/>
                <w:bCs/>
                <w:sz w:val="20"/>
                <w:szCs w:val="20"/>
                <w:lang w:val="es-CO"/>
              </w:rPr>
              <w:t>, en los términos d</w:t>
            </w:r>
            <w:r w:rsidR="00EE4A38">
              <w:rPr>
                <w:rFonts w:ascii="Cambria" w:hAnsi="Cambria"/>
                <w:bCs/>
                <w:sz w:val="20"/>
                <w:szCs w:val="20"/>
                <w:lang w:val="es-CO"/>
              </w:rPr>
              <w:t>e la Sección VI</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E15992C" w:rsidR="003239B8" w:rsidRPr="00B3745F" w:rsidRDefault="00E541C9" w:rsidP="008D2290">
            <w:pPr>
              <w:rPr>
                <w:rFonts w:ascii="Cambria" w:hAnsi="Cambria"/>
                <w:bCs/>
                <w:sz w:val="20"/>
                <w:szCs w:val="20"/>
              </w:rPr>
            </w:pPr>
            <w:r>
              <w:rPr>
                <w:rFonts w:ascii="Cambria" w:hAnsi="Cambria"/>
                <w:bCs/>
                <w:sz w:val="20"/>
                <w:szCs w:val="20"/>
              </w:rPr>
              <w:t>Sí</w:t>
            </w:r>
          </w:p>
        </w:tc>
      </w:tr>
      <w:tr w:rsidR="003239B8" w:rsidRPr="004606C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3BD3755" w:rsidR="003239B8" w:rsidRPr="00B3745F" w:rsidRDefault="00CB26AC" w:rsidP="008D2290">
            <w:pPr>
              <w:jc w:val="both"/>
              <w:rPr>
                <w:rFonts w:ascii="Cambria" w:hAnsi="Cambria"/>
                <w:bCs/>
                <w:sz w:val="20"/>
                <w:szCs w:val="20"/>
                <w:lang w:val="es-ES"/>
              </w:rPr>
            </w:pPr>
            <w:r w:rsidRPr="00CB26AC">
              <w:rPr>
                <w:rFonts w:ascii="Cambria" w:hAnsi="Cambria"/>
                <w:bCs/>
                <w:sz w:val="20"/>
                <w:szCs w:val="20"/>
                <w:lang w:val="es-ES"/>
              </w:rPr>
              <w:t>Sí, 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D5C1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43A6858D" w:rsidR="00EE00E9" w:rsidRPr="00DC24E3" w:rsidRDefault="00CB26AC" w:rsidP="008D2290">
            <w:pPr>
              <w:jc w:val="both"/>
              <w:rPr>
                <w:rFonts w:ascii="Cambria" w:hAnsi="Cambria"/>
                <w:bCs/>
                <w:sz w:val="20"/>
                <w:szCs w:val="20"/>
                <w:lang w:val="es-ES"/>
              </w:rPr>
            </w:pPr>
            <w:r>
              <w:rPr>
                <w:rFonts w:ascii="Cambria" w:hAnsi="Cambria"/>
                <w:bCs/>
                <w:sz w:val="20"/>
                <w:szCs w:val="20"/>
                <w:lang w:val="es-ES"/>
              </w:rPr>
              <w:t>No</w:t>
            </w:r>
          </w:p>
        </w:tc>
      </w:tr>
      <w:tr w:rsidR="003239B8" w:rsidRPr="004606C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16045BC" w:rsidR="003239B8" w:rsidRPr="00EB5E0D" w:rsidRDefault="00EB5E0D" w:rsidP="008D2290">
            <w:pPr>
              <w:jc w:val="both"/>
              <w:rPr>
                <w:rFonts w:ascii="Cambria" w:hAnsi="Cambria"/>
                <w:bCs/>
                <w:sz w:val="20"/>
                <w:szCs w:val="20"/>
                <w:lang w:val="es-CO"/>
              </w:rPr>
            </w:pPr>
            <w:r w:rsidRPr="00AE4154">
              <w:rPr>
                <w:rFonts w:ascii="Cambria" w:hAnsi="Cambria"/>
                <w:bCs/>
                <w:sz w:val="20"/>
                <w:szCs w:val="20"/>
                <w:lang w:val="es-419"/>
              </w:rPr>
              <w:t>Artículos 5 (integridad personal), 8 (garantías judiciales) y 25 (protección judicial) de la Convención Americana</w:t>
            </w:r>
          </w:p>
        </w:tc>
      </w:tr>
      <w:tr w:rsidR="003239B8" w:rsidRPr="004606C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A06CCBC" w:rsidR="003239B8" w:rsidRPr="00DC24E3" w:rsidRDefault="00862056" w:rsidP="008D2290">
            <w:pPr>
              <w:rPr>
                <w:rFonts w:ascii="Cambria" w:hAnsi="Cambria"/>
                <w:bCs/>
                <w:sz w:val="20"/>
                <w:szCs w:val="20"/>
                <w:lang w:val="es-ES"/>
              </w:rPr>
            </w:pPr>
            <w:r>
              <w:rPr>
                <w:rFonts w:ascii="Cambria" w:hAnsi="Cambria"/>
                <w:bCs/>
                <w:sz w:val="20"/>
                <w:szCs w:val="20"/>
                <w:lang w:val="es-ES"/>
              </w:rPr>
              <w:t>Sí, en los términos de la Sección VI</w:t>
            </w:r>
            <w:r w:rsidR="00B05A9D">
              <w:rPr>
                <w:rFonts w:ascii="Cambria" w:hAnsi="Cambria"/>
                <w:bCs/>
                <w:sz w:val="20"/>
                <w:szCs w:val="20"/>
                <w:lang w:val="es-ES"/>
              </w:rPr>
              <w:t>I</w:t>
            </w:r>
          </w:p>
        </w:tc>
      </w:tr>
      <w:tr w:rsidR="003239B8" w:rsidRPr="004606C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Presentación dentro de plazo:</w:t>
            </w:r>
          </w:p>
        </w:tc>
        <w:tc>
          <w:tcPr>
            <w:tcW w:w="5760" w:type="dxa"/>
            <w:vAlign w:val="center"/>
          </w:tcPr>
          <w:p w14:paraId="2AF0FC69" w14:textId="41E90C55" w:rsidR="003239B8" w:rsidRPr="00862056" w:rsidRDefault="00862056" w:rsidP="008D2290">
            <w:pPr>
              <w:rPr>
                <w:rFonts w:ascii="Cambria" w:hAnsi="Cambria"/>
                <w:bCs/>
                <w:sz w:val="20"/>
                <w:szCs w:val="20"/>
                <w:lang w:val="es-CO"/>
              </w:rPr>
            </w:pPr>
            <w:r>
              <w:rPr>
                <w:rFonts w:ascii="Cambria" w:hAnsi="Cambria"/>
                <w:bCs/>
                <w:sz w:val="20"/>
                <w:szCs w:val="20"/>
                <w:lang w:val="es-ES"/>
              </w:rPr>
              <w:t>Sí, en los términos de la Sección VI</w:t>
            </w:r>
            <w:r w:rsidR="00B05A9D">
              <w:rPr>
                <w:rFonts w:ascii="Cambria" w:hAnsi="Cambria"/>
                <w:bCs/>
                <w:sz w:val="20"/>
                <w:szCs w:val="20"/>
                <w:lang w:val="es-ES"/>
              </w:rPr>
              <w:t>I</w:t>
            </w:r>
          </w:p>
        </w:tc>
      </w:tr>
    </w:tbl>
    <w:p w14:paraId="56FD5D57" w14:textId="252B1FD5"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Pr>
          <w:rFonts w:asciiTheme="majorHAnsi" w:hAnsiTheme="majorHAnsi"/>
          <w:b/>
          <w:sz w:val="20"/>
          <w:szCs w:val="20"/>
          <w:lang w:val="es-UY"/>
        </w:rPr>
        <w:t>POSICIÓN DE LAS PARTES</w:t>
      </w:r>
      <w:r w:rsidR="003239B8">
        <w:rPr>
          <w:rFonts w:asciiTheme="majorHAnsi" w:hAnsiTheme="majorHAnsi"/>
          <w:b/>
          <w:sz w:val="20"/>
          <w:szCs w:val="20"/>
          <w:lang w:val="es-UY"/>
        </w:rPr>
        <w:t xml:space="preserve"> </w:t>
      </w:r>
    </w:p>
    <w:p w14:paraId="53BD3EF6" w14:textId="3AF985FB" w:rsidR="006E621A" w:rsidRPr="006F654C" w:rsidRDefault="007006EF" w:rsidP="009D4B54">
      <w:pPr>
        <w:pStyle w:val="ListParagraph"/>
        <w:rPr>
          <w:rFonts w:asciiTheme="majorHAnsi" w:hAnsiTheme="majorHAnsi"/>
          <w:bCs/>
          <w:lang w:val="es-UY"/>
        </w:rPr>
      </w:pPr>
      <w:r>
        <w:rPr>
          <w:lang w:val="es-AR"/>
        </w:rPr>
        <w:t xml:space="preserve">La parte peticionaria alega la </w:t>
      </w:r>
      <w:r w:rsidR="00F26AA7" w:rsidRPr="006F654C">
        <w:t xml:space="preserve">responsabilidad internacional del Estado </w:t>
      </w:r>
      <w:r w:rsidR="00CE0A18">
        <w:t xml:space="preserve">colombiano </w:t>
      </w:r>
      <w:r w:rsidR="00931070">
        <w:t xml:space="preserve">por el homicidio de cuatro líderes </w:t>
      </w:r>
      <w:r w:rsidR="00D56F31">
        <w:t xml:space="preserve">indígenas y las lesiones </w:t>
      </w:r>
      <w:r w:rsidR="00FD706B">
        <w:t xml:space="preserve">sufridas por </w:t>
      </w:r>
      <w:r w:rsidR="00D56F31">
        <w:t xml:space="preserve">otro más durante una masacre perpetrada por un grupo paramilitar </w:t>
      </w:r>
      <w:r w:rsidR="00F16025">
        <w:t>colombiano en territorio panameño.</w:t>
      </w:r>
    </w:p>
    <w:p w14:paraId="764DEDCA" w14:textId="3EED7F1B" w:rsidR="00D2636C" w:rsidRPr="006C35DE" w:rsidRDefault="00D30F23" w:rsidP="006F654C">
      <w:pPr>
        <w:pStyle w:val="ListParagraph"/>
      </w:pPr>
      <w:r>
        <w:t xml:space="preserve">Relata que </w:t>
      </w:r>
      <w:r w:rsidR="00802E9E">
        <w:t>el pueblo originario Guna</w:t>
      </w:r>
      <w:r w:rsidR="0061534E">
        <w:t xml:space="preserve"> (también referido como “kuna”, “cuna”</w:t>
      </w:r>
      <w:r w:rsidR="0041322B">
        <w:t xml:space="preserve"> o “dule”)</w:t>
      </w:r>
      <w:r w:rsidR="00802E9E">
        <w:t xml:space="preserve"> es </w:t>
      </w:r>
      <w:r w:rsidR="00284504">
        <w:t xml:space="preserve">transfronterizo, pues se ha asentado y desplazado históricamente entre Colombia y Panamá desde la llegada de los </w:t>
      </w:r>
      <w:r w:rsidR="00B84BF4">
        <w:t xml:space="preserve">conquistadores españoles en </w:t>
      </w:r>
      <w:r w:rsidR="00B84BF4" w:rsidRPr="006C35DE">
        <w:t xml:space="preserve">1501. </w:t>
      </w:r>
      <w:r w:rsidR="00EC2F4B" w:rsidRPr="006C35DE">
        <w:t xml:space="preserve">Este pueblo está compuesto por </w:t>
      </w:r>
      <w:r w:rsidR="00F54653" w:rsidRPr="006C35DE">
        <w:t>las comunidades</w:t>
      </w:r>
      <w:r w:rsidR="00EC2F4B" w:rsidRPr="006C35DE">
        <w:t xml:space="preserve"> de Paya, Púcuro</w:t>
      </w:r>
      <w:r w:rsidR="00796B6F" w:rsidRPr="006C35DE">
        <w:t>, Arquia y Caiman Nuevo.</w:t>
      </w:r>
    </w:p>
    <w:p w14:paraId="1B4BD092" w14:textId="2D5E83F8" w:rsidR="00D30F23" w:rsidRPr="006C35DE" w:rsidRDefault="008E4542" w:rsidP="006F654C">
      <w:pPr>
        <w:pStyle w:val="ListParagraph"/>
      </w:pPr>
      <w:r w:rsidRPr="006C35DE">
        <w:t xml:space="preserve">La parte peticionaria narra que </w:t>
      </w:r>
      <w:r w:rsidR="00D2636C" w:rsidRPr="006C35DE">
        <w:t>del 17 al 19 de enero de 2003 el grupo paramilitar colombiano denominado Autodefensas Campesinas de Córdoba y Urabá (en adelante “ACCU”) comandado por Carlos Castaño Gil</w:t>
      </w:r>
      <w:r w:rsidR="00461C6F" w:rsidRPr="006C35DE">
        <w:t>,</w:t>
      </w:r>
      <w:r w:rsidR="00D2636C" w:rsidRPr="006C35DE">
        <w:t xml:space="preserve"> atac</w:t>
      </w:r>
      <w:r w:rsidR="00461C6F" w:rsidRPr="006C35DE">
        <w:t>ó</w:t>
      </w:r>
      <w:r w:rsidR="00D2636C" w:rsidRPr="006C35DE">
        <w:t xml:space="preserve"> </w:t>
      </w:r>
      <w:r w:rsidR="00461C6F" w:rsidRPr="006C35DE">
        <w:t>l</w:t>
      </w:r>
      <w:r w:rsidR="00983804" w:rsidRPr="006C35DE">
        <w:t xml:space="preserve">as comunidades de Arquia, Paya y Púcuro en territorio panameño. </w:t>
      </w:r>
      <w:r w:rsidR="00274FDA" w:rsidRPr="006C35DE">
        <w:t>Asegura que d</w:t>
      </w:r>
      <w:r w:rsidR="00386F19" w:rsidRPr="006C35DE">
        <w:t xml:space="preserve">urante </w:t>
      </w:r>
      <w:r w:rsidR="00274FDA" w:rsidRPr="006C35DE">
        <w:t xml:space="preserve">esta emboscada las ACCU perpetraron robos, secuestros, torturas y asesinatos contra miembros del pueblo Guna. </w:t>
      </w:r>
      <w:r w:rsidR="001B2B8C" w:rsidRPr="006C35DE">
        <w:t>E</w:t>
      </w:r>
      <w:r w:rsidR="00F44F65" w:rsidRPr="006C35DE">
        <w:t xml:space="preserve">n estos hechos los líderes comunitarios </w:t>
      </w:r>
      <w:r w:rsidR="009C0B58" w:rsidRPr="006C35DE">
        <w:t xml:space="preserve">Luis Enrique Martínez </w:t>
      </w:r>
      <w:r w:rsidR="0021300C" w:rsidRPr="006C35DE">
        <w:t>Ayala</w:t>
      </w:r>
      <w:r w:rsidR="009C0B58" w:rsidRPr="006C35DE">
        <w:t>, Sagla Ernesto Ayala</w:t>
      </w:r>
      <w:r w:rsidR="0021300C" w:rsidRPr="006C35DE">
        <w:t xml:space="preserve"> Ayala</w:t>
      </w:r>
      <w:r w:rsidR="009C0B58" w:rsidRPr="006C35DE">
        <w:t>, San Pascual Ayala Gutiérrez</w:t>
      </w:r>
      <w:r w:rsidR="00506AA6" w:rsidRPr="006C35DE">
        <w:t>,</w:t>
      </w:r>
      <w:r w:rsidR="009C0B58" w:rsidRPr="006C35DE">
        <w:t xml:space="preserve"> Gilberto Vásquez</w:t>
      </w:r>
      <w:r w:rsidR="0021300C" w:rsidRPr="006C35DE">
        <w:t xml:space="preserve"> </w:t>
      </w:r>
      <w:r w:rsidR="00506AA6" w:rsidRPr="006C35DE">
        <w:t>y Daniel Gutiérrez</w:t>
      </w:r>
      <w:r w:rsidR="00CD67CA" w:rsidRPr="006C35DE">
        <w:t xml:space="preserve"> (este último de nacionalidad colombiana)</w:t>
      </w:r>
      <w:r w:rsidR="00506AA6" w:rsidRPr="006C35DE">
        <w:t xml:space="preserve"> </w:t>
      </w:r>
      <w:r w:rsidR="0021300C" w:rsidRPr="006C35DE">
        <w:t>fueron asesinados</w:t>
      </w:r>
      <w:r w:rsidR="00A837E2" w:rsidRPr="006C35DE">
        <w:t xml:space="preserve"> y Casildo Ayala result</w:t>
      </w:r>
      <w:r w:rsidR="00CD67CA" w:rsidRPr="006C35DE">
        <w:t xml:space="preserve">ó </w:t>
      </w:r>
      <w:r w:rsidR="00A837E2" w:rsidRPr="006C35DE">
        <w:t>herido.</w:t>
      </w:r>
      <w:r w:rsidR="00774CE0" w:rsidRPr="006C35DE">
        <w:t xml:space="preserve"> Como consecuencia de </w:t>
      </w:r>
      <w:r w:rsidR="004E5A25" w:rsidRPr="006C35DE">
        <w:t>estos</w:t>
      </w:r>
      <w:r w:rsidR="00774CE0" w:rsidRPr="006C35DE">
        <w:t xml:space="preserve"> </w:t>
      </w:r>
      <w:r w:rsidR="003E09A2" w:rsidRPr="006C35DE">
        <w:t>hechos</w:t>
      </w:r>
      <w:r w:rsidR="004E5A25" w:rsidRPr="006C35DE">
        <w:t>,</w:t>
      </w:r>
      <w:r w:rsidR="003E09A2" w:rsidRPr="006C35DE">
        <w:t xml:space="preserve"> a los cuales se refiere como “la masacre de </w:t>
      </w:r>
      <w:r w:rsidR="00485ED8" w:rsidRPr="006C35DE">
        <w:t>P</w:t>
      </w:r>
      <w:r w:rsidR="003E09A2" w:rsidRPr="006C35DE">
        <w:t xml:space="preserve">aya”, la parte peticionaria </w:t>
      </w:r>
      <w:r w:rsidR="00C139E7" w:rsidRPr="006C35DE">
        <w:t>re</w:t>
      </w:r>
      <w:r w:rsidR="00776CA3" w:rsidRPr="006C35DE">
        <w:t>cuenta</w:t>
      </w:r>
      <w:r w:rsidR="003E09A2" w:rsidRPr="006C35DE">
        <w:t xml:space="preserve"> </w:t>
      </w:r>
      <w:r w:rsidR="00774CE0" w:rsidRPr="006C35DE">
        <w:t>que la comunidad de Paya tuvo que desplazarse</w:t>
      </w:r>
      <w:r w:rsidR="00925E14" w:rsidRPr="006C35DE">
        <w:t xml:space="preserve"> de</w:t>
      </w:r>
      <w:r w:rsidR="0046107B" w:rsidRPr="006C35DE">
        <w:t>n</w:t>
      </w:r>
      <w:r w:rsidR="00925E14" w:rsidRPr="006C35DE">
        <w:t>tro de</w:t>
      </w:r>
      <w:r w:rsidR="0046107B" w:rsidRPr="006C35DE">
        <w:t xml:space="preserve"> Panamá por temor fundado de ser objeto de nuevos ataques paramilitares.</w:t>
      </w:r>
    </w:p>
    <w:p w14:paraId="357FEC86" w14:textId="32980079" w:rsidR="00F844D1" w:rsidRPr="006C35DE" w:rsidRDefault="0079205C" w:rsidP="006F654C">
      <w:pPr>
        <w:pStyle w:val="ListParagraph"/>
      </w:pPr>
      <w:r w:rsidRPr="006C35DE">
        <w:t xml:space="preserve">Adicionalmente, denuncia que las ACCU sembraron minas antipersonales a fin de impedir el uso del camino tradicional entre </w:t>
      </w:r>
      <w:r w:rsidR="00E13B4E" w:rsidRPr="006C35DE">
        <w:t xml:space="preserve">la </w:t>
      </w:r>
      <w:r w:rsidRPr="006C35DE">
        <w:t>frontera</w:t>
      </w:r>
      <w:r w:rsidR="00E13B4E" w:rsidRPr="006C35DE">
        <w:t xml:space="preserve"> de ambos países</w:t>
      </w:r>
      <w:r w:rsidRPr="006C35DE">
        <w:t xml:space="preserve"> utilizado por el pueblo guna </w:t>
      </w:r>
      <w:r w:rsidR="00F844D1" w:rsidRPr="006C35DE">
        <w:t xml:space="preserve">para el desarrollo de sus actividades culturales, </w:t>
      </w:r>
      <w:r w:rsidR="006F654C" w:rsidRPr="006C35DE">
        <w:t xml:space="preserve">lo cual ha afectado su estilo de vida y seguridad alimentaria. </w:t>
      </w:r>
      <w:r w:rsidR="00576257" w:rsidRPr="006C35DE">
        <w:t>Manifiesta</w:t>
      </w:r>
      <w:r w:rsidR="006F654C" w:rsidRPr="006C35DE">
        <w:t xml:space="preserve"> que </w:t>
      </w:r>
      <w:r w:rsidR="00F33382" w:rsidRPr="006C35DE">
        <w:t xml:space="preserve">varios dirigentes indígenas de Panamá presentaron a la Procuraduría General de la Nación </w:t>
      </w:r>
      <w:r w:rsidR="00DF26B7" w:rsidRPr="006C35DE">
        <w:t xml:space="preserve">de Panamá </w:t>
      </w:r>
      <w:r w:rsidR="00143C34" w:rsidRPr="006C35DE">
        <w:t xml:space="preserve">denuncias por las que solicitaban la realización de una investigación rigurosa y extradición de los responsables, </w:t>
      </w:r>
      <w:r w:rsidR="00007C2A" w:rsidRPr="006C35DE">
        <w:t xml:space="preserve">pero </w:t>
      </w:r>
      <w:r w:rsidR="00020F3E" w:rsidRPr="006C35DE">
        <w:t>la</w:t>
      </w:r>
      <w:r w:rsidR="00007C2A" w:rsidRPr="006C35DE">
        <w:t xml:space="preserve"> fiscal</w:t>
      </w:r>
      <w:r w:rsidR="00020F3E" w:rsidRPr="006C35DE">
        <w:t xml:space="preserve">ía panameña no solicitó colaboración a las autoridades colombianas para investigar los sucesos, </w:t>
      </w:r>
      <w:r w:rsidR="00FA0C96" w:rsidRPr="006C35DE">
        <w:t xml:space="preserve">sino que </w:t>
      </w:r>
      <w:r w:rsidR="00007C2A" w:rsidRPr="006C35DE">
        <w:t xml:space="preserve">se limitó a </w:t>
      </w:r>
      <w:r w:rsidR="00FC597F" w:rsidRPr="006C35DE">
        <w:t xml:space="preserve">solicitar oficios a Colombia </w:t>
      </w:r>
      <w:r w:rsidR="007F64CE" w:rsidRPr="006C35DE">
        <w:t xml:space="preserve">para obtener la declaración de personas de nacionalidad estadounidense que fueron </w:t>
      </w:r>
      <w:r w:rsidR="00AA7966" w:rsidRPr="006C35DE">
        <w:t xml:space="preserve">retenidas </w:t>
      </w:r>
      <w:r w:rsidR="007F64CE" w:rsidRPr="006C35DE">
        <w:t>por los paramilitares.</w:t>
      </w:r>
    </w:p>
    <w:p w14:paraId="3C693E33" w14:textId="255BBF85" w:rsidR="000A3352" w:rsidRDefault="00D60208" w:rsidP="000A3352">
      <w:pPr>
        <w:pStyle w:val="ListParagraph"/>
      </w:pPr>
      <w:r w:rsidRPr="006C35DE">
        <w:t xml:space="preserve">La parte peticionaria narra </w:t>
      </w:r>
      <w:r w:rsidR="00057498" w:rsidRPr="006C35DE">
        <w:t>que,</w:t>
      </w:r>
      <w:r w:rsidRPr="006C35DE">
        <w:t xml:space="preserve"> </w:t>
      </w:r>
      <w:r w:rsidR="0073728D" w:rsidRPr="006C35DE">
        <w:t>en 2006</w:t>
      </w:r>
      <w:r w:rsidR="00DC4C97" w:rsidRPr="006C35DE">
        <w:t>, en el mar</w:t>
      </w:r>
      <w:r w:rsidR="005511CF" w:rsidRPr="006C35DE">
        <w:t>c</w:t>
      </w:r>
      <w:r w:rsidR="00DC4C97" w:rsidRPr="006C35DE">
        <w:t>o de</w:t>
      </w:r>
      <w:r w:rsidR="0073728D" w:rsidRPr="006C35DE">
        <w:t xml:space="preserve"> la desmovilización de las Autodefensas Unidas de Colombia (en adelante “AUC”), grupo paramilitar dentro del cual operaban las ACCU</w:t>
      </w:r>
      <w:r w:rsidR="005511CF" w:rsidRPr="006C35DE">
        <w:t>;</w:t>
      </w:r>
      <w:r w:rsidR="00823906" w:rsidRPr="006C35DE">
        <w:t xml:space="preserve"> </w:t>
      </w:r>
      <w:r w:rsidR="005511CF" w:rsidRPr="006C35DE">
        <w:t xml:space="preserve">el Estado colombiano </w:t>
      </w:r>
      <w:r w:rsidR="00823906" w:rsidRPr="006C35DE">
        <w:t>“</w:t>
      </w:r>
      <w:r w:rsidR="00823906" w:rsidRPr="006C35DE">
        <w:rPr>
          <w:i/>
          <w:iCs/>
        </w:rPr>
        <w:t>les otorgó una especie de amnistía</w:t>
      </w:r>
      <w:r w:rsidR="00F72A05" w:rsidRPr="006C35DE">
        <w:rPr>
          <w:i/>
          <w:iCs/>
        </w:rPr>
        <w:t xml:space="preserve"> por los horrendos crímenes que cometieron y desarrollaron</w:t>
      </w:r>
      <w:r w:rsidR="00C213A9" w:rsidRPr="006C35DE">
        <w:rPr>
          <w:i/>
          <w:iCs/>
        </w:rPr>
        <w:t xml:space="preserve"> una</w:t>
      </w:r>
      <w:r w:rsidR="00F72A05" w:rsidRPr="006C35DE">
        <w:rPr>
          <w:i/>
          <w:iCs/>
        </w:rPr>
        <w:t xml:space="preserve"> ley de reparación de víctimas que no se aplica en Panamá</w:t>
      </w:r>
      <w:r w:rsidR="00F72A05" w:rsidRPr="006C35DE">
        <w:t>”</w:t>
      </w:r>
      <w:r w:rsidR="00E06486" w:rsidRPr="006C35DE">
        <w:t xml:space="preserve">, en los que incluyen los hechos de la masacre de </w:t>
      </w:r>
      <w:r w:rsidR="00057498" w:rsidRPr="006C35DE">
        <w:t>Paya</w:t>
      </w:r>
      <w:r w:rsidR="0073728D" w:rsidRPr="006C35DE">
        <w:t>.</w:t>
      </w:r>
      <w:r w:rsidR="003800F1" w:rsidRPr="006C35DE">
        <w:t xml:space="preserve"> La parte peticionaria informa que los familiares de las víctimas de la masacre </w:t>
      </w:r>
      <w:r w:rsidR="00BD230D" w:rsidRPr="006C35DE">
        <w:t xml:space="preserve">contactaron a un abogado </w:t>
      </w:r>
      <w:r w:rsidR="00213083" w:rsidRPr="006C35DE">
        <w:t xml:space="preserve">indígena </w:t>
      </w:r>
      <w:r w:rsidR="002414BC" w:rsidRPr="006C35DE">
        <w:t>en Colombia en</w:t>
      </w:r>
      <w:r w:rsidR="00A857F2" w:rsidRPr="006C35DE">
        <w:t xml:space="preserve"> </w:t>
      </w:r>
      <w:r w:rsidR="00BD230D" w:rsidRPr="006C35DE">
        <w:t xml:space="preserve">2010 quien averiguó el estado de las investigaciones por estos crímenes, </w:t>
      </w:r>
      <w:r w:rsidR="00A857F2" w:rsidRPr="006C35DE">
        <w:t xml:space="preserve">y </w:t>
      </w:r>
      <w:r w:rsidR="000A6988" w:rsidRPr="006C35DE">
        <w:t>en 2012,</w:t>
      </w:r>
      <w:r w:rsidR="00B2774E" w:rsidRPr="006C35DE">
        <w:t xml:space="preserve"> después de dos años de la solicitud de copias del expediente, éste fue ubicado</w:t>
      </w:r>
      <w:r w:rsidR="000A6988" w:rsidRPr="006C35DE">
        <w:t xml:space="preserve"> </w:t>
      </w:r>
      <w:r w:rsidR="00B2774E" w:rsidRPr="006C35DE">
        <w:t xml:space="preserve">y se </w:t>
      </w:r>
      <w:r w:rsidR="00A857F2" w:rsidRPr="006C35DE">
        <w:t xml:space="preserve">estableció que </w:t>
      </w:r>
      <w:r w:rsidR="00B2774E" w:rsidRPr="006C35DE">
        <w:t xml:space="preserve">la investigación </w:t>
      </w:r>
      <w:r w:rsidR="00A857F2" w:rsidRPr="006C35DE">
        <w:t>había sido archivada desde 2004</w:t>
      </w:r>
      <w:r w:rsidR="002502B4" w:rsidRPr="006C35DE">
        <w:t xml:space="preserve">. </w:t>
      </w:r>
      <w:r w:rsidR="000A3352" w:rsidRPr="006C35DE">
        <w:t>Aduce que la resolución de archivo no es pasible de recursos, sólo de la presentación de nuevas evidencias, pero arguye que no están al alcance de las víctimas debido a su</w:t>
      </w:r>
      <w:r w:rsidR="000A3352">
        <w:t xml:space="preserve"> aislamiento geográfico</w:t>
      </w:r>
      <w:r w:rsidR="00551253">
        <w:t xml:space="preserve"> en Panamá</w:t>
      </w:r>
      <w:r w:rsidR="000A3352">
        <w:t xml:space="preserve">. Enfatiza que </w:t>
      </w:r>
      <w:r w:rsidR="006D5B50">
        <w:t>ni</w:t>
      </w:r>
      <w:r w:rsidR="000A3352">
        <w:t xml:space="preserve"> Panamá </w:t>
      </w:r>
      <w:r w:rsidR="006D5B50">
        <w:t>ni</w:t>
      </w:r>
      <w:r w:rsidR="000A3352">
        <w:t xml:space="preserve"> Colombia han ofrecido atención psicológica o médica a las comunidades afectadas, ni han aceptado la responsabilidad por los hechos denunciado u ofrecido reparación alguna.</w:t>
      </w:r>
    </w:p>
    <w:p w14:paraId="6F8C4120" w14:textId="07B0F71E" w:rsidR="00A123D2" w:rsidRDefault="000B0B60" w:rsidP="006F654C">
      <w:pPr>
        <w:pStyle w:val="ListParagraph"/>
      </w:pPr>
      <w:r>
        <w:t>Los peticionarios informan</w:t>
      </w:r>
      <w:r w:rsidR="00B2774E">
        <w:t xml:space="preserve"> que en 2011 la cancillería panameña</w:t>
      </w:r>
      <w:r w:rsidR="000A236B">
        <w:t xml:space="preserve"> </w:t>
      </w:r>
      <w:r w:rsidR="00D60DF1">
        <w:t>realizó una reclamación forma</w:t>
      </w:r>
      <w:r w:rsidR="002A1E8E">
        <w:t>l</w:t>
      </w:r>
      <w:r w:rsidR="00D60DF1">
        <w:t xml:space="preserve"> al Estado colombiano </w:t>
      </w:r>
      <w:r>
        <w:t>sobre</w:t>
      </w:r>
      <w:r w:rsidR="00D60DF1">
        <w:t xml:space="preserve"> reparación a </w:t>
      </w:r>
      <w:r>
        <w:t xml:space="preserve">las </w:t>
      </w:r>
      <w:r w:rsidR="00D60DF1">
        <w:t>víctimas</w:t>
      </w:r>
      <w:r w:rsidR="00D55F6B">
        <w:t xml:space="preserve">, </w:t>
      </w:r>
      <w:r>
        <w:t xml:space="preserve">pero </w:t>
      </w:r>
      <w:r w:rsidR="00D55F6B">
        <w:t>sin obtener ningún resultado.</w:t>
      </w:r>
    </w:p>
    <w:p w14:paraId="4415978E" w14:textId="198A589F" w:rsidR="004E32EC" w:rsidRDefault="004E32EC" w:rsidP="006F654C">
      <w:pPr>
        <w:pStyle w:val="ListParagraph"/>
      </w:pPr>
      <w:r>
        <w:t xml:space="preserve">Con respecto al agotamiento de los recursos internos, </w:t>
      </w:r>
      <w:r w:rsidR="00A479E7">
        <w:t xml:space="preserve">sostiene que </w:t>
      </w:r>
      <w:r w:rsidR="00074855">
        <w:t>l</w:t>
      </w:r>
      <w:r w:rsidR="00A479E7">
        <w:t>as víctimas se encuentran en imposibilidad de acceder a ellos, dada su situación de vulnerabilidad y la imposibilidad de via</w:t>
      </w:r>
      <w:r w:rsidR="00880159">
        <w:t>j</w:t>
      </w:r>
      <w:r w:rsidR="00A479E7">
        <w:t xml:space="preserve">ar a Colombia por temor fundado a </w:t>
      </w:r>
      <w:r w:rsidR="00AB54D0">
        <w:t xml:space="preserve">represalias de los paramilitares o la guerrilla, pues para llegar a la ciudad más cercana del lado colombiano de la frontera, </w:t>
      </w:r>
      <w:r w:rsidR="00880159">
        <w:t>es necesario atravesar cinco días de camino por la selva controlada por la ACCU y la guerrilla de las Fuerzas Armadas Revolucionarias de Colombia (en adelante “FARC”).</w:t>
      </w:r>
      <w:r w:rsidR="00D323A6">
        <w:t xml:space="preserve"> De igual forma, la parte peticionaria asevera que, dado que la masacre de </w:t>
      </w:r>
      <w:r w:rsidR="007A6928">
        <w:t>P</w:t>
      </w:r>
      <w:r w:rsidR="00D323A6">
        <w:t xml:space="preserve">aya constituye un delito de lesa humanidad, es </w:t>
      </w:r>
      <w:r w:rsidR="00D323A6">
        <w:lastRenderedPageBreak/>
        <w:t>imprescriptible y la investigación de</w:t>
      </w:r>
      <w:r w:rsidR="00B46B42">
        <w:t>be</w:t>
      </w:r>
      <w:r w:rsidR="00D323A6">
        <w:t xml:space="preserve"> continuar de oficio por parte de las autoridades colombianas.</w:t>
      </w:r>
      <w:r w:rsidR="00E52D7C">
        <w:t xml:space="preserve"> Añade que sólo hasta </w:t>
      </w:r>
      <w:r w:rsidR="00A16C88">
        <w:t xml:space="preserve">el </w:t>
      </w:r>
      <w:r w:rsidR="00E52D7C">
        <w:t>2020 la fiscalía de Medellín inici</w:t>
      </w:r>
      <w:r w:rsidR="00D44480">
        <w:t>ó</w:t>
      </w:r>
      <w:r w:rsidR="00E52D7C">
        <w:t xml:space="preserve"> una investigación por el homicidio de Daniel Gutiérrez,</w:t>
      </w:r>
      <w:r w:rsidR="00D44480">
        <w:t xml:space="preserve"> líder</w:t>
      </w:r>
      <w:r w:rsidR="00E52D7C">
        <w:t xml:space="preserve"> indígena de nacionalidad colombiana asesinado en la masacre de </w:t>
      </w:r>
      <w:r w:rsidR="00A16C88">
        <w:t>P</w:t>
      </w:r>
      <w:r w:rsidR="00E52D7C">
        <w:t>a</w:t>
      </w:r>
      <w:r w:rsidR="00F048B1">
        <w:t>y</w:t>
      </w:r>
      <w:r w:rsidR="00E52D7C">
        <w:t>a.</w:t>
      </w:r>
    </w:p>
    <w:p w14:paraId="4E086593" w14:textId="48D31965" w:rsidR="00F55E2B" w:rsidRDefault="009A6AC4" w:rsidP="006F654C">
      <w:pPr>
        <w:pStyle w:val="ListParagraph"/>
      </w:pPr>
      <w:r>
        <w:t xml:space="preserve">Por otra parte, </w:t>
      </w:r>
      <w:r w:rsidR="00935D5F">
        <w:t xml:space="preserve">los peticionarios alegan la responsabilidad del Estado colombiano por la vinculación histórica de los grupos paramilitares al margen de la ley y </w:t>
      </w:r>
      <w:r w:rsidR="00F46177">
        <w:t>la fuerza pública, pues el gobierno promovió la aparición de estos grupo</w:t>
      </w:r>
      <w:r w:rsidR="00901E5D">
        <w:t>s y algunos sectores de las fuerzas armadas han colaborado con ellos</w:t>
      </w:r>
      <w:r w:rsidR="00A2666E">
        <w:t xml:space="preserve">. </w:t>
      </w:r>
      <w:r w:rsidR="006C583E">
        <w:t xml:space="preserve">Con ello, aseguran que Colombia violó los derechos de las presuntas víctimas a la vida, a la </w:t>
      </w:r>
      <w:r w:rsidR="00B34404">
        <w:t xml:space="preserve">integridad personal, a la </w:t>
      </w:r>
      <w:r w:rsidR="006C583E">
        <w:t xml:space="preserve">seguridad </w:t>
      </w:r>
      <w:r w:rsidR="00B34404">
        <w:t xml:space="preserve">de la persona, </w:t>
      </w:r>
      <w:r w:rsidR="00362641">
        <w:t xml:space="preserve">a las garantías judiciales, a la libertad de conciencia y religión, a la familia, los derechos de niñez, a la protección del honor, </w:t>
      </w:r>
      <w:r w:rsidR="00562FAB">
        <w:t xml:space="preserve">de </w:t>
      </w:r>
      <w:r w:rsidR="00362641">
        <w:t xml:space="preserve">la reputación y </w:t>
      </w:r>
      <w:r w:rsidR="00562FAB">
        <w:t xml:space="preserve">de </w:t>
      </w:r>
      <w:r w:rsidR="00362641">
        <w:t>la vida privada y familiar</w:t>
      </w:r>
      <w:r w:rsidR="00F52B59">
        <w:t>.</w:t>
      </w:r>
    </w:p>
    <w:p w14:paraId="142267EB" w14:textId="48BBE03B" w:rsidR="00890DA0" w:rsidRPr="009D4B54" w:rsidRDefault="00125980" w:rsidP="009D4B54">
      <w:pPr>
        <w:ind w:firstLine="720"/>
        <w:rPr>
          <w:rFonts w:asciiTheme="majorHAnsi" w:hAnsiTheme="majorHAnsi"/>
          <w:b/>
          <w:bCs/>
          <w:sz w:val="20"/>
          <w:szCs w:val="20"/>
          <w:lang w:val="es-UY"/>
        </w:rPr>
      </w:pPr>
      <w:r w:rsidRPr="009D4B54">
        <w:rPr>
          <w:rFonts w:asciiTheme="majorHAnsi" w:hAnsiTheme="majorHAnsi"/>
          <w:b/>
          <w:bCs/>
          <w:sz w:val="20"/>
          <w:szCs w:val="20"/>
          <w:lang w:val="es-AR"/>
        </w:rPr>
        <w:t xml:space="preserve">El </w:t>
      </w:r>
      <w:r w:rsidR="00890DA0" w:rsidRPr="009D4B54">
        <w:rPr>
          <w:rFonts w:asciiTheme="majorHAnsi" w:hAnsiTheme="majorHAnsi"/>
          <w:b/>
          <w:bCs/>
          <w:sz w:val="20"/>
          <w:szCs w:val="20"/>
          <w:lang w:val="es-AR"/>
        </w:rPr>
        <w:t>Estado</w:t>
      </w:r>
      <w:r w:rsidRPr="009D4B54">
        <w:rPr>
          <w:rFonts w:asciiTheme="majorHAnsi" w:hAnsiTheme="majorHAnsi"/>
          <w:b/>
          <w:bCs/>
          <w:sz w:val="20"/>
          <w:szCs w:val="20"/>
          <w:lang w:val="es-AR"/>
        </w:rPr>
        <w:t xml:space="preserve"> </w:t>
      </w:r>
      <w:r w:rsidR="009D4B54" w:rsidRPr="009D4B54">
        <w:rPr>
          <w:rFonts w:asciiTheme="majorHAnsi" w:hAnsiTheme="majorHAnsi"/>
          <w:b/>
          <w:bCs/>
          <w:sz w:val="20"/>
          <w:szCs w:val="20"/>
          <w:lang w:val="es-AR"/>
        </w:rPr>
        <w:t>colombiano</w:t>
      </w:r>
    </w:p>
    <w:p w14:paraId="68A417B2" w14:textId="702D6720" w:rsidR="00B93D7F" w:rsidRPr="00702763" w:rsidRDefault="008D723A" w:rsidP="009D4B54">
      <w:pPr>
        <w:pStyle w:val="ListParagraph"/>
        <w:rPr>
          <w:rFonts w:asciiTheme="majorHAnsi" w:hAnsiTheme="majorHAnsi"/>
          <w:bCs/>
          <w:lang w:val="es-UY"/>
        </w:rPr>
      </w:pPr>
      <w:r>
        <w:rPr>
          <w:lang w:val="es-AR"/>
        </w:rPr>
        <w:t>E</w:t>
      </w:r>
      <w:r w:rsidR="00B93D7F" w:rsidRPr="009D4B54">
        <w:t>l</w:t>
      </w:r>
      <w:r w:rsidR="00B93D7F" w:rsidRPr="006E621A">
        <w:rPr>
          <w:lang w:val="es-AR"/>
        </w:rPr>
        <w:t xml:space="preserve"> Es</w:t>
      </w:r>
      <w:r w:rsidR="003F5154" w:rsidRPr="006E621A">
        <w:rPr>
          <w:lang w:val="es-AR"/>
        </w:rPr>
        <w:t xml:space="preserve">tado, </w:t>
      </w:r>
      <w:r>
        <w:rPr>
          <w:lang w:val="es-AR"/>
        </w:rPr>
        <w:t xml:space="preserve">por su parte, replica que </w:t>
      </w:r>
      <w:r w:rsidR="00EA73C7">
        <w:rPr>
          <w:lang w:val="es-AR"/>
        </w:rPr>
        <w:t xml:space="preserve">la presente petición es inamisible por </w:t>
      </w:r>
      <w:r w:rsidR="00324FD8">
        <w:rPr>
          <w:lang w:val="es-AR"/>
        </w:rPr>
        <w:t xml:space="preserve">tres motivos: i) la </w:t>
      </w:r>
      <w:r w:rsidR="00EA73C7">
        <w:rPr>
          <w:lang w:val="es-AR"/>
        </w:rPr>
        <w:t>falta de competencia territorial de la Comisión</w:t>
      </w:r>
      <w:r w:rsidR="00504589">
        <w:rPr>
          <w:lang w:val="es-AR"/>
        </w:rPr>
        <w:t xml:space="preserve"> </w:t>
      </w:r>
      <w:r w:rsidR="002A042C">
        <w:rPr>
          <w:lang w:val="es-AR"/>
        </w:rPr>
        <w:t>frente a Colombia por</w:t>
      </w:r>
      <w:r w:rsidR="00504589">
        <w:rPr>
          <w:lang w:val="es-AR"/>
        </w:rPr>
        <w:t xml:space="preserve"> los hechos sucedidos en territorio panameño</w:t>
      </w:r>
      <w:r w:rsidR="00324FD8">
        <w:rPr>
          <w:lang w:val="es-AR"/>
        </w:rPr>
        <w:t>; ii)</w:t>
      </w:r>
      <w:r w:rsidR="00504589">
        <w:rPr>
          <w:lang w:val="es-AR"/>
        </w:rPr>
        <w:t xml:space="preserve"> </w:t>
      </w:r>
      <w:r w:rsidR="00EA73C7">
        <w:rPr>
          <w:lang w:val="es-AR"/>
        </w:rPr>
        <w:t>debido a la falta de agotamiento de los recursos internos por la parte peticionaria</w:t>
      </w:r>
      <w:r w:rsidR="00C45BE9">
        <w:rPr>
          <w:lang w:val="es-AR"/>
        </w:rPr>
        <w:t>;</w:t>
      </w:r>
      <w:r w:rsidR="00EA73C7">
        <w:rPr>
          <w:lang w:val="es-AR"/>
        </w:rPr>
        <w:t xml:space="preserve"> y</w:t>
      </w:r>
      <w:r w:rsidR="00C45BE9">
        <w:rPr>
          <w:lang w:val="es-AR"/>
        </w:rPr>
        <w:t>, iii)</w:t>
      </w:r>
      <w:r w:rsidR="00EA73C7">
        <w:rPr>
          <w:lang w:val="es-AR"/>
        </w:rPr>
        <w:t xml:space="preserve"> por </w:t>
      </w:r>
      <w:r w:rsidR="00C45BE9">
        <w:rPr>
          <w:lang w:val="es-AR"/>
        </w:rPr>
        <w:t xml:space="preserve">la presentación </w:t>
      </w:r>
      <w:r w:rsidR="00EA73C7">
        <w:rPr>
          <w:lang w:val="es-AR"/>
        </w:rPr>
        <w:t>de cargos manifiestamente infundados</w:t>
      </w:r>
      <w:r w:rsidR="003F5154" w:rsidRPr="006E621A">
        <w:rPr>
          <w:lang w:val="es-AR"/>
        </w:rPr>
        <w:t>.</w:t>
      </w:r>
    </w:p>
    <w:p w14:paraId="74EDE788" w14:textId="38A3FCF0" w:rsidR="00702763" w:rsidRDefault="004A3FEE" w:rsidP="009D4B54">
      <w:pPr>
        <w:pStyle w:val="ListParagraph"/>
        <w:rPr>
          <w:rFonts w:asciiTheme="majorHAnsi" w:hAnsiTheme="majorHAnsi"/>
          <w:bCs/>
          <w:lang w:val="es-UY"/>
        </w:rPr>
      </w:pPr>
      <w:r>
        <w:rPr>
          <w:rFonts w:asciiTheme="majorHAnsi" w:hAnsiTheme="majorHAnsi"/>
          <w:bCs/>
          <w:lang w:val="es-UY"/>
        </w:rPr>
        <w:t>Con respecto a los hechos</w:t>
      </w:r>
      <w:r w:rsidR="00EF14A1">
        <w:rPr>
          <w:rFonts w:asciiTheme="majorHAnsi" w:hAnsiTheme="majorHAnsi"/>
          <w:bCs/>
          <w:lang w:val="es-UY"/>
        </w:rPr>
        <w:t xml:space="preserve"> </w:t>
      </w:r>
      <w:r w:rsidR="00971B71">
        <w:rPr>
          <w:rFonts w:asciiTheme="majorHAnsi" w:hAnsiTheme="majorHAnsi"/>
          <w:bCs/>
          <w:lang w:val="es-UY"/>
        </w:rPr>
        <w:t>alegados por la parte peticionaria</w:t>
      </w:r>
      <w:r w:rsidR="00C45BE9">
        <w:rPr>
          <w:rFonts w:asciiTheme="majorHAnsi" w:hAnsiTheme="majorHAnsi"/>
          <w:bCs/>
          <w:lang w:val="es-UY"/>
        </w:rPr>
        <w:t xml:space="preserve">, </w:t>
      </w:r>
      <w:r w:rsidR="00FD1314">
        <w:rPr>
          <w:rFonts w:asciiTheme="majorHAnsi" w:hAnsiTheme="majorHAnsi"/>
          <w:bCs/>
          <w:lang w:val="es-UY"/>
        </w:rPr>
        <w:t xml:space="preserve">Colombia </w:t>
      </w:r>
      <w:r w:rsidR="00F9406D">
        <w:rPr>
          <w:rFonts w:asciiTheme="majorHAnsi" w:hAnsiTheme="majorHAnsi"/>
          <w:bCs/>
          <w:lang w:val="es-UY"/>
        </w:rPr>
        <w:t>recalc</w:t>
      </w:r>
      <w:r w:rsidR="00FD1314">
        <w:rPr>
          <w:rFonts w:asciiTheme="majorHAnsi" w:hAnsiTheme="majorHAnsi"/>
          <w:bCs/>
          <w:lang w:val="es-UY"/>
        </w:rPr>
        <w:t xml:space="preserve">a que la </w:t>
      </w:r>
      <w:r w:rsidR="009316FD">
        <w:rPr>
          <w:rFonts w:asciiTheme="majorHAnsi" w:hAnsiTheme="majorHAnsi"/>
          <w:bCs/>
          <w:lang w:val="es-UY"/>
        </w:rPr>
        <w:t xml:space="preserve">Defensoría delegada para Grupos </w:t>
      </w:r>
      <w:r w:rsidR="00EF14A1">
        <w:rPr>
          <w:rFonts w:asciiTheme="majorHAnsi" w:hAnsiTheme="majorHAnsi"/>
          <w:bCs/>
          <w:lang w:val="es-UY"/>
        </w:rPr>
        <w:t>Étnicos</w:t>
      </w:r>
      <w:r w:rsidR="009316FD">
        <w:rPr>
          <w:rFonts w:asciiTheme="majorHAnsi" w:hAnsiTheme="majorHAnsi"/>
          <w:bCs/>
          <w:lang w:val="es-UY"/>
        </w:rPr>
        <w:t xml:space="preserve"> y </w:t>
      </w:r>
      <w:r w:rsidR="007C3B7B">
        <w:rPr>
          <w:rFonts w:asciiTheme="majorHAnsi" w:hAnsiTheme="majorHAnsi"/>
          <w:bCs/>
          <w:lang w:val="es-UY"/>
        </w:rPr>
        <w:t xml:space="preserve">la </w:t>
      </w:r>
      <w:r w:rsidR="005E5978">
        <w:rPr>
          <w:rFonts w:asciiTheme="majorHAnsi" w:hAnsiTheme="majorHAnsi"/>
          <w:bCs/>
          <w:lang w:val="es-UY"/>
        </w:rPr>
        <w:t>R</w:t>
      </w:r>
      <w:r w:rsidR="00FD1314">
        <w:rPr>
          <w:rFonts w:asciiTheme="majorHAnsi" w:hAnsiTheme="majorHAnsi"/>
          <w:bCs/>
          <w:lang w:val="es-UY"/>
        </w:rPr>
        <w:t>egional Urabá de la Defensoría del Pueblo</w:t>
      </w:r>
      <w:r w:rsidR="009316FD">
        <w:rPr>
          <w:rFonts w:asciiTheme="majorHAnsi" w:hAnsiTheme="majorHAnsi"/>
          <w:bCs/>
          <w:lang w:val="es-UY"/>
        </w:rPr>
        <w:t xml:space="preserve"> </w:t>
      </w:r>
      <w:r w:rsidR="00AC5A00">
        <w:rPr>
          <w:rFonts w:asciiTheme="majorHAnsi" w:hAnsiTheme="majorHAnsi"/>
          <w:bCs/>
          <w:lang w:val="es-UY"/>
        </w:rPr>
        <w:t xml:space="preserve">han realizado importantes acciones en la atención, orientación, asesoría y </w:t>
      </w:r>
      <w:r w:rsidR="00AC5A00" w:rsidRPr="006C35DE">
        <w:rPr>
          <w:rFonts w:asciiTheme="majorHAnsi" w:hAnsiTheme="majorHAnsi"/>
          <w:bCs/>
          <w:lang w:val="es-UY"/>
        </w:rPr>
        <w:t>acompañamiento</w:t>
      </w:r>
      <w:r w:rsidR="00EF14A1" w:rsidRPr="006C35DE">
        <w:rPr>
          <w:rFonts w:asciiTheme="majorHAnsi" w:hAnsiTheme="majorHAnsi"/>
          <w:bCs/>
          <w:lang w:val="es-UY"/>
        </w:rPr>
        <w:t xml:space="preserve"> a líderes,</w:t>
      </w:r>
      <w:r w:rsidR="00971B71" w:rsidRPr="006C35DE">
        <w:rPr>
          <w:rFonts w:asciiTheme="majorHAnsi" w:hAnsiTheme="majorHAnsi"/>
          <w:bCs/>
          <w:lang w:val="es-UY"/>
        </w:rPr>
        <w:t xml:space="preserve"> lideresas y autoridades tradicionales mediante el desarrollo de misiones humanitarias</w:t>
      </w:r>
      <w:r w:rsidR="00A22579" w:rsidRPr="006C35DE">
        <w:rPr>
          <w:rFonts w:asciiTheme="majorHAnsi" w:hAnsiTheme="majorHAnsi"/>
          <w:bCs/>
          <w:lang w:val="es-UY"/>
        </w:rPr>
        <w:t xml:space="preserve">, </w:t>
      </w:r>
      <w:r w:rsidR="00806B8E" w:rsidRPr="006C35DE">
        <w:rPr>
          <w:rFonts w:asciiTheme="majorHAnsi" w:hAnsiTheme="majorHAnsi"/>
          <w:bCs/>
          <w:lang w:val="es-UY"/>
        </w:rPr>
        <w:t>a través de las cuales</w:t>
      </w:r>
      <w:r w:rsidR="00A22579" w:rsidRPr="006C35DE">
        <w:rPr>
          <w:rFonts w:asciiTheme="majorHAnsi" w:hAnsiTheme="majorHAnsi"/>
          <w:bCs/>
          <w:lang w:val="es-UY"/>
        </w:rPr>
        <w:t xml:space="preserve"> monitorea la situación de derechos humanos y recibe que</w:t>
      </w:r>
      <w:r w:rsidR="00A525F5" w:rsidRPr="006C35DE">
        <w:rPr>
          <w:rFonts w:asciiTheme="majorHAnsi" w:hAnsiTheme="majorHAnsi"/>
          <w:bCs/>
          <w:lang w:val="es-UY"/>
        </w:rPr>
        <w:t>j</w:t>
      </w:r>
      <w:r w:rsidR="00A22579" w:rsidRPr="006C35DE">
        <w:rPr>
          <w:rFonts w:asciiTheme="majorHAnsi" w:hAnsiTheme="majorHAnsi"/>
          <w:bCs/>
          <w:lang w:val="es-UY"/>
        </w:rPr>
        <w:t xml:space="preserve">as y peticiones relacionadas con posibles vulneraciones de derechos humanos e infracciones </w:t>
      </w:r>
      <w:r w:rsidR="00A525F5" w:rsidRPr="006C35DE">
        <w:rPr>
          <w:rFonts w:asciiTheme="majorHAnsi" w:hAnsiTheme="majorHAnsi"/>
          <w:bCs/>
          <w:lang w:val="es-UY"/>
        </w:rPr>
        <w:t>a</w:t>
      </w:r>
      <w:r w:rsidR="00A22579" w:rsidRPr="006C35DE">
        <w:rPr>
          <w:rFonts w:asciiTheme="majorHAnsi" w:hAnsiTheme="majorHAnsi"/>
          <w:bCs/>
          <w:lang w:val="es-UY"/>
        </w:rPr>
        <w:t>l Derecho Internacional Humanitario</w:t>
      </w:r>
      <w:r w:rsidR="00D73824" w:rsidRPr="006C35DE">
        <w:rPr>
          <w:rFonts w:asciiTheme="majorHAnsi" w:hAnsiTheme="majorHAnsi"/>
          <w:bCs/>
          <w:lang w:val="es-UY"/>
        </w:rPr>
        <w:t xml:space="preserve"> en el resguardo Arquía</w:t>
      </w:r>
      <w:r w:rsidR="002C307E" w:rsidRPr="006C35DE">
        <w:rPr>
          <w:rFonts w:asciiTheme="majorHAnsi" w:hAnsiTheme="majorHAnsi"/>
          <w:bCs/>
          <w:lang w:val="es-UY"/>
        </w:rPr>
        <w:t xml:space="preserve"> de la comunidad Guna en el lado colombiano de la frontera</w:t>
      </w:r>
      <w:r w:rsidR="00D73824" w:rsidRPr="006C35DE">
        <w:rPr>
          <w:rFonts w:asciiTheme="majorHAnsi" w:hAnsiTheme="majorHAnsi"/>
          <w:bCs/>
          <w:lang w:val="es-UY"/>
        </w:rPr>
        <w:t>.</w:t>
      </w:r>
      <w:r w:rsidR="003F69B3" w:rsidRPr="006C35DE">
        <w:rPr>
          <w:rFonts w:asciiTheme="majorHAnsi" w:hAnsiTheme="majorHAnsi"/>
          <w:bCs/>
          <w:lang w:val="es-UY"/>
        </w:rPr>
        <w:t xml:space="preserve"> </w:t>
      </w:r>
      <w:r w:rsidR="0058699C" w:rsidRPr="006C35DE">
        <w:rPr>
          <w:rFonts w:asciiTheme="majorHAnsi" w:hAnsiTheme="majorHAnsi"/>
          <w:bCs/>
          <w:lang w:val="es-UY"/>
        </w:rPr>
        <w:t xml:space="preserve">También destaca que </w:t>
      </w:r>
      <w:r w:rsidR="00AC542D" w:rsidRPr="006C35DE">
        <w:rPr>
          <w:rFonts w:asciiTheme="majorHAnsi" w:hAnsiTheme="majorHAnsi"/>
          <w:bCs/>
          <w:lang w:val="es-UY"/>
        </w:rPr>
        <w:t xml:space="preserve">varias entidades nacionales </w:t>
      </w:r>
      <w:r w:rsidR="007F7E80" w:rsidRPr="006C35DE">
        <w:rPr>
          <w:rFonts w:asciiTheme="majorHAnsi" w:hAnsiTheme="majorHAnsi"/>
          <w:bCs/>
          <w:lang w:val="es-UY"/>
        </w:rPr>
        <w:t>ha</w:t>
      </w:r>
      <w:r w:rsidR="00AC542D" w:rsidRPr="006C35DE">
        <w:rPr>
          <w:rFonts w:asciiTheme="majorHAnsi" w:hAnsiTheme="majorHAnsi"/>
          <w:bCs/>
          <w:lang w:val="es-UY"/>
        </w:rPr>
        <w:t>n</w:t>
      </w:r>
      <w:r w:rsidR="007F7E80" w:rsidRPr="006C35DE">
        <w:rPr>
          <w:rFonts w:asciiTheme="majorHAnsi" w:hAnsiTheme="majorHAnsi"/>
          <w:bCs/>
          <w:lang w:val="es-UY"/>
        </w:rPr>
        <w:t xml:space="preserve"> acompañado a </w:t>
      </w:r>
      <w:r w:rsidR="00EF56A7" w:rsidRPr="006C35DE">
        <w:rPr>
          <w:rFonts w:asciiTheme="majorHAnsi" w:hAnsiTheme="majorHAnsi"/>
          <w:bCs/>
          <w:lang w:val="es-UY"/>
        </w:rPr>
        <w:t xml:space="preserve">este resguardo </w:t>
      </w:r>
      <w:r w:rsidR="00AC542D" w:rsidRPr="006C35DE">
        <w:rPr>
          <w:rFonts w:asciiTheme="majorHAnsi" w:hAnsiTheme="majorHAnsi"/>
          <w:bCs/>
          <w:lang w:val="es-UY"/>
        </w:rPr>
        <w:t xml:space="preserve">en trámites de restitución de tierras, programas de reparación colectiva, de </w:t>
      </w:r>
      <w:r w:rsidR="00EF56A7" w:rsidRPr="006C35DE">
        <w:rPr>
          <w:rFonts w:asciiTheme="majorHAnsi" w:hAnsiTheme="majorHAnsi"/>
          <w:bCs/>
          <w:lang w:val="es-UY"/>
        </w:rPr>
        <w:t>formación</w:t>
      </w:r>
      <w:r w:rsidR="00AC542D" w:rsidRPr="006C35DE">
        <w:rPr>
          <w:rFonts w:asciiTheme="majorHAnsi" w:hAnsiTheme="majorHAnsi"/>
          <w:bCs/>
          <w:lang w:val="es-UY"/>
        </w:rPr>
        <w:t xml:space="preserve"> técnica en producción agropecuaria, </w:t>
      </w:r>
      <w:r w:rsidR="0057358D" w:rsidRPr="006C35DE">
        <w:rPr>
          <w:rFonts w:asciiTheme="majorHAnsi" w:hAnsiTheme="majorHAnsi"/>
          <w:bCs/>
          <w:lang w:val="es-UY"/>
        </w:rPr>
        <w:t>en censos por la Unidad de Víctimas</w:t>
      </w:r>
      <w:r w:rsidR="00536C23" w:rsidRPr="006C35DE">
        <w:rPr>
          <w:rFonts w:asciiTheme="majorHAnsi" w:hAnsiTheme="majorHAnsi"/>
          <w:bCs/>
          <w:lang w:val="es-UY"/>
        </w:rPr>
        <w:t xml:space="preserve">, </w:t>
      </w:r>
      <w:r w:rsidR="00BC5A34" w:rsidRPr="006C35DE">
        <w:rPr>
          <w:rFonts w:asciiTheme="majorHAnsi" w:hAnsiTheme="majorHAnsi"/>
          <w:bCs/>
          <w:lang w:val="es-UY"/>
        </w:rPr>
        <w:t xml:space="preserve">en la </w:t>
      </w:r>
      <w:r w:rsidR="00536C23" w:rsidRPr="006C35DE">
        <w:rPr>
          <w:rFonts w:asciiTheme="majorHAnsi" w:hAnsiTheme="majorHAnsi"/>
          <w:bCs/>
          <w:lang w:val="es-UY"/>
        </w:rPr>
        <w:t xml:space="preserve">implementación del plan de acción integral contra minas, </w:t>
      </w:r>
      <w:r w:rsidR="00F97E4A" w:rsidRPr="006C35DE">
        <w:rPr>
          <w:rFonts w:asciiTheme="majorHAnsi" w:hAnsiTheme="majorHAnsi"/>
          <w:bCs/>
          <w:lang w:val="es-UY"/>
        </w:rPr>
        <w:t xml:space="preserve">y en el </w:t>
      </w:r>
      <w:r w:rsidR="00D56AA1" w:rsidRPr="006C35DE">
        <w:rPr>
          <w:rFonts w:asciiTheme="majorHAnsi" w:hAnsiTheme="majorHAnsi"/>
          <w:bCs/>
          <w:lang w:val="es-UY"/>
        </w:rPr>
        <w:t>despliegue táctico del ejército nacional en operaciones de seguridad</w:t>
      </w:r>
      <w:r w:rsidR="00D56AA1">
        <w:rPr>
          <w:rFonts w:asciiTheme="majorHAnsi" w:hAnsiTheme="majorHAnsi"/>
          <w:bCs/>
          <w:lang w:val="es-UY"/>
        </w:rPr>
        <w:t xml:space="preserve"> y </w:t>
      </w:r>
      <w:r w:rsidR="00BB718F">
        <w:rPr>
          <w:rFonts w:asciiTheme="majorHAnsi" w:hAnsiTheme="majorHAnsi"/>
          <w:bCs/>
          <w:lang w:val="es-UY"/>
        </w:rPr>
        <w:t>convivencia</w:t>
      </w:r>
      <w:r w:rsidR="00D56AA1">
        <w:rPr>
          <w:rFonts w:asciiTheme="majorHAnsi" w:hAnsiTheme="majorHAnsi"/>
          <w:bCs/>
          <w:lang w:val="es-UY"/>
        </w:rPr>
        <w:t xml:space="preserve"> ciudadana</w:t>
      </w:r>
      <w:r w:rsidR="000951D9">
        <w:rPr>
          <w:rFonts w:asciiTheme="majorHAnsi" w:hAnsiTheme="majorHAnsi"/>
          <w:bCs/>
          <w:lang w:val="es-UY"/>
        </w:rPr>
        <w:t>, al igual que en un acercamiento y concertación para la elaboración de un informe de memoria histórica sobre la comunidad.</w:t>
      </w:r>
    </w:p>
    <w:p w14:paraId="703A784B" w14:textId="751FAB5D" w:rsidR="00841AB3" w:rsidRDefault="00631AE5" w:rsidP="009D4B54">
      <w:pPr>
        <w:pStyle w:val="ListParagraph"/>
        <w:rPr>
          <w:rFonts w:asciiTheme="majorHAnsi" w:hAnsiTheme="majorHAnsi"/>
          <w:bCs/>
          <w:lang w:val="es-UY"/>
        </w:rPr>
      </w:pPr>
      <w:r>
        <w:rPr>
          <w:rFonts w:asciiTheme="majorHAnsi" w:hAnsiTheme="majorHAnsi"/>
          <w:bCs/>
          <w:lang w:val="es-UY"/>
        </w:rPr>
        <w:t>En cuanto a la admisibilidad el Estado aduce</w:t>
      </w:r>
      <w:r w:rsidR="00365584">
        <w:rPr>
          <w:rFonts w:asciiTheme="majorHAnsi" w:hAnsiTheme="majorHAnsi"/>
          <w:bCs/>
          <w:lang w:val="es-UY"/>
        </w:rPr>
        <w:t>,</w:t>
      </w:r>
      <w:r>
        <w:rPr>
          <w:rFonts w:asciiTheme="majorHAnsi" w:hAnsiTheme="majorHAnsi"/>
          <w:bCs/>
          <w:lang w:val="es-UY"/>
        </w:rPr>
        <w:t xml:space="preserve"> en primer lugar, que la competencia </w:t>
      </w:r>
      <w:r w:rsidR="0070527E">
        <w:rPr>
          <w:rFonts w:asciiTheme="majorHAnsi" w:hAnsiTheme="majorHAnsi"/>
          <w:bCs/>
          <w:lang w:val="es-UY"/>
        </w:rPr>
        <w:t xml:space="preserve">de la CIDH </w:t>
      </w:r>
      <w:r>
        <w:rPr>
          <w:rFonts w:asciiTheme="majorHAnsi" w:hAnsiTheme="majorHAnsi"/>
          <w:bCs/>
          <w:lang w:val="es-UY"/>
        </w:rPr>
        <w:t>en razón del territori</w:t>
      </w:r>
      <w:r w:rsidR="0070527E">
        <w:rPr>
          <w:rFonts w:asciiTheme="majorHAnsi" w:hAnsiTheme="majorHAnsi"/>
          <w:bCs/>
          <w:lang w:val="es-UY"/>
        </w:rPr>
        <w:t xml:space="preserve">o implica que sólo puede examinar peticiones en las que se alegue </w:t>
      </w:r>
      <w:r w:rsidR="004D4CAD">
        <w:rPr>
          <w:rFonts w:asciiTheme="majorHAnsi" w:hAnsiTheme="majorHAnsi"/>
          <w:bCs/>
          <w:lang w:val="es-UY"/>
        </w:rPr>
        <w:t>la violación de derechos humanos que se haya producido en el territorio del Estado denunciado,</w:t>
      </w:r>
      <w:r w:rsidR="00931FCC">
        <w:rPr>
          <w:rFonts w:asciiTheme="majorHAnsi" w:hAnsiTheme="majorHAnsi"/>
          <w:bCs/>
          <w:lang w:val="es-UY"/>
        </w:rPr>
        <w:t xml:space="preserve"> y sólo de forma excepcional puede ab</w:t>
      </w:r>
      <w:r w:rsidR="006452A1">
        <w:rPr>
          <w:rFonts w:asciiTheme="majorHAnsi" w:hAnsiTheme="majorHAnsi"/>
          <w:bCs/>
          <w:lang w:val="es-UY"/>
        </w:rPr>
        <w:t>a</w:t>
      </w:r>
      <w:r w:rsidR="00931FCC">
        <w:rPr>
          <w:rFonts w:asciiTheme="majorHAnsi" w:hAnsiTheme="majorHAnsi"/>
          <w:bCs/>
          <w:lang w:val="es-UY"/>
        </w:rPr>
        <w:t>rcar hechos ocurrido</w:t>
      </w:r>
      <w:r w:rsidR="0091511A">
        <w:rPr>
          <w:rFonts w:asciiTheme="majorHAnsi" w:hAnsiTheme="majorHAnsi"/>
          <w:bCs/>
          <w:lang w:val="es-UY"/>
        </w:rPr>
        <w:t>s</w:t>
      </w:r>
      <w:r w:rsidR="00931FCC">
        <w:rPr>
          <w:rFonts w:asciiTheme="majorHAnsi" w:hAnsiTheme="majorHAnsi"/>
          <w:bCs/>
          <w:lang w:val="es-UY"/>
        </w:rPr>
        <w:t xml:space="preserve"> extraterritorialmente.</w:t>
      </w:r>
      <w:r w:rsidR="00816CC5">
        <w:rPr>
          <w:rFonts w:asciiTheme="majorHAnsi" w:hAnsiTheme="majorHAnsi"/>
          <w:bCs/>
          <w:lang w:val="es-UY"/>
        </w:rPr>
        <w:t xml:space="preserve"> </w:t>
      </w:r>
      <w:r w:rsidR="00F9406D">
        <w:rPr>
          <w:rFonts w:asciiTheme="majorHAnsi" w:hAnsiTheme="majorHAnsi"/>
          <w:bCs/>
          <w:lang w:val="es-UY"/>
        </w:rPr>
        <w:t>Plantea</w:t>
      </w:r>
      <w:r w:rsidR="00816CC5">
        <w:rPr>
          <w:rFonts w:asciiTheme="majorHAnsi" w:hAnsiTheme="majorHAnsi"/>
          <w:bCs/>
          <w:lang w:val="es-UY"/>
        </w:rPr>
        <w:t xml:space="preserve"> que, de la lectura conjunta de los artículos 1.1 y 2 de la Convención, </w:t>
      </w:r>
      <w:r w:rsidR="005F44BA">
        <w:rPr>
          <w:rFonts w:asciiTheme="majorHAnsi" w:hAnsiTheme="majorHAnsi"/>
          <w:bCs/>
          <w:lang w:val="es-UY"/>
        </w:rPr>
        <w:t xml:space="preserve">es posible concluir que </w:t>
      </w:r>
      <w:r w:rsidR="00D50AA3">
        <w:rPr>
          <w:rFonts w:asciiTheme="majorHAnsi" w:hAnsiTheme="majorHAnsi"/>
          <w:bCs/>
          <w:lang w:val="es-UY"/>
        </w:rPr>
        <w:t>el ámbito de aplicación de la protección de derechos es el derecho interno de los Estados, el cual tiene aplicación territorial.</w:t>
      </w:r>
    </w:p>
    <w:p w14:paraId="498CCB06" w14:textId="5C22600F" w:rsidR="000951D9" w:rsidRDefault="00D50AA3" w:rsidP="009D4B54">
      <w:pPr>
        <w:pStyle w:val="ListParagraph"/>
        <w:rPr>
          <w:rFonts w:asciiTheme="majorHAnsi" w:hAnsiTheme="majorHAnsi"/>
          <w:bCs/>
          <w:lang w:val="es-UY"/>
        </w:rPr>
      </w:pPr>
      <w:r w:rsidRPr="00832BB3">
        <w:rPr>
          <w:rFonts w:asciiTheme="majorHAnsi" w:hAnsiTheme="majorHAnsi"/>
          <w:bCs/>
          <w:color w:val="auto"/>
          <w:lang w:val="es-UY"/>
        </w:rPr>
        <w:t xml:space="preserve">Si </w:t>
      </w:r>
      <w:r>
        <w:rPr>
          <w:rFonts w:asciiTheme="majorHAnsi" w:hAnsiTheme="majorHAnsi"/>
          <w:bCs/>
          <w:lang w:val="es-UY"/>
        </w:rPr>
        <w:t xml:space="preserve">bien la jurisdicción de los Estados está determinada por su territorio, </w:t>
      </w:r>
      <w:r w:rsidR="006078D3">
        <w:rPr>
          <w:rFonts w:asciiTheme="majorHAnsi" w:hAnsiTheme="majorHAnsi"/>
          <w:bCs/>
          <w:lang w:val="es-UY"/>
        </w:rPr>
        <w:t xml:space="preserve">Colombia reconoce que existen algunas excepciones en el Derecho Internacional </w:t>
      </w:r>
      <w:r w:rsidR="00FA7EE1">
        <w:rPr>
          <w:rFonts w:asciiTheme="majorHAnsi" w:hAnsiTheme="majorHAnsi"/>
          <w:bCs/>
          <w:lang w:val="es-UY"/>
        </w:rPr>
        <w:t>p</w:t>
      </w:r>
      <w:r w:rsidR="00294A8F">
        <w:rPr>
          <w:rFonts w:asciiTheme="majorHAnsi" w:hAnsiTheme="majorHAnsi"/>
          <w:bCs/>
          <w:lang w:val="es-UY"/>
        </w:rPr>
        <w:t>o</w:t>
      </w:r>
      <w:r w:rsidR="00FA7EE1">
        <w:rPr>
          <w:rFonts w:asciiTheme="majorHAnsi" w:hAnsiTheme="majorHAnsi"/>
          <w:bCs/>
          <w:lang w:val="es-UY"/>
        </w:rPr>
        <w:t>r</w:t>
      </w:r>
      <w:r w:rsidR="006B6AEF">
        <w:rPr>
          <w:rFonts w:asciiTheme="majorHAnsi" w:hAnsiTheme="majorHAnsi"/>
          <w:bCs/>
          <w:lang w:val="es-UY"/>
        </w:rPr>
        <w:t xml:space="preserve"> las que las obligaciones en derechos humanos se aplican a favor de cualquier persona sometida al poder o control efectivo de </w:t>
      </w:r>
      <w:r w:rsidR="00C05DBD">
        <w:rPr>
          <w:rFonts w:asciiTheme="majorHAnsi" w:hAnsiTheme="majorHAnsi"/>
          <w:bCs/>
          <w:lang w:val="es-UY"/>
        </w:rPr>
        <w:t>éstos</w:t>
      </w:r>
      <w:r w:rsidR="006B6AEF">
        <w:rPr>
          <w:rFonts w:asciiTheme="majorHAnsi" w:hAnsiTheme="majorHAnsi"/>
          <w:bCs/>
          <w:lang w:val="es-UY"/>
        </w:rPr>
        <w:t>.</w:t>
      </w:r>
      <w:r w:rsidR="00841AB3">
        <w:rPr>
          <w:rFonts w:asciiTheme="majorHAnsi" w:hAnsiTheme="majorHAnsi"/>
          <w:bCs/>
          <w:lang w:val="es-UY"/>
        </w:rPr>
        <w:t xml:space="preserve"> Sin embargo, </w:t>
      </w:r>
      <w:r w:rsidR="009A01DF">
        <w:rPr>
          <w:rFonts w:asciiTheme="majorHAnsi" w:hAnsiTheme="majorHAnsi"/>
          <w:bCs/>
          <w:lang w:val="es-UY"/>
        </w:rPr>
        <w:t>sostiene que</w:t>
      </w:r>
      <w:r w:rsidR="009A40B5">
        <w:rPr>
          <w:rFonts w:asciiTheme="majorHAnsi" w:hAnsiTheme="majorHAnsi"/>
          <w:bCs/>
          <w:lang w:val="es-UY"/>
        </w:rPr>
        <w:t xml:space="preserve"> en el presente caso los hechos denunciados fueron cometidos en territorio panameño, </w:t>
      </w:r>
      <w:r w:rsidR="0072048E">
        <w:rPr>
          <w:rFonts w:asciiTheme="majorHAnsi" w:hAnsiTheme="majorHAnsi"/>
          <w:bCs/>
          <w:lang w:val="es-UY"/>
        </w:rPr>
        <w:t>y</w:t>
      </w:r>
      <w:r w:rsidR="00D406B1">
        <w:rPr>
          <w:rFonts w:asciiTheme="majorHAnsi" w:hAnsiTheme="majorHAnsi"/>
          <w:bCs/>
          <w:lang w:val="es-UY"/>
        </w:rPr>
        <w:t xml:space="preserve"> los peticionarios no sustentaron jurídica ni probatoriamente </w:t>
      </w:r>
      <w:r w:rsidR="00163A09">
        <w:rPr>
          <w:rFonts w:asciiTheme="majorHAnsi" w:hAnsiTheme="majorHAnsi"/>
          <w:bCs/>
          <w:lang w:val="es-UY"/>
        </w:rPr>
        <w:t xml:space="preserve">la atribución al Estado </w:t>
      </w:r>
      <w:r w:rsidR="001D7183">
        <w:rPr>
          <w:rFonts w:asciiTheme="majorHAnsi" w:hAnsiTheme="majorHAnsi"/>
          <w:bCs/>
          <w:lang w:val="es-UY"/>
        </w:rPr>
        <w:t xml:space="preserve">colombiano </w:t>
      </w:r>
      <w:r w:rsidR="00163A09">
        <w:rPr>
          <w:rFonts w:asciiTheme="majorHAnsi" w:hAnsiTheme="majorHAnsi"/>
          <w:bCs/>
          <w:lang w:val="es-UY"/>
        </w:rPr>
        <w:t>de presuntas violaciones de derechos humanos perpetradas por terceros</w:t>
      </w:r>
      <w:r w:rsidR="00962697">
        <w:rPr>
          <w:rFonts w:asciiTheme="majorHAnsi" w:hAnsiTheme="majorHAnsi"/>
          <w:bCs/>
          <w:lang w:val="es-UY"/>
        </w:rPr>
        <w:t xml:space="preserve">, que no eran </w:t>
      </w:r>
      <w:r w:rsidR="00E519D1">
        <w:rPr>
          <w:rFonts w:asciiTheme="majorHAnsi" w:hAnsiTheme="majorHAnsi"/>
          <w:bCs/>
          <w:lang w:val="es-UY"/>
        </w:rPr>
        <w:t>agentes</w:t>
      </w:r>
      <w:r w:rsidR="00962697">
        <w:rPr>
          <w:rFonts w:asciiTheme="majorHAnsi" w:hAnsiTheme="majorHAnsi"/>
          <w:bCs/>
          <w:lang w:val="es-UY"/>
        </w:rPr>
        <w:t xml:space="preserve"> estatales colombianos, </w:t>
      </w:r>
      <w:r w:rsidR="001D7183">
        <w:rPr>
          <w:rFonts w:asciiTheme="majorHAnsi" w:hAnsiTheme="majorHAnsi"/>
          <w:bCs/>
          <w:lang w:val="es-UY"/>
        </w:rPr>
        <w:t xml:space="preserve">ni han acreditado que </w:t>
      </w:r>
      <w:r w:rsidR="004D0CBB">
        <w:rPr>
          <w:rFonts w:asciiTheme="majorHAnsi" w:hAnsiTheme="majorHAnsi"/>
          <w:bCs/>
          <w:lang w:val="es-UY"/>
        </w:rPr>
        <w:t>el</w:t>
      </w:r>
      <w:r w:rsidR="00E519D1">
        <w:rPr>
          <w:rFonts w:asciiTheme="majorHAnsi" w:hAnsiTheme="majorHAnsi"/>
          <w:bCs/>
          <w:lang w:val="es-UY"/>
        </w:rPr>
        <w:t xml:space="preserve"> Estado haya ejercido control</w:t>
      </w:r>
      <w:r w:rsidR="00882E77">
        <w:rPr>
          <w:rFonts w:asciiTheme="majorHAnsi" w:hAnsiTheme="majorHAnsi"/>
          <w:bCs/>
          <w:lang w:val="es-UY"/>
        </w:rPr>
        <w:t xml:space="preserve"> efectivo</w:t>
      </w:r>
      <w:r w:rsidR="00E519D1">
        <w:rPr>
          <w:rFonts w:asciiTheme="majorHAnsi" w:hAnsiTheme="majorHAnsi"/>
          <w:bCs/>
          <w:lang w:val="es-UY"/>
        </w:rPr>
        <w:t xml:space="preserve"> sobre </w:t>
      </w:r>
      <w:r w:rsidR="00EF1636">
        <w:rPr>
          <w:rFonts w:asciiTheme="majorHAnsi" w:hAnsiTheme="majorHAnsi"/>
          <w:bCs/>
          <w:lang w:val="es-UY"/>
        </w:rPr>
        <w:t xml:space="preserve">los sucesos o personas en </w:t>
      </w:r>
      <w:r w:rsidR="00E519D1">
        <w:rPr>
          <w:rFonts w:asciiTheme="majorHAnsi" w:hAnsiTheme="majorHAnsi"/>
          <w:bCs/>
          <w:lang w:val="es-UY"/>
        </w:rPr>
        <w:t>territorio panameño.</w:t>
      </w:r>
      <w:r w:rsidR="00EF1636">
        <w:rPr>
          <w:rFonts w:asciiTheme="majorHAnsi" w:hAnsiTheme="majorHAnsi"/>
          <w:bCs/>
          <w:lang w:val="es-UY"/>
        </w:rPr>
        <w:t xml:space="preserve"> Por ello, solicita a la CIDH declararse incompetente </w:t>
      </w:r>
      <w:r w:rsidR="0067034E" w:rsidRPr="0067034E">
        <w:rPr>
          <w:rFonts w:asciiTheme="majorHAnsi" w:hAnsiTheme="majorHAnsi"/>
          <w:bCs/>
          <w:i/>
          <w:iCs/>
          <w:lang w:val="es-UY"/>
        </w:rPr>
        <w:t>ratione locii</w:t>
      </w:r>
      <w:r w:rsidR="0067034E">
        <w:rPr>
          <w:rFonts w:asciiTheme="majorHAnsi" w:hAnsiTheme="majorHAnsi"/>
          <w:bCs/>
          <w:lang w:val="es-UY"/>
        </w:rPr>
        <w:t xml:space="preserve"> </w:t>
      </w:r>
      <w:r w:rsidR="00EF1636">
        <w:rPr>
          <w:rFonts w:asciiTheme="majorHAnsi" w:hAnsiTheme="majorHAnsi"/>
          <w:bCs/>
          <w:lang w:val="es-UY"/>
        </w:rPr>
        <w:t>para conocer esta petición.</w:t>
      </w:r>
    </w:p>
    <w:p w14:paraId="4119D708" w14:textId="522E1CC3" w:rsidR="00EF1636" w:rsidRDefault="00503731" w:rsidP="009D4B54">
      <w:pPr>
        <w:pStyle w:val="ListParagraph"/>
        <w:rPr>
          <w:rFonts w:asciiTheme="majorHAnsi" w:hAnsiTheme="majorHAnsi"/>
          <w:bCs/>
          <w:lang w:val="es-UY"/>
        </w:rPr>
      </w:pPr>
      <w:r>
        <w:rPr>
          <w:rFonts w:asciiTheme="majorHAnsi" w:hAnsiTheme="majorHAnsi"/>
          <w:bCs/>
          <w:lang w:val="es-UY"/>
        </w:rPr>
        <w:t xml:space="preserve">De manera subsidiaria, </w:t>
      </w:r>
      <w:r w:rsidR="00510F6E">
        <w:rPr>
          <w:rFonts w:asciiTheme="majorHAnsi" w:hAnsiTheme="majorHAnsi"/>
          <w:bCs/>
          <w:lang w:val="es-UY"/>
        </w:rPr>
        <w:t xml:space="preserve">el Estado formula la excepción </w:t>
      </w:r>
      <w:r w:rsidR="00B21965">
        <w:rPr>
          <w:rFonts w:asciiTheme="majorHAnsi" w:hAnsiTheme="majorHAnsi"/>
          <w:bCs/>
          <w:lang w:val="es-UY"/>
        </w:rPr>
        <w:t xml:space="preserve">de falta de agotamiento de los recursos internos, por cuanto </w:t>
      </w:r>
      <w:r w:rsidR="001A3290">
        <w:rPr>
          <w:rFonts w:asciiTheme="majorHAnsi" w:hAnsiTheme="majorHAnsi"/>
          <w:bCs/>
          <w:lang w:val="es-UY"/>
        </w:rPr>
        <w:t xml:space="preserve">los peticionarios señalan expresamente que no acudieron a las autoridades </w:t>
      </w:r>
      <w:r w:rsidR="0056730D">
        <w:rPr>
          <w:rFonts w:asciiTheme="majorHAnsi" w:hAnsiTheme="majorHAnsi"/>
          <w:bCs/>
          <w:lang w:val="es-UY"/>
        </w:rPr>
        <w:t xml:space="preserve">colombianas, pese a que el ordenamiento jurídico ofrece recursos adecuados y efectivos para </w:t>
      </w:r>
      <w:r w:rsidR="00640FC0">
        <w:rPr>
          <w:rFonts w:asciiTheme="majorHAnsi" w:hAnsiTheme="majorHAnsi"/>
          <w:bCs/>
          <w:lang w:val="es-UY"/>
        </w:rPr>
        <w:t>la protección de los derechos que alegan violados.</w:t>
      </w:r>
      <w:r w:rsidR="009A1E82">
        <w:rPr>
          <w:rFonts w:asciiTheme="majorHAnsi" w:hAnsiTheme="majorHAnsi"/>
          <w:bCs/>
          <w:lang w:val="es-UY"/>
        </w:rPr>
        <w:t xml:space="preserve"> Recuerda que el artículo 46.1.a) de la Convención impone el requisito de previo agotamiento de los recursos </w:t>
      </w:r>
      <w:r w:rsidR="006468A9">
        <w:rPr>
          <w:rFonts w:asciiTheme="majorHAnsi" w:hAnsiTheme="majorHAnsi"/>
          <w:bCs/>
          <w:lang w:val="es-UY"/>
        </w:rPr>
        <w:t xml:space="preserve">de la jurisdicción </w:t>
      </w:r>
      <w:r w:rsidR="009A1E82">
        <w:rPr>
          <w:rFonts w:asciiTheme="majorHAnsi" w:hAnsiTheme="majorHAnsi"/>
          <w:bCs/>
          <w:lang w:val="es-UY"/>
        </w:rPr>
        <w:t>intern</w:t>
      </w:r>
      <w:r w:rsidR="006468A9">
        <w:rPr>
          <w:rFonts w:asciiTheme="majorHAnsi" w:hAnsiTheme="majorHAnsi"/>
          <w:bCs/>
          <w:lang w:val="es-UY"/>
        </w:rPr>
        <w:t xml:space="preserve">a, para que </w:t>
      </w:r>
      <w:r w:rsidR="00C232E2">
        <w:rPr>
          <w:rFonts w:asciiTheme="majorHAnsi" w:hAnsiTheme="majorHAnsi"/>
          <w:bCs/>
          <w:lang w:val="es-UY"/>
        </w:rPr>
        <w:t>los Estados</w:t>
      </w:r>
      <w:r w:rsidR="006468A9">
        <w:rPr>
          <w:rFonts w:asciiTheme="majorHAnsi" w:hAnsiTheme="majorHAnsi"/>
          <w:bCs/>
          <w:lang w:val="es-UY"/>
        </w:rPr>
        <w:t xml:space="preserve"> tenga</w:t>
      </w:r>
      <w:r w:rsidR="00C232E2">
        <w:rPr>
          <w:rFonts w:asciiTheme="majorHAnsi" w:hAnsiTheme="majorHAnsi"/>
          <w:bCs/>
          <w:lang w:val="es-UY"/>
        </w:rPr>
        <w:t>n</w:t>
      </w:r>
      <w:r w:rsidR="006468A9">
        <w:rPr>
          <w:rFonts w:asciiTheme="majorHAnsi" w:hAnsiTheme="majorHAnsi"/>
          <w:bCs/>
          <w:lang w:val="es-UY"/>
        </w:rPr>
        <w:t xml:space="preserve"> la oportunidad de remediar las alegadas violaciones </w:t>
      </w:r>
      <w:r w:rsidR="00E46E82">
        <w:rPr>
          <w:rFonts w:asciiTheme="majorHAnsi" w:hAnsiTheme="majorHAnsi"/>
          <w:bCs/>
          <w:lang w:val="es-UY"/>
        </w:rPr>
        <w:t>por</w:t>
      </w:r>
      <w:r w:rsidR="00D8401D">
        <w:rPr>
          <w:rFonts w:asciiTheme="majorHAnsi" w:hAnsiTheme="majorHAnsi"/>
          <w:bCs/>
          <w:lang w:val="es-UY"/>
        </w:rPr>
        <w:t xml:space="preserve"> sus propios medios </w:t>
      </w:r>
      <w:r w:rsidR="006468A9">
        <w:rPr>
          <w:rFonts w:asciiTheme="majorHAnsi" w:hAnsiTheme="majorHAnsi"/>
          <w:bCs/>
          <w:lang w:val="es-UY"/>
        </w:rPr>
        <w:t xml:space="preserve">antes de </w:t>
      </w:r>
      <w:r w:rsidR="007F371C">
        <w:rPr>
          <w:rFonts w:asciiTheme="majorHAnsi" w:hAnsiTheme="majorHAnsi"/>
          <w:bCs/>
          <w:lang w:val="es-UY"/>
        </w:rPr>
        <w:t xml:space="preserve">que los peticionarios acudan </w:t>
      </w:r>
      <w:r w:rsidR="00EA1DD3">
        <w:rPr>
          <w:rFonts w:asciiTheme="majorHAnsi" w:hAnsiTheme="majorHAnsi"/>
          <w:bCs/>
          <w:lang w:val="es-UY"/>
        </w:rPr>
        <w:t>al Sistema Interamericano de Derechos Humanos</w:t>
      </w:r>
      <w:r w:rsidR="00E46E82">
        <w:rPr>
          <w:rFonts w:asciiTheme="majorHAnsi" w:hAnsiTheme="majorHAnsi"/>
          <w:bCs/>
          <w:lang w:val="es-UY"/>
        </w:rPr>
        <w:t>.</w:t>
      </w:r>
    </w:p>
    <w:p w14:paraId="43F6C2FD" w14:textId="46AB9FBE" w:rsidR="00FE117F" w:rsidRDefault="00FE117F" w:rsidP="009D4B54">
      <w:pPr>
        <w:pStyle w:val="ListParagraph"/>
        <w:rPr>
          <w:rFonts w:asciiTheme="majorHAnsi" w:hAnsiTheme="majorHAnsi"/>
          <w:bCs/>
          <w:lang w:val="es-UY"/>
        </w:rPr>
      </w:pPr>
      <w:r>
        <w:rPr>
          <w:rFonts w:asciiTheme="majorHAnsi" w:hAnsiTheme="majorHAnsi"/>
          <w:bCs/>
          <w:lang w:val="es-UY"/>
        </w:rPr>
        <w:lastRenderedPageBreak/>
        <w:t>En este sentido, Colombia afirma que l</w:t>
      </w:r>
      <w:r w:rsidR="00AC2F65">
        <w:rPr>
          <w:rFonts w:asciiTheme="majorHAnsi" w:hAnsiTheme="majorHAnsi"/>
          <w:bCs/>
          <w:lang w:val="es-UY"/>
        </w:rPr>
        <w:t>a parte</w:t>
      </w:r>
      <w:r>
        <w:rPr>
          <w:rFonts w:asciiTheme="majorHAnsi" w:hAnsiTheme="majorHAnsi"/>
          <w:bCs/>
          <w:lang w:val="es-UY"/>
        </w:rPr>
        <w:t xml:space="preserve"> peticionari</w:t>
      </w:r>
      <w:r w:rsidR="00AC2F65">
        <w:rPr>
          <w:rFonts w:asciiTheme="majorHAnsi" w:hAnsiTheme="majorHAnsi"/>
          <w:bCs/>
          <w:lang w:val="es-UY"/>
        </w:rPr>
        <w:t>a</w:t>
      </w:r>
      <w:r>
        <w:rPr>
          <w:rFonts w:asciiTheme="majorHAnsi" w:hAnsiTheme="majorHAnsi"/>
          <w:bCs/>
          <w:lang w:val="es-UY"/>
        </w:rPr>
        <w:t xml:space="preserve"> no agot</w:t>
      </w:r>
      <w:r w:rsidR="00AC2F65">
        <w:rPr>
          <w:rFonts w:asciiTheme="majorHAnsi" w:hAnsiTheme="majorHAnsi"/>
          <w:bCs/>
          <w:lang w:val="es-UY"/>
        </w:rPr>
        <w:t>ó</w:t>
      </w:r>
      <w:r>
        <w:rPr>
          <w:rFonts w:asciiTheme="majorHAnsi" w:hAnsiTheme="majorHAnsi"/>
          <w:bCs/>
          <w:lang w:val="es-UY"/>
        </w:rPr>
        <w:t xml:space="preserve"> l</w:t>
      </w:r>
      <w:r w:rsidR="000F3131">
        <w:rPr>
          <w:rFonts w:asciiTheme="majorHAnsi" w:hAnsiTheme="majorHAnsi"/>
          <w:bCs/>
          <w:lang w:val="es-UY"/>
        </w:rPr>
        <w:t xml:space="preserve">a denuncia penal, ni la acción de reparación directa. Sobre el primero, precisa que </w:t>
      </w:r>
      <w:r w:rsidR="00871B82">
        <w:rPr>
          <w:rFonts w:asciiTheme="majorHAnsi" w:hAnsiTheme="majorHAnsi"/>
          <w:bCs/>
          <w:lang w:val="es-UY"/>
        </w:rPr>
        <w:t xml:space="preserve">el asesinato </w:t>
      </w:r>
      <w:r w:rsidR="00234832">
        <w:rPr>
          <w:rFonts w:asciiTheme="majorHAnsi" w:hAnsiTheme="majorHAnsi"/>
          <w:bCs/>
          <w:lang w:val="es-UY"/>
        </w:rPr>
        <w:t xml:space="preserve">de Daniel </w:t>
      </w:r>
      <w:r w:rsidR="00D50D87">
        <w:rPr>
          <w:rFonts w:asciiTheme="majorHAnsi" w:hAnsiTheme="majorHAnsi"/>
          <w:bCs/>
          <w:lang w:val="es-UY"/>
        </w:rPr>
        <w:t>Gutiérrez</w:t>
      </w:r>
      <w:r w:rsidR="00190C49">
        <w:rPr>
          <w:rFonts w:asciiTheme="majorHAnsi" w:hAnsiTheme="majorHAnsi"/>
          <w:bCs/>
          <w:lang w:val="es-UY"/>
        </w:rPr>
        <w:t xml:space="preserve"> no fue puest</w:t>
      </w:r>
      <w:r w:rsidR="00871B82">
        <w:rPr>
          <w:rFonts w:asciiTheme="majorHAnsi" w:hAnsiTheme="majorHAnsi"/>
          <w:bCs/>
          <w:lang w:val="es-UY"/>
        </w:rPr>
        <w:t>o</w:t>
      </w:r>
      <w:r w:rsidR="00190C49">
        <w:rPr>
          <w:rFonts w:asciiTheme="majorHAnsi" w:hAnsiTheme="majorHAnsi"/>
          <w:bCs/>
          <w:lang w:val="es-UY"/>
        </w:rPr>
        <w:t xml:space="preserve"> en conocimiento </w:t>
      </w:r>
      <w:r w:rsidR="00D37857">
        <w:rPr>
          <w:rFonts w:asciiTheme="majorHAnsi" w:hAnsiTheme="majorHAnsi"/>
          <w:bCs/>
          <w:lang w:val="es-UY"/>
        </w:rPr>
        <w:t xml:space="preserve">de </w:t>
      </w:r>
      <w:r w:rsidR="00871B82">
        <w:rPr>
          <w:rFonts w:asciiTheme="majorHAnsi" w:hAnsiTheme="majorHAnsi"/>
          <w:bCs/>
          <w:lang w:val="es-UY"/>
        </w:rPr>
        <w:t>la fiscalía colombiana a fin</w:t>
      </w:r>
      <w:r w:rsidR="00EB4612">
        <w:rPr>
          <w:rFonts w:asciiTheme="majorHAnsi" w:hAnsiTheme="majorHAnsi"/>
          <w:bCs/>
          <w:lang w:val="es-UY"/>
        </w:rPr>
        <w:t xml:space="preserve"> </w:t>
      </w:r>
      <w:r w:rsidR="00871B82">
        <w:rPr>
          <w:rFonts w:asciiTheme="majorHAnsi" w:hAnsiTheme="majorHAnsi"/>
          <w:bCs/>
          <w:lang w:val="es-UY"/>
        </w:rPr>
        <w:t>de que se adelantara la investigación correspondiente. Sobre este punto, reitera que existe un deber de denunciar los delitos que deben investigarse de oficio</w:t>
      </w:r>
      <w:r w:rsidR="00832BB3">
        <w:rPr>
          <w:rFonts w:asciiTheme="majorHAnsi" w:hAnsiTheme="majorHAnsi"/>
          <w:bCs/>
          <w:lang w:val="es-UY"/>
        </w:rPr>
        <w:t>;</w:t>
      </w:r>
      <w:r w:rsidR="00B85417">
        <w:rPr>
          <w:rFonts w:asciiTheme="majorHAnsi" w:hAnsiTheme="majorHAnsi"/>
          <w:bCs/>
          <w:lang w:val="es-UY"/>
        </w:rPr>
        <w:t xml:space="preserve"> además el Estado puede proporcionar medidas de protección a quienes participen en proceso penales que consideren que existe un riego para su vida e integridad.</w:t>
      </w:r>
      <w:r w:rsidR="00365B28">
        <w:rPr>
          <w:rFonts w:asciiTheme="majorHAnsi" w:hAnsiTheme="majorHAnsi"/>
          <w:bCs/>
          <w:lang w:val="es-UY"/>
        </w:rPr>
        <w:t xml:space="preserve"> De esta manera, afirma que dado que los hechos tuvieron lugar en territorio panameño, las autoridades de ese país fueron las encargadas de realizar las labores de levantamiento de inicio de la investigación de oficio.</w:t>
      </w:r>
    </w:p>
    <w:p w14:paraId="754AEA9B" w14:textId="47CF5CD3" w:rsidR="00CB4954" w:rsidRDefault="00CB4954" w:rsidP="009D4B54">
      <w:pPr>
        <w:pStyle w:val="ListParagraph"/>
        <w:rPr>
          <w:rFonts w:asciiTheme="majorHAnsi" w:hAnsiTheme="majorHAnsi"/>
          <w:bCs/>
          <w:lang w:val="es-UY"/>
        </w:rPr>
      </w:pPr>
      <w:r>
        <w:rPr>
          <w:rFonts w:asciiTheme="majorHAnsi" w:hAnsiTheme="majorHAnsi"/>
          <w:bCs/>
          <w:lang w:val="es-UY"/>
        </w:rPr>
        <w:t xml:space="preserve">Ahora bien, en cuanto a la reclamación formal realizada por la cancillería de Panamá al Estado colombiano en 2011, </w:t>
      </w:r>
      <w:r w:rsidR="008874E0">
        <w:rPr>
          <w:rFonts w:asciiTheme="majorHAnsi" w:hAnsiTheme="majorHAnsi"/>
          <w:bCs/>
          <w:lang w:val="es-UY"/>
        </w:rPr>
        <w:t xml:space="preserve">Colombia informa que en el marco de </w:t>
      </w:r>
      <w:r w:rsidR="00A84F35">
        <w:rPr>
          <w:rFonts w:asciiTheme="majorHAnsi" w:hAnsiTheme="majorHAnsi"/>
          <w:bCs/>
          <w:lang w:val="es-UY"/>
        </w:rPr>
        <w:t xml:space="preserve">los procesos especiales por la desmovilización de las AUC </w:t>
      </w:r>
      <w:r w:rsidR="00E15FB0">
        <w:rPr>
          <w:rFonts w:asciiTheme="majorHAnsi" w:hAnsiTheme="majorHAnsi"/>
          <w:bCs/>
          <w:lang w:val="es-UY"/>
        </w:rPr>
        <w:t xml:space="preserve">en la jurisdicción de Justicia y Paz, dos paramilitares postulados a los beneficios </w:t>
      </w:r>
      <w:r w:rsidR="00776D1F">
        <w:rPr>
          <w:rFonts w:asciiTheme="majorHAnsi" w:hAnsiTheme="majorHAnsi"/>
          <w:bCs/>
          <w:lang w:val="es-UY"/>
        </w:rPr>
        <w:t>penales declararon sobre estos hechos. Fred</w:t>
      </w:r>
      <w:r w:rsidR="00DE0F65">
        <w:rPr>
          <w:rFonts w:asciiTheme="majorHAnsi" w:hAnsiTheme="majorHAnsi"/>
          <w:bCs/>
          <w:lang w:val="es-UY"/>
        </w:rPr>
        <w:t>d</w:t>
      </w:r>
      <w:r w:rsidR="00776D1F">
        <w:rPr>
          <w:rFonts w:asciiTheme="majorHAnsi" w:hAnsiTheme="majorHAnsi"/>
          <w:bCs/>
          <w:lang w:val="es-UY"/>
        </w:rPr>
        <w:t>y Rendó</w:t>
      </w:r>
      <w:r w:rsidR="00DE0F65">
        <w:rPr>
          <w:rFonts w:asciiTheme="majorHAnsi" w:hAnsiTheme="majorHAnsi"/>
          <w:bCs/>
          <w:lang w:val="es-UY"/>
        </w:rPr>
        <w:t>n</w:t>
      </w:r>
      <w:r w:rsidR="00776D1F">
        <w:rPr>
          <w:rFonts w:asciiTheme="majorHAnsi" w:hAnsiTheme="majorHAnsi"/>
          <w:bCs/>
          <w:lang w:val="es-UY"/>
        </w:rPr>
        <w:t xml:space="preserve"> Herrera, alias “El Alemán” y Levi Antonio Martínez Paternin</w:t>
      </w:r>
      <w:r w:rsidR="00D97DCD">
        <w:rPr>
          <w:rFonts w:asciiTheme="majorHAnsi" w:hAnsiTheme="majorHAnsi"/>
          <w:bCs/>
          <w:lang w:val="es-UY"/>
        </w:rPr>
        <w:t xml:space="preserve">a </w:t>
      </w:r>
      <w:r w:rsidR="00030320">
        <w:rPr>
          <w:rFonts w:asciiTheme="majorHAnsi" w:hAnsiTheme="majorHAnsi"/>
          <w:bCs/>
          <w:lang w:val="es-UY"/>
        </w:rPr>
        <w:t xml:space="preserve">dieron su versión sobre </w:t>
      </w:r>
      <w:r w:rsidR="001906F3">
        <w:rPr>
          <w:rFonts w:asciiTheme="majorHAnsi" w:hAnsiTheme="majorHAnsi"/>
          <w:bCs/>
          <w:lang w:val="es-UY"/>
        </w:rPr>
        <w:t xml:space="preserve">la incursión </w:t>
      </w:r>
      <w:r w:rsidR="00561AAF" w:rsidRPr="006C35DE">
        <w:rPr>
          <w:rFonts w:asciiTheme="majorHAnsi" w:hAnsiTheme="majorHAnsi"/>
          <w:bCs/>
          <w:lang w:val="es-UY"/>
        </w:rPr>
        <w:t xml:space="preserve">realizada por las ACCU </w:t>
      </w:r>
      <w:r w:rsidR="001906F3" w:rsidRPr="006C35DE">
        <w:rPr>
          <w:rFonts w:asciiTheme="majorHAnsi" w:hAnsiTheme="majorHAnsi"/>
          <w:bCs/>
          <w:lang w:val="es-UY"/>
        </w:rPr>
        <w:t>en territorio panameño, indicando que desconocían la identificación plena de las víctimas de l</w:t>
      </w:r>
      <w:r w:rsidR="00EB2FCC" w:rsidRPr="006C35DE">
        <w:rPr>
          <w:rFonts w:asciiTheme="majorHAnsi" w:hAnsiTheme="majorHAnsi"/>
          <w:bCs/>
          <w:lang w:val="es-UY"/>
        </w:rPr>
        <w:t>a masacre</w:t>
      </w:r>
      <w:r w:rsidR="00561AAF" w:rsidRPr="006C35DE">
        <w:rPr>
          <w:rFonts w:asciiTheme="majorHAnsi" w:hAnsiTheme="majorHAnsi"/>
          <w:bCs/>
          <w:lang w:val="es-UY"/>
        </w:rPr>
        <w:t xml:space="preserve">. Por ello, la fiscalía </w:t>
      </w:r>
      <w:r w:rsidR="00DA1A5E" w:rsidRPr="006C35DE">
        <w:rPr>
          <w:rFonts w:asciiTheme="majorHAnsi" w:hAnsiTheme="majorHAnsi"/>
          <w:bCs/>
          <w:lang w:val="es-UY"/>
        </w:rPr>
        <w:t xml:space="preserve">remitió una carta rogatoria a las autoridades homólogas de ese país para </w:t>
      </w:r>
      <w:r w:rsidR="00B04ACF" w:rsidRPr="006C35DE">
        <w:rPr>
          <w:rFonts w:asciiTheme="majorHAnsi" w:hAnsiTheme="majorHAnsi"/>
          <w:bCs/>
          <w:lang w:val="es-UY"/>
        </w:rPr>
        <w:t>solicitar la identidad de las víctimas.</w:t>
      </w:r>
      <w:r w:rsidR="00CE6A98" w:rsidRPr="006C35DE">
        <w:rPr>
          <w:rFonts w:asciiTheme="majorHAnsi" w:hAnsiTheme="majorHAnsi"/>
          <w:bCs/>
          <w:lang w:val="es-UY"/>
        </w:rPr>
        <w:t xml:space="preserve"> </w:t>
      </w:r>
      <w:r w:rsidR="00BE2DB1" w:rsidRPr="006C35DE">
        <w:rPr>
          <w:rFonts w:asciiTheme="majorHAnsi" w:hAnsiTheme="majorHAnsi"/>
          <w:bCs/>
          <w:lang w:val="es-UY"/>
        </w:rPr>
        <w:t xml:space="preserve">A este respecto, </w:t>
      </w:r>
      <w:r w:rsidR="003917BA" w:rsidRPr="006C35DE">
        <w:rPr>
          <w:rFonts w:asciiTheme="majorHAnsi" w:hAnsiTheme="majorHAnsi"/>
          <w:bCs/>
          <w:lang w:val="es-UY"/>
        </w:rPr>
        <w:t xml:space="preserve">el Estado colombiano reitera que todas las diligencias relacionadas con la masacre de </w:t>
      </w:r>
      <w:r w:rsidR="001B379A" w:rsidRPr="006C35DE">
        <w:rPr>
          <w:rFonts w:asciiTheme="majorHAnsi" w:hAnsiTheme="majorHAnsi"/>
          <w:bCs/>
          <w:lang w:val="es-UY"/>
        </w:rPr>
        <w:t>P</w:t>
      </w:r>
      <w:r w:rsidR="003917BA" w:rsidRPr="006C35DE">
        <w:rPr>
          <w:rFonts w:asciiTheme="majorHAnsi" w:hAnsiTheme="majorHAnsi"/>
          <w:bCs/>
          <w:lang w:val="es-UY"/>
        </w:rPr>
        <w:t xml:space="preserve">aya fueron </w:t>
      </w:r>
      <w:r w:rsidR="008E48ED" w:rsidRPr="006C35DE">
        <w:rPr>
          <w:rFonts w:asciiTheme="majorHAnsi" w:hAnsiTheme="majorHAnsi"/>
          <w:bCs/>
          <w:lang w:val="es-UY"/>
        </w:rPr>
        <w:t xml:space="preserve">adelantadas por las autoridades panameñas, y en vista de que los hechos no fueron </w:t>
      </w:r>
      <w:r w:rsidR="001B379A" w:rsidRPr="006C35DE">
        <w:rPr>
          <w:rFonts w:asciiTheme="majorHAnsi" w:hAnsiTheme="majorHAnsi"/>
          <w:bCs/>
          <w:lang w:val="es-UY"/>
        </w:rPr>
        <w:t xml:space="preserve">denunciados ni </w:t>
      </w:r>
      <w:r w:rsidR="008E48ED" w:rsidRPr="006C35DE">
        <w:rPr>
          <w:rFonts w:asciiTheme="majorHAnsi" w:hAnsiTheme="majorHAnsi"/>
          <w:bCs/>
          <w:lang w:val="es-UY"/>
        </w:rPr>
        <w:t xml:space="preserve">puestos en conocimiento de la fiscalía colombiana, </w:t>
      </w:r>
      <w:r w:rsidR="00333745" w:rsidRPr="006C35DE">
        <w:rPr>
          <w:rFonts w:asciiTheme="majorHAnsi" w:hAnsiTheme="majorHAnsi"/>
          <w:bCs/>
          <w:lang w:val="es-UY"/>
        </w:rPr>
        <w:t xml:space="preserve">dicha entidad no </w:t>
      </w:r>
      <w:r w:rsidR="0050697E" w:rsidRPr="006C35DE">
        <w:rPr>
          <w:rFonts w:asciiTheme="majorHAnsi" w:hAnsiTheme="majorHAnsi"/>
          <w:bCs/>
          <w:lang w:val="es-UY"/>
        </w:rPr>
        <w:t xml:space="preserve">tuvo una noticia criminal para </w:t>
      </w:r>
      <w:r w:rsidR="004F340F" w:rsidRPr="006C35DE">
        <w:rPr>
          <w:rFonts w:asciiTheme="majorHAnsi" w:hAnsiTheme="majorHAnsi"/>
          <w:bCs/>
          <w:lang w:val="es-UY"/>
        </w:rPr>
        <w:t>iniciar</w:t>
      </w:r>
      <w:r w:rsidR="00333745" w:rsidRPr="006C35DE">
        <w:rPr>
          <w:rFonts w:asciiTheme="majorHAnsi" w:hAnsiTheme="majorHAnsi"/>
          <w:bCs/>
          <w:lang w:val="es-UY"/>
        </w:rPr>
        <w:t xml:space="preserve"> la investig</w:t>
      </w:r>
      <w:r w:rsidR="00333745">
        <w:rPr>
          <w:rFonts w:asciiTheme="majorHAnsi" w:hAnsiTheme="majorHAnsi"/>
          <w:bCs/>
          <w:lang w:val="es-UY"/>
        </w:rPr>
        <w:t>ación.</w:t>
      </w:r>
    </w:p>
    <w:p w14:paraId="4E0A0D79" w14:textId="2C759DDA" w:rsidR="00333745" w:rsidRDefault="00224DCA" w:rsidP="009D4B54">
      <w:pPr>
        <w:pStyle w:val="ListParagraph"/>
        <w:rPr>
          <w:rFonts w:asciiTheme="majorHAnsi" w:hAnsiTheme="majorHAnsi"/>
          <w:bCs/>
          <w:lang w:val="es-UY"/>
        </w:rPr>
      </w:pPr>
      <w:r w:rsidRPr="005D773F">
        <w:rPr>
          <w:rFonts w:asciiTheme="majorHAnsi" w:hAnsiTheme="majorHAnsi"/>
          <w:bCs/>
          <w:color w:val="auto"/>
          <w:lang w:val="es-UY"/>
        </w:rPr>
        <w:t xml:space="preserve">De </w:t>
      </w:r>
      <w:r>
        <w:rPr>
          <w:rFonts w:asciiTheme="majorHAnsi" w:hAnsiTheme="majorHAnsi"/>
          <w:bCs/>
          <w:lang w:val="es-UY"/>
        </w:rPr>
        <w:t xml:space="preserve">igual manera, </w:t>
      </w:r>
      <w:r w:rsidR="004D59B8">
        <w:rPr>
          <w:rFonts w:asciiTheme="majorHAnsi" w:hAnsiTheme="majorHAnsi"/>
          <w:bCs/>
          <w:lang w:val="es-UY"/>
        </w:rPr>
        <w:t xml:space="preserve">asevera que </w:t>
      </w:r>
      <w:r w:rsidR="004F340F">
        <w:rPr>
          <w:rFonts w:asciiTheme="majorHAnsi" w:hAnsiTheme="majorHAnsi"/>
          <w:bCs/>
          <w:lang w:val="es-UY"/>
        </w:rPr>
        <w:t>el ordenamiento jurídico colombiano contempla la acción de reparación directa ante la jurisdicción contencioso-administrativa, cuyo objetivo es determinar la responsabilidad administrativa del Es</w:t>
      </w:r>
      <w:r w:rsidR="00184F75">
        <w:rPr>
          <w:rFonts w:asciiTheme="majorHAnsi" w:hAnsiTheme="majorHAnsi"/>
          <w:bCs/>
          <w:lang w:val="es-UY"/>
        </w:rPr>
        <w:t xml:space="preserve">tado por los daños que haya causado y permitir </w:t>
      </w:r>
      <w:r w:rsidR="0029531A">
        <w:rPr>
          <w:rFonts w:asciiTheme="majorHAnsi" w:hAnsiTheme="majorHAnsi"/>
          <w:bCs/>
          <w:lang w:val="es-UY"/>
        </w:rPr>
        <w:t xml:space="preserve">el reconocimiento de una </w:t>
      </w:r>
      <w:r w:rsidR="00AF350A">
        <w:rPr>
          <w:rFonts w:asciiTheme="majorHAnsi" w:hAnsiTheme="majorHAnsi"/>
          <w:bCs/>
          <w:lang w:val="es-UY"/>
        </w:rPr>
        <w:t xml:space="preserve">reparación integral </w:t>
      </w:r>
      <w:r w:rsidR="0029531A">
        <w:rPr>
          <w:rFonts w:asciiTheme="majorHAnsi" w:hAnsiTheme="majorHAnsi"/>
          <w:bCs/>
          <w:lang w:val="es-UY"/>
        </w:rPr>
        <w:t xml:space="preserve">a las víctimas por los perjuicios sufridos. </w:t>
      </w:r>
      <w:r w:rsidR="0070029F">
        <w:rPr>
          <w:rFonts w:asciiTheme="majorHAnsi" w:hAnsiTheme="majorHAnsi"/>
          <w:bCs/>
          <w:lang w:val="es-UY"/>
        </w:rPr>
        <w:t>S</w:t>
      </w:r>
      <w:r w:rsidR="00DC0755">
        <w:rPr>
          <w:rFonts w:asciiTheme="majorHAnsi" w:hAnsiTheme="majorHAnsi"/>
          <w:bCs/>
          <w:lang w:val="es-UY"/>
        </w:rPr>
        <w:t>e trata de un recurso adecuado y efectivo para remediar las violaciones alegadas</w:t>
      </w:r>
      <w:r w:rsidR="002E40B2">
        <w:rPr>
          <w:rFonts w:asciiTheme="majorHAnsi" w:hAnsiTheme="majorHAnsi"/>
          <w:bCs/>
          <w:lang w:val="es-UY"/>
        </w:rPr>
        <w:t>,</w:t>
      </w:r>
      <w:r w:rsidR="00DC0755">
        <w:rPr>
          <w:rFonts w:asciiTheme="majorHAnsi" w:hAnsiTheme="majorHAnsi"/>
          <w:bCs/>
          <w:lang w:val="es-UY"/>
        </w:rPr>
        <w:t xml:space="preserve"> </w:t>
      </w:r>
      <w:r w:rsidR="002E40B2">
        <w:rPr>
          <w:rFonts w:asciiTheme="majorHAnsi" w:hAnsiTheme="majorHAnsi"/>
          <w:bCs/>
          <w:lang w:val="es-UY"/>
        </w:rPr>
        <w:t>el cual</w:t>
      </w:r>
      <w:r w:rsidR="00D94679">
        <w:rPr>
          <w:rFonts w:asciiTheme="majorHAnsi" w:hAnsiTheme="majorHAnsi"/>
          <w:bCs/>
          <w:lang w:val="es-UY"/>
        </w:rPr>
        <w:t xml:space="preserve"> las presuntas víctimas </w:t>
      </w:r>
      <w:r w:rsidR="00DC0755">
        <w:rPr>
          <w:rFonts w:asciiTheme="majorHAnsi" w:hAnsiTheme="majorHAnsi"/>
          <w:bCs/>
          <w:lang w:val="es-UY"/>
        </w:rPr>
        <w:t>no ejercieron</w:t>
      </w:r>
      <w:r w:rsidR="002E40B2">
        <w:rPr>
          <w:rFonts w:asciiTheme="majorHAnsi" w:hAnsiTheme="majorHAnsi"/>
          <w:bCs/>
          <w:lang w:val="es-UY"/>
        </w:rPr>
        <w:t>.</w:t>
      </w:r>
      <w:r w:rsidR="00DC0755">
        <w:rPr>
          <w:rFonts w:asciiTheme="majorHAnsi" w:hAnsiTheme="majorHAnsi"/>
          <w:bCs/>
          <w:lang w:val="es-UY"/>
        </w:rPr>
        <w:t xml:space="preserve"> </w:t>
      </w:r>
    </w:p>
    <w:p w14:paraId="6D565380" w14:textId="76231FD5" w:rsidR="00915713" w:rsidRPr="00BF295D" w:rsidRDefault="00FF4CD3" w:rsidP="00603FA3">
      <w:pPr>
        <w:pStyle w:val="ListParagraph"/>
        <w:rPr>
          <w:rFonts w:asciiTheme="majorHAnsi" w:hAnsiTheme="majorHAnsi"/>
          <w:bCs/>
          <w:lang w:val="es-UY"/>
        </w:rPr>
      </w:pPr>
      <w:r w:rsidRPr="00BF295D">
        <w:rPr>
          <w:rFonts w:asciiTheme="majorHAnsi" w:hAnsiTheme="majorHAnsi"/>
          <w:bCs/>
          <w:lang w:val="es-UY"/>
        </w:rPr>
        <w:t>Finalmente</w:t>
      </w:r>
      <w:r w:rsidR="00915713" w:rsidRPr="00BF295D">
        <w:rPr>
          <w:rFonts w:asciiTheme="majorHAnsi" w:hAnsiTheme="majorHAnsi"/>
          <w:bCs/>
          <w:lang w:val="es-UY"/>
        </w:rPr>
        <w:t xml:space="preserve">, Colombia arguye que los cargos presentados en la petición son manifiestamente infundados, en los términos del artículo 47.c) de la Convención Americana, pues </w:t>
      </w:r>
      <w:r w:rsidR="00431C65" w:rsidRPr="00BF295D">
        <w:rPr>
          <w:rFonts w:asciiTheme="majorHAnsi" w:hAnsiTheme="majorHAnsi"/>
          <w:bCs/>
          <w:lang w:val="es-UY"/>
        </w:rPr>
        <w:t>carecen de sustento para atribuir</w:t>
      </w:r>
      <w:r w:rsidR="000E748C">
        <w:rPr>
          <w:rFonts w:asciiTheme="majorHAnsi" w:hAnsiTheme="majorHAnsi"/>
          <w:bCs/>
          <w:lang w:val="es-UY"/>
        </w:rPr>
        <w:t>le</w:t>
      </w:r>
      <w:r w:rsidR="00431C65" w:rsidRPr="00BF295D">
        <w:rPr>
          <w:rFonts w:asciiTheme="majorHAnsi" w:hAnsiTheme="majorHAnsi"/>
          <w:bCs/>
          <w:lang w:val="es-UY"/>
        </w:rPr>
        <w:t xml:space="preserve"> </w:t>
      </w:r>
      <w:r w:rsidR="00AE45F5">
        <w:rPr>
          <w:rFonts w:asciiTheme="majorHAnsi" w:hAnsiTheme="majorHAnsi"/>
          <w:bCs/>
          <w:lang w:val="es-UY"/>
        </w:rPr>
        <w:t xml:space="preserve">la responsabilidad de </w:t>
      </w:r>
      <w:r w:rsidR="00431C65" w:rsidRPr="00BF295D">
        <w:rPr>
          <w:rFonts w:asciiTheme="majorHAnsi" w:hAnsiTheme="majorHAnsi"/>
          <w:bCs/>
          <w:lang w:val="es-UY"/>
        </w:rPr>
        <w:t>los hechos.</w:t>
      </w:r>
      <w:r w:rsidR="007740D2" w:rsidRPr="00BF295D">
        <w:rPr>
          <w:rFonts w:asciiTheme="majorHAnsi" w:hAnsiTheme="majorHAnsi"/>
          <w:bCs/>
          <w:lang w:val="es-UY"/>
        </w:rPr>
        <w:t xml:space="preserve"> </w:t>
      </w:r>
      <w:r w:rsidR="000E748C">
        <w:rPr>
          <w:rFonts w:asciiTheme="majorHAnsi" w:hAnsiTheme="majorHAnsi"/>
          <w:bCs/>
          <w:lang w:val="es-UY"/>
        </w:rPr>
        <w:t>Aduce</w:t>
      </w:r>
      <w:r w:rsidR="007740D2" w:rsidRPr="00BF295D">
        <w:rPr>
          <w:rFonts w:asciiTheme="majorHAnsi" w:hAnsiTheme="majorHAnsi"/>
          <w:bCs/>
          <w:lang w:val="es-UY"/>
        </w:rPr>
        <w:t xml:space="preserve"> que</w:t>
      </w:r>
      <w:r w:rsidR="00447C6E" w:rsidRPr="00BF295D">
        <w:rPr>
          <w:rFonts w:asciiTheme="majorHAnsi" w:hAnsiTheme="majorHAnsi"/>
          <w:bCs/>
          <w:lang w:val="es-UY"/>
        </w:rPr>
        <w:t xml:space="preserve"> para atribuir </w:t>
      </w:r>
      <w:r w:rsidR="00E71B12">
        <w:rPr>
          <w:rFonts w:asciiTheme="majorHAnsi" w:hAnsiTheme="majorHAnsi"/>
          <w:bCs/>
          <w:lang w:val="es-UY"/>
        </w:rPr>
        <w:t xml:space="preserve">responsabilidad internacional a un Estado </w:t>
      </w:r>
      <w:r w:rsidR="005132BE" w:rsidRPr="00BF295D">
        <w:rPr>
          <w:rFonts w:asciiTheme="majorHAnsi" w:hAnsiTheme="majorHAnsi"/>
          <w:bCs/>
          <w:lang w:val="es-UY"/>
        </w:rPr>
        <w:t>se requiere que ést</w:t>
      </w:r>
      <w:r w:rsidR="002F573F" w:rsidRPr="00BF295D">
        <w:rPr>
          <w:rFonts w:asciiTheme="majorHAnsi" w:hAnsiTheme="majorHAnsi"/>
          <w:bCs/>
          <w:lang w:val="es-UY"/>
        </w:rPr>
        <w:t>a</w:t>
      </w:r>
      <w:r w:rsidR="005132BE" w:rsidRPr="00BF295D">
        <w:rPr>
          <w:rFonts w:asciiTheme="majorHAnsi" w:hAnsiTheme="majorHAnsi"/>
          <w:bCs/>
          <w:lang w:val="es-UY"/>
        </w:rPr>
        <w:t xml:space="preserve"> haya sido desarrollada por alguno de sus órganos o agentes</w:t>
      </w:r>
      <w:r w:rsidR="000B3218">
        <w:rPr>
          <w:rFonts w:asciiTheme="majorHAnsi" w:hAnsiTheme="majorHAnsi"/>
          <w:bCs/>
          <w:lang w:val="es-UY"/>
        </w:rPr>
        <w:t>;</w:t>
      </w:r>
      <w:r w:rsidR="005132BE" w:rsidRPr="00BF295D">
        <w:rPr>
          <w:rFonts w:asciiTheme="majorHAnsi" w:hAnsiTheme="majorHAnsi"/>
          <w:bCs/>
          <w:lang w:val="es-UY"/>
        </w:rPr>
        <w:t xml:space="preserve"> </w:t>
      </w:r>
      <w:r w:rsidR="002417C4" w:rsidRPr="00BF295D">
        <w:rPr>
          <w:rFonts w:asciiTheme="majorHAnsi" w:hAnsiTheme="majorHAnsi"/>
          <w:bCs/>
          <w:lang w:val="es-UY"/>
        </w:rPr>
        <w:t xml:space="preserve">que </w:t>
      </w:r>
      <w:r w:rsidR="005D29DD" w:rsidRPr="00BF295D">
        <w:rPr>
          <w:rFonts w:asciiTheme="majorHAnsi" w:hAnsiTheme="majorHAnsi"/>
          <w:bCs/>
          <w:lang w:val="es-UY"/>
        </w:rPr>
        <w:t>la haya realizado un particular que actuó con su aquies</w:t>
      </w:r>
      <w:r w:rsidR="00255155" w:rsidRPr="00BF295D">
        <w:rPr>
          <w:rFonts w:asciiTheme="majorHAnsi" w:hAnsiTheme="majorHAnsi"/>
          <w:bCs/>
          <w:lang w:val="es-UY"/>
        </w:rPr>
        <w:t>c</w:t>
      </w:r>
      <w:r w:rsidR="005D29DD" w:rsidRPr="00BF295D">
        <w:rPr>
          <w:rFonts w:asciiTheme="majorHAnsi" w:hAnsiTheme="majorHAnsi"/>
          <w:bCs/>
          <w:lang w:val="es-UY"/>
        </w:rPr>
        <w:t>encia</w:t>
      </w:r>
      <w:r w:rsidR="0050757C">
        <w:rPr>
          <w:rFonts w:asciiTheme="majorHAnsi" w:hAnsiTheme="majorHAnsi"/>
          <w:bCs/>
          <w:lang w:val="es-UY"/>
        </w:rPr>
        <w:t>;</w:t>
      </w:r>
      <w:r w:rsidR="0053430A" w:rsidRPr="00BF295D">
        <w:rPr>
          <w:rFonts w:asciiTheme="majorHAnsi" w:hAnsiTheme="majorHAnsi"/>
          <w:bCs/>
          <w:lang w:val="es-UY"/>
        </w:rPr>
        <w:t xml:space="preserve"> o pudiendo prevenirla no lo </w:t>
      </w:r>
      <w:r w:rsidR="00373CF9" w:rsidRPr="00BF295D">
        <w:rPr>
          <w:rFonts w:asciiTheme="majorHAnsi" w:hAnsiTheme="majorHAnsi"/>
          <w:bCs/>
          <w:lang w:val="es-UY"/>
        </w:rPr>
        <w:t>hubiera hecho</w:t>
      </w:r>
      <w:r w:rsidR="005D29DD" w:rsidRPr="00BF295D">
        <w:rPr>
          <w:rFonts w:asciiTheme="majorHAnsi" w:hAnsiTheme="majorHAnsi"/>
          <w:bCs/>
          <w:lang w:val="es-UY"/>
        </w:rPr>
        <w:t>.</w:t>
      </w:r>
      <w:r w:rsidR="002417C4" w:rsidRPr="00BF295D">
        <w:rPr>
          <w:rFonts w:asciiTheme="majorHAnsi" w:hAnsiTheme="majorHAnsi"/>
          <w:bCs/>
          <w:lang w:val="es-UY"/>
        </w:rPr>
        <w:t xml:space="preserve"> No obstante, asegura que </w:t>
      </w:r>
      <w:r w:rsidR="00BF295D" w:rsidRPr="00BF295D">
        <w:rPr>
          <w:rFonts w:asciiTheme="majorHAnsi" w:hAnsiTheme="majorHAnsi"/>
          <w:bCs/>
          <w:lang w:val="es-UY"/>
        </w:rPr>
        <w:t xml:space="preserve">no existen argumentos serios con un mínimo de sustanciación que permitan atribuir </w:t>
      </w:r>
      <w:r w:rsidR="00BF295D" w:rsidRPr="00BF295D">
        <w:rPr>
          <w:rFonts w:asciiTheme="majorHAnsi" w:hAnsiTheme="majorHAnsi"/>
          <w:bCs/>
          <w:i/>
          <w:iCs/>
          <w:lang w:val="es-UY"/>
        </w:rPr>
        <w:t>prima facie</w:t>
      </w:r>
      <w:r w:rsidR="00BF295D" w:rsidRPr="00BF295D">
        <w:rPr>
          <w:rFonts w:asciiTheme="majorHAnsi" w:hAnsiTheme="majorHAnsi"/>
          <w:bCs/>
          <w:lang w:val="es-UY"/>
        </w:rPr>
        <w:t xml:space="preserve"> los hechos denunciados al Estado colombiano, puesto que </w:t>
      </w:r>
      <w:r w:rsidR="00BF295D">
        <w:rPr>
          <w:rFonts w:asciiTheme="majorHAnsi" w:hAnsiTheme="majorHAnsi"/>
          <w:bCs/>
          <w:lang w:val="es-UY"/>
        </w:rPr>
        <w:t xml:space="preserve">éstos </w:t>
      </w:r>
      <w:r w:rsidR="00062295" w:rsidRPr="00BF295D">
        <w:rPr>
          <w:rFonts w:asciiTheme="majorHAnsi" w:hAnsiTheme="majorHAnsi"/>
          <w:bCs/>
          <w:lang w:val="es-UY"/>
        </w:rPr>
        <w:t xml:space="preserve">fueron cometidos por grupos al margen de la ley, </w:t>
      </w:r>
      <w:r w:rsidR="000F1FDA" w:rsidRPr="00BF295D">
        <w:rPr>
          <w:rFonts w:asciiTheme="majorHAnsi" w:hAnsiTheme="majorHAnsi"/>
          <w:bCs/>
          <w:lang w:val="es-UY"/>
        </w:rPr>
        <w:t>y no está acreditado que éstos hubiesen actuado con la tolerancia de agentes estatales, ni que</w:t>
      </w:r>
      <w:r w:rsidR="0085134E">
        <w:rPr>
          <w:rFonts w:asciiTheme="majorHAnsi" w:hAnsiTheme="majorHAnsi"/>
          <w:bCs/>
          <w:lang w:val="es-UY"/>
        </w:rPr>
        <w:t xml:space="preserve"> las autoridades</w:t>
      </w:r>
      <w:r w:rsidR="000F1FDA" w:rsidRPr="00BF295D">
        <w:rPr>
          <w:rFonts w:asciiTheme="majorHAnsi" w:hAnsiTheme="majorHAnsi"/>
          <w:bCs/>
          <w:lang w:val="es-UY"/>
        </w:rPr>
        <w:t xml:space="preserve"> </w:t>
      </w:r>
      <w:r w:rsidR="003B4D52" w:rsidRPr="00BF295D">
        <w:rPr>
          <w:rFonts w:asciiTheme="majorHAnsi" w:hAnsiTheme="majorHAnsi"/>
          <w:bCs/>
          <w:lang w:val="es-UY"/>
        </w:rPr>
        <w:t>haya</w:t>
      </w:r>
      <w:r w:rsidR="0085134E">
        <w:rPr>
          <w:rFonts w:asciiTheme="majorHAnsi" w:hAnsiTheme="majorHAnsi"/>
          <w:bCs/>
          <w:lang w:val="es-UY"/>
        </w:rPr>
        <w:t>n</w:t>
      </w:r>
      <w:r w:rsidR="003B4D52" w:rsidRPr="00BF295D">
        <w:rPr>
          <w:rFonts w:asciiTheme="majorHAnsi" w:hAnsiTheme="majorHAnsi"/>
          <w:bCs/>
          <w:lang w:val="es-UY"/>
        </w:rPr>
        <w:t xml:space="preserve"> incumplido con su deber de prevenir las violaciones de derechos humanos.</w:t>
      </w:r>
      <w:r w:rsidR="00930FD4">
        <w:rPr>
          <w:rFonts w:asciiTheme="majorHAnsi" w:hAnsiTheme="majorHAnsi"/>
          <w:bCs/>
          <w:lang w:val="es-UY"/>
        </w:rPr>
        <w:t xml:space="preserve"> Agrega que no existen elementos que </w:t>
      </w:r>
      <w:r w:rsidR="004963D8">
        <w:rPr>
          <w:rFonts w:asciiTheme="majorHAnsi" w:hAnsiTheme="majorHAnsi"/>
          <w:bCs/>
          <w:lang w:val="es-UY"/>
        </w:rPr>
        <w:t xml:space="preserve">permitan establecer la existencia de </w:t>
      </w:r>
      <w:r w:rsidR="006C61AC">
        <w:rPr>
          <w:rFonts w:asciiTheme="majorHAnsi" w:hAnsiTheme="majorHAnsi"/>
          <w:bCs/>
          <w:lang w:val="es-UY"/>
        </w:rPr>
        <w:t>denuncias por amenazas contra la vida de las presuntas víctimas para afirmar que existía un riesgo previsible, real e inmediato.</w:t>
      </w:r>
      <w:r w:rsidR="00426EE0">
        <w:rPr>
          <w:rFonts w:asciiTheme="majorHAnsi" w:hAnsiTheme="majorHAnsi"/>
          <w:bCs/>
          <w:lang w:val="es-UY"/>
        </w:rPr>
        <w:t xml:space="preserve"> Por consiguiente, solicita a la CIDH declarar inadmisible la presente petición con fundamento en el artículo 47.c) de la Convención Americana.</w:t>
      </w:r>
    </w:p>
    <w:p w14:paraId="1A85E1C2" w14:textId="672182C2" w:rsidR="00D6168F" w:rsidRPr="006C35DE" w:rsidRDefault="00D6168F" w:rsidP="00D6168F">
      <w:pPr>
        <w:pStyle w:val="ListParagraph"/>
        <w:numPr>
          <w:ilvl w:val="0"/>
          <w:numId w:val="0"/>
        </w:numPr>
        <w:ind w:left="720"/>
        <w:rPr>
          <w:b/>
          <w:bCs/>
        </w:rPr>
      </w:pPr>
      <w:r w:rsidRPr="006C35DE">
        <w:rPr>
          <w:b/>
          <w:bCs/>
        </w:rPr>
        <w:t>VI.</w:t>
      </w:r>
      <w:r w:rsidRPr="006C35DE">
        <w:rPr>
          <w:b/>
          <w:bCs/>
        </w:rPr>
        <w:tab/>
      </w:r>
      <w:r w:rsidR="00223F48" w:rsidRPr="006C35DE">
        <w:rPr>
          <w:b/>
          <w:bCs/>
        </w:rPr>
        <w:t>CONSIDERACIONES PRELIMINARES</w:t>
      </w:r>
    </w:p>
    <w:p w14:paraId="2FEC91CB" w14:textId="7B72C407" w:rsidR="0050697E" w:rsidRPr="006C35DE" w:rsidRDefault="0050697E" w:rsidP="00D6168F">
      <w:pPr>
        <w:pStyle w:val="ListParagraph"/>
        <w:rPr>
          <w:lang w:val="es-ES"/>
        </w:rPr>
      </w:pPr>
      <w:r w:rsidRPr="006C35DE">
        <w:rPr>
          <w:lang w:val="es-ES"/>
        </w:rPr>
        <w:t xml:space="preserve">En primer lugar, </w:t>
      </w:r>
      <w:r w:rsidR="00BD4BEC" w:rsidRPr="006C35DE">
        <w:rPr>
          <w:lang w:val="es-ES"/>
        </w:rPr>
        <w:t xml:space="preserve">la Comisión </w:t>
      </w:r>
      <w:r w:rsidR="00404F2B" w:rsidRPr="006C35DE">
        <w:rPr>
          <w:lang w:val="es-ES"/>
        </w:rPr>
        <w:t xml:space="preserve">Interamericana </w:t>
      </w:r>
      <w:r w:rsidR="00BD4BEC" w:rsidRPr="006C35DE">
        <w:rPr>
          <w:lang w:val="es-ES"/>
        </w:rPr>
        <w:t xml:space="preserve">observa que el 11 de agosto de 2022 aprobó el Informe de Admisibilidad No. 213/22 respecto de una petición presentada por </w:t>
      </w:r>
      <w:r w:rsidR="00781D70" w:rsidRPr="006C35DE">
        <w:rPr>
          <w:lang w:val="es-ES"/>
        </w:rPr>
        <w:t xml:space="preserve">la parte peticionaria con fundamento en </w:t>
      </w:r>
      <w:r w:rsidR="00BD4BEC" w:rsidRPr="006C35DE">
        <w:rPr>
          <w:lang w:val="es-ES"/>
        </w:rPr>
        <w:t>los mismos hechos contra el Estado panameño</w:t>
      </w:r>
      <w:r w:rsidR="00781D70" w:rsidRPr="006C35DE">
        <w:rPr>
          <w:lang w:val="es-ES"/>
        </w:rPr>
        <w:t>.</w:t>
      </w:r>
    </w:p>
    <w:p w14:paraId="03B010A3" w14:textId="22D20445" w:rsidR="006E6253" w:rsidRPr="006C35DE" w:rsidRDefault="00467907" w:rsidP="006E6253">
      <w:pPr>
        <w:pStyle w:val="ListParagraph"/>
        <w:rPr>
          <w:lang w:val="es-ES"/>
        </w:rPr>
      </w:pPr>
      <w:r w:rsidRPr="006C35DE">
        <w:rPr>
          <w:lang w:val="es-ES"/>
        </w:rPr>
        <w:t xml:space="preserve">En segundo lugar, </w:t>
      </w:r>
      <w:r w:rsidR="006E6253" w:rsidRPr="006C35DE">
        <w:rPr>
          <w:lang w:val="es-ES"/>
        </w:rPr>
        <w:t>advierte que el Estado colombiano plantea que la CIDH carece de competencia para conocer la presente petición porque los hechos ocurrieron en territorio de otro Estado y fueron cometidos por terceros, sin la aquiescencia de agentes estatales, y sin que se haya acreditado el incumplimiento del deber de prevención de las violaciones de derechos humanos.</w:t>
      </w:r>
    </w:p>
    <w:p w14:paraId="52C6C78A" w14:textId="6DF2FA77" w:rsidR="00A37091" w:rsidRPr="00DC06FE" w:rsidRDefault="00A37091" w:rsidP="00DC06FE">
      <w:pPr>
        <w:pStyle w:val="ListParagraph"/>
        <w:rPr>
          <w:lang w:val="es-ES"/>
        </w:rPr>
      </w:pPr>
      <w:r w:rsidRPr="00B71398">
        <w:rPr>
          <w:lang w:val="es-ES"/>
        </w:rPr>
        <w:t xml:space="preserve">En relación con la competencia </w:t>
      </w:r>
      <w:r w:rsidR="003238D0" w:rsidRPr="00B71398">
        <w:rPr>
          <w:i/>
          <w:iCs/>
          <w:lang w:val="es-ES"/>
        </w:rPr>
        <w:t>ratione locii</w:t>
      </w:r>
      <w:r w:rsidRPr="00B71398">
        <w:rPr>
          <w:lang w:val="es-ES"/>
        </w:rPr>
        <w:t xml:space="preserve">, la CIDH recuerda que </w:t>
      </w:r>
      <w:r w:rsidR="00DC06FE">
        <w:rPr>
          <w:lang w:val="es-ES"/>
        </w:rPr>
        <w:t xml:space="preserve">si </w:t>
      </w:r>
      <w:r w:rsidRPr="00DC06FE">
        <w:rPr>
          <w:lang w:val="es-ES"/>
        </w:rPr>
        <w:t>bien el término</w:t>
      </w:r>
      <w:r w:rsidRPr="00B71398">
        <w:t xml:space="preserve"> ‘jurisdicción’ usualmente se refiere a la autoridad sobre personas que se encuentran dentro del territorio de un Estado, la Comisión ha precisado que los derechos humanos son inherentes a todos los seres humanos y no se basan en su ciudadanía o ubicación, y que, bajo el derecho interamericano de los derechos humanos, cada Estado está obligado en consecuencia a respetar los derechos de todas las personas dentro de su territorio y de </w:t>
      </w:r>
      <w:r w:rsidRPr="00B71398">
        <w:lastRenderedPageBreak/>
        <w:t>aquellas presentes en el territorio de otro Estado, o incluso en aguas internacionales</w:t>
      </w:r>
      <w:r w:rsidRPr="00B71398">
        <w:rPr>
          <w:rStyle w:val="FootnoteReference"/>
          <w:rFonts w:asciiTheme="majorHAnsi" w:hAnsiTheme="majorHAnsi"/>
          <w:szCs w:val="20"/>
          <w:lang w:val="es-ES_tradnl"/>
        </w:rPr>
        <w:footnoteReference w:id="7"/>
      </w:r>
      <w:r w:rsidRPr="00B71398">
        <w:t>, pero sujetas al control de sus agentes</w:t>
      </w:r>
      <w:r w:rsidRPr="00B71398">
        <w:rPr>
          <w:vertAlign w:val="superscript"/>
        </w:rPr>
        <w:footnoteReference w:id="8"/>
      </w:r>
      <w:r w:rsidRPr="00B71398">
        <w:t>. La Corte Interamericana</w:t>
      </w:r>
      <w:r w:rsidR="006D76FD" w:rsidRPr="006D76FD">
        <w:t xml:space="preserve"> </w:t>
      </w:r>
      <w:r w:rsidR="006D76FD">
        <w:t>de Derechos Humanos (en adelante “la Corte Interamericana”, “la Corte IDH” o “la Corte”)</w:t>
      </w:r>
      <w:r w:rsidRPr="00B71398">
        <w:t xml:space="preserve"> también ha concluido que el concepto de jurisdicción no sólo abarca el territorio nacional de un Estado</w:t>
      </w:r>
      <w:r w:rsidRPr="00B71398">
        <w:rPr>
          <w:rStyle w:val="FootnoteReference"/>
          <w:rFonts w:asciiTheme="majorHAnsi" w:hAnsiTheme="majorHAnsi"/>
          <w:szCs w:val="20"/>
        </w:rPr>
        <w:footnoteReference w:id="9"/>
      </w:r>
      <w:r w:rsidRPr="00B71398">
        <w:t>. Así, ha precisado que “una persona está sometida a la jurisdicción de un Estado, respecto de una conducta cometida fuera del territorio de dicho Estado (conductas extraterritoriales) o con efectos fuera de dicho territorio, cuando dicho Estado está ejerciendo autoridad sobre la persona o cuando la persona se encuentre bajo su control efectivo, sea dentro o fuera de su territorio”</w:t>
      </w:r>
      <w:r w:rsidRPr="00B71398">
        <w:rPr>
          <w:rStyle w:val="FootnoteReference"/>
          <w:rFonts w:asciiTheme="majorHAnsi" w:hAnsiTheme="majorHAnsi"/>
          <w:szCs w:val="20"/>
        </w:rPr>
        <w:footnoteReference w:id="10"/>
      </w:r>
      <w:r w:rsidRPr="00B71398">
        <w:t xml:space="preserve">. </w:t>
      </w:r>
    </w:p>
    <w:p w14:paraId="2A1608EC" w14:textId="72BCFDAC" w:rsidR="00467907" w:rsidRPr="006C35DE" w:rsidRDefault="002B1BA1" w:rsidP="00BC4AC8">
      <w:pPr>
        <w:pStyle w:val="ListParagraph"/>
        <w:rPr>
          <w:lang w:val="es-ES"/>
        </w:rPr>
      </w:pPr>
      <w:r w:rsidRPr="006C35DE">
        <w:rPr>
          <w:lang w:val="es-ES"/>
        </w:rPr>
        <w:t>En efecto, l</w:t>
      </w:r>
      <w:r w:rsidR="00247589" w:rsidRPr="006C35DE">
        <w:rPr>
          <w:lang w:val="es-ES"/>
        </w:rPr>
        <w:t xml:space="preserve">a Comisión </w:t>
      </w:r>
      <w:r w:rsidRPr="006C35DE">
        <w:rPr>
          <w:lang w:val="es-ES"/>
        </w:rPr>
        <w:t>Interamerican</w:t>
      </w:r>
      <w:r w:rsidR="00247589" w:rsidRPr="006C35DE">
        <w:rPr>
          <w:lang w:val="es-ES"/>
        </w:rPr>
        <w:t>a</w:t>
      </w:r>
      <w:r w:rsidRPr="006C35DE">
        <w:rPr>
          <w:lang w:val="es-ES"/>
        </w:rPr>
        <w:t xml:space="preserve"> ha aplicado la doctrina del control efectivo para analizar la competencia de los Estados en razón del lugar</w:t>
      </w:r>
      <w:r w:rsidR="00AF564E" w:rsidRPr="006C35DE">
        <w:rPr>
          <w:lang w:val="es-ES"/>
        </w:rPr>
        <w:t xml:space="preserve"> de manera consistente y reiterada</w:t>
      </w:r>
      <w:r w:rsidR="000E0AAE" w:rsidRPr="006C35DE">
        <w:rPr>
          <w:rStyle w:val="FootnoteReference"/>
          <w:lang w:val="es-ES"/>
        </w:rPr>
        <w:footnoteReference w:id="11"/>
      </w:r>
      <w:r w:rsidRPr="006C35DE">
        <w:rPr>
          <w:lang w:val="es-ES"/>
        </w:rPr>
        <w:t>.</w:t>
      </w:r>
      <w:r w:rsidR="00377A8D" w:rsidRPr="006C35DE">
        <w:rPr>
          <w:lang w:val="es-ES"/>
        </w:rPr>
        <w:t xml:space="preserve"> Ahora bien, en el presente caso, </w:t>
      </w:r>
      <w:r w:rsidR="00414875" w:rsidRPr="006C35DE">
        <w:rPr>
          <w:lang w:val="es-ES"/>
        </w:rPr>
        <w:t>no se observan elementos o sustento suficiente para determinar que el Estado colombiano ejerció un control efectivo sobre los actos perpetrados por las ACCU en territorio panameño, o que éstos contaran con la tolerancia o aquiescencia de agentes estatales.</w:t>
      </w:r>
    </w:p>
    <w:p w14:paraId="129A2298" w14:textId="5547132D" w:rsidR="00C64ED2" w:rsidRPr="006C35DE" w:rsidRDefault="00363398" w:rsidP="00C64ED2">
      <w:pPr>
        <w:pStyle w:val="ListParagraph"/>
        <w:rPr>
          <w:color w:val="000000" w:themeColor="text1"/>
        </w:rPr>
      </w:pPr>
      <w:r w:rsidRPr="006C35DE">
        <w:rPr>
          <w:color w:val="000000" w:themeColor="text1"/>
        </w:rPr>
        <w:t>En determinados casos respecto de Colombia, en los cuales</w:t>
      </w:r>
      <w:r w:rsidR="00FB7E50" w:rsidRPr="006C35DE">
        <w:rPr>
          <w:color w:val="000000" w:themeColor="text1"/>
        </w:rPr>
        <w:t xml:space="preserve"> miembros de grupos paramilitares han cometido graves violaciones de derechos humanos, la Comisión verifica que si ha existido </w:t>
      </w:r>
      <w:r w:rsidR="00532D5E" w:rsidRPr="006C35DE">
        <w:rPr>
          <w:color w:val="000000" w:themeColor="text1"/>
        </w:rPr>
        <w:t xml:space="preserve">previa </w:t>
      </w:r>
      <w:r w:rsidR="0068541C" w:rsidRPr="006C35DE">
        <w:rPr>
          <w:color w:val="000000" w:themeColor="text1"/>
        </w:rPr>
        <w:t xml:space="preserve">connivencia o una tolerancia generalizada para cometer estos actos; pero cuando </w:t>
      </w:r>
      <w:r w:rsidR="00E02050" w:rsidRPr="006C35DE">
        <w:rPr>
          <w:color w:val="000000" w:themeColor="text1"/>
        </w:rPr>
        <w:t xml:space="preserve">no existen elementos para demostrar que éstos han contado con la </w:t>
      </w:r>
      <w:r w:rsidR="000473B6" w:rsidRPr="006C35DE">
        <w:rPr>
          <w:color w:val="000000" w:themeColor="text1"/>
        </w:rPr>
        <w:t xml:space="preserve">colaboración, aquiescencia o tolerancia de agentes estatales, la Comisión ha declarado </w:t>
      </w:r>
      <w:r w:rsidR="007704A5" w:rsidRPr="006C35DE">
        <w:rPr>
          <w:color w:val="000000" w:themeColor="text1"/>
        </w:rPr>
        <w:t xml:space="preserve">inadmisible tal conducta </w:t>
      </w:r>
      <w:r w:rsidR="009A3DE0" w:rsidRPr="006C35DE">
        <w:rPr>
          <w:color w:val="000000" w:themeColor="text1"/>
        </w:rPr>
        <w:t>porque no existen elementos mínimos para atribuir la eventual responsabilidad internacional del Estado</w:t>
      </w:r>
      <w:r w:rsidR="00D01824" w:rsidRPr="006C35DE">
        <w:rPr>
          <w:rStyle w:val="FootnoteReference"/>
          <w:color w:val="000000" w:themeColor="text1"/>
        </w:rPr>
        <w:footnoteReference w:id="12"/>
      </w:r>
      <w:r w:rsidR="009A3DE0" w:rsidRPr="006C35DE">
        <w:rPr>
          <w:color w:val="000000" w:themeColor="text1"/>
        </w:rPr>
        <w:t>.</w:t>
      </w:r>
    </w:p>
    <w:p w14:paraId="68A18C34" w14:textId="367CE37D" w:rsidR="00223F48" w:rsidRPr="006C35DE" w:rsidRDefault="008D1422" w:rsidP="00225E52">
      <w:pPr>
        <w:pStyle w:val="ListParagraph"/>
        <w:rPr>
          <w:lang w:val="es-ES"/>
        </w:rPr>
      </w:pPr>
      <w:r w:rsidRPr="006C35DE">
        <w:rPr>
          <w:color w:val="000000" w:themeColor="text1"/>
        </w:rPr>
        <w:t xml:space="preserve">En el presente caso, </w:t>
      </w:r>
      <w:r w:rsidR="006C35DE" w:rsidRPr="006C35DE">
        <w:rPr>
          <w:color w:val="000000" w:themeColor="text1"/>
        </w:rPr>
        <w:t xml:space="preserve">el Estado </w:t>
      </w:r>
      <w:r w:rsidR="006C35DE" w:rsidRPr="006C35DE">
        <w:rPr>
          <w:color w:val="000000" w:themeColor="text1"/>
          <w:lang w:val="es-ES"/>
        </w:rPr>
        <w:t xml:space="preserve">formula su objeción relativa a la falta de competencia territorial de manera oportuna, fundamentada en la ausencia de tolerancia o complicidad de agentes colombianos en los hechos denunciados; y la </w:t>
      </w:r>
      <w:r w:rsidR="00EE7C8B">
        <w:rPr>
          <w:color w:val="000000" w:themeColor="text1"/>
          <w:lang w:val="es-ES"/>
        </w:rPr>
        <w:t>Comisión no encuentra en el expediente elementos que permitan sustentar</w:t>
      </w:r>
      <w:r w:rsidR="00F636D6">
        <w:rPr>
          <w:color w:val="000000" w:themeColor="text1"/>
          <w:lang w:val="es-ES"/>
        </w:rPr>
        <w:t xml:space="preserve"> la existencia de control efectivo del Estado</w:t>
      </w:r>
      <w:r w:rsidR="00CB7717">
        <w:rPr>
          <w:color w:val="000000" w:themeColor="text1"/>
          <w:lang w:val="es-ES"/>
        </w:rPr>
        <w:t xml:space="preserve"> en las acciones ocurridas fuera de su territorio</w:t>
      </w:r>
      <w:r w:rsidR="006C35DE" w:rsidRPr="006C35DE">
        <w:rPr>
          <w:color w:val="000000" w:themeColor="text1"/>
          <w:lang w:val="es-ES"/>
        </w:rPr>
        <w:t xml:space="preserve">. </w:t>
      </w:r>
      <w:r w:rsidR="006C35DE">
        <w:rPr>
          <w:color w:val="000000" w:themeColor="text1"/>
          <w:lang w:val="es-ES"/>
        </w:rPr>
        <w:t xml:space="preserve">En consecuencia, </w:t>
      </w:r>
      <w:r w:rsidRPr="006C35DE">
        <w:rPr>
          <w:color w:val="000000" w:themeColor="text1"/>
        </w:rPr>
        <w:t xml:space="preserve">la CIDH no encuentra elementos ni fundamento suficiente que permita establecer </w:t>
      </w:r>
      <w:r w:rsidRPr="006C35DE">
        <w:rPr>
          <w:rFonts w:asciiTheme="majorHAnsi" w:hAnsiTheme="majorHAnsi"/>
          <w:i/>
          <w:iCs/>
          <w:color w:val="000000" w:themeColor="text1"/>
          <w:szCs w:val="20"/>
        </w:rPr>
        <w:t>prima facie</w:t>
      </w:r>
      <w:r w:rsidRPr="006C35DE">
        <w:rPr>
          <w:rFonts w:asciiTheme="majorHAnsi" w:hAnsiTheme="majorHAnsi"/>
          <w:color w:val="000000" w:themeColor="text1"/>
          <w:szCs w:val="20"/>
        </w:rPr>
        <w:t xml:space="preserve"> que la masacre de Paya haya contado con la aquiescencia de autoridades </w:t>
      </w:r>
      <w:r w:rsidR="00BA757D" w:rsidRPr="006C35DE">
        <w:rPr>
          <w:rFonts w:asciiTheme="majorHAnsi" w:hAnsiTheme="majorHAnsi"/>
          <w:color w:val="000000" w:themeColor="text1"/>
          <w:szCs w:val="20"/>
        </w:rPr>
        <w:t xml:space="preserve">o agentes </w:t>
      </w:r>
      <w:r w:rsidRPr="006C35DE">
        <w:rPr>
          <w:rFonts w:asciiTheme="majorHAnsi" w:hAnsiTheme="majorHAnsi"/>
          <w:color w:val="000000" w:themeColor="text1"/>
          <w:szCs w:val="20"/>
        </w:rPr>
        <w:t>estatales, con lo cual, la CIDH</w:t>
      </w:r>
      <w:r w:rsidR="005E4CE4" w:rsidRPr="006C35DE">
        <w:rPr>
          <w:rFonts w:asciiTheme="majorHAnsi" w:hAnsiTheme="majorHAnsi"/>
          <w:color w:val="000000" w:themeColor="text1"/>
          <w:szCs w:val="20"/>
        </w:rPr>
        <w:t xml:space="preserve"> concluye que carece de competencia </w:t>
      </w:r>
      <w:r w:rsidR="005E4CE4" w:rsidRPr="006C35DE">
        <w:rPr>
          <w:rFonts w:asciiTheme="majorHAnsi" w:hAnsiTheme="majorHAnsi"/>
          <w:i/>
          <w:iCs/>
          <w:color w:val="000000" w:themeColor="text1"/>
          <w:szCs w:val="20"/>
        </w:rPr>
        <w:t>ratione locii</w:t>
      </w:r>
      <w:r w:rsidR="005E4CE4" w:rsidRPr="006C35DE">
        <w:rPr>
          <w:rFonts w:asciiTheme="majorHAnsi" w:hAnsiTheme="majorHAnsi"/>
          <w:color w:val="000000" w:themeColor="text1"/>
          <w:szCs w:val="20"/>
        </w:rPr>
        <w:t xml:space="preserve"> para conocer la alegada violación de los derechos a la vida (artículo 4), </w:t>
      </w:r>
      <w:r w:rsidR="004E76AF" w:rsidRPr="006C35DE">
        <w:rPr>
          <w:rFonts w:asciiTheme="majorHAnsi" w:hAnsiTheme="majorHAnsi"/>
          <w:color w:val="000000" w:themeColor="text1"/>
          <w:szCs w:val="20"/>
        </w:rPr>
        <w:t xml:space="preserve">a </w:t>
      </w:r>
      <w:r w:rsidR="00F37A00" w:rsidRPr="006C35DE">
        <w:rPr>
          <w:rFonts w:asciiTheme="majorHAnsi" w:hAnsiTheme="majorHAnsi"/>
          <w:color w:val="000000" w:themeColor="text1"/>
          <w:szCs w:val="20"/>
        </w:rPr>
        <w:t>la libertad personal (</w:t>
      </w:r>
      <w:r w:rsidR="00F37A00" w:rsidRPr="006C35DE">
        <w:rPr>
          <w:bCs/>
          <w:szCs w:val="20"/>
          <w:lang w:val="es-419"/>
        </w:rPr>
        <w:t>artículo 7), de indemnización (artículo 10),  a la libertad de religión (artículo 12), a la protección a la familia (artículo 17), derechos del niño (artículo 19) y a la igualdad ante la ley (artículo 24). Por consiguiente, e</w:t>
      </w:r>
      <w:r w:rsidR="00005C79" w:rsidRPr="006C35DE">
        <w:rPr>
          <w:lang w:val="es-ES"/>
        </w:rPr>
        <w:t xml:space="preserve">l análisis </w:t>
      </w:r>
      <w:r w:rsidR="005B2CF2" w:rsidRPr="006C35DE">
        <w:rPr>
          <w:lang w:val="es-ES"/>
        </w:rPr>
        <w:t xml:space="preserve">de admisibilidad </w:t>
      </w:r>
      <w:r w:rsidR="00005C79" w:rsidRPr="006C35DE">
        <w:rPr>
          <w:lang w:val="es-ES"/>
        </w:rPr>
        <w:t xml:space="preserve">subsiguiente se limitará </w:t>
      </w:r>
      <w:r w:rsidR="00155E5A" w:rsidRPr="006C35DE">
        <w:rPr>
          <w:lang w:val="es-ES"/>
        </w:rPr>
        <w:t xml:space="preserve">a lo relacionado con </w:t>
      </w:r>
      <w:r w:rsidR="0065667B" w:rsidRPr="006C35DE">
        <w:rPr>
          <w:lang w:val="es-ES"/>
        </w:rPr>
        <w:t xml:space="preserve">las investigaciones que hayan emprendido las autoridades colombianas sobre </w:t>
      </w:r>
      <w:r w:rsidR="005B2CF2" w:rsidRPr="006C35DE">
        <w:rPr>
          <w:lang w:val="es-ES"/>
        </w:rPr>
        <w:t xml:space="preserve">los hechos </w:t>
      </w:r>
      <w:r w:rsidR="0065667B" w:rsidRPr="006C35DE">
        <w:rPr>
          <w:lang w:val="es-ES"/>
        </w:rPr>
        <w:t>expuestos en la presente petición</w:t>
      </w:r>
      <w:r w:rsidR="00155E5A" w:rsidRPr="006C35DE">
        <w:rPr>
          <w:lang w:val="es-ES"/>
        </w:rPr>
        <w:t>.</w:t>
      </w:r>
    </w:p>
    <w:p w14:paraId="51F68C92" w14:textId="327D692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00D6168F">
        <w:rPr>
          <w:rFonts w:asciiTheme="majorHAnsi" w:eastAsia="Cambria" w:hAnsiTheme="majorHAnsi" w:cs="Cambria"/>
          <w:b/>
          <w:bCs/>
          <w:color w:val="000000"/>
          <w:sz w:val="20"/>
          <w:szCs w:val="20"/>
          <w:u w:color="000000"/>
          <w:lang w:val="es-ES" w:eastAsia="es-ES"/>
        </w:rPr>
        <w:t>I</w:t>
      </w:r>
      <w:r w:rsidRPr="00E64C3D">
        <w:rPr>
          <w:rFonts w:asciiTheme="majorHAnsi" w:eastAsia="Cambria" w:hAnsiTheme="majorHAnsi" w:cs="Cambria"/>
          <w:b/>
          <w:bCs/>
          <w:color w:val="000000"/>
          <w:sz w:val="20"/>
          <w:szCs w:val="20"/>
          <w:u w:color="000000"/>
          <w:lang w:val="es-ES" w:eastAsia="es-ES"/>
        </w:rPr>
        <w:t>.</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7A7BA3C3" w14:textId="5F8A6992" w:rsidR="006C0ECF" w:rsidRDefault="000A0663" w:rsidP="009D4B54">
      <w:pPr>
        <w:pStyle w:val="ListParagraph"/>
        <w:rPr>
          <w:lang w:val="es-ES"/>
        </w:rPr>
      </w:pPr>
      <w:r>
        <w:rPr>
          <w:lang w:val="es-ES"/>
        </w:rPr>
        <w:t xml:space="preserve">La presente petición versa sobre la masacre cometida contra las comunidades Paya y Púcuro </w:t>
      </w:r>
      <w:r w:rsidR="005E6969">
        <w:rPr>
          <w:lang w:val="es-ES"/>
        </w:rPr>
        <w:t xml:space="preserve">por las ACCU durante una redada en la frontera entre Panamá y Colombia </w:t>
      </w:r>
      <w:r w:rsidR="000875CE">
        <w:rPr>
          <w:lang w:val="es-ES"/>
        </w:rPr>
        <w:t>en enero de 2003.</w:t>
      </w:r>
      <w:r w:rsidR="008436C1">
        <w:rPr>
          <w:lang w:val="es-ES"/>
        </w:rPr>
        <w:t xml:space="preserve"> La parte peticionaria alega </w:t>
      </w:r>
      <w:r w:rsidR="00CC3670">
        <w:rPr>
          <w:lang w:val="es-ES"/>
        </w:rPr>
        <w:t xml:space="preserve">imposibilidad en el agotamiento de los recursos internos en Colombia debido a temor de represalias de paramilitares, la situación de vulnerabilidad de las comunidades y el riesgo que implicaba viajar a Colombia. Por su parte, el Estado </w:t>
      </w:r>
      <w:r w:rsidR="000439E4">
        <w:rPr>
          <w:lang w:val="es-ES"/>
        </w:rPr>
        <w:t xml:space="preserve">replica que los peticionarios no agotaron los recursos de denuncia penal y </w:t>
      </w:r>
      <w:r w:rsidR="006A5C48">
        <w:rPr>
          <w:lang w:val="es-ES"/>
        </w:rPr>
        <w:t>l</w:t>
      </w:r>
      <w:r w:rsidR="000439E4">
        <w:rPr>
          <w:lang w:val="es-ES"/>
        </w:rPr>
        <w:t>a demanda de reparación directa.</w:t>
      </w:r>
      <w:r w:rsidR="00BB65A8">
        <w:rPr>
          <w:lang w:val="es-ES"/>
        </w:rPr>
        <w:t xml:space="preserve"> En particular, sostiene que para iniciar una investigación de oficio se requiere que las presuntas víctimas denuncien los hechos.</w:t>
      </w:r>
    </w:p>
    <w:p w14:paraId="380FEF3A" w14:textId="1DB0CE2F" w:rsidR="00B92E05" w:rsidRPr="00B92E05" w:rsidRDefault="00A41C97" w:rsidP="009D4B54">
      <w:pPr>
        <w:pStyle w:val="ListParagraph"/>
      </w:pPr>
      <w:r>
        <w:lastRenderedPageBreak/>
        <w:t>E</w:t>
      </w:r>
      <w:r w:rsidRPr="005D4EE8">
        <w:rPr>
          <w:lang w:val="es-ES"/>
        </w:rPr>
        <w:t xml:space="preserve">l artículo 46.1.a) de la Convención Americana dispone que para que una petición sea admitida se requiere que se hayan interpuesto y agotado los recursos de jurisdicción interna conforme a los principios del Derecho Internacional generalmente reconocidos. </w:t>
      </w:r>
      <w:r>
        <w:rPr>
          <w:lang w:val="es-ES"/>
        </w:rPr>
        <w:t>P</w:t>
      </w:r>
      <w:r w:rsidRPr="005D4EE8">
        <w:rPr>
          <w:iCs/>
          <w:lang w:val="es-ES_tradnl"/>
        </w:rPr>
        <w:t>ara el análisis del agotamiento de los recursos domésticos en el presente asunto,</w:t>
      </w:r>
      <w:r>
        <w:rPr>
          <w:iCs/>
          <w:lang w:val="es-ES_tradnl"/>
        </w:rPr>
        <w:t xml:space="preserve"> l</w:t>
      </w:r>
      <w:r w:rsidR="00377BDD">
        <w:t>a Comisión Interamericana</w:t>
      </w:r>
      <w:r w:rsidR="006531DC">
        <w:t xml:space="preserve"> </w:t>
      </w:r>
      <w:r w:rsidR="00116993" w:rsidRPr="00823079">
        <w:rPr>
          <w:rFonts w:asciiTheme="majorHAnsi" w:hAnsiTheme="majorHAnsi"/>
          <w:szCs w:val="20"/>
          <w:lang w:val="es-ES"/>
        </w:rPr>
        <w:t>re</w:t>
      </w:r>
      <w:r w:rsidR="00337BA9">
        <w:rPr>
          <w:rFonts w:asciiTheme="majorHAnsi" w:hAnsiTheme="majorHAnsi"/>
          <w:szCs w:val="20"/>
          <w:lang w:val="es-ES"/>
        </w:rPr>
        <w:t>iter</w:t>
      </w:r>
      <w:r w:rsidR="00116993" w:rsidRPr="00823079">
        <w:rPr>
          <w:rFonts w:asciiTheme="majorHAnsi" w:hAnsiTheme="majorHAnsi"/>
          <w:szCs w:val="20"/>
          <w:lang w:val="es-ES"/>
        </w:rPr>
        <w:t xml:space="preserve">a que, en situaciones relacionadas a posibles violaciones al derecho a la vida, como </w:t>
      </w:r>
      <w:r w:rsidR="00A261DE">
        <w:rPr>
          <w:rFonts w:asciiTheme="majorHAnsi" w:hAnsiTheme="majorHAnsi"/>
          <w:szCs w:val="20"/>
          <w:lang w:val="es-ES"/>
        </w:rPr>
        <w:t>masacres</w:t>
      </w:r>
      <w:r w:rsidR="00116993" w:rsidRPr="00823079">
        <w:rPr>
          <w:rFonts w:asciiTheme="majorHAnsi" w:hAnsiTheme="majorHAnsi"/>
          <w:szCs w:val="20"/>
          <w:lang w:val="es-ES"/>
        </w:rPr>
        <w:t>, los recursos internos que deben tomarse en cuenta a los efectos de la admisibilidad de la petición son los relacionados con la investigación y sanción de los responsables, que se traducen en la legislación interna en delitos perseguibles de oficio</w:t>
      </w:r>
      <w:r w:rsidR="00116993">
        <w:rPr>
          <w:rStyle w:val="FootnoteReference"/>
          <w:rFonts w:asciiTheme="majorHAnsi" w:hAnsiTheme="majorHAnsi"/>
          <w:szCs w:val="20"/>
          <w:lang w:val="es-ES"/>
        </w:rPr>
        <w:footnoteReference w:id="13"/>
      </w:r>
      <w:r w:rsidR="00116993">
        <w:rPr>
          <w:rFonts w:asciiTheme="majorHAnsi" w:hAnsiTheme="majorHAnsi"/>
          <w:szCs w:val="20"/>
          <w:lang w:val="es-ES"/>
        </w:rPr>
        <w:t>.</w:t>
      </w:r>
    </w:p>
    <w:p w14:paraId="20B50EB1" w14:textId="0B5EC227" w:rsidR="00A41C97" w:rsidRDefault="009518E9" w:rsidP="009D4B54">
      <w:pPr>
        <w:pStyle w:val="ListParagraph"/>
      </w:pPr>
      <w:r>
        <w:t>Ahora bien, el Estado aduce que las presuntas víctimas no denunciaron los hechos ante la</w:t>
      </w:r>
      <w:r w:rsidR="00AC57DF">
        <w:t>s</w:t>
      </w:r>
      <w:r>
        <w:t xml:space="preserve"> autoridades colombianas, con lo cual, éstas no </w:t>
      </w:r>
      <w:r w:rsidR="005C02B8">
        <w:t>tomaron conocimiento de lo sucedido, y dado que las actuaciones de levantamiento e investigación fueron llevadas a cabo en territorio panameño por la procuraduría de ese país; la fiscalía colombiana no inició una investigación de oficio</w:t>
      </w:r>
      <w:r w:rsidR="000D34A2">
        <w:t>.</w:t>
      </w:r>
      <w:r w:rsidR="00CE7FCC">
        <w:t xml:space="preserve"> No obstante, como lo reseña el propio Estado colombiano, dos exjefes paramilitares confesaron su participación y dieron a conocer estos </w:t>
      </w:r>
      <w:r w:rsidR="006C4158">
        <w:t xml:space="preserve">delitos a la fiscalía en 2005, pese a lo cual, </w:t>
      </w:r>
      <w:r w:rsidR="005F1D1A">
        <w:t xml:space="preserve">dicha entidad se limitó a librar una carta rogatoria a la cancillería de Panamá, sin realizar otras gestiones </w:t>
      </w:r>
      <w:r w:rsidR="00E40B7F">
        <w:t xml:space="preserve">para continuar con la </w:t>
      </w:r>
      <w:r w:rsidR="00013A00">
        <w:t xml:space="preserve">debida diligencia en la </w:t>
      </w:r>
      <w:r w:rsidR="00E40B7F">
        <w:t>investigación.</w:t>
      </w:r>
    </w:p>
    <w:p w14:paraId="1CCC6DC0" w14:textId="68E0B87E" w:rsidR="00E86BD6" w:rsidRDefault="00DD6B24" w:rsidP="00E85C50">
      <w:pPr>
        <w:pStyle w:val="ListParagraph"/>
      </w:pPr>
      <w:r>
        <w:t xml:space="preserve">En esa medida, la Corte Interamericana </w:t>
      </w:r>
      <w:r w:rsidR="00E85C50">
        <w:t xml:space="preserve">ha establecido que </w:t>
      </w:r>
      <w:r w:rsidRPr="00DD6B24">
        <w:t>la obligación de investigar</w:t>
      </w:r>
      <w:r w:rsidR="00E85C50">
        <w:t>,</w:t>
      </w:r>
      <w:r w:rsidRPr="00DD6B24">
        <w:t xml:space="preserve"> juzgar y sancionar a los responsables de violaciones de derechos humanos, </w:t>
      </w:r>
      <w:r w:rsidR="00D12A9E">
        <w:t>“</w:t>
      </w:r>
      <w:r w:rsidRPr="00F1778B">
        <w:rPr>
          <w:i/>
          <w:iCs/>
        </w:rPr>
        <w:t>debe ser asumida por el Estado como un deber jurídico propio y no como una simple formalidad condenada de antemano a ser infructuosa</w:t>
      </w:r>
      <w:r w:rsidR="00D12A9E" w:rsidRPr="00F1778B">
        <w:rPr>
          <w:i/>
          <w:iCs/>
        </w:rPr>
        <w:t>, o como una mera gestión de intereses particulares, que dependa de la iniciativa procesal de las víctimas, de sus familiares o de la aportación privada de elementos probatorios</w:t>
      </w:r>
      <w:r w:rsidR="00D12A9E">
        <w:t>”</w:t>
      </w:r>
      <w:r w:rsidR="00E874A6">
        <w:rPr>
          <w:rStyle w:val="FootnoteReference"/>
        </w:rPr>
        <w:footnoteReference w:id="14"/>
      </w:r>
      <w:r w:rsidR="00D12A9E">
        <w:t>.</w:t>
      </w:r>
    </w:p>
    <w:p w14:paraId="38A8669C" w14:textId="0F1D8610" w:rsidR="00013A00" w:rsidRPr="00270BB6" w:rsidRDefault="00E86BD6" w:rsidP="00E85C50">
      <w:pPr>
        <w:pStyle w:val="ListParagraph"/>
      </w:pPr>
      <w:r>
        <w:t xml:space="preserve">Así, es claro que el Estado colombiano tomó conocimiento de la masacre en 2005 </w:t>
      </w:r>
      <w:r w:rsidR="002D5C15">
        <w:t xml:space="preserve">por </w:t>
      </w:r>
      <w:r w:rsidR="00113848">
        <w:t>los presuntos responsables</w:t>
      </w:r>
      <w:r w:rsidR="004E5755">
        <w:t>, quienes estaban</w:t>
      </w:r>
      <w:r w:rsidR="00113848">
        <w:t xml:space="preserve"> bajo su custodia</w:t>
      </w:r>
      <w:r w:rsidR="004E5755">
        <w:t xml:space="preserve"> y</w:t>
      </w:r>
      <w:r w:rsidR="00113848">
        <w:t xml:space="preserve"> confesaron haber </w:t>
      </w:r>
      <w:r w:rsidR="00CB33BD">
        <w:t>participa</w:t>
      </w:r>
      <w:r w:rsidR="00113848">
        <w:t xml:space="preserve">do </w:t>
      </w:r>
      <w:r w:rsidR="007A7095">
        <w:t xml:space="preserve">en </w:t>
      </w:r>
      <w:r w:rsidR="00113848">
        <w:t xml:space="preserve">los hechos, omitió procesarlos y la única actuación </w:t>
      </w:r>
      <w:r w:rsidR="006F476A">
        <w:t xml:space="preserve">de la que </w:t>
      </w:r>
      <w:r w:rsidR="00F32B8A">
        <w:t xml:space="preserve">da cuenta es </w:t>
      </w:r>
      <w:r w:rsidR="00EB6D6D">
        <w:t xml:space="preserve">el oficio de una carta por </w:t>
      </w:r>
      <w:r w:rsidR="00F32B8A">
        <w:t>la fiscalía de Medellín en 2020</w:t>
      </w:r>
      <w:r w:rsidR="00EB6D6D">
        <w:t>. Dado que se desconoce el estado actual del proceso penal a nivel interno, pero</w:t>
      </w:r>
      <w:r w:rsidR="00C7059F">
        <w:t xml:space="preserve"> de la información aportada por las partes, </w:t>
      </w:r>
      <w:r w:rsidR="00EF5C21">
        <w:t xml:space="preserve">se </w:t>
      </w:r>
      <w:r w:rsidR="0098195B">
        <w:t xml:space="preserve">desprende </w:t>
      </w:r>
      <w:r w:rsidR="00EF5C21">
        <w:t xml:space="preserve">que continuaba abierta en 2020; la Comisión estima aplicable la excepción al agotamiento de los recursos </w:t>
      </w:r>
      <w:r w:rsidR="00D74C21">
        <w:t>de retardo injustificado, prevista en el artículo 46.2.</w:t>
      </w:r>
      <w:r w:rsidR="001B03B4">
        <w:t>c</w:t>
      </w:r>
      <w:r w:rsidR="00D74C21">
        <w:t>) de la Convención Americana.</w:t>
      </w:r>
      <w:r w:rsidR="00ED398B">
        <w:t xml:space="preserve"> </w:t>
      </w:r>
      <w:r w:rsidR="00ED398B" w:rsidRPr="00361FF0">
        <w:rPr>
          <w:rFonts w:asciiTheme="majorHAnsi" w:hAnsiTheme="majorHAnsi"/>
          <w:szCs w:val="20"/>
          <w:lang w:val="es-ES"/>
        </w:rPr>
        <w:t xml:space="preserve">Y, </w:t>
      </w:r>
      <w:r w:rsidR="00ED398B">
        <w:rPr>
          <w:rFonts w:asciiTheme="majorHAnsi" w:hAnsiTheme="majorHAnsi"/>
          <w:szCs w:val="20"/>
          <w:lang w:val="es-ES"/>
        </w:rPr>
        <w:t xml:space="preserve">en vista de </w:t>
      </w:r>
      <w:r w:rsidR="00197E5B">
        <w:rPr>
          <w:rFonts w:asciiTheme="majorHAnsi" w:hAnsiTheme="majorHAnsi"/>
          <w:szCs w:val="20"/>
          <w:lang w:val="es-ES"/>
        </w:rPr>
        <w:t>q</w:t>
      </w:r>
      <w:r w:rsidR="00ED398B" w:rsidRPr="00361FF0">
        <w:rPr>
          <w:rFonts w:asciiTheme="majorHAnsi" w:hAnsiTheme="majorHAnsi"/>
          <w:szCs w:val="20"/>
          <w:lang w:val="es-ES"/>
        </w:rPr>
        <w:t xml:space="preserve">ue la petición fue presentada el </w:t>
      </w:r>
      <w:r w:rsidR="00197E5B">
        <w:rPr>
          <w:rFonts w:asciiTheme="majorHAnsi" w:hAnsiTheme="majorHAnsi"/>
          <w:szCs w:val="20"/>
          <w:lang w:val="es-ES"/>
        </w:rPr>
        <w:t>12</w:t>
      </w:r>
      <w:r w:rsidR="00ED398B" w:rsidRPr="00361FF0">
        <w:rPr>
          <w:rFonts w:asciiTheme="majorHAnsi" w:hAnsiTheme="majorHAnsi"/>
          <w:szCs w:val="20"/>
          <w:lang w:val="es-ES"/>
        </w:rPr>
        <w:t xml:space="preserve"> de </w:t>
      </w:r>
      <w:r w:rsidR="00197E5B">
        <w:rPr>
          <w:rFonts w:asciiTheme="majorHAnsi" w:hAnsiTheme="majorHAnsi"/>
          <w:szCs w:val="20"/>
          <w:lang w:val="es-ES"/>
        </w:rPr>
        <w:t>f</w:t>
      </w:r>
      <w:r w:rsidR="00ED398B" w:rsidRPr="00361FF0">
        <w:rPr>
          <w:rFonts w:asciiTheme="majorHAnsi" w:hAnsiTheme="majorHAnsi"/>
          <w:szCs w:val="20"/>
          <w:lang w:val="es-ES"/>
        </w:rPr>
        <w:t>e</w:t>
      </w:r>
      <w:r w:rsidR="00197E5B">
        <w:rPr>
          <w:rFonts w:asciiTheme="majorHAnsi" w:hAnsiTheme="majorHAnsi"/>
          <w:szCs w:val="20"/>
          <w:lang w:val="es-ES"/>
        </w:rPr>
        <w:t>br</w:t>
      </w:r>
      <w:r w:rsidR="00ED398B" w:rsidRPr="00361FF0">
        <w:rPr>
          <w:rFonts w:asciiTheme="majorHAnsi" w:hAnsiTheme="majorHAnsi"/>
          <w:szCs w:val="20"/>
          <w:lang w:val="es-ES"/>
        </w:rPr>
        <w:t>ero de 20</w:t>
      </w:r>
      <w:r w:rsidR="00197E5B">
        <w:rPr>
          <w:rFonts w:asciiTheme="majorHAnsi" w:hAnsiTheme="majorHAnsi"/>
          <w:szCs w:val="20"/>
          <w:lang w:val="es-ES"/>
        </w:rPr>
        <w:t>15</w:t>
      </w:r>
      <w:r w:rsidR="00ED398B" w:rsidRPr="00361FF0">
        <w:rPr>
          <w:rFonts w:asciiTheme="majorHAnsi" w:hAnsiTheme="majorHAnsi"/>
          <w:szCs w:val="20"/>
          <w:lang w:val="es-ES"/>
        </w:rPr>
        <w:t xml:space="preserve"> y la </w:t>
      </w:r>
      <w:r w:rsidR="00197E5B">
        <w:rPr>
          <w:rFonts w:asciiTheme="majorHAnsi" w:hAnsiTheme="majorHAnsi"/>
          <w:szCs w:val="20"/>
          <w:lang w:val="es-ES"/>
        </w:rPr>
        <w:t xml:space="preserve">impunidad en la situación </w:t>
      </w:r>
      <w:r w:rsidR="00ED398B" w:rsidRPr="00361FF0">
        <w:rPr>
          <w:rFonts w:asciiTheme="majorHAnsi" w:hAnsiTheme="majorHAnsi"/>
          <w:szCs w:val="20"/>
          <w:lang w:val="es-ES"/>
        </w:rPr>
        <w:t xml:space="preserve">denunciada </w:t>
      </w:r>
      <w:r w:rsidR="00ED398B" w:rsidRPr="00361FF0">
        <w:rPr>
          <w:rFonts w:asciiTheme="majorHAnsi" w:hAnsiTheme="majorHAnsi"/>
          <w:szCs w:val="20"/>
        </w:rPr>
        <w:t xml:space="preserve">se </w:t>
      </w:r>
      <w:r w:rsidR="001B03B4">
        <w:rPr>
          <w:rFonts w:asciiTheme="majorHAnsi" w:hAnsiTheme="majorHAnsi"/>
          <w:szCs w:val="20"/>
        </w:rPr>
        <w:t>mantendría</w:t>
      </w:r>
      <w:r w:rsidR="00ED398B" w:rsidRPr="00361FF0">
        <w:rPr>
          <w:rFonts w:asciiTheme="majorHAnsi" w:hAnsiTheme="majorHAnsi"/>
          <w:szCs w:val="20"/>
        </w:rPr>
        <w:t xml:space="preserve"> vigente, la Comisión concluye que fue interpuesta dentro de un plazo razonable, en los términos del artículo 32.2 del Reglamento de la CIDH.</w:t>
      </w:r>
    </w:p>
    <w:p w14:paraId="673598AF" w14:textId="1037589B" w:rsidR="003239B8" w:rsidRPr="009D4B54" w:rsidRDefault="003239B8" w:rsidP="00BB0B66">
      <w:pPr>
        <w:ind w:firstLine="720"/>
        <w:rPr>
          <w:rFonts w:asciiTheme="majorHAnsi" w:hAnsiTheme="majorHAnsi"/>
          <w:b/>
          <w:bCs/>
          <w:sz w:val="20"/>
          <w:szCs w:val="20"/>
          <w:lang w:val="es-UY"/>
        </w:rPr>
      </w:pPr>
      <w:r w:rsidRPr="009D4B54">
        <w:rPr>
          <w:rFonts w:asciiTheme="majorHAnsi" w:hAnsiTheme="majorHAnsi"/>
          <w:b/>
          <w:bCs/>
          <w:sz w:val="20"/>
          <w:szCs w:val="20"/>
          <w:lang w:val="es-ES"/>
        </w:rPr>
        <w:t>VII</w:t>
      </w:r>
      <w:r w:rsidR="00D6168F">
        <w:rPr>
          <w:rFonts w:asciiTheme="majorHAnsi" w:hAnsiTheme="majorHAnsi"/>
          <w:b/>
          <w:bCs/>
          <w:sz w:val="20"/>
          <w:szCs w:val="20"/>
          <w:lang w:val="es-ES"/>
        </w:rPr>
        <w:t>I</w:t>
      </w:r>
      <w:r w:rsidRPr="009D4B54">
        <w:rPr>
          <w:rFonts w:asciiTheme="majorHAnsi" w:hAnsiTheme="majorHAnsi"/>
          <w:b/>
          <w:bCs/>
          <w:sz w:val="20"/>
          <w:szCs w:val="20"/>
          <w:lang w:val="es-ES"/>
        </w:rPr>
        <w:t>.</w:t>
      </w:r>
      <w:r w:rsidRPr="009D4B54">
        <w:rPr>
          <w:rFonts w:asciiTheme="majorHAnsi" w:hAnsiTheme="majorHAnsi"/>
          <w:b/>
          <w:bCs/>
          <w:sz w:val="20"/>
          <w:szCs w:val="20"/>
          <w:lang w:val="es-ES"/>
        </w:rPr>
        <w:tab/>
      </w:r>
      <w:r w:rsidR="004A6A54" w:rsidRPr="009D4B54">
        <w:rPr>
          <w:rFonts w:asciiTheme="majorHAnsi" w:hAnsiTheme="majorHAnsi"/>
          <w:b/>
          <w:bCs/>
          <w:sz w:val="20"/>
          <w:szCs w:val="20"/>
          <w:lang w:val="es-ES_tradnl"/>
        </w:rPr>
        <w:t xml:space="preserve">ANÁLISIS DE </w:t>
      </w:r>
      <w:r w:rsidR="00C21FEF" w:rsidRPr="009D4B54">
        <w:rPr>
          <w:rFonts w:asciiTheme="majorHAnsi" w:hAnsiTheme="majorHAnsi"/>
          <w:b/>
          <w:bCs/>
          <w:sz w:val="20"/>
          <w:szCs w:val="20"/>
          <w:lang w:val="es-ES"/>
        </w:rPr>
        <w:t xml:space="preserve">CARACTERIZACIÓN </w:t>
      </w:r>
      <w:r w:rsidR="00C21FEF" w:rsidRPr="009D4B54">
        <w:rPr>
          <w:rFonts w:asciiTheme="majorHAnsi" w:hAnsiTheme="majorHAnsi"/>
          <w:b/>
          <w:bCs/>
          <w:sz w:val="20"/>
          <w:szCs w:val="20"/>
          <w:lang w:val="es-UY"/>
        </w:rPr>
        <w:t>DE LOS HECHOS ALEGADOS</w:t>
      </w:r>
    </w:p>
    <w:p w14:paraId="3B46D1AE" w14:textId="21963D3D" w:rsidR="00226B22" w:rsidRPr="00226B22" w:rsidRDefault="00226B22" w:rsidP="00226B22">
      <w:pPr>
        <w:pStyle w:val="ListParagraph"/>
        <w:rPr>
          <w:lang w:val="es-ES"/>
        </w:rPr>
      </w:pPr>
      <w:r w:rsidRPr="00226B22">
        <w:rPr>
          <w:lang w:val="es-ES"/>
        </w:rPr>
        <w:t>La Comisión observa que la presente petición incluye alega</w:t>
      </w:r>
      <w:r w:rsidR="0089154B">
        <w:rPr>
          <w:lang w:val="es-ES"/>
        </w:rPr>
        <w:t>tos</w:t>
      </w:r>
      <w:r w:rsidRPr="00226B22">
        <w:rPr>
          <w:lang w:val="es-ES"/>
        </w:rPr>
        <w:t xml:space="preserve"> con respecto a</w:t>
      </w:r>
      <w:r w:rsidR="002E5997">
        <w:rPr>
          <w:lang w:val="es-ES"/>
        </w:rPr>
        <w:t xml:space="preserve"> una masacre perpetrada contra el pueblo indígena Guna</w:t>
      </w:r>
      <w:r w:rsidRPr="00226B22">
        <w:rPr>
          <w:lang w:val="es-ES"/>
        </w:rPr>
        <w:t xml:space="preserve"> en un contexto de control del grupo paramilitar </w:t>
      </w:r>
      <w:r w:rsidR="002E5997">
        <w:rPr>
          <w:lang w:val="es-ES"/>
        </w:rPr>
        <w:t>ACCU</w:t>
      </w:r>
      <w:r w:rsidR="0063456F">
        <w:rPr>
          <w:lang w:val="es-ES"/>
        </w:rPr>
        <w:t xml:space="preserve"> durante una incursión a la frontera panameña entre el 17 y el 19 de enero de 2003</w:t>
      </w:r>
      <w:r w:rsidRPr="00226B22">
        <w:rPr>
          <w:lang w:val="es-ES"/>
        </w:rPr>
        <w:t>. El Estado alega que los hechos no pueden ser atribuidos al Estado, por lo cual, la presente petición resulta inadmisible por contener cargos manifiestamente infundados en los términos del artículo 47(c) de la Convención Americana.</w:t>
      </w:r>
    </w:p>
    <w:p w14:paraId="1EC5AA97" w14:textId="77777777" w:rsidR="00226B22" w:rsidRPr="009D4B54" w:rsidRDefault="00226B22" w:rsidP="00226B22">
      <w:pPr>
        <w:pStyle w:val="ListParagraph"/>
      </w:pPr>
      <w:r w:rsidRPr="009D4B54">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4851B8">
        <w:rPr>
          <w:i/>
          <w:iCs/>
        </w:rPr>
        <w:t>prima facie</w:t>
      </w:r>
      <w:r w:rsidRPr="009D4B54">
        <w:t xml:space="preserve"> para determinar si la petición establece el fundamento de la violación, posible o potencial, de un derecho garantizado por la Convención, pero no para establecer la existencia de una </w:t>
      </w:r>
      <w:r w:rsidRPr="009D4B54">
        <w:lastRenderedPageBreak/>
        <w:t xml:space="preserve">violación de derechos. Esta determinación sobre la caracterización de violaciones de la Convención Americana constituye un análisis primario, que no implica prejuzgar sobre el fondo del asunto. </w:t>
      </w:r>
    </w:p>
    <w:p w14:paraId="03215EE9" w14:textId="3C7D2596" w:rsidR="002C0625" w:rsidRPr="00B93200" w:rsidRDefault="00226B22" w:rsidP="009A3E70">
      <w:pPr>
        <w:pStyle w:val="ListParagraph"/>
      </w:pPr>
      <w:r w:rsidRPr="002C0625">
        <w:rPr>
          <w:lang w:val="es-ES"/>
        </w:rPr>
        <w:t xml:space="preserve">La Comisión </w:t>
      </w:r>
      <w:r w:rsidR="00897F08" w:rsidRPr="002C0625">
        <w:rPr>
          <w:lang w:val="es-ES"/>
        </w:rPr>
        <w:t xml:space="preserve">reitera </w:t>
      </w:r>
      <w:r w:rsidRPr="002C0625">
        <w:rPr>
          <w:lang w:val="es-ES"/>
        </w:rPr>
        <w:t>que los alegatos planteados por los peticionarios en su conjunto no resultan manifiestamente infundados, y que en gran medida se refieren a hechos ya conocidos en la jurisprudencia de los órganos del Sistema Interamericano</w:t>
      </w:r>
      <w:r w:rsidRPr="00B93200">
        <w:rPr>
          <w:lang w:val="es-ES"/>
        </w:rPr>
        <w:t>.</w:t>
      </w:r>
      <w:r w:rsidR="002C0625" w:rsidRPr="00B93200">
        <w:rPr>
          <w:lang w:val="es-ES"/>
        </w:rPr>
        <w:t xml:space="preserve"> </w:t>
      </w:r>
      <w:r w:rsidR="00523DA9" w:rsidRPr="00B93200">
        <w:rPr>
          <w:lang w:val="es-ES"/>
        </w:rPr>
        <w:t xml:space="preserve">En particular, </w:t>
      </w:r>
      <w:r w:rsidR="00AA374D" w:rsidRPr="00B93200">
        <w:rPr>
          <w:lang w:val="es-ES"/>
        </w:rPr>
        <w:t xml:space="preserve">la CIDH recuerda que </w:t>
      </w:r>
      <w:r w:rsidR="00307937" w:rsidRPr="00B93200">
        <w:rPr>
          <w:lang w:val="es-ES"/>
        </w:rPr>
        <w:t>los Estados tiene “</w:t>
      </w:r>
      <w:r w:rsidR="00307937" w:rsidRPr="00B93200">
        <w:t>la obligación de investigar y en su caso juzgar y sancionar a los responsables de violaciones de derechos humanos, se encuentra dentro de las medidas positivas que deben adoptar los Estados para garantizar los derechos reconocidos en la Convención”</w:t>
      </w:r>
      <w:r w:rsidR="00307937" w:rsidRPr="00B93200">
        <w:rPr>
          <w:rStyle w:val="FootnoteReference"/>
        </w:rPr>
        <w:footnoteReference w:id="15"/>
      </w:r>
      <w:r w:rsidR="00AA374D" w:rsidRPr="00B93200">
        <w:t xml:space="preserve">. </w:t>
      </w:r>
      <w:r w:rsidR="00923A1D" w:rsidRPr="00B93200">
        <w:t xml:space="preserve">De tal forma, subsiste </w:t>
      </w:r>
      <w:r w:rsidR="00DD6980" w:rsidRPr="00B93200">
        <w:t>el objeto de litigio relacionado con la debida diligencia en la investigación y eventual sanción de los responsables de la masacre de Paya en la jurisdicción colombiana</w:t>
      </w:r>
      <w:r w:rsidR="00DE734C">
        <w:t xml:space="preserve">, en perjuicio de </w:t>
      </w:r>
      <w:r w:rsidR="00543C2C">
        <w:t>Daniel Gutiérrez</w:t>
      </w:r>
      <w:r w:rsidR="00DD6980" w:rsidRPr="00B93200">
        <w:t>.</w:t>
      </w:r>
    </w:p>
    <w:p w14:paraId="35CD31D6" w14:textId="02C1FE4B" w:rsidR="006E621A" w:rsidRDefault="008C5E2D" w:rsidP="009A3E70">
      <w:pPr>
        <w:pStyle w:val="ListParagraph"/>
      </w:pPr>
      <w:r w:rsidRPr="009D4B54">
        <w:t>En aten</w:t>
      </w:r>
      <w:r w:rsidR="00C25ADB" w:rsidRPr="009D4B54">
        <w:t xml:space="preserve">ción a estas consideraciones y </w:t>
      </w:r>
      <w:r w:rsidRPr="009D4B54">
        <w:t>tras examinar los elementos de hecho y de derecho expuestos por las partes la Comisión estima que las alegaciones de la parte peticionaria no resultan manifiestamente infundadas y requieren un estudio de fondo</w:t>
      </w:r>
      <w:r w:rsidR="00394073" w:rsidRPr="009D4B54">
        <w:t>;</w:t>
      </w:r>
      <w:r w:rsidRPr="009D4B54">
        <w:t xml:space="preserve"> pues los hechos alegados, de corroborarse como ciertos</w:t>
      </w:r>
      <w:r w:rsidR="00394073" w:rsidRPr="009D4B54">
        <w:t>,</w:t>
      </w:r>
      <w:r w:rsidRPr="009D4B54">
        <w:t xml:space="preserve"> podrían caracteri</w:t>
      </w:r>
      <w:r w:rsidR="004B421C" w:rsidRPr="009D4B54">
        <w:t>zar violaciones a los artículos</w:t>
      </w:r>
      <w:r w:rsidR="00897F08">
        <w:t xml:space="preserve"> </w:t>
      </w:r>
      <w:r w:rsidR="00897F08" w:rsidRPr="002C0625">
        <w:rPr>
          <w:bCs/>
          <w:szCs w:val="20"/>
          <w:lang w:val="es-419"/>
        </w:rPr>
        <w:t>5 (integridad personal), 8 (garantías judiciales) y 25 (protección judicial) de la Convención Americana</w:t>
      </w:r>
      <w:r w:rsidR="00394073" w:rsidRPr="009D4B54">
        <w:t xml:space="preserve"> </w:t>
      </w:r>
      <w:r w:rsidR="00394073" w:rsidRPr="00897F08">
        <w:t xml:space="preserve">en perjuicio </w:t>
      </w:r>
      <w:r w:rsidR="00394073" w:rsidRPr="00B93200">
        <w:t xml:space="preserve">de </w:t>
      </w:r>
      <w:r w:rsidR="002C0625" w:rsidRPr="00B93200">
        <w:t>Daniel Gutiérrez</w:t>
      </w:r>
      <w:r w:rsidR="002C0625">
        <w:t xml:space="preserve"> </w:t>
      </w:r>
      <w:r w:rsidR="00897F08">
        <w:t xml:space="preserve">y sus familiares </w:t>
      </w:r>
      <w:r w:rsidR="006C7335">
        <w:t>e</w:t>
      </w:r>
      <w:r w:rsidR="00394073" w:rsidRPr="00897F08">
        <w:t>n los términos del presente informe</w:t>
      </w:r>
      <w:r w:rsidR="00394073" w:rsidRPr="009D4B54">
        <w:t>.</w:t>
      </w:r>
    </w:p>
    <w:p w14:paraId="3812C8A2" w14:textId="1E25649C" w:rsidR="006C7335" w:rsidRPr="00A55856" w:rsidRDefault="00BE3F92" w:rsidP="009D4B54">
      <w:pPr>
        <w:pStyle w:val="ListParagraph"/>
        <w:rPr>
          <w:color w:val="auto"/>
        </w:rPr>
      </w:pPr>
      <w:r>
        <w:rPr>
          <w:rFonts w:cs="Calibri"/>
          <w:szCs w:val="20"/>
          <w:lang w:val="es-ES_tradnl"/>
        </w:rPr>
        <w:t xml:space="preserve">Por último, </w:t>
      </w:r>
      <w:r w:rsidR="00872296">
        <w:rPr>
          <w:rFonts w:cs="Calibri"/>
          <w:szCs w:val="20"/>
          <w:lang w:val="es-ES_tradnl"/>
        </w:rPr>
        <w:t xml:space="preserve">con respecto a los derechos </w:t>
      </w:r>
      <w:r w:rsidR="00A55856">
        <w:rPr>
          <w:rFonts w:cs="Calibri"/>
          <w:szCs w:val="20"/>
          <w:lang w:val="es-ES_tradnl"/>
        </w:rPr>
        <w:t>consagrad</w:t>
      </w:r>
      <w:r w:rsidR="00872296">
        <w:rPr>
          <w:rFonts w:cs="Calibri"/>
          <w:szCs w:val="20"/>
          <w:lang w:val="es-ES_tradnl"/>
        </w:rPr>
        <w:t>os en la Declaración Americana</w:t>
      </w:r>
      <w:r w:rsidR="00A55856">
        <w:rPr>
          <w:rFonts w:cs="Calibri"/>
          <w:szCs w:val="20"/>
          <w:lang w:val="es-ES_tradnl"/>
        </w:rPr>
        <w:t>,</w:t>
      </w:r>
      <w:r w:rsidR="00872296">
        <w:rPr>
          <w:rFonts w:cs="Calibri"/>
          <w:szCs w:val="20"/>
          <w:lang w:val="es-ES_tradnl"/>
        </w:rPr>
        <w:t xml:space="preserve"> l</w:t>
      </w:r>
      <w:r w:rsidRPr="00A11B3B">
        <w:rPr>
          <w:rFonts w:cs="Calibri"/>
          <w:szCs w:val="20"/>
          <w:lang w:val="es-ES_tradnl"/>
        </w:rPr>
        <w:t xml:space="preserve">a Comisión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w:t>
      </w:r>
      <w:r w:rsidRPr="00A55856">
        <w:rPr>
          <w:rFonts w:cs="Calibri"/>
          <w:color w:val="auto"/>
          <w:szCs w:val="20"/>
          <w:lang w:val="es-ES_tradnl"/>
        </w:rPr>
        <w:t>En el presente caso</w:t>
      </w:r>
      <w:r w:rsidR="00A55856">
        <w:rPr>
          <w:rFonts w:cs="Calibri"/>
          <w:color w:val="auto"/>
          <w:szCs w:val="20"/>
          <w:lang w:val="es-ES_tradnl"/>
        </w:rPr>
        <w:t>, los derechos cuya violación se alega ya fueron admitidos como artículos de la Convención Americana, por lo cual, la Comisión no admitirá los artículos invocados de la Declaración.</w:t>
      </w:r>
    </w:p>
    <w:p w14:paraId="445BF42E" w14:textId="5C729184" w:rsidR="003239B8" w:rsidRPr="009D4B54" w:rsidRDefault="00286BC8" w:rsidP="009D4B54">
      <w:pPr>
        <w:pStyle w:val="ListParagraph"/>
        <w:numPr>
          <w:ilvl w:val="0"/>
          <w:numId w:val="0"/>
        </w:numPr>
        <w:ind w:left="720"/>
        <w:rPr>
          <w:b/>
          <w:bCs/>
          <w:lang w:val="es-ES"/>
        </w:rPr>
      </w:pPr>
      <w:r>
        <w:rPr>
          <w:b/>
          <w:bCs/>
          <w:lang w:val="es-ES"/>
        </w:rPr>
        <w:t>I</w:t>
      </w:r>
      <w:r w:rsidR="00D6168F">
        <w:rPr>
          <w:b/>
          <w:bCs/>
          <w:lang w:val="es-ES"/>
        </w:rPr>
        <w:t>X</w:t>
      </w:r>
      <w:r w:rsidR="003239B8" w:rsidRPr="009D4B54">
        <w:rPr>
          <w:b/>
          <w:bCs/>
          <w:lang w:val="es-ES"/>
        </w:rPr>
        <w:t xml:space="preserve">. </w:t>
      </w:r>
      <w:r w:rsidR="003239B8" w:rsidRPr="009D4B54">
        <w:rPr>
          <w:b/>
          <w:bCs/>
          <w:lang w:val="es-ES"/>
        </w:rPr>
        <w:tab/>
        <w:t>DECISIÓN</w:t>
      </w:r>
    </w:p>
    <w:p w14:paraId="16B36F97" w14:textId="32456ABE"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1D7F96">
        <w:rPr>
          <w:rFonts w:asciiTheme="majorHAnsi" w:hAnsiTheme="majorHAnsi"/>
          <w:sz w:val="20"/>
          <w:szCs w:val="20"/>
          <w:lang w:val="es-ES"/>
        </w:rPr>
        <w:t xml:space="preserve"> </w:t>
      </w:r>
      <w:r w:rsidR="003A081A">
        <w:rPr>
          <w:rFonts w:asciiTheme="majorHAnsi" w:hAnsiTheme="majorHAnsi"/>
          <w:sz w:val="20"/>
          <w:szCs w:val="20"/>
          <w:lang w:val="es-ES"/>
        </w:rPr>
        <w:t>los artículos 5, 8 y 25 de la Convención Americana en conexión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w:t>
      </w:r>
    </w:p>
    <w:p w14:paraId="547DFF8E" w14:textId="3A983933" w:rsidR="000419AD" w:rsidRPr="005173A3" w:rsidRDefault="000419AD" w:rsidP="006F654C">
      <w:pPr>
        <w:pStyle w:val="ListParagraph"/>
        <w:numPr>
          <w:ilvl w:val="0"/>
          <w:numId w:val="55"/>
        </w:numPr>
        <w:rPr>
          <w:lang w:val="es-ES"/>
        </w:rPr>
      </w:pPr>
      <w:r w:rsidRPr="002D4666">
        <w:rPr>
          <w:color w:val="auto"/>
          <w:lang w:val="es-ES"/>
        </w:rPr>
        <w:t xml:space="preserve">Declarar inadmisible </w:t>
      </w:r>
      <w:r w:rsidRPr="000419AD">
        <w:rPr>
          <w:lang w:val="es-ES"/>
        </w:rPr>
        <w:t xml:space="preserve">la presente petición en relación con </w:t>
      </w:r>
      <w:r w:rsidR="002D4666">
        <w:rPr>
          <w:lang w:val="es-ES"/>
        </w:rPr>
        <w:t>l</w:t>
      </w:r>
      <w:r w:rsidR="0010753D">
        <w:rPr>
          <w:lang w:val="es-ES"/>
        </w:rPr>
        <w:t>os</w:t>
      </w:r>
      <w:r w:rsidR="002D4666">
        <w:rPr>
          <w:lang w:val="es-ES"/>
        </w:rPr>
        <w:t xml:space="preserve"> artículo</w:t>
      </w:r>
      <w:r w:rsidR="0010753D">
        <w:rPr>
          <w:lang w:val="es-ES"/>
        </w:rPr>
        <w:t>s</w:t>
      </w:r>
      <w:r w:rsidR="002D4666">
        <w:rPr>
          <w:lang w:val="es-ES"/>
        </w:rPr>
        <w:t xml:space="preserve"> </w:t>
      </w:r>
      <w:r w:rsidR="0010753D">
        <w:rPr>
          <w:lang w:val="es-ES"/>
        </w:rPr>
        <w:t xml:space="preserve">4, 7, </w:t>
      </w:r>
      <w:r w:rsidR="002D4666">
        <w:rPr>
          <w:lang w:val="es-ES"/>
        </w:rPr>
        <w:t>10</w:t>
      </w:r>
      <w:r w:rsidR="0010753D">
        <w:rPr>
          <w:lang w:val="es-ES"/>
        </w:rPr>
        <w:t xml:space="preserve">, 12, </w:t>
      </w:r>
      <w:r w:rsidR="00EF66AA">
        <w:rPr>
          <w:lang w:val="es-ES"/>
        </w:rPr>
        <w:t xml:space="preserve">17, </w:t>
      </w:r>
      <w:r w:rsidR="0010753D">
        <w:rPr>
          <w:lang w:val="es-ES"/>
        </w:rPr>
        <w:t>19 y 24</w:t>
      </w:r>
      <w:r w:rsidR="002D4666">
        <w:rPr>
          <w:lang w:val="es-ES"/>
        </w:rPr>
        <w:t xml:space="preserve"> de la Convención</w:t>
      </w:r>
      <w:r w:rsidR="003A081A">
        <w:rPr>
          <w:lang w:val="es-ES"/>
        </w:rPr>
        <w:t xml:space="preserve"> y los </w:t>
      </w:r>
      <w:r w:rsidR="003A081A" w:rsidRPr="00AE4154">
        <w:rPr>
          <w:bCs/>
          <w:szCs w:val="20"/>
          <w:lang w:val="es-419"/>
        </w:rPr>
        <w:t>y artículos I, II, V, VI, VIII, IX, XI, XVIII, XXI, XXIII y XIV de la Declaración Americana</w:t>
      </w:r>
      <w:r w:rsidR="00286BC8">
        <w:rPr>
          <w:lang w:val="es-ES"/>
        </w:rPr>
        <w:t>,</w:t>
      </w:r>
      <w:r w:rsidR="004A6A54">
        <w:rPr>
          <w:lang w:val="es-ES"/>
        </w:rPr>
        <w:t xml:space="preserve"> </w:t>
      </w:r>
      <w:r w:rsidR="00286BC8">
        <w:rPr>
          <w:lang w:val="es-ES"/>
        </w:rPr>
        <w:t>;</w:t>
      </w:r>
      <w:r w:rsidR="004A6A54">
        <w:rPr>
          <w:lang w:val="es-ES"/>
        </w:rPr>
        <w:t>y</w:t>
      </w:r>
    </w:p>
    <w:p w14:paraId="02C904B2" w14:textId="4465EF28"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 xml:space="preserve">Notificar a las partes la presente decisión; </w:t>
      </w:r>
      <w:r w:rsidRPr="009241FA">
        <w:rPr>
          <w:rFonts w:asciiTheme="majorHAnsi" w:hAnsiTheme="majorHAnsi"/>
          <w:sz w:val="20"/>
          <w:szCs w:val="20"/>
          <w:lang w:val="es-ES"/>
        </w:rPr>
        <w:t>continuar con el análisis del fondo de la cuestión</w:t>
      </w:r>
      <w:r w:rsidRPr="009B7794">
        <w:rPr>
          <w:rFonts w:asciiTheme="majorHAnsi" w:hAnsiTheme="majorHAnsi"/>
          <w:sz w:val="20"/>
          <w:szCs w:val="20"/>
          <w:lang w:val="es-ES"/>
        </w:rPr>
        <w:t>; y publicar esta decisión e incluirla en su Informe Anual a la Asamblea General de la Organización de los Estados Americanos.</w:t>
      </w:r>
    </w:p>
    <w:p w14:paraId="0F718B7F" w14:textId="1DD7D4C5" w:rsidR="004606C7" w:rsidRPr="004606C7" w:rsidRDefault="0091268A" w:rsidP="004606C7">
      <w:pPr>
        <w:suppressAutoHyphens/>
        <w:ind w:firstLine="720"/>
        <w:jc w:val="both"/>
        <w:rPr>
          <w:rFonts w:ascii="Segoe UI" w:hAnsi="Segoe UI" w:cs="Segoe UI"/>
          <w:sz w:val="18"/>
          <w:szCs w:val="18"/>
          <w:lang w:val="es-ES"/>
        </w:rPr>
      </w:pPr>
      <w:r w:rsidRPr="005E147D">
        <w:rPr>
          <w:rStyle w:val="normaltextrun"/>
          <w:rFonts w:ascii="Cambria" w:hAnsi="Cambria" w:cs="Segoe UI"/>
          <w:sz w:val="20"/>
          <w:szCs w:val="20"/>
          <w:lang w:val="es-CL"/>
        </w:rPr>
        <w:t xml:space="preserve">Aprobado por la Comisión Interamericana de Derechos Humanos a los </w:t>
      </w:r>
      <w:r>
        <w:rPr>
          <w:rStyle w:val="normaltextrun"/>
          <w:rFonts w:ascii="Cambria" w:hAnsi="Cambria" w:cs="Segoe UI"/>
          <w:sz w:val="20"/>
          <w:szCs w:val="20"/>
          <w:lang w:val="es-CL"/>
        </w:rPr>
        <w:t>26</w:t>
      </w:r>
      <w:r w:rsidRPr="005E147D">
        <w:rPr>
          <w:rStyle w:val="normaltextrun"/>
          <w:rFonts w:ascii="Cambria" w:hAnsi="Cambria" w:cs="Segoe UI"/>
          <w:sz w:val="20"/>
          <w:szCs w:val="20"/>
          <w:lang w:val="es-CL"/>
        </w:rPr>
        <w:t xml:space="preserve"> días del mes de marzo de 2025.  (Firmado): José Luis Caballero Ochoa, Presidente; Arif Bulkan, Segundo Vicepresidente; Roberta Clarke y Gloria Monique de Mees, </w:t>
      </w:r>
      <w:r w:rsidR="00ED40EF">
        <w:rPr>
          <w:rStyle w:val="normaltextrun"/>
          <w:rFonts w:ascii="Cambria" w:hAnsi="Cambria" w:cs="Segoe UI"/>
          <w:sz w:val="20"/>
          <w:szCs w:val="20"/>
          <w:lang w:val="es-CL"/>
        </w:rPr>
        <w:t>m</w:t>
      </w:r>
      <w:r w:rsidRPr="005E147D">
        <w:rPr>
          <w:rStyle w:val="normaltextrun"/>
          <w:rFonts w:ascii="Cambria" w:hAnsi="Cambria" w:cs="Segoe UI"/>
          <w:sz w:val="20"/>
          <w:szCs w:val="20"/>
          <w:lang w:val="es-CL"/>
        </w:rPr>
        <w:t>iembros de la Comisión.</w:t>
      </w:r>
    </w:p>
    <w:p w14:paraId="302D6FA1" w14:textId="3611D639" w:rsidR="0091268A" w:rsidRPr="005173A3" w:rsidRDefault="0091268A" w:rsidP="0091268A">
      <w:pPr>
        <w:pStyle w:val="paragraph"/>
        <w:spacing w:before="0" w:beforeAutospacing="0" w:after="0" w:afterAutospacing="0"/>
        <w:jc w:val="center"/>
        <w:textAlignment w:val="baseline"/>
        <w:rPr>
          <w:rFonts w:asciiTheme="majorHAnsi" w:hAnsiTheme="majorHAnsi"/>
          <w:sz w:val="20"/>
          <w:szCs w:val="20"/>
          <w:lang w:val="es-ES"/>
        </w:rPr>
      </w:pPr>
    </w:p>
    <w:sectPr w:rsidR="0091268A" w:rsidRPr="005173A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77DA" w14:textId="77777777" w:rsidR="0082271C" w:rsidRDefault="0082271C">
      <w:r>
        <w:separator/>
      </w:r>
    </w:p>
  </w:endnote>
  <w:endnote w:type="continuationSeparator" w:id="0">
    <w:p w14:paraId="18AD466C" w14:textId="77777777" w:rsidR="0082271C" w:rsidRDefault="0082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145C" w14:textId="77777777" w:rsidR="0082271C" w:rsidRPr="000F35ED" w:rsidRDefault="0082271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9D59960" w14:textId="77777777" w:rsidR="0082271C" w:rsidRPr="000F35ED" w:rsidRDefault="0082271C" w:rsidP="000F35ED">
      <w:pPr>
        <w:rPr>
          <w:rFonts w:asciiTheme="majorHAnsi" w:hAnsiTheme="majorHAnsi"/>
          <w:sz w:val="16"/>
          <w:szCs w:val="16"/>
        </w:rPr>
      </w:pPr>
      <w:r w:rsidRPr="000F35ED">
        <w:rPr>
          <w:rFonts w:asciiTheme="majorHAnsi" w:hAnsiTheme="majorHAnsi"/>
          <w:sz w:val="16"/>
          <w:szCs w:val="16"/>
        </w:rPr>
        <w:separator/>
      </w:r>
    </w:p>
    <w:p w14:paraId="5269DB01" w14:textId="77777777" w:rsidR="0082271C" w:rsidRPr="000F35ED" w:rsidRDefault="0082271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629B01" w14:textId="77777777" w:rsidR="0082271C" w:rsidRPr="000F35ED" w:rsidRDefault="0082271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3DEE8BC" w14:textId="7309131D" w:rsidR="00681D8E" w:rsidRPr="00AE4154" w:rsidRDefault="00681D8E" w:rsidP="00681D8E">
      <w:pPr>
        <w:pStyle w:val="FootnoteText"/>
        <w:ind w:firstLine="720"/>
        <w:jc w:val="both"/>
        <w:rPr>
          <w:rFonts w:ascii="Cambria" w:hAnsi="Cambria"/>
          <w:sz w:val="16"/>
          <w:szCs w:val="16"/>
          <w:lang w:val="es-419"/>
        </w:rPr>
      </w:pPr>
      <w:r w:rsidRPr="00AE4154">
        <w:rPr>
          <w:rStyle w:val="FootnoteReference"/>
          <w:rFonts w:ascii="Cambria" w:hAnsi="Cambria"/>
          <w:sz w:val="16"/>
          <w:szCs w:val="16"/>
        </w:rPr>
        <w:footnoteRef/>
      </w:r>
      <w:r w:rsidRPr="00AE4154">
        <w:rPr>
          <w:rFonts w:ascii="Cambria" w:hAnsi="Cambria"/>
          <w:sz w:val="16"/>
          <w:szCs w:val="16"/>
          <w:lang w:val="es-419"/>
        </w:rPr>
        <w:t xml:space="preserve"> </w:t>
      </w:r>
      <w:r>
        <w:rPr>
          <w:rFonts w:ascii="Cambria" w:hAnsi="Cambria"/>
          <w:sz w:val="16"/>
          <w:szCs w:val="16"/>
          <w:bdr w:val="none" w:sz="0" w:space="0" w:color="auto" w:frame="1"/>
          <w:lang w:val="es-ES"/>
        </w:rPr>
        <w:t xml:space="preserve">La petición refiere también a los familiares de </w:t>
      </w:r>
      <w:r w:rsidRPr="000B63E8">
        <w:rPr>
          <w:rFonts w:ascii="Cambria" w:hAnsi="Cambria"/>
          <w:bCs/>
          <w:sz w:val="16"/>
          <w:szCs w:val="16"/>
          <w:bdr w:val="none" w:sz="0" w:space="0" w:color="auto" w:frame="1"/>
          <w:lang w:val="es-ES"/>
        </w:rPr>
        <w:t>Sagla Ernesto Ayala, San Pascual Ayala Gutiérrez, Luis Enrique Martínez Ayala, Gilberto Vásquez</w:t>
      </w:r>
      <w:r w:rsidRPr="000B63E8">
        <w:rPr>
          <w:rFonts w:ascii="Cambria" w:hAnsi="Cambria"/>
          <w:bCs/>
          <w:sz w:val="16"/>
          <w:szCs w:val="16"/>
          <w:bdr w:val="none" w:sz="0" w:space="0" w:color="auto" w:frame="1"/>
          <w:lang w:val="es-UY"/>
        </w:rPr>
        <w:t xml:space="preserve"> y Casildo Ayala Ayala</w:t>
      </w:r>
      <w:r>
        <w:rPr>
          <w:rFonts w:ascii="Cambria" w:hAnsi="Cambria"/>
          <w:sz w:val="16"/>
          <w:szCs w:val="16"/>
          <w:bdr w:val="none" w:sz="0" w:space="0" w:color="auto" w:frame="1"/>
          <w:lang w:val="es-ES"/>
        </w:rPr>
        <w:t>, como presuntas víctimas.</w:t>
      </w:r>
    </w:p>
  </w:footnote>
  <w:footnote w:id="3">
    <w:p w14:paraId="66E930B8" w14:textId="39C62A11" w:rsidR="004A6A54" w:rsidRPr="00306F33" w:rsidRDefault="004A6A54" w:rsidP="00BA54C0">
      <w:pPr>
        <w:pStyle w:val="Notasalpie"/>
      </w:pPr>
      <w:r w:rsidRPr="00306F33">
        <w:rPr>
          <w:rStyle w:val="FootnoteReference"/>
        </w:rPr>
        <w:footnoteRef/>
      </w:r>
      <w:r w:rsidRPr="00306F33">
        <w:t xml:space="preserve"> Conforme a lo dispuesto en el artículo 17.2.a del Reglamento de la Comisión, el Comisionado </w:t>
      </w:r>
      <w:r w:rsidR="00BA54C0">
        <w:t>Carlos Bernal Pulido</w:t>
      </w:r>
      <w:r w:rsidRPr="00306F33">
        <w:t xml:space="preserve">, de nacionalidad </w:t>
      </w:r>
      <w:r w:rsidR="00BA54C0">
        <w:t>colombiana</w:t>
      </w:r>
      <w:r w:rsidRPr="00306F33">
        <w:t>, no participó en el debate ni en la decisión del presente asunto.</w:t>
      </w:r>
    </w:p>
  </w:footnote>
  <w:footnote w:id="4">
    <w:p w14:paraId="12C62019" w14:textId="77777777" w:rsidR="006F5B5B" w:rsidRPr="0096689B" w:rsidRDefault="006F5B5B" w:rsidP="006F5B5B">
      <w:pPr>
        <w:pStyle w:val="FootnoteText"/>
        <w:ind w:firstLine="720"/>
        <w:jc w:val="both"/>
        <w:rPr>
          <w:rFonts w:ascii="Cambria" w:hAnsi="Cambria"/>
          <w:sz w:val="16"/>
          <w:szCs w:val="16"/>
          <w:lang w:val="es-419"/>
        </w:rPr>
      </w:pPr>
      <w:r w:rsidRPr="00AE4154">
        <w:rPr>
          <w:rStyle w:val="FootnoteReference"/>
          <w:rFonts w:ascii="Cambria" w:hAnsi="Cambria"/>
          <w:sz w:val="16"/>
          <w:szCs w:val="16"/>
        </w:rPr>
        <w:footnoteRef/>
      </w:r>
      <w:r w:rsidRPr="00AE4154">
        <w:rPr>
          <w:rFonts w:ascii="Cambria" w:hAnsi="Cambria"/>
          <w:sz w:val="16"/>
          <w:szCs w:val="16"/>
          <w:lang w:val="es-419"/>
        </w:rPr>
        <w:t xml:space="preserve"> En adelante “</w:t>
      </w:r>
      <w:r w:rsidRPr="00B91776">
        <w:rPr>
          <w:rFonts w:ascii="Cambria" w:hAnsi="Cambria"/>
          <w:sz w:val="16"/>
          <w:szCs w:val="16"/>
          <w:lang w:val="es-419"/>
        </w:rPr>
        <w:t>la Convención” o “Convención</w:t>
      </w:r>
      <w:r w:rsidRPr="0096689B">
        <w:rPr>
          <w:rFonts w:ascii="Cambria" w:hAnsi="Cambria"/>
          <w:sz w:val="16"/>
          <w:szCs w:val="16"/>
          <w:lang w:val="es-419"/>
        </w:rPr>
        <w:t>”.</w:t>
      </w:r>
    </w:p>
  </w:footnote>
  <w:footnote w:id="5">
    <w:p w14:paraId="55CA2C55" w14:textId="77777777" w:rsidR="006F5B5B" w:rsidRPr="0096689B" w:rsidRDefault="006F5B5B" w:rsidP="006F5B5B">
      <w:pPr>
        <w:pStyle w:val="FootnoteText"/>
        <w:ind w:firstLine="720"/>
        <w:jc w:val="both"/>
        <w:rPr>
          <w:rFonts w:ascii="Cambria" w:hAnsi="Cambria"/>
          <w:sz w:val="16"/>
          <w:szCs w:val="16"/>
          <w:lang w:val="es-419"/>
        </w:rPr>
      </w:pPr>
      <w:r w:rsidRPr="0096689B">
        <w:rPr>
          <w:rStyle w:val="FootnoteReference"/>
          <w:rFonts w:ascii="Cambria" w:hAnsi="Cambria"/>
          <w:sz w:val="16"/>
          <w:szCs w:val="16"/>
        </w:rPr>
        <w:footnoteRef/>
      </w:r>
      <w:r w:rsidRPr="0096689B">
        <w:rPr>
          <w:rFonts w:ascii="Cambria" w:hAnsi="Cambria"/>
          <w:sz w:val="16"/>
          <w:szCs w:val="16"/>
          <w:lang w:val="es-419"/>
        </w:rPr>
        <w:t xml:space="preserve"> En adelante “la Declaración” o “Declaración”.</w:t>
      </w:r>
    </w:p>
  </w:footnote>
  <w:footnote w:id="6">
    <w:p w14:paraId="1AFEF3B0" w14:textId="6EB35AEE" w:rsidR="008E3BFE" w:rsidRPr="00306F33" w:rsidRDefault="008E3BFE" w:rsidP="00306F33">
      <w:pPr>
        <w:pStyle w:val="FootnoteText"/>
        <w:ind w:firstLine="720"/>
        <w:jc w:val="both"/>
        <w:rPr>
          <w:rFonts w:asciiTheme="majorHAnsi" w:hAnsiTheme="majorHAnsi"/>
          <w:sz w:val="16"/>
          <w:szCs w:val="16"/>
          <w:lang w:val="es-ES"/>
        </w:rPr>
      </w:pPr>
      <w:r w:rsidRPr="00662FFA">
        <w:rPr>
          <w:rStyle w:val="FootnoteReference"/>
          <w:rFonts w:asciiTheme="majorHAnsi" w:hAnsiTheme="majorHAnsi"/>
          <w:sz w:val="16"/>
          <w:szCs w:val="16"/>
        </w:rPr>
        <w:footnoteRef/>
      </w:r>
      <w:r w:rsidRPr="00662FFA">
        <w:rPr>
          <w:rFonts w:asciiTheme="majorHAnsi" w:hAnsiTheme="majorHAnsi"/>
          <w:sz w:val="16"/>
          <w:szCs w:val="16"/>
          <w:lang w:val="es-ES"/>
        </w:rPr>
        <w:t xml:space="preserve"> </w:t>
      </w:r>
      <w:r w:rsidRPr="00834A3E">
        <w:rPr>
          <w:rFonts w:asciiTheme="majorHAnsi" w:hAnsiTheme="majorHAnsi"/>
          <w:sz w:val="16"/>
          <w:szCs w:val="16"/>
          <w:lang w:val="es-ES"/>
        </w:rPr>
        <w:t>Las observaciones de cada parte fueron debidamente trasladadas a la parte contraria.</w:t>
      </w:r>
    </w:p>
  </w:footnote>
  <w:footnote w:id="7">
    <w:p w14:paraId="78C98053" w14:textId="77777777" w:rsidR="00A37091" w:rsidRPr="00136BDE" w:rsidRDefault="00A37091" w:rsidP="00A37091">
      <w:pPr>
        <w:pStyle w:val="Notasalpie"/>
      </w:pPr>
      <w:r>
        <w:rPr>
          <w:rStyle w:val="FootnoteReference"/>
        </w:rPr>
        <w:footnoteRef/>
      </w:r>
      <w:r w:rsidRPr="00136BDE">
        <w:t xml:space="preserve"> </w:t>
      </w:r>
      <w:r w:rsidRPr="0092472F">
        <w:t>CIDH,</w:t>
      </w:r>
      <w:r>
        <w:t xml:space="preserve"> Informe No. 28/93.</w:t>
      </w:r>
      <w:r w:rsidRPr="0092472F">
        <w:t xml:space="preserve"> Caso 10.675</w:t>
      </w:r>
      <w:r>
        <w:t>. Admisibilidad.</w:t>
      </w:r>
      <w:r w:rsidRPr="0092472F">
        <w:t xml:space="preserve"> </w:t>
      </w:r>
      <w:r w:rsidRPr="00823C18">
        <w:t xml:space="preserve">Personas Haitianas -Haitian Boat People. </w:t>
      </w:r>
      <w:r w:rsidRPr="0092472F">
        <w:t>Estados Unidos</w:t>
      </w:r>
      <w:r>
        <w:t>.</w:t>
      </w:r>
      <w:r w:rsidRPr="0092472F">
        <w:t xml:space="preserve"> 13 de octubre de 1993.</w:t>
      </w:r>
    </w:p>
  </w:footnote>
  <w:footnote w:id="8">
    <w:p w14:paraId="654CDC0C" w14:textId="77777777" w:rsidR="00A37091" w:rsidRPr="0092472F" w:rsidRDefault="00A37091" w:rsidP="00A37091">
      <w:pPr>
        <w:pStyle w:val="Notasalpie"/>
        <w:rPr>
          <w:lang w:val="es-ES_tradnl"/>
        </w:rPr>
      </w:pPr>
      <w:r w:rsidRPr="0092472F">
        <w:rPr>
          <w:rStyle w:val="FootnoteReference"/>
        </w:rPr>
        <w:footnoteRef/>
      </w:r>
      <w:r w:rsidRPr="0092472F">
        <w:rPr>
          <w:lang w:val="es-ES_tradnl"/>
        </w:rPr>
        <w:t xml:space="preserve"> CIDH, Informe No. 86/99, Caso 11.589, Armando Alejandre Jr y otros, Cuba, 13 de abril de 1999.</w:t>
      </w:r>
    </w:p>
  </w:footnote>
  <w:footnote w:id="9">
    <w:p w14:paraId="50A2A7C7" w14:textId="77777777" w:rsidR="00A37091" w:rsidRPr="00E378AD" w:rsidRDefault="00A37091" w:rsidP="00A37091">
      <w:pPr>
        <w:pStyle w:val="Notasalpie"/>
      </w:pPr>
      <w:r>
        <w:rPr>
          <w:rStyle w:val="FootnoteReference"/>
        </w:rPr>
        <w:footnoteRef/>
      </w:r>
      <w:r w:rsidRPr="00112835">
        <w:t xml:space="preserve"> Corte IDH. Opinión Consultiva OC-23/17 de 15 de noviembre de 2017. </w:t>
      </w:r>
      <w:r w:rsidRPr="002C0E98">
        <w:t>Serie A No. 23, párr. 74.</w:t>
      </w:r>
    </w:p>
  </w:footnote>
  <w:footnote w:id="10">
    <w:p w14:paraId="0B0B5AF5" w14:textId="77777777" w:rsidR="00A37091" w:rsidRPr="00112835" w:rsidRDefault="00A37091" w:rsidP="00A37091">
      <w:pPr>
        <w:pStyle w:val="Notasalpie"/>
      </w:pPr>
      <w:r>
        <w:rPr>
          <w:rStyle w:val="FootnoteReference"/>
        </w:rPr>
        <w:footnoteRef/>
      </w:r>
      <w:r w:rsidRPr="002C0E98">
        <w:t xml:space="preserve"> Corte IDH. Opinión Consultiva OC-23/17 de 15 de noviembre de 2017. Serie A No. 23, párr. 81. Ver también: Corte IDH. Opinión Consultiva OC-21/14 de 19 de agosto de 2014. </w:t>
      </w:r>
      <w:r w:rsidRPr="00107D7C">
        <w:t>Serie A No. 21, párr. 219.</w:t>
      </w:r>
    </w:p>
  </w:footnote>
  <w:footnote w:id="11">
    <w:p w14:paraId="05004FE8" w14:textId="1646E1AE" w:rsidR="000E0AAE" w:rsidRPr="00AB3BFB" w:rsidRDefault="006B2031" w:rsidP="000E0AAE">
      <w:pPr>
        <w:pStyle w:val="Notasalpie"/>
        <w:rPr>
          <w:lang w:val="es-CO"/>
        </w:rPr>
      </w:pPr>
      <w:r>
        <w:rPr>
          <w:rStyle w:val="FootnoteReference"/>
        </w:rPr>
        <w:footnoteRef/>
      </w:r>
      <w:r w:rsidRPr="00247589">
        <w:t xml:space="preserve"> CIDH, Informe No. 228/22, Petición 2096-17. Admisibilidad. Mohammed Jawad (también conocido como Saki Bacha). Estados Unidos de América. 27 de agosto de 2022, párr. 16; CIDH, Informe 17/12, Petición 900-08, Djamel Ameziane (Estados Unidos), 20 de marzo de 2012, párr. 30; CIDH, Informe No. 109/99, Caso 10.951 Coard y otros, Estados Unidos, Fondo, 29 de septiembre de 1999, párr. 37; CIDH, Informe No. 86/99, Caso 11.589 Armando Alejandre Jr., Carlos Costa, Mario de la Peña y Pablo Morales, Cuba, 29 de septiembre de 1999, párr. 23</w:t>
      </w:r>
      <w:r w:rsidR="00247589" w:rsidRPr="00AB3BFB">
        <w:rPr>
          <w:lang w:val="es-CO"/>
        </w:rPr>
        <w:t>.</w:t>
      </w:r>
    </w:p>
  </w:footnote>
  <w:footnote w:id="12">
    <w:p w14:paraId="22B77B4B" w14:textId="6412E387" w:rsidR="00D01824" w:rsidRPr="00D01824" w:rsidRDefault="00D01824" w:rsidP="00D01824">
      <w:pPr>
        <w:pStyle w:val="Notasalpie"/>
        <w:rPr>
          <w:lang w:val="es-CO"/>
        </w:rPr>
      </w:pPr>
      <w:r>
        <w:rPr>
          <w:rStyle w:val="FootnoteReference"/>
        </w:rPr>
        <w:footnoteRef/>
      </w:r>
      <w:r>
        <w:t xml:space="preserve"> Ver: </w:t>
      </w:r>
      <w:r w:rsidR="00AB3BFB" w:rsidRPr="00AB3BFB">
        <w:rPr>
          <w:lang w:val="es-CO"/>
        </w:rPr>
        <w:t xml:space="preserve">CIDH, Informe No. 61/21. Petición 548-13. Admisibilidad. M.M.Y.D., D.A.N.Y. y familiares. </w:t>
      </w:r>
      <w:r w:rsidR="00AB3BFB" w:rsidRPr="00DC06FE">
        <w:t>Colombia. 6 de marzo de 2021, párr. 16.</w:t>
      </w:r>
    </w:p>
  </w:footnote>
  <w:footnote w:id="13">
    <w:p w14:paraId="6EA0B1D4" w14:textId="1D65D384" w:rsidR="00116993" w:rsidRPr="00823079" w:rsidRDefault="00116993" w:rsidP="00116993">
      <w:pPr>
        <w:pStyle w:val="FootnoteText"/>
        <w:ind w:firstLine="720"/>
        <w:jc w:val="both"/>
        <w:rPr>
          <w:rFonts w:ascii="Cambria" w:hAnsi="Cambria"/>
          <w:lang w:val="es-CO"/>
        </w:rPr>
      </w:pPr>
      <w:r w:rsidRPr="00823079">
        <w:rPr>
          <w:rStyle w:val="FootnoteReference"/>
          <w:rFonts w:ascii="Cambria" w:hAnsi="Cambria"/>
          <w:sz w:val="16"/>
          <w:szCs w:val="16"/>
        </w:rPr>
        <w:footnoteRef/>
      </w:r>
      <w:r w:rsidRPr="009A4D5C">
        <w:rPr>
          <w:rFonts w:ascii="Cambria" w:hAnsi="Cambria"/>
          <w:sz w:val="16"/>
          <w:szCs w:val="16"/>
          <w:lang w:val="es-CO"/>
        </w:rPr>
        <w:t xml:space="preserve"> </w:t>
      </w:r>
      <w:r w:rsidR="008F01B2" w:rsidRPr="008F01B2">
        <w:rPr>
          <w:rFonts w:ascii="Cambria" w:hAnsi="Cambria"/>
          <w:sz w:val="16"/>
          <w:szCs w:val="16"/>
          <w:lang w:val="es-CO"/>
        </w:rPr>
        <w:t xml:space="preserve">CIDH, Informe No. 60/24. Petición 1995-14. Admisibilidad. Masacre de San Carlos de Guaroa. </w:t>
      </w:r>
      <w:r w:rsidR="008F01B2" w:rsidRPr="005D4D1D">
        <w:rPr>
          <w:rFonts w:ascii="Cambria" w:hAnsi="Cambria"/>
          <w:sz w:val="16"/>
          <w:szCs w:val="16"/>
          <w:lang w:val="es-CO"/>
        </w:rPr>
        <w:t xml:space="preserve">Colombia. 16 de mayo de 2024, </w:t>
      </w:r>
      <w:r w:rsidRPr="00545468">
        <w:rPr>
          <w:rFonts w:ascii="Cambria" w:hAnsi="Cambria"/>
          <w:sz w:val="16"/>
          <w:szCs w:val="16"/>
          <w:lang w:val="es-CO"/>
        </w:rPr>
        <w:t>párr. 1</w:t>
      </w:r>
      <w:r w:rsidR="008F01B2">
        <w:rPr>
          <w:rFonts w:ascii="Cambria" w:hAnsi="Cambria"/>
          <w:sz w:val="16"/>
          <w:szCs w:val="16"/>
          <w:lang w:val="es-CO"/>
        </w:rPr>
        <w:t xml:space="preserve">9; </w:t>
      </w:r>
      <w:r w:rsidR="00AA3214">
        <w:rPr>
          <w:rFonts w:ascii="Cambria" w:hAnsi="Cambria"/>
          <w:sz w:val="16"/>
          <w:szCs w:val="16"/>
          <w:lang w:val="es-CO"/>
        </w:rPr>
        <w:t>I</w:t>
      </w:r>
      <w:r w:rsidR="005D4D1D" w:rsidRPr="005D4D1D">
        <w:rPr>
          <w:rFonts w:ascii="Cambria" w:hAnsi="Cambria"/>
          <w:sz w:val="16"/>
          <w:szCs w:val="16"/>
          <w:lang w:val="es-CO"/>
        </w:rPr>
        <w:t xml:space="preserve">nforme No. 27/23. Petición 1359-07. Admisibilidad. Masacre de Santa Rita. </w:t>
      </w:r>
      <w:r w:rsidR="005D4D1D" w:rsidRPr="00A221F7">
        <w:rPr>
          <w:rFonts w:ascii="Cambria" w:hAnsi="Cambria"/>
          <w:sz w:val="16"/>
          <w:szCs w:val="16"/>
          <w:lang w:val="es-CO"/>
        </w:rPr>
        <w:t xml:space="preserve">Colombia. 26 de febrero de 2023, párr. 19; </w:t>
      </w:r>
      <w:r w:rsidR="00A221F7" w:rsidRPr="00A221F7">
        <w:rPr>
          <w:rFonts w:ascii="Cambria" w:hAnsi="Cambria"/>
          <w:sz w:val="16"/>
          <w:szCs w:val="16"/>
          <w:lang w:val="es-CO"/>
        </w:rPr>
        <w:t xml:space="preserve">Informe No. 76/22. Petición 1721-12. </w:t>
      </w:r>
      <w:r w:rsidR="00AA3214" w:rsidRPr="00A221F7">
        <w:rPr>
          <w:rFonts w:ascii="Cambria" w:hAnsi="Cambria"/>
          <w:sz w:val="16"/>
          <w:szCs w:val="16"/>
          <w:lang w:val="es-CO"/>
        </w:rPr>
        <w:t>Admisibilidad</w:t>
      </w:r>
      <w:r w:rsidR="00A221F7" w:rsidRPr="00A221F7">
        <w:rPr>
          <w:rFonts w:ascii="Cambria" w:hAnsi="Cambria"/>
          <w:sz w:val="16"/>
          <w:szCs w:val="16"/>
          <w:lang w:val="es-CO"/>
        </w:rPr>
        <w:t xml:space="preserve">. Masacre de Pichilín. </w:t>
      </w:r>
      <w:r w:rsidR="00A221F7" w:rsidRPr="00785233">
        <w:rPr>
          <w:rFonts w:ascii="Cambria" w:hAnsi="Cambria"/>
          <w:sz w:val="16"/>
          <w:szCs w:val="16"/>
          <w:lang w:val="es-CO"/>
        </w:rPr>
        <w:t xml:space="preserve">Colombia. 24 de abril de 2022, párr. 22; </w:t>
      </w:r>
      <w:r w:rsidR="00785233" w:rsidRPr="00785233">
        <w:rPr>
          <w:rFonts w:ascii="Cambria" w:hAnsi="Cambria"/>
          <w:sz w:val="16"/>
          <w:szCs w:val="16"/>
          <w:lang w:val="es-CO"/>
        </w:rPr>
        <w:t xml:space="preserve">Informe No. 368/21. Petición 1466-13. Admisibilidad. Masacre de San Salvador. </w:t>
      </w:r>
      <w:r w:rsidR="00785233" w:rsidRPr="007F31E0">
        <w:rPr>
          <w:rFonts w:ascii="Cambria" w:hAnsi="Cambria"/>
          <w:sz w:val="16"/>
          <w:szCs w:val="16"/>
          <w:lang w:val="es-CO"/>
        </w:rPr>
        <w:t xml:space="preserve">Colombia. 1º de diciembre de 2021, párr. 14; </w:t>
      </w:r>
      <w:r w:rsidR="007F31E0" w:rsidRPr="007F31E0">
        <w:rPr>
          <w:rFonts w:ascii="Cambria" w:hAnsi="Cambria"/>
          <w:sz w:val="16"/>
          <w:szCs w:val="16"/>
          <w:lang w:val="es-CO"/>
        </w:rPr>
        <w:t xml:space="preserve">Informe No. 367/21. Petición 1490-12. Admisibilidad. José Aníbal Garcerant Mejía y otros (Masacre de Villanueva). Colombia. </w:t>
      </w:r>
      <w:r w:rsidR="007F31E0" w:rsidRPr="00761955">
        <w:rPr>
          <w:rFonts w:ascii="Cambria" w:hAnsi="Cambria"/>
          <w:sz w:val="16"/>
          <w:szCs w:val="16"/>
          <w:lang w:val="es-CO"/>
        </w:rPr>
        <w:t xml:space="preserve">1º de diciembre de 2021, párr. 22; e, </w:t>
      </w:r>
      <w:r w:rsidR="00761955" w:rsidRPr="00761955">
        <w:rPr>
          <w:rFonts w:ascii="Cambria" w:hAnsi="Cambria"/>
          <w:sz w:val="16"/>
          <w:szCs w:val="16"/>
          <w:lang w:val="es-CO"/>
        </w:rPr>
        <w:t xml:space="preserve">Informe No. 254/21. Petición 1846-11. Admisibilidad. Giovanni Guzmán Pérez y otros (Masacre de Puerto Patiño). Colombia. </w:t>
      </w:r>
      <w:r w:rsidR="00761955" w:rsidRPr="00834A3E">
        <w:rPr>
          <w:rFonts w:ascii="Cambria" w:hAnsi="Cambria"/>
          <w:sz w:val="16"/>
          <w:szCs w:val="16"/>
          <w:lang w:val="es-ES"/>
        </w:rPr>
        <w:t>26 de septiembre de 2021, párr. 13.</w:t>
      </w:r>
    </w:p>
  </w:footnote>
  <w:footnote w:id="14">
    <w:p w14:paraId="04765CD2" w14:textId="33B1538B" w:rsidR="00E874A6" w:rsidRPr="00E874A6" w:rsidRDefault="00E874A6" w:rsidP="00E874A6">
      <w:pPr>
        <w:pStyle w:val="Notasalpie"/>
        <w:rPr>
          <w:rStyle w:val="FootnoteReference"/>
        </w:rPr>
      </w:pPr>
      <w:r>
        <w:rPr>
          <w:rStyle w:val="FootnoteReference"/>
        </w:rPr>
        <w:footnoteRef/>
      </w:r>
      <w:r>
        <w:t xml:space="preserve"> </w:t>
      </w:r>
      <w:r w:rsidRPr="00E874A6">
        <w:rPr>
          <w:lang w:val="es-CO"/>
        </w:rPr>
        <w:t xml:space="preserve">Corte IDH. Caso Pueblo Indígena U'wa y sus miembros Vs. Colombia. Fondo, Reparaciones y Costas. </w:t>
      </w:r>
      <w:r w:rsidRPr="00834A3E">
        <w:t xml:space="preserve">Sentencia de 4 de julio de 2024. Serie C No. 530, párr. </w:t>
      </w:r>
      <w:r w:rsidRPr="005D773F">
        <w:rPr>
          <w:lang w:val="es-CO"/>
        </w:rPr>
        <w:t>358.</w:t>
      </w:r>
    </w:p>
  </w:footnote>
  <w:footnote w:id="15">
    <w:p w14:paraId="2FCE2E69" w14:textId="6763A0CA" w:rsidR="00307937" w:rsidRPr="00307937" w:rsidRDefault="00307937" w:rsidP="00307937">
      <w:pPr>
        <w:pStyle w:val="Notasalpie"/>
        <w:rPr>
          <w:lang w:val="es-CO"/>
        </w:rPr>
      </w:pPr>
      <w:r>
        <w:rPr>
          <w:rStyle w:val="FootnoteReference"/>
        </w:rPr>
        <w:footnoteRef/>
      </w:r>
      <w:r>
        <w:t xml:space="preserve"> </w:t>
      </w:r>
      <w:r w:rsidR="002B5762" w:rsidRPr="002B5762">
        <w:rPr>
          <w:lang w:val="es-CO"/>
        </w:rPr>
        <w:t xml:space="preserve">Corte IDH. Caso Pueblo Indígena U'wa y sus miembros Vs. Colombia. Fondo, Reparaciones y Costas. </w:t>
      </w:r>
      <w:r w:rsidR="002B5762" w:rsidRPr="00EE7C8B">
        <w:t>Sentencia de 4 de julio de 2024. Serie C No. 530, p</w:t>
      </w:r>
      <w:r>
        <w:t xml:space="preserve">árr. </w:t>
      </w:r>
      <w:r w:rsidRPr="00AA374D">
        <w:rPr>
          <w:lang w:val="es-CO"/>
        </w:rPr>
        <w:t>358</w:t>
      </w:r>
      <w:r>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8302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402EB966"/>
    <w:lvl w:ilvl="0" w:tplc="3668A7D4">
      <w:start w:val="1"/>
      <w:numFmt w:val="decimal"/>
      <w:pStyle w:val="parrafos"/>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577193D"/>
    <w:multiLevelType w:val="hybridMultilevel"/>
    <w:tmpl w:val="B79C6D1C"/>
    <w:lvl w:ilvl="0" w:tplc="90D855E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8"/>
  </w:num>
  <w:num w:numId="4" w16cid:durableId="2018339747">
    <w:abstractNumId w:val="21"/>
  </w:num>
  <w:num w:numId="5" w16cid:durableId="368341374">
    <w:abstractNumId w:val="50"/>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0"/>
  </w:num>
  <w:num w:numId="52" w16cid:durableId="955454438">
    <w:abstractNumId w:val="42"/>
  </w:num>
  <w:num w:numId="53" w16cid:durableId="586957926">
    <w:abstractNumId w:val="54"/>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3"/>
  </w:num>
  <w:num w:numId="62" w16cid:durableId="362898492">
    <w:abstractNumId w:val="6"/>
  </w:num>
  <w:num w:numId="63" w16cid:durableId="1905137641">
    <w:abstractNumId w:val="56"/>
  </w:num>
  <w:num w:numId="64" w16cid:durableId="46249959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3BA3"/>
    <w:rsid w:val="00005C79"/>
    <w:rsid w:val="00006E1F"/>
    <w:rsid w:val="000070D7"/>
    <w:rsid w:val="00007C2A"/>
    <w:rsid w:val="00010EF7"/>
    <w:rsid w:val="00013A00"/>
    <w:rsid w:val="00015B34"/>
    <w:rsid w:val="0001788C"/>
    <w:rsid w:val="00020F3E"/>
    <w:rsid w:val="0002349D"/>
    <w:rsid w:val="00030320"/>
    <w:rsid w:val="000337EF"/>
    <w:rsid w:val="00034EB8"/>
    <w:rsid w:val="00040C3A"/>
    <w:rsid w:val="000419AD"/>
    <w:rsid w:val="000433C9"/>
    <w:rsid w:val="00043892"/>
    <w:rsid w:val="000439E4"/>
    <w:rsid w:val="000473B6"/>
    <w:rsid w:val="00057498"/>
    <w:rsid w:val="00057C0A"/>
    <w:rsid w:val="000619E3"/>
    <w:rsid w:val="00062295"/>
    <w:rsid w:val="00071174"/>
    <w:rsid w:val="000716C5"/>
    <w:rsid w:val="00074855"/>
    <w:rsid w:val="00075E23"/>
    <w:rsid w:val="00077D61"/>
    <w:rsid w:val="0008158C"/>
    <w:rsid w:val="000875CE"/>
    <w:rsid w:val="0009344A"/>
    <w:rsid w:val="000951D9"/>
    <w:rsid w:val="000A0663"/>
    <w:rsid w:val="000A236B"/>
    <w:rsid w:val="000A3352"/>
    <w:rsid w:val="000A392E"/>
    <w:rsid w:val="000A575F"/>
    <w:rsid w:val="000A6988"/>
    <w:rsid w:val="000B0409"/>
    <w:rsid w:val="000B0B60"/>
    <w:rsid w:val="000B1E08"/>
    <w:rsid w:val="000B3218"/>
    <w:rsid w:val="000D05CB"/>
    <w:rsid w:val="000D09D8"/>
    <w:rsid w:val="000D10DB"/>
    <w:rsid w:val="000D34A2"/>
    <w:rsid w:val="000D5C11"/>
    <w:rsid w:val="000E0AAE"/>
    <w:rsid w:val="000E5EB5"/>
    <w:rsid w:val="000E748C"/>
    <w:rsid w:val="000F1FDA"/>
    <w:rsid w:val="000F2587"/>
    <w:rsid w:val="000F3131"/>
    <w:rsid w:val="000F35ED"/>
    <w:rsid w:val="001004FE"/>
    <w:rsid w:val="001061B2"/>
    <w:rsid w:val="00107131"/>
    <w:rsid w:val="0010736F"/>
    <w:rsid w:val="0010753D"/>
    <w:rsid w:val="00113848"/>
    <w:rsid w:val="00113F73"/>
    <w:rsid w:val="00116993"/>
    <w:rsid w:val="00121CC2"/>
    <w:rsid w:val="0012596D"/>
    <w:rsid w:val="00125980"/>
    <w:rsid w:val="00131425"/>
    <w:rsid w:val="00133EE5"/>
    <w:rsid w:val="00143C34"/>
    <w:rsid w:val="00155E5A"/>
    <w:rsid w:val="00163A09"/>
    <w:rsid w:val="00167A34"/>
    <w:rsid w:val="00180237"/>
    <w:rsid w:val="001820A3"/>
    <w:rsid w:val="00184F75"/>
    <w:rsid w:val="001906F3"/>
    <w:rsid w:val="00190C49"/>
    <w:rsid w:val="00191C1D"/>
    <w:rsid w:val="00193B68"/>
    <w:rsid w:val="00197E5B"/>
    <w:rsid w:val="001A3290"/>
    <w:rsid w:val="001A3C16"/>
    <w:rsid w:val="001A520D"/>
    <w:rsid w:val="001A7870"/>
    <w:rsid w:val="001B03B4"/>
    <w:rsid w:val="001B2B8C"/>
    <w:rsid w:val="001B379A"/>
    <w:rsid w:val="001B3A00"/>
    <w:rsid w:val="001B478B"/>
    <w:rsid w:val="001C1B41"/>
    <w:rsid w:val="001C3D61"/>
    <w:rsid w:val="001C450A"/>
    <w:rsid w:val="001D65EF"/>
    <w:rsid w:val="001D7183"/>
    <w:rsid w:val="001D7F96"/>
    <w:rsid w:val="001E49E7"/>
    <w:rsid w:val="001F7201"/>
    <w:rsid w:val="0021300C"/>
    <w:rsid w:val="00213083"/>
    <w:rsid w:val="00223A29"/>
    <w:rsid w:val="00223F48"/>
    <w:rsid w:val="00224DCA"/>
    <w:rsid w:val="002250A3"/>
    <w:rsid w:val="00226B22"/>
    <w:rsid w:val="00234832"/>
    <w:rsid w:val="00235217"/>
    <w:rsid w:val="002414BC"/>
    <w:rsid w:val="002417C4"/>
    <w:rsid w:val="00246D1F"/>
    <w:rsid w:val="00247403"/>
    <w:rsid w:val="00247542"/>
    <w:rsid w:val="00247589"/>
    <w:rsid w:val="002502B4"/>
    <w:rsid w:val="00255155"/>
    <w:rsid w:val="00266B61"/>
    <w:rsid w:val="0026712A"/>
    <w:rsid w:val="002704DB"/>
    <w:rsid w:val="00270BB6"/>
    <w:rsid w:val="00274FDA"/>
    <w:rsid w:val="00284504"/>
    <w:rsid w:val="002866E9"/>
    <w:rsid w:val="00286BC8"/>
    <w:rsid w:val="00294A8F"/>
    <w:rsid w:val="0029531A"/>
    <w:rsid w:val="00297372"/>
    <w:rsid w:val="002A042C"/>
    <w:rsid w:val="002A0AAE"/>
    <w:rsid w:val="002A1E8E"/>
    <w:rsid w:val="002A5820"/>
    <w:rsid w:val="002A7E6B"/>
    <w:rsid w:val="002B1BA1"/>
    <w:rsid w:val="002B5762"/>
    <w:rsid w:val="002C0625"/>
    <w:rsid w:val="002C307E"/>
    <w:rsid w:val="002C72D7"/>
    <w:rsid w:val="002D2B26"/>
    <w:rsid w:val="002D4666"/>
    <w:rsid w:val="002D5C15"/>
    <w:rsid w:val="002D7EA2"/>
    <w:rsid w:val="002E187C"/>
    <w:rsid w:val="002E40B2"/>
    <w:rsid w:val="002E5997"/>
    <w:rsid w:val="002E77B4"/>
    <w:rsid w:val="002F573F"/>
    <w:rsid w:val="00302733"/>
    <w:rsid w:val="00304460"/>
    <w:rsid w:val="00305835"/>
    <w:rsid w:val="00306F33"/>
    <w:rsid w:val="00307937"/>
    <w:rsid w:val="00314078"/>
    <w:rsid w:val="0031535D"/>
    <w:rsid w:val="003238D0"/>
    <w:rsid w:val="003239B8"/>
    <w:rsid w:val="00323DD5"/>
    <w:rsid w:val="00324FD8"/>
    <w:rsid w:val="00325170"/>
    <w:rsid w:val="0033169F"/>
    <w:rsid w:val="00333745"/>
    <w:rsid w:val="00335D68"/>
    <w:rsid w:val="00337BA9"/>
    <w:rsid w:val="00344977"/>
    <w:rsid w:val="00346C95"/>
    <w:rsid w:val="00356185"/>
    <w:rsid w:val="00360380"/>
    <w:rsid w:val="00362641"/>
    <w:rsid w:val="00363398"/>
    <w:rsid w:val="00365584"/>
    <w:rsid w:val="00365B28"/>
    <w:rsid w:val="00367BE5"/>
    <w:rsid w:val="00373CF9"/>
    <w:rsid w:val="0037519E"/>
    <w:rsid w:val="00377A8D"/>
    <w:rsid w:val="00377BDD"/>
    <w:rsid w:val="003800F1"/>
    <w:rsid w:val="00386CF0"/>
    <w:rsid w:val="00386F19"/>
    <w:rsid w:val="003907DF"/>
    <w:rsid w:val="003917BA"/>
    <w:rsid w:val="00394073"/>
    <w:rsid w:val="003A081A"/>
    <w:rsid w:val="003B43E3"/>
    <w:rsid w:val="003B4D52"/>
    <w:rsid w:val="003B5A4D"/>
    <w:rsid w:val="003B665C"/>
    <w:rsid w:val="003B70FB"/>
    <w:rsid w:val="003B795E"/>
    <w:rsid w:val="003C29CB"/>
    <w:rsid w:val="003C676B"/>
    <w:rsid w:val="003D3566"/>
    <w:rsid w:val="003D3BC2"/>
    <w:rsid w:val="003E09A2"/>
    <w:rsid w:val="003E57A9"/>
    <w:rsid w:val="003E6CA1"/>
    <w:rsid w:val="003F15B1"/>
    <w:rsid w:val="003F27AE"/>
    <w:rsid w:val="003F4B11"/>
    <w:rsid w:val="003F5154"/>
    <w:rsid w:val="003F69B3"/>
    <w:rsid w:val="00402BF5"/>
    <w:rsid w:val="00404F2B"/>
    <w:rsid w:val="00405F9C"/>
    <w:rsid w:val="004065A8"/>
    <w:rsid w:val="00407CD8"/>
    <w:rsid w:val="0041322B"/>
    <w:rsid w:val="00414875"/>
    <w:rsid w:val="00414C6D"/>
    <w:rsid w:val="004165C2"/>
    <w:rsid w:val="00417C72"/>
    <w:rsid w:val="004241A0"/>
    <w:rsid w:val="00426EE0"/>
    <w:rsid w:val="004316D7"/>
    <w:rsid w:val="00431C65"/>
    <w:rsid w:val="00441ECB"/>
    <w:rsid w:val="00445193"/>
    <w:rsid w:val="00446139"/>
    <w:rsid w:val="0044625F"/>
    <w:rsid w:val="00447C6E"/>
    <w:rsid w:val="004513AE"/>
    <w:rsid w:val="004573BD"/>
    <w:rsid w:val="004606C7"/>
    <w:rsid w:val="0046107B"/>
    <w:rsid w:val="00461C6F"/>
    <w:rsid w:val="00462C1B"/>
    <w:rsid w:val="00463862"/>
    <w:rsid w:val="00467907"/>
    <w:rsid w:val="00467B7E"/>
    <w:rsid w:val="00473BB4"/>
    <w:rsid w:val="00477592"/>
    <w:rsid w:val="00477887"/>
    <w:rsid w:val="004851B8"/>
    <w:rsid w:val="00485902"/>
    <w:rsid w:val="00485ED8"/>
    <w:rsid w:val="00486F1C"/>
    <w:rsid w:val="0049419D"/>
    <w:rsid w:val="004963D8"/>
    <w:rsid w:val="004A057B"/>
    <w:rsid w:val="004A3FEE"/>
    <w:rsid w:val="004A481C"/>
    <w:rsid w:val="004A5CFA"/>
    <w:rsid w:val="004A6A54"/>
    <w:rsid w:val="004B421C"/>
    <w:rsid w:val="004C20D2"/>
    <w:rsid w:val="004C2312"/>
    <w:rsid w:val="004C4B62"/>
    <w:rsid w:val="004C54C9"/>
    <w:rsid w:val="004D0CBB"/>
    <w:rsid w:val="004D4ABA"/>
    <w:rsid w:val="004D4CAD"/>
    <w:rsid w:val="004D59B8"/>
    <w:rsid w:val="004D6025"/>
    <w:rsid w:val="004E2649"/>
    <w:rsid w:val="004E32EC"/>
    <w:rsid w:val="004E3CF5"/>
    <w:rsid w:val="004E5755"/>
    <w:rsid w:val="004E5A25"/>
    <w:rsid w:val="004E76AF"/>
    <w:rsid w:val="004F340F"/>
    <w:rsid w:val="004F381F"/>
    <w:rsid w:val="004F402A"/>
    <w:rsid w:val="004F626F"/>
    <w:rsid w:val="005010DC"/>
    <w:rsid w:val="00501399"/>
    <w:rsid w:val="00503731"/>
    <w:rsid w:val="00504589"/>
    <w:rsid w:val="005047ED"/>
    <w:rsid w:val="0050633D"/>
    <w:rsid w:val="0050697E"/>
    <w:rsid w:val="00506AA6"/>
    <w:rsid w:val="0050757C"/>
    <w:rsid w:val="00507BC4"/>
    <w:rsid w:val="00510F6E"/>
    <w:rsid w:val="005128E4"/>
    <w:rsid w:val="005132BE"/>
    <w:rsid w:val="005133DB"/>
    <w:rsid w:val="00514504"/>
    <w:rsid w:val="005173A3"/>
    <w:rsid w:val="00521E1F"/>
    <w:rsid w:val="00523DA9"/>
    <w:rsid w:val="00525560"/>
    <w:rsid w:val="00531955"/>
    <w:rsid w:val="00532D5E"/>
    <w:rsid w:val="0053430A"/>
    <w:rsid w:val="00536C23"/>
    <w:rsid w:val="00543C2C"/>
    <w:rsid w:val="00544C49"/>
    <w:rsid w:val="00551119"/>
    <w:rsid w:val="005511CF"/>
    <w:rsid w:val="00551253"/>
    <w:rsid w:val="005516A1"/>
    <w:rsid w:val="00552122"/>
    <w:rsid w:val="005559EF"/>
    <w:rsid w:val="00561AAF"/>
    <w:rsid w:val="00562FAB"/>
    <w:rsid w:val="00563557"/>
    <w:rsid w:val="0056730D"/>
    <w:rsid w:val="0057358D"/>
    <w:rsid w:val="0057402A"/>
    <w:rsid w:val="00576257"/>
    <w:rsid w:val="00576BD2"/>
    <w:rsid w:val="005771D0"/>
    <w:rsid w:val="005851FF"/>
    <w:rsid w:val="0058699C"/>
    <w:rsid w:val="0059191A"/>
    <w:rsid w:val="005921FF"/>
    <w:rsid w:val="005A0FC7"/>
    <w:rsid w:val="005A24ED"/>
    <w:rsid w:val="005A6D0E"/>
    <w:rsid w:val="005B2CF2"/>
    <w:rsid w:val="005B52B0"/>
    <w:rsid w:val="005B6806"/>
    <w:rsid w:val="005B70A7"/>
    <w:rsid w:val="005C02B8"/>
    <w:rsid w:val="005C4225"/>
    <w:rsid w:val="005D29DD"/>
    <w:rsid w:val="005D4D1D"/>
    <w:rsid w:val="005D773F"/>
    <w:rsid w:val="005E4CE4"/>
    <w:rsid w:val="005E5978"/>
    <w:rsid w:val="005E6969"/>
    <w:rsid w:val="005F0DAD"/>
    <w:rsid w:val="005F0F33"/>
    <w:rsid w:val="005F1D1A"/>
    <w:rsid w:val="005F44BA"/>
    <w:rsid w:val="00600DEB"/>
    <w:rsid w:val="006054AE"/>
    <w:rsid w:val="006078D3"/>
    <w:rsid w:val="0061534E"/>
    <w:rsid w:val="00617507"/>
    <w:rsid w:val="00617F08"/>
    <w:rsid w:val="0062003D"/>
    <w:rsid w:val="00623DA2"/>
    <w:rsid w:val="00627C9F"/>
    <w:rsid w:val="006311E9"/>
    <w:rsid w:val="00631AE5"/>
    <w:rsid w:val="00632354"/>
    <w:rsid w:val="0063456F"/>
    <w:rsid w:val="00635421"/>
    <w:rsid w:val="00640FC0"/>
    <w:rsid w:val="00642810"/>
    <w:rsid w:val="006452A1"/>
    <w:rsid w:val="006468A9"/>
    <w:rsid w:val="00652333"/>
    <w:rsid w:val="006531DC"/>
    <w:rsid w:val="0065667B"/>
    <w:rsid w:val="00662FFA"/>
    <w:rsid w:val="0067034E"/>
    <w:rsid w:val="0068009E"/>
    <w:rsid w:val="00681D8E"/>
    <w:rsid w:val="006834B2"/>
    <w:rsid w:val="0068541C"/>
    <w:rsid w:val="00692219"/>
    <w:rsid w:val="00697359"/>
    <w:rsid w:val="006A17D2"/>
    <w:rsid w:val="006A5C48"/>
    <w:rsid w:val="006A73E6"/>
    <w:rsid w:val="006B2031"/>
    <w:rsid w:val="006B2D5C"/>
    <w:rsid w:val="006B4FCD"/>
    <w:rsid w:val="006B6AEF"/>
    <w:rsid w:val="006C0ECF"/>
    <w:rsid w:val="006C1EB1"/>
    <w:rsid w:val="006C2474"/>
    <w:rsid w:val="006C35DE"/>
    <w:rsid w:val="006C4158"/>
    <w:rsid w:val="006C4EB1"/>
    <w:rsid w:val="006C583E"/>
    <w:rsid w:val="006C61AC"/>
    <w:rsid w:val="006C7335"/>
    <w:rsid w:val="006D5B50"/>
    <w:rsid w:val="006D5FE3"/>
    <w:rsid w:val="006D76FD"/>
    <w:rsid w:val="006E0166"/>
    <w:rsid w:val="006E1D64"/>
    <w:rsid w:val="006E2FFB"/>
    <w:rsid w:val="006E451D"/>
    <w:rsid w:val="006E621A"/>
    <w:rsid w:val="006E6253"/>
    <w:rsid w:val="006E7B34"/>
    <w:rsid w:val="006F42BE"/>
    <w:rsid w:val="006F476A"/>
    <w:rsid w:val="006F5B5B"/>
    <w:rsid w:val="006F654C"/>
    <w:rsid w:val="0070029F"/>
    <w:rsid w:val="007006EF"/>
    <w:rsid w:val="00702763"/>
    <w:rsid w:val="0070527E"/>
    <w:rsid w:val="007052E8"/>
    <w:rsid w:val="007059CC"/>
    <w:rsid w:val="0070697F"/>
    <w:rsid w:val="007103C4"/>
    <w:rsid w:val="0072048E"/>
    <w:rsid w:val="0072199C"/>
    <w:rsid w:val="00722C9F"/>
    <w:rsid w:val="007253B8"/>
    <w:rsid w:val="007320DA"/>
    <w:rsid w:val="007357B0"/>
    <w:rsid w:val="00736C3C"/>
    <w:rsid w:val="0073728D"/>
    <w:rsid w:val="0073741F"/>
    <w:rsid w:val="00761955"/>
    <w:rsid w:val="00763ABE"/>
    <w:rsid w:val="0076643F"/>
    <w:rsid w:val="007704A5"/>
    <w:rsid w:val="00772AFD"/>
    <w:rsid w:val="00774070"/>
    <w:rsid w:val="007740D2"/>
    <w:rsid w:val="00774CE0"/>
    <w:rsid w:val="00776CA3"/>
    <w:rsid w:val="00776D1F"/>
    <w:rsid w:val="00777F63"/>
    <w:rsid w:val="00781128"/>
    <w:rsid w:val="00781D70"/>
    <w:rsid w:val="00783845"/>
    <w:rsid w:val="00785233"/>
    <w:rsid w:val="0079188B"/>
    <w:rsid w:val="0079205C"/>
    <w:rsid w:val="00796B6F"/>
    <w:rsid w:val="007A5817"/>
    <w:rsid w:val="007A6928"/>
    <w:rsid w:val="007A7095"/>
    <w:rsid w:val="007B05C4"/>
    <w:rsid w:val="007B60E9"/>
    <w:rsid w:val="007B6CC3"/>
    <w:rsid w:val="007B76D3"/>
    <w:rsid w:val="007C3334"/>
    <w:rsid w:val="007C3B7B"/>
    <w:rsid w:val="007C72C7"/>
    <w:rsid w:val="007D2B98"/>
    <w:rsid w:val="007E1BB2"/>
    <w:rsid w:val="007E21BC"/>
    <w:rsid w:val="007E7C82"/>
    <w:rsid w:val="007F2AA1"/>
    <w:rsid w:val="007F31E0"/>
    <w:rsid w:val="007F371C"/>
    <w:rsid w:val="007F588D"/>
    <w:rsid w:val="007F5CAA"/>
    <w:rsid w:val="007F64CE"/>
    <w:rsid w:val="007F7E80"/>
    <w:rsid w:val="008014DB"/>
    <w:rsid w:val="00802E9E"/>
    <w:rsid w:val="00803F1C"/>
    <w:rsid w:val="0080600E"/>
    <w:rsid w:val="00806B8E"/>
    <w:rsid w:val="00810959"/>
    <w:rsid w:val="00812371"/>
    <w:rsid w:val="00814688"/>
    <w:rsid w:val="00815E6D"/>
    <w:rsid w:val="00816CC5"/>
    <w:rsid w:val="00817612"/>
    <w:rsid w:val="008217ED"/>
    <w:rsid w:val="0082214F"/>
    <w:rsid w:val="0082271C"/>
    <w:rsid w:val="00823906"/>
    <w:rsid w:val="00823C18"/>
    <w:rsid w:val="00832BB3"/>
    <w:rsid w:val="008334BA"/>
    <w:rsid w:val="008338A4"/>
    <w:rsid w:val="00834A3E"/>
    <w:rsid w:val="00834D49"/>
    <w:rsid w:val="00837C45"/>
    <w:rsid w:val="00841AB3"/>
    <w:rsid w:val="008436C1"/>
    <w:rsid w:val="00844730"/>
    <w:rsid w:val="008457C2"/>
    <w:rsid w:val="0085134E"/>
    <w:rsid w:val="0085221F"/>
    <w:rsid w:val="00852C1F"/>
    <w:rsid w:val="00857A82"/>
    <w:rsid w:val="00862056"/>
    <w:rsid w:val="00862E8C"/>
    <w:rsid w:val="00871B82"/>
    <w:rsid w:val="00872296"/>
    <w:rsid w:val="00873836"/>
    <w:rsid w:val="00880159"/>
    <w:rsid w:val="00882E77"/>
    <w:rsid w:val="00883052"/>
    <w:rsid w:val="00883EE9"/>
    <w:rsid w:val="00885737"/>
    <w:rsid w:val="008874E0"/>
    <w:rsid w:val="00890650"/>
    <w:rsid w:val="00890DA0"/>
    <w:rsid w:val="0089154B"/>
    <w:rsid w:val="00893DB7"/>
    <w:rsid w:val="008944DC"/>
    <w:rsid w:val="00897E12"/>
    <w:rsid w:val="00897F08"/>
    <w:rsid w:val="008A7E0F"/>
    <w:rsid w:val="008B12F5"/>
    <w:rsid w:val="008C5E2D"/>
    <w:rsid w:val="008D1422"/>
    <w:rsid w:val="008D1DA5"/>
    <w:rsid w:val="008D723A"/>
    <w:rsid w:val="008D768D"/>
    <w:rsid w:val="008E18E4"/>
    <w:rsid w:val="008E3759"/>
    <w:rsid w:val="008E3BFE"/>
    <w:rsid w:val="008E4542"/>
    <w:rsid w:val="008E48ED"/>
    <w:rsid w:val="008F01B2"/>
    <w:rsid w:val="008F1912"/>
    <w:rsid w:val="00901503"/>
    <w:rsid w:val="00901E5D"/>
    <w:rsid w:val="0090270B"/>
    <w:rsid w:val="009041DC"/>
    <w:rsid w:val="0091268A"/>
    <w:rsid w:val="0091511A"/>
    <w:rsid w:val="00915713"/>
    <w:rsid w:val="00917B5A"/>
    <w:rsid w:val="00920A58"/>
    <w:rsid w:val="00920A8C"/>
    <w:rsid w:val="00923A1D"/>
    <w:rsid w:val="009241FA"/>
    <w:rsid w:val="00925E14"/>
    <w:rsid w:val="00930FD4"/>
    <w:rsid w:val="00931070"/>
    <w:rsid w:val="009316FD"/>
    <w:rsid w:val="00931CAB"/>
    <w:rsid w:val="00931FCC"/>
    <w:rsid w:val="00934A2C"/>
    <w:rsid w:val="00935D5F"/>
    <w:rsid w:val="0094359F"/>
    <w:rsid w:val="00950C33"/>
    <w:rsid w:val="009518E9"/>
    <w:rsid w:val="00962697"/>
    <w:rsid w:val="00964643"/>
    <w:rsid w:val="0096706E"/>
    <w:rsid w:val="0097172A"/>
    <w:rsid w:val="00971B71"/>
    <w:rsid w:val="00974276"/>
    <w:rsid w:val="00974491"/>
    <w:rsid w:val="00975AE3"/>
    <w:rsid w:val="00975C4E"/>
    <w:rsid w:val="0098195B"/>
    <w:rsid w:val="00981FBA"/>
    <w:rsid w:val="00983022"/>
    <w:rsid w:val="00983804"/>
    <w:rsid w:val="009901FF"/>
    <w:rsid w:val="00997BC5"/>
    <w:rsid w:val="009A01DF"/>
    <w:rsid w:val="009A1E82"/>
    <w:rsid w:val="009A3DE0"/>
    <w:rsid w:val="009A40B5"/>
    <w:rsid w:val="009A4F41"/>
    <w:rsid w:val="009A56CE"/>
    <w:rsid w:val="009A6AC4"/>
    <w:rsid w:val="009B381B"/>
    <w:rsid w:val="009C0B58"/>
    <w:rsid w:val="009C6297"/>
    <w:rsid w:val="009D1753"/>
    <w:rsid w:val="009D1AEA"/>
    <w:rsid w:val="009D4B54"/>
    <w:rsid w:val="009D7611"/>
    <w:rsid w:val="009D7F81"/>
    <w:rsid w:val="009E0B61"/>
    <w:rsid w:val="009E14E0"/>
    <w:rsid w:val="009E4EBF"/>
    <w:rsid w:val="009E53DE"/>
    <w:rsid w:val="009E5A9A"/>
    <w:rsid w:val="009F15EC"/>
    <w:rsid w:val="00A03F6A"/>
    <w:rsid w:val="00A11212"/>
    <w:rsid w:val="00A11E44"/>
    <w:rsid w:val="00A123D2"/>
    <w:rsid w:val="00A14D6F"/>
    <w:rsid w:val="00A15562"/>
    <w:rsid w:val="00A15EAA"/>
    <w:rsid w:val="00A16C88"/>
    <w:rsid w:val="00A221F7"/>
    <w:rsid w:val="00A22579"/>
    <w:rsid w:val="00A261DE"/>
    <w:rsid w:val="00A2666E"/>
    <w:rsid w:val="00A30100"/>
    <w:rsid w:val="00A328B3"/>
    <w:rsid w:val="00A35552"/>
    <w:rsid w:val="00A37091"/>
    <w:rsid w:val="00A41C97"/>
    <w:rsid w:val="00A479E7"/>
    <w:rsid w:val="00A50FCF"/>
    <w:rsid w:val="00A525F5"/>
    <w:rsid w:val="00A528D1"/>
    <w:rsid w:val="00A55856"/>
    <w:rsid w:val="00A610CD"/>
    <w:rsid w:val="00A660AD"/>
    <w:rsid w:val="00A7340F"/>
    <w:rsid w:val="00A758AA"/>
    <w:rsid w:val="00A8286A"/>
    <w:rsid w:val="00A837E2"/>
    <w:rsid w:val="00A84F35"/>
    <w:rsid w:val="00A857F2"/>
    <w:rsid w:val="00A92AC6"/>
    <w:rsid w:val="00A94617"/>
    <w:rsid w:val="00AA09A2"/>
    <w:rsid w:val="00AA3214"/>
    <w:rsid w:val="00AA374D"/>
    <w:rsid w:val="00AA7966"/>
    <w:rsid w:val="00AA7996"/>
    <w:rsid w:val="00AA7C1C"/>
    <w:rsid w:val="00AB3BFB"/>
    <w:rsid w:val="00AB54D0"/>
    <w:rsid w:val="00AC19CB"/>
    <w:rsid w:val="00AC2F65"/>
    <w:rsid w:val="00AC542D"/>
    <w:rsid w:val="00AC57DF"/>
    <w:rsid w:val="00AC5A00"/>
    <w:rsid w:val="00AC7071"/>
    <w:rsid w:val="00AC70AC"/>
    <w:rsid w:val="00AC7230"/>
    <w:rsid w:val="00AE45F5"/>
    <w:rsid w:val="00AE5488"/>
    <w:rsid w:val="00AE6F91"/>
    <w:rsid w:val="00AF13E2"/>
    <w:rsid w:val="00AF350A"/>
    <w:rsid w:val="00AF5571"/>
    <w:rsid w:val="00AF564E"/>
    <w:rsid w:val="00B04818"/>
    <w:rsid w:val="00B04ACF"/>
    <w:rsid w:val="00B05A9D"/>
    <w:rsid w:val="00B07341"/>
    <w:rsid w:val="00B21965"/>
    <w:rsid w:val="00B2774E"/>
    <w:rsid w:val="00B30539"/>
    <w:rsid w:val="00B314DB"/>
    <w:rsid w:val="00B34404"/>
    <w:rsid w:val="00B361F2"/>
    <w:rsid w:val="00B3718B"/>
    <w:rsid w:val="00B3745F"/>
    <w:rsid w:val="00B4632A"/>
    <w:rsid w:val="00B46B42"/>
    <w:rsid w:val="00B530F1"/>
    <w:rsid w:val="00B71398"/>
    <w:rsid w:val="00B84BF4"/>
    <w:rsid w:val="00B85417"/>
    <w:rsid w:val="00B92E05"/>
    <w:rsid w:val="00B93200"/>
    <w:rsid w:val="00B93D7F"/>
    <w:rsid w:val="00BA01E5"/>
    <w:rsid w:val="00BA276C"/>
    <w:rsid w:val="00BA54C0"/>
    <w:rsid w:val="00BA757D"/>
    <w:rsid w:val="00BB019D"/>
    <w:rsid w:val="00BB0B66"/>
    <w:rsid w:val="00BB2144"/>
    <w:rsid w:val="00BB2F9F"/>
    <w:rsid w:val="00BB306F"/>
    <w:rsid w:val="00BB4AD3"/>
    <w:rsid w:val="00BB65A8"/>
    <w:rsid w:val="00BB718F"/>
    <w:rsid w:val="00BC5A34"/>
    <w:rsid w:val="00BD0FF5"/>
    <w:rsid w:val="00BD230D"/>
    <w:rsid w:val="00BD4B89"/>
    <w:rsid w:val="00BD4BEC"/>
    <w:rsid w:val="00BD5922"/>
    <w:rsid w:val="00BE2DB1"/>
    <w:rsid w:val="00BE3F92"/>
    <w:rsid w:val="00BF02CB"/>
    <w:rsid w:val="00BF134A"/>
    <w:rsid w:val="00BF295D"/>
    <w:rsid w:val="00BF6FD8"/>
    <w:rsid w:val="00C02FD0"/>
    <w:rsid w:val="00C03680"/>
    <w:rsid w:val="00C054DF"/>
    <w:rsid w:val="00C05DBD"/>
    <w:rsid w:val="00C139E7"/>
    <w:rsid w:val="00C1426B"/>
    <w:rsid w:val="00C213A9"/>
    <w:rsid w:val="00C21762"/>
    <w:rsid w:val="00C21FEF"/>
    <w:rsid w:val="00C232E2"/>
    <w:rsid w:val="00C23BA4"/>
    <w:rsid w:val="00C24543"/>
    <w:rsid w:val="00C256A2"/>
    <w:rsid w:val="00C25ADB"/>
    <w:rsid w:val="00C27A41"/>
    <w:rsid w:val="00C37B0F"/>
    <w:rsid w:val="00C37B8A"/>
    <w:rsid w:val="00C43A25"/>
    <w:rsid w:val="00C45BE9"/>
    <w:rsid w:val="00C51515"/>
    <w:rsid w:val="00C55107"/>
    <w:rsid w:val="00C5660B"/>
    <w:rsid w:val="00C64ED2"/>
    <w:rsid w:val="00C66B72"/>
    <w:rsid w:val="00C7059F"/>
    <w:rsid w:val="00C72C37"/>
    <w:rsid w:val="00C87AC4"/>
    <w:rsid w:val="00C942BC"/>
    <w:rsid w:val="00C9567A"/>
    <w:rsid w:val="00CA6D8E"/>
    <w:rsid w:val="00CB212D"/>
    <w:rsid w:val="00CB2660"/>
    <w:rsid w:val="00CB26AC"/>
    <w:rsid w:val="00CB33BD"/>
    <w:rsid w:val="00CB4954"/>
    <w:rsid w:val="00CB7717"/>
    <w:rsid w:val="00CC3670"/>
    <w:rsid w:val="00CC5E90"/>
    <w:rsid w:val="00CC6C82"/>
    <w:rsid w:val="00CD046C"/>
    <w:rsid w:val="00CD4B2A"/>
    <w:rsid w:val="00CD607F"/>
    <w:rsid w:val="00CD67CA"/>
    <w:rsid w:val="00CE076C"/>
    <w:rsid w:val="00CE0A18"/>
    <w:rsid w:val="00CE5199"/>
    <w:rsid w:val="00CE66D5"/>
    <w:rsid w:val="00CE6A98"/>
    <w:rsid w:val="00CE7FCC"/>
    <w:rsid w:val="00CF637A"/>
    <w:rsid w:val="00D01824"/>
    <w:rsid w:val="00D01A4A"/>
    <w:rsid w:val="00D049A2"/>
    <w:rsid w:val="00D059DE"/>
    <w:rsid w:val="00D05ABD"/>
    <w:rsid w:val="00D10780"/>
    <w:rsid w:val="00D12A9E"/>
    <w:rsid w:val="00D13FCE"/>
    <w:rsid w:val="00D169BA"/>
    <w:rsid w:val="00D22CC4"/>
    <w:rsid w:val="00D2636C"/>
    <w:rsid w:val="00D306D1"/>
    <w:rsid w:val="00D30800"/>
    <w:rsid w:val="00D30F23"/>
    <w:rsid w:val="00D323A6"/>
    <w:rsid w:val="00D34786"/>
    <w:rsid w:val="00D37857"/>
    <w:rsid w:val="00D37BFC"/>
    <w:rsid w:val="00D406B1"/>
    <w:rsid w:val="00D424B0"/>
    <w:rsid w:val="00D4293B"/>
    <w:rsid w:val="00D44480"/>
    <w:rsid w:val="00D44969"/>
    <w:rsid w:val="00D47A8E"/>
    <w:rsid w:val="00D50AA3"/>
    <w:rsid w:val="00D50D87"/>
    <w:rsid w:val="00D52D14"/>
    <w:rsid w:val="00D53975"/>
    <w:rsid w:val="00D55F6B"/>
    <w:rsid w:val="00D56AA1"/>
    <w:rsid w:val="00D56F31"/>
    <w:rsid w:val="00D60208"/>
    <w:rsid w:val="00D60DF1"/>
    <w:rsid w:val="00D6168F"/>
    <w:rsid w:val="00D62211"/>
    <w:rsid w:val="00D66D74"/>
    <w:rsid w:val="00D712D3"/>
    <w:rsid w:val="00D71422"/>
    <w:rsid w:val="00D72DC6"/>
    <w:rsid w:val="00D73054"/>
    <w:rsid w:val="00D73824"/>
    <w:rsid w:val="00D74C21"/>
    <w:rsid w:val="00D7558D"/>
    <w:rsid w:val="00D81D92"/>
    <w:rsid w:val="00D8401D"/>
    <w:rsid w:val="00D876F9"/>
    <w:rsid w:val="00D94679"/>
    <w:rsid w:val="00D965B8"/>
    <w:rsid w:val="00D976E8"/>
    <w:rsid w:val="00D97DCD"/>
    <w:rsid w:val="00DA06C6"/>
    <w:rsid w:val="00DA1A5E"/>
    <w:rsid w:val="00DA2191"/>
    <w:rsid w:val="00DA7B5F"/>
    <w:rsid w:val="00DB2CEC"/>
    <w:rsid w:val="00DB772F"/>
    <w:rsid w:val="00DC06FE"/>
    <w:rsid w:val="00DC0755"/>
    <w:rsid w:val="00DC0D1A"/>
    <w:rsid w:val="00DC11E7"/>
    <w:rsid w:val="00DC24E3"/>
    <w:rsid w:val="00DC4738"/>
    <w:rsid w:val="00DC4C97"/>
    <w:rsid w:val="00DC7023"/>
    <w:rsid w:val="00DC769A"/>
    <w:rsid w:val="00DD3D86"/>
    <w:rsid w:val="00DD4AD2"/>
    <w:rsid w:val="00DD57F5"/>
    <w:rsid w:val="00DD6980"/>
    <w:rsid w:val="00DD6B24"/>
    <w:rsid w:val="00DE0F65"/>
    <w:rsid w:val="00DE2862"/>
    <w:rsid w:val="00DE734C"/>
    <w:rsid w:val="00DF0456"/>
    <w:rsid w:val="00DF1EC4"/>
    <w:rsid w:val="00DF26B7"/>
    <w:rsid w:val="00E02050"/>
    <w:rsid w:val="00E0340B"/>
    <w:rsid w:val="00E03973"/>
    <w:rsid w:val="00E04A90"/>
    <w:rsid w:val="00E0551F"/>
    <w:rsid w:val="00E06485"/>
    <w:rsid w:val="00E06486"/>
    <w:rsid w:val="00E13B4E"/>
    <w:rsid w:val="00E15FB0"/>
    <w:rsid w:val="00E219C7"/>
    <w:rsid w:val="00E24F11"/>
    <w:rsid w:val="00E31749"/>
    <w:rsid w:val="00E37D31"/>
    <w:rsid w:val="00E40B7F"/>
    <w:rsid w:val="00E4118C"/>
    <w:rsid w:val="00E42794"/>
    <w:rsid w:val="00E43157"/>
    <w:rsid w:val="00E44BE4"/>
    <w:rsid w:val="00E461CE"/>
    <w:rsid w:val="00E46E82"/>
    <w:rsid w:val="00E4729B"/>
    <w:rsid w:val="00E519D1"/>
    <w:rsid w:val="00E52D7C"/>
    <w:rsid w:val="00E541C9"/>
    <w:rsid w:val="00E573E4"/>
    <w:rsid w:val="00E575B2"/>
    <w:rsid w:val="00E64C3D"/>
    <w:rsid w:val="00E66075"/>
    <w:rsid w:val="00E71A4A"/>
    <w:rsid w:val="00E71B12"/>
    <w:rsid w:val="00E720CA"/>
    <w:rsid w:val="00E84EB5"/>
    <w:rsid w:val="00E85662"/>
    <w:rsid w:val="00E85C50"/>
    <w:rsid w:val="00E8680A"/>
    <w:rsid w:val="00E86BD6"/>
    <w:rsid w:val="00E86DA5"/>
    <w:rsid w:val="00E874A6"/>
    <w:rsid w:val="00E8789F"/>
    <w:rsid w:val="00E97B71"/>
    <w:rsid w:val="00EA1DD3"/>
    <w:rsid w:val="00EA3D34"/>
    <w:rsid w:val="00EA4F24"/>
    <w:rsid w:val="00EA73C7"/>
    <w:rsid w:val="00EB1A34"/>
    <w:rsid w:val="00EB2FCC"/>
    <w:rsid w:val="00EB454D"/>
    <w:rsid w:val="00EB4612"/>
    <w:rsid w:val="00EB5E0D"/>
    <w:rsid w:val="00EB6D6D"/>
    <w:rsid w:val="00EB777B"/>
    <w:rsid w:val="00EC2F4B"/>
    <w:rsid w:val="00EC3994"/>
    <w:rsid w:val="00ED083D"/>
    <w:rsid w:val="00ED398B"/>
    <w:rsid w:val="00ED40EF"/>
    <w:rsid w:val="00ED549D"/>
    <w:rsid w:val="00ED5E10"/>
    <w:rsid w:val="00ED6E9F"/>
    <w:rsid w:val="00ED76BE"/>
    <w:rsid w:val="00EE00E9"/>
    <w:rsid w:val="00EE4A38"/>
    <w:rsid w:val="00EE53CD"/>
    <w:rsid w:val="00EE7383"/>
    <w:rsid w:val="00EE7C8B"/>
    <w:rsid w:val="00EF14A1"/>
    <w:rsid w:val="00EF1636"/>
    <w:rsid w:val="00EF1AAA"/>
    <w:rsid w:val="00EF56A7"/>
    <w:rsid w:val="00EF5C21"/>
    <w:rsid w:val="00EF619B"/>
    <w:rsid w:val="00EF66AA"/>
    <w:rsid w:val="00F00B55"/>
    <w:rsid w:val="00F02AD1"/>
    <w:rsid w:val="00F048B1"/>
    <w:rsid w:val="00F07A7A"/>
    <w:rsid w:val="00F16025"/>
    <w:rsid w:val="00F1778B"/>
    <w:rsid w:val="00F253CC"/>
    <w:rsid w:val="00F26AA7"/>
    <w:rsid w:val="00F32B8A"/>
    <w:rsid w:val="00F33382"/>
    <w:rsid w:val="00F37106"/>
    <w:rsid w:val="00F37A00"/>
    <w:rsid w:val="00F423C9"/>
    <w:rsid w:val="00F44E25"/>
    <w:rsid w:val="00F44F65"/>
    <w:rsid w:val="00F46177"/>
    <w:rsid w:val="00F519CF"/>
    <w:rsid w:val="00F52B59"/>
    <w:rsid w:val="00F54653"/>
    <w:rsid w:val="00F55E2B"/>
    <w:rsid w:val="00F56BA5"/>
    <w:rsid w:val="00F56ECB"/>
    <w:rsid w:val="00F60E22"/>
    <w:rsid w:val="00F62D35"/>
    <w:rsid w:val="00F636D6"/>
    <w:rsid w:val="00F72A05"/>
    <w:rsid w:val="00F81395"/>
    <w:rsid w:val="00F81BB8"/>
    <w:rsid w:val="00F82603"/>
    <w:rsid w:val="00F844D1"/>
    <w:rsid w:val="00F90C64"/>
    <w:rsid w:val="00F917D1"/>
    <w:rsid w:val="00F9406D"/>
    <w:rsid w:val="00F9653B"/>
    <w:rsid w:val="00F968DC"/>
    <w:rsid w:val="00F97E4A"/>
    <w:rsid w:val="00FA0C96"/>
    <w:rsid w:val="00FA16E0"/>
    <w:rsid w:val="00FA6817"/>
    <w:rsid w:val="00FA7B86"/>
    <w:rsid w:val="00FA7EE1"/>
    <w:rsid w:val="00FB62CF"/>
    <w:rsid w:val="00FB7E50"/>
    <w:rsid w:val="00FC597F"/>
    <w:rsid w:val="00FD1314"/>
    <w:rsid w:val="00FD3C3B"/>
    <w:rsid w:val="00FD706B"/>
    <w:rsid w:val="00FE07DD"/>
    <w:rsid w:val="00FE117F"/>
    <w:rsid w:val="00FE6B45"/>
    <w:rsid w:val="00FF4CD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9D4B54"/>
    <w:pPr>
      <w:numPr>
        <w:numId w:val="63"/>
      </w:numPr>
      <w:spacing w:before="240" w:after="240"/>
      <w:ind w:left="0" w:firstLine="720"/>
      <w:jc w:val="both"/>
    </w:pPr>
    <w:rPr>
      <w:rFonts w:ascii="Cambria" w:eastAsia="Cambria" w:hAnsi="Cambria" w:cs="Cambria"/>
      <w:color w:val="000000"/>
      <w:szCs w:val="24"/>
      <w:u w:color="000000"/>
      <w:lang w:val="es-CO"/>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81D8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qFormat/>
    <w:rsid w:val="004573BD"/>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23C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CommentText">
    <w:name w:val="annotation text"/>
    <w:basedOn w:val="Normal"/>
    <w:link w:val="CommentTextChar"/>
    <w:uiPriority w:val="99"/>
    <w:unhideWhenUsed/>
    <w:rsid w:val="00DB2CEC"/>
    <w:rPr>
      <w:sz w:val="20"/>
      <w:szCs w:val="20"/>
    </w:rPr>
  </w:style>
  <w:style w:type="character" w:customStyle="1" w:styleId="CommentTextChar">
    <w:name w:val="Comment Text Char"/>
    <w:basedOn w:val="DefaultParagraphFont"/>
    <w:link w:val="CommentText"/>
    <w:uiPriority w:val="99"/>
    <w:rsid w:val="00DB2CEC"/>
    <w:rPr>
      <w:lang w:val="en-US" w:eastAsia="en-US"/>
    </w:rPr>
  </w:style>
  <w:style w:type="paragraph" w:styleId="CommentSubject">
    <w:name w:val="annotation subject"/>
    <w:basedOn w:val="CommentText"/>
    <w:next w:val="CommentText"/>
    <w:link w:val="CommentSubjectChar"/>
    <w:uiPriority w:val="99"/>
    <w:semiHidden/>
    <w:unhideWhenUsed/>
    <w:rsid w:val="00DB2CEC"/>
    <w:rPr>
      <w:b/>
      <w:bCs/>
    </w:rPr>
  </w:style>
  <w:style w:type="character" w:customStyle="1" w:styleId="CommentSubjectChar">
    <w:name w:val="Comment Subject Char"/>
    <w:basedOn w:val="CommentTextChar"/>
    <w:link w:val="CommentSubject"/>
    <w:uiPriority w:val="99"/>
    <w:semiHidden/>
    <w:rsid w:val="00DB2CEC"/>
    <w:rPr>
      <w:b/>
      <w:bCs/>
      <w:lang w:val="en-US" w:eastAsia="en-US"/>
    </w:rPr>
  </w:style>
  <w:style w:type="paragraph" w:customStyle="1" w:styleId="paragraph">
    <w:name w:val="paragraph"/>
    <w:basedOn w:val="Normal"/>
    <w:rsid w:val="009126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1268A"/>
  </w:style>
  <w:style w:type="character" w:customStyle="1" w:styleId="eop">
    <w:name w:val="eop"/>
    <w:basedOn w:val="DefaultParagraphFont"/>
    <w:rsid w:val="0091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34EB8"/>
    <w:rsid w:val="00110052"/>
    <w:rsid w:val="00200821"/>
    <w:rsid w:val="0025245B"/>
    <w:rsid w:val="002A3923"/>
    <w:rsid w:val="002F7438"/>
    <w:rsid w:val="00323DD5"/>
    <w:rsid w:val="00325170"/>
    <w:rsid w:val="00335D68"/>
    <w:rsid w:val="00394049"/>
    <w:rsid w:val="003B0C71"/>
    <w:rsid w:val="003B43E3"/>
    <w:rsid w:val="003B795E"/>
    <w:rsid w:val="003E2DD8"/>
    <w:rsid w:val="003E57A9"/>
    <w:rsid w:val="004A5CFA"/>
    <w:rsid w:val="004B5BBB"/>
    <w:rsid w:val="004F2DF8"/>
    <w:rsid w:val="004F381F"/>
    <w:rsid w:val="00517E2A"/>
    <w:rsid w:val="006D3128"/>
    <w:rsid w:val="006F24A1"/>
    <w:rsid w:val="007357B0"/>
    <w:rsid w:val="00774070"/>
    <w:rsid w:val="007C72C7"/>
    <w:rsid w:val="00852C1F"/>
    <w:rsid w:val="00875B8A"/>
    <w:rsid w:val="008937F7"/>
    <w:rsid w:val="008953BC"/>
    <w:rsid w:val="008A631D"/>
    <w:rsid w:val="00901503"/>
    <w:rsid w:val="009A261B"/>
    <w:rsid w:val="009D1AEA"/>
    <w:rsid w:val="009E14E0"/>
    <w:rsid w:val="009E4EBF"/>
    <w:rsid w:val="00AA2E17"/>
    <w:rsid w:val="00AC15A4"/>
    <w:rsid w:val="00B0336C"/>
    <w:rsid w:val="00B64F41"/>
    <w:rsid w:val="00D241E9"/>
    <w:rsid w:val="00D3126A"/>
    <w:rsid w:val="00D7750D"/>
    <w:rsid w:val="00D965B8"/>
    <w:rsid w:val="00E66075"/>
    <w:rsid w:val="00EA4F24"/>
    <w:rsid w:val="00EE2FD6"/>
    <w:rsid w:val="00F00D2F"/>
    <w:rsid w:val="00F128DF"/>
    <w:rsid w:val="00FA16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2EFA1-241D-4C85-A52C-D2177CF43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F763A31F-F0F8-497E-B25F-7037C87A56DE}">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C3458F7B-CE8D-4FCC-8510-1B462E6B8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3985</Words>
  <Characters>22720</Characters>
  <Application>Microsoft Office Word</Application>
  <DocSecurity>0</DocSecurity>
  <Lines>189</Lines>
  <Paragraphs>53</Paragraphs>
  <ScaleCrop>false</ScaleCrop>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